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lang w:eastAsia="zh-CN"/>
        </w:rPr>
        <w:t>7</w:t>
      </w:r>
      <w:r>
        <w:rPr>
          <w:rFonts w:hint="eastAsia"/>
          <w:lang w:val="en-US" w:eastAsia="zh-CN"/>
        </w:rPr>
        <w:t>7.160</w:t>
      </w:r>
      <w:r>
        <w:fldChar w:fldCharType="end"/>
      </w:r>
      <w:bookmarkEnd w:id="0"/>
    </w:p>
    <w:p>
      <w:pPr>
        <w:pStyle w:val="122"/>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 xml:space="preserve">CCS </w:t>
      </w:r>
      <w:r>
        <w:rPr>
          <w:rFonts w:hint="eastAsia"/>
          <w:lang w:val="en-US" w:eastAsia="zh-CN"/>
        </w:rPr>
        <w:t>71</w:t>
      </w:r>
      <w:r>
        <w:fldChar w:fldCharType="end"/>
      </w:r>
      <w:bookmarkEnd w:id="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2"/>
            </w:pP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08"/>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pPr>
        <w:pStyle w:val="109"/>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pPr>
        <w:pStyle w:val="46"/>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5"/>
            </w:pPr>
            <w:r>
              <mc:AlternateContent>
                <mc:Choice Requires="wps">
                  <w:drawing>
                    <wp:anchor distT="0" distB="0" distL="114300" distR="114300" simplePos="0" relativeHeight="251664384"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2096;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Pr>
                <w:rFonts w:hint="eastAsia"/>
              </w:rPr>
              <w:t>代替 YS/T 890-2013</w:t>
            </w:r>
            <w:r>
              <w:fldChar w:fldCharType="end"/>
            </w:r>
            <w:bookmarkEnd w:id="8"/>
          </w:p>
        </w:tc>
      </w:tr>
    </w:tbl>
    <w:p>
      <w:pPr>
        <w:pStyle w:val="46"/>
        <w:rPr>
          <w:rFonts w:hAnsi="黑体"/>
        </w:rPr>
      </w:pPr>
    </w:p>
    <w:p>
      <w:pPr>
        <w:pStyle w:val="46"/>
        <w:rPr>
          <w:rFonts w:hAnsi="黑体"/>
        </w:rPr>
      </w:pPr>
    </w:p>
    <w:p>
      <w:pPr>
        <w:pStyle w:val="77"/>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粉末冶金用再生钴粉</w:t>
      </w:r>
      <w:r>
        <w:fldChar w:fldCharType="end"/>
      </w:r>
      <w:bookmarkEnd w:id="9"/>
    </w:p>
    <w:p>
      <w:pPr>
        <w:pStyle w:val="78"/>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Reproduced cobalt powder for powder metallurgy</w:t>
      </w:r>
      <w:r>
        <w:fldChar w:fldCharType="end"/>
      </w:r>
      <w:bookmarkEnd w:id="10"/>
    </w:p>
    <w:p>
      <w:pPr>
        <w:pStyle w:val="79"/>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0"/>
            </w:pPr>
            <w:r>
              <mc:AlternateContent>
                <mc:Choice Requires="wps">
                  <w:drawing>
                    <wp:anchor distT="0" distB="0" distL="114300" distR="114300" simplePos="0" relativeHeight="251666432"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0048;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1072;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 xml:space="preserve">FORMDROPDOWN</w:instrText>
            </w:r>
            <w:r>
              <w:instrText xml:space="preserve">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1"/>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w:t>
            </w:r>
          </w:p>
          <w:p>
            <w:pPr>
              <w:pStyle w:val="81"/>
            </w:pPr>
            <w:r>
              <w:rPr>
                <w:rFonts w:hint="eastAsia"/>
              </w:rPr>
              <w:t>在提交反馈意见时，请将您知道的相关专利连同支持性文件一并附上。</w:t>
            </w:r>
            <w:r>
              <w:fldChar w:fldCharType="end"/>
            </w:r>
            <w:bookmarkEnd w:id="13"/>
          </w:p>
        </w:tc>
      </w:tr>
    </w:tbl>
    <w:p>
      <w:pPr>
        <w:pStyle w:val="129"/>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1312;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0288;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0"/>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10"/>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72"/>
        </w:rPr>
        <w:t xml:space="preserve"> </w:t>
      </w:r>
      <w:r>
        <w:rPr>
          <w:rStyle w:val="72"/>
          <w:rFonts w:hint="eastAsia"/>
        </w:rPr>
        <w:t>发布</w:t>
      </w:r>
    </w:p>
    <w:p>
      <w:pPr>
        <w:pStyle w:val="23"/>
        <w:sectPr>
          <w:pgSz w:w="11906" w:h="16838"/>
          <w:pgMar w:top="567" w:right="850" w:bottom="1134" w:left="1418" w:header="0" w:footer="0" w:gutter="0"/>
          <w:pgNumType w:start="1"/>
          <w:cols w:space="425" w:num="1"/>
          <w:docGrid w:type="lines" w:linePitch="312" w:charSpace="0"/>
        </w:sectPr>
      </w:pPr>
      <w:r>
        <w:rPr>
          <w:rFonts w:hint="eastAsia"/>
        </w:rPr>
        <mc:AlternateContent>
          <mc:Choice Requires="wps">
            <w:drawing>
              <wp:anchor distT="0" distB="0" distL="114300" distR="114300" simplePos="0" relativeHeight="251667456"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49024;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3360;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2336;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111"/>
      </w:pPr>
      <w:r>
        <w:rPr>
          <w:rFonts w:hint="eastAsia"/>
        </w:rPr>
        <w:t>前</w:t>
      </w:r>
      <w:bookmarkStart w:id="20" w:name="BKQY"/>
      <w:r>
        <w:rPr>
          <w:rFonts w:hAnsi="黑体"/>
        </w:rPr>
        <w:t>  </w:t>
      </w:r>
      <w:r>
        <w:rPr>
          <w:rFonts w:hint="eastAsia"/>
        </w:rPr>
        <w:t>言</w:t>
      </w:r>
      <w:bookmarkEnd w:id="20"/>
    </w:p>
    <w:p>
      <w:pPr>
        <w:pStyle w:val="23"/>
        <w:keepNext w:val="0"/>
        <w:keepLines w:val="0"/>
        <w:pageBreakBefore w:val="0"/>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本文件按照GB/T 1.1</w:t>
      </w:r>
      <w:r>
        <w:rPr>
          <w:rFonts w:hint="eastAsia" w:ascii="Times New Roman" w:cs="Times New Roman"/>
          <w:lang w:val="en-US" w:eastAsia="zh-CN"/>
        </w:rPr>
        <w:t>-</w:t>
      </w:r>
      <w:r>
        <w:rPr>
          <w:rFonts w:hint="default" w:ascii="Times New Roman" w:hAnsi="Times New Roman" w:cs="Times New Roman"/>
        </w:rPr>
        <w:t>2020《标准化工作导则 第1部分：标准化文件的结构和起草规则》的规定起草。</w:t>
      </w:r>
    </w:p>
    <w:p>
      <w:pPr>
        <w:pStyle w:val="23"/>
        <w:keepNext w:val="0"/>
        <w:keepLines w:val="0"/>
        <w:pageBreakBefore w:val="0"/>
        <w:kinsoku/>
        <w:wordWrap/>
        <w:overflowPunct/>
        <w:topLinePunct w:val="0"/>
        <w:bidi w:val="0"/>
        <w:adjustRightInd/>
        <w:snapToGrid/>
        <w:spacing w:line="240" w:lineRule="auto"/>
        <w:textAlignment w:val="auto"/>
        <w:rPr>
          <w:rFonts w:hint="default" w:ascii="Times New Roman" w:hAnsi="Times New Roman" w:cs="Times New Roman"/>
          <w:highlight w:val="none"/>
        </w:rPr>
      </w:pPr>
      <w:r>
        <w:rPr>
          <w:rFonts w:hint="default" w:ascii="Times New Roman" w:hAnsi="Times New Roman" w:cs="Times New Roman"/>
          <w:highlight w:val="none"/>
        </w:rPr>
        <w:t>本文件代替YS/T 890</w:t>
      </w:r>
      <w:r>
        <w:rPr>
          <w:rFonts w:hint="eastAsia" w:ascii="Times New Roman" w:cs="Times New Roman"/>
          <w:highlight w:val="none"/>
          <w:lang w:val="en-US" w:eastAsia="zh-CN"/>
        </w:rPr>
        <w:t>-</w:t>
      </w:r>
      <w:r>
        <w:rPr>
          <w:rFonts w:hint="default" w:ascii="Times New Roman" w:hAnsi="Times New Roman" w:cs="Times New Roman"/>
          <w:highlight w:val="none"/>
        </w:rPr>
        <w:t>2013《粉末冶金用再生钴粉》，与YS/T 890</w:t>
      </w:r>
      <w:r>
        <w:rPr>
          <w:rFonts w:hint="eastAsia" w:ascii="Times New Roman" w:cs="Times New Roman"/>
          <w:highlight w:val="none"/>
          <w:lang w:val="en-US" w:eastAsia="zh-CN"/>
        </w:rPr>
        <w:t>-</w:t>
      </w:r>
      <w:r>
        <w:rPr>
          <w:rFonts w:hint="default" w:ascii="Times New Roman" w:hAnsi="Times New Roman" w:cs="Times New Roman"/>
          <w:highlight w:val="none"/>
        </w:rPr>
        <w:t>2013相比，除结构调整和编辑性改动外，主要技术变化如下：</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w:t>
      </w:r>
      <w:r>
        <w:rPr>
          <w:rFonts w:hint="eastAsia" w:ascii="Times New Roman" w:cs="Times New Roman"/>
          <w:highlight w:val="none"/>
          <w:lang w:val="en-US" w:eastAsia="zh-CN"/>
        </w:rPr>
        <w:t>b</w:t>
      </w:r>
      <w:r>
        <w:rPr>
          <w:rFonts w:hint="eastAsia" w:ascii="Times New Roman" w:hAnsi="Times New Roman" w:cs="Times New Roman"/>
          <w:highlight w:val="none"/>
          <w:lang w:val="en-US" w:eastAsia="zh-CN"/>
        </w:rPr>
        <w:t>类产品的费氏粒度、松装密度、氧含量</w:t>
      </w:r>
      <w:r>
        <w:rPr>
          <w:rFonts w:hint="default" w:ascii="Times New Roman" w:hAnsi="Times New Roman" w:cs="Times New Roman"/>
          <w:highlight w:val="none"/>
          <w:lang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w:t>
      </w:r>
      <w:r>
        <w:rPr>
          <w:rFonts w:hint="eastAsia" w:ascii="Times New Roman" w:hAnsi="Times New Roman" w:cs="Times New Roman"/>
          <w:highlight w:val="none"/>
          <w:lang w:val="en-US" w:eastAsia="zh-CN"/>
        </w:rPr>
        <w:t>c类产品的费氏粒度、氧含量</w:t>
      </w:r>
      <w:r>
        <w:rPr>
          <w:rFonts w:hint="default" w:ascii="Times New Roman" w:hAnsi="Times New Roman" w:cs="Times New Roman"/>
          <w:highlight w:val="none"/>
          <w:lang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w:t>
      </w:r>
      <w:r>
        <w:rPr>
          <w:rFonts w:hint="eastAsia" w:ascii="Times New Roman" w:hAnsi="Times New Roman" w:cs="Times New Roman"/>
          <w:highlight w:val="none"/>
          <w:lang w:val="en-US" w:eastAsia="zh-CN"/>
        </w:rPr>
        <w:t>d类产品的费氏粒度</w:t>
      </w:r>
      <w:r>
        <w:rPr>
          <w:rFonts w:hint="default" w:ascii="Times New Roman" w:hAnsi="Times New Roman" w:cs="Times New Roman"/>
          <w:highlight w:val="none"/>
          <w:lang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w:t>
      </w:r>
      <w:r>
        <w:rPr>
          <w:rFonts w:hint="eastAsia" w:ascii="Times New Roman" w:hAnsi="Times New Roman" w:cs="Times New Roman"/>
          <w:highlight w:val="none"/>
          <w:lang w:val="en-US" w:eastAsia="zh-CN"/>
        </w:rPr>
        <w:t>e类产品的费氏粒度、松装密度、中位径</w:t>
      </w:r>
      <w:r>
        <w:rPr>
          <w:rFonts w:hint="default" w:ascii="Times New Roman" w:hAnsi="Times New Roman" w:cs="Times New Roman"/>
          <w:highlight w:val="none"/>
          <w:lang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w:t>
      </w:r>
      <w:r>
        <w:rPr>
          <w:rFonts w:hint="eastAsia" w:ascii="Times New Roman" w:hAnsi="Times New Roman" w:cs="Times New Roman"/>
          <w:highlight w:val="none"/>
          <w:lang w:val="en-US" w:eastAsia="zh-CN"/>
        </w:rPr>
        <w:t>f类产品的费氏粒度、中位径</w:t>
      </w:r>
      <w:r>
        <w:rPr>
          <w:rFonts w:hint="default" w:ascii="Times New Roman" w:hAnsi="Times New Roman" w:cs="Times New Roman"/>
          <w:highlight w:val="none"/>
          <w:lang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w:t>
      </w:r>
      <w:r>
        <w:rPr>
          <w:rFonts w:hint="eastAsia" w:ascii="Times New Roman" w:hAnsi="Times New Roman" w:cs="Times New Roman"/>
          <w:highlight w:val="none"/>
          <w:lang w:val="en-US" w:eastAsia="zh-CN"/>
        </w:rPr>
        <w:t>g类产品的松装密度、中位径</w:t>
      </w:r>
      <w:r>
        <w:rPr>
          <w:rFonts w:hint="default" w:ascii="Times New Roman" w:hAnsi="Times New Roman" w:cs="Times New Roman"/>
          <w:highlight w:val="none"/>
          <w:lang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了FCoR-</w:t>
      </w:r>
      <w:r>
        <w:rPr>
          <w:rFonts w:hint="eastAsia" w:ascii="Times New Roman" w:hAnsi="Times New Roman" w:cs="Times New Roman"/>
          <w:highlight w:val="none"/>
          <w:lang w:val="en-US" w:eastAsia="zh-CN"/>
        </w:rPr>
        <w:t>1牌号</w:t>
      </w:r>
      <w:r>
        <w:rPr>
          <w:rFonts w:hint="default" w:ascii="Times New Roman" w:hAnsi="Times New Roman" w:cs="Times New Roman"/>
          <w:highlight w:val="none"/>
          <w:lang w:eastAsia="zh-CN"/>
        </w:rPr>
        <w:t>产品</w:t>
      </w:r>
      <w:r>
        <w:rPr>
          <w:rFonts w:hint="default" w:ascii="Times New Roman" w:hAnsi="Times New Roman" w:cs="Times New Roman"/>
          <w:highlight w:val="none"/>
          <w:lang w:val="en-US" w:eastAsia="zh-CN"/>
        </w:rPr>
        <w:t>Pb、</w:t>
      </w:r>
      <w:r>
        <w:rPr>
          <w:rFonts w:hint="eastAsia" w:ascii="Times New Roman" w:hAnsi="Times New Roman" w:cs="Times New Roman"/>
          <w:highlight w:val="none"/>
          <w:lang w:val="en-US" w:eastAsia="zh-CN"/>
        </w:rPr>
        <w:t>Cr</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Mn</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Al</w:t>
      </w:r>
      <w:r>
        <w:rPr>
          <w:rFonts w:hint="default" w:ascii="Times New Roman" w:hAnsi="Times New Roman" w:cs="Times New Roman"/>
          <w:highlight w:val="none"/>
          <w:lang w:eastAsia="zh-CN"/>
        </w:rPr>
        <w:t>杂质元素含量指标；</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更改</w:t>
      </w:r>
      <w:r>
        <w:rPr>
          <w:rFonts w:hint="default" w:ascii="Times New Roman" w:hAnsi="Times New Roman" w:cs="Times New Roman"/>
          <w:highlight w:val="none"/>
          <w:lang w:eastAsia="zh-CN"/>
        </w:rPr>
        <w:t>了FCoR-</w:t>
      </w:r>
      <w:r>
        <w:rPr>
          <w:rFonts w:hint="eastAsia" w:ascii="Times New Roman" w:hAnsi="Times New Roman" w:cs="Times New Roman"/>
          <w:highlight w:val="none"/>
          <w:lang w:val="en-US" w:eastAsia="zh-CN"/>
        </w:rPr>
        <w:t>2牌号</w:t>
      </w:r>
      <w:r>
        <w:rPr>
          <w:rFonts w:hint="default" w:ascii="Times New Roman" w:hAnsi="Times New Roman" w:cs="Times New Roman"/>
          <w:highlight w:val="none"/>
          <w:lang w:eastAsia="zh-CN"/>
        </w:rPr>
        <w:t>产品</w:t>
      </w:r>
      <w:r>
        <w:rPr>
          <w:rFonts w:hint="default" w:ascii="Times New Roman" w:hAnsi="Times New Roman" w:cs="Times New Roman"/>
          <w:highlight w:val="none"/>
          <w:lang w:val="en-US" w:eastAsia="zh-CN"/>
        </w:rPr>
        <w:t>Zn、Ca、Cr、Mn、Na、Si、Al、Mo</w:t>
      </w:r>
      <w:r>
        <w:rPr>
          <w:rFonts w:hint="default" w:ascii="Times New Roman" w:hAnsi="Times New Roman" w:cs="Times New Roman"/>
          <w:highlight w:val="none"/>
          <w:lang w:eastAsia="zh-CN"/>
        </w:rPr>
        <w:t>杂质元素含量指标；</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增加</w:t>
      </w:r>
      <w:r>
        <w:rPr>
          <w:rFonts w:hint="default" w:ascii="Times New Roman" w:hAnsi="Times New Roman" w:cs="Times New Roman"/>
          <w:highlight w:val="none"/>
          <w:lang w:eastAsia="zh-CN"/>
        </w:rPr>
        <w:t>了FCoR-</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FCoR-</w:t>
      </w:r>
      <w:r>
        <w:rPr>
          <w:rFonts w:hint="eastAsia" w:ascii="Times New Roman" w:hAnsi="Times New Roman" w:cs="Times New Roman"/>
          <w:highlight w:val="none"/>
          <w:lang w:val="en-US" w:eastAsia="zh-CN"/>
        </w:rPr>
        <w:t>2牌号</w:t>
      </w:r>
      <w:r>
        <w:rPr>
          <w:rFonts w:hint="default" w:ascii="Times New Roman" w:hAnsi="Times New Roman" w:cs="Times New Roman"/>
          <w:highlight w:val="none"/>
          <w:lang w:eastAsia="zh-CN"/>
        </w:rPr>
        <w:t>产品</w:t>
      </w:r>
      <w:r>
        <w:rPr>
          <w:rFonts w:hint="eastAsia" w:ascii="Times New Roman" w:hAnsi="Times New Roman" w:cs="Times New Roman"/>
          <w:highlight w:val="none"/>
          <w:lang w:val="en-US" w:eastAsia="zh-CN"/>
        </w:rPr>
        <w:t>的Cl</w:t>
      </w:r>
      <w:r>
        <w:rPr>
          <w:rFonts w:hint="default" w:ascii="Times New Roman" w:hAnsi="Times New Roman" w:cs="Times New Roman"/>
          <w:highlight w:val="none"/>
          <w:lang w:eastAsia="zh-CN"/>
        </w:rPr>
        <w:t>杂质元素含量指标</w:t>
      </w:r>
      <w:r>
        <w:rPr>
          <w:rFonts w:hint="eastAsia" w:ascii="Times New Roman" w:hAnsi="Times New Roman" w:cs="Times New Roman"/>
          <w:highlight w:val="none"/>
          <w:lang w:val="en-US" w:eastAsia="zh-CN"/>
        </w:rPr>
        <w:t>;</w:t>
      </w:r>
    </w:p>
    <w:p>
      <w:pPr>
        <w:pStyle w:val="23"/>
        <w:keepNext w:val="0"/>
        <w:keepLines w:val="0"/>
        <w:pageBreakBefore w:val="0"/>
        <w:widowControl/>
        <w:numPr>
          <w:ilvl w:val="0"/>
          <w:numId w:val="18"/>
        </w:numPr>
        <w:kinsoku/>
        <w:wordWrap/>
        <w:overflowPunct/>
        <w:topLinePunct w:val="0"/>
        <w:autoSpaceDE w:val="0"/>
        <w:autoSpaceDN w:val="0"/>
        <w:bidi w:val="0"/>
        <w:adjustRightInd/>
        <w:snapToGrid/>
        <w:spacing w:line="240" w:lineRule="auto"/>
        <w:textAlignment w:val="auto"/>
        <w:rPr>
          <w:rFonts w:hint="default" w:ascii="Times New Roman" w:hAnsi="Times New Roman" w:cs="Times New Roman"/>
          <w:sz w:val="21"/>
          <w:szCs w:val="21"/>
          <w:highlight w:val="none"/>
        </w:rPr>
      </w:pPr>
      <w:r>
        <w:rPr>
          <w:rFonts w:hint="eastAsia" w:ascii="Times New Roman" w:hAnsi="Times New Roman" w:cs="Times New Roman"/>
          <w:highlight w:val="none"/>
          <w:lang w:val="en-US" w:eastAsia="zh-CN"/>
        </w:rPr>
        <w:t>删除</w:t>
      </w:r>
      <w:r>
        <w:rPr>
          <w:rFonts w:hint="default" w:ascii="Times New Roman" w:hAnsi="Times New Roman" w:cs="Times New Roman"/>
          <w:highlight w:val="none"/>
          <w:lang w:eastAsia="zh-CN"/>
        </w:rPr>
        <w:t>了HCo</w:t>
      </w:r>
      <w:r>
        <w:rPr>
          <w:rFonts w:hint="eastAsia" w:ascii="Times New Roman" w:hAnsi="Times New Roman" w:cs="Times New Roman"/>
          <w:highlight w:val="none"/>
          <w:lang w:val="en-US" w:eastAsia="zh-CN"/>
        </w:rPr>
        <w:t>R</w:t>
      </w:r>
      <w:r>
        <w:rPr>
          <w:rFonts w:hint="default" w:ascii="Times New Roman" w:hAnsi="Times New Roman" w:cs="Times New Roman"/>
          <w:highlight w:val="none"/>
          <w:lang w:eastAsia="zh-CN"/>
        </w:rPr>
        <w:t>-</w:t>
      </w:r>
      <w:r>
        <w:rPr>
          <w:rFonts w:hint="eastAsia" w:ascii="Times New Roman" w:hAnsi="Times New Roman" w:cs="Times New Roman"/>
          <w:highlight w:val="none"/>
          <w:lang w:val="en-US" w:eastAsia="zh-CN"/>
        </w:rPr>
        <w:t>3牌号。</w:t>
      </w:r>
    </w:p>
    <w:p>
      <w:pPr>
        <w:pStyle w:val="23"/>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请注意本文件的</w:t>
      </w:r>
      <w:r>
        <w:rPr>
          <w:rFonts w:hint="eastAsia" w:ascii="Times New Roman" w:cs="Times New Roman"/>
          <w:sz w:val="21"/>
          <w:szCs w:val="21"/>
          <w:lang w:val="en-US" w:eastAsia="zh-CN"/>
        </w:rPr>
        <w:t>有</w:t>
      </w:r>
      <w:r>
        <w:rPr>
          <w:rFonts w:hint="default" w:ascii="Times New Roman" w:hAnsi="Times New Roman" w:eastAsia="宋体" w:cs="Times New Roman"/>
          <w:sz w:val="21"/>
          <w:szCs w:val="21"/>
        </w:rPr>
        <w:t>些内容可能涉及专利。本文件的发布机构不承担识别专利的责任。</w:t>
      </w:r>
    </w:p>
    <w:p>
      <w:pPr>
        <w:pStyle w:val="23"/>
        <w:keepNext w:val="0"/>
        <w:keepLines w:val="0"/>
        <w:pageBreakBefore w:val="0"/>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本文件由全国有色金属标准化技术委员会（SAC/TC 243）提出并归口。</w:t>
      </w:r>
    </w:p>
    <w:p>
      <w:pPr>
        <w:pStyle w:val="23"/>
        <w:keepNext w:val="0"/>
        <w:keepLines w:val="0"/>
        <w:pageBreakBefore w:val="0"/>
        <w:kinsoku/>
        <w:wordWrap/>
        <w:overflowPunct/>
        <w:topLinePunct w:val="0"/>
        <w:bidi w:val="0"/>
        <w:adjustRightInd/>
        <w:snapToGrid/>
        <w:spacing w:line="240" w:lineRule="auto"/>
        <w:textAlignment w:val="auto"/>
        <w:rPr>
          <w:rFonts w:hint="eastAsia" w:ascii="Times New Roman" w:hAnsi="Times New Roman" w:eastAsia="宋体" w:cs="Times New Roman"/>
          <w:sz w:val="21"/>
          <w:szCs w:val="21"/>
          <w:highlight w:val="yellow"/>
          <w:lang w:eastAsia="zh-CN"/>
        </w:rPr>
      </w:pPr>
      <w:r>
        <w:rPr>
          <w:rFonts w:hint="default" w:ascii="Times New Roman" w:hAnsi="Times New Roman" w:cs="Times New Roman"/>
        </w:rPr>
        <w:t>本文件起草单位：</w:t>
      </w:r>
      <w:r>
        <w:rPr>
          <w:rFonts w:hint="default" w:ascii="Times New Roman" w:hAnsi="Times New Roman" w:eastAsia="宋体" w:cs="Times New Roman"/>
          <w:sz w:val="21"/>
          <w:szCs w:val="21"/>
        </w:rPr>
        <w:t>格林美股份有限公司</w:t>
      </w:r>
      <w:r>
        <w:rPr>
          <w:rFonts w:hint="eastAsia" w:ascii="Times New Roman" w:cs="Times New Roman"/>
          <w:sz w:val="21"/>
          <w:szCs w:val="21"/>
          <w:lang w:eastAsia="zh-CN"/>
        </w:rPr>
        <w:t>、</w:t>
      </w:r>
      <w:r>
        <w:rPr>
          <w:rFonts w:hint="default" w:ascii="Times New Roman" w:hAnsi="Times New Roman" w:eastAsia="宋体" w:cs="Times New Roman"/>
        </w:rPr>
        <w:t>荆门市格林美新材料有限</w:t>
      </w:r>
      <w:r>
        <w:rPr>
          <w:rFonts w:hint="default" w:ascii="Times New Roman" w:hAnsi="Times New Roman" w:cs="Times New Roman"/>
        </w:rPr>
        <w:t>公司</w:t>
      </w:r>
      <w:r>
        <w:rPr>
          <w:rFonts w:hint="eastAsia" w:ascii="Times New Roman" w:hAnsi="Times New Roman" w:cs="Times New Roman"/>
          <w:lang w:eastAsia="zh-CN"/>
        </w:rPr>
        <w:t>、</w:t>
      </w:r>
      <w:r>
        <w:rPr>
          <w:rFonts w:hint="default" w:ascii="Times New Roman" w:hAnsi="Times New Roman" w:cs="Times New Roman"/>
          <w:lang w:val="en-US" w:eastAsia="zh-CN"/>
        </w:rPr>
        <w:t>衢州华友钴新材料有限公司、广东邦普循环科技有限公司、</w:t>
      </w:r>
      <w:r>
        <w:rPr>
          <w:rFonts w:hint="eastAsia" w:ascii="Times New Roman" w:hAnsi="Times New Roman" w:cs="Times New Roman"/>
          <w:lang w:val="en-US" w:eastAsia="zh-CN"/>
        </w:rPr>
        <w:t>浙江德威硬质合金制造有限公司、</w:t>
      </w:r>
      <w:r>
        <w:rPr>
          <w:rFonts w:hint="default" w:ascii="Times New Roman" w:hAnsi="Times New Roman" w:cs="Times New Roman"/>
          <w:lang w:val="en-US" w:eastAsia="zh-CN"/>
        </w:rPr>
        <w:t>长沙矿冶院检测技术有限责任公司</w:t>
      </w:r>
      <w:r>
        <w:rPr>
          <w:rFonts w:hint="eastAsia" w:ascii="Times New Roman" w:hAnsi="Times New Roman" w:cs="Times New Roman"/>
          <w:lang w:val="en-US" w:eastAsia="zh-CN"/>
        </w:rPr>
        <w:t>、</w:t>
      </w:r>
      <w:r>
        <w:rPr>
          <w:rFonts w:hint="default" w:ascii="Times New Roman" w:hAnsi="Times New Roman" w:eastAsia="宋体" w:cs="Times New Roman"/>
          <w:color w:val="000000"/>
          <w:sz w:val="21"/>
          <w:szCs w:val="21"/>
          <w:lang w:val="en-US" w:eastAsia="zh-CN"/>
        </w:rPr>
        <w:t>西北有色金属研究院</w:t>
      </w:r>
      <w:bookmarkStart w:id="24" w:name="_GoBack"/>
      <w:bookmarkEnd w:id="24"/>
      <w:r>
        <w:rPr>
          <w:rFonts w:hint="eastAsia" w:ascii="Times New Roman" w:hAnsi="Times New Roman" w:cs="Times New Roman"/>
          <w:lang w:val="en-US" w:eastAsia="zh-CN"/>
        </w:rPr>
        <w:t>、清华广州研究院、北京工业大学等。</w:t>
      </w:r>
    </w:p>
    <w:p>
      <w:pPr>
        <w:pStyle w:val="23"/>
        <w:keepNext w:val="0"/>
        <w:keepLines w:val="0"/>
        <w:pageBreakBefore w:val="0"/>
        <w:kinsoku/>
        <w:wordWrap/>
        <w:overflowPunct/>
        <w:topLinePunct w:val="0"/>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本文件主要起草人：</w:t>
      </w:r>
      <w:r>
        <w:rPr>
          <w:rFonts w:hint="eastAsia" w:ascii="Times New Roman" w:cs="Times New Roman"/>
          <w:sz w:val="21"/>
          <w:szCs w:val="21"/>
          <w:highlight w:val="none"/>
          <w:lang w:val="en-US" w:eastAsia="zh-CN"/>
        </w:rPr>
        <w:t>XXX、XXX</w:t>
      </w:r>
      <w:r>
        <w:rPr>
          <w:rFonts w:hint="eastAsia" w:ascii="Times New Roman" w:cs="Times New Roman"/>
          <w:sz w:val="21"/>
          <w:szCs w:val="21"/>
          <w:highlight w:val="none"/>
          <w:lang w:eastAsia="zh-CN"/>
        </w:rPr>
        <w: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本文件及其所代替文件的历次版本发布情况为：</w:t>
      </w:r>
    </w:p>
    <w:p>
      <w:pPr>
        <w:keepNext w:val="0"/>
        <w:keepLines w:val="0"/>
        <w:pageBreakBefore w:val="0"/>
        <w:kinsoku/>
        <w:wordWrap/>
        <w:overflowPunct/>
        <w:topLinePunct w:val="0"/>
        <w:bidi w:val="0"/>
        <w:adjustRightInd/>
        <w:snapToGrid/>
        <w:spacing w:line="240" w:lineRule="auto"/>
        <w:ind w:firstLine="420"/>
        <w:textAlignment w:val="auto"/>
        <w:rPr>
          <w:rFonts w:hint="default" w:ascii="Times New Roman" w:hAnsi="Times New Roman" w:cs="Times New Roman"/>
          <w:szCs w:val="21"/>
        </w:rPr>
      </w:pPr>
      <w:r>
        <w:rPr>
          <w:rFonts w:hint="default" w:ascii="Times New Roman" w:hAnsi="Times New Roman" w:cs="Times New Roman"/>
          <w:szCs w:val="21"/>
        </w:rPr>
        <w:t>——2013年首次发布为YS</w:t>
      </w:r>
      <w:r>
        <w:rPr>
          <w:rFonts w:hint="eastAsia" w:cs="Times New Roman"/>
          <w:szCs w:val="21"/>
          <w:lang w:val="en-US" w:eastAsia="zh-CN"/>
        </w:rPr>
        <w:t>/</w:t>
      </w:r>
      <w:r>
        <w:rPr>
          <w:rFonts w:hint="default" w:ascii="Times New Roman" w:hAnsi="Times New Roman" w:cs="Times New Roman"/>
          <w:szCs w:val="21"/>
        </w:rPr>
        <w:t>T 890</w:t>
      </w:r>
      <w:r>
        <w:rPr>
          <w:rFonts w:hint="eastAsia" w:cs="Times New Roman"/>
          <w:szCs w:val="21"/>
          <w:lang w:val="en-US" w:eastAsia="zh-CN"/>
        </w:rPr>
        <w:t>-</w:t>
      </w:r>
      <w:r>
        <w:rPr>
          <w:rFonts w:hint="default" w:ascii="Times New Roman" w:hAnsi="Times New Roman" w:cs="Times New Roman"/>
          <w:szCs w:val="21"/>
        </w:rPr>
        <w:t>2013；</w:t>
      </w:r>
    </w:p>
    <w:p>
      <w:pPr>
        <w:pStyle w:val="23"/>
        <w:keepNext w:val="0"/>
        <w:keepLines w:val="0"/>
        <w:pageBreakBefore w:val="0"/>
        <w:kinsoku/>
        <w:wordWrap/>
        <w:overflowPunct/>
        <w:topLinePunct w:val="0"/>
        <w:bidi w:val="0"/>
        <w:adjustRightInd/>
        <w:snapToGrid/>
        <w:spacing w:line="240" w:lineRule="auto"/>
        <w:textAlignment w:val="auto"/>
        <w:rPr>
          <w:rFonts w:ascii="Times New Roman"/>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default" w:ascii="Times New Roman" w:hAnsi="Times New Roman" w:cs="Times New Roman"/>
          <w:szCs w:val="21"/>
        </w:rPr>
        <w:t>——</w:t>
      </w:r>
      <w:r>
        <w:rPr>
          <w:rFonts w:hint="eastAsia"/>
          <w:szCs w:val="21"/>
        </w:rPr>
        <w:t>本次为第一次修订。</w:t>
      </w:r>
    </w:p>
    <w:p>
      <w:pPr>
        <w:pStyle w:val="49"/>
      </w:pPr>
      <w:sdt>
        <w:sdtPr>
          <w:alias w:val="标准名称"/>
          <w:tag w:val="标准名称"/>
          <w:id w:val="1795105741"/>
          <w:lock w:val="sdtLocked"/>
          <w:placeholder>
            <w:docPart w:val="111"/>
          </w:placeholder>
          <w:text w:multiLine="1"/>
        </w:sdtPr>
        <w:sdtContent>
          <w:r>
            <w:rPr>
              <w:rFonts w:hint="eastAsia"/>
            </w:rPr>
            <w:t>粉末冶金用再生钴粉</w:t>
          </w:r>
        </w:sdtContent>
      </w:sdt>
      <w:bookmarkStart w:id="21" w:name="StandardName"/>
      <w:bookmarkEnd w:id="21"/>
    </w:p>
    <w:p>
      <w:pPr>
        <w:pStyle w:val="44"/>
        <w:bidi w:val="0"/>
      </w:pPr>
      <w:r>
        <w:rPr>
          <w:rFonts w:hint="eastAsia"/>
        </w:rPr>
        <w:t>范围</w:t>
      </w:r>
    </w:p>
    <w:p>
      <w:pPr>
        <w:spacing w:before="50"/>
        <w:ind w:firstLine="420" w:firstLineChars="200"/>
        <w:rPr>
          <w:rFonts w:hint="default" w:ascii="Times New Roman" w:hAnsi="Times New Roman" w:cs="Times New Roman"/>
        </w:rPr>
      </w:pPr>
      <w:r>
        <w:rPr>
          <w:rFonts w:hint="eastAsia"/>
        </w:rPr>
        <w:t>本文件规定了粉末冶金用再生钴粉</w:t>
      </w:r>
      <w:r>
        <w:rPr>
          <w:rFonts w:hint="default" w:ascii="Times New Roman" w:hAnsi="Times New Roman" w:cs="Times New Roman"/>
        </w:rPr>
        <w:t>的</w:t>
      </w:r>
      <w:r>
        <w:rPr>
          <w:rFonts w:hint="eastAsia" w:cs="Times New Roman"/>
          <w:lang w:val="en-US" w:eastAsia="zh-CN"/>
        </w:rPr>
        <w:t>分类、技术</w:t>
      </w:r>
      <w:r>
        <w:rPr>
          <w:rFonts w:hint="default" w:ascii="Times New Roman" w:hAnsi="Times New Roman" w:cs="Times New Roman"/>
        </w:rPr>
        <w:t>要求、试验方法、检验规则、标志、包装、运输、贮存</w:t>
      </w:r>
      <w:r>
        <w:rPr>
          <w:rFonts w:hint="eastAsia" w:cs="Times New Roman"/>
          <w:lang w:val="en-US" w:eastAsia="zh-CN"/>
        </w:rPr>
        <w:t>及随行文件和</w:t>
      </w:r>
      <w:r>
        <w:rPr>
          <w:rFonts w:hint="default" w:ascii="Times New Roman" w:hAnsi="Times New Roman" w:cs="Times New Roman"/>
        </w:rPr>
        <w:t>订货单内容。</w:t>
      </w:r>
    </w:p>
    <w:p>
      <w:pPr>
        <w:spacing w:before="50"/>
        <w:ind w:firstLine="420" w:firstLineChars="200"/>
      </w:pPr>
      <w:r>
        <w:rPr>
          <w:rFonts w:hint="eastAsia"/>
        </w:rPr>
        <w:t>本文件适用于</w:t>
      </w:r>
      <w:r>
        <w:rPr>
          <w:rFonts w:hint="eastAsia"/>
          <w:highlight w:val="none"/>
        </w:rPr>
        <w:t>含钴废料</w:t>
      </w:r>
      <w:r>
        <w:rPr>
          <w:rFonts w:hint="eastAsia"/>
        </w:rPr>
        <w:t>回收的再生钴粉，供粉末冶金领域使用。</w:t>
      </w:r>
    </w:p>
    <w:p>
      <w:pPr>
        <w:pStyle w:val="44"/>
        <w:bidi w:val="0"/>
      </w:pPr>
      <w:r>
        <w:rPr>
          <w:rFonts w:hint="eastAsia"/>
        </w:rPr>
        <w:t>规范性引用文件</w:t>
      </w:r>
    </w:p>
    <w:p>
      <w:pPr>
        <w:pStyle w:val="23"/>
      </w:pPr>
      <w:r>
        <w:rPr>
          <w:rFonts w:hint="eastAsia" w:ascii="Times New Roman"/>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pPr>
        <w:spacing w:before="50"/>
        <w:ind w:left="1995" w:leftChars="200" w:hanging="1575" w:hangingChars="750"/>
        <w:rPr>
          <w:rFonts w:hint="default" w:ascii="Times New Roman" w:hAnsi="Times New Roman" w:cs="Times New Roman"/>
          <w:highlight w:val="none"/>
        </w:rPr>
      </w:pPr>
      <w:bookmarkStart w:id="22" w:name="_Toc139774531"/>
      <w:bookmarkStart w:id="23" w:name="_Toc139774782"/>
      <w:r>
        <w:rPr>
          <w:rFonts w:hint="default" w:ascii="Times New Roman" w:hAnsi="Times New Roman" w:cs="Times New Roman"/>
          <w:highlight w:val="none"/>
        </w:rPr>
        <w:t>GB/T 1479.1</w:t>
      </w:r>
      <w:r>
        <w:rPr>
          <w:rFonts w:hint="eastAsia" w:cs="Times New Roman"/>
          <w:highlight w:val="none"/>
          <w:lang w:val="en-US" w:eastAsia="zh-CN"/>
        </w:rPr>
        <w:t xml:space="preserve">  </w:t>
      </w:r>
      <w:r>
        <w:rPr>
          <w:rFonts w:hint="default" w:ascii="Times New Roman" w:hAnsi="Times New Roman" w:cs="Times New Roman"/>
          <w:highlight w:val="none"/>
        </w:rPr>
        <w:t>金属粉末 松装密度的测定 第1部分：漏斗法</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3249</w:t>
      </w:r>
      <w:r>
        <w:rPr>
          <w:rFonts w:hint="eastAsia" w:cs="Times New Roman"/>
          <w:highlight w:val="none"/>
          <w:lang w:val="en-US" w:eastAsia="zh-CN"/>
        </w:rPr>
        <w:t xml:space="preserve">  </w:t>
      </w:r>
      <w:r>
        <w:rPr>
          <w:rFonts w:hint="default" w:ascii="Times New Roman" w:hAnsi="Times New Roman" w:cs="Times New Roman"/>
          <w:highlight w:val="none"/>
        </w:rPr>
        <w:t>金属及其化合物粉末费氏粒度的测定方法</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5314</w:t>
      </w:r>
      <w:r>
        <w:rPr>
          <w:rFonts w:hint="eastAsia" w:cs="Times New Roman"/>
          <w:highlight w:val="none"/>
          <w:lang w:val="en-US" w:eastAsia="zh-CN"/>
        </w:rPr>
        <w:t xml:space="preserve">  </w:t>
      </w:r>
      <w:r>
        <w:rPr>
          <w:rFonts w:hint="default" w:ascii="Times New Roman" w:hAnsi="Times New Roman" w:cs="Times New Roman"/>
          <w:highlight w:val="none"/>
        </w:rPr>
        <w:t>粉末冶金用粉末 取样方法</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15076.5</w:t>
      </w:r>
      <w:r>
        <w:rPr>
          <w:rFonts w:hint="eastAsia" w:cs="Times New Roman"/>
          <w:highlight w:val="none"/>
          <w:lang w:val="en-US" w:eastAsia="zh-CN"/>
        </w:rPr>
        <w:t xml:space="preserve">  </w:t>
      </w:r>
      <w:r>
        <w:rPr>
          <w:rFonts w:hint="default" w:ascii="Times New Roman" w:hAnsi="Times New Roman" w:cs="Times New Roman"/>
          <w:highlight w:val="none"/>
        </w:rPr>
        <w:t>钽铌化学分析方法 钼量和钨量的测定</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 xml:space="preserve">GB/T 15076.9 </w:t>
      </w:r>
      <w:r>
        <w:rPr>
          <w:rFonts w:hint="eastAsia" w:cs="Times New Roman"/>
          <w:highlight w:val="none"/>
          <w:lang w:val="en-US" w:eastAsia="zh-CN"/>
        </w:rPr>
        <w:t xml:space="preserve"> </w:t>
      </w:r>
      <w:r>
        <w:rPr>
          <w:rFonts w:hint="default" w:ascii="Times New Roman" w:hAnsi="Times New Roman" w:cs="Times New Roman"/>
          <w:highlight w:val="none"/>
        </w:rPr>
        <w:t>钽铌化学分析方法 钽中铁、铬、镍、锰、钛、铝、铜、锡、铅和锆量的测定</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 xml:space="preserve">GB/T 19077.1 </w:t>
      </w:r>
      <w:r>
        <w:rPr>
          <w:rFonts w:hint="eastAsia" w:cs="Times New Roman"/>
          <w:highlight w:val="none"/>
          <w:lang w:val="en-US" w:eastAsia="zh-CN"/>
        </w:rPr>
        <w:t xml:space="preserve"> </w:t>
      </w:r>
      <w:r>
        <w:rPr>
          <w:rFonts w:hint="default" w:ascii="Times New Roman" w:hAnsi="Times New Roman" w:cs="Times New Roman"/>
          <w:highlight w:val="none"/>
        </w:rPr>
        <w:t>粒度分析 激光衍射法 第1部分：通则</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YS/T 281</w:t>
      </w:r>
      <w:r>
        <w:rPr>
          <w:rFonts w:hint="eastAsia" w:cs="Times New Roman"/>
          <w:highlight w:val="none"/>
          <w:lang w:val="en-US" w:eastAsia="zh-CN"/>
        </w:rPr>
        <w:t xml:space="preserve">  </w:t>
      </w:r>
      <w:r>
        <w:rPr>
          <w:rFonts w:hint="eastAsia" w:ascii="宋体" w:hAnsi="宋体" w:eastAsia="宋体" w:cs="宋体"/>
          <w:highlight w:val="none"/>
        </w:rPr>
        <w:t xml:space="preserve">(所有部分) </w:t>
      </w:r>
      <w:r>
        <w:rPr>
          <w:rFonts w:hint="default" w:ascii="Times New Roman" w:hAnsi="Times New Roman" w:cs="Times New Roman"/>
          <w:highlight w:val="none"/>
        </w:rPr>
        <w:t>钴化学分析方法</w:t>
      </w:r>
    </w:p>
    <w:p>
      <w:pPr>
        <w:pStyle w:val="44"/>
        <w:spacing w:before="312" w:after="312"/>
      </w:pPr>
      <w:r>
        <w:rPr>
          <w:rFonts w:hint="eastAsia" w:hAnsi="宋体"/>
          <w:bCs/>
        </w:rPr>
        <w:t>术语和定义</w:t>
      </w:r>
    </w:p>
    <w:p>
      <w:pPr>
        <w:pStyle w:val="23"/>
        <w:rPr>
          <w:rFonts w:hint="eastAsia" w:eastAsia="宋体"/>
          <w:lang w:eastAsia="zh-CN"/>
        </w:rPr>
      </w:pPr>
      <w:r>
        <w:rPr>
          <w:rFonts w:hint="eastAsia"/>
        </w:rPr>
        <w:t>本文件没有需要界定的术语和定义</w:t>
      </w:r>
      <w:r>
        <w:rPr>
          <w:rFonts w:hint="eastAsia"/>
          <w:lang w:eastAsia="zh-CN"/>
        </w:rPr>
        <w:t>。</w:t>
      </w:r>
    </w:p>
    <w:bookmarkEnd w:id="22"/>
    <w:bookmarkEnd w:id="23"/>
    <w:p>
      <w:pPr>
        <w:pStyle w:val="44"/>
        <w:spacing w:before="312" w:after="312"/>
      </w:pPr>
      <w:r>
        <w:rPr>
          <w:rFonts w:hint="eastAsia" w:hAnsi="黑体"/>
        </w:rPr>
        <w:t>分类</w:t>
      </w:r>
    </w:p>
    <w:p>
      <w:pPr>
        <w:pStyle w:val="41"/>
        <w:spacing w:before="156" w:after="156"/>
        <w:rPr>
          <w:rFonts w:hint="eastAsia" w:hAnsi="黑体"/>
        </w:rPr>
      </w:pPr>
      <w:r>
        <w:rPr>
          <w:rFonts w:hint="eastAsia" w:hAnsi="黑体"/>
        </w:rPr>
        <w:t>产品牌号</w:t>
      </w:r>
      <w:r>
        <w:rPr>
          <w:rFonts w:hint="eastAsia" w:hAnsi="黑体"/>
          <w:lang w:val="en-US" w:eastAsia="zh-CN"/>
        </w:rPr>
        <w:t>与类别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rPr>
      </w:pPr>
      <w:r>
        <w:rPr>
          <w:rFonts w:hint="default" w:ascii="Times New Roman" w:hAnsi="Times New Roman" w:cs="Times New Roman"/>
          <w:szCs w:val="22"/>
        </w:rPr>
        <w:t>产品</w:t>
      </w:r>
      <w:r>
        <w:rPr>
          <w:rFonts w:hint="eastAsia" w:cs="Times New Roman"/>
          <w:szCs w:val="22"/>
          <w:lang w:val="en-US" w:eastAsia="zh-CN"/>
        </w:rPr>
        <w:t>按化学成分分为</w:t>
      </w:r>
      <w:r>
        <w:rPr>
          <w:rFonts w:hint="default" w:ascii="Times New Roman" w:hAnsi="Times New Roman" w:cs="Times New Roman"/>
        </w:rPr>
        <w:t>FCoR-1</w:t>
      </w:r>
      <w:r>
        <w:rPr>
          <w:rFonts w:hint="eastAsia" w:cs="Times New Roman"/>
          <w:lang w:eastAsia="zh-CN"/>
        </w:rPr>
        <w:t>、</w:t>
      </w:r>
      <w:r>
        <w:rPr>
          <w:rFonts w:hint="default" w:ascii="Times New Roman" w:hAnsi="Times New Roman" w:cs="Times New Roman"/>
        </w:rPr>
        <w:t>FCoR-</w:t>
      </w:r>
      <w:r>
        <w:rPr>
          <w:rFonts w:hint="eastAsia" w:cs="Times New Roman"/>
          <w:lang w:val="en-US" w:eastAsia="zh-CN"/>
        </w:rPr>
        <w:t>2</w:t>
      </w:r>
      <w:r>
        <w:rPr>
          <w:rFonts w:hint="eastAsia" w:cs="Times New Roman"/>
          <w:szCs w:val="22"/>
          <w:lang w:val="en-US" w:eastAsia="zh-CN"/>
        </w:rPr>
        <w:t>两个</w:t>
      </w:r>
      <w:r>
        <w:rPr>
          <w:rFonts w:hint="default" w:ascii="Times New Roman" w:hAnsi="Times New Roman" w:cs="Times New Roman"/>
          <w:szCs w:val="20"/>
        </w:rPr>
        <w:t>牌号</w:t>
      </w:r>
      <w:r>
        <w:rPr>
          <w:rFonts w:hint="eastAsia" w:cs="Times New Roman"/>
          <w:szCs w:val="20"/>
          <w:lang w:eastAsia="zh-CN"/>
        </w:rPr>
        <w:t>，</w:t>
      </w:r>
      <w:r>
        <w:rPr>
          <w:rFonts w:hint="eastAsia" w:cs="Times New Roman"/>
          <w:szCs w:val="20"/>
          <w:lang w:val="en-US" w:eastAsia="zh-CN"/>
        </w:rPr>
        <w:t>按</w:t>
      </w:r>
      <w:r>
        <w:rPr>
          <w:rFonts w:hint="eastAsia"/>
        </w:rPr>
        <w:t>费氏粒度、松装密度、中位径、氧含量</w:t>
      </w:r>
      <w:r>
        <w:rPr>
          <w:rFonts w:hint="eastAsia"/>
          <w:lang w:val="en-US" w:eastAsia="zh-CN"/>
        </w:rPr>
        <w:t>的要求</w:t>
      </w:r>
      <w:r>
        <w:rPr>
          <w:rFonts w:hint="default" w:ascii="Times New Roman" w:hAnsi="Times New Roman" w:cs="Times New Roman"/>
        </w:rPr>
        <w:t>分为a、b</w:t>
      </w:r>
      <w:r>
        <w:rPr>
          <w:rFonts w:hint="eastAsia" w:cs="Times New Roman"/>
          <w:lang w:eastAsia="zh-CN"/>
        </w:rPr>
        <w:t>、</w:t>
      </w:r>
      <w:r>
        <w:rPr>
          <w:rFonts w:hint="eastAsia" w:cs="Times New Roman"/>
          <w:lang w:val="en-US" w:eastAsia="zh-CN"/>
        </w:rPr>
        <w:t>c、d、e、f、g七个类别</w:t>
      </w:r>
      <w:r>
        <w:rPr>
          <w:rFonts w:hint="default" w:ascii="Times New Roman" w:hAnsi="Times New Roman" w:cs="Times New Roman"/>
        </w:rPr>
        <w:t>。</w:t>
      </w:r>
    </w:p>
    <w:p>
      <w:pPr>
        <w:pStyle w:val="41"/>
        <w:spacing w:before="156" w:after="156"/>
        <w:rPr>
          <w:rFonts w:hint="eastAsia" w:hAnsi="黑体"/>
        </w:rPr>
      </w:pPr>
      <w:r>
        <w:rPr>
          <w:rFonts w:hint="eastAsia" w:hAnsi="黑体"/>
        </w:rPr>
        <w:t>产品命名规则</w:t>
      </w:r>
    </w:p>
    <w:p>
      <w:pPr>
        <w:spacing w:line="400" w:lineRule="exact"/>
        <w:ind w:firstLine="420"/>
        <w:rPr>
          <w:rFonts w:ascii="宋体"/>
        </w:rPr>
      </w:pPr>
      <w:r>
        <w:rPr>
          <w:rFonts w:hint="eastAsia" w:ascii="宋体"/>
        </w:rPr>
        <w:t>产品牌号的命名规则如图1所示：</w:t>
      </w:r>
    </w:p>
    <w:p>
      <w:pPr>
        <w:pStyle w:val="23"/>
      </w:pPr>
    </w:p>
    <w:p>
      <w:pPr>
        <w:pageBreakBefore w:val="0"/>
        <w:kinsoku/>
        <w:wordWrap/>
        <w:overflowPunct/>
        <w:topLinePunct w:val="0"/>
        <w:autoSpaceDE/>
        <w:bidi w:val="0"/>
        <w:adjustRightInd/>
        <w:snapToGrid/>
        <w:spacing w:line="360" w:lineRule="auto"/>
        <w:jc w:val="left"/>
        <w:rPr>
          <w:rFonts w:hint="default" w:ascii="Times New Roman" w:hAnsi="Times New Roman" w:eastAsia="宋体" w:cs="Times New Roman"/>
          <w:sz w:val="24"/>
          <w:lang w:val="en-US" w:eastAsia="zh-CN"/>
        </w:rPr>
      </w:pPr>
      <w:r>
        <w:rPr>
          <w:rFonts w:hint="default" w:ascii="Times New Roman" w:hAnsi="Times New Roman" w:eastAsia="宋体" w:cs="Times New Roman"/>
        </w:rPr>
        <mc:AlternateContent>
          <mc:Choice Requires="wpc">
            <w:drawing>
              <wp:inline distT="0" distB="0" distL="114300" distR="114300">
                <wp:extent cx="5534025" cy="2009140"/>
                <wp:effectExtent l="0" t="0" r="28575" b="10160"/>
                <wp:docPr id="25" name="画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文本框 64"/>
                        <wps:cNvSpPr txBox="1">
                          <a:spLocks noChangeArrowheads="1"/>
                        </wps:cNvSpPr>
                        <wps:spPr bwMode="auto">
                          <a:xfrm>
                            <a:off x="335280" y="62865"/>
                            <a:ext cx="2149475" cy="298452"/>
                          </a:xfrm>
                          <a:prstGeom prst="rect">
                            <a:avLst/>
                          </a:prstGeom>
                          <a:solidFill>
                            <a:srgbClr val="FFFFFF"/>
                          </a:solidFill>
                          <a:ln w="9525">
                            <a:solidFill>
                              <a:srgbClr val="FFFFFF"/>
                            </a:solidFill>
                            <a:miter lim="800000"/>
                          </a:ln>
                          <a:effectLst/>
                        </wps:spPr>
                        <wps:txbx>
                          <w:txbxContent>
                            <w:p>
                              <w:pPr>
                                <w:pStyle w:val="30"/>
                                <w:spacing w:before="0" w:beforeAutospacing="0" w:after="0" w:afterAutospacing="0"/>
                                <w:jc w:val="center"/>
                                <w:rPr>
                                  <w:rFonts w:hint="default" w:eastAsia="宋体"/>
                                  <w:sz w:val="32"/>
                                  <w:lang w:val="en-US" w:eastAsia="zh-CN"/>
                                </w:rPr>
                              </w:pPr>
                              <w:r>
                                <w:rPr>
                                  <w:rFonts w:hint="eastAsia" w:ascii="Times New Roman" w:hAnsi="Times New Roman" w:cs="Times New Roman"/>
                                  <w:kern w:val="2"/>
                                  <w:sz w:val="21"/>
                                  <w:szCs w:val="21"/>
                                  <w:u w:val="single"/>
                                  <w:lang w:val="en-US" w:eastAsia="zh-CN"/>
                                </w:rPr>
                                <w:t>F</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Co</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lang w:val="en-US" w:eastAsia="zh-CN"/>
                                </w:rPr>
                                <w:t>R</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lang w:val="en-US" w:eastAsia="zh-CN"/>
                                </w:rPr>
                                <w:t>X</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rPr>
                                <w:t>a/b</w:t>
                              </w:r>
                              <w:r>
                                <w:rPr>
                                  <w:rFonts w:hint="eastAsia" w:ascii="Times New Roman" w:hAnsi="Times New Roman" w:cs="Times New Roman"/>
                                  <w:kern w:val="2"/>
                                  <w:sz w:val="21"/>
                                  <w:szCs w:val="21"/>
                                  <w:u w:val="single"/>
                                  <w:lang w:val="en-US" w:eastAsia="zh-CN"/>
                                </w:rPr>
                                <w:t>/c/d</w:t>
                              </w:r>
                            </w:p>
                          </w:txbxContent>
                        </wps:txbx>
                        <wps:bodyPr rot="0" vert="horz" wrap="square" lIns="91440" tIns="45720" rIns="91440" bIns="45720" anchor="t" anchorCtr="0">
                          <a:spAutoFit/>
                        </wps:bodyPr>
                      </wps:wsp>
                      <wps:wsp>
                        <wps:cNvPr id="20" name="肘形连接符 20"/>
                        <wps:cNvCnPr/>
                        <wps:spPr>
                          <a:xfrm>
                            <a:off x="2122170" y="282575"/>
                            <a:ext cx="813435" cy="250826"/>
                          </a:xfrm>
                          <a:prstGeom prst="bentConnector3">
                            <a:avLst>
                              <a:gd name="adj1" fmla="val 79"/>
                            </a:avLst>
                          </a:prstGeom>
                          <a:ln w="9525" cap="flat" cmpd="sng">
                            <a:solidFill>
                              <a:srgbClr val="000000"/>
                            </a:solidFill>
                            <a:prstDash val="solid"/>
                            <a:round/>
                            <a:headEnd type="none" w="med" len="med"/>
                            <a:tailEnd type="none" w="med" len="med"/>
                          </a:ln>
                        </wps:spPr>
                        <wps:bodyPr/>
                      </wps:wsp>
                      <wps:wsp>
                        <wps:cNvPr id="21" name="肘形连接符 21"/>
                        <wps:cNvCnPr/>
                        <wps:spPr>
                          <a:xfrm>
                            <a:off x="1587500" y="278765"/>
                            <a:ext cx="1369695" cy="588010"/>
                          </a:xfrm>
                          <a:prstGeom prst="bentConnector3">
                            <a:avLst>
                              <a:gd name="adj1" fmla="val -227"/>
                            </a:avLst>
                          </a:prstGeom>
                          <a:ln w="9525" cap="flat" cmpd="sng">
                            <a:solidFill>
                              <a:srgbClr val="000000"/>
                            </a:solidFill>
                            <a:prstDash val="solid"/>
                            <a:round/>
                            <a:headEnd type="none" w="med" len="med"/>
                            <a:tailEnd type="none" w="med" len="med"/>
                          </a:ln>
                        </wps:spPr>
                        <wps:bodyPr/>
                      </wps:wsp>
                      <wps:wsp>
                        <wps:cNvPr id="22" name="肘形连接符 22"/>
                        <wps:cNvCnPr/>
                        <wps:spPr>
                          <a:xfrm>
                            <a:off x="1189990" y="278765"/>
                            <a:ext cx="1764030" cy="906780"/>
                          </a:xfrm>
                          <a:prstGeom prst="bentConnector3">
                            <a:avLst>
                              <a:gd name="adj1" fmla="val 181"/>
                            </a:avLst>
                          </a:prstGeom>
                          <a:ln w="9525" cap="flat" cmpd="sng">
                            <a:solidFill>
                              <a:srgbClr val="000000"/>
                            </a:solidFill>
                            <a:prstDash val="solid"/>
                            <a:round/>
                            <a:headEnd type="none" w="med" len="med"/>
                            <a:tailEnd type="none" w="med" len="med"/>
                          </a:ln>
                        </wps:spPr>
                        <wps:bodyPr/>
                      </wps:wsp>
                      <wps:wsp>
                        <wps:cNvPr id="23" name="肘形连接符 23"/>
                        <wps:cNvCnPr/>
                        <wps:spPr>
                          <a:xfrm>
                            <a:off x="873125" y="280035"/>
                            <a:ext cx="2059940" cy="1250315"/>
                          </a:xfrm>
                          <a:prstGeom prst="bentConnector3">
                            <a:avLst>
                              <a:gd name="adj1" fmla="val 278"/>
                            </a:avLst>
                          </a:prstGeom>
                          <a:ln w="9525" cap="flat" cmpd="sng">
                            <a:solidFill>
                              <a:srgbClr val="000000"/>
                            </a:solidFill>
                            <a:prstDash val="solid"/>
                            <a:round/>
                            <a:headEnd type="none" w="med" len="med"/>
                            <a:tailEnd type="none" w="med" len="med"/>
                          </a:ln>
                        </wps:spPr>
                        <wps:bodyPr/>
                      </wps:wsp>
                      <wps:wsp>
                        <wps:cNvPr id="24" name="肘形连接符 24"/>
                        <wps:cNvCnPr/>
                        <wps:spPr>
                          <a:xfrm>
                            <a:off x="541020" y="278765"/>
                            <a:ext cx="2392045" cy="1575435"/>
                          </a:xfrm>
                          <a:prstGeom prst="bentConnector3">
                            <a:avLst>
                              <a:gd name="adj1" fmla="val 28"/>
                            </a:avLst>
                          </a:prstGeom>
                          <a:ln w="9525" cap="flat" cmpd="sng">
                            <a:solidFill>
                              <a:srgbClr val="000000"/>
                            </a:solidFill>
                            <a:prstDash val="solid"/>
                            <a:round/>
                            <a:headEnd type="none" w="med" len="med"/>
                            <a:tailEnd type="none" w="med" len="med"/>
                          </a:ln>
                        </wps:spPr>
                        <wps:bodyPr/>
                      </wps:wsp>
                      <wps:wsp>
                        <wps:cNvPr id="70" name="文本框 70"/>
                        <wps:cNvSpPr txBox="1">
                          <a:spLocks noChangeArrowheads="1"/>
                        </wps:cNvSpPr>
                        <wps:spPr bwMode="auto">
                          <a:xfrm>
                            <a:off x="3007360" y="349887"/>
                            <a:ext cx="2356485" cy="299087"/>
                          </a:xfrm>
                          <a:prstGeom prst="rect">
                            <a:avLst/>
                          </a:prstGeom>
                          <a:solidFill>
                            <a:srgbClr val="FFFFFF"/>
                          </a:solidFill>
                          <a:ln w="9525">
                            <a:solidFill>
                              <a:srgbClr val="FFFFFF"/>
                            </a:solidFill>
                            <a:miter lim="800000"/>
                          </a:ln>
                          <a:effectLst/>
                        </wps:spPr>
                        <wps:txbx>
                          <w:txbxContent>
                            <w:p>
                              <w:pPr>
                                <w:numPr>
                                  <w:ilvl w:val="0"/>
                                  <w:numId w:val="0"/>
                                </w:numPr>
                                <w:rPr>
                                  <w:rFonts w:hint="eastAsia" w:eastAsia="宋体"/>
                                  <w:lang w:val="en-US" w:eastAsia="zh-CN"/>
                                </w:rPr>
                              </w:pPr>
                              <w:r>
                                <w:rPr>
                                  <w:rFonts w:hint="eastAsia" w:ascii="Times New Roman" w:hAnsi="Times New Roman" w:eastAsia="宋体" w:cs="Times New Roman"/>
                                  <w:color w:val="000000"/>
                                  <w:kern w:val="0"/>
                                  <w:sz w:val="21"/>
                                  <w:szCs w:val="21"/>
                                  <w:lang w:val="en-US" w:eastAsia="zh-CN"/>
                                </w:rPr>
                                <w:t>a</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b</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c</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d</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e</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f</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g</w:t>
                              </w:r>
                              <w:r>
                                <w:rPr>
                                  <w:rFonts w:hint="eastAsia"/>
                                  <w:sz w:val="21"/>
                                  <w:szCs w:val="21"/>
                                </w:rPr>
                                <w:t>代</w:t>
                              </w:r>
                              <w:r>
                                <w:rPr>
                                  <w:rFonts w:hint="eastAsia"/>
                                  <w:szCs w:val="21"/>
                                </w:rPr>
                                <w:t>表产品</w:t>
                              </w:r>
                              <w:r>
                                <w:rPr>
                                  <w:rFonts w:hint="eastAsia"/>
                                  <w:szCs w:val="21"/>
                                  <w:lang w:val="en-US" w:eastAsia="zh-CN"/>
                                </w:rPr>
                                <w:t>类别</w:t>
                              </w:r>
                            </w:p>
                          </w:txbxContent>
                        </wps:txbx>
                        <wps:bodyPr rot="0" vert="horz" wrap="square" lIns="91440" tIns="45720" rIns="91440" bIns="45720" anchor="t" anchorCtr="0">
                          <a:spAutoFit/>
                        </wps:bodyPr>
                      </wps:wsp>
                      <wps:wsp>
                        <wps:cNvPr id="71" name="文本框 71"/>
                        <wps:cNvSpPr txBox="1">
                          <a:spLocks noChangeArrowheads="1"/>
                        </wps:cNvSpPr>
                        <wps:spPr bwMode="auto">
                          <a:xfrm>
                            <a:off x="2967990" y="702315"/>
                            <a:ext cx="2575560" cy="709935"/>
                          </a:xfrm>
                          <a:prstGeom prst="rect">
                            <a:avLst/>
                          </a:prstGeom>
                          <a:solidFill>
                            <a:srgbClr val="FFFFFF"/>
                          </a:solidFill>
                          <a:ln w="9525">
                            <a:solidFill>
                              <a:srgbClr val="FFFFFF"/>
                            </a:solidFill>
                            <a:miter lim="800000"/>
                          </a:ln>
                          <a:effectLst/>
                        </wps:spPr>
                        <wps:txbx>
                          <w:txbxContent>
                            <w:p>
                              <w:pPr>
                                <w:pStyle w:val="30"/>
                                <w:spacing w:before="0" w:beforeAutospacing="0" w:after="0" w:afterAutospacing="0"/>
                                <w:jc w:val="both"/>
                                <w:rPr>
                                  <w:rFonts w:hint="eastAsia" w:ascii="Times New Roman" w:hAnsi="Times New Roman"/>
                                  <w:kern w:val="2"/>
                                  <w:sz w:val="21"/>
                                  <w:szCs w:val="21"/>
                                  <w:lang w:val="en-US" w:eastAsia="zh-CN"/>
                                </w:rPr>
                              </w:pPr>
                              <w:r>
                                <w:rPr>
                                  <w:rFonts w:hint="eastAsia" w:ascii="Times New Roman" w:hAnsi="Times New Roman"/>
                                  <w:kern w:val="2"/>
                                  <w:sz w:val="21"/>
                                  <w:szCs w:val="21"/>
                                </w:rPr>
                                <w:t>X代表产品牌号：0、1、2、3、4、</w:t>
                              </w:r>
                              <w:r>
                                <w:rPr>
                                  <w:rFonts w:hint="eastAsia" w:ascii="Times New Roman" w:hAnsi="Times New Roman"/>
                                  <w:kern w:val="2"/>
                                  <w:sz w:val="21"/>
                                  <w:szCs w:val="21"/>
                                  <w:lang w:val="en-US" w:eastAsia="zh-CN"/>
                                </w:rPr>
                                <w:t>5</w:t>
                              </w:r>
                            </w:p>
                            <w:p>
                              <w:pPr>
                                <w:pStyle w:val="30"/>
                                <w:spacing w:before="0" w:beforeAutospacing="0" w:after="0" w:afterAutospacing="0"/>
                                <w:jc w:val="both"/>
                                <w:rPr>
                                  <w:rFonts w:hint="eastAsia" w:ascii="Times New Roman" w:hAnsi="Times New Roman"/>
                                  <w:kern w:val="2"/>
                                  <w:sz w:val="21"/>
                                  <w:szCs w:val="21"/>
                                  <w:lang w:val="en-US" w:eastAsia="zh-CN"/>
                                </w:rPr>
                              </w:pPr>
                            </w:p>
                            <w:p>
                              <w:pPr>
                                <w:pStyle w:val="30"/>
                                <w:spacing w:before="0" w:beforeAutospacing="0" w:after="0" w:afterAutospacing="0"/>
                                <w:jc w:val="both"/>
                              </w:pPr>
                            </w:p>
                          </w:txbxContent>
                        </wps:txbx>
                        <wps:bodyPr rot="0" vert="horz" wrap="square" lIns="91440" tIns="45720" rIns="91440" bIns="45720" anchor="t" anchorCtr="0">
                          <a:noAutofit/>
                        </wps:bodyPr>
                      </wps:wsp>
                      <wps:wsp>
                        <wps:cNvPr id="72" name="文本框 72"/>
                        <wps:cNvSpPr txBox="1">
                          <a:spLocks noChangeArrowheads="1"/>
                        </wps:cNvSpPr>
                        <wps:spPr bwMode="auto">
                          <a:xfrm>
                            <a:off x="2971877" y="1036707"/>
                            <a:ext cx="1821179" cy="299086"/>
                          </a:xfrm>
                          <a:prstGeom prst="rect">
                            <a:avLst/>
                          </a:prstGeom>
                          <a:solidFill>
                            <a:srgbClr val="FFFFFF"/>
                          </a:solidFill>
                          <a:ln w="9525">
                            <a:solidFill>
                              <a:srgbClr val="FFFFFF"/>
                            </a:solidFill>
                            <a:miter lim="800000"/>
                          </a:ln>
                          <a:effectLst/>
                        </wps:spPr>
                        <wps:txbx>
                          <w:txbxContent>
                            <w:p>
                              <w:pPr>
                                <w:pStyle w:val="30"/>
                                <w:spacing w:before="0" w:beforeAutospacing="0" w:after="0" w:afterAutospacing="0"/>
                                <w:jc w:val="both"/>
                                <w:rPr>
                                  <w:rFonts w:hint="eastAsia" w:eastAsia="宋体"/>
                                  <w:lang w:val="en-US" w:eastAsia="zh-CN"/>
                                </w:rPr>
                              </w:pPr>
                              <w:r>
                                <w:rPr>
                                  <w:rFonts w:hint="eastAsia" w:ascii="Times New Roman" w:hAnsi="Times New Roman"/>
                                  <w:kern w:val="2"/>
                                  <w:sz w:val="21"/>
                                  <w:szCs w:val="21"/>
                                </w:rPr>
                                <w:t>代表</w:t>
                              </w:r>
                              <w:r>
                                <w:rPr>
                                  <w:rFonts w:hint="eastAsia" w:ascii="Times New Roman" w:hAnsi="Times New Roman"/>
                                  <w:kern w:val="2"/>
                                  <w:sz w:val="21"/>
                                  <w:szCs w:val="21"/>
                                  <w:lang w:val="en-US" w:eastAsia="zh-CN"/>
                                </w:rPr>
                                <w:t>再生</w:t>
                              </w:r>
                            </w:p>
                          </w:txbxContent>
                        </wps:txbx>
                        <wps:bodyPr rot="0" vert="horz" wrap="square" lIns="91440" tIns="45720" rIns="91440" bIns="45720" anchor="t" anchorCtr="0">
                          <a:spAutoFit/>
                        </wps:bodyPr>
                      </wps:wsp>
                      <wps:wsp>
                        <wps:cNvPr id="73" name="文本框 73"/>
                        <wps:cNvSpPr txBox="1">
                          <a:spLocks noChangeArrowheads="1"/>
                        </wps:cNvSpPr>
                        <wps:spPr bwMode="auto">
                          <a:xfrm>
                            <a:off x="2969555" y="1372767"/>
                            <a:ext cx="1820545" cy="298452"/>
                          </a:xfrm>
                          <a:prstGeom prst="rect">
                            <a:avLst/>
                          </a:prstGeom>
                          <a:solidFill>
                            <a:srgbClr val="FFFFFF"/>
                          </a:solidFill>
                          <a:ln w="9525">
                            <a:solidFill>
                              <a:srgbClr val="FFFFFF"/>
                            </a:solidFill>
                            <a:miter lim="800000"/>
                          </a:ln>
                          <a:effectLst/>
                        </wps:spPr>
                        <wps:txbx>
                          <w:txbxContent>
                            <w:p>
                              <w:pPr>
                                <w:pStyle w:val="30"/>
                                <w:spacing w:before="0" w:beforeAutospacing="0" w:after="0" w:afterAutospacing="0"/>
                                <w:jc w:val="both"/>
                              </w:pPr>
                              <w:r>
                                <w:rPr>
                                  <w:rFonts w:hint="eastAsia" w:ascii="Times New Roman"/>
                                  <w:kern w:val="2"/>
                                  <w:sz w:val="21"/>
                                  <w:szCs w:val="21"/>
                                </w:rPr>
                                <w:t>代表Co</w:t>
                              </w:r>
                            </w:p>
                          </w:txbxContent>
                        </wps:txbx>
                        <wps:bodyPr rot="0" vert="horz" wrap="square" lIns="91440" tIns="45720" rIns="91440" bIns="45720" anchor="t" anchorCtr="0">
                          <a:spAutoFit/>
                        </wps:bodyPr>
                      </wps:wsp>
                      <wps:wsp>
                        <wps:cNvPr id="74" name="文本框 74"/>
                        <wps:cNvSpPr txBox="1">
                          <a:spLocks noChangeArrowheads="1"/>
                        </wps:cNvSpPr>
                        <wps:spPr bwMode="auto">
                          <a:xfrm>
                            <a:off x="2968491" y="1704973"/>
                            <a:ext cx="1820545" cy="298452"/>
                          </a:xfrm>
                          <a:prstGeom prst="rect">
                            <a:avLst/>
                          </a:prstGeom>
                          <a:solidFill>
                            <a:srgbClr val="FFFFFF"/>
                          </a:solidFill>
                          <a:ln w="9525">
                            <a:solidFill>
                              <a:srgbClr val="FFFFFF"/>
                            </a:solidFill>
                            <a:miter lim="800000"/>
                          </a:ln>
                          <a:effectLst/>
                        </wps:spPr>
                        <wps:txbx>
                          <w:txbxContent>
                            <w:p>
                              <w:pPr>
                                <w:pStyle w:val="30"/>
                                <w:spacing w:before="0" w:beforeAutospacing="0" w:after="0" w:afterAutospacing="0"/>
                                <w:jc w:val="both"/>
                              </w:pPr>
                              <w:r>
                                <w:rPr>
                                  <w:rFonts w:hint="eastAsia" w:ascii="Times New Roman"/>
                                  <w:kern w:val="2"/>
                                  <w:sz w:val="21"/>
                                  <w:szCs w:val="21"/>
                                </w:rPr>
                                <w:t>代表</w:t>
                              </w:r>
                              <w:r>
                                <w:rPr>
                                  <w:rFonts w:hint="eastAsia" w:ascii="Times New Roman" w:hAnsi="Times New Roman"/>
                                  <w:kern w:val="2"/>
                                  <w:sz w:val="21"/>
                                  <w:szCs w:val="21"/>
                                </w:rPr>
                                <w:t>粉末</w:t>
                              </w:r>
                            </w:p>
                          </w:txbxContent>
                        </wps:txbx>
                        <wps:bodyPr rot="0" vert="horz" wrap="square" lIns="91440" tIns="45720" rIns="91440" bIns="45720" anchor="t" anchorCtr="0">
                          <a:spAutoFit/>
                        </wps:bodyPr>
                      </wps:wsp>
                    </wpc:wpc>
                  </a:graphicData>
                </a:graphic>
              </wp:inline>
            </w:drawing>
          </mc:Choice>
          <mc:Fallback>
            <w:pict>
              <v:group id="_x0000_s1026" o:spid="_x0000_s1026" o:spt="203" style="height:158.2pt;width:435.75pt;" coordsize="5534025,2009140" editas="canvas" o:gfxdata="UEsDBAoAAAAAAIdO4kAAAAAAAAAAAAAAAAAEAAAAZHJzL1BLAwQUAAAACACHTuJAiVtCdNgAAAAF&#10;AQAADwAAAGRycy9kb3ducmV2LnhtbE2PT0vDQBDF74LfYRmhF7GbqK0lZtNDQVpEKE3/nKfZMQlm&#10;Z9PsNqnf3q0XvQw83uO936Tzi2lET52rLSuIxxEI4sLqmksFu+3bwwyE88gaG8uk4JsczLPbmxQT&#10;bQfeUJ/7UoQSdgkqqLxvEyldUZFBN7YtcfA+bWfQB9mVUnc4hHLTyMcomkqDNYeFCltaVFR85Wej&#10;YCjW/WH7sZTr+8PK8ml1WuT7d6VGd3H0CsLTxf+F4Yof0CELTEd7Zu1EoyA84n9v8GYv8QTEUcFT&#10;PH0GmaXyP332A1BLAwQUAAAACACHTuJAFpe3dS4FAADXHgAADgAAAGRycy9lMm9Eb2MueG1s7Znd&#10;buQ0FMfvkXgHK/fbiZ0PJ6Omq6XdVkgLrLTwAJ7EmQQSO9hpZ8olSHDHFUJcICSQ4GofAAkhnma7&#10;+xgcO5mZdEZlqqU7XcH0YprYzol9/PP/HDuHD+d1hS640qUUiYMPXAdxkcqsFNPE+eTj0weRg3TL&#10;RMYqKXjiXHLtPDx6953DWTPmRBayyrhCYETo8axJnKJtm/FopNOC10wfyIYLqMylqlkLt2o6yhSb&#10;gfW6GhHXDUczqbJGyZRrDaUnXaXTW1S3MSjzvEz5iUzPay7azqriFWthSLooG+0c2d7mOU/bj/Jc&#10;8xZViQMjbe0vvASuJ+Z3dHTIxlPFmqJM+y6w23RhbUw1KwW8dGnqhLUMnatyw1RdpkpqmbcHqaxH&#10;3UCsR2AU2F3zzZmS540dy3Q8mzZLp8NErXn9tc2mH148VajMEocEDhKshhl/+d0fL37/CkEBeGfW&#10;TMfQ6Ew1z5qnqi+YdndmwPNc1eY/DAXNrV8vl37l8xalUBgEnu8a+ynUAQMx9nvPpwVMz8ZzafF4&#10;y5OjxYtHpn/L7swaYFKvHKX/naOeFazh1v/a+KB3VOgvHHX1/TdXPz6/+vlrBGXWNbadcRRq5+9J&#10;GDq2VOjmiUw/00jI44KJKX+klJwVnGXQQWyehGEsHzU+12NtjExmH8gMZoSdt9IaWvO25wUkApTB&#10;rSGJQjthbLxwO8F+7NOF2+PID4h918J3bNwo3Z5xWSNzkTgKlot9Dbt4olvTrVUTM8daVmV2WlaV&#10;vVHTyXGl0AWDpXVq/3rr15pVAs0SJw5g+l/XRF22oDhVWSdO5Jq//j2VMBa5XeV9fxee63zYzifz&#10;flomMrsEhyrZKQDoH1wUUn3hoBms/sTRn58zxR1UvS9gUoBQQBS19sYPKIEbNayZDGuYSMFU4rQO&#10;6i6PWysxdsDNI5i809K603Sv60k/5QBr19U3Tq0ZQbe8X335w4s/f3n1109X3/768vlvCGpW7B6L&#10;fpF3BJoRrDFHMCGYdtCRiAQAGDy+oi7Cnu8toAvciIT9dC3srEE3AQk/lkIAe1J5K/yMzWnW95ll&#10;n2IH5XUF4gzAIRr3Ri2pG6AOoEOpmd0cggPIT92A0Gkx3YKihWxB2TWaTd9PmC466m1VN3pQapFZ&#10;P5hl/VhkqL1sYOUKiKGAWOLUPAO4OIRcc2VbtqysbtMSVqFB3WqEkYWOmI4jMGTLdwgSTMQNIFkp&#10;65VsO0g4iGgAi9moF6ERXZcv7IVxGPckBVEE8fENkPSAELpnyarjPbBEbmTJhqrbs4SjOI7/gSUa&#10;+q4H9SYDid2QQtQ0w12p212oEo66YM7Ge1nauSx5N6Lkmam+NUoR9bDJVY0qQboBoQyeXoU34gZx&#10;bHIDQxI0dD1sW9wxSiCIe1W6L1VaJvgbqdIwzd8e4QIfuybvuiHAES8mrt8HOAyJlMmb7l6VyJ6k&#10;+8qVTJrc5UqrrSKUreRoh1tF16Ve2MHo+XEU2axnoGteEPpRDyOBWNo1uFnW9pvF/+5mkS5z/AG3&#10;w+x+d9ySOKSLzI66pI+2A25BNwPDtYnH1I3jbRq65/buuRXSHHLk937IQZf7iQG3w53ELrmlOKLU&#10;Bn/seiF11wQXRwRjOMfoDkWN4G45KNmDe/fg6rfkdI4udy8DcIf7ll2CC4cuQbcBwh4lNNwE1w0W&#10;aSvZHyv/r4+V6XKvNAB3uEvaKbiRH0PmYjbm1PVjWFTXtu6guHtw+73H2/w9xH7Tg++d9nyu/zZr&#10;PqgO7+2x9+p79NH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wcAAFtDb250ZW50X1R5cGVzXS54bWxQSwECFAAKAAAAAACHTuJAAAAAAAAAAAAA&#10;AAAABgAAAAAAAAAAABAAAACBBgAAX3JlbHMvUEsBAhQAFAAAAAgAh07iQIoUZjzRAAAAlAEAAAsA&#10;AAAAAAAAAQAgAAAApQYAAF9yZWxzLy5yZWxzUEsBAhQACgAAAAAAh07iQAAAAAAAAAAAAAAAAAQA&#10;AAAAAAAAAAAQAAAAAAAAAGRycy9QSwECFAAUAAAACACHTuJAiVtCdNgAAAAFAQAADwAAAAAAAAAB&#10;ACAAAAAiAAAAZHJzL2Rvd25yZXYueG1sUEsBAhQAFAAAAAgAh07iQBaXt3UuBQAA1x4AAA4AAAAA&#10;AAAAAQAgAAAAJwEAAGRycy9lMm9Eb2MueG1sUEsFBgAAAAAGAAYAWQEAAMcIAAAAAA==&#10;">
                <o:lock v:ext="edit" aspectratio="f"/>
                <v:shape id="_x0000_s1026" o:spid="_x0000_s1026" style="position:absolute;left:0;top:0;height:2009140;width:5534025;" filled="f" stroked="f" coordsize="21600,21600" o:gfxdata="UEsDBAoAAAAAAIdO4kAAAAAAAAAAAAAAAAAEAAAAZHJzL1BLAwQUAAAACACHTuJAiVtCdNgAAAAF&#10;AQAADwAAAGRycy9kb3ducmV2LnhtbE2PT0vDQBDF74LfYRmhF7GbqK0lZtNDQVpEKE3/nKfZMQlm&#10;Z9PsNqnf3q0XvQw83uO936Tzi2lET52rLSuIxxEI4sLqmksFu+3bwwyE88gaG8uk4JsczLPbmxQT&#10;bQfeUJ/7UoQSdgkqqLxvEyldUZFBN7YtcfA+bWfQB9mVUnc4hHLTyMcomkqDNYeFCltaVFR85Wej&#10;YCjW/WH7sZTr+8PK8ml1WuT7d6VGd3H0CsLTxf+F4Yof0CELTEd7Zu1EoyA84n9v8GYv8QTEUcFT&#10;PH0GmaXyP332A1BLAwQUAAAACACHTuJA4u+nv/4EAABSHgAADgAAAGRycy9lMm9Eb2MueG1s7ZnP&#10;buQ0GMDvSLyDlft2YuePk1HT1TKlCGmBlQoP4EmcmUBiBzvtTDlygBtHxAEhgQSnfQXE01D2Mfhs&#10;Z2bSVsNUS3e6gulhmsTO58+ff98fO8dPl02NLrnSlRSZh498D3GRy6ISs8z77NOzJ4mHdMdEwWop&#10;eOZdce09PXn3neNFO+ZEzmVdcIVAiNDjRZt5865rx6ORzue8YfpItlxAYylVwzq4VbNRodgCpDf1&#10;iPh+PFpIVbRK5lxreHrqGr1eorqPQFmWVc5PZX7RcNE5qYrXrIMp6XnVau/EaluWPO8+KUvNO1Rn&#10;Hsy0s78wCFxPze/o5JiNZ4q18yrvVWD3UeHWnBpWCRh0LeqUdQxdqOqOqKbKldSy7I5y2YzcRKxF&#10;YBbYv2WbCROXzE0mB1uvFISrB5Q7nRm9hTyr6hqsMQLpY/PM/F/AanPTXIubndwT27fvs2gBB92u&#10;wdD/TsXzOWu5XUY9zj++fKFQVWReHHpIsAaovP7+2+sfX17//A2CZ6C2GR76nbfQs1u+J5eAtl0Q&#10;3T6X+RcaCTmZMzHjz5SSizlnBSiIzZswifWrTo42QqaLj2QBA7GLTlpBy1I1xgiwZgikB0FEEqDo&#10;CrQiSRw5kviyQzm0EhymIY08lEM7SZMwInYsNl6JaZXuPuCyQeYi8xSQaodhl891Z9Ri41UXM6qW&#10;dVWYJbI3ajad1ApdMqD6zP710m90qwVaZF4akchZ4jVENFUHzl5XTeYlvvnrx3E8cOtgvb7GjMZy&#10;zobdcrrsl2UqiyswqJLO+SD0wMVcqq88tADHyzz95QVT3EP1hwIWJcVhaDzV3oQRJXCjhi3TYQsT&#10;OYjKvM5D7nLSWe+2ZmqfweKdVdacRj2nSb/kAKtT9Y1Ta2bgqH319Q9//v7Lqz9+uv7u179e/oag&#10;ZcPuRLxQ/Z2z4waWnjmCCcHUQUcSEgFg8AIbr6hLcBAGK+giPyFxv1xboJtC9JxIIYA9qYINfkbm&#10;rOh1ZsXn2ENlU0NcBOAQTXuhltQ7oA6gQ7lZ3RLiMvhB04L/ajHbgaKFbEXZDZqNN5wyPXfU2yY3&#10;eyUvRGHtYNz6fVGg7qoFzxWQvgCxzGt4AXBxyHbmyvbsWFXfpyd4oUHdxogN3I4jEGSf7xEkWIgt&#10;INlQ1key3SDhKKEROLOJXoQm9Hb4wkGcxmlPUpQkkJreAElPCKEHlmx0fASWyFaWbKq6P0s4SdP0&#10;H1iicegH0G5SYerHFLKmme4muq3yXJ8KXysq4cQlczY+hKW9h6VgK0qBWep7o5TQAEOxYqMSlBuQ&#10;yuDtTXojfpSmpjYwJEFHP8C2xwOjBAHxEJUeKyqtC/w7pdKwzN+d4aIQ+6bu2pLgSJASP+wTHIZC&#10;ytRNDx+VyIGkx6qVTJl8e6sIzzbh6Hx/W0Xfp0HsYAzCNEls1TOIa0EUh0kPI4Fc6jpsD2uHzeJ/&#10;d7NI1zX+5ogDnj0GtySN6aqyoz7ps+2AW4ibkeHa5GPqp+muGHrg9uG5FdIccpSPfshB1/uJAbfD&#10;ncT+4i1JKU4otckf+0FM/VsBFycEYzjH6E/nIODuOCg5gPvw4Oq35HSOrncvA3CH+5Z9gguHLpHb&#10;AOGAEhrfBdePVmXr4Vj5/32sTNd7pQG4w13SXsFNwhQqF7Mxp36YglPd2LpDxD2A29dwb/P3EPdF&#10;r83t+Vz/WdR8yxze22Pvzafgk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wcAAFtDb250ZW50X1R5cGVzXS54bWxQSwECFAAKAAAAAACHTuJA&#10;AAAAAAAAAAAAAAAABgAAAAAAAAAAABAAAABRBgAAX3JlbHMvUEsBAhQAFAAAAAgAh07iQIoUZjzR&#10;AAAAlAEAAAsAAAAAAAAAAQAgAAAAdQYAAF9yZWxzLy5yZWxzUEsBAhQACgAAAAAAh07iQAAAAAAA&#10;AAAAAAAAAAQAAAAAAAAAAAAQAAAAAAAAAGRycy9QSwECFAAUAAAACACHTuJAiVtCdNgAAAAFAQAA&#10;DwAAAAAAAAABACAAAAAiAAAAZHJzL2Rvd25yZXYueG1sUEsBAhQAFAAAAAgAh07iQOLvp7/+BAAA&#10;Uh4AAA4AAAAAAAAAAQAgAAAAJwEAAGRycy9lMm9Eb2MueG1sUEsFBgAAAAAGAAYAWQEAAJcIAAAA&#10;AA==&#10;">
                  <v:fill on="f" focussize="0,0"/>
                  <v:stroke on="f"/>
                  <v:imagedata o:title=""/>
                  <o:lock v:ext="edit" aspectratio="t"/>
                </v:shape>
                <v:shape id="_x0000_s1026" o:spid="_x0000_s1026" o:spt="202" type="#_x0000_t202" style="position:absolute;left:335280;top:62865;height:298452;width:214947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Dn8JGHSQIAAJQEAAAOAAAAZHJzL2Uyb0RvYy54bWytVM1u&#10;1DAQviPxDpbvNLtpUnajZqvSahFS+ZEKD+B1nI2F7TG2d5PyAPAGnLhw57n6HIydtCzlUiFyiDyZ&#10;8TfffDOT07NBK7IXzkswNZ0fzSgRhkMjzbamH96vny0o8YGZhikwoqY3wtOz1dMnp72tRA4dqEY4&#10;giDGV72taReCrbLM805o5o/ACoPOFpxmAU23zRrHekTXKstns5OsB9dYB1x4j18vRyedEN1jAKFt&#10;JReXwHdamDCiOqFYwJJ8J62nq8S2bQUPb9vWi0BUTbHSkN6YBM+b+M5Wp6zaOmY7yScK7DEUHtSk&#10;mTSY9B7qkgVGdk7+BaUld+ChDUccdDYWkhTBKuazB9pcd8yKVAtK7e296P7/wfI3+3eOyKamJwUl&#10;hmns+O23r7fff97++ELwGwrUW19h3LXFyDC8gAHHJhXr7RXwj54YuOiY2Ypz56DvBGuQ4DzezA6u&#10;jjg+gmz619BgIrYLkICG1umoHupBEP34uMwX2KEbZJUvTsqxS2IIhKM3nxfL4nlJCUd/vlwUZZ5y&#10;seoOxjofXgrQJB5q6nAKUhq2v/Ih0mLVXUjM6kHJZi2VSobbbi6UI3uGE7NOz4T+R5gypK/psszL&#10;UYl/gNAy4CIpqWu6mMVnyqNM5CHS8E58o4xRuVHDMGyGqS0baG5QUAfjYONa46ED95mSHoe6pv7T&#10;jjlBiXplsCnLeVHELUhGUT7P0XCHns2hhxmOUDUNlIzHi5A2J8lkz7F5a5nkjPRGJlPLcViTytNi&#10;xW04tFPU75/J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KelAG1wAAAAUBAAAPAAAAAAAAAAEA&#10;IAAAACIAAABkcnMvZG93bnJldi54bWxQSwECFAAUAAAACACHTuJA5/CRh0kCAACUBAAADgAAAAAA&#10;AAABACAAAAAmAQAAZHJzL2Uyb0RvYy54bWxQSwUGAAAAAAYABgBZAQAA4QUAAAAA&#10;">
                  <v:fill on="t" focussize="0,0"/>
                  <v:stroke color="#FFFFFF" miterlimit="8" joinstyle="miter"/>
                  <v:imagedata o:title=""/>
                  <o:lock v:ext="edit" aspectratio="f"/>
                  <v:textbox style="mso-fit-shape-to-text:t;">
                    <w:txbxContent>
                      <w:p>
                        <w:pPr>
                          <w:pStyle w:val="30"/>
                          <w:spacing w:before="0" w:beforeAutospacing="0" w:after="0" w:afterAutospacing="0"/>
                          <w:jc w:val="center"/>
                          <w:rPr>
                            <w:rFonts w:hint="default" w:eastAsia="宋体"/>
                            <w:sz w:val="32"/>
                            <w:lang w:val="en-US" w:eastAsia="zh-CN"/>
                          </w:rPr>
                        </w:pPr>
                        <w:r>
                          <w:rPr>
                            <w:rFonts w:hint="eastAsia" w:ascii="Times New Roman" w:hAnsi="Times New Roman" w:cs="Times New Roman"/>
                            <w:kern w:val="2"/>
                            <w:sz w:val="21"/>
                            <w:szCs w:val="21"/>
                            <w:u w:val="single"/>
                            <w:lang w:val="en-US" w:eastAsia="zh-CN"/>
                          </w:rPr>
                          <w:t>F</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Co</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lang w:val="en-US" w:eastAsia="zh-CN"/>
                          </w:rPr>
                          <w:t>R</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lang w:val="en-US" w:eastAsia="zh-CN"/>
                          </w:rPr>
                          <w:t>X</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rPr>
                          <w:t>a/b</w:t>
                        </w:r>
                        <w:r>
                          <w:rPr>
                            <w:rFonts w:hint="eastAsia" w:ascii="Times New Roman" w:hAnsi="Times New Roman" w:cs="Times New Roman"/>
                            <w:kern w:val="2"/>
                            <w:sz w:val="21"/>
                            <w:szCs w:val="21"/>
                            <w:u w:val="single"/>
                            <w:lang w:val="en-US" w:eastAsia="zh-CN"/>
                          </w:rPr>
                          <w:t>/c/d</w:t>
                        </w:r>
                      </w:p>
                    </w:txbxContent>
                  </v:textbox>
                </v:shape>
                <v:shape id="_x0000_s1026" o:spid="_x0000_s1026" o:spt="34" type="#_x0000_t34" style="position:absolute;left:2122170;top:282575;height:250826;width:813435;" filled="f" stroked="t" coordsize="21600,21600" o:gfxdata="UEsDBAoAAAAAAIdO4kAAAAAAAAAAAAAAAAAEAAAAZHJzL1BLAwQUAAAACACHTuJAbXdHMNQAAAAF&#10;AQAADwAAAGRycy9kb3ducmV2LnhtbE2PzW7CMBCE75V4B2uReitOCg0ojYMqpF6LmvQBlnhJDPE6&#10;is1P+/Q1vZTLSqMZzXxbrK+2F2cavXGsIJ0lIIgbpw23Cr7q96cVCB+QNfaOScE3eViXk4cCc+0u&#10;/EnnKrQilrDPUUEXwpBL6ZuOLPqZG4ijt3ejxRDl2Eo94iWW214+J0kmLRqOCx0OtOmoOVYnq+At&#10;+3HLejPnYD/MQVf1vjLbrVKP0zR5BRHoGv7DcMOP6FBGpp07sfaiVxAfCX83eqtl+gJip2CeZguQ&#10;ZSHv6ctfUEsDBBQAAAAIAIdO4kCj9HxfHwIAACcEAAAOAAAAZHJzL2Uyb0RvYy54bWytU72OEzEQ&#10;7pF4B8s92eyGXHKrbK5IOBoEkYAHcPyTNfKfbCebtDwANRUFElS8AuJpgHsMxt7lDo4mBVt4x57x&#10;N/N9M15cHbVCB+6DtKbB5WiMETfUMml2DX796vrRHKMQiWFEWcMbfOIBXy0fPlh0ruaVba1i3CMA&#10;MaHuXIPbGF1dFIG2XJMwso4bcArrNYmw9buCedIBulZFNR5fFJ31zHlLeQhwuu6deED05wBaISTl&#10;a0v3mpvYo3quSARKoZUu4GWuVghO4wshAo9INRiYxrxCErC3aS2WC1LvPHGtpEMJ5JwS7nHSRBpI&#10;egu1JpGgvZf/QGlJvQ1WxBG1uuiJZEWARTm+p83LljieuYDUwd2KHv4fLH1+2HgkWYMrkMQQDR2/&#10;efv++9ePN98+/Hj36eeXzwg8IFPnQg3RK7Pxwy64jU+cj8Lr9Ac26AhAZVWVM0A7gT2vprNprzI/&#10;RkTBPy8njydTjGjyT8fz6iL5izsc50N8yq1GyWjwFnq8ssZAL62fZJXJ4VmIWW421EzYmxIjoRV0&#10;70AUml0OoEMowP+GTfeUQV2DL6dVqoPAFAuYHjC1AyWC2eUswSrJrqVS6Ubwu+1KeQTgMDf5GzL8&#10;FZaSrElo+7js6tl7uzcsT1vLCXtiGIonB2IbeGQ4FaM5w0hxeJPJypGRSHVOJJBTBiRMLeqbkqyt&#10;Zafcq3wO85NFHmY9Deif+3z77n0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d0cw1AAAAAUB&#10;AAAPAAAAAAAAAAEAIAAAACIAAABkcnMvZG93bnJldi54bWxQSwECFAAUAAAACACHTuJAo/R8Xx8C&#10;AAAnBAAADgAAAAAAAAABACAAAAAjAQAAZHJzL2Uyb0RvYy54bWxQSwUGAAAAAAYABgBZAQAAtAUA&#10;AAAA&#10;" adj="17">
                  <v:fill on="f" focussize="0,0"/>
                  <v:stroke color="#000000" joinstyle="round"/>
                  <v:imagedata o:title=""/>
                  <o:lock v:ext="edit" aspectratio="f"/>
                </v:shape>
                <v:shape id="_x0000_s1026" o:spid="_x0000_s1026" o:spt="34" type="#_x0000_t34" style="position:absolute;left:1587500;top:278765;height:588010;width:1369695;" filled="f" stroked="t" coordsize="21600,21600" o:gfxdata="UEsDBAoAAAAAAIdO4kAAAAAAAAAAAAAAAAAEAAAAZHJzL1BLAwQUAAAACACHTuJAGseiP9QAAAAF&#10;AQAADwAAAGRycy9kb3ducmV2LnhtbE2PzU7DMBCE70i8g7VIXBB1TKGNQpweEPSEBCk8wDZe4qjx&#10;OrLdv7fHcIHLSqMZzXxbr05uFAcKcfCsQc0KEMSdNwP3Gj4/Xm5LEDEhGxw9k4YzRVg1lxc1VsYf&#10;uaXDJvUil3CsUINNaaqkjJ0lh3HmJ+LsffngMGUZemkCHnO5G+VdUSykw4HzgsWJnix1u83eadjZ&#10;dh4Mrt+X5bNt30xX3kzqVevrK1U8gkh0Sn9h+MHP6NBkpq3fs4li1JAfSb83e+VSPYDYapirxT3I&#10;ppb/6ZtvUEsDBBQAAAAIAIdO4kA0WcOKIgIAACoEAAAOAAAAZHJzL2Uyb0RvYy54bWytU0uOEzEQ&#10;3SNxB8v7SSc96vyUziwShg2CSMABHH/SRv7JdtLJlgOwZsUCCVZcAXEaZuYYlN3NDAybLOiFu+wq&#10;v6r3qry4OmqFDtwHaU2NR4MhRtxQy6TZ1fjtm+uLKUYhEsOIsobX+MQDvlo+fbJo3ZyXtrGKcY8A&#10;xIR562rcxOjmRRFowzUJA+u4AaewXpMIW78rmCctoGtVlMPhuGitZ85bykOA03XnxD2iPwfQCiEp&#10;X1u619zEDtVzRSJQCo10AS9ztUJwGl8JEXhEqsbANOYVkoC9TWuxXJD5zhPXSNqXQM4p4REnTaSB&#10;pPdQaxIJ2nv5D5SW1NtgRRxQq4uOSFYEWIyGj7R53RDHMxeQOrh70cP/g6UvDxuPJKtxOcLIEA0d&#10;v3v/8ef3z3c/Pt18+HL77SsCD8jUujCH6JXZ+H4X3MYnzkfhdfoDG3SEkaqmk2oIAp8AdDKdjKtO&#10;ZX6MiCb/5Xg2nlUYUQioplPgnQKKByDnQ3zOrUbJqPEWmryyxkAzrb/MMpPDixCz3qwvmrB3QEBo&#10;Be07EIUuynLSw/bBkOA3cLqpDGprPKvKVAmBQRYwQGBqB2IEs8t5glWSXUul0o3gd9uV8gjgYXTy&#10;12f4KywlWZPQdHHZ1Qng7d6wPHANJ+yZYSieHOht4J3hVIzmDCPF4VkmK0dGItU5kUBOGRAxdanr&#10;S7K2lp1yu/I5jFCWuR/3NKN/7vPthye+/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ax6I/1AAA&#10;AAUBAAAPAAAAAAAAAAEAIAAAACIAAABkcnMvZG93bnJldi54bWxQSwECFAAUAAAACACHTuJANFnD&#10;iiICAAAqBAAADgAAAAAAAAABACAAAAAjAQAAZHJzL2Uyb0RvYy54bWxQSwUGAAAAAAYABgBZAQAA&#10;twUAAAAA&#10;" adj="-49">
                  <v:fill on="f" focussize="0,0"/>
                  <v:stroke color="#000000" joinstyle="round"/>
                  <v:imagedata o:title=""/>
                  <o:lock v:ext="edit" aspectratio="f"/>
                </v:shape>
                <v:shape id="_x0000_s1026" o:spid="_x0000_s1026" o:spt="34" type="#_x0000_t34" style="position:absolute;left:1189990;top:278765;height:906780;width:1764030;" filled="f" stroked="t" coordsize="21600,21600" o:gfxdata="UEsDBAoAAAAAAIdO4kAAAAAAAAAAAAAAAAAEAAAAZHJzL1BLAwQUAAAACACHTuJAHwkFTdQAAAAF&#10;AQAADwAAAGRycy9kb3ducmV2LnhtbE2PwU7DMBBE70j8g7WVuFE7pS1tiFMJEOoVSsTZibdxaLwO&#10;tpuWv8f0ApeVRjOaeVtszrZnI/rQOZKQTQUwpMbpjloJ1fvL7QpYiIq06h2hhG8MsCmvrwqVa3ei&#10;Nxx3sWWphEKuJJgYh5zz0Bi0KkzdgJS8vfNWxSR9y7VXp1Ruez4TYsmt6igtGDXgk8HmsDtaCV8o&#10;1rNHqqr5x+JTP5vXmo9bL+XNJBMPwCKe418YfvETOpSJqXZH0oH1EtIj8XKTt7rPFsBqCXfZcg68&#10;LPh/+vIHUEsDBBQAAAAIAIdO4kB3JmjIIgIAACkEAAAOAAAAZHJzL2Uyb0RvYy54bWytU0uOEzEQ&#10;3SNxB8t70t0Z8lU6s0gYNggiAQdw/Ekb+SfbSSdbDsCaFQskWHEFxGlmmGNQdjczMGyyoBfusqv8&#10;qt6r8uLyqBU6cB+kNTWuBiVG3FDLpNnV+O2bqydTjEIkhhFlDa/xiQd8uXz8aNG6OR/axirGPQIQ&#10;E+atq3ETo5sXRaAN1yQMrOMGnMJ6TSJs/a5gnrSArlUxLMtx0VrPnLeUhwCn686Je0R/DqAVQlK+&#10;tnSvuYkdqueKRKAUGukCXuZqheA0vhIi8IhUjYFpzCskAXub1mK5IPOdJ66RtC+BnFPCA06aSANJ&#10;76DWJBK09/IfKC2pt8GKOKBWFx2RrAiwqMoH2rxuiOOZC0gd3J3o4f/B0peHjUeS1Xg4xMgQDR2/&#10;ff/x+vvn2x+fbj58+fntKwIPyNS6MIfoldn4fhfcxifOR+F1+gMbdISRqqaz2QwEPgHoZDoZjzqV&#10;+TEimvyT8dPyAvwUAmbleDLNbSjugZwP8Tm3GiWjxlto8soaA820/iLLTA4vQsx6s75owt5VGAmt&#10;oH0HolA1rVJaQO1jwfqNmy4qg1pIPxqOoBACcyxgfsDUDrQIZpfTBKsku5JKpRvB77Yr5RGgw+Tk&#10;r8/wV1hKsiah6eKyq+Pv7d6wPG8NJ+yZYSieHMht4JnhVIzmDCPF4VUmK0dGItU5kUBOGWCbmtS1&#10;JVlby065W/kcJijr0U97GtE/9/n2/Q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CQVN1AAA&#10;AAUBAAAPAAAAAAAAAAEAIAAAACIAAABkcnMvZG93bnJldi54bWxQSwECFAAUAAAACACHTuJAdyZo&#10;yCICAAApBAAADgAAAAAAAAABACAAAAAjAQAAZHJzL2Uyb0RvYy54bWxQSwUGAAAAAAYABgBZAQAA&#10;twUAAAAA&#10;" adj="39">
                  <v:fill on="f" focussize="0,0"/>
                  <v:stroke color="#000000" joinstyle="round"/>
                  <v:imagedata o:title=""/>
                  <o:lock v:ext="edit" aspectratio="f"/>
                </v:shape>
                <v:shape id="_x0000_s1026" o:spid="_x0000_s1026" o:spt="34" type="#_x0000_t34" style="position:absolute;left:873125;top:280035;height:1250315;width:2059940;" filled="f" stroked="t" coordsize="21600,21600" o:gfxdata="UEsDBAoAAAAAAIdO4kAAAAAAAAAAAAAAAAAEAAAAZHJzL1BLAwQUAAAACACHTuJAHzdtVNcAAAAF&#10;AQAADwAAAGRycy9kb3ducmV2LnhtbE2PzW7CMBCE70h9B2sr9QZ2oFCUxuFA1T+pIJWWu4m3SUS8&#10;jmKT0LfvtpdyWWk0o5lvs9XZNaLHLtSeNCQTBQKp8LamUsPnx+N4CSJEQ9Y0nlDDNwZY5VejzKTW&#10;D/SO/S6WgksopEZDFWObShmKCp0JE98isfflO2ciy66UtjMDl7tGTpVaSGdq4oXKtLiusDjuTk7D&#10;Xh0fSrlv+6fn9dvLZrudD9PZq9Y314m6BxHxHP/D8IvP6JAz08GfyAbRaOBH4t9lb3mXzEEcNMyS&#10;xS3IPJOX9PkPUEsDBBQAAAAIAIdO4kA6tm20IgIAACkEAAAOAAAAZHJzL2Uyb0RvYy54bWytU72O&#10;EzEQ7pF4B8s92c2GcMkqmysSjgZBJOABHP9kjfwn28kmLQ9ATUWBxFW8AuJpgHsMxt7lDo4mBVt4&#10;x57xN/N9M15cHrVCB+6DtKbB41GJETfUMml2DX7z+urRDKMQiWFEWcMbfOIBXy4fPlh0ruaVba1i&#10;3CMAMaHuXIPbGF1dFIG2XJMwso4bcArrNYmw9buCedIBulZFVZZPis565rylPAQ4XfdOPCD6cwCt&#10;EJLytaV7zU3sUT1XJAKl0EoX8DJXKwSn8aUQgUekGgxMY14hCdjbtBbLBal3nrhW0qEEck4J9zhp&#10;Ig0kvYVak0jQ3st/oLSk3gYr4ohaXfREsiLAYlze0+ZVSxzPXEDq4G5FD/8Plr44bDySrMHVBCND&#10;NHT85t2H718/3Xz7+OP9559frhF4QKbOhRqiV2bjh11wG584H4XX6Q9s0LHBs4vJuJpidALMWVlO&#10;pr3I/BgRBXdVTufzx6A/hQAILCfjHFHcATkf4jNuNUpGg7fQ5JU1Bppp/STLTA7PQ8x6s6Fowt6O&#10;MRJaQfsORKHqYpbyAuoQC9Zv3HRRGdQ1eD5NlVICcyxgfsDUDrQIZpfTBKsku5JKpRvB77Yr5RGg&#10;w+Tkb8jwV1hKsiah7eOyqxfA271hed5aTthTw1A8OZDbwDPDqRjNGUaKw6tMVo6MRKpzIoGcMsA2&#10;NalvS7K2lp1yt/I5TFDWY5j2NKJ/7vPtuxe+/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fN21U&#10;1wAAAAUBAAAPAAAAAAAAAAEAIAAAACIAAABkcnMvZG93bnJldi54bWxQSwECFAAUAAAACACHTuJA&#10;OrZttCICAAApBAAADgAAAAAAAAABACAAAAAmAQAAZHJzL2Uyb0RvYy54bWxQSwUGAAAAAAYABgBZ&#10;AQAAugUAAAAA&#10;" adj="60">
                  <v:fill on="f" focussize="0,0"/>
                  <v:stroke color="#000000" joinstyle="round"/>
                  <v:imagedata o:title=""/>
                  <o:lock v:ext="edit" aspectratio="f"/>
                </v:shape>
                <v:shape id="_x0000_s1026" o:spid="_x0000_s1026" o:spt="34" type="#_x0000_t34" style="position:absolute;left:541020;top:278765;height:1575435;width:2392045;" filled="f" stroked="t" coordsize="21600,21600" o:gfxdata="UEsDBAoAAAAAAIdO4kAAAAAAAAAAAAAAAAAEAAAAZHJzL1BLAwQUAAAACACHTuJAMT5QBdMAAAAF&#10;AQAADwAAAGRycy9kb3ducmV2LnhtbE2PwU7DMBBE70j8g7WVeqN2WghRiNMDEhcuKCEfsI2XJDRe&#10;p7HblL/HcIHLSqMZzbwt9lc7igvNfnCsIdkoEMStMwN3Gpr3l7sMhA/IBkfHpOGLPOzL25sCc+MW&#10;ruhSh07EEvY5auhDmHIpfduTRb9xE3H0PtxsMUQ5d9LMuMRyO8qtUqm0OHBc6HGi557aY322Gmx6&#10;elvqpXo9ba395AZVV2WN1utVop5ABLqGvzD84Ed0KCPTwZ3ZeDFqiI+E3xu97DF5AHHQsEvSe5Bl&#10;If/Tl99QSwMEFAAAAAgAh07iQEsMmjUjAgAAKAQAAA4AAABkcnMvZTJvRG9jLnhtbK1TzY7TMBC+&#10;I/EOlu80adpsu1HTPbQsFwSVgAdwbacx8p9st2mvPABnThyQ2BOvgHgaYB+DsRN2Ybn0QA7O2DP+&#10;Zr5vxouro5LowJ0XRtd4PMox4poaJvSuxm9eXz+ZY+QD0YxIo3mNT9zjq+XjR4vOVrwwrZGMOwQg&#10;2ledrXEbgq2yzNOWK+JHxnINzsY4RQJs3S5jjnSArmRW5PlF1hnHrDOUew+n696JB0R3DqBpGkH5&#10;2tC94jr0qI5LEoCSb4X1eJmqbRpOw8um8TwgWWNgGtIKScDexjVbLki1c8S2gg4lkHNKeMBJEaEh&#10;6R3UmgSC9k78A6UEdcabJoyoUVlPJCkCLMb5A21etcTyxAWk9vZOdP//YOmLw8YhwWpcTDHSREHH&#10;b999+P710+23jz/ef/755QaBB2TqrK8geqU3bth5u3GR87FxKv6BDTrWuJyO8wL0PQHmbD67KHuR&#10;+TEgCu5iclnk0xIjCgHjclZOJykiuweyzodn3CgUjRpvockrozU007hJkpkcnvuQ9GZD0YS9HWPU&#10;KAntOxCJinlMC6BDKFi/YeM9qVFX48uyiIUQGOMGxgdMZUEKr3cpizdSsGshZbzh3W67kg4BOAxO&#10;+oYMf4XFJGvi2z4uuXr+zuw1S+PWcsKeaobCyYLaGl4ZjsUozjCSHB5ltFJkIEKeEwnkpAa2sUd9&#10;V6K1NeyUmpXOYYCSHsOwxwn9c59u3z/w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xPlAF0wAA&#10;AAUBAAAPAAAAAAAAAAEAIAAAACIAAABkcnMvZG93bnJldi54bWxQSwECFAAUAAAACACHTuJASwya&#10;NSMCAAAoBAAADgAAAAAAAAABACAAAAAiAQAAZHJzL2Uyb0RvYy54bWxQSwUGAAAAAAYABgBZAQAA&#10;twUAAAAA&#10;" adj="6">
                  <v:fill on="f" focussize="0,0"/>
                  <v:stroke color="#000000" joinstyle="round"/>
                  <v:imagedata o:title=""/>
                  <o:lock v:ext="edit" aspectratio="f"/>
                </v:shape>
                <v:shape id="_x0000_s1026" o:spid="_x0000_s1026" o:spt="202" type="#_x0000_t202" style="position:absolute;left:3007360;top:349887;height:299087;width:235648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BPbzPRSQIAAJYEAAAOAAAAZHJzL2Uyb0RvYy54bWytVEtu&#10;2zAQ3RfoHQjuG8m/2BYiB6kDFwXSD5D2ADRFWURJDkvSltIDtDfoqpvuey6fo0NKSY10ExTVQuBo&#10;hm/evJnRxWWnFTkI5yWYko7OckqE4VBJsyvpxw+bFwtKfGCmYgqMKOmd8PRy9fzZRWsLMYYGVCUc&#10;QRDji9aWtAnBFlnmeSM082dghUFnDU6zgKbbZZVjLaJrlY3z/DxrwVXWARfe49fr3kkHRPcUQKhr&#10;ycU18L0WJvSoTigWsCTfSOvpKrGta8HDu7r2IhBVUqw0pDcmwfM2vrPVBSt2jtlG8oECewqFRzVp&#10;Jg0mfYC6ZoGRvZN/QWnJHXiowxkHnfWFJEWwilH+SJvbhlmRakGpvX0Q3f8/WP728N4RWZV0jpIY&#10;prHjx+/fjj9+HX9+JfgNBWqtLzDu1mJk6F5Ch2OTivX2BvgnTwysG2Z24so5aBvBKiQ4ijezk6s9&#10;jo8g2/YNVJiI7QMkoK52OqqHehBEn+T5fHKOfO7wPF0uFvO+T6ILhKN/PJmdTxczSjgGjJfLvA/I&#10;WHEPZJ0PrwRoEg8ldTgHKRE73PgQibHiPiTm9aBktZFKJcPttmvlyIHhzGzSk2p5FKYMaUu6nI1n&#10;vRb/AKFlwFVSUpd0kcdnyKNM5CHS+A58o5BRu17F0G27oTFbqO5QUgf9aONi46EB94WSFse6pP7z&#10;njlBiXptsC3L0XQa9yAZ09l8jIY79WxPPcxwhCppoKQ/rkPanSSTvcL2bWSSM9LrmQxNx3FNKg+r&#10;Fffh1E5Rf34n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KelAG1wAAAAUBAAAPAAAAAAAAAAEA&#10;IAAAACIAAABkcnMvZG93bnJldi54bWxQSwECFAAUAAAACACHTuJAT28z0UkCAACWBAAADgAAAAAA&#10;AAABACAAAAAmAQAAZHJzL2Uyb0RvYy54bWxQSwUGAAAAAAYABgBZAQAA4QUAAAAA&#10;">
                  <v:fill on="t" focussize="0,0"/>
                  <v:stroke color="#FFFFFF" miterlimit="8" joinstyle="miter"/>
                  <v:imagedata o:title=""/>
                  <o:lock v:ext="edit" aspectratio="f"/>
                  <v:textbox style="mso-fit-shape-to-text:t;">
                    <w:txbxContent>
                      <w:p>
                        <w:pPr>
                          <w:numPr>
                            <w:ilvl w:val="0"/>
                            <w:numId w:val="0"/>
                          </w:numPr>
                          <w:rPr>
                            <w:rFonts w:hint="eastAsia" w:eastAsia="宋体"/>
                            <w:lang w:val="en-US" w:eastAsia="zh-CN"/>
                          </w:rPr>
                        </w:pPr>
                        <w:r>
                          <w:rPr>
                            <w:rFonts w:hint="eastAsia" w:ascii="Times New Roman" w:hAnsi="Times New Roman" w:eastAsia="宋体" w:cs="Times New Roman"/>
                            <w:color w:val="000000"/>
                            <w:kern w:val="0"/>
                            <w:sz w:val="21"/>
                            <w:szCs w:val="21"/>
                            <w:lang w:val="en-US" w:eastAsia="zh-CN"/>
                          </w:rPr>
                          <w:t>a</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b</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c</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d</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e</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f</w:t>
                        </w:r>
                        <w:r>
                          <w:rPr>
                            <w:rFonts w:hint="default"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g</w:t>
                        </w:r>
                        <w:r>
                          <w:rPr>
                            <w:rFonts w:hint="eastAsia"/>
                            <w:sz w:val="21"/>
                            <w:szCs w:val="21"/>
                          </w:rPr>
                          <w:t>代</w:t>
                        </w:r>
                        <w:r>
                          <w:rPr>
                            <w:rFonts w:hint="eastAsia"/>
                            <w:szCs w:val="21"/>
                          </w:rPr>
                          <w:t>表产品</w:t>
                        </w:r>
                        <w:r>
                          <w:rPr>
                            <w:rFonts w:hint="eastAsia"/>
                            <w:szCs w:val="21"/>
                            <w:lang w:val="en-US" w:eastAsia="zh-CN"/>
                          </w:rPr>
                          <w:t>类别</w:t>
                        </w:r>
                      </w:p>
                    </w:txbxContent>
                  </v:textbox>
                </v:shape>
                <v:shape id="_x0000_s1026" o:spid="_x0000_s1026" o:spt="202" type="#_x0000_t202" style="position:absolute;left:2967990;top:702315;height:709935;width:2575560;" fillcolor="#FFFFFF" filled="t" stroked="t" coordsize="21600,21600" o:gfxdata="UEsDBAoAAAAAAIdO4kAAAAAAAAAAAAAAAAAEAAAAZHJzL1BLAwQUAAAACACHTuJA9aPjD9YAAAAF&#10;AQAADwAAAGRycy9kb3ducmV2LnhtbE2PwU7DMBBE70j8g7VIXBC1k0KpQpwKVa04t3Dh5sbbJCLe&#10;TWK3afv1GC7lstJoRjNv88XJteKIg2+YNCQTBQKpZNtQpeHzY/04B+GDIWtaJtRwRg+L4vYmN5nl&#10;kTZ43IZKxBLymdFQh9BlUvqyRmf8hDuk6O15cCZEOVTSDmaM5a6VqVIz6UxDcaE2HS5rLL+3B6eB&#10;x9XZMfYqffi6uPflW7/Zp73W93eJegUR8BSuYfjFj+hQRKYdH8h60WqIj4S/G735S/IMYqdhmsye&#10;QBa5/E9f/ABQSwMEFAAAAAgAh07iQIETURdLAgAAlgQAAA4AAABkcnMvZTJvRG9jLnhtbK1US27b&#10;MBDdF+gdCO5r2Y4VR4blILXhokD6AdIegKYoiyjJYUnaUnqA5gZdddN9z+VzdEg5qZtugqJaCBzN&#10;8M2bNzOaX3Zakb1wXoIp6WgwpEQYDpU025J+/LB+cUGJD8xUTIERJb0Vnl4unj+bt3YmxtCAqoQj&#10;CGL8rLUlbUKwsyzzvBGa+QFYYdBZg9MsoOm2WeVYi+haZePh8DxrwVXWARfe49dV76RHRPcUQKhr&#10;ycUK+E4LE3pUJxQLWJJvpPV0kdjWteDhXV17EYgqKVYa0huT4HkT39lizmZbx2wj+ZECewqFRzVp&#10;Jg0mfYBascDIzsm/oLTkDjzUYcBBZ30hSRGsYjR8pM1Nw6xItaDU3j6I7v8fLH+7f++IrEo6HVFi&#10;mMaOH77dHb7/PPz4SvAbCtRaP8O4G4uRoXsJHY5NKtbba+CfPDGwbJjZiivnoG0Eq5BgupmdXO1x&#10;fATZtG+gwkRsFyABdbXTUT3UgyD6uDifFgW26BZpDcdno7zvk+gC4dGfT/P8HP08BRTFWQrI2Owe&#10;yDofXgnQJB5K6nAOUiK2v/YBS8LQ+5CY14OS1VoqlQy33SyVI3uGM7NOT0yPV/4IU4a0JS3ycd5r&#10;8Q8QWgZcJSV1SS+G8TnmUSbyEGl8j3yjkFG7XsXQbbpjYzZQ3aKkDvrRxsXGQwPuCyUtjnVJ/ecd&#10;c4IS9dpgW4rRZBL3IBmTfDpGw516NqceZjhClTRQ0h+XIe1OpGfgCttXyyRnpNczQaGigeOaJDuu&#10;VtyHUztF/f6dL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aPjD9YAAAAFAQAADwAAAAAAAAAB&#10;ACAAAAAiAAAAZHJzL2Rvd25yZXYueG1sUEsBAhQAFAAAAAgAh07iQIETURdLAgAAlgQAAA4AAAAA&#10;AAAAAQAgAAAAJQEAAGRycy9lMm9Eb2MueG1sUEsFBgAAAAAGAAYAWQEAAOIFAAAAAA==&#10;">
                  <v:fill on="t" focussize="0,0"/>
                  <v:stroke color="#FFFFFF" miterlimit="8" joinstyle="miter"/>
                  <v:imagedata o:title=""/>
                  <o:lock v:ext="edit" aspectratio="f"/>
                  <v:textbox>
                    <w:txbxContent>
                      <w:p>
                        <w:pPr>
                          <w:pStyle w:val="30"/>
                          <w:spacing w:before="0" w:beforeAutospacing="0" w:after="0" w:afterAutospacing="0"/>
                          <w:jc w:val="both"/>
                          <w:rPr>
                            <w:rFonts w:hint="eastAsia" w:ascii="Times New Roman" w:hAnsi="Times New Roman"/>
                            <w:kern w:val="2"/>
                            <w:sz w:val="21"/>
                            <w:szCs w:val="21"/>
                            <w:lang w:val="en-US" w:eastAsia="zh-CN"/>
                          </w:rPr>
                        </w:pPr>
                        <w:r>
                          <w:rPr>
                            <w:rFonts w:hint="eastAsia" w:ascii="Times New Roman" w:hAnsi="Times New Roman"/>
                            <w:kern w:val="2"/>
                            <w:sz w:val="21"/>
                            <w:szCs w:val="21"/>
                          </w:rPr>
                          <w:t>X代表产品牌号：0、1、2、3、4、</w:t>
                        </w:r>
                        <w:r>
                          <w:rPr>
                            <w:rFonts w:hint="eastAsia" w:ascii="Times New Roman" w:hAnsi="Times New Roman"/>
                            <w:kern w:val="2"/>
                            <w:sz w:val="21"/>
                            <w:szCs w:val="21"/>
                            <w:lang w:val="en-US" w:eastAsia="zh-CN"/>
                          </w:rPr>
                          <w:t>5</w:t>
                        </w:r>
                      </w:p>
                      <w:p>
                        <w:pPr>
                          <w:pStyle w:val="30"/>
                          <w:spacing w:before="0" w:beforeAutospacing="0" w:after="0" w:afterAutospacing="0"/>
                          <w:jc w:val="both"/>
                          <w:rPr>
                            <w:rFonts w:hint="eastAsia" w:ascii="Times New Roman" w:hAnsi="Times New Roman"/>
                            <w:kern w:val="2"/>
                            <w:sz w:val="21"/>
                            <w:szCs w:val="21"/>
                            <w:lang w:val="en-US" w:eastAsia="zh-CN"/>
                          </w:rPr>
                        </w:pPr>
                      </w:p>
                      <w:p>
                        <w:pPr>
                          <w:pStyle w:val="30"/>
                          <w:spacing w:before="0" w:beforeAutospacing="0" w:after="0" w:afterAutospacing="0"/>
                          <w:jc w:val="both"/>
                        </w:pPr>
                      </w:p>
                    </w:txbxContent>
                  </v:textbox>
                </v:shape>
                <v:shape id="_x0000_s1026" o:spid="_x0000_s1026" o:spt="202" type="#_x0000_t202" style="position:absolute;left:2971877;top:1036707;height:299086;width:1821179;"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DS/Y2dSgIAAJcEAAAOAAAAZHJzL2Uyb0RvYy54bWytVM2O&#10;0zAQviPxDpbvND+0TRs1XS27KkJafqSFB3Adp7HwH7bbpDwAvAEnLtx5rj4HYye7lOWyQuRgeezx&#10;N998M5PVRS8FOjDruFYVziYpRkxRXXO1q/CH95tnC4ycJ6omQitW4SNz+GL99MmqMyXLdatFzSwC&#10;EOXKzlS49d6USeJoyyRxE22YgstGW0k8mHaX1JZ0gC5FkqfpPOm0rY3VlDkHp9fDJR4R7WMAddNw&#10;yq413Uum/IBqmSAeUnItNw6vI9umYdS/bRrHPBIVhkx9XCEI7LdhTdYrUu4sMS2nIwXyGAoPcpKE&#10;Kwh6D3VNPEF7y/+Ckpxa7XTjJ1TLZEgkKgJZZOkDbW5bYljMBaR25l509/9g6ZvDO4t4XeEix0gR&#10;CRU/fft6+v7z9OMLgjMQqDOuBL9bA56+f6F7aJuYrDM3mn50SOmrlqgdu7RWdy0jNRDMwsvk7OmA&#10;4wLItnutawhE9l5HoL6xMqgHeiBAz5dFtigKjI6Akz6fF2kxFIr1HtEQfpFnWbHEiIJHvlymi3kM&#10;R8o7JGOdf8m0RGFTYQuNECORw43zgRkp71xCYKcFrzdciGjY3fZKWHQg0DSb+I3of7gJhboKL2f5&#10;bBDjHyAk9zBLgssKL9LwjXGECjxY7N+Rb1AyiDfI6PttP1Zmq+sjaGr10Nsw2bBptf2MUQd9XWH3&#10;aU8sw0i8UlCXZTadhkGIxnRW5GDY85vt+Q1RFKAq7DEatlc+Dk+UyVxC/TY8yhnoDUzGqkO/RpXH&#10;2QoDcW5Hr9//k/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npQBtcAAAAFAQAADwAAAAAAAAAB&#10;ACAAAAAiAAAAZHJzL2Rvd25yZXYueG1sUEsBAhQAFAAAAAgAh07iQNL9jZ1KAgAAlwQAAA4AAAAA&#10;AAAAAQAgAAAAJgEAAGRycy9lMm9Eb2MueG1sUEsFBgAAAAAGAAYAWQEAAOIFAAAAAA==&#10;">
                  <v:fill on="t" focussize="0,0"/>
                  <v:stroke color="#FFFFFF" miterlimit="8" joinstyle="miter"/>
                  <v:imagedata o:title=""/>
                  <o:lock v:ext="edit" aspectratio="f"/>
                  <v:textbox style="mso-fit-shape-to-text:t;">
                    <w:txbxContent>
                      <w:p>
                        <w:pPr>
                          <w:pStyle w:val="30"/>
                          <w:spacing w:before="0" w:beforeAutospacing="0" w:after="0" w:afterAutospacing="0"/>
                          <w:jc w:val="both"/>
                          <w:rPr>
                            <w:rFonts w:hint="eastAsia" w:eastAsia="宋体"/>
                            <w:lang w:val="en-US" w:eastAsia="zh-CN"/>
                          </w:rPr>
                        </w:pPr>
                        <w:r>
                          <w:rPr>
                            <w:rFonts w:hint="eastAsia" w:ascii="Times New Roman" w:hAnsi="Times New Roman"/>
                            <w:kern w:val="2"/>
                            <w:sz w:val="21"/>
                            <w:szCs w:val="21"/>
                          </w:rPr>
                          <w:t>代表</w:t>
                        </w:r>
                        <w:r>
                          <w:rPr>
                            <w:rFonts w:hint="eastAsia" w:ascii="Times New Roman" w:hAnsi="Times New Roman"/>
                            <w:kern w:val="2"/>
                            <w:sz w:val="21"/>
                            <w:szCs w:val="21"/>
                            <w:lang w:val="en-US" w:eastAsia="zh-CN"/>
                          </w:rPr>
                          <w:t>再生</w:t>
                        </w:r>
                      </w:p>
                    </w:txbxContent>
                  </v:textbox>
                </v:shape>
                <v:shape id="_x0000_s1026" o:spid="_x0000_s1026" o:spt="202" type="#_x0000_t202" style="position:absolute;left:2969555;top:1372767;height:298452;width:182054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CmJS4+SwIAAJcEAAAOAAAAZHJzL2Uyb0RvYy54bWytVEtu&#10;2zAQ3RfoHQjuG9mKFdtC5CBN4KJA+gHSHoCmKIsoyWFJ2lJ6gOYGXXXTfc+Vc3RIKambboKiWhAc&#10;cvjmzZsZnZ71WpG9cF6Cqej0aEKJMBxqabYV/fhh/WJBiQ/M1EyBERW9EZ6erZ4/O+1sKXJoQdXC&#10;EQQxvuxsRdsQbJllnrdCM38EVhi8bMBpFtB026x2rEN0rbJ8MjnJOnC1dcCF93h6OVzSEdE9BRCa&#10;RnJxCXynhQkDqhOKBUzJt9J6ukpsm0bw8K5pvAhEVRQzDWnFILjfxDVbnbJy65htJR8psKdQeJST&#10;ZtJg0AeoSxYY2Tn5F5SW3IGHJhxx0NmQSFIEs5hOHmlz3TIrUi4otbcPovv/B8vf7t87IuuKzo8p&#10;MUxjxe++3d59/3n34yvBMxSos75Ev2uLnqF/CT22TUrW2yvgnzwxcNEysxXnzkHXClYjwWl8mR08&#10;HXB8BNl0b6DGQGwXIAH1jdNRPdSDIHq+PFkWRUHJDeIcz/P5yXwolOgD4TH8Ip8UM3Tg6JEvF7Mi&#10;T+FYeY9knQ+vBGgSNxV12AgpEttf+RCZsfLeJQb2oGS9lkolw203F8qRPcOmWadvRP/DTRnSVXRZ&#10;5MUgxj9AaBlwlpTUFV1M4jfGUSbyEKl/R75RySjeIGPoN/1YmQ3UN6ipg6G3cbJx04L7QkmHfV1R&#10;/3nHnKBEvTZYl+V0NouDkIxZMc/RcIc3m8MbZjhCVTRQMmwvQhqeJJM9x/qtZZIz0huYjFXHfk0q&#10;j7MVB+LQTl6//ye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p6UAbXAAAABQEAAA8AAAAAAAAA&#10;AQAgAAAAIgAAAGRycy9kb3ducmV2LnhtbFBLAQIUABQAAAAIAIdO4kCmJS4+SwIAAJcEAAAOAAAA&#10;AAAAAAEAIAAAACYBAABkcnMvZTJvRG9jLnhtbFBLBQYAAAAABgAGAFkBAADjBQAAAAA=&#10;">
                  <v:fill on="t" focussize="0,0"/>
                  <v:stroke color="#FFFFFF" miterlimit="8" joinstyle="miter"/>
                  <v:imagedata o:title=""/>
                  <o:lock v:ext="edit" aspectratio="f"/>
                  <v:textbox style="mso-fit-shape-to-text:t;">
                    <w:txbxContent>
                      <w:p>
                        <w:pPr>
                          <w:pStyle w:val="30"/>
                          <w:spacing w:before="0" w:beforeAutospacing="0" w:after="0" w:afterAutospacing="0"/>
                          <w:jc w:val="both"/>
                        </w:pPr>
                        <w:r>
                          <w:rPr>
                            <w:rFonts w:hint="eastAsia" w:ascii="Times New Roman"/>
                            <w:kern w:val="2"/>
                            <w:sz w:val="21"/>
                            <w:szCs w:val="21"/>
                          </w:rPr>
                          <w:t>代表Co</w:t>
                        </w:r>
                      </w:p>
                    </w:txbxContent>
                  </v:textbox>
                </v:shape>
                <v:shape id="_x0000_s1026" o:spid="_x0000_s1026" o:spt="202" type="#_x0000_t202" style="position:absolute;left:2968491;top:1704973;height:298452;width:182054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DG3bLESwIAAJcEAAAOAAAAZHJzL2Uyb0RvYy54bWytVM2O&#10;0zAQviPxDpbvNGlIt03UdLW0KkJafqSFB3Adp7HwH7bbZHkAeANOXLjzXH0Oxk52KctlhcjB8tjj&#10;b775ZibLy14KdGTWca0qPJ2kGDFFdc3VvsIf3m+fLTBynqiaCK1YhW+Zw5erp0+WnSlZplstamYR&#10;gChXdqbCrfemTBJHWyaJm2jDFFw22kriwbT7pLakA3QpkixNL5JO29pYTZlzcLoZLvGIaB8DqJuG&#10;U7bR9CCZ8gOqZYJ4SMm13Di8imybhlH/tmkc80hUGDL1cYUgsN+FNVktSbm3xLScjhTIYyg8yEkS&#10;riDoPdSGeIIOlv8FJTm12unGT6iWyZBIVASymKYPtLlpiWExF5DamXvR3f+DpW+O7yzidYXnOUaK&#10;SKj46dvX0/efpx9fEJyBQJ1xJfjdGPD0/QvdQ9vEZJ251vSjQ0qvW6L27Mpa3bWM1EBwGl4mZ08H&#10;HBdAdt1rXUMgcvA6AvWNlUE90AMBelZcLPJiitEt4MzTvJg/HwrFeo9oCL/I0lk+w4iCR1Ys8lkW&#10;w5HyDslY518yLVHYVNhCI8RI5HjtfGBGyjuXENhpwestFyIadr9bC4uOBJpmG78R/Q83oVBX4WKW&#10;zQYx/gFCcg+zJLis8CIN3xhHqMCDxf4d+QYlg3iDjL7f9WNldrq+BU2tHnobJhs2rbafMeqgryvs&#10;Ph2IZRiJVwrqUkzzPAxCNPLZPAPDnt/szm+IogBVYY/RsF37ODxRJnMF9dvyKGegNzAZqw79GlUe&#10;ZysMxLkdvX7/T1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p6UAbXAAAABQEAAA8AAAAAAAAA&#10;AQAgAAAAIgAAAGRycy9kb3ducmV2LnhtbFBLAQIUABQAAAAIAIdO4kDG3bLESwIAAJcEAAAOAAAA&#10;AAAAAAEAIAAAACYBAABkcnMvZTJvRG9jLnhtbFBLBQYAAAAABgAGAFkBAADjBQAAAAA=&#10;">
                  <v:fill on="t" focussize="0,0"/>
                  <v:stroke color="#FFFFFF" miterlimit="8" joinstyle="miter"/>
                  <v:imagedata o:title=""/>
                  <o:lock v:ext="edit" aspectratio="f"/>
                  <v:textbox style="mso-fit-shape-to-text:t;">
                    <w:txbxContent>
                      <w:p>
                        <w:pPr>
                          <w:pStyle w:val="30"/>
                          <w:spacing w:before="0" w:beforeAutospacing="0" w:after="0" w:afterAutospacing="0"/>
                          <w:jc w:val="both"/>
                        </w:pPr>
                        <w:r>
                          <w:rPr>
                            <w:rFonts w:hint="eastAsia" w:ascii="Times New Roman"/>
                            <w:kern w:val="2"/>
                            <w:sz w:val="21"/>
                            <w:szCs w:val="21"/>
                          </w:rPr>
                          <w:t>代表</w:t>
                        </w:r>
                        <w:r>
                          <w:rPr>
                            <w:rFonts w:hint="eastAsia" w:ascii="Times New Roman" w:hAnsi="Times New Roman"/>
                            <w:kern w:val="2"/>
                            <w:sz w:val="21"/>
                            <w:szCs w:val="21"/>
                          </w:rPr>
                          <w:t>粉末</w:t>
                        </w:r>
                      </w:p>
                    </w:txbxContent>
                  </v:textbox>
                </v:shape>
                <w10:wrap type="none"/>
                <w10:anchorlock/>
              </v:group>
            </w:pict>
          </mc:Fallback>
        </mc:AlternateContent>
      </w:r>
    </w:p>
    <w:p>
      <w:pPr>
        <w:pStyle w:val="127"/>
        <w:numPr>
          <w:ilvl w:val="0"/>
          <w:numId w:val="0"/>
        </w:numPr>
        <w:spacing w:before="156" w:after="156"/>
        <w:ind w:leftChars="0"/>
        <w:jc w:val="center"/>
      </w:pPr>
      <w:r>
        <w:rPr>
          <w:rFonts w:hint="eastAsia"/>
          <w:lang w:val="en-US" w:eastAsia="zh-CN"/>
        </w:rPr>
        <w:t xml:space="preserve">图1  </w:t>
      </w:r>
      <w:r>
        <w:rPr>
          <w:rFonts w:hint="eastAsia"/>
        </w:rPr>
        <w:t>产品</w:t>
      </w:r>
      <w:r>
        <w:t>牌号命名规则</w:t>
      </w:r>
    </w:p>
    <w:p>
      <w:pPr>
        <w:pageBreakBefore w:val="0"/>
        <w:kinsoku/>
        <w:wordWrap/>
        <w:overflowPunct/>
        <w:topLinePunct w:val="0"/>
        <w:autoSpaceDE/>
        <w:bidi w:val="0"/>
        <w:adjustRightInd/>
        <w:snapToGrid/>
        <w:spacing w:before="156" w:beforeLines="50" w:beforeAutospacing="0" w:after="0" w:afterLines="0" w:afterAutospacing="0" w:line="360" w:lineRule="auto"/>
        <w:ind w:firstLine="420" w:firstLineChars="200"/>
        <w:jc w:val="both"/>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示例：FCo</w:t>
      </w:r>
      <w:r>
        <w:rPr>
          <w:rFonts w:hint="eastAsia" w:cs="Times New Roman"/>
          <w:sz w:val="21"/>
          <w:szCs w:val="21"/>
          <w:lang w:val="en-US" w:eastAsia="zh-CN"/>
        </w:rPr>
        <w:t>R</w:t>
      </w:r>
      <w:r>
        <w:rPr>
          <w:rFonts w:hint="default" w:ascii="Times New Roman" w:hAnsi="Times New Roman" w:eastAsia="宋体" w:cs="Times New Roman"/>
          <w:sz w:val="21"/>
          <w:szCs w:val="21"/>
        </w:rPr>
        <w:t>-1b</w:t>
      </w:r>
      <w:r>
        <w:rPr>
          <w:rFonts w:hint="default" w:ascii="Times New Roman" w:hAnsi="Times New Roman" w:eastAsia="宋体" w:cs="Times New Roman"/>
          <w:sz w:val="21"/>
          <w:szCs w:val="21"/>
          <w:lang w:eastAsia="zh-CN"/>
        </w:rPr>
        <w:t>表示牌号为</w:t>
      </w:r>
      <w:r>
        <w:rPr>
          <w:rFonts w:hint="default" w:ascii="Times New Roman" w:hAnsi="Times New Roman" w:eastAsia="宋体" w:cs="Times New Roman"/>
          <w:sz w:val="21"/>
          <w:szCs w:val="21"/>
        </w:rPr>
        <w:t>FCo</w:t>
      </w:r>
      <w:r>
        <w:rPr>
          <w:rFonts w:hint="eastAsia" w:cs="Times New Roman"/>
          <w:sz w:val="21"/>
          <w:szCs w:val="21"/>
          <w:lang w:val="en-US" w:eastAsia="zh-CN"/>
        </w:rPr>
        <w:t>R</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eastAsia="zh-CN"/>
        </w:rPr>
        <w:t>符合</w:t>
      </w:r>
      <w:r>
        <w:rPr>
          <w:rFonts w:hint="default" w:ascii="Times New Roman" w:hAnsi="Times New Roman" w:eastAsia="宋体" w:cs="Times New Roman"/>
          <w:sz w:val="21"/>
          <w:szCs w:val="21"/>
          <w:lang w:val="en-US" w:eastAsia="zh-CN"/>
        </w:rPr>
        <w:t>b类的产品</w:t>
      </w:r>
      <w:r>
        <w:rPr>
          <w:rFonts w:hint="default" w:ascii="Times New Roman" w:hAnsi="Times New Roman" w:eastAsia="宋体" w:cs="Times New Roman"/>
          <w:sz w:val="21"/>
          <w:szCs w:val="21"/>
          <w:lang w:eastAsia="zh-CN"/>
        </w:rPr>
        <w:t>。</w:t>
      </w:r>
    </w:p>
    <w:p>
      <w:pPr>
        <w:pStyle w:val="44"/>
        <w:spacing w:before="312" w:after="312"/>
        <w:rPr>
          <w:rFonts w:hint="eastAsia" w:hAnsi="黑体"/>
        </w:rPr>
      </w:pPr>
      <w:r>
        <w:rPr>
          <w:rFonts w:hint="eastAsia" w:hAnsi="黑体"/>
          <w:lang w:val="en-US" w:eastAsia="zh-CN"/>
        </w:rPr>
        <w:t>技术要求</w:t>
      </w:r>
    </w:p>
    <w:p>
      <w:pPr>
        <w:pStyle w:val="41"/>
        <w:bidi w:val="0"/>
      </w:pPr>
      <w:r>
        <w:rPr>
          <w:rFonts w:hint="eastAsia" w:hAnsi="宋体"/>
          <w:color w:val="auto"/>
          <w:kern w:val="2"/>
          <w:szCs w:val="24"/>
        </w:rPr>
        <w:t>产品的</w:t>
      </w:r>
      <w:r>
        <w:rPr>
          <w:rFonts w:hint="eastAsia"/>
          <w:color w:val="auto"/>
        </w:rPr>
        <w:t>费氏粒度</w:t>
      </w:r>
      <w:r>
        <w:rPr>
          <w:rFonts w:hint="default" w:ascii="Times New Roman" w:hAnsi="Times New Roman" w:cs="Times New Roman"/>
          <w:szCs w:val="22"/>
        </w:rPr>
        <w:t>、松装密度、中位径</w:t>
      </w:r>
      <w:r>
        <w:rPr>
          <w:rFonts w:hint="eastAsia" w:ascii="Times New Roman" w:cs="Times New Roman"/>
          <w:szCs w:val="22"/>
          <w:lang w:val="en-US" w:eastAsia="zh-CN"/>
        </w:rPr>
        <w:t>和</w:t>
      </w:r>
      <w:r>
        <w:rPr>
          <w:rFonts w:hint="default" w:ascii="Times New Roman" w:hAnsi="Times New Roman" w:cs="Times New Roman"/>
          <w:szCs w:val="22"/>
        </w:rPr>
        <w:t>氧含量</w:t>
      </w:r>
      <w:r>
        <w:rPr>
          <w:rFonts w:hint="eastAsia" w:ascii="Times New Roman" w:cs="Times New Roman"/>
          <w:szCs w:val="22"/>
          <w:lang w:val="en-US" w:eastAsia="zh-CN"/>
        </w:rPr>
        <w:t>质量分数</w:t>
      </w:r>
    </w:p>
    <w:p>
      <w:pPr>
        <w:pageBreakBefore w:val="0"/>
        <w:kinsoku/>
        <w:wordWrap/>
        <w:overflowPunct/>
        <w:topLinePunct w:val="0"/>
        <w:autoSpaceDE/>
        <w:bidi w:val="0"/>
        <w:adjustRightInd/>
        <w:snapToGrid/>
        <w:spacing w:before="156" w:beforeLines="50" w:beforeAutospacing="0" w:after="0" w:afterLines="0" w:afterAutospacing="0" w:line="360" w:lineRule="auto"/>
        <w:ind w:firstLine="420" w:firstLineChars="20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产品</w:t>
      </w:r>
      <w:r>
        <w:rPr>
          <w:rFonts w:hint="default" w:ascii="Times New Roman" w:hAnsi="Times New Roman" w:eastAsia="宋体" w:cs="Times New Roman"/>
          <w:sz w:val="21"/>
          <w:szCs w:val="21"/>
          <w:lang w:eastAsia="zh-CN"/>
        </w:rPr>
        <w:t>的费氏粒度、松装密度、中位径、氧含量</w:t>
      </w:r>
      <w:r>
        <w:rPr>
          <w:rFonts w:hint="eastAsia" w:ascii="Times New Roman" w:hAnsi="Times New Roman" w:eastAsia="宋体" w:cs="Times New Roman"/>
          <w:sz w:val="21"/>
          <w:szCs w:val="21"/>
          <w:lang w:val="en-US" w:eastAsia="zh-CN"/>
        </w:rPr>
        <w:t>质量分数</w:t>
      </w:r>
      <w:r>
        <w:rPr>
          <w:rFonts w:hint="eastAsia" w:ascii="Times New Roman" w:hAnsi="Times New Roman" w:eastAsia="宋体" w:cs="Times New Roman"/>
          <w:sz w:val="21"/>
          <w:szCs w:val="21"/>
          <w:lang w:eastAsia="zh-CN"/>
        </w:rPr>
        <w:t>应符合</w:t>
      </w:r>
      <w:r>
        <w:rPr>
          <w:rFonts w:hint="default" w:ascii="Times New Roman" w:hAnsi="Times New Roman" w:eastAsia="宋体" w:cs="Times New Roman"/>
          <w:sz w:val="21"/>
          <w:szCs w:val="21"/>
          <w:lang w:eastAsia="zh-CN"/>
        </w:rPr>
        <w:t>表</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的规定。</w:t>
      </w:r>
    </w:p>
    <w:p>
      <w:pPr>
        <w:pStyle w:val="125"/>
        <w:numPr>
          <w:ilvl w:val="0"/>
          <w:numId w:val="0"/>
        </w:numPr>
        <w:spacing w:before="156" w:after="156"/>
        <w:jc w:val="center"/>
        <w:rPr>
          <w:rFonts w:ascii="宋体" w:eastAsia="宋体"/>
          <w:szCs w:val="22"/>
        </w:rPr>
      </w:pPr>
      <w:r>
        <w:rPr>
          <w:rFonts w:hint="eastAsia"/>
        </w:rPr>
        <w:t>表1 产品</w:t>
      </w:r>
      <w:r>
        <w:t>的</w:t>
      </w:r>
      <w:r>
        <w:rPr>
          <w:rFonts w:hint="eastAsia"/>
        </w:rPr>
        <w:t>费氏粒度、松装密度、中位径、氧含量和碳含量</w:t>
      </w:r>
    </w:p>
    <w:tbl>
      <w:tblPr>
        <w:tblStyle w:val="32"/>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070"/>
        <w:gridCol w:w="2215"/>
        <w:gridCol w:w="1840"/>
        <w:gridCol w:w="24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pct"/>
            <w:tcBorders>
              <w:bottom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082" w:type="pct"/>
            <w:tcBorders>
              <w:bottom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费氏粒度</w:t>
            </w:r>
            <w:r>
              <w:rPr>
                <w:rFonts w:hint="default" w:ascii="Times New Roman" w:hAnsi="Times New Roman" w:cs="Times New Roman"/>
                <w:i/>
                <w:iCs/>
                <w:sz w:val="18"/>
                <w:szCs w:val="18"/>
              </w:rPr>
              <w:t>Fsss</w:t>
            </w:r>
            <w:r>
              <w:rPr>
                <w:rFonts w:hint="eastAsia" w:cs="Times New Roman"/>
                <w:i/>
                <w:iCs/>
                <w:sz w:val="18"/>
                <w:szCs w:val="18"/>
                <w:lang w:val="en-US" w:eastAsia="zh-CN"/>
              </w:rPr>
              <w:t xml:space="preserve"> </w:t>
            </w:r>
            <w:r>
              <w:rPr>
                <w:rFonts w:hint="default" w:ascii="Times New Roman" w:hAnsi="Times New Roman" w:cs="Times New Roman"/>
                <w:sz w:val="18"/>
                <w:szCs w:val="18"/>
              </w:rPr>
              <w:t>/μm</w:t>
            </w:r>
          </w:p>
        </w:tc>
        <w:tc>
          <w:tcPr>
            <w:tcW w:w="1158" w:type="pct"/>
            <w:tcBorders>
              <w:bottom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松装密度</w:t>
            </w:r>
            <w:r>
              <w:rPr>
                <w:rFonts w:hint="default" w:ascii="Times New Roman" w:hAnsi="Times New Roman" w:cs="Times New Roman"/>
                <w:i/>
                <w:iCs/>
                <w:sz w:val="18"/>
                <w:szCs w:val="18"/>
              </w:rPr>
              <w:t>ρ</w:t>
            </w:r>
            <w:r>
              <w:rPr>
                <w:rFonts w:hint="default" w:ascii="Times New Roman" w:hAnsi="Times New Roman" w:cs="Times New Roman"/>
                <w:i/>
                <w:iCs/>
                <w:sz w:val="18"/>
                <w:szCs w:val="18"/>
                <w:vertAlign w:val="subscript"/>
              </w:rPr>
              <w:t>a</w:t>
            </w:r>
            <w:r>
              <w:rPr>
                <w:rFonts w:hint="eastAsia" w:cs="Times New Roman"/>
                <w:i/>
                <w:iCs/>
                <w:sz w:val="18"/>
                <w:szCs w:val="18"/>
                <w:vertAlign w:val="subscript"/>
                <w:lang w:val="en-US" w:eastAsia="zh-CN"/>
              </w:rPr>
              <w:t xml:space="preserve"> </w:t>
            </w:r>
            <w:r>
              <w:rPr>
                <w:rFonts w:hint="default" w:ascii="Times New Roman" w:hAnsi="Times New Roman" w:cs="Times New Roman"/>
                <w:sz w:val="18"/>
                <w:szCs w:val="18"/>
              </w:rPr>
              <w:t>/(g/cm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w:t>
            </w:r>
          </w:p>
        </w:tc>
        <w:tc>
          <w:tcPr>
            <w:tcW w:w="962" w:type="pct"/>
            <w:tcBorders>
              <w:bottom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中位径</w:t>
            </w:r>
            <w:r>
              <w:rPr>
                <w:rFonts w:hint="default" w:ascii="Times New Roman" w:hAnsi="Times New Roman" w:cs="Times New Roman"/>
                <w:i/>
                <w:sz w:val="18"/>
                <w:szCs w:val="18"/>
              </w:rPr>
              <w:t>D</w:t>
            </w:r>
            <w:r>
              <w:rPr>
                <w:rFonts w:hint="default" w:ascii="Times New Roman" w:hAnsi="Times New Roman" w:cs="Times New Roman"/>
                <w:i/>
                <w:sz w:val="18"/>
                <w:szCs w:val="18"/>
                <w:vertAlign w:val="subscript"/>
              </w:rPr>
              <w:t>50</w:t>
            </w:r>
            <w:r>
              <w:rPr>
                <w:rFonts w:hint="eastAsia" w:cs="Times New Roman"/>
                <w:i/>
                <w:sz w:val="18"/>
                <w:szCs w:val="18"/>
                <w:vertAlign w:val="subscript"/>
                <w:lang w:val="en-US" w:eastAsia="zh-CN"/>
              </w:rPr>
              <w:t xml:space="preserve"> </w:t>
            </w:r>
            <w:r>
              <w:rPr>
                <w:rFonts w:hint="default" w:ascii="Times New Roman" w:hAnsi="Times New Roman" w:cs="Times New Roman"/>
                <w:sz w:val="18"/>
                <w:szCs w:val="18"/>
              </w:rPr>
              <w:t>/μm</w:t>
            </w:r>
          </w:p>
        </w:tc>
        <w:tc>
          <w:tcPr>
            <w:tcW w:w="1270" w:type="pct"/>
            <w:tcBorders>
              <w:bottom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氧含量质量分数</w:t>
            </w:r>
            <w:r>
              <w:rPr>
                <w:rFonts w:hint="eastAsia" w:cs="Times New Roman"/>
                <w:sz w:val="18"/>
                <w:szCs w:val="18"/>
                <w:lang w:val="en-US" w:eastAsia="zh-CN"/>
              </w:rPr>
              <w:t xml:space="preserve"> </w:t>
            </w:r>
            <w:r>
              <w:rPr>
                <w:rFonts w:hint="default" w:ascii="Times New Roman" w:hAnsi="Times New Roman" w:cs="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tcBorders>
              <w:top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lang w:val="en-US" w:eastAsia="zh-CN"/>
              </w:rPr>
              <w:t>a</w:t>
            </w:r>
          </w:p>
        </w:tc>
        <w:tc>
          <w:tcPr>
            <w:tcW w:w="2070" w:type="dxa"/>
            <w:tcBorders>
              <w:top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≤0.60</w:t>
            </w:r>
          </w:p>
        </w:tc>
        <w:tc>
          <w:tcPr>
            <w:tcW w:w="2215" w:type="dxa"/>
            <w:tcBorders>
              <w:top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0.60~0.80</w:t>
            </w:r>
          </w:p>
        </w:tc>
        <w:tc>
          <w:tcPr>
            <w:tcW w:w="1840" w:type="dxa"/>
            <w:tcBorders>
              <w:top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2437" w:type="dxa"/>
            <w:tcBorders>
              <w:top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lang w:val="en-US" w:eastAsia="zh-CN"/>
              </w:rPr>
              <w:t>b</w:t>
            </w:r>
          </w:p>
        </w:tc>
        <w:tc>
          <w:tcPr>
            <w:tcW w:w="207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0.60＜FSSS≤0.70</w:t>
            </w:r>
          </w:p>
        </w:tc>
        <w:tc>
          <w:tcPr>
            <w:tcW w:w="2215"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eastAsia" w:ascii="Times New Roman" w:hAnsi="Times New Roman" w:eastAsia="宋体" w:cs="Times New Roman"/>
                <w:i w:val="0"/>
                <w:iCs w:val="0"/>
                <w:color w:val="000000"/>
                <w:kern w:val="0"/>
                <w:sz w:val="18"/>
                <w:szCs w:val="18"/>
                <w:highlight w:val="none"/>
                <w:u w:val="none"/>
                <w:lang w:val="en-US" w:eastAsia="zh-CN" w:bidi="ar"/>
              </w:rPr>
              <w:t>0.50~0.80</w:t>
            </w:r>
          </w:p>
        </w:tc>
        <w:tc>
          <w:tcPr>
            <w:tcW w:w="184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2437"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lang w:val="en-US" w:eastAsia="zh-CN"/>
              </w:rPr>
              <w:t>c</w:t>
            </w:r>
          </w:p>
        </w:tc>
        <w:tc>
          <w:tcPr>
            <w:tcW w:w="207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0.70＜FSSS≤0.80</w:t>
            </w:r>
          </w:p>
        </w:tc>
        <w:tc>
          <w:tcPr>
            <w:tcW w:w="2215"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0.60~0.80</w:t>
            </w:r>
          </w:p>
        </w:tc>
        <w:tc>
          <w:tcPr>
            <w:tcW w:w="184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2437"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lang w:val="en-US" w:eastAsia="zh-CN"/>
              </w:rPr>
              <w:t>d</w:t>
            </w:r>
          </w:p>
        </w:tc>
        <w:tc>
          <w:tcPr>
            <w:tcW w:w="207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0.8＜FSSS≤1.0</w:t>
            </w:r>
          </w:p>
        </w:tc>
        <w:tc>
          <w:tcPr>
            <w:tcW w:w="2215"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0.60~0.80</w:t>
            </w:r>
          </w:p>
        </w:tc>
        <w:tc>
          <w:tcPr>
            <w:tcW w:w="184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2437"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lang w:val="en-US" w:eastAsia="zh-CN"/>
              </w:rPr>
              <w:t>e</w:t>
            </w:r>
          </w:p>
        </w:tc>
        <w:tc>
          <w:tcPr>
            <w:tcW w:w="207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1.0＜FSSS≤1.50</w:t>
            </w:r>
          </w:p>
        </w:tc>
        <w:tc>
          <w:tcPr>
            <w:tcW w:w="2215"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eastAsia" w:ascii="Times New Roman" w:hAnsi="Times New Roman" w:eastAsia="宋体" w:cs="Times New Roman"/>
                <w:i w:val="0"/>
                <w:iCs w:val="0"/>
                <w:color w:val="000000"/>
                <w:kern w:val="0"/>
                <w:sz w:val="18"/>
                <w:szCs w:val="18"/>
                <w:highlight w:val="none"/>
                <w:u w:val="none"/>
                <w:lang w:val="en-US" w:eastAsia="zh-CN" w:bidi="ar"/>
              </w:rPr>
              <w:t>0.60~1.20</w:t>
            </w:r>
          </w:p>
        </w:tc>
        <w:tc>
          <w:tcPr>
            <w:tcW w:w="184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≤1</w:t>
            </w:r>
            <w:r>
              <w:rPr>
                <w:rFonts w:hint="eastAsia" w:ascii="Times New Roman" w:hAnsi="Times New Roman" w:eastAsia="宋体" w:cs="Times New Roman"/>
                <w:i w:val="0"/>
                <w:iCs w:val="0"/>
                <w:color w:val="000000"/>
                <w:kern w:val="0"/>
                <w:sz w:val="18"/>
                <w:szCs w:val="18"/>
                <w:highlight w:val="none"/>
                <w:u w:val="none"/>
                <w:lang w:val="en-US" w:eastAsia="zh-CN" w:bidi="ar"/>
              </w:rPr>
              <w:t>5</w:t>
            </w:r>
          </w:p>
        </w:tc>
        <w:tc>
          <w:tcPr>
            <w:tcW w:w="2437"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lang w:val="en-US" w:eastAsia="zh-CN"/>
              </w:rPr>
              <w:t>f</w:t>
            </w:r>
          </w:p>
        </w:tc>
        <w:tc>
          <w:tcPr>
            <w:tcW w:w="207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1.50＜FSSS≤2.00</w:t>
            </w:r>
          </w:p>
        </w:tc>
        <w:tc>
          <w:tcPr>
            <w:tcW w:w="2215"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eastAsia" w:ascii="Times New Roman" w:hAnsi="Times New Roman" w:eastAsia="宋体" w:cs="Times New Roman"/>
                <w:i w:val="0"/>
                <w:iCs w:val="0"/>
                <w:color w:val="000000"/>
                <w:kern w:val="0"/>
                <w:sz w:val="18"/>
                <w:szCs w:val="18"/>
                <w:highlight w:val="none"/>
                <w:u w:val="none"/>
                <w:lang w:val="en-US" w:eastAsia="zh-CN" w:bidi="ar"/>
              </w:rPr>
              <w:t>0.60~1.20</w:t>
            </w:r>
          </w:p>
        </w:tc>
        <w:tc>
          <w:tcPr>
            <w:tcW w:w="184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≤1</w:t>
            </w:r>
            <w:r>
              <w:rPr>
                <w:rFonts w:hint="eastAsia" w:ascii="Times New Roman" w:hAnsi="Times New Roman" w:eastAsia="宋体" w:cs="Times New Roman"/>
                <w:i w:val="0"/>
                <w:iCs w:val="0"/>
                <w:color w:val="000000"/>
                <w:kern w:val="0"/>
                <w:sz w:val="18"/>
                <w:szCs w:val="18"/>
                <w:highlight w:val="none"/>
                <w:u w:val="none"/>
                <w:lang w:val="en-US" w:eastAsia="zh-CN" w:bidi="ar"/>
              </w:rPr>
              <w:t>5</w:t>
            </w:r>
          </w:p>
        </w:tc>
        <w:tc>
          <w:tcPr>
            <w:tcW w:w="2437"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18"/>
                <w:szCs w:val="18"/>
                <w:highlight w:val="none"/>
                <w:lang w:val="en-US" w:eastAsia="zh-CN"/>
              </w:rPr>
            </w:pPr>
            <w:r>
              <w:rPr>
                <w:rFonts w:hint="default" w:ascii="Times New Roman" w:hAnsi="Times New Roman" w:eastAsia="宋体" w:cs="Times New Roman"/>
                <w:sz w:val="18"/>
                <w:szCs w:val="18"/>
                <w:lang w:val="en-US" w:eastAsia="zh-CN"/>
              </w:rPr>
              <w:t>g</w:t>
            </w:r>
          </w:p>
        </w:tc>
        <w:tc>
          <w:tcPr>
            <w:tcW w:w="207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2215"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eastAsia" w:ascii="Times New Roman" w:hAnsi="Times New Roman" w:eastAsia="宋体" w:cs="Times New Roman"/>
                <w:i w:val="0"/>
                <w:iCs w:val="0"/>
                <w:color w:val="000000"/>
                <w:kern w:val="0"/>
                <w:sz w:val="18"/>
                <w:szCs w:val="18"/>
                <w:highlight w:val="none"/>
                <w:u w:val="none"/>
                <w:lang w:val="en-US" w:eastAsia="zh-CN" w:bidi="ar"/>
              </w:rPr>
              <w:t>0.80~2.30</w:t>
            </w:r>
          </w:p>
        </w:tc>
        <w:tc>
          <w:tcPr>
            <w:tcW w:w="1840"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Fonts w:hint="eastAsia" w:ascii="Times New Roman" w:hAnsi="Times New Roman" w:eastAsia="宋体" w:cs="Times New Roman"/>
                <w:i w:val="0"/>
                <w:iCs w:val="0"/>
                <w:color w:val="000000"/>
                <w:kern w:val="0"/>
                <w:sz w:val="18"/>
                <w:szCs w:val="18"/>
                <w:highlight w:val="none"/>
                <w:u w:val="none"/>
                <w:lang w:val="en-US" w:eastAsia="zh-CN" w:bidi="ar"/>
              </w:rPr>
              <w:t>30</w:t>
            </w:r>
          </w:p>
        </w:tc>
        <w:tc>
          <w:tcPr>
            <w:tcW w:w="2437" w:type="dxa"/>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highlight w:val="none"/>
                <w:u w:val="none"/>
                <w:lang w:val="en-US" w:eastAsia="zh-CN" w:bidi="ar"/>
              </w:rPr>
              <w:t>≤0.40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 xml:space="preserve">    注：如需方有特殊要求时，由供需双方协商确定，并在合同中注明。</w:t>
            </w:r>
          </w:p>
        </w:tc>
      </w:tr>
    </w:tbl>
    <w:p>
      <w:pPr>
        <w:pStyle w:val="41"/>
        <w:bidi w:val="0"/>
        <w:rPr>
          <w:rFonts w:hint="eastAsia"/>
        </w:rPr>
      </w:pPr>
      <w:r>
        <w:rPr>
          <w:rFonts w:hint="eastAsia"/>
        </w:rPr>
        <w:t>产品的化学成分</w:t>
      </w:r>
    </w:p>
    <w:p>
      <w:pPr>
        <w:spacing w:line="400" w:lineRule="exact"/>
        <w:ind w:firstLine="420" w:firstLineChars="200"/>
        <w:rPr>
          <w:rFonts w:hint="eastAsia" w:ascii="黑体" w:eastAsia="黑体"/>
        </w:rPr>
      </w:pPr>
      <w:r>
        <w:rPr>
          <w:rFonts w:hint="eastAsia" w:ascii="宋体"/>
        </w:rPr>
        <w:t>产品的化学成分应符</w:t>
      </w:r>
      <w:r>
        <w:rPr>
          <w:rFonts w:hint="default" w:ascii="Times New Roman" w:hAnsi="Times New Roman" w:cs="Times New Roman"/>
        </w:rPr>
        <w:t>合表2的</w:t>
      </w:r>
      <w:r>
        <w:rPr>
          <w:rFonts w:hint="eastAsia" w:ascii="宋体"/>
        </w:rPr>
        <w:t>规定。</w:t>
      </w:r>
    </w:p>
    <w:p>
      <w:pPr>
        <w:spacing w:before="156" w:beforeLines="50"/>
        <w:jc w:val="center"/>
        <w:rPr>
          <w:rFonts w:ascii="黑体" w:eastAsia="黑体"/>
        </w:rPr>
      </w:pPr>
      <w:r>
        <w:rPr>
          <w:rFonts w:hint="eastAsia" w:ascii="黑体" w:eastAsia="黑体"/>
        </w:rPr>
        <w:t xml:space="preserve">表2 产品的化学成分                         </w:t>
      </w:r>
    </w:p>
    <w:tbl>
      <w:tblPr>
        <w:tblStyle w:val="32"/>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841"/>
        <w:gridCol w:w="3431"/>
        <w:gridCol w:w="30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8" w:type="pct"/>
            <w:gridSpan w:val="2"/>
            <w:vMerge w:val="restart"/>
            <w:vAlign w:val="center"/>
          </w:tcPr>
          <w:p>
            <w:pPr>
              <w:keepNext w:val="0"/>
              <w:keepLines w:val="0"/>
              <w:pageBreakBefore w:val="0"/>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化学成分</w:t>
            </w:r>
            <w:r>
              <w:rPr>
                <w:rFonts w:hint="default" w:ascii="Times New Roman" w:hAnsi="Times New Roman" w:eastAsia="宋体" w:cs="Times New Roman"/>
                <w:b w:val="0"/>
                <w:bCs w:val="0"/>
                <w:color w:val="auto"/>
                <w:kern w:val="0"/>
                <w:sz w:val="18"/>
                <w:szCs w:val="18"/>
                <w:lang w:eastAsia="zh-CN"/>
              </w:rPr>
              <w:t>（</w:t>
            </w:r>
            <w:r>
              <w:rPr>
                <w:rFonts w:hint="default" w:ascii="Times New Roman" w:hAnsi="Times New Roman" w:eastAsia="宋体" w:cs="Times New Roman"/>
                <w:b w:val="0"/>
                <w:bCs w:val="0"/>
                <w:sz w:val="18"/>
                <w:szCs w:val="18"/>
              </w:rPr>
              <w:t>质量分数</w:t>
            </w:r>
            <w:r>
              <w:rPr>
                <w:rFonts w:hint="default" w:ascii="Times New Roman" w:hAnsi="Times New Roman" w:eastAsia="宋体" w:cs="Times New Roman"/>
                <w:b w:val="0"/>
                <w:bCs w:val="0"/>
                <w:sz w:val="18"/>
                <w:szCs w:val="18"/>
                <w:lang w:val="en-US" w:eastAsia="zh-CN"/>
              </w:rPr>
              <w:t>/</w:t>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color w:val="auto"/>
                <w:kern w:val="0"/>
                <w:sz w:val="18"/>
                <w:szCs w:val="18"/>
                <w:lang w:eastAsia="zh-CN"/>
              </w:rPr>
              <w:t>）</w:t>
            </w:r>
          </w:p>
        </w:tc>
        <w:tc>
          <w:tcPr>
            <w:tcW w:w="3381" w:type="pct"/>
            <w:gridSpan w:val="2"/>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牌号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8" w:type="pct"/>
            <w:gridSpan w:val="2"/>
            <w:vMerge w:val="continue"/>
            <w:tcBorders>
              <w:bottom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1793" w:type="pct"/>
            <w:tcBorders>
              <w:bottom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FCoR-1</w:t>
            </w:r>
          </w:p>
        </w:tc>
        <w:tc>
          <w:tcPr>
            <w:tcW w:w="1587" w:type="pct"/>
            <w:tcBorders>
              <w:bottom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FCoR-2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tcBorders>
              <w:top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余量</w:t>
            </w:r>
          </w:p>
        </w:tc>
        <w:tc>
          <w:tcPr>
            <w:tcW w:w="961" w:type="pct"/>
            <w:tcBorders>
              <w:top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Co</w:t>
            </w:r>
          </w:p>
        </w:tc>
        <w:tc>
          <w:tcPr>
            <w:tcW w:w="1793" w:type="pct"/>
            <w:tcBorders>
              <w:top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≥99.9</w:t>
            </w:r>
          </w:p>
        </w:tc>
        <w:tc>
          <w:tcPr>
            <w:tcW w:w="1587" w:type="pct"/>
            <w:tcBorders>
              <w:top w:val="single" w:color="auto" w:sz="8" w:space="0"/>
            </w:tcBorders>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≥99.8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restar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杂质元素，</w:t>
            </w:r>
          </w:p>
          <w:p>
            <w:pPr>
              <w:keepNext w:val="0"/>
              <w:keepLines w:val="0"/>
              <w:pageBreakBefore w:val="0"/>
              <w:widowControl/>
              <w:kinsoku/>
              <w:wordWrap/>
              <w:overflowPunct/>
              <w:topLinePunct w:val="0"/>
              <w:autoSpaceDE/>
              <w:bidi w:val="0"/>
              <w:adjustRightInd/>
              <w:snapToGrid/>
              <w:ind w:firstLine="180" w:firstLineChars="100"/>
              <w:jc w:val="both"/>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不大于</w:t>
            </w: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Ni</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0.003</w:t>
            </w:r>
          </w:p>
        </w:tc>
        <w:tc>
          <w:tcPr>
            <w:tcW w:w="1587"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Cu</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Fe</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0.003</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Pb</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lang w:eastAsia="zh-CN"/>
              </w:rPr>
            </w:pPr>
            <w:r>
              <w:rPr>
                <w:rFonts w:hint="default" w:ascii="Times New Roman" w:hAnsi="Times New Roman" w:eastAsia="宋体" w:cs="Times New Roman"/>
                <w:b w:val="0"/>
                <w:bCs w:val="0"/>
                <w:color w:val="auto"/>
                <w:sz w:val="18"/>
                <w:szCs w:val="18"/>
              </w:rPr>
              <w:t>0.00</w:t>
            </w:r>
            <w:r>
              <w:rPr>
                <w:rFonts w:hint="default" w:ascii="Times New Roman" w:hAnsi="Times New Roman" w:eastAsia="宋体" w:cs="Times New Roman"/>
                <w:b w:val="0"/>
                <w:bCs w:val="0"/>
                <w:color w:val="auto"/>
                <w:sz w:val="18"/>
                <w:szCs w:val="18"/>
                <w:lang w:val="en-US" w:eastAsia="zh-CN"/>
              </w:rPr>
              <w:t>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Zn</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highlight w:val="yellow"/>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Cd</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Ca</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Cr</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Mg</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Mn</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Na</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0.003</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Si</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highlight w:val="yellow"/>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Al</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S</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0.002</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pct"/>
            <w:vMerge w:val="continue"/>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p>
        </w:tc>
        <w:tc>
          <w:tcPr>
            <w:tcW w:w="961" w:type="pct"/>
            <w:vAlign w:val="center"/>
          </w:tcPr>
          <w:p>
            <w:pPr>
              <w:keepNext w:val="0"/>
              <w:keepLines w:val="0"/>
              <w:pageBreakBefore w:val="0"/>
              <w:widowControl/>
              <w:kinsoku/>
              <w:wordWrap/>
              <w:overflowPunct/>
              <w:topLinePunct w:val="0"/>
              <w:autoSpaceDE/>
              <w:bidi w:val="0"/>
              <w:adjustRightInd/>
              <w:snapToGrid/>
              <w:jc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Mo</w:t>
            </w:r>
          </w:p>
        </w:tc>
        <w:tc>
          <w:tcPr>
            <w:tcW w:w="1793"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sz w:val="18"/>
                <w:szCs w:val="18"/>
              </w:rPr>
              <w:t>0.003</w:t>
            </w:r>
          </w:p>
        </w:tc>
        <w:tc>
          <w:tcPr>
            <w:tcW w:w="1587" w:type="pct"/>
            <w:vAlign w:val="center"/>
          </w:tcPr>
          <w:p>
            <w:pPr>
              <w:keepNext w:val="0"/>
              <w:keepLines w:val="0"/>
              <w:pageBreakBefore w:val="0"/>
              <w:kinsoku/>
              <w:wordWrap/>
              <w:overflowPunct/>
              <w:topLinePunct w:val="0"/>
              <w:autoSpaceDE/>
              <w:autoSpaceDN w:val="0"/>
              <w:bidi w:val="0"/>
              <w:adjustRightInd/>
              <w:snapToGrid/>
              <w:jc w:val="center"/>
              <w:textAlignment w:val="center"/>
              <w:rPr>
                <w:rFonts w:hint="default" w:ascii="Times New Roman" w:hAnsi="Times New Roman" w:eastAsia="宋体" w:cs="Times New Roman"/>
                <w:b w:val="0"/>
                <w:bCs w:val="0"/>
                <w:color w:val="auto"/>
                <w:sz w:val="18"/>
                <w:szCs w:val="18"/>
              </w:rPr>
            </w:pPr>
            <w:r>
              <w:rPr>
                <w:rFonts w:hint="default" w:ascii="Times New Roman" w:hAnsi="Times New Roman" w:eastAsia="宋体" w:cs="Times New Roman"/>
                <w:b w:val="0"/>
                <w:bCs w:val="0"/>
                <w:color w:val="auto"/>
                <w:sz w:val="18"/>
                <w:szCs w:val="18"/>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vAlign w:val="center"/>
          </w:tcPr>
          <w:p>
            <w:pPr>
              <w:keepNext w:val="0"/>
              <w:keepLines w:val="0"/>
              <w:pageBreakBefore w:val="0"/>
              <w:widowControl/>
              <w:kinsoku/>
              <w:wordWrap/>
              <w:overflowPunct/>
              <w:topLinePunct w:val="0"/>
              <w:autoSpaceDE/>
              <w:bidi w:val="0"/>
              <w:adjustRightInd/>
              <w:snapToGrid/>
              <w:jc w:val="left"/>
              <w:rPr>
                <w:rFonts w:hint="default" w:ascii="Times New Roman" w:hAnsi="Times New Roman" w:eastAsia="宋体" w:cs="Times New Roman"/>
                <w:b w:val="0"/>
                <w:bCs w:val="0"/>
                <w:color w:val="auto"/>
                <w:kern w:val="0"/>
                <w:sz w:val="18"/>
                <w:szCs w:val="18"/>
              </w:rPr>
            </w:pPr>
            <w:r>
              <w:rPr>
                <w:rFonts w:hint="default" w:ascii="Times New Roman" w:hAnsi="Times New Roman" w:eastAsia="宋体" w:cs="Times New Roman"/>
                <w:b w:val="0"/>
                <w:bCs w:val="0"/>
                <w:color w:val="auto"/>
                <w:kern w:val="0"/>
                <w:sz w:val="18"/>
                <w:szCs w:val="18"/>
              </w:rPr>
              <w:t xml:space="preserve">    注：钴含量用杂质减量法（不含氧）计算得到。</w:t>
            </w:r>
          </w:p>
        </w:tc>
      </w:tr>
    </w:tbl>
    <w:p>
      <w:pPr>
        <w:pStyle w:val="41"/>
        <w:bidi w:val="0"/>
        <w:rPr>
          <w:rFonts w:hint="eastAsia"/>
          <w:color w:val="auto"/>
        </w:rPr>
      </w:pPr>
      <w:r>
        <w:rPr>
          <w:rFonts w:hint="eastAsia"/>
          <w:color w:val="auto"/>
        </w:rPr>
        <w:t>外观质量</w:t>
      </w:r>
    </w:p>
    <w:p>
      <w:pPr>
        <w:pStyle w:val="41"/>
        <w:numPr>
          <w:ilvl w:val="1"/>
          <w:numId w:val="0"/>
        </w:numPr>
        <w:spacing w:beforeLines="0" w:afterLines="0"/>
        <w:ind w:firstLine="420" w:firstLineChars="200"/>
        <w:rPr>
          <w:rFonts w:hint="eastAsia" w:eastAsia="宋体"/>
        </w:rPr>
      </w:pPr>
      <w:r>
        <w:rPr>
          <w:rFonts w:hint="eastAsia" w:eastAsia="宋体"/>
        </w:rPr>
        <w:t>产品应呈灰黑色粉末状，无其他颜色混杂；产品应洁净、干燥、均匀、不得有结块及目视可见的夹杂物。</w:t>
      </w:r>
    </w:p>
    <w:p>
      <w:pPr>
        <w:pStyle w:val="44"/>
        <w:bidi w:val="0"/>
        <w:rPr>
          <w:rFonts w:hint="default" w:ascii="Times New Roman" w:hAnsi="Times New Roman" w:eastAsia="宋体" w:cs="Times New Roman"/>
          <w:sz w:val="21"/>
          <w:szCs w:val="21"/>
          <w:lang w:val="en-US" w:eastAsia="zh-CN" w:bidi="ar-SA"/>
        </w:rPr>
      </w:pPr>
      <w:r>
        <w:rPr>
          <w:rFonts w:hint="eastAsia"/>
        </w:rPr>
        <w:t>试验方法</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w:t>
      </w:r>
      <w:r>
        <w:rPr>
          <w:rFonts w:hint="eastAsia" w:ascii="Times New Roman" w:hAnsi="Times New Roman" w:eastAsia="宋体" w:cs="Times New Roman"/>
          <w:sz w:val="21"/>
          <w:szCs w:val="21"/>
          <w:lang w:val="en-US" w:eastAsia="zh-CN" w:bidi="ar-SA"/>
        </w:rPr>
        <w:t>费氏粒度</w:t>
      </w:r>
      <w:r>
        <w:rPr>
          <w:rFonts w:hint="default" w:ascii="Times New Roman" w:hAnsi="Times New Roman" w:eastAsia="宋体" w:cs="Times New Roman"/>
          <w:sz w:val="21"/>
          <w:szCs w:val="21"/>
          <w:lang w:val="en-US" w:eastAsia="zh-CN" w:bidi="ar-SA"/>
        </w:rPr>
        <w:t>的测定按GB/T</w:t>
      </w:r>
      <w:r>
        <w:rPr>
          <w:rFonts w:hint="eastAsia" w:ascii="Times New Roman" w:hAnsi="Times New Roman" w:eastAsia="宋体" w:cs="Times New Roman"/>
          <w:sz w:val="21"/>
          <w:szCs w:val="21"/>
          <w:lang w:val="en-US" w:eastAsia="zh-CN" w:bidi="ar-SA"/>
        </w:rPr>
        <w:t xml:space="preserve"> 3249-2022</w:t>
      </w:r>
      <w:r>
        <w:rPr>
          <w:rFonts w:hint="default" w:ascii="Times New Roman" w:hAnsi="Times New Roman" w:eastAsia="宋体" w:cs="Times New Roman"/>
          <w:sz w:val="21"/>
          <w:szCs w:val="21"/>
          <w:lang w:val="en-US" w:eastAsia="zh-CN" w:bidi="ar-SA"/>
        </w:rPr>
        <w:t>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产品的松装密度的测定按GB/T 1479.1</w:t>
      </w:r>
      <w:r>
        <w:rPr>
          <w:rFonts w:hint="eastAsia" w:ascii="Times New Roman" w:hAnsi="Times New Roman" w:eastAsia="宋体" w:cs="Times New Roman"/>
          <w:sz w:val="21"/>
          <w:szCs w:val="21"/>
          <w:lang w:val="en-US" w:eastAsia="zh-CN" w:bidi="ar-SA"/>
        </w:rPr>
        <w:t>-2011</w:t>
      </w:r>
      <w:r>
        <w:rPr>
          <w:rFonts w:hint="default" w:ascii="Times New Roman" w:hAnsi="Times New Roman" w:eastAsia="宋体" w:cs="Times New Roman"/>
          <w:sz w:val="21"/>
          <w:szCs w:val="21"/>
          <w:lang w:val="en-US" w:eastAsia="zh-CN" w:bidi="ar-SA"/>
        </w:rPr>
        <w:t>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w:t>
      </w:r>
      <w:r>
        <w:rPr>
          <w:rFonts w:hint="eastAsia" w:ascii="Times New Roman" w:hAnsi="Times New Roman" w:eastAsia="宋体" w:cs="Times New Roman"/>
          <w:sz w:val="21"/>
          <w:szCs w:val="21"/>
          <w:lang w:val="en-US" w:eastAsia="zh-CN" w:bidi="ar-SA"/>
        </w:rPr>
        <w:t>中位径</w:t>
      </w:r>
      <w:r>
        <w:rPr>
          <w:rFonts w:hint="default" w:ascii="Times New Roman" w:hAnsi="Times New Roman" w:eastAsia="宋体" w:cs="Times New Roman"/>
          <w:sz w:val="21"/>
          <w:szCs w:val="21"/>
          <w:lang w:val="en-US" w:eastAsia="zh-CN" w:bidi="ar-SA"/>
        </w:rPr>
        <w:t>（D</w:t>
      </w:r>
      <w:r>
        <w:rPr>
          <w:rFonts w:hint="default" w:ascii="Times New Roman" w:hAnsi="Times New Roman" w:eastAsia="宋体" w:cs="Times New Roman"/>
          <w:sz w:val="21"/>
          <w:szCs w:val="21"/>
          <w:vertAlign w:val="subscript"/>
          <w:lang w:val="en-US" w:eastAsia="zh-CN" w:bidi="ar-SA"/>
        </w:rPr>
        <w:t>50</w:t>
      </w:r>
      <w:r>
        <w:rPr>
          <w:rFonts w:hint="default" w:ascii="Times New Roman" w:hAnsi="Times New Roman" w:eastAsia="宋体" w:cs="Times New Roman"/>
          <w:sz w:val="21"/>
          <w:szCs w:val="21"/>
          <w:lang w:val="en-US" w:eastAsia="zh-CN" w:bidi="ar-SA"/>
        </w:rPr>
        <w:t>）的测定按GB/T 19077</w:t>
      </w:r>
      <w:r>
        <w:rPr>
          <w:rFonts w:hint="eastAsia" w:ascii="Times New Roman" w:hAnsi="Times New Roman" w:eastAsia="宋体" w:cs="Times New Roman"/>
          <w:sz w:val="21"/>
          <w:szCs w:val="21"/>
          <w:lang w:val="en-US" w:eastAsia="zh-CN" w:bidi="ar-SA"/>
        </w:rPr>
        <w:t>-2016</w:t>
      </w:r>
      <w:r>
        <w:rPr>
          <w:rFonts w:hint="default" w:ascii="Times New Roman" w:hAnsi="Times New Roman" w:eastAsia="宋体" w:cs="Times New Roman"/>
          <w:sz w:val="21"/>
          <w:szCs w:val="21"/>
          <w:lang w:val="en-US" w:eastAsia="zh-CN" w:bidi="ar-SA"/>
        </w:rPr>
        <w:t>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w:t>
      </w:r>
      <w:r>
        <w:rPr>
          <w:rFonts w:hint="eastAsia" w:ascii="Times New Roman" w:hAnsi="Times New Roman" w:eastAsia="宋体" w:cs="Times New Roman"/>
          <w:sz w:val="21"/>
          <w:szCs w:val="21"/>
          <w:lang w:val="en-US" w:eastAsia="zh-CN" w:bidi="ar-SA"/>
        </w:rPr>
        <w:t>氧</w:t>
      </w:r>
      <w:r>
        <w:rPr>
          <w:rFonts w:hint="default" w:ascii="Times New Roman" w:hAnsi="Times New Roman" w:eastAsia="宋体" w:cs="Times New Roman"/>
          <w:sz w:val="21"/>
          <w:szCs w:val="21"/>
          <w:lang w:val="en-US" w:eastAsia="zh-CN" w:bidi="ar-SA"/>
        </w:rPr>
        <w:t>含量的测定按YS/T 281</w:t>
      </w:r>
      <w:r>
        <w:rPr>
          <w:rFonts w:hint="eastAsia" w:ascii="Times New Roman" w:hAnsi="Times New Roman" w:eastAsia="宋体" w:cs="Times New Roman"/>
          <w:sz w:val="21"/>
          <w:szCs w:val="21"/>
          <w:lang w:val="en-US" w:eastAsia="zh-CN" w:bidi="ar-SA"/>
        </w:rPr>
        <w:t>-</w:t>
      </w:r>
      <w:r>
        <w:rPr>
          <w:rFonts w:hint="default" w:ascii="Times New Roman" w:hAnsi="Times New Roman" w:eastAsia="宋体" w:cs="Times New Roman"/>
          <w:sz w:val="21"/>
          <w:szCs w:val="21"/>
          <w:lang w:val="en-US" w:eastAsia="zh-CN" w:bidi="ar-SA"/>
        </w:rPr>
        <w:t>2011的规定进行。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产品中镍、铜、铁、钙、镁、铅、锌</w:t>
      </w:r>
      <w:r>
        <w:rPr>
          <w:rFonts w:hint="eastAsia" w:ascii="Times New Roman" w:hAnsi="Times New Roman" w:eastAsia="宋体" w:cs="Times New Roman"/>
          <w:sz w:val="21"/>
          <w:szCs w:val="21"/>
          <w:lang w:val="en-US" w:eastAsia="zh-CN" w:bidi="ar-SA"/>
        </w:rPr>
        <w:t>、</w:t>
      </w:r>
      <w:r>
        <w:rPr>
          <w:rFonts w:hint="eastAsia" w:ascii="Times New Roman" w:eastAsia="宋体" w:cs="Times New Roman"/>
          <w:sz w:val="21"/>
          <w:szCs w:val="21"/>
          <w:lang w:val="en-US" w:eastAsia="zh-CN" w:bidi="ar-SA"/>
        </w:rPr>
        <w:t>镉</w:t>
      </w:r>
      <w:r>
        <w:rPr>
          <w:rFonts w:hint="eastAsia" w:ascii="Times New Roman" w:hAnsi="Times New Roman" w:eastAsia="宋体" w:cs="Times New Roman"/>
          <w:sz w:val="21"/>
          <w:szCs w:val="21"/>
          <w:lang w:val="en-US" w:eastAsia="zh-CN" w:bidi="ar-SA"/>
        </w:rPr>
        <w:t>、</w:t>
      </w:r>
      <w:r>
        <w:rPr>
          <w:rFonts w:hint="default" w:ascii="Times New Roman" w:hAnsi="Times New Roman" w:eastAsia="宋体" w:cs="Times New Roman"/>
          <w:sz w:val="21"/>
          <w:szCs w:val="21"/>
          <w:lang w:val="en-US" w:eastAsia="zh-CN" w:bidi="ar-SA"/>
        </w:rPr>
        <w:t>锰</w:t>
      </w:r>
      <w:r>
        <w:rPr>
          <w:rFonts w:hint="eastAsia" w:ascii="Times New Roman" w:hAnsi="Times New Roman" w:eastAsia="宋体" w:cs="Times New Roman"/>
          <w:sz w:val="21"/>
          <w:szCs w:val="21"/>
          <w:lang w:val="en-US" w:eastAsia="zh-CN" w:bidi="ar-SA"/>
        </w:rPr>
        <w:t>、钠、铝、硅、硫、碳</w:t>
      </w:r>
      <w:r>
        <w:rPr>
          <w:rFonts w:hint="default" w:ascii="Times New Roman" w:hAnsi="Times New Roman" w:eastAsia="宋体" w:cs="Times New Roman"/>
          <w:sz w:val="21"/>
          <w:szCs w:val="21"/>
          <w:lang w:val="en-US" w:eastAsia="zh-CN" w:bidi="ar-SA"/>
        </w:rPr>
        <w:t>含量的测定按YS/T 281</w:t>
      </w:r>
      <w:r>
        <w:rPr>
          <w:rFonts w:hint="eastAsia" w:ascii="Times New Roman" w:hAnsi="Times New Roman" w:eastAsia="宋体" w:cs="Times New Roman"/>
          <w:sz w:val="21"/>
          <w:szCs w:val="21"/>
          <w:lang w:val="en-US" w:eastAsia="zh-CN" w:bidi="ar-SA"/>
        </w:rPr>
        <w:t>-</w:t>
      </w:r>
      <w:r>
        <w:rPr>
          <w:rFonts w:hint="default" w:ascii="Times New Roman" w:hAnsi="Times New Roman" w:eastAsia="宋体" w:cs="Times New Roman"/>
          <w:sz w:val="21"/>
          <w:szCs w:val="21"/>
          <w:lang w:val="en-US" w:eastAsia="zh-CN" w:bidi="ar-SA"/>
        </w:rPr>
        <w:t>2011的规定进行。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w:t>
      </w:r>
      <w:r>
        <w:rPr>
          <w:rFonts w:hint="eastAsia" w:ascii="Times New Roman" w:hAnsi="Times New Roman" w:eastAsia="宋体" w:cs="Times New Roman"/>
          <w:sz w:val="21"/>
          <w:szCs w:val="21"/>
          <w:lang w:val="en-US" w:eastAsia="zh-CN" w:bidi="ar-SA"/>
        </w:rPr>
        <w:t>铬的</w:t>
      </w:r>
      <w:r>
        <w:rPr>
          <w:rFonts w:hint="default" w:ascii="Times New Roman" w:hAnsi="Times New Roman" w:eastAsia="宋体" w:cs="Times New Roman"/>
          <w:sz w:val="21"/>
          <w:szCs w:val="21"/>
          <w:lang w:val="en-US" w:eastAsia="zh-CN" w:bidi="ar-SA"/>
        </w:rPr>
        <w:t>测定按GB/T 15076.9 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产品中钼的测定按GB/T 15076.5 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产品中</w:t>
      </w:r>
      <w:r>
        <w:rPr>
          <w:rFonts w:hint="eastAsia" w:ascii="Times New Roman" w:hAnsi="Times New Roman" w:eastAsia="宋体" w:cs="Times New Roman"/>
          <w:sz w:val="21"/>
          <w:szCs w:val="21"/>
          <w:lang w:val="en-US" w:eastAsia="zh-CN" w:bidi="ar-SA"/>
        </w:rPr>
        <w:t>氯的测定按</w:t>
      </w:r>
      <w:r>
        <w:rPr>
          <w:rFonts w:hint="eastAsia" w:ascii="Times New Roman" w:hAnsi="Times New Roman" w:eastAsia="宋体" w:cs="Times New Roman"/>
          <w:sz w:val="21"/>
          <w:szCs w:val="21"/>
          <w:highlight w:val="none"/>
          <w:lang w:val="en-US" w:eastAsia="zh-CN" w:bidi="ar-SA"/>
        </w:rPr>
        <w:t xml:space="preserve">YS/T 1057.2-2020 </w:t>
      </w:r>
      <w:r>
        <w:rPr>
          <w:rFonts w:hint="default" w:ascii="Times New Roman" w:hAnsi="Times New Roman" w:eastAsia="宋体" w:cs="Times New Roman"/>
          <w:sz w:val="21"/>
          <w:szCs w:val="21"/>
          <w:lang w:val="en-US" w:eastAsia="zh-CN" w:bidi="ar-SA"/>
        </w:rPr>
        <w:t>的规定进行。</w:t>
      </w:r>
    </w:p>
    <w:p>
      <w:pPr>
        <w:pStyle w:val="41"/>
        <w:keepNext w:val="0"/>
        <w:keepLines w:val="0"/>
        <w:pageBreakBefore w:val="0"/>
        <w:widowControl/>
        <w:kinsoku/>
        <w:wordWrap/>
        <w:overflowPunct/>
        <w:topLinePunct w:val="0"/>
        <w:autoSpaceDE/>
        <w:autoSpaceDN/>
        <w:bidi w:val="0"/>
        <w:adjustRightInd/>
        <w:snapToGrid/>
        <w:spacing w:beforeLines="0" w:afterLines="0" w:line="400" w:lineRule="exact"/>
        <w:ind w:left="0" w:leftChars="0"/>
        <w:textAlignment w:val="auto"/>
        <w:rPr>
          <w:rFonts w:hint="default"/>
          <w:lang w:val="en-US" w:eastAsia="zh-CN"/>
        </w:rPr>
      </w:pPr>
      <w:r>
        <w:rPr>
          <w:rFonts w:hint="default" w:ascii="Times New Roman" w:hAnsi="Times New Roman" w:eastAsia="宋体" w:cs="Times New Roman"/>
          <w:sz w:val="21"/>
          <w:szCs w:val="21"/>
          <w:lang w:val="en-US" w:eastAsia="zh-CN" w:bidi="ar-SA"/>
        </w:rPr>
        <w:t>产品的外观质量用目视法进行检查。</w:t>
      </w:r>
    </w:p>
    <w:p>
      <w:pPr>
        <w:pStyle w:val="44"/>
        <w:bidi w:val="0"/>
      </w:pPr>
      <w:r>
        <w:rPr>
          <w:rFonts w:hint="eastAsia"/>
        </w:rPr>
        <w:t>检验规则</w:t>
      </w:r>
    </w:p>
    <w:p>
      <w:pPr>
        <w:pStyle w:val="41"/>
        <w:bidi w:val="0"/>
      </w:pPr>
      <w:r>
        <w:rPr>
          <w:rStyle w:val="141"/>
          <w:rFonts w:hint="eastAsia" w:hAnsi="宋体"/>
        </w:rPr>
        <w:t>检查和验收</w:t>
      </w:r>
    </w:p>
    <w:p>
      <w:pPr>
        <w:pStyle w:val="45"/>
        <w:bidi w:val="0"/>
        <w:rPr>
          <w:rFonts w:hint="default" w:ascii="Times New Roman" w:hAnsi="Times New Roman" w:eastAsia="宋体" w:cs="Times New Roman"/>
        </w:rPr>
      </w:pPr>
      <w:r>
        <w:rPr>
          <w:rFonts w:hint="default" w:ascii="Times New Roman" w:hAnsi="Times New Roman" w:eastAsia="宋体" w:cs="Times New Roman"/>
        </w:rPr>
        <w:t>产品应由供方进行检验，保证产品质量符合本文件及合同（或订货单）的规定，并填写质量证明书。</w:t>
      </w:r>
    </w:p>
    <w:p>
      <w:pPr>
        <w:pStyle w:val="45"/>
        <w:bidi w:val="0"/>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需方应对收到的产品按照本文件或合同（或订货单）的规定进行检验。如检验结果与本文件或合同（或订货单）的规定不符时，应在收到产品之日起一个月内向供方提出，由供需双方协商解决。如需仲裁，仲裁取样在需方，由供需双方共同进行。</w:t>
      </w:r>
    </w:p>
    <w:p>
      <w:pPr>
        <w:pStyle w:val="41"/>
        <w:bidi w:val="0"/>
        <w:rPr>
          <w:rFonts w:hAnsi="宋体"/>
        </w:rPr>
      </w:pPr>
      <w:r>
        <w:rPr>
          <w:rFonts w:hint="eastAsia" w:hAnsi="宋体"/>
        </w:rPr>
        <w:t>组批</w:t>
      </w:r>
    </w:p>
    <w:p>
      <w:pPr>
        <w:pStyle w:val="23"/>
        <w:rPr>
          <w:rFonts w:eastAsia="宋体"/>
          <w:kern w:val="2"/>
          <w:szCs w:val="24"/>
          <w:highlight w:val="none"/>
        </w:rPr>
      </w:pPr>
      <w:r>
        <w:rPr>
          <w:rFonts w:hint="default" w:ascii="Times New Roman" w:hAnsi="Times New Roman" w:eastAsia="宋体" w:cs="Times New Roman"/>
          <w:kern w:val="0"/>
          <w:sz w:val="21"/>
          <w:szCs w:val="21"/>
          <w:lang w:val="en-US" w:eastAsia="zh-CN" w:bidi="ar-SA"/>
        </w:rPr>
        <w:t>产品应成批提交验收，每批应由同一生产周期、同一牌号、同一规格的产品组成，每批重量不超过</w:t>
      </w:r>
      <w:r>
        <w:rPr>
          <w:rFonts w:hint="default" w:ascii="Times New Roman" w:hAnsi="Times New Roman" w:eastAsia="宋体" w:cs="Times New Roman"/>
          <w:kern w:val="2"/>
          <w:szCs w:val="24"/>
          <w:highlight w:val="none"/>
          <w:lang w:val="en-US" w:eastAsia="zh-CN"/>
        </w:rPr>
        <w:t>5t</w:t>
      </w:r>
      <w:r>
        <w:rPr>
          <w:rFonts w:hint="eastAsia" w:eastAsia="宋体"/>
          <w:kern w:val="2"/>
          <w:szCs w:val="24"/>
          <w:highlight w:val="none"/>
        </w:rPr>
        <w:t>。</w:t>
      </w:r>
      <w:r>
        <w:rPr>
          <w:rFonts w:hint="default" w:ascii="Times New Roman" w:hAnsi="Times New Roman" w:cs="Times New Roman"/>
          <w:color w:val="000000"/>
          <w:kern w:val="2"/>
          <w:szCs w:val="24"/>
          <w:highlight w:val="none"/>
        </w:rPr>
        <w:t>需方有特殊要求时，可由双方协商确定。</w:t>
      </w:r>
    </w:p>
    <w:p>
      <w:pPr>
        <w:pStyle w:val="41"/>
        <w:bidi w:val="0"/>
      </w:pPr>
      <w:r>
        <w:rPr>
          <w:rFonts w:hint="eastAsia"/>
          <w:kern w:val="2"/>
          <w:szCs w:val="24"/>
        </w:rPr>
        <w:t>检验项目及</w:t>
      </w:r>
      <w:r>
        <w:rPr>
          <w:rFonts w:hint="eastAsia" w:hAnsi="宋体"/>
        </w:rPr>
        <w:t>取样</w:t>
      </w:r>
    </w:p>
    <w:p>
      <w:pPr>
        <w:spacing w:before="50"/>
        <w:outlineLvl w:val="1"/>
      </w:pPr>
      <w:r>
        <w:t xml:space="preserve">    </w:t>
      </w:r>
      <w:r>
        <w:rPr>
          <w:rFonts w:hint="default" w:ascii="Times New Roman" w:hAnsi="Times New Roman" w:cs="Times New Roman"/>
          <w:szCs w:val="21"/>
        </w:rPr>
        <w:t>每批产品出厂前应进行化学成分、物理性能和外观质量的检验，产品的检验项目及取样方法应符合</w:t>
      </w:r>
      <w:r>
        <w:rPr>
          <w:rFonts w:hint="eastAsia"/>
        </w:rPr>
        <w:t>表3的规定。</w:t>
      </w:r>
    </w:p>
    <w:p>
      <w:pPr>
        <w:spacing w:before="156" w:beforeLines="50"/>
        <w:jc w:val="center"/>
        <w:rPr>
          <w:rFonts w:ascii="黑体" w:eastAsia="黑体"/>
        </w:rPr>
      </w:pPr>
      <w:r>
        <w:rPr>
          <w:rFonts w:hint="eastAsia" w:ascii="黑体" w:eastAsia="黑体"/>
        </w:rPr>
        <w:t>表3 产品检验项目及取样规定</w:t>
      </w:r>
    </w:p>
    <w:tbl>
      <w:tblPr>
        <w:tblStyle w:val="3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420"/>
        <w:gridCol w:w="2175"/>
        <w:gridCol w:w="2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30"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2420"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取样规定</w:t>
            </w:r>
          </w:p>
        </w:tc>
        <w:tc>
          <w:tcPr>
            <w:tcW w:w="2175"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要求章节号</w:t>
            </w:r>
          </w:p>
        </w:tc>
        <w:tc>
          <w:tcPr>
            <w:tcW w:w="2345"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试验方法章节号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30"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费氏粒度</w:t>
            </w:r>
          </w:p>
        </w:tc>
        <w:tc>
          <w:tcPr>
            <w:tcW w:w="2420"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按GB/T 5314—</w:t>
            </w:r>
            <w:r>
              <w:rPr>
                <w:rFonts w:hint="default" w:ascii="Times New Roman" w:hAnsi="Times New Roman" w:cs="Times New Roman"/>
                <w:sz w:val="18"/>
                <w:szCs w:val="18"/>
                <w:lang w:val="en-US" w:eastAsia="zh-CN"/>
              </w:rPr>
              <w:t>2011</w:t>
            </w:r>
            <w:r>
              <w:rPr>
                <w:rFonts w:hint="default" w:ascii="Times New Roman" w:hAnsi="Times New Roman" w:cs="Times New Roman"/>
                <w:sz w:val="18"/>
                <w:szCs w:val="18"/>
              </w:rPr>
              <w:t>的规定</w:t>
            </w:r>
          </w:p>
        </w:tc>
        <w:tc>
          <w:tcPr>
            <w:tcW w:w="2175"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3.1</w:t>
            </w:r>
          </w:p>
        </w:tc>
        <w:tc>
          <w:tcPr>
            <w:tcW w:w="2345"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30"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松装密度</w:t>
            </w:r>
          </w:p>
        </w:tc>
        <w:tc>
          <w:tcPr>
            <w:tcW w:w="2420"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按GB/T 5314—2011的规定</w:t>
            </w:r>
          </w:p>
        </w:tc>
        <w:tc>
          <w:tcPr>
            <w:tcW w:w="2175"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3.1</w:t>
            </w:r>
          </w:p>
        </w:tc>
        <w:tc>
          <w:tcPr>
            <w:tcW w:w="2345"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中位径</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按GB/T 5314—2011的规定</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3.1</w:t>
            </w:r>
          </w:p>
        </w:tc>
        <w:tc>
          <w:tcPr>
            <w:tcW w:w="23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化学成分</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按GB/T 5314—2011的规定</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3.1、3.2</w:t>
            </w:r>
          </w:p>
        </w:tc>
        <w:tc>
          <w:tcPr>
            <w:tcW w:w="23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外观质量</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按GB/T 5314—2011的规定</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3.4</w:t>
            </w:r>
          </w:p>
        </w:tc>
        <w:tc>
          <w:tcPr>
            <w:tcW w:w="23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4.5</w:t>
            </w:r>
          </w:p>
        </w:tc>
      </w:tr>
    </w:tbl>
    <w:p>
      <w:pPr>
        <w:pStyle w:val="41"/>
        <w:bidi w:val="0"/>
        <w:rPr>
          <w:rFonts w:hint="default" w:ascii="Times New Roman" w:hAnsi="Times New Roman" w:cs="Times New Roman"/>
        </w:rPr>
      </w:pPr>
      <w:r>
        <w:rPr>
          <w:rFonts w:hint="default" w:ascii="Times New Roman" w:hAnsi="Times New Roman" w:cs="Times New Roman"/>
        </w:rPr>
        <w:t>检验结果的判定</w:t>
      </w:r>
    </w:p>
    <w:p>
      <w:pPr>
        <w:pStyle w:val="45"/>
        <w:bidi w:val="0"/>
        <w:rPr>
          <w:rFonts w:hint="default" w:ascii="Times New Roman" w:hAnsi="Times New Roman" w:cs="Times New Roman"/>
          <w:highlight w:val="none"/>
        </w:rPr>
      </w:pPr>
      <w:r>
        <w:rPr>
          <w:rFonts w:hint="default" w:ascii="Times New Roman" w:hAnsi="Times New Roman" w:eastAsia="宋体" w:cs="Times New Roman"/>
        </w:rPr>
        <w:t>产品的费氏粒度、松装密度、中位径</w:t>
      </w:r>
      <w:r>
        <w:rPr>
          <w:rFonts w:hint="default" w:ascii="Times New Roman" w:hAnsi="Times New Roman" w:eastAsia="宋体" w:cs="Times New Roman"/>
          <w:kern w:val="2"/>
          <w:sz w:val="21"/>
          <w:szCs w:val="24"/>
          <w:highlight w:val="none"/>
          <w:lang w:val="en-US" w:eastAsia="zh-CN" w:bidi="ar-SA"/>
        </w:rPr>
        <w:t>检验不符合本文件规定时，应在该批产品中对不符合本文件规定的项目取双倍数量的样品按4.</w:t>
      </w:r>
      <w:r>
        <w:rPr>
          <w:rFonts w:hint="eastAsia" w:ascii="Times New Roman" w:eastAsia="宋体" w:cs="Times New Roman"/>
          <w:kern w:val="2"/>
          <w:sz w:val="21"/>
          <w:szCs w:val="24"/>
          <w:highlight w:val="none"/>
          <w:lang w:val="en-US" w:eastAsia="zh-CN" w:bidi="ar-SA"/>
        </w:rPr>
        <w:t>1</w:t>
      </w:r>
      <w:r>
        <w:rPr>
          <w:rFonts w:hint="default" w:ascii="Times New Roman" w:hAnsi="Times New Roman" w:eastAsia="宋体" w:cs="Times New Roman"/>
          <w:kern w:val="2"/>
          <w:sz w:val="21"/>
          <w:szCs w:val="24"/>
          <w:highlight w:val="none"/>
          <w:lang w:val="en-US" w:eastAsia="zh-CN" w:bidi="ar-SA"/>
        </w:rPr>
        <w:t>~4.</w:t>
      </w:r>
      <w:r>
        <w:rPr>
          <w:rFonts w:hint="eastAsia" w:ascii="Times New Roman" w:eastAsia="宋体" w:cs="Times New Roman"/>
          <w:kern w:val="2"/>
          <w:sz w:val="21"/>
          <w:szCs w:val="24"/>
          <w:highlight w:val="none"/>
          <w:lang w:val="en-US" w:eastAsia="zh-CN" w:bidi="ar-SA"/>
        </w:rPr>
        <w:t>3</w:t>
      </w:r>
      <w:r>
        <w:rPr>
          <w:rFonts w:hint="default" w:ascii="Times New Roman" w:hAnsi="Times New Roman" w:eastAsia="宋体" w:cs="Times New Roman"/>
          <w:kern w:val="2"/>
          <w:sz w:val="21"/>
          <w:szCs w:val="24"/>
          <w:highlight w:val="none"/>
          <w:lang w:val="en-US" w:eastAsia="zh-CN" w:bidi="ar-SA"/>
        </w:rPr>
        <w:t>所规定的检验项目进行重复检验。如仍有一个结果不符合本文件的规定时，则判该批产品为不合格。</w:t>
      </w:r>
    </w:p>
    <w:p>
      <w:pPr>
        <w:pStyle w:val="45"/>
        <w:bidi w:val="0"/>
        <w:rPr>
          <w:rFonts w:hint="default" w:ascii="Times New Roman" w:hAnsi="Times New Roman" w:cs="Times New Roman"/>
          <w:szCs w:val="21"/>
          <w:highlight w:val="none"/>
        </w:rPr>
      </w:pPr>
      <w:r>
        <w:rPr>
          <w:rFonts w:hint="default" w:ascii="Times New Roman" w:hAnsi="Times New Roman" w:eastAsia="宋体" w:cs="Times New Roman"/>
          <w:kern w:val="2"/>
          <w:sz w:val="21"/>
          <w:szCs w:val="24"/>
          <w:highlight w:val="none"/>
          <w:lang w:val="en-US" w:eastAsia="zh-CN" w:bidi="ar-SA"/>
        </w:rPr>
        <w:t>产品的化学成分检验不符合本文件规定时，应在该批产品中对不符合本文件规定的项目取双倍数量的样品按4.</w:t>
      </w:r>
      <w:r>
        <w:rPr>
          <w:rFonts w:hint="eastAsia" w:ascii="Times New Roman" w:eastAsia="宋体" w:cs="Times New Roman"/>
          <w:kern w:val="2"/>
          <w:sz w:val="21"/>
          <w:szCs w:val="24"/>
          <w:highlight w:val="none"/>
          <w:lang w:val="en-US" w:eastAsia="zh-CN" w:bidi="ar-SA"/>
        </w:rPr>
        <w:t>4</w:t>
      </w:r>
      <w:r>
        <w:rPr>
          <w:rFonts w:hint="default" w:ascii="Times New Roman" w:hAnsi="Times New Roman" w:eastAsia="宋体" w:cs="Times New Roman"/>
          <w:kern w:val="2"/>
          <w:sz w:val="21"/>
          <w:szCs w:val="24"/>
          <w:highlight w:val="none"/>
          <w:lang w:val="en-US" w:eastAsia="zh-CN" w:bidi="ar-SA"/>
        </w:rPr>
        <w:t>所规定的检验项目进行重复检验。如仍有一个结果不符合本文件的规定时，则判该批产品为不合格。</w:t>
      </w:r>
    </w:p>
    <w:p>
      <w:pPr>
        <w:pStyle w:val="45"/>
        <w:bidi w:val="0"/>
        <w:rPr>
          <w:rFonts w:hint="default" w:ascii="Times New Roman" w:hAnsi="Times New Roman" w:eastAsia="宋体" w:cs="Times New Roman"/>
        </w:rPr>
      </w:pPr>
      <w:r>
        <w:rPr>
          <w:rFonts w:hint="default" w:ascii="Times New Roman" w:hAnsi="Times New Roman" w:eastAsia="宋体" w:cs="Times New Roman"/>
        </w:rPr>
        <w:t>产品的外观质量检验不合格，则判该批产品不合格。</w:t>
      </w:r>
    </w:p>
    <w:p>
      <w:pPr>
        <w:pStyle w:val="44"/>
        <w:bidi w:val="0"/>
        <w:rPr>
          <w:rFonts w:hint="default" w:ascii="Times New Roman" w:hAnsi="Times New Roman" w:cs="Times New Roman"/>
        </w:rPr>
      </w:pPr>
      <w:r>
        <w:rPr>
          <w:rFonts w:hint="default" w:ascii="Times New Roman" w:hAnsi="Times New Roman" w:cs="Times New Roman"/>
        </w:rPr>
        <w:t>标志、包装、运输、贮存及</w:t>
      </w:r>
      <w:r>
        <w:rPr>
          <w:rFonts w:hint="eastAsia" w:ascii="Times New Roman" w:cs="Times New Roman"/>
          <w:lang w:val="en-US" w:eastAsia="zh-CN"/>
        </w:rPr>
        <w:t>随行文件</w:t>
      </w:r>
    </w:p>
    <w:p>
      <w:pPr>
        <w:pStyle w:val="41"/>
        <w:bidi w:val="0"/>
        <w:rPr>
          <w:rFonts w:hint="eastAsia" w:ascii="宋体" w:hAnsi="宋体"/>
          <w:kern w:val="0"/>
          <w:highlight w:val="none"/>
        </w:rPr>
      </w:pPr>
      <w:r>
        <w:rPr>
          <w:rFonts w:hint="eastAsia" w:ascii="宋体" w:hAnsi="宋体"/>
          <w:kern w:val="0"/>
          <w:highlight w:val="none"/>
        </w:rPr>
        <w:t>标志</w:t>
      </w:r>
    </w:p>
    <w:p>
      <w:pPr>
        <w:pStyle w:val="45"/>
        <w:bidi w:val="0"/>
      </w:pPr>
      <w:r>
        <w:rPr>
          <w:rFonts w:hint="eastAsia"/>
        </w:rPr>
        <w:t>销售包装标志</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经检验合格的产品销售外包装上应打印如下标志（或贴标签）：</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a) 供方质量监督部门的印记；</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b) 供方名称、商标；</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c) 产品名称、牌号；</w:t>
      </w:r>
    </w:p>
    <w:p>
      <w:pPr>
        <w:tabs>
          <w:tab w:val="left" w:pos="540"/>
        </w:tabs>
        <w:ind w:firstLine="315" w:firstLineChars="150"/>
        <w:outlineLvl w:val="1"/>
        <w:rPr>
          <w:rFonts w:hint="default" w:ascii="Times New Roman" w:hAnsi="Times New Roman" w:cs="Times New Roman"/>
        </w:rPr>
      </w:pPr>
      <w:r>
        <w:rPr>
          <w:rFonts w:hint="default" w:ascii="Times New Roman" w:hAnsi="Times New Roman" w:cs="Times New Roman"/>
        </w:rPr>
        <w:t xml:space="preserve"> d）产品批号。</w:t>
      </w:r>
    </w:p>
    <w:p>
      <w:pPr>
        <w:pStyle w:val="45"/>
        <w:bidi w:val="0"/>
        <w:rPr>
          <w:rFonts w:hint="default" w:ascii="Times New Roman" w:hAnsi="Times New Roman" w:cs="Times New Roman"/>
          <w:highlight w:val="none"/>
        </w:rPr>
      </w:pPr>
      <w:r>
        <w:rPr>
          <w:rFonts w:hint="eastAsia"/>
        </w:rPr>
        <w:t>贮运</w:t>
      </w:r>
      <w:r>
        <w:rPr>
          <w:rFonts w:hint="default" w:ascii="Times New Roman" w:hAnsi="Times New Roman" w:cs="Times New Roman"/>
          <w:highlight w:val="none"/>
        </w:rPr>
        <w:t xml:space="preserve">包装标志     </w:t>
      </w:r>
    </w:p>
    <w:p>
      <w:pPr>
        <w:tabs>
          <w:tab w:val="left" w:pos="540"/>
        </w:tabs>
        <w:ind w:firstLine="420" w:firstLineChars="200"/>
        <w:outlineLvl w:val="1"/>
        <w:rPr>
          <w:rFonts w:hint="default" w:ascii="Times New Roman" w:hAnsi="Times New Roman" w:cs="Times New Roman"/>
          <w:highlight w:val="none"/>
        </w:rPr>
      </w:pPr>
      <w:r>
        <w:rPr>
          <w:rFonts w:hint="default" w:ascii="Times New Roman" w:hAnsi="Times New Roman" w:cs="Times New Roman"/>
          <w:highlight w:val="none"/>
        </w:rPr>
        <w:t>产品的外包装应注明：供方名称、地址、产品名称、商标、牌号、批号、净重和生产日期，并注明“防潮”、“轻放”、“向上”等字样或标志。</w:t>
      </w:r>
    </w:p>
    <w:p>
      <w:pPr>
        <w:pStyle w:val="41"/>
        <w:bidi w:val="0"/>
        <w:rPr>
          <w:rFonts w:hint="default" w:ascii="Times New Roman" w:hAnsi="Times New Roman" w:cs="Times New Roman"/>
        </w:rPr>
      </w:pPr>
      <w:r>
        <w:rPr>
          <w:rFonts w:hint="default" w:ascii="Times New Roman" w:hAnsi="Times New Roman" w:cs="Times New Roman"/>
        </w:rPr>
        <w:t>包装</w:t>
      </w:r>
    </w:p>
    <w:p>
      <w:pPr>
        <w:widowControl/>
        <w:tabs>
          <w:tab w:val="center" w:pos="4201"/>
          <w:tab w:val="right" w:leader="dot" w:pos="9298"/>
        </w:tabs>
        <w:autoSpaceDE w:val="0"/>
        <w:autoSpaceDN w:val="0"/>
        <w:ind w:firstLine="420" w:firstLineChars="200"/>
        <w:rPr>
          <w:rFonts w:hint="default" w:ascii="Times New Roman" w:hAnsi="Times New Roman" w:cs="Times New Roman"/>
          <w:highlight w:val="none"/>
        </w:rPr>
      </w:pPr>
      <w:r>
        <w:rPr>
          <w:rFonts w:hint="default" w:ascii="Times New Roman" w:hAnsi="Times New Roman" w:cs="Times New Roman"/>
        </w:rPr>
        <w:t>产品经检验合格后，采用包装袋真空包装或充保护性气体包装，</w:t>
      </w:r>
      <w:r>
        <w:rPr>
          <w:rFonts w:hint="default" w:ascii="Times New Roman" w:hAnsi="Times New Roman" w:cs="Times New Roman"/>
          <w:kern w:val="0"/>
        </w:rPr>
        <w:t>并放于包装桶中加盖存放。</w:t>
      </w:r>
      <w:r>
        <w:rPr>
          <w:rFonts w:hint="default" w:ascii="Times New Roman" w:hAnsi="Times New Roman" w:cs="Times New Roman"/>
        </w:rPr>
        <w:t>每桶重</w:t>
      </w:r>
      <w:r>
        <w:rPr>
          <w:rFonts w:hint="default" w:ascii="Times New Roman" w:hAnsi="Times New Roman" w:cs="Times New Roman"/>
          <w:highlight w:val="none"/>
        </w:rPr>
        <w:t>量不大于50kg。</w:t>
      </w:r>
    </w:p>
    <w:p>
      <w:pPr>
        <w:widowControl/>
        <w:tabs>
          <w:tab w:val="center" w:pos="4201"/>
          <w:tab w:val="right" w:leader="dot" w:pos="9298"/>
        </w:tabs>
        <w:autoSpaceDE w:val="0"/>
        <w:autoSpaceDN w:val="0"/>
        <w:ind w:firstLine="420" w:firstLineChars="200"/>
        <w:rPr>
          <w:rFonts w:hint="default" w:ascii="Times New Roman" w:hAnsi="Times New Roman" w:cs="Times New Roman"/>
          <w:kern w:val="0"/>
          <w:szCs w:val="20"/>
        </w:rPr>
      </w:pPr>
      <w:r>
        <w:rPr>
          <w:rFonts w:hint="default" w:ascii="Times New Roman" w:hAnsi="Times New Roman" w:cs="Times New Roman"/>
          <w:kern w:val="0"/>
          <w:szCs w:val="20"/>
        </w:rPr>
        <w:t>需方对包装有特殊要求时，由供需双方协商确定。</w:t>
      </w:r>
    </w:p>
    <w:p>
      <w:pPr>
        <w:pStyle w:val="41"/>
        <w:bidi w:val="0"/>
        <w:rPr>
          <w:rFonts w:hint="default" w:ascii="Times New Roman" w:hAnsi="Times New Roman" w:cs="Times New Roman"/>
        </w:rPr>
      </w:pPr>
      <w:r>
        <w:rPr>
          <w:rFonts w:hint="default" w:ascii="Times New Roman" w:hAnsi="Times New Roman" w:cs="Times New Roman"/>
        </w:rPr>
        <w:t>运输</w:t>
      </w:r>
    </w:p>
    <w:p>
      <w:pPr>
        <w:ind w:firstLine="420"/>
        <w:rPr>
          <w:rFonts w:hint="default" w:ascii="Times New Roman" w:hAnsi="Times New Roman" w:cs="Times New Roman"/>
        </w:rPr>
      </w:pPr>
      <w:r>
        <w:rPr>
          <w:rFonts w:hint="default" w:ascii="Times New Roman" w:hAnsi="Times New Roman" w:cs="Times New Roman"/>
        </w:rPr>
        <w:t>运输时防止产品受雨、受潮，运输车辆应清洁。在搬运过程中应轻拿轻放，不得滚动、倒置及剧烈碰撞，</w:t>
      </w:r>
      <w:r>
        <w:rPr>
          <w:rFonts w:hint="default" w:ascii="Times New Roman" w:hAnsi="Times New Roman" w:cs="Times New Roman"/>
          <w:kern w:val="0"/>
          <w:szCs w:val="21"/>
        </w:rPr>
        <w:t>避免损坏包装。</w:t>
      </w:r>
    </w:p>
    <w:p>
      <w:pPr>
        <w:pStyle w:val="41"/>
        <w:bidi w:val="0"/>
        <w:rPr>
          <w:rFonts w:hint="default" w:ascii="Times New Roman" w:hAnsi="Times New Roman" w:cs="Times New Roman"/>
        </w:rPr>
      </w:pPr>
      <w:r>
        <w:rPr>
          <w:rFonts w:hint="default" w:ascii="Times New Roman" w:hAnsi="Times New Roman" w:cs="Times New Roman"/>
        </w:rPr>
        <w:t>贮存</w:t>
      </w:r>
    </w:p>
    <w:p>
      <w:pPr>
        <w:tabs>
          <w:tab w:val="left" w:pos="540"/>
        </w:tabs>
        <w:ind w:firstLine="420" w:firstLineChars="200"/>
        <w:outlineLvl w:val="1"/>
        <w:rPr>
          <w:rFonts w:ascii="宋体" w:hAnsi="宋体"/>
        </w:rPr>
      </w:pPr>
      <w:r>
        <w:rPr>
          <w:rFonts w:hint="eastAsia" w:ascii="宋体" w:hAnsi="宋体"/>
        </w:rPr>
        <w:t>产品应存放于干燥、通风、无腐蚀性气体的环境中，严防受潮、腐蚀。</w:t>
      </w:r>
    </w:p>
    <w:p>
      <w:pPr>
        <w:pStyle w:val="41"/>
        <w:pBdr>
          <w:top w:val="none" w:color="auto" w:sz="0" w:space="0"/>
          <w:left w:val="none" w:color="auto" w:sz="0" w:space="0"/>
          <w:bottom w:val="none" w:color="auto" w:sz="0" w:space="0"/>
          <w:right w:val="none" w:color="auto" w:sz="0" w:space="0"/>
        </w:pBdr>
        <w:spacing w:before="156" w:after="156"/>
      </w:pPr>
      <w:r>
        <w:rPr>
          <w:rFonts w:hint="eastAsia"/>
          <w:lang w:val="en-US" w:eastAsia="zh-CN"/>
        </w:rPr>
        <w:t>随行文件</w:t>
      </w:r>
    </w:p>
    <w:p>
      <w:pPr>
        <w:pBdr>
          <w:top w:val="none" w:color="auto" w:sz="0" w:space="0"/>
          <w:left w:val="none" w:color="auto" w:sz="0" w:space="0"/>
          <w:bottom w:val="none" w:color="auto" w:sz="0" w:space="0"/>
          <w:right w:val="none" w:color="auto" w:sz="0" w:space="0"/>
        </w:pBdr>
        <w:tabs>
          <w:tab w:val="left" w:pos="540"/>
        </w:tabs>
        <w:ind w:left="0" w:firstLine="0" w:firstLineChars="0"/>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宋体" w:hAnsi="宋体"/>
        </w:rPr>
        <w:t>每批产品应附有</w:t>
      </w:r>
      <w:r>
        <w:rPr>
          <w:rFonts w:hint="eastAsia" w:ascii="宋体" w:hAnsi="宋体"/>
          <w:lang w:val="en-US" w:eastAsia="zh-CN"/>
        </w:rPr>
        <w:t>随行文件，其中除应包括供方信息、</w:t>
      </w:r>
      <w:r>
        <w:rPr>
          <w:rFonts w:hint="default" w:ascii="宋体" w:hAnsi="宋体"/>
        </w:rPr>
        <w:t>产品</w:t>
      </w:r>
      <w:r>
        <w:rPr>
          <w:rFonts w:hint="eastAsia" w:ascii="宋体" w:hAnsi="宋体"/>
          <w:lang w:val="en-US" w:eastAsia="zh-CN"/>
        </w:rPr>
        <w:t>信息、本文件编号、出厂日期或包装日期外，还宜包括</w:t>
      </w:r>
      <w:r>
        <w:rPr>
          <w:rFonts w:hint="default" w:ascii="宋体" w:hAnsi="宋体"/>
        </w:rPr>
        <w:t>：</w:t>
      </w:r>
    </w:p>
    <w:p>
      <w:pPr>
        <w:pBdr>
          <w:top w:val="none" w:color="auto" w:sz="0" w:space="0"/>
          <w:left w:val="none" w:color="auto" w:sz="0" w:space="0"/>
          <w:bottom w:val="none" w:color="auto" w:sz="0" w:space="0"/>
          <w:right w:val="none" w:color="auto" w:sz="0" w:space="0"/>
        </w:pBd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a) 产品质量保证书</w:t>
      </w:r>
      <w:r>
        <w:rPr>
          <w:rFonts w:hint="eastAsia"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产品的主要性能及技术参数</w:t>
      </w:r>
      <w:r>
        <w:rPr>
          <w:rFonts w:hint="eastAsia"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产品特点(包括制造工艺及原材料的特点)</w:t>
      </w:r>
      <w:r>
        <w:rPr>
          <w:rFonts w:hint="eastAsia"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对产品质量所负的责任</w:t>
      </w:r>
      <w:r>
        <w:rPr>
          <w:rFonts w:hint="eastAsia"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产品获得的质量认证及带供方技术监督部门检印的各项分析检验结果</w:t>
      </w:r>
      <w:r>
        <w:rPr>
          <w:rFonts w:hint="eastAsia" w:cs="Times New Roman"/>
          <w:color w:val="000000"/>
          <w:lang w:eastAsia="zh-CN"/>
        </w:rPr>
        <w:t>；</w:t>
      </w:r>
    </w:p>
    <w:p>
      <w:pPr>
        <w:pBdr>
          <w:top w:val="none" w:color="auto" w:sz="0" w:space="0"/>
          <w:left w:val="none" w:color="auto" w:sz="0" w:space="0"/>
          <w:bottom w:val="none" w:color="auto" w:sz="0" w:space="0"/>
          <w:right w:val="none" w:color="auto" w:sz="0" w:space="0"/>
        </w:pBdr>
        <w:tabs>
          <w:tab w:val="left" w:pos="540"/>
        </w:tabs>
        <w:ind w:left="420" w:leftChars="200"/>
        <w:rPr>
          <w:rFonts w:hint="eastAsia" w:cs="Times New Roman"/>
          <w:color w:val="000000"/>
          <w:lang w:eastAsia="zh-CN"/>
        </w:rPr>
      </w:pPr>
      <w:r>
        <w:rPr>
          <w:rFonts w:hint="default" w:ascii="Times New Roman" w:hAnsi="Times New Roman" w:eastAsia="宋体" w:cs="Times New Roman"/>
          <w:color w:val="000000"/>
        </w:rPr>
        <w:t>b) 产品合格证</w:t>
      </w:r>
      <w:r>
        <w:rPr>
          <w:rFonts w:hint="eastAsia"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检验项目及其结果或检验结论</w:t>
      </w:r>
      <w:r>
        <w:rPr>
          <w:rFonts w:hint="eastAsia" w:ascii="Times New Roman" w:hAnsi="Times New Roman" w:eastAsia="宋体"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批号</w:t>
      </w:r>
      <w:r>
        <w:rPr>
          <w:rFonts w:hint="eastAsia" w:ascii="Times New Roman" w:hAnsi="Times New Roman" w:eastAsia="宋体"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检验日期</w:t>
      </w:r>
      <w:r>
        <w:rPr>
          <w:rFonts w:hint="eastAsia" w:ascii="Times New Roman" w:hAnsi="Times New Roman" w:eastAsia="宋体" w:cs="Times New Roman"/>
          <w:color w:val="000000"/>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检验员签名或盖章</w:t>
      </w:r>
      <w:r>
        <w:rPr>
          <w:rFonts w:hint="eastAsia" w:ascii="Times New Roman" w:hAnsi="Times New Roman" w:eastAsia="宋体" w:cs="Times New Roman"/>
          <w:color w:val="000000"/>
          <w:lang w:eastAsia="zh-CN"/>
        </w:rPr>
        <w:t>；</w:t>
      </w:r>
    </w:p>
    <w:p>
      <w:pPr>
        <w:pBdr>
          <w:top w:val="none" w:color="auto" w:sz="0" w:space="0"/>
          <w:left w:val="none" w:color="auto" w:sz="0" w:space="0"/>
          <w:bottom w:val="none" w:color="auto" w:sz="0" w:space="0"/>
          <w:right w:val="none" w:color="auto" w:sz="0" w:space="0"/>
        </w:pBdr>
        <w:tabs>
          <w:tab w:val="left" w:pos="540"/>
        </w:tabs>
        <w:ind w:left="420" w:leftChars="200"/>
        <w:rPr>
          <w:rFonts w:hint="eastAsia" w:cs="Times New Roman"/>
          <w:color w:val="000000"/>
          <w:lang w:eastAsia="zh-CN"/>
        </w:rPr>
      </w:pPr>
      <w:r>
        <w:rPr>
          <w:rFonts w:hint="eastAsia" w:cs="Times New Roman"/>
          <w:color w:val="000000"/>
          <w:lang w:val="en-US" w:eastAsia="zh-CN"/>
        </w:rPr>
        <w:t>c</w:t>
      </w:r>
      <w:r>
        <w:rPr>
          <w:rFonts w:hint="default" w:ascii="Times New Roman" w:hAnsi="Times New Roman" w:eastAsia="宋体" w:cs="Times New Roman"/>
          <w:color w:val="000000"/>
        </w:rPr>
        <w:t>)产品质量控制程中的检验报告及成品检验报告</w:t>
      </w:r>
      <w:r>
        <w:rPr>
          <w:rFonts w:hint="eastAsia" w:cs="Times New Roman"/>
          <w:color w:val="000000"/>
          <w:lang w:eastAsia="zh-CN"/>
        </w:rPr>
        <w:t>；</w:t>
      </w:r>
    </w:p>
    <w:p>
      <w:pPr>
        <w:pBdr>
          <w:top w:val="none" w:color="auto" w:sz="0" w:space="0"/>
          <w:left w:val="none" w:color="auto" w:sz="0" w:space="0"/>
          <w:bottom w:val="none" w:color="auto" w:sz="0" w:space="0"/>
          <w:right w:val="none" w:color="auto" w:sz="0" w:space="0"/>
        </w:pBd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d) 产品使用说明</w:t>
      </w:r>
      <w:r>
        <w:rPr>
          <w:rFonts w:hint="eastAsia" w:cs="Times New Roman"/>
          <w:color w:val="000000"/>
          <w:lang w:eastAsia="zh-CN"/>
        </w:rPr>
        <w:t>：</w:t>
      </w:r>
      <w:r>
        <w:rPr>
          <w:rFonts w:hint="default" w:ascii="Times New Roman" w:hAnsi="Times New Roman" w:eastAsia="宋体" w:cs="Times New Roman"/>
          <w:color w:val="000000"/>
        </w:rPr>
        <w:t>正确搬运、使用、贮存方法等</w:t>
      </w:r>
      <w:r>
        <w:rPr>
          <w:rFonts w:hint="eastAsia" w:cs="Times New Roman"/>
          <w:color w:val="000000"/>
          <w:lang w:eastAsia="zh-CN"/>
        </w:rPr>
        <w:t>；</w:t>
      </w:r>
    </w:p>
    <w:p>
      <w:pPr>
        <w:pBdr>
          <w:top w:val="none" w:color="auto" w:sz="0" w:space="0"/>
          <w:left w:val="none" w:color="auto" w:sz="0" w:space="0"/>
          <w:bottom w:val="none" w:color="auto" w:sz="0" w:space="0"/>
          <w:right w:val="none" w:color="auto" w:sz="0" w:space="0"/>
        </w:pBd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e) 其他</w:t>
      </w:r>
      <w:r>
        <w:rPr>
          <w:rFonts w:hint="eastAsia" w:cs="Times New Roman"/>
          <w:color w:val="000000"/>
          <w:lang w:eastAsia="zh-CN"/>
        </w:rPr>
        <w:t>。</w:t>
      </w:r>
    </w:p>
    <w:p>
      <w:pPr>
        <w:pStyle w:val="44"/>
        <w:pBdr>
          <w:top w:val="none" w:color="auto" w:sz="0" w:space="0"/>
          <w:left w:val="none" w:color="auto" w:sz="0" w:space="0"/>
          <w:bottom w:val="none" w:color="auto" w:sz="0" w:space="0"/>
          <w:right w:val="none" w:color="auto" w:sz="0" w:space="0"/>
        </w:pBdr>
        <w:spacing w:before="312" w:after="312"/>
        <w:rPr>
          <w:szCs w:val="22"/>
        </w:rPr>
      </w:pPr>
      <w:r>
        <w:rPr>
          <w:rFonts w:hint="eastAsia"/>
          <w:szCs w:val="22"/>
        </w:rPr>
        <w:t>订货单内容</w:t>
      </w:r>
    </w:p>
    <w:p>
      <w:pPr>
        <w:pBdr>
          <w:top w:val="none" w:color="auto" w:sz="0" w:space="0"/>
          <w:left w:val="none" w:color="auto" w:sz="0" w:space="0"/>
          <w:bottom w:val="none" w:color="auto" w:sz="0" w:space="0"/>
          <w:right w:val="none" w:color="auto" w:sz="0" w:space="0"/>
        </w:pBdr>
        <w:tabs>
          <w:tab w:val="left" w:pos="540"/>
        </w:tabs>
        <w:rPr>
          <w:rFonts w:hint="eastAsia" w:ascii="Times New Roman" w:hAnsi="Times New Roman" w:eastAsia="宋体" w:cs="Times New Roman"/>
          <w:lang w:eastAsia="zh-CN"/>
        </w:rPr>
      </w:pPr>
      <w:r>
        <w:rPr>
          <w:rFonts w:hint="default" w:ascii="Times New Roman" w:hAnsi="Times New Roman" w:eastAsia="宋体" w:cs="Times New Roman"/>
        </w:rPr>
        <w:t xml:space="preserve">    </w:t>
      </w:r>
      <w:r>
        <w:rPr>
          <w:rFonts w:hint="eastAsia" w:cs="Times New Roman"/>
          <w:lang w:val="en-US" w:eastAsia="zh-CN"/>
        </w:rPr>
        <w:t>需方可根据自身需要，在订购</w:t>
      </w:r>
      <w:r>
        <w:rPr>
          <w:rFonts w:hint="default" w:ascii="Times New Roman" w:hAnsi="Times New Roman" w:eastAsia="宋体" w:cs="Times New Roman"/>
        </w:rPr>
        <w:t>本文件所列产品的订货单</w:t>
      </w:r>
      <w:r>
        <w:rPr>
          <w:rFonts w:hint="eastAsia" w:cs="Times New Roman"/>
          <w:lang w:val="en-US" w:eastAsia="zh-CN"/>
        </w:rPr>
        <w:t>内，列出如下内容</w:t>
      </w:r>
      <w:r>
        <w:rPr>
          <w:rFonts w:hint="eastAsia" w:cs="Times New Roman"/>
          <w:lang w:eastAsia="zh-CN"/>
        </w:rPr>
        <w:t>：</w:t>
      </w:r>
    </w:p>
    <w:p>
      <w:pPr>
        <w:numPr>
          <w:ilvl w:val="0"/>
          <w:numId w:val="19"/>
        </w:numPr>
        <w:pBdr>
          <w:top w:val="none" w:color="auto" w:sz="0" w:space="0"/>
          <w:left w:val="none" w:color="auto" w:sz="0" w:space="0"/>
          <w:bottom w:val="none" w:color="auto" w:sz="0" w:space="0"/>
          <w:right w:val="none" w:color="auto" w:sz="0" w:space="0"/>
        </w:pBdr>
        <w:tabs>
          <w:tab w:val="left" w:pos="540"/>
        </w:tabs>
        <w:rPr>
          <w:rFonts w:hint="default" w:ascii="Times New Roman" w:hAnsi="Times New Roman" w:eastAsia="宋体" w:cs="Times New Roman"/>
        </w:rPr>
      </w:pPr>
      <w:r>
        <w:rPr>
          <w:rFonts w:hint="default" w:ascii="Times New Roman" w:hAnsi="Times New Roman" w:eastAsia="宋体" w:cs="Times New Roman"/>
        </w:rPr>
        <w:t>产品名称；</w:t>
      </w:r>
    </w:p>
    <w:p>
      <w:pPr>
        <w:numPr>
          <w:ilvl w:val="0"/>
          <w:numId w:val="19"/>
        </w:numPr>
        <w:pBdr>
          <w:top w:val="none" w:color="auto" w:sz="0" w:space="0"/>
          <w:left w:val="none" w:color="auto" w:sz="0" w:space="0"/>
          <w:bottom w:val="none" w:color="auto" w:sz="0" w:space="0"/>
          <w:right w:val="none" w:color="auto" w:sz="0" w:space="0"/>
        </w:pBdr>
        <w:tabs>
          <w:tab w:val="left" w:pos="540"/>
        </w:tabs>
        <w:rPr>
          <w:rFonts w:hint="default" w:ascii="Times New Roman" w:hAnsi="Times New Roman" w:eastAsia="宋体" w:cs="Times New Roman"/>
        </w:rPr>
      </w:pPr>
      <w:r>
        <w:rPr>
          <w:rFonts w:hint="default" w:ascii="Times New Roman" w:hAnsi="Times New Roman" w:eastAsia="宋体" w:cs="Times New Roman"/>
        </w:rPr>
        <w:t>牌号、等级；</w:t>
      </w:r>
    </w:p>
    <w:p>
      <w:pPr>
        <w:numPr>
          <w:ilvl w:val="0"/>
          <w:numId w:val="19"/>
        </w:numPr>
        <w:pBdr>
          <w:top w:val="none" w:color="auto" w:sz="0" w:space="0"/>
          <w:left w:val="none" w:color="auto" w:sz="0" w:space="0"/>
          <w:bottom w:val="none" w:color="auto" w:sz="0" w:space="0"/>
          <w:right w:val="none" w:color="auto" w:sz="0" w:space="0"/>
        </w:pBdr>
        <w:tabs>
          <w:tab w:val="left" w:pos="540"/>
        </w:tabs>
        <w:rPr>
          <w:rFonts w:hint="default" w:ascii="Times New Roman" w:hAnsi="Times New Roman" w:eastAsia="宋体" w:cs="Times New Roman"/>
        </w:rPr>
      </w:pPr>
      <w:r>
        <w:rPr>
          <w:rFonts w:hint="default" w:ascii="Times New Roman" w:hAnsi="Times New Roman" w:eastAsia="宋体" w:cs="Times New Roman"/>
        </w:rPr>
        <w:t>产品数量；</w:t>
      </w:r>
    </w:p>
    <w:p>
      <w:pPr>
        <w:numPr>
          <w:ilvl w:val="0"/>
          <w:numId w:val="19"/>
        </w:numPr>
        <w:pBdr>
          <w:top w:val="none" w:color="auto" w:sz="0" w:space="0"/>
          <w:left w:val="none" w:color="auto" w:sz="0" w:space="0"/>
          <w:bottom w:val="none" w:color="auto" w:sz="0" w:space="0"/>
          <w:right w:val="none" w:color="auto" w:sz="0" w:space="0"/>
        </w:pBdr>
        <w:tabs>
          <w:tab w:val="left" w:pos="540"/>
        </w:tabs>
        <w:rPr>
          <w:rFonts w:hint="default" w:ascii="Times New Roman" w:hAnsi="Times New Roman" w:cs="Times New Roman"/>
        </w:rPr>
      </w:pPr>
      <w:r>
        <w:rPr>
          <w:rFonts w:hint="default" w:ascii="Times New Roman" w:hAnsi="Times New Roman" w:eastAsia="宋体" w:cs="Times New Roman"/>
        </w:rPr>
        <w:t>本文件编号；</w:t>
      </w:r>
    </w:p>
    <w:p>
      <w:pPr>
        <w:numPr>
          <w:ilvl w:val="0"/>
          <w:numId w:val="19"/>
        </w:numPr>
        <w:pBdr>
          <w:top w:val="none" w:color="auto" w:sz="0" w:space="0"/>
          <w:left w:val="none" w:color="auto" w:sz="0" w:space="0"/>
          <w:bottom w:val="none" w:color="auto" w:sz="0" w:space="0"/>
          <w:right w:val="none" w:color="auto" w:sz="0" w:space="0"/>
        </w:pBdr>
        <w:tabs>
          <w:tab w:val="left" w:pos="540"/>
        </w:tabs>
        <w:rPr>
          <w:rFonts w:hint="default" w:ascii="Times New Roman" w:hAnsi="Times New Roman" w:cs="Times New Roman"/>
        </w:rPr>
      </w:pPr>
      <w:r>
        <w:rPr>
          <w:rFonts w:hint="default" w:ascii="Times New Roman" w:hAnsi="Times New Roman" w:eastAsia="宋体" w:cs="Times New Roman"/>
        </w:rPr>
        <w:t>其他。</w:t>
      </w:r>
    </w:p>
    <w:p>
      <w:pPr>
        <w:pStyle w:val="128"/>
      </w:pPr>
      <w:r>
        <w:rPr>
          <w:rFonts w:hint="default" w:ascii="Times New Roman" w:hAnsi="Times New Roman" w:eastAsia="黑体" w:cs="Times New Roman"/>
        </w:rPr>
        <w:br w:type="page"/>
      </w:r>
      <w:r>
        <w:rPr>
          <w:rFonts w:hint="default" w:ascii="Times New Roman" w:hAnsi="Times New Roman" w:cs="Times New Roman"/>
        </w:rPr>
        <w:t>_________________________</w:t>
      </w:r>
      <w:r>
        <w:t>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黑体" w:hAnsi="黑体" w:eastAsia="黑体"/>
      </w:rPr>
    </w:pPr>
    <w:r>
      <w:rPr>
        <w:rFonts w:ascii="黑体" w:hAnsi="黑体" w:eastAsia="黑体"/>
      </w:rP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EEE46"/>
    <w:multiLevelType w:val="singleLevel"/>
    <w:tmpl w:val="870EEE46"/>
    <w:lvl w:ilvl="0" w:tentative="0">
      <w:start w:val="1"/>
      <w:numFmt w:val="lowerLetter"/>
      <w:suff w:val="nothing"/>
      <w:lvlText w:val="%1）"/>
      <w:lvlJc w:val="left"/>
    </w:lvl>
  </w:abstractNum>
  <w:abstractNum w:abstractNumId="1">
    <w:nsid w:val="0000000A"/>
    <w:multiLevelType w:val="multilevel"/>
    <w:tmpl w:val="0000000A"/>
    <w:lvl w:ilvl="0" w:tentative="0">
      <w:start w:val="1"/>
      <w:numFmt w:val="lowerLetter"/>
      <w:lvlText w:val="%1)"/>
      <w:lvlJc w:val="left"/>
      <w:pPr>
        <w:tabs>
          <w:tab w:val="left" w:pos="795"/>
        </w:tabs>
        <w:ind w:left="795" w:hanging="360"/>
      </w:p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0A952887"/>
    <w:multiLevelType w:val="multilevel"/>
    <w:tmpl w:val="0A952887"/>
    <w:lvl w:ilvl="0" w:tentative="0">
      <w:start w:val="1"/>
      <w:numFmt w:val="decimal"/>
      <w:pStyle w:val="6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0F805D97"/>
    <w:multiLevelType w:val="multilevel"/>
    <w:tmpl w:val="0F805D97"/>
    <w:lvl w:ilvl="0" w:tentative="0">
      <w:start w:val="1"/>
      <w:numFmt w:val="none"/>
      <w:pStyle w:val="5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4B435DB"/>
    <w:multiLevelType w:val="multilevel"/>
    <w:tmpl w:val="24B435DB"/>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29707437"/>
    <w:multiLevelType w:val="multilevel"/>
    <w:tmpl w:val="29707437"/>
    <w:lvl w:ilvl="0" w:tentative="0">
      <w:start w:val="1"/>
      <w:numFmt w:val="none"/>
      <w:pStyle w:val="63"/>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520F62E9"/>
    <w:multiLevelType w:val="multilevel"/>
    <w:tmpl w:val="520F62E9"/>
    <w:lvl w:ilvl="0" w:tentative="0">
      <w:start w:val="1"/>
      <w:numFmt w:val="decimal"/>
      <w:pStyle w:val="127"/>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E63562F"/>
    <w:multiLevelType w:val="multilevel"/>
    <w:tmpl w:val="5E63562F"/>
    <w:lvl w:ilvl="0" w:tentative="0">
      <w:start w:val="1"/>
      <w:numFmt w:val="decimal"/>
      <w:pStyle w:val="5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25"/>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AB870ED"/>
    <w:multiLevelType w:val="multilevel"/>
    <w:tmpl w:val="6AB870ED"/>
    <w:lvl w:ilvl="0" w:tentative="0">
      <w:start w:val="1"/>
      <w:numFmt w:val="decimal"/>
      <w:pStyle w:val="61"/>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4"/>
  </w:num>
  <w:num w:numId="3">
    <w:abstractNumId w:val="8"/>
  </w:num>
  <w:num w:numId="4">
    <w:abstractNumId w:val="14"/>
  </w:num>
  <w:num w:numId="5">
    <w:abstractNumId w:val="10"/>
  </w:num>
  <w:num w:numId="6">
    <w:abstractNumId w:val="3"/>
  </w:num>
  <w:num w:numId="7">
    <w:abstractNumId w:val="12"/>
  </w:num>
  <w:num w:numId="8">
    <w:abstractNumId w:val="17"/>
  </w:num>
  <w:num w:numId="9">
    <w:abstractNumId w:val="6"/>
  </w:num>
  <w:num w:numId="10">
    <w:abstractNumId w:val="2"/>
  </w:num>
  <w:num w:numId="11">
    <w:abstractNumId w:val="16"/>
  </w:num>
  <w:num w:numId="12">
    <w:abstractNumId w:val="13"/>
  </w:num>
  <w:num w:numId="13">
    <w:abstractNumId w:val="18"/>
  </w:num>
  <w:num w:numId="14">
    <w:abstractNumId w:val="7"/>
  </w:num>
  <w:num w:numId="15">
    <w:abstractNumId w:val="5"/>
  </w:num>
  <w:num w:numId="16">
    <w:abstractNumId w:val="15"/>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YfbUKm+wO6+Tb0+iadvBnczuzKHBtyMGZJ1ZYdW6GcKVHGN0CpIhOk+pPmR3avvXH9B8qaTDz3k0UgWElEJw==" w:salt="1554oWzBMF7uannLO5Wz9A=="/>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Zjc2Zjc2MmM5OTFhZjE4MzE3MDMzMzdlOTQ5ZjQifQ=="/>
  </w:docVars>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2740"/>
    <w:rsid w:val="00035925"/>
    <w:rsid w:val="00036C2C"/>
    <w:rsid w:val="00045A7C"/>
    <w:rsid w:val="00055371"/>
    <w:rsid w:val="00056A24"/>
    <w:rsid w:val="00057CE5"/>
    <w:rsid w:val="000607A3"/>
    <w:rsid w:val="000657F7"/>
    <w:rsid w:val="00067CDF"/>
    <w:rsid w:val="00074FBE"/>
    <w:rsid w:val="0007762A"/>
    <w:rsid w:val="00081D7E"/>
    <w:rsid w:val="00081F6E"/>
    <w:rsid w:val="00083A09"/>
    <w:rsid w:val="00085A4B"/>
    <w:rsid w:val="0009005E"/>
    <w:rsid w:val="0009066D"/>
    <w:rsid w:val="000918A9"/>
    <w:rsid w:val="00091ACC"/>
    <w:rsid w:val="00092001"/>
    <w:rsid w:val="00092618"/>
    <w:rsid w:val="00092857"/>
    <w:rsid w:val="00092BD8"/>
    <w:rsid w:val="000945D9"/>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0BF5"/>
    <w:rsid w:val="00104E29"/>
    <w:rsid w:val="001056DE"/>
    <w:rsid w:val="001124C0"/>
    <w:rsid w:val="00117A25"/>
    <w:rsid w:val="00120F24"/>
    <w:rsid w:val="00121293"/>
    <w:rsid w:val="0013175F"/>
    <w:rsid w:val="0013364D"/>
    <w:rsid w:val="001343BB"/>
    <w:rsid w:val="00141E9A"/>
    <w:rsid w:val="001512B4"/>
    <w:rsid w:val="0015244C"/>
    <w:rsid w:val="00153A26"/>
    <w:rsid w:val="001620A5"/>
    <w:rsid w:val="00164E53"/>
    <w:rsid w:val="00165D35"/>
    <w:rsid w:val="0016699D"/>
    <w:rsid w:val="001670D9"/>
    <w:rsid w:val="00175159"/>
    <w:rsid w:val="00175AD7"/>
    <w:rsid w:val="00176208"/>
    <w:rsid w:val="0017628E"/>
    <w:rsid w:val="0017780C"/>
    <w:rsid w:val="001813B2"/>
    <w:rsid w:val="0018211B"/>
    <w:rsid w:val="00183FE1"/>
    <w:rsid w:val="001840D3"/>
    <w:rsid w:val="00184782"/>
    <w:rsid w:val="00184C73"/>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2FB1"/>
    <w:rsid w:val="001D3556"/>
    <w:rsid w:val="001D406C"/>
    <w:rsid w:val="001D41EE"/>
    <w:rsid w:val="001D4BEB"/>
    <w:rsid w:val="001D71E6"/>
    <w:rsid w:val="001E0380"/>
    <w:rsid w:val="001E0B1B"/>
    <w:rsid w:val="001E13B1"/>
    <w:rsid w:val="001E2153"/>
    <w:rsid w:val="001E23E7"/>
    <w:rsid w:val="001F20AE"/>
    <w:rsid w:val="001F3A19"/>
    <w:rsid w:val="002009E4"/>
    <w:rsid w:val="00201053"/>
    <w:rsid w:val="0020251B"/>
    <w:rsid w:val="002073D3"/>
    <w:rsid w:val="00215D48"/>
    <w:rsid w:val="0021624B"/>
    <w:rsid w:val="0022185E"/>
    <w:rsid w:val="002246F8"/>
    <w:rsid w:val="00227FED"/>
    <w:rsid w:val="0023030A"/>
    <w:rsid w:val="0023070D"/>
    <w:rsid w:val="00230F08"/>
    <w:rsid w:val="00234467"/>
    <w:rsid w:val="00235BE6"/>
    <w:rsid w:val="00237D8D"/>
    <w:rsid w:val="00241DA2"/>
    <w:rsid w:val="00247FEE"/>
    <w:rsid w:val="00250E7D"/>
    <w:rsid w:val="002523DB"/>
    <w:rsid w:val="002527DD"/>
    <w:rsid w:val="00252DAA"/>
    <w:rsid w:val="002565D5"/>
    <w:rsid w:val="002622C0"/>
    <w:rsid w:val="002714D1"/>
    <w:rsid w:val="00275FFE"/>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49A0"/>
    <w:rsid w:val="00301F39"/>
    <w:rsid w:val="00303D27"/>
    <w:rsid w:val="00305BEE"/>
    <w:rsid w:val="00310087"/>
    <w:rsid w:val="003100C1"/>
    <w:rsid w:val="00313962"/>
    <w:rsid w:val="00322EFB"/>
    <w:rsid w:val="003234E0"/>
    <w:rsid w:val="00325926"/>
    <w:rsid w:val="00327A8A"/>
    <w:rsid w:val="003339A3"/>
    <w:rsid w:val="00336610"/>
    <w:rsid w:val="00341F5C"/>
    <w:rsid w:val="00343D23"/>
    <w:rsid w:val="00343F73"/>
    <w:rsid w:val="00344021"/>
    <w:rsid w:val="00345060"/>
    <w:rsid w:val="003451FB"/>
    <w:rsid w:val="00352629"/>
    <w:rsid w:val="0035323B"/>
    <w:rsid w:val="00353D19"/>
    <w:rsid w:val="003553A3"/>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6F5E"/>
    <w:rsid w:val="003A7088"/>
    <w:rsid w:val="003B00DF"/>
    <w:rsid w:val="003B1275"/>
    <w:rsid w:val="003B1778"/>
    <w:rsid w:val="003C11CB"/>
    <w:rsid w:val="003C3017"/>
    <w:rsid w:val="003C6A77"/>
    <w:rsid w:val="003C75F3"/>
    <w:rsid w:val="003C78A3"/>
    <w:rsid w:val="003D36AB"/>
    <w:rsid w:val="003D3C48"/>
    <w:rsid w:val="003E1867"/>
    <w:rsid w:val="003E5729"/>
    <w:rsid w:val="003E724E"/>
    <w:rsid w:val="003F1D40"/>
    <w:rsid w:val="003F22BB"/>
    <w:rsid w:val="003F2A5B"/>
    <w:rsid w:val="003F4EE0"/>
    <w:rsid w:val="003F5559"/>
    <w:rsid w:val="003F7947"/>
    <w:rsid w:val="00400473"/>
    <w:rsid w:val="00402153"/>
    <w:rsid w:val="00402E26"/>
    <w:rsid w:val="00402FC1"/>
    <w:rsid w:val="004056D6"/>
    <w:rsid w:val="004200D9"/>
    <w:rsid w:val="00425082"/>
    <w:rsid w:val="00431DEB"/>
    <w:rsid w:val="0044259D"/>
    <w:rsid w:val="004439D9"/>
    <w:rsid w:val="00446B29"/>
    <w:rsid w:val="004524BE"/>
    <w:rsid w:val="00453F9A"/>
    <w:rsid w:val="00454CC3"/>
    <w:rsid w:val="004574B3"/>
    <w:rsid w:val="00464903"/>
    <w:rsid w:val="00465B72"/>
    <w:rsid w:val="004719FA"/>
    <w:rsid w:val="00471E91"/>
    <w:rsid w:val="00474079"/>
    <w:rsid w:val="00474675"/>
    <w:rsid w:val="0047470C"/>
    <w:rsid w:val="004779A1"/>
    <w:rsid w:val="00484C88"/>
    <w:rsid w:val="00486549"/>
    <w:rsid w:val="004A203E"/>
    <w:rsid w:val="004A20D1"/>
    <w:rsid w:val="004A35F9"/>
    <w:rsid w:val="004A4662"/>
    <w:rsid w:val="004A5AF1"/>
    <w:rsid w:val="004A7E02"/>
    <w:rsid w:val="004B157A"/>
    <w:rsid w:val="004B24C1"/>
    <w:rsid w:val="004B3092"/>
    <w:rsid w:val="004B49B1"/>
    <w:rsid w:val="004B557C"/>
    <w:rsid w:val="004C292F"/>
    <w:rsid w:val="004C657F"/>
    <w:rsid w:val="004C7F25"/>
    <w:rsid w:val="004D306F"/>
    <w:rsid w:val="004D4B02"/>
    <w:rsid w:val="004D4F76"/>
    <w:rsid w:val="004E24C9"/>
    <w:rsid w:val="004E4B13"/>
    <w:rsid w:val="004E4B8C"/>
    <w:rsid w:val="004E5A47"/>
    <w:rsid w:val="004F3E3E"/>
    <w:rsid w:val="005036E2"/>
    <w:rsid w:val="00503F8B"/>
    <w:rsid w:val="00510280"/>
    <w:rsid w:val="00513D73"/>
    <w:rsid w:val="005148B3"/>
    <w:rsid w:val="00514A43"/>
    <w:rsid w:val="00515361"/>
    <w:rsid w:val="00515E9C"/>
    <w:rsid w:val="005174E5"/>
    <w:rsid w:val="00520898"/>
    <w:rsid w:val="00522393"/>
    <w:rsid w:val="00522620"/>
    <w:rsid w:val="00525656"/>
    <w:rsid w:val="00525BF3"/>
    <w:rsid w:val="00534C02"/>
    <w:rsid w:val="005368F9"/>
    <w:rsid w:val="0054044C"/>
    <w:rsid w:val="0054264B"/>
    <w:rsid w:val="00543786"/>
    <w:rsid w:val="00545A49"/>
    <w:rsid w:val="005463CC"/>
    <w:rsid w:val="00546D0D"/>
    <w:rsid w:val="0055153A"/>
    <w:rsid w:val="005533D7"/>
    <w:rsid w:val="00554B63"/>
    <w:rsid w:val="005564EE"/>
    <w:rsid w:val="00562CF6"/>
    <w:rsid w:val="0056544B"/>
    <w:rsid w:val="00567177"/>
    <w:rsid w:val="005703DE"/>
    <w:rsid w:val="005710BC"/>
    <w:rsid w:val="005755F1"/>
    <w:rsid w:val="00576885"/>
    <w:rsid w:val="00582BBE"/>
    <w:rsid w:val="0058464E"/>
    <w:rsid w:val="0058650E"/>
    <w:rsid w:val="005A01CB"/>
    <w:rsid w:val="005A19A9"/>
    <w:rsid w:val="005A58FF"/>
    <w:rsid w:val="005A5EAF"/>
    <w:rsid w:val="005A6491"/>
    <w:rsid w:val="005A64C0"/>
    <w:rsid w:val="005B1985"/>
    <w:rsid w:val="005B3C11"/>
    <w:rsid w:val="005B4AE5"/>
    <w:rsid w:val="005C1C28"/>
    <w:rsid w:val="005C43D0"/>
    <w:rsid w:val="005C6DB5"/>
    <w:rsid w:val="005D3842"/>
    <w:rsid w:val="005E19E7"/>
    <w:rsid w:val="005E2392"/>
    <w:rsid w:val="005E5DF8"/>
    <w:rsid w:val="005F7BEB"/>
    <w:rsid w:val="006010C5"/>
    <w:rsid w:val="00601622"/>
    <w:rsid w:val="0060789B"/>
    <w:rsid w:val="0061037E"/>
    <w:rsid w:val="00613FAA"/>
    <w:rsid w:val="00616C36"/>
    <w:rsid w:val="0061716C"/>
    <w:rsid w:val="006171AF"/>
    <w:rsid w:val="00617868"/>
    <w:rsid w:val="0062420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8487D"/>
    <w:rsid w:val="00692368"/>
    <w:rsid w:val="006948EA"/>
    <w:rsid w:val="00695192"/>
    <w:rsid w:val="006960F2"/>
    <w:rsid w:val="006A1C8E"/>
    <w:rsid w:val="006A2EBC"/>
    <w:rsid w:val="006A5EA0"/>
    <w:rsid w:val="006A783B"/>
    <w:rsid w:val="006A7B33"/>
    <w:rsid w:val="006B497F"/>
    <w:rsid w:val="006B4C2C"/>
    <w:rsid w:val="006B4E13"/>
    <w:rsid w:val="006B75DD"/>
    <w:rsid w:val="006C047C"/>
    <w:rsid w:val="006C3D8B"/>
    <w:rsid w:val="006C67E0"/>
    <w:rsid w:val="006C7ABA"/>
    <w:rsid w:val="006D0A13"/>
    <w:rsid w:val="006D0D60"/>
    <w:rsid w:val="006D1122"/>
    <w:rsid w:val="006D1B67"/>
    <w:rsid w:val="006D317E"/>
    <w:rsid w:val="006D3B1E"/>
    <w:rsid w:val="006D3C00"/>
    <w:rsid w:val="006D7D3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26707"/>
    <w:rsid w:val="00730310"/>
    <w:rsid w:val="00740A49"/>
    <w:rsid w:val="007419C3"/>
    <w:rsid w:val="00743406"/>
    <w:rsid w:val="00746559"/>
    <w:rsid w:val="007467A7"/>
    <w:rsid w:val="007469DD"/>
    <w:rsid w:val="0074741B"/>
    <w:rsid w:val="0074759E"/>
    <w:rsid w:val="007478EA"/>
    <w:rsid w:val="00747ED6"/>
    <w:rsid w:val="0075415C"/>
    <w:rsid w:val="00757097"/>
    <w:rsid w:val="007606CB"/>
    <w:rsid w:val="00761E8B"/>
    <w:rsid w:val="00763502"/>
    <w:rsid w:val="00780DE2"/>
    <w:rsid w:val="007913AB"/>
    <w:rsid w:val="007914F7"/>
    <w:rsid w:val="00792567"/>
    <w:rsid w:val="00792648"/>
    <w:rsid w:val="00795C73"/>
    <w:rsid w:val="0079612E"/>
    <w:rsid w:val="007A4809"/>
    <w:rsid w:val="007B1625"/>
    <w:rsid w:val="007B706E"/>
    <w:rsid w:val="007B71EB"/>
    <w:rsid w:val="007C0748"/>
    <w:rsid w:val="007C6205"/>
    <w:rsid w:val="007C686A"/>
    <w:rsid w:val="007C728E"/>
    <w:rsid w:val="007D0BE0"/>
    <w:rsid w:val="007D13C4"/>
    <w:rsid w:val="007D1D7A"/>
    <w:rsid w:val="007D204F"/>
    <w:rsid w:val="007D2C53"/>
    <w:rsid w:val="007D3D60"/>
    <w:rsid w:val="007D49DB"/>
    <w:rsid w:val="007E0B38"/>
    <w:rsid w:val="007E1980"/>
    <w:rsid w:val="007E4B76"/>
    <w:rsid w:val="007E5043"/>
    <w:rsid w:val="007E5EA8"/>
    <w:rsid w:val="007F0CF1"/>
    <w:rsid w:val="007F12A5"/>
    <w:rsid w:val="007F2D74"/>
    <w:rsid w:val="007F3FB7"/>
    <w:rsid w:val="007F4CF1"/>
    <w:rsid w:val="007F7422"/>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308C"/>
    <w:rsid w:val="00884468"/>
    <w:rsid w:val="008856D8"/>
    <w:rsid w:val="00892E82"/>
    <w:rsid w:val="00893277"/>
    <w:rsid w:val="00895FA9"/>
    <w:rsid w:val="008A1035"/>
    <w:rsid w:val="008A6E08"/>
    <w:rsid w:val="008C0BE9"/>
    <w:rsid w:val="008C1B58"/>
    <w:rsid w:val="008C33E3"/>
    <w:rsid w:val="008C39AE"/>
    <w:rsid w:val="008C40DF"/>
    <w:rsid w:val="008C590D"/>
    <w:rsid w:val="008D447E"/>
    <w:rsid w:val="008D7566"/>
    <w:rsid w:val="008E031B"/>
    <w:rsid w:val="008E0560"/>
    <w:rsid w:val="008E2D8C"/>
    <w:rsid w:val="008E7029"/>
    <w:rsid w:val="008E7EF6"/>
    <w:rsid w:val="008F1CD8"/>
    <w:rsid w:val="008F1F98"/>
    <w:rsid w:val="008F2340"/>
    <w:rsid w:val="008F2790"/>
    <w:rsid w:val="008F5EC8"/>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143F"/>
    <w:rsid w:val="0094212C"/>
    <w:rsid w:val="00944853"/>
    <w:rsid w:val="00945185"/>
    <w:rsid w:val="0094609D"/>
    <w:rsid w:val="0095378C"/>
    <w:rsid w:val="00954689"/>
    <w:rsid w:val="0095472A"/>
    <w:rsid w:val="0096085A"/>
    <w:rsid w:val="009617C9"/>
    <w:rsid w:val="00961C93"/>
    <w:rsid w:val="00962B4E"/>
    <w:rsid w:val="00965324"/>
    <w:rsid w:val="0097091E"/>
    <w:rsid w:val="009760D3"/>
    <w:rsid w:val="00977132"/>
    <w:rsid w:val="00980A2A"/>
    <w:rsid w:val="00980A98"/>
    <w:rsid w:val="00981A4B"/>
    <w:rsid w:val="00982250"/>
    <w:rsid w:val="00982501"/>
    <w:rsid w:val="00983D33"/>
    <w:rsid w:val="00984358"/>
    <w:rsid w:val="009877D3"/>
    <w:rsid w:val="00987E0D"/>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5DA"/>
    <w:rsid w:val="009E7E25"/>
    <w:rsid w:val="00A02E43"/>
    <w:rsid w:val="00A05368"/>
    <w:rsid w:val="00A065F9"/>
    <w:rsid w:val="00A07011"/>
    <w:rsid w:val="00A07F34"/>
    <w:rsid w:val="00A15C60"/>
    <w:rsid w:val="00A15F26"/>
    <w:rsid w:val="00A22154"/>
    <w:rsid w:val="00A24058"/>
    <w:rsid w:val="00A25C38"/>
    <w:rsid w:val="00A35824"/>
    <w:rsid w:val="00A36BBE"/>
    <w:rsid w:val="00A37C20"/>
    <w:rsid w:val="00A40D9E"/>
    <w:rsid w:val="00A41DF7"/>
    <w:rsid w:val="00A41EB6"/>
    <w:rsid w:val="00A420B1"/>
    <w:rsid w:val="00A42ECA"/>
    <w:rsid w:val="00A4307A"/>
    <w:rsid w:val="00A46DEF"/>
    <w:rsid w:val="00A47EBB"/>
    <w:rsid w:val="00A51CDD"/>
    <w:rsid w:val="00A563F8"/>
    <w:rsid w:val="00A56BBA"/>
    <w:rsid w:val="00A6730D"/>
    <w:rsid w:val="00A70E72"/>
    <w:rsid w:val="00A71625"/>
    <w:rsid w:val="00A71B9B"/>
    <w:rsid w:val="00A751C7"/>
    <w:rsid w:val="00A80008"/>
    <w:rsid w:val="00A84CE5"/>
    <w:rsid w:val="00A87844"/>
    <w:rsid w:val="00A9227B"/>
    <w:rsid w:val="00A97A55"/>
    <w:rsid w:val="00AA038C"/>
    <w:rsid w:val="00AA5A09"/>
    <w:rsid w:val="00AA7418"/>
    <w:rsid w:val="00AA7A09"/>
    <w:rsid w:val="00AB2C76"/>
    <w:rsid w:val="00AB3B50"/>
    <w:rsid w:val="00AC05B1"/>
    <w:rsid w:val="00AC450C"/>
    <w:rsid w:val="00AD340B"/>
    <w:rsid w:val="00AD356C"/>
    <w:rsid w:val="00AE2914"/>
    <w:rsid w:val="00AE2BE3"/>
    <w:rsid w:val="00AE6D15"/>
    <w:rsid w:val="00AE7023"/>
    <w:rsid w:val="00AE78AA"/>
    <w:rsid w:val="00AF0EF3"/>
    <w:rsid w:val="00AF1F49"/>
    <w:rsid w:val="00AF2D81"/>
    <w:rsid w:val="00B04182"/>
    <w:rsid w:val="00B05ECF"/>
    <w:rsid w:val="00B07AE3"/>
    <w:rsid w:val="00B11430"/>
    <w:rsid w:val="00B12A5D"/>
    <w:rsid w:val="00B165C4"/>
    <w:rsid w:val="00B242F4"/>
    <w:rsid w:val="00B2477A"/>
    <w:rsid w:val="00B24D1C"/>
    <w:rsid w:val="00B30072"/>
    <w:rsid w:val="00B30481"/>
    <w:rsid w:val="00B30B75"/>
    <w:rsid w:val="00B32868"/>
    <w:rsid w:val="00B32FFB"/>
    <w:rsid w:val="00B3312F"/>
    <w:rsid w:val="00B3476F"/>
    <w:rsid w:val="00B353EB"/>
    <w:rsid w:val="00B4016F"/>
    <w:rsid w:val="00B407AC"/>
    <w:rsid w:val="00B439C4"/>
    <w:rsid w:val="00B4535E"/>
    <w:rsid w:val="00B52A8C"/>
    <w:rsid w:val="00B54707"/>
    <w:rsid w:val="00B56155"/>
    <w:rsid w:val="00B62C9F"/>
    <w:rsid w:val="00B62F11"/>
    <w:rsid w:val="00B63042"/>
    <w:rsid w:val="00B636A8"/>
    <w:rsid w:val="00B665C6"/>
    <w:rsid w:val="00B72AD8"/>
    <w:rsid w:val="00B74441"/>
    <w:rsid w:val="00B758A5"/>
    <w:rsid w:val="00B805AF"/>
    <w:rsid w:val="00B82287"/>
    <w:rsid w:val="00B82BD5"/>
    <w:rsid w:val="00B869EC"/>
    <w:rsid w:val="00B92383"/>
    <w:rsid w:val="00B9397A"/>
    <w:rsid w:val="00B9633D"/>
    <w:rsid w:val="00B967D5"/>
    <w:rsid w:val="00B97DB3"/>
    <w:rsid w:val="00BA2EBE"/>
    <w:rsid w:val="00BB0F28"/>
    <w:rsid w:val="00BB1F9D"/>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328F"/>
    <w:rsid w:val="00C244A0"/>
    <w:rsid w:val="00C24971"/>
    <w:rsid w:val="00C25355"/>
    <w:rsid w:val="00C26BE5"/>
    <w:rsid w:val="00C26E4D"/>
    <w:rsid w:val="00C27909"/>
    <w:rsid w:val="00C27B03"/>
    <w:rsid w:val="00C314E1"/>
    <w:rsid w:val="00C34397"/>
    <w:rsid w:val="00C40503"/>
    <w:rsid w:val="00C4095D"/>
    <w:rsid w:val="00C5241D"/>
    <w:rsid w:val="00C57A9C"/>
    <w:rsid w:val="00C601D2"/>
    <w:rsid w:val="00C65BCC"/>
    <w:rsid w:val="00C66970"/>
    <w:rsid w:val="00C71F4D"/>
    <w:rsid w:val="00C82CB9"/>
    <w:rsid w:val="00C8691C"/>
    <w:rsid w:val="00C86CB4"/>
    <w:rsid w:val="00C96295"/>
    <w:rsid w:val="00C96364"/>
    <w:rsid w:val="00CA03DF"/>
    <w:rsid w:val="00CA168A"/>
    <w:rsid w:val="00CA2097"/>
    <w:rsid w:val="00CA357E"/>
    <w:rsid w:val="00CA44F9"/>
    <w:rsid w:val="00CA4A69"/>
    <w:rsid w:val="00CB2132"/>
    <w:rsid w:val="00CB722E"/>
    <w:rsid w:val="00CC3E0C"/>
    <w:rsid w:val="00CC58D3"/>
    <w:rsid w:val="00CC64AF"/>
    <w:rsid w:val="00CC784D"/>
    <w:rsid w:val="00CF1E15"/>
    <w:rsid w:val="00CF2FB9"/>
    <w:rsid w:val="00D00A8D"/>
    <w:rsid w:val="00D03268"/>
    <w:rsid w:val="00D0337B"/>
    <w:rsid w:val="00D07777"/>
    <w:rsid w:val="00D079B2"/>
    <w:rsid w:val="00D114E9"/>
    <w:rsid w:val="00D17CD8"/>
    <w:rsid w:val="00D2527C"/>
    <w:rsid w:val="00D313B3"/>
    <w:rsid w:val="00D35B8E"/>
    <w:rsid w:val="00D40F07"/>
    <w:rsid w:val="00D429C6"/>
    <w:rsid w:val="00D45544"/>
    <w:rsid w:val="00D47748"/>
    <w:rsid w:val="00D5178F"/>
    <w:rsid w:val="00D518DF"/>
    <w:rsid w:val="00D54CC3"/>
    <w:rsid w:val="00D561F6"/>
    <w:rsid w:val="00D566EF"/>
    <w:rsid w:val="00D6041A"/>
    <w:rsid w:val="00D61258"/>
    <w:rsid w:val="00D633EB"/>
    <w:rsid w:val="00D736AC"/>
    <w:rsid w:val="00D747AA"/>
    <w:rsid w:val="00D75A7E"/>
    <w:rsid w:val="00D82FF7"/>
    <w:rsid w:val="00D84271"/>
    <w:rsid w:val="00D84532"/>
    <w:rsid w:val="00D847FE"/>
    <w:rsid w:val="00D86B9C"/>
    <w:rsid w:val="00D900CD"/>
    <w:rsid w:val="00D90A39"/>
    <w:rsid w:val="00D964EA"/>
    <w:rsid w:val="00D966D0"/>
    <w:rsid w:val="00DA0C59"/>
    <w:rsid w:val="00DA3991"/>
    <w:rsid w:val="00DA72A1"/>
    <w:rsid w:val="00DA7F95"/>
    <w:rsid w:val="00DB01F1"/>
    <w:rsid w:val="00DB3222"/>
    <w:rsid w:val="00DB7E6C"/>
    <w:rsid w:val="00DC0758"/>
    <w:rsid w:val="00DC4F68"/>
    <w:rsid w:val="00DC64B0"/>
    <w:rsid w:val="00DC6B1E"/>
    <w:rsid w:val="00DD252A"/>
    <w:rsid w:val="00DD5949"/>
    <w:rsid w:val="00DD5A29"/>
    <w:rsid w:val="00DD5D9D"/>
    <w:rsid w:val="00DE3505"/>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643E"/>
    <w:rsid w:val="00E21B55"/>
    <w:rsid w:val="00E221D3"/>
    <w:rsid w:val="00E24EB4"/>
    <w:rsid w:val="00E30635"/>
    <w:rsid w:val="00E320ED"/>
    <w:rsid w:val="00E33AFB"/>
    <w:rsid w:val="00E34218"/>
    <w:rsid w:val="00E35978"/>
    <w:rsid w:val="00E4555B"/>
    <w:rsid w:val="00E46282"/>
    <w:rsid w:val="00E50833"/>
    <w:rsid w:val="00E5216E"/>
    <w:rsid w:val="00E5529C"/>
    <w:rsid w:val="00E55E16"/>
    <w:rsid w:val="00E657C6"/>
    <w:rsid w:val="00E70261"/>
    <w:rsid w:val="00E75D40"/>
    <w:rsid w:val="00E81965"/>
    <w:rsid w:val="00E81A88"/>
    <w:rsid w:val="00E81F73"/>
    <w:rsid w:val="00E82344"/>
    <w:rsid w:val="00E84C82"/>
    <w:rsid w:val="00E84D64"/>
    <w:rsid w:val="00E87408"/>
    <w:rsid w:val="00E914C4"/>
    <w:rsid w:val="00E934F5"/>
    <w:rsid w:val="00E96961"/>
    <w:rsid w:val="00EA72EC"/>
    <w:rsid w:val="00EA74E6"/>
    <w:rsid w:val="00EB0EDA"/>
    <w:rsid w:val="00EB0F2E"/>
    <w:rsid w:val="00EB11CB"/>
    <w:rsid w:val="00EB1C71"/>
    <w:rsid w:val="00EB275A"/>
    <w:rsid w:val="00EB57CA"/>
    <w:rsid w:val="00EB786A"/>
    <w:rsid w:val="00EC1578"/>
    <w:rsid w:val="00EC1BFC"/>
    <w:rsid w:val="00EC1C72"/>
    <w:rsid w:val="00EC3356"/>
    <w:rsid w:val="00EC3CC9"/>
    <w:rsid w:val="00EC5D85"/>
    <w:rsid w:val="00EC680A"/>
    <w:rsid w:val="00EC7BAC"/>
    <w:rsid w:val="00ED511C"/>
    <w:rsid w:val="00ED7229"/>
    <w:rsid w:val="00EE25CB"/>
    <w:rsid w:val="00EE2BED"/>
    <w:rsid w:val="00EE374B"/>
    <w:rsid w:val="00EE4A87"/>
    <w:rsid w:val="00EF2869"/>
    <w:rsid w:val="00F04293"/>
    <w:rsid w:val="00F05D60"/>
    <w:rsid w:val="00F07224"/>
    <w:rsid w:val="00F07FD3"/>
    <w:rsid w:val="00F115BE"/>
    <w:rsid w:val="00F11BB5"/>
    <w:rsid w:val="00F1296C"/>
    <w:rsid w:val="00F1417B"/>
    <w:rsid w:val="00F1712D"/>
    <w:rsid w:val="00F17A17"/>
    <w:rsid w:val="00F208A0"/>
    <w:rsid w:val="00F2115E"/>
    <w:rsid w:val="00F27B3D"/>
    <w:rsid w:val="00F30ABD"/>
    <w:rsid w:val="00F34B99"/>
    <w:rsid w:val="00F40B02"/>
    <w:rsid w:val="00F41E81"/>
    <w:rsid w:val="00F50D6A"/>
    <w:rsid w:val="00F51720"/>
    <w:rsid w:val="00F51CF2"/>
    <w:rsid w:val="00F52DAB"/>
    <w:rsid w:val="00F543F0"/>
    <w:rsid w:val="00F55E3E"/>
    <w:rsid w:val="00F57601"/>
    <w:rsid w:val="00F73F99"/>
    <w:rsid w:val="00F75F80"/>
    <w:rsid w:val="00F80398"/>
    <w:rsid w:val="00F81D29"/>
    <w:rsid w:val="00F90BE5"/>
    <w:rsid w:val="00F9190C"/>
    <w:rsid w:val="00F91C4D"/>
    <w:rsid w:val="00F92FD9"/>
    <w:rsid w:val="00F93C7A"/>
    <w:rsid w:val="00FA232A"/>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00FF7B63"/>
    <w:rsid w:val="02766352"/>
    <w:rsid w:val="0382450E"/>
    <w:rsid w:val="04E1572E"/>
    <w:rsid w:val="05A445D8"/>
    <w:rsid w:val="05D315ED"/>
    <w:rsid w:val="06F1648D"/>
    <w:rsid w:val="07FE6E2D"/>
    <w:rsid w:val="08D376DF"/>
    <w:rsid w:val="097C561F"/>
    <w:rsid w:val="09BD522B"/>
    <w:rsid w:val="0AA44691"/>
    <w:rsid w:val="0AE66BBC"/>
    <w:rsid w:val="105D59F6"/>
    <w:rsid w:val="12CD6A10"/>
    <w:rsid w:val="13713700"/>
    <w:rsid w:val="14C62A30"/>
    <w:rsid w:val="16C614D5"/>
    <w:rsid w:val="16F7456B"/>
    <w:rsid w:val="17D071C5"/>
    <w:rsid w:val="17DC5CA4"/>
    <w:rsid w:val="189663B3"/>
    <w:rsid w:val="1A4433C4"/>
    <w:rsid w:val="1C7C1B15"/>
    <w:rsid w:val="1F6D2D25"/>
    <w:rsid w:val="1FB627F9"/>
    <w:rsid w:val="208E1FE1"/>
    <w:rsid w:val="238E40D2"/>
    <w:rsid w:val="23D35109"/>
    <w:rsid w:val="279B15E6"/>
    <w:rsid w:val="27CF4B7F"/>
    <w:rsid w:val="280E3E22"/>
    <w:rsid w:val="293410EB"/>
    <w:rsid w:val="296A4E95"/>
    <w:rsid w:val="2B405EE3"/>
    <w:rsid w:val="2BCA7866"/>
    <w:rsid w:val="2CAB16A5"/>
    <w:rsid w:val="2E60513F"/>
    <w:rsid w:val="2E7C1A32"/>
    <w:rsid w:val="2F5F04D4"/>
    <w:rsid w:val="2FB93406"/>
    <w:rsid w:val="2FBA6463"/>
    <w:rsid w:val="30A93DE3"/>
    <w:rsid w:val="328F016E"/>
    <w:rsid w:val="36E20D7C"/>
    <w:rsid w:val="37885A98"/>
    <w:rsid w:val="387E5CC4"/>
    <w:rsid w:val="3AC62A36"/>
    <w:rsid w:val="3AE37384"/>
    <w:rsid w:val="3CD85A27"/>
    <w:rsid w:val="3D0507E9"/>
    <w:rsid w:val="3E605BF6"/>
    <w:rsid w:val="3EE952DB"/>
    <w:rsid w:val="3F122FDD"/>
    <w:rsid w:val="41811962"/>
    <w:rsid w:val="4254768B"/>
    <w:rsid w:val="437A2597"/>
    <w:rsid w:val="440568CD"/>
    <w:rsid w:val="452259CE"/>
    <w:rsid w:val="468C5DE3"/>
    <w:rsid w:val="469654C2"/>
    <w:rsid w:val="47CB6216"/>
    <w:rsid w:val="497879D1"/>
    <w:rsid w:val="49EE64E5"/>
    <w:rsid w:val="49F45C39"/>
    <w:rsid w:val="4A401339"/>
    <w:rsid w:val="4C354537"/>
    <w:rsid w:val="4DA35330"/>
    <w:rsid w:val="4F1B6CCC"/>
    <w:rsid w:val="4FD46A4B"/>
    <w:rsid w:val="5123261F"/>
    <w:rsid w:val="524D583E"/>
    <w:rsid w:val="535E583D"/>
    <w:rsid w:val="54801A63"/>
    <w:rsid w:val="54910852"/>
    <w:rsid w:val="5513052E"/>
    <w:rsid w:val="55B73EF3"/>
    <w:rsid w:val="55C64FC7"/>
    <w:rsid w:val="57DC51F1"/>
    <w:rsid w:val="5A540910"/>
    <w:rsid w:val="5B4F4740"/>
    <w:rsid w:val="62744A3B"/>
    <w:rsid w:val="62B72177"/>
    <w:rsid w:val="63A97D02"/>
    <w:rsid w:val="656D2FDC"/>
    <w:rsid w:val="66435ABC"/>
    <w:rsid w:val="68433393"/>
    <w:rsid w:val="69E07397"/>
    <w:rsid w:val="6AA21F6F"/>
    <w:rsid w:val="6DF048B4"/>
    <w:rsid w:val="73A93505"/>
    <w:rsid w:val="74DE74CB"/>
    <w:rsid w:val="772D4216"/>
    <w:rsid w:val="77B93FCB"/>
    <w:rsid w:val="77F334C6"/>
    <w:rsid w:val="7A0D1932"/>
    <w:rsid w:val="7AD40CE0"/>
    <w:rsid w:val="7BE96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unhideWhenUsed/>
    <w:qFormat/>
    <w:uiPriority w:val="99"/>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Indent"/>
    <w:basedOn w:val="1"/>
    <w:qFormat/>
    <w:uiPriority w:val="0"/>
    <w:pPr>
      <w:spacing w:after="120"/>
      <w:ind w:left="420" w:leftChars="20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40"/>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0"/>
    <w:rPr>
      <w:color w:val="0000FF"/>
      <w:spacing w:val="0"/>
      <w:w w:val="100"/>
      <w:szCs w:val="21"/>
      <w:u w:val="single"/>
    </w:rPr>
  </w:style>
  <w:style w:type="character" w:styleId="39">
    <w:name w:val="footnote reference"/>
    <w:semiHidden/>
    <w:qFormat/>
    <w:uiPriority w:val="0"/>
    <w:rPr>
      <w:vertAlign w:val="superscript"/>
    </w:rPr>
  </w:style>
  <w:style w:type="character" w:customStyle="1" w:styleId="40">
    <w:name w:val="段 Char"/>
    <w:link w:val="23"/>
    <w:qFormat/>
    <w:uiPriority w:val="0"/>
    <w:rPr>
      <w:rFonts w:ascii="宋体"/>
      <w:sz w:val="21"/>
      <w:lang w:val="en-US" w:eastAsia="zh-CN" w:bidi="ar-SA"/>
    </w:rPr>
  </w:style>
  <w:style w:type="paragraph" w:customStyle="1" w:styleId="41">
    <w:name w:val="一级条标题"/>
    <w:next w:val="23"/>
    <w:link w:val="14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3"/>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3"/>
    <w:link w:val="13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3"/>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3"/>
    <w:qFormat/>
    <w:uiPriority w:val="0"/>
    <w:pPr>
      <w:numPr>
        <w:ilvl w:val="4"/>
      </w:numPr>
      <w:outlineLvl w:val="5"/>
    </w:pPr>
  </w:style>
  <w:style w:type="paragraph" w:customStyle="1" w:styleId="55">
    <w:name w:val="五级条标题"/>
    <w:basedOn w:val="54"/>
    <w:next w:val="23"/>
    <w:qFormat/>
    <w:uiPriority w:val="0"/>
    <w:pPr>
      <w:numPr>
        <w:ilvl w:val="5"/>
      </w:numPr>
      <w:outlineLvl w:val="6"/>
    </w:pPr>
  </w:style>
  <w:style w:type="paragraph" w:customStyle="1" w:styleId="56">
    <w:name w:val="注："/>
    <w:next w:val="23"/>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3"/>
    <w:qFormat/>
    <w:uiPriority w:val="0"/>
    <w:pPr>
      <w:numPr>
        <w:numId w:val="9"/>
      </w:numPr>
      <w:ind w:left="726" w:hanging="363"/>
    </w:pPr>
  </w:style>
  <w:style w:type="paragraph" w:customStyle="1" w:styleId="64">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basedOn w:val="46"/>
    <w:qFormat/>
    <w:uiPriority w:val="0"/>
    <w:pPr>
      <w:spacing w:before="57"/>
    </w:pPr>
    <w:rPr>
      <w:rFonts w:ascii="宋体" w:eastAsia="宋体"/>
      <w:sz w:val="21"/>
      <w:szCs w:val="21"/>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spacing w:before="370" w:line="400" w:lineRule="exact"/>
    </w:pPr>
    <w:rPr>
      <w:rFonts w:ascii="Times New Roman"/>
      <w:sz w:val="28"/>
      <w:szCs w:val="28"/>
    </w:rPr>
  </w:style>
  <w:style w:type="paragraph" w:customStyle="1" w:styleId="79">
    <w:name w:val="封面一致性程度标识"/>
    <w:basedOn w:val="78"/>
    <w:qFormat/>
    <w:uiPriority w:val="0"/>
    <w:pPr>
      <w:spacing w:before="440"/>
    </w:pPr>
    <w:rPr>
      <w:rFonts w:ascii="宋体" w:eastAsia="宋体"/>
    </w:rPr>
  </w:style>
  <w:style w:type="paragraph" w:customStyle="1" w:styleId="80">
    <w:name w:val="封面标准文稿类别"/>
    <w:basedOn w:val="79"/>
    <w:qFormat/>
    <w:uiPriority w:val="0"/>
    <w:pPr>
      <w:spacing w:after="160" w:line="240" w:lineRule="auto"/>
    </w:pPr>
    <w:rPr>
      <w:sz w:val="24"/>
    </w:rPr>
  </w:style>
  <w:style w:type="paragraph" w:customStyle="1" w:styleId="81">
    <w:name w:val="封面标准文稿编辑信息"/>
    <w:basedOn w:val="80"/>
    <w:qFormat/>
    <w:uiPriority w:val="0"/>
    <w:pPr>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3"/>
    <w:next w:val="23"/>
    <w:qFormat/>
    <w:uiPriority w:val="0"/>
    <w:pPr>
      <w:ind w:firstLine="0" w:firstLineChars="0"/>
      <w:jc w:val="center"/>
    </w:pPr>
    <w:rPr>
      <w:rFonts w:ascii="黑体" w:eastAsia="黑体"/>
    </w:rPr>
  </w:style>
  <w:style w:type="paragraph" w:customStyle="1" w:styleId="85">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6">
    <w:name w:val="附录表标题"/>
    <w:basedOn w:val="1"/>
    <w:next w:val="23"/>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3"/>
    <w:next w:val="23"/>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3"/>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5">
    <w:name w:val="附录四级条标题"/>
    <w:basedOn w:val="92"/>
    <w:next w:val="23"/>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8">
    <w:name w:val="附录图标题"/>
    <w:basedOn w:val="1"/>
    <w:next w:val="2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3"/>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3"/>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y="15310"/>
      <w:spacing w:line="0" w:lineRule="atLeast"/>
    </w:pPr>
    <w:rPr>
      <w:rFonts w:ascii="黑体" w:eastAsia="黑体"/>
      <w:b w:val="0"/>
    </w:rPr>
  </w:style>
  <w:style w:type="paragraph" w:customStyle="1" w:styleId="111">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4">
    <w:name w:val="示例后文字"/>
    <w:basedOn w:val="23"/>
    <w:next w:val="23"/>
    <w:qFormat/>
    <w:uiPriority w:val="0"/>
    <w:pPr>
      <w:ind w:firstLine="360"/>
    </w:pPr>
    <w:rPr>
      <w:sz w:val="18"/>
    </w:rPr>
  </w:style>
  <w:style w:type="paragraph" w:customStyle="1" w:styleId="115">
    <w:name w:val="首示例"/>
    <w:next w:val="23"/>
    <w:link w:val="116"/>
    <w:qFormat/>
    <w:uiPriority w:val="0"/>
    <w:pPr>
      <w:tabs>
        <w:tab w:val="left" w:pos="360"/>
      </w:tabs>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4"/>
    <w:qFormat/>
    <w:uiPriority w:val="0"/>
    <w:pPr>
      <w:numPr>
        <w:numId w:val="0"/>
      </w:numPr>
      <w:jc w:val="both"/>
    </w:pPr>
  </w:style>
  <w:style w:type="paragraph" w:customStyle="1" w:styleId="119">
    <w:name w:val="图标脚注说明"/>
    <w:basedOn w:val="23"/>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3"/>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3"/>
    <w:next w:val="23"/>
    <w:qFormat/>
    <w:uiPriority w:val="0"/>
    <w:pPr>
      <w:ind w:firstLine="0" w:firstLineChars="0"/>
    </w:pPr>
  </w:style>
  <w:style w:type="paragraph" w:customStyle="1" w:styleId="127">
    <w:name w:val="正文图标题"/>
    <w:next w:val="23"/>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0">
    <w:name w:val="其他实施日期"/>
    <w:basedOn w:val="113"/>
    <w:qFormat/>
    <w:uiPriority w:val="0"/>
  </w:style>
  <w:style w:type="paragraph" w:customStyle="1" w:styleId="131">
    <w:name w:val="封面标准名称2"/>
    <w:basedOn w:val="77"/>
    <w:qFormat/>
    <w:uiPriority w:val="0"/>
    <w:pPr>
      <w:framePr w:y="4469"/>
      <w:spacing w:beforeLines="630"/>
    </w:pPr>
  </w:style>
  <w:style w:type="paragraph" w:customStyle="1" w:styleId="132">
    <w:name w:val="封面标准英文名称2"/>
    <w:basedOn w:val="78"/>
    <w:qFormat/>
    <w:uiPriority w:val="0"/>
    <w:pPr>
      <w:framePr w:y="4469"/>
    </w:pPr>
  </w:style>
  <w:style w:type="paragraph" w:customStyle="1" w:styleId="133">
    <w:name w:val="封面一致性程度标识2"/>
    <w:basedOn w:val="79"/>
    <w:qFormat/>
    <w:uiPriority w:val="0"/>
    <w:pPr>
      <w:framePr w:y="4469"/>
    </w:pPr>
  </w:style>
  <w:style w:type="paragraph" w:customStyle="1" w:styleId="134">
    <w:name w:val="封面标准文稿类别2"/>
    <w:basedOn w:val="80"/>
    <w:qFormat/>
    <w:uiPriority w:val="0"/>
    <w:pPr>
      <w:framePr w:y="4469"/>
    </w:pPr>
  </w:style>
  <w:style w:type="paragraph" w:customStyle="1" w:styleId="135">
    <w:name w:val="封面标准文稿编辑信息2"/>
    <w:basedOn w:val="81"/>
    <w:qFormat/>
    <w:uiPriority w:val="0"/>
    <w:pPr>
      <w:framePr w:y="4469"/>
    </w:pPr>
  </w:style>
  <w:style w:type="paragraph" w:customStyle="1" w:styleId="136">
    <w:name w:val="标准名称"/>
    <w:basedOn w:val="49"/>
    <w:link w:val="139"/>
    <w:qFormat/>
    <w:uiPriority w:val="0"/>
  </w:style>
  <w:style w:type="character" w:styleId="137">
    <w:name w:val="Placeholder Text"/>
    <w:basedOn w:val="34"/>
    <w:semiHidden/>
    <w:qFormat/>
    <w:uiPriority w:val="99"/>
    <w:rPr>
      <w:color w:val="808080"/>
    </w:rPr>
  </w:style>
  <w:style w:type="character" w:customStyle="1" w:styleId="138">
    <w:name w:val="目次、标准名称标题 Char"/>
    <w:basedOn w:val="34"/>
    <w:link w:val="49"/>
    <w:qFormat/>
    <w:uiPriority w:val="0"/>
    <w:rPr>
      <w:rFonts w:ascii="黑体" w:eastAsia="黑体"/>
      <w:sz w:val="32"/>
      <w:shd w:val="clear" w:color="FFFFFF" w:fill="FFFFFF"/>
    </w:rPr>
  </w:style>
  <w:style w:type="character" w:customStyle="1" w:styleId="139">
    <w:name w:val="标准名称 Char"/>
    <w:basedOn w:val="138"/>
    <w:link w:val="136"/>
    <w:qFormat/>
    <w:uiPriority w:val="0"/>
    <w:rPr>
      <w:rFonts w:ascii="黑体" w:eastAsia="黑体"/>
      <w:sz w:val="32"/>
      <w:shd w:val="clear" w:color="FFFFFF" w:fill="FFFFFF"/>
    </w:rPr>
  </w:style>
  <w:style w:type="character" w:customStyle="1" w:styleId="140">
    <w:name w:val="批注框文本 字符"/>
    <w:basedOn w:val="34"/>
    <w:link w:val="16"/>
    <w:qFormat/>
    <w:uiPriority w:val="0"/>
    <w:rPr>
      <w:kern w:val="2"/>
      <w:sz w:val="18"/>
      <w:szCs w:val="18"/>
    </w:rPr>
  </w:style>
  <w:style w:type="character" w:customStyle="1" w:styleId="141">
    <w:name w:val="一级条标题 Char"/>
    <w:link w:val="41"/>
    <w:qFormat/>
    <w:uiPriority w:val="0"/>
    <w:rPr>
      <w:rFonts w:ascii="黑体" w:hAnsi="Times New Roman" w:eastAsia="黑体" w:cs="Times New Roman"/>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A783C"/>
    <w:rsid w:val="000C73CF"/>
    <w:rsid w:val="001132F9"/>
    <w:rsid w:val="00114ABC"/>
    <w:rsid w:val="001C16E0"/>
    <w:rsid w:val="002068C7"/>
    <w:rsid w:val="00323E80"/>
    <w:rsid w:val="003372E5"/>
    <w:rsid w:val="003750AF"/>
    <w:rsid w:val="00430F92"/>
    <w:rsid w:val="004F113A"/>
    <w:rsid w:val="004F1EC5"/>
    <w:rsid w:val="00515A81"/>
    <w:rsid w:val="005335DD"/>
    <w:rsid w:val="00595E09"/>
    <w:rsid w:val="00674FBA"/>
    <w:rsid w:val="006D02E4"/>
    <w:rsid w:val="007216E9"/>
    <w:rsid w:val="007C6ACB"/>
    <w:rsid w:val="007E2797"/>
    <w:rsid w:val="007E4627"/>
    <w:rsid w:val="00800293"/>
    <w:rsid w:val="00820E7E"/>
    <w:rsid w:val="008E024D"/>
    <w:rsid w:val="008F0268"/>
    <w:rsid w:val="00902EF8"/>
    <w:rsid w:val="00982DAC"/>
    <w:rsid w:val="009B16B1"/>
    <w:rsid w:val="009B6B1E"/>
    <w:rsid w:val="00A94E45"/>
    <w:rsid w:val="00AD6808"/>
    <w:rsid w:val="00B717AC"/>
    <w:rsid w:val="00BC67AA"/>
    <w:rsid w:val="00BE131B"/>
    <w:rsid w:val="00C875D2"/>
    <w:rsid w:val="00CB0B2B"/>
    <w:rsid w:val="00D4454B"/>
    <w:rsid w:val="00D57E8B"/>
    <w:rsid w:val="00D65DD7"/>
    <w:rsid w:val="00DA4409"/>
    <w:rsid w:val="00E95A08"/>
    <w:rsid w:val="00EA15BD"/>
    <w:rsid w:val="00EA32AC"/>
    <w:rsid w:val="00F80391"/>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8</Pages>
  <Words>2894</Words>
  <Characters>3680</Characters>
  <Lines>27</Lines>
  <Paragraphs>7</Paragraphs>
  <TotalTime>0</TotalTime>
  <ScaleCrop>false</ScaleCrop>
  <LinksUpToDate>false</LinksUpToDate>
  <CharactersWithSpaces>3833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2020-08-04T00:55:00Z</dcterms:created>
  <dc:creator>CNIS</dc:creator>
  <cp:lastModifiedBy>yr</cp:lastModifiedBy>
  <dcterms:modified xsi:type="dcterms:W3CDTF">2023-02-16T06:48:38Z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CE2B6EA64E3D4CD4B8EF8EC9EBD9791E</vt:lpwstr>
  </property>
</Properties>
</file>