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0"/>
      </w:pPr>
      <w:r>
        <w:rPr>
          <w:rFonts w:ascii="Times New Roman"/>
        </w:rPr>
        <w:t>ICS</w:t>
      </w:r>
      <w:r>
        <w:rPr>
          <w:rFonts w:hAnsi="黑体"/>
        </w:rPr>
        <w:t> </w:t>
      </w:r>
      <w:r>
        <w:fldChar w:fldCharType="begin">
          <w:ffData>
            <w:name w:val="ICS"/>
            <w:enabled/>
            <w:calcOnExit w:val="0"/>
            <w:helpText w:type="text" w:val="请输入正确的ICS号："/>
            <w:textInput>
              <w:default w:val="点击此处添加ICS号"/>
            </w:textInput>
          </w:ffData>
        </w:fldChar>
      </w:r>
      <w:bookmarkStart w:id="0" w:name="ICS"/>
      <w:r>
        <w:instrText xml:space="preserve"> FORMTEXT </w:instrText>
      </w:r>
      <w:r>
        <w:fldChar w:fldCharType="separate"/>
      </w:r>
      <w:r>
        <w:t>     </w:t>
      </w:r>
      <w:r>
        <w:fldChar w:fldCharType="end"/>
      </w:r>
      <w:bookmarkEnd w:id="0"/>
    </w:p>
    <w:p>
      <w:pPr>
        <w:pStyle w:val="120"/>
      </w:pPr>
      <w:r>
        <w:fldChar w:fldCharType="begin">
          <w:ffData>
            <w:name w:val="WXFLH"/>
            <w:enabled/>
            <w:calcOnExit w:val="0"/>
            <w:helpText w:type="text" w:val="请输入中国标准文献分类号："/>
            <w:textInput>
              <w:default w:val="点击此处添加中国标准文献分类号"/>
            </w:textInput>
          </w:ffData>
        </w:fldChar>
      </w:r>
      <w:bookmarkStart w:id="1" w:name="WXFLH"/>
      <w:r>
        <w:instrText xml:space="preserve"> FORMTEXT </w:instrText>
      </w:r>
      <w:r>
        <w:fldChar w:fldCharType="separate"/>
      </w:r>
      <w:r>
        <w:t xml:space="preserve">CCS H </w:t>
      </w:r>
      <w:r>
        <w:fldChar w:fldCharType="end"/>
      </w:r>
      <w:bookmarkEnd w:id="1"/>
    </w:p>
    <w:tbl>
      <w:tblPr>
        <w:tblStyle w:val="31"/>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6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28" w:type="dxa"/>
            <w:tcBorders>
              <w:top w:val="nil"/>
              <w:left w:val="nil"/>
              <w:bottom w:val="nil"/>
              <w:right w:val="nil"/>
            </w:tcBorders>
            <w:shd w:val="clear" w:color="auto" w:fill="auto"/>
          </w:tcPr>
          <w:p>
            <w:pPr>
              <w:pStyle w:val="120"/>
            </w:pPr>
            <w:r>
              <w:fldChar w:fldCharType="begin">
                <w:ffData>
                  <w:name w:val="BAH"/>
                  <w:enabled/>
                  <w:calcOnExit w:val="0"/>
                  <w:textInput/>
                </w:ffData>
              </w:fldChar>
            </w:r>
            <w:bookmarkStart w:id="2" w:name="BAH"/>
            <w:r>
              <w:instrText xml:space="preserve"> </w:instrText>
            </w:r>
            <w:r>
              <w:rPr>
                <w:rFonts w:hint="eastAsia"/>
              </w:rPr>
              <w:instrText xml:space="preserve">FORMTEXT</w:instrText>
            </w:r>
            <w:r>
              <w:instrText xml:space="preserve"> </w:instrText>
            </w:r>
            <w:r>
              <w:fldChar w:fldCharType="separate"/>
            </w:r>
            <w:r>
              <w:t>     </w:t>
            </w:r>
            <w:r>
              <w:fldChar w:fldCharType="end"/>
            </w:r>
            <w:bookmarkEnd w:id="2"/>
          </w:p>
        </w:tc>
      </w:tr>
    </w:tbl>
    <w:p>
      <w:pPr>
        <w:pStyle w:val="106"/>
      </w:pPr>
      <w:r>
        <w:fldChar w:fldCharType="begin">
          <w:ffData>
            <w:name w:val="c1"/>
            <w:enabled/>
            <w:calcOnExit w:val="0"/>
            <w:entryMacro w:val="ShowHelp15"/>
            <w:textInput/>
          </w:ffData>
        </w:fldChar>
      </w:r>
      <w:bookmarkStart w:id="3" w:name="c1"/>
      <w:r>
        <w:instrText xml:space="preserve"> FORMTEXT </w:instrText>
      </w:r>
      <w:r>
        <w:fldChar w:fldCharType="separate"/>
      </w:r>
      <w:r>
        <w:t>YS</w:t>
      </w:r>
      <w:r>
        <w:fldChar w:fldCharType="end"/>
      </w:r>
      <w:bookmarkEnd w:id="3"/>
    </w:p>
    <w:p>
      <w:pPr>
        <w:pStyle w:val="107"/>
      </w:pPr>
      <w:r>
        <w:rPr>
          <w:rFonts w:hint="eastAsia"/>
        </w:rPr>
        <w:t>中华人民共和国</w:t>
      </w:r>
      <w:r>
        <w:fldChar w:fldCharType="begin">
          <w:ffData>
            <w:name w:val="c2"/>
            <w:enabled/>
            <w:calcOnExit w:val="0"/>
            <w:entryMacro w:val="showhelp11"/>
            <w:textInput/>
          </w:ffData>
        </w:fldChar>
      </w:r>
      <w:bookmarkStart w:id="4" w:name="c2"/>
      <w:r>
        <w:instrText xml:space="preserve"> FORMTEXT </w:instrText>
      </w:r>
      <w:r>
        <w:fldChar w:fldCharType="separate"/>
      </w:r>
      <w:r>
        <w:rPr>
          <w:rFonts w:hint="eastAsia"/>
        </w:rPr>
        <w:t>有色金属</w:t>
      </w:r>
      <w:r>
        <w:fldChar w:fldCharType="end"/>
      </w:r>
      <w:bookmarkEnd w:id="4"/>
      <w:r>
        <w:t>行业标准</w:t>
      </w:r>
    </w:p>
    <w:p>
      <w:pPr>
        <w:pStyle w:val="44"/>
        <w:rPr>
          <w:rFonts w:hAnsi="黑体"/>
        </w:rPr>
      </w:pPr>
      <w:r>
        <w:rPr>
          <w:rFonts w:ascii="Times New Roman"/>
        </w:rPr>
        <w:fldChar w:fldCharType="begin">
          <w:ffData>
            <w:name w:val="StdNo0"/>
            <w:enabled/>
            <w:calcOnExit w:val="0"/>
            <w:textInput>
              <w:default w:val="××/T"/>
              <w:maxLength w:val="4"/>
            </w:textInput>
          </w:ffData>
        </w:fldChar>
      </w:r>
      <w:bookmarkStart w:id="5" w:name="StdNo0"/>
      <w:r>
        <w:rPr>
          <w:rFonts w:ascii="Times New Roman"/>
        </w:rPr>
        <w:instrText xml:space="preserve"> FORMTEXT </w:instrText>
      </w:r>
      <w:r>
        <w:rPr>
          <w:rFonts w:ascii="Times New Roman"/>
        </w:rPr>
        <w:fldChar w:fldCharType="separate"/>
      </w:r>
      <w:r>
        <w:rPr>
          <w:rFonts w:ascii="Times New Roman"/>
        </w:rPr>
        <w:t>YS/T</w:t>
      </w:r>
      <w:r>
        <w:rPr>
          <w:rFonts w:ascii="Times New Roman"/>
        </w:rPr>
        <w:fldChar w:fldCharType="end"/>
      </w:r>
      <w:bookmarkEnd w:id="5"/>
      <w:r>
        <w:rPr>
          <w:rFonts w:ascii="Times New Roman"/>
        </w:rPr>
        <w:t xml:space="preserve"> </w:t>
      </w:r>
      <w:r>
        <w:rPr>
          <w:rFonts w:hAnsi="黑体"/>
        </w:rPr>
        <w:fldChar w:fldCharType="begin">
          <w:ffData>
            <w:name w:val="StdNo1"/>
            <w:enabled/>
            <w:calcOnExit w:val="0"/>
            <w:textInput>
              <w:default w:val="×××××"/>
            </w:textInput>
          </w:ffData>
        </w:fldChar>
      </w:r>
      <w:bookmarkStart w:id="6" w:name="StdNo1"/>
      <w:r>
        <w:rPr>
          <w:rFonts w:hAnsi="黑体"/>
        </w:rPr>
        <w:instrText xml:space="preserve"> FORMTEXT </w:instrText>
      </w:r>
      <w:r>
        <w:rPr>
          <w:rFonts w:hAnsi="黑体"/>
        </w:rPr>
        <w:fldChar w:fldCharType="separate"/>
      </w:r>
      <w:r>
        <w:rPr>
          <w:rFonts w:hAnsi="黑体"/>
        </w:rPr>
        <w:t>×××××</w:t>
      </w:r>
      <w:r>
        <w:rPr>
          <w:rFonts w:hAnsi="黑体"/>
        </w:rPr>
        <w:fldChar w:fldCharType="end"/>
      </w:r>
      <w:bookmarkEnd w:id="6"/>
      <w:r>
        <w:rPr>
          <w:rFonts w:hAnsi="黑体"/>
        </w:rPr>
        <w:t>—</w:t>
      </w:r>
      <w:r>
        <w:rPr>
          <w:rFonts w:hAnsi="黑体"/>
        </w:rPr>
        <w:fldChar w:fldCharType="begin">
          <w:ffData>
            <w:name w:val="StdNo2"/>
            <w:enabled/>
            <w:calcOnExit w:val="0"/>
            <w:textInput>
              <w:default w:val="××××"/>
            </w:textInput>
          </w:ffData>
        </w:fldChar>
      </w:r>
      <w:bookmarkStart w:id="7" w:name="StdNo2"/>
      <w:r>
        <w:rPr>
          <w:rFonts w:hAnsi="黑体"/>
        </w:rPr>
        <w:instrText xml:space="preserve"> FORMTEXT </w:instrText>
      </w:r>
      <w:r>
        <w:rPr>
          <w:rFonts w:hAnsi="黑体"/>
        </w:rPr>
        <w:fldChar w:fldCharType="separate"/>
      </w:r>
      <w:r>
        <w:rPr>
          <w:rFonts w:hAnsi="黑体"/>
        </w:rPr>
        <w:t>××××</w:t>
      </w:r>
      <w:r>
        <w:rPr>
          <w:rFonts w:hAnsi="黑体"/>
        </w:rPr>
        <w:fldChar w:fldCharType="end"/>
      </w:r>
      <w:bookmarkEnd w:id="7"/>
    </w:p>
    <w:tbl>
      <w:tblPr>
        <w:tblStyle w:val="31"/>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1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30" w:type="dxa"/>
            <w:tcBorders>
              <w:top w:val="nil"/>
              <w:left w:val="nil"/>
              <w:bottom w:val="nil"/>
              <w:right w:val="nil"/>
            </w:tcBorders>
            <w:shd w:val="clear" w:color="auto" w:fill="auto"/>
          </w:tcPr>
          <w:p>
            <w:pPr>
              <w:pStyle w:val="73"/>
            </w:pPr>
            <w:r>
              <mc:AlternateContent>
                <mc:Choice Requires="wps">
                  <w:drawing>
                    <wp:anchor distT="0" distB="0" distL="114300" distR="114300" simplePos="0" relativeHeight="251664384" behindDoc="1" locked="0" layoutInCell="1" allowOverlap="1">
                      <wp:simplePos x="0" y="0"/>
                      <wp:positionH relativeFrom="column">
                        <wp:posOffset>4665980</wp:posOffset>
                      </wp:positionH>
                      <wp:positionV relativeFrom="paragraph">
                        <wp:posOffset>34290</wp:posOffset>
                      </wp:positionV>
                      <wp:extent cx="1143000" cy="228600"/>
                      <wp:effectExtent l="0" t="0" r="0" b="0"/>
                      <wp:wrapNone/>
                      <wp:docPr id="5" name="DT"/>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w="25400" cap="flat" cmpd="sng" algn="ctr">
                                <a:noFill/>
                                <a:prstDash val="solid"/>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DT" o:spid="_x0000_s1026" o:spt="1" style="position:absolute;left:0pt;margin-left:367.4pt;margin-top:2.7pt;height:18pt;width:90pt;z-index:-251652096;v-text-anchor:middle;mso-width-relative:page;mso-height-relative:page;" fillcolor="#FFFFFF" filled="t" stroked="f" coordsize="21600,21600" o:gfxdata="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xZ7k/9MAAAAIAQAADwAAAAAA&#10;AAABACAAAAAiAAAAZHJzL2Rvd25yZXYueG1sUEsBAhQAFAAAAAgAh07iQGWS4spRAgAAvAQAAA4A&#10;AAAAAAAAAQAgAAAAIgEAAGRycy9lMm9Eb2MueG1sUEsFBgAAAAAGAAYAWQEAAOUFAAAAAA==&#10;">
                      <v:fill on="t" focussize="0,0"/>
                      <v:stroke on="f" weight="2pt"/>
                      <v:imagedata o:title=""/>
                      <o:lock v:ext="edit" aspectratio="f"/>
                    </v:rect>
                  </w:pict>
                </mc:Fallback>
              </mc:AlternateContent>
            </w:r>
            <w:r>
              <w:fldChar w:fldCharType="begin">
                <w:ffData>
                  <w:name w:val="DT"/>
                  <w:enabled/>
                  <w:calcOnExit w:val="0"/>
                  <w:entryMacro w:val="ShowHelp4"/>
                  <w:textInput/>
                </w:ffData>
              </w:fldChar>
            </w:r>
            <w:bookmarkStart w:id="8" w:name="DT"/>
            <w:r>
              <w:instrText xml:space="preserve"> FORMTEXT </w:instrText>
            </w:r>
            <w:r>
              <w:fldChar w:fldCharType="separate"/>
            </w:r>
            <w:r>
              <w:rPr>
                <w:rFonts w:hint="eastAsia"/>
              </w:rPr>
              <w:t>代替 YS-T 1008-2014</w:t>
            </w:r>
            <w:r>
              <w:t> </w:t>
            </w:r>
            <w:r>
              <w:fldChar w:fldCharType="end"/>
            </w:r>
            <w:bookmarkEnd w:id="8"/>
          </w:p>
        </w:tc>
      </w:tr>
    </w:tbl>
    <w:p>
      <w:pPr>
        <w:pStyle w:val="44"/>
        <w:rPr>
          <w:rFonts w:hAnsi="黑体"/>
        </w:rPr>
      </w:pPr>
    </w:p>
    <w:p>
      <w:pPr>
        <w:pStyle w:val="44"/>
        <w:rPr>
          <w:rFonts w:hAnsi="黑体"/>
        </w:rPr>
      </w:pPr>
    </w:p>
    <w:p>
      <w:pPr>
        <w:pStyle w:val="75"/>
      </w:pPr>
      <w:r>
        <w:fldChar w:fldCharType="begin">
          <w:ffData>
            <w:name w:val="StdName"/>
            <w:enabled/>
            <w:calcOnExit w:val="0"/>
            <w:textInput>
              <w:default w:val="点击此处添加标准名称"/>
            </w:textInput>
          </w:ffData>
        </w:fldChar>
      </w:r>
      <w:bookmarkStart w:id="9" w:name="StdName"/>
      <w:r>
        <w:instrText xml:space="preserve"> FORMTEXT </w:instrText>
      </w:r>
      <w:r>
        <w:fldChar w:fldCharType="separate"/>
      </w:r>
      <w:r>
        <w:rPr>
          <w:rFonts w:hint="eastAsia"/>
        </w:rPr>
        <w:t>包覆钴粉</w:t>
      </w:r>
      <w:r>
        <w:fldChar w:fldCharType="end"/>
      </w:r>
      <w:bookmarkEnd w:id="9"/>
    </w:p>
    <w:p>
      <w:pPr>
        <w:pStyle w:val="76"/>
      </w:pPr>
      <w:r>
        <w:fldChar w:fldCharType="begin">
          <w:ffData>
            <w:name w:val="StdEnglishName"/>
            <w:enabled/>
            <w:calcOnExit w:val="0"/>
            <w:textInput>
              <w:default w:val="点击此处添加标准英文译名"/>
            </w:textInput>
          </w:ffData>
        </w:fldChar>
      </w:r>
      <w:bookmarkStart w:id="10" w:name="StdEnglishName"/>
      <w:r>
        <w:instrText xml:space="preserve"> FORMTEXT </w:instrText>
      </w:r>
      <w:r>
        <w:fldChar w:fldCharType="separate"/>
      </w:r>
      <w:r>
        <w:rPr>
          <w:rFonts w:hint="eastAsia"/>
        </w:rPr>
        <w:t>Coated cobalt powders</w:t>
      </w:r>
      <w:r>
        <w:fldChar w:fldCharType="end"/>
      </w:r>
      <w:bookmarkEnd w:id="10"/>
    </w:p>
    <w:p>
      <w:pPr>
        <w:pStyle w:val="77"/>
      </w:pPr>
      <w:r>
        <w:fldChar w:fldCharType="begin">
          <w:ffData>
            <w:name w:val="YZBS"/>
            <w:enabled/>
            <w:calcOnExit w:val="0"/>
            <w:textInput>
              <w:default w:val="点击此处添加与国际标准一致性程度的标识"/>
            </w:textInput>
          </w:ffData>
        </w:fldChar>
      </w:r>
      <w:bookmarkStart w:id="11" w:name="YZBS"/>
      <w:r>
        <w:instrText xml:space="preserve"> FORMTEXT </w:instrText>
      </w:r>
      <w:r>
        <w:fldChar w:fldCharType="separate"/>
      </w:r>
      <w:r>
        <w:rPr>
          <w:rFonts w:hint="eastAsia"/>
        </w:rPr>
        <w:t>点击此处添加与国际标准一致性程度的标识</w:t>
      </w:r>
      <w:r>
        <w:fldChar w:fldCharType="end"/>
      </w:r>
      <w:bookmarkEnd w:id="11"/>
    </w:p>
    <w:tbl>
      <w:tblPr>
        <w:tblStyle w:val="31"/>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6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29" w:type="dxa"/>
            <w:tcBorders>
              <w:top w:val="nil"/>
              <w:left w:val="nil"/>
              <w:bottom w:val="nil"/>
              <w:right w:val="nil"/>
            </w:tcBorders>
            <w:shd w:val="clear" w:color="auto" w:fill="auto"/>
          </w:tcPr>
          <w:p>
            <w:pPr>
              <w:pStyle w:val="78"/>
            </w:pPr>
            <w:r>
              <mc:AlternateContent>
                <mc:Choice Requires="wps">
                  <w:drawing>
                    <wp:anchor distT="0" distB="0" distL="114300" distR="114300" simplePos="0" relativeHeight="251666432" behindDoc="1" locked="1" layoutInCell="1" allowOverlap="1">
                      <wp:simplePos x="0" y="0"/>
                      <wp:positionH relativeFrom="column">
                        <wp:posOffset>2132330</wp:posOffset>
                      </wp:positionH>
                      <wp:positionV relativeFrom="paragraph">
                        <wp:posOffset>573405</wp:posOffset>
                      </wp:positionV>
                      <wp:extent cx="1905000" cy="254000"/>
                      <wp:effectExtent l="0" t="0" r="0" b="0"/>
                      <wp:wrapNone/>
                      <wp:docPr id="7" name="RQ"/>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w="25400" cap="flat" cmpd="sng" algn="ctr">
                                <a:noFill/>
                                <a:prstDash val="solid"/>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Q" o:spid="_x0000_s1026" o:spt="1" style="position:absolute;left:0pt;margin-left:167.9pt;margin-top:45.15pt;height:20pt;width:150pt;z-index:-251650048;v-text-anchor:middle;mso-width-relative:page;mso-height-relative:page;" fillcolor="#FFFFFF" filled="t" stroked="f" coordsize="21600,21600" o:gfxdata="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SKI4XdMAAAAKAQAADwAAAAAAAAAB&#10;ACAAAAAiAAAAZHJzL2Rvd25yZXYueG1sUEsBAhQAFAAAAAgAh07iQG6tPsBOAgAAvAQAAA4AAAAA&#10;AAAAAQAgAAAAIgEAAGRycy9lMm9Eb2MueG1sUEsFBgAAAAAGAAYAWQEAAOIFAAAAAA==&#10;">
                      <v:fill on="t" focussize="0,0"/>
                      <v:stroke on="f" weight="2pt"/>
                      <v:imagedata o:title=""/>
                      <o:lock v:ext="edit" aspectratio="f"/>
                      <w10:anchorlock/>
                    </v:rect>
                  </w:pict>
                </mc:Fallback>
              </mc:AlternateContent>
            </w:r>
            <w:r>
              <mc:AlternateContent>
                <mc:Choice Requires="wps">
                  <w:drawing>
                    <wp:anchor distT="0" distB="0" distL="114300" distR="114300" simplePos="0" relativeHeight="251665408" behindDoc="1" locked="0" layoutInCell="1" allowOverlap="1">
                      <wp:simplePos x="0" y="0"/>
                      <wp:positionH relativeFrom="column">
                        <wp:posOffset>2386330</wp:posOffset>
                      </wp:positionH>
                      <wp:positionV relativeFrom="paragraph">
                        <wp:posOffset>255905</wp:posOffset>
                      </wp:positionV>
                      <wp:extent cx="1270000" cy="304800"/>
                      <wp:effectExtent l="0" t="0" r="6350" b="0"/>
                      <wp:wrapNone/>
                      <wp:docPr id="6" name="LB"/>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w="25400" cap="flat" cmpd="sng" algn="ctr">
                                <a:noFill/>
                                <a:prstDash val="solid"/>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LB" o:spid="_x0000_s1026" o:spt="1" style="position:absolute;left:0pt;margin-left:187.9pt;margin-top:20.15pt;height:24pt;width:100pt;z-index:-251651072;v-text-anchor:middle;mso-width-relative:page;mso-height-relative:page;" fillcolor="#FFFFFF" filled="t" stroked="f" coordsize="21600,21600" o:gfxdata="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I0gRy/UAAAACQEAAA8AAAAA&#10;AAAAAQAgAAAAIgAAAGRycy9kb3ducmV2LnhtbFBLAQIUABQAAAAIAIdO4kDx01iQUQIAALwEAAAO&#10;AAAAAAAAAAEAIAAAACMBAABkcnMvZTJvRG9jLnhtbFBLBQYAAAAABgAGAFkBAADmBQAAAAA=&#10;">
                      <v:fill on="t" focussize="0,0"/>
                      <v:stroke on="f" weight="2pt"/>
                      <v:imagedata o:title=""/>
                      <o:lock v:ext="edit" aspectratio="f"/>
                    </v:rect>
                  </w:pict>
                </mc:Fallback>
              </mc:AlternateContent>
            </w:r>
            <w:r>
              <w:fldChar w:fldCharType="begin">
                <w:ffData>
                  <w:name w:val="LB"/>
                  <w:enabled/>
                  <w:calcOnExit w:val="0"/>
                  <w:ddList>
                    <w:result w:val="1"/>
                    <w:listEntry w:val="文稿版次选择"/>
                    <w:listEntry w:val="（工作组讨论稿）"/>
                    <w:listEntry w:val="（征求意见稿）"/>
                    <w:listEntry w:val="（送审讨论稿）"/>
                    <w:listEntry w:val="（送审稿）"/>
                    <w:listEntry w:val="（报批稿）"/>
                  </w:ddList>
                </w:ffData>
              </w:fldChar>
            </w:r>
            <w:bookmarkStart w:id="12" w:name="LB"/>
            <w:r>
              <w:instrText xml:space="preserve"> </w:instrText>
            </w:r>
            <w:r>
              <w:rPr>
                <w:rFonts w:hint="eastAsia"/>
              </w:rPr>
              <w:instrText xml:space="preserve">FORMDROPDOWN</w:instrText>
            </w:r>
            <w:r>
              <w:instrText xml:space="preserve"> </w:instrText>
            </w:r>
            <w:r>
              <w:fldChar w:fldCharType="separate"/>
            </w:r>
            <w:r>
              <w:fldChar w:fldCharType="end"/>
            </w:r>
            <w:bookmarkEnd w:id="12"/>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29" w:type="dxa"/>
            <w:tcBorders>
              <w:top w:val="nil"/>
              <w:left w:val="nil"/>
              <w:bottom w:val="nil"/>
              <w:right w:val="nil"/>
            </w:tcBorders>
            <w:shd w:val="clear" w:color="auto" w:fill="auto"/>
          </w:tcPr>
          <w:p>
            <w:pPr>
              <w:pStyle w:val="79"/>
            </w:pPr>
            <w:r>
              <w:fldChar w:fldCharType="begin">
                <w:ffData>
                  <w:name w:val="WCRQ"/>
                  <w:enabled/>
                  <w:calcOnExit w:val="0"/>
                  <w:textInput/>
                </w:ffData>
              </w:fldChar>
            </w:r>
            <w:bookmarkStart w:id="13" w:name="WCRQ"/>
            <w:r>
              <w:instrText xml:space="preserve"> FORMTEXT </w:instrText>
            </w:r>
            <w:r>
              <w:fldChar w:fldCharType="separate"/>
            </w:r>
            <w:r>
              <w:rPr>
                <w:rFonts w:hint="eastAsia"/>
              </w:rPr>
              <w:t>（本稿完成日期：</w:t>
            </w:r>
          </w:p>
          <w:p>
            <w:pPr>
              <w:pStyle w:val="79"/>
            </w:pPr>
            <w:r>
              <w:rPr>
                <w:rFonts w:hint="eastAsia"/>
              </w:rPr>
              <w:t>在提交反馈意见时，请将您知道的相关专利连同支持性文件一并附上。</w:t>
            </w:r>
            <w:r>
              <w:fldChar w:fldCharType="end"/>
            </w:r>
            <w:bookmarkEnd w:id="13"/>
          </w:p>
        </w:tc>
      </w:tr>
    </w:tbl>
    <w:p>
      <w:pPr>
        <w:pStyle w:val="127"/>
      </w:pPr>
      <w:r>
        <w:rPr>
          <w:rFonts w:ascii="黑体"/>
        </w:rPr>
        <w:fldChar w:fldCharType="begin">
          <w:ffData>
            <w:name w:val="FY"/>
            <w:enabled/>
            <w:calcOnExit w:val="0"/>
            <w:entryMacro w:val="ShowHelp8"/>
            <w:textInput>
              <w:default w:val="××××"/>
              <w:maxLength w:val="4"/>
            </w:textInput>
          </w:ffData>
        </w:fldChar>
      </w:r>
      <w:bookmarkStart w:id="14" w:name="FY"/>
      <w:r>
        <w:rPr>
          <w:rFonts w:ascii="黑体"/>
        </w:rPr>
        <w:instrText xml:space="preserve"> FORMTEXT </w:instrText>
      </w:r>
      <w:r>
        <w:rPr>
          <w:rFonts w:ascii="黑体"/>
        </w:rPr>
        <w:fldChar w:fldCharType="separate"/>
      </w:r>
      <w:r>
        <w:rPr>
          <w:rFonts w:ascii="黑体"/>
        </w:rPr>
        <w:t>××××</w:t>
      </w:r>
      <w:r>
        <w:rPr>
          <w:rFonts w:ascii="黑体"/>
        </w:rPr>
        <w:fldChar w:fldCharType="end"/>
      </w:r>
      <w:bookmarkEnd w:id="14"/>
      <w:r>
        <w:t xml:space="preserve"> </w:t>
      </w:r>
      <w:r>
        <w:rPr>
          <w:rFonts w:ascii="黑体"/>
        </w:rPr>
        <w:t>-</w:t>
      </w:r>
      <w:r>
        <w:t xml:space="preserve"> </w:t>
      </w:r>
      <w:r>
        <w:rPr>
          <w:rFonts w:ascii="黑体"/>
        </w:rPr>
        <w:fldChar w:fldCharType="begin">
          <w:ffData>
            <w:name w:val="FM"/>
            <w:enabled/>
            <w:calcOnExit w:val="0"/>
            <w:entryMacro w:val="ShowHelp8"/>
            <w:textInput>
              <w:default w:val="××"/>
              <w:maxLength w:val="2"/>
            </w:textInput>
          </w:ffData>
        </w:fldChar>
      </w:r>
      <w:r>
        <w:rPr>
          <w:rFonts w:ascii="黑体"/>
        </w:rPr>
        <w:instrText xml:space="preserve"> FORMTEXT </w:instrText>
      </w:r>
      <w:r>
        <w:rPr>
          <w:rFonts w:ascii="黑体"/>
        </w:rPr>
        <w:fldChar w:fldCharType="separate"/>
      </w:r>
      <w:r>
        <w:rPr>
          <w:rFonts w:ascii="黑体"/>
        </w:rPr>
        <w:t>××</w:t>
      </w:r>
      <w:r>
        <w:rPr>
          <w:rFonts w:ascii="黑体"/>
        </w:rPr>
        <w:fldChar w:fldCharType="end"/>
      </w:r>
      <w:r>
        <w:t xml:space="preserve"> </w:t>
      </w:r>
      <w:r>
        <w:rPr>
          <w:rFonts w:ascii="黑体"/>
        </w:rPr>
        <w:t>-</w:t>
      </w:r>
      <w:r>
        <w:t xml:space="preserve"> </w:t>
      </w:r>
      <w:r>
        <w:rPr>
          <w:rFonts w:ascii="黑体"/>
        </w:rPr>
        <w:fldChar w:fldCharType="begin">
          <w:ffData>
            <w:name w:val="FD"/>
            <w:enabled/>
            <w:calcOnExit w:val="0"/>
            <w:entryMacro w:val="ShowHelp8"/>
            <w:textInput>
              <w:default w:val="××"/>
              <w:maxLength w:val="2"/>
            </w:textInput>
          </w:ffData>
        </w:fldChar>
      </w:r>
      <w:bookmarkStart w:id="15" w:name="FD"/>
      <w:r>
        <w:rPr>
          <w:rFonts w:ascii="黑体"/>
        </w:rPr>
        <w:instrText xml:space="preserve"> FORMTEXT </w:instrText>
      </w:r>
      <w:r>
        <w:rPr>
          <w:rFonts w:ascii="黑体"/>
        </w:rPr>
        <w:fldChar w:fldCharType="separate"/>
      </w:r>
      <w:r>
        <w:rPr>
          <w:rFonts w:ascii="黑体"/>
        </w:rPr>
        <w:t>××</w:t>
      </w:r>
      <w:r>
        <w:rPr>
          <w:rFonts w:ascii="黑体"/>
        </w:rPr>
        <w:fldChar w:fldCharType="end"/>
      </w:r>
      <w:bookmarkEnd w:id="15"/>
      <w:r>
        <w:rPr>
          <w:rFonts w:hint="eastAsia"/>
        </w:rPr>
        <w:t>发布</w:t>
      </w:r>
      <w:r>
        <w:rPr>
          <w:rFonts w:hint="eastAsia"/>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2339340</wp:posOffset>
                </wp:positionV>
                <wp:extent cx="6120130" cy="0"/>
                <wp:effectExtent l="0" t="0" r="33655" b="19050"/>
                <wp:wrapNone/>
                <wp:docPr id="2" name="直接连接符 2"/>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184.2pt;height:0pt;width:481.9pt;z-index:251661312;mso-width-relative:page;mso-height-relative:page;" filled="f" stroked="t" coordsize="21600,21600" o:gfxdata="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jd8ps9UAAAAIAQAADwAAAAAAAAABACAA&#10;AAAiAAAAZHJzL2Rvd25yZXYueG1sUEsBAhQAFAAAAAgAh07iQHElybrXAQAAmgMAAA4AAAAAAAAA&#10;AQAgAAAAJAEAAGRycy9lMm9Eb2MueG1sUEsFBgAAAAAGAAYAWQEAAG0FAAAAAA==&#10;">
                <v:fill on="f" focussize="0,0"/>
                <v:stroke color="#000000 [3204]" joinstyle="round"/>
                <v:imagedata o:title=""/>
                <o:lock v:ext="edit" aspectratio="f"/>
              </v:line>
            </w:pict>
          </mc:Fallback>
        </mc:AlternateContent>
      </w:r>
      <w:r>
        <w:rPr>
          <w:rFonts w:hint="eastAsia"/>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8891905</wp:posOffset>
                </wp:positionV>
                <wp:extent cx="6120130" cy="0"/>
                <wp:effectExtent l="0" t="0" r="33655" b="19050"/>
                <wp:wrapNone/>
                <wp:docPr id="1" name="直接连接符 1"/>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700.15pt;height:0pt;width:481.9pt;z-index:251660288;mso-width-relative:page;mso-height-relative:page;" filled="f" stroked="t" coordsize="21600,21600" o:gfxdata="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Dr9Go1QAAAAoBAAAPAAAAAAAAAAEAIAAA&#10;ACIAAABkcnMvZG93bnJldi54bWxQSwECFAAUAAAACACHTuJA+iLfSdYBAACaAwAADgAAAAAAAAAB&#10;ACAAAAAkAQAAZHJzL2Uyb0RvYy54bWxQSwUGAAAAAAYABgBZAQAAbAUAAAAA&#10;">
                <v:fill on="f" focussize="0,0"/>
                <v:stroke color="#000000 [3204]" joinstyle="round"/>
                <v:imagedata o:title=""/>
                <o:lock v:ext="edit" aspectratio="f"/>
              </v:line>
            </w:pict>
          </mc:Fallback>
        </mc:AlternateContent>
      </w:r>
    </w:p>
    <w:p>
      <w:pPr>
        <w:pStyle w:val="128"/>
      </w:pPr>
      <w:r>
        <w:rPr>
          <w:rFonts w:ascii="黑体"/>
        </w:rPr>
        <w:fldChar w:fldCharType="begin">
          <w:ffData>
            <w:name w:val="SY"/>
            <w:enabled/>
            <w:calcOnExit w:val="0"/>
            <w:entryMacro w:val="ShowHelp9"/>
            <w:textInput>
              <w:default w:val="××××"/>
              <w:maxLength w:val="4"/>
            </w:textInput>
          </w:ffData>
        </w:fldChar>
      </w:r>
      <w:bookmarkStart w:id="16" w:name="SY"/>
      <w:r>
        <w:rPr>
          <w:rFonts w:ascii="黑体"/>
        </w:rPr>
        <w:instrText xml:space="preserve"> FORMTEXT </w:instrText>
      </w:r>
      <w:r>
        <w:rPr>
          <w:rFonts w:ascii="黑体"/>
        </w:rPr>
        <w:fldChar w:fldCharType="separate"/>
      </w:r>
      <w:r>
        <w:rPr>
          <w:rFonts w:ascii="黑体"/>
        </w:rPr>
        <w:t>××××</w:t>
      </w:r>
      <w:r>
        <w:rPr>
          <w:rFonts w:ascii="黑体"/>
        </w:rPr>
        <w:fldChar w:fldCharType="end"/>
      </w:r>
      <w:bookmarkEnd w:id="16"/>
      <w:r>
        <w:t xml:space="preserve"> </w:t>
      </w:r>
      <w:r>
        <w:rPr>
          <w:rFonts w:ascii="黑体"/>
        </w:rPr>
        <w:t>-</w:t>
      </w:r>
      <w:r>
        <w:t xml:space="preserve"> </w:t>
      </w:r>
      <w:r>
        <w:rPr>
          <w:rFonts w:ascii="黑体"/>
        </w:rPr>
        <w:fldChar w:fldCharType="begin">
          <w:ffData>
            <w:name w:val="SM"/>
            <w:enabled/>
            <w:calcOnExit w:val="0"/>
            <w:entryMacro w:val="ShowHelp9"/>
            <w:textInput>
              <w:default w:val="××"/>
              <w:maxLength w:val="2"/>
            </w:textInput>
          </w:ffData>
        </w:fldChar>
      </w:r>
      <w:bookmarkStart w:id="17" w:name="SM"/>
      <w:r>
        <w:rPr>
          <w:rFonts w:ascii="黑体"/>
        </w:rPr>
        <w:instrText xml:space="preserve"> FORMTEXT </w:instrText>
      </w:r>
      <w:r>
        <w:rPr>
          <w:rFonts w:ascii="黑体"/>
        </w:rPr>
        <w:fldChar w:fldCharType="separate"/>
      </w:r>
      <w:r>
        <w:rPr>
          <w:rFonts w:ascii="黑体"/>
        </w:rPr>
        <w:t>××</w:t>
      </w:r>
      <w:r>
        <w:rPr>
          <w:rFonts w:ascii="黑体"/>
        </w:rPr>
        <w:fldChar w:fldCharType="end"/>
      </w:r>
      <w:bookmarkEnd w:id="17"/>
      <w:r>
        <w:t xml:space="preserve"> </w:t>
      </w:r>
      <w:r>
        <w:rPr>
          <w:rFonts w:ascii="黑体"/>
        </w:rPr>
        <w:t>-</w:t>
      </w:r>
      <w:r>
        <w:t xml:space="preserve"> </w:t>
      </w:r>
      <w:r>
        <w:rPr>
          <w:rFonts w:ascii="黑体"/>
        </w:rPr>
        <w:fldChar w:fldCharType="begin">
          <w:ffData>
            <w:name w:val="SD"/>
            <w:enabled/>
            <w:calcOnExit w:val="0"/>
            <w:entryMacro w:val="ShowHelp9"/>
            <w:textInput>
              <w:default w:val="××"/>
              <w:maxLength w:val="2"/>
            </w:textInput>
          </w:ffData>
        </w:fldChar>
      </w:r>
      <w:bookmarkStart w:id="18" w:name="SD"/>
      <w:r>
        <w:rPr>
          <w:rFonts w:ascii="黑体"/>
        </w:rPr>
        <w:instrText xml:space="preserve"> FORMTEXT </w:instrText>
      </w:r>
      <w:r>
        <w:rPr>
          <w:rFonts w:ascii="黑体"/>
        </w:rPr>
        <w:fldChar w:fldCharType="separate"/>
      </w:r>
      <w:r>
        <w:rPr>
          <w:rFonts w:ascii="黑体"/>
        </w:rPr>
        <w:t>××</w:t>
      </w:r>
      <w:r>
        <w:rPr>
          <w:rFonts w:ascii="黑体"/>
        </w:rPr>
        <w:fldChar w:fldCharType="end"/>
      </w:r>
      <w:bookmarkEnd w:id="18"/>
      <w:r>
        <w:rPr>
          <w:rFonts w:hint="eastAsia"/>
        </w:rPr>
        <w:t>实施</w:t>
      </w:r>
    </w:p>
    <w:p>
      <w:pPr>
        <w:pStyle w:val="108"/>
      </w:pPr>
      <w:r>
        <w:fldChar w:fldCharType="begin">
          <w:ffData>
            <w:name w:val="fm"/>
            <w:enabled/>
            <w:calcOnExit w:val="0"/>
            <w:textInput/>
          </w:ffData>
        </w:fldChar>
      </w:r>
      <w:bookmarkStart w:id="19" w:name="fm"/>
      <w:r>
        <w:instrText xml:space="preserve"> FORMTEXT </w:instrText>
      </w:r>
      <w:r>
        <w:fldChar w:fldCharType="separate"/>
      </w:r>
      <w:r>
        <w:rPr>
          <w:rFonts w:hint="eastAsia"/>
        </w:rPr>
        <w:t>中华人民</w:t>
      </w:r>
      <w:r>
        <w:t>共和国工业和信息化部</w:t>
      </w:r>
      <w:r>
        <w:fldChar w:fldCharType="end"/>
      </w:r>
      <w:bookmarkEnd w:id="19"/>
      <w:r>
        <w:t xml:space="preserve"> </w:t>
      </w:r>
      <w:r>
        <w:rPr>
          <w:rStyle w:val="70"/>
        </w:rPr>
        <w:t xml:space="preserve"> </w:t>
      </w:r>
      <w:r>
        <w:rPr>
          <w:rStyle w:val="70"/>
          <w:rFonts w:hint="eastAsia"/>
        </w:rPr>
        <w:t>发布</w:t>
      </w:r>
    </w:p>
    <w:p>
      <w:pPr>
        <w:pStyle w:val="21"/>
        <w:sectPr>
          <w:pgSz w:w="11906" w:h="16838"/>
          <w:pgMar w:top="567" w:right="850" w:bottom="1134" w:left="1418" w:header="0" w:footer="0" w:gutter="0"/>
          <w:pgNumType w:start="1"/>
          <w:cols w:space="425" w:num="1"/>
          <w:docGrid w:type="lines" w:linePitch="312" w:charSpace="0"/>
        </w:sectPr>
      </w:pPr>
      <w:r>
        <w:rPr>
          <w:rFonts w:hint="eastAsia"/>
        </w:rPr>
        <mc:AlternateContent>
          <mc:Choice Requires="wps">
            <w:drawing>
              <wp:anchor distT="0" distB="0" distL="114300" distR="114300" simplePos="0" relativeHeight="251667456" behindDoc="1" locked="0" layoutInCell="1" allowOverlap="1">
                <wp:simplePos x="0" y="0"/>
                <wp:positionH relativeFrom="column">
                  <wp:posOffset>-66675</wp:posOffset>
                </wp:positionH>
                <wp:positionV relativeFrom="paragraph">
                  <wp:posOffset>396240</wp:posOffset>
                </wp:positionV>
                <wp:extent cx="866775" cy="198120"/>
                <wp:effectExtent l="0" t="0" r="9525" b="0"/>
                <wp:wrapNone/>
                <wp:docPr id="8" name="BAH"/>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w="25400" cap="flat" cmpd="sng" algn="ctr">
                          <a:noFill/>
                          <a:prstDash val="solid"/>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BAH" o:spid="_x0000_s1026" o:spt="1" style="position:absolute;left:0pt;margin-left:-5.25pt;margin-top:31.2pt;height:15.6pt;width:68.25pt;z-index:-251649024;v-text-anchor:middle;mso-width-relative:page;mso-height-relative:page;" fillcolor="#FFFFFF" filled="t" stroked="f" coordsize="21600,21600" o:gfxdata="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tabbHNUAAAAJAQAA&#10;DwAAAAAAAAABACAAAAAiAAAAZHJzL2Rvd25yZXYueG1sUEsBAhQAFAAAAAgAh07iQL8IK5ZVAgAA&#10;vAQAAA4AAAAAAAAAAQAgAAAAJAEAAGRycy9lMm9Eb2MueG1sUEsFBgAAAAAGAAYAWQEAAOsFAAAA&#10;AA==&#10;">
                <v:fill on="t" focussize="0,0"/>
                <v:stroke on="f" weight="2pt"/>
                <v:imagedata o:title=""/>
                <o:lock v:ext="edit" aspectratio="f"/>
              </v:rect>
            </w:pict>
          </mc:Fallback>
        </mc:AlternateContent>
      </w:r>
      <w:r>
        <w:rPr>
          <w:rFonts w:hint="eastAsia"/>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2339340</wp:posOffset>
                </wp:positionV>
                <wp:extent cx="6120130" cy="0"/>
                <wp:effectExtent l="0" t="0" r="33655" b="19050"/>
                <wp:wrapNone/>
                <wp:docPr id="4" name="直接连接符 4"/>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184.2pt;height:0pt;width:481.9pt;z-index:251663360;mso-width-relative:page;mso-height-relative:page;" filled="f" stroked="t" coordsize="21600,21600" o:gfxdata="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jd8ps9UAAAAIAQAADwAAAAAAAAABACAA&#10;AAAiAAAAZHJzL2Rvd25yZXYueG1sUEsBAhQAFAAAAAgAh07iQCYslIfXAQAAmgMAAA4AAAAAAAAA&#10;AQAgAAAAJAEAAGRycy9lMm9Eb2MueG1sUEsFBgAAAAAGAAYAWQEAAG0FAAAAAA==&#10;">
                <v:fill on="f" focussize="0,0"/>
                <v:stroke color="#000000 [3204]" joinstyle="round"/>
                <v:imagedata o:title=""/>
                <o:lock v:ext="edit" aspectratio="f"/>
              </v:line>
            </w:pict>
          </mc:Fallback>
        </mc:AlternateContent>
      </w:r>
      <w:r>
        <w:rPr>
          <w:rFonts w:hint="eastAsia"/>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8891905</wp:posOffset>
                </wp:positionV>
                <wp:extent cx="6120130" cy="0"/>
                <wp:effectExtent l="0" t="0" r="33655" b="19050"/>
                <wp:wrapNone/>
                <wp:docPr id="3" name="直接连接符 3"/>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700.15pt;height:0pt;width:481.9pt;z-index:251662336;mso-width-relative:page;mso-height-relative:page;" filled="f" stroked="t" coordsize="21600,21600" o:gfxdata="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w6/RqNUAAAAKAQAADwAAAAAAAAABACAA&#10;AAAiAAAAZHJzL2Rvd25yZXYueG1sUEsBAhQAFAAAAAgAh07iQAjYxOvXAQAAmgMAAA4AAAAAAAAA&#10;AQAgAAAAJAEAAGRycy9lMm9Eb2MueG1sUEsFBgAAAAAGAAYAWQEAAG0FAAAAAA==&#10;">
                <v:fill on="f" focussize="0,0"/>
                <v:stroke color="#000000 [3204]" joinstyle="round"/>
                <v:imagedata o:title=""/>
                <o:lock v:ext="edit" aspectratio="f"/>
              </v:line>
            </w:pict>
          </mc:Fallback>
        </mc:AlternateContent>
      </w:r>
    </w:p>
    <w:p>
      <w:pPr>
        <w:pStyle w:val="109"/>
        <w:rPr>
          <w:rFonts w:hint="default" w:ascii="Times New Roman" w:hAnsi="Times New Roman" w:cs="Times New Roman"/>
        </w:rPr>
      </w:pPr>
      <w:r>
        <w:rPr>
          <w:rFonts w:hint="default" w:ascii="Times New Roman" w:hAnsi="Times New Roman" w:cs="Times New Roman"/>
        </w:rPr>
        <w:t>前</w:t>
      </w:r>
      <w:bookmarkStart w:id="20" w:name="BKQY"/>
      <w:r>
        <w:rPr>
          <w:rFonts w:hint="default" w:ascii="Times New Roman" w:hAnsi="Times New Roman" w:cs="Times New Roman"/>
        </w:rPr>
        <w:t>  言</w:t>
      </w:r>
      <w:bookmarkEnd w:id="20"/>
    </w:p>
    <w:p>
      <w:pPr>
        <w:pStyle w:val="21"/>
        <w:rPr>
          <w:rFonts w:hint="default" w:ascii="Times New Roman" w:hAnsi="Times New Roman" w:cs="Times New Roman"/>
        </w:rPr>
      </w:pPr>
      <w:r>
        <w:rPr>
          <w:rFonts w:hint="default" w:ascii="Times New Roman" w:hAnsi="Times New Roman" w:cs="Times New Roman"/>
        </w:rPr>
        <w:t>本文件按照GB/T 1.1—2020《标准化工作导则 第1部分：标准化文件的结构和起草规则》的规定起草。</w:t>
      </w:r>
    </w:p>
    <w:p>
      <w:pPr>
        <w:pStyle w:val="21"/>
        <w:rPr>
          <w:rFonts w:hint="default" w:ascii="Times New Roman" w:hAnsi="Times New Roman" w:cs="Times New Roman"/>
          <w:color w:val="auto"/>
          <w:highlight w:val="none"/>
        </w:rPr>
      </w:pPr>
      <w:r>
        <w:rPr>
          <w:rFonts w:hint="default" w:ascii="Times New Roman" w:hAnsi="Times New Roman" w:cs="Times New Roman"/>
          <w:color w:val="auto"/>
          <w:highlight w:val="none"/>
        </w:rPr>
        <w:t>本文件代替YS/T 1008—2014《包覆钴粉》，与YS/T 1008—2014相比，除结构调整和编辑性改动外，主要技术变化如下：</w:t>
      </w:r>
    </w:p>
    <w:p>
      <w:pPr>
        <w:pStyle w:val="21"/>
        <w:numPr>
          <w:ilvl w:val="0"/>
          <w:numId w:val="18"/>
        </w:numPr>
        <w:rPr>
          <w:rFonts w:hint="default" w:ascii="Times New Roman" w:hAnsi="Times New Roman" w:cs="Times New Roman"/>
          <w:color w:val="auto"/>
          <w:highlight w:val="none"/>
        </w:rPr>
      </w:pPr>
      <w:r>
        <w:rPr>
          <w:rFonts w:hint="eastAsia" w:ascii="Times New Roman" w:cs="Times New Roman"/>
          <w:sz w:val="21"/>
          <w:szCs w:val="21"/>
          <w:highlight w:val="none"/>
          <w:lang w:val="en-US" w:eastAsia="zh-CN"/>
        </w:rPr>
        <w:t>增加</w:t>
      </w:r>
      <w:r>
        <w:rPr>
          <w:rFonts w:hint="default" w:ascii="Times New Roman" w:hAnsi="Times New Roman" w:cs="Times New Roman"/>
          <w:color w:val="auto"/>
          <w:highlight w:val="none"/>
        </w:rPr>
        <w:t>了产品牌号命名规则图（见</w:t>
      </w:r>
      <w:r>
        <w:rPr>
          <w:rFonts w:hint="eastAsia" w:ascii="Times New Roman" w:cs="Times New Roman"/>
          <w:color w:val="auto"/>
          <w:highlight w:val="none"/>
          <w:lang w:val="en-US" w:eastAsia="zh-CN"/>
        </w:rPr>
        <w:t>图</w:t>
      </w:r>
      <w:r>
        <w:rPr>
          <w:rFonts w:hint="default" w:ascii="Times New Roman" w:hAnsi="Times New Roman" w:cs="Times New Roman"/>
          <w:color w:val="auto"/>
          <w:highlight w:val="none"/>
        </w:rPr>
        <w:t>1）；</w:t>
      </w:r>
    </w:p>
    <w:p>
      <w:pPr>
        <w:pStyle w:val="21"/>
        <w:numPr>
          <w:ilvl w:val="0"/>
          <w:numId w:val="18"/>
        </w:numPr>
        <w:rPr>
          <w:rFonts w:hint="default" w:ascii="Times New Roman" w:hAnsi="Times New Roman" w:cs="Times New Roman"/>
          <w:color w:val="auto"/>
          <w:highlight w:val="none"/>
        </w:rPr>
      </w:pPr>
      <w:r>
        <w:rPr>
          <w:rFonts w:hint="default" w:ascii="Times New Roman" w:hAnsi="Times New Roman" w:eastAsia="宋体" w:cs="Times New Roman"/>
          <w:color w:val="000000"/>
          <w:kern w:val="0"/>
          <w:sz w:val="21"/>
          <w:szCs w:val="21"/>
          <w:lang w:eastAsia="zh-CN"/>
        </w:rPr>
        <w:t>删除了牌号</w:t>
      </w:r>
      <w:r>
        <w:rPr>
          <w:rFonts w:hint="default" w:ascii="Times New Roman" w:hAnsi="Times New Roman" w:eastAsia="宋体" w:cs="Times New Roman"/>
          <w:color w:val="000000"/>
          <w:kern w:val="0"/>
          <w:sz w:val="21"/>
          <w:szCs w:val="21"/>
          <w:lang w:val="en-US" w:eastAsia="zh-CN"/>
        </w:rPr>
        <w:t>BFCo-1b、BFCo-1d、BFCo-2b、BFCo-2d、BFCo-3a、BFCo-3b、BFCo-3c及BFCo-3d</w:t>
      </w:r>
      <w:r>
        <w:rPr>
          <w:rFonts w:hint="default" w:ascii="Times New Roman" w:hAnsi="Times New Roman" w:cs="Times New Roman"/>
          <w:color w:val="auto"/>
          <w:highlight w:val="none"/>
        </w:rPr>
        <w:t>（见2014版</w:t>
      </w:r>
      <w:r>
        <w:rPr>
          <w:rFonts w:hint="eastAsia" w:ascii="Times New Roman" w:cs="Times New Roman"/>
          <w:color w:val="auto"/>
          <w:highlight w:val="none"/>
          <w:lang w:eastAsia="zh-CN"/>
        </w:rPr>
        <w:t>的</w:t>
      </w:r>
      <w:r>
        <w:rPr>
          <w:rFonts w:hint="eastAsia" w:ascii="Times New Roman" w:cs="Times New Roman"/>
          <w:color w:val="auto"/>
          <w:highlight w:val="none"/>
          <w:lang w:val="en-US" w:eastAsia="zh-CN"/>
        </w:rPr>
        <w:t>表</w:t>
      </w:r>
      <w:r>
        <w:rPr>
          <w:rFonts w:hint="default" w:ascii="Times New Roman" w:hAnsi="Times New Roman" w:cs="Times New Roman"/>
          <w:color w:val="auto"/>
          <w:highlight w:val="none"/>
        </w:rPr>
        <w:t>2）；</w:t>
      </w:r>
    </w:p>
    <w:p>
      <w:pPr>
        <w:pStyle w:val="21"/>
        <w:numPr>
          <w:ilvl w:val="0"/>
          <w:numId w:val="18"/>
        </w:numPr>
        <w:rPr>
          <w:rFonts w:hint="default" w:ascii="Times New Roman" w:hAnsi="Times New Roman" w:cs="Times New Roman"/>
          <w:color w:val="auto"/>
          <w:highlight w:val="none"/>
        </w:rPr>
      </w:pPr>
      <w:r>
        <w:rPr>
          <w:rFonts w:hint="default" w:ascii="Times New Roman" w:hAnsi="Times New Roman" w:eastAsia="宋体" w:cs="Times New Roman"/>
          <w:color w:val="000000"/>
          <w:kern w:val="0"/>
          <w:sz w:val="21"/>
          <w:szCs w:val="21"/>
        </w:rPr>
        <w:t>删除了产品的</w:t>
      </w:r>
      <w:r>
        <w:rPr>
          <w:rFonts w:hint="default" w:ascii="Times New Roman" w:hAnsi="Times New Roman" w:eastAsia="宋体" w:cs="Times New Roman"/>
          <w:color w:val="000000"/>
          <w:kern w:val="0"/>
          <w:sz w:val="21"/>
          <w:szCs w:val="21"/>
          <w:lang w:val="en-US"/>
        </w:rPr>
        <w:t>c</w:t>
      </w:r>
      <w:r>
        <w:rPr>
          <w:rFonts w:hint="default" w:ascii="Times New Roman" w:hAnsi="Times New Roman" w:eastAsia="宋体" w:cs="Times New Roman"/>
          <w:color w:val="000000"/>
          <w:kern w:val="0"/>
          <w:sz w:val="21"/>
          <w:szCs w:val="21"/>
          <w:lang w:eastAsia="zh-CN"/>
        </w:rPr>
        <w:t>、</w:t>
      </w:r>
      <w:r>
        <w:rPr>
          <w:rFonts w:hint="default" w:ascii="Times New Roman" w:hAnsi="Times New Roman" w:eastAsia="宋体" w:cs="Times New Roman"/>
          <w:color w:val="000000"/>
          <w:kern w:val="0"/>
          <w:sz w:val="21"/>
          <w:szCs w:val="21"/>
        </w:rPr>
        <w:t>d等级，产品等级由四类变为两类</w:t>
      </w:r>
      <w:r>
        <w:rPr>
          <w:rFonts w:hint="default" w:ascii="Times New Roman" w:hAnsi="Times New Roman" w:cs="Times New Roman"/>
          <w:color w:val="auto"/>
          <w:highlight w:val="none"/>
        </w:rPr>
        <w:t>（见2014版</w:t>
      </w:r>
      <w:r>
        <w:rPr>
          <w:rFonts w:hint="eastAsia" w:ascii="Times New Roman" w:cs="Times New Roman"/>
          <w:color w:val="auto"/>
          <w:highlight w:val="none"/>
          <w:lang w:eastAsia="zh-CN"/>
        </w:rPr>
        <w:t>的</w:t>
      </w:r>
      <w:r>
        <w:rPr>
          <w:rFonts w:hint="eastAsia" w:ascii="Times New Roman" w:cs="Times New Roman"/>
          <w:color w:val="auto"/>
          <w:highlight w:val="none"/>
          <w:lang w:val="en-US" w:eastAsia="zh-CN"/>
        </w:rPr>
        <w:t>表1</w:t>
      </w:r>
      <w:r>
        <w:rPr>
          <w:rFonts w:hint="default" w:ascii="Times New Roman" w:hAnsi="Times New Roman" w:cs="Times New Roman"/>
          <w:color w:val="auto"/>
          <w:highlight w:val="none"/>
        </w:rPr>
        <w:t>和</w:t>
      </w:r>
      <w:r>
        <w:rPr>
          <w:rFonts w:hint="eastAsia" w:ascii="Times New Roman" w:cs="Times New Roman"/>
          <w:color w:val="auto"/>
          <w:highlight w:val="none"/>
          <w:lang w:val="en-US" w:eastAsia="zh-CN"/>
        </w:rPr>
        <w:t>表</w:t>
      </w:r>
      <w:r>
        <w:rPr>
          <w:rFonts w:hint="default" w:ascii="Times New Roman" w:hAnsi="Times New Roman" w:cs="Times New Roman"/>
          <w:color w:val="auto"/>
          <w:highlight w:val="none"/>
        </w:rPr>
        <w:t>2）；</w:t>
      </w:r>
    </w:p>
    <w:p>
      <w:pPr>
        <w:pStyle w:val="21"/>
        <w:numPr>
          <w:ilvl w:val="0"/>
          <w:numId w:val="18"/>
        </w:numP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更改了化学成分a等级的Cu、Ca、Pb、Zn、Cd、Na、Al、S杂质元素含量指标</w:t>
      </w:r>
      <w:r>
        <w:rPr>
          <w:rFonts w:hint="default" w:ascii="Times New Roman" w:hAnsi="Times New Roman" w:cs="Times New Roman"/>
          <w:color w:val="auto"/>
          <w:highlight w:val="none"/>
        </w:rPr>
        <w:t>（见表1</w:t>
      </w:r>
      <w:r>
        <w:rPr>
          <w:rFonts w:hint="eastAsia" w:ascii="Times New Roman" w:cs="Times New Roman"/>
          <w:color w:val="auto"/>
          <w:highlight w:val="none"/>
          <w:lang w:eastAsia="zh-CN"/>
        </w:rPr>
        <w:t>，</w:t>
      </w:r>
      <w:r>
        <w:rPr>
          <w:rFonts w:hint="default" w:ascii="Times New Roman" w:hAnsi="Times New Roman" w:cs="Times New Roman"/>
          <w:color w:val="auto"/>
          <w:highlight w:val="none"/>
        </w:rPr>
        <w:t>2014版</w:t>
      </w:r>
      <w:r>
        <w:rPr>
          <w:rFonts w:hint="eastAsia" w:ascii="Times New Roman" w:cs="Times New Roman"/>
          <w:color w:val="auto"/>
          <w:highlight w:val="none"/>
          <w:lang w:eastAsia="zh-CN"/>
        </w:rPr>
        <w:t>的</w:t>
      </w:r>
      <w:r>
        <w:rPr>
          <w:rFonts w:hint="eastAsia" w:ascii="Times New Roman" w:cs="Times New Roman"/>
          <w:color w:val="auto"/>
          <w:highlight w:val="none"/>
          <w:lang w:val="en-US" w:eastAsia="zh-CN"/>
        </w:rPr>
        <w:t>表1</w:t>
      </w:r>
      <w:r>
        <w:rPr>
          <w:rFonts w:hint="default" w:ascii="Times New Roman" w:hAnsi="Times New Roman" w:cs="Times New Roman"/>
          <w:color w:val="auto"/>
          <w:highlight w:val="none"/>
        </w:rPr>
        <w:t>）</w:t>
      </w:r>
      <w:r>
        <w:rPr>
          <w:rFonts w:hint="default" w:ascii="Times New Roman" w:hAnsi="Times New Roman" w:eastAsia="宋体" w:cs="Times New Roman"/>
          <w:color w:val="000000"/>
          <w:kern w:val="0"/>
          <w:sz w:val="21"/>
          <w:szCs w:val="21"/>
        </w:rPr>
        <w:t>；</w:t>
      </w:r>
    </w:p>
    <w:p>
      <w:pPr>
        <w:pStyle w:val="21"/>
        <w:numPr>
          <w:ilvl w:val="0"/>
          <w:numId w:val="18"/>
        </w:numP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更改了化学成分b等级的C</w:t>
      </w:r>
      <w:r>
        <w:rPr>
          <w:rFonts w:hint="default" w:ascii="Times New Roman" w:hAnsi="Times New Roman" w:eastAsia="宋体" w:cs="Times New Roman"/>
          <w:color w:val="000000"/>
          <w:kern w:val="0"/>
          <w:sz w:val="21"/>
          <w:szCs w:val="21"/>
          <w:lang w:val="en-US" w:eastAsia="zh-CN"/>
        </w:rPr>
        <w:t>o</w:t>
      </w:r>
      <w:r>
        <w:rPr>
          <w:rFonts w:hint="default" w:ascii="Times New Roman" w:hAnsi="Times New Roman" w:eastAsia="宋体" w:cs="Times New Roman"/>
          <w:color w:val="000000"/>
          <w:kern w:val="0"/>
          <w:sz w:val="21"/>
          <w:szCs w:val="21"/>
        </w:rPr>
        <w:t>元素含量指标</w:t>
      </w:r>
      <w:r>
        <w:rPr>
          <w:rFonts w:hint="default" w:ascii="Times New Roman" w:hAnsi="Times New Roman" w:cs="Times New Roman"/>
          <w:color w:val="auto"/>
          <w:highlight w:val="none"/>
        </w:rPr>
        <w:t>（见表1</w:t>
      </w:r>
      <w:r>
        <w:rPr>
          <w:rFonts w:hint="eastAsia" w:ascii="Times New Roman" w:cs="Times New Roman"/>
          <w:color w:val="auto"/>
          <w:highlight w:val="none"/>
          <w:lang w:eastAsia="zh-CN"/>
        </w:rPr>
        <w:t>，</w:t>
      </w:r>
      <w:r>
        <w:rPr>
          <w:rFonts w:hint="default" w:ascii="Times New Roman" w:hAnsi="Times New Roman" w:cs="Times New Roman"/>
          <w:color w:val="auto"/>
          <w:highlight w:val="none"/>
        </w:rPr>
        <w:t>2014版</w:t>
      </w:r>
      <w:r>
        <w:rPr>
          <w:rFonts w:hint="eastAsia" w:ascii="Times New Roman" w:cs="Times New Roman"/>
          <w:color w:val="auto"/>
          <w:highlight w:val="none"/>
          <w:lang w:eastAsia="zh-CN"/>
        </w:rPr>
        <w:t>的</w:t>
      </w:r>
      <w:r>
        <w:rPr>
          <w:rFonts w:hint="eastAsia" w:ascii="Times New Roman" w:cs="Times New Roman"/>
          <w:color w:val="auto"/>
          <w:highlight w:val="none"/>
          <w:lang w:val="en-US" w:eastAsia="zh-CN"/>
        </w:rPr>
        <w:t>表1</w:t>
      </w:r>
      <w:r>
        <w:rPr>
          <w:rFonts w:hint="default" w:ascii="Times New Roman" w:hAnsi="Times New Roman" w:cs="Times New Roman"/>
          <w:color w:val="auto"/>
          <w:highlight w:val="none"/>
        </w:rPr>
        <w:t>）</w:t>
      </w:r>
      <w:r>
        <w:rPr>
          <w:rFonts w:hint="default" w:ascii="Times New Roman" w:hAnsi="Times New Roman" w:eastAsia="宋体" w:cs="Times New Roman"/>
          <w:color w:val="000000"/>
          <w:kern w:val="0"/>
          <w:sz w:val="21"/>
          <w:szCs w:val="21"/>
        </w:rPr>
        <w:t>；</w:t>
      </w:r>
    </w:p>
    <w:p>
      <w:pPr>
        <w:pStyle w:val="21"/>
        <w:numPr>
          <w:ilvl w:val="0"/>
          <w:numId w:val="18"/>
        </w:numPr>
        <w:rPr>
          <w:rFonts w:hint="default" w:ascii="Times New Roman" w:hAnsi="Times New Roman" w:cs="Times New Roman"/>
          <w:color w:val="auto"/>
          <w:highlight w:val="none"/>
        </w:rPr>
      </w:pPr>
      <w:r>
        <w:rPr>
          <w:rFonts w:hint="default" w:ascii="Times New Roman" w:hAnsi="Times New Roman" w:eastAsia="宋体" w:cs="Times New Roman"/>
          <w:color w:val="000000"/>
          <w:kern w:val="0"/>
          <w:sz w:val="21"/>
          <w:szCs w:val="21"/>
          <w:lang w:val="en-US" w:eastAsia="zh-CN"/>
        </w:rPr>
        <w:t>增加</w:t>
      </w:r>
      <w:r>
        <w:rPr>
          <w:rFonts w:hint="default" w:ascii="Times New Roman" w:hAnsi="Times New Roman" w:eastAsia="宋体" w:cs="Times New Roman"/>
          <w:color w:val="000000"/>
          <w:kern w:val="0"/>
          <w:sz w:val="21"/>
          <w:szCs w:val="21"/>
        </w:rPr>
        <w:t>了杂质检测元素Cr</w:t>
      </w:r>
      <w:r>
        <w:rPr>
          <w:rFonts w:hint="default" w:ascii="Times New Roman" w:hAnsi="Times New Roman" w:cs="Times New Roman"/>
          <w:color w:val="auto"/>
          <w:highlight w:val="none"/>
        </w:rPr>
        <w:t>（见表1）；</w:t>
      </w:r>
    </w:p>
    <w:p>
      <w:pPr>
        <w:pStyle w:val="21"/>
        <w:numPr>
          <w:ilvl w:val="0"/>
          <w:numId w:val="18"/>
        </w:numPr>
        <w:rPr>
          <w:rFonts w:hint="default" w:ascii="Times New Roman" w:hAnsi="Times New Roman" w:cs="Times New Roman"/>
          <w:color w:val="auto"/>
          <w:highlight w:val="none"/>
        </w:rPr>
      </w:pPr>
      <w:r>
        <w:rPr>
          <w:rFonts w:hint="default" w:ascii="Times New Roman" w:hAnsi="Times New Roman" w:cs="Times New Roman"/>
          <w:color w:val="auto"/>
          <w:highlight w:val="none"/>
        </w:rPr>
        <w:t>更改了BFCo-2X类产品费氏粒度（见表2</w:t>
      </w:r>
      <w:r>
        <w:rPr>
          <w:rFonts w:hint="eastAsia" w:ascii="Times New Roman" w:cs="Times New Roman"/>
          <w:color w:val="auto"/>
          <w:highlight w:val="none"/>
          <w:lang w:eastAsia="zh-CN"/>
        </w:rPr>
        <w:t>，</w:t>
      </w:r>
      <w:r>
        <w:rPr>
          <w:rFonts w:hint="default" w:ascii="Times New Roman" w:hAnsi="Times New Roman" w:cs="Times New Roman"/>
          <w:color w:val="auto"/>
          <w:highlight w:val="none"/>
        </w:rPr>
        <w:t>2014版</w:t>
      </w:r>
      <w:r>
        <w:rPr>
          <w:rFonts w:hint="eastAsia" w:ascii="Times New Roman" w:cs="Times New Roman"/>
          <w:color w:val="auto"/>
          <w:highlight w:val="none"/>
          <w:lang w:eastAsia="zh-CN"/>
        </w:rPr>
        <w:t>的</w:t>
      </w:r>
      <w:r>
        <w:rPr>
          <w:rFonts w:hint="eastAsia" w:ascii="Times New Roman" w:cs="Times New Roman"/>
          <w:color w:val="auto"/>
          <w:highlight w:val="none"/>
          <w:lang w:val="en-US" w:eastAsia="zh-CN"/>
        </w:rPr>
        <w:t>表2</w:t>
      </w:r>
      <w:r>
        <w:rPr>
          <w:rFonts w:hint="default" w:ascii="Times New Roman" w:hAnsi="Times New Roman" w:cs="Times New Roman"/>
          <w:color w:val="auto"/>
          <w:highlight w:val="none"/>
        </w:rPr>
        <w:t>）；</w:t>
      </w:r>
    </w:p>
    <w:p>
      <w:pPr>
        <w:pStyle w:val="21"/>
        <w:numPr>
          <w:ilvl w:val="0"/>
          <w:numId w:val="18"/>
        </w:numPr>
        <w:rPr>
          <w:rFonts w:hint="default" w:ascii="Times New Roman" w:hAnsi="Times New Roman" w:cs="Times New Roman"/>
          <w:color w:val="auto"/>
          <w:highlight w:val="none"/>
        </w:rPr>
      </w:pPr>
      <w:r>
        <w:rPr>
          <w:rFonts w:hint="default" w:ascii="Times New Roman" w:hAnsi="Times New Roman" w:cs="Times New Roman"/>
          <w:color w:val="auto"/>
          <w:sz w:val="21"/>
          <w:szCs w:val="21"/>
          <w:highlight w:val="none"/>
          <w:lang w:bidi="ar"/>
        </w:rPr>
        <w:t>更改了氢损</w:t>
      </w:r>
      <w:r>
        <w:rPr>
          <w:rFonts w:hint="default" w:ascii="Times New Roman" w:hAnsi="Times New Roman" w:cs="Times New Roman"/>
          <w:color w:val="auto"/>
          <w:sz w:val="21"/>
          <w:szCs w:val="21"/>
          <w:highlight w:val="none"/>
        </w:rPr>
        <w:t>（</w:t>
      </w:r>
      <w:r>
        <w:rPr>
          <w:rFonts w:hint="default" w:ascii="Times New Roman" w:hAnsi="Times New Roman" w:cs="Times New Roman"/>
          <w:color w:val="auto"/>
          <w:highlight w:val="none"/>
        </w:rPr>
        <w:t>见表2</w:t>
      </w:r>
      <w:r>
        <w:rPr>
          <w:rFonts w:hint="eastAsia" w:ascii="Times New Roman" w:cs="Times New Roman"/>
          <w:color w:val="auto"/>
          <w:highlight w:val="none"/>
          <w:lang w:eastAsia="zh-CN"/>
        </w:rPr>
        <w:t>，</w:t>
      </w:r>
      <w:r>
        <w:rPr>
          <w:rFonts w:hint="default" w:ascii="Times New Roman" w:hAnsi="Times New Roman" w:cs="Times New Roman"/>
          <w:color w:val="auto"/>
          <w:highlight w:val="none"/>
        </w:rPr>
        <w:t>2014版</w:t>
      </w:r>
      <w:r>
        <w:rPr>
          <w:rFonts w:hint="eastAsia" w:ascii="Times New Roman" w:cs="Times New Roman"/>
          <w:color w:val="auto"/>
          <w:highlight w:val="none"/>
          <w:lang w:eastAsia="zh-CN"/>
        </w:rPr>
        <w:t>的</w:t>
      </w:r>
      <w:r>
        <w:rPr>
          <w:rFonts w:hint="eastAsia" w:ascii="Times New Roman" w:cs="Times New Roman"/>
          <w:color w:val="auto"/>
          <w:highlight w:val="none"/>
          <w:lang w:val="en-US" w:eastAsia="zh-CN"/>
        </w:rPr>
        <w:t>表2</w:t>
      </w:r>
      <w:r>
        <w:rPr>
          <w:rFonts w:hint="default" w:ascii="Times New Roman" w:hAnsi="Times New Roman" w:cs="Times New Roman"/>
          <w:color w:val="auto"/>
          <w:highlight w:val="none"/>
        </w:rPr>
        <w:t>）</w:t>
      </w:r>
      <w:r>
        <w:rPr>
          <w:rFonts w:hint="default" w:ascii="Times New Roman" w:hAnsi="Times New Roman" w:cs="Times New Roman"/>
          <w:color w:val="auto"/>
          <w:sz w:val="18"/>
          <w:szCs w:val="18"/>
          <w:highlight w:val="none"/>
          <w:lang w:bidi="ar"/>
        </w:rPr>
        <w:t>；</w:t>
      </w:r>
    </w:p>
    <w:p>
      <w:pPr>
        <w:pStyle w:val="21"/>
        <w:numPr>
          <w:ilvl w:val="0"/>
          <w:numId w:val="18"/>
        </w:numPr>
        <w:rPr>
          <w:rFonts w:hint="default" w:ascii="Times New Roman" w:hAnsi="Times New Roman" w:cs="Times New Roman"/>
          <w:color w:val="auto"/>
          <w:highlight w:val="none"/>
        </w:rPr>
      </w:pPr>
      <w:r>
        <w:rPr>
          <w:rFonts w:hint="default" w:ascii="Times New Roman" w:hAnsi="Times New Roman" w:cs="Times New Roman"/>
          <w:color w:val="auto"/>
          <w:highlight w:val="none"/>
        </w:rPr>
        <w:t>更改了石蜡含量（见表2</w:t>
      </w:r>
      <w:r>
        <w:rPr>
          <w:rFonts w:hint="eastAsia" w:ascii="Times New Roman" w:cs="Times New Roman"/>
          <w:color w:val="auto"/>
          <w:highlight w:val="none"/>
          <w:lang w:eastAsia="zh-CN"/>
        </w:rPr>
        <w:t>，</w:t>
      </w:r>
      <w:r>
        <w:rPr>
          <w:rFonts w:hint="default" w:ascii="Times New Roman" w:hAnsi="Times New Roman" w:cs="Times New Roman"/>
          <w:color w:val="auto"/>
          <w:highlight w:val="none"/>
        </w:rPr>
        <w:t>2014版</w:t>
      </w:r>
      <w:r>
        <w:rPr>
          <w:rFonts w:hint="eastAsia" w:ascii="Times New Roman" w:cs="Times New Roman"/>
          <w:color w:val="auto"/>
          <w:highlight w:val="none"/>
          <w:lang w:eastAsia="zh-CN"/>
        </w:rPr>
        <w:t>的</w:t>
      </w:r>
      <w:r>
        <w:rPr>
          <w:rFonts w:hint="eastAsia" w:ascii="Times New Roman" w:cs="Times New Roman"/>
          <w:color w:val="auto"/>
          <w:highlight w:val="none"/>
          <w:lang w:val="en-US" w:eastAsia="zh-CN"/>
        </w:rPr>
        <w:t>表2</w:t>
      </w:r>
      <w:r>
        <w:rPr>
          <w:rFonts w:hint="default" w:ascii="Times New Roman" w:hAnsi="Times New Roman" w:cs="Times New Roman"/>
          <w:color w:val="auto"/>
          <w:highlight w:val="none"/>
        </w:rPr>
        <w:t>）；</w:t>
      </w:r>
    </w:p>
    <w:p>
      <w:pPr>
        <w:pStyle w:val="21"/>
        <w:numPr>
          <w:ilvl w:val="0"/>
          <w:numId w:val="18"/>
        </w:numPr>
        <w:rPr>
          <w:rFonts w:hint="default" w:ascii="Times New Roman" w:hAnsi="Times New Roman" w:cs="Times New Roman"/>
          <w:color w:val="auto"/>
          <w:highlight w:val="none"/>
        </w:rPr>
      </w:pPr>
      <w:r>
        <w:rPr>
          <w:rFonts w:hint="default" w:ascii="Times New Roman" w:hAnsi="Times New Roman" w:cs="Times New Roman"/>
          <w:color w:val="auto"/>
          <w:highlight w:val="none"/>
        </w:rPr>
        <w:t>更改了减去石蜡后的氢损（见表2</w:t>
      </w:r>
      <w:r>
        <w:rPr>
          <w:rFonts w:hint="eastAsia" w:ascii="Times New Roman" w:cs="Times New Roman"/>
          <w:color w:val="auto"/>
          <w:highlight w:val="none"/>
          <w:lang w:eastAsia="zh-CN"/>
        </w:rPr>
        <w:t>，</w:t>
      </w:r>
      <w:r>
        <w:rPr>
          <w:rFonts w:hint="default" w:ascii="Times New Roman" w:hAnsi="Times New Roman" w:cs="Times New Roman"/>
          <w:color w:val="auto"/>
          <w:highlight w:val="none"/>
        </w:rPr>
        <w:t>2014版</w:t>
      </w:r>
      <w:r>
        <w:rPr>
          <w:rFonts w:hint="eastAsia" w:ascii="Times New Roman" w:cs="Times New Roman"/>
          <w:color w:val="auto"/>
          <w:highlight w:val="none"/>
          <w:lang w:eastAsia="zh-CN"/>
        </w:rPr>
        <w:t>的</w:t>
      </w:r>
      <w:r>
        <w:rPr>
          <w:rFonts w:hint="eastAsia" w:ascii="Times New Roman" w:cs="Times New Roman"/>
          <w:color w:val="auto"/>
          <w:highlight w:val="none"/>
          <w:lang w:val="en-US" w:eastAsia="zh-CN"/>
        </w:rPr>
        <w:t>表2</w:t>
      </w:r>
      <w:r>
        <w:rPr>
          <w:rFonts w:hint="default" w:ascii="Times New Roman" w:hAnsi="Times New Roman" w:cs="Times New Roman"/>
          <w:color w:val="auto"/>
          <w:highlight w:val="none"/>
        </w:rPr>
        <w:t>）；</w:t>
      </w:r>
      <w:r>
        <w:rPr>
          <w:rFonts w:hint="eastAsia" w:ascii="Times New Roman" w:cs="Times New Roman"/>
          <w:color w:val="auto"/>
          <w:highlight w:val="none"/>
          <w:lang w:val="en-US" w:eastAsia="zh-CN"/>
        </w:rPr>
        <w:t xml:space="preserve"> </w:t>
      </w:r>
    </w:p>
    <w:p>
      <w:pPr>
        <w:pStyle w:val="21"/>
        <w:rPr>
          <w:rFonts w:hint="default" w:ascii="Times New Roman" w:hAnsi="Times New Roman" w:cs="Times New Roman"/>
          <w:color w:val="auto"/>
          <w:highlight w:val="none"/>
        </w:rPr>
      </w:pPr>
      <w:r>
        <w:rPr>
          <w:rFonts w:hint="default" w:ascii="Times New Roman" w:hAnsi="Times New Roman" w:eastAsia="宋体" w:cs="Times New Roman"/>
          <w:sz w:val="21"/>
          <w:szCs w:val="21"/>
        </w:rPr>
        <w:t>请注意本文件的</w:t>
      </w:r>
      <w:r>
        <w:rPr>
          <w:rFonts w:hint="eastAsia" w:ascii="Times New Roman" w:cs="Times New Roman"/>
          <w:sz w:val="21"/>
          <w:szCs w:val="21"/>
          <w:lang w:val="en-US" w:eastAsia="zh-CN"/>
        </w:rPr>
        <w:t>有</w:t>
      </w:r>
      <w:r>
        <w:rPr>
          <w:rFonts w:hint="default" w:ascii="Times New Roman" w:hAnsi="Times New Roman" w:eastAsia="宋体" w:cs="Times New Roman"/>
          <w:sz w:val="21"/>
          <w:szCs w:val="21"/>
        </w:rPr>
        <w:t>些内容可能涉及专利。本文件的发布机构不承担识别专利的责任。</w:t>
      </w:r>
    </w:p>
    <w:p>
      <w:pPr>
        <w:pStyle w:val="21"/>
        <w:rPr>
          <w:rFonts w:hint="default" w:ascii="Times New Roman" w:hAnsi="Times New Roman" w:cs="Times New Roman"/>
          <w:color w:val="auto"/>
          <w:highlight w:val="none"/>
        </w:rPr>
      </w:pPr>
      <w:r>
        <w:rPr>
          <w:rFonts w:hint="default" w:ascii="Times New Roman" w:hAnsi="Times New Roman" w:cs="Times New Roman"/>
          <w:color w:val="auto"/>
          <w:highlight w:val="none"/>
        </w:rPr>
        <w:t>本文件由全国有色金属标准化技术委员会（SAC/TC 243）提出并归口。</w:t>
      </w:r>
    </w:p>
    <w:p>
      <w:pPr>
        <w:pStyle w:val="21"/>
        <w:rPr>
          <w:rFonts w:hint="default" w:ascii="Times New Roman" w:hAnsi="Times New Roman" w:cs="Times New Roman"/>
          <w:highlight w:val="none"/>
        </w:rPr>
      </w:pPr>
      <w:r>
        <w:rPr>
          <w:rFonts w:hint="default" w:ascii="Times New Roman" w:hAnsi="Times New Roman" w:cs="Times New Roman"/>
        </w:rPr>
        <w:t>本文件起草单位：</w:t>
      </w:r>
      <w:r>
        <w:rPr>
          <w:rFonts w:hint="default" w:ascii="Times New Roman" w:hAnsi="Times New Roman" w:eastAsia="宋体" w:cs="Times New Roman"/>
          <w:sz w:val="21"/>
          <w:szCs w:val="21"/>
        </w:rPr>
        <w:t>格林美股份有限公司、荆门市格林美新材料有限公司、广东邦普循环科技有限公司、长沙矿冶院检测技术有限责任公司、西北</w:t>
      </w:r>
      <w:r>
        <w:rPr>
          <w:rFonts w:hint="default" w:ascii="Times New Roman" w:hAnsi="Times New Roman" w:eastAsia="宋体" w:cs="Times New Roman"/>
          <w:sz w:val="21"/>
          <w:szCs w:val="21"/>
          <w:highlight w:val="none"/>
        </w:rPr>
        <w:t>有色金属研究院、清华广州研究院、北京工业大学等。</w:t>
      </w:r>
    </w:p>
    <w:p>
      <w:pPr>
        <w:pStyle w:val="21"/>
        <w:rPr>
          <w:rFonts w:hint="eastAsia" w:ascii="Times New Roman" w:hAnsi="Times New Roman" w:eastAsia="宋体" w:cs="Times New Roman"/>
          <w:highlight w:val="none"/>
          <w:lang w:eastAsia="zh-CN"/>
        </w:rPr>
      </w:pPr>
      <w:r>
        <w:rPr>
          <w:rFonts w:hint="default" w:ascii="Times New Roman" w:hAnsi="Times New Roman" w:cs="Times New Roman"/>
          <w:highlight w:val="none"/>
        </w:rPr>
        <w:t>本文件主要起草人：</w:t>
      </w:r>
      <w:r>
        <w:rPr>
          <w:rFonts w:hint="eastAsia" w:ascii="Times New Roman" w:cs="Times New Roman"/>
          <w:sz w:val="21"/>
          <w:szCs w:val="21"/>
          <w:highlight w:val="none"/>
          <w:lang w:val="en-US" w:eastAsia="zh-CN"/>
        </w:rPr>
        <w:t>XXX、XXX</w:t>
      </w:r>
      <w:r>
        <w:rPr>
          <w:rFonts w:hint="eastAsia" w:ascii="Times New Roman" w:cs="Times New Roman"/>
          <w:sz w:val="21"/>
          <w:szCs w:val="21"/>
          <w:highlight w:val="none"/>
          <w:lang w:eastAsia="zh-CN"/>
        </w:rPr>
        <w:t>、</w:t>
      </w:r>
    </w:p>
    <w:p>
      <w:pPr>
        <w:spacing w:line="276" w:lineRule="auto"/>
        <w:ind w:firstLine="420"/>
        <w:rPr>
          <w:rFonts w:hint="default" w:ascii="Times New Roman" w:hAnsi="Times New Roman" w:cs="Times New Roman"/>
          <w:szCs w:val="21"/>
        </w:rPr>
      </w:pPr>
      <w:r>
        <w:rPr>
          <w:rFonts w:hint="default" w:ascii="Times New Roman" w:hAnsi="Times New Roman" w:cs="Times New Roman"/>
          <w:szCs w:val="21"/>
        </w:rPr>
        <w:t>本文件及其所代替文件的历次版本发布情况为：</w:t>
      </w:r>
    </w:p>
    <w:p>
      <w:pPr>
        <w:spacing w:line="276" w:lineRule="auto"/>
        <w:ind w:firstLine="420"/>
        <w:rPr>
          <w:rFonts w:hint="default" w:ascii="Times New Roman" w:hAnsi="Times New Roman" w:cs="Times New Roman"/>
          <w:szCs w:val="21"/>
        </w:rPr>
      </w:pPr>
      <w:r>
        <w:rPr>
          <w:rFonts w:hint="default" w:ascii="Times New Roman" w:hAnsi="Times New Roman" w:cs="Times New Roman"/>
          <w:szCs w:val="21"/>
        </w:rPr>
        <w:t>——2014年首次发布为YS</w:t>
      </w:r>
      <w:r>
        <w:rPr>
          <w:rFonts w:hint="eastAsia" w:cs="Times New Roman"/>
          <w:szCs w:val="21"/>
          <w:lang w:val="en-US" w:eastAsia="zh-CN"/>
        </w:rPr>
        <w:t>/</w:t>
      </w:r>
      <w:r>
        <w:rPr>
          <w:rFonts w:hint="default" w:ascii="Times New Roman" w:hAnsi="Times New Roman" w:cs="Times New Roman"/>
          <w:szCs w:val="21"/>
        </w:rPr>
        <w:t>T 1008-2014；</w:t>
      </w:r>
    </w:p>
    <w:p>
      <w:pPr>
        <w:spacing w:line="276" w:lineRule="auto"/>
        <w:ind w:firstLine="420"/>
        <w:rPr>
          <w:rFonts w:hint="default" w:ascii="Times New Roman" w:hAnsi="Times New Roman" w:cs="Times New Roman"/>
          <w:szCs w:val="21"/>
        </w:rPr>
      </w:pPr>
      <w:r>
        <w:rPr>
          <w:rFonts w:hint="default" w:ascii="Times New Roman" w:hAnsi="Times New Roman" w:cs="Times New Roman"/>
          <w:szCs w:val="21"/>
        </w:rPr>
        <w:t>——本次为第一次修订。</w:t>
      </w:r>
    </w:p>
    <w:p>
      <w:pPr>
        <w:pStyle w:val="21"/>
        <w:rPr>
          <w:rFonts w:hint="default" w:ascii="Times New Roman" w:hAnsi="Times New Roman" w:cs="Times New Roman"/>
        </w:rPr>
        <w:sectPr>
          <w:headerReference r:id="rId3" w:type="default"/>
          <w:footerReference r:id="rId4" w:type="default"/>
          <w:pgSz w:w="11906" w:h="16838"/>
          <w:pgMar w:top="567" w:right="1134" w:bottom="1134" w:left="1418" w:header="1418" w:footer="1134" w:gutter="0"/>
          <w:pgNumType w:fmt="upperRoman" w:start="1"/>
          <w:cols w:space="425" w:num="1"/>
          <w:formProt w:val="0"/>
          <w:docGrid w:type="lines" w:linePitch="312" w:charSpace="0"/>
        </w:sectPr>
      </w:pPr>
    </w:p>
    <w:p>
      <w:pPr>
        <w:pStyle w:val="47"/>
      </w:pPr>
      <w:sdt>
        <w:sdtPr>
          <w:alias w:val="标准名称"/>
          <w:tag w:val="标准名称"/>
          <w:id w:val="1795105741"/>
          <w:lock w:val="sdtLocked"/>
          <w:placeholder>
            <w:docPart w:val="111"/>
          </w:placeholder>
          <w:text w:multiLine="1"/>
        </w:sdtPr>
        <w:sdtContent>
          <w:r>
            <w:rPr>
              <w:rFonts w:hint="eastAsia"/>
            </w:rPr>
            <w:t>包覆钴粉</w:t>
          </w:r>
        </w:sdtContent>
      </w:sdt>
      <w:bookmarkStart w:id="21" w:name="StandardName"/>
      <w:bookmarkEnd w:id="21"/>
    </w:p>
    <w:p>
      <w:pPr>
        <w:pStyle w:val="42"/>
        <w:bidi w:val="0"/>
      </w:pPr>
      <w:r>
        <w:rPr>
          <w:rFonts w:hint="eastAsia"/>
        </w:rPr>
        <w:t>范围</w:t>
      </w:r>
    </w:p>
    <w:p>
      <w:pPr>
        <w:spacing w:before="50"/>
        <w:ind w:firstLine="420" w:firstLineChars="200"/>
        <w:rPr>
          <w:rFonts w:hint="default" w:ascii="Times New Roman" w:hAnsi="Times New Roman" w:cs="Times New Roman"/>
        </w:rPr>
      </w:pPr>
      <w:r>
        <w:rPr>
          <w:rFonts w:hint="eastAsia"/>
          <w:color w:val="000000"/>
        </w:rPr>
        <w:t>本文件规定了包覆钴粉</w:t>
      </w:r>
      <w:r>
        <w:rPr>
          <w:rFonts w:hint="default" w:ascii="Times New Roman" w:hAnsi="Times New Roman" w:cs="Times New Roman"/>
        </w:rPr>
        <w:t>的</w:t>
      </w:r>
      <w:r>
        <w:rPr>
          <w:rFonts w:hint="eastAsia" w:cs="Times New Roman"/>
          <w:lang w:val="en-US" w:eastAsia="zh-CN"/>
        </w:rPr>
        <w:t>分类、技术</w:t>
      </w:r>
      <w:r>
        <w:rPr>
          <w:rFonts w:hint="default" w:ascii="Times New Roman" w:hAnsi="Times New Roman" w:cs="Times New Roman"/>
        </w:rPr>
        <w:t>要求、试验方法、检验规则、标志、包装、运输、贮存</w:t>
      </w:r>
      <w:r>
        <w:rPr>
          <w:rFonts w:hint="eastAsia" w:cs="Times New Roman"/>
          <w:lang w:val="en-US" w:eastAsia="zh-CN"/>
        </w:rPr>
        <w:t>及随行文件和</w:t>
      </w:r>
      <w:r>
        <w:rPr>
          <w:rFonts w:hint="default" w:ascii="Times New Roman" w:hAnsi="Times New Roman" w:cs="Times New Roman"/>
        </w:rPr>
        <w:t>订货单内容。</w:t>
      </w:r>
    </w:p>
    <w:p>
      <w:pPr>
        <w:spacing w:before="50"/>
        <w:ind w:firstLine="420" w:firstLineChars="200"/>
        <w:rPr>
          <w:color w:val="000000"/>
        </w:rPr>
      </w:pPr>
      <w:r>
        <w:rPr>
          <w:rFonts w:hint="eastAsia"/>
          <w:color w:val="000000"/>
        </w:rPr>
        <w:t>本文件适用于以石蜡</w:t>
      </w:r>
      <w:bookmarkStart w:id="26" w:name="_GoBack"/>
      <w:bookmarkEnd w:id="26"/>
      <w:r>
        <w:rPr>
          <w:rFonts w:hint="eastAsia"/>
          <w:color w:val="000000"/>
        </w:rPr>
        <w:t>为成型剂的包覆钴粉，供硬质合金行业使用，以聚乙二醇或聚乙烯等为成型剂的包覆钴粉可参考使用。</w:t>
      </w:r>
    </w:p>
    <w:p>
      <w:pPr>
        <w:pStyle w:val="42"/>
        <w:bidi w:val="0"/>
      </w:pPr>
      <w:r>
        <w:rPr>
          <w:rFonts w:hint="eastAsia"/>
        </w:rPr>
        <w:t>规范性引用文件</w:t>
      </w:r>
    </w:p>
    <w:p>
      <w:pPr>
        <w:pStyle w:val="21"/>
        <w:rPr>
          <w:rFonts w:hint="default" w:ascii="Times New Roman" w:hAnsi="Times New Roman" w:cs="Times New Roman"/>
        </w:rPr>
      </w:pPr>
      <w:bookmarkStart w:id="22" w:name="OLE_LINK2"/>
      <w:bookmarkStart w:id="23" w:name="OLE_LINK1"/>
      <w:r>
        <w:rPr>
          <w:rFonts w:hint="default" w:ascii="Times New Roman" w:hAnsi="Times New Roman" w:cs="Times New Roman"/>
          <w:kern w:val="2"/>
          <w:szCs w:val="24"/>
        </w:rPr>
        <w:t>下列文件中的内容通过文中的规范性引用而构成本文件必不可少的条款。其中，注日期的引用文件，仅该日期对应的版本适用于本文件；不注日期的引用文件，其最新版本（包括所有的修改单）适用于本文件</w:t>
      </w:r>
      <w:r>
        <w:rPr>
          <w:rFonts w:hint="default" w:ascii="Times New Roman" w:hAnsi="Times New Roman" w:cs="Times New Roman"/>
        </w:rPr>
        <w:t>。</w:t>
      </w:r>
    </w:p>
    <w:p>
      <w:pPr>
        <w:spacing w:before="50"/>
        <w:ind w:left="1995" w:leftChars="200" w:hanging="1575" w:hangingChars="750"/>
        <w:rPr>
          <w:rFonts w:hint="default" w:ascii="Times New Roman" w:hAnsi="Times New Roman" w:cs="Times New Roman"/>
          <w:color w:val="000000"/>
          <w:szCs w:val="20"/>
          <w:highlight w:val="none"/>
        </w:rPr>
      </w:pPr>
      <w:r>
        <w:rPr>
          <w:rFonts w:hint="default" w:ascii="Times New Roman" w:hAnsi="Times New Roman" w:cs="Times New Roman"/>
          <w:color w:val="000000"/>
          <w:szCs w:val="20"/>
          <w:highlight w:val="none"/>
        </w:rPr>
        <w:t>GB/T 1479.1</w:t>
      </w:r>
      <w:bookmarkEnd w:id="22"/>
      <w:bookmarkEnd w:id="23"/>
      <w:r>
        <w:rPr>
          <w:rFonts w:hint="default" w:ascii="Times New Roman" w:hAnsi="Times New Roman" w:cs="Times New Roman"/>
          <w:color w:val="000000"/>
          <w:szCs w:val="20"/>
          <w:highlight w:val="none"/>
        </w:rPr>
        <w:t xml:space="preserve">  金属粉末 松装密度的测定 第1部分：漏斗法</w:t>
      </w:r>
    </w:p>
    <w:p>
      <w:pPr>
        <w:spacing w:before="50"/>
        <w:ind w:left="1995" w:leftChars="200" w:hanging="1575" w:hangingChars="750"/>
        <w:rPr>
          <w:rFonts w:hint="default" w:ascii="Times New Roman" w:hAnsi="Times New Roman" w:cs="Times New Roman"/>
          <w:color w:val="000000"/>
          <w:szCs w:val="20"/>
          <w:highlight w:val="none"/>
        </w:rPr>
      </w:pPr>
      <w:r>
        <w:rPr>
          <w:rFonts w:hint="default" w:ascii="Times New Roman" w:hAnsi="Times New Roman" w:cs="Times New Roman"/>
          <w:color w:val="000000"/>
          <w:szCs w:val="20"/>
          <w:highlight w:val="none"/>
        </w:rPr>
        <w:t>GB/T 3249  金属及其化合物粉末费氏粒度的测定方法</w:t>
      </w:r>
    </w:p>
    <w:p>
      <w:pPr>
        <w:spacing w:before="50"/>
        <w:ind w:left="1995" w:leftChars="200" w:hanging="1575" w:hangingChars="750"/>
        <w:rPr>
          <w:rFonts w:hint="default" w:ascii="Times New Roman" w:hAnsi="Times New Roman" w:cs="Times New Roman"/>
          <w:color w:val="000000"/>
          <w:szCs w:val="20"/>
          <w:highlight w:val="none"/>
        </w:rPr>
      </w:pPr>
      <w:r>
        <w:rPr>
          <w:rFonts w:hint="default" w:ascii="Times New Roman" w:hAnsi="Times New Roman" w:cs="Times New Roman"/>
          <w:color w:val="000000"/>
          <w:szCs w:val="20"/>
          <w:highlight w:val="none"/>
        </w:rPr>
        <w:t>GB/T 5158.2  金属粉末 还原法测定氧含量 第2部分：氢还原时的质量损失（氢损）</w:t>
      </w:r>
    </w:p>
    <w:p>
      <w:pPr>
        <w:spacing w:before="50"/>
        <w:ind w:left="1995" w:leftChars="200" w:hanging="1575" w:hangingChars="750"/>
        <w:rPr>
          <w:rFonts w:hint="default" w:ascii="Times New Roman" w:hAnsi="Times New Roman" w:cs="Times New Roman"/>
          <w:color w:val="000000"/>
          <w:szCs w:val="20"/>
          <w:highlight w:val="none"/>
        </w:rPr>
      </w:pPr>
      <w:bookmarkStart w:id="24" w:name="OLE_LINK4"/>
      <w:bookmarkStart w:id="25" w:name="OLE_LINK3"/>
      <w:r>
        <w:rPr>
          <w:rFonts w:hint="default" w:ascii="Times New Roman" w:hAnsi="Times New Roman" w:cs="Times New Roman"/>
          <w:color w:val="000000"/>
          <w:szCs w:val="20"/>
          <w:highlight w:val="none"/>
        </w:rPr>
        <w:t>GB/T 5314</w:t>
      </w:r>
      <w:bookmarkEnd w:id="24"/>
      <w:bookmarkEnd w:id="25"/>
      <w:r>
        <w:rPr>
          <w:rFonts w:hint="default" w:ascii="Times New Roman" w:hAnsi="Times New Roman" w:cs="Times New Roman"/>
          <w:color w:val="000000"/>
          <w:szCs w:val="20"/>
          <w:highlight w:val="none"/>
        </w:rPr>
        <w:t xml:space="preserve">  粉末冶金用粉末 取样方法</w:t>
      </w:r>
    </w:p>
    <w:p>
      <w:pPr>
        <w:spacing w:before="50"/>
        <w:ind w:left="1995" w:leftChars="200" w:hanging="1575" w:hangingChars="750"/>
        <w:rPr>
          <w:rFonts w:hint="default" w:ascii="Times New Roman" w:hAnsi="Times New Roman" w:cs="Times New Roman"/>
          <w:color w:val="000000"/>
          <w:szCs w:val="20"/>
          <w:highlight w:val="none"/>
        </w:rPr>
      </w:pPr>
      <w:r>
        <w:rPr>
          <w:rFonts w:hint="default" w:ascii="Times New Roman" w:hAnsi="Times New Roman" w:cs="Times New Roman"/>
          <w:color w:val="000000"/>
          <w:szCs w:val="20"/>
          <w:highlight w:val="none"/>
        </w:rPr>
        <w:t>YS/T 281</w:t>
      </w:r>
      <w:r>
        <w:rPr>
          <w:rFonts w:hint="eastAsia" w:cs="Times New Roman"/>
          <w:color w:val="000000"/>
          <w:szCs w:val="20"/>
          <w:highlight w:val="none"/>
          <w:lang w:eastAsia="zh-CN"/>
        </w:rPr>
        <w:t>（</w:t>
      </w:r>
      <w:r>
        <w:rPr>
          <w:rFonts w:hint="default" w:ascii="Times New Roman" w:hAnsi="Times New Roman" w:cs="Times New Roman"/>
          <w:color w:val="000000"/>
          <w:szCs w:val="20"/>
          <w:highlight w:val="none"/>
        </w:rPr>
        <w:t>所有部分</w:t>
      </w:r>
      <w:r>
        <w:rPr>
          <w:rFonts w:hint="eastAsia" w:cs="Times New Roman"/>
          <w:color w:val="000000"/>
          <w:szCs w:val="20"/>
          <w:highlight w:val="none"/>
          <w:lang w:val="en-US" w:eastAsia="zh-CN"/>
        </w:rPr>
        <w:t>)</w:t>
      </w:r>
      <w:r>
        <w:rPr>
          <w:rFonts w:hint="default" w:ascii="Times New Roman" w:hAnsi="Times New Roman" w:cs="Times New Roman"/>
          <w:color w:val="000000"/>
          <w:szCs w:val="20"/>
          <w:highlight w:val="none"/>
        </w:rPr>
        <w:t xml:space="preserve">  钴化学分析方法</w:t>
      </w:r>
    </w:p>
    <w:p>
      <w:pPr>
        <w:pStyle w:val="42"/>
        <w:bidi w:val="0"/>
        <w:rPr>
          <w:highlight w:val="none"/>
        </w:rPr>
      </w:pPr>
      <w:r>
        <w:rPr>
          <w:rFonts w:hint="eastAsia" w:hAnsi="宋体"/>
          <w:bCs/>
          <w:highlight w:val="none"/>
        </w:rPr>
        <w:t>术语和定义</w:t>
      </w:r>
    </w:p>
    <w:p>
      <w:pPr>
        <w:pStyle w:val="21"/>
        <w:rPr>
          <w:rFonts w:hint="eastAsia" w:eastAsia="宋体"/>
          <w:szCs w:val="22"/>
          <w:lang w:eastAsia="zh-CN"/>
        </w:rPr>
      </w:pPr>
      <w:r>
        <w:rPr>
          <w:rFonts w:hint="eastAsia"/>
          <w:szCs w:val="22"/>
        </w:rPr>
        <w:t>本文件没有需要界定的术语和定义要求</w:t>
      </w:r>
      <w:r>
        <w:rPr>
          <w:rFonts w:hint="eastAsia"/>
          <w:szCs w:val="22"/>
          <w:lang w:eastAsia="zh-CN"/>
        </w:rPr>
        <w:t>。</w:t>
      </w:r>
    </w:p>
    <w:p>
      <w:pPr>
        <w:pStyle w:val="42"/>
        <w:spacing w:before="312" w:after="312"/>
      </w:pPr>
      <w:r>
        <w:rPr>
          <w:rFonts w:hint="eastAsia" w:hAnsi="黑体"/>
        </w:rPr>
        <w:t>分类</w:t>
      </w:r>
    </w:p>
    <w:p>
      <w:pPr>
        <w:pStyle w:val="39"/>
        <w:bidi w:val="0"/>
      </w:pPr>
      <w:r>
        <w:rPr>
          <w:rFonts w:hint="eastAsia"/>
        </w:rPr>
        <w:t>产品牌号</w:t>
      </w:r>
    </w:p>
    <w:p>
      <w:pPr>
        <w:spacing w:line="400" w:lineRule="exact"/>
        <w:ind w:firstLine="420" w:firstLineChars="200"/>
        <w:rPr>
          <w:rFonts w:hint="default" w:ascii="Times New Roman" w:hAnsi="Times New Roman" w:cs="Times New Roman"/>
          <w:szCs w:val="20"/>
        </w:rPr>
      </w:pPr>
      <w:r>
        <w:rPr>
          <w:rFonts w:hint="default" w:ascii="Times New Roman" w:hAnsi="Times New Roman" w:cs="Times New Roman"/>
          <w:szCs w:val="20"/>
        </w:rPr>
        <w:t>产品根据费氏粒度和化学成分可分为：BFCo-1a、BFCo-2a、BFCo-3a、BFCo-1b、BFCo-2b、BFCo-3b共</w:t>
      </w:r>
      <w:r>
        <w:rPr>
          <w:rFonts w:hint="default" w:ascii="Times New Roman" w:hAnsi="Times New Roman" w:cs="Times New Roman"/>
        </w:rPr>
        <w:t>六</w:t>
      </w:r>
      <w:r>
        <w:rPr>
          <w:rFonts w:hint="default" w:ascii="Times New Roman" w:hAnsi="Times New Roman" w:cs="Times New Roman"/>
          <w:szCs w:val="20"/>
        </w:rPr>
        <w:t>个牌号。</w:t>
      </w:r>
    </w:p>
    <w:p>
      <w:pPr>
        <w:pStyle w:val="43"/>
        <w:numPr>
          <w:ilvl w:val="2"/>
          <w:numId w:val="0"/>
        </w:numPr>
        <w:bidi w:val="0"/>
        <w:ind w:leftChars="0"/>
      </w:pPr>
      <w:r>
        <w:rPr>
          <w:rFonts w:hint="eastAsia"/>
          <w:lang w:val="en-US" w:eastAsia="zh-CN"/>
        </w:rPr>
        <w:t xml:space="preserve">4.2  </w:t>
      </w:r>
      <w:r>
        <w:rPr>
          <w:rFonts w:hint="eastAsia"/>
        </w:rPr>
        <w:t>牌号的命名规则</w:t>
      </w:r>
    </w:p>
    <w:p>
      <w:pPr>
        <w:spacing w:line="400" w:lineRule="exact"/>
        <w:ind w:firstLine="420" w:firstLineChars="200"/>
        <w:rPr>
          <w:rFonts w:hint="default" w:ascii="Times New Roman" w:hAnsi="Times New Roman" w:cs="Times New Roman"/>
          <w:szCs w:val="20"/>
        </w:rPr>
      </w:pPr>
      <w:r>
        <w:rPr>
          <w:rFonts w:hint="default" w:ascii="Times New Roman" w:hAnsi="Times New Roman" w:cs="Times New Roman"/>
          <w:szCs w:val="20"/>
        </w:rPr>
        <w:t>产品的牌号以BFCo-XX表示，其中：</w:t>
      </w:r>
    </w:p>
    <w:p>
      <w:pPr>
        <w:spacing w:line="400" w:lineRule="exact"/>
        <w:ind w:firstLine="420" w:firstLineChars="200"/>
        <w:rPr>
          <w:rFonts w:hint="default" w:ascii="Times New Roman" w:hAnsi="Times New Roman" w:cs="Times New Roman"/>
          <w:szCs w:val="20"/>
        </w:rPr>
      </w:pPr>
      <w:r>
        <w:rPr>
          <w:rFonts w:hint="default" w:ascii="Times New Roman" w:hAnsi="Times New Roman" w:cs="Times New Roman"/>
          <w:szCs w:val="20"/>
        </w:rPr>
        <w:t>BF表示产品为包覆的粉末状态；</w:t>
      </w:r>
    </w:p>
    <w:p>
      <w:pPr>
        <w:spacing w:line="400" w:lineRule="exact"/>
        <w:ind w:firstLine="420" w:firstLineChars="200"/>
        <w:rPr>
          <w:rFonts w:hint="default" w:ascii="Times New Roman" w:hAnsi="Times New Roman" w:cs="Times New Roman"/>
          <w:szCs w:val="20"/>
        </w:rPr>
      </w:pPr>
      <w:r>
        <w:rPr>
          <w:rFonts w:hint="default" w:ascii="Times New Roman" w:hAnsi="Times New Roman" w:cs="Times New Roman"/>
          <w:szCs w:val="20"/>
        </w:rPr>
        <w:t>Co表示产品的主要成分为钴；</w:t>
      </w:r>
    </w:p>
    <w:p>
      <w:pPr>
        <w:spacing w:line="400" w:lineRule="exact"/>
        <w:ind w:firstLine="420" w:firstLineChars="200"/>
        <w:rPr>
          <w:rFonts w:hint="default" w:ascii="Times New Roman" w:hAnsi="Times New Roman" w:cs="Times New Roman"/>
          <w:szCs w:val="20"/>
        </w:rPr>
      </w:pPr>
      <w:r>
        <w:rPr>
          <w:rFonts w:hint="default" w:ascii="Times New Roman" w:hAnsi="Times New Roman" w:cs="Times New Roman"/>
          <w:szCs w:val="20"/>
        </w:rPr>
        <w:t>XX表示产品的费氏粒度级别和表示产品的化学成分等级。</w:t>
      </w:r>
    </w:p>
    <w:p>
      <w:pPr>
        <w:spacing w:line="400" w:lineRule="exact"/>
        <w:ind w:firstLine="420" w:firstLineChars="200"/>
        <w:rPr>
          <w:rFonts w:hint="default" w:ascii="Times New Roman" w:hAnsi="Times New Roman" w:cs="Times New Roman"/>
          <w:szCs w:val="20"/>
        </w:rPr>
      </w:pPr>
      <w:r>
        <w:rPr>
          <w:rFonts w:hint="default" w:ascii="Times New Roman" w:hAnsi="Times New Roman" w:cs="Times New Roman"/>
          <w:szCs w:val="20"/>
        </w:rPr>
        <w:t>产品牌号的命名规则如图1所示：</w:t>
      </w:r>
    </w:p>
    <w:p>
      <w:pPr>
        <w:spacing w:line="400" w:lineRule="exact"/>
        <w:ind w:firstLine="420" w:firstLineChars="200"/>
        <w:rPr>
          <w:rFonts w:hint="default" w:ascii="Times New Roman" w:hAnsi="Times New Roman" w:cs="Times New Roman"/>
          <w:szCs w:val="20"/>
        </w:rPr>
      </w:pPr>
    </w:p>
    <w:p>
      <w:pPr>
        <w:spacing w:line="400" w:lineRule="exact"/>
        <w:ind w:firstLine="420" w:firstLineChars="200"/>
        <w:rPr>
          <w:rFonts w:hint="default" w:ascii="Times New Roman" w:hAnsi="Times New Roman" w:cs="Times New Roman"/>
          <w:szCs w:val="20"/>
        </w:rPr>
      </w:pPr>
    </w:p>
    <w:p>
      <w:pPr>
        <w:spacing w:line="400" w:lineRule="exact"/>
        <w:ind w:firstLine="420" w:firstLineChars="200"/>
        <w:rPr>
          <w:rFonts w:hint="default" w:ascii="Times New Roman" w:hAnsi="Times New Roman" w:cs="Times New Roman"/>
          <w:szCs w:val="20"/>
        </w:rPr>
      </w:pPr>
    </w:p>
    <w:p>
      <w:pPr>
        <w:spacing w:line="400" w:lineRule="exact"/>
        <w:ind w:firstLine="420" w:firstLineChars="200"/>
        <w:rPr>
          <w:rFonts w:hint="default" w:ascii="Times New Roman" w:hAnsi="Times New Roman" w:cs="Times New Roman"/>
          <w:szCs w:val="20"/>
        </w:rPr>
      </w:pPr>
    </w:p>
    <w:p>
      <w:pPr>
        <w:spacing w:line="400" w:lineRule="exact"/>
        <w:ind w:firstLine="420" w:firstLineChars="200"/>
        <w:rPr>
          <w:rFonts w:hint="default" w:ascii="Times New Roman" w:hAnsi="Times New Roman" w:cs="Times New Roman"/>
          <w:szCs w:val="20"/>
        </w:rPr>
      </w:pPr>
    </w:p>
    <w:p>
      <w:pPr>
        <w:spacing w:line="400" w:lineRule="exact"/>
        <w:rPr>
          <w:rFonts w:ascii="宋体"/>
          <w:szCs w:val="20"/>
        </w:rPr>
      </w:pPr>
    </w:p>
    <w:p>
      <w:pPr>
        <w:spacing w:line="400" w:lineRule="exact"/>
        <w:rPr>
          <w:rFonts w:ascii="宋体"/>
          <w:szCs w:val="20"/>
        </w:rPr>
      </w:pPr>
      <w:r>
        <w:rPr>
          <w:rFonts w:hint="default" w:ascii="Times New Roman" w:hAnsi="Times New Roman" w:cs="Times New Roman"/>
        </w:rPr>
        <mc:AlternateContent>
          <mc:Choice Requires="wpc">
            <w:drawing>
              <wp:inline distT="0" distB="0" distL="114300" distR="114300">
                <wp:extent cx="4960620" cy="1686560"/>
                <wp:effectExtent l="0" t="0" r="0" b="6985"/>
                <wp:docPr id="28" name="画布 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 name="文本框 11"/>
                        <wps:cNvSpPr txBox="1"/>
                        <wps:spPr>
                          <a:xfrm>
                            <a:off x="133985" y="81280"/>
                            <a:ext cx="2149475" cy="289560"/>
                          </a:xfrm>
                          <a:prstGeom prst="rect">
                            <a:avLst/>
                          </a:prstGeom>
                          <a:noFill/>
                          <a:ln>
                            <a:noFill/>
                          </a:ln>
                        </wps:spPr>
                        <wps:txbx>
                          <w:txbxContent>
                            <w:p>
                              <w:pPr>
                                <w:pStyle w:val="28"/>
                                <w:spacing w:before="0" w:beforeAutospacing="0" w:after="0" w:afterAutospacing="0"/>
                                <w:jc w:val="center"/>
                                <w:rPr>
                                  <w:sz w:val="32"/>
                                </w:rPr>
                              </w:pPr>
                              <w:r>
                                <w:rPr>
                                  <w:rFonts w:hint="eastAsia" w:ascii="Times New Roman" w:hAnsi="Times New Roman" w:cs="Times New Roman"/>
                                  <w:kern w:val="2"/>
                                  <w:sz w:val="21"/>
                                  <w:szCs w:val="21"/>
                                </w:rPr>
                                <w:t>BF</w:t>
                              </w:r>
                              <w:r>
                                <w:rPr>
                                  <w:rFonts w:ascii="Times New Roman" w:hAnsi="Times New Roman" w:cs="Times New Roman"/>
                                  <w:kern w:val="2"/>
                                  <w:sz w:val="21"/>
                                  <w:szCs w:val="21"/>
                                </w:rPr>
                                <w:t xml:space="preserve">   </w:t>
                              </w:r>
                              <w:r>
                                <w:rPr>
                                  <w:rFonts w:hint="eastAsia" w:ascii="Times New Roman" w:hAnsi="Times New Roman" w:cs="Times New Roman"/>
                                  <w:kern w:val="2"/>
                                  <w:sz w:val="21"/>
                                  <w:szCs w:val="21"/>
                                </w:rPr>
                                <w:t>Co</w:t>
                              </w:r>
                              <w:r>
                                <w:rPr>
                                  <w:rFonts w:ascii="Times New Roman" w:hAnsi="Times New Roman" w:cs="Times New Roman"/>
                                  <w:kern w:val="2"/>
                                  <w:sz w:val="21"/>
                                  <w:szCs w:val="21"/>
                                </w:rPr>
                                <w:t xml:space="preserve"> </w:t>
                              </w:r>
                              <w:r>
                                <w:rPr>
                                  <w:rFonts w:hint="eastAsia" w:ascii="Times New Roman" w:hAnsi="Times New Roman" w:cs="Times New Roman"/>
                                  <w:kern w:val="2"/>
                                  <w:sz w:val="21"/>
                                  <w:szCs w:val="21"/>
                                </w:rPr>
                                <w:t xml:space="preserve">  </w:t>
                              </w:r>
                              <w:r>
                                <w:rPr>
                                  <w:rFonts w:ascii="Times New Roman" w:hAnsi="Times New Roman" w:cs="Times New Roman"/>
                                  <w:kern w:val="2"/>
                                  <w:sz w:val="21"/>
                                  <w:szCs w:val="21"/>
                                  <w:u w:val="single"/>
                                </w:rPr>
                                <w:t>X</w:t>
                              </w:r>
                              <w:r>
                                <w:rPr>
                                  <w:rFonts w:hint="eastAsia" w:ascii="Times New Roman" w:hAnsi="Times New Roman" w:cs="Times New Roman"/>
                                  <w:kern w:val="2"/>
                                  <w:sz w:val="21"/>
                                  <w:szCs w:val="21"/>
                                </w:rPr>
                                <w:t xml:space="preserve">    </w:t>
                              </w:r>
                              <w:r>
                                <w:rPr>
                                  <w:rFonts w:hint="eastAsia" w:ascii="Times New Roman" w:hAnsi="Times New Roman" w:cs="Times New Roman"/>
                                  <w:kern w:val="2"/>
                                  <w:sz w:val="21"/>
                                  <w:szCs w:val="21"/>
                                  <w:u w:val="single"/>
                                </w:rPr>
                                <w:t>X</w:t>
                              </w:r>
                            </w:p>
                          </w:txbxContent>
                        </wps:txbx>
                        <wps:bodyPr upright="1">
                          <a:spAutoFit/>
                        </wps:bodyPr>
                      </wps:wsp>
                      <wps:wsp>
                        <wps:cNvPr id="15" name="肘形连接符 15"/>
                        <wps:cNvCnPr/>
                        <wps:spPr>
                          <a:xfrm>
                            <a:off x="1949450" y="340360"/>
                            <a:ext cx="1008000" cy="252000"/>
                          </a:xfrm>
                          <a:prstGeom prst="bentConnector3">
                            <a:avLst>
                              <a:gd name="adj1" fmla="val 485"/>
                            </a:avLst>
                          </a:prstGeom>
                          <a:noFill/>
                          <a:ln w="9525" cap="flat" cmpd="sng" algn="ctr">
                            <a:solidFill>
                              <a:srgbClr val="000000"/>
                            </a:solidFill>
                            <a:prstDash val="solid"/>
                          </a:ln>
                          <a:effectLst/>
                        </wps:spPr>
                        <wps:bodyPr/>
                      </wps:wsp>
                      <wps:wsp>
                        <wps:cNvPr id="18" name="肘形连接符 18"/>
                        <wps:cNvCnPr/>
                        <wps:spPr>
                          <a:xfrm>
                            <a:off x="1597660" y="351155"/>
                            <a:ext cx="1332000" cy="540000"/>
                          </a:xfrm>
                          <a:prstGeom prst="bentConnector3">
                            <a:avLst>
                              <a:gd name="adj1" fmla="val -12"/>
                            </a:avLst>
                          </a:prstGeom>
                          <a:noFill/>
                          <a:ln w="9525" cap="flat" cmpd="sng" algn="ctr">
                            <a:solidFill>
                              <a:srgbClr val="000000"/>
                            </a:solidFill>
                            <a:prstDash val="solid"/>
                          </a:ln>
                          <a:effectLst/>
                        </wps:spPr>
                        <wps:bodyPr/>
                      </wps:wsp>
                      <wps:wsp>
                        <wps:cNvPr id="19" name="肘形连接符 19"/>
                        <wps:cNvCnPr/>
                        <wps:spPr>
                          <a:xfrm>
                            <a:off x="1261745" y="348615"/>
                            <a:ext cx="1727835" cy="845820"/>
                          </a:xfrm>
                          <a:prstGeom prst="bentConnector3">
                            <a:avLst>
                              <a:gd name="adj1" fmla="val -31"/>
                            </a:avLst>
                          </a:prstGeom>
                          <a:noFill/>
                          <a:ln w="9525" cap="flat" cmpd="sng" algn="ctr">
                            <a:solidFill>
                              <a:srgbClr val="000000"/>
                            </a:solidFill>
                            <a:prstDash val="solid"/>
                          </a:ln>
                          <a:effectLst/>
                        </wps:spPr>
                        <wps:bodyPr/>
                      </wps:wsp>
                      <wps:wsp>
                        <wps:cNvPr id="20" name="肘形连接符 20"/>
                        <wps:cNvCnPr/>
                        <wps:spPr>
                          <a:xfrm>
                            <a:off x="953135" y="504825"/>
                            <a:ext cx="2087880" cy="1181735"/>
                          </a:xfrm>
                          <a:prstGeom prst="bentConnector3">
                            <a:avLst>
                              <a:gd name="adj1" fmla="val -65"/>
                            </a:avLst>
                          </a:prstGeom>
                          <a:noFill/>
                          <a:ln w="9525" cap="flat" cmpd="sng" algn="ctr">
                            <a:solidFill>
                              <a:srgbClr val="000000"/>
                            </a:solidFill>
                            <a:prstDash val="solid"/>
                          </a:ln>
                          <a:effectLst/>
                        </wps:spPr>
                        <wps:bodyPr/>
                      </wps:wsp>
                      <wps:wsp>
                        <wps:cNvPr id="22" name="文本框 22"/>
                        <wps:cNvSpPr txBox="1"/>
                        <wps:spPr>
                          <a:xfrm>
                            <a:off x="2806065" y="430530"/>
                            <a:ext cx="1993265" cy="289560"/>
                          </a:xfrm>
                          <a:prstGeom prst="rect">
                            <a:avLst/>
                          </a:prstGeom>
                          <a:noFill/>
                          <a:ln>
                            <a:noFill/>
                          </a:ln>
                        </wps:spPr>
                        <wps:txbx>
                          <w:txbxContent>
                            <w:p>
                              <w:r>
                                <w:rPr>
                                  <w:rFonts w:hint="eastAsia"/>
                                  <w:szCs w:val="21"/>
                                </w:rPr>
                                <w:t>X=a，b代表产品化学成分等级</w:t>
                              </w:r>
                            </w:p>
                          </w:txbxContent>
                        </wps:txbx>
                        <wps:bodyPr upright="1">
                          <a:spAutoFit/>
                        </wps:bodyPr>
                      </wps:wsp>
                      <wps:wsp>
                        <wps:cNvPr id="23" name="文本框 23"/>
                        <wps:cNvSpPr txBox="1"/>
                        <wps:spPr>
                          <a:xfrm>
                            <a:off x="2808605" y="738505"/>
                            <a:ext cx="2012315" cy="289560"/>
                          </a:xfrm>
                          <a:prstGeom prst="rect">
                            <a:avLst/>
                          </a:prstGeom>
                          <a:noFill/>
                          <a:ln>
                            <a:noFill/>
                          </a:ln>
                        </wps:spPr>
                        <wps:txbx>
                          <w:txbxContent>
                            <w:p>
                              <w:pPr>
                                <w:pStyle w:val="28"/>
                                <w:spacing w:before="0" w:beforeAutospacing="0" w:after="0" w:afterAutospacing="0"/>
                                <w:jc w:val="both"/>
                              </w:pPr>
                              <w:r>
                                <w:rPr>
                                  <w:rFonts w:hint="eastAsia" w:ascii="Times New Roman" w:hAnsi="Times New Roman"/>
                                  <w:kern w:val="2"/>
                                  <w:sz w:val="21"/>
                                  <w:szCs w:val="21"/>
                                </w:rPr>
                                <w:t>X=1，2，3代表产品费氏粒度</w:t>
                              </w:r>
                            </w:p>
                          </w:txbxContent>
                        </wps:txbx>
                        <wps:bodyPr upright="1">
                          <a:spAutoFit/>
                        </wps:bodyPr>
                      </wps:wsp>
                      <wps:wsp>
                        <wps:cNvPr id="24" name="文本框 24"/>
                        <wps:cNvSpPr txBox="1"/>
                        <wps:spPr>
                          <a:xfrm>
                            <a:off x="2803525" y="1037590"/>
                            <a:ext cx="1821180" cy="289560"/>
                          </a:xfrm>
                          <a:prstGeom prst="rect">
                            <a:avLst/>
                          </a:prstGeom>
                          <a:noFill/>
                          <a:ln>
                            <a:noFill/>
                          </a:ln>
                        </wps:spPr>
                        <wps:txbx>
                          <w:txbxContent>
                            <w:p>
                              <w:pPr>
                                <w:pStyle w:val="28"/>
                                <w:spacing w:before="0" w:beforeAutospacing="0" w:after="0" w:afterAutospacing="0"/>
                                <w:jc w:val="both"/>
                              </w:pPr>
                              <w:r>
                                <w:rPr>
                                  <w:rFonts w:hint="eastAsia" w:ascii="Times New Roman" w:hAnsi="Times New Roman"/>
                                  <w:kern w:val="2"/>
                                  <w:sz w:val="21"/>
                                  <w:szCs w:val="21"/>
                                </w:rPr>
                                <w:t>代表</w:t>
                              </w:r>
                              <w:r>
                                <w:rPr>
                                  <w:rFonts w:hint="eastAsia" w:ascii="Times New Roman"/>
                                  <w:kern w:val="2"/>
                                  <w:sz w:val="21"/>
                                  <w:szCs w:val="21"/>
                                </w:rPr>
                                <w:t>Co</w:t>
                              </w:r>
                            </w:p>
                          </w:txbxContent>
                        </wps:txbx>
                        <wps:bodyPr upright="1">
                          <a:spAutoFit/>
                        </wps:bodyPr>
                      </wps:wsp>
                      <wps:wsp>
                        <wps:cNvPr id="26" name="文本框 26"/>
                        <wps:cNvSpPr txBox="1"/>
                        <wps:spPr>
                          <a:xfrm>
                            <a:off x="2793365" y="1379855"/>
                            <a:ext cx="1820545" cy="289560"/>
                          </a:xfrm>
                          <a:prstGeom prst="rect">
                            <a:avLst/>
                          </a:prstGeom>
                          <a:noFill/>
                          <a:ln>
                            <a:noFill/>
                          </a:ln>
                        </wps:spPr>
                        <wps:txbx>
                          <w:txbxContent>
                            <w:p>
                              <w:pPr>
                                <w:pStyle w:val="28"/>
                                <w:spacing w:before="0" w:beforeAutospacing="0" w:after="0" w:afterAutospacing="0"/>
                                <w:jc w:val="both"/>
                              </w:pPr>
                              <w:r>
                                <w:rPr>
                                  <w:rFonts w:hint="eastAsia" w:ascii="Times New Roman"/>
                                  <w:kern w:val="2"/>
                                  <w:sz w:val="21"/>
                                  <w:szCs w:val="21"/>
                                </w:rPr>
                                <w:t>代表包覆</w:t>
                              </w:r>
                            </w:p>
                          </w:txbxContent>
                        </wps:txbx>
                        <wps:bodyPr upright="1">
                          <a:spAutoFit/>
                        </wps:bodyPr>
                      </wps:wsp>
                    </wpc:wpc>
                  </a:graphicData>
                </a:graphic>
              </wp:inline>
            </w:drawing>
          </mc:Choice>
          <mc:Fallback>
            <w:pict>
              <v:group id="_x0000_s1026" o:spid="_x0000_s1026" o:spt="203" style="height:132.8pt;width:390.6pt;" coordsize="4960620,1686560" editas="canvas" o:gfxdata="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">
                <o:lock v:ext="edit" aspectratio="f"/>
                <v:shape id="_x0000_s1026" o:spid="_x0000_s1026" style="position:absolute;left:0;top:0;height:1686560;width:4960620;" filled="f" stroked="f" coordsize="21600,21600" o:gfxdata="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">
                  <v:fill on="f" focussize="0,0"/>
                  <v:stroke on="f"/>
                  <v:imagedata o:title=""/>
                  <o:lock v:ext="edit" aspectratio="t"/>
                </v:shape>
                <v:shape id="_x0000_s1026" o:spid="_x0000_s1026" o:spt="202" type="#_x0000_t202" style="position:absolute;left:133985;top:81280;height:289560;width:2149475;" filled="f" stroked="f" coordsize="21600,21600" o:gfxdata="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x2UyT1AAAAAUBAAAPAAAAAAAAAAEAIAAAACIAAABkcnMvZG93bnJldi54bWxQ&#10;SwECFAAUAAAACACHTuJAs54KgMIBAABzAwAADgAAAAAAAAABACAAAAAjAQAAZHJzL2Uyb0RvYy54&#10;bWxQSwUGAAAAAAYABgBZAQAAVwUAAAAA&#10;">
                  <v:fill on="f" focussize="0,0"/>
                  <v:stroke on="f"/>
                  <v:imagedata o:title=""/>
                  <o:lock v:ext="edit" aspectratio="f"/>
                  <v:textbox style="mso-fit-shape-to-text:t;">
                    <w:txbxContent>
                      <w:p>
                        <w:pPr>
                          <w:pStyle w:val="28"/>
                          <w:spacing w:before="0" w:beforeAutospacing="0" w:after="0" w:afterAutospacing="0"/>
                          <w:jc w:val="center"/>
                          <w:rPr>
                            <w:sz w:val="32"/>
                          </w:rPr>
                        </w:pPr>
                        <w:r>
                          <w:rPr>
                            <w:rFonts w:hint="eastAsia" w:ascii="Times New Roman" w:hAnsi="Times New Roman" w:cs="Times New Roman"/>
                            <w:kern w:val="2"/>
                            <w:sz w:val="21"/>
                            <w:szCs w:val="21"/>
                          </w:rPr>
                          <w:t>BF</w:t>
                        </w:r>
                        <w:r>
                          <w:rPr>
                            <w:rFonts w:ascii="Times New Roman" w:hAnsi="Times New Roman" w:cs="Times New Roman"/>
                            <w:kern w:val="2"/>
                            <w:sz w:val="21"/>
                            <w:szCs w:val="21"/>
                          </w:rPr>
                          <w:t xml:space="preserve">   </w:t>
                        </w:r>
                        <w:r>
                          <w:rPr>
                            <w:rFonts w:hint="eastAsia" w:ascii="Times New Roman" w:hAnsi="Times New Roman" w:cs="Times New Roman"/>
                            <w:kern w:val="2"/>
                            <w:sz w:val="21"/>
                            <w:szCs w:val="21"/>
                          </w:rPr>
                          <w:t>Co</w:t>
                        </w:r>
                        <w:r>
                          <w:rPr>
                            <w:rFonts w:ascii="Times New Roman" w:hAnsi="Times New Roman" w:cs="Times New Roman"/>
                            <w:kern w:val="2"/>
                            <w:sz w:val="21"/>
                            <w:szCs w:val="21"/>
                          </w:rPr>
                          <w:t xml:space="preserve"> </w:t>
                        </w:r>
                        <w:r>
                          <w:rPr>
                            <w:rFonts w:hint="eastAsia" w:ascii="Times New Roman" w:hAnsi="Times New Roman" w:cs="Times New Roman"/>
                            <w:kern w:val="2"/>
                            <w:sz w:val="21"/>
                            <w:szCs w:val="21"/>
                          </w:rPr>
                          <w:t xml:space="preserve">  </w:t>
                        </w:r>
                        <w:r>
                          <w:rPr>
                            <w:rFonts w:ascii="Times New Roman" w:hAnsi="Times New Roman" w:cs="Times New Roman"/>
                            <w:kern w:val="2"/>
                            <w:sz w:val="21"/>
                            <w:szCs w:val="21"/>
                            <w:u w:val="single"/>
                          </w:rPr>
                          <w:t>X</w:t>
                        </w:r>
                        <w:r>
                          <w:rPr>
                            <w:rFonts w:hint="eastAsia" w:ascii="Times New Roman" w:hAnsi="Times New Roman" w:cs="Times New Roman"/>
                            <w:kern w:val="2"/>
                            <w:sz w:val="21"/>
                            <w:szCs w:val="21"/>
                          </w:rPr>
                          <w:t xml:space="preserve">    </w:t>
                        </w:r>
                        <w:r>
                          <w:rPr>
                            <w:rFonts w:hint="eastAsia" w:ascii="Times New Roman" w:hAnsi="Times New Roman" w:cs="Times New Roman"/>
                            <w:kern w:val="2"/>
                            <w:sz w:val="21"/>
                            <w:szCs w:val="21"/>
                            <w:u w:val="single"/>
                          </w:rPr>
                          <w:t>X</w:t>
                        </w:r>
                      </w:p>
                    </w:txbxContent>
                  </v:textbox>
                </v:shape>
                <v:shape id="_x0000_s1026" o:spid="_x0000_s1026" o:spt="34" type="#_x0000_t34" style="position:absolute;left:1949450;top:340360;height:252000;width:1008000;" filled="f" stroked="t" coordsize="21600,21600" o:gfxdata="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H6eN7DVAAAABQEAAA8AAAAAAAAAAQAgAAAA&#10;IgAAAGRycy9kb3ducmV2LnhtbFBLAQIUABQAAAAIAIdO4kAKJK3sDgIAAO8DAAAOAAAAAAAAAAEA&#10;IAAAACQBAABkcnMvZTJvRG9jLnhtbFBLBQYAAAAABgAGAFkBAACkBQAAAAA=&#10;" adj="105">
                  <v:fill on="f" focussize="0,0"/>
                  <v:stroke color="#000000" joinstyle="round"/>
                  <v:imagedata o:title=""/>
                  <o:lock v:ext="edit" aspectratio="f"/>
                </v:shape>
                <v:shape id="_x0000_s1026" o:spid="_x0000_s1026" o:spt="34" type="#_x0000_t34" style="position:absolute;left:1597660;top:351155;height:540000;width:1332000;" filled="f" stroked="t" coordsize="21600,21600" o:gfxdata="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mbqkstcAAAAFAQAADwAAAAAAAAABACAA&#10;AAAiAAAAZHJzL2Rvd25yZXYueG1sUEsBAhQAFAAAAAgAh07iQDAp6VAOAgAA7wMAAA4AAAAAAAAA&#10;AQAgAAAAJgEAAGRycy9lMm9Eb2MueG1sUEsFBgAAAAAGAAYAWQEAAKYFAAAAAA==&#10;" adj="-3">
                  <v:fill on="f" focussize="0,0"/>
                  <v:stroke color="#000000" joinstyle="round"/>
                  <v:imagedata o:title=""/>
                  <o:lock v:ext="edit" aspectratio="f"/>
                </v:shape>
                <v:shape id="_x0000_s1026" o:spid="_x0000_s1026" o:spt="34" type="#_x0000_t34" style="position:absolute;left:1261745;top:348615;height:845820;width:1727835;" filled="f" stroked="t" coordsize="21600,21600" o:gfxdata="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2XhwW1QAAAAUBAAAPAAAAAAAAAAEA&#10;IAAAACIAAABkcnMvZG93bnJldi54bWxQSwECFAAUAAAACACHTuJAVUbaGBICAADvAwAADgAAAAAA&#10;AAABACAAAAAkAQAAZHJzL2Uyb0RvYy54bWxQSwUGAAAAAAYABgBZAQAAqAUAAAAA&#10;" adj="-7">
                  <v:fill on="f" focussize="0,0"/>
                  <v:stroke color="#000000" joinstyle="round"/>
                  <v:imagedata o:title=""/>
                  <o:lock v:ext="edit" aspectratio="f"/>
                </v:shape>
                <v:shape id="_x0000_s1026" o:spid="_x0000_s1026" o:spt="34" type="#_x0000_t34" style="position:absolute;left:953135;top:504825;height:1181735;width:2087880;" filled="f" stroked="t" coordsize="21600,21600" o:gfxdata="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N0KNKzWAAAABQEAAA8AAAAAAAAAAQAg&#10;AAAAIgAAAGRycy9kb3ducmV2LnhtbFBLAQIUABQAAAAIAIdO4kAGHi3SEAIAAO8DAAAOAAAAAAAA&#10;AAEAIAAAACUBAABkcnMvZTJvRG9jLnhtbFBLBQYAAAAABgAGAFkBAACnBQAAAAA=&#10;" adj="-14">
                  <v:fill on="f" focussize="0,0"/>
                  <v:stroke color="#000000" joinstyle="round"/>
                  <v:imagedata o:title=""/>
                  <o:lock v:ext="edit" aspectratio="f"/>
                </v:shape>
                <v:shape id="_x0000_s1026" o:spid="_x0000_s1026" o:spt="202" type="#_x0000_t202" style="position:absolute;left:2806065;top:430530;height:289560;width:1993265;" filled="f" stroked="f" coordsize="21600,21600" o:gfxdata="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MdlMk9QAAAAFAQAADwAAAAAAAAABACAAAAAiAAAAZHJzL2Rvd25yZXYueG1s&#10;UEsBAhQAFAAAAAgAh07iQAsfX1zDAQAAdQMAAA4AAAAAAAAAAQAgAAAAIwEAAGRycy9lMm9Eb2Mu&#10;eG1sUEsFBgAAAAAGAAYAWQEAAFgFAAAAAA==&#10;">
                  <v:fill on="f" focussize="0,0"/>
                  <v:stroke on="f"/>
                  <v:imagedata o:title=""/>
                  <o:lock v:ext="edit" aspectratio="f"/>
                  <v:textbox style="mso-fit-shape-to-text:t;">
                    <w:txbxContent>
                      <w:p>
                        <w:r>
                          <w:rPr>
                            <w:rFonts w:hint="eastAsia"/>
                            <w:szCs w:val="21"/>
                          </w:rPr>
                          <w:t>X=a，b代表产品化学成分等级</w:t>
                        </w:r>
                      </w:p>
                    </w:txbxContent>
                  </v:textbox>
                </v:shape>
                <v:shape id="_x0000_s1026" o:spid="_x0000_s1026" o:spt="202" type="#_x0000_t202" style="position:absolute;left:2808605;top:738505;height:289560;width:2012315;" filled="f" stroked="f" coordsize="21600,21600" o:gfxdata="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x2UyT1AAAAAUBAAAPAAAAAAAAAAEAIAAAACIAAABkcnMvZG93bnJldi54&#10;bWxQSwECFAAUAAAACACHTuJA9Y6agsUBAAB1AwAADgAAAAAAAAABACAAAAAjAQAAZHJzL2Uyb0Rv&#10;Yy54bWxQSwUGAAAAAAYABgBZAQAAWgUAAAAA&#10;">
                  <v:fill on="f" focussize="0,0"/>
                  <v:stroke on="f"/>
                  <v:imagedata o:title=""/>
                  <o:lock v:ext="edit" aspectratio="f"/>
                  <v:textbox style="mso-fit-shape-to-text:t;">
                    <w:txbxContent>
                      <w:p>
                        <w:pPr>
                          <w:pStyle w:val="28"/>
                          <w:spacing w:before="0" w:beforeAutospacing="0" w:after="0" w:afterAutospacing="0"/>
                          <w:jc w:val="both"/>
                        </w:pPr>
                        <w:r>
                          <w:rPr>
                            <w:rFonts w:hint="eastAsia" w:ascii="Times New Roman" w:hAnsi="Times New Roman"/>
                            <w:kern w:val="2"/>
                            <w:sz w:val="21"/>
                            <w:szCs w:val="21"/>
                          </w:rPr>
                          <w:t>X=1，2，3代表产品费氏粒度</w:t>
                        </w:r>
                      </w:p>
                    </w:txbxContent>
                  </v:textbox>
                </v:shape>
                <v:shape id="_x0000_s1026" o:spid="_x0000_s1026" o:spt="202" type="#_x0000_t202" style="position:absolute;left:2803525;top:1037590;height:289560;width:1821180;" filled="f" stroked="f" coordsize="21600,21600" o:gfxdata="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MdlMk9QAAAAFAQAADwAAAAAAAAABACAAAAAiAAAAZHJzL2Rvd25yZXYu&#10;eG1sUEsBAhQAFAAAAAgAh07iQC/7YGfGAQAAdgMAAA4AAAAAAAAAAQAgAAAAIwEAAGRycy9lMm9E&#10;b2MueG1sUEsFBgAAAAAGAAYAWQEAAFsFAAAAAA==&#10;">
                  <v:fill on="f" focussize="0,0"/>
                  <v:stroke on="f"/>
                  <v:imagedata o:title=""/>
                  <o:lock v:ext="edit" aspectratio="f"/>
                  <v:textbox style="mso-fit-shape-to-text:t;">
                    <w:txbxContent>
                      <w:p>
                        <w:pPr>
                          <w:pStyle w:val="28"/>
                          <w:spacing w:before="0" w:beforeAutospacing="0" w:after="0" w:afterAutospacing="0"/>
                          <w:jc w:val="both"/>
                        </w:pPr>
                        <w:r>
                          <w:rPr>
                            <w:rFonts w:hint="eastAsia" w:ascii="Times New Roman" w:hAnsi="Times New Roman"/>
                            <w:kern w:val="2"/>
                            <w:sz w:val="21"/>
                            <w:szCs w:val="21"/>
                          </w:rPr>
                          <w:t>代表</w:t>
                        </w:r>
                        <w:r>
                          <w:rPr>
                            <w:rFonts w:hint="eastAsia" w:ascii="Times New Roman"/>
                            <w:kern w:val="2"/>
                            <w:sz w:val="21"/>
                            <w:szCs w:val="21"/>
                          </w:rPr>
                          <w:t>Co</w:t>
                        </w:r>
                      </w:p>
                    </w:txbxContent>
                  </v:textbox>
                </v:shape>
                <v:shape id="_x0000_s1026" o:spid="_x0000_s1026" o:spt="202" type="#_x0000_t202" style="position:absolute;left:2793365;top:1379855;height:289560;width:1820545;" filled="f" stroked="f" coordsize="21600,21600" o:gfxdata="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DHZTJPUAAAABQEAAA8AAAAAAAAAAQAgAAAAIgAAAGRycy9kb3ducmV2&#10;LnhtbFBLAQIUABQAAAAIAIdO4kBn/jaxxwEAAHYDAAAOAAAAAAAAAAEAIAAAACMBAABkcnMvZTJv&#10;RG9jLnhtbFBLBQYAAAAABgAGAFkBAABcBQAAAAA=&#10;">
                  <v:fill on="f" focussize="0,0"/>
                  <v:stroke on="f"/>
                  <v:imagedata o:title=""/>
                  <o:lock v:ext="edit" aspectratio="f"/>
                  <v:textbox style="mso-fit-shape-to-text:t;">
                    <w:txbxContent>
                      <w:p>
                        <w:pPr>
                          <w:pStyle w:val="28"/>
                          <w:spacing w:before="0" w:beforeAutospacing="0" w:after="0" w:afterAutospacing="0"/>
                          <w:jc w:val="both"/>
                        </w:pPr>
                        <w:r>
                          <w:rPr>
                            <w:rFonts w:hint="eastAsia" w:ascii="Times New Roman"/>
                            <w:kern w:val="2"/>
                            <w:sz w:val="21"/>
                            <w:szCs w:val="21"/>
                          </w:rPr>
                          <w:t>代表包覆</w:t>
                        </w:r>
                      </w:p>
                    </w:txbxContent>
                  </v:textbox>
                </v:shape>
                <w10:wrap type="none"/>
                <w10:anchorlock/>
              </v:group>
            </w:pict>
          </mc:Fallback>
        </mc:AlternateContent>
      </w:r>
    </w:p>
    <w:p>
      <w:pPr>
        <w:spacing w:before="156" w:beforeLines="50" w:after="156" w:afterLines="50"/>
        <w:jc w:val="center"/>
        <w:rPr>
          <w:rFonts w:hint="eastAsia" w:ascii="黑体" w:eastAsia="黑体"/>
        </w:rPr>
      </w:pPr>
      <w:r>
        <w:rPr>
          <w:rFonts w:hint="eastAsia" w:ascii="黑体" w:eastAsia="黑体"/>
        </w:rPr>
        <w:t>图1产品牌号命名规则</w:t>
      </w:r>
    </w:p>
    <w:p>
      <w:pPr>
        <w:pStyle w:val="42"/>
        <w:spacing w:before="312" w:after="312"/>
        <w:rPr>
          <w:rFonts w:hint="eastAsia" w:hAnsi="黑体"/>
        </w:rPr>
      </w:pPr>
      <w:r>
        <w:rPr>
          <w:rFonts w:hint="eastAsia" w:hAnsi="黑体"/>
          <w:lang w:val="en-US" w:eastAsia="zh-CN"/>
        </w:rPr>
        <w:t>技术要求</w:t>
      </w:r>
    </w:p>
    <w:p>
      <w:pPr>
        <w:pStyle w:val="39"/>
        <w:bidi w:val="0"/>
      </w:pPr>
      <w:r>
        <w:rPr>
          <w:rFonts w:hint="eastAsia"/>
        </w:rPr>
        <w:t>产品的化学成分</w:t>
      </w:r>
    </w:p>
    <w:p>
      <w:pPr>
        <w:ind w:firstLine="420" w:firstLineChars="200"/>
        <w:rPr>
          <w:rFonts w:ascii="宋体"/>
        </w:rPr>
      </w:pPr>
      <w:r>
        <w:rPr>
          <w:rFonts w:hint="eastAsia" w:ascii="宋体"/>
        </w:rPr>
        <w:t>产品的化学成分应符合表1的规定。</w:t>
      </w:r>
    </w:p>
    <w:p>
      <w:pPr>
        <w:spacing w:before="156" w:beforeLines="50" w:after="156" w:afterLines="50"/>
        <w:jc w:val="center"/>
        <w:rPr>
          <w:rFonts w:hint="default" w:ascii="宋体" w:eastAsia="黑体"/>
          <w:lang w:val="en-US" w:eastAsia="zh-CN"/>
        </w:rPr>
      </w:pPr>
      <w:r>
        <w:rPr>
          <w:rFonts w:hint="eastAsia" w:ascii="黑体" w:eastAsia="黑体"/>
        </w:rPr>
        <w:t>表1</w:t>
      </w:r>
      <w:r>
        <w:rPr>
          <w:rFonts w:hint="eastAsia" w:ascii="黑体" w:eastAsia="黑体"/>
          <w:lang w:val="en-US" w:eastAsia="zh-CN"/>
        </w:rPr>
        <w:t xml:space="preserve"> 产品的化学成分</w:t>
      </w:r>
    </w:p>
    <w:tbl>
      <w:tblPr>
        <w:tblStyle w:val="30"/>
        <w:tblW w:w="9180" w:type="dxa"/>
        <w:tblInd w:w="0" w:type="dxa"/>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Layout w:type="autofit"/>
        <w:tblCellMar>
          <w:top w:w="0" w:type="dxa"/>
          <w:left w:w="0" w:type="dxa"/>
          <w:bottom w:w="0" w:type="dxa"/>
          <w:right w:w="0" w:type="dxa"/>
        </w:tblCellMar>
      </w:tblPr>
      <w:tblGrid>
        <w:gridCol w:w="573"/>
        <w:gridCol w:w="573"/>
        <w:gridCol w:w="573"/>
        <w:gridCol w:w="573"/>
        <w:gridCol w:w="573"/>
        <w:gridCol w:w="573"/>
        <w:gridCol w:w="573"/>
        <w:gridCol w:w="573"/>
        <w:gridCol w:w="573"/>
        <w:gridCol w:w="573"/>
        <w:gridCol w:w="573"/>
        <w:gridCol w:w="573"/>
        <w:gridCol w:w="573"/>
        <w:gridCol w:w="573"/>
        <w:gridCol w:w="573"/>
        <w:gridCol w:w="585"/>
      </w:tblGrid>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0" w:type="dxa"/>
            <w:bottom w:w="0" w:type="dxa"/>
            <w:right w:w="0" w:type="dxa"/>
          </w:tblCellMar>
        </w:tblPrEx>
        <w:trPr>
          <w:trHeight w:val="357" w:hRule="atLeast"/>
        </w:trPr>
        <w:tc>
          <w:tcPr>
            <w:tcW w:w="9180" w:type="dxa"/>
            <w:gridSpan w:val="16"/>
            <w:tcBorders>
              <w:bottom w:val="single" w:color="auto" w:sz="12"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auto"/>
                <w:sz w:val="18"/>
                <w:szCs w:val="18"/>
              </w:rPr>
            </w:pPr>
            <w:r>
              <w:rPr>
                <w:rFonts w:hint="eastAsia"/>
                <w:color w:val="auto"/>
                <w:sz w:val="18"/>
                <w:szCs w:val="18"/>
              </w:rPr>
              <w:t>化学成分（质量分数）/%</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0" w:type="dxa"/>
            <w:bottom w:w="0" w:type="dxa"/>
            <w:right w:w="0" w:type="dxa"/>
          </w:tblCellMar>
        </w:tblPrEx>
        <w:trPr>
          <w:trHeight w:val="440" w:hRule="atLeast"/>
        </w:trPr>
        <w:tc>
          <w:tcPr>
            <w:tcW w:w="573" w:type="dxa"/>
            <w:vMerge w:val="restart"/>
            <w:tcBorders>
              <w:top w:val="single" w:color="auto" w:sz="12" w:space="0"/>
              <w:bottom w:val="single" w:color="auto" w:sz="12" w:space="0"/>
              <w:right w:val="single" w:color="000000" w:sz="4" w:space="0"/>
            </w:tcBorders>
            <w:shd w:val="clear" w:color="auto" w:fill="auto"/>
            <w:tcMar>
              <w:top w:w="15" w:type="dxa"/>
              <w:left w:w="15" w:type="dxa"/>
              <w:right w:w="15" w:type="dxa"/>
            </w:tcMar>
            <w:vAlign w:val="center"/>
          </w:tcPr>
          <w:p>
            <w:pPr>
              <w:pStyle w:val="143"/>
              <w:spacing w:line="300" w:lineRule="auto"/>
              <w:jc w:val="center"/>
              <w:rPr>
                <w:color w:val="auto"/>
                <w:sz w:val="18"/>
                <w:szCs w:val="18"/>
              </w:rPr>
            </w:pPr>
            <w:r>
              <w:rPr>
                <w:rFonts w:hint="eastAsia"/>
                <w:color w:val="auto"/>
                <w:sz w:val="18"/>
                <w:szCs w:val="18"/>
              </w:rPr>
              <w:t>等级</w:t>
            </w:r>
          </w:p>
        </w:tc>
        <w:tc>
          <w:tcPr>
            <w:tcW w:w="573" w:type="dxa"/>
            <w:vMerge w:val="restart"/>
            <w:tcBorders>
              <w:top w:val="single" w:color="auto" w:sz="12" w:space="0"/>
              <w:left w:val="single" w:color="000000" w:sz="4" w:space="0"/>
              <w:bottom w:val="single" w:color="auto" w:sz="12" w:space="0"/>
              <w:right w:val="single" w:color="000000" w:sz="4" w:space="0"/>
            </w:tcBorders>
            <w:shd w:val="clear" w:color="auto" w:fill="auto"/>
            <w:tcMar>
              <w:top w:w="15" w:type="dxa"/>
              <w:left w:w="15" w:type="dxa"/>
              <w:right w:w="15" w:type="dxa"/>
            </w:tcMar>
            <w:vAlign w:val="center"/>
          </w:tcPr>
          <w:p>
            <w:pPr>
              <w:widowControl/>
              <w:jc w:val="center"/>
              <w:textAlignment w:val="center"/>
              <w:rPr>
                <w:color w:val="auto"/>
                <w:sz w:val="18"/>
                <w:szCs w:val="18"/>
              </w:rPr>
            </w:pPr>
            <w:r>
              <w:rPr>
                <w:color w:val="auto"/>
                <w:kern w:val="0"/>
                <w:sz w:val="18"/>
                <w:szCs w:val="18"/>
                <w:lang w:bidi="ar"/>
              </w:rPr>
              <w:t>Co≥</w:t>
            </w:r>
          </w:p>
        </w:tc>
        <w:tc>
          <w:tcPr>
            <w:tcW w:w="0" w:type="auto"/>
            <w:gridSpan w:val="14"/>
            <w:tcBorders>
              <w:top w:val="single" w:color="auto" w:sz="12" w:space="0"/>
              <w:left w:val="single" w:color="000000" w:sz="4" w:space="0"/>
              <w:bottom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 xml:space="preserve">杂质含量，不大于 </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0" w:type="dxa"/>
            <w:bottom w:w="0" w:type="dxa"/>
            <w:right w:w="0" w:type="dxa"/>
          </w:tblCellMar>
        </w:tblPrEx>
        <w:trPr>
          <w:trHeight w:val="398" w:hRule="atLeast"/>
        </w:trPr>
        <w:tc>
          <w:tcPr>
            <w:tcW w:w="573" w:type="dxa"/>
            <w:vMerge w:val="continue"/>
            <w:tcBorders>
              <w:top w:val="single" w:color="auto" w:sz="12"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auto"/>
                <w:sz w:val="18"/>
                <w:szCs w:val="18"/>
              </w:rPr>
            </w:pPr>
          </w:p>
        </w:tc>
        <w:tc>
          <w:tcPr>
            <w:tcW w:w="573" w:type="dxa"/>
            <w:vMerge w:val="continue"/>
            <w:tcBorders>
              <w:top w:val="single" w:color="auto" w:sz="12"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color w:val="auto"/>
                <w:sz w:val="18"/>
                <w:szCs w:val="18"/>
              </w:rPr>
            </w:pPr>
          </w:p>
        </w:tc>
        <w:tc>
          <w:tcPr>
            <w:tcW w:w="573"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auto"/>
                <w:sz w:val="18"/>
                <w:szCs w:val="18"/>
              </w:rPr>
            </w:pPr>
            <w:r>
              <w:rPr>
                <w:color w:val="auto"/>
                <w:kern w:val="0"/>
                <w:sz w:val="18"/>
                <w:szCs w:val="18"/>
                <w:lang w:bidi="ar"/>
              </w:rPr>
              <w:t>Ni</w:t>
            </w:r>
          </w:p>
        </w:tc>
        <w:tc>
          <w:tcPr>
            <w:tcW w:w="573"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auto"/>
                <w:sz w:val="18"/>
                <w:szCs w:val="18"/>
              </w:rPr>
            </w:pPr>
            <w:r>
              <w:rPr>
                <w:color w:val="auto"/>
                <w:kern w:val="0"/>
                <w:sz w:val="18"/>
                <w:szCs w:val="18"/>
                <w:lang w:bidi="ar"/>
              </w:rPr>
              <w:t>Cu</w:t>
            </w:r>
          </w:p>
        </w:tc>
        <w:tc>
          <w:tcPr>
            <w:tcW w:w="573"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auto"/>
                <w:sz w:val="18"/>
                <w:szCs w:val="18"/>
              </w:rPr>
            </w:pPr>
            <w:r>
              <w:rPr>
                <w:color w:val="auto"/>
                <w:kern w:val="0"/>
                <w:sz w:val="18"/>
                <w:szCs w:val="18"/>
                <w:lang w:bidi="ar"/>
              </w:rPr>
              <w:t>Fe</w:t>
            </w:r>
          </w:p>
        </w:tc>
        <w:tc>
          <w:tcPr>
            <w:tcW w:w="573"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auto"/>
                <w:sz w:val="18"/>
                <w:szCs w:val="18"/>
              </w:rPr>
            </w:pPr>
            <w:r>
              <w:rPr>
                <w:color w:val="auto"/>
                <w:kern w:val="0"/>
                <w:sz w:val="18"/>
                <w:szCs w:val="18"/>
                <w:lang w:bidi="ar"/>
              </w:rPr>
              <w:t>Ca</w:t>
            </w:r>
          </w:p>
        </w:tc>
        <w:tc>
          <w:tcPr>
            <w:tcW w:w="573"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auto"/>
                <w:sz w:val="18"/>
                <w:szCs w:val="18"/>
              </w:rPr>
            </w:pPr>
            <w:r>
              <w:rPr>
                <w:color w:val="auto"/>
                <w:kern w:val="0"/>
                <w:sz w:val="18"/>
                <w:szCs w:val="18"/>
                <w:lang w:bidi="ar"/>
              </w:rPr>
              <w:t>Mg</w:t>
            </w:r>
          </w:p>
        </w:tc>
        <w:tc>
          <w:tcPr>
            <w:tcW w:w="573"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auto"/>
                <w:sz w:val="18"/>
                <w:szCs w:val="18"/>
              </w:rPr>
            </w:pPr>
            <w:r>
              <w:rPr>
                <w:color w:val="auto"/>
                <w:kern w:val="0"/>
                <w:sz w:val="18"/>
                <w:szCs w:val="18"/>
                <w:lang w:bidi="ar"/>
              </w:rPr>
              <w:t>Pb</w:t>
            </w:r>
          </w:p>
        </w:tc>
        <w:tc>
          <w:tcPr>
            <w:tcW w:w="573"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auto"/>
                <w:sz w:val="18"/>
                <w:szCs w:val="18"/>
              </w:rPr>
            </w:pPr>
            <w:r>
              <w:rPr>
                <w:color w:val="auto"/>
                <w:kern w:val="0"/>
                <w:sz w:val="18"/>
                <w:szCs w:val="18"/>
                <w:lang w:bidi="ar"/>
              </w:rPr>
              <w:t>Zn</w:t>
            </w:r>
          </w:p>
        </w:tc>
        <w:tc>
          <w:tcPr>
            <w:tcW w:w="573"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auto"/>
                <w:sz w:val="18"/>
                <w:szCs w:val="18"/>
              </w:rPr>
            </w:pPr>
            <w:r>
              <w:rPr>
                <w:color w:val="auto"/>
                <w:kern w:val="0"/>
                <w:sz w:val="18"/>
                <w:szCs w:val="18"/>
                <w:lang w:bidi="ar"/>
              </w:rPr>
              <w:t>Cd</w:t>
            </w:r>
          </w:p>
        </w:tc>
        <w:tc>
          <w:tcPr>
            <w:tcW w:w="573"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auto"/>
                <w:sz w:val="18"/>
                <w:szCs w:val="18"/>
              </w:rPr>
            </w:pPr>
            <w:r>
              <w:rPr>
                <w:color w:val="auto"/>
                <w:kern w:val="0"/>
                <w:sz w:val="18"/>
                <w:szCs w:val="18"/>
                <w:lang w:bidi="ar"/>
              </w:rPr>
              <w:t>Mn</w:t>
            </w:r>
          </w:p>
        </w:tc>
        <w:tc>
          <w:tcPr>
            <w:tcW w:w="573"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auto"/>
                <w:sz w:val="18"/>
                <w:szCs w:val="18"/>
              </w:rPr>
            </w:pPr>
            <w:r>
              <w:rPr>
                <w:color w:val="auto"/>
                <w:kern w:val="0"/>
                <w:sz w:val="18"/>
                <w:szCs w:val="18"/>
                <w:lang w:bidi="ar"/>
              </w:rPr>
              <w:t>Na</w:t>
            </w:r>
          </w:p>
        </w:tc>
        <w:tc>
          <w:tcPr>
            <w:tcW w:w="573"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auto"/>
                <w:sz w:val="18"/>
                <w:szCs w:val="18"/>
              </w:rPr>
            </w:pPr>
            <w:r>
              <w:rPr>
                <w:color w:val="auto"/>
                <w:kern w:val="0"/>
                <w:sz w:val="18"/>
                <w:szCs w:val="18"/>
                <w:lang w:bidi="ar"/>
              </w:rPr>
              <w:t>Al</w:t>
            </w:r>
          </w:p>
        </w:tc>
        <w:tc>
          <w:tcPr>
            <w:tcW w:w="573"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auto"/>
                <w:sz w:val="18"/>
                <w:szCs w:val="18"/>
              </w:rPr>
            </w:pPr>
            <w:r>
              <w:rPr>
                <w:color w:val="auto"/>
                <w:kern w:val="0"/>
                <w:sz w:val="18"/>
                <w:szCs w:val="18"/>
                <w:lang w:bidi="ar"/>
              </w:rPr>
              <w:t>Si</w:t>
            </w:r>
          </w:p>
        </w:tc>
        <w:tc>
          <w:tcPr>
            <w:tcW w:w="573"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color w:val="auto"/>
                <w:sz w:val="18"/>
                <w:szCs w:val="18"/>
              </w:rPr>
            </w:pPr>
            <w:r>
              <w:rPr>
                <w:color w:val="auto"/>
                <w:kern w:val="0"/>
                <w:sz w:val="18"/>
                <w:szCs w:val="18"/>
                <w:lang w:bidi="ar"/>
              </w:rPr>
              <w:t>S</w:t>
            </w:r>
          </w:p>
        </w:tc>
        <w:tc>
          <w:tcPr>
            <w:tcW w:w="0" w:type="auto"/>
            <w:tcBorders>
              <w:top w:val="single" w:color="auto" w:sz="4" w:space="0"/>
              <w:left w:val="single" w:color="000000" w:sz="4" w:space="0"/>
              <w:bottom w:val="single" w:color="000000" w:sz="4" w:space="0"/>
            </w:tcBorders>
            <w:shd w:val="clear" w:color="auto" w:fill="auto"/>
            <w:noWrap/>
            <w:tcMar>
              <w:top w:w="15" w:type="dxa"/>
              <w:left w:w="15" w:type="dxa"/>
              <w:right w:w="15" w:type="dxa"/>
            </w:tcMar>
            <w:vAlign w:val="center"/>
          </w:tcPr>
          <w:p>
            <w:pPr>
              <w:widowControl/>
              <w:jc w:val="center"/>
              <w:textAlignment w:val="center"/>
              <w:rPr>
                <w:color w:val="auto"/>
                <w:sz w:val="18"/>
                <w:szCs w:val="18"/>
              </w:rPr>
            </w:pPr>
            <w:r>
              <w:rPr>
                <w:color w:val="auto"/>
                <w:kern w:val="0"/>
                <w:sz w:val="18"/>
                <w:szCs w:val="18"/>
                <w:lang w:bidi="ar"/>
              </w:rPr>
              <w:t>Cr</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0" w:type="dxa"/>
            <w:bottom w:w="0" w:type="dxa"/>
            <w:right w:w="0" w:type="dxa"/>
          </w:tblCellMar>
        </w:tblPrEx>
        <w:trPr>
          <w:trHeight w:val="481" w:hRule="atLeast"/>
        </w:trPr>
        <w:tc>
          <w:tcPr>
            <w:tcW w:w="0" w:type="auto"/>
            <w:tcBorders>
              <w:top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color w:val="auto"/>
                <w:sz w:val="18"/>
                <w:szCs w:val="18"/>
              </w:rPr>
            </w:pPr>
            <w:r>
              <w:rPr>
                <w:color w:val="auto"/>
                <w:kern w:val="0"/>
                <w:sz w:val="18"/>
                <w:szCs w:val="18"/>
                <w:lang w:bidi="ar"/>
              </w:rPr>
              <w:t>a</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color w:val="auto"/>
                <w:sz w:val="18"/>
                <w:szCs w:val="18"/>
              </w:rPr>
            </w:pPr>
            <w:r>
              <w:rPr>
                <w:color w:val="auto"/>
                <w:kern w:val="0"/>
                <w:sz w:val="18"/>
                <w:szCs w:val="18"/>
                <w:lang w:bidi="ar"/>
              </w:rPr>
              <w:t>9</w:t>
            </w:r>
            <w:r>
              <w:rPr>
                <w:rFonts w:hint="eastAsia"/>
                <w:color w:val="auto"/>
                <w:kern w:val="0"/>
                <w:sz w:val="18"/>
                <w:szCs w:val="18"/>
                <w:lang w:val="en-US" w:eastAsia="zh-CN" w:bidi="ar"/>
              </w:rPr>
              <w:t>9</w:t>
            </w:r>
            <w:r>
              <w:rPr>
                <w:color w:val="auto"/>
                <w:kern w:val="0"/>
                <w:sz w:val="18"/>
                <w:szCs w:val="18"/>
                <w:lang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color w:val="auto"/>
                <w:sz w:val="18"/>
                <w:szCs w:val="18"/>
              </w:rPr>
            </w:pPr>
            <w:r>
              <w:rPr>
                <w:color w:val="auto"/>
                <w:kern w:val="0"/>
                <w:sz w:val="18"/>
                <w:szCs w:val="18"/>
                <w:lang w:bidi="ar"/>
              </w:rPr>
              <w:t>0.003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color w:val="auto"/>
                <w:sz w:val="18"/>
                <w:szCs w:val="18"/>
              </w:rPr>
            </w:pPr>
            <w:r>
              <w:rPr>
                <w:color w:val="auto"/>
                <w:kern w:val="0"/>
                <w:sz w:val="18"/>
                <w:szCs w:val="18"/>
                <w:lang w:bidi="ar"/>
              </w:rPr>
              <w:t xml:space="preserve">0.001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color w:val="auto"/>
                <w:sz w:val="18"/>
                <w:szCs w:val="18"/>
              </w:rPr>
            </w:pPr>
            <w:r>
              <w:rPr>
                <w:color w:val="auto"/>
                <w:kern w:val="0"/>
                <w:sz w:val="18"/>
                <w:szCs w:val="18"/>
                <w:lang w:bidi="ar"/>
              </w:rPr>
              <w:t>0.00</w:t>
            </w:r>
            <w:r>
              <w:rPr>
                <w:rFonts w:hint="eastAsia"/>
                <w:color w:val="auto"/>
                <w:kern w:val="0"/>
                <w:sz w:val="18"/>
                <w:szCs w:val="18"/>
                <w:lang w:val="en-US" w:eastAsia="zh-CN" w:bidi="ar"/>
              </w:rPr>
              <w:t>5</w:t>
            </w:r>
            <w:r>
              <w:rPr>
                <w:color w:val="auto"/>
                <w:kern w:val="0"/>
                <w:sz w:val="18"/>
                <w:szCs w:val="18"/>
                <w:lang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color w:val="auto"/>
                <w:sz w:val="18"/>
                <w:szCs w:val="18"/>
              </w:rPr>
            </w:pPr>
            <w:r>
              <w:rPr>
                <w:color w:val="auto"/>
                <w:kern w:val="0"/>
                <w:sz w:val="18"/>
                <w:szCs w:val="18"/>
                <w:lang w:bidi="ar"/>
              </w:rPr>
              <w:t>0.00</w:t>
            </w:r>
            <w:r>
              <w:rPr>
                <w:rFonts w:hint="eastAsia"/>
                <w:color w:val="auto"/>
                <w:kern w:val="0"/>
                <w:sz w:val="18"/>
                <w:szCs w:val="18"/>
                <w:lang w:val="en-US" w:eastAsia="zh-CN" w:bidi="ar"/>
              </w:rPr>
              <w:t>3</w:t>
            </w:r>
            <w:r>
              <w:rPr>
                <w:color w:val="auto"/>
                <w:kern w:val="0"/>
                <w:sz w:val="18"/>
                <w:szCs w:val="18"/>
                <w:lang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color w:val="auto"/>
                <w:sz w:val="18"/>
                <w:szCs w:val="18"/>
              </w:rPr>
            </w:pPr>
            <w:r>
              <w:rPr>
                <w:color w:val="auto"/>
                <w:kern w:val="0"/>
                <w:sz w:val="18"/>
                <w:szCs w:val="18"/>
                <w:lang w:bidi="ar"/>
              </w:rPr>
              <w:t xml:space="preserve">0.002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color w:val="auto"/>
                <w:sz w:val="18"/>
                <w:szCs w:val="18"/>
              </w:rPr>
            </w:pPr>
            <w:r>
              <w:rPr>
                <w:color w:val="auto"/>
                <w:kern w:val="0"/>
                <w:sz w:val="18"/>
                <w:szCs w:val="18"/>
                <w:lang w:bidi="ar"/>
              </w:rPr>
              <w:t xml:space="preserve">0.001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color w:val="auto"/>
                <w:sz w:val="18"/>
                <w:szCs w:val="18"/>
              </w:rPr>
            </w:pPr>
            <w:r>
              <w:rPr>
                <w:color w:val="auto"/>
                <w:kern w:val="0"/>
                <w:sz w:val="18"/>
                <w:szCs w:val="18"/>
                <w:lang w:bidi="ar"/>
              </w:rPr>
              <w:t xml:space="preserve">0.001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color w:val="auto"/>
                <w:sz w:val="18"/>
                <w:szCs w:val="18"/>
              </w:rPr>
            </w:pPr>
            <w:r>
              <w:rPr>
                <w:color w:val="auto"/>
                <w:kern w:val="0"/>
                <w:sz w:val="18"/>
                <w:szCs w:val="18"/>
                <w:lang w:bidi="ar"/>
              </w:rPr>
              <w:t xml:space="preserve">0.001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color w:val="auto"/>
                <w:sz w:val="18"/>
                <w:szCs w:val="18"/>
              </w:rPr>
            </w:pPr>
            <w:r>
              <w:rPr>
                <w:color w:val="auto"/>
                <w:kern w:val="0"/>
                <w:sz w:val="18"/>
                <w:szCs w:val="18"/>
                <w:lang w:bidi="ar"/>
              </w:rPr>
              <w:t xml:space="preserve">0.002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color w:val="auto"/>
                <w:sz w:val="18"/>
                <w:szCs w:val="18"/>
              </w:rPr>
            </w:pPr>
            <w:r>
              <w:rPr>
                <w:color w:val="auto"/>
                <w:kern w:val="0"/>
                <w:sz w:val="18"/>
                <w:szCs w:val="18"/>
                <w:lang w:bidi="ar"/>
              </w:rPr>
              <w:t>0.00</w:t>
            </w:r>
            <w:r>
              <w:rPr>
                <w:rFonts w:hint="eastAsia"/>
                <w:color w:val="auto"/>
                <w:kern w:val="0"/>
                <w:sz w:val="18"/>
                <w:szCs w:val="18"/>
                <w:lang w:val="en-US" w:eastAsia="zh-CN" w:bidi="ar"/>
              </w:rPr>
              <w:t>4</w:t>
            </w:r>
            <w:r>
              <w:rPr>
                <w:color w:val="auto"/>
                <w:kern w:val="0"/>
                <w:sz w:val="18"/>
                <w:szCs w:val="18"/>
                <w:lang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color w:val="auto"/>
                <w:sz w:val="18"/>
                <w:szCs w:val="18"/>
              </w:rPr>
            </w:pPr>
            <w:r>
              <w:rPr>
                <w:color w:val="auto"/>
                <w:kern w:val="0"/>
                <w:sz w:val="18"/>
                <w:szCs w:val="18"/>
                <w:lang w:bidi="ar"/>
              </w:rPr>
              <w:t>0.00</w:t>
            </w:r>
            <w:r>
              <w:rPr>
                <w:rFonts w:hint="eastAsia"/>
                <w:color w:val="auto"/>
                <w:kern w:val="0"/>
                <w:sz w:val="18"/>
                <w:szCs w:val="18"/>
                <w:lang w:val="en-US" w:eastAsia="zh-CN" w:bidi="ar"/>
              </w:rPr>
              <w:t>1</w:t>
            </w:r>
            <w:r>
              <w:rPr>
                <w:color w:val="auto"/>
                <w:kern w:val="0"/>
                <w:sz w:val="18"/>
                <w:szCs w:val="18"/>
                <w:lang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color w:val="auto"/>
                <w:sz w:val="18"/>
                <w:szCs w:val="18"/>
              </w:rPr>
            </w:pPr>
            <w:r>
              <w:rPr>
                <w:color w:val="auto"/>
                <w:kern w:val="0"/>
                <w:sz w:val="18"/>
                <w:szCs w:val="18"/>
                <w:lang w:bidi="ar"/>
              </w:rPr>
              <w:t xml:space="preserve">0.001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color w:val="auto"/>
                <w:sz w:val="18"/>
                <w:szCs w:val="18"/>
              </w:rPr>
            </w:pPr>
            <w:r>
              <w:rPr>
                <w:color w:val="auto"/>
                <w:kern w:val="0"/>
                <w:sz w:val="18"/>
                <w:szCs w:val="18"/>
                <w:lang w:bidi="ar"/>
              </w:rPr>
              <w:t>0.00</w:t>
            </w:r>
            <w:r>
              <w:rPr>
                <w:rFonts w:hint="eastAsia"/>
                <w:color w:val="auto"/>
                <w:kern w:val="0"/>
                <w:sz w:val="18"/>
                <w:szCs w:val="18"/>
                <w:lang w:val="en-US" w:eastAsia="zh-CN" w:bidi="ar"/>
              </w:rPr>
              <w:t>3</w:t>
            </w:r>
            <w:r>
              <w:rPr>
                <w:color w:val="auto"/>
                <w:kern w:val="0"/>
                <w:sz w:val="18"/>
                <w:szCs w:val="18"/>
                <w:lang w:bidi="ar"/>
              </w:rPr>
              <w:t xml:space="preserve"> </w:t>
            </w:r>
          </w:p>
        </w:tc>
        <w:tc>
          <w:tcPr>
            <w:tcW w:w="0" w:type="auto"/>
            <w:tcBorders>
              <w:top w:val="single" w:color="000000" w:sz="4" w:space="0"/>
              <w:left w:val="single" w:color="000000" w:sz="4" w:space="0"/>
              <w:bottom w:val="single" w:color="000000" w:sz="4" w:space="0"/>
            </w:tcBorders>
            <w:shd w:val="clear" w:color="auto" w:fill="auto"/>
            <w:noWrap/>
            <w:tcMar>
              <w:top w:w="15" w:type="dxa"/>
              <w:left w:w="15" w:type="dxa"/>
              <w:right w:w="15" w:type="dxa"/>
            </w:tcMar>
            <w:vAlign w:val="center"/>
          </w:tcPr>
          <w:p>
            <w:pPr>
              <w:widowControl/>
              <w:jc w:val="center"/>
              <w:textAlignment w:val="center"/>
              <w:rPr>
                <w:color w:val="auto"/>
                <w:sz w:val="18"/>
                <w:szCs w:val="18"/>
              </w:rPr>
            </w:pPr>
            <w:r>
              <w:rPr>
                <w:color w:val="auto"/>
                <w:kern w:val="0"/>
                <w:sz w:val="18"/>
                <w:szCs w:val="18"/>
                <w:lang w:bidi="ar"/>
              </w:rPr>
              <w:t>0.001</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0" w:type="dxa"/>
            <w:bottom w:w="0" w:type="dxa"/>
            <w:right w:w="0" w:type="dxa"/>
          </w:tblCellMar>
        </w:tblPrEx>
        <w:trPr>
          <w:trHeight w:val="481" w:hRule="atLeast"/>
        </w:trPr>
        <w:tc>
          <w:tcPr>
            <w:tcW w:w="0" w:type="auto"/>
            <w:tcBorders>
              <w:top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color w:val="auto"/>
                <w:sz w:val="18"/>
                <w:szCs w:val="18"/>
              </w:rPr>
            </w:pPr>
            <w:r>
              <w:rPr>
                <w:color w:val="auto"/>
                <w:kern w:val="0"/>
                <w:sz w:val="18"/>
                <w:szCs w:val="18"/>
                <w:lang w:bidi="ar"/>
              </w:rPr>
              <w:t>b</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color w:val="auto"/>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color w:val="auto"/>
                <w:sz w:val="18"/>
                <w:szCs w:val="18"/>
              </w:rPr>
            </w:pPr>
            <w:r>
              <w:rPr>
                <w:color w:val="auto"/>
                <w:kern w:val="0"/>
                <w:sz w:val="18"/>
                <w:szCs w:val="18"/>
                <w:lang w:bidi="ar"/>
              </w:rPr>
              <w:t>0.005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color w:val="auto"/>
                <w:sz w:val="18"/>
                <w:szCs w:val="18"/>
              </w:rPr>
            </w:pPr>
            <w:r>
              <w:rPr>
                <w:color w:val="auto"/>
                <w:kern w:val="0"/>
                <w:sz w:val="18"/>
                <w:szCs w:val="18"/>
                <w:lang w:bidi="ar"/>
              </w:rPr>
              <w:t>0.00</w:t>
            </w:r>
            <w:r>
              <w:rPr>
                <w:rFonts w:hint="eastAsia"/>
                <w:color w:val="auto"/>
                <w:kern w:val="0"/>
                <w:sz w:val="18"/>
                <w:szCs w:val="18"/>
                <w:lang w:val="en-US" w:eastAsia="zh-CN" w:bidi="ar"/>
              </w:rPr>
              <w:t>5</w:t>
            </w:r>
            <w:r>
              <w:rPr>
                <w:color w:val="auto"/>
                <w:kern w:val="0"/>
                <w:sz w:val="18"/>
                <w:szCs w:val="18"/>
                <w:lang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color w:val="auto"/>
                <w:sz w:val="18"/>
                <w:szCs w:val="18"/>
              </w:rPr>
            </w:pPr>
            <w:r>
              <w:rPr>
                <w:color w:val="auto"/>
                <w:kern w:val="0"/>
                <w:sz w:val="18"/>
                <w:szCs w:val="18"/>
                <w:lang w:bidi="ar"/>
              </w:rPr>
              <w:t>0.00</w:t>
            </w:r>
            <w:r>
              <w:rPr>
                <w:rFonts w:hint="eastAsia"/>
                <w:color w:val="auto"/>
                <w:kern w:val="0"/>
                <w:sz w:val="18"/>
                <w:szCs w:val="18"/>
                <w:lang w:val="en-US" w:eastAsia="zh-CN" w:bidi="ar"/>
              </w:rPr>
              <w:t>8</w:t>
            </w:r>
            <w:r>
              <w:rPr>
                <w:color w:val="auto"/>
                <w:kern w:val="0"/>
                <w:sz w:val="18"/>
                <w:szCs w:val="18"/>
                <w:lang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color w:val="auto"/>
                <w:sz w:val="18"/>
                <w:szCs w:val="18"/>
              </w:rPr>
            </w:pPr>
            <w:r>
              <w:rPr>
                <w:color w:val="auto"/>
                <w:kern w:val="0"/>
                <w:sz w:val="18"/>
                <w:szCs w:val="18"/>
                <w:lang w:bidi="ar"/>
              </w:rPr>
              <w:t>0.00</w:t>
            </w:r>
            <w:r>
              <w:rPr>
                <w:rFonts w:hint="eastAsia"/>
                <w:color w:val="auto"/>
                <w:kern w:val="0"/>
                <w:sz w:val="18"/>
                <w:szCs w:val="18"/>
                <w:lang w:val="en-US" w:eastAsia="zh-CN" w:bidi="ar"/>
              </w:rPr>
              <w:t>8</w:t>
            </w:r>
            <w:r>
              <w:rPr>
                <w:color w:val="auto"/>
                <w:kern w:val="0"/>
                <w:sz w:val="18"/>
                <w:szCs w:val="18"/>
                <w:lang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color w:val="auto"/>
                <w:sz w:val="18"/>
                <w:szCs w:val="18"/>
              </w:rPr>
            </w:pPr>
            <w:r>
              <w:rPr>
                <w:color w:val="auto"/>
                <w:kern w:val="0"/>
                <w:sz w:val="18"/>
                <w:szCs w:val="18"/>
                <w:lang w:bidi="ar"/>
              </w:rPr>
              <w:t>0.00</w:t>
            </w:r>
            <w:r>
              <w:rPr>
                <w:rFonts w:hint="eastAsia"/>
                <w:color w:val="auto"/>
                <w:kern w:val="0"/>
                <w:sz w:val="18"/>
                <w:szCs w:val="18"/>
                <w:lang w:val="en-US" w:eastAsia="zh-CN" w:bidi="ar"/>
              </w:rPr>
              <w:t>5</w:t>
            </w:r>
            <w:r>
              <w:rPr>
                <w:color w:val="auto"/>
                <w:kern w:val="0"/>
                <w:sz w:val="18"/>
                <w:szCs w:val="18"/>
                <w:lang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color w:val="auto"/>
                <w:sz w:val="18"/>
                <w:szCs w:val="18"/>
              </w:rPr>
            </w:pPr>
            <w:r>
              <w:rPr>
                <w:color w:val="auto"/>
                <w:kern w:val="0"/>
                <w:sz w:val="18"/>
                <w:szCs w:val="18"/>
                <w:lang w:bidi="ar"/>
              </w:rPr>
              <w:t>0.00</w:t>
            </w:r>
            <w:r>
              <w:rPr>
                <w:rFonts w:hint="eastAsia"/>
                <w:color w:val="auto"/>
                <w:kern w:val="0"/>
                <w:sz w:val="18"/>
                <w:szCs w:val="18"/>
                <w:lang w:val="en-US" w:eastAsia="zh-CN" w:bidi="ar"/>
              </w:rPr>
              <w:t>5</w:t>
            </w:r>
            <w:r>
              <w:rPr>
                <w:color w:val="auto"/>
                <w:kern w:val="0"/>
                <w:sz w:val="18"/>
                <w:szCs w:val="18"/>
                <w:lang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color w:val="auto"/>
                <w:sz w:val="18"/>
                <w:szCs w:val="18"/>
              </w:rPr>
            </w:pPr>
            <w:r>
              <w:rPr>
                <w:color w:val="auto"/>
                <w:kern w:val="0"/>
                <w:sz w:val="18"/>
                <w:szCs w:val="18"/>
                <w:lang w:bidi="ar"/>
              </w:rPr>
              <w:t>0.00</w:t>
            </w:r>
            <w:r>
              <w:rPr>
                <w:rFonts w:hint="eastAsia"/>
                <w:color w:val="auto"/>
                <w:kern w:val="0"/>
                <w:sz w:val="18"/>
                <w:szCs w:val="18"/>
                <w:lang w:val="en-US" w:eastAsia="zh-CN" w:bidi="ar"/>
              </w:rPr>
              <w:t>5</w:t>
            </w:r>
            <w:r>
              <w:rPr>
                <w:color w:val="auto"/>
                <w:kern w:val="0"/>
                <w:sz w:val="18"/>
                <w:szCs w:val="18"/>
                <w:lang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color w:val="auto"/>
                <w:sz w:val="18"/>
                <w:szCs w:val="18"/>
              </w:rPr>
            </w:pPr>
            <w:r>
              <w:rPr>
                <w:color w:val="auto"/>
                <w:kern w:val="0"/>
                <w:sz w:val="18"/>
                <w:szCs w:val="18"/>
                <w:lang w:bidi="ar"/>
              </w:rPr>
              <w:t>0.00</w:t>
            </w:r>
            <w:r>
              <w:rPr>
                <w:rFonts w:hint="eastAsia"/>
                <w:color w:val="auto"/>
                <w:kern w:val="0"/>
                <w:sz w:val="18"/>
                <w:szCs w:val="18"/>
                <w:lang w:val="en-US" w:eastAsia="zh-CN" w:bidi="ar"/>
              </w:rPr>
              <w:t>5</w:t>
            </w:r>
            <w:r>
              <w:rPr>
                <w:color w:val="auto"/>
                <w:kern w:val="0"/>
                <w:sz w:val="18"/>
                <w:szCs w:val="18"/>
                <w:lang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color w:val="auto"/>
                <w:sz w:val="18"/>
                <w:szCs w:val="18"/>
              </w:rPr>
            </w:pPr>
            <w:r>
              <w:rPr>
                <w:color w:val="auto"/>
                <w:kern w:val="0"/>
                <w:sz w:val="18"/>
                <w:szCs w:val="18"/>
                <w:lang w:bidi="ar"/>
              </w:rPr>
              <w:t>0.00</w:t>
            </w:r>
            <w:r>
              <w:rPr>
                <w:rFonts w:hint="eastAsia"/>
                <w:color w:val="auto"/>
                <w:kern w:val="0"/>
                <w:sz w:val="18"/>
                <w:szCs w:val="18"/>
                <w:lang w:val="en-US" w:eastAsia="zh-CN" w:bidi="ar"/>
              </w:rPr>
              <w:t>5</w:t>
            </w:r>
            <w:r>
              <w:rPr>
                <w:color w:val="auto"/>
                <w:kern w:val="0"/>
                <w:sz w:val="18"/>
                <w:szCs w:val="18"/>
                <w:lang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color w:val="auto"/>
                <w:sz w:val="18"/>
                <w:szCs w:val="18"/>
              </w:rPr>
            </w:pPr>
            <w:r>
              <w:rPr>
                <w:color w:val="auto"/>
                <w:kern w:val="0"/>
                <w:sz w:val="18"/>
                <w:szCs w:val="18"/>
                <w:lang w:bidi="ar"/>
              </w:rPr>
              <w:t>0.00</w:t>
            </w:r>
            <w:r>
              <w:rPr>
                <w:rFonts w:hint="eastAsia"/>
                <w:color w:val="auto"/>
                <w:kern w:val="0"/>
                <w:sz w:val="18"/>
                <w:szCs w:val="18"/>
                <w:lang w:val="en-US" w:eastAsia="zh-CN" w:bidi="ar"/>
              </w:rPr>
              <w:t>8</w:t>
            </w:r>
            <w:r>
              <w:rPr>
                <w:color w:val="auto"/>
                <w:kern w:val="0"/>
                <w:sz w:val="18"/>
                <w:szCs w:val="18"/>
                <w:lang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color w:val="auto"/>
                <w:sz w:val="18"/>
                <w:szCs w:val="18"/>
              </w:rPr>
            </w:pPr>
            <w:r>
              <w:rPr>
                <w:color w:val="auto"/>
                <w:kern w:val="0"/>
                <w:sz w:val="18"/>
                <w:szCs w:val="18"/>
                <w:lang w:bidi="ar"/>
              </w:rPr>
              <w:t>0.00</w:t>
            </w:r>
            <w:r>
              <w:rPr>
                <w:rFonts w:hint="eastAsia"/>
                <w:color w:val="auto"/>
                <w:kern w:val="0"/>
                <w:sz w:val="18"/>
                <w:szCs w:val="18"/>
                <w:lang w:val="en-US" w:eastAsia="zh-CN" w:bidi="ar"/>
              </w:rPr>
              <w:t>5</w:t>
            </w:r>
            <w:r>
              <w:rPr>
                <w:color w:val="auto"/>
                <w:kern w:val="0"/>
                <w:sz w:val="18"/>
                <w:szCs w:val="18"/>
                <w:lang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color w:val="auto"/>
                <w:sz w:val="18"/>
                <w:szCs w:val="18"/>
              </w:rPr>
            </w:pPr>
            <w:r>
              <w:rPr>
                <w:color w:val="auto"/>
                <w:kern w:val="0"/>
                <w:sz w:val="18"/>
                <w:szCs w:val="18"/>
                <w:lang w:bidi="ar"/>
              </w:rPr>
              <w:t>0.00</w:t>
            </w:r>
            <w:r>
              <w:rPr>
                <w:rFonts w:hint="eastAsia"/>
                <w:color w:val="auto"/>
                <w:kern w:val="0"/>
                <w:sz w:val="18"/>
                <w:szCs w:val="18"/>
                <w:lang w:val="en-US" w:eastAsia="zh-CN" w:bidi="ar"/>
              </w:rPr>
              <w:t>3</w:t>
            </w:r>
            <w:r>
              <w:rPr>
                <w:color w:val="auto"/>
                <w:kern w:val="0"/>
                <w:sz w:val="18"/>
                <w:szCs w:val="18"/>
                <w:lang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color w:val="auto"/>
                <w:sz w:val="18"/>
                <w:szCs w:val="18"/>
              </w:rPr>
            </w:pPr>
            <w:r>
              <w:rPr>
                <w:color w:val="auto"/>
                <w:kern w:val="0"/>
                <w:sz w:val="18"/>
                <w:szCs w:val="18"/>
                <w:lang w:bidi="ar"/>
              </w:rPr>
              <w:t>0.00</w:t>
            </w:r>
            <w:r>
              <w:rPr>
                <w:rFonts w:hint="eastAsia"/>
                <w:color w:val="auto"/>
                <w:kern w:val="0"/>
                <w:sz w:val="18"/>
                <w:szCs w:val="18"/>
                <w:lang w:val="en-US" w:eastAsia="zh-CN" w:bidi="ar"/>
              </w:rPr>
              <w:t>8</w:t>
            </w:r>
            <w:r>
              <w:rPr>
                <w:color w:val="auto"/>
                <w:kern w:val="0"/>
                <w:sz w:val="18"/>
                <w:szCs w:val="18"/>
                <w:lang w:bidi="ar"/>
              </w:rPr>
              <w:t xml:space="preserve"> </w:t>
            </w:r>
          </w:p>
        </w:tc>
        <w:tc>
          <w:tcPr>
            <w:tcW w:w="0" w:type="auto"/>
            <w:tcBorders>
              <w:top w:val="single" w:color="000000" w:sz="4" w:space="0"/>
              <w:left w:val="single" w:color="000000" w:sz="4" w:space="0"/>
              <w:bottom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eastAsia="宋体"/>
                <w:color w:val="auto"/>
                <w:sz w:val="18"/>
                <w:szCs w:val="18"/>
                <w:lang w:eastAsia="zh-CN"/>
              </w:rPr>
            </w:pPr>
            <w:r>
              <w:rPr>
                <w:color w:val="auto"/>
                <w:kern w:val="0"/>
                <w:sz w:val="18"/>
                <w:szCs w:val="18"/>
                <w:lang w:bidi="ar"/>
              </w:rPr>
              <w:t>0.00</w:t>
            </w:r>
            <w:r>
              <w:rPr>
                <w:rFonts w:hint="eastAsia"/>
                <w:color w:val="auto"/>
                <w:kern w:val="0"/>
                <w:sz w:val="18"/>
                <w:szCs w:val="18"/>
                <w:lang w:val="en-US" w:eastAsia="zh-CN" w:bidi="ar"/>
              </w:rPr>
              <w:t>3</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0" w:type="dxa"/>
            <w:bottom w:w="0" w:type="dxa"/>
            <w:right w:w="0" w:type="dxa"/>
          </w:tblCellMar>
        </w:tblPrEx>
        <w:trPr>
          <w:trHeight w:val="682" w:hRule="atLeast"/>
        </w:trPr>
        <w:tc>
          <w:tcPr>
            <w:tcW w:w="9180" w:type="dxa"/>
            <w:gridSpan w:val="16"/>
            <w:tcBorders>
              <w:top w:val="single" w:color="000000" w:sz="4" w:space="0"/>
            </w:tcBorders>
            <w:shd w:val="clear" w:color="auto" w:fill="auto"/>
            <w:noWrap/>
            <w:tcMar>
              <w:top w:w="15" w:type="dxa"/>
              <w:left w:w="15" w:type="dxa"/>
              <w:right w:w="15" w:type="dxa"/>
            </w:tcMar>
            <w:vAlign w:val="center"/>
          </w:tcPr>
          <w:p>
            <w:pPr>
              <w:pStyle w:val="140"/>
              <w:ind w:firstLine="360" w:firstLineChars="200"/>
              <w:rPr>
                <w:color w:val="auto"/>
                <w:sz w:val="18"/>
                <w:szCs w:val="18"/>
              </w:rPr>
            </w:pPr>
            <w:r>
              <w:rPr>
                <w:color w:val="auto"/>
                <w:sz w:val="18"/>
                <w:szCs w:val="18"/>
              </w:rPr>
              <w:t>注</w:t>
            </w:r>
            <w:r>
              <w:rPr>
                <w:rFonts w:hint="eastAsia"/>
                <w:color w:val="auto"/>
                <w:sz w:val="18"/>
                <w:szCs w:val="18"/>
              </w:rPr>
              <w:t>1：</w:t>
            </w:r>
            <w:r>
              <w:rPr>
                <w:color w:val="auto"/>
                <w:sz w:val="18"/>
                <w:szCs w:val="18"/>
              </w:rPr>
              <w:t>钴</w:t>
            </w:r>
            <w:r>
              <w:rPr>
                <w:rFonts w:hint="eastAsia"/>
                <w:color w:val="auto"/>
                <w:sz w:val="18"/>
                <w:szCs w:val="18"/>
              </w:rPr>
              <w:t>含量</w:t>
            </w:r>
            <w:r>
              <w:rPr>
                <w:color w:val="auto"/>
                <w:sz w:val="18"/>
                <w:szCs w:val="18"/>
              </w:rPr>
              <w:t>为差减法计算得到，差减元素为</w:t>
            </w:r>
            <w:r>
              <w:rPr>
                <w:rFonts w:hint="eastAsia"/>
                <w:color w:val="auto"/>
                <w:sz w:val="18"/>
                <w:szCs w:val="18"/>
              </w:rPr>
              <w:t>本表所列杂质元素；</w:t>
            </w:r>
          </w:p>
          <w:p>
            <w:pPr>
              <w:widowControl/>
              <w:ind w:firstLine="360" w:firstLineChars="200"/>
              <w:textAlignment w:val="center"/>
              <w:rPr>
                <w:color w:val="auto"/>
                <w:kern w:val="0"/>
                <w:sz w:val="18"/>
                <w:szCs w:val="18"/>
                <w:lang w:bidi="ar"/>
              </w:rPr>
            </w:pPr>
            <w:r>
              <w:rPr>
                <w:rFonts w:hint="eastAsia"/>
                <w:color w:val="auto"/>
                <w:sz w:val="18"/>
                <w:szCs w:val="18"/>
              </w:rPr>
              <w:t>注2：</w:t>
            </w:r>
            <w:r>
              <w:rPr>
                <w:color w:val="auto"/>
                <w:sz w:val="18"/>
                <w:szCs w:val="18"/>
              </w:rPr>
              <w:t>如需方有其他要求时，根据客户的要求进行分析</w:t>
            </w:r>
            <w:r>
              <w:rPr>
                <w:rFonts w:hint="eastAsia"/>
                <w:color w:val="auto"/>
                <w:sz w:val="18"/>
                <w:szCs w:val="18"/>
              </w:rPr>
              <w:t>。</w:t>
            </w:r>
          </w:p>
        </w:tc>
      </w:tr>
    </w:tbl>
    <w:p>
      <w:pPr>
        <w:pStyle w:val="39"/>
        <w:bidi w:val="0"/>
        <w:rPr>
          <w:rFonts w:hAnsi="宋体"/>
          <w:color w:val="auto"/>
          <w:kern w:val="2"/>
          <w:szCs w:val="24"/>
        </w:rPr>
      </w:pPr>
      <w:r>
        <w:rPr>
          <w:rFonts w:hint="eastAsia" w:hAnsi="宋体"/>
          <w:color w:val="auto"/>
          <w:kern w:val="2"/>
          <w:szCs w:val="24"/>
        </w:rPr>
        <w:t>产品的</w:t>
      </w:r>
      <w:r>
        <w:rPr>
          <w:rFonts w:hint="eastAsia"/>
          <w:color w:val="auto"/>
        </w:rPr>
        <w:t>费氏粒度、松装密度、氢损和石蜡含量</w:t>
      </w:r>
    </w:p>
    <w:p>
      <w:pPr>
        <w:ind w:firstLine="420" w:firstLineChars="200"/>
        <w:rPr>
          <w:color w:val="auto"/>
        </w:rPr>
      </w:pPr>
      <w:r>
        <w:rPr>
          <w:rFonts w:hint="eastAsia"/>
          <w:color w:val="auto"/>
        </w:rPr>
        <w:t>产品</w:t>
      </w:r>
      <w:r>
        <w:rPr>
          <w:color w:val="auto"/>
        </w:rPr>
        <w:t>的</w:t>
      </w:r>
      <w:r>
        <w:rPr>
          <w:rFonts w:hint="eastAsia"/>
          <w:color w:val="auto"/>
        </w:rPr>
        <w:t>费氏粒度、松装密度、氢损和石蜡含量应符合</w:t>
      </w:r>
      <w:r>
        <w:rPr>
          <w:color w:val="auto"/>
        </w:rPr>
        <w:t>表</w:t>
      </w:r>
      <w:r>
        <w:rPr>
          <w:rFonts w:hint="eastAsia"/>
          <w:color w:val="auto"/>
        </w:rPr>
        <w:t>2</w:t>
      </w:r>
      <w:r>
        <w:rPr>
          <w:color w:val="auto"/>
        </w:rPr>
        <w:t>的规定。</w:t>
      </w:r>
    </w:p>
    <w:p>
      <w:pPr>
        <w:spacing w:line="400" w:lineRule="exact"/>
        <w:jc w:val="center"/>
        <w:rPr>
          <w:rFonts w:hint="eastAsia" w:ascii="黑体" w:hAnsi="黑体" w:eastAsia="黑体"/>
          <w:color w:val="auto"/>
          <w:szCs w:val="21"/>
          <w:lang w:val="en-US" w:eastAsia="zh-CN"/>
        </w:rPr>
      </w:pPr>
      <w:r>
        <w:rPr>
          <w:rFonts w:hint="eastAsia" w:ascii="黑体" w:hAnsi="黑体" w:eastAsia="黑体"/>
          <w:color w:val="auto"/>
          <w:szCs w:val="21"/>
        </w:rPr>
        <w:t>表2</w:t>
      </w:r>
      <w:r>
        <w:rPr>
          <w:rFonts w:hint="eastAsia" w:ascii="黑体" w:hAnsi="黑体" w:eastAsia="黑体"/>
          <w:color w:val="auto"/>
          <w:szCs w:val="21"/>
          <w:lang w:val="en-US" w:eastAsia="zh-CN"/>
        </w:rPr>
        <w:t xml:space="preserve"> 产品的费氏粒度、松装密度、氢损和石蜡含量</w:t>
      </w:r>
    </w:p>
    <w:tbl>
      <w:tblPr>
        <w:tblStyle w:val="30"/>
        <w:tblW w:w="949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113"/>
        <w:gridCol w:w="1885"/>
        <w:gridCol w:w="1885"/>
        <w:gridCol w:w="1884"/>
        <w:gridCol w:w="173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2113" w:type="dxa"/>
            <w:tcBorders>
              <w:bottom w:val="single" w:color="auto" w:sz="12" w:space="0"/>
            </w:tcBorders>
            <w:vAlign w:val="center"/>
          </w:tcPr>
          <w:p>
            <w:pPr>
              <w:pStyle w:val="140"/>
              <w:jc w:val="center"/>
              <w:rPr>
                <w:color w:val="auto"/>
                <w:sz w:val="18"/>
                <w:szCs w:val="18"/>
              </w:rPr>
            </w:pPr>
            <w:r>
              <w:rPr>
                <w:color w:val="auto"/>
                <w:sz w:val="18"/>
                <w:szCs w:val="18"/>
              </w:rPr>
              <w:t>牌号</w:t>
            </w:r>
          </w:p>
        </w:tc>
        <w:tc>
          <w:tcPr>
            <w:tcW w:w="1885" w:type="dxa"/>
            <w:tcBorders>
              <w:bottom w:val="single" w:color="auto" w:sz="12" w:space="0"/>
            </w:tcBorders>
            <w:vAlign w:val="center"/>
          </w:tcPr>
          <w:p>
            <w:pPr>
              <w:pStyle w:val="140"/>
              <w:jc w:val="center"/>
              <w:rPr>
                <w:color w:val="auto"/>
                <w:sz w:val="18"/>
                <w:szCs w:val="18"/>
              </w:rPr>
            </w:pPr>
            <w:r>
              <w:rPr>
                <w:color w:val="auto"/>
                <w:sz w:val="18"/>
                <w:szCs w:val="18"/>
              </w:rPr>
              <w:t>费氏粒度</w:t>
            </w:r>
          </w:p>
          <w:p>
            <w:pPr>
              <w:pStyle w:val="140"/>
              <w:jc w:val="center"/>
              <w:rPr>
                <w:i/>
                <w:color w:val="auto"/>
                <w:sz w:val="18"/>
                <w:szCs w:val="18"/>
              </w:rPr>
            </w:pPr>
            <w:r>
              <w:rPr>
                <w:color w:val="auto"/>
                <w:sz w:val="18"/>
                <w:szCs w:val="18"/>
              </w:rPr>
              <w:t>μm</w:t>
            </w:r>
          </w:p>
        </w:tc>
        <w:tc>
          <w:tcPr>
            <w:tcW w:w="1885" w:type="dxa"/>
            <w:tcBorders>
              <w:bottom w:val="single" w:color="auto" w:sz="12" w:space="0"/>
            </w:tcBorders>
            <w:vAlign w:val="center"/>
          </w:tcPr>
          <w:p>
            <w:pPr>
              <w:pStyle w:val="140"/>
              <w:jc w:val="center"/>
              <w:rPr>
                <w:color w:val="auto"/>
                <w:sz w:val="18"/>
                <w:szCs w:val="18"/>
              </w:rPr>
            </w:pPr>
            <w:r>
              <w:rPr>
                <w:color w:val="auto"/>
                <w:sz w:val="18"/>
                <w:szCs w:val="18"/>
              </w:rPr>
              <w:t>松装密度</w:t>
            </w:r>
          </w:p>
          <w:p>
            <w:pPr>
              <w:pStyle w:val="140"/>
              <w:jc w:val="center"/>
              <w:rPr>
                <w:i/>
                <w:color w:val="auto"/>
                <w:sz w:val="18"/>
                <w:szCs w:val="18"/>
              </w:rPr>
            </w:pPr>
            <w:r>
              <w:rPr>
                <w:color w:val="auto"/>
                <w:sz w:val="18"/>
                <w:szCs w:val="18"/>
              </w:rPr>
              <w:t>g/cm</w:t>
            </w:r>
            <w:r>
              <w:rPr>
                <w:color w:val="auto"/>
                <w:sz w:val="18"/>
                <w:szCs w:val="18"/>
                <w:vertAlign w:val="superscript"/>
              </w:rPr>
              <w:t>3</w:t>
            </w:r>
          </w:p>
        </w:tc>
        <w:tc>
          <w:tcPr>
            <w:tcW w:w="1884" w:type="dxa"/>
            <w:tcBorders>
              <w:bottom w:val="single" w:color="auto" w:sz="12" w:space="0"/>
            </w:tcBorders>
            <w:vAlign w:val="center"/>
          </w:tcPr>
          <w:p>
            <w:pPr>
              <w:pStyle w:val="140"/>
              <w:jc w:val="center"/>
              <w:rPr>
                <w:color w:val="auto"/>
                <w:sz w:val="18"/>
                <w:szCs w:val="18"/>
              </w:rPr>
            </w:pPr>
            <w:r>
              <w:rPr>
                <w:color w:val="auto"/>
                <w:sz w:val="18"/>
                <w:szCs w:val="18"/>
              </w:rPr>
              <w:t>氢损</w:t>
            </w:r>
          </w:p>
          <w:p>
            <w:pPr>
              <w:pStyle w:val="140"/>
              <w:jc w:val="center"/>
              <w:rPr>
                <w:color w:val="auto"/>
                <w:sz w:val="18"/>
                <w:szCs w:val="18"/>
              </w:rPr>
            </w:pPr>
            <w:r>
              <w:rPr>
                <w:color w:val="auto"/>
                <w:sz w:val="18"/>
                <w:szCs w:val="18"/>
              </w:rPr>
              <w:t>%</w:t>
            </w:r>
          </w:p>
        </w:tc>
        <w:tc>
          <w:tcPr>
            <w:tcW w:w="1731" w:type="dxa"/>
            <w:tcBorders>
              <w:bottom w:val="single" w:color="auto" w:sz="12" w:space="0"/>
            </w:tcBorders>
            <w:vAlign w:val="center"/>
          </w:tcPr>
          <w:p>
            <w:pPr>
              <w:pStyle w:val="140"/>
              <w:jc w:val="center"/>
              <w:rPr>
                <w:color w:val="auto"/>
                <w:sz w:val="18"/>
                <w:szCs w:val="18"/>
              </w:rPr>
            </w:pPr>
            <w:r>
              <w:rPr>
                <w:color w:val="auto"/>
                <w:sz w:val="18"/>
                <w:szCs w:val="18"/>
              </w:rPr>
              <w:t>石蜡含量</w:t>
            </w:r>
          </w:p>
          <w:p>
            <w:pPr>
              <w:pStyle w:val="140"/>
              <w:jc w:val="center"/>
              <w:rPr>
                <w:color w:val="auto"/>
                <w:sz w:val="18"/>
                <w:szCs w:val="18"/>
              </w:rPr>
            </w:pPr>
            <w:r>
              <w:rPr>
                <w:color w:val="auto"/>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2113" w:type="dxa"/>
            <w:tcBorders>
              <w:top w:val="single" w:color="auto" w:sz="12" w:space="0"/>
            </w:tcBorders>
            <w:vAlign w:val="center"/>
          </w:tcPr>
          <w:p>
            <w:pPr>
              <w:pStyle w:val="140"/>
              <w:spacing w:line="300" w:lineRule="auto"/>
              <w:jc w:val="center"/>
              <w:rPr>
                <w:color w:val="auto"/>
                <w:sz w:val="18"/>
                <w:szCs w:val="18"/>
              </w:rPr>
            </w:pPr>
            <w:r>
              <w:rPr>
                <w:color w:val="auto"/>
                <w:sz w:val="18"/>
                <w:szCs w:val="18"/>
              </w:rPr>
              <w:t>BFCo-1</w:t>
            </w:r>
            <w:r>
              <w:rPr>
                <w:rFonts w:hint="eastAsia"/>
                <w:color w:val="auto"/>
                <w:sz w:val="18"/>
                <w:szCs w:val="18"/>
              </w:rPr>
              <w:t>X</w:t>
            </w:r>
          </w:p>
        </w:tc>
        <w:tc>
          <w:tcPr>
            <w:tcW w:w="1885" w:type="dxa"/>
            <w:tcBorders>
              <w:top w:val="single" w:color="auto" w:sz="12" w:space="0"/>
            </w:tcBorders>
            <w:vAlign w:val="center"/>
          </w:tcPr>
          <w:p>
            <w:pPr>
              <w:pStyle w:val="140"/>
              <w:spacing w:line="300" w:lineRule="auto"/>
              <w:jc w:val="center"/>
              <w:rPr>
                <w:rFonts w:ascii="宋体" w:hAnsi="宋体"/>
                <w:color w:val="auto"/>
                <w:sz w:val="18"/>
                <w:szCs w:val="18"/>
              </w:rPr>
            </w:pPr>
            <w:r>
              <w:rPr>
                <w:rFonts w:hint="eastAsia" w:ascii="宋体" w:hAnsi="宋体"/>
                <w:color w:val="auto"/>
                <w:sz w:val="18"/>
                <w:szCs w:val="18"/>
              </w:rPr>
              <w:t>＞</w:t>
            </w:r>
            <w:r>
              <w:rPr>
                <w:color w:val="auto"/>
                <w:sz w:val="18"/>
                <w:szCs w:val="18"/>
              </w:rPr>
              <w:t>1.50</w:t>
            </w:r>
            <w:r>
              <w:rPr>
                <w:rFonts w:hAnsi="宋体"/>
                <w:color w:val="auto"/>
                <w:sz w:val="18"/>
                <w:szCs w:val="18"/>
              </w:rPr>
              <w:t>～</w:t>
            </w:r>
            <w:r>
              <w:rPr>
                <w:color w:val="auto"/>
                <w:sz w:val="18"/>
                <w:szCs w:val="18"/>
              </w:rPr>
              <w:t>2.00</w:t>
            </w:r>
          </w:p>
        </w:tc>
        <w:tc>
          <w:tcPr>
            <w:tcW w:w="1885" w:type="dxa"/>
            <w:vMerge w:val="restart"/>
            <w:tcBorders>
              <w:top w:val="single" w:color="auto" w:sz="12" w:space="0"/>
            </w:tcBorders>
            <w:vAlign w:val="center"/>
          </w:tcPr>
          <w:p>
            <w:pPr>
              <w:widowControl/>
              <w:jc w:val="center"/>
              <w:textAlignment w:val="center"/>
              <w:rPr>
                <w:rFonts w:ascii="宋体" w:hAnsi="宋体"/>
                <w:color w:val="auto"/>
                <w:sz w:val="18"/>
                <w:szCs w:val="18"/>
              </w:rPr>
            </w:pPr>
            <w:r>
              <w:rPr>
                <w:rFonts w:hint="eastAsia"/>
                <w:color w:val="auto"/>
                <w:kern w:val="0"/>
                <w:sz w:val="18"/>
                <w:szCs w:val="18"/>
                <w:lang w:val="en-US" w:eastAsia="zh-CN" w:bidi="ar"/>
              </w:rPr>
              <w:t>0.60~1.20</w:t>
            </w:r>
          </w:p>
        </w:tc>
        <w:tc>
          <w:tcPr>
            <w:tcW w:w="1884" w:type="dxa"/>
            <w:vMerge w:val="restart"/>
            <w:tcBorders>
              <w:top w:val="single" w:color="auto" w:sz="12" w:space="0"/>
            </w:tcBorders>
            <w:vAlign w:val="center"/>
          </w:tcPr>
          <w:p>
            <w:pPr>
              <w:pStyle w:val="140"/>
              <w:spacing w:line="300" w:lineRule="auto"/>
              <w:jc w:val="center"/>
              <w:rPr>
                <w:rFonts w:hint="eastAsia" w:ascii="宋体" w:hAnsi="宋体" w:eastAsia="宋体"/>
                <w:color w:val="auto"/>
                <w:sz w:val="18"/>
                <w:szCs w:val="18"/>
                <w:lang w:eastAsia="zh-CN"/>
              </w:rPr>
            </w:pPr>
            <w:r>
              <w:rPr>
                <w:rFonts w:hint="eastAsia"/>
                <w:color w:val="auto"/>
                <w:sz w:val="18"/>
                <w:szCs w:val="18"/>
              </w:rPr>
              <w:t>2.</w:t>
            </w:r>
            <w:r>
              <w:rPr>
                <w:rFonts w:hint="eastAsia"/>
                <w:color w:val="auto"/>
                <w:sz w:val="18"/>
                <w:szCs w:val="18"/>
                <w:lang w:val="en-US" w:eastAsia="zh-CN"/>
              </w:rPr>
              <w:t>0</w:t>
            </w:r>
            <w:r>
              <w:rPr>
                <w:rFonts w:hint="eastAsia"/>
                <w:color w:val="auto"/>
                <w:sz w:val="18"/>
                <w:szCs w:val="18"/>
              </w:rPr>
              <w:t>~2.</w:t>
            </w:r>
            <w:r>
              <w:rPr>
                <w:rFonts w:hint="eastAsia"/>
                <w:color w:val="auto"/>
                <w:sz w:val="18"/>
                <w:szCs w:val="18"/>
                <w:lang w:val="en-US" w:eastAsia="zh-CN"/>
              </w:rPr>
              <w:t>6</w:t>
            </w:r>
          </w:p>
        </w:tc>
        <w:tc>
          <w:tcPr>
            <w:tcW w:w="1731" w:type="dxa"/>
            <w:vMerge w:val="restart"/>
            <w:tcBorders>
              <w:top w:val="single" w:color="auto" w:sz="12" w:space="0"/>
            </w:tcBorders>
            <w:vAlign w:val="center"/>
          </w:tcPr>
          <w:p>
            <w:pPr>
              <w:pStyle w:val="140"/>
              <w:spacing w:line="300" w:lineRule="auto"/>
              <w:jc w:val="center"/>
              <w:rPr>
                <w:rFonts w:hint="eastAsia" w:ascii="宋体" w:hAnsi="宋体" w:eastAsia="宋体"/>
                <w:color w:val="auto"/>
                <w:sz w:val="18"/>
                <w:szCs w:val="18"/>
                <w:lang w:eastAsia="zh-CN"/>
              </w:rPr>
            </w:pPr>
            <w:r>
              <w:rPr>
                <w:color w:val="auto"/>
                <w:sz w:val="18"/>
                <w:szCs w:val="18"/>
              </w:rPr>
              <w:t>1.</w:t>
            </w:r>
            <w:r>
              <w:rPr>
                <w:rFonts w:hint="eastAsia"/>
                <w:color w:val="auto"/>
                <w:sz w:val="18"/>
                <w:szCs w:val="18"/>
                <w:lang w:val="en-US" w:eastAsia="zh-CN"/>
              </w:rPr>
              <w:t>8</w:t>
            </w:r>
            <w:r>
              <w:rPr>
                <w:color w:val="auto"/>
                <w:sz w:val="18"/>
                <w:szCs w:val="18"/>
              </w:rPr>
              <w:t>~2.</w:t>
            </w:r>
            <w:r>
              <w:rPr>
                <w:rFonts w:hint="eastAsia"/>
                <w:color w:val="auto"/>
                <w:sz w:val="18"/>
                <w:szCs w:val="18"/>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2113" w:type="dxa"/>
          </w:tcPr>
          <w:p>
            <w:pPr>
              <w:pStyle w:val="140"/>
              <w:spacing w:line="300" w:lineRule="auto"/>
              <w:jc w:val="center"/>
              <w:rPr>
                <w:color w:val="auto"/>
                <w:sz w:val="18"/>
                <w:szCs w:val="18"/>
              </w:rPr>
            </w:pPr>
            <w:r>
              <w:rPr>
                <w:color w:val="auto"/>
                <w:sz w:val="18"/>
                <w:szCs w:val="18"/>
              </w:rPr>
              <w:t>BFCo-2</w:t>
            </w:r>
            <w:r>
              <w:rPr>
                <w:rFonts w:hint="eastAsia"/>
                <w:color w:val="auto"/>
                <w:sz w:val="18"/>
                <w:szCs w:val="18"/>
              </w:rPr>
              <w:t>X</w:t>
            </w:r>
          </w:p>
        </w:tc>
        <w:tc>
          <w:tcPr>
            <w:tcW w:w="1885" w:type="dxa"/>
            <w:vAlign w:val="center"/>
          </w:tcPr>
          <w:p>
            <w:pPr>
              <w:pStyle w:val="140"/>
              <w:spacing w:line="300" w:lineRule="auto"/>
              <w:jc w:val="center"/>
              <w:rPr>
                <w:rFonts w:ascii="宋体" w:hAnsi="宋体"/>
                <w:color w:val="auto"/>
                <w:sz w:val="18"/>
                <w:szCs w:val="18"/>
              </w:rPr>
            </w:pPr>
            <w:r>
              <w:rPr>
                <w:rFonts w:hAnsi="宋体"/>
                <w:color w:val="auto"/>
                <w:sz w:val="18"/>
                <w:szCs w:val="18"/>
              </w:rPr>
              <w:t>＞</w:t>
            </w:r>
            <w:r>
              <w:rPr>
                <w:color w:val="auto"/>
                <w:sz w:val="18"/>
                <w:szCs w:val="18"/>
              </w:rPr>
              <w:t>1.</w:t>
            </w:r>
            <w:r>
              <w:rPr>
                <w:rFonts w:hint="eastAsia"/>
                <w:color w:val="auto"/>
                <w:sz w:val="18"/>
                <w:szCs w:val="18"/>
                <w:lang w:val="en-US" w:eastAsia="zh-CN"/>
              </w:rPr>
              <w:t>2</w:t>
            </w:r>
            <w:r>
              <w:rPr>
                <w:color w:val="auto"/>
                <w:sz w:val="18"/>
                <w:szCs w:val="18"/>
              </w:rPr>
              <w:t>0</w:t>
            </w:r>
            <w:r>
              <w:rPr>
                <w:rFonts w:hAnsi="宋体"/>
                <w:color w:val="auto"/>
                <w:sz w:val="18"/>
                <w:szCs w:val="18"/>
              </w:rPr>
              <w:t>～</w:t>
            </w:r>
            <w:r>
              <w:rPr>
                <w:color w:val="auto"/>
                <w:sz w:val="18"/>
                <w:szCs w:val="18"/>
              </w:rPr>
              <w:t>1.50</w:t>
            </w:r>
          </w:p>
        </w:tc>
        <w:tc>
          <w:tcPr>
            <w:tcW w:w="1885" w:type="dxa"/>
            <w:vMerge w:val="continue"/>
            <w:vAlign w:val="center"/>
          </w:tcPr>
          <w:p>
            <w:pPr>
              <w:widowControl/>
              <w:jc w:val="center"/>
              <w:textAlignment w:val="center"/>
              <w:rPr>
                <w:rFonts w:ascii="宋体" w:hAnsi="宋体"/>
                <w:color w:val="auto"/>
                <w:sz w:val="18"/>
                <w:szCs w:val="18"/>
              </w:rPr>
            </w:pPr>
          </w:p>
        </w:tc>
        <w:tc>
          <w:tcPr>
            <w:tcW w:w="1884" w:type="dxa"/>
            <w:vMerge w:val="continue"/>
          </w:tcPr>
          <w:p>
            <w:pPr>
              <w:pStyle w:val="140"/>
              <w:spacing w:line="300" w:lineRule="auto"/>
              <w:jc w:val="center"/>
              <w:rPr>
                <w:rFonts w:ascii="宋体" w:hAnsi="宋体"/>
                <w:color w:val="auto"/>
                <w:sz w:val="18"/>
                <w:szCs w:val="18"/>
              </w:rPr>
            </w:pPr>
          </w:p>
        </w:tc>
        <w:tc>
          <w:tcPr>
            <w:tcW w:w="1731" w:type="dxa"/>
            <w:vMerge w:val="continue"/>
          </w:tcPr>
          <w:p>
            <w:pPr>
              <w:pStyle w:val="140"/>
              <w:spacing w:line="300" w:lineRule="auto"/>
              <w:jc w:val="center"/>
              <w:rPr>
                <w:rFonts w:ascii="宋体" w:hAnsi="宋体"/>
                <w:color w:val="auto"/>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9498" w:type="dxa"/>
            <w:gridSpan w:val="5"/>
            <w:vAlign w:val="center"/>
          </w:tcPr>
          <w:p>
            <w:pPr>
              <w:pStyle w:val="140"/>
              <w:ind w:firstLine="345"/>
              <w:jc w:val="left"/>
              <w:rPr>
                <w:rFonts w:hAnsi="宋体"/>
                <w:color w:val="auto"/>
                <w:sz w:val="18"/>
                <w:szCs w:val="18"/>
              </w:rPr>
            </w:pPr>
            <w:r>
              <w:rPr>
                <w:rFonts w:hAnsi="宋体"/>
                <w:color w:val="auto"/>
                <w:sz w:val="18"/>
                <w:szCs w:val="18"/>
              </w:rPr>
              <w:t>注</w:t>
            </w:r>
            <w:r>
              <w:rPr>
                <w:rFonts w:hint="eastAsia" w:hAnsi="宋体"/>
                <w:color w:val="auto"/>
                <w:sz w:val="18"/>
                <w:szCs w:val="18"/>
              </w:rPr>
              <w:t>1</w:t>
            </w:r>
            <w:r>
              <w:rPr>
                <w:rFonts w:hAnsi="宋体"/>
                <w:color w:val="auto"/>
                <w:sz w:val="18"/>
                <w:szCs w:val="18"/>
              </w:rPr>
              <w:t>：如需方对表中所列项目有特殊要求，由供需双方协商确定</w:t>
            </w:r>
            <w:r>
              <w:rPr>
                <w:rFonts w:hint="eastAsia" w:hAnsi="宋体"/>
                <w:color w:val="auto"/>
                <w:sz w:val="18"/>
                <w:szCs w:val="18"/>
              </w:rPr>
              <w:t>；</w:t>
            </w:r>
          </w:p>
          <w:p>
            <w:pPr>
              <w:pStyle w:val="140"/>
              <w:ind w:firstLine="345"/>
              <w:jc w:val="left"/>
              <w:rPr>
                <w:rFonts w:ascii="宋体" w:hAnsi="宋体"/>
                <w:color w:val="auto"/>
                <w:sz w:val="18"/>
                <w:szCs w:val="18"/>
              </w:rPr>
            </w:pPr>
            <w:r>
              <w:rPr>
                <w:rFonts w:hint="eastAsia" w:hAnsi="宋体"/>
                <w:color w:val="auto"/>
                <w:sz w:val="18"/>
                <w:szCs w:val="18"/>
              </w:rPr>
              <w:t>注2：本表所列氢损除表征氧含量外，还包括石蜡在实验条件下的质量损失。减去石蜡含量后的氢损应≤0.6%。</w:t>
            </w:r>
          </w:p>
        </w:tc>
      </w:tr>
    </w:tbl>
    <w:p>
      <w:pPr>
        <w:pStyle w:val="21"/>
        <w:ind w:firstLine="0" w:firstLineChars="0"/>
        <w:rPr>
          <w:color w:val="auto"/>
          <w:sz w:val="13"/>
          <w:szCs w:val="11"/>
        </w:rPr>
      </w:pPr>
    </w:p>
    <w:p>
      <w:pPr>
        <w:pStyle w:val="21"/>
        <w:ind w:firstLine="0" w:firstLineChars="0"/>
        <w:rPr>
          <w:color w:val="auto"/>
          <w:sz w:val="13"/>
          <w:szCs w:val="11"/>
        </w:rPr>
      </w:pPr>
    </w:p>
    <w:p>
      <w:pPr>
        <w:pStyle w:val="21"/>
        <w:ind w:firstLine="0" w:firstLineChars="0"/>
        <w:rPr>
          <w:color w:val="auto"/>
          <w:sz w:val="13"/>
          <w:szCs w:val="11"/>
        </w:rPr>
      </w:pPr>
    </w:p>
    <w:p>
      <w:pPr>
        <w:pStyle w:val="39"/>
        <w:bidi w:val="0"/>
        <w:rPr>
          <w:color w:val="auto"/>
        </w:rPr>
      </w:pPr>
      <w:r>
        <w:rPr>
          <w:rFonts w:hint="eastAsia"/>
          <w:color w:val="auto"/>
        </w:rPr>
        <w:t>外观质量</w:t>
      </w:r>
    </w:p>
    <w:p>
      <w:pPr>
        <w:pStyle w:val="39"/>
        <w:numPr>
          <w:ilvl w:val="1"/>
          <w:numId w:val="0"/>
        </w:numPr>
        <w:spacing w:beforeLines="0" w:afterLines="0"/>
        <w:ind w:firstLine="420" w:firstLineChars="200"/>
        <w:rPr>
          <w:rFonts w:eastAsia="宋体"/>
          <w:color w:val="auto"/>
        </w:rPr>
      </w:pPr>
      <w:r>
        <w:rPr>
          <w:rFonts w:hint="eastAsia" w:eastAsia="宋体"/>
          <w:color w:val="auto"/>
        </w:rPr>
        <w:t>产品应呈灰黑色颗粒状，无其他颜色混杂；产品应洁净、干燥、均匀、不得有结块及目视可见的外来夹杂物。</w:t>
      </w:r>
    </w:p>
    <w:p>
      <w:pPr>
        <w:pStyle w:val="42"/>
        <w:bidi w:val="0"/>
        <w:rPr>
          <w:rFonts w:ascii="黑体" w:eastAsia="黑体"/>
          <w:color w:val="auto"/>
        </w:rPr>
      </w:pPr>
      <w:r>
        <w:rPr>
          <w:rFonts w:hint="eastAsia" w:ascii="黑体" w:eastAsia="黑体"/>
          <w:color w:val="auto"/>
        </w:rPr>
        <w:t>试验方法</w:t>
      </w:r>
    </w:p>
    <w:p>
      <w:pPr>
        <w:pStyle w:val="39"/>
        <w:bidi w:val="0"/>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产品中杂质元素含量的测定按YS/T 281的规定进行。</w:t>
      </w:r>
    </w:p>
    <w:p>
      <w:pPr>
        <w:pStyle w:val="39"/>
        <w:bidi w:val="0"/>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产品的费氏粒度的测定按GB/T 3249的规定进行。</w:t>
      </w:r>
    </w:p>
    <w:p>
      <w:pPr>
        <w:pStyle w:val="39"/>
        <w:bidi w:val="0"/>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产品的松装密度的测定按GB/T 1479.1的规定进行。</w:t>
      </w:r>
    </w:p>
    <w:p>
      <w:pPr>
        <w:pStyle w:val="39"/>
        <w:bidi w:val="0"/>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产品的氢损的测定按GB/T 5158.2的规定进行。</w:t>
      </w:r>
    </w:p>
    <w:p>
      <w:pPr>
        <w:pStyle w:val="39"/>
        <w:bidi w:val="0"/>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产品中石蜡含量的测定按照附录A的规定进行。</w:t>
      </w:r>
    </w:p>
    <w:p>
      <w:pPr>
        <w:pStyle w:val="39"/>
        <w:bidi w:val="0"/>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产品的外观质量用目测进行检查。</w:t>
      </w:r>
    </w:p>
    <w:p>
      <w:pPr>
        <w:pStyle w:val="42"/>
        <w:bidi w:val="0"/>
        <w:rPr>
          <w:color w:val="auto"/>
        </w:rPr>
      </w:pPr>
      <w:r>
        <w:rPr>
          <w:rFonts w:hint="eastAsia"/>
          <w:color w:val="auto"/>
        </w:rPr>
        <w:t>检验规则</w:t>
      </w:r>
    </w:p>
    <w:p>
      <w:pPr>
        <w:pStyle w:val="39"/>
        <w:bidi w:val="0"/>
        <w:rPr>
          <w:rFonts w:hint="eastAsia" w:ascii="宋体" w:hAnsi="宋体"/>
          <w:color w:val="auto"/>
          <w:kern w:val="0"/>
        </w:rPr>
      </w:pPr>
      <w:r>
        <w:rPr>
          <w:rFonts w:hint="eastAsia" w:ascii="宋体" w:hAnsi="宋体"/>
          <w:color w:val="auto"/>
          <w:kern w:val="0"/>
        </w:rPr>
        <w:t>检查和验收</w:t>
      </w:r>
    </w:p>
    <w:p>
      <w:pPr>
        <w:pStyle w:val="43"/>
        <w:bidi w:val="0"/>
        <w:ind w:left="0" w:firstLine="0"/>
        <w:rPr>
          <w:rFonts w:hint="default" w:ascii="Times New Roman" w:hAnsi="Times New Roman" w:cs="Times New Roman"/>
          <w:color w:val="auto"/>
          <w:kern w:val="0"/>
          <w:szCs w:val="21"/>
        </w:rPr>
      </w:pPr>
      <w:r>
        <w:rPr>
          <w:rFonts w:hint="default" w:ascii="Times New Roman" w:hAnsi="Times New Roman" w:eastAsia="宋体" w:cs="Times New Roman"/>
        </w:rPr>
        <w:t>产品应由供方进行检验，保证产品质量符合本文件及合同（或订货单）的规定，并填写质量证明书。</w:t>
      </w:r>
    </w:p>
    <w:p>
      <w:pPr>
        <w:widowControl/>
        <w:numPr>
          <w:ilvl w:val="2"/>
          <w:numId w:val="2"/>
        </w:numPr>
        <w:jc w:val="left"/>
        <w:outlineLvl w:val="3"/>
        <w:rPr>
          <w:rFonts w:hint="default" w:ascii="Times New Roman" w:hAnsi="Times New Roman" w:cs="Times New Roman"/>
          <w:kern w:val="0"/>
          <w:szCs w:val="21"/>
        </w:rPr>
      </w:pPr>
      <w:r>
        <w:rPr>
          <w:rFonts w:hint="default" w:ascii="Times New Roman" w:hAnsi="Times New Roman" w:cs="Times New Roman"/>
          <w:kern w:val="0"/>
          <w:szCs w:val="21"/>
        </w:rPr>
        <w:t>需方应对收到的产品按照本文件或合同（或订货单）的规定进行检验。如检验结果与本文件或合同（或订货单）的规定不符时，应在收到产品之日起一个月内向供方提出，由供需双方协商解决。如需仲裁，仲裁取样在需方，由供需双方共同进行。</w:t>
      </w:r>
    </w:p>
    <w:p>
      <w:pPr>
        <w:pStyle w:val="39"/>
        <w:bidi w:val="0"/>
        <w:rPr>
          <w:rFonts w:hint="default" w:ascii="Times New Roman" w:hAnsi="Times New Roman" w:cs="Times New Roman"/>
          <w:color w:val="auto"/>
          <w:kern w:val="0"/>
          <w:highlight w:val="none"/>
        </w:rPr>
      </w:pPr>
      <w:r>
        <w:rPr>
          <w:rFonts w:hint="default" w:ascii="Times New Roman" w:hAnsi="Times New Roman" w:cs="Times New Roman"/>
          <w:color w:val="auto"/>
          <w:kern w:val="0"/>
          <w:highlight w:val="none"/>
        </w:rPr>
        <w:t xml:space="preserve">组批 </w:t>
      </w:r>
    </w:p>
    <w:p>
      <w:pPr>
        <w:pStyle w:val="21"/>
        <w:rPr>
          <w:rFonts w:hint="default" w:ascii="Times New Roman" w:hAnsi="Times New Roman" w:cs="Times New Roman"/>
          <w:color w:val="auto"/>
          <w:szCs w:val="21"/>
          <w:highlight w:val="none"/>
        </w:rPr>
      </w:pPr>
      <w:r>
        <w:rPr>
          <w:rFonts w:hint="default" w:ascii="Times New Roman" w:hAnsi="Times New Roman" w:cs="Times New Roman"/>
          <w:kern w:val="2"/>
          <w:szCs w:val="24"/>
          <w:highlight w:val="none"/>
        </w:rPr>
        <w:t>产品</w:t>
      </w:r>
      <w:r>
        <w:rPr>
          <w:rFonts w:hint="default" w:ascii="Times New Roman" w:hAnsi="Times New Roman" w:cs="Times New Roman"/>
          <w:color w:val="000000"/>
          <w:kern w:val="2"/>
          <w:szCs w:val="24"/>
          <w:highlight w:val="none"/>
        </w:rPr>
        <w:t>应成批提交验收，每批应由同一生产周期、同一牌号、同一规格的产品组成，每批重量不超过</w:t>
      </w:r>
      <w:r>
        <w:rPr>
          <w:rFonts w:hint="default" w:ascii="Times New Roman" w:hAnsi="Times New Roman" w:cs="Times New Roman"/>
          <w:color w:val="auto"/>
          <w:szCs w:val="21"/>
          <w:highlight w:val="none"/>
        </w:rPr>
        <w:t>3000kg。</w:t>
      </w:r>
      <w:r>
        <w:rPr>
          <w:rFonts w:hint="default" w:ascii="Times New Roman" w:hAnsi="Times New Roman" w:cs="Times New Roman"/>
          <w:color w:val="000000"/>
          <w:kern w:val="2"/>
          <w:szCs w:val="24"/>
          <w:highlight w:val="none"/>
        </w:rPr>
        <w:t>需方有特殊要求时，可由双方协商确定。</w:t>
      </w:r>
    </w:p>
    <w:p>
      <w:pPr>
        <w:pStyle w:val="39"/>
        <w:bidi w:val="0"/>
        <w:rPr>
          <w:rFonts w:hint="default" w:ascii="Times New Roman" w:hAnsi="Times New Roman" w:cs="Times New Roman"/>
          <w:color w:val="auto"/>
          <w:kern w:val="0"/>
          <w:highlight w:val="none"/>
        </w:rPr>
      </w:pPr>
      <w:r>
        <w:rPr>
          <w:rFonts w:hint="default" w:ascii="Times New Roman" w:hAnsi="Times New Roman" w:cs="Times New Roman"/>
          <w:color w:val="auto"/>
          <w:kern w:val="0"/>
          <w:highlight w:val="none"/>
        </w:rPr>
        <w:t>检验项目及取样</w:t>
      </w:r>
    </w:p>
    <w:p>
      <w:pPr>
        <w:widowControl/>
        <w:ind w:firstLine="420" w:firstLineChars="200"/>
        <w:jc w:val="left"/>
        <w:outlineLvl w:val="3"/>
        <w:rPr>
          <w:rFonts w:hint="default" w:ascii="Times New Roman" w:hAnsi="Times New Roman" w:cs="Times New Roman"/>
          <w:color w:val="auto"/>
          <w:highlight w:val="none"/>
        </w:rPr>
      </w:pPr>
      <w:r>
        <w:rPr>
          <w:rFonts w:hint="default" w:ascii="Times New Roman" w:hAnsi="Times New Roman" w:cs="Times New Roman"/>
          <w:szCs w:val="21"/>
        </w:rPr>
        <w:t>每批产品出厂前应进行化学成分、物理性能和外观质量的检验，产品的检验项目及取样方法应符合表3的规定。</w:t>
      </w:r>
    </w:p>
    <w:p>
      <w:pPr>
        <w:pStyle w:val="21"/>
        <w:ind w:firstLine="0" w:firstLineChars="0"/>
        <w:jc w:val="center"/>
        <w:rPr>
          <w:rFonts w:hint="eastAsia" w:ascii="Times New Roman" w:eastAsia="黑体"/>
          <w:color w:val="auto"/>
          <w:kern w:val="2"/>
          <w:szCs w:val="24"/>
          <w:highlight w:val="none"/>
          <w:lang w:val="en-US" w:eastAsia="zh-CN"/>
        </w:rPr>
      </w:pPr>
      <w:r>
        <w:rPr>
          <w:rFonts w:hint="eastAsia" w:ascii="黑体" w:eastAsia="黑体"/>
          <w:color w:val="auto"/>
          <w:highlight w:val="none"/>
        </w:rPr>
        <w:t>表3</w:t>
      </w:r>
      <w:r>
        <w:rPr>
          <w:rFonts w:hint="eastAsia" w:ascii="黑体" w:eastAsia="黑体"/>
          <w:color w:val="auto"/>
          <w:highlight w:val="none"/>
          <w:lang w:val="en-US" w:eastAsia="zh-CN"/>
        </w:rPr>
        <w:t xml:space="preserve"> 产品检验项目及取样规定</w:t>
      </w:r>
    </w:p>
    <w:tbl>
      <w:tblPr>
        <w:tblStyle w:val="3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2268"/>
        <w:gridCol w:w="2268"/>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2268" w:type="dxa"/>
            <w:tcBorders>
              <w:top w:val="single" w:color="auto" w:sz="12" w:space="0"/>
              <w:left w:val="single" w:color="auto" w:sz="12" w:space="0"/>
              <w:bottom w:val="single" w:color="auto" w:sz="12"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检验项目</w:t>
            </w:r>
          </w:p>
        </w:tc>
        <w:tc>
          <w:tcPr>
            <w:tcW w:w="2268" w:type="dxa"/>
            <w:tcBorders>
              <w:top w:val="single" w:color="auto" w:sz="12" w:space="0"/>
              <w:bottom w:val="single" w:color="auto" w:sz="12"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取样规定</w:t>
            </w:r>
          </w:p>
        </w:tc>
        <w:tc>
          <w:tcPr>
            <w:tcW w:w="2268" w:type="dxa"/>
            <w:tcBorders>
              <w:top w:val="single" w:color="auto" w:sz="12" w:space="0"/>
              <w:bottom w:val="single" w:color="auto" w:sz="12"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要求章节号</w:t>
            </w:r>
          </w:p>
        </w:tc>
        <w:tc>
          <w:tcPr>
            <w:tcW w:w="2268" w:type="dxa"/>
            <w:tcBorders>
              <w:top w:val="single" w:color="auto" w:sz="12" w:space="0"/>
              <w:bottom w:val="single" w:color="auto" w:sz="12" w:space="0"/>
              <w:right w:val="single" w:color="auto" w:sz="12" w:space="0"/>
            </w:tcBorders>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试验方法章节号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268" w:type="dxa"/>
            <w:tcBorders>
              <w:top w:val="single" w:color="auto" w:sz="12" w:space="0"/>
              <w:left w:val="single" w:color="auto" w:sz="12" w:space="0"/>
            </w:tcBorders>
            <w:vAlign w:val="center"/>
          </w:tcPr>
          <w:p>
            <w:pPr>
              <w:jc w:val="center"/>
              <w:rPr>
                <w:color w:val="auto"/>
                <w:sz w:val="18"/>
                <w:szCs w:val="18"/>
                <w:highlight w:val="none"/>
              </w:rPr>
            </w:pPr>
            <w:r>
              <w:rPr>
                <w:rFonts w:hint="eastAsia"/>
                <w:color w:val="auto"/>
                <w:sz w:val="18"/>
                <w:szCs w:val="18"/>
                <w:highlight w:val="none"/>
              </w:rPr>
              <w:t>化学成分</w:t>
            </w:r>
          </w:p>
        </w:tc>
        <w:tc>
          <w:tcPr>
            <w:tcW w:w="2268" w:type="dxa"/>
            <w:vMerge w:val="restart"/>
            <w:tcBorders>
              <w:top w:val="single" w:color="auto" w:sz="12" w:space="0"/>
            </w:tcBorders>
            <w:vAlign w:val="center"/>
          </w:tcPr>
          <w:p>
            <w:pPr>
              <w:jc w:val="center"/>
              <w:rPr>
                <w:color w:val="auto"/>
                <w:sz w:val="18"/>
                <w:szCs w:val="18"/>
                <w:highlight w:val="none"/>
              </w:rPr>
            </w:pPr>
            <w:r>
              <w:rPr>
                <w:rFonts w:hint="eastAsia"/>
                <w:color w:val="auto"/>
                <w:sz w:val="18"/>
                <w:szCs w:val="18"/>
                <w:highlight w:val="none"/>
              </w:rPr>
              <w:t>按</w:t>
            </w:r>
            <w:r>
              <w:rPr>
                <w:color w:val="auto"/>
                <w:sz w:val="18"/>
                <w:szCs w:val="18"/>
                <w:highlight w:val="none"/>
              </w:rPr>
              <w:t>GB/T 5314</w:t>
            </w:r>
            <w:r>
              <w:rPr>
                <w:rFonts w:hint="eastAsia"/>
                <w:color w:val="auto"/>
                <w:sz w:val="18"/>
                <w:szCs w:val="18"/>
                <w:highlight w:val="none"/>
              </w:rPr>
              <w:t>的规定</w:t>
            </w:r>
          </w:p>
        </w:tc>
        <w:tc>
          <w:tcPr>
            <w:tcW w:w="2268" w:type="dxa"/>
            <w:tcBorders>
              <w:top w:val="single" w:color="auto" w:sz="12" w:space="0"/>
            </w:tcBorders>
            <w:vAlign w:val="center"/>
          </w:tcPr>
          <w:p>
            <w:pPr>
              <w:jc w:val="center"/>
              <w:rPr>
                <w:color w:val="auto"/>
                <w:sz w:val="18"/>
                <w:szCs w:val="18"/>
                <w:highlight w:val="none"/>
              </w:rPr>
            </w:pPr>
            <w:r>
              <w:rPr>
                <w:rFonts w:hint="eastAsia"/>
                <w:color w:val="auto"/>
                <w:sz w:val="18"/>
                <w:szCs w:val="18"/>
                <w:highlight w:val="none"/>
              </w:rPr>
              <w:t>3.2</w:t>
            </w:r>
          </w:p>
        </w:tc>
        <w:tc>
          <w:tcPr>
            <w:tcW w:w="2268" w:type="dxa"/>
            <w:tcBorders>
              <w:top w:val="single" w:color="auto" w:sz="12" w:space="0"/>
              <w:right w:val="single" w:color="auto" w:sz="12" w:space="0"/>
            </w:tcBorders>
            <w:vAlign w:val="center"/>
          </w:tcPr>
          <w:p>
            <w:pPr>
              <w:jc w:val="center"/>
              <w:rPr>
                <w:color w:val="auto"/>
                <w:sz w:val="18"/>
                <w:szCs w:val="18"/>
                <w:highlight w:val="none"/>
              </w:rPr>
            </w:pPr>
            <w:r>
              <w:rPr>
                <w:rFonts w:hint="eastAsia"/>
                <w:color w:val="auto"/>
                <w:sz w:val="18"/>
                <w:szCs w:val="18"/>
                <w:highlight w:val="none"/>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268" w:type="dxa"/>
            <w:tcBorders>
              <w:left w:val="single" w:color="auto" w:sz="12" w:space="0"/>
            </w:tcBorders>
            <w:vAlign w:val="center"/>
          </w:tcPr>
          <w:p>
            <w:pPr>
              <w:jc w:val="center"/>
              <w:rPr>
                <w:color w:val="auto"/>
                <w:sz w:val="18"/>
                <w:szCs w:val="18"/>
                <w:highlight w:val="none"/>
              </w:rPr>
            </w:pPr>
            <w:r>
              <w:rPr>
                <w:rFonts w:hint="eastAsia"/>
                <w:color w:val="auto"/>
                <w:sz w:val="18"/>
                <w:szCs w:val="18"/>
                <w:highlight w:val="none"/>
              </w:rPr>
              <w:t>费氏粒度</w:t>
            </w:r>
          </w:p>
        </w:tc>
        <w:tc>
          <w:tcPr>
            <w:tcW w:w="2268" w:type="dxa"/>
            <w:vMerge w:val="continue"/>
            <w:vAlign w:val="center"/>
          </w:tcPr>
          <w:p>
            <w:pPr>
              <w:jc w:val="center"/>
              <w:rPr>
                <w:color w:val="auto"/>
                <w:sz w:val="18"/>
                <w:szCs w:val="18"/>
                <w:highlight w:val="none"/>
              </w:rPr>
            </w:pPr>
          </w:p>
        </w:tc>
        <w:tc>
          <w:tcPr>
            <w:tcW w:w="2268" w:type="dxa"/>
            <w:vMerge w:val="restart"/>
            <w:vAlign w:val="center"/>
          </w:tcPr>
          <w:p>
            <w:pPr>
              <w:jc w:val="center"/>
              <w:rPr>
                <w:color w:val="auto"/>
                <w:sz w:val="18"/>
                <w:szCs w:val="18"/>
                <w:highlight w:val="none"/>
              </w:rPr>
            </w:pPr>
            <w:r>
              <w:rPr>
                <w:rFonts w:hint="eastAsia"/>
                <w:color w:val="auto"/>
                <w:sz w:val="18"/>
                <w:szCs w:val="18"/>
                <w:highlight w:val="none"/>
              </w:rPr>
              <w:t>3.3</w:t>
            </w:r>
          </w:p>
        </w:tc>
        <w:tc>
          <w:tcPr>
            <w:tcW w:w="2268" w:type="dxa"/>
            <w:tcBorders>
              <w:right w:val="single" w:color="auto" w:sz="12" w:space="0"/>
            </w:tcBorders>
            <w:vAlign w:val="center"/>
          </w:tcPr>
          <w:p>
            <w:pPr>
              <w:jc w:val="center"/>
              <w:rPr>
                <w:color w:val="auto"/>
                <w:sz w:val="18"/>
                <w:szCs w:val="18"/>
                <w:highlight w:val="none"/>
              </w:rPr>
            </w:pPr>
            <w:r>
              <w:rPr>
                <w:rFonts w:hint="eastAsia"/>
                <w:color w:val="auto"/>
                <w:sz w:val="18"/>
                <w:szCs w:val="18"/>
                <w:highlight w:val="none"/>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2268" w:type="dxa"/>
            <w:tcBorders>
              <w:left w:val="single" w:color="auto" w:sz="12" w:space="0"/>
            </w:tcBorders>
            <w:vAlign w:val="center"/>
          </w:tcPr>
          <w:p>
            <w:pPr>
              <w:jc w:val="center"/>
              <w:rPr>
                <w:color w:val="auto"/>
                <w:sz w:val="18"/>
                <w:szCs w:val="18"/>
                <w:highlight w:val="none"/>
              </w:rPr>
            </w:pPr>
            <w:r>
              <w:rPr>
                <w:rFonts w:hint="eastAsia"/>
                <w:color w:val="auto"/>
                <w:sz w:val="18"/>
                <w:szCs w:val="18"/>
                <w:highlight w:val="none"/>
              </w:rPr>
              <w:t>松装密度</w:t>
            </w:r>
          </w:p>
        </w:tc>
        <w:tc>
          <w:tcPr>
            <w:tcW w:w="2268" w:type="dxa"/>
            <w:vMerge w:val="continue"/>
            <w:vAlign w:val="center"/>
          </w:tcPr>
          <w:p>
            <w:pPr>
              <w:jc w:val="center"/>
              <w:rPr>
                <w:color w:val="auto"/>
                <w:sz w:val="18"/>
                <w:szCs w:val="18"/>
                <w:highlight w:val="none"/>
              </w:rPr>
            </w:pPr>
          </w:p>
        </w:tc>
        <w:tc>
          <w:tcPr>
            <w:tcW w:w="2268" w:type="dxa"/>
            <w:vMerge w:val="continue"/>
            <w:vAlign w:val="center"/>
          </w:tcPr>
          <w:p>
            <w:pPr>
              <w:jc w:val="center"/>
              <w:rPr>
                <w:color w:val="auto"/>
                <w:highlight w:val="none"/>
              </w:rPr>
            </w:pPr>
          </w:p>
        </w:tc>
        <w:tc>
          <w:tcPr>
            <w:tcW w:w="2268" w:type="dxa"/>
            <w:tcBorders>
              <w:right w:val="single" w:color="auto" w:sz="12" w:space="0"/>
            </w:tcBorders>
            <w:vAlign w:val="center"/>
          </w:tcPr>
          <w:p>
            <w:pPr>
              <w:jc w:val="center"/>
              <w:rPr>
                <w:color w:val="auto"/>
                <w:sz w:val="18"/>
                <w:szCs w:val="18"/>
                <w:highlight w:val="none"/>
              </w:rPr>
            </w:pPr>
            <w:r>
              <w:rPr>
                <w:rFonts w:hint="eastAsia"/>
                <w:color w:val="auto"/>
                <w:sz w:val="18"/>
                <w:szCs w:val="18"/>
                <w:highlight w:val="none"/>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268" w:type="dxa"/>
            <w:tcBorders>
              <w:left w:val="single" w:color="auto" w:sz="12" w:space="0"/>
            </w:tcBorders>
            <w:vAlign w:val="center"/>
          </w:tcPr>
          <w:p>
            <w:pPr>
              <w:jc w:val="center"/>
              <w:rPr>
                <w:color w:val="auto"/>
                <w:sz w:val="18"/>
                <w:szCs w:val="18"/>
                <w:highlight w:val="none"/>
              </w:rPr>
            </w:pPr>
            <w:r>
              <w:rPr>
                <w:rFonts w:hint="eastAsia"/>
                <w:color w:val="auto"/>
                <w:sz w:val="18"/>
                <w:szCs w:val="18"/>
                <w:highlight w:val="none"/>
              </w:rPr>
              <w:t>氢损</w:t>
            </w:r>
          </w:p>
        </w:tc>
        <w:tc>
          <w:tcPr>
            <w:tcW w:w="2268" w:type="dxa"/>
            <w:vMerge w:val="continue"/>
            <w:vAlign w:val="center"/>
          </w:tcPr>
          <w:p>
            <w:pPr>
              <w:jc w:val="center"/>
              <w:rPr>
                <w:color w:val="auto"/>
                <w:sz w:val="18"/>
                <w:szCs w:val="18"/>
                <w:highlight w:val="none"/>
              </w:rPr>
            </w:pPr>
          </w:p>
        </w:tc>
        <w:tc>
          <w:tcPr>
            <w:tcW w:w="2268" w:type="dxa"/>
            <w:vMerge w:val="continue"/>
            <w:vAlign w:val="center"/>
          </w:tcPr>
          <w:p>
            <w:pPr>
              <w:jc w:val="center"/>
              <w:rPr>
                <w:color w:val="auto"/>
                <w:highlight w:val="none"/>
              </w:rPr>
            </w:pPr>
          </w:p>
        </w:tc>
        <w:tc>
          <w:tcPr>
            <w:tcW w:w="2268" w:type="dxa"/>
            <w:tcBorders>
              <w:right w:val="single" w:color="auto" w:sz="12" w:space="0"/>
            </w:tcBorders>
            <w:vAlign w:val="center"/>
          </w:tcPr>
          <w:p>
            <w:pPr>
              <w:jc w:val="center"/>
              <w:rPr>
                <w:color w:val="auto"/>
                <w:sz w:val="18"/>
                <w:szCs w:val="18"/>
                <w:highlight w:val="none"/>
              </w:rPr>
            </w:pPr>
            <w:r>
              <w:rPr>
                <w:rFonts w:hint="eastAsia"/>
                <w:color w:val="auto"/>
                <w:sz w:val="18"/>
                <w:szCs w:val="18"/>
                <w:highlight w:val="none"/>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2268" w:type="dxa"/>
            <w:tcBorders>
              <w:left w:val="single" w:color="auto" w:sz="12" w:space="0"/>
            </w:tcBorders>
            <w:vAlign w:val="center"/>
          </w:tcPr>
          <w:p>
            <w:pPr>
              <w:jc w:val="center"/>
              <w:rPr>
                <w:color w:val="auto"/>
                <w:sz w:val="18"/>
                <w:szCs w:val="18"/>
                <w:highlight w:val="none"/>
              </w:rPr>
            </w:pPr>
            <w:r>
              <w:rPr>
                <w:rFonts w:hint="eastAsia"/>
                <w:color w:val="auto"/>
                <w:sz w:val="18"/>
                <w:szCs w:val="18"/>
                <w:highlight w:val="none"/>
              </w:rPr>
              <w:t>石蜡含量</w:t>
            </w:r>
          </w:p>
        </w:tc>
        <w:tc>
          <w:tcPr>
            <w:tcW w:w="2268" w:type="dxa"/>
            <w:vMerge w:val="continue"/>
            <w:vAlign w:val="center"/>
          </w:tcPr>
          <w:p>
            <w:pPr>
              <w:jc w:val="center"/>
              <w:rPr>
                <w:color w:val="auto"/>
                <w:sz w:val="18"/>
                <w:szCs w:val="18"/>
                <w:highlight w:val="none"/>
              </w:rPr>
            </w:pPr>
          </w:p>
        </w:tc>
        <w:tc>
          <w:tcPr>
            <w:tcW w:w="2268" w:type="dxa"/>
            <w:vMerge w:val="continue"/>
            <w:vAlign w:val="center"/>
          </w:tcPr>
          <w:p>
            <w:pPr>
              <w:jc w:val="center"/>
              <w:rPr>
                <w:color w:val="auto"/>
                <w:highlight w:val="none"/>
              </w:rPr>
            </w:pPr>
          </w:p>
        </w:tc>
        <w:tc>
          <w:tcPr>
            <w:tcW w:w="2268" w:type="dxa"/>
            <w:tcBorders>
              <w:right w:val="single" w:color="auto" w:sz="12" w:space="0"/>
            </w:tcBorders>
            <w:vAlign w:val="center"/>
          </w:tcPr>
          <w:p>
            <w:pPr>
              <w:jc w:val="center"/>
              <w:rPr>
                <w:color w:val="auto"/>
                <w:sz w:val="18"/>
                <w:szCs w:val="18"/>
                <w:highlight w:val="none"/>
              </w:rPr>
            </w:pPr>
            <w:r>
              <w:rPr>
                <w:rFonts w:hint="eastAsia"/>
                <w:color w:val="auto"/>
                <w:sz w:val="18"/>
                <w:szCs w:val="18"/>
                <w:highlight w:val="none"/>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trPr>
        <w:tc>
          <w:tcPr>
            <w:tcW w:w="2268" w:type="dxa"/>
            <w:tcBorders>
              <w:left w:val="single" w:color="auto" w:sz="12" w:space="0"/>
              <w:bottom w:val="single" w:color="auto" w:sz="12" w:space="0"/>
            </w:tcBorders>
            <w:vAlign w:val="center"/>
          </w:tcPr>
          <w:p>
            <w:pPr>
              <w:jc w:val="center"/>
              <w:rPr>
                <w:color w:val="auto"/>
                <w:sz w:val="18"/>
                <w:szCs w:val="18"/>
                <w:highlight w:val="none"/>
              </w:rPr>
            </w:pPr>
            <w:r>
              <w:rPr>
                <w:rFonts w:hint="eastAsia"/>
                <w:color w:val="auto"/>
                <w:sz w:val="18"/>
                <w:szCs w:val="18"/>
                <w:highlight w:val="none"/>
              </w:rPr>
              <w:t>外观质量</w:t>
            </w:r>
          </w:p>
        </w:tc>
        <w:tc>
          <w:tcPr>
            <w:tcW w:w="2268" w:type="dxa"/>
            <w:tcBorders>
              <w:bottom w:val="single" w:color="auto" w:sz="12" w:space="0"/>
            </w:tcBorders>
            <w:vAlign w:val="center"/>
          </w:tcPr>
          <w:p>
            <w:pPr>
              <w:jc w:val="center"/>
              <w:rPr>
                <w:color w:val="auto"/>
                <w:sz w:val="18"/>
                <w:szCs w:val="18"/>
                <w:highlight w:val="none"/>
              </w:rPr>
            </w:pPr>
            <w:r>
              <w:rPr>
                <w:rFonts w:hint="eastAsia"/>
                <w:color w:val="auto"/>
                <w:sz w:val="18"/>
                <w:szCs w:val="18"/>
                <w:highlight w:val="none"/>
              </w:rPr>
              <w:t>逐桶</w:t>
            </w:r>
          </w:p>
        </w:tc>
        <w:tc>
          <w:tcPr>
            <w:tcW w:w="2268" w:type="dxa"/>
            <w:tcBorders>
              <w:bottom w:val="single" w:color="auto" w:sz="12" w:space="0"/>
            </w:tcBorders>
          </w:tcPr>
          <w:p>
            <w:pPr>
              <w:jc w:val="center"/>
              <w:rPr>
                <w:color w:val="auto"/>
                <w:sz w:val="18"/>
                <w:szCs w:val="18"/>
                <w:highlight w:val="none"/>
              </w:rPr>
            </w:pPr>
            <w:r>
              <w:rPr>
                <w:color w:val="auto"/>
                <w:sz w:val="18"/>
                <w:szCs w:val="18"/>
                <w:highlight w:val="none"/>
              </w:rPr>
              <w:t>3.4</w:t>
            </w:r>
          </w:p>
        </w:tc>
        <w:tc>
          <w:tcPr>
            <w:tcW w:w="2268" w:type="dxa"/>
            <w:tcBorders>
              <w:bottom w:val="single" w:color="auto" w:sz="12" w:space="0"/>
              <w:right w:val="single" w:color="auto" w:sz="12" w:space="0"/>
            </w:tcBorders>
            <w:vAlign w:val="center"/>
          </w:tcPr>
          <w:p>
            <w:pPr>
              <w:jc w:val="center"/>
              <w:rPr>
                <w:color w:val="auto"/>
                <w:sz w:val="18"/>
                <w:szCs w:val="18"/>
                <w:highlight w:val="none"/>
              </w:rPr>
            </w:pPr>
            <w:r>
              <w:rPr>
                <w:color w:val="auto"/>
                <w:sz w:val="18"/>
                <w:szCs w:val="18"/>
                <w:highlight w:val="none"/>
              </w:rPr>
              <w:t>4.</w:t>
            </w:r>
            <w:r>
              <w:rPr>
                <w:rFonts w:hint="eastAsia"/>
                <w:color w:val="auto"/>
                <w:sz w:val="18"/>
                <w:szCs w:val="18"/>
                <w:highlight w:val="none"/>
              </w:rPr>
              <w:t>6</w:t>
            </w:r>
          </w:p>
        </w:tc>
      </w:tr>
    </w:tbl>
    <w:p>
      <w:pPr>
        <w:pStyle w:val="39"/>
        <w:numPr>
          <w:ilvl w:val="1"/>
          <w:numId w:val="0"/>
        </w:numPr>
        <w:bidi w:val="0"/>
        <w:ind w:leftChars="0"/>
        <w:rPr>
          <w:rFonts w:hint="eastAsia" w:ascii="宋体" w:hAnsi="宋体"/>
          <w:kern w:val="0"/>
          <w:highlight w:val="none"/>
        </w:rPr>
      </w:pPr>
    </w:p>
    <w:p>
      <w:pPr>
        <w:pStyle w:val="21"/>
        <w:rPr>
          <w:rFonts w:hint="eastAsia"/>
        </w:rPr>
      </w:pPr>
    </w:p>
    <w:p>
      <w:pPr>
        <w:pStyle w:val="39"/>
        <w:bidi w:val="0"/>
        <w:rPr>
          <w:rFonts w:hint="eastAsia" w:ascii="宋体" w:hAnsi="宋体"/>
          <w:kern w:val="0"/>
          <w:highlight w:val="none"/>
        </w:rPr>
      </w:pPr>
      <w:r>
        <w:rPr>
          <w:rFonts w:hint="eastAsia" w:ascii="宋体" w:hAnsi="宋体"/>
          <w:kern w:val="0"/>
          <w:highlight w:val="none"/>
        </w:rPr>
        <w:t>检验结果的判定</w:t>
      </w:r>
    </w:p>
    <w:p>
      <w:pPr>
        <w:pStyle w:val="43"/>
        <w:bidi w:val="0"/>
        <w:rPr>
          <w:rFonts w:hint="default" w:ascii="Times New Roman" w:hAnsi="Times New Roman" w:cs="Times New Roman"/>
          <w:szCs w:val="21"/>
          <w:highlight w:val="none"/>
        </w:rPr>
      </w:pPr>
      <w:r>
        <w:rPr>
          <w:rFonts w:hint="default" w:ascii="Times New Roman" w:hAnsi="Times New Roman" w:eastAsia="宋体" w:cs="Times New Roman"/>
          <w:kern w:val="2"/>
          <w:sz w:val="21"/>
          <w:szCs w:val="24"/>
          <w:highlight w:val="none"/>
          <w:lang w:val="en-US" w:eastAsia="zh-CN" w:bidi="ar-SA"/>
        </w:rPr>
        <w:t>产品的化学成分检验不符合本文件规定时，应在该批产品中对不符合本文件规定的项目取双倍数量的样品按4.1所规定的检验项目进行重复检验。如仍有一个结果不符合本文件的规定时，则判该批产品为不合格。</w:t>
      </w:r>
    </w:p>
    <w:p>
      <w:pPr>
        <w:pStyle w:val="43"/>
        <w:bidi w:val="0"/>
        <w:rPr>
          <w:rFonts w:hint="default" w:ascii="Times New Roman" w:hAnsi="Times New Roman" w:cs="Times New Roman"/>
          <w:highlight w:val="none"/>
        </w:rPr>
      </w:pPr>
      <w:r>
        <w:rPr>
          <w:rFonts w:hint="default" w:ascii="Times New Roman" w:hAnsi="Times New Roman" w:eastAsia="宋体" w:cs="Times New Roman"/>
          <w:kern w:val="2"/>
          <w:sz w:val="21"/>
          <w:szCs w:val="24"/>
          <w:highlight w:val="none"/>
          <w:lang w:val="en-US" w:eastAsia="zh-CN" w:bidi="ar-SA"/>
        </w:rPr>
        <w:t>产品的费氏粒度、松装密度、氢损、石蜡含量检验不符合本文件规定时，应在该批产品中对不符合本文件规定的项目取双倍数量的样品按4.2~4.5所规定的检验项目进行重复检验。如仍有一个结果不符合本文件的规定时，则判该批产品为不合格。</w:t>
      </w:r>
    </w:p>
    <w:p>
      <w:pPr>
        <w:pStyle w:val="43"/>
        <w:bidi w:val="0"/>
        <w:rPr>
          <w:rFonts w:hint="default" w:ascii="Times New Roman" w:hAnsi="Times New Roman" w:eastAsia="宋体" w:cs="Times New Roman"/>
          <w:kern w:val="2"/>
          <w:sz w:val="21"/>
          <w:szCs w:val="24"/>
          <w:highlight w:val="none"/>
          <w:lang w:val="en-US" w:eastAsia="zh-CN" w:bidi="ar-SA"/>
        </w:rPr>
      </w:pPr>
      <w:r>
        <w:rPr>
          <w:rFonts w:hint="default" w:ascii="Times New Roman" w:hAnsi="Times New Roman" w:eastAsia="宋体" w:cs="Times New Roman"/>
          <w:kern w:val="2"/>
          <w:sz w:val="21"/>
          <w:szCs w:val="24"/>
          <w:highlight w:val="none"/>
          <w:lang w:val="en-US" w:eastAsia="zh-CN" w:bidi="ar-SA"/>
        </w:rPr>
        <w:t>产品的外观质量不符合本文件的规定时，则判该桶（袋）产品为不合格。</w:t>
      </w:r>
    </w:p>
    <w:p>
      <w:pPr>
        <w:pStyle w:val="42"/>
        <w:bidi w:val="0"/>
        <w:rPr>
          <w:rFonts w:hint="eastAsia"/>
          <w:szCs w:val="22"/>
          <w:highlight w:val="none"/>
        </w:rPr>
      </w:pPr>
      <w:r>
        <w:rPr>
          <w:rFonts w:hint="eastAsia"/>
          <w:szCs w:val="22"/>
          <w:highlight w:val="none"/>
        </w:rPr>
        <w:t>标志、包装、运输、贮存及</w:t>
      </w:r>
      <w:r>
        <w:rPr>
          <w:rFonts w:hint="eastAsia"/>
          <w:szCs w:val="22"/>
          <w:highlight w:val="none"/>
          <w:lang w:eastAsia="zh-CN"/>
        </w:rPr>
        <w:t>随行文件</w:t>
      </w:r>
    </w:p>
    <w:p>
      <w:pPr>
        <w:pStyle w:val="39"/>
        <w:bidi w:val="0"/>
        <w:rPr>
          <w:rFonts w:hint="eastAsia" w:ascii="宋体" w:hAnsi="宋体"/>
          <w:kern w:val="0"/>
          <w:highlight w:val="none"/>
        </w:rPr>
      </w:pPr>
      <w:r>
        <w:rPr>
          <w:rFonts w:hint="eastAsia" w:ascii="宋体" w:hAnsi="宋体"/>
          <w:kern w:val="0"/>
          <w:highlight w:val="none"/>
        </w:rPr>
        <w:t>标志</w:t>
      </w:r>
    </w:p>
    <w:p>
      <w:pPr>
        <w:pStyle w:val="43"/>
        <w:bidi w:val="0"/>
      </w:pPr>
      <w:r>
        <w:rPr>
          <w:rFonts w:hint="eastAsia"/>
        </w:rPr>
        <w:t>销售包装标志</w:t>
      </w:r>
    </w:p>
    <w:p>
      <w:pPr>
        <w:tabs>
          <w:tab w:val="left" w:pos="540"/>
        </w:tabs>
        <w:ind w:firstLine="420" w:firstLineChars="200"/>
        <w:outlineLvl w:val="1"/>
        <w:rPr>
          <w:rFonts w:hint="default" w:ascii="Times New Roman" w:hAnsi="Times New Roman" w:cs="Times New Roman"/>
        </w:rPr>
      </w:pPr>
      <w:r>
        <w:rPr>
          <w:rFonts w:hint="default" w:ascii="Times New Roman" w:hAnsi="Times New Roman" w:cs="Times New Roman"/>
        </w:rPr>
        <w:t>经检验合格的产品销售外包装上应打印如下标志（或贴标签）：</w:t>
      </w:r>
    </w:p>
    <w:p>
      <w:pPr>
        <w:tabs>
          <w:tab w:val="left" w:pos="540"/>
        </w:tabs>
        <w:ind w:firstLine="420" w:firstLineChars="200"/>
        <w:outlineLvl w:val="1"/>
        <w:rPr>
          <w:rFonts w:hint="default" w:ascii="Times New Roman" w:hAnsi="Times New Roman" w:cs="Times New Roman"/>
        </w:rPr>
      </w:pPr>
      <w:r>
        <w:rPr>
          <w:rFonts w:hint="default" w:ascii="Times New Roman" w:hAnsi="Times New Roman" w:cs="Times New Roman"/>
        </w:rPr>
        <w:t>a) 供方质量监督部门的印记；</w:t>
      </w:r>
    </w:p>
    <w:p>
      <w:pPr>
        <w:tabs>
          <w:tab w:val="left" w:pos="540"/>
        </w:tabs>
        <w:ind w:firstLine="420" w:firstLineChars="200"/>
        <w:outlineLvl w:val="1"/>
        <w:rPr>
          <w:rFonts w:hint="default" w:ascii="Times New Roman" w:hAnsi="Times New Roman" w:cs="Times New Roman"/>
        </w:rPr>
      </w:pPr>
      <w:r>
        <w:rPr>
          <w:rFonts w:hint="default" w:ascii="Times New Roman" w:hAnsi="Times New Roman" w:cs="Times New Roman"/>
        </w:rPr>
        <w:t>b) 供方名称、商标；</w:t>
      </w:r>
    </w:p>
    <w:p>
      <w:pPr>
        <w:tabs>
          <w:tab w:val="left" w:pos="540"/>
        </w:tabs>
        <w:ind w:firstLine="420" w:firstLineChars="200"/>
        <w:outlineLvl w:val="1"/>
        <w:rPr>
          <w:rFonts w:hint="default" w:ascii="Times New Roman" w:hAnsi="Times New Roman" w:cs="Times New Roman"/>
        </w:rPr>
      </w:pPr>
      <w:r>
        <w:rPr>
          <w:rFonts w:hint="default" w:ascii="Times New Roman" w:hAnsi="Times New Roman" w:cs="Times New Roman"/>
        </w:rPr>
        <w:t>c) 产品名称、牌号；</w:t>
      </w:r>
    </w:p>
    <w:p>
      <w:pPr>
        <w:tabs>
          <w:tab w:val="left" w:pos="540"/>
        </w:tabs>
        <w:ind w:firstLine="315" w:firstLineChars="150"/>
        <w:outlineLvl w:val="1"/>
        <w:rPr>
          <w:rFonts w:hint="default" w:ascii="Times New Roman" w:hAnsi="Times New Roman" w:cs="Times New Roman"/>
        </w:rPr>
      </w:pPr>
      <w:r>
        <w:rPr>
          <w:rFonts w:hint="default" w:ascii="Times New Roman" w:hAnsi="Times New Roman" w:cs="Times New Roman"/>
        </w:rPr>
        <w:t xml:space="preserve"> d）产品批号。</w:t>
      </w:r>
    </w:p>
    <w:p>
      <w:pPr>
        <w:pStyle w:val="43"/>
        <w:bidi w:val="0"/>
        <w:rPr>
          <w:rFonts w:hint="default" w:ascii="Times New Roman" w:hAnsi="Times New Roman" w:cs="Times New Roman"/>
          <w:highlight w:val="none"/>
        </w:rPr>
      </w:pPr>
      <w:r>
        <w:rPr>
          <w:rFonts w:hint="eastAsia"/>
        </w:rPr>
        <w:t>贮运</w:t>
      </w:r>
      <w:r>
        <w:rPr>
          <w:rFonts w:hint="default" w:ascii="Times New Roman" w:hAnsi="Times New Roman" w:cs="Times New Roman"/>
          <w:highlight w:val="none"/>
        </w:rPr>
        <w:t xml:space="preserve">包装标志     </w:t>
      </w:r>
    </w:p>
    <w:p>
      <w:pPr>
        <w:tabs>
          <w:tab w:val="left" w:pos="540"/>
        </w:tabs>
        <w:ind w:firstLine="420" w:firstLineChars="200"/>
        <w:outlineLvl w:val="1"/>
        <w:rPr>
          <w:rFonts w:hint="default" w:ascii="Times New Roman" w:hAnsi="Times New Roman" w:cs="Times New Roman"/>
          <w:highlight w:val="none"/>
        </w:rPr>
      </w:pPr>
      <w:r>
        <w:rPr>
          <w:rFonts w:hint="default" w:ascii="Times New Roman" w:hAnsi="Times New Roman" w:cs="Times New Roman"/>
          <w:highlight w:val="none"/>
        </w:rPr>
        <w:t>产品的外包装应注明：供方名称、地址、产品名称、商标、牌号、批号、净重和生产日期，并注明“防潮”、“轻放”、“向上”等字样或标志。</w:t>
      </w:r>
    </w:p>
    <w:p>
      <w:pPr>
        <w:pStyle w:val="39"/>
        <w:bidi w:val="0"/>
        <w:rPr>
          <w:rFonts w:hint="default" w:ascii="Times New Roman" w:hAnsi="Times New Roman" w:cs="Times New Roman"/>
          <w:kern w:val="0"/>
          <w:highlight w:val="none"/>
        </w:rPr>
      </w:pPr>
      <w:r>
        <w:rPr>
          <w:rFonts w:hint="default" w:ascii="Times New Roman" w:hAnsi="Times New Roman" w:cs="Times New Roman"/>
          <w:kern w:val="0"/>
          <w:highlight w:val="none"/>
        </w:rPr>
        <w:t>包装</w:t>
      </w:r>
    </w:p>
    <w:p>
      <w:pPr>
        <w:tabs>
          <w:tab w:val="left" w:pos="540"/>
        </w:tabs>
        <w:ind w:firstLine="420" w:firstLineChars="200"/>
        <w:outlineLvl w:val="1"/>
        <w:rPr>
          <w:rFonts w:hint="default" w:ascii="Times New Roman" w:hAnsi="Times New Roman" w:cs="Times New Roman"/>
          <w:highlight w:val="none"/>
        </w:rPr>
      </w:pPr>
      <w:r>
        <w:rPr>
          <w:rFonts w:hint="default" w:ascii="Times New Roman" w:hAnsi="Times New Roman" w:cs="Times New Roman"/>
          <w:highlight w:val="none"/>
        </w:rPr>
        <w:t>产品经检验合格后，采用真空包装或包装袋充保护性气体包装，并放于包装桶中加盖密封，每桶净重50kg。</w:t>
      </w:r>
    </w:p>
    <w:p>
      <w:pPr>
        <w:tabs>
          <w:tab w:val="left" w:pos="540"/>
        </w:tabs>
        <w:ind w:firstLine="420" w:firstLineChars="200"/>
        <w:outlineLvl w:val="1"/>
        <w:rPr>
          <w:rFonts w:hint="default" w:ascii="Times New Roman" w:hAnsi="Times New Roman" w:cs="Times New Roman"/>
          <w:color w:val="FFFFFF" w:themeColor="background1"/>
          <w:kern w:val="0"/>
          <w:szCs w:val="21"/>
          <w:highlight w:val="red"/>
          <w14:textFill>
            <w14:solidFill>
              <w14:schemeClr w14:val="bg1"/>
            </w14:solidFill>
          </w14:textFill>
        </w:rPr>
      </w:pPr>
      <w:r>
        <w:rPr>
          <w:rFonts w:hint="default" w:ascii="Times New Roman" w:hAnsi="Times New Roman" w:cs="Times New Roman"/>
          <w:kern w:val="0"/>
          <w:szCs w:val="21"/>
        </w:rPr>
        <w:t>需方对包装有特殊要求时，由供需双方协商确定。</w:t>
      </w:r>
    </w:p>
    <w:p>
      <w:pPr>
        <w:pStyle w:val="39"/>
        <w:bidi w:val="0"/>
        <w:rPr>
          <w:rFonts w:hint="default" w:ascii="Times New Roman" w:hAnsi="Times New Roman" w:cs="Times New Roman"/>
          <w:kern w:val="0"/>
        </w:rPr>
      </w:pPr>
      <w:r>
        <w:rPr>
          <w:rFonts w:hint="default" w:ascii="Times New Roman" w:hAnsi="Times New Roman" w:cs="Times New Roman"/>
          <w:kern w:val="0"/>
        </w:rPr>
        <w:t>运输</w:t>
      </w:r>
    </w:p>
    <w:p>
      <w:pPr>
        <w:tabs>
          <w:tab w:val="left" w:pos="540"/>
        </w:tabs>
        <w:ind w:firstLine="420" w:firstLineChars="200"/>
        <w:outlineLvl w:val="1"/>
        <w:rPr>
          <w:rFonts w:hint="default" w:ascii="Times New Roman" w:hAnsi="Times New Roman" w:cs="Times New Roman"/>
        </w:rPr>
      </w:pPr>
      <w:r>
        <w:rPr>
          <w:rFonts w:hint="default" w:ascii="Times New Roman" w:hAnsi="Times New Roman" w:cs="Times New Roman"/>
        </w:rPr>
        <w:t>运输时防止产品受雨、受潮，运输车辆应清洁。在搬运过程中应轻拿轻放，不得滚动、倒置及剧烈碰撞，</w:t>
      </w:r>
      <w:r>
        <w:rPr>
          <w:rFonts w:hint="default" w:ascii="Times New Roman" w:hAnsi="Times New Roman" w:cs="Times New Roman"/>
          <w:kern w:val="0"/>
          <w:szCs w:val="21"/>
        </w:rPr>
        <w:t>避免损坏包装。</w:t>
      </w:r>
    </w:p>
    <w:p>
      <w:pPr>
        <w:pStyle w:val="39"/>
        <w:bidi w:val="0"/>
        <w:rPr>
          <w:rFonts w:hint="default" w:ascii="Times New Roman" w:hAnsi="Times New Roman" w:cs="Times New Roman"/>
          <w:kern w:val="0"/>
        </w:rPr>
      </w:pPr>
      <w:r>
        <w:rPr>
          <w:rFonts w:hint="default" w:ascii="Times New Roman" w:hAnsi="Times New Roman" w:cs="Times New Roman"/>
          <w:kern w:val="0"/>
        </w:rPr>
        <w:t>贮存</w:t>
      </w:r>
    </w:p>
    <w:p>
      <w:pPr>
        <w:tabs>
          <w:tab w:val="left" w:pos="540"/>
        </w:tabs>
        <w:ind w:firstLine="420" w:firstLineChars="200"/>
        <w:outlineLvl w:val="1"/>
        <w:rPr>
          <w:rFonts w:ascii="宋体" w:hAnsi="宋体"/>
        </w:rPr>
      </w:pPr>
      <w:r>
        <w:rPr>
          <w:rFonts w:hint="eastAsia" w:ascii="宋体" w:hAnsi="宋体"/>
        </w:rPr>
        <w:t>产品应存放于干燥、通风、无腐蚀性气体的环境中，严防受潮、腐蚀。</w:t>
      </w:r>
    </w:p>
    <w:p>
      <w:pPr>
        <w:pStyle w:val="39"/>
        <w:spacing w:before="156" w:after="156"/>
      </w:pPr>
      <w:r>
        <w:rPr>
          <w:rFonts w:hint="eastAsia"/>
          <w:lang w:val="en-US" w:eastAsia="zh-CN"/>
        </w:rPr>
        <w:t>随行文件</w:t>
      </w:r>
    </w:p>
    <w:p>
      <w:pPr>
        <w:tabs>
          <w:tab w:val="left" w:pos="540"/>
        </w:tabs>
        <w:ind w:left="0" w:firstLine="0" w:firstLineChars="0"/>
        <w:rPr>
          <w:rFonts w:hint="default" w:ascii="Times New Roman" w:hAnsi="Times New Roman" w:eastAsia="宋体" w:cs="Times New Roman"/>
        </w:rPr>
      </w:pPr>
      <w:r>
        <w:rPr>
          <w:rFonts w:hint="default" w:ascii="Times New Roman" w:hAnsi="Times New Roman" w:eastAsia="宋体" w:cs="Times New Roman"/>
        </w:rPr>
        <w:t xml:space="preserve">    </w:t>
      </w:r>
      <w:r>
        <w:rPr>
          <w:rFonts w:hint="default" w:ascii="宋体" w:hAnsi="宋体"/>
        </w:rPr>
        <w:t>每批产品应附有</w:t>
      </w:r>
      <w:r>
        <w:rPr>
          <w:rFonts w:hint="eastAsia" w:ascii="宋体" w:hAnsi="宋体"/>
          <w:lang w:val="en-US" w:eastAsia="zh-CN"/>
        </w:rPr>
        <w:t>随行文件，其中除应包括供方信息、</w:t>
      </w:r>
      <w:r>
        <w:rPr>
          <w:rFonts w:hint="default" w:ascii="宋体" w:hAnsi="宋体"/>
        </w:rPr>
        <w:t>产品</w:t>
      </w:r>
      <w:r>
        <w:rPr>
          <w:rFonts w:hint="eastAsia" w:ascii="宋体" w:hAnsi="宋体"/>
          <w:lang w:val="en-US" w:eastAsia="zh-CN"/>
        </w:rPr>
        <w:t>信息、本文件编号、出厂日期或包装日期外，还宜包括</w:t>
      </w:r>
      <w:r>
        <w:rPr>
          <w:rFonts w:hint="default" w:ascii="宋体" w:hAnsi="宋体"/>
        </w:rPr>
        <w:t>：</w:t>
      </w:r>
    </w:p>
    <w:p>
      <w:pPr>
        <w:tabs>
          <w:tab w:val="left" w:pos="540"/>
        </w:tabs>
        <w:ind w:left="420" w:leftChars="200"/>
        <w:rPr>
          <w:rFonts w:hint="eastAsia" w:ascii="Times New Roman" w:hAnsi="Times New Roman" w:eastAsia="宋体" w:cs="Times New Roman"/>
          <w:color w:val="000000"/>
          <w:lang w:eastAsia="zh-CN"/>
        </w:rPr>
      </w:pPr>
      <w:r>
        <w:rPr>
          <w:rFonts w:hint="default" w:ascii="Times New Roman" w:hAnsi="Times New Roman" w:eastAsia="宋体" w:cs="Times New Roman"/>
          <w:color w:val="000000"/>
        </w:rPr>
        <w:t>a) 产品质量保证书</w:t>
      </w:r>
      <w:r>
        <w:rPr>
          <w:rFonts w:hint="eastAsia" w:cs="Times New Roman"/>
          <w:color w:val="000000"/>
          <w:lang w:eastAsia="zh-CN"/>
        </w:rPr>
        <w:t>：</w:t>
      </w:r>
    </w:p>
    <w:p>
      <w:pPr>
        <w:keepNext w:val="0"/>
        <w:keepLines w:val="0"/>
        <w:pageBreakBefore w:val="0"/>
        <w:widowControl w:val="0"/>
        <w:tabs>
          <w:tab w:val="left" w:pos="540"/>
        </w:tabs>
        <w:kinsoku/>
        <w:wordWrap/>
        <w:overflowPunct/>
        <w:topLinePunct w:val="0"/>
        <w:autoSpaceDE/>
        <w:autoSpaceDN/>
        <w:bidi w:val="0"/>
        <w:adjustRightInd/>
        <w:snapToGrid/>
        <w:ind w:left="630" w:leftChars="300"/>
        <w:textAlignment w:val="auto"/>
        <w:rPr>
          <w:rFonts w:hint="eastAsia" w:ascii="Times New Roman" w:hAnsi="Times New Roman" w:eastAsia="宋体" w:cs="Times New Roman"/>
          <w:color w:val="000000"/>
          <w:lang w:eastAsia="zh-CN"/>
        </w:rPr>
      </w:pPr>
      <w:r>
        <w:rPr>
          <w:rFonts w:hint="default" w:ascii="Times New Roman" w:hAnsi="Times New Roman" w:eastAsia="宋体" w:cs="Times New Roman"/>
          <w:color w:val="000000"/>
          <w:sz w:val="16"/>
        </w:rPr>
        <w:t>●</w:t>
      </w:r>
      <w:r>
        <w:rPr>
          <w:rFonts w:hint="eastAsia" w:cs="Times New Roman"/>
          <w:color w:val="000000"/>
          <w:sz w:val="16"/>
          <w:lang w:val="en-US" w:eastAsia="zh-CN"/>
        </w:rPr>
        <w:t xml:space="preserve"> </w:t>
      </w:r>
      <w:r>
        <w:rPr>
          <w:rFonts w:hint="default" w:ascii="Times New Roman" w:hAnsi="Times New Roman" w:eastAsia="宋体" w:cs="Times New Roman"/>
          <w:color w:val="000000"/>
        </w:rPr>
        <w:t>产品的主要性能及技术参数</w:t>
      </w:r>
      <w:r>
        <w:rPr>
          <w:rFonts w:hint="eastAsia" w:cs="Times New Roman"/>
          <w:color w:val="000000"/>
          <w:lang w:eastAsia="zh-CN"/>
        </w:rPr>
        <w:t>；</w:t>
      </w:r>
    </w:p>
    <w:p>
      <w:pPr>
        <w:keepNext w:val="0"/>
        <w:keepLines w:val="0"/>
        <w:pageBreakBefore w:val="0"/>
        <w:widowControl w:val="0"/>
        <w:tabs>
          <w:tab w:val="left" w:pos="540"/>
        </w:tabs>
        <w:kinsoku/>
        <w:wordWrap/>
        <w:overflowPunct/>
        <w:topLinePunct w:val="0"/>
        <w:autoSpaceDE/>
        <w:autoSpaceDN/>
        <w:bidi w:val="0"/>
        <w:adjustRightInd/>
        <w:snapToGrid/>
        <w:ind w:left="630" w:leftChars="300"/>
        <w:textAlignment w:val="auto"/>
        <w:rPr>
          <w:rFonts w:hint="eastAsia" w:cs="Times New Roman"/>
          <w:color w:val="000000"/>
          <w:lang w:eastAsia="zh-CN"/>
        </w:rPr>
      </w:pPr>
      <w:r>
        <w:rPr>
          <w:rFonts w:hint="default" w:ascii="Times New Roman" w:hAnsi="Times New Roman" w:eastAsia="宋体" w:cs="Times New Roman"/>
          <w:color w:val="000000"/>
          <w:sz w:val="16"/>
        </w:rPr>
        <w:t>●</w:t>
      </w:r>
      <w:r>
        <w:rPr>
          <w:rFonts w:hint="eastAsia" w:cs="Times New Roman"/>
          <w:color w:val="000000"/>
          <w:sz w:val="16"/>
          <w:lang w:val="en-US" w:eastAsia="zh-CN"/>
        </w:rPr>
        <w:t xml:space="preserve"> </w:t>
      </w:r>
      <w:r>
        <w:rPr>
          <w:rFonts w:hint="default" w:ascii="Times New Roman" w:hAnsi="Times New Roman" w:eastAsia="宋体" w:cs="Times New Roman"/>
          <w:color w:val="000000"/>
        </w:rPr>
        <w:t>产品特点(包括制造工艺及原材料的特点)</w:t>
      </w:r>
      <w:r>
        <w:rPr>
          <w:rFonts w:hint="eastAsia" w:cs="Times New Roman"/>
          <w:color w:val="000000"/>
          <w:lang w:eastAsia="zh-CN"/>
        </w:rPr>
        <w:t>；</w:t>
      </w:r>
    </w:p>
    <w:p>
      <w:pPr>
        <w:keepNext w:val="0"/>
        <w:keepLines w:val="0"/>
        <w:pageBreakBefore w:val="0"/>
        <w:widowControl w:val="0"/>
        <w:tabs>
          <w:tab w:val="left" w:pos="540"/>
        </w:tabs>
        <w:kinsoku/>
        <w:wordWrap/>
        <w:overflowPunct/>
        <w:topLinePunct w:val="0"/>
        <w:autoSpaceDE/>
        <w:autoSpaceDN/>
        <w:bidi w:val="0"/>
        <w:adjustRightInd/>
        <w:snapToGrid/>
        <w:ind w:left="630" w:leftChars="300"/>
        <w:textAlignment w:val="auto"/>
        <w:rPr>
          <w:rFonts w:hint="eastAsia" w:cs="Times New Roman"/>
          <w:color w:val="000000"/>
          <w:lang w:eastAsia="zh-CN"/>
        </w:rPr>
      </w:pPr>
      <w:r>
        <w:rPr>
          <w:rFonts w:hint="default" w:ascii="Times New Roman" w:hAnsi="Times New Roman" w:eastAsia="宋体" w:cs="Times New Roman"/>
          <w:color w:val="000000"/>
          <w:sz w:val="16"/>
        </w:rPr>
        <w:t>●</w:t>
      </w:r>
      <w:r>
        <w:rPr>
          <w:rFonts w:hint="eastAsia" w:cs="Times New Roman"/>
          <w:color w:val="000000"/>
          <w:sz w:val="16"/>
          <w:lang w:val="en-US" w:eastAsia="zh-CN"/>
        </w:rPr>
        <w:t xml:space="preserve"> </w:t>
      </w:r>
      <w:r>
        <w:rPr>
          <w:rFonts w:hint="default" w:ascii="Times New Roman" w:hAnsi="Times New Roman" w:eastAsia="宋体" w:cs="Times New Roman"/>
          <w:color w:val="000000"/>
        </w:rPr>
        <w:t>对产品质量所负的责任</w:t>
      </w:r>
      <w:r>
        <w:rPr>
          <w:rFonts w:hint="eastAsia" w:cs="Times New Roman"/>
          <w:color w:val="000000"/>
          <w:lang w:eastAsia="zh-CN"/>
        </w:rPr>
        <w:t>；</w:t>
      </w:r>
    </w:p>
    <w:p>
      <w:pPr>
        <w:keepNext w:val="0"/>
        <w:keepLines w:val="0"/>
        <w:pageBreakBefore w:val="0"/>
        <w:widowControl w:val="0"/>
        <w:tabs>
          <w:tab w:val="left" w:pos="540"/>
        </w:tabs>
        <w:kinsoku/>
        <w:wordWrap/>
        <w:overflowPunct/>
        <w:topLinePunct w:val="0"/>
        <w:autoSpaceDE/>
        <w:autoSpaceDN/>
        <w:bidi w:val="0"/>
        <w:adjustRightInd/>
        <w:snapToGrid/>
        <w:ind w:left="630" w:leftChars="300"/>
        <w:textAlignment w:val="auto"/>
        <w:rPr>
          <w:rFonts w:hint="eastAsia" w:cs="Times New Roman"/>
          <w:color w:val="000000"/>
          <w:lang w:eastAsia="zh-CN"/>
        </w:rPr>
      </w:pPr>
      <w:r>
        <w:rPr>
          <w:rFonts w:hint="default" w:ascii="Times New Roman" w:hAnsi="Times New Roman" w:eastAsia="宋体" w:cs="Times New Roman"/>
          <w:color w:val="000000"/>
          <w:sz w:val="16"/>
        </w:rPr>
        <w:t>●</w:t>
      </w:r>
      <w:r>
        <w:rPr>
          <w:rFonts w:hint="eastAsia" w:cs="Times New Roman"/>
          <w:color w:val="000000"/>
          <w:sz w:val="16"/>
          <w:lang w:val="en-US" w:eastAsia="zh-CN"/>
        </w:rPr>
        <w:t xml:space="preserve"> </w:t>
      </w:r>
      <w:r>
        <w:rPr>
          <w:rFonts w:hint="default" w:ascii="Times New Roman" w:hAnsi="Times New Roman" w:eastAsia="宋体" w:cs="Times New Roman"/>
          <w:color w:val="000000"/>
        </w:rPr>
        <w:t>产品获得的质量认证及带供方技术监督部门检印的各项分析检验结果</w:t>
      </w:r>
      <w:r>
        <w:rPr>
          <w:rFonts w:hint="eastAsia" w:cs="Times New Roman"/>
          <w:color w:val="000000"/>
          <w:lang w:eastAsia="zh-CN"/>
        </w:rPr>
        <w:t>；</w:t>
      </w:r>
    </w:p>
    <w:p>
      <w:pPr>
        <w:tabs>
          <w:tab w:val="left" w:pos="540"/>
        </w:tabs>
        <w:ind w:left="420" w:leftChars="200"/>
        <w:rPr>
          <w:rFonts w:hint="eastAsia" w:cs="Times New Roman"/>
          <w:color w:val="000000"/>
          <w:lang w:eastAsia="zh-CN"/>
        </w:rPr>
      </w:pPr>
      <w:r>
        <w:rPr>
          <w:rFonts w:hint="default" w:ascii="Times New Roman" w:hAnsi="Times New Roman" w:eastAsia="宋体" w:cs="Times New Roman"/>
          <w:color w:val="000000"/>
        </w:rPr>
        <w:t>b) 产品合格证</w:t>
      </w:r>
      <w:r>
        <w:rPr>
          <w:rFonts w:hint="eastAsia" w:cs="Times New Roman"/>
          <w:color w:val="000000"/>
          <w:lang w:eastAsia="zh-CN"/>
        </w:rPr>
        <w:t>：</w:t>
      </w:r>
    </w:p>
    <w:p>
      <w:pPr>
        <w:keepNext w:val="0"/>
        <w:keepLines w:val="0"/>
        <w:pageBreakBefore w:val="0"/>
        <w:widowControl w:val="0"/>
        <w:tabs>
          <w:tab w:val="left" w:pos="540"/>
        </w:tabs>
        <w:kinsoku/>
        <w:wordWrap/>
        <w:overflowPunct/>
        <w:topLinePunct w:val="0"/>
        <w:autoSpaceDE/>
        <w:autoSpaceDN/>
        <w:bidi w:val="0"/>
        <w:adjustRightInd/>
        <w:snapToGrid/>
        <w:ind w:left="630" w:leftChars="300"/>
        <w:textAlignment w:val="auto"/>
        <w:rPr>
          <w:rFonts w:hint="eastAsia" w:ascii="Times New Roman" w:hAnsi="Times New Roman" w:eastAsia="宋体" w:cs="Times New Roman"/>
          <w:color w:val="000000"/>
          <w:lang w:eastAsia="zh-CN"/>
        </w:rPr>
      </w:pPr>
      <w:r>
        <w:rPr>
          <w:rFonts w:hint="default" w:ascii="Times New Roman" w:hAnsi="Times New Roman" w:eastAsia="宋体" w:cs="Times New Roman"/>
          <w:color w:val="000000"/>
          <w:sz w:val="16"/>
        </w:rPr>
        <w:t>●</w:t>
      </w:r>
      <w:r>
        <w:rPr>
          <w:rFonts w:hint="eastAsia" w:cs="Times New Roman"/>
          <w:color w:val="000000"/>
          <w:sz w:val="16"/>
          <w:lang w:val="en-US" w:eastAsia="zh-CN"/>
        </w:rPr>
        <w:t xml:space="preserve"> </w:t>
      </w:r>
      <w:r>
        <w:rPr>
          <w:rFonts w:hint="default" w:ascii="Times New Roman" w:hAnsi="Times New Roman" w:eastAsia="宋体" w:cs="Times New Roman"/>
          <w:color w:val="000000"/>
        </w:rPr>
        <w:t>检验项目及其结果或检验结论</w:t>
      </w:r>
      <w:r>
        <w:rPr>
          <w:rFonts w:hint="eastAsia" w:ascii="Times New Roman" w:hAnsi="Times New Roman" w:eastAsia="宋体" w:cs="Times New Roman"/>
          <w:color w:val="000000"/>
          <w:lang w:eastAsia="zh-CN"/>
        </w:rPr>
        <w:t>；</w:t>
      </w:r>
    </w:p>
    <w:p>
      <w:pPr>
        <w:keepNext w:val="0"/>
        <w:keepLines w:val="0"/>
        <w:pageBreakBefore w:val="0"/>
        <w:widowControl w:val="0"/>
        <w:tabs>
          <w:tab w:val="left" w:pos="540"/>
        </w:tabs>
        <w:kinsoku/>
        <w:wordWrap/>
        <w:overflowPunct/>
        <w:topLinePunct w:val="0"/>
        <w:autoSpaceDE/>
        <w:autoSpaceDN/>
        <w:bidi w:val="0"/>
        <w:adjustRightInd/>
        <w:snapToGrid/>
        <w:ind w:left="630" w:leftChars="300"/>
        <w:textAlignment w:val="auto"/>
        <w:rPr>
          <w:rFonts w:hint="eastAsia" w:ascii="Times New Roman" w:hAnsi="Times New Roman" w:eastAsia="宋体" w:cs="Times New Roman"/>
          <w:color w:val="000000"/>
          <w:lang w:eastAsia="zh-CN"/>
        </w:rPr>
      </w:pPr>
      <w:r>
        <w:rPr>
          <w:rFonts w:hint="default" w:ascii="Times New Roman" w:hAnsi="Times New Roman" w:eastAsia="宋体" w:cs="Times New Roman"/>
          <w:color w:val="000000"/>
          <w:sz w:val="16"/>
        </w:rPr>
        <w:t>●</w:t>
      </w:r>
      <w:r>
        <w:rPr>
          <w:rFonts w:hint="eastAsia" w:cs="Times New Roman"/>
          <w:color w:val="000000"/>
          <w:sz w:val="16"/>
          <w:lang w:val="en-US" w:eastAsia="zh-CN"/>
        </w:rPr>
        <w:t xml:space="preserve"> </w:t>
      </w:r>
      <w:r>
        <w:rPr>
          <w:rFonts w:hint="default" w:ascii="Times New Roman" w:hAnsi="Times New Roman" w:eastAsia="宋体" w:cs="Times New Roman"/>
          <w:color w:val="000000"/>
        </w:rPr>
        <w:t>批号</w:t>
      </w:r>
      <w:r>
        <w:rPr>
          <w:rFonts w:hint="eastAsia" w:ascii="Times New Roman" w:hAnsi="Times New Roman" w:eastAsia="宋体" w:cs="Times New Roman"/>
          <w:color w:val="000000"/>
          <w:lang w:eastAsia="zh-CN"/>
        </w:rPr>
        <w:t>；</w:t>
      </w:r>
    </w:p>
    <w:p>
      <w:pPr>
        <w:keepNext w:val="0"/>
        <w:keepLines w:val="0"/>
        <w:pageBreakBefore w:val="0"/>
        <w:widowControl w:val="0"/>
        <w:tabs>
          <w:tab w:val="left" w:pos="540"/>
        </w:tabs>
        <w:kinsoku/>
        <w:wordWrap/>
        <w:overflowPunct/>
        <w:topLinePunct w:val="0"/>
        <w:autoSpaceDE/>
        <w:autoSpaceDN/>
        <w:bidi w:val="0"/>
        <w:adjustRightInd/>
        <w:snapToGrid/>
        <w:ind w:left="630" w:leftChars="300"/>
        <w:textAlignment w:val="auto"/>
        <w:rPr>
          <w:rFonts w:hint="eastAsia" w:ascii="Times New Roman" w:hAnsi="Times New Roman" w:eastAsia="宋体" w:cs="Times New Roman"/>
          <w:color w:val="000000"/>
          <w:lang w:eastAsia="zh-CN"/>
        </w:rPr>
      </w:pPr>
      <w:r>
        <w:rPr>
          <w:rFonts w:hint="default" w:ascii="Times New Roman" w:hAnsi="Times New Roman" w:eastAsia="宋体" w:cs="Times New Roman"/>
          <w:color w:val="000000"/>
          <w:sz w:val="16"/>
        </w:rPr>
        <w:t>●</w:t>
      </w:r>
      <w:r>
        <w:rPr>
          <w:rFonts w:hint="eastAsia" w:cs="Times New Roman"/>
          <w:color w:val="000000"/>
          <w:sz w:val="16"/>
          <w:lang w:val="en-US" w:eastAsia="zh-CN"/>
        </w:rPr>
        <w:t xml:space="preserve"> </w:t>
      </w:r>
      <w:r>
        <w:rPr>
          <w:rFonts w:hint="default" w:ascii="Times New Roman" w:hAnsi="Times New Roman" w:eastAsia="宋体" w:cs="Times New Roman"/>
          <w:color w:val="000000"/>
        </w:rPr>
        <w:t>检验日期</w:t>
      </w:r>
      <w:r>
        <w:rPr>
          <w:rFonts w:hint="eastAsia" w:ascii="Times New Roman" w:hAnsi="Times New Roman" w:eastAsia="宋体" w:cs="Times New Roman"/>
          <w:color w:val="000000"/>
          <w:lang w:eastAsia="zh-CN"/>
        </w:rPr>
        <w:t>；</w:t>
      </w:r>
    </w:p>
    <w:p>
      <w:pPr>
        <w:keepNext w:val="0"/>
        <w:keepLines w:val="0"/>
        <w:pageBreakBefore w:val="0"/>
        <w:widowControl w:val="0"/>
        <w:tabs>
          <w:tab w:val="left" w:pos="540"/>
        </w:tabs>
        <w:kinsoku/>
        <w:wordWrap/>
        <w:overflowPunct/>
        <w:topLinePunct w:val="0"/>
        <w:autoSpaceDE/>
        <w:autoSpaceDN/>
        <w:bidi w:val="0"/>
        <w:adjustRightInd/>
        <w:snapToGrid/>
        <w:ind w:left="630" w:leftChars="300"/>
        <w:textAlignment w:val="auto"/>
        <w:rPr>
          <w:rFonts w:hint="eastAsia" w:ascii="Times New Roman" w:hAnsi="Times New Roman" w:eastAsia="宋体" w:cs="Times New Roman"/>
          <w:color w:val="000000"/>
          <w:lang w:eastAsia="zh-CN"/>
        </w:rPr>
      </w:pPr>
      <w:r>
        <w:rPr>
          <w:rFonts w:hint="default" w:ascii="Times New Roman" w:hAnsi="Times New Roman" w:eastAsia="宋体" w:cs="Times New Roman"/>
          <w:color w:val="000000"/>
          <w:sz w:val="16"/>
        </w:rPr>
        <w:t>●</w:t>
      </w:r>
      <w:r>
        <w:rPr>
          <w:rFonts w:hint="eastAsia" w:cs="Times New Roman"/>
          <w:color w:val="000000"/>
          <w:sz w:val="16"/>
          <w:lang w:val="en-US" w:eastAsia="zh-CN"/>
        </w:rPr>
        <w:t xml:space="preserve"> </w:t>
      </w:r>
      <w:r>
        <w:rPr>
          <w:rFonts w:hint="default" w:ascii="Times New Roman" w:hAnsi="Times New Roman" w:eastAsia="宋体" w:cs="Times New Roman"/>
          <w:color w:val="000000"/>
        </w:rPr>
        <w:t>检验员签名或盖章</w:t>
      </w:r>
      <w:r>
        <w:rPr>
          <w:rFonts w:hint="eastAsia" w:ascii="Times New Roman" w:hAnsi="Times New Roman" w:eastAsia="宋体" w:cs="Times New Roman"/>
          <w:color w:val="000000"/>
          <w:lang w:eastAsia="zh-CN"/>
        </w:rPr>
        <w:t>；</w:t>
      </w:r>
    </w:p>
    <w:p>
      <w:pPr>
        <w:tabs>
          <w:tab w:val="left" w:pos="540"/>
        </w:tabs>
        <w:ind w:left="420" w:leftChars="200"/>
        <w:rPr>
          <w:rFonts w:hint="eastAsia" w:cs="Times New Roman"/>
          <w:color w:val="000000"/>
          <w:lang w:eastAsia="zh-CN"/>
        </w:rPr>
      </w:pPr>
      <w:r>
        <w:rPr>
          <w:rFonts w:hint="eastAsia" w:cs="Times New Roman"/>
          <w:color w:val="000000"/>
          <w:lang w:val="en-US" w:eastAsia="zh-CN"/>
        </w:rPr>
        <w:t>c</w:t>
      </w:r>
      <w:r>
        <w:rPr>
          <w:rFonts w:hint="default" w:ascii="Times New Roman" w:hAnsi="Times New Roman" w:eastAsia="宋体" w:cs="Times New Roman"/>
          <w:color w:val="000000"/>
        </w:rPr>
        <w:t>)产品质量控制程中的检验报告及成品检验报告</w:t>
      </w:r>
      <w:r>
        <w:rPr>
          <w:rFonts w:hint="eastAsia" w:cs="Times New Roman"/>
          <w:color w:val="000000"/>
          <w:lang w:eastAsia="zh-CN"/>
        </w:rPr>
        <w:t>；</w:t>
      </w:r>
    </w:p>
    <w:p>
      <w:pPr>
        <w:tabs>
          <w:tab w:val="left" w:pos="540"/>
        </w:tabs>
        <w:ind w:left="420" w:leftChars="200"/>
        <w:rPr>
          <w:rFonts w:hint="eastAsia" w:ascii="Times New Roman" w:hAnsi="Times New Roman" w:eastAsia="宋体" w:cs="Times New Roman"/>
          <w:color w:val="000000"/>
          <w:lang w:eastAsia="zh-CN"/>
        </w:rPr>
      </w:pPr>
      <w:r>
        <w:rPr>
          <w:rFonts w:hint="default" w:ascii="Times New Roman" w:hAnsi="Times New Roman" w:eastAsia="宋体" w:cs="Times New Roman"/>
          <w:color w:val="000000"/>
        </w:rPr>
        <w:t>d) 产品使用说明</w:t>
      </w:r>
      <w:r>
        <w:rPr>
          <w:rFonts w:hint="eastAsia" w:cs="Times New Roman"/>
          <w:color w:val="000000"/>
          <w:lang w:eastAsia="zh-CN"/>
        </w:rPr>
        <w:t>：</w:t>
      </w:r>
      <w:r>
        <w:rPr>
          <w:rFonts w:hint="default" w:ascii="Times New Roman" w:hAnsi="Times New Roman" w:eastAsia="宋体" w:cs="Times New Roman"/>
          <w:color w:val="000000"/>
        </w:rPr>
        <w:t>正确搬运、使用、贮存方法等</w:t>
      </w:r>
      <w:r>
        <w:rPr>
          <w:rFonts w:hint="eastAsia" w:cs="Times New Roman"/>
          <w:color w:val="000000"/>
          <w:lang w:eastAsia="zh-CN"/>
        </w:rPr>
        <w:t>；</w:t>
      </w:r>
    </w:p>
    <w:p>
      <w:pPr>
        <w:tabs>
          <w:tab w:val="left" w:pos="540"/>
        </w:tabs>
        <w:ind w:left="420" w:leftChars="200"/>
        <w:rPr>
          <w:rFonts w:hint="eastAsia" w:ascii="Times New Roman" w:hAnsi="Times New Roman" w:eastAsia="宋体" w:cs="Times New Roman"/>
          <w:color w:val="000000"/>
          <w:lang w:eastAsia="zh-CN"/>
        </w:rPr>
      </w:pPr>
      <w:r>
        <w:rPr>
          <w:rFonts w:hint="default" w:ascii="Times New Roman" w:hAnsi="Times New Roman" w:eastAsia="宋体" w:cs="Times New Roman"/>
          <w:color w:val="000000"/>
        </w:rPr>
        <w:t>e) 其他</w:t>
      </w:r>
      <w:r>
        <w:rPr>
          <w:rFonts w:hint="eastAsia" w:cs="Times New Roman"/>
          <w:color w:val="000000"/>
          <w:lang w:eastAsia="zh-CN"/>
        </w:rPr>
        <w:t>。</w:t>
      </w:r>
    </w:p>
    <w:p>
      <w:pPr>
        <w:pStyle w:val="42"/>
        <w:spacing w:before="312" w:after="312"/>
        <w:rPr>
          <w:szCs w:val="22"/>
        </w:rPr>
      </w:pPr>
      <w:r>
        <w:rPr>
          <w:rFonts w:hint="eastAsia"/>
          <w:szCs w:val="22"/>
        </w:rPr>
        <w:t>订货单内容</w:t>
      </w:r>
    </w:p>
    <w:p>
      <w:pPr>
        <w:tabs>
          <w:tab w:val="left" w:pos="540"/>
        </w:tabs>
        <w:rPr>
          <w:rFonts w:hint="eastAsia" w:ascii="Times New Roman" w:hAnsi="Times New Roman" w:eastAsia="宋体" w:cs="Times New Roman"/>
          <w:lang w:eastAsia="zh-CN"/>
        </w:rPr>
      </w:pPr>
      <w:r>
        <w:rPr>
          <w:rFonts w:hint="default" w:ascii="Times New Roman" w:hAnsi="Times New Roman" w:eastAsia="宋体" w:cs="Times New Roman"/>
        </w:rPr>
        <w:t xml:space="preserve">    </w:t>
      </w:r>
      <w:r>
        <w:rPr>
          <w:rFonts w:hint="eastAsia" w:cs="Times New Roman"/>
          <w:lang w:val="en-US" w:eastAsia="zh-CN"/>
        </w:rPr>
        <w:t>需方可根据自身需要，在订购</w:t>
      </w:r>
      <w:r>
        <w:rPr>
          <w:rFonts w:hint="default" w:ascii="Times New Roman" w:hAnsi="Times New Roman" w:eastAsia="宋体" w:cs="Times New Roman"/>
        </w:rPr>
        <w:t>本文件所列产品的订货单</w:t>
      </w:r>
      <w:r>
        <w:rPr>
          <w:rFonts w:hint="eastAsia" w:cs="Times New Roman"/>
          <w:lang w:val="en-US" w:eastAsia="zh-CN"/>
        </w:rPr>
        <w:t>内，列出如下内容</w:t>
      </w:r>
      <w:r>
        <w:rPr>
          <w:rFonts w:hint="eastAsia" w:cs="Times New Roman"/>
          <w:lang w:eastAsia="zh-CN"/>
        </w:rPr>
        <w:t>：</w:t>
      </w:r>
    </w:p>
    <w:p>
      <w:pPr>
        <w:numPr>
          <w:ilvl w:val="0"/>
          <w:numId w:val="19"/>
        </w:numPr>
        <w:tabs>
          <w:tab w:val="left" w:pos="540"/>
        </w:tabs>
        <w:rPr>
          <w:rFonts w:hint="default" w:ascii="Times New Roman" w:hAnsi="Times New Roman" w:eastAsia="宋体" w:cs="Times New Roman"/>
        </w:rPr>
      </w:pPr>
      <w:r>
        <w:rPr>
          <w:rFonts w:hint="default" w:ascii="Times New Roman" w:hAnsi="Times New Roman" w:eastAsia="宋体" w:cs="Times New Roman"/>
        </w:rPr>
        <w:t>产品名称；</w:t>
      </w:r>
    </w:p>
    <w:p>
      <w:pPr>
        <w:numPr>
          <w:ilvl w:val="0"/>
          <w:numId w:val="19"/>
        </w:numPr>
        <w:tabs>
          <w:tab w:val="left" w:pos="540"/>
        </w:tabs>
        <w:rPr>
          <w:rFonts w:hint="default" w:ascii="Times New Roman" w:hAnsi="Times New Roman" w:eastAsia="宋体" w:cs="Times New Roman"/>
        </w:rPr>
      </w:pPr>
      <w:r>
        <w:rPr>
          <w:rFonts w:hint="default" w:ascii="Times New Roman" w:hAnsi="Times New Roman" w:eastAsia="宋体" w:cs="Times New Roman"/>
        </w:rPr>
        <w:t>牌号、等级；</w:t>
      </w:r>
    </w:p>
    <w:p>
      <w:pPr>
        <w:numPr>
          <w:ilvl w:val="0"/>
          <w:numId w:val="19"/>
        </w:numPr>
        <w:tabs>
          <w:tab w:val="left" w:pos="540"/>
        </w:tabs>
        <w:rPr>
          <w:rFonts w:hint="default" w:ascii="Times New Roman" w:hAnsi="Times New Roman" w:eastAsia="宋体" w:cs="Times New Roman"/>
        </w:rPr>
      </w:pPr>
      <w:r>
        <w:rPr>
          <w:rFonts w:hint="default" w:ascii="Times New Roman" w:hAnsi="Times New Roman" w:eastAsia="宋体" w:cs="Times New Roman"/>
        </w:rPr>
        <w:t>产品数量；</w:t>
      </w:r>
    </w:p>
    <w:p>
      <w:pPr>
        <w:numPr>
          <w:ilvl w:val="0"/>
          <w:numId w:val="19"/>
        </w:numPr>
        <w:tabs>
          <w:tab w:val="left" w:pos="540"/>
        </w:tabs>
        <w:rPr>
          <w:rFonts w:hint="default" w:ascii="Times New Roman" w:hAnsi="Times New Roman" w:cs="Times New Roman"/>
        </w:rPr>
      </w:pPr>
      <w:r>
        <w:rPr>
          <w:rFonts w:hint="default" w:ascii="Times New Roman" w:hAnsi="Times New Roman" w:eastAsia="宋体" w:cs="Times New Roman"/>
        </w:rPr>
        <w:t>本文件编号；</w:t>
      </w:r>
    </w:p>
    <w:p>
      <w:pPr>
        <w:numPr>
          <w:ilvl w:val="0"/>
          <w:numId w:val="19"/>
        </w:numPr>
        <w:tabs>
          <w:tab w:val="left" w:pos="540"/>
        </w:tabs>
        <w:rPr>
          <w:rFonts w:hint="default" w:ascii="Times New Roman" w:hAnsi="Times New Roman" w:cs="Times New Roman"/>
        </w:rPr>
      </w:pPr>
      <w:r>
        <w:rPr>
          <w:rFonts w:hint="default" w:ascii="Times New Roman" w:hAnsi="Times New Roman" w:eastAsia="宋体" w:cs="Times New Roman"/>
        </w:rPr>
        <w:t>其他。</w:t>
      </w:r>
    </w:p>
    <w:p>
      <w:pPr>
        <w:rPr>
          <w:rFonts w:hint="default" w:ascii="Times New Roman" w:hAnsi="Times New Roman" w:eastAsia="黑体" w:cs="Times New Roman"/>
        </w:rPr>
      </w:pPr>
      <w:r>
        <w:rPr>
          <w:rFonts w:hint="default" w:ascii="Times New Roman" w:hAnsi="Times New Roman" w:eastAsia="黑体" w:cs="Times New Roman"/>
        </w:rPr>
        <w:br w:type="page"/>
      </w:r>
    </w:p>
    <w:p>
      <w:pPr>
        <w:jc w:val="center"/>
        <w:rPr>
          <w:rFonts w:ascii="黑体" w:eastAsia="黑体"/>
          <w:highlight w:val="none"/>
        </w:rPr>
      </w:pPr>
      <w:r>
        <w:rPr>
          <w:rFonts w:hint="eastAsia" w:ascii="黑体" w:eastAsia="黑体"/>
          <w:highlight w:val="none"/>
        </w:rPr>
        <w:t>附录A</w:t>
      </w:r>
    </w:p>
    <w:p>
      <w:pPr>
        <w:jc w:val="center"/>
        <w:rPr>
          <w:rFonts w:ascii="黑体" w:eastAsia="黑体"/>
          <w:highlight w:val="none"/>
        </w:rPr>
      </w:pPr>
      <w:r>
        <w:rPr>
          <w:rFonts w:hint="eastAsia" w:ascii="黑体" w:eastAsia="黑体"/>
          <w:highlight w:val="none"/>
        </w:rPr>
        <w:t>（规范性）</w:t>
      </w:r>
    </w:p>
    <w:p>
      <w:pPr>
        <w:jc w:val="center"/>
        <w:rPr>
          <w:rFonts w:ascii="黑体" w:eastAsia="黑体"/>
          <w:szCs w:val="21"/>
          <w:highlight w:val="none"/>
        </w:rPr>
      </w:pPr>
      <w:r>
        <w:rPr>
          <w:rFonts w:hint="eastAsia" w:ascii="黑体" w:hAnsi="宋体" w:eastAsia="黑体"/>
          <w:szCs w:val="21"/>
          <w:highlight w:val="none"/>
        </w:rPr>
        <w:t>包覆钴粉中石蜡含量的测定</w:t>
      </w:r>
      <w:r>
        <w:rPr>
          <w:rFonts w:hint="eastAsia" w:ascii="黑体" w:eastAsia="黑体"/>
          <w:szCs w:val="21"/>
          <w:highlight w:val="none"/>
        </w:rPr>
        <w:t>——</w:t>
      </w:r>
      <w:r>
        <w:rPr>
          <w:rFonts w:hint="eastAsia" w:ascii="黑体" w:hAnsi="宋体" w:eastAsia="黑体"/>
          <w:szCs w:val="21"/>
          <w:highlight w:val="none"/>
        </w:rPr>
        <w:t>加热失重法</w:t>
      </w:r>
    </w:p>
    <w:p>
      <w:pPr>
        <w:pStyle w:val="39"/>
        <w:numPr>
          <w:ilvl w:val="1"/>
          <w:numId w:val="0"/>
        </w:numPr>
        <w:spacing w:before="156" w:after="156"/>
        <w:ind w:left="0"/>
        <w:rPr>
          <w:rFonts w:hint="eastAsia"/>
          <w:color w:val="auto"/>
          <w:highlight w:val="none"/>
        </w:rPr>
      </w:pPr>
      <w:r>
        <w:rPr>
          <w:rFonts w:hint="eastAsia"/>
          <w:color w:val="auto"/>
          <w:highlight w:val="none"/>
        </w:rPr>
        <w:t>A.1 原理</w:t>
      </w:r>
    </w:p>
    <w:p>
      <w:pPr>
        <w:ind w:firstLine="420" w:firstLineChars="200"/>
        <w:rPr>
          <w:rFonts w:hAnsi="宋体"/>
          <w:szCs w:val="21"/>
          <w:highlight w:val="none"/>
        </w:rPr>
      </w:pPr>
      <w:r>
        <w:rPr>
          <w:rFonts w:hAnsi="宋体"/>
          <w:szCs w:val="21"/>
          <w:highlight w:val="none"/>
        </w:rPr>
        <w:t>利用石蜡沸点较低</w:t>
      </w:r>
      <w:r>
        <w:rPr>
          <w:rFonts w:hint="eastAsia" w:hAnsi="宋体"/>
          <w:szCs w:val="21"/>
          <w:highlight w:val="none"/>
        </w:rPr>
        <w:t>（</w:t>
      </w:r>
      <w:r>
        <w:rPr>
          <w:rFonts w:hAnsi="宋体"/>
          <w:szCs w:val="21"/>
          <w:highlight w:val="none"/>
        </w:rPr>
        <w:t>300℃</w:t>
      </w:r>
      <w:r>
        <w:rPr>
          <w:rFonts w:hint="eastAsia" w:hAnsi="宋体"/>
          <w:szCs w:val="21"/>
          <w:highlight w:val="none"/>
        </w:rPr>
        <w:t>~</w:t>
      </w:r>
      <w:r>
        <w:rPr>
          <w:rFonts w:hAnsi="宋体"/>
          <w:szCs w:val="21"/>
          <w:highlight w:val="none"/>
        </w:rPr>
        <w:t>500℃</w:t>
      </w:r>
      <w:r>
        <w:rPr>
          <w:rFonts w:hint="eastAsia" w:hAnsi="宋体"/>
          <w:szCs w:val="21"/>
          <w:highlight w:val="none"/>
        </w:rPr>
        <w:t>）</w:t>
      </w:r>
      <w:r>
        <w:rPr>
          <w:rFonts w:hAnsi="宋体"/>
          <w:szCs w:val="21"/>
          <w:highlight w:val="none"/>
        </w:rPr>
        <w:t>，在氢气保护气氛下，加热维持2.5</w:t>
      </w:r>
      <w:r>
        <w:rPr>
          <w:rFonts w:hint="eastAsia" w:hAnsi="宋体"/>
          <w:szCs w:val="21"/>
          <w:highlight w:val="none"/>
        </w:rPr>
        <w:t xml:space="preserve"> h~</w:t>
      </w:r>
      <w:r>
        <w:rPr>
          <w:rFonts w:hAnsi="宋体"/>
          <w:szCs w:val="21"/>
          <w:highlight w:val="none"/>
        </w:rPr>
        <w:t>3.5</w:t>
      </w:r>
      <w:r>
        <w:rPr>
          <w:rFonts w:hint="eastAsia" w:hAnsi="宋体"/>
          <w:szCs w:val="21"/>
          <w:highlight w:val="none"/>
        </w:rPr>
        <w:t xml:space="preserve"> h</w:t>
      </w:r>
      <w:r>
        <w:rPr>
          <w:rFonts w:hAnsi="宋体"/>
          <w:szCs w:val="21"/>
          <w:highlight w:val="none"/>
        </w:rPr>
        <w:t>使其气化分离，根据质量损失</w:t>
      </w:r>
      <w:r>
        <w:rPr>
          <w:rFonts w:hint="eastAsia" w:hAnsi="宋体"/>
          <w:szCs w:val="21"/>
          <w:highlight w:val="none"/>
        </w:rPr>
        <w:t>计</w:t>
      </w:r>
      <w:r>
        <w:rPr>
          <w:rFonts w:hAnsi="宋体"/>
          <w:szCs w:val="21"/>
          <w:highlight w:val="none"/>
        </w:rPr>
        <w:t>算出石蜡含量</w:t>
      </w:r>
      <w:r>
        <w:rPr>
          <w:rFonts w:hint="eastAsia" w:hAnsi="宋体"/>
          <w:szCs w:val="21"/>
          <w:highlight w:val="none"/>
        </w:rPr>
        <w:t>。</w:t>
      </w:r>
    </w:p>
    <w:p>
      <w:pPr>
        <w:pStyle w:val="39"/>
        <w:numPr>
          <w:ilvl w:val="1"/>
          <w:numId w:val="0"/>
        </w:numPr>
        <w:spacing w:before="156" w:after="156"/>
        <w:ind w:left="0"/>
        <w:rPr>
          <w:rFonts w:hint="eastAsia"/>
          <w:color w:val="auto"/>
          <w:highlight w:val="none"/>
        </w:rPr>
      </w:pPr>
      <w:r>
        <w:rPr>
          <w:rFonts w:hint="eastAsia"/>
          <w:color w:val="auto"/>
          <w:highlight w:val="none"/>
        </w:rPr>
        <w:t>A.2 试剂</w:t>
      </w:r>
    </w:p>
    <w:p>
      <w:pPr>
        <w:ind w:firstLine="420" w:firstLineChars="200"/>
        <w:rPr>
          <w:szCs w:val="21"/>
        </w:rPr>
      </w:pPr>
      <w:r>
        <w:rPr>
          <w:rFonts w:hAnsi="宋体"/>
          <w:szCs w:val="21"/>
        </w:rPr>
        <w:t>氢气：氧含量不大于</w:t>
      </w:r>
      <w:r>
        <w:rPr>
          <w:szCs w:val="21"/>
        </w:rPr>
        <w:t>0.005%</w:t>
      </w:r>
      <w:r>
        <w:rPr>
          <w:rFonts w:hAnsi="宋体"/>
          <w:szCs w:val="21"/>
        </w:rPr>
        <w:t>（</w:t>
      </w:r>
      <w:r>
        <w:rPr>
          <w:rFonts w:hint="eastAsia"/>
          <w:szCs w:val="21"/>
        </w:rPr>
        <w:t>质量分数</w:t>
      </w:r>
      <w:r>
        <w:rPr>
          <w:rFonts w:hAnsi="宋体"/>
          <w:szCs w:val="21"/>
        </w:rPr>
        <w:t>）</w:t>
      </w:r>
      <w:r>
        <w:rPr>
          <w:rFonts w:hint="eastAsia"/>
          <w:szCs w:val="21"/>
        </w:rPr>
        <w:t>，</w:t>
      </w:r>
      <w:r>
        <w:rPr>
          <w:rFonts w:hAnsi="宋体"/>
          <w:szCs w:val="21"/>
        </w:rPr>
        <w:t>露点不高于</w:t>
      </w:r>
      <w:r>
        <w:rPr>
          <w:szCs w:val="21"/>
        </w:rPr>
        <w:t>-45</w:t>
      </w:r>
      <w:r>
        <w:rPr>
          <w:rFonts w:ascii="宋体" w:hAnsi="宋体"/>
          <w:szCs w:val="21"/>
        </w:rPr>
        <w:t>℃</w:t>
      </w:r>
      <w:r>
        <w:rPr>
          <w:rFonts w:hAnsi="宋体"/>
          <w:szCs w:val="21"/>
        </w:rPr>
        <w:t>。</w:t>
      </w:r>
    </w:p>
    <w:p>
      <w:pPr>
        <w:pStyle w:val="39"/>
        <w:numPr>
          <w:ilvl w:val="1"/>
          <w:numId w:val="0"/>
        </w:numPr>
        <w:spacing w:before="156" w:after="156"/>
        <w:ind w:left="0"/>
        <w:rPr>
          <w:rFonts w:hint="eastAsia"/>
          <w:color w:val="auto"/>
          <w:highlight w:val="none"/>
        </w:rPr>
      </w:pPr>
      <w:r>
        <w:rPr>
          <w:rFonts w:hint="eastAsia"/>
          <w:color w:val="auto"/>
          <w:highlight w:val="none"/>
        </w:rPr>
        <w:t>A.3仪器</w:t>
      </w:r>
    </w:p>
    <w:p>
      <w:pPr>
        <w:pStyle w:val="39"/>
        <w:numPr>
          <w:ilvl w:val="1"/>
          <w:numId w:val="0"/>
        </w:numPr>
        <w:spacing w:before="156" w:after="156"/>
        <w:ind w:left="0"/>
        <w:rPr>
          <w:rFonts w:hint="eastAsia"/>
          <w:color w:val="auto"/>
          <w:highlight w:val="none"/>
        </w:rPr>
      </w:pPr>
      <w:r>
        <w:rPr>
          <w:rFonts w:hint="eastAsia"/>
          <w:color w:val="auto"/>
          <w:highlight w:val="none"/>
        </w:rPr>
        <w:t>A.3.1 天平</w:t>
      </w:r>
    </w:p>
    <w:p>
      <w:pPr>
        <w:rPr>
          <w:szCs w:val="21"/>
        </w:rPr>
      </w:pPr>
      <w:r>
        <w:rPr>
          <w:szCs w:val="21"/>
        </w:rPr>
        <w:t xml:space="preserve">    具有足够的负载量，精度为0.0001</w:t>
      </w:r>
      <w:r>
        <w:rPr>
          <w:rFonts w:hint="eastAsia"/>
          <w:szCs w:val="21"/>
        </w:rPr>
        <w:t xml:space="preserve"> </w:t>
      </w:r>
      <w:r>
        <w:rPr>
          <w:szCs w:val="21"/>
        </w:rPr>
        <w:t>g。</w:t>
      </w:r>
    </w:p>
    <w:p>
      <w:pPr>
        <w:pStyle w:val="39"/>
        <w:numPr>
          <w:ilvl w:val="1"/>
          <w:numId w:val="0"/>
        </w:numPr>
        <w:spacing w:before="156" w:after="156"/>
        <w:ind w:left="0"/>
        <w:rPr>
          <w:rFonts w:hint="eastAsia"/>
          <w:color w:val="auto"/>
          <w:highlight w:val="none"/>
        </w:rPr>
      </w:pPr>
      <w:r>
        <w:rPr>
          <w:rFonts w:hint="eastAsia"/>
          <w:color w:val="auto"/>
          <w:highlight w:val="none"/>
        </w:rPr>
        <w:t>A.3.2 管式电炉</w:t>
      </w:r>
    </w:p>
    <w:p>
      <w:pPr>
        <w:rPr>
          <w:szCs w:val="21"/>
        </w:rPr>
      </w:pPr>
      <w:r>
        <w:rPr>
          <w:szCs w:val="21"/>
        </w:rPr>
        <w:t xml:space="preserve">    在规定的350</w:t>
      </w:r>
      <w:r>
        <w:rPr>
          <w:rFonts w:ascii="宋体" w:hAnsi="宋体"/>
          <w:szCs w:val="21"/>
        </w:rPr>
        <w:t>℃</w:t>
      </w:r>
      <w:r>
        <w:rPr>
          <w:szCs w:val="21"/>
        </w:rPr>
        <w:t>±10</w:t>
      </w:r>
      <w:r>
        <w:rPr>
          <w:rFonts w:ascii="宋体" w:hAnsi="宋体"/>
          <w:szCs w:val="21"/>
        </w:rPr>
        <w:t>℃</w:t>
      </w:r>
      <w:r>
        <w:rPr>
          <w:szCs w:val="21"/>
        </w:rPr>
        <w:t>的温度下，可以连续操作，具有控制系统以保持管内装舟部分的温度在所规定的温度范围内。</w:t>
      </w:r>
    </w:p>
    <w:p>
      <w:pPr>
        <w:pStyle w:val="39"/>
        <w:numPr>
          <w:ilvl w:val="1"/>
          <w:numId w:val="0"/>
        </w:numPr>
        <w:spacing w:before="156" w:after="156"/>
        <w:ind w:left="0"/>
        <w:rPr>
          <w:rFonts w:hint="eastAsia"/>
          <w:color w:val="auto"/>
          <w:highlight w:val="none"/>
        </w:rPr>
      </w:pPr>
      <w:r>
        <w:rPr>
          <w:rFonts w:hint="eastAsia"/>
          <w:color w:val="auto"/>
          <w:highlight w:val="none"/>
        </w:rPr>
        <w:t>A.3.3 气密管</w:t>
      </w:r>
    </w:p>
    <w:p>
      <w:pPr>
        <w:ind w:firstLine="420" w:firstLineChars="200"/>
        <w:rPr>
          <w:szCs w:val="21"/>
        </w:rPr>
      </w:pPr>
      <w:r>
        <w:rPr>
          <w:szCs w:val="21"/>
        </w:rPr>
        <w:t>由石英或耐火材料制成，管内径在25</w:t>
      </w:r>
      <w:r>
        <w:rPr>
          <w:rFonts w:hint="eastAsia"/>
          <w:szCs w:val="21"/>
        </w:rPr>
        <w:t xml:space="preserve"> </w:t>
      </w:r>
      <w:r>
        <w:rPr>
          <w:szCs w:val="21"/>
        </w:rPr>
        <w:t>mm~40</w:t>
      </w:r>
      <w:r>
        <w:rPr>
          <w:rFonts w:hint="eastAsia"/>
          <w:szCs w:val="21"/>
        </w:rPr>
        <w:t xml:space="preserve"> </w:t>
      </w:r>
      <w:r>
        <w:rPr>
          <w:szCs w:val="21"/>
        </w:rPr>
        <w:t>mm之间，管长应使其在管子的每端伸出200</w:t>
      </w:r>
      <w:r>
        <w:rPr>
          <w:rFonts w:hint="eastAsia"/>
          <w:szCs w:val="21"/>
        </w:rPr>
        <w:t xml:space="preserve"> </w:t>
      </w:r>
      <w:r>
        <w:rPr>
          <w:szCs w:val="21"/>
        </w:rPr>
        <w:t>mm。</w:t>
      </w:r>
    </w:p>
    <w:p>
      <w:pPr>
        <w:pStyle w:val="39"/>
        <w:numPr>
          <w:ilvl w:val="1"/>
          <w:numId w:val="0"/>
        </w:numPr>
        <w:spacing w:before="156" w:after="156"/>
        <w:ind w:left="0"/>
        <w:rPr>
          <w:rFonts w:hint="eastAsia"/>
          <w:color w:val="auto"/>
          <w:highlight w:val="none"/>
        </w:rPr>
      </w:pPr>
      <w:r>
        <w:rPr>
          <w:rFonts w:hint="eastAsia"/>
          <w:color w:val="auto"/>
          <w:highlight w:val="none"/>
        </w:rPr>
        <w:t>A.3.4 测温装置</w:t>
      </w:r>
    </w:p>
    <w:p>
      <w:pPr>
        <w:ind w:firstLine="420" w:firstLineChars="200"/>
        <w:rPr>
          <w:szCs w:val="21"/>
        </w:rPr>
      </w:pPr>
      <w:r>
        <w:rPr>
          <w:rFonts w:hAnsi="宋体"/>
          <w:szCs w:val="21"/>
        </w:rPr>
        <w:t>由全封闭热电偶和显示记录仪构成，</w:t>
      </w:r>
      <w:r>
        <w:rPr>
          <w:rFonts w:hint="eastAsia" w:hAnsi="宋体"/>
          <w:szCs w:val="21"/>
        </w:rPr>
        <w:t>能使测量温度误差范围控制在±5℃。</w:t>
      </w:r>
    </w:p>
    <w:p>
      <w:pPr>
        <w:pStyle w:val="39"/>
        <w:numPr>
          <w:ilvl w:val="1"/>
          <w:numId w:val="0"/>
        </w:numPr>
        <w:spacing w:before="156" w:after="156"/>
        <w:ind w:left="0"/>
        <w:rPr>
          <w:rFonts w:hint="eastAsia"/>
          <w:color w:val="auto"/>
          <w:highlight w:val="none"/>
        </w:rPr>
      </w:pPr>
      <w:r>
        <w:rPr>
          <w:rFonts w:hint="eastAsia"/>
          <w:color w:val="auto"/>
          <w:highlight w:val="none"/>
        </w:rPr>
        <w:t>A.3.5 舟皿</w:t>
      </w:r>
    </w:p>
    <w:p>
      <w:pPr>
        <w:rPr>
          <w:szCs w:val="21"/>
        </w:rPr>
      </w:pPr>
      <w:r>
        <w:rPr>
          <w:rFonts w:hint="eastAsia" w:ascii="黑体" w:hAnsi="黑体" w:eastAsia="黑体" w:cs="黑体"/>
          <w:szCs w:val="21"/>
        </w:rPr>
        <w:t>A.3.5.1</w:t>
      </w:r>
      <w:r>
        <w:rPr>
          <w:rFonts w:hint="eastAsia" w:hAnsi="宋体"/>
          <w:szCs w:val="21"/>
        </w:rPr>
        <w:t xml:space="preserve"> 宜使用</w:t>
      </w:r>
      <w:r>
        <w:rPr>
          <w:rFonts w:hAnsi="宋体"/>
          <w:szCs w:val="21"/>
        </w:rPr>
        <w:t>表面抛光的高</w:t>
      </w:r>
      <w:r>
        <w:rPr>
          <w:rFonts w:hint="eastAsia" w:hAnsi="宋体"/>
          <w:szCs w:val="21"/>
        </w:rPr>
        <w:t>纯</w:t>
      </w:r>
      <w:r>
        <w:rPr>
          <w:rFonts w:hAnsi="宋体"/>
          <w:szCs w:val="21"/>
        </w:rPr>
        <w:t>氧化铝陶瓷舟皿，也可以使用其他材</w:t>
      </w:r>
      <w:r>
        <w:rPr>
          <w:rFonts w:hint="eastAsia" w:hAnsi="宋体"/>
          <w:szCs w:val="21"/>
        </w:rPr>
        <w:t>质</w:t>
      </w:r>
      <w:r>
        <w:rPr>
          <w:rFonts w:hAnsi="宋体"/>
          <w:szCs w:val="21"/>
        </w:rPr>
        <w:t>（如石英或镍）舟皿。舟皿的尺寸应满足粉末能均匀分布，</w:t>
      </w:r>
      <w:r>
        <w:rPr>
          <w:rFonts w:hint="eastAsia" w:hAnsi="宋体"/>
          <w:szCs w:val="21"/>
        </w:rPr>
        <w:t>且装粉高</w:t>
      </w:r>
      <w:r>
        <w:rPr>
          <w:rFonts w:hAnsi="宋体"/>
          <w:szCs w:val="21"/>
        </w:rPr>
        <w:t>度不大于</w:t>
      </w:r>
      <w:r>
        <w:rPr>
          <w:szCs w:val="21"/>
        </w:rPr>
        <w:t>3 mm</w:t>
      </w:r>
      <w:r>
        <w:rPr>
          <w:rFonts w:hint="eastAsia"/>
          <w:szCs w:val="21"/>
        </w:rPr>
        <w:t>。</w:t>
      </w:r>
    </w:p>
    <w:p>
      <w:pPr>
        <w:rPr>
          <w:szCs w:val="21"/>
        </w:rPr>
      </w:pPr>
      <w:r>
        <w:rPr>
          <w:rFonts w:hint="eastAsia" w:ascii="黑体" w:hAnsi="黑体" w:eastAsia="黑体" w:cs="黑体"/>
          <w:szCs w:val="21"/>
        </w:rPr>
        <w:t>A.3.5.2</w:t>
      </w:r>
      <w:r>
        <w:rPr>
          <w:rFonts w:hint="eastAsia" w:hAnsi="宋体"/>
          <w:szCs w:val="21"/>
        </w:rPr>
        <w:t xml:space="preserve"> </w:t>
      </w:r>
      <w:r>
        <w:rPr>
          <w:rFonts w:hAnsi="宋体"/>
          <w:szCs w:val="21"/>
        </w:rPr>
        <w:t>新舟皿在使用前在规定的试验温度下的氢气流中预处理</w:t>
      </w:r>
      <w:r>
        <w:rPr>
          <w:szCs w:val="21"/>
        </w:rPr>
        <w:t>1</w:t>
      </w:r>
      <w:r>
        <w:rPr>
          <w:rFonts w:hint="eastAsia"/>
          <w:szCs w:val="21"/>
        </w:rPr>
        <w:t xml:space="preserve"> </w:t>
      </w:r>
      <w:r>
        <w:rPr>
          <w:szCs w:val="21"/>
        </w:rPr>
        <w:t>h</w:t>
      </w:r>
      <w:r>
        <w:rPr>
          <w:rFonts w:hint="eastAsia"/>
          <w:szCs w:val="21"/>
        </w:rPr>
        <w:t>，</w:t>
      </w:r>
      <w:r>
        <w:rPr>
          <w:rFonts w:hAnsi="宋体"/>
          <w:szCs w:val="21"/>
        </w:rPr>
        <w:t>并放在干燥器内。</w:t>
      </w:r>
    </w:p>
    <w:p>
      <w:pPr>
        <w:ind w:firstLine="360" w:firstLineChars="200"/>
        <w:rPr>
          <w:sz w:val="18"/>
          <w:szCs w:val="18"/>
        </w:rPr>
      </w:pPr>
      <w:r>
        <w:rPr>
          <w:rFonts w:hint="eastAsia" w:hAnsi="宋体"/>
          <w:sz w:val="18"/>
          <w:szCs w:val="18"/>
        </w:rPr>
        <w:t>注：</w:t>
      </w:r>
      <w:r>
        <w:rPr>
          <w:rFonts w:hAnsi="宋体"/>
          <w:sz w:val="18"/>
          <w:szCs w:val="18"/>
        </w:rPr>
        <w:t>本方法使用的舟皿只用来试验加蜡钴粉，</w:t>
      </w:r>
      <w:r>
        <w:rPr>
          <w:rFonts w:hint="eastAsia" w:hAnsi="宋体"/>
          <w:sz w:val="18"/>
          <w:szCs w:val="18"/>
        </w:rPr>
        <w:t>在</w:t>
      </w:r>
      <w:r>
        <w:rPr>
          <w:rFonts w:hAnsi="宋体"/>
          <w:sz w:val="18"/>
          <w:szCs w:val="18"/>
        </w:rPr>
        <w:t>舟</w:t>
      </w:r>
      <w:r>
        <w:rPr>
          <w:rFonts w:hint="eastAsia" w:hAnsi="宋体"/>
          <w:sz w:val="18"/>
          <w:szCs w:val="18"/>
        </w:rPr>
        <w:t>皿</w:t>
      </w:r>
      <w:r>
        <w:rPr>
          <w:rFonts w:hAnsi="宋体"/>
          <w:sz w:val="18"/>
          <w:szCs w:val="18"/>
        </w:rPr>
        <w:t>质量允许的条件下，每次测定之后</w:t>
      </w:r>
      <w:r>
        <w:rPr>
          <w:rFonts w:hint="eastAsia" w:hAnsi="宋体"/>
          <w:sz w:val="18"/>
          <w:szCs w:val="18"/>
        </w:rPr>
        <w:t>经过</w:t>
      </w:r>
      <w:r>
        <w:rPr>
          <w:rFonts w:hAnsi="宋体"/>
          <w:sz w:val="18"/>
          <w:szCs w:val="18"/>
        </w:rPr>
        <w:t>仔细清理，并存放于干燥器内，则舟皿可以</w:t>
      </w:r>
      <w:r>
        <w:rPr>
          <w:rFonts w:hint="eastAsia" w:hAnsi="宋体"/>
          <w:sz w:val="18"/>
          <w:szCs w:val="18"/>
        </w:rPr>
        <w:t>重复使用</w:t>
      </w:r>
      <w:r>
        <w:rPr>
          <w:rFonts w:hAnsi="宋体"/>
          <w:sz w:val="18"/>
          <w:szCs w:val="18"/>
        </w:rPr>
        <w:t>。</w:t>
      </w:r>
    </w:p>
    <w:p>
      <w:pPr>
        <w:pStyle w:val="39"/>
        <w:numPr>
          <w:ilvl w:val="1"/>
          <w:numId w:val="0"/>
        </w:numPr>
        <w:spacing w:before="156" w:after="156"/>
        <w:ind w:left="0"/>
        <w:rPr>
          <w:rFonts w:hint="eastAsia"/>
          <w:color w:val="auto"/>
          <w:highlight w:val="none"/>
        </w:rPr>
      </w:pPr>
      <w:r>
        <w:rPr>
          <w:rFonts w:hint="eastAsia"/>
          <w:color w:val="auto"/>
          <w:highlight w:val="none"/>
        </w:rPr>
        <w:t>A.4取样</w:t>
      </w:r>
    </w:p>
    <w:p>
      <w:pPr>
        <w:rPr>
          <w:szCs w:val="21"/>
        </w:rPr>
      </w:pPr>
      <w:r>
        <w:rPr>
          <w:rFonts w:hint="eastAsia" w:ascii="黑体" w:hAnsi="黑体" w:eastAsia="黑体" w:cs="黑体"/>
          <w:szCs w:val="21"/>
        </w:rPr>
        <w:t xml:space="preserve">A.4.1 </w:t>
      </w:r>
      <w:r>
        <w:rPr>
          <w:rFonts w:hAnsi="宋体"/>
          <w:szCs w:val="21"/>
        </w:rPr>
        <w:t>加蜡钴粉收样后应立即测定。</w:t>
      </w:r>
    </w:p>
    <w:p>
      <w:pPr>
        <w:rPr>
          <w:szCs w:val="21"/>
        </w:rPr>
      </w:pPr>
      <w:r>
        <w:rPr>
          <w:rFonts w:hint="eastAsia" w:ascii="黑体" w:hAnsi="黑体" w:eastAsia="黑体" w:cs="黑体"/>
          <w:szCs w:val="21"/>
        </w:rPr>
        <w:t xml:space="preserve">A.4.2 </w:t>
      </w:r>
      <w:r>
        <w:rPr>
          <w:rFonts w:hAnsi="宋体"/>
          <w:szCs w:val="21"/>
        </w:rPr>
        <w:t>试验应取</w:t>
      </w:r>
      <w:r>
        <w:rPr>
          <w:szCs w:val="21"/>
        </w:rPr>
        <w:t>2</w:t>
      </w:r>
      <w:r>
        <w:rPr>
          <w:rFonts w:hAnsi="宋体"/>
          <w:szCs w:val="21"/>
        </w:rPr>
        <w:t>份试样平行测定。</w:t>
      </w:r>
    </w:p>
    <w:p>
      <w:pPr>
        <w:rPr>
          <w:szCs w:val="21"/>
        </w:rPr>
      </w:pPr>
      <w:r>
        <w:rPr>
          <w:rFonts w:hint="eastAsia" w:ascii="黑体" w:hAnsi="黑体" w:eastAsia="黑体" w:cs="黑体"/>
          <w:szCs w:val="21"/>
        </w:rPr>
        <w:t>A.4.3</w:t>
      </w:r>
      <w:r>
        <w:rPr>
          <w:rFonts w:hint="eastAsia" w:hAnsi="宋体"/>
          <w:szCs w:val="21"/>
        </w:rPr>
        <w:t>每次称取重约1 g的加蜡钴粉，读数精确到0.0001 g。</w:t>
      </w:r>
    </w:p>
    <w:p>
      <w:pPr>
        <w:pStyle w:val="39"/>
        <w:numPr>
          <w:ilvl w:val="1"/>
          <w:numId w:val="0"/>
        </w:numPr>
        <w:spacing w:before="156" w:after="156"/>
        <w:ind w:left="0"/>
        <w:rPr>
          <w:rFonts w:hint="eastAsia"/>
          <w:color w:val="auto"/>
          <w:highlight w:val="none"/>
        </w:rPr>
      </w:pPr>
      <w:r>
        <w:rPr>
          <w:rFonts w:hint="eastAsia"/>
          <w:color w:val="auto"/>
          <w:highlight w:val="none"/>
        </w:rPr>
        <w:t>A.5分析步骤</w:t>
      </w:r>
    </w:p>
    <w:p>
      <w:pPr>
        <w:ind w:firstLine="420" w:firstLineChars="200"/>
        <w:rPr>
          <w:rFonts w:hAnsi="宋体"/>
          <w:szCs w:val="21"/>
        </w:rPr>
      </w:pPr>
      <w:r>
        <w:rPr>
          <w:rFonts w:hAnsi="宋体"/>
          <w:szCs w:val="21"/>
        </w:rPr>
        <w:t>加蜡钴粉试样中石蜡含量的测定步骤如下：</w:t>
      </w:r>
    </w:p>
    <w:p>
      <w:pPr>
        <w:ind w:firstLine="420" w:firstLineChars="200"/>
        <w:rPr>
          <w:szCs w:val="21"/>
        </w:rPr>
      </w:pPr>
      <w:r>
        <w:rPr>
          <w:szCs w:val="21"/>
        </w:rPr>
        <w:t>a</w:t>
      </w:r>
      <w:r>
        <w:rPr>
          <w:rFonts w:hint="eastAsia"/>
          <w:szCs w:val="21"/>
        </w:rPr>
        <w:t>）</w:t>
      </w:r>
      <w:r>
        <w:rPr>
          <w:rFonts w:hAnsi="宋体"/>
          <w:szCs w:val="21"/>
        </w:rPr>
        <w:t>通入氢气，调节通过炉管的平稳氢气流，用转子流量计控制气体流速不小于</w:t>
      </w:r>
      <w:r>
        <w:rPr>
          <w:szCs w:val="21"/>
        </w:rPr>
        <w:t>25 mm/s</w:t>
      </w:r>
      <w:r>
        <w:rPr>
          <w:rFonts w:hint="eastAsia"/>
          <w:szCs w:val="21"/>
        </w:rPr>
        <w:t>，</w:t>
      </w:r>
      <w:r>
        <w:rPr>
          <w:rFonts w:hint="eastAsia" w:hAnsi="宋体"/>
          <w:szCs w:val="21"/>
        </w:rPr>
        <w:t>在炉口取样进行爆鸣试验，</w:t>
      </w:r>
      <w:r>
        <w:rPr>
          <w:rFonts w:hAnsi="宋体"/>
          <w:szCs w:val="21"/>
        </w:rPr>
        <w:t>合格后方可点火</w:t>
      </w:r>
      <w:r>
        <w:rPr>
          <w:rFonts w:hint="eastAsia" w:hAnsi="宋体"/>
          <w:szCs w:val="21"/>
        </w:rPr>
        <w:t>；</w:t>
      </w:r>
    </w:p>
    <w:p>
      <w:pPr>
        <w:ind w:firstLine="420" w:firstLineChars="200"/>
        <w:rPr>
          <w:szCs w:val="21"/>
        </w:rPr>
      </w:pPr>
      <w:r>
        <w:rPr>
          <w:rFonts w:hint="eastAsia"/>
          <w:szCs w:val="21"/>
        </w:rPr>
        <w:t>b）</w:t>
      </w:r>
      <w:r>
        <w:rPr>
          <w:rFonts w:hAnsi="宋体"/>
          <w:szCs w:val="21"/>
        </w:rPr>
        <w:t>通电升温，使其满足</w:t>
      </w:r>
      <w:r>
        <w:rPr>
          <w:rFonts w:hint="eastAsia" w:hAnsi="宋体"/>
          <w:szCs w:val="21"/>
        </w:rPr>
        <w:t>A.</w:t>
      </w:r>
      <w:r>
        <w:rPr>
          <w:rFonts w:hint="eastAsia"/>
          <w:szCs w:val="21"/>
        </w:rPr>
        <w:t>3</w:t>
      </w:r>
      <w:r>
        <w:rPr>
          <w:szCs w:val="21"/>
        </w:rPr>
        <w:t>.2</w:t>
      </w:r>
      <w:r>
        <w:rPr>
          <w:rFonts w:hAnsi="宋体"/>
          <w:szCs w:val="21"/>
        </w:rPr>
        <w:t>所要求的温度</w:t>
      </w:r>
      <w:r>
        <w:rPr>
          <w:rFonts w:hint="eastAsia" w:hAnsi="宋体"/>
          <w:szCs w:val="21"/>
        </w:rPr>
        <w:t>；</w:t>
      </w:r>
    </w:p>
    <w:p>
      <w:pPr>
        <w:ind w:firstLine="420" w:firstLineChars="200"/>
        <w:rPr>
          <w:rFonts w:hAnsi="宋体"/>
          <w:szCs w:val="21"/>
        </w:rPr>
      </w:pPr>
      <w:r>
        <w:rPr>
          <w:szCs w:val="21"/>
        </w:rPr>
        <w:t>c</w:t>
      </w:r>
      <w:r>
        <w:rPr>
          <w:rFonts w:hint="eastAsia"/>
          <w:szCs w:val="21"/>
        </w:rPr>
        <w:t>）</w:t>
      </w:r>
      <w:r>
        <w:rPr>
          <w:rFonts w:hAnsi="宋体"/>
          <w:szCs w:val="21"/>
        </w:rPr>
        <w:t>称量舟皿</w:t>
      </w:r>
      <w:r>
        <w:rPr>
          <w:rFonts w:hint="eastAsia" w:hAnsi="宋体"/>
          <w:szCs w:val="21"/>
        </w:rPr>
        <w:t>（</w:t>
      </w:r>
      <w:r>
        <w:rPr>
          <w:rFonts w:hint="eastAsia" w:hAnsi="宋体"/>
          <w:i/>
          <w:szCs w:val="21"/>
        </w:rPr>
        <w:t>m</w:t>
      </w:r>
      <w:r>
        <w:rPr>
          <w:rFonts w:hint="eastAsia" w:hAnsi="宋体"/>
          <w:i/>
          <w:szCs w:val="21"/>
          <w:vertAlign w:val="subscript"/>
        </w:rPr>
        <w:t>1</w:t>
      </w:r>
      <w:r>
        <w:rPr>
          <w:rFonts w:hint="eastAsia" w:hAnsi="宋体"/>
          <w:szCs w:val="21"/>
        </w:rPr>
        <w:t>）</w:t>
      </w:r>
      <w:r>
        <w:rPr>
          <w:rFonts w:hAnsi="宋体"/>
          <w:szCs w:val="21"/>
        </w:rPr>
        <w:t>，精确到</w:t>
      </w:r>
      <w:r>
        <w:rPr>
          <w:szCs w:val="21"/>
        </w:rPr>
        <w:t>0.0001</w:t>
      </w:r>
      <w:r>
        <w:rPr>
          <w:rFonts w:hint="eastAsia"/>
          <w:szCs w:val="21"/>
        </w:rPr>
        <w:t xml:space="preserve"> </w:t>
      </w:r>
      <w:r>
        <w:rPr>
          <w:szCs w:val="21"/>
        </w:rPr>
        <w:t>g</w:t>
      </w:r>
      <w:r>
        <w:rPr>
          <w:rFonts w:hint="eastAsia" w:hAnsi="宋体"/>
          <w:szCs w:val="21"/>
        </w:rPr>
        <w:t>；</w:t>
      </w:r>
    </w:p>
    <w:p>
      <w:pPr>
        <w:ind w:firstLine="420" w:firstLineChars="200"/>
        <w:rPr>
          <w:szCs w:val="21"/>
        </w:rPr>
      </w:pPr>
      <w:r>
        <w:rPr>
          <w:rFonts w:hint="eastAsia" w:hAnsi="宋体"/>
          <w:szCs w:val="21"/>
        </w:rPr>
        <w:t>d）</w:t>
      </w:r>
      <w:r>
        <w:rPr>
          <w:rFonts w:hAnsi="宋体"/>
          <w:szCs w:val="21"/>
        </w:rPr>
        <w:t>将试样均匀分布在整个舟皿中，称量装有试样的舟皿</w:t>
      </w:r>
      <w:r>
        <w:rPr>
          <w:rFonts w:hint="eastAsia" w:hAnsi="宋体"/>
          <w:szCs w:val="21"/>
        </w:rPr>
        <w:t>（</w:t>
      </w:r>
      <w:r>
        <w:rPr>
          <w:rFonts w:hint="eastAsia" w:hAnsi="宋体"/>
          <w:i/>
          <w:szCs w:val="21"/>
        </w:rPr>
        <w:t>m</w:t>
      </w:r>
      <w:r>
        <w:rPr>
          <w:rFonts w:hint="eastAsia" w:hAnsi="宋体"/>
          <w:i/>
          <w:szCs w:val="21"/>
          <w:vertAlign w:val="subscript"/>
        </w:rPr>
        <w:t>2</w:t>
      </w:r>
      <w:r>
        <w:rPr>
          <w:rFonts w:hint="eastAsia" w:hAnsi="宋体"/>
          <w:szCs w:val="21"/>
        </w:rPr>
        <w:t>）</w:t>
      </w:r>
      <w:r>
        <w:rPr>
          <w:rFonts w:hAnsi="宋体"/>
          <w:szCs w:val="21"/>
        </w:rPr>
        <w:t>，精确到</w:t>
      </w:r>
      <w:r>
        <w:rPr>
          <w:szCs w:val="21"/>
        </w:rPr>
        <w:t>0.0001</w:t>
      </w:r>
      <w:r>
        <w:rPr>
          <w:rFonts w:hint="eastAsia"/>
          <w:szCs w:val="21"/>
        </w:rPr>
        <w:t xml:space="preserve"> </w:t>
      </w:r>
      <w:r>
        <w:rPr>
          <w:szCs w:val="21"/>
        </w:rPr>
        <w:t>g</w:t>
      </w:r>
      <w:r>
        <w:rPr>
          <w:rFonts w:hint="eastAsia" w:hAnsi="宋体"/>
          <w:szCs w:val="21"/>
        </w:rPr>
        <w:t>；</w:t>
      </w:r>
    </w:p>
    <w:p>
      <w:pPr>
        <w:ind w:firstLine="420" w:firstLineChars="200"/>
        <w:rPr>
          <w:szCs w:val="21"/>
        </w:rPr>
      </w:pPr>
      <w:r>
        <w:rPr>
          <w:rFonts w:hint="eastAsia"/>
          <w:szCs w:val="21"/>
        </w:rPr>
        <w:t>e）</w:t>
      </w:r>
      <w:r>
        <w:rPr>
          <w:rFonts w:hAnsi="宋体"/>
          <w:szCs w:val="21"/>
        </w:rPr>
        <w:t>当电炉温度达到规定温度后，将称准后装有试样的舟皿从氢气出口端缓慢的推入均温区中部，</w:t>
      </w:r>
      <w:r>
        <w:rPr>
          <w:szCs w:val="21"/>
        </w:rPr>
        <w:t xml:space="preserve"> </w:t>
      </w:r>
      <w:r>
        <w:rPr>
          <w:rFonts w:hAnsi="宋体"/>
          <w:szCs w:val="21"/>
        </w:rPr>
        <w:t>保温</w:t>
      </w:r>
      <w:r>
        <w:rPr>
          <w:szCs w:val="21"/>
        </w:rPr>
        <w:t>3</w:t>
      </w:r>
      <w:r>
        <w:rPr>
          <w:rFonts w:hint="eastAsia"/>
          <w:szCs w:val="21"/>
        </w:rPr>
        <w:t xml:space="preserve"> </w:t>
      </w:r>
      <w:r>
        <w:rPr>
          <w:rFonts w:hint="eastAsia" w:hAnsi="宋体"/>
          <w:szCs w:val="21"/>
        </w:rPr>
        <w:t>h；</w:t>
      </w:r>
    </w:p>
    <w:p>
      <w:pPr>
        <w:ind w:firstLine="420" w:firstLineChars="200"/>
        <w:rPr>
          <w:szCs w:val="21"/>
        </w:rPr>
      </w:pPr>
      <w:r>
        <w:rPr>
          <w:rFonts w:hint="eastAsia"/>
          <w:szCs w:val="21"/>
        </w:rPr>
        <w:t>f）</w:t>
      </w:r>
      <w:r>
        <w:rPr>
          <w:rFonts w:hAnsi="宋体"/>
          <w:szCs w:val="21"/>
        </w:rPr>
        <w:t>保温时间结束后，从氢气出口端将舟皿缓慢拉到冷却区，</w:t>
      </w:r>
      <w:r>
        <w:rPr>
          <w:rFonts w:hint="eastAsia" w:hAnsi="宋体"/>
          <w:szCs w:val="21"/>
        </w:rPr>
        <w:t>冷却15 min（约35℃以下），</w:t>
      </w:r>
      <w:r>
        <w:rPr>
          <w:rFonts w:hAnsi="宋体"/>
          <w:szCs w:val="21"/>
        </w:rPr>
        <w:t>再移到干燥器内冷却</w:t>
      </w:r>
      <w:r>
        <w:rPr>
          <w:rFonts w:hint="eastAsia" w:hAnsi="宋体"/>
          <w:szCs w:val="21"/>
        </w:rPr>
        <w:t>至</w:t>
      </w:r>
      <w:r>
        <w:rPr>
          <w:rFonts w:hAnsi="宋体"/>
          <w:szCs w:val="21"/>
        </w:rPr>
        <w:t>室温</w:t>
      </w:r>
      <w:r>
        <w:rPr>
          <w:rFonts w:hint="eastAsia" w:hAnsi="宋体"/>
          <w:szCs w:val="21"/>
        </w:rPr>
        <w:t>；</w:t>
      </w:r>
    </w:p>
    <w:p>
      <w:pPr>
        <w:ind w:firstLine="420" w:firstLineChars="200"/>
        <w:rPr>
          <w:szCs w:val="21"/>
        </w:rPr>
      </w:pPr>
      <w:r>
        <w:rPr>
          <w:rFonts w:hint="eastAsia"/>
          <w:szCs w:val="21"/>
        </w:rPr>
        <w:t>g）</w:t>
      </w:r>
      <w:r>
        <w:rPr>
          <w:rFonts w:hAnsi="宋体"/>
          <w:szCs w:val="21"/>
        </w:rPr>
        <w:t>称量已冷却到室温的舟皿</w:t>
      </w:r>
      <w:r>
        <w:rPr>
          <w:rFonts w:hint="eastAsia" w:hAnsi="宋体"/>
          <w:szCs w:val="21"/>
        </w:rPr>
        <w:t>（</w:t>
      </w:r>
      <w:r>
        <w:rPr>
          <w:rFonts w:hint="eastAsia" w:hAnsi="宋体"/>
          <w:i/>
          <w:szCs w:val="21"/>
        </w:rPr>
        <w:t>m</w:t>
      </w:r>
      <w:r>
        <w:rPr>
          <w:rFonts w:hint="eastAsia" w:hAnsi="宋体"/>
          <w:i/>
          <w:szCs w:val="21"/>
          <w:vertAlign w:val="subscript"/>
        </w:rPr>
        <w:t>3</w:t>
      </w:r>
      <w:r>
        <w:rPr>
          <w:rFonts w:hint="eastAsia" w:hAnsi="宋体"/>
          <w:szCs w:val="21"/>
        </w:rPr>
        <w:t>）</w:t>
      </w:r>
      <w:r>
        <w:rPr>
          <w:rFonts w:hAnsi="宋体"/>
          <w:szCs w:val="21"/>
        </w:rPr>
        <w:t>，精确到</w:t>
      </w:r>
      <w:r>
        <w:rPr>
          <w:szCs w:val="21"/>
        </w:rPr>
        <w:t>0.0001</w:t>
      </w:r>
      <w:r>
        <w:rPr>
          <w:rFonts w:hint="eastAsia"/>
          <w:szCs w:val="21"/>
        </w:rPr>
        <w:t xml:space="preserve"> </w:t>
      </w:r>
      <w:r>
        <w:rPr>
          <w:szCs w:val="21"/>
        </w:rPr>
        <w:t>g</w:t>
      </w:r>
      <w:r>
        <w:rPr>
          <w:rFonts w:hAnsi="宋体"/>
          <w:szCs w:val="21"/>
        </w:rPr>
        <w:t>。</w:t>
      </w:r>
    </w:p>
    <w:p>
      <w:pPr>
        <w:pStyle w:val="39"/>
        <w:numPr>
          <w:ilvl w:val="1"/>
          <w:numId w:val="0"/>
        </w:numPr>
        <w:spacing w:before="156" w:after="156"/>
        <w:ind w:left="0"/>
        <w:rPr>
          <w:rFonts w:hint="eastAsia"/>
          <w:color w:val="auto"/>
          <w:highlight w:val="none"/>
        </w:rPr>
      </w:pPr>
      <w:r>
        <w:rPr>
          <w:rFonts w:hint="eastAsia"/>
          <w:color w:val="auto"/>
          <w:highlight w:val="none"/>
        </w:rPr>
        <w:t>A.6 结果计算</w:t>
      </w:r>
    </w:p>
    <w:p>
      <w:pPr>
        <w:ind w:firstLine="420" w:firstLineChars="200"/>
        <w:rPr>
          <w:rFonts w:ascii="仿宋_GB2312" w:eastAsia="仿宋_GB2312"/>
          <w:position w:val="-30"/>
        </w:rPr>
      </w:pPr>
      <w:r>
        <w:rPr>
          <w:rFonts w:hAnsi="宋体"/>
          <w:szCs w:val="21"/>
        </w:rPr>
        <w:t>石蜡含量以质量分数表示</w:t>
      </w:r>
      <w:r>
        <w:rPr>
          <w:rFonts w:hint="eastAsia" w:hAnsi="宋体"/>
          <w:szCs w:val="21"/>
        </w:rPr>
        <w:t>（保留小数点后1位）</w:t>
      </w:r>
      <w:r>
        <w:rPr>
          <w:rFonts w:hAnsi="宋体"/>
          <w:szCs w:val="21"/>
        </w:rPr>
        <w:t>：</w:t>
      </w:r>
    </w:p>
    <w:p>
      <w:pPr>
        <w:tabs>
          <w:tab w:val="center" w:pos="4153"/>
          <w:tab w:val="left" w:pos="7160"/>
        </w:tabs>
        <w:jc w:val="right"/>
        <w:rPr>
          <w:rFonts w:ascii="仿宋_GB2312" w:eastAsia="仿宋_GB2312"/>
        </w:rPr>
      </w:pPr>
      <w:r>
        <w:rPr>
          <w:rFonts w:ascii="仿宋_GB2312" w:eastAsia="仿宋_GB2312"/>
        </w:rPr>
        <w:tab/>
      </w:r>
      <w:r>
        <w:rPr>
          <w:rFonts w:hint="eastAsia" w:ascii="仿宋_GB2312" w:eastAsia="仿宋_GB2312"/>
          <w:position w:val="-30"/>
        </w:rPr>
        <w:object>
          <v:shape id="_x0000_i1025" o:spt="75" type="#_x0000_t75" style="height:34pt;width:106pt;" o:ole="t" filled="f" o:preferrelative="t" stroked="f" coordsize="21600,21600">
            <v:path/>
            <v:fill on="f" focussize="0,0"/>
            <v:stroke on="f" joinstyle="miter"/>
            <v:imagedata r:id="rId7" o:title=""/>
            <o:lock v:ext="edit" aspectratio="t"/>
            <w10:wrap type="none"/>
            <w10:anchorlock/>
          </v:shape>
          <o:OLEObject Type="Embed" ProgID="Equation.DSMT4" ShapeID="_x0000_i1025" DrawAspect="Content" ObjectID="_1468075725" r:id="rId6">
            <o:LockedField>false</o:LockedField>
          </o:OLEObject>
        </w:object>
      </w:r>
      <w:r>
        <w:rPr>
          <w:rFonts w:hint="eastAsia"/>
        </w:rPr>
        <w:t>…………………………………（A.1）</w:t>
      </w:r>
    </w:p>
    <w:p>
      <w:pPr>
        <w:jc w:val="center"/>
        <w:rPr>
          <w:rFonts w:ascii="仿宋_GB2312" w:eastAsia="仿宋_GB2312"/>
          <w:position w:val="-30"/>
        </w:rPr>
      </w:pPr>
    </w:p>
    <w:p>
      <w:pPr>
        <w:rPr>
          <w:szCs w:val="21"/>
        </w:rPr>
      </w:pPr>
      <w:r>
        <w:rPr>
          <w:szCs w:val="21"/>
        </w:rPr>
        <w:t xml:space="preserve"> </w:t>
      </w:r>
      <w:r>
        <w:rPr>
          <w:rFonts w:hint="eastAsia"/>
          <w:szCs w:val="21"/>
        </w:rPr>
        <w:t xml:space="preserve">   </w:t>
      </w:r>
      <w:r>
        <w:rPr>
          <w:rFonts w:hAnsi="宋体"/>
          <w:szCs w:val="21"/>
        </w:rPr>
        <w:t>式中：</w:t>
      </w:r>
    </w:p>
    <w:p>
      <w:pPr>
        <w:ind w:firstLine="840" w:firstLineChars="400"/>
        <w:rPr>
          <w:szCs w:val="21"/>
        </w:rPr>
      </w:pPr>
      <w:r>
        <w:rPr>
          <w:rFonts w:hint="eastAsia" w:hAnsi="宋体"/>
          <w:i/>
          <w:szCs w:val="21"/>
        </w:rPr>
        <w:t>m</w:t>
      </w:r>
      <w:r>
        <w:rPr>
          <w:rFonts w:hint="eastAsia" w:hAnsi="宋体"/>
          <w:i/>
          <w:szCs w:val="21"/>
          <w:vertAlign w:val="subscript"/>
        </w:rPr>
        <w:t>1</w:t>
      </w:r>
      <w:r>
        <w:rPr>
          <w:rFonts w:hint="eastAsia"/>
          <w:szCs w:val="21"/>
        </w:rPr>
        <w:t>：</w:t>
      </w:r>
      <w:r>
        <w:rPr>
          <w:rFonts w:hAnsi="宋体"/>
          <w:szCs w:val="21"/>
        </w:rPr>
        <w:t>空舟的质量</w:t>
      </w:r>
      <w:r>
        <w:rPr>
          <w:rFonts w:hint="eastAsia" w:hAnsi="宋体"/>
          <w:szCs w:val="21"/>
        </w:rPr>
        <w:t>，单位为克（</w:t>
      </w:r>
      <w:r>
        <w:rPr>
          <w:szCs w:val="21"/>
        </w:rPr>
        <w:t>g</w:t>
      </w:r>
      <w:r>
        <w:rPr>
          <w:rFonts w:hint="eastAsia"/>
          <w:szCs w:val="21"/>
        </w:rPr>
        <w:t>）</w:t>
      </w:r>
      <w:r>
        <w:rPr>
          <w:rFonts w:hint="eastAsia" w:hAnsi="宋体"/>
          <w:szCs w:val="21"/>
        </w:rPr>
        <w:t>；</w:t>
      </w:r>
    </w:p>
    <w:p>
      <w:pPr>
        <w:ind w:firstLine="840" w:firstLineChars="400"/>
        <w:rPr>
          <w:szCs w:val="21"/>
        </w:rPr>
      </w:pPr>
      <w:r>
        <w:rPr>
          <w:rFonts w:hint="eastAsia" w:hAnsi="宋体"/>
          <w:i/>
          <w:szCs w:val="21"/>
        </w:rPr>
        <w:t>m</w:t>
      </w:r>
      <w:r>
        <w:rPr>
          <w:rFonts w:hint="eastAsia" w:hAnsi="宋体"/>
          <w:i/>
          <w:szCs w:val="21"/>
          <w:vertAlign w:val="subscript"/>
        </w:rPr>
        <w:t>2</w:t>
      </w:r>
      <w:r>
        <w:rPr>
          <w:rFonts w:hint="eastAsia"/>
          <w:szCs w:val="21"/>
        </w:rPr>
        <w:t>：</w:t>
      </w:r>
      <w:r>
        <w:rPr>
          <w:rFonts w:hAnsi="宋体"/>
          <w:szCs w:val="21"/>
        </w:rPr>
        <w:t>试验前，盛有试样的舟皿的质量</w:t>
      </w:r>
      <w:r>
        <w:rPr>
          <w:rFonts w:hint="eastAsia" w:hAnsi="宋体"/>
          <w:szCs w:val="21"/>
        </w:rPr>
        <w:t>，单位为克（</w:t>
      </w:r>
      <w:r>
        <w:rPr>
          <w:szCs w:val="21"/>
        </w:rPr>
        <w:t>g</w:t>
      </w:r>
      <w:r>
        <w:rPr>
          <w:rFonts w:hint="eastAsia"/>
          <w:szCs w:val="21"/>
        </w:rPr>
        <w:t>）</w:t>
      </w:r>
      <w:r>
        <w:rPr>
          <w:rFonts w:hint="eastAsia" w:hAnsi="宋体"/>
          <w:szCs w:val="21"/>
        </w:rPr>
        <w:t>；</w:t>
      </w:r>
    </w:p>
    <w:p>
      <w:pPr>
        <w:ind w:firstLine="840" w:firstLineChars="400"/>
      </w:pPr>
      <w:r>
        <w:rPr>
          <w:rFonts w:hint="eastAsia" w:hAnsi="宋体"/>
          <w:i/>
          <w:szCs w:val="21"/>
        </w:rPr>
        <w:t>m</w:t>
      </w:r>
      <w:r>
        <w:rPr>
          <w:rFonts w:hint="eastAsia" w:hAnsi="宋体"/>
          <w:i/>
          <w:szCs w:val="21"/>
          <w:vertAlign w:val="subscript"/>
        </w:rPr>
        <w:t>3</w:t>
      </w:r>
      <w:r>
        <w:rPr>
          <w:rFonts w:hint="eastAsia"/>
          <w:szCs w:val="21"/>
        </w:rPr>
        <w:t>：</w:t>
      </w:r>
      <w:r>
        <w:rPr>
          <w:rFonts w:hAnsi="宋体"/>
          <w:szCs w:val="21"/>
        </w:rPr>
        <w:t>试验后，盛有试样的舟皿的质量，</w:t>
      </w:r>
      <w:r>
        <w:rPr>
          <w:rFonts w:hint="eastAsia" w:hAnsi="宋体"/>
          <w:szCs w:val="21"/>
        </w:rPr>
        <w:t>单位为克（</w:t>
      </w:r>
      <w:r>
        <w:rPr>
          <w:szCs w:val="21"/>
        </w:rPr>
        <w:t>g</w:t>
      </w:r>
      <w:r>
        <w:rPr>
          <w:rFonts w:hint="eastAsia"/>
          <w:szCs w:val="21"/>
        </w:rPr>
        <w:t>）</w:t>
      </w:r>
      <w:r>
        <w:rPr>
          <w:rFonts w:hint="eastAsia" w:hAnsi="宋体"/>
          <w:szCs w:val="21"/>
        </w:rPr>
        <w:t>。</w:t>
      </w:r>
    </w:p>
    <w:p>
      <w:pPr>
        <w:ind w:left="435"/>
      </w:pPr>
    </w:p>
    <w:p>
      <w:pPr>
        <w:pStyle w:val="126"/>
      </w:pPr>
      <w:r>
        <w:t>_________________________________</w:t>
      </w:r>
    </w:p>
    <w:sectPr>
      <w:pgSz w:w="11906" w:h="16838"/>
      <w:pgMar w:top="567" w:right="1134" w:bottom="1134" w:left="1418" w:header="1418" w:footer="1134" w:gutter="0"/>
      <w:pgNumType w:start="1"/>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fldChar w:fldCharType="begin"/>
    </w:r>
    <w:r>
      <w:instrText xml:space="preserve"> PAGE  \* MERGEFORMAT </w:instrText>
    </w:r>
    <w:r>
      <w:fldChar w:fldCharType="separate"/>
    </w:r>
    <w:r>
      <w:t>I</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rPr>
        <w:rFonts w:ascii="黑体" w:hAnsi="黑体" w:eastAsia="黑体"/>
      </w:rPr>
    </w:pPr>
    <w:r>
      <w:rPr>
        <w:rFonts w:ascii="黑体" w:hAnsi="黑体" w:eastAsia="黑体"/>
      </w:rPr>
      <w:t>YS/T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0EEE46"/>
    <w:multiLevelType w:val="singleLevel"/>
    <w:tmpl w:val="870EEE46"/>
    <w:lvl w:ilvl="0" w:tentative="0">
      <w:start w:val="1"/>
      <w:numFmt w:val="lowerLetter"/>
      <w:suff w:val="nothing"/>
      <w:lvlText w:val="%1）"/>
      <w:lvlJc w:val="left"/>
    </w:lvl>
  </w:abstractNum>
  <w:abstractNum w:abstractNumId="1">
    <w:nsid w:val="0000000A"/>
    <w:multiLevelType w:val="multilevel"/>
    <w:tmpl w:val="0000000A"/>
    <w:lvl w:ilvl="0" w:tentative="0">
      <w:start w:val="1"/>
      <w:numFmt w:val="lowerLetter"/>
      <w:lvlText w:val="%1)"/>
      <w:lvlJc w:val="left"/>
      <w:pPr>
        <w:tabs>
          <w:tab w:val="left" w:pos="795"/>
        </w:tabs>
        <w:ind w:left="795" w:hanging="360"/>
      </w:pPr>
    </w:lvl>
    <w:lvl w:ilvl="1" w:tentative="0">
      <w:start w:val="1"/>
      <w:numFmt w:val="lowerLetter"/>
      <w:lvlText w:val="%2)"/>
      <w:lvlJc w:val="left"/>
      <w:pPr>
        <w:tabs>
          <w:tab w:val="left" w:pos="1275"/>
        </w:tabs>
        <w:ind w:left="1275" w:hanging="420"/>
      </w:pPr>
    </w:lvl>
    <w:lvl w:ilvl="2" w:tentative="0">
      <w:start w:val="1"/>
      <w:numFmt w:val="lowerRoman"/>
      <w:lvlText w:val="%3."/>
      <w:lvlJc w:val="right"/>
      <w:pPr>
        <w:tabs>
          <w:tab w:val="left" w:pos="1695"/>
        </w:tabs>
        <w:ind w:left="1695" w:hanging="420"/>
      </w:pPr>
    </w:lvl>
    <w:lvl w:ilvl="3" w:tentative="0">
      <w:start w:val="1"/>
      <w:numFmt w:val="decimal"/>
      <w:lvlText w:val="%4."/>
      <w:lvlJc w:val="left"/>
      <w:pPr>
        <w:tabs>
          <w:tab w:val="left" w:pos="2115"/>
        </w:tabs>
        <w:ind w:left="2115" w:hanging="420"/>
      </w:pPr>
    </w:lvl>
    <w:lvl w:ilvl="4" w:tentative="0">
      <w:start w:val="1"/>
      <w:numFmt w:val="lowerLetter"/>
      <w:lvlText w:val="%5)"/>
      <w:lvlJc w:val="left"/>
      <w:pPr>
        <w:tabs>
          <w:tab w:val="left" w:pos="2535"/>
        </w:tabs>
        <w:ind w:left="2535" w:hanging="420"/>
      </w:pPr>
    </w:lvl>
    <w:lvl w:ilvl="5" w:tentative="0">
      <w:start w:val="1"/>
      <w:numFmt w:val="lowerRoman"/>
      <w:lvlText w:val="%6."/>
      <w:lvlJc w:val="right"/>
      <w:pPr>
        <w:tabs>
          <w:tab w:val="left" w:pos="2955"/>
        </w:tabs>
        <w:ind w:left="2955" w:hanging="420"/>
      </w:pPr>
    </w:lvl>
    <w:lvl w:ilvl="6" w:tentative="0">
      <w:start w:val="1"/>
      <w:numFmt w:val="decimal"/>
      <w:lvlText w:val="%7."/>
      <w:lvlJc w:val="left"/>
      <w:pPr>
        <w:tabs>
          <w:tab w:val="left" w:pos="3375"/>
        </w:tabs>
        <w:ind w:left="3375" w:hanging="420"/>
      </w:pPr>
    </w:lvl>
    <w:lvl w:ilvl="7" w:tentative="0">
      <w:start w:val="1"/>
      <w:numFmt w:val="lowerLetter"/>
      <w:lvlText w:val="%8)"/>
      <w:lvlJc w:val="left"/>
      <w:pPr>
        <w:tabs>
          <w:tab w:val="left" w:pos="3795"/>
        </w:tabs>
        <w:ind w:left="3795" w:hanging="420"/>
      </w:pPr>
    </w:lvl>
    <w:lvl w:ilvl="8" w:tentative="0">
      <w:start w:val="1"/>
      <w:numFmt w:val="lowerRoman"/>
      <w:lvlText w:val="%9."/>
      <w:lvlJc w:val="right"/>
      <w:pPr>
        <w:tabs>
          <w:tab w:val="left" w:pos="4215"/>
        </w:tabs>
        <w:ind w:left="4215" w:hanging="420"/>
      </w:pPr>
    </w:lvl>
  </w:abstractNum>
  <w:abstractNum w:abstractNumId="2">
    <w:nsid w:val="0A952887"/>
    <w:multiLevelType w:val="multilevel"/>
    <w:tmpl w:val="0A952887"/>
    <w:lvl w:ilvl="0" w:tentative="0">
      <w:start w:val="1"/>
      <w:numFmt w:val="decimal"/>
      <w:pStyle w:val="62"/>
      <w:suff w:val="nothing"/>
      <w:lvlText w:val="注%1："/>
      <w:lvlJc w:val="left"/>
      <w:pPr>
        <w:ind w:left="0" w:firstLine="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
    <w:nsid w:val="0F805D97"/>
    <w:multiLevelType w:val="multilevel"/>
    <w:tmpl w:val="0F805D97"/>
    <w:lvl w:ilvl="0" w:tentative="0">
      <w:start w:val="1"/>
      <w:numFmt w:val="none"/>
      <w:pStyle w:val="54"/>
      <w:suff w:val="nothing"/>
      <w:lvlText w:val="注%1："/>
      <w:lvlJc w:val="left"/>
      <w:pPr>
        <w:ind w:left="0" w:firstLine="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4">
    <w:nsid w:val="1FC91163"/>
    <w:multiLevelType w:val="multilevel"/>
    <w:tmpl w:val="1FC91163"/>
    <w:lvl w:ilvl="0" w:tentative="0">
      <w:start w:val="1"/>
      <w:numFmt w:val="decimal"/>
      <w:pStyle w:val="42"/>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39"/>
      <w:suff w:val="nothing"/>
      <w:lvlText w:val="%1.%2　"/>
      <w:lvlJc w:val="left"/>
      <w:pPr>
        <w:ind w:left="1842"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43"/>
      <w:suff w:val="nothing"/>
      <w:lvlText w:val="%1.%2.%3　"/>
      <w:lvlJc w:val="left"/>
      <w:pPr>
        <w:ind w:left="0" w:firstLine="0"/>
      </w:pPr>
      <w:rPr>
        <w:rFonts w:hint="eastAsia" w:ascii="黑体" w:hAnsi="Times New Roman" w:eastAsia="黑体"/>
        <w:b w:val="0"/>
        <w:i w:val="0"/>
        <w:sz w:val="21"/>
      </w:rPr>
    </w:lvl>
    <w:lvl w:ilvl="3" w:tentative="0">
      <w:start w:val="1"/>
      <w:numFmt w:val="decimal"/>
      <w:pStyle w:val="48"/>
      <w:suff w:val="nothing"/>
      <w:lvlText w:val="%1.%2.%3.%4　"/>
      <w:lvlJc w:val="left"/>
      <w:pPr>
        <w:ind w:left="2693" w:firstLine="0"/>
      </w:pPr>
      <w:rPr>
        <w:rFonts w:hint="eastAsia" w:ascii="黑体" w:hAnsi="Times New Roman" w:eastAsia="黑体"/>
        <w:b w:val="0"/>
        <w:i w:val="0"/>
        <w:sz w:val="21"/>
      </w:rPr>
    </w:lvl>
    <w:lvl w:ilvl="4" w:tentative="0">
      <w:start w:val="1"/>
      <w:numFmt w:val="decimal"/>
      <w:pStyle w:val="52"/>
      <w:suff w:val="nothing"/>
      <w:lvlText w:val="%1.%2.%3.%4.%5　"/>
      <w:lvlJc w:val="left"/>
      <w:pPr>
        <w:ind w:left="0" w:firstLine="0"/>
      </w:pPr>
      <w:rPr>
        <w:rFonts w:hint="eastAsia" w:ascii="黑体" w:hAnsi="Times New Roman" w:eastAsia="黑体"/>
        <w:b w:val="0"/>
        <w:i w:val="0"/>
        <w:sz w:val="21"/>
      </w:rPr>
    </w:lvl>
    <w:lvl w:ilvl="5" w:tentative="0">
      <w:start w:val="1"/>
      <w:numFmt w:val="decimal"/>
      <w:pStyle w:val="53"/>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5">
    <w:nsid w:val="24B435DB"/>
    <w:multiLevelType w:val="multilevel"/>
    <w:tmpl w:val="24B435DB"/>
    <w:lvl w:ilvl="0" w:tentative="0">
      <w:start w:val="1"/>
      <w:numFmt w:val="lowerLetter"/>
      <w:pStyle w:val="118"/>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6">
    <w:nsid w:val="29707437"/>
    <w:multiLevelType w:val="multilevel"/>
    <w:tmpl w:val="29707437"/>
    <w:lvl w:ilvl="0" w:tentative="0">
      <w:start w:val="1"/>
      <w:numFmt w:val="none"/>
      <w:pStyle w:val="61"/>
      <w:suff w:val="nothing"/>
      <w:lvlText w:val="%1注："/>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7">
    <w:nsid w:val="2A8F7113"/>
    <w:multiLevelType w:val="multilevel"/>
    <w:tmpl w:val="2A8F7113"/>
    <w:lvl w:ilvl="0" w:tentative="0">
      <w:start w:val="1"/>
      <w:numFmt w:val="upperLetter"/>
      <w:pStyle w:val="95"/>
      <w:suff w:val="space"/>
      <w:lvlText w:val="%1"/>
      <w:lvlJc w:val="left"/>
      <w:pPr>
        <w:ind w:left="623" w:hanging="425"/>
      </w:pPr>
      <w:rPr>
        <w:rFonts w:hint="eastAsia"/>
      </w:rPr>
    </w:lvl>
    <w:lvl w:ilvl="1" w:tentative="0">
      <w:start w:val="1"/>
      <w:numFmt w:val="decimal"/>
      <w:pStyle w:val="96"/>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8">
    <w:nsid w:val="2C5917C3"/>
    <w:multiLevelType w:val="multilevel"/>
    <w:tmpl w:val="2C5917C3"/>
    <w:lvl w:ilvl="0" w:tentative="0">
      <w:start w:val="1"/>
      <w:numFmt w:val="none"/>
      <w:pStyle w:val="45"/>
      <w:suff w:val="nothing"/>
      <w:lvlText w:val="%1——"/>
      <w:lvlJc w:val="left"/>
      <w:pPr>
        <w:ind w:left="833" w:hanging="408"/>
      </w:pPr>
      <w:rPr>
        <w:rFonts w:hint="eastAsia"/>
      </w:rPr>
    </w:lvl>
    <w:lvl w:ilvl="1" w:tentative="0">
      <w:start w:val="1"/>
      <w:numFmt w:val="bullet"/>
      <w:pStyle w:val="46"/>
      <w:lvlText w:val=""/>
      <w:lvlJc w:val="left"/>
      <w:pPr>
        <w:tabs>
          <w:tab w:val="left" w:pos="760"/>
        </w:tabs>
        <w:ind w:left="1264" w:hanging="413"/>
      </w:pPr>
      <w:rPr>
        <w:rFonts w:hint="default" w:ascii="Symbol" w:hAnsi="Symbol"/>
        <w:color w:val="auto"/>
      </w:rPr>
    </w:lvl>
    <w:lvl w:ilvl="2" w:tentative="0">
      <w:start w:val="1"/>
      <w:numFmt w:val="bullet"/>
      <w:pStyle w:val="57"/>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9">
    <w:nsid w:val="3D733618"/>
    <w:multiLevelType w:val="multilevel"/>
    <w:tmpl w:val="3D733618"/>
    <w:lvl w:ilvl="0" w:tentative="0">
      <w:start w:val="1"/>
      <w:numFmt w:val="decimal"/>
      <w:pStyle w:val="22"/>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0">
    <w:nsid w:val="44C50F90"/>
    <w:multiLevelType w:val="multilevel"/>
    <w:tmpl w:val="44C50F90"/>
    <w:lvl w:ilvl="0" w:tentative="0">
      <w:start w:val="1"/>
      <w:numFmt w:val="lowerLetter"/>
      <w:pStyle w:val="56"/>
      <w:lvlText w:val="%1)"/>
      <w:lvlJc w:val="left"/>
      <w:pPr>
        <w:tabs>
          <w:tab w:val="left" w:pos="840"/>
        </w:tabs>
        <w:ind w:left="839" w:hanging="419"/>
      </w:pPr>
      <w:rPr>
        <w:rFonts w:hint="eastAsia" w:ascii="宋体" w:eastAsia="宋体"/>
        <w:b w:val="0"/>
        <w:i w:val="0"/>
        <w:sz w:val="21"/>
        <w:szCs w:val="21"/>
      </w:rPr>
    </w:lvl>
    <w:lvl w:ilvl="1" w:tentative="0">
      <w:start w:val="1"/>
      <w:numFmt w:val="decimal"/>
      <w:pStyle w:val="51"/>
      <w:lvlText w:val="%2)"/>
      <w:lvlJc w:val="left"/>
      <w:pPr>
        <w:tabs>
          <w:tab w:val="left" w:pos="1260"/>
        </w:tabs>
        <w:ind w:left="1259" w:hanging="419"/>
      </w:pPr>
      <w:rPr>
        <w:rFonts w:hint="eastAsia"/>
      </w:rPr>
    </w:lvl>
    <w:lvl w:ilvl="2" w:tentative="0">
      <w:start w:val="1"/>
      <w:numFmt w:val="decimal"/>
      <w:pStyle w:val="58"/>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1">
    <w:nsid w:val="520F62E9"/>
    <w:multiLevelType w:val="multilevel"/>
    <w:tmpl w:val="520F62E9"/>
    <w:lvl w:ilvl="0" w:tentative="0">
      <w:start w:val="1"/>
      <w:numFmt w:val="decimal"/>
      <w:pStyle w:val="125"/>
      <w:suff w:val="nothing"/>
      <w:lvlText w:val="图%1　"/>
      <w:lvlJc w:val="left"/>
      <w:pPr>
        <w:ind w:left="0" w:firstLine="0"/>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2">
    <w:nsid w:val="5E63562F"/>
    <w:multiLevelType w:val="multilevel"/>
    <w:tmpl w:val="5E63562F"/>
    <w:lvl w:ilvl="0" w:tentative="0">
      <w:start w:val="1"/>
      <w:numFmt w:val="decimal"/>
      <w:pStyle w:val="55"/>
      <w:suff w:val="nothing"/>
      <w:lvlText w:val="注%1："/>
      <w:lvlJc w:val="left"/>
      <w:pPr>
        <w:ind w:left="0" w:firstLine="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13">
    <w:nsid w:val="60B55DC2"/>
    <w:multiLevelType w:val="multilevel"/>
    <w:tmpl w:val="60B55DC2"/>
    <w:lvl w:ilvl="0" w:tentative="0">
      <w:start w:val="1"/>
      <w:numFmt w:val="upperLetter"/>
      <w:pStyle w:val="83"/>
      <w:lvlText w:val="%1"/>
      <w:lvlJc w:val="left"/>
      <w:pPr>
        <w:tabs>
          <w:tab w:val="left" w:pos="0"/>
        </w:tabs>
        <w:ind w:left="0" w:hanging="425"/>
      </w:pPr>
      <w:rPr>
        <w:rFonts w:hint="eastAsia"/>
      </w:rPr>
    </w:lvl>
    <w:lvl w:ilvl="1" w:tentative="0">
      <w:start w:val="1"/>
      <w:numFmt w:val="decimal"/>
      <w:pStyle w:val="84"/>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4">
    <w:nsid w:val="63404DBE"/>
    <w:multiLevelType w:val="multilevel"/>
    <w:tmpl w:val="63404DBE"/>
    <w:lvl w:ilvl="0" w:tentative="0">
      <w:start w:val="1"/>
      <w:numFmt w:val="none"/>
      <w:pStyle w:val="49"/>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15">
    <w:nsid w:val="63AF7EBF"/>
    <w:multiLevelType w:val="multilevel"/>
    <w:tmpl w:val="63AF7EBF"/>
    <w:lvl w:ilvl="0" w:tentative="0">
      <w:start w:val="1"/>
      <w:numFmt w:val="decimal"/>
      <w:pStyle w:val="123"/>
      <w:suff w:val="nothing"/>
      <w:lvlText w:val="表%1　"/>
      <w:lvlJc w:val="left"/>
      <w:pPr>
        <w:ind w:left="0" w:firstLine="0"/>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6">
    <w:nsid w:val="657D3FBC"/>
    <w:multiLevelType w:val="multilevel"/>
    <w:tmpl w:val="657D3FBC"/>
    <w:lvl w:ilvl="0" w:tentative="0">
      <w:start w:val="1"/>
      <w:numFmt w:val="upperLetter"/>
      <w:pStyle w:val="81"/>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99"/>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00"/>
      <w:suff w:val="nothing"/>
      <w:lvlText w:val="%1.%2.%3　"/>
      <w:lvlJc w:val="left"/>
      <w:pPr>
        <w:ind w:left="0" w:firstLine="0"/>
      </w:pPr>
      <w:rPr>
        <w:rFonts w:hint="eastAsia" w:ascii="黑体" w:hAnsi="Times New Roman" w:eastAsia="黑体"/>
        <w:b w:val="0"/>
        <w:i w:val="0"/>
        <w:sz w:val="21"/>
      </w:rPr>
    </w:lvl>
    <w:lvl w:ilvl="3" w:tentative="0">
      <w:start w:val="1"/>
      <w:numFmt w:val="decimal"/>
      <w:pStyle w:val="85"/>
      <w:suff w:val="nothing"/>
      <w:lvlText w:val="%1.%2.%3.%4　"/>
      <w:lvlJc w:val="left"/>
      <w:pPr>
        <w:ind w:left="0" w:firstLine="0"/>
      </w:pPr>
      <w:rPr>
        <w:rFonts w:hint="eastAsia" w:ascii="黑体" w:hAnsi="Times New Roman" w:eastAsia="黑体"/>
        <w:b w:val="0"/>
        <w:i w:val="0"/>
        <w:sz w:val="21"/>
      </w:rPr>
    </w:lvl>
    <w:lvl w:ilvl="4" w:tentative="0">
      <w:start w:val="1"/>
      <w:numFmt w:val="decimal"/>
      <w:pStyle w:val="90"/>
      <w:suff w:val="nothing"/>
      <w:lvlText w:val="%1.%2.%3.%4.%5　"/>
      <w:lvlJc w:val="left"/>
      <w:pPr>
        <w:ind w:left="0" w:firstLine="0"/>
      </w:pPr>
      <w:rPr>
        <w:rFonts w:hint="eastAsia" w:ascii="黑体" w:hAnsi="Times New Roman" w:eastAsia="黑体"/>
        <w:b w:val="0"/>
        <w:i w:val="0"/>
        <w:sz w:val="21"/>
      </w:rPr>
    </w:lvl>
    <w:lvl w:ilvl="5" w:tentative="0">
      <w:start w:val="1"/>
      <w:numFmt w:val="decimal"/>
      <w:pStyle w:val="93"/>
      <w:suff w:val="nothing"/>
      <w:lvlText w:val="%1.%2.%3.%4.%5.%6　"/>
      <w:lvlJc w:val="left"/>
      <w:pPr>
        <w:ind w:left="0" w:firstLine="0"/>
      </w:pPr>
      <w:rPr>
        <w:rFonts w:hint="eastAsia" w:ascii="黑体" w:hAnsi="Times New Roman" w:eastAsia="黑体"/>
        <w:b w:val="0"/>
        <w:i w:val="0"/>
        <w:sz w:val="21"/>
      </w:rPr>
    </w:lvl>
    <w:lvl w:ilvl="6" w:tentative="0">
      <w:start w:val="1"/>
      <w:numFmt w:val="decimal"/>
      <w:pStyle w:val="97"/>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7">
    <w:nsid w:val="6AB870ED"/>
    <w:multiLevelType w:val="multilevel"/>
    <w:tmpl w:val="6AB870ED"/>
    <w:lvl w:ilvl="0" w:tentative="0">
      <w:start w:val="1"/>
      <w:numFmt w:val="decimal"/>
      <w:pStyle w:val="59"/>
      <w:suff w:val="nothing"/>
      <w:lvlText w:val="示例%1："/>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18">
    <w:nsid w:val="6D6C07CD"/>
    <w:multiLevelType w:val="multilevel"/>
    <w:tmpl w:val="6D6C07CD"/>
    <w:lvl w:ilvl="0" w:tentative="0">
      <w:start w:val="1"/>
      <w:numFmt w:val="lowerLetter"/>
      <w:pStyle w:val="102"/>
      <w:lvlText w:val="%1)"/>
      <w:lvlJc w:val="left"/>
      <w:pPr>
        <w:tabs>
          <w:tab w:val="left" w:pos="839"/>
        </w:tabs>
        <w:ind w:left="839" w:hanging="419"/>
      </w:pPr>
      <w:rPr>
        <w:rFonts w:hint="eastAsia" w:ascii="宋体" w:eastAsia="宋体"/>
        <w:b w:val="0"/>
        <w:i w:val="0"/>
        <w:sz w:val="21"/>
      </w:rPr>
    </w:lvl>
    <w:lvl w:ilvl="1" w:tentative="0">
      <w:start w:val="1"/>
      <w:numFmt w:val="decimal"/>
      <w:pStyle w:val="92"/>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num w:numId="1">
    <w:abstractNumId w:val="9"/>
  </w:num>
  <w:num w:numId="2">
    <w:abstractNumId w:val="4"/>
  </w:num>
  <w:num w:numId="3">
    <w:abstractNumId w:val="8"/>
  </w:num>
  <w:num w:numId="4">
    <w:abstractNumId w:val="14"/>
  </w:num>
  <w:num w:numId="5">
    <w:abstractNumId w:val="10"/>
  </w:num>
  <w:num w:numId="6">
    <w:abstractNumId w:val="3"/>
  </w:num>
  <w:num w:numId="7">
    <w:abstractNumId w:val="12"/>
  </w:num>
  <w:num w:numId="8">
    <w:abstractNumId w:val="17"/>
  </w:num>
  <w:num w:numId="9">
    <w:abstractNumId w:val="6"/>
  </w:num>
  <w:num w:numId="10">
    <w:abstractNumId w:val="2"/>
  </w:num>
  <w:num w:numId="11">
    <w:abstractNumId w:val="16"/>
  </w:num>
  <w:num w:numId="12">
    <w:abstractNumId w:val="13"/>
  </w:num>
  <w:num w:numId="13">
    <w:abstractNumId w:val="18"/>
  </w:num>
  <w:num w:numId="14">
    <w:abstractNumId w:val="7"/>
  </w:num>
  <w:num w:numId="15">
    <w:abstractNumId w:val="5"/>
  </w:num>
  <w:num w:numId="16">
    <w:abstractNumId w:val="15"/>
  </w:num>
  <w:num w:numId="17">
    <w:abstractNumId w:val="11"/>
  </w:num>
  <w:num w:numId="18">
    <w:abstractNumId w:val="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IJNrmakekOstcUydE6QroysrW547j8CVXLC0x40V3RvaUI/RqHsf9w7pXnMrhbOXGQH58+AJLzv+cs8N5JzeA==" w:salt="Msh0kSdPdeU/EAHHqHEReg=="/>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dmZjc2Zjc2MmM5OTFhZjE4MzE3MDMzMzdlOTQ5ZjQifQ=="/>
  </w:docVars>
  <w:rsids>
    <w:rsidRoot w:val="00035925"/>
    <w:rsid w:val="00000244"/>
    <w:rsid w:val="00000394"/>
    <w:rsid w:val="00000BB3"/>
    <w:rsid w:val="0000185F"/>
    <w:rsid w:val="00004B91"/>
    <w:rsid w:val="00004E32"/>
    <w:rsid w:val="0000586F"/>
    <w:rsid w:val="00013D86"/>
    <w:rsid w:val="00013E02"/>
    <w:rsid w:val="0002143C"/>
    <w:rsid w:val="000248BA"/>
    <w:rsid w:val="00025A65"/>
    <w:rsid w:val="00026C31"/>
    <w:rsid w:val="00027280"/>
    <w:rsid w:val="000320A7"/>
    <w:rsid w:val="000325EA"/>
    <w:rsid w:val="00032740"/>
    <w:rsid w:val="00035925"/>
    <w:rsid w:val="00036C2C"/>
    <w:rsid w:val="000370EC"/>
    <w:rsid w:val="00045A7C"/>
    <w:rsid w:val="0004769F"/>
    <w:rsid w:val="00055371"/>
    <w:rsid w:val="00056A24"/>
    <w:rsid w:val="00057CE5"/>
    <w:rsid w:val="000607A3"/>
    <w:rsid w:val="000657F7"/>
    <w:rsid w:val="00067CDF"/>
    <w:rsid w:val="00074FBE"/>
    <w:rsid w:val="0007762A"/>
    <w:rsid w:val="00080854"/>
    <w:rsid w:val="00081D7E"/>
    <w:rsid w:val="00081DFC"/>
    <w:rsid w:val="00081F6E"/>
    <w:rsid w:val="00083A09"/>
    <w:rsid w:val="00085A4B"/>
    <w:rsid w:val="0009005E"/>
    <w:rsid w:val="000918A9"/>
    <w:rsid w:val="00091ACC"/>
    <w:rsid w:val="00092001"/>
    <w:rsid w:val="00092618"/>
    <w:rsid w:val="00092857"/>
    <w:rsid w:val="00092BD8"/>
    <w:rsid w:val="000932AB"/>
    <w:rsid w:val="000945D9"/>
    <w:rsid w:val="000964C7"/>
    <w:rsid w:val="000979D9"/>
    <w:rsid w:val="000A20A9"/>
    <w:rsid w:val="000A2609"/>
    <w:rsid w:val="000A48B1"/>
    <w:rsid w:val="000A750C"/>
    <w:rsid w:val="000B2F0E"/>
    <w:rsid w:val="000B3143"/>
    <w:rsid w:val="000B405D"/>
    <w:rsid w:val="000C2BE6"/>
    <w:rsid w:val="000C6B05"/>
    <w:rsid w:val="000C6DD6"/>
    <w:rsid w:val="000C73D4"/>
    <w:rsid w:val="000D3D4C"/>
    <w:rsid w:val="000D4F51"/>
    <w:rsid w:val="000D718B"/>
    <w:rsid w:val="000E0C46"/>
    <w:rsid w:val="000E15EE"/>
    <w:rsid w:val="000F030C"/>
    <w:rsid w:val="000F129C"/>
    <w:rsid w:val="000F174F"/>
    <w:rsid w:val="000F175F"/>
    <w:rsid w:val="00100BF5"/>
    <w:rsid w:val="00104E29"/>
    <w:rsid w:val="001056DE"/>
    <w:rsid w:val="001124C0"/>
    <w:rsid w:val="00115E9A"/>
    <w:rsid w:val="00117A25"/>
    <w:rsid w:val="00120F24"/>
    <w:rsid w:val="00121293"/>
    <w:rsid w:val="00122ADA"/>
    <w:rsid w:val="0013175F"/>
    <w:rsid w:val="00131AFE"/>
    <w:rsid w:val="0013364D"/>
    <w:rsid w:val="001343BB"/>
    <w:rsid w:val="00141E9A"/>
    <w:rsid w:val="001512B4"/>
    <w:rsid w:val="0015244C"/>
    <w:rsid w:val="00153A26"/>
    <w:rsid w:val="00157A3F"/>
    <w:rsid w:val="001620A5"/>
    <w:rsid w:val="00164E53"/>
    <w:rsid w:val="00165D35"/>
    <w:rsid w:val="00166213"/>
    <w:rsid w:val="0016699D"/>
    <w:rsid w:val="001670D9"/>
    <w:rsid w:val="00175159"/>
    <w:rsid w:val="00175A23"/>
    <w:rsid w:val="00175AD7"/>
    <w:rsid w:val="00176208"/>
    <w:rsid w:val="0017780C"/>
    <w:rsid w:val="001813B2"/>
    <w:rsid w:val="0018211B"/>
    <w:rsid w:val="00183FE1"/>
    <w:rsid w:val="001840D3"/>
    <w:rsid w:val="00184782"/>
    <w:rsid w:val="00184C73"/>
    <w:rsid w:val="00187A8A"/>
    <w:rsid w:val="001900F8"/>
    <w:rsid w:val="00191258"/>
    <w:rsid w:val="00192680"/>
    <w:rsid w:val="00193037"/>
    <w:rsid w:val="00193375"/>
    <w:rsid w:val="00193A2C"/>
    <w:rsid w:val="001A288E"/>
    <w:rsid w:val="001A61D1"/>
    <w:rsid w:val="001B36ED"/>
    <w:rsid w:val="001B3C3E"/>
    <w:rsid w:val="001B6DC2"/>
    <w:rsid w:val="001B754B"/>
    <w:rsid w:val="001C149C"/>
    <w:rsid w:val="001C21AC"/>
    <w:rsid w:val="001C3689"/>
    <w:rsid w:val="001C47BA"/>
    <w:rsid w:val="001C594F"/>
    <w:rsid w:val="001C59EA"/>
    <w:rsid w:val="001D2FB1"/>
    <w:rsid w:val="001D3556"/>
    <w:rsid w:val="001D406C"/>
    <w:rsid w:val="001D41EE"/>
    <w:rsid w:val="001D4BEB"/>
    <w:rsid w:val="001D71E6"/>
    <w:rsid w:val="001E0380"/>
    <w:rsid w:val="001E0B1B"/>
    <w:rsid w:val="001E13B1"/>
    <w:rsid w:val="001E2153"/>
    <w:rsid w:val="001E23E7"/>
    <w:rsid w:val="001E791F"/>
    <w:rsid w:val="001F20AE"/>
    <w:rsid w:val="001F3A19"/>
    <w:rsid w:val="002009E4"/>
    <w:rsid w:val="00201053"/>
    <w:rsid w:val="0020251B"/>
    <w:rsid w:val="002073D3"/>
    <w:rsid w:val="00215D48"/>
    <w:rsid w:val="0021624B"/>
    <w:rsid w:val="0022185E"/>
    <w:rsid w:val="002246F8"/>
    <w:rsid w:val="00227FED"/>
    <w:rsid w:val="0023030A"/>
    <w:rsid w:val="0023070D"/>
    <w:rsid w:val="00230F08"/>
    <w:rsid w:val="00234467"/>
    <w:rsid w:val="00235BE6"/>
    <w:rsid w:val="00237D8D"/>
    <w:rsid w:val="00241DA2"/>
    <w:rsid w:val="00247FEE"/>
    <w:rsid w:val="00250E7D"/>
    <w:rsid w:val="002523DB"/>
    <w:rsid w:val="002527DD"/>
    <w:rsid w:val="00252DAA"/>
    <w:rsid w:val="00253526"/>
    <w:rsid w:val="002565D5"/>
    <w:rsid w:val="002622C0"/>
    <w:rsid w:val="002714D1"/>
    <w:rsid w:val="00275FFE"/>
    <w:rsid w:val="002778AE"/>
    <w:rsid w:val="00280AC0"/>
    <w:rsid w:val="0028269A"/>
    <w:rsid w:val="00283590"/>
    <w:rsid w:val="00286973"/>
    <w:rsid w:val="00287674"/>
    <w:rsid w:val="002935B0"/>
    <w:rsid w:val="002938A4"/>
    <w:rsid w:val="00293DB8"/>
    <w:rsid w:val="00294E70"/>
    <w:rsid w:val="002954B8"/>
    <w:rsid w:val="002967B2"/>
    <w:rsid w:val="002A1924"/>
    <w:rsid w:val="002A7420"/>
    <w:rsid w:val="002A7A7E"/>
    <w:rsid w:val="002B0F12"/>
    <w:rsid w:val="002B1308"/>
    <w:rsid w:val="002B4554"/>
    <w:rsid w:val="002B707C"/>
    <w:rsid w:val="002C72D8"/>
    <w:rsid w:val="002C7C59"/>
    <w:rsid w:val="002D11FA"/>
    <w:rsid w:val="002D17BC"/>
    <w:rsid w:val="002D19A4"/>
    <w:rsid w:val="002D6352"/>
    <w:rsid w:val="002E0DDF"/>
    <w:rsid w:val="002E14AC"/>
    <w:rsid w:val="002E2238"/>
    <w:rsid w:val="002E2906"/>
    <w:rsid w:val="002E5635"/>
    <w:rsid w:val="002E64C3"/>
    <w:rsid w:val="002E6A2C"/>
    <w:rsid w:val="002F035E"/>
    <w:rsid w:val="002F0FE8"/>
    <w:rsid w:val="002F1D8C"/>
    <w:rsid w:val="002F21DA"/>
    <w:rsid w:val="002F34B8"/>
    <w:rsid w:val="002F49A0"/>
    <w:rsid w:val="00301F39"/>
    <w:rsid w:val="00303D27"/>
    <w:rsid w:val="00305BEE"/>
    <w:rsid w:val="00310087"/>
    <w:rsid w:val="003100C1"/>
    <w:rsid w:val="00310335"/>
    <w:rsid w:val="00313962"/>
    <w:rsid w:val="00315B3D"/>
    <w:rsid w:val="00322EFB"/>
    <w:rsid w:val="003234E0"/>
    <w:rsid w:val="00325926"/>
    <w:rsid w:val="00327A8A"/>
    <w:rsid w:val="00327BC8"/>
    <w:rsid w:val="003339A3"/>
    <w:rsid w:val="00334A92"/>
    <w:rsid w:val="00336610"/>
    <w:rsid w:val="00341F5C"/>
    <w:rsid w:val="00343D23"/>
    <w:rsid w:val="00343F73"/>
    <w:rsid w:val="00344021"/>
    <w:rsid w:val="00345060"/>
    <w:rsid w:val="003451FB"/>
    <w:rsid w:val="00347F70"/>
    <w:rsid w:val="00352629"/>
    <w:rsid w:val="0035323B"/>
    <w:rsid w:val="00353D19"/>
    <w:rsid w:val="0035785A"/>
    <w:rsid w:val="003609D2"/>
    <w:rsid w:val="003639DB"/>
    <w:rsid w:val="00363F22"/>
    <w:rsid w:val="00364940"/>
    <w:rsid w:val="00375564"/>
    <w:rsid w:val="00376489"/>
    <w:rsid w:val="00383191"/>
    <w:rsid w:val="00386DED"/>
    <w:rsid w:val="003912E7"/>
    <w:rsid w:val="00393947"/>
    <w:rsid w:val="00395141"/>
    <w:rsid w:val="003A0E27"/>
    <w:rsid w:val="003A2275"/>
    <w:rsid w:val="003A6A4F"/>
    <w:rsid w:val="003A7088"/>
    <w:rsid w:val="003B00DF"/>
    <w:rsid w:val="003B026F"/>
    <w:rsid w:val="003B1275"/>
    <w:rsid w:val="003B1778"/>
    <w:rsid w:val="003C11CB"/>
    <w:rsid w:val="003C3017"/>
    <w:rsid w:val="003C6A77"/>
    <w:rsid w:val="003C75F3"/>
    <w:rsid w:val="003C78A3"/>
    <w:rsid w:val="003D36AB"/>
    <w:rsid w:val="003D3C48"/>
    <w:rsid w:val="003E1867"/>
    <w:rsid w:val="003E5729"/>
    <w:rsid w:val="003E6589"/>
    <w:rsid w:val="003E724E"/>
    <w:rsid w:val="003F1D40"/>
    <w:rsid w:val="003F22BB"/>
    <w:rsid w:val="003F2A5B"/>
    <w:rsid w:val="003F4EE0"/>
    <w:rsid w:val="003F5559"/>
    <w:rsid w:val="003F7947"/>
    <w:rsid w:val="00400473"/>
    <w:rsid w:val="00402153"/>
    <w:rsid w:val="00402E26"/>
    <w:rsid w:val="00402FC1"/>
    <w:rsid w:val="004056D6"/>
    <w:rsid w:val="0041457B"/>
    <w:rsid w:val="004200D9"/>
    <w:rsid w:val="00424EA0"/>
    <w:rsid w:val="00425082"/>
    <w:rsid w:val="00427EC4"/>
    <w:rsid w:val="00431DEB"/>
    <w:rsid w:val="0044259D"/>
    <w:rsid w:val="00442670"/>
    <w:rsid w:val="004439D9"/>
    <w:rsid w:val="00446B29"/>
    <w:rsid w:val="004524BE"/>
    <w:rsid w:val="00453F9A"/>
    <w:rsid w:val="00454CC3"/>
    <w:rsid w:val="004574B3"/>
    <w:rsid w:val="00464903"/>
    <w:rsid w:val="00465B72"/>
    <w:rsid w:val="004719FA"/>
    <w:rsid w:val="00471E91"/>
    <w:rsid w:val="00474079"/>
    <w:rsid w:val="00474675"/>
    <w:rsid w:val="0047470C"/>
    <w:rsid w:val="00484C88"/>
    <w:rsid w:val="00486549"/>
    <w:rsid w:val="00492902"/>
    <w:rsid w:val="0049485B"/>
    <w:rsid w:val="004A203E"/>
    <w:rsid w:val="004A35F9"/>
    <w:rsid w:val="004A4662"/>
    <w:rsid w:val="004A7E02"/>
    <w:rsid w:val="004B157A"/>
    <w:rsid w:val="004B24C1"/>
    <w:rsid w:val="004B3092"/>
    <w:rsid w:val="004B49B1"/>
    <w:rsid w:val="004B557C"/>
    <w:rsid w:val="004C292F"/>
    <w:rsid w:val="004C4389"/>
    <w:rsid w:val="004C657F"/>
    <w:rsid w:val="004C7F25"/>
    <w:rsid w:val="004D306F"/>
    <w:rsid w:val="004D4B02"/>
    <w:rsid w:val="004D4F76"/>
    <w:rsid w:val="004E24C9"/>
    <w:rsid w:val="004E4B13"/>
    <w:rsid w:val="004E4B8C"/>
    <w:rsid w:val="004E5A47"/>
    <w:rsid w:val="004F3E3E"/>
    <w:rsid w:val="005036E2"/>
    <w:rsid w:val="00504ABF"/>
    <w:rsid w:val="00510280"/>
    <w:rsid w:val="00513D73"/>
    <w:rsid w:val="005148B3"/>
    <w:rsid w:val="00514A43"/>
    <w:rsid w:val="00515361"/>
    <w:rsid w:val="00515E9C"/>
    <w:rsid w:val="005174E5"/>
    <w:rsid w:val="00520898"/>
    <w:rsid w:val="00522393"/>
    <w:rsid w:val="00522620"/>
    <w:rsid w:val="00523358"/>
    <w:rsid w:val="00525542"/>
    <w:rsid w:val="00525656"/>
    <w:rsid w:val="00525BF3"/>
    <w:rsid w:val="005304FD"/>
    <w:rsid w:val="005310AF"/>
    <w:rsid w:val="00534C02"/>
    <w:rsid w:val="0054044C"/>
    <w:rsid w:val="0054264B"/>
    <w:rsid w:val="00543786"/>
    <w:rsid w:val="00545A49"/>
    <w:rsid w:val="005463CC"/>
    <w:rsid w:val="00546D0D"/>
    <w:rsid w:val="0055153A"/>
    <w:rsid w:val="005533D7"/>
    <w:rsid w:val="00554B63"/>
    <w:rsid w:val="005564EE"/>
    <w:rsid w:val="00562CF6"/>
    <w:rsid w:val="0056544B"/>
    <w:rsid w:val="005660D8"/>
    <w:rsid w:val="00567177"/>
    <w:rsid w:val="005703DE"/>
    <w:rsid w:val="005710BC"/>
    <w:rsid w:val="005755F1"/>
    <w:rsid w:val="00576004"/>
    <w:rsid w:val="00576885"/>
    <w:rsid w:val="00582BBE"/>
    <w:rsid w:val="0058464E"/>
    <w:rsid w:val="0058650E"/>
    <w:rsid w:val="0058652B"/>
    <w:rsid w:val="005A01CB"/>
    <w:rsid w:val="005A19A9"/>
    <w:rsid w:val="005A2A05"/>
    <w:rsid w:val="005A58FF"/>
    <w:rsid w:val="005A5EAF"/>
    <w:rsid w:val="005A6491"/>
    <w:rsid w:val="005A64C0"/>
    <w:rsid w:val="005B1985"/>
    <w:rsid w:val="005B3C11"/>
    <w:rsid w:val="005B4AE5"/>
    <w:rsid w:val="005C1C28"/>
    <w:rsid w:val="005C43D0"/>
    <w:rsid w:val="005C6DB5"/>
    <w:rsid w:val="005D3842"/>
    <w:rsid w:val="005E19E7"/>
    <w:rsid w:val="005E2392"/>
    <w:rsid w:val="005F7BEB"/>
    <w:rsid w:val="00601622"/>
    <w:rsid w:val="0060789B"/>
    <w:rsid w:val="0061037E"/>
    <w:rsid w:val="00613D21"/>
    <w:rsid w:val="00613FAA"/>
    <w:rsid w:val="00616C36"/>
    <w:rsid w:val="00616E9F"/>
    <w:rsid w:val="0061716C"/>
    <w:rsid w:val="006171AF"/>
    <w:rsid w:val="00617868"/>
    <w:rsid w:val="00624208"/>
    <w:rsid w:val="006243A1"/>
    <w:rsid w:val="00626005"/>
    <w:rsid w:val="00632E56"/>
    <w:rsid w:val="00635CBA"/>
    <w:rsid w:val="00636EFC"/>
    <w:rsid w:val="0064338B"/>
    <w:rsid w:val="00646542"/>
    <w:rsid w:val="006504F4"/>
    <w:rsid w:val="0065366F"/>
    <w:rsid w:val="00654BC9"/>
    <w:rsid w:val="006552FD"/>
    <w:rsid w:val="00656F0B"/>
    <w:rsid w:val="00663733"/>
    <w:rsid w:val="00663AF3"/>
    <w:rsid w:val="00666B6C"/>
    <w:rsid w:val="00670030"/>
    <w:rsid w:val="00672E65"/>
    <w:rsid w:val="00677B54"/>
    <w:rsid w:val="00682682"/>
    <w:rsid w:val="00682702"/>
    <w:rsid w:val="0068487D"/>
    <w:rsid w:val="00692306"/>
    <w:rsid w:val="00692368"/>
    <w:rsid w:val="006948EA"/>
    <w:rsid w:val="00695192"/>
    <w:rsid w:val="006960F2"/>
    <w:rsid w:val="006A1C8E"/>
    <w:rsid w:val="006A2EBC"/>
    <w:rsid w:val="006A5EA0"/>
    <w:rsid w:val="006A783B"/>
    <w:rsid w:val="006A7B33"/>
    <w:rsid w:val="006B0990"/>
    <w:rsid w:val="006B497F"/>
    <w:rsid w:val="006B4C2C"/>
    <w:rsid w:val="006B4E13"/>
    <w:rsid w:val="006B75DD"/>
    <w:rsid w:val="006C047C"/>
    <w:rsid w:val="006C3D8B"/>
    <w:rsid w:val="006C67E0"/>
    <w:rsid w:val="006C7ABA"/>
    <w:rsid w:val="006D0A13"/>
    <w:rsid w:val="006D0D60"/>
    <w:rsid w:val="006D1122"/>
    <w:rsid w:val="006D1B67"/>
    <w:rsid w:val="006D317E"/>
    <w:rsid w:val="006D3B1E"/>
    <w:rsid w:val="006D3C00"/>
    <w:rsid w:val="006D6A19"/>
    <w:rsid w:val="006E0319"/>
    <w:rsid w:val="006E06AD"/>
    <w:rsid w:val="006E3675"/>
    <w:rsid w:val="006E4A7F"/>
    <w:rsid w:val="006F0967"/>
    <w:rsid w:val="006F2274"/>
    <w:rsid w:val="006F5361"/>
    <w:rsid w:val="006F64A0"/>
    <w:rsid w:val="006F7216"/>
    <w:rsid w:val="0070038F"/>
    <w:rsid w:val="00701F6D"/>
    <w:rsid w:val="007027B1"/>
    <w:rsid w:val="0070286C"/>
    <w:rsid w:val="00704DF6"/>
    <w:rsid w:val="0070641D"/>
    <w:rsid w:val="0070651C"/>
    <w:rsid w:val="007132A3"/>
    <w:rsid w:val="00716421"/>
    <w:rsid w:val="00721419"/>
    <w:rsid w:val="00724EFB"/>
    <w:rsid w:val="00726575"/>
    <w:rsid w:val="00730310"/>
    <w:rsid w:val="00737A89"/>
    <w:rsid w:val="00740A49"/>
    <w:rsid w:val="007419C3"/>
    <w:rsid w:val="00743406"/>
    <w:rsid w:val="00743A93"/>
    <w:rsid w:val="00746559"/>
    <w:rsid w:val="007467A7"/>
    <w:rsid w:val="007469DD"/>
    <w:rsid w:val="0074741B"/>
    <w:rsid w:val="0074759E"/>
    <w:rsid w:val="007478EA"/>
    <w:rsid w:val="0075415C"/>
    <w:rsid w:val="00757097"/>
    <w:rsid w:val="007606CB"/>
    <w:rsid w:val="00761E8B"/>
    <w:rsid w:val="00763502"/>
    <w:rsid w:val="00771C65"/>
    <w:rsid w:val="007769AB"/>
    <w:rsid w:val="00780DE2"/>
    <w:rsid w:val="007913AB"/>
    <w:rsid w:val="007914F7"/>
    <w:rsid w:val="00792567"/>
    <w:rsid w:val="00792648"/>
    <w:rsid w:val="00795C73"/>
    <w:rsid w:val="0079612E"/>
    <w:rsid w:val="007A4809"/>
    <w:rsid w:val="007B1625"/>
    <w:rsid w:val="007B706E"/>
    <w:rsid w:val="007B71EB"/>
    <w:rsid w:val="007C0748"/>
    <w:rsid w:val="007C6205"/>
    <w:rsid w:val="007C686A"/>
    <w:rsid w:val="007C728E"/>
    <w:rsid w:val="007D0BE0"/>
    <w:rsid w:val="007D13C4"/>
    <w:rsid w:val="007D1D7A"/>
    <w:rsid w:val="007D204F"/>
    <w:rsid w:val="007D2C53"/>
    <w:rsid w:val="007D3D60"/>
    <w:rsid w:val="007D49DB"/>
    <w:rsid w:val="007E08EF"/>
    <w:rsid w:val="007E0B38"/>
    <w:rsid w:val="007E1980"/>
    <w:rsid w:val="007E4B76"/>
    <w:rsid w:val="007E5043"/>
    <w:rsid w:val="007E5EA8"/>
    <w:rsid w:val="007F0734"/>
    <w:rsid w:val="007F0CF1"/>
    <w:rsid w:val="007F12A5"/>
    <w:rsid w:val="007F2D74"/>
    <w:rsid w:val="007F3FB7"/>
    <w:rsid w:val="007F4CF1"/>
    <w:rsid w:val="007F7422"/>
    <w:rsid w:val="007F758D"/>
    <w:rsid w:val="007F7D52"/>
    <w:rsid w:val="0080484A"/>
    <w:rsid w:val="00805589"/>
    <w:rsid w:val="008057A5"/>
    <w:rsid w:val="00805E2F"/>
    <w:rsid w:val="0080654C"/>
    <w:rsid w:val="008071C6"/>
    <w:rsid w:val="00817A00"/>
    <w:rsid w:val="00820B95"/>
    <w:rsid w:val="00825891"/>
    <w:rsid w:val="00831631"/>
    <w:rsid w:val="0083228D"/>
    <w:rsid w:val="00833D07"/>
    <w:rsid w:val="00835DB3"/>
    <w:rsid w:val="0083617B"/>
    <w:rsid w:val="00836342"/>
    <w:rsid w:val="00836A2D"/>
    <w:rsid w:val="008371BD"/>
    <w:rsid w:val="00840EBF"/>
    <w:rsid w:val="00846093"/>
    <w:rsid w:val="008504A8"/>
    <w:rsid w:val="00851B58"/>
    <w:rsid w:val="0085282E"/>
    <w:rsid w:val="00861994"/>
    <w:rsid w:val="0087193E"/>
    <w:rsid w:val="0087198C"/>
    <w:rsid w:val="00872157"/>
    <w:rsid w:val="00872C1F"/>
    <w:rsid w:val="00873B42"/>
    <w:rsid w:val="00877CB0"/>
    <w:rsid w:val="008805AC"/>
    <w:rsid w:val="00880D1A"/>
    <w:rsid w:val="0088308C"/>
    <w:rsid w:val="00884468"/>
    <w:rsid w:val="008856D8"/>
    <w:rsid w:val="00892E82"/>
    <w:rsid w:val="00893277"/>
    <w:rsid w:val="00895FA9"/>
    <w:rsid w:val="008A0F10"/>
    <w:rsid w:val="008A1035"/>
    <w:rsid w:val="008A6E08"/>
    <w:rsid w:val="008B5F98"/>
    <w:rsid w:val="008C0BE9"/>
    <w:rsid w:val="008C1B58"/>
    <w:rsid w:val="008C39AE"/>
    <w:rsid w:val="008C40DF"/>
    <w:rsid w:val="008C590D"/>
    <w:rsid w:val="008D447E"/>
    <w:rsid w:val="008D7566"/>
    <w:rsid w:val="008E031B"/>
    <w:rsid w:val="008E0560"/>
    <w:rsid w:val="008E2D8C"/>
    <w:rsid w:val="008E5453"/>
    <w:rsid w:val="008E7029"/>
    <w:rsid w:val="008E7EF6"/>
    <w:rsid w:val="008F1CD8"/>
    <w:rsid w:val="008F1F98"/>
    <w:rsid w:val="008F2340"/>
    <w:rsid w:val="008F2790"/>
    <w:rsid w:val="008F4930"/>
    <w:rsid w:val="008F5EC8"/>
    <w:rsid w:val="008F6758"/>
    <w:rsid w:val="009040DD"/>
    <w:rsid w:val="00905B47"/>
    <w:rsid w:val="0090690F"/>
    <w:rsid w:val="00911391"/>
    <w:rsid w:val="0091331C"/>
    <w:rsid w:val="009137BD"/>
    <w:rsid w:val="0091503D"/>
    <w:rsid w:val="009279DE"/>
    <w:rsid w:val="00927AB9"/>
    <w:rsid w:val="00927B37"/>
    <w:rsid w:val="00930116"/>
    <w:rsid w:val="00930625"/>
    <w:rsid w:val="00941082"/>
    <w:rsid w:val="0094143F"/>
    <w:rsid w:val="0094212C"/>
    <w:rsid w:val="00944853"/>
    <w:rsid w:val="00945185"/>
    <w:rsid w:val="0094609D"/>
    <w:rsid w:val="0095378C"/>
    <w:rsid w:val="00954689"/>
    <w:rsid w:val="0095472A"/>
    <w:rsid w:val="0096085A"/>
    <w:rsid w:val="009617C9"/>
    <w:rsid w:val="00961C93"/>
    <w:rsid w:val="00962B4E"/>
    <w:rsid w:val="00965324"/>
    <w:rsid w:val="0097091E"/>
    <w:rsid w:val="00975C60"/>
    <w:rsid w:val="009760D3"/>
    <w:rsid w:val="00977132"/>
    <w:rsid w:val="00980A2A"/>
    <w:rsid w:val="00980A98"/>
    <w:rsid w:val="00981A4B"/>
    <w:rsid w:val="00982250"/>
    <w:rsid w:val="00982501"/>
    <w:rsid w:val="00983D33"/>
    <w:rsid w:val="00984358"/>
    <w:rsid w:val="00985AFD"/>
    <w:rsid w:val="009877D3"/>
    <w:rsid w:val="00987E0D"/>
    <w:rsid w:val="00994E8F"/>
    <w:rsid w:val="009951DC"/>
    <w:rsid w:val="009959BB"/>
    <w:rsid w:val="00997158"/>
    <w:rsid w:val="009A0827"/>
    <w:rsid w:val="009A3A7C"/>
    <w:rsid w:val="009A5D33"/>
    <w:rsid w:val="009A7D84"/>
    <w:rsid w:val="009B2323"/>
    <w:rsid w:val="009B2ADB"/>
    <w:rsid w:val="009B603A"/>
    <w:rsid w:val="009C2D0E"/>
    <w:rsid w:val="009C3DAC"/>
    <w:rsid w:val="009C42E0"/>
    <w:rsid w:val="009D3230"/>
    <w:rsid w:val="009D5362"/>
    <w:rsid w:val="009D5ED2"/>
    <w:rsid w:val="009E1415"/>
    <w:rsid w:val="009E6116"/>
    <w:rsid w:val="009E75DA"/>
    <w:rsid w:val="009E7E25"/>
    <w:rsid w:val="009F1F5E"/>
    <w:rsid w:val="00A02E43"/>
    <w:rsid w:val="00A05368"/>
    <w:rsid w:val="00A065F9"/>
    <w:rsid w:val="00A07011"/>
    <w:rsid w:val="00A07F34"/>
    <w:rsid w:val="00A11259"/>
    <w:rsid w:val="00A15C60"/>
    <w:rsid w:val="00A15F26"/>
    <w:rsid w:val="00A22154"/>
    <w:rsid w:val="00A24058"/>
    <w:rsid w:val="00A25C38"/>
    <w:rsid w:val="00A27BF3"/>
    <w:rsid w:val="00A34C70"/>
    <w:rsid w:val="00A35824"/>
    <w:rsid w:val="00A36BBE"/>
    <w:rsid w:val="00A37C20"/>
    <w:rsid w:val="00A40D9E"/>
    <w:rsid w:val="00A41DF7"/>
    <w:rsid w:val="00A41EB6"/>
    <w:rsid w:val="00A420B1"/>
    <w:rsid w:val="00A42ECA"/>
    <w:rsid w:val="00A4307A"/>
    <w:rsid w:val="00A46DEF"/>
    <w:rsid w:val="00A47EBB"/>
    <w:rsid w:val="00A510B2"/>
    <w:rsid w:val="00A51CDD"/>
    <w:rsid w:val="00A563F8"/>
    <w:rsid w:val="00A56BBA"/>
    <w:rsid w:val="00A61729"/>
    <w:rsid w:val="00A6730D"/>
    <w:rsid w:val="00A67693"/>
    <w:rsid w:val="00A70E72"/>
    <w:rsid w:val="00A71625"/>
    <w:rsid w:val="00A71B9B"/>
    <w:rsid w:val="00A751C7"/>
    <w:rsid w:val="00A7587A"/>
    <w:rsid w:val="00A763AE"/>
    <w:rsid w:val="00A80008"/>
    <w:rsid w:val="00A805F6"/>
    <w:rsid w:val="00A84CE5"/>
    <w:rsid w:val="00A87844"/>
    <w:rsid w:val="00A9227B"/>
    <w:rsid w:val="00A97A55"/>
    <w:rsid w:val="00AA038C"/>
    <w:rsid w:val="00AA24CD"/>
    <w:rsid w:val="00AA5A09"/>
    <w:rsid w:val="00AA7418"/>
    <w:rsid w:val="00AA7A09"/>
    <w:rsid w:val="00AB2C76"/>
    <w:rsid w:val="00AB3B50"/>
    <w:rsid w:val="00AB6730"/>
    <w:rsid w:val="00AC05B1"/>
    <w:rsid w:val="00AC450C"/>
    <w:rsid w:val="00AC7F6E"/>
    <w:rsid w:val="00AD340B"/>
    <w:rsid w:val="00AD356C"/>
    <w:rsid w:val="00AE2914"/>
    <w:rsid w:val="00AE2BE3"/>
    <w:rsid w:val="00AE6D15"/>
    <w:rsid w:val="00AE7023"/>
    <w:rsid w:val="00AE78AA"/>
    <w:rsid w:val="00AF0EF3"/>
    <w:rsid w:val="00AF1F49"/>
    <w:rsid w:val="00AF2D81"/>
    <w:rsid w:val="00B04182"/>
    <w:rsid w:val="00B05ECF"/>
    <w:rsid w:val="00B07AE3"/>
    <w:rsid w:val="00B11430"/>
    <w:rsid w:val="00B12A5D"/>
    <w:rsid w:val="00B15F08"/>
    <w:rsid w:val="00B165C4"/>
    <w:rsid w:val="00B242F4"/>
    <w:rsid w:val="00B2477A"/>
    <w:rsid w:val="00B24D1C"/>
    <w:rsid w:val="00B30072"/>
    <w:rsid w:val="00B30481"/>
    <w:rsid w:val="00B32868"/>
    <w:rsid w:val="00B3312F"/>
    <w:rsid w:val="00B3476F"/>
    <w:rsid w:val="00B353EB"/>
    <w:rsid w:val="00B4016F"/>
    <w:rsid w:val="00B407AC"/>
    <w:rsid w:val="00B439C4"/>
    <w:rsid w:val="00B4535E"/>
    <w:rsid w:val="00B51B5F"/>
    <w:rsid w:val="00B52752"/>
    <w:rsid w:val="00B52A8C"/>
    <w:rsid w:val="00B54707"/>
    <w:rsid w:val="00B56155"/>
    <w:rsid w:val="00B62C9F"/>
    <w:rsid w:val="00B62F11"/>
    <w:rsid w:val="00B63042"/>
    <w:rsid w:val="00B636A8"/>
    <w:rsid w:val="00B665C6"/>
    <w:rsid w:val="00B72AD8"/>
    <w:rsid w:val="00B74441"/>
    <w:rsid w:val="00B758A5"/>
    <w:rsid w:val="00B805AF"/>
    <w:rsid w:val="00B82287"/>
    <w:rsid w:val="00B82BD5"/>
    <w:rsid w:val="00B869EC"/>
    <w:rsid w:val="00B92383"/>
    <w:rsid w:val="00B9397A"/>
    <w:rsid w:val="00B9633D"/>
    <w:rsid w:val="00B967D5"/>
    <w:rsid w:val="00B979F4"/>
    <w:rsid w:val="00B97DB3"/>
    <w:rsid w:val="00BA2EBE"/>
    <w:rsid w:val="00BB0F28"/>
    <w:rsid w:val="00BB188E"/>
    <w:rsid w:val="00BB1F9D"/>
    <w:rsid w:val="00BB458A"/>
    <w:rsid w:val="00BB45F2"/>
    <w:rsid w:val="00BB693F"/>
    <w:rsid w:val="00BB6C11"/>
    <w:rsid w:val="00BC3012"/>
    <w:rsid w:val="00BC5953"/>
    <w:rsid w:val="00BD00D3"/>
    <w:rsid w:val="00BD1659"/>
    <w:rsid w:val="00BD3AA9"/>
    <w:rsid w:val="00BD41A2"/>
    <w:rsid w:val="00BD4A18"/>
    <w:rsid w:val="00BD6DB2"/>
    <w:rsid w:val="00BD73A1"/>
    <w:rsid w:val="00BE11CF"/>
    <w:rsid w:val="00BE21AB"/>
    <w:rsid w:val="00BE55CB"/>
    <w:rsid w:val="00BE7067"/>
    <w:rsid w:val="00BF09BA"/>
    <w:rsid w:val="00BF3BB2"/>
    <w:rsid w:val="00BF617A"/>
    <w:rsid w:val="00C0379D"/>
    <w:rsid w:val="00C03931"/>
    <w:rsid w:val="00C05FE3"/>
    <w:rsid w:val="00C11DA9"/>
    <w:rsid w:val="00C2136D"/>
    <w:rsid w:val="00C214EE"/>
    <w:rsid w:val="00C2314B"/>
    <w:rsid w:val="00C2328F"/>
    <w:rsid w:val="00C244A0"/>
    <w:rsid w:val="00C24971"/>
    <w:rsid w:val="00C25355"/>
    <w:rsid w:val="00C26BE5"/>
    <w:rsid w:val="00C26E4D"/>
    <w:rsid w:val="00C27909"/>
    <w:rsid w:val="00C27B03"/>
    <w:rsid w:val="00C314E1"/>
    <w:rsid w:val="00C31678"/>
    <w:rsid w:val="00C34397"/>
    <w:rsid w:val="00C40503"/>
    <w:rsid w:val="00C4095D"/>
    <w:rsid w:val="00C40C3A"/>
    <w:rsid w:val="00C5241D"/>
    <w:rsid w:val="00C57A9C"/>
    <w:rsid w:val="00C601D2"/>
    <w:rsid w:val="00C61C45"/>
    <w:rsid w:val="00C65BCC"/>
    <w:rsid w:val="00C66970"/>
    <w:rsid w:val="00C71F4D"/>
    <w:rsid w:val="00C85E4D"/>
    <w:rsid w:val="00C8691C"/>
    <w:rsid w:val="00C86CB4"/>
    <w:rsid w:val="00C96295"/>
    <w:rsid w:val="00C96364"/>
    <w:rsid w:val="00CA03DF"/>
    <w:rsid w:val="00CA168A"/>
    <w:rsid w:val="00CA2097"/>
    <w:rsid w:val="00CA357E"/>
    <w:rsid w:val="00CA44F9"/>
    <w:rsid w:val="00CA4A69"/>
    <w:rsid w:val="00CB2132"/>
    <w:rsid w:val="00CB722E"/>
    <w:rsid w:val="00CC3E0C"/>
    <w:rsid w:val="00CC58D3"/>
    <w:rsid w:val="00CC64AF"/>
    <w:rsid w:val="00CC784D"/>
    <w:rsid w:val="00CC7ABA"/>
    <w:rsid w:val="00CF1E15"/>
    <w:rsid w:val="00CF2FB9"/>
    <w:rsid w:val="00D00A8D"/>
    <w:rsid w:val="00D03268"/>
    <w:rsid w:val="00D0337B"/>
    <w:rsid w:val="00D07777"/>
    <w:rsid w:val="00D079B2"/>
    <w:rsid w:val="00D07E11"/>
    <w:rsid w:val="00D114E9"/>
    <w:rsid w:val="00D17CD8"/>
    <w:rsid w:val="00D23A2E"/>
    <w:rsid w:val="00D2527C"/>
    <w:rsid w:val="00D27ED3"/>
    <w:rsid w:val="00D313B3"/>
    <w:rsid w:val="00D35B8E"/>
    <w:rsid w:val="00D40F07"/>
    <w:rsid w:val="00D429C6"/>
    <w:rsid w:val="00D47748"/>
    <w:rsid w:val="00D5178F"/>
    <w:rsid w:val="00D518DF"/>
    <w:rsid w:val="00D54CC3"/>
    <w:rsid w:val="00D561F6"/>
    <w:rsid w:val="00D566EF"/>
    <w:rsid w:val="00D6041A"/>
    <w:rsid w:val="00D61258"/>
    <w:rsid w:val="00D633EB"/>
    <w:rsid w:val="00D736AC"/>
    <w:rsid w:val="00D747AA"/>
    <w:rsid w:val="00D75A7E"/>
    <w:rsid w:val="00D82051"/>
    <w:rsid w:val="00D82FF7"/>
    <w:rsid w:val="00D84271"/>
    <w:rsid w:val="00D847FE"/>
    <w:rsid w:val="00D86B9C"/>
    <w:rsid w:val="00D900CD"/>
    <w:rsid w:val="00D90A39"/>
    <w:rsid w:val="00D964EA"/>
    <w:rsid w:val="00D966D0"/>
    <w:rsid w:val="00DA0C59"/>
    <w:rsid w:val="00DA3991"/>
    <w:rsid w:val="00DA72A1"/>
    <w:rsid w:val="00DA7C79"/>
    <w:rsid w:val="00DA7F95"/>
    <w:rsid w:val="00DB01F1"/>
    <w:rsid w:val="00DB3222"/>
    <w:rsid w:val="00DB7E6C"/>
    <w:rsid w:val="00DC0758"/>
    <w:rsid w:val="00DC1090"/>
    <w:rsid w:val="00DC4F68"/>
    <w:rsid w:val="00DC64B0"/>
    <w:rsid w:val="00DC6B1E"/>
    <w:rsid w:val="00DD1120"/>
    <w:rsid w:val="00DD252A"/>
    <w:rsid w:val="00DD5949"/>
    <w:rsid w:val="00DD5A29"/>
    <w:rsid w:val="00DD5D9D"/>
    <w:rsid w:val="00DE3505"/>
    <w:rsid w:val="00DE35CB"/>
    <w:rsid w:val="00DE5743"/>
    <w:rsid w:val="00DE74B2"/>
    <w:rsid w:val="00DF0EF0"/>
    <w:rsid w:val="00DF21E9"/>
    <w:rsid w:val="00DF22C7"/>
    <w:rsid w:val="00DF5588"/>
    <w:rsid w:val="00DF5CC9"/>
    <w:rsid w:val="00E005D3"/>
    <w:rsid w:val="00E00F14"/>
    <w:rsid w:val="00E01CB8"/>
    <w:rsid w:val="00E06386"/>
    <w:rsid w:val="00E075C5"/>
    <w:rsid w:val="00E1051A"/>
    <w:rsid w:val="00E111F3"/>
    <w:rsid w:val="00E11668"/>
    <w:rsid w:val="00E118E7"/>
    <w:rsid w:val="00E11A8B"/>
    <w:rsid w:val="00E122B7"/>
    <w:rsid w:val="00E21B55"/>
    <w:rsid w:val="00E221D3"/>
    <w:rsid w:val="00E24EB4"/>
    <w:rsid w:val="00E30635"/>
    <w:rsid w:val="00E320ED"/>
    <w:rsid w:val="00E33AFB"/>
    <w:rsid w:val="00E34218"/>
    <w:rsid w:val="00E3437A"/>
    <w:rsid w:val="00E35978"/>
    <w:rsid w:val="00E4555B"/>
    <w:rsid w:val="00E46282"/>
    <w:rsid w:val="00E50833"/>
    <w:rsid w:val="00E5216E"/>
    <w:rsid w:val="00E5529C"/>
    <w:rsid w:val="00E55E16"/>
    <w:rsid w:val="00E6167A"/>
    <w:rsid w:val="00E657C6"/>
    <w:rsid w:val="00E70261"/>
    <w:rsid w:val="00E75D40"/>
    <w:rsid w:val="00E81965"/>
    <w:rsid w:val="00E81A88"/>
    <w:rsid w:val="00E81F73"/>
    <w:rsid w:val="00E82344"/>
    <w:rsid w:val="00E84C82"/>
    <w:rsid w:val="00E84D64"/>
    <w:rsid w:val="00E86155"/>
    <w:rsid w:val="00E87408"/>
    <w:rsid w:val="00E914C4"/>
    <w:rsid w:val="00E934F5"/>
    <w:rsid w:val="00E96961"/>
    <w:rsid w:val="00EA0BB1"/>
    <w:rsid w:val="00EA72EC"/>
    <w:rsid w:val="00EA74E6"/>
    <w:rsid w:val="00EB0EDA"/>
    <w:rsid w:val="00EB0F2E"/>
    <w:rsid w:val="00EB11CB"/>
    <w:rsid w:val="00EB1C71"/>
    <w:rsid w:val="00EB275A"/>
    <w:rsid w:val="00EB57CA"/>
    <w:rsid w:val="00EB58C9"/>
    <w:rsid w:val="00EB786A"/>
    <w:rsid w:val="00EC1578"/>
    <w:rsid w:val="00EC1BFC"/>
    <w:rsid w:val="00EC1C72"/>
    <w:rsid w:val="00EC3356"/>
    <w:rsid w:val="00EC3CC9"/>
    <w:rsid w:val="00EC5D85"/>
    <w:rsid w:val="00EC5FE8"/>
    <w:rsid w:val="00EC680A"/>
    <w:rsid w:val="00EC7BAC"/>
    <w:rsid w:val="00ED511C"/>
    <w:rsid w:val="00ED6E02"/>
    <w:rsid w:val="00ED7229"/>
    <w:rsid w:val="00EE25CB"/>
    <w:rsid w:val="00EE2BED"/>
    <w:rsid w:val="00EE374B"/>
    <w:rsid w:val="00EE41EB"/>
    <w:rsid w:val="00EE4A87"/>
    <w:rsid w:val="00EF2869"/>
    <w:rsid w:val="00F04293"/>
    <w:rsid w:val="00F05D60"/>
    <w:rsid w:val="00F07224"/>
    <w:rsid w:val="00F07FD3"/>
    <w:rsid w:val="00F1117C"/>
    <w:rsid w:val="00F115BE"/>
    <w:rsid w:val="00F11BB5"/>
    <w:rsid w:val="00F1296C"/>
    <w:rsid w:val="00F1417B"/>
    <w:rsid w:val="00F1712D"/>
    <w:rsid w:val="00F17A17"/>
    <w:rsid w:val="00F208A0"/>
    <w:rsid w:val="00F2115E"/>
    <w:rsid w:val="00F27B3D"/>
    <w:rsid w:val="00F30ABD"/>
    <w:rsid w:val="00F34B99"/>
    <w:rsid w:val="00F3706B"/>
    <w:rsid w:val="00F40938"/>
    <w:rsid w:val="00F40B02"/>
    <w:rsid w:val="00F41E81"/>
    <w:rsid w:val="00F42EE8"/>
    <w:rsid w:val="00F50D6A"/>
    <w:rsid w:val="00F51720"/>
    <w:rsid w:val="00F51CF2"/>
    <w:rsid w:val="00F52DAB"/>
    <w:rsid w:val="00F543F0"/>
    <w:rsid w:val="00F55E3E"/>
    <w:rsid w:val="00F57601"/>
    <w:rsid w:val="00F73F99"/>
    <w:rsid w:val="00F758BB"/>
    <w:rsid w:val="00F75F80"/>
    <w:rsid w:val="00F80398"/>
    <w:rsid w:val="00F81D29"/>
    <w:rsid w:val="00F90BE5"/>
    <w:rsid w:val="00F9190C"/>
    <w:rsid w:val="00F91C4D"/>
    <w:rsid w:val="00F92FD9"/>
    <w:rsid w:val="00F93C7A"/>
    <w:rsid w:val="00FA232A"/>
    <w:rsid w:val="00FA37B1"/>
    <w:rsid w:val="00FA3E0B"/>
    <w:rsid w:val="00FA5EF7"/>
    <w:rsid w:val="00FA6684"/>
    <w:rsid w:val="00FA731E"/>
    <w:rsid w:val="00FA7BD0"/>
    <w:rsid w:val="00FB1DCF"/>
    <w:rsid w:val="00FB2B38"/>
    <w:rsid w:val="00FB61CE"/>
    <w:rsid w:val="00FB7A07"/>
    <w:rsid w:val="00FC04CC"/>
    <w:rsid w:val="00FC2066"/>
    <w:rsid w:val="00FC6358"/>
    <w:rsid w:val="00FD1381"/>
    <w:rsid w:val="00FD320D"/>
    <w:rsid w:val="00FE07EE"/>
    <w:rsid w:val="00FE1B98"/>
    <w:rsid w:val="00FE23DE"/>
    <w:rsid w:val="00FF1801"/>
    <w:rsid w:val="00FF35E6"/>
    <w:rsid w:val="00FF6842"/>
    <w:rsid w:val="028042C8"/>
    <w:rsid w:val="059B1E55"/>
    <w:rsid w:val="074131FB"/>
    <w:rsid w:val="09C94AB7"/>
    <w:rsid w:val="0A4D7496"/>
    <w:rsid w:val="0AC2744D"/>
    <w:rsid w:val="0FD80D90"/>
    <w:rsid w:val="0FF11632"/>
    <w:rsid w:val="13BA5B9C"/>
    <w:rsid w:val="144B2C98"/>
    <w:rsid w:val="14A04148"/>
    <w:rsid w:val="16EF0701"/>
    <w:rsid w:val="17492BA6"/>
    <w:rsid w:val="18F338FE"/>
    <w:rsid w:val="19BE1F92"/>
    <w:rsid w:val="1A5B424D"/>
    <w:rsid w:val="1B1D4C62"/>
    <w:rsid w:val="1BE81568"/>
    <w:rsid w:val="1C192AD6"/>
    <w:rsid w:val="1C3572B4"/>
    <w:rsid w:val="1F850C2D"/>
    <w:rsid w:val="21F5564D"/>
    <w:rsid w:val="22F34C27"/>
    <w:rsid w:val="25DC7BF4"/>
    <w:rsid w:val="26153389"/>
    <w:rsid w:val="27636FBC"/>
    <w:rsid w:val="29D55086"/>
    <w:rsid w:val="2A4B359A"/>
    <w:rsid w:val="2C4927F5"/>
    <w:rsid w:val="2FF56214"/>
    <w:rsid w:val="30ED3852"/>
    <w:rsid w:val="311B25EF"/>
    <w:rsid w:val="31ED286C"/>
    <w:rsid w:val="325674DD"/>
    <w:rsid w:val="343E7CCC"/>
    <w:rsid w:val="34684D49"/>
    <w:rsid w:val="34C65B9E"/>
    <w:rsid w:val="35B22C05"/>
    <w:rsid w:val="38FA269B"/>
    <w:rsid w:val="396E33DC"/>
    <w:rsid w:val="3BAB4E80"/>
    <w:rsid w:val="3E924D54"/>
    <w:rsid w:val="40102C7F"/>
    <w:rsid w:val="417C1E33"/>
    <w:rsid w:val="41EF3059"/>
    <w:rsid w:val="41F41F51"/>
    <w:rsid w:val="42A55EB5"/>
    <w:rsid w:val="430F2B85"/>
    <w:rsid w:val="44A1408B"/>
    <w:rsid w:val="44D1470B"/>
    <w:rsid w:val="44D15D6E"/>
    <w:rsid w:val="45DD7344"/>
    <w:rsid w:val="46832819"/>
    <w:rsid w:val="4943131D"/>
    <w:rsid w:val="4BB01003"/>
    <w:rsid w:val="4BC15012"/>
    <w:rsid w:val="4DDD65AE"/>
    <w:rsid w:val="4E8A770D"/>
    <w:rsid w:val="4EBD0E86"/>
    <w:rsid w:val="4F822D0B"/>
    <w:rsid w:val="4FB0748E"/>
    <w:rsid w:val="4FD17F41"/>
    <w:rsid w:val="4FDA48F5"/>
    <w:rsid w:val="50F972F7"/>
    <w:rsid w:val="52C61160"/>
    <w:rsid w:val="53081779"/>
    <w:rsid w:val="532D11DF"/>
    <w:rsid w:val="53852DC9"/>
    <w:rsid w:val="545159CE"/>
    <w:rsid w:val="547B5379"/>
    <w:rsid w:val="54B769ED"/>
    <w:rsid w:val="55200FFC"/>
    <w:rsid w:val="55CC39F3"/>
    <w:rsid w:val="56B82180"/>
    <w:rsid w:val="570F7C42"/>
    <w:rsid w:val="57B34BA4"/>
    <w:rsid w:val="59611BE3"/>
    <w:rsid w:val="5AA93841"/>
    <w:rsid w:val="5C330D09"/>
    <w:rsid w:val="5CDB5D7F"/>
    <w:rsid w:val="5EAC3900"/>
    <w:rsid w:val="5EB10F16"/>
    <w:rsid w:val="5F1D26C2"/>
    <w:rsid w:val="61ED04B8"/>
    <w:rsid w:val="641015A7"/>
    <w:rsid w:val="6511270F"/>
    <w:rsid w:val="65784102"/>
    <w:rsid w:val="663F32AC"/>
    <w:rsid w:val="66495ED8"/>
    <w:rsid w:val="66C67529"/>
    <w:rsid w:val="67D43C57"/>
    <w:rsid w:val="6C817177"/>
    <w:rsid w:val="6E1762B8"/>
    <w:rsid w:val="6E192634"/>
    <w:rsid w:val="6ED547AD"/>
    <w:rsid w:val="6FBA11E4"/>
    <w:rsid w:val="746F2FAE"/>
    <w:rsid w:val="75CE1F56"/>
    <w:rsid w:val="762B7355"/>
    <w:rsid w:val="78A25CEB"/>
    <w:rsid w:val="78BF7473"/>
    <w:rsid w:val="7A480529"/>
    <w:rsid w:val="7C090440"/>
    <w:rsid w:val="7C104C14"/>
    <w:rsid w:val="7D593549"/>
    <w:rsid w:val="7EA45F4A"/>
    <w:rsid w:val="7F6470C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semiHidden="0" w:name="footnote text"/>
    <w:lsdException w:uiPriority="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uiPriority="0"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2">
    <w:name w:val="Default Paragraph Font"/>
    <w:semiHidden/>
    <w:unhideWhenUsed/>
    <w:qFormat/>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styleId="2">
    <w:name w:val="toc 7"/>
    <w:basedOn w:val="1"/>
    <w:next w:val="1"/>
    <w:semiHidden/>
    <w:qFormat/>
    <w:uiPriority w:val="0"/>
    <w:pPr>
      <w:tabs>
        <w:tab w:val="right" w:leader="dot" w:pos="9241"/>
      </w:tabs>
      <w:ind w:firstLine="500" w:firstLineChars="500"/>
      <w:jc w:val="left"/>
    </w:pPr>
    <w:rPr>
      <w:rFonts w:ascii="宋体"/>
      <w:szCs w:val="21"/>
    </w:rPr>
  </w:style>
  <w:style w:type="paragraph" w:styleId="3">
    <w:name w:val="index 8"/>
    <w:basedOn w:val="1"/>
    <w:next w:val="1"/>
    <w:qFormat/>
    <w:uiPriority w:val="0"/>
    <w:pPr>
      <w:ind w:left="1680" w:hanging="210"/>
      <w:jc w:val="left"/>
    </w:pPr>
    <w:rPr>
      <w:rFonts w:ascii="Calibri" w:hAnsi="Calibri"/>
      <w:sz w:val="20"/>
      <w:szCs w:val="20"/>
    </w:rPr>
  </w:style>
  <w:style w:type="paragraph" w:styleId="4">
    <w:name w:val="caption"/>
    <w:basedOn w:val="1"/>
    <w:next w:val="1"/>
    <w:qFormat/>
    <w:uiPriority w:val="0"/>
    <w:pPr>
      <w:spacing w:before="152" w:after="160"/>
    </w:pPr>
    <w:rPr>
      <w:rFonts w:ascii="Arial" w:hAnsi="Arial" w:eastAsia="黑体" w:cs="Arial"/>
      <w:sz w:val="20"/>
      <w:szCs w:val="20"/>
    </w:rPr>
  </w:style>
  <w:style w:type="paragraph" w:styleId="5">
    <w:name w:val="index 5"/>
    <w:basedOn w:val="1"/>
    <w:next w:val="1"/>
    <w:qFormat/>
    <w:uiPriority w:val="0"/>
    <w:pPr>
      <w:ind w:left="1050" w:hanging="210"/>
      <w:jc w:val="left"/>
    </w:pPr>
    <w:rPr>
      <w:rFonts w:ascii="Calibri" w:hAnsi="Calibri"/>
      <w:sz w:val="20"/>
      <w:szCs w:val="20"/>
    </w:rPr>
  </w:style>
  <w:style w:type="paragraph" w:styleId="6">
    <w:name w:val="Document Map"/>
    <w:basedOn w:val="1"/>
    <w:semiHidden/>
    <w:qFormat/>
    <w:uiPriority w:val="0"/>
    <w:pPr>
      <w:shd w:val="clear" w:color="auto" w:fill="000080"/>
    </w:pPr>
  </w:style>
  <w:style w:type="paragraph" w:styleId="7">
    <w:name w:val="index 6"/>
    <w:basedOn w:val="1"/>
    <w:next w:val="1"/>
    <w:qFormat/>
    <w:uiPriority w:val="0"/>
    <w:pPr>
      <w:ind w:left="1260" w:hanging="210"/>
      <w:jc w:val="left"/>
    </w:pPr>
    <w:rPr>
      <w:rFonts w:ascii="Calibri" w:hAnsi="Calibri"/>
      <w:sz w:val="20"/>
      <w:szCs w:val="20"/>
    </w:rPr>
  </w:style>
  <w:style w:type="paragraph" w:styleId="8">
    <w:name w:val="index 4"/>
    <w:basedOn w:val="1"/>
    <w:next w:val="1"/>
    <w:qFormat/>
    <w:uiPriority w:val="0"/>
    <w:pPr>
      <w:ind w:left="840" w:hanging="210"/>
      <w:jc w:val="left"/>
    </w:pPr>
    <w:rPr>
      <w:rFonts w:ascii="Calibri" w:hAnsi="Calibri"/>
      <w:sz w:val="20"/>
      <w:szCs w:val="20"/>
    </w:rPr>
  </w:style>
  <w:style w:type="paragraph" w:styleId="9">
    <w:name w:val="toc 5"/>
    <w:basedOn w:val="1"/>
    <w:next w:val="1"/>
    <w:semiHidden/>
    <w:qFormat/>
    <w:uiPriority w:val="0"/>
    <w:pPr>
      <w:tabs>
        <w:tab w:val="right" w:leader="dot" w:pos="9241"/>
      </w:tabs>
      <w:ind w:firstLine="300" w:firstLineChars="300"/>
      <w:jc w:val="left"/>
    </w:pPr>
    <w:rPr>
      <w:rFonts w:ascii="宋体"/>
      <w:szCs w:val="21"/>
    </w:rPr>
  </w:style>
  <w:style w:type="paragraph" w:styleId="10">
    <w:name w:val="toc 3"/>
    <w:basedOn w:val="1"/>
    <w:next w:val="1"/>
    <w:semiHidden/>
    <w:qFormat/>
    <w:uiPriority w:val="0"/>
    <w:pPr>
      <w:tabs>
        <w:tab w:val="right" w:leader="dot" w:pos="9241"/>
      </w:tabs>
      <w:ind w:firstLine="100" w:firstLineChars="100"/>
      <w:jc w:val="left"/>
    </w:pPr>
    <w:rPr>
      <w:rFonts w:ascii="宋体"/>
      <w:szCs w:val="21"/>
    </w:rPr>
  </w:style>
  <w:style w:type="paragraph" w:styleId="11">
    <w:name w:val="toc 8"/>
    <w:basedOn w:val="1"/>
    <w:next w:val="1"/>
    <w:semiHidden/>
    <w:qFormat/>
    <w:uiPriority w:val="0"/>
    <w:pPr>
      <w:tabs>
        <w:tab w:val="right" w:leader="dot" w:pos="9241"/>
      </w:tabs>
      <w:ind w:firstLine="607" w:firstLineChars="600"/>
      <w:jc w:val="left"/>
    </w:pPr>
    <w:rPr>
      <w:rFonts w:ascii="宋体"/>
      <w:szCs w:val="21"/>
    </w:rPr>
  </w:style>
  <w:style w:type="paragraph" w:styleId="12">
    <w:name w:val="index 3"/>
    <w:basedOn w:val="1"/>
    <w:next w:val="1"/>
    <w:qFormat/>
    <w:uiPriority w:val="0"/>
    <w:pPr>
      <w:ind w:left="630" w:hanging="210"/>
      <w:jc w:val="left"/>
    </w:pPr>
    <w:rPr>
      <w:rFonts w:ascii="Calibri" w:hAnsi="Calibri"/>
      <w:sz w:val="20"/>
      <w:szCs w:val="20"/>
    </w:rPr>
  </w:style>
  <w:style w:type="paragraph" w:styleId="13">
    <w:name w:val="endnote text"/>
    <w:basedOn w:val="1"/>
    <w:semiHidden/>
    <w:qFormat/>
    <w:uiPriority w:val="0"/>
    <w:pPr>
      <w:snapToGrid w:val="0"/>
      <w:jc w:val="left"/>
    </w:pPr>
  </w:style>
  <w:style w:type="paragraph" w:styleId="14">
    <w:name w:val="Balloon Text"/>
    <w:basedOn w:val="1"/>
    <w:link w:val="138"/>
    <w:qFormat/>
    <w:uiPriority w:val="0"/>
    <w:rPr>
      <w:sz w:val="18"/>
      <w:szCs w:val="18"/>
    </w:rPr>
  </w:style>
  <w:style w:type="paragraph" w:styleId="15">
    <w:name w:val="footer"/>
    <w:basedOn w:val="1"/>
    <w:qFormat/>
    <w:uiPriority w:val="0"/>
    <w:pPr>
      <w:snapToGrid w:val="0"/>
      <w:ind w:right="210" w:rightChars="100"/>
      <w:jc w:val="right"/>
    </w:pPr>
    <w:rPr>
      <w:sz w:val="18"/>
      <w:szCs w:val="18"/>
    </w:rPr>
  </w:style>
  <w:style w:type="paragraph" w:styleId="16">
    <w:name w:val="header"/>
    <w:basedOn w:val="1"/>
    <w:qFormat/>
    <w:uiPriority w:val="0"/>
    <w:pPr>
      <w:snapToGrid w:val="0"/>
      <w:jc w:val="left"/>
    </w:pPr>
    <w:rPr>
      <w:sz w:val="18"/>
      <w:szCs w:val="18"/>
    </w:rPr>
  </w:style>
  <w:style w:type="paragraph" w:styleId="17">
    <w:name w:val="toc 1"/>
    <w:basedOn w:val="1"/>
    <w:next w:val="1"/>
    <w:semiHidden/>
    <w:qFormat/>
    <w:uiPriority w:val="0"/>
    <w:pPr>
      <w:tabs>
        <w:tab w:val="right" w:leader="dot" w:pos="9242"/>
      </w:tabs>
      <w:spacing w:beforeLines="25" w:afterLines="25"/>
      <w:jc w:val="left"/>
    </w:pPr>
    <w:rPr>
      <w:rFonts w:ascii="宋体"/>
      <w:szCs w:val="21"/>
    </w:rPr>
  </w:style>
  <w:style w:type="paragraph" w:styleId="18">
    <w:name w:val="toc 4"/>
    <w:basedOn w:val="1"/>
    <w:next w:val="1"/>
    <w:semiHidden/>
    <w:qFormat/>
    <w:uiPriority w:val="0"/>
    <w:pPr>
      <w:tabs>
        <w:tab w:val="right" w:leader="dot" w:pos="9241"/>
      </w:tabs>
      <w:ind w:firstLine="200" w:firstLineChars="200"/>
      <w:jc w:val="left"/>
    </w:pPr>
    <w:rPr>
      <w:rFonts w:ascii="宋体"/>
      <w:szCs w:val="21"/>
    </w:rPr>
  </w:style>
  <w:style w:type="paragraph" w:styleId="19">
    <w:name w:val="index heading"/>
    <w:basedOn w:val="1"/>
    <w:next w:val="20"/>
    <w:qFormat/>
    <w:uiPriority w:val="0"/>
    <w:pPr>
      <w:spacing w:before="120" w:after="120"/>
      <w:jc w:val="center"/>
    </w:pPr>
    <w:rPr>
      <w:rFonts w:ascii="Calibri" w:hAnsi="Calibri"/>
      <w:b/>
      <w:bCs/>
      <w:iCs/>
      <w:szCs w:val="20"/>
    </w:rPr>
  </w:style>
  <w:style w:type="paragraph" w:styleId="20">
    <w:name w:val="index 1"/>
    <w:basedOn w:val="1"/>
    <w:next w:val="21"/>
    <w:qFormat/>
    <w:uiPriority w:val="0"/>
    <w:pPr>
      <w:tabs>
        <w:tab w:val="right" w:leader="dot" w:pos="9299"/>
      </w:tabs>
      <w:jc w:val="left"/>
    </w:pPr>
    <w:rPr>
      <w:rFonts w:ascii="宋体"/>
      <w:szCs w:val="21"/>
    </w:rPr>
  </w:style>
  <w:style w:type="paragraph" w:customStyle="1" w:styleId="21">
    <w:name w:val="段"/>
    <w:link w:val="38"/>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2">
    <w:name w:val="footnote text"/>
    <w:basedOn w:val="1"/>
    <w:qFormat/>
    <w:uiPriority w:val="0"/>
    <w:pPr>
      <w:numPr>
        <w:ilvl w:val="0"/>
        <w:numId w:val="1"/>
      </w:numPr>
      <w:snapToGrid w:val="0"/>
      <w:jc w:val="left"/>
    </w:pPr>
    <w:rPr>
      <w:rFonts w:ascii="宋体"/>
      <w:sz w:val="18"/>
      <w:szCs w:val="18"/>
    </w:rPr>
  </w:style>
  <w:style w:type="paragraph" w:styleId="23">
    <w:name w:val="toc 6"/>
    <w:basedOn w:val="1"/>
    <w:next w:val="1"/>
    <w:semiHidden/>
    <w:qFormat/>
    <w:uiPriority w:val="0"/>
    <w:pPr>
      <w:tabs>
        <w:tab w:val="right" w:leader="dot" w:pos="9241"/>
      </w:tabs>
      <w:ind w:firstLine="400" w:firstLineChars="400"/>
      <w:jc w:val="left"/>
    </w:pPr>
    <w:rPr>
      <w:rFonts w:ascii="宋体"/>
      <w:szCs w:val="21"/>
    </w:rPr>
  </w:style>
  <w:style w:type="paragraph" w:styleId="24">
    <w:name w:val="index 7"/>
    <w:basedOn w:val="1"/>
    <w:next w:val="1"/>
    <w:qFormat/>
    <w:uiPriority w:val="0"/>
    <w:pPr>
      <w:ind w:left="1470" w:hanging="210"/>
      <w:jc w:val="left"/>
    </w:pPr>
    <w:rPr>
      <w:rFonts w:ascii="Calibri" w:hAnsi="Calibri"/>
      <w:sz w:val="20"/>
      <w:szCs w:val="20"/>
    </w:rPr>
  </w:style>
  <w:style w:type="paragraph" w:styleId="25">
    <w:name w:val="index 9"/>
    <w:basedOn w:val="1"/>
    <w:next w:val="1"/>
    <w:qFormat/>
    <w:uiPriority w:val="0"/>
    <w:pPr>
      <w:ind w:left="1890" w:hanging="210"/>
      <w:jc w:val="left"/>
    </w:pPr>
    <w:rPr>
      <w:rFonts w:ascii="Calibri" w:hAnsi="Calibri"/>
      <w:sz w:val="20"/>
      <w:szCs w:val="20"/>
    </w:rPr>
  </w:style>
  <w:style w:type="paragraph" w:styleId="26">
    <w:name w:val="toc 2"/>
    <w:basedOn w:val="1"/>
    <w:next w:val="1"/>
    <w:semiHidden/>
    <w:qFormat/>
    <w:uiPriority w:val="0"/>
    <w:pPr>
      <w:tabs>
        <w:tab w:val="right" w:leader="dot" w:pos="9242"/>
      </w:tabs>
    </w:pPr>
    <w:rPr>
      <w:rFonts w:ascii="宋体"/>
      <w:szCs w:val="21"/>
    </w:rPr>
  </w:style>
  <w:style w:type="paragraph" w:styleId="27">
    <w:name w:val="toc 9"/>
    <w:basedOn w:val="1"/>
    <w:next w:val="1"/>
    <w:semiHidden/>
    <w:qFormat/>
    <w:uiPriority w:val="0"/>
    <w:pPr>
      <w:ind w:left="1470"/>
      <w:jc w:val="left"/>
    </w:pPr>
    <w:rPr>
      <w:sz w:val="20"/>
      <w:szCs w:val="20"/>
    </w:rPr>
  </w:style>
  <w:style w:type="paragraph" w:styleId="28">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paragraph" w:styleId="29">
    <w:name w:val="index 2"/>
    <w:basedOn w:val="1"/>
    <w:next w:val="1"/>
    <w:qFormat/>
    <w:uiPriority w:val="0"/>
    <w:pPr>
      <w:ind w:left="420" w:hanging="210"/>
      <w:jc w:val="left"/>
    </w:pPr>
    <w:rPr>
      <w:rFonts w:ascii="Calibri" w:hAnsi="Calibri"/>
      <w:sz w:val="20"/>
      <w:szCs w:val="20"/>
    </w:rPr>
  </w:style>
  <w:style w:type="table" w:styleId="31">
    <w:name w:val="Table Grid"/>
    <w:basedOn w:val="30"/>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3">
    <w:name w:val="endnote reference"/>
    <w:semiHidden/>
    <w:qFormat/>
    <w:uiPriority w:val="0"/>
    <w:rPr>
      <w:vertAlign w:val="superscript"/>
    </w:rPr>
  </w:style>
  <w:style w:type="character" w:styleId="34">
    <w:name w:val="page number"/>
    <w:qFormat/>
    <w:uiPriority w:val="0"/>
    <w:rPr>
      <w:rFonts w:ascii="Times New Roman" w:hAnsi="Times New Roman" w:eastAsia="宋体"/>
      <w:sz w:val="18"/>
    </w:rPr>
  </w:style>
  <w:style w:type="character" w:styleId="35">
    <w:name w:val="FollowedHyperlink"/>
    <w:qFormat/>
    <w:uiPriority w:val="0"/>
    <w:rPr>
      <w:color w:val="800080"/>
      <w:u w:val="single"/>
    </w:rPr>
  </w:style>
  <w:style w:type="character" w:styleId="36">
    <w:name w:val="Hyperlink"/>
    <w:qFormat/>
    <w:uiPriority w:val="0"/>
    <w:rPr>
      <w:color w:val="0000FF"/>
      <w:spacing w:val="0"/>
      <w:w w:val="100"/>
      <w:szCs w:val="21"/>
      <w:u w:val="single"/>
    </w:rPr>
  </w:style>
  <w:style w:type="character" w:styleId="37">
    <w:name w:val="footnote reference"/>
    <w:semiHidden/>
    <w:qFormat/>
    <w:uiPriority w:val="0"/>
    <w:rPr>
      <w:vertAlign w:val="superscript"/>
    </w:rPr>
  </w:style>
  <w:style w:type="character" w:customStyle="1" w:styleId="38">
    <w:name w:val="段 Char"/>
    <w:link w:val="21"/>
    <w:qFormat/>
    <w:uiPriority w:val="0"/>
    <w:rPr>
      <w:rFonts w:ascii="宋体"/>
      <w:sz w:val="21"/>
      <w:lang w:val="en-US" w:eastAsia="zh-CN" w:bidi="ar-SA"/>
    </w:rPr>
  </w:style>
  <w:style w:type="paragraph" w:customStyle="1" w:styleId="39">
    <w:name w:val="一级条标题"/>
    <w:next w:val="21"/>
    <w:qFormat/>
    <w:uiPriority w:val="0"/>
    <w:pPr>
      <w:numPr>
        <w:ilvl w:val="1"/>
        <w:numId w:val="2"/>
      </w:numPr>
      <w:spacing w:beforeLines="50" w:afterLines="50"/>
      <w:ind w:left="0"/>
      <w:outlineLvl w:val="2"/>
    </w:pPr>
    <w:rPr>
      <w:rFonts w:ascii="黑体" w:hAnsi="Times New Roman" w:eastAsia="黑体" w:cs="Times New Roman"/>
      <w:sz w:val="21"/>
      <w:szCs w:val="21"/>
      <w:lang w:val="en-US" w:eastAsia="zh-CN" w:bidi="ar-SA"/>
    </w:rPr>
  </w:style>
  <w:style w:type="paragraph" w:customStyle="1" w:styleId="40">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41">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2">
    <w:name w:val="章标题"/>
    <w:next w:val="21"/>
    <w:qFormat/>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43">
    <w:name w:val="二级条标题"/>
    <w:basedOn w:val="39"/>
    <w:next w:val="21"/>
    <w:qFormat/>
    <w:uiPriority w:val="0"/>
    <w:pPr>
      <w:numPr>
        <w:ilvl w:val="2"/>
      </w:numPr>
      <w:spacing w:before="50" w:after="50"/>
      <w:outlineLvl w:val="3"/>
    </w:pPr>
  </w:style>
  <w:style w:type="paragraph" w:customStyle="1" w:styleId="44">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45">
    <w:name w:val="列项——（一级）"/>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46">
    <w:name w:val="列项●（二级）"/>
    <w:qFormat/>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47">
    <w:name w:val="目次、标准名称标题"/>
    <w:basedOn w:val="1"/>
    <w:next w:val="21"/>
    <w:link w:val="136"/>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48">
    <w:name w:val="三级条标题"/>
    <w:basedOn w:val="43"/>
    <w:next w:val="21"/>
    <w:qFormat/>
    <w:uiPriority w:val="0"/>
    <w:pPr>
      <w:numPr>
        <w:ilvl w:val="3"/>
      </w:numPr>
      <w:outlineLvl w:val="4"/>
    </w:pPr>
  </w:style>
  <w:style w:type="paragraph" w:customStyle="1" w:styleId="49">
    <w:name w:val="示例"/>
    <w:next w:val="50"/>
    <w:qFormat/>
    <w:uiPriority w:val="0"/>
    <w:pPr>
      <w:widowControl w:val="0"/>
      <w:numPr>
        <w:ilvl w:val="0"/>
        <w:numId w:val="4"/>
      </w:numPr>
      <w:jc w:val="both"/>
    </w:pPr>
    <w:rPr>
      <w:rFonts w:ascii="宋体" w:hAnsi="Times New Roman" w:eastAsia="宋体" w:cs="Times New Roman"/>
      <w:sz w:val="18"/>
      <w:szCs w:val="18"/>
      <w:lang w:val="en-US" w:eastAsia="zh-CN" w:bidi="ar-SA"/>
    </w:rPr>
  </w:style>
  <w:style w:type="paragraph" w:customStyle="1" w:styleId="50">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51">
    <w:name w:val="数字编号列项（二级）"/>
    <w:qFormat/>
    <w:uiPriority w:val="0"/>
    <w:pPr>
      <w:numPr>
        <w:ilvl w:val="1"/>
        <w:numId w:val="5"/>
      </w:numPr>
      <w:jc w:val="both"/>
    </w:pPr>
    <w:rPr>
      <w:rFonts w:ascii="宋体" w:hAnsi="Times New Roman" w:eastAsia="宋体" w:cs="Times New Roman"/>
      <w:sz w:val="21"/>
      <w:lang w:val="en-US" w:eastAsia="zh-CN" w:bidi="ar-SA"/>
    </w:rPr>
  </w:style>
  <w:style w:type="paragraph" w:customStyle="1" w:styleId="52">
    <w:name w:val="四级条标题"/>
    <w:basedOn w:val="48"/>
    <w:next w:val="21"/>
    <w:qFormat/>
    <w:uiPriority w:val="0"/>
    <w:pPr>
      <w:numPr>
        <w:ilvl w:val="4"/>
      </w:numPr>
      <w:outlineLvl w:val="5"/>
    </w:pPr>
  </w:style>
  <w:style w:type="paragraph" w:customStyle="1" w:styleId="53">
    <w:name w:val="五级条标题"/>
    <w:basedOn w:val="52"/>
    <w:next w:val="21"/>
    <w:qFormat/>
    <w:uiPriority w:val="0"/>
    <w:pPr>
      <w:numPr>
        <w:ilvl w:val="5"/>
      </w:numPr>
      <w:outlineLvl w:val="6"/>
    </w:pPr>
  </w:style>
  <w:style w:type="paragraph" w:customStyle="1" w:styleId="54">
    <w:name w:val="注："/>
    <w:next w:val="21"/>
    <w:qFormat/>
    <w:uiPriority w:val="0"/>
    <w:pPr>
      <w:widowControl w:val="0"/>
      <w:numPr>
        <w:ilvl w:val="0"/>
        <w:numId w:val="6"/>
      </w:numPr>
      <w:autoSpaceDE w:val="0"/>
      <w:autoSpaceDN w:val="0"/>
      <w:ind w:left="726" w:hanging="363"/>
      <w:jc w:val="both"/>
    </w:pPr>
    <w:rPr>
      <w:rFonts w:ascii="宋体" w:hAnsi="Times New Roman" w:eastAsia="宋体" w:cs="Times New Roman"/>
      <w:sz w:val="18"/>
      <w:szCs w:val="18"/>
      <w:lang w:val="en-US" w:eastAsia="zh-CN" w:bidi="ar-SA"/>
    </w:rPr>
  </w:style>
  <w:style w:type="paragraph" w:customStyle="1" w:styleId="55">
    <w:name w:val="注×："/>
    <w:qFormat/>
    <w:uiPriority w:val="0"/>
    <w:pPr>
      <w:widowControl w:val="0"/>
      <w:numPr>
        <w:ilvl w:val="0"/>
        <w:numId w:val="7"/>
      </w:numPr>
      <w:autoSpaceDE w:val="0"/>
      <w:autoSpaceDN w:val="0"/>
      <w:ind w:left="811" w:hanging="448"/>
      <w:jc w:val="both"/>
    </w:pPr>
    <w:rPr>
      <w:rFonts w:ascii="宋体" w:hAnsi="Times New Roman" w:eastAsia="宋体" w:cs="Times New Roman"/>
      <w:sz w:val="18"/>
      <w:szCs w:val="18"/>
      <w:lang w:val="en-US" w:eastAsia="zh-CN" w:bidi="ar-SA"/>
    </w:rPr>
  </w:style>
  <w:style w:type="paragraph" w:customStyle="1" w:styleId="56">
    <w:name w:val="字母编号列项（一级）"/>
    <w:qFormat/>
    <w:uiPriority w:val="0"/>
    <w:pPr>
      <w:numPr>
        <w:ilvl w:val="0"/>
        <w:numId w:val="5"/>
      </w:numPr>
      <w:jc w:val="both"/>
    </w:pPr>
    <w:rPr>
      <w:rFonts w:ascii="宋体" w:hAnsi="Times New Roman" w:eastAsia="宋体" w:cs="Times New Roman"/>
      <w:sz w:val="21"/>
      <w:lang w:val="en-US" w:eastAsia="zh-CN" w:bidi="ar-SA"/>
    </w:rPr>
  </w:style>
  <w:style w:type="paragraph" w:customStyle="1" w:styleId="57">
    <w:name w:val="列项◆（三级）"/>
    <w:basedOn w:val="1"/>
    <w:qFormat/>
    <w:uiPriority w:val="0"/>
    <w:pPr>
      <w:numPr>
        <w:ilvl w:val="2"/>
        <w:numId w:val="3"/>
      </w:numPr>
    </w:pPr>
    <w:rPr>
      <w:rFonts w:ascii="宋体"/>
      <w:szCs w:val="21"/>
    </w:rPr>
  </w:style>
  <w:style w:type="paragraph" w:customStyle="1" w:styleId="58">
    <w:name w:val="编号列项（三级）"/>
    <w:qFormat/>
    <w:uiPriority w:val="0"/>
    <w:pPr>
      <w:numPr>
        <w:ilvl w:val="2"/>
        <w:numId w:val="5"/>
      </w:numPr>
    </w:pPr>
    <w:rPr>
      <w:rFonts w:ascii="宋体" w:hAnsi="Times New Roman" w:eastAsia="宋体" w:cs="Times New Roman"/>
      <w:sz w:val="21"/>
      <w:lang w:val="en-US" w:eastAsia="zh-CN" w:bidi="ar-SA"/>
    </w:rPr>
  </w:style>
  <w:style w:type="paragraph" w:customStyle="1" w:styleId="59">
    <w:name w:val="示例×："/>
    <w:basedOn w:val="42"/>
    <w:qFormat/>
    <w:uiPriority w:val="0"/>
    <w:pPr>
      <w:numPr>
        <w:numId w:val="8"/>
      </w:numPr>
      <w:spacing w:beforeLines="0" w:afterLines="0"/>
      <w:outlineLvl w:val="9"/>
    </w:pPr>
    <w:rPr>
      <w:rFonts w:ascii="宋体" w:eastAsia="宋体"/>
      <w:sz w:val="18"/>
      <w:szCs w:val="18"/>
    </w:rPr>
  </w:style>
  <w:style w:type="paragraph" w:customStyle="1" w:styleId="60">
    <w:name w:val="二级无"/>
    <w:basedOn w:val="43"/>
    <w:qFormat/>
    <w:uiPriority w:val="0"/>
    <w:pPr>
      <w:spacing w:beforeLines="0" w:afterLines="0"/>
    </w:pPr>
    <w:rPr>
      <w:rFonts w:ascii="宋体" w:eastAsia="宋体"/>
    </w:rPr>
  </w:style>
  <w:style w:type="paragraph" w:customStyle="1" w:styleId="61">
    <w:name w:val="注：（正文）"/>
    <w:basedOn w:val="54"/>
    <w:next w:val="21"/>
    <w:qFormat/>
    <w:uiPriority w:val="0"/>
    <w:pPr>
      <w:numPr>
        <w:numId w:val="9"/>
      </w:numPr>
      <w:ind w:left="726" w:hanging="363"/>
    </w:pPr>
  </w:style>
  <w:style w:type="paragraph" w:customStyle="1" w:styleId="62">
    <w:name w:val="注×：（正文）"/>
    <w:qFormat/>
    <w:uiPriority w:val="0"/>
    <w:pPr>
      <w:numPr>
        <w:ilvl w:val="0"/>
        <w:numId w:val="10"/>
      </w:numPr>
      <w:ind w:left="811" w:hanging="448"/>
      <w:jc w:val="both"/>
    </w:pPr>
    <w:rPr>
      <w:rFonts w:ascii="宋体" w:hAnsi="Times New Roman" w:eastAsia="宋体" w:cs="Times New Roman"/>
      <w:sz w:val="18"/>
      <w:szCs w:val="18"/>
      <w:lang w:val="en-US" w:eastAsia="zh-CN" w:bidi="ar-SA"/>
    </w:rPr>
  </w:style>
  <w:style w:type="paragraph" w:customStyle="1" w:styleId="63">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64">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65">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66">
    <w:name w:val="标准书眉_偶数页"/>
    <w:basedOn w:val="41"/>
    <w:next w:val="1"/>
    <w:qFormat/>
    <w:uiPriority w:val="0"/>
    <w:pPr>
      <w:jc w:val="left"/>
    </w:pPr>
  </w:style>
  <w:style w:type="paragraph" w:customStyle="1" w:styleId="67">
    <w:name w:val="标准书眉一"/>
    <w:qFormat/>
    <w:uiPriority w:val="0"/>
    <w:pPr>
      <w:jc w:val="both"/>
    </w:pPr>
    <w:rPr>
      <w:rFonts w:ascii="Times New Roman" w:hAnsi="Times New Roman" w:eastAsia="宋体" w:cs="Times New Roman"/>
      <w:lang w:val="en-US" w:eastAsia="zh-CN" w:bidi="ar-SA"/>
    </w:rPr>
  </w:style>
  <w:style w:type="paragraph" w:customStyle="1" w:styleId="68">
    <w:name w:val="参考文献"/>
    <w:basedOn w:val="1"/>
    <w:next w:val="21"/>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69">
    <w:name w:val="参考文献、索引标题"/>
    <w:basedOn w:val="1"/>
    <w:next w:val="21"/>
    <w:qFormat/>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70">
    <w:name w:val="发布"/>
    <w:qFormat/>
    <w:uiPriority w:val="0"/>
    <w:rPr>
      <w:rFonts w:ascii="黑体" w:eastAsia="黑体"/>
      <w:spacing w:val="85"/>
      <w:w w:val="100"/>
      <w:position w:val="3"/>
      <w:sz w:val="28"/>
      <w:szCs w:val="28"/>
    </w:rPr>
  </w:style>
  <w:style w:type="paragraph" w:customStyle="1" w:styleId="71">
    <w:name w:val="发布部门"/>
    <w:next w:val="21"/>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72">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73">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74">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75">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6">
    <w:name w:val="封面标准英文名称"/>
    <w:basedOn w:val="75"/>
    <w:qFormat/>
    <w:uiPriority w:val="0"/>
    <w:pPr>
      <w:spacing w:before="370" w:line="400" w:lineRule="exact"/>
    </w:pPr>
    <w:rPr>
      <w:rFonts w:ascii="Times New Roman"/>
      <w:sz w:val="28"/>
      <w:szCs w:val="28"/>
    </w:rPr>
  </w:style>
  <w:style w:type="paragraph" w:customStyle="1" w:styleId="77">
    <w:name w:val="封面一致性程度标识"/>
    <w:basedOn w:val="76"/>
    <w:qFormat/>
    <w:uiPriority w:val="0"/>
    <w:pPr>
      <w:spacing w:before="440"/>
    </w:pPr>
    <w:rPr>
      <w:rFonts w:ascii="宋体" w:eastAsia="宋体"/>
    </w:rPr>
  </w:style>
  <w:style w:type="paragraph" w:customStyle="1" w:styleId="78">
    <w:name w:val="封面标准文稿类别"/>
    <w:basedOn w:val="77"/>
    <w:qFormat/>
    <w:uiPriority w:val="0"/>
    <w:pPr>
      <w:spacing w:after="160" w:line="240" w:lineRule="auto"/>
    </w:pPr>
    <w:rPr>
      <w:sz w:val="24"/>
    </w:rPr>
  </w:style>
  <w:style w:type="paragraph" w:customStyle="1" w:styleId="79">
    <w:name w:val="封面标准文稿编辑信息"/>
    <w:basedOn w:val="78"/>
    <w:qFormat/>
    <w:uiPriority w:val="0"/>
    <w:pPr>
      <w:spacing w:before="180" w:line="180" w:lineRule="exact"/>
    </w:pPr>
    <w:rPr>
      <w:sz w:val="21"/>
    </w:rPr>
  </w:style>
  <w:style w:type="paragraph" w:customStyle="1" w:styleId="80">
    <w:name w:val="封面正文"/>
    <w:qFormat/>
    <w:uiPriority w:val="0"/>
    <w:pPr>
      <w:jc w:val="both"/>
    </w:pPr>
    <w:rPr>
      <w:rFonts w:ascii="Times New Roman" w:hAnsi="Times New Roman" w:eastAsia="宋体" w:cs="Times New Roman"/>
      <w:lang w:val="en-US" w:eastAsia="zh-CN" w:bidi="ar-SA"/>
    </w:rPr>
  </w:style>
  <w:style w:type="paragraph" w:customStyle="1" w:styleId="81">
    <w:name w:val="附录标识"/>
    <w:basedOn w:val="1"/>
    <w:next w:val="21"/>
    <w:qFormat/>
    <w:uiPriority w:val="0"/>
    <w:pPr>
      <w:keepNext/>
      <w:widowControl/>
      <w:numPr>
        <w:ilvl w:val="0"/>
        <w:numId w:val="11"/>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82">
    <w:name w:val="附录标题"/>
    <w:basedOn w:val="21"/>
    <w:next w:val="21"/>
    <w:qFormat/>
    <w:uiPriority w:val="0"/>
    <w:pPr>
      <w:ind w:firstLine="0" w:firstLineChars="0"/>
      <w:jc w:val="center"/>
    </w:pPr>
    <w:rPr>
      <w:rFonts w:ascii="黑体" w:eastAsia="黑体"/>
    </w:rPr>
  </w:style>
  <w:style w:type="paragraph" w:customStyle="1" w:styleId="83">
    <w:name w:val="附录表标号"/>
    <w:basedOn w:val="1"/>
    <w:next w:val="21"/>
    <w:qFormat/>
    <w:uiPriority w:val="0"/>
    <w:pPr>
      <w:numPr>
        <w:ilvl w:val="0"/>
        <w:numId w:val="12"/>
      </w:numPr>
      <w:tabs>
        <w:tab w:val="clear" w:pos="0"/>
      </w:tabs>
      <w:spacing w:line="14" w:lineRule="exact"/>
      <w:ind w:left="811" w:hanging="448"/>
      <w:jc w:val="center"/>
      <w:outlineLvl w:val="0"/>
    </w:pPr>
    <w:rPr>
      <w:color w:val="FFFFFF"/>
    </w:rPr>
  </w:style>
  <w:style w:type="paragraph" w:customStyle="1" w:styleId="84">
    <w:name w:val="附录表标题"/>
    <w:basedOn w:val="1"/>
    <w:next w:val="21"/>
    <w:qFormat/>
    <w:uiPriority w:val="0"/>
    <w:pPr>
      <w:numPr>
        <w:ilvl w:val="1"/>
        <w:numId w:val="12"/>
      </w:numPr>
      <w:tabs>
        <w:tab w:val="left" w:pos="180"/>
      </w:tabs>
      <w:spacing w:beforeLines="50" w:afterLines="50"/>
      <w:ind w:left="0" w:firstLine="0"/>
      <w:jc w:val="center"/>
    </w:pPr>
    <w:rPr>
      <w:rFonts w:ascii="黑体" w:eastAsia="黑体"/>
      <w:szCs w:val="21"/>
    </w:rPr>
  </w:style>
  <w:style w:type="paragraph" w:customStyle="1" w:styleId="85">
    <w:name w:val="附录二级条标题"/>
    <w:basedOn w:val="1"/>
    <w:next w:val="21"/>
    <w:qFormat/>
    <w:uiPriority w:val="0"/>
    <w:pPr>
      <w:widowControl/>
      <w:numPr>
        <w:ilvl w:val="3"/>
        <w:numId w:val="11"/>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86">
    <w:name w:val="附录二级无"/>
    <w:basedOn w:val="85"/>
    <w:qFormat/>
    <w:uiPriority w:val="0"/>
    <w:pPr>
      <w:tabs>
        <w:tab w:val="clear" w:pos="360"/>
      </w:tabs>
      <w:spacing w:beforeLines="0" w:afterLines="0"/>
    </w:pPr>
    <w:rPr>
      <w:rFonts w:ascii="宋体" w:eastAsia="宋体"/>
      <w:szCs w:val="21"/>
    </w:rPr>
  </w:style>
  <w:style w:type="paragraph" w:customStyle="1" w:styleId="87">
    <w:name w:val="附录公式"/>
    <w:basedOn w:val="21"/>
    <w:next w:val="21"/>
    <w:link w:val="88"/>
    <w:qFormat/>
    <w:uiPriority w:val="0"/>
  </w:style>
  <w:style w:type="character" w:customStyle="1" w:styleId="88">
    <w:name w:val="附录公式 Char"/>
    <w:basedOn w:val="38"/>
    <w:link w:val="87"/>
    <w:qFormat/>
    <w:uiPriority w:val="0"/>
    <w:rPr>
      <w:rFonts w:ascii="宋体"/>
      <w:sz w:val="21"/>
      <w:lang w:val="en-US" w:eastAsia="zh-CN" w:bidi="ar-SA"/>
    </w:rPr>
  </w:style>
  <w:style w:type="paragraph" w:customStyle="1" w:styleId="89">
    <w:name w:val="附录公式编号制表符"/>
    <w:basedOn w:val="1"/>
    <w:next w:val="21"/>
    <w:qFormat/>
    <w:uiPriority w:val="0"/>
    <w:pPr>
      <w:widowControl/>
      <w:tabs>
        <w:tab w:val="center" w:pos="4201"/>
        <w:tab w:val="right" w:leader="dot" w:pos="9298"/>
      </w:tabs>
      <w:autoSpaceDE w:val="0"/>
      <w:autoSpaceDN w:val="0"/>
    </w:pPr>
    <w:rPr>
      <w:rFonts w:ascii="宋体"/>
      <w:kern w:val="0"/>
      <w:szCs w:val="20"/>
    </w:rPr>
  </w:style>
  <w:style w:type="paragraph" w:customStyle="1" w:styleId="90">
    <w:name w:val="附录三级条标题"/>
    <w:basedOn w:val="85"/>
    <w:next w:val="21"/>
    <w:qFormat/>
    <w:uiPriority w:val="0"/>
    <w:pPr>
      <w:numPr>
        <w:ilvl w:val="4"/>
      </w:numPr>
      <w:outlineLvl w:val="4"/>
    </w:pPr>
  </w:style>
  <w:style w:type="paragraph" w:customStyle="1" w:styleId="91">
    <w:name w:val="附录三级无"/>
    <w:basedOn w:val="90"/>
    <w:qFormat/>
    <w:uiPriority w:val="0"/>
    <w:pPr>
      <w:tabs>
        <w:tab w:val="clear" w:pos="360"/>
      </w:tabs>
      <w:spacing w:beforeLines="0" w:afterLines="0"/>
    </w:pPr>
    <w:rPr>
      <w:rFonts w:ascii="宋体" w:eastAsia="宋体"/>
      <w:szCs w:val="21"/>
    </w:rPr>
  </w:style>
  <w:style w:type="paragraph" w:customStyle="1" w:styleId="92">
    <w:name w:val="附录数字编号列项（二级）"/>
    <w:qFormat/>
    <w:uiPriority w:val="0"/>
    <w:pPr>
      <w:numPr>
        <w:ilvl w:val="1"/>
        <w:numId w:val="13"/>
      </w:numPr>
    </w:pPr>
    <w:rPr>
      <w:rFonts w:ascii="宋体" w:hAnsi="Times New Roman" w:eastAsia="宋体" w:cs="Times New Roman"/>
      <w:sz w:val="21"/>
      <w:lang w:val="en-US" w:eastAsia="zh-CN" w:bidi="ar-SA"/>
    </w:rPr>
  </w:style>
  <w:style w:type="paragraph" w:customStyle="1" w:styleId="93">
    <w:name w:val="附录四级条标题"/>
    <w:basedOn w:val="90"/>
    <w:next w:val="21"/>
    <w:qFormat/>
    <w:uiPriority w:val="0"/>
    <w:pPr>
      <w:numPr>
        <w:ilvl w:val="5"/>
      </w:numPr>
      <w:outlineLvl w:val="5"/>
    </w:pPr>
  </w:style>
  <w:style w:type="paragraph" w:customStyle="1" w:styleId="94">
    <w:name w:val="附录四级无"/>
    <w:basedOn w:val="93"/>
    <w:qFormat/>
    <w:uiPriority w:val="0"/>
    <w:pPr>
      <w:tabs>
        <w:tab w:val="clear" w:pos="360"/>
      </w:tabs>
      <w:spacing w:beforeLines="0" w:afterLines="0"/>
    </w:pPr>
    <w:rPr>
      <w:rFonts w:ascii="宋体" w:eastAsia="宋体"/>
      <w:szCs w:val="21"/>
    </w:rPr>
  </w:style>
  <w:style w:type="paragraph" w:customStyle="1" w:styleId="95">
    <w:name w:val="附录图标号"/>
    <w:basedOn w:val="1"/>
    <w:qFormat/>
    <w:uiPriority w:val="0"/>
    <w:pPr>
      <w:keepNext/>
      <w:pageBreakBefore/>
      <w:widowControl/>
      <w:numPr>
        <w:ilvl w:val="0"/>
        <w:numId w:val="14"/>
      </w:numPr>
      <w:spacing w:line="14" w:lineRule="exact"/>
      <w:ind w:left="0" w:firstLine="363"/>
      <w:jc w:val="center"/>
      <w:outlineLvl w:val="0"/>
    </w:pPr>
    <w:rPr>
      <w:color w:val="FFFFFF"/>
    </w:rPr>
  </w:style>
  <w:style w:type="paragraph" w:customStyle="1" w:styleId="96">
    <w:name w:val="附录图标题"/>
    <w:basedOn w:val="1"/>
    <w:next w:val="21"/>
    <w:qFormat/>
    <w:uiPriority w:val="0"/>
    <w:pPr>
      <w:numPr>
        <w:ilvl w:val="1"/>
        <w:numId w:val="14"/>
      </w:numPr>
      <w:tabs>
        <w:tab w:val="left" w:pos="363"/>
      </w:tabs>
      <w:spacing w:beforeLines="50" w:afterLines="50"/>
      <w:ind w:left="0" w:firstLine="0"/>
      <w:jc w:val="center"/>
    </w:pPr>
    <w:rPr>
      <w:rFonts w:ascii="黑体" w:eastAsia="黑体"/>
      <w:szCs w:val="21"/>
    </w:rPr>
  </w:style>
  <w:style w:type="paragraph" w:customStyle="1" w:styleId="97">
    <w:name w:val="附录五级条标题"/>
    <w:basedOn w:val="93"/>
    <w:next w:val="21"/>
    <w:qFormat/>
    <w:uiPriority w:val="0"/>
    <w:pPr>
      <w:numPr>
        <w:ilvl w:val="6"/>
      </w:numPr>
      <w:outlineLvl w:val="6"/>
    </w:pPr>
  </w:style>
  <w:style w:type="paragraph" w:customStyle="1" w:styleId="98">
    <w:name w:val="附录五级无"/>
    <w:basedOn w:val="97"/>
    <w:qFormat/>
    <w:uiPriority w:val="0"/>
    <w:pPr>
      <w:tabs>
        <w:tab w:val="clear" w:pos="360"/>
      </w:tabs>
      <w:spacing w:beforeLines="0" w:afterLines="0"/>
    </w:pPr>
    <w:rPr>
      <w:rFonts w:ascii="宋体" w:eastAsia="宋体"/>
      <w:szCs w:val="21"/>
    </w:rPr>
  </w:style>
  <w:style w:type="paragraph" w:customStyle="1" w:styleId="99">
    <w:name w:val="附录章标题"/>
    <w:next w:val="21"/>
    <w:qFormat/>
    <w:uiPriority w:val="0"/>
    <w:pPr>
      <w:numPr>
        <w:ilvl w:val="1"/>
        <w:numId w:val="11"/>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00">
    <w:name w:val="附录一级条标题"/>
    <w:basedOn w:val="99"/>
    <w:next w:val="21"/>
    <w:qFormat/>
    <w:uiPriority w:val="0"/>
    <w:pPr>
      <w:numPr>
        <w:ilvl w:val="2"/>
      </w:numPr>
      <w:autoSpaceDN w:val="0"/>
      <w:spacing w:beforeLines="50" w:afterLines="50"/>
      <w:outlineLvl w:val="2"/>
    </w:pPr>
  </w:style>
  <w:style w:type="paragraph" w:customStyle="1" w:styleId="101">
    <w:name w:val="附录一级无"/>
    <w:basedOn w:val="100"/>
    <w:qFormat/>
    <w:uiPriority w:val="0"/>
    <w:pPr>
      <w:tabs>
        <w:tab w:val="clear" w:pos="360"/>
      </w:tabs>
      <w:spacing w:beforeLines="0" w:afterLines="0"/>
    </w:pPr>
    <w:rPr>
      <w:rFonts w:ascii="宋体" w:eastAsia="宋体"/>
      <w:szCs w:val="21"/>
    </w:rPr>
  </w:style>
  <w:style w:type="paragraph" w:customStyle="1" w:styleId="102">
    <w:name w:val="附录字母编号列项（一级）"/>
    <w:qFormat/>
    <w:uiPriority w:val="0"/>
    <w:pPr>
      <w:numPr>
        <w:ilvl w:val="0"/>
        <w:numId w:val="13"/>
      </w:numPr>
    </w:pPr>
    <w:rPr>
      <w:rFonts w:ascii="宋体" w:hAnsi="Times New Roman" w:eastAsia="宋体" w:cs="Times New Roman"/>
      <w:sz w:val="21"/>
      <w:lang w:val="en-US" w:eastAsia="zh-CN" w:bidi="ar-SA"/>
    </w:rPr>
  </w:style>
  <w:style w:type="paragraph" w:customStyle="1" w:styleId="103">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04">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05">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06">
    <w:name w:val="其他标准标志"/>
    <w:basedOn w:val="63"/>
    <w:qFormat/>
    <w:uiPriority w:val="0"/>
    <w:pPr>
      <w:framePr w:w="6101" w:vAnchor="page" w:hAnchor="page" w:x="4673" w:y="942"/>
    </w:pPr>
    <w:rPr>
      <w:w w:val="130"/>
    </w:rPr>
  </w:style>
  <w:style w:type="paragraph" w:customStyle="1" w:styleId="107">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08">
    <w:name w:val="其他发布部门"/>
    <w:basedOn w:val="71"/>
    <w:qFormat/>
    <w:uiPriority w:val="0"/>
    <w:pPr>
      <w:framePr w:y="15310"/>
      <w:spacing w:line="0" w:lineRule="atLeast"/>
    </w:pPr>
    <w:rPr>
      <w:rFonts w:ascii="黑体" w:eastAsia="黑体"/>
      <w:b w:val="0"/>
    </w:rPr>
  </w:style>
  <w:style w:type="paragraph" w:customStyle="1" w:styleId="109">
    <w:name w:val="前言、引言标题"/>
    <w:next w:val="21"/>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0">
    <w:name w:val="三级无"/>
    <w:basedOn w:val="48"/>
    <w:qFormat/>
    <w:uiPriority w:val="0"/>
    <w:pPr>
      <w:spacing w:beforeLines="0" w:afterLines="0"/>
    </w:pPr>
    <w:rPr>
      <w:rFonts w:ascii="宋体" w:eastAsia="宋体"/>
    </w:rPr>
  </w:style>
  <w:style w:type="paragraph" w:customStyle="1" w:styleId="111">
    <w:name w:val="实施日期"/>
    <w:qFormat/>
    <w:uiPriority w:val="0"/>
    <w:pPr>
      <w:framePr w:w="3997" w:h="471" w:hRule="exact" w:vSpace="181" w:wrap="around" w:vAnchor="page" w:hAnchor="page" w:x="7089" w:y="14097"/>
      <w:jc w:val="right"/>
    </w:pPr>
    <w:rPr>
      <w:rFonts w:ascii="Times New Roman" w:hAnsi="Times New Roman" w:eastAsia="黑体" w:cs="Times New Roman"/>
      <w:sz w:val="28"/>
      <w:lang w:val="en-US" w:eastAsia="zh-CN" w:bidi="ar-SA"/>
    </w:rPr>
  </w:style>
  <w:style w:type="paragraph" w:customStyle="1" w:styleId="112">
    <w:name w:val="示例后文字"/>
    <w:basedOn w:val="21"/>
    <w:next w:val="21"/>
    <w:qFormat/>
    <w:uiPriority w:val="0"/>
    <w:pPr>
      <w:ind w:firstLine="360"/>
    </w:pPr>
    <w:rPr>
      <w:sz w:val="18"/>
    </w:rPr>
  </w:style>
  <w:style w:type="paragraph" w:customStyle="1" w:styleId="113">
    <w:name w:val="首示例"/>
    <w:next w:val="21"/>
    <w:link w:val="114"/>
    <w:qFormat/>
    <w:uiPriority w:val="0"/>
    <w:pPr>
      <w:tabs>
        <w:tab w:val="left" w:pos="360"/>
      </w:tabs>
    </w:pPr>
    <w:rPr>
      <w:rFonts w:ascii="宋体" w:hAnsi="宋体" w:eastAsia="宋体" w:cs="Times New Roman"/>
      <w:kern w:val="2"/>
      <w:sz w:val="18"/>
      <w:szCs w:val="18"/>
      <w:lang w:val="en-US" w:eastAsia="zh-CN" w:bidi="ar-SA"/>
    </w:rPr>
  </w:style>
  <w:style w:type="character" w:customStyle="1" w:styleId="114">
    <w:name w:val="首示例 Char"/>
    <w:link w:val="113"/>
    <w:qFormat/>
    <w:uiPriority w:val="0"/>
    <w:rPr>
      <w:rFonts w:ascii="宋体" w:hAnsi="宋体"/>
      <w:kern w:val="2"/>
      <w:sz w:val="18"/>
      <w:szCs w:val="18"/>
    </w:rPr>
  </w:style>
  <w:style w:type="paragraph" w:customStyle="1" w:styleId="115">
    <w:name w:val="四级无"/>
    <w:basedOn w:val="52"/>
    <w:qFormat/>
    <w:uiPriority w:val="0"/>
    <w:pPr>
      <w:spacing w:beforeLines="0" w:afterLines="0"/>
    </w:pPr>
    <w:rPr>
      <w:rFonts w:ascii="宋体" w:eastAsia="宋体"/>
    </w:rPr>
  </w:style>
  <w:style w:type="paragraph" w:customStyle="1" w:styleId="116">
    <w:name w:val="条文脚注"/>
    <w:basedOn w:val="22"/>
    <w:qFormat/>
    <w:uiPriority w:val="0"/>
    <w:pPr>
      <w:numPr>
        <w:numId w:val="0"/>
      </w:numPr>
      <w:jc w:val="both"/>
    </w:pPr>
  </w:style>
  <w:style w:type="paragraph" w:customStyle="1" w:styleId="117">
    <w:name w:val="图标脚注说明"/>
    <w:basedOn w:val="21"/>
    <w:qFormat/>
    <w:uiPriority w:val="0"/>
    <w:pPr>
      <w:ind w:left="840" w:hanging="420" w:firstLineChars="0"/>
    </w:pPr>
    <w:rPr>
      <w:sz w:val="18"/>
      <w:szCs w:val="18"/>
    </w:rPr>
  </w:style>
  <w:style w:type="paragraph" w:customStyle="1" w:styleId="118">
    <w:name w:val="图表脚注说明"/>
    <w:basedOn w:val="1"/>
    <w:qFormat/>
    <w:uiPriority w:val="0"/>
    <w:pPr>
      <w:numPr>
        <w:ilvl w:val="0"/>
        <w:numId w:val="15"/>
      </w:numPr>
    </w:pPr>
    <w:rPr>
      <w:rFonts w:ascii="宋体"/>
      <w:sz w:val="18"/>
      <w:szCs w:val="18"/>
    </w:rPr>
  </w:style>
  <w:style w:type="paragraph" w:customStyle="1" w:styleId="119">
    <w:name w:val="图的脚注"/>
    <w:next w:val="21"/>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20">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1">
    <w:name w:val="五级无"/>
    <w:basedOn w:val="53"/>
    <w:qFormat/>
    <w:uiPriority w:val="0"/>
    <w:pPr>
      <w:spacing w:beforeLines="0" w:afterLines="0"/>
    </w:pPr>
    <w:rPr>
      <w:rFonts w:ascii="宋体" w:eastAsia="宋体"/>
    </w:rPr>
  </w:style>
  <w:style w:type="paragraph" w:customStyle="1" w:styleId="122">
    <w:name w:val="一级无"/>
    <w:basedOn w:val="39"/>
    <w:qFormat/>
    <w:uiPriority w:val="0"/>
    <w:pPr>
      <w:spacing w:beforeLines="0" w:afterLines="0"/>
    </w:pPr>
    <w:rPr>
      <w:rFonts w:ascii="宋体" w:eastAsia="宋体"/>
    </w:rPr>
  </w:style>
  <w:style w:type="paragraph" w:customStyle="1" w:styleId="123">
    <w:name w:val="正文表标题"/>
    <w:next w:val="21"/>
    <w:qFormat/>
    <w:uiPriority w:val="0"/>
    <w:pPr>
      <w:numPr>
        <w:ilvl w:val="0"/>
        <w:numId w:val="16"/>
      </w:numPr>
      <w:spacing w:beforeLines="50" w:afterLines="50"/>
      <w:jc w:val="center"/>
    </w:pPr>
    <w:rPr>
      <w:rFonts w:ascii="黑体" w:hAnsi="Times New Roman" w:eastAsia="黑体" w:cs="Times New Roman"/>
      <w:sz w:val="21"/>
      <w:lang w:val="en-US" w:eastAsia="zh-CN" w:bidi="ar-SA"/>
    </w:rPr>
  </w:style>
  <w:style w:type="paragraph" w:customStyle="1" w:styleId="124">
    <w:name w:val="正文公式编号制表符"/>
    <w:basedOn w:val="21"/>
    <w:next w:val="21"/>
    <w:qFormat/>
    <w:uiPriority w:val="0"/>
    <w:pPr>
      <w:ind w:firstLine="0" w:firstLineChars="0"/>
    </w:pPr>
  </w:style>
  <w:style w:type="paragraph" w:customStyle="1" w:styleId="125">
    <w:name w:val="正文图标题"/>
    <w:next w:val="21"/>
    <w:qFormat/>
    <w:uiPriority w:val="0"/>
    <w:pPr>
      <w:numPr>
        <w:ilvl w:val="0"/>
        <w:numId w:val="17"/>
      </w:numPr>
      <w:spacing w:beforeLines="50" w:afterLines="50"/>
      <w:jc w:val="center"/>
    </w:pPr>
    <w:rPr>
      <w:rFonts w:ascii="黑体" w:hAnsi="Times New Roman" w:eastAsia="黑体" w:cs="Times New Roman"/>
      <w:sz w:val="21"/>
      <w:lang w:val="en-US" w:eastAsia="zh-CN" w:bidi="ar-SA"/>
    </w:rPr>
  </w:style>
  <w:style w:type="paragraph" w:customStyle="1" w:styleId="126">
    <w:name w:val="终结线"/>
    <w:basedOn w:val="1"/>
    <w:qFormat/>
    <w:uiPriority w:val="0"/>
    <w:pPr>
      <w:framePr w:hSpace="181" w:vSpace="181" w:wrap="around" w:vAnchor="text" w:hAnchor="margin" w:xAlign="center" w:y="285"/>
    </w:pPr>
  </w:style>
  <w:style w:type="paragraph" w:customStyle="1" w:styleId="127">
    <w:name w:val="其他发布日期"/>
    <w:qFormat/>
    <w:uiPriority w:val="0"/>
    <w:pPr>
      <w:framePr w:w="3997" w:h="471" w:hRule="exact" w:vSpace="181" w:wrap="around" w:vAnchor="page" w:hAnchor="page" w:x="1419" w:y="14097" w:anchorLock="1"/>
    </w:pPr>
    <w:rPr>
      <w:rFonts w:ascii="Times New Roman" w:hAnsi="Times New Roman" w:eastAsia="黑体" w:cs="Times New Roman"/>
      <w:sz w:val="28"/>
      <w:lang w:val="en-US" w:eastAsia="zh-CN" w:bidi="ar-SA"/>
    </w:rPr>
  </w:style>
  <w:style w:type="paragraph" w:customStyle="1" w:styleId="128">
    <w:name w:val="其他实施日期"/>
    <w:basedOn w:val="111"/>
    <w:qFormat/>
    <w:uiPriority w:val="0"/>
  </w:style>
  <w:style w:type="paragraph" w:customStyle="1" w:styleId="129">
    <w:name w:val="封面标准名称2"/>
    <w:basedOn w:val="75"/>
    <w:qFormat/>
    <w:uiPriority w:val="0"/>
    <w:pPr>
      <w:framePr w:y="4469"/>
      <w:spacing w:beforeLines="630"/>
    </w:pPr>
  </w:style>
  <w:style w:type="paragraph" w:customStyle="1" w:styleId="130">
    <w:name w:val="封面标准英文名称2"/>
    <w:basedOn w:val="76"/>
    <w:qFormat/>
    <w:uiPriority w:val="0"/>
    <w:pPr>
      <w:framePr w:y="4469"/>
    </w:pPr>
  </w:style>
  <w:style w:type="paragraph" w:customStyle="1" w:styleId="131">
    <w:name w:val="封面一致性程度标识2"/>
    <w:basedOn w:val="77"/>
    <w:qFormat/>
    <w:uiPriority w:val="0"/>
    <w:pPr>
      <w:framePr w:y="4469"/>
    </w:pPr>
  </w:style>
  <w:style w:type="paragraph" w:customStyle="1" w:styleId="132">
    <w:name w:val="封面标准文稿类别2"/>
    <w:basedOn w:val="78"/>
    <w:qFormat/>
    <w:uiPriority w:val="0"/>
    <w:pPr>
      <w:framePr w:y="4469"/>
    </w:pPr>
  </w:style>
  <w:style w:type="paragraph" w:customStyle="1" w:styleId="133">
    <w:name w:val="封面标准文稿编辑信息2"/>
    <w:basedOn w:val="79"/>
    <w:qFormat/>
    <w:uiPriority w:val="0"/>
    <w:pPr>
      <w:framePr w:y="4469"/>
    </w:pPr>
  </w:style>
  <w:style w:type="paragraph" w:customStyle="1" w:styleId="134">
    <w:name w:val="标准名称"/>
    <w:basedOn w:val="47"/>
    <w:link w:val="137"/>
    <w:qFormat/>
    <w:uiPriority w:val="0"/>
  </w:style>
  <w:style w:type="character" w:styleId="135">
    <w:name w:val="Placeholder Text"/>
    <w:basedOn w:val="32"/>
    <w:semiHidden/>
    <w:qFormat/>
    <w:uiPriority w:val="99"/>
    <w:rPr>
      <w:color w:val="808080"/>
    </w:rPr>
  </w:style>
  <w:style w:type="character" w:customStyle="1" w:styleId="136">
    <w:name w:val="目次、标准名称标题 Char"/>
    <w:basedOn w:val="32"/>
    <w:link w:val="47"/>
    <w:qFormat/>
    <w:uiPriority w:val="0"/>
    <w:rPr>
      <w:rFonts w:ascii="黑体" w:eastAsia="黑体"/>
      <w:sz w:val="32"/>
      <w:shd w:val="clear" w:color="FFFFFF" w:fill="FFFFFF"/>
    </w:rPr>
  </w:style>
  <w:style w:type="character" w:customStyle="1" w:styleId="137">
    <w:name w:val="标准名称 Char"/>
    <w:basedOn w:val="136"/>
    <w:link w:val="134"/>
    <w:qFormat/>
    <w:uiPriority w:val="0"/>
    <w:rPr>
      <w:rFonts w:ascii="黑体" w:eastAsia="黑体"/>
      <w:sz w:val="32"/>
      <w:shd w:val="clear" w:color="FFFFFF" w:fill="FFFFFF"/>
    </w:rPr>
  </w:style>
  <w:style w:type="character" w:customStyle="1" w:styleId="138">
    <w:name w:val="批注框文本 字符"/>
    <w:basedOn w:val="32"/>
    <w:link w:val="14"/>
    <w:qFormat/>
    <w:uiPriority w:val="0"/>
    <w:rPr>
      <w:kern w:val="2"/>
      <w:sz w:val="18"/>
      <w:szCs w:val="18"/>
    </w:rPr>
  </w:style>
  <w:style w:type="paragraph" w:styleId="139">
    <w:name w:val="List Paragraph"/>
    <w:basedOn w:val="1"/>
    <w:qFormat/>
    <w:uiPriority w:val="34"/>
    <w:pPr>
      <w:ind w:firstLine="420" w:firstLineChars="200"/>
    </w:pPr>
  </w:style>
  <w:style w:type="paragraph" w:customStyle="1" w:styleId="140">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1">
    <w:name w:val="font01"/>
    <w:basedOn w:val="32"/>
    <w:qFormat/>
    <w:uiPriority w:val="0"/>
    <w:rPr>
      <w:rFonts w:hint="eastAsia" w:ascii="宋体" w:hAnsi="宋体" w:eastAsia="宋体" w:cs="宋体"/>
      <w:color w:val="000000"/>
      <w:sz w:val="24"/>
      <w:szCs w:val="24"/>
      <w:u w:val="none"/>
    </w:rPr>
  </w:style>
  <w:style w:type="character" w:customStyle="1" w:styleId="142">
    <w:name w:val="font41"/>
    <w:basedOn w:val="32"/>
    <w:qFormat/>
    <w:uiPriority w:val="0"/>
    <w:rPr>
      <w:rFonts w:hint="default" w:ascii="Times New Roman" w:hAnsi="Times New Roman" w:cs="Times New Roman"/>
      <w:color w:val="000000"/>
      <w:sz w:val="24"/>
      <w:szCs w:val="24"/>
      <w:u w:val="none"/>
    </w:rPr>
  </w:style>
  <w:style w:type="paragraph" w:customStyle="1" w:styleId="143">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glossaryDocument" Target="glossary/document.xml"/><Relationship Id="rId11" Type="http://schemas.openxmlformats.org/officeDocument/2006/relationships/fontTable" Target="fontTable.xml"/><Relationship Id="rId10" Type="http://schemas.microsoft.com/office/2006/relationships/keyMapCustomizations" Target="customization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111"/>
        <w:style w:val=""/>
        <w:category>
          <w:name w:val="常规"/>
          <w:gallery w:val="placeholder"/>
        </w:category>
        <w:types>
          <w:type w:val="bbPlcHdr"/>
        </w:types>
        <w:behaviors>
          <w:behavior w:val="content"/>
        </w:behaviors>
        <w:description w:val=""/>
        <w:guid w:val="{028989F2-0355-49D4-BDA6-4D56B5D374C0}"/>
      </w:docPartPr>
      <w:docPartBody>
        <w:p>
          <w:pPr>
            <w:pStyle w:val="5"/>
          </w:pPr>
          <w:r>
            <w:rPr>
              <w:rStyle w:val="4"/>
              <w:rFonts w:hint="eastAsia"/>
            </w:rPr>
            <w:t>标准名称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13A"/>
    <w:rsid w:val="0002647A"/>
    <w:rsid w:val="0002653F"/>
    <w:rsid w:val="00080DE3"/>
    <w:rsid w:val="00087E40"/>
    <w:rsid w:val="000C73CF"/>
    <w:rsid w:val="000E12A8"/>
    <w:rsid w:val="001132F9"/>
    <w:rsid w:val="00114ABC"/>
    <w:rsid w:val="001C16E0"/>
    <w:rsid w:val="002068C7"/>
    <w:rsid w:val="00323E80"/>
    <w:rsid w:val="00327599"/>
    <w:rsid w:val="003372E5"/>
    <w:rsid w:val="003750AF"/>
    <w:rsid w:val="00430F92"/>
    <w:rsid w:val="004321C8"/>
    <w:rsid w:val="004F113A"/>
    <w:rsid w:val="004F1EC5"/>
    <w:rsid w:val="00515A81"/>
    <w:rsid w:val="005335DD"/>
    <w:rsid w:val="00595E09"/>
    <w:rsid w:val="00674FBA"/>
    <w:rsid w:val="006D02E4"/>
    <w:rsid w:val="007216E9"/>
    <w:rsid w:val="007C6ACB"/>
    <w:rsid w:val="007E2797"/>
    <w:rsid w:val="007E4627"/>
    <w:rsid w:val="00800293"/>
    <w:rsid w:val="00820E7E"/>
    <w:rsid w:val="008E024D"/>
    <w:rsid w:val="008E5C53"/>
    <w:rsid w:val="008F0268"/>
    <w:rsid w:val="00902EF8"/>
    <w:rsid w:val="00982DAC"/>
    <w:rsid w:val="009B16B1"/>
    <w:rsid w:val="00A94E45"/>
    <w:rsid w:val="00AD6808"/>
    <w:rsid w:val="00B05DA1"/>
    <w:rsid w:val="00B717AC"/>
    <w:rsid w:val="00BA605C"/>
    <w:rsid w:val="00BC67AA"/>
    <w:rsid w:val="00C875D2"/>
    <w:rsid w:val="00CB0B2B"/>
    <w:rsid w:val="00D4454B"/>
    <w:rsid w:val="00D65DD7"/>
    <w:rsid w:val="00DA4409"/>
    <w:rsid w:val="00E95A08"/>
    <w:rsid w:val="00EA15BD"/>
    <w:rsid w:val="00EA32AC"/>
    <w:rsid w:val="00F93653"/>
    <w:rsid w:val="00FF0B73"/>
    <w:rsid w:val="00FF0EC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cs="Times New Roman" w:asciiTheme="minorHAnsi" w:hAnsiTheme="minorHAnsi" w:eastAsiaTheme="minorEastAsia"/>
      <w:kern w:val="2"/>
      <w:sz w:val="3276"/>
      <w:szCs w:val="3276"/>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1112"/>
    <w:qFormat/>
    <w:uiPriority w:val="0"/>
    <w:pPr>
      <w:keepNext/>
      <w:pageBreakBefore/>
      <w:shd w:val="clear" w:color="FFFFFF" w:fill="FFFFFF"/>
      <w:spacing w:before="640" w:after="560" w:line="460" w:lineRule="exact"/>
      <w:jc w:val="center"/>
      <w:outlineLvl w:val="0"/>
    </w:pPr>
    <w:rPr>
      <w:rFonts w:ascii="黑体" w:hAnsi="Times New Roman" w:eastAsia="黑体" w:cs="Times New Roman"/>
      <w:sz w:val="3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zle</Company>
  <Pages>9</Pages>
  <Words>3680</Words>
  <Characters>4390</Characters>
  <Lines>35</Lines>
  <Paragraphs>9</Paragraphs>
  <TotalTime>1</TotalTime>
  <ScaleCrop>false</ScaleCrop>
  <LinksUpToDate>false</LinksUpToDate>
  <CharactersWithSpaces>4541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2020-08-04T00:49:00Z</dcterms:created>
  <dc:creator>CNIS</dc:creator>
  <cp:lastModifiedBy>yr</cp:lastModifiedBy>
  <dcterms:modified xsi:type="dcterms:W3CDTF">2023-02-16T07:13:08Z</dcterms:modified>
  <dc:title>标准名称</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8F11E18D37ED4D67AC3B6DCAB88A7BB8</vt:lpwstr>
  </property>
</Properties>
</file>