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lang w:eastAsia="zh-CN"/>
        </w:rPr>
        <w:t>7</w:t>
      </w:r>
      <w:r>
        <w:rPr>
          <w:rFonts w:hint="eastAsia"/>
          <w:lang w:val="en-US" w:eastAsia="zh-CN"/>
        </w:rPr>
        <w:t>7.150.70</w:t>
      </w:r>
      <w:r>
        <w:fldChar w:fldCharType="end"/>
      </w:r>
      <w:bookmarkEnd w:id="0"/>
    </w:p>
    <w:p>
      <w:pPr>
        <w:pStyle w:val="128"/>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H</w:t>
      </w:r>
      <w:r>
        <w:rPr>
          <w:rFonts w:hint="eastAsia"/>
          <w:lang w:val="en-US" w:eastAsia="zh-CN"/>
        </w:rPr>
        <w:t xml:space="preserve"> 62</w:t>
      </w:r>
      <w:r>
        <w:fldChar w:fldCharType="end"/>
      </w:r>
      <w:bookmarkEnd w:id="1"/>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8"/>
            </w:pPr>
            <w:r>
              <w:fldChar w:fldCharType="begin">
                <w:ffData>
                  <w:name w:val="BAH"/>
                  <w:enabled/>
                  <w:calcOnExit w:val="0"/>
                  <w:textInput/>
                </w:ffData>
              </w:fldChar>
            </w:r>
            <w:bookmarkStart w:id="2" w:name="BAH"/>
            <w:r>
              <w:instrText xml:space="preserve"> </w:instrText>
            </w:r>
            <w:r>
              <w:rPr>
                <w:rFonts w:hint="eastAsia"/>
              </w:rPr>
              <w:instrText xml:space="preserve">FORMTEXT</w:instrText>
            </w:r>
            <w:r>
              <w:instrText xml:space="preserve"> </w:instrText>
            </w:r>
            <w:r>
              <w:fldChar w:fldCharType="separate"/>
            </w:r>
            <w:r>
              <w:t>     </w:t>
            </w:r>
            <w:r>
              <w:fldChar w:fldCharType="end"/>
            </w:r>
            <w:bookmarkEnd w:id="2"/>
          </w:p>
        </w:tc>
      </w:tr>
    </w:tbl>
    <w:p>
      <w:pPr>
        <w:pStyle w:val="114"/>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pPr>
        <w:pStyle w:val="115"/>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pPr>
        <w:pStyle w:val="52"/>
        <w:rPr>
          <w:rFonts w:hAnsi="黑体"/>
        </w:rPr>
      </w:pPr>
      <w:r>
        <w:rPr>
          <w:rFonts w:ascii="Times New Roman"/>
        </w:rPr>
        <w:fldChar w:fldCharType="begin">
          <w:ffData>
            <w:name w:val="StdNo0"/>
            <w:enabled/>
            <w:calcOnExit w:val="0"/>
            <w:textInput>
              <w:default w:val="××/T"/>
              <w:maxLength w:val="4"/>
            </w:textInput>
          </w:ffData>
        </w:fldChar>
      </w:r>
      <w:bookmarkStart w:id="5" w:name="StdNo0"/>
      <w:r>
        <w:rPr>
          <w:rFonts w:ascii="Times New Roman"/>
        </w:rPr>
        <w:instrText xml:space="preserve"> FORMTEXT </w:instrText>
      </w:r>
      <w:r>
        <w:rPr>
          <w:rFonts w:ascii="Times New Roman"/>
        </w:rPr>
        <w:fldChar w:fldCharType="separate"/>
      </w:r>
      <w:r>
        <w:rPr>
          <w:rFonts w:ascii="Times New Roman"/>
        </w:rPr>
        <w:t>YS/T</w:t>
      </w:r>
      <w:r>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7"/>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81"/>
            </w:pPr>
            <w: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rPr>
                <w:rFonts w:hint="eastAsia"/>
              </w:rPr>
              <w:t>代替 YS/T 633-2015</w:t>
            </w:r>
            <w:r>
              <w:fldChar w:fldCharType="end"/>
            </w:r>
            <w:bookmarkEnd w:id="8"/>
          </w:p>
        </w:tc>
      </w:tr>
    </w:tbl>
    <w:p>
      <w:pPr>
        <w:pStyle w:val="52"/>
        <w:rPr>
          <w:rFonts w:hAnsi="黑体"/>
        </w:rPr>
      </w:pPr>
    </w:p>
    <w:p>
      <w:pPr>
        <w:pStyle w:val="52"/>
        <w:rPr>
          <w:rFonts w:hAnsi="黑体"/>
        </w:rPr>
      </w:pPr>
    </w:p>
    <w:p>
      <w:pPr>
        <w:pStyle w:val="83"/>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四氧化三钴</w:t>
      </w:r>
      <w:r>
        <w:fldChar w:fldCharType="end"/>
      </w:r>
      <w:bookmarkEnd w:id="9"/>
    </w:p>
    <w:p>
      <w:pPr>
        <w:pStyle w:val="84"/>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Pr>
          <w:rFonts w:hint="eastAsia"/>
        </w:rPr>
        <w:t>Cobaltosic oxide</w:t>
      </w:r>
      <w:r>
        <w:fldChar w:fldCharType="end"/>
      </w:r>
      <w:bookmarkEnd w:id="10"/>
    </w:p>
    <w:p>
      <w:pPr>
        <w:pStyle w:val="85"/>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rPr>
        <w:t>点击此处添加与国际标准一致性程度的标识</w:t>
      </w:r>
      <w:r>
        <w:fldChar w:fldCharType="end"/>
      </w:r>
      <w:bookmarkEnd w:id="11"/>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9" w:type="dxa"/>
            <w:tcBorders>
              <w:top w:val="nil"/>
              <w:left w:val="nil"/>
              <w:bottom w:val="nil"/>
              <w:right w:val="nil"/>
            </w:tcBorders>
            <w:shd w:val="clear" w:color="auto" w:fill="auto"/>
          </w:tcPr>
          <w:p>
            <w:pPr>
              <w:pStyle w:val="86"/>
            </w:pPr>
            <w: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 xml:space="preserve">FORMDROPDOWN</w:instrText>
            </w:r>
            <w:r>
              <w:instrText xml:space="preserve">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7"/>
            </w:pPr>
            <w:r>
              <w:fldChar w:fldCharType="begin">
                <w:ffData>
                  <w:name w:val="WCRQ"/>
                  <w:enabled/>
                  <w:calcOnExit w:val="0"/>
                  <w:textInput/>
                </w:ffData>
              </w:fldChar>
            </w:r>
            <w:bookmarkStart w:id="13" w:name="WCRQ"/>
            <w:r>
              <w:instrText xml:space="preserve"> FORMTEXT </w:instrText>
            </w:r>
            <w:r>
              <w:fldChar w:fldCharType="separate"/>
            </w:r>
            <w:r>
              <w:rPr>
                <w:rFonts w:hint="eastAsia"/>
              </w:rPr>
              <w:t>（本稿完成日期：）</w:t>
            </w:r>
          </w:p>
          <w:p>
            <w:pPr>
              <w:pStyle w:val="87"/>
            </w:pPr>
            <w:r>
              <w:rPr>
                <w:rFonts w:hint="eastAsia"/>
              </w:rPr>
              <w:t>在</w:t>
            </w:r>
            <w:r>
              <w:t>提交</w:t>
            </w:r>
            <w:r>
              <w:rPr>
                <w:rFonts w:hint="eastAsia"/>
              </w:rPr>
              <w:t>反馈意见时，请将您知道的相关专利连同支持性文件一并附上。</w:t>
            </w:r>
            <w:r>
              <w:fldChar w:fldCharType="end"/>
            </w:r>
            <w:bookmarkEnd w:id="13"/>
          </w:p>
        </w:tc>
      </w:tr>
    </w:tbl>
    <w:p>
      <w:pPr>
        <w:pStyle w:val="135"/>
      </w:pPr>
      <w:r>
        <w:rPr>
          <w:rFonts w:ascii="黑体"/>
        </w:rPr>
        <w:fldChar w:fldCharType="begin">
          <w:ffData>
            <w:name w:val="FY"/>
            <w:enabled/>
            <w:calcOnExit w:val="0"/>
            <w:entryMacro w:val="ShowHelp8"/>
            <w:textInput>
              <w:default w:val="××××"/>
              <w:maxLength w:val="4"/>
            </w:textInput>
          </w:ffData>
        </w:fldChar>
      </w:r>
      <w:bookmarkStart w:id="14"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5"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发布</w: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36"/>
      </w:pPr>
      <w:r>
        <w:rPr>
          <w:rFonts w:ascii="黑体"/>
        </w:rPr>
        <w:fldChar w:fldCharType="begin">
          <w:ffData>
            <w:name w:val="SY"/>
            <w:enabled/>
            <w:calcOnExit w:val="0"/>
            <w:entryMacro w:val="ShowHelp9"/>
            <w:textInput>
              <w:default w:val="××××"/>
              <w:maxLength w:val="4"/>
            </w:textInput>
          </w:ffData>
        </w:fldChar>
      </w:r>
      <w:bookmarkStart w:id="16"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7"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8"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8"/>
      <w:r>
        <w:rPr>
          <w:rFonts w:hint="eastAsia"/>
        </w:rPr>
        <w:t>实施</w:t>
      </w:r>
    </w:p>
    <w:p>
      <w:pPr>
        <w:pStyle w:val="116"/>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w:t>
      </w:r>
      <w:r>
        <w:t>共和国工业和信息化部</w:t>
      </w:r>
      <w:r>
        <w:fldChar w:fldCharType="end"/>
      </w:r>
      <w:bookmarkEnd w:id="19"/>
      <w:r>
        <w:t xml:space="preserve"> </w:t>
      </w:r>
      <w:r>
        <w:rPr>
          <w:rStyle w:val="78"/>
        </w:rPr>
        <w:t xml:space="preserve"> </w:t>
      </w:r>
      <w:r>
        <w:rPr>
          <w:rStyle w:val="78"/>
          <w:rFonts w:hint="eastAsia"/>
        </w:rPr>
        <w:t>发布</w:t>
      </w:r>
    </w:p>
    <w:p>
      <w:pPr>
        <w:pStyle w:val="30"/>
        <w:sectPr>
          <w:pgSz w:w="11906" w:h="16838"/>
          <w:pgMar w:top="567" w:right="850" w:bottom="1134" w:left="1418" w:header="0" w:footer="0" w:gutter="0"/>
          <w:pgNumType w:start="1"/>
          <w:cols w:space="425" w:num="1"/>
          <w:docGrid w:type="lines" w:linePitch="312" w:charSpace="0"/>
        </w:sectPr>
      </w:pPr>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pPr>
        <w:pStyle w:val="117"/>
      </w:pPr>
      <w:r>
        <w:rPr>
          <w:rFonts w:hint="eastAsia"/>
        </w:rPr>
        <w:t>前</w:t>
      </w:r>
      <w:bookmarkStart w:id="20" w:name="BKQY"/>
      <w:r>
        <w:rPr>
          <w:rFonts w:hAnsi="黑体"/>
        </w:rPr>
        <w:t>  </w:t>
      </w:r>
      <w:r>
        <w:rPr>
          <w:rFonts w:hint="eastAsia"/>
        </w:rPr>
        <w:t>言</w:t>
      </w:r>
      <w:bookmarkEnd w:id="20"/>
    </w:p>
    <w:p>
      <w:pPr>
        <w:pStyle w:val="30"/>
        <w:rPr>
          <w:rFonts w:hint="default" w:ascii="Times New Roman" w:hAnsi="Times New Roman" w:cs="Times New Roman"/>
        </w:rPr>
      </w:pPr>
      <w:r>
        <w:rPr>
          <w:rFonts w:hint="default" w:ascii="Times New Roman" w:hAnsi="Times New Roman" w:cs="Times New Roman"/>
        </w:rPr>
        <w:t>本文件按照GB/T 1.1—2020《标准化工作导则 第1部分：标准化文件的结构和起草规则》的规定起草。</w:t>
      </w:r>
    </w:p>
    <w:p>
      <w:pPr>
        <w:pStyle w:val="30"/>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本文件代替YS/T 633</w:t>
      </w:r>
      <w:r>
        <w:rPr>
          <w:rFonts w:hint="default" w:ascii="Times New Roman" w:hAnsi="Times New Roman" w:cs="Times New Roman"/>
        </w:rPr>
        <w:t>—</w:t>
      </w:r>
      <w:r>
        <w:rPr>
          <w:rFonts w:hint="default" w:ascii="Times New Roman" w:hAnsi="Times New Roman" w:cs="Times New Roman"/>
          <w:color w:val="auto"/>
          <w:szCs w:val="21"/>
          <w:highlight w:val="none"/>
        </w:rPr>
        <w:t>2015 《四氧化三钴》。与 YS/T 633</w:t>
      </w:r>
      <w:r>
        <w:rPr>
          <w:rFonts w:hint="default" w:ascii="Times New Roman" w:hAnsi="Times New Roman" w:cs="Times New Roman"/>
        </w:rPr>
        <w:t>—</w:t>
      </w:r>
      <w:r>
        <w:rPr>
          <w:rFonts w:hint="default" w:ascii="Times New Roman" w:hAnsi="Times New Roman" w:cs="Times New Roman"/>
          <w:color w:val="auto"/>
          <w:szCs w:val="21"/>
          <w:highlight w:val="none"/>
        </w:rPr>
        <w:t>2015相比，</w:t>
      </w:r>
      <w:r>
        <w:rPr>
          <w:rFonts w:hint="default" w:ascii="Times New Roman" w:hAnsi="Times New Roman" w:cs="Times New Roman"/>
          <w:color w:val="auto"/>
          <w:highlight w:val="none"/>
        </w:rPr>
        <w:t>除结构调整和编辑性改动外，主要技术变化如下：</w:t>
      </w:r>
    </w:p>
    <w:p>
      <w:pPr>
        <w:pStyle w:val="30"/>
        <w:numPr>
          <w:ilvl w:val="0"/>
          <w:numId w:val="21"/>
        </w:numPr>
        <w:rPr>
          <w:rFonts w:hint="default" w:ascii="Times New Roman" w:hAnsi="Times New Roman" w:cs="Times New Roman"/>
          <w:color w:val="auto"/>
          <w:highlight w:val="none"/>
        </w:rPr>
      </w:pPr>
      <w:bookmarkStart w:id="21" w:name="_Hlk52089947"/>
      <w:r>
        <w:rPr>
          <w:rFonts w:hint="eastAsia" w:ascii="Times New Roman" w:cs="Times New Roman"/>
          <w:sz w:val="21"/>
          <w:szCs w:val="21"/>
          <w:highlight w:val="none"/>
          <w:lang w:val="en-US" w:eastAsia="zh-CN"/>
        </w:rPr>
        <w:t>更改</w:t>
      </w:r>
      <w:r>
        <w:rPr>
          <w:rFonts w:hint="default" w:ascii="Times New Roman" w:hAnsi="Times New Roman" w:cs="Times New Roman"/>
          <w:color w:val="auto"/>
          <w:highlight w:val="none"/>
        </w:rPr>
        <w:t>了Co</w:t>
      </w:r>
      <w:r>
        <w:rPr>
          <w:rFonts w:hint="default" w:ascii="Times New Roman" w:hAnsi="Times New Roman" w:cs="Times New Roman"/>
          <w:color w:val="auto"/>
          <w:highlight w:val="none"/>
          <w:vertAlign w:val="subscript"/>
        </w:rPr>
        <w:t>3</w:t>
      </w:r>
      <w:r>
        <w:rPr>
          <w:rFonts w:hint="default" w:ascii="Times New Roman" w:hAnsi="Times New Roman" w:cs="Times New Roman"/>
          <w:color w:val="auto"/>
          <w:highlight w:val="none"/>
        </w:rPr>
        <w:t>O</w:t>
      </w:r>
      <w:r>
        <w:rPr>
          <w:rFonts w:hint="default" w:ascii="Times New Roman" w:hAnsi="Times New Roman" w:cs="Times New Roman"/>
          <w:color w:val="auto"/>
          <w:highlight w:val="none"/>
          <w:vertAlign w:val="subscript"/>
        </w:rPr>
        <w:t>4</w:t>
      </w:r>
      <w:r>
        <w:rPr>
          <w:rFonts w:hint="default" w:ascii="Times New Roman" w:hAnsi="Times New Roman" w:cs="Times New Roman"/>
          <w:color w:val="auto"/>
          <w:highlight w:val="none"/>
        </w:rPr>
        <w:t>-0类产品</w:t>
      </w:r>
      <w:r>
        <w:rPr>
          <w:rFonts w:hint="default" w:ascii="Times New Roman" w:hAnsi="Times New Roman" w:cs="Times New Roman"/>
          <w:color w:val="auto"/>
          <w:sz w:val="18"/>
          <w:szCs w:val="18"/>
          <w:highlight w:val="none"/>
          <w:lang w:bidi="ar"/>
        </w:rPr>
        <w:t>Mg、Pb、Zn、Si</w:t>
      </w:r>
      <w:r>
        <w:rPr>
          <w:rFonts w:hint="default" w:ascii="Times New Roman" w:hAnsi="Times New Roman" w:cs="Times New Roman"/>
          <w:color w:val="auto"/>
          <w:highlight w:val="none"/>
        </w:rPr>
        <w:t>杂质元素含量指标（见表1</w:t>
      </w:r>
      <w:r>
        <w:rPr>
          <w:rFonts w:hint="eastAsia" w:ascii="Times New Roman" w:cs="Times New Roman"/>
          <w:sz w:val="21"/>
          <w:szCs w:val="21"/>
          <w:highlight w:val="none"/>
          <w:lang w:eastAsia="zh-CN"/>
        </w:rPr>
        <w:t>，</w:t>
      </w:r>
      <w:r>
        <w:rPr>
          <w:rFonts w:hint="eastAsia" w:ascii="Times New Roman" w:cs="Times New Roman"/>
          <w:sz w:val="21"/>
          <w:szCs w:val="21"/>
          <w:highlight w:val="none"/>
          <w:lang w:val="en-US" w:eastAsia="zh-CN"/>
        </w:rPr>
        <w:t>2015年版的</w:t>
      </w:r>
      <w:r>
        <w:rPr>
          <w:rFonts w:hint="default" w:ascii="Times New Roman" w:hAnsi="Times New Roman" w:eastAsia="宋体" w:cs="Times New Roman"/>
          <w:sz w:val="21"/>
          <w:szCs w:val="21"/>
          <w:highlight w:val="none"/>
        </w:rPr>
        <w:t>表1</w:t>
      </w:r>
      <w:r>
        <w:rPr>
          <w:rFonts w:hint="default" w:ascii="Times New Roman" w:hAnsi="Times New Roman" w:cs="Times New Roman"/>
          <w:color w:val="auto"/>
          <w:highlight w:val="none"/>
        </w:rPr>
        <w:t>）；</w:t>
      </w:r>
    </w:p>
    <w:p>
      <w:pPr>
        <w:pStyle w:val="30"/>
        <w:numPr>
          <w:ilvl w:val="0"/>
          <w:numId w:val="21"/>
        </w:numPr>
        <w:rPr>
          <w:rFonts w:hint="default" w:ascii="Times New Roman" w:hAnsi="Times New Roman" w:cs="Times New Roman"/>
          <w:color w:val="auto"/>
          <w:highlight w:val="none"/>
        </w:rPr>
      </w:pPr>
      <w:r>
        <w:rPr>
          <w:rFonts w:hint="eastAsia" w:ascii="Times New Roman" w:cs="Times New Roman"/>
          <w:sz w:val="21"/>
          <w:szCs w:val="21"/>
          <w:highlight w:val="none"/>
          <w:lang w:val="en-US" w:eastAsia="zh-CN"/>
        </w:rPr>
        <w:t>更改</w:t>
      </w:r>
      <w:r>
        <w:rPr>
          <w:rFonts w:hint="default" w:ascii="Times New Roman" w:hAnsi="Times New Roman" w:cs="Times New Roman"/>
          <w:color w:val="auto"/>
          <w:highlight w:val="none"/>
        </w:rPr>
        <w:t>了Co</w:t>
      </w:r>
      <w:r>
        <w:rPr>
          <w:rFonts w:hint="default" w:ascii="Times New Roman" w:hAnsi="Times New Roman" w:cs="Times New Roman"/>
          <w:color w:val="auto"/>
          <w:highlight w:val="none"/>
          <w:vertAlign w:val="subscript"/>
        </w:rPr>
        <w:t>3</w:t>
      </w:r>
      <w:r>
        <w:rPr>
          <w:rFonts w:hint="default" w:ascii="Times New Roman" w:hAnsi="Times New Roman" w:cs="Times New Roman"/>
          <w:color w:val="auto"/>
          <w:highlight w:val="none"/>
        </w:rPr>
        <w:t>O</w:t>
      </w:r>
      <w:r>
        <w:rPr>
          <w:rFonts w:hint="default" w:ascii="Times New Roman" w:hAnsi="Times New Roman" w:cs="Times New Roman"/>
          <w:color w:val="auto"/>
          <w:highlight w:val="none"/>
          <w:vertAlign w:val="subscript"/>
        </w:rPr>
        <w:t>4</w:t>
      </w:r>
      <w:r>
        <w:rPr>
          <w:rFonts w:hint="default" w:ascii="Times New Roman" w:hAnsi="Times New Roman" w:cs="Times New Roman"/>
          <w:color w:val="auto"/>
          <w:highlight w:val="none"/>
        </w:rPr>
        <w:t>-1类产品</w:t>
      </w:r>
      <w:r>
        <w:rPr>
          <w:rFonts w:hint="default" w:ascii="Times New Roman" w:hAnsi="Times New Roman" w:cs="Times New Roman"/>
          <w:color w:val="auto"/>
          <w:sz w:val="18"/>
          <w:szCs w:val="18"/>
          <w:highlight w:val="none"/>
          <w:lang w:bidi="ar"/>
        </w:rPr>
        <w:t>Mg、Pb、Si</w:t>
      </w:r>
      <w:r>
        <w:rPr>
          <w:rFonts w:hint="default" w:ascii="Times New Roman" w:hAnsi="Times New Roman" w:cs="Times New Roman"/>
          <w:color w:val="auto"/>
          <w:highlight w:val="none"/>
        </w:rPr>
        <w:t>杂质元素含量指标（见表1</w:t>
      </w:r>
      <w:r>
        <w:rPr>
          <w:rFonts w:hint="eastAsia" w:ascii="Times New Roman" w:cs="Times New Roman"/>
          <w:sz w:val="21"/>
          <w:szCs w:val="21"/>
          <w:highlight w:val="none"/>
          <w:lang w:eastAsia="zh-CN"/>
        </w:rPr>
        <w:t>，</w:t>
      </w:r>
      <w:r>
        <w:rPr>
          <w:rFonts w:hint="eastAsia" w:ascii="Times New Roman" w:cs="Times New Roman"/>
          <w:sz w:val="21"/>
          <w:szCs w:val="21"/>
          <w:highlight w:val="none"/>
          <w:lang w:val="en-US" w:eastAsia="zh-CN"/>
        </w:rPr>
        <w:t>2015年版的</w:t>
      </w:r>
      <w:r>
        <w:rPr>
          <w:rFonts w:hint="default" w:ascii="Times New Roman" w:hAnsi="Times New Roman" w:eastAsia="宋体" w:cs="Times New Roman"/>
          <w:sz w:val="21"/>
          <w:szCs w:val="21"/>
          <w:highlight w:val="none"/>
        </w:rPr>
        <w:t>表1</w:t>
      </w:r>
      <w:r>
        <w:rPr>
          <w:rFonts w:hint="default" w:ascii="Times New Roman" w:hAnsi="Times New Roman" w:cs="Times New Roman"/>
          <w:color w:val="auto"/>
          <w:highlight w:val="none"/>
        </w:rPr>
        <w:t>）；</w:t>
      </w:r>
    </w:p>
    <w:p>
      <w:pPr>
        <w:pStyle w:val="30"/>
        <w:numPr>
          <w:ilvl w:val="0"/>
          <w:numId w:val="21"/>
        </w:numPr>
        <w:rPr>
          <w:rFonts w:hint="default" w:ascii="Times New Roman" w:hAnsi="Times New Roman" w:cs="Times New Roman"/>
          <w:color w:val="auto"/>
          <w:highlight w:val="none"/>
        </w:rPr>
      </w:pPr>
      <w:r>
        <w:rPr>
          <w:rFonts w:hint="eastAsia" w:ascii="Times New Roman" w:cs="Times New Roman"/>
          <w:sz w:val="21"/>
          <w:szCs w:val="21"/>
          <w:highlight w:val="none"/>
          <w:lang w:val="en-US" w:eastAsia="zh-CN"/>
        </w:rPr>
        <w:t>更改</w:t>
      </w:r>
      <w:r>
        <w:rPr>
          <w:rFonts w:hint="default" w:ascii="Times New Roman" w:hAnsi="Times New Roman" w:cs="Times New Roman"/>
          <w:color w:val="auto"/>
          <w:highlight w:val="none"/>
        </w:rPr>
        <w:t>了Co</w:t>
      </w:r>
      <w:r>
        <w:rPr>
          <w:rFonts w:hint="default" w:ascii="Times New Roman" w:hAnsi="Times New Roman" w:cs="Times New Roman"/>
          <w:color w:val="auto"/>
          <w:highlight w:val="none"/>
          <w:vertAlign w:val="subscript"/>
        </w:rPr>
        <w:t>3</w:t>
      </w:r>
      <w:r>
        <w:rPr>
          <w:rFonts w:hint="default" w:ascii="Times New Roman" w:hAnsi="Times New Roman" w:cs="Times New Roman"/>
          <w:color w:val="auto"/>
          <w:highlight w:val="none"/>
        </w:rPr>
        <w:t>O</w:t>
      </w:r>
      <w:r>
        <w:rPr>
          <w:rFonts w:hint="default" w:ascii="Times New Roman" w:hAnsi="Times New Roman" w:cs="Times New Roman"/>
          <w:color w:val="auto"/>
          <w:highlight w:val="none"/>
          <w:vertAlign w:val="subscript"/>
        </w:rPr>
        <w:t>4</w:t>
      </w:r>
      <w:r>
        <w:rPr>
          <w:rFonts w:hint="default" w:ascii="Times New Roman" w:hAnsi="Times New Roman" w:cs="Times New Roman"/>
          <w:color w:val="auto"/>
          <w:highlight w:val="none"/>
        </w:rPr>
        <w:t>-2类产品</w:t>
      </w:r>
      <w:r>
        <w:rPr>
          <w:rFonts w:hint="default" w:ascii="Times New Roman" w:hAnsi="Times New Roman" w:cs="Times New Roman"/>
          <w:color w:val="auto"/>
          <w:sz w:val="18"/>
          <w:szCs w:val="18"/>
          <w:highlight w:val="none"/>
          <w:lang w:bidi="ar"/>
        </w:rPr>
        <w:t>Na、Mg、Al</w:t>
      </w:r>
      <w:r>
        <w:rPr>
          <w:rFonts w:hint="default" w:ascii="Times New Roman" w:hAnsi="Times New Roman" w:cs="Times New Roman"/>
          <w:color w:val="auto"/>
          <w:highlight w:val="none"/>
        </w:rPr>
        <w:t>杂质元素含量指标（见表1</w:t>
      </w:r>
      <w:r>
        <w:rPr>
          <w:rFonts w:hint="eastAsia" w:ascii="Times New Roman" w:cs="Times New Roman"/>
          <w:sz w:val="21"/>
          <w:szCs w:val="21"/>
          <w:highlight w:val="none"/>
          <w:lang w:eastAsia="zh-CN"/>
        </w:rPr>
        <w:t>，</w:t>
      </w:r>
      <w:r>
        <w:rPr>
          <w:rFonts w:hint="eastAsia" w:ascii="Times New Roman" w:cs="Times New Roman"/>
          <w:sz w:val="21"/>
          <w:szCs w:val="21"/>
          <w:highlight w:val="none"/>
          <w:lang w:val="en-US" w:eastAsia="zh-CN"/>
        </w:rPr>
        <w:t>2015年版的</w:t>
      </w:r>
      <w:r>
        <w:rPr>
          <w:rFonts w:hint="default" w:ascii="Times New Roman" w:hAnsi="Times New Roman" w:eastAsia="宋体" w:cs="Times New Roman"/>
          <w:sz w:val="21"/>
          <w:szCs w:val="21"/>
          <w:highlight w:val="none"/>
        </w:rPr>
        <w:t>表1</w:t>
      </w:r>
      <w:r>
        <w:rPr>
          <w:rFonts w:hint="default" w:ascii="Times New Roman" w:hAnsi="Times New Roman" w:cs="Times New Roman"/>
          <w:color w:val="auto"/>
          <w:highlight w:val="none"/>
        </w:rPr>
        <w:t>）；</w:t>
      </w:r>
    </w:p>
    <w:p>
      <w:pPr>
        <w:pStyle w:val="30"/>
        <w:numPr>
          <w:ilvl w:val="0"/>
          <w:numId w:val="21"/>
        </w:numPr>
        <w:rPr>
          <w:rFonts w:hint="default" w:ascii="Times New Roman" w:hAnsi="Times New Roman" w:cs="Times New Roman"/>
          <w:color w:val="auto"/>
          <w:highlight w:val="none"/>
        </w:rPr>
      </w:pPr>
      <w:r>
        <w:rPr>
          <w:rFonts w:hint="eastAsia" w:ascii="Times New Roman" w:cs="Times New Roman"/>
          <w:sz w:val="21"/>
          <w:szCs w:val="21"/>
          <w:highlight w:val="none"/>
          <w:lang w:val="en-US" w:eastAsia="zh-CN"/>
        </w:rPr>
        <w:t>更改</w:t>
      </w:r>
      <w:r>
        <w:rPr>
          <w:rFonts w:hint="default" w:ascii="Times New Roman" w:hAnsi="Times New Roman" w:cs="Times New Roman"/>
          <w:color w:val="auto"/>
          <w:highlight w:val="none"/>
        </w:rPr>
        <w:t>了物理指标：振实密度</w:t>
      </w:r>
      <w:r>
        <w:rPr>
          <w:rFonts w:hint="eastAsia" w:ascii="Times New Roman" w:cs="Times New Roman"/>
          <w:color w:val="auto"/>
          <w:highlight w:val="none"/>
          <w:lang w:eastAsia="zh-CN"/>
        </w:rPr>
        <w:t>、</w:t>
      </w:r>
      <w:r>
        <w:rPr>
          <w:rFonts w:hint="default" w:ascii="Times New Roman" w:hAnsi="Times New Roman" w:cs="Times New Roman"/>
          <w:color w:val="auto"/>
          <w:szCs w:val="21"/>
          <w:highlight w:val="none"/>
        </w:rPr>
        <w:t>中位径、</w:t>
      </w:r>
      <w:r>
        <w:rPr>
          <w:rFonts w:hint="default" w:ascii="Times New Roman" w:hAnsi="Times New Roman" w:cs="Times New Roman"/>
          <w:color w:val="auto"/>
          <w:highlight w:val="none"/>
        </w:rPr>
        <w:t>磁性异物（见表2</w:t>
      </w:r>
      <w:r>
        <w:rPr>
          <w:rFonts w:hint="eastAsia" w:ascii="Times New Roman" w:cs="Times New Roman"/>
          <w:sz w:val="21"/>
          <w:szCs w:val="21"/>
          <w:highlight w:val="none"/>
          <w:lang w:eastAsia="zh-CN"/>
        </w:rPr>
        <w:t>，</w:t>
      </w:r>
      <w:r>
        <w:rPr>
          <w:rFonts w:hint="eastAsia" w:ascii="Times New Roman" w:cs="Times New Roman"/>
          <w:sz w:val="21"/>
          <w:szCs w:val="21"/>
          <w:highlight w:val="none"/>
          <w:lang w:val="en-US" w:eastAsia="zh-CN"/>
        </w:rPr>
        <w:t>2015年版的4.3</w:t>
      </w:r>
      <w:r>
        <w:rPr>
          <w:rFonts w:hint="default" w:ascii="Times New Roman" w:hAnsi="Times New Roman" w:cs="Times New Roman"/>
          <w:color w:val="auto"/>
          <w:highlight w:val="none"/>
        </w:rPr>
        <w:t>）。</w:t>
      </w:r>
    </w:p>
    <w:bookmarkEnd w:id="21"/>
    <w:p>
      <w:pPr>
        <w:pStyle w:val="30"/>
        <w:numPr>
          <w:ilvl w:val="0"/>
          <w:numId w:val="21"/>
        </w:numPr>
        <w:rPr>
          <w:rFonts w:hint="default" w:ascii="Times New Roman" w:hAnsi="Times New Roman" w:cs="Times New Roman"/>
          <w:color w:val="auto"/>
          <w:highlight w:val="none"/>
        </w:rPr>
      </w:pPr>
      <w:bookmarkStart w:id="22" w:name="_Hlk52092477"/>
      <w:r>
        <w:rPr>
          <w:rFonts w:hint="eastAsia" w:ascii="Times New Roman" w:cs="Times New Roman"/>
          <w:sz w:val="21"/>
          <w:szCs w:val="21"/>
          <w:highlight w:val="none"/>
          <w:lang w:val="en-US" w:eastAsia="zh-CN"/>
        </w:rPr>
        <w:t>增加</w:t>
      </w:r>
      <w:r>
        <w:rPr>
          <w:rFonts w:hint="default" w:ascii="Times New Roman" w:hAnsi="Times New Roman" w:cs="Times New Roman"/>
          <w:color w:val="auto"/>
          <w:highlight w:val="none"/>
        </w:rPr>
        <w:t>了水分物理指标（见表2）。</w:t>
      </w:r>
    </w:p>
    <w:bookmarkEnd w:id="22"/>
    <w:p>
      <w:pPr>
        <w:pStyle w:val="3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请注意本文件的</w:t>
      </w:r>
      <w:r>
        <w:rPr>
          <w:rFonts w:hint="eastAsia" w:ascii="Times New Roman" w:cs="Times New Roman"/>
          <w:sz w:val="21"/>
          <w:szCs w:val="21"/>
          <w:lang w:val="en-US" w:eastAsia="zh-CN"/>
        </w:rPr>
        <w:t>有</w:t>
      </w:r>
      <w:r>
        <w:rPr>
          <w:rFonts w:hint="default" w:ascii="Times New Roman" w:hAnsi="Times New Roman" w:eastAsia="宋体" w:cs="Times New Roman"/>
          <w:sz w:val="21"/>
          <w:szCs w:val="21"/>
        </w:rPr>
        <w:t>些内容可能涉及专利。本文件的发布机构不承担识别专利的责任。</w:t>
      </w:r>
    </w:p>
    <w:p>
      <w:pPr>
        <w:pStyle w:val="30"/>
        <w:rPr>
          <w:rFonts w:hint="default" w:ascii="Times New Roman" w:hAnsi="Times New Roman" w:cs="Times New Roman"/>
        </w:rPr>
      </w:pPr>
      <w:r>
        <w:rPr>
          <w:rFonts w:hint="default" w:ascii="Times New Roman" w:hAnsi="Times New Roman" w:cs="Times New Roman"/>
        </w:rPr>
        <w:t>本文件由全国有色金属标准化技术委员会（SAC/TC 243）提出并归口。</w:t>
      </w:r>
    </w:p>
    <w:p>
      <w:pPr>
        <w:pStyle w:val="30"/>
        <w:rPr>
          <w:rFonts w:hint="default" w:ascii="Times New Roman" w:hAnsi="Times New Roman" w:eastAsia="宋体" w:cs="Times New Roman"/>
        </w:rPr>
      </w:pPr>
      <w:r>
        <w:rPr>
          <w:rFonts w:hint="default" w:ascii="Times New Roman" w:hAnsi="Times New Roman" w:cs="Times New Roman"/>
        </w:rPr>
        <w:t>本文件起草单位：格林美股份有限公司</w:t>
      </w:r>
      <w:r>
        <w:rPr>
          <w:rFonts w:hint="eastAsia" w:ascii="Times New Roman" w:cs="Times New Roman"/>
          <w:lang w:eastAsia="zh-CN"/>
        </w:rPr>
        <w:t>、</w:t>
      </w:r>
      <w:r>
        <w:rPr>
          <w:rFonts w:hint="default" w:ascii="Times New Roman" w:hAnsi="Times New Roman" w:eastAsia="宋体" w:cs="Times New Roman"/>
        </w:rPr>
        <w:t>荆门市格林美新材料有限公司</w:t>
      </w:r>
      <w:r>
        <w:rPr>
          <w:rFonts w:hint="eastAsia" w:ascii="Times New Roman" w:cs="Times New Roman"/>
          <w:lang w:eastAsia="zh-CN"/>
        </w:rPr>
        <w:t>、</w:t>
      </w:r>
      <w:r>
        <w:rPr>
          <w:rFonts w:hint="eastAsia" w:ascii="Times New Roman" w:hAnsi="Times New Roman" w:eastAsia="宋体" w:cs="Times New Roman"/>
          <w:lang w:val="en-US" w:eastAsia="zh-CN"/>
        </w:rPr>
        <w:t>衢州华友钴新材料有限公司、厦门厦钨新能源材料股份有限公司、兰州金川新材料科技股份有限公司、中伟新材料股份有限公司、浙江华友钴业股份有限公司、广东邦普循环科技有限公司、格林美（江苏）钴业股份有限公司、北京当升材料科技股份有限公司、长沙矿冶院检测技术有限责任公司、清华广州研究院、北京工业大学等。</w:t>
      </w:r>
    </w:p>
    <w:p>
      <w:pPr>
        <w:pStyle w:val="30"/>
        <w:rPr>
          <w:rFonts w:hint="default" w:ascii="Times New Roman" w:hAnsi="Times New Roman" w:cs="Times New Roman"/>
        </w:rPr>
      </w:pPr>
      <w:r>
        <w:rPr>
          <w:rFonts w:hint="default" w:ascii="Times New Roman" w:hAnsi="Times New Roman" w:cs="Times New Roman"/>
        </w:rPr>
        <w:t>本文件主要起草人：</w:t>
      </w:r>
      <w:r>
        <w:rPr>
          <w:rFonts w:hint="eastAsia" w:ascii="Times New Roman" w:cs="Times New Roman"/>
          <w:sz w:val="21"/>
          <w:szCs w:val="21"/>
          <w:highlight w:val="yellow"/>
          <w:lang w:val="en-US" w:eastAsia="zh-CN"/>
        </w:rPr>
        <w:t>XXX、XXX</w:t>
      </w:r>
      <w:r>
        <w:rPr>
          <w:rFonts w:hint="eastAsia" w:ascii="Times New Roman" w:cs="Times New Roman"/>
          <w:sz w:val="21"/>
          <w:szCs w:val="21"/>
          <w:highlight w:val="yellow"/>
          <w:lang w:eastAsia="zh-CN"/>
        </w:rPr>
        <w:t>、</w:t>
      </w:r>
    </w:p>
    <w:p>
      <w:pPr>
        <w:spacing w:line="276" w:lineRule="auto"/>
        <w:ind w:firstLine="420"/>
        <w:rPr>
          <w:rFonts w:hint="default" w:ascii="Times New Roman" w:hAnsi="Times New Roman" w:cs="Times New Roman"/>
          <w:szCs w:val="21"/>
        </w:rPr>
      </w:pPr>
      <w:r>
        <w:rPr>
          <w:rFonts w:hint="default" w:ascii="Times New Roman" w:hAnsi="Times New Roman" w:cs="Times New Roman"/>
          <w:szCs w:val="21"/>
        </w:rPr>
        <w:t>本文件及其所代替文件的历次版本发布情况为：</w:t>
      </w:r>
    </w:p>
    <w:p>
      <w:pPr>
        <w:spacing w:line="276" w:lineRule="auto"/>
        <w:ind w:firstLine="420"/>
        <w:rPr>
          <w:rFonts w:hint="default" w:ascii="Times New Roman" w:hAnsi="Times New Roman" w:cs="Times New Roman"/>
          <w:szCs w:val="21"/>
        </w:rPr>
      </w:pPr>
      <w:r>
        <w:rPr>
          <w:rFonts w:hint="default" w:ascii="Times New Roman" w:hAnsi="Times New Roman" w:cs="Times New Roman"/>
          <w:szCs w:val="21"/>
        </w:rPr>
        <w:t>——2007年首次发布为YS/T 633-2007，2015年第一次修订；</w:t>
      </w:r>
    </w:p>
    <w:p>
      <w:pPr>
        <w:spacing w:line="276" w:lineRule="auto"/>
        <w:ind w:firstLine="420"/>
        <w:rPr>
          <w:rFonts w:hint="default" w:ascii="Times New Roman" w:hAnsi="Times New Roman" w:cs="Times New Roman"/>
          <w:szCs w:val="21"/>
        </w:rPr>
      </w:pPr>
      <w:r>
        <w:rPr>
          <w:rFonts w:hint="default" w:ascii="Times New Roman" w:hAnsi="Times New Roman" w:cs="Times New Roman"/>
          <w:szCs w:val="21"/>
        </w:rPr>
        <w:t>——本次为第二次修订。</w:t>
      </w:r>
    </w:p>
    <w:p>
      <w:pPr>
        <w:pStyle w:val="55"/>
      </w:pPr>
      <w:sdt>
        <w:sdtPr>
          <w:alias w:val="标准名称"/>
          <w:tag w:val="标准名称"/>
          <w:id w:val="1795105741"/>
          <w:lock w:val="sdtLocked"/>
          <w:placeholder>
            <w:docPart w:val="111"/>
          </w:placeholder>
          <w:text w:multiLine="1"/>
        </w:sdtPr>
        <w:sdtContent>
          <w:r>
            <w:rPr>
              <w:rFonts w:hint="eastAsia"/>
            </w:rPr>
            <w:t>四氧化三钴</w:t>
          </w:r>
        </w:sdtContent>
      </w:sdt>
      <w:bookmarkStart w:id="23" w:name="StandardName"/>
      <w:bookmarkEnd w:id="23"/>
    </w:p>
    <w:p>
      <w:pPr>
        <w:pStyle w:val="51"/>
        <w:spacing w:before="312" w:after="312"/>
      </w:pPr>
      <w:r>
        <w:rPr>
          <w:rFonts w:hint="eastAsia"/>
        </w:rPr>
        <w:t>范围</w:t>
      </w:r>
    </w:p>
    <w:p>
      <w:pPr>
        <w:spacing w:before="50"/>
        <w:ind w:firstLine="420" w:firstLineChars="200"/>
        <w:rPr>
          <w:rFonts w:hint="default" w:ascii="Times New Roman" w:hAnsi="Times New Roman" w:cs="Times New Roman"/>
        </w:rPr>
      </w:pPr>
      <w:bookmarkStart w:id="24" w:name="_Hlk52094467"/>
      <w:r>
        <w:rPr>
          <w:rFonts w:hint="default" w:ascii="Times New Roman" w:hAnsi="Times New Roman" w:cs="Times New Roman"/>
        </w:rPr>
        <w:t>本文件规定了四氧化三钴（Co</w:t>
      </w:r>
      <w:r>
        <w:rPr>
          <w:rFonts w:hint="default" w:ascii="Times New Roman" w:hAnsi="Times New Roman" w:cs="Times New Roman"/>
          <w:vertAlign w:val="subscript"/>
        </w:rPr>
        <w:t>3</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rPr>
        <w:t>）的</w:t>
      </w:r>
      <w:r>
        <w:rPr>
          <w:rFonts w:hint="eastAsia" w:cs="Times New Roman"/>
          <w:lang w:val="en-US" w:eastAsia="zh-CN"/>
        </w:rPr>
        <w:t>分类、技术</w:t>
      </w:r>
      <w:r>
        <w:rPr>
          <w:rFonts w:hint="default" w:ascii="Times New Roman" w:hAnsi="Times New Roman" w:cs="Times New Roman"/>
        </w:rPr>
        <w:t>要求、试验方法、检验规则、标志、包装、运输、贮存</w:t>
      </w:r>
      <w:r>
        <w:rPr>
          <w:rFonts w:hint="eastAsia" w:cs="Times New Roman"/>
          <w:lang w:val="en-US" w:eastAsia="zh-CN"/>
        </w:rPr>
        <w:t>及随行文件和</w:t>
      </w:r>
      <w:r>
        <w:rPr>
          <w:rFonts w:hint="default" w:ascii="Times New Roman" w:hAnsi="Times New Roman" w:cs="Times New Roman"/>
        </w:rPr>
        <w:t>订货单内容。</w:t>
      </w:r>
    </w:p>
    <w:p>
      <w:pPr>
        <w:spacing w:before="50"/>
        <w:ind w:firstLine="420" w:firstLineChars="200"/>
        <w:rPr>
          <w:rFonts w:hint="default" w:ascii="Times New Roman" w:hAnsi="Times New Roman" w:cs="Times New Roman"/>
        </w:rPr>
      </w:pPr>
      <w:r>
        <w:rPr>
          <w:rFonts w:hint="default" w:ascii="Times New Roman" w:hAnsi="Times New Roman" w:cs="Times New Roman"/>
        </w:rPr>
        <w:t>本文件适用于供生产锂离子电池材料、磁性材料及其他用途的四氧化三钴。</w:t>
      </w:r>
    </w:p>
    <w:bookmarkEnd w:id="24"/>
    <w:p>
      <w:pPr>
        <w:pStyle w:val="51"/>
        <w:spacing w:before="312" w:after="312"/>
        <w:rPr>
          <w:rFonts w:hint="default" w:ascii="Times New Roman" w:hAnsi="Times New Roman" w:cs="Times New Roman"/>
        </w:rPr>
      </w:pPr>
      <w:r>
        <w:rPr>
          <w:rFonts w:hint="default" w:ascii="Times New Roman" w:hAnsi="Times New Roman" w:cs="Times New Roman"/>
        </w:rPr>
        <w:t>规范性引用文件</w:t>
      </w:r>
    </w:p>
    <w:p>
      <w:pPr>
        <w:pStyle w:val="30"/>
        <w:rPr>
          <w:rFonts w:hint="default" w:ascii="Times New Roman" w:hAnsi="Times New Roman" w:cs="Times New Roman"/>
        </w:rPr>
      </w:pPr>
      <w:r>
        <w:rPr>
          <w:rFonts w:hint="default" w:ascii="Times New Roman" w:hAnsi="Times New Roman" w:cs="Times New Roman"/>
          <w:kern w:val="2"/>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default" w:ascii="Times New Roman" w:hAnsi="Times New Roman" w:cs="Times New Roman"/>
        </w:rPr>
        <w:t>。</w:t>
      </w:r>
    </w:p>
    <w:p>
      <w:pPr>
        <w:pStyle w:val="30"/>
        <w:rPr>
          <w:rFonts w:hint="default" w:ascii="Times New Roman" w:hAnsi="Times New Roman" w:cs="Times New Roman"/>
        </w:rPr>
      </w:pPr>
      <w:r>
        <w:rPr>
          <w:rFonts w:hint="default" w:ascii="Times New Roman" w:hAnsi="Times New Roman" w:cs="Times New Roman"/>
        </w:rPr>
        <w:t>GB/T 1479.1</w:t>
      </w:r>
      <w:r>
        <w:rPr>
          <w:rFonts w:hint="default" w:ascii="Times New Roman" w:hAnsi="Times New Roman" w:cs="Times New Roman"/>
          <w:lang w:val="en-US" w:eastAsia="zh-CN"/>
        </w:rPr>
        <w:t xml:space="preserve">  </w:t>
      </w:r>
      <w:r>
        <w:rPr>
          <w:rFonts w:hint="default" w:ascii="Times New Roman" w:hAnsi="Times New Roman" w:cs="Times New Roman"/>
        </w:rPr>
        <w:t>金属粉末 松装密度的测定 第1部分：漏斗法</w:t>
      </w:r>
    </w:p>
    <w:p>
      <w:pPr>
        <w:pStyle w:val="30"/>
        <w:rPr>
          <w:rFonts w:hint="default" w:ascii="Times New Roman" w:hAnsi="Times New Roman" w:cs="Times New Roman"/>
        </w:rPr>
      </w:pPr>
      <w:r>
        <w:rPr>
          <w:rFonts w:hint="default" w:ascii="Times New Roman" w:hAnsi="Times New Roman" w:cs="Times New Roman"/>
        </w:rPr>
        <w:t>GB/T 5162</w:t>
      </w:r>
      <w:r>
        <w:rPr>
          <w:rFonts w:hint="default" w:ascii="Times New Roman" w:hAnsi="Times New Roman" w:cs="Times New Roman"/>
          <w:lang w:val="en-US" w:eastAsia="zh-CN"/>
        </w:rPr>
        <w:t xml:space="preserve">  </w:t>
      </w:r>
      <w:r>
        <w:rPr>
          <w:rFonts w:hint="default" w:ascii="Times New Roman" w:hAnsi="Times New Roman" w:cs="Times New Roman"/>
        </w:rPr>
        <w:t>金属粉末 振实密度的测定</w:t>
      </w:r>
    </w:p>
    <w:p>
      <w:pPr>
        <w:pStyle w:val="30"/>
        <w:rPr>
          <w:rFonts w:hint="default" w:ascii="Times New Roman" w:hAnsi="Times New Roman" w:cs="Times New Roman"/>
        </w:rPr>
      </w:pPr>
      <w:r>
        <w:rPr>
          <w:rFonts w:hint="default" w:ascii="Times New Roman" w:hAnsi="Times New Roman" w:cs="Times New Roman"/>
        </w:rPr>
        <w:t>GB/T 5314</w:t>
      </w:r>
      <w:r>
        <w:rPr>
          <w:rFonts w:hint="default" w:ascii="Times New Roman" w:hAnsi="Times New Roman" w:cs="Times New Roman"/>
          <w:lang w:val="en-US" w:eastAsia="zh-CN"/>
        </w:rPr>
        <w:t xml:space="preserve">  </w:t>
      </w:r>
      <w:r>
        <w:rPr>
          <w:rFonts w:hint="default" w:ascii="Times New Roman" w:hAnsi="Times New Roman" w:cs="Times New Roman"/>
        </w:rPr>
        <w:t>粉末冶金用粉末 取样方法</w:t>
      </w:r>
    </w:p>
    <w:p>
      <w:pPr>
        <w:pStyle w:val="30"/>
        <w:rPr>
          <w:rFonts w:hint="default" w:ascii="Times New Roman" w:hAnsi="Times New Roman" w:cs="Times New Roman"/>
        </w:rPr>
      </w:pPr>
      <w:r>
        <w:rPr>
          <w:rFonts w:hint="default" w:ascii="Times New Roman" w:hAnsi="Times New Roman" w:cs="Times New Roman"/>
        </w:rPr>
        <w:t>GB/T 19587</w:t>
      </w:r>
      <w:r>
        <w:rPr>
          <w:rFonts w:hint="default" w:ascii="Times New Roman" w:hAnsi="Times New Roman" w:cs="Times New Roman"/>
          <w:lang w:val="en-US" w:eastAsia="zh-CN"/>
        </w:rPr>
        <w:t xml:space="preserve">  </w:t>
      </w:r>
      <w:r>
        <w:rPr>
          <w:rFonts w:hint="default" w:ascii="Times New Roman" w:hAnsi="Times New Roman" w:cs="Times New Roman"/>
        </w:rPr>
        <w:t>气体吸附BET法测定固态物质比表面积</w:t>
      </w:r>
    </w:p>
    <w:p>
      <w:pPr>
        <w:pStyle w:val="30"/>
        <w:rPr>
          <w:rFonts w:hint="default" w:ascii="Times New Roman" w:hAnsi="Times New Roman" w:cs="Times New Roman"/>
        </w:rPr>
      </w:pPr>
      <w:r>
        <w:rPr>
          <w:rFonts w:hint="default" w:ascii="Times New Roman" w:hAnsi="Times New Roman" w:cs="Times New Roman"/>
        </w:rPr>
        <w:t>GB/T 19077.1</w:t>
      </w:r>
      <w:r>
        <w:rPr>
          <w:rFonts w:hint="default" w:ascii="Times New Roman" w:hAnsi="Times New Roman" w:cs="Times New Roman"/>
          <w:lang w:val="en-US" w:eastAsia="zh-CN"/>
        </w:rPr>
        <w:t xml:space="preserve">  </w:t>
      </w:r>
      <w:r>
        <w:rPr>
          <w:rFonts w:hint="default" w:ascii="Times New Roman" w:hAnsi="Times New Roman" w:cs="Times New Roman"/>
        </w:rPr>
        <w:t>粒度分析 激光衍射法 第1部分：通则</w:t>
      </w:r>
    </w:p>
    <w:p>
      <w:pPr>
        <w:spacing w:before="50"/>
        <w:ind w:firstLine="420" w:firstLineChars="200"/>
        <w:rPr>
          <w:rFonts w:hint="default" w:ascii="Times New Roman" w:hAnsi="Times New Roman" w:cs="Times New Roman"/>
        </w:rPr>
      </w:pPr>
      <w:r>
        <w:rPr>
          <w:rFonts w:hint="default" w:ascii="Times New Roman" w:hAnsi="Times New Roman" w:cs="Times New Roman"/>
        </w:rPr>
        <w:t>YS/T 281.17</w:t>
      </w:r>
      <w:r>
        <w:rPr>
          <w:rFonts w:hint="default" w:ascii="Times New Roman" w:hAnsi="Times New Roman" w:cs="Times New Roman"/>
          <w:lang w:val="en-US" w:eastAsia="zh-CN"/>
        </w:rPr>
        <w:t xml:space="preserve">  </w:t>
      </w:r>
      <w:r>
        <w:rPr>
          <w:rFonts w:hint="default" w:ascii="Times New Roman" w:hAnsi="Times New Roman" w:cs="Times New Roman"/>
        </w:rPr>
        <w:t>钴化学分析方法 第17部分：铝、锰、镍、铜、锌、镉、锡、锑、铅、铋量的测定 电感耦合等离子体质谱法</w:t>
      </w:r>
    </w:p>
    <w:p>
      <w:pPr>
        <w:spacing w:before="50"/>
        <w:ind w:firstLine="420" w:firstLineChars="200"/>
        <w:rPr>
          <w:rFonts w:hint="default" w:ascii="Times New Roman" w:hAnsi="Times New Roman" w:cs="Times New Roman"/>
        </w:rPr>
      </w:pPr>
      <w:r>
        <w:rPr>
          <w:rFonts w:hint="default" w:ascii="Times New Roman" w:hAnsi="Times New Roman" w:cs="Times New Roman"/>
        </w:rPr>
        <w:t>YS/T 281.18</w:t>
      </w:r>
      <w:r>
        <w:rPr>
          <w:rFonts w:hint="default" w:ascii="Times New Roman" w:hAnsi="Times New Roman" w:cs="Times New Roman"/>
          <w:lang w:val="en-US" w:eastAsia="zh-CN"/>
        </w:rPr>
        <w:t xml:space="preserve">  </w:t>
      </w:r>
      <w:r>
        <w:rPr>
          <w:rFonts w:hint="default" w:ascii="Times New Roman" w:hAnsi="Times New Roman" w:cs="Times New Roman"/>
        </w:rPr>
        <w:t>钴化学分析方法 第18部分：钠量的测定 火焰原子吸收光谱法</w:t>
      </w:r>
    </w:p>
    <w:p>
      <w:pPr>
        <w:spacing w:before="50"/>
        <w:ind w:left="1995" w:leftChars="200" w:hanging="1575" w:hangingChars="750"/>
        <w:rPr>
          <w:rFonts w:hint="default" w:ascii="Times New Roman" w:hAnsi="Times New Roman" w:cs="Times New Roman"/>
        </w:rPr>
      </w:pPr>
      <w:r>
        <w:rPr>
          <w:rFonts w:hint="default" w:ascii="Times New Roman" w:hAnsi="Times New Roman" w:cs="Times New Roman"/>
        </w:rPr>
        <w:t>YS/T 710.1</w:t>
      </w:r>
      <w:r>
        <w:rPr>
          <w:rFonts w:hint="default" w:ascii="Times New Roman" w:hAnsi="Times New Roman" w:cs="Times New Roman"/>
          <w:lang w:val="en-US" w:eastAsia="zh-CN"/>
        </w:rPr>
        <w:t xml:space="preserve">  </w:t>
      </w:r>
      <w:r>
        <w:rPr>
          <w:rFonts w:hint="default" w:ascii="Times New Roman" w:hAnsi="Times New Roman" w:cs="Times New Roman"/>
        </w:rPr>
        <w:t>氧化钴化学分析方法 第1部分：钴量的测定 电位滴定法</w:t>
      </w:r>
    </w:p>
    <w:p>
      <w:pPr>
        <w:spacing w:before="50"/>
        <w:ind w:left="1995" w:leftChars="200" w:hanging="1575" w:hangingChars="750"/>
        <w:rPr>
          <w:rFonts w:hint="default" w:ascii="Times New Roman" w:hAnsi="Times New Roman" w:cs="Times New Roman"/>
        </w:rPr>
      </w:pPr>
      <w:r>
        <w:rPr>
          <w:rFonts w:hint="default" w:ascii="Times New Roman" w:hAnsi="Times New Roman" w:cs="Times New Roman"/>
        </w:rPr>
        <w:t>YS/T 710.5</w:t>
      </w:r>
      <w:r>
        <w:rPr>
          <w:rFonts w:hint="default" w:ascii="Times New Roman" w:hAnsi="Times New Roman" w:cs="Times New Roman"/>
          <w:lang w:val="en-US" w:eastAsia="zh-CN"/>
        </w:rPr>
        <w:t xml:space="preserve">  </w:t>
      </w:r>
      <w:r>
        <w:rPr>
          <w:rFonts w:hint="default" w:ascii="Times New Roman" w:hAnsi="Times New Roman" w:cs="Times New Roman"/>
        </w:rPr>
        <w:t>氧化钴化学分析方法 第5部分：硅量的测定 钼蓝分光光度法</w:t>
      </w:r>
    </w:p>
    <w:p>
      <w:pPr>
        <w:spacing w:before="50"/>
        <w:ind w:firstLine="420" w:firstLineChars="200"/>
        <w:rPr>
          <w:rFonts w:hint="default" w:ascii="Times New Roman" w:hAnsi="Times New Roman" w:cs="Times New Roman"/>
        </w:rPr>
      </w:pPr>
      <w:r>
        <w:rPr>
          <w:rFonts w:hint="default" w:ascii="Times New Roman" w:hAnsi="Times New Roman" w:cs="Times New Roman"/>
        </w:rPr>
        <w:t>YS/T 710.6</w:t>
      </w:r>
      <w:r>
        <w:rPr>
          <w:rFonts w:hint="default" w:ascii="Times New Roman" w:hAnsi="Times New Roman" w:cs="Times New Roman"/>
          <w:lang w:val="en-US" w:eastAsia="zh-CN"/>
        </w:rPr>
        <w:t xml:space="preserve">  </w:t>
      </w:r>
      <w:r>
        <w:rPr>
          <w:rFonts w:hint="default" w:ascii="Times New Roman" w:hAnsi="Times New Roman" w:cs="Times New Roman"/>
        </w:rPr>
        <w:t>氧化钴化学分析方法 第6部分：钙、镉、铜、铁、镁、锰、镍、铅和锌量的测定 电感耦合等离子体发射光谱法</w:t>
      </w:r>
    </w:p>
    <w:p>
      <w:pPr>
        <w:spacing w:before="50"/>
        <w:ind w:firstLine="420" w:firstLineChars="200"/>
        <w:rPr>
          <w:rFonts w:hint="default" w:ascii="Times New Roman" w:hAnsi="Times New Roman" w:cs="Times New Roman"/>
        </w:rPr>
      </w:pPr>
      <w:r>
        <w:rPr>
          <w:rFonts w:hint="eastAsia" w:ascii="Times New Roman" w:hAnsi="Times New Roman" w:cs="Times New Roman"/>
        </w:rPr>
        <w:t>YS/T 1057-2015</w:t>
      </w:r>
      <w:r>
        <w:rPr>
          <w:rFonts w:hint="default" w:ascii="Times New Roman" w:hAnsi="Times New Roman" w:cs="Times New Roman"/>
          <w:lang w:val="en-US" w:eastAsia="zh-CN"/>
        </w:rPr>
        <w:t xml:space="preserve">  </w:t>
      </w:r>
      <w:r>
        <w:rPr>
          <w:rFonts w:hint="default" w:ascii="Times New Roman" w:hAnsi="Times New Roman" w:cs="Times New Roman"/>
        </w:rPr>
        <w:t>四氧化三钴化学分析方法 磁性异物含量的测定 磁选分离-电感耦合等离子体发射光谱法</w:t>
      </w:r>
    </w:p>
    <w:p>
      <w:pPr>
        <w:spacing w:before="50"/>
        <w:ind w:firstLine="420" w:firstLineChars="200"/>
        <w:rPr>
          <w:rFonts w:hint="default" w:ascii="Times New Roman" w:hAnsi="Times New Roman" w:eastAsia="黑体" w:cs="Times New Roman"/>
          <w:bCs/>
        </w:rPr>
      </w:pPr>
      <w:r>
        <w:rPr>
          <w:rFonts w:hint="default" w:ascii="Times New Roman" w:hAnsi="Times New Roman" w:cs="Times New Roman"/>
          <w:lang w:val="en-US" w:eastAsia="zh-CN"/>
        </w:rPr>
        <w:t xml:space="preserve">JY/T  0584-2020  </w:t>
      </w:r>
      <w:r>
        <w:rPr>
          <w:rFonts w:hint="default" w:ascii="Times New Roman" w:hAnsi="Times New Roman" w:cs="Times New Roman"/>
        </w:rPr>
        <w:t>分析型扫描电子显微镜方法通则</w:t>
      </w:r>
    </w:p>
    <w:p>
      <w:pPr>
        <w:pStyle w:val="51"/>
        <w:spacing w:before="312" w:after="312"/>
        <w:rPr>
          <w:rFonts w:hint="default" w:ascii="Times New Roman" w:hAnsi="Times New Roman" w:cs="Times New Roman"/>
        </w:rPr>
      </w:pPr>
      <w:r>
        <w:rPr>
          <w:rFonts w:hint="default" w:ascii="Times New Roman" w:hAnsi="Times New Roman" w:cs="Times New Roman"/>
          <w:bCs/>
        </w:rPr>
        <w:t>术语和定义</w:t>
      </w:r>
    </w:p>
    <w:p>
      <w:pPr>
        <w:pStyle w:val="30"/>
        <w:rPr>
          <w:rFonts w:hint="default" w:ascii="Times New Roman" w:hAnsi="Times New Roman" w:cs="Times New Roman"/>
        </w:rPr>
      </w:pPr>
      <w:r>
        <w:rPr>
          <w:rFonts w:hint="default" w:ascii="Times New Roman" w:hAnsi="Times New Roman" w:cs="Times New Roman"/>
        </w:rPr>
        <w:t>本文件没有需要界定的术语和定义。</w:t>
      </w:r>
    </w:p>
    <w:p>
      <w:pPr>
        <w:pStyle w:val="51"/>
        <w:spacing w:before="312" w:after="312"/>
      </w:pPr>
      <w:r>
        <w:rPr>
          <w:rFonts w:hint="eastAsia" w:hAnsi="黑体"/>
        </w:rPr>
        <w:t>分类</w:t>
      </w:r>
    </w:p>
    <w:p>
      <w:pPr>
        <w:spacing w:line="400" w:lineRule="exact"/>
        <w:ind w:firstLine="420"/>
        <w:rPr>
          <w:rFonts w:hint="default" w:ascii="Times New Roman" w:hAnsi="Times New Roman" w:cs="Times New Roman"/>
        </w:rPr>
      </w:pPr>
      <w:r>
        <w:rPr>
          <w:rFonts w:hint="default" w:ascii="Times New Roman" w:hAnsi="Times New Roman" w:cs="Times New Roman"/>
        </w:rPr>
        <w:t>产品按其化学成分，可以分为Co</w:t>
      </w:r>
      <w:r>
        <w:rPr>
          <w:rFonts w:hint="default" w:ascii="Times New Roman" w:hAnsi="Times New Roman" w:cs="Times New Roman"/>
          <w:vertAlign w:val="subscript"/>
        </w:rPr>
        <w:t>3</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rPr>
        <w:t>-0、Co</w:t>
      </w:r>
      <w:r>
        <w:rPr>
          <w:rFonts w:hint="default" w:ascii="Times New Roman" w:hAnsi="Times New Roman" w:cs="Times New Roman"/>
          <w:vertAlign w:val="subscript"/>
        </w:rPr>
        <w:t>3</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rPr>
        <w:t>-1、Co</w:t>
      </w:r>
      <w:r>
        <w:rPr>
          <w:rFonts w:hint="default" w:ascii="Times New Roman" w:hAnsi="Times New Roman" w:cs="Times New Roman"/>
          <w:vertAlign w:val="subscript"/>
        </w:rPr>
        <w:t>3</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rPr>
        <w:t>-2三个牌号。</w:t>
      </w:r>
    </w:p>
    <w:p>
      <w:pPr>
        <w:pStyle w:val="51"/>
        <w:spacing w:before="312" w:after="312"/>
        <w:rPr>
          <w:rFonts w:hint="eastAsia" w:hAnsi="黑体"/>
          <w:lang w:val="en-US" w:eastAsia="zh-CN"/>
        </w:rPr>
      </w:pPr>
      <w:r>
        <w:rPr>
          <w:rFonts w:hint="eastAsia" w:hAnsi="黑体"/>
          <w:lang w:val="en-US" w:eastAsia="zh-CN"/>
        </w:rPr>
        <w:t>技术要求</w:t>
      </w:r>
    </w:p>
    <w:p>
      <w:pPr>
        <w:spacing w:line="400" w:lineRule="exact"/>
        <w:ind w:firstLine="420"/>
        <w:rPr>
          <w:rFonts w:hint="default" w:ascii="Times New Roman" w:hAnsi="Times New Roman" w:cs="Times New Roman"/>
        </w:rPr>
      </w:pPr>
    </w:p>
    <w:p>
      <w:pPr>
        <w:pStyle w:val="48"/>
        <w:spacing w:before="156" w:after="156"/>
        <w:rPr>
          <w:rFonts w:hint="default" w:ascii="Times New Roman" w:hAnsi="Times New Roman" w:cs="Times New Roman"/>
          <w:color w:val="auto"/>
          <w:highlight w:val="none"/>
        </w:rPr>
      </w:pPr>
      <w:r>
        <w:rPr>
          <w:rFonts w:hint="eastAsia"/>
        </w:rPr>
        <w:t>产品的</w:t>
      </w:r>
      <w:r>
        <w:rPr>
          <w:rFonts w:hint="default" w:ascii="Times New Roman" w:hAnsi="Times New Roman" w:cs="Times New Roman"/>
          <w:szCs w:val="24"/>
        </w:rPr>
        <w:t>化学成分</w:t>
      </w:r>
    </w:p>
    <w:p>
      <w:pPr>
        <w:pStyle w:val="30"/>
        <w:rPr>
          <w:rFonts w:hint="default" w:ascii="Times New Roman" w:hAnsi="Times New Roman" w:cs="Times New Roman"/>
        </w:rPr>
      </w:pPr>
      <w:r>
        <w:rPr>
          <w:rFonts w:hint="default" w:ascii="Times New Roman" w:hAnsi="Times New Roman" w:cs="Times New Roman"/>
        </w:rPr>
        <w:t>产品的化学成分应符合表1的规定。</w:t>
      </w:r>
    </w:p>
    <w:p>
      <w:pPr>
        <w:pStyle w:val="131"/>
        <w:spacing w:before="156" w:after="156"/>
        <w:rPr>
          <w:rFonts w:hint="default" w:ascii="Times New Roman" w:hAnsi="Times New Roman" w:cs="Times New Roman"/>
        </w:rPr>
      </w:pPr>
      <w:bookmarkStart w:id="25" w:name="_Hlk52090087"/>
      <w:r>
        <w:rPr>
          <w:rFonts w:hint="default" w:ascii="Times New Roman" w:hAnsi="Times New Roman" w:cs="Times New Roman"/>
        </w:rPr>
        <w:t>产品的化学成分</w:t>
      </w:r>
    </w:p>
    <w:bookmarkEnd w:id="25"/>
    <w:tbl>
      <w:tblPr>
        <w:tblStyle w:val="39"/>
        <w:tblW w:w="0" w:type="auto"/>
        <w:tblInd w:w="108"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1985"/>
        <w:gridCol w:w="1370"/>
        <w:gridCol w:w="1956"/>
        <w:gridCol w:w="2049"/>
        <w:gridCol w:w="171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3355" w:type="dxa"/>
            <w:gridSpan w:val="2"/>
            <w:tcBorders>
              <w:bottom w:val="single" w:color="auto" w:sz="12" w:space="0"/>
            </w:tcBorders>
            <w:shd w:val="clear" w:color="auto" w:fill="auto"/>
          </w:tcPr>
          <w:p>
            <w:pPr>
              <w:jc w:val="center"/>
              <w:rPr>
                <w:rFonts w:hint="default" w:ascii="Times New Roman" w:hAnsi="Times New Roman" w:cs="Times New Roman"/>
                <w:color w:val="auto"/>
                <w:sz w:val="18"/>
                <w:szCs w:val="18"/>
                <w:highlight w:val="none"/>
              </w:rPr>
            </w:pPr>
            <w:bookmarkStart w:id="26" w:name="OLE_LINK42"/>
            <w:bookmarkStart w:id="27" w:name="OLE_LINK40"/>
            <w:bookmarkStart w:id="28" w:name="OLE_LINK43"/>
            <w:bookmarkStart w:id="29" w:name="OLE_LINK41"/>
            <w:bookmarkStart w:id="30" w:name="OLE_LINK44"/>
            <w:r>
              <w:rPr>
                <w:rFonts w:hint="default" w:ascii="Times New Roman" w:hAnsi="Times New Roman" w:cs="Times New Roman"/>
                <w:color w:val="auto"/>
                <w:sz w:val="18"/>
                <w:szCs w:val="18"/>
                <w:highlight w:val="none"/>
              </w:rPr>
              <w:t>牌号</w:t>
            </w:r>
          </w:p>
        </w:tc>
        <w:tc>
          <w:tcPr>
            <w:tcW w:w="1956" w:type="dxa"/>
            <w:tcBorders>
              <w:bottom w:val="single" w:color="auto" w:sz="12" w:space="0"/>
            </w:tcBorders>
            <w:shd w:val="clear" w:color="auto" w:fill="auto"/>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w:t>
            </w:r>
            <w:r>
              <w:rPr>
                <w:rFonts w:hint="default" w:ascii="Times New Roman" w:hAnsi="Times New Roman" w:cs="Times New Roman"/>
                <w:color w:val="auto"/>
                <w:sz w:val="18"/>
                <w:szCs w:val="18"/>
                <w:highlight w:val="none"/>
                <w:vertAlign w:val="subscript"/>
              </w:rPr>
              <w:t>3</w:t>
            </w:r>
            <w:r>
              <w:rPr>
                <w:rFonts w:hint="default" w:ascii="Times New Roman" w:hAnsi="Times New Roman" w:cs="Times New Roman"/>
                <w:color w:val="auto"/>
                <w:sz w:val="18"/>
                <w:szCs w:val="18"/>
                <w:highlight w:val="none"/>
              </w:rPr>
              <w:t>O</w:t>
            </w:r>
            <w:r>
              <w:rPr>
                <w:rFonts w:hint="default" w:ascii="Times New Roman" w:hAnsi="Times New Roman" w:cs="Times New Roman"/>
                <w:color w:val="auto"/>
                <w:sz w:val="18"/>
                <w:szCs w:val="18"/>
                <w:highlight w:val="none"/>
                <w:vertAlign w:val="subscript"/>
              </w:rPr>
              <w:t>4</w:t>
            </w:r>
            <w:r>
              <w:rPr>
                <w:rFonts w:hint="default" w:ascii="Times New Roman" w:hAnsi="Times New Roman" w:cs="Times New Roman"/>
                <w:color w:val="auto"/>
                <w:sz w:val="18"/>
                <w:szCs w:val="18"/>
                <w:highlight w:val="none"/>
              </w:rPr>
              <w:t>-0</w:t>
            </w:r>
          </w:p>
        </w:tc>
        <w:tc>
          <w:tcPr>
            <w:tcW w:w="2049" w:type="dxa"/>
            <w:tcBorders>
              <w:bottom w:val="single" w:color="auto" w:sz="12" w:space="0"/>
            </w:tcBorders>
            <w:shd w:val="clear" w:color="auto" w:fill="auto"/>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w:t>
            </w:r>
            <w:r>
              <w:rPr>
                <w:rFonts w:hint="default" w:ascii="Times New Roman" w:hAnsi="Times New Roman" w:cs="Times New Roman"/>
                <w:color w:val="auto"/>
                <w:sz w:val="18"/>
                <w:szCs w:val="18"/>
                <w:highlight w:val="none"/>
                <w:vertAlign w:val="subscript"/>
              </w:rPr>
              <w:t>3</w:t>
            </w:r>
            <w:r>
              <w:rPr>
                <w:rFonts w:hint="default" w:ascii="Times New Roman" w:hAnsi="Times New Roman" w:cs="Times New Roman"/>
                <w:color w:val="auto"/>
                <w:sz w:val="18"/>
                <w:szCs w:val="18"/>
                <w:highlight w:val="none"/>
              </w:rPr>
              <w:t>O</w:t>
            </w:r>
            <w:r>
              <w:rPr>
                <w:rFonts w:hint="default" w:ascii="Times New Roman" w:hAnsi="Times New Roman" w:cs="Times New Roman"/>
                <w:color w:val="auto"/>
                <w:sz w:val="18"/>
                <w:szCs w:val="18"/>
                <w:highlight w:val="none"/>
                <w:vertAlign w:val="subscript"/>
              </w:rPr>
              <w:t>4</w:t>
            </w:r>
            <w:r>
              <w:rPr>
                <w:rFonts w:hint="default" w:ascii="Times New Roman" w:hAnsi="Times New Roman" w:cs="Times New Roman"/>
                <w:color w:val="auto"/>
                <w:sz w:val="18"/>
                <w:szCs w:val="18"/>
                <w:highlight w:val="none"/>
              </w:rPr>
              <w:t>-1</w:t>
            </w:r>
          </w:p>
        </w:tc>
        <w:tc>
          <w:tcPr>
            <w:tcW w:w="1712" w:type="dxa"/>
            <w:tcBorders>
              <w:bottom w:val="single" w:color="auto" w:sz="12" w:space="0"/>
            </w:tcBorders>
            <w:shd w:val="clear" w:color="auto" w:fill="auto"/>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w:t>
            </w:r>
            <w:r>
              <w:rPr>
                <w:rFonts w:hint="default" w:ascii="Times New Roman" w:hAnsi="Times New Roman" w:cs="Times New Roman"/>
                <w:color w:val="auto"/>
                <w:sz w:val="18"/>
                <w:szCs w:val="18"/>
                <w:highlight w:val="none"/>
                <w:vertAlign w:val="subscript"/>
              </w:rPr>
              <w:t>3</w:t>
            </w:r>
            <w:r>
              <w:rPr>
                <w:rFonts w:hint="default" w:ascii="Times New Roman" w:hAnsi="Times New Roman" w:cs="Times New Roman"/>
                <w:color w:val="auto"/>
                <w:sz w:val="18"/>
                <w:szCs w:val="18"/>
                <w:highlight w:val="none"/>
              </w:rPr>
              <w:t>O</w:t>
            </w:r>
            <w:r>
              <w:rPr>
                <w:rFonts w:hint="default" w:ascii="Times New Roman" w:hAnsi="Times New Roman" w:cs="Times New Roman"/>
                <w:color w:val="auto"/>
                <w:sz w:val="18"/>
                <w:szCs w:val="18"/>
                <w:highlight w:val="none"/>
                <w:vertAlign w:val="subscript"/>
              </w:rPr>
              <w:t>4</w:t>
            </w:r>
            <w:r>
              <w:rPr>
                <w:rFonts w:hint="default" w:ascii="Times New Roman" w:hAnsi="Times New Roman" w:cs="Times New Roman"/>
                <w:color w:val="auto"/>
                <w:sz w:val="18"/>
                <w:szCs w:val="18"/>
                <w:highlight w:val="none"/>
              </w:rPr>
              <w:t>-2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3355" w:type="dxa"/>
            <w:gridSpan w:val="2"/>
            <w:tcBorders>
              <w:top w:val="single" w:color="auto" w:sz="12" w:space="0"/>
            </w:tcBorders>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Co含量/%</w:t>
            </w:r>
          </w:p>
        </w:tc>
        <w:tc>
          <w:tcPr>
            <w:tcW w:w="5717" w:type="dxa"/>
            <w:gridSpan w:val="3"/>
            <w:tcBorders>
              <w:top w:val="single" w:color="auto" w:sz="12" w:space="0"/>
            </w:tcBorders>
            <w:vAlign w:val="bottom"/>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72.6~73.6</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985" w:type="dxa"/>
            <w:vMerge w:val="restart"/>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杂质含量/%，不大于</w:t>
            </w: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Ni</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0.010</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0.020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85" w:type="dxa"/>
            <w:vMerge w:val="continue"/>
          </w:tcPr>
          <w:p>
            <w:pPr>
              <w:rPr>
                <w:rFonts w:hint="default" w:ascii="Times New Roman" w:hAnsi="Times New Roman" w:cs="Times New Roman"/>
                <w:color w:val="auto"/>
                <w:sz w:val="18"/>
                <w:szCs w:val="18"/>
                <w:highlight w:val="none"/>
              </w:rPr>
            </w:pP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Cu</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0.005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85" w:type="dxa"/>
            <w:vMerge w:val="continue"/>
          </w:tcPr>
          <w:p>
            <w:pPr>
              <w:rPr>
                <w:rFonts w:hint="default" w:ascii="Times New Roman" w:hAnsi="Times New Roman" w:cs="Times New Roman"/>
                <w:color w:val="auto"/>
                <w:sz w:val="18"/>
                <w:szCs w:val="18"/>
                <w:highlight w:val="none"/>
              </w:rPr>
            </w:pP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Fe</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0.005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85" w:type="dxa"/>
            <w:vMerge w:val="continue"/>
          </w:tcPr>
          <w:p>
            <w:pPr>
              <w:rPr>
                <w:rFonts w:hint="default" w:ascii="Times New Roman" w:hAnsi="Times New Roman" w:cs="Times New Roman"/>
                <w:color w:val="auto"/>
                <w:sz w:val="18"/>
                <w:szCs w:val="18"/>
                <w:highlight w:val="none"/>
              </w:rPr>
            </w:pP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Na</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0.010</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0.020</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w:t>
            </w:r>
            <w:r>
              <w:rPr>
                <w:rFonts w:hint="eastAsia" w:cs="Times New Roman"/>
                <w:i w:val="0"/>
                <w:iCs w:val="0"/>
                <w:color w:val="000000"/>
                <w:kern w:val="0"/>
                <w:sz w:val="18"/>
                <w:szCs w:val="18"/>
                <w:highlight w:val="none"/>
                <w:u w:val="none"/>
                <w:lang w:val="en-US" w:eastAsia="zh-CN" w:bidi="ar"/>
              </w:rPr>
              <w:t>4</w:t>
            </w:r>
            <w:r>
              <w:rPr>
                <w:rFonts w:hint="default" w:ascii="Times New Roman" w:hAnsi="Times New Roman" w:eastAsia="宋体" w:cs="Times New Roman"/>
                <w:i w:val="0"/>
                <w:iCs w:val="0"/>
                <w:color w:val="000000"/>
                <w:kern w:val="0"/>
                <w:sz w:val="18"/>
                <w:szCs w:val="18"/>
                <w:highlight w:val="none"/>
                <w:u w:val="none"/>
                <w:lang w:val="en-US" w:eastAsia="zh-CN" w:bidi="ar"/>
              </w:rPr>
              <w:t xml:space="preserve">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85" w:type="dxa"/>
            <w:vMerge w:val="continue"/>
          </w:tcPr>
          <w:p>
            <w:pPr>
              <w:rPr>
                <w:rFonts w:hint="default" w:ascii="Times New Roman" w:hAnsi="Times New Roman" w:cs="Times New Roman"/>
                <w:color w:val="auto"/>
                <w:sz w:val="18"/>
                <w:szCs w:val="18"/>
                <w:highlight w:val="none"/>
              </w:rPr>
            </w:pP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Ca</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0.010</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0.020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85" w:type="dxa"/>
            <w:vMerge w:val="continue"/>
          </w:tcPr>
          <w:p>
            <w:pPr>
              <w:rPr>
                <w:rFonts w:hint="default" w:ascii="Times New Roman" w:hAnsi="Times New Roman" w:cs="Times New Roman"/>
                <w:color w:val="auto"/>
                <w:sz w:val="18"/>
                <w:szCs w:val="18"/>
                <w:highlight w:val="none"/>
              </w:rPr>
            </w:pP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Mg</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color w:val="000000"/>
                <w:sz w:val="18"/>
                <w:szCs w:val="18"/>
                <w:highlight w:val="none"/>
                <w:lang w:val="en-US" w:eastAsia="zh-CN"/>
              </w:rPr>
              <w:t>0.006</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color w:val="000000"/>
                <w:sz w:val="18"/>
                <w:szCs w:val="18"/>
                <w:highlight w:val="none"/>
                <w:lang w:val="en-US" w:eastAsia="zh-CN"/>
              </w:rPr>
              <w:t>0.00</w:t>
            </w:r>
            <w:r>
              <w:rPr>
                <w:rFonts w:hint="eastAsia" w:ascii="Times New Roman" w:hAnsi="Times New Roman" w:eastAsia="宋体" w:cs="Times New Roman"/>
                <w:color w:val="000000"/>
                <w:sz w:val="18"/>
                <w:szCs w:val="18"/>
                <w:highlight w:val="none"/>
                <w:lang w:val="en-US" w:eastAsia="zh-CN"/>
              </w:rPr>
              <w:t>8</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color w:val="000000"/>
                <w:sz w:val="18"/>
                <w:szCs w:val="18"/>
                <w:highlight w:val="none"/>
                <w:lang w:val="en-US" w:eastAsia="zh-CN"/>
              </w:rPr>
              <w:t>0.010</w:t>
            </w:r>
            <w:r>
              <w:rPr>
                <w:rFonts w:hint="default" w:ascii="Times New Roman" w:hAnsi="Times New Roman" w:eastAsia="宋体" w:cs="Times New Roman"/>
                <w:i w:val="0"/>
                <w:iCs w:val="0"/>
                <w:color w:val="000000"/>
                <w:kern w:val="0"/>
                <w:sz w:val="18"/>
                <w:szCs w:val="18"/>
                <w:highlight w:val="none"/>
                <w:u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85" w:type="dxa"/>
            <w:vMerge w:val="continue"/>
          </w:tcPr>
          <w:p>
            <w:pPr>
              <w:rPr>
                <w:rFonts w:hint="default" w:ascii="Times New Roman" w:hAnsi="Times New Roman" w:cs="Times New Roman"/>
                <w:color w:val="auto"/>
                <w:sz w:val="18"/>
                <w:szCs w:val="18"/>
                <w:highlight w:val="none"/>
              </w:rPr>
            </w:pP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Pb</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color w:val="000000"/>
                <w:sz w:val="18"/>
                <w:szCs w:val="18"/>
                <w:highlight w:val="none"/>
                <w:lang w:val="en-US" w:eastAsia="zh-CN"/>
              </w:rPr>
              <w:t>0.00</w:t>
            </w:r>
            <w:r>
              <w:rPr>
                <w:rFonts w:hint="eastAsia" w:ascii="Times New Roman" w:hAnsi="Times New Roman" w:eastAsia="宋体" w:cs="Times New Roman"/>
                <w:color w:val="000000"/>
                <w:sz w:val="18"/>
                <w:szCs w:val="18"/>
                <w:highlight w:val="none"/>
                <w:lang w:val="en-US" w:eastAsia="zh-CN"/>
              </w:rPr>
              <w:t>1</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color w:val="000000"/>
                <w:sz w:val="18"/>
                <w:szCs w:val="18"/>
                <w:highlight w:val="none"/>
                <w:lang w:val="en-US" w:eastAsia="zh-CN"/>
              </w:rPr>
              <w:t>0.001</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color w:val="000000"/>
                <w:sz w:val="18"/>
                <w:szCs w:val="18"/>
                <w:highlight w:val="none"/>
                <w:lang w:val="en-US" w:eastAsia="zh-CN"/>
              </w:rPr>
              <w:t>0.00</w:t>
            </w:r>
            <w:r>
              <w:rPr>
                <w:rFonts w:hint="eastAsia" w:cs="Times New Roman"/>
                <w:color w:val="000000"/>
                <w:sz w:val="18"/>
                <w:szCs w:val="18"/>
                <w:highlight w:val="none"/>
                <w:lang w:val="en-US" w:eastAsia="zh-CN"/>
              </w:rPr>
              <w:t>5</w:t>
            </w:r>
            <w:r>
              <w:rPr>
                <w:rFonts w:hint="default" w:ascii="Times New Roman" w:hAnsi="Times New Roman" w:eastAsia="宋体" w:cs="Times New Roman"/>
                <w:i w:val="0"/>
                <w:iCs w:val="0"/>
                <w:color w:val="000000"/>
                <w:kern w:val="0"/>
                <w:sz w:val="18"/>
                <w:szCs w:val="18"/>
                <w:highlight w:val="none"/>
                <w:u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85" w:type="dxa"/>
            <w:vMerge w:val="continue"/>
          </w:tcPr>
          <w:p>
            <w:pPr>
              <w:rPr>
                <w:rFonts w:hint="default" w:ascii="Times New Roman" w:hAnsi="Times New Roman" w:cs="Times New Roman"/>
                <w:color w:val="auto"/>
                <w:sz w:val="18"/>
                <w:szCs w:val="18"/>
                <w:highlight w:val="none"/>
              </w:rPr>
            </w:pP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Al</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0.001</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0.003</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w:t>
            </w:r>
            <w:r>
              <w:rPr>
                <w:rFonts w:hint="eastAsia" w:cs="Times New Roman"/>
                <w:i w:val="0"/>
                <w:iCs w:val="0"/>
                <w:color w:val="000000"/>
                <w:kern w:val="0"/>
                <w:sz w:val="18"/>
                <w:szCs w:val="18"/>
                <w:highlight w:val="none"/>
                <w:u w:val="none"/>
                <w:lang w:val="en-US" w:eastAsia="zh-CN" w:bidi="ar"/>
              </w:rPr>
              <w:t>10</w:t>
            </w:r>
            <w:r>
              <w:rPr>
                <w:rFonts w:hint="default" w:ascii="Times New Roman" w:hAnsi="Times New Roman" w:eastAsia="宋体" w:cs="Times New Roman"/>
                <w:i w:val="0"/>
                <w:iCs w:val="0"/>
                <w:color w:val="000000"/>
                <w:kern w:val="0"/>
                <w:sz w:val="18"/>
                <w:szCs w:val="18"/>
                <w:highlight w:val="none"/>
                <w:u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85" w:type="dxa"/>
            <w:vMerge w:val="continue"/>
          </w:tcPr>
          <w:p>
            <w:pPr>
              <w:rPr>
                <w:rFonts w:hint="default" w:ascii="Times New Roman" w:hAnsi="Times New Roman" w:cs="Times New Roman"/>
                <w:color w:val="auto"/>
                <w:sz w:val="18"/>
                <w:szCs w:val="18"/>
                <w:highlight w:val="none"/>
              </w:rPr>
            </w:pP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Zn</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color w:val="000000"/>
                <w:sz w:val="18"/>
                <w:szCs w:val="18"/>
                <w:highlight w:val="none"/>
                <w:lang w:val="en-US" w:eastAsia="zh-CN"/>
              </w:rPr>
              <w:t>0.00</w:t>
            </w:r>
            <w:r>
              <w:rPr>
                <w:rFonts w:hint="eastAsia" w:ascii="Times New Roman" w:hAnsi="Times New Roman" w:eastAsia="宋体" w:cs="Times New Roman"/>
                <w:color w:val="000000"/>
                <w:sz w:val="18"/>
                <w:szCs w:val="18"/>
                <w:highlight w:val="none"/>
                <w:lang w:val="en-US" w:eastAsia="zh-CN"/>
              </w:rPr>
              <w:t>2</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85" w:type="dxa"/>
            <w:vMerge w:val="continue"/>
          </w:tcPr>
          <w:p>
            <w:pPr>
              <w:rPr>
                <w:rFonts w:hint="default" w:ascii="Times New Roman" w:hAnsi="Times New Roman" w:cs="Times New Roman"/>
                <w:color w:val="auto"/>
                <w:sz w:val="18"/>
                <w:szCs w:val="18"/>
                <w:highlight w:val="none"/>
              </w:rPr>
            </w:pP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Mn</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iCs w:val="0"/>
                <w:color w:val="000000"/>
                <w:kern w:val="0"/>
                <w:sz w:val="18"/>
                <w:szCs w:val="18"/>
                <w:highlight w:val="none"/>
                <w:u w:val="none"/>
                <w:lang w:val="en-US" w:eastAsia="zh-CN" w:bidi="ar"/>
              </w:rPr>
              <w:t>0.005</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18"/>
                <w:szCs w:val="18"/>
                <w:highlight w:val="none"/>
                <w:lang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85" w:type="dxa"/>
            <w:vMerge w:val="continue"/>
          </w:tcPr>
          <w:p>
            <w:pPr>
              <w:rPr>
                <w:rFonts w:hint="default" w:ascii="Times New Roman" w:hAnsi="Times New Roman" w:cs="Times New Roman"/>
                <w:color w:val="auto"/>
                <w:sz w:val="18"/>
                <w:szCs w:val="18"/>
                <w:highlight w:val="none"/>
              </w:rPr>
            </w:pPr>
          </w:p>
        </w:tc>
        <w:tc>
          <w:tcPr>
            <w:tcW w:w="1370"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Si</w:t>
            </w:r>
          </w:p>
        </w:tc>
        <w:tc>
          <w:tcPr>
            <w:tcW w:w="1956"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color w:val="000000"/>
                <w:sz w:val="18"/>
                <w:szCs w:val="18"/>
                <w:highlight w:val="none"/>
                <w:lang w:val="en-US" w:eastAsia="zh-CN"/>
              </w:rPr>
              <w:t>0.00</w:t>
            </w:r>
            <w:r>
              <w:rPr>
                <w:rFonts w:hint="eastAsia" w:ascii="Times New Roman" w:hAnsi="Times New Roman" w:eastAsia="宋体" w:cs="Times New Roman"/>
                <w:color w:val="000000"/>
                <w:sz w:val="18"/>
                <w:szCs w:val="18"/>
                <w:highlight w:val="none"/>
                <w:lang w:val="en-US" w:eastAsia="zh-CN"/>
              </w:rPr>
              <w:t>2</w:t>
            </w:r>
          </w:p>
        </w:tc>
        <w:tc>
          <w:tcPr>
            <w:tcW w:w="2049" w:type="dxa"/>
            <w:vAlign w:val="center"/>
          </w:tcPr>
          <w:p>
            <w:pPr>
              <w:keepNext w:val="0"/>
              <w:keepLines w:val="0"/>
              <w:widowControl/>
              <w:suppressLineNumbers w:val="0"/>
              <w:jc w:val="center"/>
              <w:textAlignment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color w:val="000000"/>
                <w:sz w:val="18"/>
                <w:szCs w:val="18"/>
                <w:highlight w:val="none"/>
                <w:lang w:val="en-US" w:eastAsia="zh-CN"/>
              </w:rPr>
              <w:t>0.00</w:t>
            </w:r>
            <w:r>
              <w:rPr>
                <w:rFonts w:hint="eastAsia" w:ascii="Times New Roman" w:hAnsi="Times New Roman" w:eastAsia="宋体" w:cs="Times New Roman"/>
                <w:color w:val="000000"/>
                <w:sz w:val="18"/>
                <w:szCs w:val="18"/>
                <w:highlight w:val="none"/>
                <w:lang w:val="en-US" w:eastAsia="zh-CN"/>
              </w:rPr>
              <w:t>3</w:t>
            </w:r>
          </w:p>
        </w:tc>
        <w:tc>
          <w:tcPr>
            <w:tcW w:w="1712"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18"/>
                <w:szCs w:val="18"/>
                <w:highlight w:val="none"/>
                <w:lang w:bidi="ar"/>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0.010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9072" w:type="dxa"/>
            <w:gridSpan w:val="5"/>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 xml:space="preserve">    </w:t>
            </w:r>
            <w:r>
              <w:rPr>
                <w:rFonts w:hint="default" w:ascii="Times New Roman" w:hAnsi="Times New Roman" w:eastAsia="黑体" w:cs="Times New Roman"/>
                <w:color w:val="auto"/>
                <w:sz w:val="18"/>
                <w:szCs w:val="18"/>
                <w:highlight w:val="none"/>
              </w:rPr>
              <w:t>注</w:t>
            </w:r>
            <w:r>
              <w:rPr>
                <w:rFonts w:hint="default" w:ascii="Times New Roman" w:hAnsi="Times New Roman" w:cs="Times New Roman"/>
                <w:color w:val="auto"/>
                <w:sz w:val="18"/>
                <w:szCs w:val="18"/>
                <w:highlight w:val="none"/>
              </w:rPr>
              <w:t>：如需方有其他要求时，根据客户的要求进行。</w:t>
            </w:r>
          </w:p>
        </w:tc>
      </w:tr>
      <w:bookmarkEnd w:id="26"/>
      <w:bookmarkEnd w:id="27"/>
      <w:bookmarkEnd w:id="28"/>
      <w:bookmarkEnd w:id="29"/>
      <w:bookmarkEnd w:id="30"/>
    </w:tbl>
    <w:p>
      <w:pPr>
        <w:pStyle w:val="48"/>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物理性能</w:t>
      </w:r>
    </w:p>
    <w:p>
      <w:pPr>
        <w:widowControl/>
        <w:numPr>
          <w:ilvl w:val="2"/>
          <w:numId w:val="22"/>
        </w:numPr>
        <w:ind w:left="0" w:leftChars="0" w:firstLine="0" w:firstLineChars="0"/>
        <w:jc w:val="left"/>
        <w:outlineLvl w:val="3"/>
        <w:rPr>
          <w:rFonts w:hint="default" w:ascii="Times New Roman" w:hAnsi="Times New Roman" w:eastAsia="宋体" w:cs="Times New Roman"/>
          <w:color w:val="auto"/>
          <w:highlight w:val="none"/>
        </w:rPr>
      </w:pPr>
      <w:r>
        <w:rPr>
          <w:rFonts w:hint="default" w:ascii="Times New Roman" w:hAnsi="Times New Roman" w:cs="Times New Roman"/>
          <w:color w:val="auto"/>
          <w:kern w:val="0"/>
          <w:szCs w:val="21"/>
          <w:highlight w:val="none"/>
        </w:rPr>
        <w:t>产品的松装密度：≥0.</w:t>
      </w:r>
      <w:r>
        <w:rPr>
          <w:rFonts w:hint="eastAsia" w:cs="Times New Roman"/>
          <w:color w:val="auto"/>
          <w:kern w:val="0"/>
          <w:szCs w:val="21"/>
          <w:highlight w:val="none"/>
          <w:lang w:val="en-US" w:eastAsia="zh-CN"/>
        </w:rPr>
        <w:t>5</w:t>
      </w:r>
      <w:r>
        <w:rPr>
          <w:rFonts w:hint="default" w:ascii="Times New Roman" w:hAnsi="Times New Roman" w:cs="Times New Roman"/>
          <w:color w:val="auto"/>
          <w:kern w:val="0"/>
          <w:szCs w:val="21"/>
          <w:highlight w:val="none"/>
        </w:rPr>
        <w:t xml:space="preserve"> g/cm</w:t>
      </w:r>
      <w:r>
        <w:rPr>
          <w:rFonts w:hint="default" w:ascii="Times New Roman" w:hAnsi="Times New Roman" w:cs="Times New Roman"/>
          <w:color w:val="auto"/>
          <w:kern w:val="0"/>
          <w:szCs w:val="21"/>
          <w:highlight w:val="none"/>
          <w:vertAlign w:val="superscript"/>
        </w:rPr>
        <w:t>3</w:t>
      </w:r>
      <w:r>
        <w:rPr>
          <w:rFonts w:hint="default" w:ascii="Times New Roman" w:hAnsi="Times New Roman" w:cs="Times New Roman"/>
          <w:color w:val="auto"/>
          <w:kern w:val="0"/>
          <w:szCs w:val="21"/>
          <w:highlight w:val="none"/>
        </w:rPr>
        <w:t>，振实密度：≥</w:t>
      </w:r>
      <w:r>
        <w:rPr>
          <w:rFonts w:hint="eastAsia" w:cs="Times New Roman"/>
          <w:color w:val="auto"/>
          <w:kern w:val="0"/>
          <w:szCs w:val="21"/>
          <w:highlight w:val="none"/>
          <w:lang w:val="en-US" w:eastAsia="zh-CN"/>
        </w:rPr>
        <w:t>2.0</w:t>
      </w:r>
      <w:r>
        <w:rPr>
          <w:rFonts w:hint="default" w:ascii="Times New Roman" w:hAnsi="Times New Roman" w:cs="Times New Roman"/>
          <w:color w:val="auto"/>
          <w:kern w:val="0"/>
          <w:szCs w:val="21"/>
          <w:highlight w:val="none"/>
        </w:rPr>
        <w:t xml:space="preserve"> g/cm</w:t>
      </w:r>
      <w:r>
        <w:rPr>
          <w:rFonts w:hint="default" w:ascii="Times New Roman" w:hAnsi="Times New Roman" w:cs="Times New Roman"/>
          <w:color w:val="auto"/>
          <w:kern w:val="0"/>
          <w:szCs w:val="21"/>
          <w:highlight w:val="none"/>
          <w:vertAlign w:val="superscript"/>
        </w:rPr>
        <w:t>3</w:t>
      </w:r>
      <w:r>
        <w:rPr>
          <w:rFonts w:hint="default" w:ascii="Times New Roman" w:hAnsi="Times New Roman" w:cs="Times New Roman"/>
          <w:color w:val="auto"/>
          <w:kern w:val="0"/>
          <w:szCs w:val="21"/>
          <w:highlight w:val="none"/>
        </w:rPr>
        <w:t>，比表面积：≥</w:t>
      </w:r>
      <w:r>
        <w:rPr>
          <w:rFonts w:hint="eastAsia" w:cs="Times New Roman"/>
          <w:color w:val="auto"/>
          <w:kern w:val="0"/>
          <w:szCs w:val="21"/>
          <w:highlight w:val="none"/>
          <w:lang w:val="en-US" w:eastAsia="zh-CN"/>
        </w:rPr>
        <w:t>0.5</w:t>
      </w:r>
      <w:r>
        <w:rPr>
          <w:rFonts w:hint="default" w:ascii="Times New Roman" w:hAnsi="Times New Roman" w:cs="Times New Roman"/>
          <w:color w:val="auto"/>
          <w:kern w:val="0"/>
          <w:szCs w:val="21"/>
          <w:highlight w:val="none"/>
        </w:rPr>
        <w:t xml:space="preserve"> m</w:t>
      </w:r>
      <w:r>
        <w:rPr>
          <w:rFonts w:hint="default" w:ascii="Times New Roman" w:hAnsi="Times New Roman" w:cs="Times New Roman"/>
          <w:color w:val="auto"/>
          <w:kern w:val="0"/>
          <w:szCs w:val="21"/>
          <w:highlight w:val="none"/>
          <w:vertAlign w:val="superscript"/>
        </w:rPr>
        <w:t>2</w:t>
      </w:r>
      <w:r>
        <w:rPr>
          <w:rFonts w:hint="default" w:ascii="Times New Roman" w:hAnsi="Times New Roman" w:cs="Times New Roman"/>
          <w:color w:val="auto"/>
          <w:kern w:val="0"/>
          <w:szCs w:val="21"/>
          <w:highlight w:val="none"/>
        </w:rPr>
        <w:t>/g。</w:t>
      </w:r>
      <w:r>
        <w:rPr>
          <w:rFonts w:hint="default" w:ascii="Times New Roman" w:hAnsi="Times New Roman" w:eastAsia="宋体" w:cs="Times New Roman"/>
          <w:color w:val="auto"/>
          <w:highlight w:val="none"/>
        </w:rPr>
        <w:t>产品的中位径（D</w:t>
      </w:r>
      <w:r>
        <w:rPr>
          <w:rFonts w:hint="default" w:ascii="Times New Roman" w:hAnsi="Times New Roman" w:eastAsia="宋体" w:cs="Times New Roman"/>
          <w:color w:val="auto"/>
          <w:highlight w:val="none"/>
          <w:vertAlign w:val="subscript"/>
        </w:rPr>
        <w:t>50</w:t>
      </w:r>
      <w:r>
        <w:rPr>
          <w:rFonts w:hint="default" w:ascii="Times New Roman" w:hAnsi="Times New Roman" w:eastAsia="宋体" w:cs="Times New Roman"/>
          <w:color w:val="auto"/>
          <w:highlight w:val="none"/>
        </w:rPr>
        <w:t>）：2 μm ~20 μm。</w:t>
      </w:r>
    </w:p>
    <w:p>
      <w:pPr>
        <w:widowControl/>
        <w:numPr>
          <w:ilvl w:val="2"/>
          <w:numId w:val="22"/>
        </w:numPr>
        <w:ind w:left="0" w:leftChars="0" w:firstLine="0" w:firstLineChars="0"/>
        <w:jc w:val="left"/>
        <w:outlineLvl w:val="3"/>
        <w:rPr>
          <w:rFonts w:hint="default" w:ascii="Times New Roman" w:hAnsi="Times New Roman" w:cs="Times New Roman"/>
          <w:color w:val="auto"/>
          <w:highlight w:val="none"/>
          <w:shd w:val="clear" w:color="auto" w:fill="auto"/>
        </w:rPr>
      </w:pPr>
      <w:r>
        <w:rPr>
          <w:rFonts w:hint="default" w:ascii="Times New Roman" w:hAnsi="Times New Roman" w:eastAsia="宋体" w:cs="Times New Roman"/>
          <w:color w:val="auto"/>
          <w:szCs w:val="21"/>
          <w:highlight w:val="none"/>
          <w:shd w:val="clear" w:color="auto" w:fill="auto"/>
        </w:rPr>
        <w:t>产品的氧化亚钴（CoO）相不超过5%</w:t>
      </w:r>
      <w:r>
        <w:rPr>
          <w:rFonts w:hint="default" w:ascii="Times New Roman" w:hAnsi="Times New Roman" w:cs="Times New Roman"/>
          <w:color w:val="auto"/>
          <w:szCs w:val="21"/>
          <w:highlight w:val="none"/>
          <w:shd w:val="clear" w:color="auto" w:fill="auto"/>
          <w:lang w:eastAsia="zh-CN"/>
        </w:rPr>
        <w:t>。</w:t>
      </w:r>
    </w:p>
    <w:p>
      <w:pPr>
        <w:widowControl/>
        <w:numPr>
          <w:ilvl w:val="2"/>
          <w:numId w:val="22"/>
        </w:numPr>
        <w:ind w:left="0" w:leftChars="0" w:firstLine="0" w:firstLineChars="0"/>
        <w:jc w:val="left"/>
        <w:outlineLvl w:val="3"/>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应用于电池材料的四氧化三钴产品中磁性异物含量不大于0.000</w:t>
      </w:r>
      <w:r>
        <w:rPr>
          <w:rFonts w:hint="eastAsia" w:cs="Times New Roman"/>
          <w:color w:val="auto"/>
          <w:kern w:val="0"/>
          <w:szCs w:val="21"/>
          <w:highlight w:val="none"/>
          <w:lang w:val="en-US" w:eastAsia="zh-CN"/>
        </w:rPr>
        <w:t>5</w:t>
      </w:r>
      <w:r>
        <w:rPr>
          <w:rFonts w:hint="default" w:ascii="Times New Roman" w:hAnsi="Times New Roman" w:cs="Times New Roman"/>
          <w:color w:val="auto"/>
          <w:kern w:val="0"/>
          <w:szCs w:val="21"/>
          <w:highlight w:val="none"/>
        </w:rPr>
        <w:t>%</w:t>
      </w:r>
      <w:r>
        <w:rPr>
          <w:rFonts w:hint="default" w:ascii="Times New Roman" w:hAnsi="Times New Roman" w:cs="Times New Roman"/>
          <w:color w:val="auto"/>
          <w:kern w:val="0"/>
          <w:szCs w:val="21"/>
          <w:highlight w:val="none"/>
          <w:lang w:eastAsia="zh-CN"/>
        </w:rPr>
        <w:t>。</w:t>
      </w:r>
    </w:p>
    <w:p>
      <w:pPr>
        <w:widowControl/>
        <w:numPr>
          <w:ilvl w:val="2"/>
          <w:numId w:val="22"/>
        </w:numPr>
        <w:ind w:left="0" w:leftChars="0" w:firstLine="0" w:firstLineChars="0"/>
        <w:jc w:val="left"/>
        <w:outlineLvl w:val="3"/>
        <w:rPr>
          <w:rFonts w:hint="default" w:ascii="Times New Roman" w:hAnsi="Times New Roman" w:cs="Times New Roman"/>
          <w:color w:val="auto"/>
          <w:kern w:val="0"/>
          <w:szCs w:val="21"/>
          <w:highlight w:val="none"/>
        </w:rPr>
      </w:pPr>
      <w:r>
        <w:rPr>
          <w:rFonts w:hint="default" w:ascii="Times New Roman" w:hAnsi="Times New Roman" w:eastAsia="宋体" w:cs="Times New Roman"/>
          <w:color w:val="auto"/>
          <w:szCs w:val="21"/>
          <w:highlight w:val="none"/>
          <w:shd w:val="clear" w:color="auto" w:fill="auto"/>
        </w:rPr>
        <w:t>产品的</w:t>
      </w:r>
      <w:r>
        <w:rPr>
          <w:rFonts w:hint="eastAsia" w:cs="Times New Roman"/>
          <w:color w:val="auto"/>
          <w:szCs w:val="21"/>
          <w:highlight w:val="none"/>
          <w:shd w:val="clear" w:color="auto" w:fill="auto"/>
          <w:lang w:val="en-US" w:eastAsia="zh-CN"/>
        </w:rPr>
        <w:t>水分</w:t>
      </w:r>
      <w:r>
        <w:rPr>
          <w:rFonts w:hint="default" w:ascii="Times New Roman" w:hAnsi="Times New Roman" w:eastAsia="宋体" w:cs="Times New Roman"/>
          <w:color w:val="auto"/>
          <w:szCs w:val="21"/>
          <w:highlight w:val="none"/>
          <w:shd w:val="clear" w:color="auto" w:fill="auto"/>
        </w:rPr>
        <w:t>不超过</w:t>
      </w:r>
      <w:r>
        <w:rPr>
          <w:rFonts w:hint="eastAsia" w:cs="Times New Roman"/>
          <w:color w:val="auto"/>
          <w:szCs w:val="21"/>
          <w:highlight w:val="none"/>
          <w:shd w:val="clear" w:color="auto" w:fill="auto"/>
          <w:lang w:val="en-US" w:eastAsia="zh-CN"/>
        </w:rPr>
        <w:t>0.1</w:t>
      </w:r>
      <w:r>
        <w:rPr>
          <w:rFonts w:hint="default" w:ascii="Times New Roman" w:hAnsi="Times New Roman" w:eastAsia="宋体" w:cs="Times New Roman"/>
          <w:color w:val="auto"/>
          <w:szCs w:val="21"/>
          <w:highlight w:val="none"/>
          <w:shd w:val="clear" w:color="auto" w:fill="auto"/>
        </w:rPr>
        <w:t>5%</w:t>
      </w:r>
      <w:r>
        <w:rPr>
          <w:rFonts w:hint="default" w:ascii="Times New Roman" w:hAnsi="Times New Roman" w:cs="Times New Roman"/>
          <w:color w:val="auto"/>
          <w:szCs w:val="21"/>
          <w:highlight w:val="none"/>
          <w:shd w:val="clear" w:color="auto" w:fill="auto"/>
          <w:lang w:eastAsia="zh-CN"/>
        </w:rPr>
        <w:t>。</w:t>
      </w:r>
    </w:p>
    <w:p>
      <w:pPr>
        <w:widowControl/>
        <w:numPr>
          <w:ilvl w:val="2"/>
          <w:numId w:val="22"/>
        </w:numPr>
        <w:ind w:left="0" w:leftChars="0" w:firstLine="0" w:firstLineChars="0"/>
        <w:jc w:val="left"/>
        <w:outlineLvl w:val="3"/>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产品的微观形貌宜为球形或类球形。</w:t>
      </w:r>
    </w:p>
    <w:p>
      <w:pPr>
        <w:pStyle w:val="131"/>
        <w:spacing w:before="156" w:after="156"/>
        <w:rPr>
          <w:rFonts w:hAnsi="宋体"/>
          <w:color w:val="auto"/>
          <w:szCs w:val="21"/>
          <w:highlight w:val="none"/>
        </w:rPr>
      </w:pPr>
      <w:bookmarkStart w:id="31" w:name="_Hlk52090124"/>
      <w:r>
        <w:rPr>
          <w:rFonts w:hint="eastAsia"/>
          <w:color w:val="auto"/>
          <w:highlight w:val="none"/>
        </w:rPr>
        <w:t>产品的物理性能</w:t>
      </w:r>
    </w:p>
    <w:tbl>
      <w:tblPr>
        <w:tblStyle w:val="39"/>
        <w:tblW w:w="0" w:type="auto"/>
        <w:tblInd w:w="108"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3343"/>
        <w:gridCol w:w="1968"/>
        <w:gridCol w:w="2049"/>
        <w:gridCol w:w="171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306" w:hRule="atLeast"/>
        </w:trPr>
        <w:tc>
          <w:tcPr>
            <w:tcW w:w="3343" w:type="dxa"/>
            <w:tcBorders>
              <w:bottom w:val="single" w:color="auto" w:sz="12" w:space="0"/>
            </w:tcBorders>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牌号</w:t>
            </w:r>
          </w:p>
        </w:tc>
        <w:tc>
          <w:tcPr>
            <w:tcW w:w="1968" w:type="dxa"/>
            <w:tcBorders>
              <w:bottom w:val="single" w:color="auto" w:sz="12" w:space="0"/>
            </w:tcBorders>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w:t>
            </w:r>
            <w:r>
              <w:rPr>
                <w:rFonts w:hint="default" w:ascii="Times New Roman" w:hAnsi="Times New Roman" w:cs="Times New Roman"/>
                <w:color w:val="auto"/>
                <w:sz w:val="18"/>
                <w:szCs w:val="18"/>
                <w:highlight w:val="none"/>
                <w:vertAlign w:val="subscript"/>
              </w:rPr>
              <w:t>3</w:t>
            </w:r>
            <w:r>
              <w:rPr>
                <w:rFonts w:hint="default" w:ascii="Times New Roman" w:hAnsi="Times New Roman" w:cs="Times New Roman"/>
                <w:color w:val="auto"/>
                <w:sz w:val="18"/>
                <w:szCs w:val="18"/>
                <w:highlight w:val="none"/>
              </w:rPr>
              <w:t>O</w:t>
            </w:r>
            <w:r>
              <w:rPr>
                <w:rFonts w:hint="default" w:ascii="Times New Roman" w:hAnsi="Times New Roman" w:cs="Times New Roman"/>
                <w:color w:val="auto"/>
                <w:sz w:val="18"/>
                <w:szCs w:val="18"/>
                <w:highlight w:val="none"/>
                <w:vertAlign w:val="subscript"/>
              </w:rPr>
              <w:t>4</w:t>
            </w:r>
            <w:r>
              <w:rPr>
                <w:rFonts w:hint="default" w:ascii="Times New Roman" w:hAnsi="Times New Roman" w:cs="Times New Roman"/>
                <w:color w:val="auto"/>
                <w:sz w:val="18"/>
                <w:szCs w:val="18"/>
                <w:highlight w:val="none"/>
              </w:rPr>
              <w:t>-0</w:t>
            </w:r>
          </w:p>
        </w:tc>
        <w:tc>
          <w:tcPr>
            <w:tcW w:w="2049" w:type="dxa"/>
            <w:tcBorders>
              <w:bottom w:val="single" w:color="auto" w:sz="12" w:space="0"/>
            </w:tcBorders>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w:t>
            </w:r>
            <w:r>
              <w:rPr>
                <w:rFonts w:hint="default" w:ascii="Times New Roman" w:hAnsi="Times New Roman" w:cs="Times New Roman"/>
                <w:color w:val="auto"/>
                <w:sz w:val="18"/>
                <w:szCs w:val="18"/>
                <w:highlight w:val="none"/>
                <w:vertAlign w:val="subscript"/>
              </w:rPr>
              <w:t>3</w:t>
            </w:r>
            <w:r>
              <w:rPr>
                <w:rFonts w:hint="default" w:ascii="Times New Roman" w:hAnsi="Times New Roman" w:cs="Times New Roman"/>
                <w:color w:val="auto"/>
                <w:sz w:val="18"/>
                <w:szCs w:val="18"/>
                <w:highlight w:val="none"/>
              </w:rPr>
              <w:t>O</w:t>
            </w:r>
            <w:r>
              <w:rPr>
                <w:rFonts w:hint="default" w:ascii="Times New Roman" w:hAnsi="Times New Roman" w:cs="Times New Roman"/>
                <w:color w:val="auto"/>
                <w:sz w:val="18"/>
                <w:szCs w:val="18"/>
                <w:highlight w:val="none"/>
                <w:vertAlign w:val="subscript"/>
              </w:rPr>
              <w:t>4</w:t>
            </w:r>
            <w:r>
              <w:rPr>
                <w:rFonts w:hint="default" w:ascii="Times New Roman" w:hAnsi="Times New Roman" w:cs="Times New Roman"/>
                <w:color w:val="auto"/>
                <w:sz w:val="18"/>
                <w:szCs w:val="18"/>
                <w:highlight w:val="none"/>
              </w:rPr>
              <w:t>-1</w:t>
            </w:r>
          </w:p>
        </w:tc>
        <w:tc>
          <w:tcPr>
            <w:tcW w:w="1712" w:type="dxa"/>
            <w:tcBorders>
              <w:bottom w:val="single" w:color="auto" w:sz="12" w:space="0"/>
            </w:tcBorders>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w:t>
            </w:r>
            <w:r>
              <w:rPr>
                <w:rFonts w:hint="default" w:ascii="Times New Roman" w:hAnsi="Times New Roman" w:cs="Times New Roman"/>
                <w:color w:val="auto"/>
                <w:sz w:val="18"/>
                <w:szCs w:val="18"/>
                <w:highlight w:val="none"/>
                <w:vertAlign w:val="subscript"/>
              </w:rPr>
              <w:t>3</w:t>
            </w:r>
            <w:r>
              <w:rPr>
                <w:rFonts w:hint="default" w:ascii="Times New Roman" w:hAnsi="Times New Roman" w:cs="Times New Roman"/>
                <w:color w:val="auto"/>
                <w:sz w:val="18"/>
                <w:szCs w:val="18"/>
                <w:highlight w:val="none"/>
              </w:rPr>
              <w:t>O</w:t>
            </w:r>
            <w:r>
              <w:rPr>
                <w:rFonts w:hint="default" w:ascii="Times New Roman" w:hAnsi="Times New Roman" w:cs="Times New Roman"/>
                <w:color w:val="auto"/>
                <w:sz w:val="18"/>
                <w:szCs w:val="18"/>
                <w:highlight w:val="none"/>
                <w:vertAlign w:val="subscript"/>
              </w:rPr>
              <w:t>4</w:t>
            </w:r>
            <w:r>
              <w:rPr>
                <w:rFonts w:hint="default" w:ascii="Times New Roman" w:hAnsi="Times New Roman" w:cs="Times New Roman"/>
                <w:color w:val="auto"/>
                <w:sz w:val="18"/>
                <w:szCs w:val="18"/>
                <w:highlight w:val="none"/>
              </w:rPr>
              <w:t>-2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3343" w:type="dxa"/>
            <w:tcBorders>
              <w:top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松装密度 g/cm</w:t>
            </w:r>
            <w:r>
              <w:rPr>
                <w:rFonts w:hint="default" w:ascii="Times New Roman" w:hAnsi="Times New Roman" w:cs="Times New Roman"/>
                <w:color w:val="auto"/>
                <w:sz w:val="18"/>
                <w:szCs w:val="18"/>
                <w:highlight w:val="none"/>
                <w:vertAlign w:val="superscript"/>
              </w:rPr>
              <w:t>3</w:t>
            </w:r>
          </w:p>
        </w:tc>
        <w:tc>
          <w:tcPr>
            <w:tcW w:w="5729" w:type="dxa"/>
            <w:gridSpan w:val="3"/>
            <w:tcBorders>
              <w:top w:val="single" w:color="auto" w:sz="12" w:space="0"/>
            </w:tcBorders>
            <w:vAlign w:val="bottom"/>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w:t>
            </w:r>
            <w:r>
              <w:rPr>
                <w:rFonts w:hint="eastAsia" w:cs="Times New Roman"/>
                <w:color w:val="auto"/>
                <w:sz w:val="18"/>
                <w:szCs w:val="18"/>
                <w:highlight w:val="none"/>
                <w:lang w:val="en-US" w:eastAsia="zh-CN"/>
              </w:rPr>
              <w:t>5</w:t>
            </w:r>
            <w:r>
              <w:rPr>
                <w:rFonts w:hint="default" w:ascii="Times New Roman" w:hAnsi="Times New Roman" w:cs="Times New Roman"/>
                <w:color w:val="auto"/>
                <w:sz w:val="18"/>
                <w:szCs w:val="18"/>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306" w:hRule="atLeast"/>
        </w:trPr>
        <w:tc>
          <w:tcPr>
            <w:tcW w:w="3343"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振实密度 g/cm</w:t>
            </w:r>
            <w:r>
              <w:rPr>
                <w:rFonts w:hint="default" w:ascii="Times New Roman" w:hAnsi="Times New Roman" w:cs="Times New Roman"/>
                <w:color w:val="auto"/>
                <w:sz w:val="18"/>
                <w:szCs w:val="18"/>
                <w:highlight w:val="none"/>
                <w:vertAlign w:val="superscript"/>
              </w:rPr>
              <w:t>3</w:t>
            </w:r>
          </w:p>
        </w:tc>
        <w:tc>
          <w:tcPr>
            <w:tcW w:w="5729" w:type="dxa"/>
            <w:gridSpan w:val="3"/>
            <w:vAlign w:val="center"/>
          </w:tcPr>
          <w:p>
            <w:pPr>
              <w:widowControl/>
              <w:jc w:val="center"/>
              <w:textAlignment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kern w:val="0"/>
                <w:sz w:val="18"/>
                <w:szCs w:val="18"/>
                <w:highlight w:val="none"/>
                <w:lang w:bidi="ar"/>
              </w:rPr>
              <w:t xml:space="preserve"> </w:t>
            </w:r>
            <w:r>
              <w:rPr>
                <w:rFonts w:hint="default" w:ascii="Times New Roman" w:hAnsi="Times New Roman" w:cs="Times New Roman"/>
                <w:color w:val="auto"/>
                <w:sz w:val="18"/>
                <w:szCs w:val="18"/>
                <w:highlight w:val="none"/>
              </w:rPr>
              <w:t>≥</w:t>
            </w:r>
            <w:r>
              <w:rPr>
                <w:rFonts w:hint="eastAsia" w:cs="Times New Roman"/>
                <w:color w:val="auto"/>
                <w:sz w:val="18"/>
                <w:szCs w:val="18"/>
                <w:highlight w:val="none"/>
                <w:lang w:val="en-US" w:eastAsia="zh-CN"/>
              </w:rPr>
              <w:t>2.0</w:t>
            </w:r>
            <w:r>
              <w:rPr>
                <w:rFonts w:hint="default" w:ascii="Times New Roman" w:hAnsi="Times New Roman" w:cs="Times New Roman"/>
                <w:color w:val="auto"/>
                <w:sz w:val="18"/>
                <w:szCs w:val="18"/>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3343"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比表面积  m</w:t>
            </w:r>
            <w:r>
              <w:rPr>
                <w:rFonts w:hint="default" w:ascii="Times New Roman" w:hAnsi="Times New Roman" w:cs="Times New Roman"/>
                <w:color w:val="auto"/>
                <w:sz w:val="18"/>
                <w:szCs w:val="18"/>
                <w:highlight w:val="none"/>
                <w:vertAlign w:val="superscript"/>
              </w:rPr>
              <w:t>2</w:t>
            </w:r>
            <w:r>
              <w:rPr>
                <w:rFonts w:hint="default" w:ascii="Times New Roman" w:hAnsi="Times New Roman" w:cs="Times New Roman"/>
                <w:color w:val="auto"/>
                <w:sz w:val="18"/>
                <w:szCs w:val="18"/>
                <w:highlight w:val="none"/>
              </w:rPr>
              <w:t>/g</w:t>
            </w:r>
          </w:p>
        </w:tc>
        <w:tc>
          <w:tcPr>
            <w:tcW w:w="5729" w:type="dxa"/>
            <w:gridSpan w:val="3"/>
            <w:vAlign w:val="center"/>
          </w:tcPr>
          <w:p>
            <w:pPr>
              <w:widowControl/>
              <w:jc w:val="center"/>
              <w:textAlignment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kern w:val="0"/>
                <w:sz w:val="18"/>
                <w:szCs w:val="18"/>
                <w:highlight w:val="none"/>
                <w:lang w:bidi="ar"/>
              </w:rPr>
              <w:t xml:space="preserve"> </w:t>
            </w:r>
            <w:r>
              <w:rPr>
                <w:rFonts w:hint="default" w:ascii="Times New Roman" w:hAnsi="Times New Roman" w:cs="Times New Roman"/>
                <w:color w:val="auto"/>
                <w:sz w:val="18"/>
                <w:szCs w:val="18"/>
                <w:highlight w:val="none"/>
              </w:rPr>
              <w:t>≥</w:t>
            </w:r>
            <w:r>
              <w:rPr>
                <w:rFonts w:hint="eastAsia" w:cs="Times New Roman"/>
                <w:color w:val="auto"/>
                <w:sz w:val="18"/>
                <w:szCs w:val="18"/>
                <w:highlight w:val="none"/>
                <w:lang w:val="en-US" w:eastAsia="zh-CN"/>
              </w:rPr>
              <w:t xml:space="preserve">0.5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322" w:hRule="atLeast"/>
        </w:trPr>
        <w:tc>
          <w:tcPr>
            <w:tcW w:w="3343"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中位径（</w:t>
            </w:r>
            <w:r>
              <w:rPr>
                <w:rFonts w:hint="default" w:ascii="Times New Roman" w:hAnsi="Times New Roman" w:cs="Times New Roman"/>
                <w:i/>
                <w:color w:val="auto"/>
                <w:sz w:val="18"/>
                <w:szCs w:val="18"/>
                <w:highlight w:val="none"/>
              </w:rPr>
              <w:t>D</w:t>
            </w:r>
            <w:r>
              <w:rPr>
                <w:rFonts w:hint="default" w:ascii="Times New Roman" w:hAnsi="Times New Roman" w:cs="Times New Roman"/>
                <w:color w:val="auto"/>
                <w:sz w:val="18"/>
                <w:szCs w:val="18"/>
                <w:highlight w:val="none"/>
                <w:vertAlign w:val="subscript"/>
              </w:rPr>
              <w:t>50</w:t>
            </w:r>
            <w:r>
              <w:rPr>
                <w:rFonts w:hint="default" w:ascii="Times New Roman" w:hAnsi="Times New Roman" w:cs="Times New Roman"/>
                <w:color w:val="auto"/>
                <w:sz w:val="18"/>
                <w:szCs w:val="18"/>
                <w:highlight w:val="none"/>
              </w:rPr>
              <w:t>）μm</w:t>
            </w:r>
          </w:p>
        </w:tc>
        <w:tc>
          <w:tcPr>
            <w:tcW w:w="5729" w:type="dxa"/>
            <w:gridSpan w:val="3"/>
            <w:vAlign w:val="center"/>
          </w:tcPr>
          <w:p>
            <w:pPr>
              <w:widowControl/>
              <w:jc w:val="center"/>
              <w:textAlignment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 xml:space="preserve">2 </w:t>
            </w:r>
            <w:r>
              <w:rPr>
                <w:rFonts w:hint="eastAsia" w:cs="Times New Roman"/>
                <w:color w:val="auto"/>
                <w:sz w:val="18"/>
                <w:szCs w:val="18"/>
                <w:highlight w:val="none"/>
                <w:lang w:val="en-US" w:eastAsia="zh-CN"/>
              </w:rPr>
              <w:t>.0</w:t>
            </w:r>
            <w:r>
              <w:rPr>
                <w:rFonts w:hint="default" w:ascii="Times New Roman" w:hAnsi="Times New Roman" w:cs="Times New Roman"/>
                <w:color w:val="auto"/>
                <w:sz w:val="18"/>
                <w:szCs w:val="18"/>
                <w:highlight w:val="none"/>
              </w:rPr>
              <w:t xml:space="preserve"> ~20 </w:t>
            </w:r>
            <w:r>
              <w:rPr>
                <w:rFonts w:hint="eastAsia" w:cs="Times New Roman"/>
                <w:color w:val="auto"/>
                <w:sz w:val="18"/>
                <w:szCs w:val="18"/>
                <w:highlight w:val="none"/>
                <w:lang w:val="en-US" w:eastAsia="zh-CN"/>
              </w:rPr>
              <w:t>.0</w:t>
            </w:r>
            <w:r>
              <w:rPr>
                <w:rFonts w:hint="default" w:ascii="Times New Roman" w:hAnsi="Times New Roman" w:cs="Times New Roman"/>
                <w:color w:val="auto"/>
                <w:kern w:val="0"/>
                <w:sz w:val="18"/>
                <w:szCs w:val="18"/>
                <w:highlight w:val="none"/>
                <w:lang w:bidi="ar"/>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3343" w:type="dxa"/>
          </w:tcPr>
          <w:p>
            <w:pPr>
              <w:jc w:val="center"/>
              <w:rPr>
                <w:rFonts w:hint="eastAsia"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rPr>
              <w:t>氧化亚钴（CoO）相</w:t>
            </w:r>
            <w:r>
              <w:rPr>
                <w:rFonts w:hint="eastAsia" w:cs="Times New Roman"/>
                <w:color w:val="auto"/>
                <w:sz w:val="18"/>
                <w:szCs w:val="18"/>
                <w:highlight w:val="none"/>
                <w:lang w:val="en-US" w:eastAsia="zh-CN"/>
              </w:rPr>
              <w:t xml:space="preserve"> %</w:t>
            </w:r>
          </w:p>
        </w:tc>
        <w:tc>
          <w:tcPr>
            <w:tcW w:w="5729" w:type="dxa"/>
            <w:gridSpan w:val="3"/>
            <w:vAlign w:val="center"/>
          </w:tcPr>
          <w:p>
            <w:pPr>
              <w:widowControl/>
              <w:jc w:val="center"/>
              <w:textAlignment w:val="center"/>
              <w:rPr>
                <w:rFonts w:hint="default" w:ascii="Times New Roman" w:hAnsi="Times New Roman" w:eastAsia="宋体" w:cs="Times New Roman"/>
                <w:color w:val="auto"/>
                <w:kern w:val="0"/>
                <w:sz w:val="18"/>
                <w:szCs w:val="18"/>
                <w:highlight w:val="none"/>
                <w:lang w:val="en-US" w:eastAsia="zh-CN" w:bidi="ar"/>
              </w:rPr>
            </w:pPr>
            <w:r>
              <w:rPr>
                <w:rFonts w:hint="eastAsia" w:cs="Times New Roman"/>
                <w:color w:val="auto"/>
                <w:sz w:val="18"/>
                <w:szCs w:val="18"/>
                <w:highlight w:val="none"/>
                <w:lang w:val="en-US" w:eastAsia="zh-CN"/>
              </w:rPr>
              <w:t>≤</w:t>
            </w:r>
            <w:r>
              <w:rPr>
                <w:rFonts w:hint="default" w:ascii="Times New Roman" w:hAnsi="Times New Roman" w:cs="Times New Roman"/>
                <w:color w:val="auto"/>
                <w:sz w:val="18"/>
                <w:szCs w:val="18"/>
                <w:highlight w:val="none"/>
              </w:rPr>
              <w:t>5</w:t>
            </w:r>
            <w:r>
              <w:rPr>
                <w:rFonts w:hint="eastAsia" w:cs="Times New Roman"/>
                <w:color w:val="auto"/>
                <w:sz w:val="18"/>
                <w:szCs w:val="18"/>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3343"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微观形貌</w:t>
            </w:r>
          </w:p>
        </w:tc>
        <w:tc>
          <w:tcPr>
            <w:tcW w:w="5729" w:type="dxa"/>
            <w:gridSpan w:val="3"/>
            <w:vAlign w:val="center"/>
          </w:tcPr>
          <w:p>
            <w:pPr>
              <w:widowControl/>
              <w:jc w:val="center"/>
              <w:textAlignment w:val="center"/>
              <w:rPr>
                <w:rFonts w:hint="default" w:ascii="Times New Roman" w:hAnsi="Times New Roman" w:cs="Times New Roman"/>
                <w:color w:val="auto"/>
                <w:kern w:val="0"/>
                <w:sz w:val="18"/>
                <w:szCs w:val="18"/>
                <w:highlight w:val="none"/>
                <w:lang w:bidi="ar"/>
              </w:rPr>
            </w:pPr>
            <w:r>
              <w:rPr>
                <w:rFonts w:hint="default" w:ascii="Times New Roman" w:hAnsi="Times New Roman" w:cs="Times New Roman"/>
                <w:color w:val="auto"/>
                <w:sz w:val="18"/>
                <w:szCs w:val="18"/>
                <w:highlight w:val="none"/>
              </w:rPr>
              <w:t>宜为球形或类球形</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3343"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磁性异物 %</w:t>
            </w:r>
          </w:p>
        </w:tc>
        <w:tc>
          <w:tcPr>
            <w:tcW w:w="5729" w:type="dxa"/>
            <w:gridSpan w:val="3"/>
            <w:vAlign w:val="center"/>
          </w:tcPr>
          <w:p>
            <w:pPr>
              <w:widowControl/>
              <w:jc w:val="center"/>
              <w:textAlignment w:val="center"/>
              <w:rPr>
                <w:rFonts w:hint="default" w:ascii="Times New Roman" w:hAnsi="Times New Roman" w:cs="Times New Roman"/>
                <w:color w:val="auto"/>
                <w:kern w:val="0"/>
                <w:sz w:val="18"/>
                <w:szCs w:val="18"/>
                <w:highlight w:val="none"/>
                <w:lang w:bidi="ar"/>
              </w:rPr>
            </w:pPr>
            <w:r>
              <w:rPr>
                <w:rFonts w:hint="default" w:ascii="Times New Roman" w:hAnsi="Times New Roman" w:cs="Times New Roman"/>
                <w:color w:val="auto"/>
                <w:sz w:val="18"/>
                <w:szCs w:val="18"/>
                <w:highlight w:val="none"/>
              </w:rPr>
              <w:t>0.00005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3343" w:type="dxa"/>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水分 %</w:t>
            </w:r>
          </w:p>
        </w:tc>
        <w:tc>
          <w:tcPr>
            <w:tcW w:w="5729" w:type="dxa"/>
            <w:gridSpan w:val="3"/>
            <w:vAlign w:val="center"/>
          </w:tcPr>
          <w:p>
            <w:pPr>
              <w:widowControl/>
              <w:jc w:val="center"/>
              <w:textAlignment w:val="center"/>
              <w:rPr>
                <w:rFonts w:hint="default" w:ascii="Times New Roman" w:hAnsi="Times New Roman" w:eastAsia="宋体" w:cs="Times New Roman"/>
                <w:color w:val="auto"/>
                <w:kern w:val="0"/>
                <w:sz w:val="18"/>
                <w:szCs w:val="18"/>
                <w:highlight w:val="none"/>
                <w:lang w:val="en-US" w:eastAsia="zh-CN" w:bidi="ar"/>
              </w:rPr>
            </w:pPr>
            <w:r>
              <w:rPr>
                <w:rFonts w:hint="eastAsia" w:cs="Times New Roman"/>
                <w:color w:val="auto"/>
                <w:kern w:val="0"/>
                <w:sz w:val="18"/>
                <w:szCs w:val="18"/>
                <w:highlight w:val="none"/>
                <w:lang w:val="en-US" w:eastAsia="zh-CN" w:bidi="ar"/>
              </w:rPr>
              <w:t>≤</w:t>
            </w:r>
            <w:r>
              <w:rPr>
                <w:rFonts w:hint="default" w:ascii="Times New Roman" w:hAnsi="Times New Roman" w:cs="Times New Roman"/>
                <w:color w:val="auto"/>
                <w:kern w:val="0"/>
                <w:sz w:val="18"/>
                <w:szCs w:val="18"/>
                <w:highlight w:val="none"/>
                <w:lang w:bidi="ar"/>
              </w:rPr>
              <w:t>0.</w:t>
            </w:r>
            <w:r>
              <w:rPr>
                <w:rFonts w:hint="eastAsia" w:cs="Times New Roman"/>
                <w:color w:val="auto"/>
                <w:kern w:val="0"/>
                <w:sz w:val="18"/>
                <w:szCs w:val="18"/>
                <w:highlight w:val="none"/>
                <w:lang w:val="en-US" w:eastAsia="zh-CN" w:bidi="ar"/>
              </w:rPr>
              <w:t>1</w:t>
            </w:r>
            <w:r>
              <w:rPr>
                <w:rFonts w:hint="default" w:ascii="Times New Roman" w:hAnsi="Times New Roman" w:cs="Times New Roman"/>
                <w:color w:val="auto"/>
                <w:kern w:val="0"/>
                <w:sz w:val="18"/>
                <w:szCs w:val="18"/>
                <w:highlight w:val="none"/>
                <w:lang w:bidi="ar"/>
              </w:rPr>
              <w:t>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9072" w:type="dxa"/>
            <w:gridSpan w:val="4"/>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 xml:space="preserve">    </w:t>
            </w:r>
            <w:r>
              <w:rPr>
                <w:rFonts w:hint="default" w:ascii="Times New Roman" w:hAnsi="Times New Roman" w:eastAsia="黑体" w:cs="Times New Roman"/>
                <w:color w:val="auto"/>
                <w:sz w:val="18"/>
                <w:szCs w:val="18"/>
                <w:highlight w:val="none"/>
              </w:rPr>
              <w:t>注</w:t>
            </w:r>
            <w:r>
              <w:rPr>
                <w:rFonts w:hint="default" w:ascii="Times New Roman" w:hAnsi="Times New Roman" w:cs="Times New Roman"/>
                <w:color w:val="auto"/>
                <w:sz w:val="18"/>
                <w:szCs w:val="18"/>
                <w:highlight w:val="none"/>
              </w:rPr>
              <w:t>：如需方有其他要求时，根据客户的要求进行。</w:t>
            </w:r>
          </w:p>
        </w:tc>
      </w:tr>
      <w:bookmarkEnd w:id="31"/>
    </w:tbl>
    <w:p>
      <w:pPr>
        <w:pStyle w:val="48"/>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外观质量</w:t>
      </w:r>
    </w:p>
    <w:p>
      <w:pPr>
        <w:pStyle w:val="48"/>
        <w:numPr>
          <w:ilvl w:val="1"/>
          <w:numId w:val="0"/>
        </w:numPr>
        <w:spacing w:beforeLines="0" w:afterLines="0"/>
        <w:ind w:firstLine="420" w:firstLineChars="200"/>
        <w:rPr>
          <w:rFonts w:hint="default" w:ascii="Times New Roman" w:hAnsi="Times New Roman" w:eastAsia="宋体" w:cs="Times New Roman"/>
          <w:color w:val="auto"/>
          <w:highlight w:val="none"/>
        </w:rPr>
      </w:pPr>
      <w:r>
        <w:rPr>
          <w:rFonts w:hint="eastAsia" w:ascii="Times New Roman" w:eastAsia="宋体" w:cs="Times New Roman"/>
          <w:color w:val="auto"/>
          <w:highlight w:val="none"/>
          <w:lang w:val="en-US" w:eastAsia="zh-CN"/>
        </w:rPr>
        <w:t>5.3.1</w:t>
      </w:r>
      <w:r>
        <w:rPr>
          <w:rFonts w:hint="default" w:ascii="Times New Roman" w:hAnsi="Times New Roman" w:eastAsia="宋体" w:cs="Times New Roman"/>
          <w:color w:val="auto"/>
          <w:highlight w:val="none"/>
        </w:rPr>
        <w:t>产品应呈灰黑色粉末状，</w:t>
      </w:r>
      <w:r>
        <w:rPr>
          <w:rFonts w:hint="eastAsia" w:ascii="Times New Roman" w:eastAsia="宋体" w:cs="Times New Roman"/>
          <w:color w:val="auto"/>
          <w:highlight w:val="none"/>
          <w:lang w:val="en-US" w:eastAsia="zh-CN"/>
        </w:rPr>
        <w:t>同批颜色保持一致</w:t>
      </w:r>
      <w:r>
        <w:rPr>
          <w:rFonts w:hint="default" w:ascii="Times New Roman" w:hAnsi="Times New Roman" w:eastAsia="宋体" w:cs="Times New Roman"/>
          <w:color w:val="auto"/>
          <w:highlight w:val="none"/>
        </w:rPr>
        <w:t>；</w:t>
      </w:r>
    </w:p>
    <w:p>
      <w:pPr>
        <w:pStyle w:val="48"/>
        <w:numPr>
          <w:ilvl w:val="1"/>
          <w:numId w:val="0"/>
        </w:numPr>
        <w:spacing w:beforeLines="0" w:afterLines="0"/>
        <w:ind w:firstLine="420" w:firstLineChars="200"/>
        <w:rPr>
          <w:rFonts w:hint="default" w:ascii="Times New Roman" w:hAnsi="Times New Roman" w:eastAsia="宋体" w:cs="Times New Roman"/>
          <w:color w:val="auto"/>
          <w:highlight w:val="none"/>
        </w:rPr>
      </w:pPr>
      <w:r>
        <w:rPr>
          <w:rFonts w:hint="eastAsia" w:ascii="Times New Roman" w:eastAsia="宋体" w:cs="Times New Roman"/>
          <w:color w:val="auto"/>
          <w:highlight w:val="none"/>
          <w:lang w:val="en-US" w:eastAsia="zh-CN"/>
        </w:rPr>
        <w:t>5.3.2</w:t>
      </w:r>
      <w:r>
        <w:rPr>
          <w:rFonts w:hint="default" w:ascii="Times New Roman" w:hAnsi="Times New Roman" w:eastAsia="宋体" w:cs="Times New Roman"/>
          <w:color w:val="auto"/>
          <w:highlight w:val="none"/>
        </w:rPr>
        <w:t>产品应洁净、干燥、均匀、不得有结块及目视可见的外来夹杂物。</w:t>
      </w:r>
    </w:p>
    <w:p>
      <w:pPr>
        <w:pStyle w:val="48"/>
        <w:spacing w:before="156" w:after="156"/>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 xml:space="preserve">其他 </w:t>
      </w:r>
    </w:p>
    <w:p>
      <w:pPr>
        <w:pStyle w:val="30"/>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如需方对产品有其他特殊要求，由供需双方协商确定</w:t>
      </w:r>
      <w:r>
        <w:rPr>
          <w:rFonts w:hint="default" w:ascii="Times New Roman" w:hAnsi="Times New Roman" w:cs="Times New Roman"/>
          <w:color w:val="auto"/>
          <w:highlight w:val="none"/>
          <w:shd w:val="clear" w:color="auto" w:fill="auto"/>
          <w:lang w:val="en-US" w:eastAsia="zh-CN"/>
        </w:rPr>
        <w:t>,</w:t>
      </w:r>
      <w:r>
        <w:rPr>
          <w:rFonts w:hint="default" w:ascii="Times New Roman" w:hAnsi="Times New Roman" w:cs="Times New Roman"/>
          <w:kern w:val="0"/>
          <w:szCs w:val="20"/>
          <w:highlight w:val="none"/>
          <w:shd w:val="clear" w:color="auto" w:fill="auto"/>
        </w:rPr>
        <w:t>并在订货单中注明。</w:t>
      </w:r>
    </w:p>
    <w:p>
      <w:pPr>
        <w:pStyle w:val="51"/>
        <w:spacing w:before="312" w:after="312"/>
        <w:rPr>
          <w:color w:val="auto"/>
          <w:highlight w:val="none"/>
        </w:rPr>
      </w:pPr>
      <w:r>
        <w:rPr>
          <w:rFonts w:hint="eastAsia"/>
          <w:color w:val="auto"/>
          <w:highlight w:val="none"/>
        </w:rPr>
        <w:t>试验</w:t>
      </w:r>
      <w:r>
        <w:rPr>
          <w:color w:val="auto"/>
          <w:highlight w:val="none"/>
        </w:rPr>
        <w:t>方法</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产品中钴含量的测定按YS/T 710.1的规定进行。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产品中钠含量的测定按YS/T 281.18的规定进行。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产品中镍、铜、铁、钙、镁、铅、锌和锰含量的测定按YS/T 710.6的规定进行。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产品中铝含量的测定按YS/T 281.17的规定进行。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产品中硅含量的测定按YS/T 710.5的规定进行。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产品的松装密度的测定按GB/T 1479.1的规定进行。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产品的振实密度的测定按GB/T 5162的规定进行。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产品的比表面积的测定按GB/T 19587的规定进行。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产品的中位径（D50）按GB/T 19077.1的规定进行。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产品中氧化亚钴相的测定按本文件附录A的规定进行，或由供需双方协商。</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产品中磁性异物的测定按YS/T 1057的规定进行。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产品的微观形貌按</w:t>
      </w:r>
      <w:r>
        <w:rPr>
          <w:rFonts w:hint="default" w:ascii="Times New Roman" w:hAnsi="Times New Roman" w:eastAsia="宋体" w:cs="Times New Roman"/>
          <w:color w:val="auto"/>
          <w:highlight w:val="none"/>
          <w:lang w:val="en-US" w:eastAsia="zh-CN"/>
        </w:rPr>
        <w:t>JY/T 0584-2020</w:t>
      </w:r>
      <w:r>
        <w:rPr>
          <w:rFonts w:hint="default" w:ascii="Times New Roman" w:hAnsi="Times New Roman" w:eastAsia="宋体" w:cs="Times New Roman"/>
          <w:color w:val="auto"/>
          <w:highlight w:val="none"/>
        </w:rPr>
        <w:t>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产品的</w:t>
      </w:r>
      <w:r>
        <w:rPr>
          <w:rFonts w:hint="eastAsia" w:ascii="Times New Roman" w:hAnsi="Times New Roman" w:eastAsia="宋体" w:cs="Times New Roman"/>
          <w:color w:val="auto"/>
          <w:highlight w:val="none"/>
          <w:lang w:val="en-US" w:eastAsia="zh-CN"/>
        </w:rPr>
        <w:t>水分</w:t>
      </w:r>
      <w:r>
        <w:rPr>
          <w:rFonts w:hint="default" w:ascii="Times New Roman" w:hAnsi="Times New Roman" w:eastAsia="宋体" w:cs="Times New Roman"/>
          <w:color w:val="auto"/>
          <w:highlight w:val="none"/>
          <w:lang w:val="en-US" w:eastAsia="zh-CN"/>
        </w:rPr>
        <w:t>按GB/T</w:t>
      </w:r>
      <w:r>
        <w:rPr>
          <w:rFonts w:hint="eastAsia" w:asci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lang w:val="en-US" w:eastAsia="zh-CN"/>
        </w:rPr>
        <w:t>6284</w:t>
      </w:r>
      <w:r>
        <w:rPr>
          <w:rFonts w:hint="default" w:ascii="Times New Roman" w:hAnsi="Times New Roman" w:eastAsia="宋体" w:cs="Times New Roman"/>
          <w:color w:val="auto"/>
          <w:highlight w:val="none"/>
        </w:rPr>
        <w:t>的规定进行。</w:t>
      </w:r>
    </w:p>
    <w:p>
      <w:pPr>
        <w:pStyle w:val="48"/>
        <w:spacing w:before="156" w:after="15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产品的外观质量用</w:t>
      </w:r>
      <w:r>
        <w:rPr>
          <w:rFonts w:hint="default" w:ascii="Times New Roman" w:hAnsi="Times New Roman" w:eastAsia="宋体" w:cs="Times New Roman"/>
          <w:color w:val="auto"/>
          <w:highlight w:val="none"/>
          <w:lang w:eastAsia="zh-CN"/>
        </w:rPr>
        <w:t>目视法</w:t>
      </w:r>
      <w:r>
        <w:rPr>
          <w:rFonts w:hint="default" w:ascii="Times New Roman" w:hAnsi="Times New Roman" w:eastAsia="宋体" w:cs="Times New Roman"/>
          <w:color w:val="auto"/>
          <w:highlight w:val="none"/>
        </w:rPr>
        <w:t>进行检查。</w:t>
      </w:r>
    </w:p>
    <w:p>
      <w:pPr>
        <w:pStyle w:val="51"/>
        <w:spacing w:before="312" w:after="312"/>
      </w:pPr>
      <w:r>
        <w:rPr>
          <w:rFonts w:hint="eastAsia"/>
        </w:rPr>
        <w:t>检验</w:t>
      </w:r>
      <w:r>
        <w:t>规则</w:t>
      </w:r>
    </w:p>
    <w:p>
      <w:pPr>
        <w:pStyle w:val="48"/>
        <w:spacing w:before="156" w:after="156"/>
      </w:pPr>
      <w:r>
        <w:rPr>
          <w:rFonts w:hint="eastAsia"/>
        </w:rPr>
        <w:t>查检与</w:t>
      </w:r>
      <w:r>
        <w:t>验收</w:t>
      </w:r>
    </w:p>
    <w:p>
      <w:pPr>
        <w:widowControl/>
        <w:numPr>
          <w:ilvl w:val="2"/>
          <w:numId w:val="23"/>
        </w:numPr>
        <w:jc w:val="left"/>
        <w:outlineLvl w:val="3"/>
        <w:rPr>
          <w:rFonts w:hint="default" w:ascii="Times New Roman" w:hAnsi="Times New Roman" w:cs="Times New Roman"/>
          <w:kern w:val="0"/>
          <w:szCs w:val="21"/>
        </w:rPr>
      </w:pPr>
      <w:r>
        <w:rPr>
          <w:rFonts w:hint="default" w:ascii="Times New Roman" w:hAnsi="Times New Roman" w:cs="Times New Roman"/>
          <w:kern w:val="0"/>
          <w:szCs w:val="21"/>
        </w:rPr>
        <w:t>产品应由供方进行检验，保证产品质量符合本文件或合同（或订货单）的规定，并填写质量证明书。</w:t>
      </w:r>
    </w:p>
    <w:p>
      <w:pPr>
        <w:widowControl/>
        <w:numPr>
          <w:ilvl w:val="2"/>
          <w:numId w:val="23"/>
        </w:numPr>
        <w:jc w:val="left"/>
        <w:outlineLvl w:val="3"/>
        <w:rPr>
          <w:rFonts w:hint="default" w:ascii="Times New Roman" w:hAnsi="Times New Roman" w:cs="Times New Roman"/>
          <w:kern w:val="0"/>
          <w:szCs w:val="21"/>
        </w:rPr>
      </w:pPr>
      <w:r>
        <w:rPr>
          <w:rFonts w:hint="default" w:ascii="Times New Roman" w:hAnsi="Times New Roman" w:cs="Times New Roman"/>
          <w:kern w:val="0"/>
          <w:szCs w:val="21"/>
        </w:rPr>
        <w:t>需方应对收到的产品按照本文件或合同（或订货单）的规定进行检验。如检验结果与本文件或合同（或订货单）的规定不符时，应在收到产品之日起一个月内向供方提出，由供需双方协商解决。如需仲裁，仲裁取样在需方，由供需双方共同进行。</w:t>
      </w:r>
    </w:p>
    <w:p>
      <w:pPr>
        <w:pStyle w:val="48"/>
        <w:spacing w:before="156" w:after="156"/>
      </w:pPr>
      <w:r>
        <w:rPr>
          <w:rFonts w:hint="eastAsia"/>
        </w:rPr>
        <w:t>组批</w:t>
      </w:r>
    </w:p>
    <w:p>
      <w:pPr>
        <w:pStyle w:val="30"/>
        <w:rPr>
          <w:rFonts w:hint="default" w:ascii="Times New Roman" w:hAnsi="Times New Roman" w:cs="Times New Roman"/>
          <w:highlight w:val="none"/>
        </w:rPr>
      </w:pPr>
      <w:r>
        <w:rPr>
          <w:rFonts w:hint="default" w:ascii="Times New Roman" w:hAnsi="Times New Roman" w:cs="Times New Roman"/>
          <w:kern w:val="2"/>
          <w:szCs w:val="24"/>
          <w:highlight w:val="none"/>
        </w:rPr>
        <w:t>产品</w:t>
      </w:r>
      <w:r>
        <w:rPr>
          <w:rFonts w:hint="default" w:ascii="Times New Roman" w:hAnsi="Times New Roman" w:cs="Times New Roman"/>
          <w:color w:val="000000"/>
          <w:kern w:val="2"/>
          <w:szCs w:val="24"/>
          <w:highlight w:val="none"/>
        </w:rPr>
        <w:t>应成批提交验收，每批应由同一生产周期、同一牌号、同一规格的产品组成，每批重量不超过5 t。需方有特殊要求时，可由双方协商确定。</w:t>
      </w:r>
    </w:p>
    <w:p>
      <w:pPr>
        <w:pStyle w:val="48"/>
        <w:spacing w:before="156" w:after="156"/>
        <w:rPr>
          <w:highlight w:val="none"/>
        </w:rPr>
      </w:pPr>
      <w:r>
        <w:rPr>
          <w:rFonts w:hint="eastAsia"/>
          <w:highlight w:val="none"/>
        </w:rPr>
        <w:t>检验</w:t>
      </w:r>
      <w:r>
        <w:rPr>
          <w:highlight w:val="none"/>
        </w:rPr>
        <w:t>项目及取样</w:t>
      </w:r>
    </w:p>
    <w:p>
      <w:pPr>
        <w:widowControl/>
        <w:ind w:firstLine="420" w:firstLineChars="200"/>
        <w:jc w:val="left"/>
        <w:outlineLvl w:val="3"/>
        <w:rPr>
          <w:rFonts w:hint="eastAsia"/>
          <w:color w:val="auto"/>
          <w:highlight w:val="none"/>
        </w:rPr>
      </w:pPr>
      <w:r>
        <w:rPr>
          <w:rFonts w:hint="default" w:ascii="Times New Roman" w:hAnsi="Times New Roman" w:cs="Times New Roman"/>
          <w:szCs w:val="21"/>
        </w:rPr>
        <w:t>每批产品出厂前应进行化学成分、物理性能和外观质量的检验，产品的检验项目及取样方法应符合表3的规定。</w:t>
      </w:r>
    </w:p>
    <w:p>
      <w:pPr>
        <w:pStyle w:val="131"/>
        <w:numPr>
          <w:ilvl w:val="0"/>
          <w:numId w:val="0"/>
        </w:numPr>
        <w:spacing w:before="156" w:after="156"/>
        <w:rPr>
          <w:color w:val="auto"/>
          <w:highlight w:val="none"/>
        </w:rPr>
      </w:pPr>
      <w:r>
        <w:rPr>
          <w:rFonts w:hint="eastAsia"/>
          <w:color w:val="auto"/>
          <w:highlight w:val="none"/>
        </w:rPr>
        <w:t>表3 产品检验项目及取样规定</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274"/>
        <w:gridCol w:w="2274"/>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tcBorders>
              <w:top w:val="single" w:color="auto" w:sz="12" w:space="0"/>
              <w:left w:val="single" w:color="auto" w:sz="12" w:space="0"/>
              <w:bottom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检验项目</w:t>
            </w:r>
          </w:p>
        </w:tc>
        <w:tc>
          <w:tcPr>
            <w:tcW w:w="2274"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取样规定</w:t>
            </w:r>
          </w:p>
        </w:tc>
        <w:tc>
          <w:tcPr>
            <w:tcW w:w="2274" w:type="dxa"/>
            <w:tcBorders>
              <w:top w:val="single" w:color="auto" w:sz="12" w:space="0"/>
              <w:bottom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要求章节号</w:t>
            </w:r>
          </w:p>
        </w:tc>
        <w:tc>
          <w:tcPr>
            <w:tcW w:w="2274" w:type="dxa"/>
            <w:tcBorders>
              <w:top w:val="single" w:color="auto" w:sz="12" w:space="0"/>
              <w:bottom w:val="single" w:color="auto" w:sz="12" w:space="0"/>
              <w:righ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试验方法章节号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tcBorders>
              <w:top w:val="single" w:color="auto" w:sz="12" w:space="0"/>
              <w:lef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化学成分</w:t>
            </w:r>
          </w:p>
        </w:tc>
        <w:tc>
          <w:tcPr>
            <w:tcW w:w="2274" w:type="dxa"/>
            <w:vMerge w:val="restart"/>
            <w:tcBorders>
              <w:top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按GB/T 5314的规定</w:t>
            </w:r>
          </w:p>
        </w:tc>
        <w:tc>
          <w:tcPr>
            <w:tcW w:w="2274" w:type="dxa"/>
            <w:tcBorders>
              <w:top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4.2</w:t>
            </w:r>
          </w:p>
        </w:tc>
        <w:tc>
          <w:tcPr>
            <w:tcW w:w="2274" w:type="dxa"/>
            <w:tcBorders>
              <w:top w:val="single" w:color="auto" w:sz="12" w:space="0"/>
              <w:righ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tcBorders>
              <w:lef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松装密度</w:t>
            </w: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vMerge w:val="restart"/>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4.3</w:t>
            </w:r>
          </w:p>
        </w:tc>
        <w:tc>
          <w:tcPr>
            <w:tcW w:w="2274" w:type="dxa"/>
            <w:tcBorders>
              <w:righ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tcBorders>
              <w:lef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振实密度</w:t>
            </w: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tcBorders>
              <w:righ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tcBorders>
              <w:lef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比表面积</w:t>
            </w: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tcBorders>
              <w:righ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tcBorders>
              <w:lef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中位径（D50）</w:t>
            </w: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tcBorders>
              <w:righ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tcBorders>
              <w:lef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氧化亚钴</w:t>
            </w:r>
            <w:r>
              <w:rPr>
                <w:rFonts w:hint="default" w:ascii="Times New Roman" w:hAnsi="Times New Roman" w:cs="Times New Roman"/>
                <w:color w:val="auto"/>
                <w:szCs w:val="21"/>
                <w:highlight w:val="none"/>
              </w:rPr>
              <w:t>（CoO）</w:t>
            </w:r>
            <w:r>
              <w:rPr>
                <w:rFonts w:hint="default" w:ascii="Times New Roman" w:hAnsi="Times New Roman" w:cs="Times New Roman"/>
                <w:color w:val="auto"/>
                <w:sz w:val="18"/>
                <w:szCs w:val="18"/>
                <w:highlight w:val="none"/>
              </w:rPr>
              <w:t>相</w:t>
            </w: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tcBorders>
              <w:righ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tcBorders>
              <w:lef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磁性异物</w:t>
            </w: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tcBorders>
              <w:righ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tcBorders>
              <w:lef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微观形貌</w:t>
            </w: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vMerge w:val="continue"/>
            <w:vAlign w:val="center"/>
          </w:tcPr>
          <w:p>
            <w:pPr>
              <w:jc w:val="center"/>
              <w:rPr>
                <w:rFonts w:hint="default" w:ascii="Times New Roman" w:hAnsi="Times New Roman" w:cs="Times New Roman"/>
                <w:color w:val="auto"/>
                <w:sz w:val="18"/>
                <w:szCs w:val="18"/>
                <w:highlight w:val="none"/>
              </w:rPr>
            </w:pPr>
          </w:p>
        </w:tc>
        <w:tc>
          <w:tcPr>
            <w:tcW w:w="2274" w:type="dxa"/>
            <w:tcBorders>
              <w:righ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2274" w:type="dxa"/>
            <w:tcBorders>
              <w:left w:val="single" w:color="auto" w:sz="12" w:space="0"/>
              <w:bottom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外观质量</w:t>
            </w:r>
          </w:p>
        </w:tc>
        <w:tc>
          <w:tcPr>
            <w:tcW w:w="2274" w:type="dxa"/>
            <w:tcBorders>
              <w:bottom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逐桶（袋）</w:t>
            </w:r>
          </w:p>
        </w:tc>
        <w:tc>
          <w:tcPr>
            <w:tcW w:w="2274" w:type="dxa"/>
            <w:tcBorders>
              <w:bottom w:val="single" w:color="auto" w:sz="12" w:space="0"/>
            </w:tcBorders>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4.4</w:t>
            </w:r>
          </w:p>
        </w:tc>
        <w:tc>
          <w:tcPr>
            <w:tcW w:w="2274" w:type="dxa"/>
            <w:tcBorders>
              <w:bottom w:val="single" w:color="auto" w:sz="12" w:space="0"/>
              <w:right w:val="single" w:color="auto" w:sz="12" w:space="0"/>
            </w:tcBorders>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5.13</w:t>
            </w:r>
          </w:p>
        </w:tc>
      </w:tr>
    </w:tbl>
    <w:p>
      <w:pPr>
        <w:widowControl/>
        <w:spacing w:before="156" w:beforeLines="50"/>
        <w:ind w:firstLine="420" w:firstLineChars="200"/>
        <w:jc w:val="left"/>
        <w:outlineLvl w:val="3"/>
        <w:rPr>
          <w:color w:val="auto"/>
          <w:kern w:val="0"/>
          <w:szCs w:val="21"/>
          <w:highlight w:val="none"/>
        </w:rPr>
      </w:pPr>
      <w:r>
        <w:rPr>
          <w:rFonts w:hint="eastAsia"/>
          <w:color w:val="auto"/>
          <w:kern w:val="0"/>
          <w:szCs w:val="21"/>
          <w:highlight w:val="none"/>
        </w:rPr>
        <w:t>每批取样总量不</w:t>
      </w:r>
      <w:r>
        <w:rPr>
          <w:rFonts w:hint="eastAsia"/>
          <w:strike/>
          <w:dstrike w:val="0"/>
          <w:color w:val="auto"/>
          <w:kern w:val="0"/>
          <w:szCs w:val="21"/>
          <w:highlight w:val="none"/>
          <w:lang w:eastAsia="zh-CN"/>
        </w:rPr>
        <w:t>得</w:t>
      </w:r>
      <w:r>
        <w:rPr>
          <w:rFonts w:hint="eastAsia"/>
          <w:color w:val="auto"/>
          <w:kern w:val="0"/>
          <w:szCs w:val="21"/>
          <w:highlight w:val="none"/>
        </w:rPr>
        <w:t>少于</w:t>
      </w:r>
      <w:r>
        <w:rPr>
          <w:color w:val="auto"/>
          <w:kern w:val="0"/>
          <w:szCs w:val="21"/>
          <w:highlight w:val="none"/>
        </w:rPr>
        <w:t>5 kg</w:t>
      </w:r>
      <w:r>
        <w:rPr>
          <w:rFonts w:hint="eastAsia"/>
          <w:color w:val="auto"/>
          <w:kern w:val="0"/>
          <w:szCs w:val="21"/>
          <w:highlight w:val="none"/>
        </w:rPr>
        <w:t>。</w:t>
      </w:r>
    </w:p>
    <w:p>
      <w:pPr>
        <w:pStyle w:val="48"/>
        <w:spacing w:before="156" w:after="156"/>
        <w:rPr>
          <w:color w:val="auto"/>
          <w:highlight w:val="none"/>
        </w:rPr>
      </w:pPr>
      <w:r>
        <w:rPr>
          <w:rFonts w:hint="eastAsia"/>
          <w:color w:val="auto"/>
          <w:highlight w:val="none"/>
        </w:rPr>
        <w:t>检验</w:t>
      </w:r>
      <w:r>
        <w:rPr>
          <w:color w:val="auto"/>
          <w:highlight w:val="none"/>
        </w:rPr>
        <w:t>结果判断</w:t>
      </w:r>
    </w:p>
    <w:p>
      <w:pPr>
        <w:pStyle w:val="155"/>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r>
        <w:rPr>
          <w:rFonts w:hint="default" w:ascii="Times New Roman" w:hAnsi="Times New Roman" w:eastAsia="宋体" w:cs="Times New Roman"/>
          <w:kern w:val="2"/>
          <w:sz w:val="21"/>
          <w:szCs w:val="24"/>
          <w:highlight w:val="none"/>
          <w:lang w:val="en-US" w:eastAsia="zh-CN" w:bidi="ar-SA"/>
        </w:rPr>
        <w:t>产品的化学成分检验不符合本文件规定时，应在该批产品中对不符合本文件规定的项目取双倍数量的样品按</w:t>
      </w:r>
      <w:r>
        <w:rPr>
          <w:rFonts w:hint="eastAsia" w:ascii="Times New Roman" w:eastAsia="宋体" w:cs="Times New Roman"/>
          <w:kern w:val="2"/>
          <w:sz w:val="21"/>
          <w:szCs w:val="24"/>
          <w:highlight w:val="none"/>
          <w:lang w:val="en-US" w:eastAsia="zh-CN" w:bidi="ar-SA"/>
        </w:rPr>
        <w:t>5.1</w:t>
      </w:r>
      <w:r>
        <w:rPr>
          <w:rFonts w:hint="default" w:ascii="Times New Roman" w:hAnsi="Times New Roman" w:eastAsia="宋体" w:cs="Times New Roman"/>
          <w:kern w:val="2"/>
          <w:sz w:val="21"/>
          <w:szCs w:val="24"/>
          <w:highlight w:val="none"/>
          <w:lang w:val="en-US" w:eastAsia="zh-CN" w:bidi="ar-SA"/>
        </w:rPr>
        <w:t>~</w:t>
      </w:r>
      <w:r>
        <w:rPr>
          <w:rFonts w:hint="eastAsia" w:ascii="Times New Roman" w:eastAsia="宋体" w:cs="Times New Roman"/>
          <w:kern w:val="2"/>
          <w:sz w:val="21"/>
          <w:szCs w:val="24"/>
          <w:highlight w:val="none"/>
          <w:lang w:val="en-US" w:eastAsia="zh-CN" w:bidi="ar-SA"/>
        </w:rPr>
        <w:t>5</w:t>
      </w:r>
      <w:r>
        <w:rPr>
          <w:rFonts w:hint="default" w:ascii="Times New Roman" w:hAnsi="Times New Roman" w:eastAsia="宋体" w:cs="Times New Roman"/>
          <w:kern w:val="2"/>
          <w:sz w:val="21"/>
          <w:szCs w:val="24"/>
          <w:highlight w:val="none"/>
          <w:lang w:val="en-US" w:eastAsia="zh-CN" w:bidi="ar-SA"/>
        </w:rPr>
        <w:t>.</w:t>
      </w:r>
      <w:r>
        <w:rPr>
          <w:rFonts w:hint="eastAsia" w:ascii="Times New Roman" w:eastAsia="宋体" w:cs="Times New Roman"/>
          <w:kern w:val="2"/>
          <w:sz w:val="21"/>
          <w:szCs w:val="24"/>
          <w:highlight w:val="none"/>
          <w:lang w:val="en-US" w:eastAsia="zh-CN" w:bidi="ar-SA"/>
        </w:rPr>
        <w:t>5</w:t>
      </w:r>
      <w:r>
        <w:rPr>
          <w:rFonts w:hint="default" w:ascii="Times New Roman" w:hAnsi="Times New Roman" w:eastAsia="宋体" w:cs="Times New Roman"/>
          <w:kern w:val="2"/>
          <w:sz w:val="21"/>
          <w:szCs w:val="24"/>
          <w:highlight w:val="none"/>
          <w:lang w:val="en-US" w:eastAsia="zh-CN" w:bidi="ar-SA"/>
        </w:rPr>
        <w:t>所规定的检验项目进行重复检验。如仍有一个结果不符合本文件的规定时，则判该批产品为不合格。</w:t>
      </w:r>
    </w:p>
    <w:p>
      <w:pPr>
        <w:pStyle w:val="155"/>
        <w:bidi w:val="0"/>
        <w:rPr>
          <w:rFonts w:hint="default" w:ascii="Times New Roman" w:hAnsi="Times New Roman" w:cs="Times New Roman"/>
          <w:color w:val="auto"/>
          <w:highlight w:val="none"/>
        </w:rPr>
      </w:pPr>
      <w:r>
        <w:rPr>
          <w:rFonts w:hint="default" w:ascii="Times New Roman" w:hAnsi="Times New Roman" w:eastAsia="宋体" w:cs="Times New Roman"/>
          <w:kern w:val="2"/>
          <w:sz w:val="21"/>
          <w:szCs w:val="24"/>
          <w:highlight w:val="none"/>
          <w:lang w:val="en-US" w:eastAsia="zh-CN" w:bidi="ar-SA"/>
        </w:rPr>
        <w:t>产品的松装密度、振实密度、比表面积、中位径（D50）、氧化亚钴（CoO）相、</w:t>
      </w:r>
      <w:r>
        <w:rPr>
          <w:rFonts w:hint="eastAsia" w:ascii="Times New Roman" w:hAnsi="Times New Roman" w:eastAsia="宋体" w:cs="Times New Roman"/>
          <w:kern w:val="2"/>
          <w:sz w:val="21"/>
          <w:szCs w:val="24"/>
          <w:highlight w:val="none"/>
          <w:lang w:val="en-US" w:eastAsia="zh-CN" w:bidi="ar-SA"/>
        </w:rPr>
        <w:t>磁性异物（未加进去）、</w:t>
      </w:r>
      <w:r>
        <w:rPr>
          <w:rFonts w:hint="default" w:ascii="Times New Roman" w:hAnsi="Times New Roman" w:eastAsia="宋体" w:cs="Times New Roman"/>
          <w:kern w:val="2"/>
          <w:sz w:val="21"/>
          <w:szCs w:val="24"/>
          <w:highlight w:val="none"/>
          <w:lang w:val="en-US" w:eastAsia="zh-CN" w:bidi="ar-SA"/>
        </w:rPr>
        <w:t>微观形貌检验不符合本文件规定时，应在该批产品中对不符合本文件规定的项目取双倍数量的样品按</w:t>
      </w:r>
      <w:r>
        <w:rPr>
          <w:rFonts w:hint="eastAsia" w:ascii="Times New Roman" w:eastAsia="宋体" w:cs="Times New Roman"/>
          <w:kern w:val="2"/>
          <w:sz w:val="21"/>
          <w:szCs w:val="24"/>
          <w:highlight w:val="none"/>
          <w:lang w:val="en-US" w:eastAsia="zh-CN" w:bidi="ar-SA"/>
        </w:rPr>
        <w:t>5.6</w:t>
      </w:r>
      <w:r>
        <w:rPr>
          <w:rFonts w:hint="default" w:ascii="Times New Roman" w:hAnsi="Times New Roman" w:eastAsia="宋体" w:cs="Times New Roman"/>
          <w:kern w:val="2"/>
          <w:sz w:val="21"/>
          <w:szCs w:val="24"/>
          <w:highlight w:val="none"/>
          <w:lang w:val="en-US" w:eastAsia="zh-CN" w:bidi="ar-SA"/>
        </w:rPr>
        <w:t>~</w:t>
      </w:r>
      <w:r>
        <w:rPr>
          <w:rFonts w:hint="eastAsia" w:ascii="Times New Roman" w:eastAsia="宋体" w:cs="Times New Roman"/>
          <w:kern w:val="2"/>
          <w:sz w:val="21"/>
          <w:szCs w:val="24"/>
          <w:highlight w:val="none"/>
          <w:lang w:val="en-US" w:eastAsia="zh-CN" w:bidi="ar-SA"/>
        </w:rPr>
        <w:t>5.12</w:t>
      </w:r>
      <w:r>
        <w:rPr>
          <w:rFonts w:hint="default" w:ascii="Times New Roman" w:hAnsi="Times New Roman" w:eastAsia="宋体" w:cs="Times New Roman"/>
          <w:kern w:val="2"/>
          <w:sz w:val="21"/>
          <w:szCs w:val="24"/>
          <w:highlight w:val="none"/>
          <w:lang w:val="en-US" w:eastAsia="zh-CN" w:bidi="ar-SA"/>
        </w:rPr>
        <w:t>所规定的检验项目进行重复检验。如仍有一个结果不符合本文件的规定时，则判该批产品为不合格。</w:t>
      </w:r>
    </w:p>
    <w:p>
      <w:pPr>
        <w:tabs>
          <w:tab w:val="left" w:pos="630"/>
        </w:tabs>
        <w:outlineLvl w:val="1"/>
        <w:rPr>
          <w:rFonts w:hint="default" w:ascii="Times New Roman" w:hAnsi="Times New Roman" w:cs="Times New Roman"/>
          <w:color w:val="auto"/>
          <w:highlight w:val="none"/>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 xml:space="preserve">.4.3 </w:t>
      </w:r>
      <w:r>
        <w:rPr>
          <w:rFonts w:hint="default" w:ascii="Times New Roman" w:hAnsi="Times New Roman" w:eastAsia="黑体" w:cs="Times New Roman"/>
          <w:color w:val="auto"/>
          <w:highlight w:val="none"/>
        </w:rPr>
        <w:t xml:space="preserve"> </w:t>
      </w:r>
      <w:r>
        <w:rPr>
          <w:rFonts w:hint="default" w:ascii="Times New Roman" w:hAnsi="Times New Roman" w:cs="Times New Roman"/>
          <w:color w:val="auto"/>
          <w:highlight w:val="none"/>
        </w:rPr>
        <w:t>产品的外观质量检验不符合本文件规定时，则判该桶（袋）产品不合格。</w:t>
      </w:r>
    </w:p>
    <w:p>
      <w:pPr>
        <w:pStyle w:val="51"/>
        <w:spacing w:before="312" w:after="312"/>
      </w:pPr>
      <w:r>
        <w:rPr>
          <w:rFonts w:hint="eastAsia"/>
        </w:rPr>
        <w:t>标志</w:t>
      </w:r>
      <w:r>
        <w:t>、包装、运输、贮存</w:t>
      </w:r>
      <w:r>
        <w:rPr>
          <w:rFonts w:hint="eastAsia"/>
          <w:lang w:val="en-US" w:eastAsia="zh-CN"/>
        </w:rPr>
        <w:t>及随行文件</w:t>
      </w:r>
      <w:bookmarkStart w:id="32" w:name="_GoBack"/>
      <w:bookmarkEnd w:id="32"/>
    </w:p>
    <w:p>
      <w:pPr>
        <w:pStyle w:val="48"/>
        <w:spacing w:before="156" w:after="156"/>
      </w:pPr>
      <w:r>
        <w:rPr>
          <w:rFonts w:hint="eastAsia"/>
        </w:rPr>
        <w:t>标志</w:t>
      </w:r>
    </w:p>
    <w:p>
      <w:pPr>
        <w:pStyle w:val="155"/>
        <w:bidi w:val="0"/>
      </w:pPr>
      <w:r>
        <w:rPr>
          <w:rFonts w:hint="eastAsia"/>
        </w:rPr>
        <w:t>销售包装标志</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经检验合格的产品销售外包装上应打印如下标志（或贴标签）：</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a) 供方质量监督部门的印记；</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b) 供方名称、商标；</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c) 产品名称、牌号；</w:t>
      </w:r>
    </w:p>
    <w:p>
      <w:pPr>
        <w:tabs>
          <w:tab w:val="left" w:pos="540"/>
        </w:tabs>
        <w:ind w:firstLine="315" w:firstLineChars="150"/>
        <w:outlineLvl w:val="1"/>
        <w:rPr>
          <w:rFonts w:hint="default" w:ascii="Times New Roman" w:hAnsi="Times New Roman" w:cs="Times New Roman"/>
        </w:rPr>
      </w:pPr>
      <w:r>
        <w:rPr>
          <w:rFonts w:hint="default" w:ascii="Times New Roman" w:hAnsi="Times New Roman" w:cs="Times New Roman"/>
        </w:rPr>
        <w:t xml:space="preserve"> d）产品批号。</w:t>
      </w:r>
    </w:p>
    <w:p>
      <w:pPr>
        <w:pStyle w:val="155"/>
        <w:bidi w:val="0"/>
      </w:pPr>
      <w:r>
        <w:rPr>
          <w:rFonts w:hint="eastAsia"/>
        </w:rPr>
        <w:t>贮运包装标志</w:t>
      </w:r>
    </w:p>
    <w:p>
      <w:pPr>
        <w:tabs>
          <w:tab w:val="left" w:pos="540"/>
        </w:tabs>
        <w:ind w:firstLine="420" w:firstLineChars="200"/>
        <w:outlineLvl w:val="1"/>
        <w:rPr>
          <w:rFonts w:hint="default" w:ascii="Times New Roman" w:hAnsi="Times New Roman" w:eastAsia="黑体" w:cs="Times New Roman"/>
          <w:color w:val="auto"/>
          <w:highlight w:val="none"/>
        </w:rPr>
      </w:pPr>
      <w:r>
        <w:rPr>
          <w:rFonts w:hint="eastAsia" w:ascii="宋体" w:hAnsi="宋体"/>
        </w:rPr>
        <w:t>产品的贮运包装应注明：供方名称、地址、产品名称、商标、牌号、等级、批号、净重和生产日期。并注明“防潮”、“轻放”、“向上”等字样或标志。</w:t>
      </w:r>
    </w:p>
    <w:p>
      <w:pPr>
        <w:pStyle w:val="48"/>
        <w:spacing w:before="156" w:after="156"/>
        <w:rPr>
          <w:rFonts w:hint="default" w:ascii="Times New Roman" w:hAnsi="Times New Roman" w:cs="Times New Roman"/>
          <w:color w:val="auto"/>
          <w:highlight w:val="none"/>
        </w:rPr>
      </w:pPr>
      <w:r>
        <w:rPr>
          <w:rFonts w:hint="default" w:ascii="Times New Roman" w:hAnsi="Times New Roman" w:cs="Times New Roman"/>
          <w:color w:val="auto"/>
          <w:highlight w:val="none"/>
        </w:rPr>
        <w:t>包装</w:t>
      </w:r>
    </w:p>
    <w:p>
      <w:pPr>
        <w:tabs>
          <w:tab w:val="left" w:pos="540"/>
        </w:tabs>
        <w:ind w:firstLine="420" w:firstLineChars="200"/>
        <w:outlineLvl w:val="1"/>
        <w:rPr>
          <w:rFonts w:hint="default" w:ascii="Times New Roman" w:hAnsi="Times New Roman" w:cs="Times New Roman"/>
          <w:color w:val="auto"/>
          <w:highlight w:val="none"/>
        </w:rPr>
      </w:pPr>
      <w:r>
        <w:rPr>
          <w:rFonts w:hint="default" w:ascii="Times New Roman" w:hAnsi="Times New Roman" w:cs="Times New Roman"/>
          <w:color w:val="auto"/>
          <w:highlight w:val="none"/>
        </w:rPr>
        <w:t>产品经检验合格后，采用铝塑袋或塑料袋包装，</w:t>
      </w:r>
      <w:r>
        <w:rPr>
          <w:rFonts w:hint="default" w:ascii="Times New Roman" w:hAnsi="Times New Roman" w:cs="Times New Roman"/>
          <w:color w:val="auto"/>
          <w:highlight w:val="none"/>
          <w:lang w:eastAsia="zh-CN"/>
        </w:rPr>
        <w:t>密封，</w:t>
      </w:r>
      <w:r>
        <w:rPr>
          <w:rFonts w:hint="default" w:ascii="Times New Roman" w:hAnsi="Times New Roman" w:cs="Times New Roman"/>
          <w:color w:val="auto"/>
          <w:highlight w:val="none"/>
        </w:rPr>
        <w:t>每袋净重25kg、500kg、1000kg，并放于包装桶或吨袋中。</w:t>
      </w:r>
    </w:p>
    <w:p>
      <w:pPr>
        <w:tabs>
          <w:tab w:val="left" w:pos="540"/>
        </w:tabs>
        <w:ind w:firstLine="420" w:firstLineChars="200"/>
        <w:outlineLvl w:val="1"/>
        <w:rPr>
          <w:rFonts w:hint="default" w:ascii="Times New Roman" w:hAnsi="Times New Roman" w:cs="Times New Roman"/>
          <w:color w:val="auto"/>
          <w:highlight w:val="none"/>
        </w:rPr>
      </w:pPr>
      <w:r>
        <w:rPr>
          <w:rFonts w:hint="default" w:ascii="Times New Roman" w:hAnsi="Times New Roman" w:cs="Times New Roman"/>
          <w:kern w:val="0"/>
          <w:szCs w:val="21"/>
        </w:rPr>
        <w:t>需方对包装有特殊要求时，由供需双方协商确定。</w:t>
      </w:r>
    </w:p>
    <w:p>
      <w:pPr>
        <w:pStyle w:val="48"/>
        <w:spacing w:before="156" w:after="156"/>
      </w:pPr>
      <w:r>
        <w:rPr>
          <w:rFonts w:hint="eastAsia"/>
        </w:rPr>
        <w:t>运输</w:t>
      </w:r>
    </w:p>
    <w:p>
      <w:pPr>
        <w:widowControl/>
        <w:spacing w:before="156" w:beforeLines="50" w:after="156" w:afterLines="50"/>
        <w:ind w:firstLine="420" w:firstLineChars="200"/>
        <w:jc w:val="left"/>
        <w:outlineLvl w:val="3"/>
        <w:rPr>
          <w:rFonts w:ascii="宋体" w:hAnsi="宋体"/>
          <w:color w:val="FFFFFF" w:themeColor="background1"/>
          <w:highlight w:val="red"/>
          <w14:textFill>
            <w14:solidFill>
              <w14:schemeClr w14:val="bg1"/>
            </w14:solidFill>
          </w14:textFill>
        </w:rPr>
      </w:pPr>
      <w:r>
        <w:rPr>
          <w:rFonts w:hint="eastAsia" w:ascii="宋体" w:hAnsi="宋体"/>
        </w:rPr>
        <w:t>运输时防止产品受雨、受潮，运输车辆应清洁。在搬运过程中应轻拿轻放，不</w:t>
      </w:r>
      <w:r>
        <w:rPr>
          <w:rFonts w:hint="eastAsia" w:ascii="宋体" w:hAnsi="宋体"/>
          <w:lang w:val="en-US" w:eastAsia="zh-CN"/>
        </w:rPr>
        <w:t>应</w:t>
      </w:r>
      <w:r>
        <w:rPr>
          <w:rFonts w:hint="eastAsia" w:ascii="宋体" w:hAnsi="宋体"/>
        </w:rPr>
        <w:t>滚动、倒置及剧烈碰撞，并防止产品的密封包装损坏。</w:t>
      </w:r>
    </w:p>
    <w:p>
      <w:pPr>
        <w:pStyle w:val="48"/>
        <w:spacing w:before="156" w:after="156"/>
      </w:pPr>
      <w:r>
        <w:rPr>
          <w:rFonts w:hint="eastAsia"/>
        </w:rPr>
        <w:t>贮存</w:t>
      </w:r>
    </w:p>
    <w:p>
      <w:pPr>
        <w:tabs>
          <w:tab w:val="left" w:pos="540"/>
        </w:tabs>
        <w:ind w:firstLine="420" w:firstLineChars="200"/>
        <w:outlineLvl w:val="1"/>
        <w:rPr>
          <w:rFonts w:ascii="宋体" w:hAnsi="宋体"/>
        </w:rPr>
      </w:pPr>
      <w:r>
        <w:rPr>
          <w:rFonts w:hint="eastAsia" w:ascii="宋体" w:hAnsi="宋体"/>
        </w:rPr>
        <w:t>产品应存放于干燥、通风、无腐蚀性气体的环境中，严防受潮、腐蚀。</w:t>
      </w:r>
    </w:p>
    <w:p>
      <w:pPr>
        <w:pStyle w:val="48"/>
        <w:spacing w:before="156" w:after="156"/>
      </w:pPr>
      <w:r>
        <w:rPr>
          <w:rFonts w:hint="eastAsia"/>
          <w:lang w:val="en-US" w:eastAsia="zh-CN"/>
        </w:rPr>
        <w:t>随行文件</w:t>
      </w:r>
    </w:p>
    <w:p>
      <w:pPr>
        <w:tabs>
          <w:tab w:val="left" w:pos="540"/>
        </w:tabs>
        <w:ind w:left="0" w:firstLine="0" w:firstLineChars="0"/>
        <w:rPr>
          <w:rFonts w:hint="default" w:ascii="Times New Roman" w:hAnsi="Times New Roman" w:eastAsia="宋体" w:cs="Times New Roman"/>
        </w:rPr>
      </w:pPr>
      <w:r>
        <w:rPr>
          <w:rFonts w:hint="default" w:ascii="Times New Roman" w:hAnsi="Times New Roman" w:eastAsia="宋体" w:cs="Times New Roman"/>
        </w:rPr>
        <w:t xml:space="preserve">    </w:t>
      </w:r>
      <w:r>
        <w:rPr>
          <w:rFonts w:hint="default" w:ascii="宋体" w:hAnsi="宋体"/>
        </w:rPr>
        <w:t>每批产品应附有</w:t>
      </w:r>
      <w:r>
        <w:rPr>
          <w:rFonts w:hint="eastAsia" w:ascii="宋体" w:hAnsi="宋体"/>
          <w:lang w:val="en-US" w:eastAsia="zh-CN"/>
        </w:rPr>
        <w:t>随行文件，其中除应包括供方信息、</w:t>
      </w:r>
      <w:r>
        <w:rPr>
          <w:rFonts w:hint="default" w:ascii="宋体" w:hAnsi="宋体"/>
        </w:rPr>
        <w:t>产品</w:t>
      </w:r>
      <w:r>
        <w:rPr>
          <w:rFonts w:hint="eastAsia" w:ascii="宋体" w:hAnsi="宋体"/>
          <w:lang w:val="en-US" w:eastAsia="zh-CN"/>
        </w:rPr>
        <w:t>信息、本文件编号、出厂日期或包装日期外，还宜包括</w:t>
      </w:r>
      <w:r>
        <w:rPr>
          <w:rFonts w:hint="default" w:ascii="宋体" w:hAnsi="宋体"/>
        </w:rPr>
        <w:t>：</w:t>
      </w:r>
    </w:p>
    <w:p>
      <w:pP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a) 产品质量保证书</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产品的主要性能及技术参数</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产品特点(包括制造工艺及原材料的特点)</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对产品质量所负的责任</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产品获得的质量认证及带供方技术监督部门检印的各项分析检验结果</w:t>
      </w:r>
      <w:r>
        <w:rPr>
          <w:rFonts w:hint="eastAsia" w:cs="Times New Roman"/>
          <w:color w:val="000000"/>
          <w:lang w:eastAsia="zh-CN"/>
        </w:rPr>
        <w:t>；</w:t>
      </w:r>
    </w:p>
    <w:p>
      <w:pPr>
        <w:tabs>
          <w:tab w:val="left" w:pos="540"/>
        </w:tabs>
        <w:ind w:left="420" w:leftChars="200"/>
        <w:rPr>
          <w:rFonts w:hint="eastAsia" w:cs="Times New Roman"/>
          <w:color w:val="000000"/>
          <w:lang w:eastAsia="zh-CN"/>
        </w:rPr>
      </w:pPr>
      <w:r>
        <w:rPr>
          <w:rFonts w:hint="default" w:ascii="Times New Roman" w:hAnsi="Times New Roman" w:eastAsia="宋体" w:cs="Times New Roman"/>
          <w:color w:val="000000"/>
        </w:rPr>
        <w:t>b) 产品合格证</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检验项目及其结果或检验结论</w:t>
      </w:r>
      <w:r>
        <w:rPr>
          <w:rFonts w:hint="eastAsia" w:ascii="Times New Roman" w:hAnsi="Times New Roman" w:eastAsia="宋体"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批号</w:t>
      </w:r>
      <w:r>
        <w:rPr>
          <w:rFonts w:hint="eastAsia" w:ascii="Times New Roman" w:hAnsi="Times New Roman" w:eastAsia="宋体"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检验日期</w:t>
      </w:r>
      <w:r>
        <w:rPr>
          <w:rFonts w:hint="eastAsia" w:ascii="Times New Roman" w:hAnsi="Times New Roman" w:eastAsia="宋体"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检验员签名或盖章</w:t>
      </w:r>
      <w:r>
        <w:rPr>
          <w:rFonts w:hint="eastAsia" w:ascii="Times New Roman" w:hAnsi="Times New Roman" w:eastAsia="宋体" w:cs="Times New Roman"/>
          <w:color w:val="000000"/>
          <w:lang w:eastAsia="zh-CN"/>
        </w:rPr>
        <w:t>；</w:t>
      </w:r>
    </w:p>
    <w:p>
      <w:pPr>
        <w:tabs>
          <w:tab w:val="left" w:pos="540"/>
        </w:tabs>
        <w:ind w:left="420" w:leftChars="200"/>
        <w:rPr>
          <w:rFonts w:hint="eastAsia" w:cs="Times New Roman"/>
          <w:color w:val="000000"/>
          <w:lang w:eastAsia="zh-CN"/>
        </w:rPr>
      </w:pPr>
      <w:r>
        <w:rPr>
          <w:rFonts w:hint="eastAsia" w:cs="Times New Roman"/>
          <w:color w:val="000000"/>
          <w:lang w:val="en-US" w:eastAsia="zh-CN"/>
        </w:rPr>
        <w:t>c</w:t>
      </w:r>
      <w:r>
        <w:rPr>
          <w:rFonts w:hint="default" w:ascii="Times New Roman" w:hAnsi="Times New Roman" w:eastAsia="宋体" w:cs="Times New Roman"/>
          <w:color w:val="000000"/>
        </w:rPr>
        <w:t>)产品质量控制程中的检验报告及成品检验报告</w:t>
      </w:r>
      <w:r>
        <w:rPr>
          <w:rFonts w:hint="eastAsia" w:cs="Times New Roman"/>
          <w:color w:val="000000"/>
          <w:lang w:eastAsia="zh-CN"/>
        </w:rPr>
        <w:t>；</w:t>
      </w:r>
    </w:p>
    <w:p>
      <w:pP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d) 产品使用说明</w:t>
      </w:r>
      <w:r>
        <w:rPr>
          <w:rFonts w:hint="eastAsia" w:cs="Times New Roman"/>
          <w:color w:val="000000"/>
          <w:lang w:eastAsia="zh-CN"/>
        </w:rPr>
        <w:t>：</w:t>
      </w:r>
      <w:r>
        <w:rPr>
          <w:rFonts w:hint="default" w:ascii="Times New Roman" w:hAnsi="Times New Roman" w:eastAsia="宋体" w:cs="Times New Roman"/>
          <w:color w:val="000000"/>
        </w:rPr>
        <w:t>正确搬运、使用、贮存方法等</w:t>
      </w:r>
      <w:r>
        <w:rPr>
          <w:rFonts w:hint="eastAsia" w:cs="Times New Roman"/>
          <w:color w:val="000000"/>
          <w:lang w:eastAsia="zh-CN"/>
        </w:rPr>
        <w:t>；</w:t>
      </w:r>
    </w:p>
    <w:p>
      <w:pP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e) 其他</w:t>
      </w:r>
      <w:r>
        <w:rPr>
          <w:rFonts w:hint="eastAsia" w:cs="Times New Roman"/>
          <w:color w:val="000000"/>
          <w:lang w:eastAsia="zh-CN"/>
        </w:rPr>
        <w:t>。</w:t>
      </w:r>
    </w:p>
    <w:p>
      <w:pPr>
        <w:pStyle w:val="51"/>
        <w:spacing w:before="312" w:after="312"/>
        <w:rPr>
          <w:szCs w:val="22"/>
        </w:rPr>
      </w:pPr>
      <w:r>
        <w:rPr>
          <w:rFonts w:hint="eastAsia"/>
          <w:szCs w:val="22"/>
        </w:rPr>
        <w:t>订货单内容</w:t>
      </w:r>
    </w:p>
    <w:p>
      <w:pPr>
        <w:tabs>
          <w:tab w:val="left" w:pos="540"/>
        </w:tabs>
        <w:rPr>
          <w:rFonts w:hint="eastAsia" w:ascii="Times New Roman" w:hAnsi="Times New Roman" w:eastAsia="宋体" w:cs="Times New Roman"/>
          <w:lang w:eastAsia="zh-CN"/>
        </w:rPr>
      </w:pPr>
      <w:r>
        <w:rPr>
          <w:rFonts w:hint="default" w:ascii="Times New Roman" w:hAnsi="Times New Roman" w:eastAsia="宋体" w:cs="Times New Roman"/>
        </w:rPr>
        <w:t xml:space="preserve">    </w:t>
      </w:r>
      <w:r>
        <w:rPr>
          <w:rFonts w:hint="eastAsia" w:cs="Times New Roman"/>
          <w:lang w:val="en-US" w:eastAsia="zh-CN"/>
        </w:rPr>
        <w:t>需方可根据自身需要，在订购</w:t>
      </w:r>
      <w:r>
        <w:rPr>
          <w:rFonts w:hint="default" w:ascii="Times New Roman" w:hAnsi="Times New Roman" w:eastAsia="宋体" w:cs="Times New Roman"/>
        </w:rPr>
        <w:t>本文件所列产品的订货单</w:t>
      </w:r>
      <w:r>
        <w:rPr>
          <w:rFonts w:hint="eastAsia" w:cs="Times New Roman"/>
          <w:lang w:val="en-US" w:eastAsia="zh-CN"/>
        </w:rPr>
        <w:t>内，列出如下内容</w:t>
      </w:r>
      <w:r>
        <w:rPr>
          <w:rFonts w:hint="eastAsia" w:cs="Times New Roman"/>
          <w:lang w:eastAsia="zh-CN"/>
        </w:rPr>
        <w:t>：</w:t>
      </w:r>
    </w:p>
    <w:p>
      <w:pPr>
        <w:numPr>
          <w:ilvl w:val="0"/>
          <w:numId w:val="24"/>
        </w:numPr>
        <w:tabs>
          <w:tab w:val="left" w:pos="540"/>
        </w:tabs>
        <w:rPr>
          <w:rFonts w:hint="default" w:ascii="Times New Roman" w:hAnsi="Times New Roman" w:eastAsia="宋体" w:cs="Times New Roman"/>
        </w:rPr>
      </w:pPr>
      <w:r>
        <w:rPr>
          <w:rFonts w:hint="default" w:ascii="Times New Roman" w:hAnsi="Times New Roman" w:eastAsia="宋体" w:cs="Times New Roman"/>
        </w:rPr>
        <w:t>产品名称；</w:t>
      </w:r>
    </w:p>
    <w:p>
      <w:pPr>
        <w:numPr>
          <w:ilvl w:val="0"/>
          <w:numId w:val="24"/>
        </w:numPr>
        <w:tabs>
          <w:tab w:val="left" w:pos="540"/>
        </w:tabs>
        <w:rPr>
          <w:rFonts w:hint="default" w:ascii="Times New Roman" w:hAnsi="Times New Roman" w:eastAsia="宋体" w:cs="Times New Roman"/>
        </w:rPr>
      </w:pPr>
      <w:r>
        <w:rPr>
          <w:rFonts w:hint="default" w:ascii="Times New Roman" w:hAnsi="Times New Roman" w:eastAsia="宋体" w:cs="Times New Roman"/>
        </w:rPr>
        <w:t>牌号、等级；</w:t>
      </w:r>
    </w:p>
    <w:p>
      <w:pPr>
        <w:numPr>
          <w:ilvl w:val="0"/>
          <w:numId w:val="24"/>
        </w:numPr>
        <w:tabs>
          <w:tab w:val="left" w:pos="540"/>
        </w:tabs>
        <w:rPr>
          <w:rFonts w:hint="default" w:ascii="Times New Roman" w:hAnsi="Times New Roman" w:eastAsia="宋体" w:cs="Times New Roman"/>
        </w:rPr>
      </w:pPr>
      <w:r>
        <w:rPr>
          <w:rFonts w:hint="default" w:ascii="Times New Roman" w:hAnsi="Times New Roman" w:eastAsia="宋体" w:cs="Times New Roman"/>
        </w:rPr>
        <w:t>产品数量；</w:t>
      </w:r>
    </w:p>
    <w:p>
      <w:pPr>
        <w:numPr>
          <w:ilvl w:val="0"/>
          <w:numId w:val="24"/>
        </w:numPr>
        <w:tabs>
          <w:tab w:val="left" w:pos="540"/>
        </w:tabs>
        <w:rPr>
          <w:rFonts w:hint="default" w:ascii="Times New Roman" w:hAnsi="Times New Roman" w:eastAsia="宋体" w:cs="Times New Roman"/>
        </w:rPr>
      </w:pPr>
      <w:r>
        <w:rPr>
          <w:rFonts w:hint="default" w:ascii="Times New Roman" w:hAnsi="Times New Roman" w:eastAsia="宋体" w:cs="Times New Roman"/>
        </w:rPr>
        <w:t>本文件编号；</w:t>
      </w:r>
    </w:p>
    <w:p>
      <w:pPr>
        <w:numPr>
          <w:ilvl w:val="0"/>
          <w:numId w:val="24"/>
        </w:numPr>
        <w:tabs>
          <w:tab w:val="left" w:pos="540"/>
        </w:tabs>
        <w:rPr>
          <w:rFonts w:hint="default" w:ascii="Times New Roman" w:hAnsi="Times New Roman" w:eastAsia="宋体" w:cs="Times New Roman"/>
        </w:rPr>
      </w:pPr>
      <w:r>
        <w:rPr>
          <w:rFonts w:hint="default" w:ascii="Times New Roman" w:hAnsi="Times New Roman" w:eastAsia="宋体" w:cs="Times New Roman"/>
        </w:rPr>
        <w:t>其他。</w:t>
      </w:r>
    </w:p>
    <w:p>
      <w:pPr>
        <w:rPr>
          <w:rFonts w:hint="default" w:ascii="Times New Roman" w:hAnsi="Times New Roman" w:eastAsia="宋体" w:cs="Times New Roman"/>
        </w:rPr>
      </w:pPr>
      <w:r>
        <w:rPr>
          <w:rFonts w:hint="default" w:ascii="Times New Roman" w:hAnsi="Times New Roman" w:eastAsia="宋体" w:cs="Times New Roman"/>
        </w:rPr>
        <w:br w:type="page"/>
      </w:r>
    </w:p>
    <w:p>
      <w:pPr>
        <w:jc w:val="center"/>
        <w:rPr>
          <w:rFonts w:ascii="黑体" w:eastAsia="黑体"/>
          <w:color w:val="auto"/>
          <w:highlight w:val="none"/>
        </w:rPr>
      </w:pPr>
      <w:r>
        <w:rPr>
          <w:rFonts w:hint="eastAsia" w:ascii="黑体" w:eastAsia="黑体"/>
          <w:color w:val="auto"/>
          <w:highlight w:val="none"/>
        </w:rPr>
        <w:t>附录A</w:t>
      </w:r>
    </w:p>
    <w:p>
      <w:pPr>
        <w:jc w:val="center"/>
        <w:rPr>
          <w:rFonts w:ascii="黑体" w:eastAsia="黑体"/>
          <w:color w:val="auto"/>
          <w:highlight w:val="none"/>
        </w:rPr>
      </w:pPr>
      <w:r>
        <w:rPr>
          <w:rFonts w:hint="eastAsia" w:ascii="黑体" w:eastAsia="黑体"/>
          <w:color w:val="auto"/>
          <w:highlight w:val="none"/>
        </w:rPr>
        <w:t>（资料性）</w:t>
      </w:r>
    </w:p>
    <w:p>
      <w:pPr>
        <w:jc w:val="center"/>
        <w:rPr>
          <w:rFonts w:ascii="黑体" w:eastAsia="黑体"/>
          <w:color w:val="auto"/>
          <w:highlight w:val="none"/>
        </w:rPr>
      </w:pPr>
      <w:r>
        <w:rPr>
          <w:rFonts w:hint="eastAsia" w:ascii="黑体" w:eastAsia="黑体"/>
          <w:color w:val="auto"/>
          <w:highlight w:val="none"/>
        </w:rPr>
        <w:t>四氧化三钴中氧化亚钴相的定量分析  X射线衍射K值法</w:t>
      </w:r>
    </w:p>
    <w:p>
      <w:pPr>
        <w:tabs>
          <w:tab w:val="left" w:pos="0"/>
        </w:tabs>
        <w:jc w:val="left"/>
        <w:rPr>
          <w:rFonts w:ascii="黑体" w:eastAsia="黑体"/>
          <w:color w:val="auto"/>
          <w:highlight w:val="none"/>
        </w:rPr>
      </w:pPr>
      <w:r>
        <w:rPr>
          <w:rFonts w:hint="eastAsia" w:ascii="黑体" w:eastAsia="黑体"/>
          <w:color w:val="auto"/>
          <w:highlight w:val="none"/>
        </w:rPr>
        <w:t>A.1  工作原理</w:t>
      </w:r>
    </w:p>
    <w:p>
      <w:pPr>
        <w:tabs>
          <w:tab w:val="left" w:pos="540"/>
        </w:tabs>
        <w:ind w:firstLine="420" w:firstLineChars="200"/>
        <w:outlineLvl w:val="1"/>
        <w:rPr>
          <w:rFonts w:hint="default" w:ascii="Times New Roman" w:hAnsi="Times New Roman" w:cs="Times New Roman"/>
          <w:color w:val="auto"/>
          <w:highlight w:val="none"/>
        </w:rPr>
      </w:pPr>
      <w:r>
        <w:rPr>
          <w:rFonts w:hint="default" w:ascii="Times New Roman" w:hAnsi="Times New Roman" w:cs="Times New Roman"/>
          <w:color w:val="auto"/>
          <w:highlight w:val="none"/>
        </w:rPr>
        <w:t>一种物相的X射线衍射图谱是该物相的晶体结构特征表征。</w:t>
      </w:r>
    </w:p>
    <w:p>
      <w:pPr>
        <w:tabs>
          <w:tab w:val="left" w:pos="540"/>
        </w:tabs>
        <w:ind w:firstLine="420" w:firstLineChars="200"/>
        <w:outlineLvl w:val="1"/>
        <w:rPr>
          <w:rFonts w:hint="default" w:ascii="Times New Roman" w:hAnsi="Times New Roman" w:cs="Times New Roman"/>
          <w:color w:val="auto"/>
          <w:highlight w:val="none"/>
        </w:rPr>
      </w:pPr>
      <w:r>
        <w:rPr>
          <w:rFonts w:hint="default" w:ascii="Times New Roman" w:hAnsi="Times New Roman" w:cs="Times New Roman"/>
          <w:color w:val="auto"/>
          <w:highlight w:val="none"/>
        </w:rPr>
        <w:t>用K值法对两相或两相以上试样进行X射线衍射定量分析时，某相的衍射线累积强度与该物相在试样中的含量由公式（A.1）、公式（A.2）进行计算；</w:t>
      </w:r>
    </w:p>
    <w:p>
      <w:pPr>
        <w:wordWrap w:val="0"/>
        <w:jc w:val="right"/>
        <w:rPr>
          <w:rFonts w:hint="default" w:ascii="Times New Roman" w:hAnsi="Times New Roman" w:cs="Times New Roman"/>
          <w:color w:val="auto"/>
          <w:highlight w:val="none"/>
        </w:rPr>
      </w:pPr>
      <w:r>
        <w:rPr>
          <w:rFonts w:hint="default" w:ascii="Times New Roman" w:hAnsi="Times New Roman" w:cs="Times New Roman"/>
          <w:color w:val="auto"/>
          <w:position w:val="-30"/>
          <w:highlight w:val="none"/>
        </w:rPr>
        <w:object>
          <v:shape id="_x0000_i1025" o:spt="75" type="#_x0000_t75" style="height:36.4pt;width:139.8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default" w:ascii="Times New Roman" w:hAnsi="Times New Roman" w:cs="Times New Roman"/>
          <w:color w:val="auto"/>
          <w:highlight w:val="none"/>
        </w:rPr>
        <w:t xml:space="preserve">   …………………………   （A.1）</w:t>
      </w:r>
    </w:p>
    <w:p>
      <w:pPr>
        <w:jc w:val="right"/>
        <w:rPr>
          <w:rFonts w:hint="default" w:ascii="Times New Roman" w:hAnsi="Times New Roman" w:cs="Times New Roman"/>
          <w:color w:val="auto"/>
          <w:highlight w:val="none"/>
        </w:rPr>
      </w:pPr>
      <w:r>
        <w:rPr>
          <w:rFonts w:hint="default" w:ascii="Times New Roman" w:hAnsi="Times New Roman" w:cs="Times New Roman"/>
          <w:color w:val="auto"/>
          <w:position w:val="-30"/>
          <w:highlight w:val="none"/>
        </w:rPr>
        <w:object>
          <v:shape id="_x0000_i1026" o:spt="75" type="#_x0000_t75" style="height:37.15pt;width:109.9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default" w:ascii="Times New Roman" w:hAnsi="Times New Roman" w:cs="Times New Roman"/>
          <w:color w:val="auto"/>
          <w:highlight w:val="none"/>
        </w:rPr>
        <w:t xml:space="preserve">    …………………………   （A.2）</w:t>
      </w:r>
    </w:p>
    <w:p>
      <w:pPr>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式中：</w:t>
      </w:r>
    </w:p>
    <w:p>
      <w:pPr>
        <w:snapToGrid w:val="0"/>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position w:val="-12"/>
          <w:highlight w:val="none"/>
        </w:rPr>
        <w:object>
          <v:shape id="_x0000_i1027" o:spt="75" type="#_x0000_t75" style="height:18.2pt;width:16.6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default" w:ascii="Times New Roman" w:hAnsi="Times New Roman" w:cs="Times New Roman"/>
          <w:color w:val="auto"/>
          <w:szCs w:val="21"/>
          <w:highlight w:val="none"/>
        </w:rPr>
        <w:t>——待测相在试料中的质量含量；</w:t>
      </w:r>
    </w:p>
    <w:p>
      <w:pPr>
        <w:snapToGrid w:val="0"/>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position w:val="-10"/>
          <w:highlight w:val="none"/>
        </w:rPr>
        <w:object>
          <v:shape id="_x0000_i1028" o:spt="75" type="#_x0000_t75" style="height:18.2pt;width:18.2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default" w:ascii="Times New Roman" w:hAnsi="Times New Roman" w:cs="Times New Roman"/>
          <w:color w:val="auto"/>
          <w:szCs w:val="21"/>
          <w:highlight w:val="none"/>
        </w:rPr>
        <w:t>——比例常数。对同一辐射，该常数与待测相及参考物质有关；</w:t>
      </w:r>
    </w:p>
    <w:p>
      <w:pPr>
        <w:snapToGrid w:val="0"/>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position w:val="-12"/>
          <w:highlight w:val="none"/>
        </w:rPr>
        <w:object>
          <v:shape id="_x0000_i1029" o:spt="75" type="#_x0000_t75" style="height:18.2pt;width:48.1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default" w:ascii="Times New Roman" w:hAnsi="Times New Roman" w:cs="Times New Roman"/>
          <w:color w:val="auto"/>
          <w:szCs w:val="21"/>
          <w:highlight w:val="none"/>
        </w:rPr>
        <w:t>——试料加入参考物质后，待测相</w:t>
      </w:r>
      <w:r>
        <w:rPr>
          <w:rFonts w:hint="default" w:ascii="Times New Roman" w:hAnsi="Times New Roman" w:cs="Times New Roman"/>
          <w:color w:val="auto"/>
          <w:position w:val="-12"/>
          <w:highlight w:val="none"/>
        </w:rPr>
        <w:object>
          <v:shape id="_x0000_i1030" o:spt="75" type="#_x0000_t75" style="height:18.2pt;width:37.1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rFonts w:hint="default" w:ascii="Times New Roman" w:hAnsi="Times New Roman" w:cs="Times New Roman"/>
          <w:color w:val="auto"/>
          <w:szCs w:val="21"/>
          <w:highlight w:val="none"/>
        </w:rPr>
        <w:t>晶面的衍射线累积强度；</w:t>
      </w:r>
    </w:p>
    <w:p>
      <w:pPr>
        <w:snapToGrid w:val="0"/>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position w:val="-14"/>
          <w:highlight w:val="none"/>
        </w:rPr>
        <w:object>
          <v:shape id="_x0000_i1031" o:spt="75" type="#_x0000_t75" style="height:19.35pt;width:52.6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r>
        <w:rPr>
          <w:rFonts w:hint="default" w:ascii="Times New Roman" w:hAnsi="Times New Roman" w:cs="Times New Roman"/>
          <w:color w:val="auto"/>
          <w:szCs w:val="21"/>
          <w:highlight w:val="none"/>
        </w:rPr>
        <w:t>——试料加入参考物质后，参考相</w:t>
      </w:r>
      <w:r>
        <w:rPr>
          <w:rFonts w:hint="default" w:ascii="Times New Roman" w:hAnsi="Times New Roman" w:cs="Times New Roman"/>
          <w:color w:val="auto"/>
          <w:position w:val="-14"/>
          <w:highlight w:val="none"/>
        </w:rPr>
        <w:object>
          <v:shape id="_x0000_i1032" o:spt="75" type="#_x0000_t75" style="height:19.35pt;width:41.7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20">
            <o:LockedField>false</o:LockedField>
          </o:OLEObject>
        </w:object>
      </w:r>
      <w:r>
        <w:rPr>
          <w:rFonts w:hint="default" w:ascii="Times New Roman" w:hAnsi="Times New Roman" w:cs="Times New Roman"/>
          <w:color w:val="auto"/>
          <w:szCs w:val="21"/>
          <w:highlight w:val="none"/>
        </w:rPr>
        <w:t>晶面的衍射线累积强度；</w:t>
      </w:r>
    </w:p>
    <w:p>
      <w:pPr>
        <w:snapToGrid w:val="0"/>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position w:val="-12"/>
          <w:highlight w:val="none"/>
        </w:rPr>
        <w:object>
          <v:shape id="_x0000_i1033" o:spt="75" type="#_x0000_t75" style="height:19.35pt;width:48.15pt;" o:ole="t" filled="f" o:preferrelative="t" stroked="f" coordsize="21600,21600">
            <v:path/>
            <v:fill on="f" focussize="0,0"/>
            <v:stroke on="f" joinstyle="miter"/>
            <v:imagedata r:id="rId23" o:title=""/>
            <o:lock v:ext="edit" aspectratio="t"/>
            <w10:wrap type="none"/>
            <w10:anchorlock/>
          </v:shape>
          <o:OLEObject Type="Embed" ProgID="Equation.3" ShapeID="_x0000_i1033" DrawAspect="Content" ObjectID="_1468075733" r:id="rId22">
            <o:LockedField>false</o:LockedField>
          </o:OLEObject>
        </w:object>
      </w:r>
      <w:r>
        <w:rPr>
          <w:rFonts w:hint="default" w:ascii="Times New Roman" w:hAnsi="Times New Roman" w:cs="Times New Roman"/>
          <w:color w:val="auto"/>
          <w:szCs w:val="21"/>
          <w:highlight w:val="none"/>
        </w:rPr>
        <w:t>——参考试样中待测相</w:t>
      </w:r>
      <w:r>
        <w:rPr>
          <w:rFonts w:hint="default" w:ascii="Times New Roman" w:hAnsi="Times New Roman" w:cs="Times New Roman"/>
          <w:color w:val="auto"/>
          <w:position w:val="-12"/>
          <w:highlight w:val="none"/>
        </w:rPr>
        <w:object>
          <v:shape id="_x0000_i1034" o:spt="75" type="#_x0000_t75" style="height:18.2pt;width:37.15pt;" o:ole="t" filled="f" o:preferrelative="t" stroked="f" coordsize="21600,21600">
            <v:path/>
            <v:fill on="f" focussize="0,0"/>
            <v:stroke on="f" joinstyle="miter"/>
            <v:imagedata r:id="rId17" o:title=""/>
            <o:lock v:ext="edit" aspectratio="t"/>
            <w10:wrap type="none"/>
            <w10:anchorlock/>
          </v:shape>
          <o:OLEObject Type="Embed" ProgID="Equation.3" ShapeID="_x0000_i1034" DrawAspect="Content" ObjectID="_1468075734" r:id="rId24">
            <o:LockedField>false</o:LockedField>
          </o:OLEObject>
        </w:object>
      </w:r>
      <w:r>
        <w:rPr>
          <w:rFonts w:hint="default" w:ascii="Times New Roman" w:hAnsi="Times New Roman" w:cs="Times New Roman"/>
          <w:color w:val="auto"/>
          <w:szCs w:val="21"/>
          <w:highlight w:val="none"/>
        </w:rPr>
        <w:t>晶面的衍射线累积强度；</w:t>
      </w:r>
    </w:p>
    <w:p>
      <w:pPr>
        <w:snapToGrid w:val="0"/>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position w:val="-14"/>
          <w:highlight w:val="none"/>
        </w:rPr>
        <w:object>
          <v:shape id="_x0000_i1035" o:spt="75" type="#_x0000_t75" style="height:20.1pt;width:52.65pt;" o:ole="t" filled="f" o:preferrelative="t" stroked="f" coordsize="21600,21600">
            <v:path/>
            <v:fill on="f" focussize="0,0"/>
            <v:stroke on="f" joinstyle="miter"/>
            <v:imagedata r:id="rId26" o:title=""/>
            <o:lock v:ext="edit" aspectratio="t"/>
            <w10:wrap type="none"/>
            <w10:anchorlock/>
          </v:shape>
          <o:OLEObject Type="Embed" ProgID="Equation.3" ShapeID="_x0000_i1035" DrawAspect="Content" ObjectID="_1468075735" r:id="rId25">
            <o:LockedField>false</o:LockedField>
          </o:OLEObject>
        </w:object>
      </w:r>
      <w:r>
        <w:rPr>
          <w:rFonts w:hint="default" w:ascii="Times New Roman" w:hAnsi="Times New Roman" w:cs="Times New Roman"/>
          <w:color w:val="auto"/>
          <w:szCs w:val="21"/>
          <w:highlight w:val="none"/>
        </w:rPr>
        <w:t>——参考物质加入纯待测物质后，参考相</w:t>
      </w:r>
      <w:r>
        <w:rPr>
          <w:rFonts w:hint="default" w:ascii="Times New Roman" w:hAnsi="Times New Roman" w:cs="Times New Roman"/>
          <w:color w:val="auto"/>
          <w:position w:val="-14"/>
          <w:highlight w:val="none"/>
        </w:rPr>
        <w:object>
          <v:shape id="_x0000_i1036" o:spt="75" type="#_x0000_t75" style="height:19.35pt;width:41.7pt;" o:ole="t" filled="f" o:preferrelative="t" stroked="f" coordsize="21600,21600">
            <v:path/>
            <v:fill on="f" focussize="0,0"/>
            <v:stroke on="f" joinstyle="miter"/>
            <v:imagedata r:id="rId21" o:title=""/>
            <o:lock v:ext="edit" aspectratio="t"/>
            <w10:wrap type="none"/>
            <w10:anchorlock/>
          </v:shape>
          <o:OLEObject Type="Embed" ProgID="Equation.3" ShapeID="_x0000_i1036" DrawAspect="Content" ObjectID="_1468075736" r:id="rId27">
            <o:LockedField>false</o:LockedField>
          </o:OLEObject>
        </w:object>
      </w:r>
      <w:r>
        <w:rPr>
          <w:rFonts w:hint="default" w:ascii="Times New Roman" w:hAnsi="Times New Roman" w:cs="Times New Roman"/>
          <w:color w:val="auto"/>
          <w:szCs w:val="21"/>
          <w:highlight w:val="none"/>
        </w:rPr>
        <w:t>晶面的衍射线累积强度；</w:t>
      </w:r>
    </w:p>
    <w:p>
      <w:pPr>
        <w:snapToGrid w:val="0"/>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position w:val="-10"/>
          <w:highlight w:val="none"/>
        </w:rPr>
        <w:object>
          <v:shape id="_x0000_i1037" o:spt="75" type="#_x0000_t75" style="height:16.65pt;width:15.9pt;" o:ole="t" filled="f" o:preferrelative="t" stroked="f" coordsize="21600,21600">
            <v:path/>
            <v:fill on="f" focussize="0,0"/>
            <v:stroke on="f" joinstyle="miter"/>
            <v:imagedata r:id="rId29" o:title=""/>
            <o:lock v:ext="edit" aspectratio="t"/>
            <w10:wrap type="none"/>
            <w10:anchorlock/>
          </v:shape>
          <o:OLEObject Type="Embed" ProgID="Equation.3" ShapeID="_x0000_i1037" DrawAspect="Content" ObjectID="_1468075737" r:id="rId28">
            <o:LockedField>false</o:LockedField>
          </o:OLEObject>
        </w:object>
      </w:r>
      <w:r>
        <w:rPr>
          <w:rFonts w:hint="default" w:ascii="Times New Roman" w:hAnsi="Times New Roman" w:cs="Times New Roman"/>
          <w:color w:val="auto"/>
          <w:szCs w:val="21"/>
          <w:highlight w:val="none"/>
        </w:rPr>
        <w:t>——待测粉末加入参考物质后，参考物质的质量；</w:t>
      </w:r>
    </w:p>
    <w:p>
      <w:pPr>
        <w:snapToGrid w:val="0"/>
        <w:ind w:firstLine="420"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position w:val="-12"/>
          <w:highlight w:val="none"/>
        </w:rPr>
        <w:object>
          <v:shape id="_x0000_i1038" o:spt="75" type="#_x0000_t75" style="height:18.2pt;width:15.9pt;" o:ole="t" filled="f" o:preferrelative="t" stroked="f" coordsize="21600,21600">
            <v:path/>
            <v:fill on="f" focussize="0,0"/>
            <v:stroke on="f" joinstyle="miter"/>
            <v:imagedata r:id="rId31" o:title=""/>
            <o:lock v:ext="edit" aspectratio="t"/>
            <w10:wrap type="none"/>
            <w10:anchorlock/>
          </v:shape>
          <o:OLEObject Type="Embed" ProgID="Equation.3" ShapeID="_x0000_i1038" DrawAspect="Content" ObjectID="_1468075738" r:id="rId30">
            <o:LockedField>false</o:LockedField>
          </o:OLEObject>
        </w:object>
      </w:r>
      <w:r>
        <w:rPr>
          <w:rFonts w:hint="default" w:ascii="Times New Roman" w:hAnsi="Times New Roman" w:cs="Times New Roman"/>
          <w:color w:val="auto"/>
          <w:szCs w:val="21"/>
          <w:highlight w:val="none"/>
        </w:rPr>
        <w:t>——待测粉末加入参考物质后，所取待测粉末的质量</w:t>
      </w:r>
      <w:r>
        <w:rPr>
          <w:rFonts w:hint="default" w:ascii="Times New Roman" w:hAnsi="Times New Roman" w:cs="Times New Roman"/>
          <w:color w:val="auto"/>
          <w:szCs w:val="21"/>
          <w:highlight w:val="none"/>
          <w:lang w:eastAsia="zh-CN"/>
        </w:rPr>
        <w:t>；</w:t>
      </w:r>
    </w:p>
    <w:p>
      <w:pPr>
        <w:snapToGrid w:val="0"/>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position w:val="-10"/>
          <w:highlight w:val="none"/>
        </w:rPr>
        <w:object>
          <v:shape id="_x0000_i1039" o:spt="75" type="#_x0000_t75" style="height:18.2pt;width:18.2pt;" o:ole="t" filled="f" o:preferrelative="t" stroked="f" coordsize="21600,21600">
            <v:path/>
            <v:fill on="f" focussize="0,0"/>
            <v:stroke on="f" joinstyle="miter"/>
            <v:imagedata r:id="rId33" o:title=""/>
            <o:lock v:ext="edit" aspectratio="t"/>
            <w10:wrap type="none"/>
            <w10:anchorlock/>
          </v:shape>
          <o:OLEObject Type="Embed" ProgID="Equation.3" ShapeID="_x0000_i1039" DrawAspect="Content" ObjectID="_1468075739" r:id="rId32">
            <o:LockedField>false</o:LockedField>
          </o:OLEObject>
        </w:object>
      </w:r>
      <w:r>
        <w:rPr>
          <w:rFonts w:hint="default" w:ascii="Times New Roman" w:hAnsi="Times New Roman" w:cs="Times New Roman"/>
          <w:color w:val="auto"/>
          <w:szCs w:val="21"/>
          <w:highlight w:val="none"/>
        </w:rPr>
        <w:t>——参考试样中参考物质的质量；</w:t>
      </w:r>
    </w:p>
    <w:p>
      <w:pPr>
        <w:snapToGrid w:val="0"/>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position w:val="-12"/>
          <w:highlight w:val="none"/>
        </w:rPr>
        <w:object>
          <v:shape id="_x0000_i1040" o:spt="75" type="#_x0000_t75" style="height:19.35pt;width:18.2pt;" o:ole="t" filled="f" o:preferrelative="t" stroked="f" coordsize="21600,21600">
            <v:path/>
            <v:fill on="f" focussize="0,0"/>
            <v:stroke on="f" joinstyle="miter"/>
            <v:imagedata r:id="rId35" o:title=""/>
            <o:lock v:ext="edit" aspectratio="t"/>
            <w10:wrap type="none"/>
            <w10:anchorlock/>
          </v:shape>
          <o:OLEObject Type="Embed" ProgID="Equation.3" ShapeID="_x0000_i1040" DrawAspect="Content" ObjectID="_1468075740" r:id="rId34">
            <o:LockedField>false</o:LockedField>
          </o:OLEObject>
        </w:object>
      </w:r>
      <w:r>
        <w:rPr>
          <w:rFonts w:hint="default" w:ascii="Times New Roman" w:hAnsi="Times New Roman" w:cs="Times New Roman"/>
          <w:color w:val="auto"/>
          <w:szCs w:val="21"/>
          <w:highlight w:val="none"/>
        </w:rPr>
        <w:t>——参考试样中纯待测物质的质量。</w:t>
      </w:r>
    </w:p>
    <w:p>
      <w:pPr>
        <w:snapToGrid w:val="0"/>
        <w:ind w:firstLine="420" w:firstLineChars="200"/>
        <w:jc w:val="left"/>
        <w:rPr>
          <w:rFonts w:ascii="黑体" w:eastAsia="黑体"/>
          <w:color w:val="auto"/>
          <w:highlight w:val="none"/>
        </w:rPr>
      </w:pPr>
      <w:r>
        <w:rPr>
          <w:rFonts w:hint="default" w:ascii="Times New Roman" w:hAnsi="Times New Roman" w:cs="Times New Roman"/>
          <w:color w:val="auto"/>
          <w:szCs w:val="21"/>
          <w:highlight w:val="none"/>
        </w:rPr>
        <w:t>本方法特点是通过先求</w:t>
      </w:r>
      <w:r>
        <w:rPr>
          <w:rFonts w:hint="default" w:ascii="Times New Roman" w:hAnsi="Times New Roman" w:cs="Times New Roman"/>
          <w:color w:val="auto"/>
          <w:position w:val="-10"/>
          <w:highlight w:val="none"/>
        </w:rPr>
        <w:object>
          <v:shape id="_x0000_i1041" o:spt="75" type="#_x0000_t75" style="height:18.2pt;width:18.2pt;" o:ole="t" filled="f" o:preferrelative="t" stroked="f" coordsize="21600,21600">
            <v:path/>
            <v:fill on="f" focussize="0,0"/>
            <v:stroke on="f" joinstyle="miter"/>
            <v:imagedata r:id="rId13" o:title=""/>
            <o:lock v:ext="edit" aspectratio="t"/>
            <w10:wrap type="none"/>
            <w10:anchorlock/>
          </v:shape>
          <o:OLEObject Type="Embed" ProgID="Equation.3" ShapeID="_x0000_i1041" DrawAspect="Content" ObjectID="_1468075741" r:id="rId36">
            <o:LockedField>false</o:LockedField>
          </o:OLEObject>
        </w:object>
      </w:r>
      <w:r>
        <w:rPr>
          <w:rFonts w:hint="default" w:ascii="Times New Roman" w:hAnsi="Times New Roman" w:cs="Times New Roman"/>
          <w:color w:val="auto"/>
          <w:szCs w:val="21"/>
          <w:highlight w:val="none"/>
        </w:rPr>
        <w:t>值，最后测定</w:t>
      </w:r>
      <w:r>
        <w:rPr>
          <w:rFonts w:hint="default" w:ascii="Times New Roman" w:hAnsi="Times New Roman" w:cs="Times New Roman"/>
          <w:color w:val="auto"/>
          <w:position w:val="-12"/>
          <w:highlight w:val="none"/>
        </w:rPr>
        <w:object>
          <v:shape id="_x0000_i1042" o:spt="75" type="#_x0000_t75" style="height:18.2pt;width:16.65pt;" o:ole="t" filled="f" o:preferrelative="t" stroked="f" coordsize="21600,21600">
            <v:path/>
            <v:fill on="f" focussize="0,0"/>
            <v:stroke on="f" joinstyle="miter"/>
            <v:imagedata r:id="rId38" o:title=""/>
            <o:lock v:ext="edit" aspectratio="t"/>
            <w10:wrap type="none"/>
            <w10:anchorlock/>
          </v:shape>
          <o:OLEObject Type="Embed" ProgID="Equation.3" ShapeID="_x0000_i1042" DrawAspect="Content" ObjectID="_1468075742" r:id="rId37">
            <o:LockedField>false</o:LockedField>
          </o:OLEObject>
        </w:object>
      </w:r>
      <w:r>
        <w:rPr>
          <w:rFonts w:hint="default" w:ascii="Times New Roman" w:hAnsi="Times New Roman" w:cs="Times New Roman"/>
          <w:color w:val="auto"/>
          <w:szCs w:val="21"/>
          <w:highlight w:val="none"/>
        </w:rPr>
        <w:t>。</w:t>
      </w:r>
    </w:p>
    <w:p>
      <w:pPr>
        <w:pStyle w:val="48"/>
        <w:numPr>
          <w:ilvl w:val="1"/>
          <w:numId w:val="0"/>
        </w:numPr>
        <w:spacing w:before="156" w:after="156"/>
        <w:rPr>
          <w:rFonts w:hint="default"/>
          <w:color w:val="auto"/>
          <w:highlight w:val="none"/>
        </w:rPr>
      </w:pPr>
      <w:r>
        <w:rPr>
          <w:rFonts w:hint="eastAsia"/>
          <w:color w:val="auto"/>
          <w:highlight w:val="none"/>
        </w:rPr>
        <w:t>A.2  试样的要求与制备</w:t>
      </w:r>
    </w:p>
    <w:p>
      <w:pPr>
        <w:pStyle w:val="48"/>
        <w:numPr>
          <w:ilvl w:val="1"/>
          <w:numId w:val="0"/>
        </w:numPr>
        <w:spacing w:before="156" w:after="156"/>
        <w:rPr>
          <w:rFonts w:hint="eastAsia"/>
          <w:color w:val="auto"/>
          <w:highlight w:val="none"/>
        </w:rPr>
      </w:pPr>
      <w:r>
        <w:rPr>
          <w:rFonts w:hint="eastAsia"/>
          <w:color w:val="auto"/>
          <w:highlight w:val="none"/>
        </w:rPr>
        <w:t>A.2.1  配样</w:t>
      </w:r>
    </w:p>
    <w:p>
      <w:pPr>
        <w:pStyle w:val="48"/>
        <w:numPr>
          <w:ilvl w:val="1"/>
          <w:numId w:val="0"/>
        </w:numPr>
        <w:spacing w:before="156" w:after="156"/>
        <w:rPr>
          <w:rFonts w:hint="eastAsia"/>
          <w:color w:val="auto"/>
          <w:highlight w:val="none"/>
        </w:rPr>
      </w:pPr>
      <w:r>
        <w:rPr>
          <w:rFonts w:hint="eastAsia"/>
          <w:color w:val="auto"/>
          <w:highlight w:val="none"/>
        </w:rPr>
        <w:t>A.2.1.1  称重</w:t>
      </w:r>
    </w:p>
    <w:p>
      <w:pPr>
        <w:ind w:firstLine="420"/>
        <w:jc w:val="left"/>
        <w:rPr>
          <w:color w:val="auto"/>
          <w:szCs w:val="21"/>
          <w:highlight w:val="none"/>
        </w:rPr>
      </w:pPr>
      <w:r>
        <w:rPr>
          <w:rFonts w:hint="eastAsia"/>
          <w:color w:val="auto"/>
          <w:szCs w:val="21"/>
          <w:highlight w:val="none"/>
        </w:rPr>
        <w:t>配样称重时，称重的相对偏差不得大于0.1%。</w:t>
      </w:r>
    </w:p>
    <w:p>
      <w:pPr>
        <w:pStyle w:val="48"/>
        <w:numPr>
          <w:ilvl w:val="1"/>
          <w:numId w:val="0"/>
        </w:numPr>
        <w:spacing w:before="156" w:after="156"/>
        <w:rPr>
          <w:rFonts w:hint="eastAsia"/>
          <w:color w:val="auto"/>
          <w:highlight w:val="none"/>
        </w:rPr>
      </w:pPr>
      <w:r>
        <w:rPr>
          <w:rFonts w:hint="eastAsia"/>
          <w:color w:val="auto"/>
          <w:highlight w:val="none"/>
        </w:rPr>
        <w:t>A.2.1.2  参考物质与参考试样</w:t>
      </w:r>
    </w:p>
    <w:p>
      <w:pPr>
        <w:pStyle w:val="48"/>
        <w:numPr>
          <w:ilvl w:val="1"/>
          <w:numId w:val="0"/>
        </w:numPr>
        <w:spacing w:before="156" w:after="156"/>
        <w:rPr>
          <w:rFonts w:hint="eastAsia"/>
          <w:color w:val="auto"/>
          <w:highlight w:val="none"/>
        </w:rPr>
      </w:pPr>
      <w:r>
        <w:rPr>
          <w:rFonts w:hint="eastAsia"/>
          <w:color w:val="auto"/>
          <w:highlight w:val="none"/>
        </w:rPr>
        <w:t>A.2.1.2.1  参考物质的选择</w:t>
      </w:r>
    </w:p>
    <w:p>
      <w:pPr>
        <w:tabs>
          <w:tab w:val="left" w:pos="540"/>
        </w:tabs>
        <w:ind w:firstLine="420" w:firstLineChars="200"/>
        <w:outlineLvl w:val="1"/>
        <w:rPr>
          <w:rFonts w:hint="default" w:ascii="Times New Roman" w:hAnsi="Times New Roman" w:cs="Times New Roman"/>
          <w:color w:val="auto"/>
          <w:highlight w:val="none"/>
        </w:rPr>
      </w:pPr>
      <w:r>
        <w:rPr>
          <w:rFonts w:hint="eastAsia" w:ascii="Times New Roman" w:hAnsi="Times New Roman" w:cs="Times New Roman"/>
          <w:color w:val="auto"/>
          <w:highlight w:val="none"/>
        </w:rPr>
        <w:t>选择参考物质的原则是：</w:t>
      </w:r>
    </w:p>
    <w:p>
      <w:pPr>
        <w:pStyle w:val="64"/>
        <w:numPr>
          <w:ilvl w:val="0"/>
          <w:numId w:val="25"/>
        </w:numPr>
        <w:spacing w:line="360" w:lineRule="exact"/>
        <w:ind w:left="839" w:leftChars="0" w:hanging="419" w:firstLineChars="0"/>
        <w:rPr>
          <w:rFonts w:hint="default" w:ascii="Times New Roman" w:hAnsi="Times New Roman" w:cs="Times New Roman"/>
        </w:rPr>
      </w:pPr>
      <w:r>
        <w:rPr>
          <w:rFonts w:hint="eastAsia" w:ascii="Times New Roman" w:hAnsi="Times New Roman" w:cs="Times New Roman"/>
        </w:rPr>
        <w:t>在测试过程中，其物理、化学性质稳定，不易潮解；</w:t>
      </w:r>
    </w:p>
    <w:p>
      <w:pPr>
        <w:pStyle w:val="64"/>
        <w:numPr>
          <w:ilvl w:val="0"/>
          <w:numId w:val="25"/>
        </w:numPr>
        <w:spacing w:line="360" w:lineRule="exact"/>
        <w:ind w:left="839" w:leftChars="0" w:hanging="419" w:firstLineChars="0"/>
        <w:rPr>
          <w:rFonts w:hint="eastAsia" w:ascii="Times New Roman" w:hAnsi="Times New Roman" w:cs="Times New Roman"/>
        </w:rPr>
      </w:pPr>
      <w:r>
        <w:rPr>
          <w:rFonts w:hint="eastAsia" w:ascii="Times New Roman" w:hAnsi="Times New Roman" w:cs="Times New Roman"/>
        </w:rPr>
        <w:t>用于测试的衍射线强度要强，其峰位与待测相的测量衍射线接近而又互不重叠，也不受其他衍射线的干扰；</w:t>
      </w:r>
    </w:p>
    <w:p>
      <w:pPr>
        <w:pStyle w:val="64"/>
        <w:numPr>
          <w:ilvl w:val="0"/>
          <w:numId w:val="25"/>
        </w:numPr>
        <w:spacing w:line="360" w:lineRule="exact"/>
        <w:ind w:left="839" w:leftChars="0" w:hanging="419" w:firstLineChars="0"/>
        <w:rPr>
          <w:rFonts w:hint="eastAsia" w:ascii="Times New Roman" w:hAnsi="Times New Roman" w:cs="Times New Roman"/>
        </w:rPr>
      </w:pPr>
      <w:r>
        <w:rPr>
          <w:rFonts w:hint="eastAsia" w:ascii="Times New Roman" w:hAnsi="Times New Roman" w:cs="Times New Roman"/>
        </w:rPr>
        <w:t>参考物质的线吸收系数、颗粒直径应与待测相尽量接近，颗粒直径要符合本文件A.3.1.2.2的要求。</w:t>
      </w:r>
    </w:p>
    <w:p>
      <w:pPr>
        <w:jc w:val="left"/>
        <w:rPr>
          <w:color w:val="auto"/>
          <w:szCs w:val="21"/>
          <w:highlight w:val="none"/>
        </w:rPr>
      </w:pPr>
      <w:r>
        <w:rPr>
          <w:rFonts w:hint="eastAsia" w:ascii="黑体" w:eastAsia="黑体"/>
          <w:color w:val="auto"/>
          <w:highlight w:val="none"/>
        </w:rPr>
        <w:t>A.2.1.2.2</w:t>
      </w:r>
      <w:r>
        <w:rPr>
          <w:rFonts w:hint="eastAsia" w:ascii="宋体" w:hAnsi="宋体"/>
          <w:color w:val="auto"/>
          <w:highlight w:val="none"/>
        </w:rPr>
        <w:t xml:space="preserve"> </w:t>
      </w:r>
      <w:r>
        <w:rPr>
          <w:rFonts w:hint="eastAsia"/>
          <w:color w:val="auto"/>
          <w:szCs w:val="21"/>
          <w:highlight w:val="none"/>
        </w:rPr>
        <w:t xml:space="preserve"> 参考物质、待测相的线吸收系数和颗粒直径应满足公式（A.3）：</w:t>
      </w:r>
    </w:p>
    <w:p>
      <w:pPr>
        <w:wordWrap w:val="0"/>
        <w:jc w:val="right"/>
        <w:rPr>
          <w:color w:val="auto"/>
          <w:highlight w:val="none"/>
        </w:rPr>
      </w:pPr>
      <w:r>
        <w:rPr>
          <w:color w:val="auto"/>
          <w:position w:val="-22"/>
          <w:highlight w:val="none"/>
        </w:rPr>
        <w:object>
          <v:shape id="_x0000_i1043" o:spt="75" type="#_x0000_t75" style="height:31.05pt;width:83pt;" o:ole="t" filled="f" o:preferrelative="t" stroked="f" coordsize="21600,21600">
            <v:path/>
            <v:fill on="f" focussize="0,0"/>
            <v:stroke on="f" joinstyle="miter"/>
            <v:imagedata r:id="rId40" o:title=""/>
            <o:lock v:ext="edit" aspectratio="t"/>
            <w10:wrap type="none"/>
            <w10:anchorlock/>
          </v:shape>
          <o:OLEObject Type="Embed" ProgID="Equation.3" ShapeID="_x0000_i1043" DrawAspect="Content" ObjectID="_1468075743" r:id="rId39">
            <o:LockedField>false</o:LockedField>
          </o:OLEObject>
        </w:object>
      </w:r>
      <w:r>
        <w:rPr>
          <w:rFonts w:hint="eastAsia"/>
          <w:color w:val="auto"/>
          <w:highlight w:val="none"/>
        </w:rPr>
        <w:t xml:space="preserve">   …………………………     （A.3）</w:t>
      </w:r>
    </w:p>
    <w:p>
      <w:pPr>
        <w:ind w:left="1432" w:leftChars="200" w:hanging="1012" w:hangingChars="482"/>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式中：</w:t>
      </w:r>
    </w:p>
    <w:p>
      <w:pPr>
        <w:snapToGrid w:val="0"/>
        <w:ind w:left="1432" w:leftChars="200" w:hanging="1012" w:hangingChars="482"/>
        <w:rPr>
          <w:rFonts w:hint="default" w:ascii="Times New Roman" w:hAnsi="Times New Roman" w:cs="Times New Roman"/>
          <w:color w:val="auto"/>
          <w:szCs w:val="21"/>
          <w:highlight w:val="none"/>
        </w:rPr>
      </w:pPr>
      <w:r>
        <w:rPr>
          <w:rFonts w:hint="default" w:ascii="Times New Roman" w:hAnsi="Times New Roman" w:cs="Times New Roman"/>
          <w:color w:val="auto"/>
          <w:position w:val="-10"/>
          <w:highlight w:val="none"/>
        </w:rPr>
        <w:object>
          <v:shape id="_x0000_i1044" o:spt="75" type="#_x0000_t75" style="height:16.65pt;width:12.9pt;" o:ole="t" filled="f" o:preferrelative="t" stroked="f" coordsize="21600,21600">
            <v:path/>
            <v:fill on="f" focussize="0,0"/>
            <v:stroke on="f" joinstyle="miter"/>
            <v:imagedata r:id="rId42" o:title=""/>
            <o:lock v:ext="edit" aspectratio="t"/>
            <w10:wrap type="none"/>
            <w10:anchorlock/>
          </v:shape>
          <o:OLEObject Type="Embed" ProgID="Equation.3" ShapeID="_x0000_i1044" DrawAspect="Content" ObjectID="_1468075744" r:id="rId41">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szCs w:val="21"/>
          <w:highlight w:val="none"/>
        </w:rPr>
        <w:t>氧化亚钴的线吸收系数，1/Bm；</w:t>
      </w:r>
    </w:p>
    <w:p>
      <w:pPr>
        <w:snapToGrid w:val="0"/>
        <w:ind w:left="1432" w:leftChars="200" w:hanging="1012" w:hangingChars="482"/>
        <w:rPr>
          <w:rFonts w:hint="default" w:ascii="Times New Roman" w:hAnsi="Times New Roman" w:cs="Times New Roman"/>
          <w:color w:val="auto"/>
          <w:szCs w:val="21"/>
          <w:highlight w:val="none"/>
        </w:rPr>
      </w:pPr>
      <w:r>
        <w:rPr>
          <w:rFonts w:hint="default" w:ascii="Times New Roman" w:hAnsi="Times New Roman" w:cs="Times New Roman"/>
          <w:color w:val="auto"/>
          <w:position w:val="-10"/>
          <w:highlight w:val="none"/>
        </w:rPr>
        <w:object>
          <v:shape id="_x0000_i1045" o:spt="75" type="#_x0000_t75" style="height:19.35pt;width:11pt;" o:ole="t" filled="f" o:preferrelative="t" stroked="f" coordsize="21600,21600">
            <v:path/>
            <v:fill on="f" focussize="0,0"/>
            <v:stroke on="f" joinstyle="miter"/>
            <v:imagedata r:id="rId44" o:title=""/>
            <o:lock v:ext="edit" aspectratio="t"/>
            <w10:wrap type="none"/>
            <w10:anchorlock/>
          </v:shape>
          <o:OLEObject Type="Embed" ProgID="Equation.3" ShapeID="_x0000_i1045" DrawAspect="Content" ObjectID="_1468075745" r:id="rId43">
            <o:LockedField>false</o:LockedField>
          </o:OLEObject>
        </w:object>
      </w:r>
      <w:r>
        <w:rPr>
          <w:rFonts w:hint="default" w:ascii="Times New Roman" w:hAnsi="Times New Roman" w:cs="Times New Roman"/>
          <w:color w:val="auto"/>
          <w:szCs w:val="21"/>
          <w:highlight w:val="none"/>
        </w:rPr>
        <w:t>——参考物质与氧化亚钴的混合物的线吸收系数；</w:t>
      </w:r>
    </w:p>
    <w:p>
      <w:pPr>
        <w:snapToGrid w:val="0"/>
        <w:ind w:left="1432" w:leftChars="200" w:hanging="1012" w:hangingChars="482"/>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D——颗粒直径，μm。</w:t>
      </w:r>
    </w:p>
    <w:p>
      <w:pPr>
        <w:keepNext w:val="0"/>
        <w:keepLines w:val="0"/>
        <w:pageBreakBefore w:val="0"/>
        <w:widowControl w:val="0"/>
        <w:kinsoku/>
        <w:wordWrap/>
        <w:overflowPunct/>
        <w:topLinePunct w:val="0"/>
        <w:autoSpaceDE/>
        <w:autoSpaceDN/>
        <w:bidi w:val="0"/>
        <w:adjustRightInd/>
        <w:snapToGrid w:val="0"/>
        <w:ind w:left="1432" w:leftChars="200" w:hanging="1012" w:hangingChars="482"/>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参考物质和待测相的颗粒直径允许范围为0.1～50μm。</w:t>
      </w:r>
    </w:p>
    <w:p>
      <w:pPr>
        <w:jc w:val="left"/>
        <w:rPr>
          <w:color w:val="auto"/>
          <w:highlight w:val="none"/>
        </w:rPr>
      </w:pPr>
      <w:r>
        <w:rPr>
          <w:rFonts w:hint="eastAsia" w:ascii="黑体" w:eastAsia="黑体"/>
          <w:color w:val="auto"/>
          <w:highlight w:val="none"/>
        </w:rPr>
        <w:t>A.2.1.2.3</w:t>
      </w:r>
      <w:r>
        <w:rPr>
          <w:rFonts w:hint="eastAsia"/>
          <w:color w:val="auto"/>
          <w:highlight w:val="none"/>
        </w:rPr>
        <w:t xml:space="preserve">  求</w:t>
      </w:r>
      <w:r>
        <w:rPr>
          <w:color w:val="auto"/>
          <w:position w:val="-10"/>
          <w:highlight w:val="none"/>
        </w:rPr>
        <w:object>
          <v:shape id="_x0000_i1046" o:spt="75" type="#_x0000_t75" style="height:18.2pt;width:18.2pt;" o:ole="t" filled="f" o:preferrelative="t" stroked="f" coordsize="21600,21600">
            <v:path/>
            <v:fill on="f" focussize="0,0"/>
            <v:stroke on="f" joinstyle="miter"/>
            <v:imagedata r:id="rId13" o:title=""/>
            <o:lock v:ext="edit" aspectratio="t"/>
            <w10:wrap type="none"/>
            <w10:anchorlock/>
          </v:shape>
          <o:OLEObject Type="Embed" ProgID="Equation.3" ShapeID="_x0000_i1046" DrawAspect="Content" ObjectID="_1468075746" r:id="rId45">
            <o:LockedField>false</o:LockedField>
          </o:OLEObject>
        </w:object>
      </w:r>
      <w:r>
        <w:rPr>
          <w:rFonts w:hint="eastAsia"/>
          <w:color w:val="auto"/>
          <w:highlight w:val="none"/>
        </w:rPr>
        <w:t>值时，纯参考物质与纯氧化亚钴混合而成的参考试样的配比建议为：</w:t>
      </w:r>
    </w:p>
    <w:p>
      <w:pPr>
        <w:jc w:val="center"/>
        <w:rPr>
          <w:color w:val="auto"/>
          <w:highlight w:val="none"/>
        </w:rPr>
      </w:pPr>
      <w:r>
        <w:rPr>
          <w:color w:val="auto"/>
          <w:position w:val="-28"/>
          <w:highlight w:val="none"/>
        </w:rPr>
        <w:object>
          <v:shape id="_x0000_i1047" o:spt="75" type="#_x0000_t75" style="height:34.1pt;width:28.8pt;" o:ole="t" filled="f" o:preferrelative="t" stroked="f" coordsize="21600,21600">
            <v:path/>
            <v:fill on="f" focussize="0,0"/>
            <v:stroke on="f" joinstyle="miter"/>
            <v:imagedata r:id="rId47" o:title=""/>
            <o:lock v:ext="edit" aspectratio="t"/>
            <w10:wrap type="none"/>
            <w10:anchorlock/>
          </v:shape>
          <o:OLEObject Type="Embed" ProgID="Equation.3" ShapeID="_x0000_i1047" DrawAspect="Content" ObjectID="_1468075747" r:id="rId46">
            <o:LockedField>false</o:LockedField>
          </o:OLEObject>
        </w:object>
      </w:r>
      <w:r>
        <w:rPr>
          <w:rFonts w:hint="eastAsia"/>
          <w:color w:val="auto"/>
          <w:highlight w:val="none"/>
        </w:rPr>
        <w:t>1 ：1</w:t>
      </w:r>
    </w:p>
    <w:p>
      <w:pPr>
        <w:keepNext w:val="0"/>
        <w:keepLines w:val="0"/>
        <w:pageBreakBefore w:val="0"/>
        <w:widowControl w:val="0"/>
        <w:kinsoku/>
        <w:wordWrap/>
        <w:overflowPunct/>
        <w:topLinePunct w:val="0"/>
        <w:autoSpaceDE/>
        <w:autoSpaceDN/>
        <w:bidi w:val="0"/>
        <w:adjustRightInd/>
        <w:ind w:firstLine="435"/>
        <w:textAlignment w:val="auto"/>
        <w:rPr>
          <w:color w:val="auto"/>
          <w:highlight w:val="none"/>
        </w:rPr>
      </w:pPr>
      <w:r>
        <w:rPr>
          <w:rFonts w:hint="eastAsia"/>
          <w:color w:val="auto"/>
          <w:highlight w:val="none"/>
        </w:rPr>
        <w:t>当参考物质与氧化亚钴的被测试样衍射线累积强度相差较大时，应改变配比，增强弱衍射线的累积强度。</w:t>
      </w:r>
    </w:p>
    <w:p>
      <w:pPr>
        <w:keepNext w:val="0"/>
        <w:keepLines w:val="0"/>
        <w:pageBreakBefore w:val="0"/>
        <w:widowControl w:val="0"/>
        <w:kinsoku/>
        <w:wordWrap/>
        <w:overflowPunct/>
        <w:topLinePunct w:val="0"/>
        <w:autoSpaceDE/>
        <w:autoSpaceDN/>
        <w:bidi w:val="0"/>
        <w:adjustRightInd/>
        <w:snapToGrid w:val="0"/>
        <w:textAlignment w:val="auto"/>
        <w:rPr>
          <w:color w:val="auto"/>
          <w:highlight w:val="none"/>
        </w:rPr>
      </w:pPr>
      <w:r>
        <w:rPr>
          <w:rFonts w:hint="eastAsia" w:ascii="黑体" w:eastAsia="黑体"/>
          <w:color w:val="auto"/>
          <w:highlight w:val="none"/>
        </w:rPr>
        <w:t>A.2.1.2.4</w:t>
      </w:r>
      <w:r>
        <w:rPr>
          <w:rFonts w:hint="eastAsia"/>
          <w:color w:val="auto"/>
          <w:highlight w:val="none"/>
        </w:rPr>
        <w:t xml:space="preserve">  参考物质的加入量应使参考试样中氧化亚钴相与参考物质所选用的衍射线累积强度基本相当。</w:t>
      </w:r>
    </w:p>
    <w:p>
      <w:pPr>
        <w:snapToGrid w:val="0"/>
        <w:ind w:firstLine="420"/>
        <w:rPr>
          <w:color w:val="auto"/>
          <w:sz w:val="18"/>
          <w:szCs w:val="18"/>
          <w:highlight w:val="none"/>
        </w:rPr>
      </w:pPr>
      <w:r>
        <w:rPr>
          <w:rFonts w:hint="eastAsia"/>
          <w:color w:val="auto"/>
          <w:sz w:val="18"/>
          <w:szCs w:val="18"/>
          <w:highlight w:val="none"/>
        </w:rPr>
        <w:t>注：参考试样是指纯待测物质中加入参考物质后制成的试样。</w:t>
      </w:r>
    </w:p>
    <w:p>
      <w:pPr>
        <w:pStyle w:val="48"/>
        <w:numPr>
          <w:ilvl w:val="1"/>
          <w:numId w:val="0"/>
        </w:numPr>
        <w:spacing w:before="156" w:after="156"/>
        <w:rPr>
          <w:rFonts w:hint="eastAsia"/>
          <w:color w:val="auto"/>
          <w:highlight w:val="none"/>
        </w:rPr>
      </w:pPr>
      <w:r>
        <w:rPr>
          <w:rFonts w:hint="eastAsia"/>
          <w:color w:val="auto"/>
          <w:highlight w:val="none"/>
        </w:rPr>
        <w:t>A.2.1.3  纯待测物质与参考物质</w:t>
      </w:r>
    </w:p>
    <w:p>
      <w:pPr>
        <w:snapToGrid w:val="0"/>
        <w:rPr>
          <w:color w:val="auto"/>
          <w:highlight w:val="none"/>
        </w:rPr>
      </w:pPr>
      <w:r>
        <w:rPr>
          <w:rFonts w:hint="eastAsia" w:ascii="黑体" w:eastAsia="黑体"/>
          <w:color w:val="auto"/>
          <w:highlight w:val="none"/>
        </w:rPr>
        <w:t>A.2.1.3.1</w:t>
      </w:r>
      <w:r>
        <w:rPr>
          <w:rFonts w:hint="eastAsia"/>
          <w:color w:val="auto"/>
          <w:highlight w:val="none"/>
        </w:rPr>
        <w:t xml:space="preserve">  在整个测定过程中，纯待测物质与参考物质必须不发生相变、不潮解、化学性质稳定。</w:t>
      </w:r>
    </w:p>
    <w:p>
      <w:pPr>
        <w:snapToGrid w:val="0"/>
        <w:rPr>
          <w:color w:val="auto"/>
          <w:highlight w:val="none"/>
        </w:rPr>
      </w:pPr>
      <w:r>
        <w:rPr>
          <w:rFonts w:hint="eastAsia" w:ascii="黑体" w:eastAsia="黑体"/>
          <w:color w:val="auto"/>
          <w:highlight w:val="none"/>
        </w:rPr>
        <w:t>A.2.1.3.2</w:t>
      </w:r>
      <w:r>
        <w:rPr>
          <w:rFonts w:hint="eastAsia"/>
          <w:color w:val="auto"/>
          <w:highlight w:val="none"/>
        </w:rPr>
        <w:t xml:space="preserve">  纯待测物质的颗粒直径应满足A.3.1.2.2的要求。</w:t>
      </w:r>
    </w:p>
    <w:p>
      <w:pPr>
        <w:pStyle w:val="48"/>
        <w:numPr>
          <w:ilvl w:val="1"/>
          <w:numId w:val="0"/>
        </w:numPr>
        <w:spacing w:before="156" w:after="156"/>
        <w:rPr>
          <w:rFonts w:hint="eastAsia"/>
          <w:color w:val="auto"/>
          <w:highlight w:val="none"/>
        </w:rPr>
      </w:pPr>
      <w:r>
        <w:rPr>
          <w:rFonts w:hint="eastAsia"/>
          <w:color w:val="auto"/>
          <w:highlight w:val="none"/>
        </w:rPr>
        <w:t>A.2.1.4  混合</w:t>
      </w:r>
    </w:p>
    <w:p>
      <w:pPr>
        <w:snapToGrid w:val="0"/>
        <w:ind w:firstLine="420"/>
        <w:rPr>
          <w:color w:val="auto"/>
          <w:highlight w:val="none"/>
        </w:rPr>
      </w:pPr>
      <w:r>
        <w:rPr>
          <w:rFonts w:hint="eastAsia"/>
          <w:color w:val="auto"/>
          <w:highlight w:val="none"/>
        </w:rPr>
        <w:t>将A.3.1.2.3和A.3.1.2.4配成的粉末分布用玛瑙乳钵研细、混合均匀。</w:t>
      </w:r>
    </w:p>
    <w:p>
      <w:pPr>
        <w:pStyle w:val="48"/>
        <w:numPr>
          <w:ilvl w:val="1"/>
          <w:numId w:val="0"/>
        </w:numPr>
        <w:spacing w:before="156" w:after="156"/>
        <w:rPr>
          <w:rFonts w:hint="eastAsia"/>
          <w:color w:val="auto"/>
          <w:highlight w:val="none"/>
        </w:rPr>
      </w:pPr>
      <w:r>
        <w:rPr>
          <w:rFonts w:hint="eastAsia"/>
          <w:color w:val="auto"/>
          <w:highlight w:val="none"/>
        </w:rPr>
        <w:t>A.</w:t>
      </w:r>
      <w:r>
        <w:rPr>
          <w:rFonts w:hint="eastAsia"/>
          <w:color w:val="auto"/>
          <w:highlight w:val="none"/>
          <w:lang w:val="en-US" w:eastAsia="zh-CN"/>
        </w:rPr>
        <w:t>2</w:t>
      </w:r>
      <w:r>
        <w:rPr>
          <w:rFonts w:hint="eastAsia"/>
          <w:color w:val="auto"/>
          <w:highlight w:val="none"/>
        </w:rPr>
        <w:t>.2  试料的制备</w:t>
      </w:r>
    </w:p>
    <w:p>
      <w:pPr>
        <w:pStyle w:val="48"/>
        <w:numPr>
          <w:ilvl w:val="1"/>
          <w:numId w:val="0"/>
        </w:numPr>
        <w:spacing w:before="156" w:after="156"/>
        <w:rPr>
          <w:rFonts w:hint="eastAsia"/>
          <w:color w:val="auto"/>
          <w:highlight w:val="none"/>
        </w:rPr>
      </w:pPr>
      <w:r>
        <w:rPr>
          <w:rFonts w:hint="eastAsia"/>
          <w:color w:val="auto"/>
          <w:highlight w:val="none"/>
        </w:rPr>
        <w:t>A.2.2.1  参考试样和混合试料的大小与厚度</w:t>
      </w:r>
    </w:p>
    <w:p>
      <w:pPr>
        <w:snapToGrid w:val="0"/>
        <w:ind w:firstLine="420"/>
        <w:rPr>
          <w:color w:val="auto"/>
          <w:highlight w:val="none"/>
        </w:rPr>
      </w:pPr>
      <w:r>
        <w:rPr>
          <w:rFonts w:hint="eastAsia"/>
          <w:color w:val="auto"/>
          <w:highlight w:val="none"/>
        </w:rPr>
        <w:t>在任何选用的衍射位置，X射线的照射区域不得超过试样的表面范围。</w:t>
      </w:r>
    </w:p>
    <w:p>
      <w:pPr>
        <w:snapToGrid w:val="0"/>
        <w:ind w:firstLine="420"/>
        <w:rPr>
          <w:color w:val="auto"/>
          <w:highlight w:val="none"/>
        </w:rPr>
      </w:pPr>
      <w:r>
        <w:rPr>
          <w:rFonts w:hint="eastAsia"/>
          <w:color w:val="auto"/>
          <w:highlight w:val="none"/>
        </w:rPr>
        <w:t>试样的厚度应满足公式（A.4）：</w:t>
      </w:r>
    </w:p>
    <w:p>
      <w:pPr>
        <w:wordWrap w:val="0"/>
        <w:snapToGrid w:val="0"/>
        <w:jc w:val="right"/>
        <w:rPr>
          <w:color w:val="auto"/>
          <w:highlight w:val="none"/>
        </w:rPr>
      </w:pPr>
      <w:r>
        <w:rPr>
          <w:color w:val="auto"/>
          <w:position w:val="-28"/>
          <w:highlight w:val="none"/>
        </w:rPr>
        <w:object>
          <v:shape id="_x0000_i1048" o:spt="75" type="#_x0000_t75" style="height:34.1pt;width:83pt;" o:ole="t" filled="f" o:preferrelative="t" stroked="f" coordsize="21600,21600">
            <v:path/>
            <v:fill on="f" focussize="0,0"/>
            <v:stroke on="f" joinstyle="miter"/>
            <v:imagedata r:id="rId49" o:title=""/>
            <o:lock v:ext="edit" aspectratio="t"/>
            <w10:wrap type="none"/>
            <w10:anchorlock/>
          </v:shape>
          <o:OLEObject Type="Embed" ProgID="Equation.3" ShapeID="_x0000_i1048" DrawAspect="Content" ObjectID="_1468075748" r:id="rId48">
            <o:LockedField>false</o:LockedField>
          </o:OLEObject>
        </w:object>
      </w:r>
      <w:r>
        <w:rPr>
          <w:rFonts w:hint="eastAsia"/>
          <w:color w:val="auto"/>
          <w:highlight w:val="none"/>
        </w:rPr>
        <w:t xml:space="preserve">    …………………………（A.4）</w:t>
      </w:r>
    </w:p>
    <w:p>
      <w:pPr>
        <w:snapToGrid w:val="0"/>
        <w:ind w:right="420" w:firstLine="420"/>
        <w:rPr>
          <w:color w:val="auto"/>
          <w:highlight w:val="none"/>
        </w:rPr>
      </w:pPr>
      <w:r>
        <w:rPr>
          <w:rFonts w:hint="eastAsia"/>
          <w:color w:val="auto"/>
          <w:highlight w:val="none"/>
        </w:rPr>
        <w:t>式中：</w:t>
      </w:r>
    </w:p>
    <w:p>
      <w:pPr>
        <w:snapToGrid w:val="0"/>
        <w:ind w:right="420" w:firstLine="420"/>
        <w:rPr>
          <w:color w:val="auto"/>
          <w:highlight w:val="none"/>
        </w:rPr>
      </w:pPr>
      <w:r>
        <w:rPr>
          <w:color w:val="auto"/>
          <w:position w:val="-6"/>
          <w:highlight w:val="none"/>
        </w:rPr>
        <w:object>
          <v:shape id="_x0000_i1049" o:spt="75" type="#_x0000_t75" style="height:12.15pt;width:7.2pt;" o:ole="t" filled="f" o:preferrelative="t" stroked="f" coordsize="21600,21600">
            <v:path/>
            <v:fill on="f" focussize="0,0"/>
            <v:stroke on="f" joinstyle="miter"/>
            <v:imagedata r:id="rId51" o:title=""/>
            <o:lock v:ext="edit" aspectratio="t"/>
            <w10:wrap type="none"/>
            <w10:anchorlock/>
          </v:shape>
          <o:OLEObject Type="Embed" ProgID="Equation.3" ShapeID="_x0000_i1049" DrawAspect="Content" ObjectID="_1468075749" r:id="rId50">
            <o:LockedField>false</o:LockedField>
          </o:OLEObject>
        </w:object>
      </w:r>
      <w:r>
        <w:rPr>
          <w:rFonts w:hint="eastAsia"/>
          <w:color w:val="auto"/>
          <w:highlight w:val="none"/>
        </w:rPr>
        <w:t>——试样的厚度，单位为厘米，（cm）；</w:t>
      </w:r>
    </w:p>
    <w:p>
      <w:pPr>
        <w:snapToGrid w:val="0"/>
        <w:ind w:right="420" w:firstLine="420"/>
        <w:rPr>
          <w:color w:val="auto"/>
          <w:highlight w:val="none"/>
        </w:rPr>
      </w:pPr>
      <w:r>
        <w:rPr>
          <w:color w:val="auto"/>
          <w:position w:val="-6"/>
          <w:highlight w:val="none"/>
        </w:rPr>
        <w:object>
          <v:shape id="_x0000_i1050" o:spt="75" type="#_x0000_t75" style="height:14pt;width:10.25pt;" o:ole="t" filled="f" o:preferrelative="t" stroked="f" coordsize="21600,21600">
            <v:path/>
            <v:fill on="f" focussize="0,0"/>
            <v:stroke on="f" joinstyle="miter"/>
            <v:imagedata r:id="rId53" o:title=""/>
            <o:lock v:ext="edit" aspectratio="t"/>
            <w10:wrap type="none"/>
            <w10:anchorlock/>
          </v:shape>
          <o:OLEObject Type="Embed" ProgID="Equation.3" ShapeID="_x0000_i1050" DrawAspect="Content" ObjectID="_1468075750" r:id="rId52">
            <o:LockedField>false</o:LockedField>
          </o:OLEObject>
        </w:object>
      </w:r>
      <w:r>
        <w:rPr>
          <w:rFonts w:hint="eastAsia"/>
          <w:color w:val="auto"/>
          <w:highlight w:val="none"/>
        </w:rPr>
        <w:t>——掠射角，单位为度，（°）；</w:t>
      </w:r>
    </w:p>
    <w:p>
      <w:pPr>
        <w:snapToGrid w:val="0"/>
        <w:ind w:right="420" w:firstLine="420"/>
        <w:rPr>
          <w:color w:val="auto"/>
          <w:highlight w:val="none"/>
        </w:rPr>
      </w:pPr>
      <w:r>
        <w:rPr>
          <w:color w:val="auto"/>
          <w:position w:val="-10"/>
          <w:highlight w:val="none"/>
        </w:rPr>
        <w:object>
          <v:shape id="_x0000_i1051" o:spt="75" type="#_x0000_t75" style="height:16.65pt;width:12.9pt;" o:ole="t" filled="f" o:preferrelative="t" stroked="f" coordsize="21600,21600">
            <v:path/>
            <v:fill on="f" focussize="0,0"/>
            <v:stroke on="f" joinstyle="miter"/>
            <v:imagedata r:id="rId55" o:title=""/>
            <o:lock v:ext="edit" aspectratio="t"/>
            <w10:wrap type="none"/>
            <w10:anchorlock/>
          </v:shape>
          <o:OLEObject Type="Embed" ProgID="Equation.3" ShapeID="_x0000_i1051" DrawAspect="Content" ObjectID="_1468075751" r:id="rId54">
            <o:LockedField>false</o:LockedField>
          </o:OLEObject>
        </w:object>
      </w:r>
      <w:r>
        <w:rPr>
          <w:rFonts w:hint="eastAsia"/>
          <w:color w:val="auto"/>
          <w:highlight w:val="none"/>
        </w:rPr>
        <w:t>——试样的线吸收系数，1/Bm；</w:t>
      </w:r>
    </w:p>
    <w:p>
      <w:pPr>
        <w:snapToGrid w:val="0"/>
        <w:ind w:right="420" w:firstLine="420"/>
        <w:rPr>
          <w:color w:val="auto"/>
          <w:highlight w:val="none"/>
        </w:rPr>
      </w:pPr>
      <w:r>
        <w:rPr>
          <w:color w:val="auto"/>
          <w:position w:val="-10"/>
          <w:highlight w:val="none"/>
        </w:rPr>
        <w:object>
          <v:shape id="_x0000_i1052" o:spt="75" type="#_x0000_t75" style="height:12.9pt;width:11pt;" o:ole="t" filled="f" o:preferrelative="t" stroked="f" coordsize="21600,21600">
            <v:path/>
            <v:fill on="f" focussize="0,0"/>
            <v:stroke on="f" joinstyle="miter"/>
            <v:imagedata r:id="rId57" o:title=""/>
            <o:lock v:ext="edit" aspectratio="t"/>
            <w10:wrap type="none"/>
            <w10:anchorlock/>
          </v:shape>
          <o:OLEObject Type="Embed" ProgID="Equation.3" ShapeID="_x0000_i1052" DrawAspect="Content" ObjectID="_1468075752" r:id="rId56">
            <o:LockedField>false</o:LockedField>
          </o:OLEObject>
        </w:object>
      </w:r>
      <w:r>
        <w:rPr>
          <w:rFonts w:hint="eastAsia"/>
          <w:color w:val="auto"/>
          <w:highlight w:val="none"/>
        </w:rPr>
        <w:t>——按国际物理常数表计算得的混合粉末密度，单位为克每立方厘米，（ g/cm</w:t>
      </w:r>
      <w:r>
        <w:rPr>
          <w:rFonts w:hint="eastAsia"/>
          <w:color w:val="auto"/>
          <w:highlight w:val="none"/>
          <w:vertAlign w:val="superscript"/>
        </w:rPr>
        <w:t>3</w:t>
      </w:r>
      <w:r>
        <w:rPr>
          <w:rFonts w:hint="eastAsia"/>
          <w:color w:val="auto"/>
          <w:highlight w:val="none"/>
        </w:rPr>
        <w:t>）；</w:t>
      </w:r>
    </w:p>
    <w:p>
      <w:pPr>
        <w:snapToGrid w:val="0"/>
        <w:ind w:right="420" w:firstLine="420"/>
        <w:rPr>
          <w:color w:val="auto"/>
          <w:highlight w:val="none"/>
        </w:rPr>
      </w:pPr>
      <w:r>
        <w:rPr>
          <w:color w:val="auto"/>
          <w:position w:val="-10"/>
          <w:highlight w:val="none"/>
        </w:rPr>
        <w:object>
          <v:shape id="_x0000_i1053" o:spt="75" type="#_x0000_t75" style="height:16.65pt;width:12.9pt;" o:ole="t" filled="f" o:preferrelative="t" stroked="f" coordsize="21600,21600">
            <v:path/>
            <v:fill on="f" focussize="0,0"/>
            <v:stroke on="f" joinstyle="miter"/>
            <v:imagedata r:id="rId59" o:title=""/>
            <o:lock v:ext="edit" aspectratio="t"/>
            <w10:wrap type="none"/>
            <w10:anchorlock/>
          </v:shape>
          <o:OLEObject Type="Embed" ProgID="Equation.3" ShapeID="_x0000_i1053" DrawAspect="Content" ObjectID="_1468075753" r:id="rId58">
            <o:LockedField>false</o:LockedField>
          </o:OLEObject>
        </w:object>
      </w:r>
      <w:r>
        <w:rPr>
          <w:rFonts w:hint="eastAsia"/>
          <w:color w:val="auto"/>
          <w:highlight w:val="none"/>
        </w:rPr>
        <w:t>——混合试料的实测密度，单位为克每立方厘米，（g/cm</w:t>
      </w:r>
      <w:r>
        <w:rPr>
          <w:rFonts w:hint="eastAsia"/>
          <w:color w:val="auto"/>
          <w:highlight w:val="none"/>
          <w:vertAlign w:val="superscript"/>
        </w:rPr>
        <w:t>3</w:t>
      </w:r>
      <w:r>
        <w:rPr>
          <w:rFonts w:hint="eastAsia"/>
          <w:color w:val="auto"/>
          <w:highlight w:val="none"/>
        </w:rPr>
        <w:t>）。</w:t>
      </w:r>
    </w:p>
    <w:p>
      <w:pPr>
        <w:pStyle w:val="48"/>
        <w:numPr>
          <w:ilvl w:val="1"/>
          <w:numId w:val="0"/>
        </w:numPr>
        <w:spacing w:before="156" w:after="156"/>
        <w:rPr>
          <w:rFonts w:hint="eastAsia"/>
          <w:color w:val="auto"/>
          <w:highlight w:val="none"/>
        </w:rPr>
      </w:pPr>
      <w:r>
        <w:rPr>
          <w:rFonts w:hint="eastAsia"/>
          <w:color w:val="auto"/>
          <w:highlight w:val="none"/>
        </w:rPr>
        <w:t>A.2.2.2  制样</w:t>
      </w:r>
    </w:p>
    <w:p>
      <w:pPr>
        <w:snapToGrid w:val="0"/>
        <w:ind w:right="420" w:firstLine="435"/>
        <w:rPr>
          <w:rFonts w:ascii="黑体" w:eastAsia="黑体"/>
          <w:color w:val="auto"/>
          <w:highlight w:val="none"/>
        </w:rPr>
      </w:pPr>
      <w:r>
        <w:rPr>
          <w:rFonts w:hint="eastAsia"/>
          <w:color w:val="auto"/>
          <w:highlight w:val="none"/>
        </w:rPr>
        <w:t>采用常用的试样架，将研磨好的参考试样或混合试样倒入试样架内，在框架上面放一块大于框架、约300号的金相砂纸（也可用相应粗糙的毛玻璃），在砂纸上面放一块与试样架大小一致的玻璃片，垂直压紧成型。</w:t>
      </w:r>
    </w:p>
    <w:p>
      <w:pPr>
        <w:pStyle w:val="48"/>
        <w:numPr>
          <w:ilvl w:val="1"/>
          <w:numId w:val="0"/>
        </w:numPr>
        <w:spacing w:before="156" w:after="156"/>
        <w:rPr>
          <w:rFonts w:hint="eastAsia"/>
          <w:color w:val="auto"/>
          <w:highlight w:val="none"/>
        </w:rPr>
      </w:pPr>
      <w:r>
        <w:rPr>
          <w:rFonts w:hint="eastAsia"/>
          <w:color w:val="auto"/>
          <w:highlight w:val="none"/>
        </w:rPr>
        <w:t>A.3  实验仪器和实验条件</w:t>
      </w:r>
    </w:p>
    <w:p>
      <w:pPr>
        <w:pStyle w:val="48"/>
        <w:numPr>
          <w:ilvl w:val="1"/>
          <w:numId w:val="0"/>
        </w:numPr>
        <w:spacing w:before="156" w:after="156"/>
        <w:rPr>
          <w:rFonts w:hint="eastAsia"/>
          <w:color w:val="auto"/>
          <w:highlight w:val="none"/>
        </w:rPr>
      </w:pPr>
      <w:r>
        <w:rPr>
          <w:rFonts w:hint="eastAsia"/>
          <w:color w:val="auto"/>
          <w:highlight w:val="none"/>
        </w:rPr>
        <w:t>A.3.1  衍射仪</w:t>
      </w:r>
    </w:p>
    <w:p>
      <w:pPr>
        <w:keepNext w:val="0"/>
        <w:keepLines w:val="0"/>
        <w:pageBreakBefore w:val="0"/>
        <w:widowControl w:val="0"/>
        <w:kinsoku/>
        <w:wordWrap/>
        <w:overflowPunct/>
        <w:topLinePunct w:val="0"/>
        <w:autoSpaceDE/>
        <w:autoSpaceDN/>
        <w:bidi w:val="0"/>
        <w:adjustRightInd/>
        <w:snapToGrid w:val="0"/>
        <w:ind w:right="420" w:firstLine="420"/>
        <w:textAlignment w:val="auto"/>
        <w:rPr>
          <w:color w:val="auto"/>
          <w:highlight w:val="none"/>
        </w:rPr>
      </w:pPr>
      <w:r>
        <w:rPr>
          <w:rFonts w:hint="eastAsia"/>
          <w:color w:val="auto"/>
          <w:highlight w:val="none"/>
        </w:rPr>
        <w:t>衍射仪综合稳定度优于1%。</w:t>
      </w:r>
    </w:p>
    <w:p>
      <w:pPr>
        <w:keepNext w:val="0"/>
        <w:keepLines w:val="0"/>
        <w:pageBreakBefore w:val="0"/>
        <w:widowControl w:val="0"/>
        <w:kinsoku/>
        <w:wordWrap/>
        <w:overflowPunct/>
        <w:topLinePunct w:val="0"/>
        <w:autoSpaceDE/>
        <w:autoSpaceDN/>
        <w:bidi w:val="0"/>
        <w:adjustRightInd/>
        <w:snapToGrid w:val="0"/>
        <w:ind w:right="420" w:firstLine="420"/>
        <w:textAlignment w:val="auto"/>
        <w:rPr>
          <w:color w:val="auto"/>
          <w:sz w:val="18"/>
          <w:szCs w:val="18"/>
          <w:highlight w:val="none"/>
        </w:rPr>
      </w:pPr>
      <w:r>
        <w:rPr>
          <w:rFonts w:hint="eastAsia"/>
          <w:color w:val="auto"/>
          <w:sz w:val="18"/>
          <w:szCs w:val="18"/>
          <w:highlight w:val="none"/>
        </w:rPr>
        <w:t>注1：本文件仪器综合稳定度是指同一实验条件下对同一试样的同一衍射面，每隔10min测量一次衍射强度，在8h内所测衍射线强度值的相对标准偏差</w:t>
      </w:r>
      <w:r>
        <w:rPr>
          <w:color w:val="auto"/>
          <w:sz w:val="18"/>
          <w:szCs w:val="18"/>
          <w:highlight w:val="none"/>
        </w:rPr>
        <w:t>σ</w:t>
      </w:r>
      <w:r>
        <w:rPr>
          <w:rFonts w:hint="eastAsia"/>
          <w:color w:val="auto"/>
          <w:sz w:val="18"/>
          <w:szCs w:val="18"/>
          <w:highlight w:val="none"/>
        </w:rPr>
        <w:t>。</w:t>
      </w:r>
    </w:p>
    <w:p>
      <w:pPr>
        <w:pStyle w:val="48"/>
        <w:numPr>
          <w:ilvl w:val="1"/>
          <w:numId w:val="0"/>
        </w:numPr>
        <w:spacing w:before="156" w:after="156"/>
        <w:rPr>
          <w:rFonts w:hint="eastAsia"/>
          <w:color w:val="auto"/>
          <w:highlight w:val="none"/>
        </w:rPr>
      </w:pPr>
      <w:r>
        <w:rPr>
          <w:rFonts w:hint="eastAsia"/>
          <w:color w:val="auto"/>
          <w:highlight w:val="none"/>
        </w:rPr>
        <w:t>A.3.2  实验条件</w:t>
      </w:r>
    </w:p>
    <w:p>
      <w:pPr>
        <w:pStyle w:val="48"/>
        <w:numPr>
          <w:ilvl w:val="1"/>
          <w:numId w:val="0"/>
        </w:numPr>
        <w:spacing w:before="156" w:after="156"/>
        <w:rPr>
          <w:rFonts w:hint="eastAsia"/>
          <w:color w:val="auto"/>
          <w:highlight w:val="none"/>
        </w:rPr>
      </w:pPr>
      <w:r>
        <w:rPr>
          <w:rFonts w:hint="eastAsia"/>
          <w:color w:val="auto"/>
          <w:highlight w:val="none"/>
        </w:rPr>
        <w:t>A.3.2.1  扫描步长</w:t>
      </w:r>
    </w:p>
    <w:p>
      <w:pPr>
        <w:snapToGrid w:val="0"/>
        <w:ind w:right="420" w:firstLine="420"/>
        <w:rPr>
          <w:color w:val="auto"/>
          <w:highlight w:val="none"/>
        </w:rPr>
      </w:pPr>
      <w:r>
        <w:rPr>
          <w:rFonts w:hint="eastAsia"/>
          <w:color w:val="auto"/>
          <w:highlight w:val="none"/>
        </w:rPr>
        <w:t>选用0.01°或0.005°为宜。</w:t>
      </w:r>
    </w:p>
    <w:p>
      <w:pPr>
        <w:pStyle w:val="48"/>
        <w:numPr>
          <w:ilvl w:val="1"/>
          <w:numId w:val="0"/>
        </w:numPr>
        <w:spacing w:before="156" w:after="156"/>
        <w:rPr>
          <w:rFonts w:hint="eastAsia"/>
          <w:color w:val="auto"/>
          <w:highlight w:val="none"/>
        </w:rPr>
      </w:pPr>
      <w:r>
        <w:rPr>
          <w:rFonts w:hint="eastAsia"/>
          <w:color w:val="auto"/>
          <w:highlight w:val="none"/>
        </w:rPr>
        <w:t>A.3.2.2  驻留时间</w:t>
      </w:r>
    </w:p>
    <w:p>
      <w:pPr>
        <w:snapToGrid w:val="0"/>
        <w:ind w:right="420" w:firstLine="420"/>
        <w:rPr>
          <w:color w:val="auto"/>
          <w:highlight w:val="none"/>
        </w:rPr>
      </w:pPr>
      <w:r>
        <w:rPr>
          <w:rFonts w:hint="eastAsia"/>
          <w:color w:val="auto"/>
          <w:highlight w:val="none"/>
        </w:rPr>
        <w:t>选用4s或4s以上为宜。</w:t>
      </w:r>
    </w:p>
    <w:p>
      <w:pPr>
        <w:pStyle w:val="48"/>
        <w:numPr>
          <w:ilvl w:val="1"/>
          <w:numId w:val="0"/>
        </w:numPr>
        <w:spacing w:before="156" w:after="156"/>
        <w:rPr>
          <w:rFonts w:hint="eastAsia"/>
          <w:color w:val="auto"/>
          <w:highlight w:val="none"/>
        </w:rPr>
      </w:pPr>
      <w:r>
        <w:rPr>
          <w:rFonts w:hint="eastAsia"/>
          <w:color w:val="auto"/>
          <w:highlight w:val="none"/>
        </w:rPr>
        <w:t>A.3.3  衍射峰形要求</w:t>
      </w:r>
    </w:p>
    <w:p>
      <w:pPr>
        <w:snapToGrid w:val="0"/>
        <w:ind w:right="420" w:firstLine="420"/>
        <w:rPr>
          <w:color w:val="auto"/>
          <w:highlight w:val="none"/>
        </w:rPr>
      </w:pPr>
      <w:r>
        <w:rPr>
          <w:rFonts w:hint="eastAsia"/>
          <w:color w:val="auto"/>
          <w:highlight w:val="none"/>
        </w:rPr>
        <w:t>峰高应大于背底波动幅度的4倍。</w:t>
      </w:r>
    </w:p>
    <w:p>
      <w:pPr>
        <w:snapToGrid w:val="0"/>
        <w:ind w:right="420" w:firstLine="420"/>
        <w:rPr>
          <w:rFonts w:ascii="黑体" w:eastAsia="黑体"/>
          <w:color w:val="auto"/>
          <w:highlight w:val="none"/>
        </w:rPr>
      </w:pPr>
      <w:r>
        <w:rPr>
          <w:rFonts w:hint="eastAsia"/>
          <w:color w:val="auto"/>
          <w:highlight w:val="none"/>
        </w:rPr>
        <w:t>峰高约为半高宽的4倍为宜。</w:t>
      </w:r>
    </w:p>
    <w:p>
      <w:pPr>
        <w:pStyle w:val="48"/>
        <w:numPr>
          <w:ilvl w:val="1"/>
          <w:numId w:val="0"/>
        </w:numPr>
        <w:spacing w:before="156" w:after="156"/>
        <w:rPr>
          <w:rFonts w:hint="eastAsia"/>
          <w:color w:val="auto"/>
          <w:highlight w:val="none"/>
        </w:rPr>
      </w:pPr>
      <w:r>
        <w:rPr>
          <w:rFonts w:hint="eastAsia"/>
          <w:color w:val="auto"/>
          <w:highlight w:val="none"/>
        </w:rPr>
        <w:t>A.4  实验步骤及结果计算</w:t>
      </w:r>
    </w:p>
    <w:p>
      <w:pPr>
        <w:snapToGrid w:val="0"/>
        <w:ind w:right="420" w:firstLine="435"/>
        <w:rPr>
          <w:color w:val="auto"/>
          <w:highlight w:val="none"/>
        </w:rPr>
      </w:pPr>
      <w:r>
        <w:rPr>
          <w:rFonts w:hint="eastAsia"/>
          <w:color w:val="auto"/>
          <w:highlight w:val="none"/>
        </w:rPr>
        <w:t>在作定量测定之前，参考试样和混合试料的衍射强度先要与JBPDS标准卡片校对，检查参考物质和待测相有无择优取向。若存在择优取向，则应重新制样，尽量改善或消除择优取向。</w:t>
      </w:r>
    </w:p>
    <w:p>
      <w:pPr>
        <w:pStyle w:val="48"/>
        <w:numPr>
          <w:ilvl w:val="1"/>
          <w:numId w:val="0"/>
        </w:numPr>
        <w:spacing w:before="156" w:after="156"/>
        <w:rPr>
          <w:rFonts w:hint="eastAsia"/>
          <w:color w:val="auto"/>
          <w:highlight w:val="none"/>
        </w:rPr>
      </w:pPr>
      <w:r>
        <w:rPr>
          <w:rFonts w:hint="eastAsia"/>
          <w:color w:val="auto"/>
          <w:highlight w:val="none"/>
        </w:rPr>
        <w:t>A.4.1  参考试样</w:t>
      </w:r>
      <w:r>
        <w:rPr>
          <w:rFonts w:hint="eastAsia"/>
          <w:color w:val="auto"/>
          <w:highlight w:val="none"/>
        </w:rPr>
        <w:object>
          <v:shape id="_x0000_i1054" o:spt="75" type="#_x0000_t75" style="height:18.2pt;width:18.2pt;" o:ole="t" filled="f" o:preferrelative="t" stroked="f" coordsize="21600,21600">
            <v:path/>
            <v:fill on="f" focussize="0,0"/>
            <v:stroke on="f" joinstyle="miter"/>
            <v:imagedata r:id="rId61" o:title=""/>
            <o:lock v:ext="edit" aspectratio="t"/>
            <w10:wrap type="none"/>
            <w10:anchorlock/>
          </v:shape>
          <o:OLEObject Type="Embed" ProgID="Equation.3" ShapeID="_x0000_i1054" DrawAspect="Content" ObjectID="_1468075754" r:id="rId60">
            <o:LockedField>false</o:LockedField>
          </o:OLEObject>
        </w:object>
      </w:r>
      <w:r>
        <w:rPr>
          <w:rFonts w:hint="eastAsia"/>
          <w:color w:val="auto"/>
          <w:highlight w:val="none"/>
        </w:rPr>
        <w:t>值的测定</w:t>
      </w:r>
    </w:p>
    <w:p>
      <w:pPr>
        <w:snapToGrid w:val="0"/>
        <w:ind w:right="420"/>
        <w:rPr>
          <w:color w:val="auto"/>
          <w:highlight w:val="none"/>
        </w:rPr>
      </w:pPr>
      <w:r>
        <w:rPr>
          <w:rFonts w:hint="eastAsia" w:ascii="黑体" w:eastAsia="黑体"/>
          <w:color w:val="auto"/>
          <w:highlight w:val="none"/>
        </w:rPr>
        <w:t>A.4.1.1</w:t>
      </w:r>
      <w:r>
        <w:rPr>
          <w:rFonts w:hint="eastAsia"/>
          <w:color w:val="auto"/>
          <w:highlight w:val="none"/>
        </w:rPr>
        <w:t xml:space="preserve">  欲求</w:t>
      </w:r>
      <w:r>
        <w:rPr>
          <w:color w:val="auto"/>
          <w:position w:val="-10"/>
          <w:highlight w:val="none"/>
        </w:rPr>
        <w:object>
          <v:shape id="_x0000_i1055" o:spt="75" type="#_x0000_t75" style="height:18.2pt;width:18.2pt;" o:ole="t" filled="f" o:preferrelative="t" stroked="f" coordsize="21600,21600">
            <v:path/>
            <v:fill on="f" focussize="0,0"/>
            <v:stroke on="f" joinstyle="miter"/>
            <v:imagedata r:id="rId63" o:title=""/>
            <o:lock v:ext="edit" aspectratio="t"/>
            <w10:wrap type="none"/>
            <w10:anchorlock/>
          </v:shape>
          <o:OLEObject Type="Embed" ProgID="Equation.3" ShapeID="_x0000_i1055" DrawAspect="Content" ObjectID="_1468075755" r:id="rId62">
            <o:LockedField>false</o:LockedField>
          </o:OLEObject>
        </w:object>
      </w:r>
      <w:r>
        <w:rPr>
          <w:rFonts w:hint="eastAsia"/>
          <w:color w:val="auto"/>
          <w:highlight w:val="none"/>
        </w:rPr>
        <w:t>值的纯氧化亚钴相，须先进行X射线衍射定性分析检查其纯度，不得出现杂质衍射线条。</w:t>
      </w:r>
    </w:p>
    <w:p>
      <w:pPr>
        <w:snapToGrid w:val="0"/>
        <w:ind w:right="420"/>
        <w:rPr>
          <w:color w:val="auto"/>
          <w:highlight w:val="none"/>
        </w:rPr>
      </w:pPr>
      <w:r>
        <w:rPr>
          <w:rFonts w:hint="eastAsia" w:ascii="黑体" w:eastAsia="黑体"/>
          <w:color w:val="auto"/>
          <w:highlight w:val="none"/>
        </w:rPr>
        <w:t>A.4.1.2</w:t>
      </w:r>
      <w:r>
        <w:rPr>
          <w:rFonts w:hint="eastAsia"/>
          <w:color w:val="auto"/>
          <w:highlight w:val="none"/>
        </w:rPr>
        <w:t xml:space="preserve">  按A.3.1.2选择的纯参考物质，应按A.5.1.1进行纯度检测。</w:t>
      </w:r>
    </w:p>
    <w:p>
      <w:pPr>
        <w:snapToGrid w:val="0"/>
        <w:ind w:right="420"/>
        <w:rPr>
          <w:color w:val="auto"/>
          <w:highlight w:val="none"/>
        </w:rPr>
      </w:pPr>
      <w:r>
        <w:rPr>
          <w:rFonts w:hint="eastAsia" w:ascii="黑体" w:eastAsia="黑体"/>
          <w:color w:val="auto"/>
          <w:highlight w:val="none"/>
        </w:rPr>
        <w:t>A.4.1.3</w:t>
      </w:r>
      <w:r>
        <w:rPr>
          <w:rFonts w:hint="eastAsia"/>
          <w:color w:val="auto"/>
          <w:highlight w:val="none"/>
        </w:rPr>
        <w:t xml:space="preserve">  按A.3.1.1和A.3.1.2分别配样。</w:t>
      </w:r>
    </w:p>
    <w:p>
      <w:pPr>
        <w:snapToGrid w:val="0"/>
        <w:ind w:right="420"/>
        <w:rPr>
          <w:color w:val="auto"/>
          <w:highlight w:val="none"/>
        </w:rPr>
      </w:pPr>
      <w:r>
        <w:rPr>
          <w:rFonts w:hint="eastAsia" w:ascii="黑体" w:eastAsia="黑体"/>
          <w:color w:val="auto"/>
          <w:highlight w:val="none"/>
        </w:rPr>
        <w:t>A.4.1.4</w:t>
      </w:r>
      <w:r>
        <w:rPr>
          <w:rFonts w:hint="eastAsia"/>
          <w:color w:val="auto"/>
          <w:highlight w:val="none"/>
        </w:rPr>
        <w:t xml:space="preserve">  按A.3.1.4和A.3.2制样。</w:t>
      </w:r>
    </w:p>
    <w:p>
      <w:pPr>
        <w:snapToGrid w:val="0"/>
        <w:ind w:right="420"/>
        <w:rPr>
          <w:color w:val="auto"/>
          <w:highlight w:val="none"/>
        </w:rPr>
      </w:pPr>
      <w:r>
        <w:rPr>
          <w:rFonts w:hint="eastAsia" w:ascii="黑体" w:eastAsia="黑体"/>
          <w:color w:val="auto"/>
          <w:highlight w:val="none"/>
        </w:rPr>
        <w:t>A.4.1.5</w:t>
      </w:r>
      <w:r>
        <w:rPr>
          <w:rFonts w:hint="eastAsia"/>
          <w:color w:val="auto"/>
          <w:highlight w:val="none"/>
        </w:rPr>
        <w:t xml:space="preserve">  记录所选用的各衍射线的累积强度。</w:t>
      </w:r>
    </w:p>
    <w:p>
      <w:pPr>
        <w:snapToGrid w:val="0"/>
        <w:ind w:right="420"/>
        <w:rPr>
          <w:color w:val="auto"/>
          <w:highlight w:val="none"/>
        </w:rPr>
      </w:pPr>
      <w:r>
        <w:rPr>
          <w:rFonts w:hint="eastAsia" w:ascii="黑体" w:eastAsia="黑体"/>
          <w:color w:val="auto"/>
          <w:highlight w:val="none"/>
        </w:rPr>
        <w:t>A.4.1.6</w:t>
      </w:r>
      <w:r>
        <w:rPr>
          <w:rFonts w:hint="eastAsia"/>
          <w:color w:val="auto"/>
          <w:highlight w:val="none"/>
        </w:rPr>
        <w:t xml:space="preserve">  每个试样至少重复制样三次，每次制成的试样测量三次衍射线累积强度。把每次的衍射线累积强度值代入公式（A.2）求出每次的</w:t>
      </w:r>
      <w:r>
        <w:rPr>
          <w:color w:val="auto"/>
          <w:position w:val="-10"/>
          <w:highlight w:val="none"/>
        </w:rPr>
        <w:object>
          <v:shape id="_x0000_i1056" o:spt="75" type="#_x0000_t75" style="height:18.2pt;width:18.2pt;" o:ole="t" filled="f" o:preferrelative="t" stroked="f" coordsize="21600,21600">
            <v:path/>
            <v:fill on="f" focussize="0,0"/>
            <v:stroke on="f" joinstyle="miter"/>
            <v:imagedata r:id="rId63" o:title=""/>
            <o:lock v:ext="edit" aspectratio="t"/>
            <w10:wrap type="none"/>
            <w10:anchorlock/>
          </v:shape>
          <o:OLEObject Type="Embed" ProgID="Equation.3" ShapeID="_x0000_i1056" DrawAspect="Content" ObjectID="_1468075756" r:id="rId64">
            <o:LockedField>false</o:LockedField>
          </o:OLEObject>
        </w:object>
      </w:r>
      <w:r>
        <w:rPr>
          <w:rFonts w:hint="eastAsia"/>
          <w:color w:val="auto"/>
          <w:highlight w:val="none"/>
        </w:rPr>
        <w:t>值，取其平均</w:t>
      </w:r>
      <w:r>
        <w:rPr>
          <w:color w:val="auto"/>
          <w:position w:val="-10"/>
          <w:highlight w:val="none"/>
        </w:rPr>
        <w:object>
          <v:shape id="_x0000_i1057" o:spt="75" type="#_x0000_t75" style="height:18.2pt;width:18.2pt;" o:ole="t" filled="f" o:preferrelative="t" stroked="f" coordsize="21600,21600">
            <v:path/>
            <v:fill on="f" focussize="0,0"/>
            <v:stroke on="f" joinstyle="miter"/>
            <v:imagedata r:id="rId63" o:title=""/>
            <o:lock v:ext="edit" aspectratio="t"/>
            <w10:wrap type="none"/>
            <w10:anchorlock/>
          </v:shape>
          <o:OLEObject Type="Embed" ProgID="Equation.3" ShapeID="_x0000_i1057" DrawAspect="Content" ObjectID="_1468075757" r:id="rId65">
            <o:LockedField>false</o:LockedField>
          </o:OLEObject>
        </w:object>
      </w:r>
      <w:r>
        <w:rPr>
          <w:rFonts w:hint="eastAsia"/>
          <w:color w:val="auto"/>
          <w:highlight w:val="none"/>
        </w:rPr>
        <w:t>值。要求每次测量数据的相对标准偏差（</w:t>
      </w:r>
      <w:r>
        <w:rPr>
          <w:color w:val="auto"/>
          <w:highlight w:val="none"/>
        </w:rPr>
        <w:t>σ</w:t>
      </w:r>
      <w:r>
        <w:rPr>
          <w:rFonts w:hint="eastAsia"/>
          <w:color w:val="auto"/>
          <w:highlight w:val="none"/>
        </w:rPr>
        <w:t>）要与仪器的综合稳定度相当。</w:t>
      </w:r>
      <w:r>
        <w:rPr>
          <w:color w:val="auto"/>
          <w:highlight w:val="none"/>
        </w:rPr>
        <w:t>σ</w:t>
      </w:r>
      <w:r>
        <w:rPr>
          <w:rFonts w:hint="eastAsia"/>
          <w:color w:val="auto"/>
          <w:highlight w:val="none"/>
        </w:rPr>
        <w:t>按公式（A.5）计算：</w:t>
      </w:r>
    </w:p>
    <w:p>
      <w:pPr>
        <w:wordWrap w:val="0"/>
        <w:snapToGrid w:val="0"/>
        <w:ind w:right="420"/>
        <w:jc w:val="right"/>
        <w:rPr>
          <w:color w:val="auto"/>
          <w:highlight w:val="none"/>
        </w:rPr>
      </w:pPr>
      <w:r>
        <w:rPr>
          <w:color w:val="auto"/>
          <w:position w:val="-22"/>
          <w:highlight w:val="none"/>
        </w:rPr>
        <w:object>
          <v:shape id="_x0000_i1058" o:spt="75" type="#_x0000_t75" style="height:52.65pt;width:86pt;" o:ole="t" filled="f" o:preferrelative="t" stroked="f" coordsize="21600,21600">
            <v:path/>
            <v:fill on="f" focussize="0,0"/>
            <v:stroke on="f" joinstyle="miter"/>
            <v:imagedata r:id="rId67" o:title=""/>
            <o:lock v:ext="edit" aspectratio="t"/>
            <w10:wrap type="none"/>
            <w10:anchorlock/>
          </v:shape>
          <o:OLEObject Type="Embed" ProgID="Equation.3" ShapeID="_x0000_i1058" DrawAspect="Content" ObjectID="_1468075758" r:id="rId66">
            <o:LockedField>false</o:LockedField>
          </o:OLEObject>
        </w:object>
      </w:r>
      <w:r>
        <w:rPr>
          <w:rFonts w:hint="eastAsia"/>
          <w:color w:val="auto"/>
          <w:highlight w:val="none"/>
        </w:rPr>
        <w:t xml:space="preserve">    …………………………   （A.5）</w:t>
      </w:r>
    </w:p>
    <w:p>
      <w:pPr>
        <w:snapToGrid w:val="0"/>
        <w:ind w:right="420" w:firstLine="420" w:firstLineChars="200"/>
        <w:jc w:val="left"/>
        <w:rPr>
          <w:color w:val="auto"/>
          <w:highlight w:val="none"/>
        </w:rPr>
      </w:pPr>
      <w:r>
        <w:rPr>
          <w:rFonts w:hint="eastAsia"/>
          <w:color w:val="auto"/>
          <w:highlight w:val="none"/>
        </w:rPr>
        <w:t>式中：</w:t>
      </w:r>
    </w:p>
    <w:p>
      <w:pPr>
        <w:snapToGrid w:val="0"/>
        <w:ind w:right="420" w:firstLine="420" w:firstLineChars="200"/>
        <w:jc w:val="left"/>
        <w:rPr>
          <w:color w:val="auto"/>
          <w:highlight w:val="none"/>
        </w:rPr>
      </w:pPr>
      <w:r>
        <w:rPr>
          <w:color w:val="auto"/>
          <w:position w:val="-4"/>
          <w:highlight w:val="none"/>
        </w:rPr>
        <w:object>
          <v:shape id="_x0000_i1059" o:spt="75" type="#_x0000_t75" style="height:15.9pt;width:11pt;" o:ole="t" filled="f" o:preferrelative="t" stroked="f" coordsize="21600,21600">
            <v:path/>
            <v:fill on="f" focussize="0,0"/>
            <v:stroke on="f" joinstyle="miter"/>
            <v:imagedata r:id="rId69" o:title=""/>
            <o:lock v:ext="edit" aspectratio="t"/>
            <w10:wrap type="none"/>
            <w10:anchorlock/>
          </v:shape>
          <o:OLEObject Type="Embed" ProgID="Equation.3" ShapeID="_x0000_i1059" DrawAspect="Content" ObjectID="_1468075759" r:id="rId68">
            <o:LockedField>false</o:LockedField>
          </o:OLEObject>
        </w:object>
      </w:r>
      <w:r>
        <w:rPr>
          <w:rFonts w:hint="eastAsia"/>
          <w:color w:val="auto"/>
          <w:highlight w:val="none"/>
        </w:rPr>
        <w:t>——</w:t>
      </w:r>
      <w:r>
        <w:rPr>
          <w:rFonts w:hint="eastAsia"/>
          <w:i/>
          <w:color w:val="auto"/>
          <w:highlight w:val="none"/>
        </w:rPr>
        <w:t>n</w:t>
      </w:r>
      <w:r>
        <w:rPr>
          <w:rFonts w:hint="eastAsia"/>
          <w:color w:val="auto"/>
          <w:highlight w:val="none"/>
        </w:rPr>
        <w:t>次测量结果的平均值；</w:t>
      </w:r>
    </w:p>
    <w:p>
      <w:pPr>
        <w:snapToGrid w:val="0"/>
        <w:ind w:right="420" w:firstLine="420" w:firstLineChars="200"/>
        <w:jc w:val="left"/>
        <w:rPr>
          <w:color w:val="auto"/>
          <w:highlight w:val="none"/>
        </w:rPr>
      </w:pPr>
      <w:r>
        <w:rPr>
          <w:color w:val="auto"/>
          <w:position w:val="-12"/>
          <w:highlight w:val="none"/>
        </w:rPr>
        <w:object>
          <v:shape id="_x0000_i1060" o:spt="75" type="#_x0000_t75" style="height:18.2pt;width:11pt;" o:ole="t" filled="f" o:preferrelative="t" stroked="f" coordsize="21600,21600">
            <v:path/>
            <v:fill on="f" focussize="0,0"/>
            <v:stroke on="f" joinstyle="miter"/>
            <v:imagedata r:id="rId71" o:title=""/>
            <o:lock v:ext="edit" aspectratio="t"/>
            <w10:wrap type="none"/>
            <w10:anchorlock/>
          </v:shape>
          <o:OLEObject Type="Embed" ProgID="Equation.3" ShapeID="_x0000_i1060" DrawAspect="Content" ObjectID="_1468075760" r:id="rId70">
            <o:LockedField>false</o:LockedField>
          </o:OLEObject>
        </w:object>
      </w:r>
      <w:r>
        <w:rPr>
          <w:rFonts w:hint="eastAsia"/>
          <w:color w:val="auto"/>
          <w:highlight w:val="none"/>
        </w:rPr>
        <w:t>——第</w:t>
      </w:r>
      <w:r>
        <w:rPr>
          <w:rFonts w:hint="eastAsia"/>
          <w:i/>
          <w:color w:val="auto"/>
          <w:highlight w:val="none"/>
        </w:rPr>
        <w:t>i</w:t>
      </w:r>
      <w:r>
        <w:rPr>
          <w:rFonts w:hint="eastAsia"/>
          <w:color w:val="auto"/>
          <w:highlight w:val="none"/>
        </w:rPr>
        <w:t>次测量结果；</w:t>
      </w:r>
    </w:p>
    <w:p>
      <w:pPr>
        <w:snapToGrid w:val="0"/>
        <w:ind w:right="420" w:firstLine="420" w:firstLineChars="200"/>
        <w:jc w:val="left"/>
        <w:rPr>
          <w:color w:val="auto"/>
          <w:highlight w:val="none"/>
        </w:rPr>
      </w:pPr>
      <w:r>
        <w:rPr>
          <w:rFonts w:hint="eastAsia"/>
          <w:i/>
          <w:color w:val="auto"/>
          <w:highlight w:val="none"/>
        </w:rPr>
        <w:t>n</w:t>
      </w:r>
      <w:r>
        <w:rPr>
          <w:rFonts w:hint="eastAsia"/>
          <w:color w:val="auto"/>
          <w:highlight w:val="none"/>
        </w:rPr>
        <w:t>——测量次数。</w:t>
      </w:r>
    </w:p>
    <w:p>
      <w:pPr>
        <w:snapToGrid w:val="0"/>
        <w:ind w:right="420"/>
        <w:jc w:val="left"/>
        <w:rPr>
          <w:color w:val="auto"/>
          <w:highlight w:val="none"/>
        </w:rPr>
      </w:pPr>
      <w:r>
        <w:rPr>
          <w:rFonts w:hint="eastAsia" w:ascii="黑体" w:eastAsia="黑体"/>
          <w:color w:val="auto"/>
          <w:highlight w:val="none"/>
        </w:rPr>
        <w:t>A.4.1.7</w:t>
      </w:r>
      <w:r>
        <w:rPr>
          <w:rFonts w:hint="eastAsia"/>
          <w:color w:val="auto"/>
          <w:highlight w:val="none"/>
        </w:rPr>
        <w:t xml:space="preserve">  按公式（A.2）计算</w:t>
      </w:r>
      <w:r>
        <w:rPr>
          <w:color w:val="auto"/>
          <w:position w:val="-10"/>
          <w:highlight w:val="none"/>
        </w:rPr>
        <w:object>
          <v:shape id="_x0000_i1061" o:spt="75" type="#_x0000_t75" style="height:18.2pt;width:18.2pt;" o:ole="t" filled="f" o:preferrelative="t" stroked="f" coordsize="21600,21600">
            <v:path/>
            <v:fill on="f" focussize="0,0"/>
            <v:stroke on="f" joinstyle="miter"/>
            <v:imagedata r:id="rId61" o:title=""/>
            <o:lock v:ext="edit" aspectratio="t"/>
            <w10:wrap type="none"/>
            <w10:anchorlock/>
          </v:shape>
          <o:OLEObject Type="Embed" ProgID="Equation.3" ShapeID="_x0000_i1061" DrawAspect="Content" ObjectID="_1468075761" r:id="rId72">
            <o:LockedField>false</o:LockedField>
          </o:OLEObject>
        </w:object>
      </w:r>
      <w:r>
        <w:rPr>
          <w:rFonts w:hint="eastAsia"/>
          <w:color w:val="auto"/>
          <w:highlight w:val="none"/>
        </w:rPr>
        <w:t>值。</w:t>
      </w:r>
    </w:p>
    <w:p>
      <w:pPr>
        <w:pStyle w:val="48"/>
        <w:numPr>
          <w:ilvl w:val="1"/>
          <w:numId w:val="0"/>
        </w:numPr>
        <w:spacing w:before="156" w:after="156"/>
        <w:rPr>
          <w:rFonts w:hint="eastAsia"/>
          <w:color w:val="auto"/>
          <w:highlight w:val="none"/>
        </w:rPr>
      </w:pPr>
      <w:r>
        <w:rPr>
          <w:rFonts w:hint="eastAsia"/>
          <w:color w:val="auto"/>
          <w:highlight w:val="none"/>
        </w:rPr>
        <w:t>A.4.2  氧化亚钴相含量的测定</w:t>
      </w:r>
    </w:p>
    <w:p>
      <w:pPr>
        <w:snapToGrid w:val="0"/>
        <w:ind w:right="420"/>
        <w:jc w:val="left"/>
        <w:rPr>
          <w:color w:val="auto"/>
          <w:highlight w:val="none"/>
        </w:rPr>
      </w:pPr>
      <w:r>
        <w:rPr>
          <w:rFonts w:hint="eastAsia" w:ascii="黑体" w:eastAsia="黑体"/>
          <w:color w:val="auto"/>
          <w:highlight w:val="none"/>
        </w:rPr>
        <w:t>A.4.2.1</w:t>
      </w:r>
      <w:r>
        <w:rPr>
          <w:rFonts w:hint="eastAsia"/>
          <w:color w:val="auto"/>
          <w:highlight w:val="none"/>
        </w:rPr>
        <w:t xml:space="preserve">  按A.3.1.2.4在纯待测物质中加入参考物质，按A.3.2.2制样，以使被测的氧化亚钴相所选取的各衍射线符合A.4.3。</w:t>
      </w:r>
    </w:p>
    <w:p>
      <w:pPr>
        <w:snapToGrid w:val="0"/>
        <w:ind w:right="420"/>
        <w:jc w:val="left"/>
        <w:rPr>
          <w:color w:val="auto"/>
          <w:highlight w:val="none"/>
        </w:rPr>
      </w:pPr>
      <w:r>
        <w:rPr>
          <w:rFonts w:hint="eastAsia" w:ascii="黑体" w:eastAsia="黑体"/>
          <w:color w:val="auto"/>
          <w:highlight w:val="none"/>
        </w:rPr>
        <w:t>A.4.2.2</w:t>
      </w:r>
      <w:r>
        <w:rPr>
          <w:rFonts w:hint="eastAsia"/>
          <w:color w:val="auto"/>
          <w:highlight w:val="none"/>
        </w:rPr>
        <w:t xml:space="preserve">  按A.5.1.6记录各相应衍射线的累积强度。</w:t>
      </w:r>
    </w:p>
    <w:p>
      <w:pPr>
        <w:snapToGrid w:val="0"/>
        <w:ind w:right="420"/>
        <w:jc w:val="left"/>
        <w:rPr>
          <w:rFonts w:hint="eastAsia"/>
          <w:color w:val="auto"/>
          <w:highlight w:val="none"/>
        </w:rPr>
      </w:pPr>
      <w:r>
        <w:rPr>
          <w:rFonts w:hint="eastAsia" w:ascii="黑体" w:eastAsia="黑体"/>
          <w:color w:val="auto"/>
          <w:highlight w:val="none"/>
        </w:rPr>
        <w:t>A.4.2.3</w:t>
      </w:r>
      <w:r>
        <w:rPr>
          <w:rFonts w:hint="eastAsia"/>
          <w:color w:val="auto"/>
          <w:highlight w:val="none"/>
        </w:rPr>
        <w:t xml:space="preserve">  将A.5.1.7测定的</w:t>
      </w:r>
      <w:r>
        <w:rPr>
          <w:color w:val="auto"/>
          <w:position w:val="-10"/>
          <w:highlight w:val="none"/>
        </w:rPr>
        <w:object>
          <v:shape id="_x0000_i1062" o:spt="75" type="#_x0000_t75" style="height:18.2pt;width:18.2pt;" o:ole="t" filled="f" o:preferrelative="t" stroked="f" coordsize="21600,21600">
            <v:path/>
            <v:fill on="f" focussize="0,0"/>
            <v:stroke on="f" joinstyle="miter"/>
            <v:imagedata r:id="rId63" o:title=""/>
            <o:lock v:ext="edit" aspectratio="t"/>
            <w10:wrap type="none"/>
            <w10:anchorlock/>
          </v:shape>
          <o:OLEObject Type="Embed" ProgID="Equation.3" ShapeID="_x0000_i1062" DrawAspect="Content" ObjectID="_1468075762" r:id="rId73">
            <o:LockedField>false</o:LockedField>
          </o:OLEObject>
        </w:object>
      </w:r>
      <w:r>
        <w:rPr>
          <w:rFonts w:hint="eastAsia"/>
          <w:color w:val="auto"/>
          <w:highlight w:val="none"/>
        </w:rPr>
        <w:t>值和A.5.2.2的结果代入公式（A.1）计算出氧化亚钴相的百分含量</w:t>
      </w:r>
      <w:r>
        <w:rPr>
          <w:rFonts w:hint="eastAsia"/>
          <w:color w:val="auto"/>
          <w:highlight w:val="none"/>
        </w:rPr>
        <w:object>
          <v:shape id="_x0000_i1063" o:spt="75" type="#_x0000_t75" style="height:18.2pt;width:16.65pt;" o:ole="t" filled="f" o:preferrelative="t" stroked="f" coordsize="21600,21600">
            <v:path/>
            <v:fill on="f" focussize="0,0"/>
            <v:stroke on="f" joinstyle="miter"/>
            <v:imagedata r:id="rId38" o:title=""/>
            <o:lock v:ext="edit" aspectratio="t"/>
            <w10:wrap type="none"/>
            <w10:anchorlock/>
          </v:shape>
          <o:OLEObject Type="Embed" ProgID="Equation.3" ShapeID="_x0000_i1063" DrawAspect="Content" ObjectID="_1468075763" r:id="rId74">
            <o:LockedField>false</o:LockedField>
          </o:OLEObject>
        </w:object>
      </w:r>
      <w:r>
        <w:rPr>
          <w:rFonts w:hint="eastAsia"/>
          <w:color w:val="auto"/>
          <w:highlight w:val="none"/>
        </w:rPr>
        <w:t>。</w:t>
      </w:r>
    </w:p>
    <w:p>
      <w:pPr>
        <w:snapToGrid w:val="0"/>
        <w:ind w:right="420"/>
        <w:jc w:val="left"/>
        <w:rPr>
          <w:rFonts w:hint="eastAsia"/>
          <w:color w:val="auto"/>
          <w:highlight w:val="none"/>
        </w:rPr>
      </w:pPr>
      <w:r>
        <w:rPr>
          <w:rFonts w:hint="eastAsia" w:ascii="黑体" w:eastAsia="黑体"/>
          <w:color w:val="auto"/>
          <w:highlight w:val="none"/>
        </w:rPr>
        <w:t>A.4.2.</w:t>
      </w:r>
      <w:r>
        <w:rPr>
          <w:rFonts w:hint="eastAsia" w:ascii="黑体" w:eastAsia="黑体"/>
          <w:color w:val="auto"/>
          <w:highlight w:val="none"/>
          <w:lang w:val="en-US" w:eastAsia="zh-CN"/>
        </w:rPr>
        <w:t>4</w:t>
      </w:r>
      <w:r>
        <w:rPr>
          <w:rFonts w:hint="eastAsia"/>
          <w:color w:val="auto"/>
          <w:highlight w:val="none"/>
        </w:rPr>
        <w:t xml:space="preserve">  若满足上述要求，则</w:t>
      </w:r>
      <w:r>
        <w:rPr>
          <w:rFonts w:hint="eastAsia"/>
          <w:color w:val="auto"/>
          <w:highlight w:val="none"/>
        </w:rPr>
        <w:object>
          <v:shape id="_x0000_i1064" o:spt="75" type="#_x0000_t75" style="height:18.2pt;width:16.65pt;" o:ole="t" filled="f" o:preferrelative="t" stroked="f" coordsize="21600,21600">
            <v:path/>
            <v:fill on="f" focussize="0,0"/>
            <v:stroke on="f" joinstyle="miter"/>
            <v:imagedata r:id="rId38" o:title=""/>
            <o:lock v:ext="edit" aspectratio="t"/>
            <w10:wrap type="none"/>
            <w10:anchorlock/>
          </v:shape>
          <o:OLEObject Type="Embed" ProgID="Equation.3" ShapeID="_x0000_i1064" DrawAspect="Content" ObjectID="_1468075764" r:id="rId75">
            <o:LockedField>false</o:LockedField>
          </o:OLEObject>
        </w:object>
      </w:r>
      <w:r>
        <w:rPr>
          <w:rFonts w:hint="eastAsia"/>
          <w:color w:val="auto"/>
          <w:highlight w:val="none"/>
        </w:rPr>
        <w:t>相对偏差≤5%。</w:t>
      </w:r>
    </w:p>
    <w:p>
      <w:pPr>
        <w:snapToGrid w:val="0"/>
        <w:ind w:right="420"/>
        <w:jc w:val="left"/>
        <w:rPr>
          <w:rFonts w:hint="eastAsia"/>
          <w:color w:val="auto"/>
          <w:highlight w:val="none"/>
        </w:rPr>
      </w:pPr>
    </w:p>
    <w:p>
      <w:pPr>
        <w:snapToGrid w:val="0"/>
        <w:ind w:right="420"/>
        <w:jc w:val="left"/>
        <w:rPr>
          <w:rFonts w:hint="eastAsia"/>
          <w:color w:val="auto"/>
          <w:highlight w:val="none"/>
        </w:rPr>
      </w:pPr>
    </w:p>
    <w:p>
      <w:pPr>
        <w:snapToGrid w:val="0"/>
        <w:ind w:right="420"/>
        <w:jc w:val="left"/>
        <w:rPr>
          <w:rFonts w:hint="eastAsia"/>
          <w:color w:val="auto"/>
          <w:highlight w:val="none"/>
        </w:rPr>
      </w:pPr>
    </w:p>
    <w:p>
      <w:pPr>
        <w:pStyle w:val="134"/>
      </w:pPr>
      <w:r>
        <w:t>_________________________________</w:t>
      </w: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黑体" w:hAnsi="黑体" w:eastAsia="黑体"/>
      </w:rPr>
    </w:pPr>
    <w:r>
      <w:rPr>
        <w:rFonts w:ascii="黑体" w:hAnsi="黑体" w:eastAsia="黑体"/>
      </w:rPr>
      <w:t>YS/T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EEE46"/>
    <w:multiLevelType w:val="singleLevel"/>
    <w:tmpl w:val="870EEE46"/>
    <w:lvl w:ilvl="0" w:tentative="0">
      <w:start w:val="1"/>
      <w:numFmt w:val="lowerLetter"/>
      <w:suff w:val="nothing"/>
      <w:lvlText w:val="%1）"/>
      <w:lvlJc w:val="left"/>
    </w:lvl>
  </w:abstractNum>
  <w:abstractNum w:abstractNumId="1">
    <w:nsid w:val="8D9512AD"/>
    <w:multiLevelType w:val="multilevel"/>
    <w:tmpl w:val="8D9512AD"/>
    <w:lvl w:ilvl="0" w:tentative="0">
      <w:start w:val="1"/>
      <w:numFmt w:val="decimal"/>
      <w:pStyle w:val="51"/>
      <w:suff w:val="nothing"/>
      <w:lvlText w:val="%1　"/>
      <w:lvlJc w:val="left"/>
      <w:pPr>
        <w:tabs>
          <w:tab w:val="left" w:pos="0"/>
        </w:tabs>
        <w:ind w:left="0" w:firstLine="0"/>
      </w:pPr>
      <w:rPr>
        <w:rFonts w:hint="default" w:ascii="黑体" w:hAnsi="Times New Roman" w:eastAsia="黑体"/>
        <w:b w:val="0"/>
        <w:i w:val="0"/>
        <w:sz w:val="21"/>
        <w:szCs w:val="21"/>
      </w:rPr>
    </w:lvl>
    <w:lvl w:ilvl="1" w:tentative="0">
      <w:start w:val="1"/>
      <w:numFmt w:val="decimal"/>
      <w:pStyle w:val="4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55"/>
      <w:suff w:val="nothing"/>
      <w:lvlText w:val="%1.%2.%3　"/>
      <w:lvlJc w:val="left"/>
      <w:pPr>
        <w:ind w:left="0" w:firstLine="0"/>
      </w:pPr>
      <w:rPr>
        <w:rFonts w:hint="default" w:ascii="宋体" w:hAnsi="宋体" w:eastAsia="宋体" w:cs="宋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C4C306AE"/>
    <w:multiLevelType w:val="multilevel"/>
    <w:tmpl w:val="C4C306AE"/>
    <w:lvl w:ilvl="0" w:tentative="0">
      <w:start w:val="4"/>
      <w:numFmt w:val="decimal"/>
      <w:pStyle w:val="2"/>
      <w:lvlText w:val="%1."/>
      <w:lvlJc w:val="left"/>
      <w:pPr>
        <w:ind w:left="432" w:hanging="432"/>
      </w:pPr>
      <w:rPr>
        <w:rFonts w:hint="default"/>
      </w:rPr>
    </w:lvl>
    <w:lvl w:ilvl="1" w:tentative="0">
      <w:start w:val="3"/>
      <w:numFmt w:val="decimal"/>
      <w:lvlRestart w:val="0"/>
      <w:isLgl/>
      <w:lvlText w:val="%1.%2"/>
      <w:lvlJc w:val="left"/>
      <w:pPr>
        <w:ind w:left="575" w:hanging="575"/>
      </w:pPr>
      <w:rPr>
        <w:rFonts w:hint="default" w:ascii="宋体" w:hAnsi="宋体" w:eastAsia="宋体" w:cs="宋体"/>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3">
    <w:nsid w:val="CA447698"/>
    <w:multiLevelType w:val="multilevel"/>
    <w:tmpl w:val="CA447698"/>
    <w:lvl w:ilvl="0" w:tentative="0">
      <w:start w:val="1"/>
      <w:numFmt w:val="lowerLetter"/>
      <w:pStyle w:val="64"/>
      <w:lvlText w:val="%1)"/>
      <w:lvlJc w:val="left"/>
      <w:pPr>
        <w:tabs>
          <w:tab w:val="left" w:pos="840"/>
        </w:tabs>
        <w:ind w:left="839" w:hanging="419"/>
      </w:pPr>
      <w:rPr>
        <w:rFonts w:hint="default" w:ascii="Times New Roman" w:hAnsi="Times New Roman" w:eastAsia="宋体"/>
        <w:b w:val="0"/>
        <w:i w:val="0"/>
        <w:sz w:val="21"/>
        <w:szCs w:val="21"/>
      </w:rPr>
    </w:lvl>
    <w:lvl w:ilvl="1" w:tentative="0">
      <w:start w:val="1"/>
      <w:numFmt w:val="decimal"/>
      <w:pStyle w:val="59"/>
      <w:lvlText w:val="%2)"/>
      <w:lvlJc w:val="left"/>
      <w:pPr>
        <w:tabs>
          <w:tab w:val="left" w:pos="1260"/>
        </w:tabs>
        <w:ind w:left="1259" w:hanging="419"/>
      </w:pPr>
      <w:rPr>
        <w:rFonts w:hint="eastAsia"/>
      </w:rPr>
    </w:lvl>
    <w:lvl w:ilvl="2" w:tentative="0">
      <w:start w:val="1"/>
      <w:numFmt w:val="decimal"/>
      <w:pStyle w:val="6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D59F4202"/>
    <w:multiLevelType w:val="multilevel"/>
    <w:tmpl w:val="D59F4202"/>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5">
    <w:nsid w:val="E076CDEE"/>
    <w:multiLevelType w:val="multilevel"/>
    <w:tmpl w:val="E076CDEE"/>
    <w:lvl w:ilvl="0" w:tentative="0">
      <w:start w:val="4"/>
      <w:numFmt w:val="decimal"/>
      <w:lvlText w:val="%1"/>
      <w:lvlJc w:val="left"/>
      <w:pPr>
        <w:ind w:left="425" w:hanging="425"/>
      </w:pPr>
      <w:rPr>
        <w:rFonts w:hint="default" w:ascii="Times New Roman" w:hAnsi="Times New Roman" w:eastAsia="黑体" w:cs="黑体"/>
        <w:sz w:val="21"/>
        <w:szCs w:val="21"/>
      </w:rPr>
    </w:lvl>
    <w:lvl w:ilvl="1" w:tentative="0">
      <w:start w:val="3"/>
      <w:numFmt w:val="decimal"/>
      <w:isLgl/>
      <w:lvlText w:val="%1.%2"/>
      <w:lvlJc w:val="left"/>
      <w:pPr>
        <w:ind w:left="567" w:hanging="567"/>
      </w:pPr>
      <w:rPr>
        <w:rFonts w:hint="default" w:ascii="Times New Roman" w:hAnsi="Times New Roman" w:eastAsia="黑体" w:cs="黑体"/>
        <w:sz w:val="21"/>
        <w:szCs w:val="21"/>
      </w:rPr>
    </w:lvl>
    <w:lvl w:ilvl="2" w:tentative="0">
      <w:start w:val="1"/>
      <w:numFmt w:val="decimal"/>
      <w:isLgl/>
      <w:lvlText w:val="%1.%2.%3"/>
      <w:lvlJc w:val="left"/>
      <w:pPr>
        <w:ind w:left="709" w:hanging="709"/>
      </w:pPr>
      <w:rPr>
        <w:rFonts w:hint="default" w:ascii="Times New Roman" w:hAnsi="Times New Roman" w:eastAsia="黑体" w:cs="黑体"/>
        <w:sz w:val="21"/>
        <w:szCs w:val="21"/>
      </w:rPr>
    </w:lvl>
    <w:lvl w:ilvl="3" w:tentative="0">
      <w:start w:val="1"/>
      <w:numFmt w:val="decimal"/>
      <w:pStyle w:val="56"/>
      <w:lvlText w:val="%1.%2.%3.%4."/>
      <w:lvlJc w:val="left"/>
      <w:pPr>
        <w:ind w:left="850" w:hanging="850"/>
      </w:pPr>
      <w:rPr>
        <w:rFonts w:hint="default"/>
      </w:rPr>
    </w:lvl>
    <w:lvl w:ilvl="4" w:tentative="0">
      <w:start w:val="1"/>
      <w:numFmt w:val="decimal"/>
      <w:pStyle w:val="60"/>
      <w:lvlText w:val="%1.%2.%3.%4.%5."/>
      <w:lvlJc w:val="left"/>
      <w:pPr>
        <w:ind w:left="991" w:hanging="991"/>
      </w:pPr>
      <w:rPr>
        <w:rFonts w:hint="default"/>
      </w:rPr>
    </w:lvl>
    <w:lvl w:ilvl="5" w:tentative="0">
      <w:start w:val="1"/>
      <w:numFmt w:val="decimal"/>
      <w:pStyle w:val="61"/>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0000000A"/>
    <w:multiLevelType w:val="multilevel"/>
    <w:tmpl w:val="0000000A"/>
    <w:lvl w:ilvl="0" w:tentative="0">
      <w:start w:val="1"/>
      <w:numFmt w:val="lowerLetter"/>
      <w:lvlText w:val="%1)"/>
      <w:lvlJc w:val="left"/>
      <w:pPr>
        <w:tabs>
          <w:tab w:val="left" w:pos="795"/>
        </w:tabs>
        <w:ind w:left="795" w:hanging="360"/>
      </w:p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7">
    <w:nsid w:val="0A952887"/>
    <w:multiLevelType w:val="multilevel"/>
    <w:tmpl w:val="0A952887"/>
    <w:lvl w:ilvl="0" w:tentative="0">
      <w:start w:val="1"/>
      <w:numFmt w:val="decimal"/>
      <w:pStyle w:val="70"/>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0F805D97"/>
    <w:multiLevelType w:val="multilevel"/>
    <w:tmpl w:val="0F805D97"/>
    <w:lvl w:ilvl="0" w:tentative="0">
      <w:start w:val="1"/>
      <w:numFmt w:val="none"/>
      <w:pStyle w:val="62"/>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15A916C9"/>
    <w:multiLevelType w:val="multilevel"/>
    <w:tmpl w:val="15A916C9"/>
    <w:lvl w:ilvl="0" w:tentative="0">
      <w:start w:val="1"/>
      <w:numFmt w:val="lowerLetter"/>
      <w:lvlText w:val="%1)"/>
      <w:lvlJc w:val="left"/>
      <w:pPr>
        <w:tabs>
          <w:tab w:val="left" w:pos="840"/>
        </w:tabs>
        <w:ind w:left="839" w:hanging="419"/>
      </w:pPr>
      <w:rPr>
        <w:rFonts w:hint="default" w:ascii="Times New Roman" w:hAnsi="Times New Roman"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4B435DB"/>
    <w:multiLevelType w:val="multilevel"/>
    <w:tmpl w:val="24B435DB"/>
    <w:lvl w:ilvl="0" w:tentative="0">
      <w:start w:val="1"/>
      <w:numFmt w:val="lowerLetter"/>
      <w:pStyle w:val="12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2">
    <w:nsid w:val="29707437"/>
    <w:multiLevelType w:val="multilevel"/>
    <w:tmpl w:val="29707437"/>
    <w:lvl w:ilvl="0" w:tentative="0">
      <w:start w:val="1"/>
      <w:numFmt w:val="none"/>
      <w:pStyle w:val="69"/>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pStyle w:val="54"/>
      <w:lvlText w:val=""/>
      <w:lvlJc w:val="left"/>
      <w:pPr>
        <w:tabs>
          <w:tab w:val="left" w:pos="760"/>
        </w:tabs>
        <w:ind w:left="1264" w:hanging="413"/>
      </w:pPr>
      <w:rPr>
        <w:rFonts w:hint="default" w:ascii="Symbol" w:hAnsi="Symbol"/>
        <w:color w:val="auto"/>
      </w:rPr>
    </w:lvl>
    <w:lvl w:ilvl="2" w:tentative="0">
      <w:start w:val="1"/>
      <w:numFmt w:val="bullet"/>
      <w:pStyle w:val="6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D733618"/>
    <w:multiLevelType w:val="multilevel"/>
    <w:tmpl w:val="3D733618"/>
    <w:lvl w:ilvl="0" w:tentative="0">
      <w:start w:val="1"/>
      <w:numFmt w:val="decimal"/>
      <w:pStyle w:val="3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6">
    <w:nsid w:val="520F62E9"/>
    <w:multiLevelType w:val="multilevel"/>
    <w:tmpl w:val="520F62E9"/>
    <w:lvl w:ilvl="0" w:tentative="0">
      <w:start w:val="1"/>
      <w:numFmt w:val="decimal"/>
      <w:pStyle w:val="133"/>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5E63562F"/>
    <w:multiLevelType w:val="multilevel"/>
    <w:tmpl w:val="5E63562F"/>
    <w:lvl w:ilvl="0" w:tentative="0">
      <w:start w:val="1"/>
      <w:numFmt w:val="decimal"/>
      <w:pStyle w:val="6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60B55DC2"/>
    <w:multiLevelType w:val="multilevel"/>
    <w:tmpl w:val="60B55DC2"/>
    <w:lvl w:ilvl="0" w:tentative="0">
      <w:start w:val="1"/>
      <w:numFmt w:val="upperLetter"/>
      <w:pStyle w:val="91"/>
      <w:lvlText w:val="%1"/>
      <w:lvlJc w:val="left"/>
      <w:pPr>
        <w:tabs>
          <w:tab w:val="left" w:pos="0"/>
        </w:tabs>
        <w:ind w:left="0" w:hanging="425"/>
      </w:pPr>
      <w:rPr>
        <w:rFonts w:hint="eastAsia"/>
      </w:rPr>
    </w:lvl>
    <w:lvl w:ilvl="1" w:tentative="0">
      <w:start w:val="1"/>
      <w:numFmt w:val="decimal"/>
      <w:pStyle w:val="9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9">
    <w:nsid w:val="63404DBE"/>
    <w:multiLevelType w:val="multilevel"/>
    <w:tmpl w:val="63404DBE"/>
    <w:lvl w:ilvl="0" w:tentative="0">
      <w:start w:val="1"/>
      <w:numFmt w:val="none"/>
      <w:pStyle w:val="5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0">
    <w:nsid w:val="63AF7EBF"/>
    <w:multiLevelType w:val="multilevel"/>
    <w:tmpl w:val="63AF7EBF"/>
    <w:lvl w:ilvl="0" w:tentative="0">
      <w:start w:val="1"/>
      <w:numFmt w:val="decimal"/>
      <w:pStyle w:val="131"/>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657D3FBC"/>
    <w:multiLevelType w:val="multilevel"/>
    <w:tmpl w:val="657D3FBC"/>
    <w:lvl w:ilvl="0" w:tentative="0">
      <w:start w:val="1"/>
      <w:numFmt w:val="upperLetter"/>
      <w:pStyle w:val="8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AB870ED"/>
    <w:multiLevelType w:val="multilevel"/>
    <w:tmpl w:val="6AB870ED"/>
    <w:lvl w:ilvl="0" w:tentative="0">
      <w:start w:val="1"/>
      <w:numFmt w:val="decimal"/>
      <w:pStyle w:val="67"/>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3">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4">
    <w:nsid w:val="7AE2EAF6"/>
    <w:multiLevelType w:val="multilevel"/>
    <w:tmpl w:val="7AE2EAF6"/>
    <w:lvl w:ilvl="0" w:tentative="0">
      <w:start w:val="4"/>
      <w:numFmt w:val="decimal"/>
      <w:suff w:val="nothing"/>
      <w:lvlText w:val="%1　"/>
      <w:lvlJc w:val="left"/>
      <w:pPr>
        <w:ind w:left="0" w:firstLine="0"/>
      </w:pPr>
      <w:rPr>
        <w:rFonts w:hint="default" w:ascii="宋体" w:hAnsi="宋体" w:eastAsia="宋体" w:cs="宋体"/>
        <w:b w:val="0"/>
        <w:i w:val="0"/>
        <w:sz w:val="21"/>
        <w:szCs w:val="21"/>
      </w:rPr>
    </w:lvl>
    <w:lvl w:ilvl="1" w:tentative="0">
      <w:start w:val="3"/>
      <w:numFmt w:val="decimal"/>
      <w:suff w:val="nothing"/>
      <w:lvlText w:val="%1.%2　"/>
      <w:lvlJc w:val="left"/>
      <w:pPr>
        <w:ind w:left="0" w:firstLine="0"/>
      </w:pPr>
      <w:rPr>
        <w:rFonts w:hint="default" w:ascii="宋体" w:hAnsi="宋体" w:eastAsia="宋体" w:cs="宋体"/>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tabs>
          <w:tab w:val="left" w:pos="0"/>
        </w:tabs>
        <w:ind w:left="0" w:firstLine="0"/>
      </w:pPr>
      <w:rPr>
        <w:rFonts w:hint="default"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4"/>
  </w:num>
  <w:num w:numId="3">
    <w:abstractNumId w:val="15"/>
  </w:num>
  <w:num w:numId="4">
    <w:abstractNumId w:val="1"/>
  </w:num>
  <w:num w:numId="5">
    <w:abstractNumId w:val="14"/>
  </w:num>
  <w:num w:numId="6">
    <w:abstractNumId w:val="5"/>
  </w:num>
  <w:num w:numId="7">
    <w:abstractNumId w:val="19"/>
  </w:num>
  <w:num w:numId="8">
    <w:abstractNumId w:val="3"/>
  </w:num>
  <w:num w:numId="9">
    <w:abstractNumId w:val="8"/>
  </w:num>
  <w:num w:numId="10">
    <w:abstractNumId w:val="17"/>
  </w:num>
  <w:num w:numId="11">
    <w:abstractNumId w:val="22"/>
  </w:num>
  <w:num w:numId="12">
    <w:abstractNumId w:val="12"/>
  </w:num>
  <w:num w:numId="13">
    <w:abstractNumId w:val="7"/>
  </w:num>
  <w:num w:numId="14">
    <w:abstractNumId w:val="21"/>
  </w:num>
  <w:num w:numId="15">
    <w:abstractNumId w:val="18"/>
  </w:num>
  <w:num w:numId="16">
    <w:abstractNumId w:val="23"/>
  </w:num>
  <w:num w:numId="17">
    <w:abstractNumId w:val="13"/>
  </w:num>
  <w:num w:numId="18">
    <w:abstractNumId w:val="11"/>
  </w:num>
  <w:num w:numId="19">
    <w:abstractNumId w:val="20"/>
  </w:num>
  <w:num w:numId="20">
    <w:abstractNumId w:val="16"/>
  </w:num>
  <w:num w:numId="21">
    <w:abstractNumId w:val="0"/>
  </w:num>
  <w:num w:numId="22">
    <w:abstractNumId w:val="24"/>
  </w:num>
  <w:num w:numId="23">
    <w:abstractNumId w:val="10"/>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YfbUKm+wO6+Tb0+iadvBnczuzKHBtyMGZJ1ZYdW6GcKVHGN0CpIhOk+pPmR3avvXH9B8qaTDz3k0UgWElEJw==" w:salt="1554oWzBMF7uannLO5Wz9A=="/>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mZjc2Zjc2MmM5OTFhZjE4MzE3MDMzMzdlOTQ5ZjQifQ=="/>
  </w:docVars>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2740"/>
    <w:rsid w:val="00035925"/>
    <w:rsid w:val="00036C2C"/>
    <w:rsid w:val="00045A7C"/>
    <w:rsid w:val="00055371"/>
    <w:rsid w:val="00056A24"/>
    <w:rsid w:val="00057CE5"/>
    <w:rsid w:val="000607A3"/>
    <w:rsid w:val="000657F7"/>
    <w:rsid w:val="00067CDF"/>
    <w:rsid w:val="00074FBE"/>
    <w:rsid w:val="0007762A"/>
    <w:rsid w:val="00081D7E"/>
    <w:rsid w:val="00081F6E"/>
    <w:rsid w:val="00083A09"/>
    <w:rsid w:val="00085A4B"/>
    <w:rsid w:val="0009005E"/>
    <w:rsid w:val="0009066D"/>
    <w:rsid w:val="000918A9"/>
    <w:rsid w:val="00091ACC"/>
    <w:rsid w:val="00092001"/>
    <w:rsid w:val="00092618"/>
    <w:rsid w:val="00092857"/>
    <w:rsid w:val="00092BD8"/>
    <w:rsid w:val="000945D9"/>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0BF5"/>
    <w:rsid w:val="00104E29"/>
    <w:rsid w:val="001056DE"/>
    <w:rsid w:val="001124C0"/>
    <w:rsid w:val="00117A25"/>
    <w:rsid w:val="00120F24"/>
    <w:rsid w:val="00121293"/>
    <w:rsid w:val="0013175F"/>
    <w:rsid w:val="0013364D"/>
    <w:rsid w:val="001343BB"/>
    <w:rsid w:val="00141E9A"/>
    <w:rsid w:val="001512B4"/>
    <w:rsid w:val="0015244C"/>
    <w:rsid w:val="00153A26"/>
    <w:rsid w:val="001620A5"/>
    <w:rsid w:val="00164E53"/>
    <w:rsid w:val="00165D35"/>
    <w:rsid w:val="0016699D"/>
    <w:rsid w:val="001670D9"/>
    <w:rsid w:val="00175159"/>
    <w:rsid w:val="00175AD7"/>
    <w:rsid w:val="00176208"/>
    <w:rsid w:val="0017628E"/>
    <w:rsid w:val="0017780C"/>
    <w:rsid w:val="001813B2"/>
    <w:rsid w:val="0018211B"/>
    <w:rsid w:val="00183FE1"/>
    <w:rsid w:val="001840D3"/>
    <w:rsid w:val="00184782"/>
    <w:rsid w:val="00184C73"/>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2FB1"/>
    <w:rsid w:val="001D3556"/>
    <w:rsid w:val="001D406C"/>
    <w:rsid w:val="001D41EE"/>
    <w:rsid w:val="001D4BEB"/>
    <w:rsid w:val="001D71E6"/>
    <w:rsid w:val="001E0380"/>
    <w:rsid w:val="001E0B1B"/>
    <w:rsid w:val="001E13B1"/>
    <w:rsid w:val="001E2153"/>
    <w:rsid w:val="001E23E7"/>
    <w:rsid w:val="001F20AE"/>
    <w:rsid w:val="001F3A19"/>
    <w:rsid w:val="002009E4"/>
    <w:rsid w:val="00201053"/>
    <w:rsid w:val="0020251B"/>
    <w:rsid w:val="002073D3"/>
    <w:rsid w:val="00215D48"/>
    <w:rsid w:val="0021624B"/>
    <w:rsid w:val="0022185E"/>
    <w:rsid w:val="002246F8"/>
    <w:rsid w:val="00227FED"/>
    <w:rsid w:val="0023030A"/>
    <w:rsid w:val="0023070D"/>
    <w:rsid w:val="00230F08"/>
    <w:rsid w:val="00234467"/>
    <w:rsid w:val="00235BE6"/>
    <w:rsid w:val="00237D8D"/>
    <w:rsid w:val="00241DA2"/>
    <w:rsid w:val="00247FEE"/>
    <w:rsid w:val="00250E7D"/>
    <w:rsid w:val="002523DB"/>
    <w:rsid w:val="002527DD"/>
    <w:rsid w:val="00252DAA"/>
    <w:rsid w:val="002565D5"/>
    <w:rsid w:val="002622C0"/>
    <w:rsid w:val="002714D1"/>
    <w:rsid w:val="00275FFE"/>
    <w:rsid w:val="002778AE"/>
    <w:rsid w:val="0028269A"/>
    <w:rsid w:val="00283590"/>
    <w:rsid w:val="0028451F"/>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2F49A0"/>
    <w:rsid w:val="00301F39"/>
    <w:rsid w:val="00303D27"/>
    <w:rsid w:val="00305BEE"/>
    <w:rsid w:val="00310087"/>
    <w:rsid w:val="003100C1"/>
    <w:rsid w:val="00313962"/>
    <w:rsid w:val="00322EFB"/>
    <w:rsid w:val="003234E0"/>
    <w:rsid w:val="00325926"/>
    <w:rsid w:val="00327A8A"/>
    <w:rsid w:val="003339A3"/>
    <w:rsid w:val="00336610"/>
    <w:rsid w:val="00341F5C"/>
    <w:rsid w:val="00343D23"/>
    <w:rsid w:val="00343F73"/>
    <w:rsid w:val="00344021"/>
    <w:rsid w:val="00345060"/>
    <w:rsid w:val="003451FB"/>
    <w:rsid w:val="00352629"/>
    <w:rsid w:val="0035323B"/>
    <w:rsid w:val="00353D19"/>
    <w:rsid w:val="003553A3"/>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6F5E"/>
    <w:rsid w:val="003A7088"/>
    <w:rsid w:val="003B00DF"/>
    <w:rsid w:val="003B1275"/>
    <w:rsid w:val="003B1778"/>
    <w:rsid w:val="003C11CB"/>
    <w:rsid w:val="003C3017"/>
    <w:rsid w:val="003C6A77"/>
    <w:rsid w:val="003C75F3"/>
    <w:rsid w:val="003C78A3"/>
    <w:rsid w:val="003D36AB"/>
    <w:rsid w:val="003D3C48"/>
    <w:rsid w:val="003E1867"/>
    <w:rsid w:val="003E5729"/>
    <w:rsid w:val="003E724E"/>
    <w:rsid w:val="003F1D40"/>
    <w:rsid w:val="003F22BB"/>
    <w:rsid w:val="003F2A5B"/>
    <w:rsid w:val="003F4EE0"/>
    <w:rsid w:val="003F5559"/>
    <w:rsid w:val="003F7947"/>
    <w:rsid w:val="00400473"/>
    <w:rsid w:val="00402153"/>
    <w:rsid w:val="00402E26"/>
    <w:rsid w:val="00402FC1"/>
    <w:rsid w:val="004056D6"/>
    <w:rsid w:val="00405D2C"/>
    <w:rsid w:val="004200D9"/>
    <w:rsid w:val="00425082"/>
    <w:rsid w:val="00431DEB"/>
    <w:rsid w:val="0044259D"/>
    <w:rsid w:val="004439D9"/>
    <w:rsid w:val="00446B29"/>
    <w:rsid w:val="004524BE"/>
    <w:rsid w:val="00453F9A"/>
    <w:rsid w:val="00454CC3"/>
    <w:rsid w:val="004574B3"/>
    <w:rsid w:val="00464903"/>
    <w:rsid w:val="00465B72"/>
    <w:rsid w:val="004719FA"/>
    <w:rsid w:val="00471E91"/>
    <w:rsid w:val="00474079"/>
    <w:rsid w:val="00474675"/>
    <w:rsid w:val="0047470C"/>
    <w:rsid w:val="004779A1"/>
    <w:rsid w:val="00484C88"/>
    <w:rsid w:val="00486549"/>
    <w:rsid w:val="004A203E"/>
    <w:rsid w:val="004A35F9"/>
    <w:rsid w:val="004A4662"/>
    <w:rsid w:val="004A7E02"/>
    <w:rsid w:val="004B157A"/>
    <w:rsid w:val="004B24C1"/>
    <w:rsid w:val="004B3092"/>
    <w:rsid w:val="004B49B1"/>
    <w:rsid w:val="004B557C"/>
    <w:rsid w:val="004C292F"/>
    <w:rsid w:val="004C657F"/>
    <w:rsid w:val="004C7F25"/>
    <w:rsid w:val="004D306F"/>
    <w:rsid w:val="004D4B02"/>
    <w:rsid w:val="004D4F76"/>
    <w:rsid w:val="004E24C9"/>
    <w:rsid w:val="004E4B13"/>
    <w:rsid w:val="004E4B8C"/>
    <w:rsid w:val="004E5A47"/>
    <w:rsid w:val="004F3E3E"/>
    <w:rsid w:val="00501D14"/>
    <w:rsid w:val="005036E2"/>
    <w:rsid w:val="00503F8B"/>
    <w:rsid w:val="00510280"/>
    <w:rsid w:val="00513D73"/>
    <w:rsid w:val="005148B3"/>
    <w:rsid w:val="00514A43"/>
    <w:rsid w:val="00515361"/>
    <w:rsid w:val="00515E9C"/>
    <w:rsid w:val="005174E5"/>
    <w:rsid w:val="00520898"/>
    <w:rsid w:val="00522393"/>
    <w:rsid w:val="00522620"/>
    <w:rsid w:val="00525656"/>
    <w:rsid w:val="00525BF3"/>
    <w:rsid w:val="00534C02"/>
    <w:rsid w:val="005368F9"/>
    <w:rsid w:val="0054044C"/>
    <w:rsid w:val="0054264B"/>
    <w:rsid w:val="00543786"/>
    <w:rsid w:val="00543C3B"/>
    <w:rsid w:val="00545A49"/>
    <w:rsid w:val="005463CC"/>
    <w:rsid w:val="00546D0D"/>
    <w:rsid w:val="0055153A"/>
    <w:rsid w:val="005533D7"/>
    <w:rsid w:val="00554B63"/>
    <w:rsid w:val="005564EE"/>
    <w:rsid w:val="00562CF6"/>
    <w:rsid w:val="0056544B"/>
    <w:rsid w:val="00567177"/>
    <w:rsid w:val="005703DE"/>
    <w:rsid w:val="005710BC"/>
    <w:rsid w:val="005755F1"/>
    <w:rsid w:val="00576885"/>
    <w:rsid w:val="00582BBE"/>
    <w:rsid w:val="0058464E"/>
    <w:rsid w:val="0058650E"/>
    <w:rsid w:val="005A01CB"/>
    <w:rsid w:val="005A19A9"/>
    <w:rsid w:val="005A58FF"/>
    <w:rsid w:val="005A5EAF"/>
    <w:rsid w:val="005A6491"/>
    <w:rsid w:val="005A64C0"/>
    <w:rsid w:val="005B1985"/>
    <w:rsid w:val="005B3C11"/>
    <w:rsid w:val="005B4AE5"/>
    <w:rsid w:val="005C1C28"/>
    <w:rsid w:val="005C43D0"/>
    <w:rsid w:val="005C6DB5"/>
    <w:rsid w:val="005D3842"/>
    <w:rsid w:val="005E19E7"/>
    <w:rsid w:val="005E2392"/>
    <w:rsid w:val="005F7BEB"/>
    <w:rsid w:val="006010C5"/>
    <w:rsid w:val="00601622"/>
    <w:rsid w:val="0060789B"/>
    <w:rsid w:val="0061037E"/>
    <w:rsid w:val="00613FAA"/>
    <w:rsid w:val="00616C36"/>
    <w:rsid w:val="0061716C"/>
    <w:rsid w:val="006171AF"/>
    <w:rsid w:val="00617868"/>
    <w:rsid w:val="0062420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8487D"/>
    <w:rsid w:val="00692368"/>
    <w:rsid w:val="006948EA"/>
    <w:rsid w:val="00695192"/>
    <w:rsid w:val="006960F2"/>
    <w:rsid w:val="006A1C8E"/>
    <w:rsid w:val="006A2EBC"/>
    <w:rsid w:val="006A5EA0"/>
    <w:rsid w:val="006A783B"/>
    <w:rsid w:val="006A7B33"/>
    <w:rsid w:val="006B497F"/>
    <w:rsid w:val="006B4C2C"/>
    <w:rsid w:val="006B4E13"/>
    <w:rsid w:val="006B75DD"/>
    <w:rsid w:val="006C047C"/>
    <w:rsid w:val="006C3D8B"/>
    <w:rsid w:val="006C67E0"/>
    <w:rsid w:val="006C7ABA"/>
    <w:rsid w:val="006D0A13"/>
    <w:rsid w:val="006D0D60"/>
    <w:rsid w:val="006D1122"/>
    <w:rsid w:val="006D1B67"/>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26707"/>
    <w:rsid w:val="00730310"/>
    <w:rsid w:val="00740A49"/>
    <w:rsid w:val="007419C3"/>
    <w:rsid w:val="00743406"/>
    <w:rsid w:val="00746559"/>
    <w:rsid w:val="007467A7"/>
    <w:rsid w:val="007469DD"/>
    <w:rsid w:val="0074741B"/>
    <w:rsid w:val="0074759E"/>
    <w:rsid w:val="007478EA"/>
    <w:rsid w:val="00747ED6"/>
    <w:rsid w:val="0075415C"/>
    <w:rsid w:val="00757097"/>
    <w:rsid w:val="007606CB"/>
    <w:rsid w:val="00761E8B"/>
    <w:rsid w:val="00763502"/>
    <w:rsid w:val="00780DE2"/>
    <w:rsid w:val="007913AB"/>
    <w:rsid w:val="007914F7"/>
    <w:rsid w:val="00792567"/>
    <w:rsid w:val="00792648"/>
    <w:rsid w:val="00795C73"/>
    <w:rsid w:val="0079612E"/>
    <w:rsid w:val="007A4809"/>
    <w:rsid w:val="007B1625"/>
    <w:rsid w:val="007B706E"/>
    <w:rsid w:val="007B71EB"/>
    <w:rsid w:val="007C0748"/>
    <w:rsid w:val="007C6205"/>
    <w:rsid w:val="007C686A"/>
    <w:rsid w:val="007C728E"/>
    <w:rsid w:val="007D0BE0"/>
    <w:rsid w:val="007D13C4"/>
    <w:rsid w:val="007D1D7A"/>
    <w:rsid w:val="007D204F"/>
    <w:rsid w:val="007D2C53"/>
    <w:rsid w:val="007D3D60"/>
    <w:rsid w:val="007D49DB"/>
    <w:rsid w:val="007E0B38"/>
    <w:rsid w:val="007E1980"/>
    <w:rsid w:val="007E4B76"/>
    <w:rsid w:val="007E5043"/>
    <w:rsid w:val="007E5EA8"/>
    <w:rsid w:val="007F0CF1"/>
    <w:rsid w:val="007F12A5"/>
    <w:rsid w:val="007F2D74"/>
    <w:rsid w:val="007F3FB7"/>
    <w:rsid w:val="007F4CF1"/>
    <w:rsid w:val="007F7422"/>
    <w:rsid w:val="007F758D"/>
    <w:rsid w:val="007F7D52"/>
    <w:rsid w:val="0080484A"/>
    <w:rsid w:val="00805589"/>
    <w:rsid w:val="008057A5"/>
    <w:rsid w:val="008057BF"/>
    <w:rsid w:val="00805E2F"/>
    <w:rsid w:val="0080654C"/>
    <w:rsid w:val="008071C6"/>
    <w:rsid w:val="00817A00"/>
    <w:rsid w:val="00820B95"/>
    <w:rsid w:val="00825891"/>
    <w:rsid w:val="00831631"/>
    <w:rsid w:val="0083228D"/>
    <w:rsid w:val="00833D07"/>
    <w:rsid w:val="00835DB3"/>
    <w:rsid w:val="00835F84"/>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308C"/>
    <w:rsid w:val="00884468"/>
    <w:rsid w:val="008856D8"/>
    <w:rsid w:val="00892E82"/>
    <w:rsid w:val="00893277"/>
    <w:rsid w:val="00895FA9"/>
    <w:rsid w:val="008A1035"/>
    <w:rsid w:val="008A6E08"/>
    <w:rsid w:val="008C0BE9"/>
    <w:rsid w:val="008C1B58"/>
    <w:rsid w:val="008C33E3"/>
    <w:rsid w:val="008C39AE"/>
    <w:rsid w:val="008C40DF"/>
    <w:rsid w:val="008C590D"/>
    <w:rsid w:val="008D447E"/>
    <w:rsid w:val="008D7566"/>
    <w:rsid w:val="008E031B"/>
    <w:rsid w:val="008E0560"/>
    <w:rsid w:val="008E2D8C"/>
    <w:rsid w:val="008E7029"/>
    <w:rsid w:val="008E7EF6"/>
    <w:rsid w:val="008F1CD8"/>
    <w:rsid w:val="008F1F98"/>
    <w:rsid w:val="008F2340"/>
    <w:rsid w:val="008F2790"/>
    <w:rsid w:val="008F5EC8"/>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143F"/>
    <w:rsid w:val="0094212C"/>
    <w:rsid w:val="00944853"/>
    <w:rsid w:val="00945185"/>
    <w:rsid w:val="0094609D"/>
    <w:rsid w:val="0095378C"/>
    <w:rsid w:val="00954689"/>
    <w:rsid w:val="0095472A"/>
    <w:rsid w:val="0096085A"/>
    <w:rsid w:val="009617C9"/>
    <w:rsid w:val="00961C93"/>
    <w:rsid w:val="00962B4E"/>
    <w:rsid w:val="00965324"/>
    <w:rsid w:val="0097091E"/>
    <w:rsid w:val="009760D3"/>
    <w:rsid w:val="00977132"/>
    <w:rsid w:val="00980A2A"/>
    <w:rsid w:val="00980A98"/>
    <w:rsid w:val="00981A4B"/>
    <w:rsid w:val="00982250"/>
    <w:rsid w:val="00982501"/>
    <w:rsid w:val="00983D33"/>
    <w:rsid w:val="00984358"/>
    <w:rsid w:val="009877D3"/>
    <w:rsid w:val="00987E0D"/>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5DA"/>
    <w:rsid w:val="009E7E25"/>
    <w:rsid w:val="00A02E43"/>
    <w:rsid w:val="00A05368"/>
    <w:rsid w:val="00A065F9"/>
    <w:rsid w:val="00A07011"/>
    <w:rsid w:val="00A07F34"/>
    <w:rsid w:val="00A15C60"/>
    <w:rsid w:val="00A15F26"/>
    <w:rsid w:val="00A22154"/>
    <w:rsid w:val="00A24058"/>
    <w:rsid w:val="00A25C38"/>
    <w:rsid w:val="00A35824"/>
    <w:rsid w:val="00A36BBE"/>
    <w:rsid w:val="00A37C20"/>
    <w:rsid w:val="00A40D9E"/>
    <w:rsid w:val="00A41DF7"/>
    <w:rsid w:val="00A41EB6"/>
    <w:rsid w:val="00A420B1"/>
    <w:rsid w:val="00A42ECA"/>
    <w:rsid w:val="00A4307A"/>
    <w:rsid w:val="00A46DEF"/>
    <w:rsid w:val="00A47EBB"/>
    <w:rsid w:val="00A51CDD"/>
    <w:rsid w:val="00A563F8"/>
    <w:rsid w:val="00A56BBA"/>
    <w:rsid w:val="00A6730D"/>
    <w:rsid w:val="00A70E72"/>
    <w:rsid w:val="00A71625"/>
    <w:rsid w:val="00A71B9B"/>
    <w:rsid w:val="00A751C7"/>
    <w:rsid w:val="00A80008"/>
    <w:rsid w:val="00A84CE5"/>
    <w:rsid w:val="00A87844"/>
    <w:rsid w:val="00A9227B"/>
    <w:rsid w:val="00A97A55"/>
    <w:rsid w:val="00AA038C"/>
    <w:rsid w:val="00AA5A09"/>
    <w:rsid w:val="00AA7418"/>
    <w:rsid w:val="00AA7A09"/>
    <w:rsid w:val="00AB2C76"/>
    <w:rsid w:val="00AB3B50"/>
    <w:rsid w:val="00AC05B1"/>
    <w:rsid w:val="00AC450C"/>
    <w:rsid w:val="00AD340B"/>
    <w:rsid w:val="00AD356C"/>
    <w:rsid w:val="00AE2914"/>
    <w:rsid w:val="00AE2BE3"/>
    <w:rsid w:val="00AE6D15"/>
    <w:rsid w:val="00AE7023"/>
    <w:rsid w:val="00AE78AA"/>
    <w:rsid w:val="00AF0EF3"/>
    <w:rsid w:val="00AF1F49"/>
    <w:rsid w:val="00AF2D81"/>
    <w:rsid w:val="00B04182"/>
    <w:rsid w:val="00B05ECF"/>
    <w:rsid w:val="00B07AE3"/>
    <w:rsid w:val="00B11430"/>
    <w:rsid w:val="00B12A5D"/>
    <w:rsid w:val="00B165C4"/>
    <w:rsid w:val="00B242F4"/>
    <w:rsid w:val="00B2477A"/>
    <w:rsid w:val="00B24D1C"/>
    <w:rsid w:val="00B30072"/>
    <w:rsid w:val="00B30481"/>
    <w:rsid w:val="00B30B75"/>
    <w:rsid w:val="00B32868"/>
    <w:rsid w:val="00B3312F"/>
    <w:rsid w:val="00B3476F"/>
    <w:rsid w:val="00B353EB"/>
    <w:rsid w:val="00B4016F"/>
    <w:rsid w:val="00B407AC"/>
    <w:rsid w:val="00B439C4"/>
    <w:rsid w:val="00B4535E"/>
    <w:rsid w:val="00B52A8C"/>
    <w:rsid w:val="00B54707"/>
    <w:rsid w:val="00B56155"/>
    <w:rsid w:val="00B62C9F"/>
    <w:rsid w:val="00B62F11"/>
    <w:rsid w:val="00B63042"/>
    <w:rsid w:val="00B636A8"/>
    <w:rsid w:val="00B665C6"/>
    <w:rsid w:val="00B72AD8"/>
    <w:rsid w:val="00B74441"/>
    <w:rsid w:val="00B758A5"/>
    <w:rsid w:val="00B805AF"/>
    <w:rsid w:val="00B82287"/>
    <w:rsid w:val="00B82BD5"/>
    <w:rsid w:val="00B869EC"/>
    <w:rsid w:val="00B92383"/>
    <w:rsid w:val="00B9397A"/>
    <w:rsid w:val="00B9633D"/>
    <w:rsid w:val="00B967D5"/>
    <w:rsid w:val="00B97DB3"/>
    <w:rsid w:val="00BA2EBE"/>
    <w:rsid w:val="00BB0F28"/>
    <w:rsid w:val="00BB1F9D"/>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328F"/>
    <w:rsid w:val="00C244A0"/>
    <w:rsid w:val="00C24971"/>
    <w:rsid w:val="00C25355"/>
    <w:rsid w:val="00C26BE5"/>
    <w:rsid w:val="00C26E4D"/>
    <w:rsid w:val="00C27909"/>
    <w:rsid w:val="00C27B03"/>
    <w:rsid w:val="00C314E1"/>
    <w:rsid w:val="00C34397"/>
    <w:rsid w:val="00C40503"/>
    <w:rsid w:val="00C4095D"/>
    <w:rsid w:val="00C5241D"/>
    <w:rsid w:val="00C53BD1"/>
    <w:rsid w:val="00C57A9C"/>
    <w:rsid w:val="00C601D2"/>
    <w:rsid w:val="00C65BCC"/>
    <w:rsid w:val="00C66970"/>
    <w:rsid w:val="00C71F4D"/>
    <w:rsid w:val="00C82CB9"/>
    <w:rsid w:val="00C8691C"/>
    <w:rsid w:val="00C86CB4"/>
    <w:rsid w:val="00C96295"/>
    <w:rsid w:val="00C96364"/>
    <w:rsid w:val="00CA03DF"/>
    <w:rsid w:val="00CA168A"/>
    <w:rsid w:val="00CA2097"/>
    <w:rsid w:val="00CA357E"/>
    <w:rsid w:val="00CA44F9"/>
    <w:rsid w:val="00CA4A69"/>
    <w:rsid w:val="00CB2132"/>
    <w:rsid w:val="00CB722E"/>
    <w:rsid w:val="00CC3E0C"/>
    <w:rsid w:val="00CC58D3"/>
    <w:rsid w:val="00CC64AF"/>
    <w:rsid w:val="00CC784D"/>
    <w:rsid w:val="00CD7B3D"/>
    <w:rsid w:val="00CF1E15"/>
    <w:rsid w:val="00CF2FB9"/>
    <w:rsid w:val="00D00A8D"/>
    <w:rsid w:val="00D03268"/>
    <w:rsid w:val="00D0337B"/>
    <w:rsid w:val="00D07777"/>
    <w:rsid w:val="00D079B2"/>
    <w:rsid w:val="00D114E9"/>
    <w:rsid w:val="00D17CD8"/>
    <w:rsid w:val="00D2527C"/>
    <w:rsid w:val="00D313B3"/>
    <w:rsid w:val="00D35B8E"/>
    <w:rsid w:val="00D40F07"/>
    <w:rsid w:val="00D429C6"/>
    <w:rsid w:val="00D45544"/>
    <w:rsid w:val="00D47748"/>
    <w:rsid w:val="00D5178F"/>
    <w:rsid w:val="00D518DF"/>
    <w:rsid w:val="00D54CC3"/>
    <w:rsid w:val="00D561F6"/>
    <w:rsid w:val="00D566EF"/>
    <w:rsid w:val="00D6041A"/>
    <w:rsid w:val="00D61258"/>
    <w:rsid w:val="00D633EB"/>
    <w:rsid w:val="00D736AC"/>
    <w:rsid w:val="00D747AA"/>
    <w:rsid w:val="00D75A7E"/>
    <w:rsid w:val="00D82FF7"/>
    <w:rsid w:val="00D84271"/>
    <w:rsid w:val="00D84532"/>
    <w:rsid w:val="00D847FE"/>
    <w:rsid w:val="00D86B9C"/>
    <w:rsid w:val="00D900CD"/>
    <w:rsid w:val="00D90A39"/>
    <w:rsid w:val="00D964EA"/>
    <w:rsid w:val="00D966D0"/>
    <w:rsid w:val="00DA0C59"/>
    <w:rsid w:val="00DA3991"/>
    <w:rsid w:val="00DA72A1"/>
    <w:rsid w:val="00DA7F95"/>
    <w:rsid w:val="00DB01F1"/>
    <w:rsid w:val="00DB3222"/>
    <w:rsid w:val="00DB7E6C"/>
    <w:rsid w:val="00DC0758"/>
    <w:rsid w:val="00DC4F68"/>
    <w:rsid w:val="00DC64B0"/>
    <w:rsid w:val="00DC6B1E"/>
    <w:rsid w:val="00DD252A"/>
    <w:rsid w:val="00DD5949"/>
    <w:rsid w:val="00DD5A29"/>
    <w:rsid w:val="00DD5D9D"/>
    <w:rsid w:val="00DE3505"/>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1643E"/>
    <w:rsid w:val="00E21B55"/>
    <w:rsid w:val="00E221D3"/>
    <w:rsid w:val="00E24EB4"/>
    <w:rsid w:val="00E30635"/>
    <w:rsid w:val="00E320ED"/>
    <w:rsid w:val="00E33AFB"/>
    <w:rsid w:val="00E34218"/>
    <w:rsid w:val="00E35978"/>
    <w:rsid w:val="00E40124"/>
    <w:rsid w:val="00E4555B"/>
    <w:rsid w:val="00E46282"/>
    <w:rsid w:val="00E50833"/>
    <w:rsid w:val="00E5216E"/>
    <w:rsid w:val="00E5529C"/>
    <w:rsid w:val="00E55E16"/>
    <w:rsid w:val="00E657C6"/>
    <w:rsid w:val="00E70261"/>
    <w:rsid w:val="00E75D40"/>
    <w:rsid w:val="00E81965"/>
    <w:rsid w:val="00E81A88"/>
    <w:rsid w:val="00E81F73"/>
    <w:rsid w:val="00E82344"/>
    <w:rsid w:val="00E84C82"/>
    <w:rsid w:val="00E84D64"/>
    <w:rsid w:val="00E85275"/>
    <w:rsid w:val="00E87408"/>
    <w:rsid w:val="00E914C4"/>
    <w:rsid w:val="00E934F5"/>
    <w:rsid w:val="00E96961"/>
    <w:rsid w:val="00EA72EC"/>
    <w:rsid w:val="00EA74E6"/>
    <w:rsid w:val="00EB0EDA"/>
    <w:rsid w:val="00EB0F2E"/>
    <w:rsid w:val="00EB11CB"/>
    <w:rsid w:val="00EB1C71"/>
    <w:rsid w:val="00EB275A"/>
    <w:rsid w:val="00EB57CA"/>
    <w:rsid w:val="00EB786A"/>
    <w:rsid w:val="00EC1578"/>
    <w:rsid w:val="00EC1BFC"/>
    <w:rsid w:val="00EC1C72"/>
    <w:rsid w:val="00EC3356"/>
    <w:rsid w:val="00EC3CC9"/>
    <w:rsid w:val="00EC5D85"/>
    <w:rsid w:val="00EC680A"/>
    <w:rsid w:val="00EC7BAC"/>
    <w:rsid w:val="00ED511C"/>
    <w:rsid w:val="00ED7229"/>
    <w:rsid w:val="00EE25CB"/>
    <w:rsid w:val="00EE2BED"/>
    <w:rsid w:val="00EE374B"/>
    <w:rsid w:val="00EE4A87"/>
    <w:rsid w:val="00EF2869"/>
    <w:rsid w:val="00F04293"/>
    <w:rsid w:val="00F05D60"/>
    <w:rsid w:val="00F07224"/>
    <w:rsid w:val="00F07FD3"/>
    <w:rsid w:val="00F115BE"/>
    <w:rsid w:val="00F11BB5"/>
    <w:rsid w:val="00F1296C"/>
    <w:rsid w:val="00F1417B"/>
    <w:rsid w:val="00F1712D"/>
    <w:rsid w:val="00F17A17"/>
    <w:rsid w:val="00F208A0"/>
    <w:rsid w:val="00F2115E"/>
    <w:rsid w:val="00F27B3D"/>
    <w:rsid w:val="00F30ABD"/>
    <w:rsid w:val="00F34B99"/>
    <w:rsid w:val="00F40B02"/>
    <w:rsid w:val="00F41E81"/>
    <w:rsid w:val="00F50D6A"/>
    <w:rsid w:val="00F51720"/>
    <w:rsid w:val="00F51CF2"/>
    <w:rsid w:val="00F52DAB"/>
    <w:rsid w:val="00F543F0"/>
    <w:rsid w:val="00F55E3E"/>
    <w:rsid w:val="00F57601"/>
    <w:rsid w:val="00F73F99"/>
    <w:rsid w:val="00F75F80"/>
    <w:rsid w:val="00F80398"/>
    <w:rsid w:val="00F81D29"/>
    <w:rsid w:val="00F90BE5"/>
    <w:rsid w:val="00F9190C"/>
    <w:rsid w:val="00F91C4D"/>
    <w:rsid w:val="00F92FD9"/>
    <w:rsid w:val="00F93C7A"/>
    <w:rsid w:val="00F95A5A"/>
    <w:rsid w:val="00FA232A"/>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 w:val="048B4BE0"/>
    <w:rsid w:val="05FA67FB"/>
    <w:rsid w:val="0B4445A2"/>
    <w:rsid w:val="0BD23D12"/>
    <w:rsid w:val="0C173CA1"/>
    <w:rsid w:val="0C4C41A8"/>
    <w:rsid w:val="0C865C4F"/>
    <w:rsid w:val="0D161433"/>
    <w:rsid w:val="0F397A05"/>
    <w:rsid w:val="0FA51A42"/>
    <w:rsid w:val="0FB02018"/>
    <w:rsid w:val="12D63EA0"/>
    <w:rsid w:val="13E247A1"/>
    <w:rsid w:val="15452A0F"/>
    <w:rsid w:val="15D637B6"/>
    <w:rsid w:val="161F6CBB"/>
    <w:rsid w:val="17700C7A"/>
    <w:rsid w:val="1AA23529"/>
    <w:rsid w:val="1BD07BB1"/>
    <w:rsid w:val="1C3D57BD"/>
    <w:rsid w:val="1D617E43"/>
    <w:rsid w:val="1DCE73E9"/>
    <w:rsid w:val="1F47586B"/>
    <w:rsid w:val="20593E36"/>
    <w:rsid w:val="20920C88"/>
    <w:rsid w:val="22322E0C"/>
    <w:rsid w:val="22B83C72"/>
    <w:rsid w:val="235C72AA"/>
    <w:rsid w:val="2673738C"/>
    <w:rsid w:val="26D1669E"/>
    <w:rsid w:val="295D4E52"/>
    <w:rsid w:val="29845405"/>
    <w:rsid w:val="2A782E27"/>
    <w:rsid w:val="2BB33101"/>
    <w:rsid w:val="2C540547"/>
    <w:rsid w:val="2EDD5962"/>
    <w:rsid w:val="300A143B"/>
    <w:rsid w:val="30347B79"/>
    <w:rsid w:val="31B65EF3"/>
    <w:rsid w:val="332F5C8B"/>
    <w:rsid w:val="347B5F48"/>
    <w:rsid w:val="35984C9A"/>
    <w:rsid w:val="35F8065C"/>
    <w:rsid w:val="371856D4"/>
    <w:rsid w:val="37FA206C"/>
    <w:rsid w:val="38522A01"/>
    <w:rsid w:val="38B90C59"/>
    <w:rsid w:val="399D609A"/>
    <w:rsid w:val="3AFB6D8A"/>
    <w:rsid w:val="3B991021"/>
    <w:rsid w:val="3C1C354F"/>
    <w:rsid w:val="3E0B4021"/>
    <w:rsid w:val="3FCC42FA"/>
    <w:rsid w:val="3FF80DC6"/>
    <w:rsid w:val="40A660EB"/>
    <w:rsid w:val="43C16477"/>
    <w:rsid w:val="44366F05"/>
    <w:rsid w:val="453F0FBD"/>
    <w:rsid w:val="47AB4A1B"/>
    <w:rsid w:val="47F6547F"/>
    <w:rsid w:val="48F32F7E"/>
    <w:rsid w:val="4B952863"/>
    <w:rsid w:val="4CB7153A"/>
    <w:rsid w:val="51902FE8"/>
    <w:rsid w:val="51E40BF4"/>
    <w:rsid w:val="51EC7542"/>
    <w:rsid w:val="52180D14"/>
    <w:rsid w:val="54F12491"/>
    <w:rsid w:val="551A2A26"/>
    <w:rsid w:val="57F408B8"/>
    <w:rsid w:val="5B0831A9"/>
    <w:rsid w:val="5C4D7CE1"/>
    <w:rsid w:val="5E5576CE"/>
    <w:rsid w:val="61DB0707"/>
    <w:rsid w:val="62011FB5"/>
    <w:rsid w:val="68143093"/>
    <w:rsid w:val="685D3932"/>
    <w:rsid w:val="68B26B5D"/>
    <w:rsid w:val="68B317B4"/>
    <w:rsid w:val="6A48583B"/>
    <w:rsid w:val="6B753AA5"/>
    <w:rsid w:val="6B947697"/>
    <w:rsid w:val="6D4E680A"/>
    <w:rsid w:val="6DA31D2C"/>
    <w:rsid w:val="6DA35F0D"/>
    <w:rsid w:val="6E876CAE"/>
    <w:rsid w:val="6F2E4899"/>
    <w:rsid w:val="6F40156D"/>
    <w:rsid w:val="6FC06CF2"/>
    <w:rsid w:val="70150504"/>
    <w:rsid w:val="70DD1636"/>
    <w:rsid w:val="70EE1FAE"/>
    <w:rsid w:val="73C05881"/>
    <w:rsid w:val="76CB50B0"/>
    <w:rsid w:val="76CE167F"/>
    <w:rsid w:val="77EB7A6F"/>
    <w:rsid w:val="781A133C"/>
    <w:rsid w:val="788459D8"/>
    <w:rsid w:val="78D2038D"/>
    <w:rsid w:val="79B12B6D"/>
    <w:rsid w:val="7A6F3C77"/>
    <w:rsid w:val="7D953994"/>
    <w:rsid w:val="7DFA3F97"/>
    <w:rsid w:val="7F9A72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semiHidden/>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index 6"/>
    <w:basedOn w:val="1"/>
    <w:next w:val="1"/>
    <w:qFormat/>
    <w:uiPriority w:val="0"/>
    <w:pPr>
      <w:ind w:left="1260" w:hanging="210"/>
      <w:jc w:val="left"/>
    </w:pPr>
    <w:rPr>
      <w:rFonts w:ascii="Calibri" w:hAnsi="Calibri"/>
      <w:sz w:val="20"/>
      <w:szCs w:val="20"/>
    </w:rPr>
  </w:style>
  <w:style w:type="paragraph" w:styleId="17">
    <w:name w:val="index 4"/>
    <w:basedOn w:val="1"/>
    <w:next w:val="1"/>
    <w:qFormat/>
    <w:uiPriority w:val="0"/>
    <w:pPr>
      <w:ind w:left="840" w:hanging="210"/>
      <w:jc w:val="left"/>
    </w:pPr>
    <w:rPr>
      <w:rFonts w:ascii="Calibri" w:hAnsi="Calibri"/>
      <w:sz w:val="20"/>
      <w:szCs w:val="20"/>
    </w:rPr>
  </w:style>
  <w:style w:type="paragraph" w:styleId="18">
    <w:name w:val="toc 5"/>
    <w:basedOn w:val="1"/>
    <w:next w:val="1"/>
    <w:semiHidden/>
    <w:qFormat/>
    <w:uiPriority w:val="0"/>
    <w:pPr>
      <w:tabs>
        <w:tab w:val="right" w:leader="dot" w:pos="9241"/>
      </w:tabs>
      <w:ind w:firstLine="300" w:firstLineChars="300"/>
      <w:jc w:val="left"/>
    </w:pPr>
    <w:rPr>
      <w:rFonts w:ascii="宋体"/>
      <w:szCs w:val="21"/>
    </w:rPr>
  </w:style>
  <w:style w:type="paragraph" w:styleId="19">
    <w:name w:val="toc 3"/>
    <w:basedOn w:val="1"/>
    <w:next w:val="1"/>
    <w:semiHidden/>
    <w:qFormat/>
    <w:uiPriority w:val="0"/>
    <w:pPr>
      <w:tabs>
        <w:tab w:val="right" w:leader="dot" w:pos="9241"/>
      </w:tabs>
      <w:ind w:firstLine="100" w:firstLineChars="100"/>
      <w:jc w:val="left"/>
    </w:pPr>
    <w:rPr>
      <w:rFonts w:ascii="宋体"/>
      <w:szCs w:val="21"/>
    </w:rPr>
  </w:style>
  <w:style w:type="paragraph" w:styleId="20">
    <w:name w:val="toc 8"/>
    <w:basedOn w:val="1"/>
    <w:next w:val="1"/>
    <w:semiHidden/>
    <w:qFormat/>
    <w:uiPriority w:val="0"/>
    <w:pPr>
      <w:tabs>
        <w:tab w:val="right" w:leader="dot" w:pos="9241"/>
      </w:tabs>
      <w:ind w:firstLine="607" w:firstLineChars="600"/>
      <w:jc w:val="left"/>
    </w:pPr>
    <w:rPr>
      <w:rFonts w:ascii="宋体"/>
      <w:szCs w:val="21"/>
    </w:rPr>
  </w:style>
  <w:style w:type="paragraph" w:styleId="21">
    <w:name w:val="index 3"/>
    <w:basedOn w:val="1"/>
    <w:next w:val="1"/>
    <w:qFormat/>
    <w:uiPriority w:val="0"/>
    <w:pPr>
      <w:ind w:left="630" w:hanging="210"/>
      <w:jc w:val="left"/>
    </w:pPr>
    <w:rPr>
      <w:rFonts w:ascii="Calibri" w:hAnsi="Calibri"/>
      <w:sz w:val="20"/>
      <w:szCs w:val="20"/>
    </w:rPr>
  </w:style>
  <w:style w:type="paragraph" w:styleId="22">
    <w:name w:val="endnote text"/>
    <w:basedOn w:val="1"/>
    <w:semiHidden/>
    <w:qFormat/>
    <w:uiPriority w:val="0"/>
    <w:pPr>
      <w:snapToGrid w:val="0"/>
      <w:jc w:val="left"/>
    </w:pPr>
  </w:style>
  <w:style w:type="paragraph" w:styleId="23">
    <w:name w:val="Balloon Text"/>
    <w:basedOn w:val="1"/>
    <w:link w:val="146"/>
    <w:qFormat/>
    <w:uiPriority w:val="0"/>
    <w:rPr>
      <w:sz w:val="18"/>
      <w:szCs w:val="18"/>
    </w:rPr>
  </w:style>
  <w:style w:type="paragraph" w:styleId="24">
    <w:name w:val="footer"/>
    <w:basedOn w:val="1"/>
    <w:qFormat/>
    <w:uiPriority w:val="0"/>
    <w:pPr>
      <w:snapToGrid w:val="0"/>
      <w:ind w:right="210" w:rightChars="100"/>
      <w:jc w:val="right"/>
    </w:pPr>
    <w:rPr>
      <w:sz w:val="18"/>
      <w:szCs w:val="18"/>
    </w:rPr>
  </w:style>
  <w:style w:type="paragraph" w:styleId="25">
    <w:name w:val="header"/>
    <w:basedOn w:val="1"/>
    <w:qFormat/>
    <w:uiPriority w:val="0"/>
    <w:pPr>
      <w:snapToGrid w:val="0"/>
      <w:jc w:val="left"/>
    </w:pPr>
    <w:rPr>
      <w:sz w:val="18"/>
      <w:szCs w:val="18"/>
    </w:rPr>
  </w:style>
  <w:style w:type="paragraph" w:styleId="26">
    <w:name w:val="toc 1"/>
    <w:basedOn w:val="1"/>
    <w:next w:val="1"/>
    <w:semiHidden/>
    <w:qFormat/>
    <w:uiPriority w:val="0"/>
    <w:pPr>
      <w:tabs>
        <w:tab w:val="right" w:leader="dot" w:pos="9242"/>
      </w:tabs>
      <w:spacing w:beforeLines="25" w:afterLines="25"/>
      <w:jc w:val="left"/>
    </w:pPr>
    <w:rPr>
      <w:rFonts w:ascii="宋体"/>
      <w:szCs w:val="21"/>
    </w:rPr>
  </w:style>
  <w:style w:type="paragraph" w:styleId="27">
    <w:name w:val="toc 4"/>
    <w:basedOn w:val="1"/>
    <w:next w:val="1"/>
    <w:semiHidden/>
    <w:qFormat/>
    <w:uiPriority w:val="0"/>
    <w:pPr>
      <w:tabs>
        <w:tab w:val="right" w:leader="dot" w:pos="9241"/>
      </w:tabs>
      <w:ind w:firstLine="200" w:firstLineChars="200"/>
      <w:jc w:val="left"/>
    </w:pPr>
    <w:rPr>
      <w:rFonts w:ascii="宋体"/>
      <w:szCs w:val="21"/>
    </w:rPr>
  </w:style>
  <w:style w:type="paragraph" w:styleId="28">
    <w:name w:val="index heading"/>
    <w:basedOn w:val="1"/>
    <w:next w:val="29"/>
    <w:qFormat/>
    <w:uiPriority w:val="0"/>
    <w:pPr>
      <w:spacing w:before="120" w:after="120"/>
      <w:jc w:val="center"/>
    </w:pPr>
    <w:rPr>
      <w:rFonts w:ascii="Calibri" w:hAnsi="Calibri"/>
      <w:b/>
      <w:bCs/>
      <w:iCs/>
      <w:szCs w:val="20"/>
    </w:rPr>
  </w:style>
  <w:style w:type="paragraph" w:styleId="29">
    <w:name w:val="index 1"/>
    <w:basedOn w:val="1"/>
    <w:next w:val="30"/>
    <w:qFormat/>
    <w:uiPriority w:val="0"/>
    <w:pPr>
      <w:tabs>
        <w:tab w:val="right" w:leader="dot" w:pos="9299"/>
      </w:tabs>
      <w:jc w:val="left"/>
    </w:pPr>
    <w:rPr>
      <w:rFonts w:ascii="宋体"/>
      <w:szCs w:val="21"/>
    </w:rPr>
  </w:style>
  <w:style w:type="paragraph" w:customStyle="1" w:styleId="30">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1">
    <w:name w:val="footnote text"/>
    <w:basedOn w:val="1"/>
    <w:qFormat/>
    <w:uiPriority w:val="0"/>
    <w:pPr>
      <w:numPr>
        <w:ilvl w:val="0"/>
        <w:numId w:val="3"/>
      </w:numPr>
      <w:snapToGrid w:val="0"/>
      <w:jc w:val="left"/>
    </w:pPr>
    <w:rPr>
      <w:rFonts w:ascii="宋体"/>
      <w:sz w:val="18"/>
      <w:szCs w:val="18"/>
    </w:rPr>
  </w:style>
  <w:style w:type="paragraph" w:styleId="32">
    <w:name w:val="toc 6"/>
    <w:basedOn w:val="1"/>
    <w:next w:val="1"/>
    <w:semiHidden/>
    <w:qFormat/>
    <w:uiPriority w:val="0"/>
    <w:pPr>
      <w:tabs>
        <w:tab w:val="right" w:leader="dot" w:pos="9241"/>
      </w:tabs>
      <w:ind w:firstLine="400" w:firstLineChars="400"/>
      <w:jc w:val="left"/>
    </w:pPr>
    <w:rPr>
      <w:rFonts w:ascii="宋体"/>
      <w:szCs w:val="21"/>
    </w:rPr>
  </w:style>
  <w:style w:type="paragraph" w:styleId="33">
    <w:name w:val="index 7"/>
    <w:basedOn w:val="1"/>
    <w:next w:val="1"/>
    <w:qFormat/>
    <w:uiPriority w:val="0"/>
    <w:pPr>
      <w:ind w:left="1470" w:hanging="210"/>
      <w:jc w:val="left"/>
    </w:pPr>
    <w:rPr>
      <w:rFonts w:ascii="Calibri" w:hAnsi="Calibri"/>
      <w:sz w:val="20"/>
      <w:szCs w:val="20"/>
    </w:rPr>
  </w:style>
  <w:style w:type="paragraph" w:styleId="34">
    <w:name w:val="index 9"/>
    <w:basedOn w:val="1"/>
    <w:next w:val="1"/>
    <w:qFormat/>
    <w:uiPriority w:val="0"/>
    <w:pPr>
      <w:ind w:left="1890" w:hanging="210"/>
      <w:jc w:val="left"/>
    </w:pPr>
    <w:rPr>
      <w:rFonts w:ascii="Calibri" w:hAnsi="Calibri"/>
      <w:sz w:val="20"/>
      <w:szCs w:val="20"/>
    </w:rPr>
  </w:style>
  <w:style w:type="paragraph" w:styleId="35">
    <w:name w:val="toc 2"/>
    <w:basedOn w:val="1"/>
    <w:next w:val="1"/>
    <w:semiHidden/>
    <w:qFormat/>
    <w:uiPriority w:val="0"/>
    <w:pPr>
      <w:tabs>
        <w:tab w:val="right" w:leader="dot" w:pos="9242"/>
      </w:tabs>
    </w:pPr>
    <w:rPr>
      <w:rFonts w:ascii="宋体"/>
      <w:szCs w:val="21"/>
    </w:rPr>
  </w:style>
  <w:style w:type="paragraph" w:styleId="36">
    <w:name w:val="toc 9"/>
    <w:basedOn w:val="1"/>
    <w:next w:val="1"/>
    <w:semiHidden/>
    <w:qFormat/>
    <w:uiPriority w:val="0"/>
    <w:pPr>
      <w:ind w:left="1470"/>
      <w:jc w:val="left"/>
    </w:pPr>
    <w:rPr>
      <w:sz w:val="20"/>
      <w:szCs w:val="20"/>
    </w:rPr>
  </w:style>
  <w:style w:type="paragraph" w:styleId="3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8">
    <w:name w:val="index 2"/>
    <w:basedOn w:val="1"/>
    <w:next w:val="1"/>
    <w:qFormat/>
    <w:uiPriority w:val="0"/>
    <w:pPr>
      <w:ind w:left="420" w:hanging="210"/>
      <w:jc w:val="left"/>
    </w:pPr>
    <w:rPr>
      <w:rFonts w:ascii="Calibri" w:hAnsi="Calibri"/>
      <w:sz w:val="20"/>
      <w:szCs w:val="20"/>
    </w:rPr>
  </w:style>
  <w:style w:type="table" w:styleId="40">
    <w:name w:val="Table Grid"/>
    <w:basedOn w:val="3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2">
    <w:name w:val="endnote reference"/>
    <w:semiHidden/>
    <w:qFormat/>
    <w:uiPriority w:val="0"/>
    <w:rPr>
      <w:vertAlign w:val="superscript"/>
    </w:rPr>
  </w:style>
  <w:style w:type="character" w:styleId="43">
    <w:name w:val="page number"/>
    <w:basedOn w:val="41"/>
    <w:qFormat/>
    <w:uiPriority w:val="0"/>
    <w:rPr>
      <w:rFonts w:ascii="Times New Roman" w:hAnsi="Times New Roman" w:eastAsia="宋体"/>
      <w:sz w:val="18"/>
    </w:rPr>
  </w:style>
  <w:style w:type="character" w:styleId="44">
    <w:name w:val="FollowedHyperlink"/>
    <w:qFormat/>
    <w:uiPriority w:val="0"/>
    <w:rPr>
      <w:color w:val="800080"/>
      <w:u w:val="single"/>
    </w:rPr>
  </w:style>
  <w:style w:type="character" w:styleId="45">
    <w:name w:val="Hyperlink"/>
    <w:qFormat/>
    <w:uiPriority w:val="0"/>
    <w:rPr>
      <w:color w:val="0000FF"/>
      <w:spacing w:val="0"/>
      <w:w w:val="100"/>
      <w:szCs w:val="21"/>
      <w:u w:val="single"/>
    </w:rPr>
  </w:style>
  <w:style w:type="character" w:styleId="46">
    <w:name w:val="footnote reference"/>
    <w:semiHidden/>
    <w:qFormat/>
    <w:uiPriority w:val="0"/>
    <w:rPr>
      <w:vertAlign w:val="superscript"/>
    </w:rPr>
  </w:style>
  <w:style w:type="character" w:customStyle="1" w:styleId="47">
    <w:name w:val="段 Char"/>
    <w:link w:val="30"/>
    <w:qFormat/>
    <w:uiPriority w:val="0"/>
    <w:rPr>
      <w:rFonts w:ascii="宋体"/>
      <w:sz w:val="21"/>
      <w:lang w:val="en-US" w:eastAsia="zh-CN" w:bidi="ar-SA"/>
    </w:rPr>
  </w:style>
  <w:style w:type="paragraph" w:customStyle="1" w:styleId="48">
    <w:name w:val="一级条标题"/>
    <w:next w:val="30"/>
    <w:qFormat/>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4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1">
    <w:name w:val="章标题"/>
    <w:next w:val="30"/>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5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3">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54">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5">
    <w:name w:val="目次、标准名称标题"/>
    <w:basedOn w:val="1"/>
    <w:next w:val="30"/>
    <w:link w:val="14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三级条标题"/>
    <w:next w:val="30"/>
    <w:qFormat/>
    <w:uiPriority w:val="0"/>
    <w:pPr>
      <w:numPr>
        <w:ilvl w:val="3"/>
        <w:numId w:val="6"/>
      </w:numPr>
      <w:tabs>
        <w:tab w:val="left" w:pos="0"/>
      </w:tabs>
      <w:ind w:left="850" w:hanging="850"/>
      <w:outlineLvl w:val="4"/>
    </w:pPr>
    <w:rPr>
      <w:rFonts w:ascii="Times New Roman" w:hAnsi="Times New Roman" w:eastAsia="宋体" w:cs="Times New Roman"/>
    </w:rPr>
  </w:style>
  <w:style w:type="paragraph" w:customStyle="1" w:styleId="57">
    <w:name w:val="示例"/>
    <w:next w:val="58"/>
    <w:qFormat/>
    <w:uiPriority w:val="0"/>
    <w:pPr>
      <w:widowControl w:val="0"/>
      <w:numPr>
        <w:ilvl w:val="0"/>
        <w:numId w:val="7"/>
      </w:numPr>
      <w:jc w:val="both"/>
    </w:pPr>
    <w:rPr>
      <w:rFonts w:ascii="宋体" w:hAnsi="Times New Roman" w:eastAsia="宋体" w:cs="Times New Roman"/>
      <w:sz w:val="18"/>
      <w:szCs w:val="18"/>
      <w:lang w:val="en-US" w:eastAsia="zh-CN" w:bidi="ar-SA"/>
    </w:rPr>
  </w:style>
  <w:style w:type="paragraph" w:customStyle="1" w:styleId="5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9">
    <w:name w:val="数字编号列项（二级）"/>
    <w:qFormat/>
    <w:uiPriority w:val="0"/>
    <w:pPr>
      <w:numPr>
        <w:ilvl w:val="1"/>
        <w:numId w:val="8"/>
      </w:numPr>
      <w:jc w:val="both"/>
    </w:pPr>
    <w:rPr>
      <w:rFonts w:ascii="宋体" w:hAnsi="Times New Roman" w:eastAsia="宋体" w:cs="Times New Roman"/>
      <w:sz w:val="21"/>
      <w:lang w:val="en-US" w:eastAsia="zh-CN" w:bidi="ar-SA"/>
    </w:rPr>
  </w:style>
  <w:style w:type="paragraph" w:customStyle="1" w:styleId="60">
    <w:name w:val="四级条标题"/>
    <w:basedOn w:val="56"/>
    <w:next w:val="30"/>
    <w:qFormat/>
    <w:uiPriority w:val="0"/>
    <w:pPr>
      <w:numPr>
        <w:ilvl w:val="4"/>
      </w:numPr>
      <w:outlineLvl w:val="5"/>
    </w:pPr>
  </w:style>
  <w:style w:type="paragraph" w:customStyle="1" w:styleId="61">
    <w:name w:val="五级条标题"/>
    <w:basedOn w:val="60"/>
    <w:next w:val="30"/>
    <w:qFormat/>
    <w:uiPriority w:val="0"/>
    <w:pPr>
      <w:numPr>
        <w:ilvl w:val="5"/>
      </w:numPr>
      <w:outlineLvl w:val="6"/>
    </w:pPr>
  </w:style>
  <w:style w:type="paragraph" w:customStyle="1" w:styleId="62">
    <w:name w:val="注："/>
    <w:next w:val="30"/>
    <w:qFormat/>
    <w:uiPriority w:val="0"/>
    <w:pPr>
      <w:widowControl w:val="0"/>
      <w:numPr>
        <w:ilvl w:val="0"/>
        <w:numId w:val="9"/>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3">
    <w:name w:val="注×："/>
    <w:qFormat/>
    <w:uiPriority w:val="0"/>
    <w:pPr>
      <w:widowControl w:val="0"/>
      <w:numPr>
        <w:ilvl w:val="0"/>
        <w:numId w:val="10"/>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4">
    <w:name w:val="字母编号列项（一级）"/>
    <w:qFormat/>
    <w:uiPriority w:val="0"/>
    <w:pPr>
      <w:numPr>
        <w:ilvl w:val="0"/>
        <w:numId w:val="8"/>
      </w:numPr>
      <w:jc w:val="both"/>
    </w:pPr>
    <w:rPr>
      <w:rFonts w:ascii="宋体" w:hAnsi="Times New Roman" w:eastAsia="宋体" w:cs="Times New Roman"/>
      <w:sz w:val="21"/>
      <w:lang w:val="en-US" w:eastAsia="zh-CN" w:bidi="ar-SA"/>
    </w:rPr>
  </w:style>
  <w:style w:type="paragraph" w:customStyle="1" w:styleId="65">
    <w:name w:val="列项◆（三级）"/>
    <w:basedOn w:val="1"/>
    <w:qFormat/>
    <w:uiPriority w:val="0"/>
    <w:pPr>
      <w:numPr>
        <w:ilvl w:val="2"/>
        <w:numId w:val="5"/>
      </w:numPr>
    </w:pPr>
    <w:rPr>
      <w:rFonts w:ascii="宋体"/>
      <w:szCs w:val="21"/>
    </w:rPr>
  </w:style>
  <w:style w:type="paragraph" w:customStyle="1" w:styleId="66">
    <w:name w:val="编号列项（三级）"/>
    <w:qFormat/>
    <w:uiPriority w:val="0"/>
    <w:pPr>
      <w:numPr>
        <w:ilvl w:val="2"/>
        <w:numId w:val="8"/>
      </w:numPr>
    </w:pPr>
    <w:rPr>
      <w:rFonts w:ascii="宋体" w:hAnsi="Times New Roman" w:eastAsia="宋体" w:cs="Times New Roman"/>
      <w:sz w:val="21"/>
      <w:lang w:val="en-US" w:eastAsia="zh-CN" w:bidi="ar-SA"/>
    </w:rPr>
  </w:style>
  <w:style w:type="paragraph" w:customStyle="1" w:styleId="67">
    <w:name w:val="示例×："/>
    <w:basedOn w:val="51"/>
    <w:qFormat/>
    <w:uiPriority w:val="0"/>
    <w:pPr>
      <w:numPr>
        <w:numId w:val="11"/>
      </w:numPr>
      <w:spacing w:beforeLines="0" w:afterLines="0"/>
      <w:outlineLvl w:val="9"/>
    </w:pPr>
    <w:rPr>
      <w:rFonts w:ascii="宋体" w:eastAsia="宋体"/>
      <w:sz w:val="18"/>
      <w:szCs w:val="18"/>
    </w:rPr>
  </w:style>
  <w:style w:type="paragraph" w:customStyle="1" w:styleId="68">
    <w:name w:val="二级无"/>
    <w:qFormat/>
    <w:uiPriority w:val="0"/>
    <w:pPr>
      <w:tabs>
        <w:tab w:val="left" w:pos="0"/>
      </w:tabs>
      <w:spacing w:beforeLines="0" w:afterLines="0"/>
    </w:pPr>
    <w:rPr>
      <w:rFonts w:ascii="宋体" w:hAnsi="Times New Roman" w:eastAsia="宋体" w:cs="Times New Roman"/>
    </w:rPr>
  </w:style>
  <w:style w:type="paragraph" w:customStyle="1" w:styleId="69">
    <w:name w:val="注：（正文）"/>
    <w:basedOn w:val="62"/>
    <w:next w:val="30"/>
    <w:qFormat/>
    <w:uiPriority w:val="0"/>
    <w:pPr>
      <w:numPr>
        <w:numId w:val="12"/>
      </w:numPr>
      <w:ind w:left="726" w:hanging="363"/>
    </w:pPr>
  </w:style>
  <w:style w:type="paragraph" w:customStyle="1" w:styleId="70">
    <w:name w:val="注×：（正文）"/>
    <w:qFormat/>
    <w:uiPriority w:val="0"/>
    <w:pPr>
      <w:numPr>
        <w:ilvl w:val="0"/>
        <w:numId w:val="13"/>
      </w:numPr>
      <w:ind w:left="811" w:hanging="448"/>
      <w:jc w:val="both"/>
    </w:pPr>
    <w:rPr>
      <w:rFonts w:ascii="宋体" w:hAnsi="Times New Roman" w:eastAsia="宋体" w:cs="Times New Roman"/>
      <w:sz w:val="18"/>
      <w:szCs w:val="18"/>
      <w:lang w:val="en-US" w:eastAsia="zh-CN" w:bidi="ar-SA"/>
    </w:rPr>
  </w:style>
  <w:style w:type="paragraph" w:customStyle="1" w:styleId="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4">
    <w:name w:val="标准书眉_偶数页"/>
    <w:basedOn w:val="50"/>
    <w:next w:val="1"/>
    <w:qFormat/>
    <w:uiPriority w:val="0"/>
    <w:pPr>
      <w:jc w:val="left"/>
    </w:p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参考文献"/>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参考文献、索引标题"/>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8">
    <w:name w:val="发布"/>
    <w:qFormat/>
    <w:uiPriority w:val="0"/>
    <w:rPr>
      <w:rFonts w:ascii="黑体" w:eastAsia="黑体"/>
      <w:spacing w:val="85"/>
      <w:w w:val="100"/>
      <w:position w:val="3"/>
      <w:sz w:val="28"/>
      <w:szCs w:val="28"/>
    </w:rPr>
  </w:style>
  <w:style w:type="paragraph" w:customStyle="1" w:styleId="79">
    <w:name w:val="发布部门"/>
    <w:next w:val="3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1">
    <w:name w:val="封面标准代替信息"/>
    <w:basedOn w:val="52"/>
    <w:qFormat/>
    <w:uiPriority w:val="0"/>
    <w:pPr>
      <w:spacing w:before="57"/>
    </w:pPr>
    <w:rPr>
      <w:rFonts w:ascii="宋体" w:eastAsia="宋体"/>
      <w:sz w:val="21"/>
      <w:szCs w:val="21"/>
    </w:r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
    <w:basedOn w:val="83"/>
    <w:qFormat/>
    <w:uiPriority w:val="0"/>
    <w:pPr>
      <w:spacing w:before="370" w:line="400" w:lineRule="exact"/>
    </w:pPr>
    <w:rPr>
      <w:rFonts w:ascii="Times New Roman"/>
      <w:sz w:val="28"/>
      <w:szCs w:val="28"/>
    </w:rPr>
  </w:style>
  <w:style w:type="paragraph" w:customStyle="1" w:styleId="85">
    <w:name w:val="封面一致性程度标识"/>
    <w:basedOn w:val="84"/>
    <w:qFormat/>
    <w:uiPriority w:val="0"/>
    <w:pPr>
      <w:spacing w:before="440"/>
    </w:pPr>
    <w:rPr>
      <w:rFonts w:ascii="宋体" w:eastAsia="宋体"/>
    </w:rPr>
  </w:style>
  <w:style w:type="paragraph" w:customStyle="1" w:styleId="86">
    <w:name w:val="封面标准文稿类别"/>
    <w:basedOn w:val="85"/>
    <w:qFormat/>
    <w:uiPriority w:val="0"/>
    <w:pPr>
      <w:spacing w:after="160" w:line="240" w:lineRule="auto"/>
    </w:pPr>
    <w:rPr>
      <w:sz w:val="24"/>
    </w:rPr>
  </w:style>
  <w:style w:type="paragraph" w:customStyle="1" w:styleId="87">
    <w:name w:val="封面标准文稿编辑信息"/>
    <w:basedOn w:val="86"/>
    <w:qFormat/>
    <w:uiPriority w:val="0"/>
    <w:pPr>
      <w:spacing w:before="180" w:line="180" w:lineRule="exact"/>
    </w:pPr>
    <w:rPr>
      <w:sz w:val="21"/>
    </w:rPr>
  </w:style>
  <w:style w:type="paragraph" w:customStyle="1" w:styleId="88">
    <w:name w:val="封面正文"/>
    <w:qFormat/>
    <w:uiPriority w:val="0"/>
    <w:pPr>
      <w:jc w:val="both"/>
    </w:pPr>
    <w:rPr>
      <w:rFonts w:ascii="Times New Roman" w:hAnsi="Times New Roman" w:eastAsia="宋体" w:cs="Times New Roman"/>
      <w:lang w:val="en-US" w:eastAsia="zh-CN" w:bidi="ar-SA"/>
    </w:rPr>
  </w:style>
  <w:style w:type="paragraph" w:customStyle="1" w:styleId="89">
    <w:name w:val="附录标识"/>
    <w:basedOn w:val="1"/>
    <w:next w:val="30"/>
    <w:qFormat/>
    <w:uiPriority w:val="0"/>
    <w:pPr>
      <w:keepNext/>
      <w:widowControl/>
      <w:numPr>
        <w:ilvl w:val="0"/>
        <w:numId w:val="1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0">
    <w:name w:val="附录标题"/>
    <w:basedOn w:val="30"/>
    <w:next w:val="30"/>
    <w:qFormat/>
    <w:uiPriority w:val="0"/>
    <w:pPr>
      <w:ind w:firstLine="0" w:firstLineChars="0"/>
      <w:jc w:val="center"/>
    </w:pPr>
    <w:rPr>
      <w:rFonts w:ascii="黑体" w:eastAsia="黑体"/>
    </w:rPr>
  </w:style>
  <w:style w:type="paragraph" w:customStyle="1" w:styleId="91">
    <w:name w:val="附录表标号"/>
    <w:basedOn w:val="1"/>
    <w:next w:val="30"/>
    <w:qFormat/>
    <w:uiPriority w:val="0"/>
    <w:pPr>
      <w:numPr>
        <w:ilvl w:val="0"/>
        <w:numId w:val="15"/>
      </w:numPr>
      <w:tabs>
        <w:tab w:val="clear" w:pos="0"/>
      </w:tabs>
      <w:spacing w:line="14" w:lineRule="exact"/>
      <w:ind w:left="811" w:hanging="448"/>
      <w:jc w:val="center"/>
      <w:outlineLvl w:val="0"/>
    </w:pPr>
    <w:rPr>
      <w:color w:val="FFFFFF"/>
    </w:rPr>
  </w:style>
  <w:style w:type="paragraph" w:customStyle="1" w:styleId="92">
    <w:name w:val="附录表标题"/>
    <w:basedOn w:val="1"/>
    <w:next w:val="30"/>
    <w:qFormat/>
    <w:uiPriority w:val="0"/>
    <w:pPr>
      <w:numPr>
        <w:ilvl w:val="1"/>
        <w:numId w:val="15"/>
      </w:numPr>
      <w:tabs>
        <w:tab w:val="left" w:pos="180"/>
      </w:tabs>
      <w:spacing w:beforeLines="50" w:afterLines="50"/>
      <w:ind w:left="0" w:firstLine="0"/>
      <w:jc w:val="center"/>
    </w:pPr>
    <w:rPr>
      <w:rFonts w:ascii="黑体" w:eastAsia="黑体"/>
      <w:szCs w:val="21"/>
    </w:rPr>
  </w:style>
  <w:style w:type="paragraph" w:customStyle="1" w:styleId="93">
    <w:name w:val="附录二级条标题"/>
    <w:basedOn w:val="1"/>
    <w:next w:val="30"/>
    <w:qFormat/>
    <w:uiPriority w:val="0"/>
    <w:pPr>
      <w:widowControl/>
      <w:numPr>
        <w:ilvl w:val="3"/>
        <w:numId w:val="1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4">
    <w:name w:val="附录二级无"/>
    <w:basedOn w:val="93"/>
    <w:qFormat/>
    <w:uiPriority w:val="0"/>
    <w:pPr>
      <w:tabs>
        <w:tab w:val="clear" w:pos="360"/>
      </w:tabs>
      <w:spacing w:beforeLines="0" w:afterLines="0"/>
    </w:pPr>
    <w:rPr>
      <w:rFonts w:ascii="宋体" w:eastAsia="宋体"/>
      <w:szCs w:val="21"/>
    </w:rPr>
  </w:style>
  <w:style w:type="paragraph" w:customStyle="1" w:styleId="95">
    <w:name w:val="附录公式"/>
    <w:basedOn w:val="30"/>
    <w:next w:val="30"/>
    <w:link w:val="96"/>
    <w:qFormat/>
    <w:uiPriority w:val="0"/>
  </w:style>
  <w:style w:type="character" w:customStyle="1" w:styleId="96">
    <w:name w:val="附录公式 Char"/>
    <w:basedOn w:val="47"/>
    <w:link w:val="95"/>
    <w:qFormat/>
    <w:uiPriority w:val="0"/>
    <w:rPr>
      <w:rFonts w:ascii="宋体"/>
      <w:sz w:val="21"/>
      <w:lang w:val="en-US" w:eastAsia="zh-CN" w:bidi="ar-SA"/>
    </w:rPr>
  </w:style>
  <w:style w:type="paragraph" w:customStyle="1" w:styleId="97">
    <w:name w:val="附录公式编号制表符"/>
    <w:basedOn w:val="1"/>
    <w:next w:val="30"/>
    <w:qFormat/>
    <w:uiPriority w:val="0"/>
    <w:pPr>
      <w:widowControl/>
      <w:tabs>
        <w:tab w:val="center" w:pos="4201"/>
        <w:tab w:val="right" w:leader="dot" w:pos="9298"/>
      </w:tabs>
      <w:autoSpaceDE w:val="0"/>
      <w:autoSpaceDN w:val="0"/>
    </w:pPr>
    <w:rPr>
      <w:rFonts w:ascii="宋体"/>
      <w:kern w:val="0"/>
      <w:szCs w:val="20"/>
    </w:rPr>
  </w:style>
  <w:style w:type="paragraph" w:customStyle="1" w:styleId="98">
    <w:name w:val="附录三级条标题"/>
    <w:basedOn w:val="93"/>
    <w:next w:val="30"/>
    <w:qFormat/>
    <w:uiPriority w:val="0"/>
    <w:pPr>
      <w:numPr>
        <w:ilvl w:val="4"/>
      </w:numPr>
      <w:outlineLvl w:val="4"/>
    </w:pPr>
  </w:style>
  <w:style w:type="paragraph" w:customStyle="1" w:styleId="99">
    <w:name w:val="附录三级无"/>
    <w:basedOn w:val="98"/>
    <w:qFormat/>
    <w:uiPriority w:val="0"/>
    <w:pPr>
      <w:tabs>
        <w:tab w:val="clear" w:pos="360"/>
      </w:tabs>
      <w:spacing w:beforeLines="0" w:afterLines="0"/>
    </w:pPr>
    <w:rPr>
      <w:rFonts w:ascii="宋体" w:eastAsia="宋体"/>
      <w:szCs w:val="21"/>
    </w:rPr>
  </w:style>
  <w:style w:type="paragraph" w:customStyle="1" w:styleId="100">
    <w:name w:val="附录数字编号列项（二级）"/>
    <w:qFormat/>
    <w:uiPriority w:val="0"/>
    <w:pPr>
      <w:numPr>
        <w:ilvl w:val="1"/>
        <w:numId w:val="16"/>
      </w:numPr>
    </w:pPr>
    <w:rPr>
      <w:rFonts w:ascii="宋体" w:hAnsi="Times New Roman" w:eastAsia="宋体" w:cs="Times New Roman"/>
      <w:sz w:val="21"/>
      <w:lang w:val="en-US" w:eastAsia="zh-CN" w:bidi="ar-SA"/>
    </w:rPr>
  </w:style>
  <w:style w:type="paragraph" w:customStyle="1" w:styleId="101">
    <w:name w:val="附录四级条标题"/>
    <w:basedOn w:val="98"/>
    <w:next w:val="30"/>
    <w:qFormat/>
    <w:uiPriority w:val="0"/>
    <w:pPr>
      <w:numPr>
        <w:ilvl w:val="5"/>
      </w:numPr>
      <w:outlineLvl w:val="5"/>
    </w:pPr>
  </w:style>
  <w:style w:type="paragraph" w:customStyle="1" w:styleId="102">
    <w:name w:val="附录四级无"/>
    <w:basedOn w:val="101"/>
    <w:qFormat/>
    <w:uiPriority w:val="0"/>
    <w:pPr>
      <w:tabs>
        <w:tab w:val="clear" w:pos="360"/>
      </w:tabs>
      <w:spacing w:beforeLines="0" w:afterLines="0"/>
    </w:pPr>
    <w:rPr>
      <w:rFonts w:ascii="宋体" w:eastAsia="宋体"/>
      <w:szCs w:val="21"/>
    </w:rPr>
  </w:style>
  <w:style w:type="paragraph" w:customStyle="1" w:styleId="103">
    <w:name w:val="附录图标号"/>
    <w:basedOn w:val="1"/>
    <w:qFormat/>
    <w:uiPriority w:val="0"/>
    <w:pPr>
      <w:keepNext/>
      <w:pageBreakBefore/>
      <w:widowControl/>
      <w:numPr>
        <w:ilvl w:val="0"/>
        <w:numId w:val="17"/>
      </w:numPr>
      <w:spacing w:line="14" w:lineRule="exact"/>
      <w:ind w:left="0" w:firstLine="363"/>
      <w:jc w:val="center"/>
      <w:outlineLvl w:val="0"/>
    </w:pPr>
    <w:rPr>
      <w:color w:val="FFFFFF"/>
    </w:rPr>
  </w:style>
  <w:style w:type="paragraph" w:customStyle="1" w:styleId="104">
    <w:name w:val="附录图标题"/>
    <w:basedOn w:val="1"/>
    <w:next w:val="30"/>
    <w:qFormat/>
    <w:uiPriority w:val="0"/>
    <w:pPr>
      <w:numPr>
        <w:ilvl w:val="1"/>
        <w:numId w:val="17"/>
      </w:numPr>
      <w:tabs>
        <w:tab w:val="left" w:pos="363"/>
      </w:tabs>
      <w:spacing w:beforeLines="50" w:afterLines="50"/>
      <w:ind w:left="0" w:firstLine="0"/>
      <w:jc w:val="center"/>
    </w:pPr>
    <w:rPr>
      <w:rFonts w:ascii="黑体" w:eastAsia="黑体"/>
      <w:szCs w:val="21"/>
    </w:rPr>
  </w:style>
  <w:style w:type="paragraph" w:customStyle="1" w:styleId="105">
    <w:name w:val="附录五级条标题"/>
    <w:basedOn w:val="101"/>
    <w:next w:val="30"/>
    <w:qFormat/>
    <w:uiPriority w:val="0"/>
    <w:pPr>
      <w:numPr>
        <w:ilvl w:val="6"/>
      </w:numPr>
      <w:outlineLvl w:val="6"/>
    </w:pPr>
  </w:style>
  <w:style w:type="paragraph" w:customStyle="1" w:styleId="106">
    <w:name w:val="附录五级无"/>
    <w:basedOn w:val="105"/>
    <w:qFormat/>
    <w:uiPriority w:val="0"/>
    <w:pPr>
      <w:tabs>
        <w:tab w:val="clear" w:pos="360"/>
      </w:tabs>
      <w:spacing w:beforeLines="0" w:afterLines="0"/>
    </w:pPr>
    <w:rPr>
      <w:rFonts w:ascii="宋体" w:eastAsia="宋体"/>
      <w:szCs w:val="21"/>
    </w:rPr>
  </w:style>
  <w:style w:type="paragraph" w:customStyle="1" w:styleId="107">
    <w:name w:val="附录章标题"/>
    <w:next w:val="30"/>
    <w:qFormat/>
    <w:uiPriority w:val="0"/>
    <w:pPr>
      <w:numPr>
        <w:ilvl w:val="1"/>
        <w:numId w:val="1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30"/>
    <w:qFormat/>
    <w:uiPriority w:val="0"/>
    <w:pPr>
      <w:numPr>
        <w:ilvl w:val="2"/>
      </w:numPr>
      <w:autoSpaceDN w:val="0"/>
      <w:spacing w:beforeLines="50" w:afterLines="50"/>
      <w:outlineLvl w:val="2"/>
    </w:pPr>
  </w:style>
  <w:style w:type="paragraph" w:customStyle="1" w:styleId="109">
    <w:name w:val="附录一级无"/>
    <w:basedOn w:val="108"/>
    <w:qFormat/>
    <w:uiPriority w:val="0"/>
    <w:pPr>
      <w:tabs>
        <w:tab w:val="clear" w:pos="360"/>
      </w:tabs>
      <w:spacing w:beforeLines="0" w:afterLines="0"/>
    </w:pPr>
    <w:rPr>
      <w:rFonts w:ascii="宋体" w:eastAsia="宋体"/>
      <w:szCs w:val="21"/>
    </w:rPr>
  </w:style>
  <w:style w:type="paragraph" w:customStyle="1" w:styleId="110">
    <w:name w:val="附录字母编号列项（一级）"/>
    <w:qFormat/>
    <w:uiPriority w:val="0"/>
    <w:pPr>
      <w:numPr>
        <w:ilvl w:val="0"/>
        <w:numId w:val="16"/>
      </w:numPr>
    </w:pPr>
    <w:rPr>
      <w:rFonts w:ascii="宋体" w:hAnsi="Times New Roman" w:eastAsia="宋体" w:cs="Times New Roman"/>
      <w:sz w:val="21"/>
      <w:lang w:val="en-US" w:eastAsia="zh-CN" w:bidi="ar-SA"/>
    </w:rPr>
  </w:style>
  <w:style w:type="paragraph" w:customStyle="1" w:styleId="11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其他标准标志"/>
    <w:basedOn w:val="71"/>
    <w:qFormat/>
    <w:uiPriority w:val="0"/>
    <w:pPr>
      <w:framePr w:w="6101" w:vAnchor="page" w:hAnchor="page" w:x="4673" w:y="942"/>
    </w:pPr>
    <w:rPr>
      <w:w w:val="130"/>
    </w:rPr>
  </w:style>
  <w:style w:type="paragraph" w:customStyle="1" w:styleId="1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6">
    <w:name w:val="其他发布部门"/>
    <w:basedOn w:val="79"/>
    <w:qFormat/>
    <w:uiPriority w:val="0"/>
    <w:pPr>
      <w:framePr w:y="15310"/>
      <w:spacing w:line="0" w:lineRule="atLeast"/>
    </w:pPr>
    <w:rPr>
      <w:rFonts w:ascii="黑体" w:eastAsia="黑体"/>
      <w:b w:val="0"/>
    </w:rPr>
  </w:style>
  <w:style w:type="paragraph" w:customStyle="1" w:styleId="117">
    <w:name w:val="前言、引言标题"/>
    <w:next w:val="3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三级无"/>
    <w:basedOn w:val="56"/>
    <w:qFormat/>
    <w:uiPriority w:val="0"/>
    <w:pPr>
      <w:spacing w:beforeLines="0" w:afterLines="0"/>
    </w:pPr>
    <w:rPr>
      <w:rFonts w:ascii="宋体" w:eastAsia="宋体"/>
    </w:rPr>
  </w:style>
  <w:style w:type="paragraph" w:customStyle="1" w:styleId="119">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20">
    <w:name w:val="示例后文字"/>
    <w:basedOn w:val="30"/>
    <w:next w:val="30"/>
    <w:qFormat/>
    <w:uiPriority w:val="0"/>
    <w:pPr>
      <w:ind w:firstLine="360"/>
    </w:pPr>
    <w:rPr>
      <w:sz w:val="18"/>
    </w:rPr>
  </w:style>
  <w:style w:type="paragraph" w:customStyle="1" w:styleId="121">
    <w:name w:val="首示例"/>
    <w:next w:val="30"/>
    <w:link w:val="122"/>
    <w:qFormat/>
    <w:uiPriority w:val="0"/>
    <w:pPr>
      <w:tabs>
        <w:tab w:val="left" w:pos="360"/>
      </w:tabs>
    </w:pPr>
    <w:rPr>
      <w:rFonts w:ascii="宋体" w:hAnsi="宋体" w:eastAsia="宋体" w:cs="Times New Roman"/>
      <w:kern w:val="2"/>
      <w:sz w:val="18"/>
      <w:szCs w:val="18"/>
      <w:lang w:val="en-US" w:eastAsia="zh-CN" w:bidi="ar-SA"/>
    </w:rPr>
  </w:style>
  <w:style w:type="character" w:customStyle="1" w:styleId="122">
    <w:name w:val="首示例 Char"/>
    <w:link w:val="121"/>
    <w:qFormat/>
    <w:uiPriority w:val="0"/>
    <w:rPr>
      <w:rFonts w:ascii="宋体" w:hAnsi="宋体"/>
      <w:kern w:val="2"/>
      <w:sz w:val="18"/>
      <w:szCs w:val="18"/>
    </w:rPr>
  </w:style>
  <w:style w:type="paragraph" w:customStyle="1" w:styleId="123">
    <w:name w:val="四级无"/>
    <w:basedOn w:val="60"/>
    <w:qFormat/>
    <w:uiPriority w:val="0"/>
    <w:pPr>
      <w:spacing w:beforeLines="0" w:afterLines="0"/>
    </w:pPr>
    <w:rPr>
      <w:rFonts w:ascii="宋体" w:eastAsia="宋体"/>
    </w:rPr>
  </w:style>
  <w:style w:type="paragraph" w:customStyle="1" w:styleId="124">
    <w:name w:val="条文脚注"/>
    <w:basedOn w:val="31"/>
    <w:qFormat/>
    <w:uiPriority w:val="0"/>
    <w:pPr>
      <w:numPr>
        <w:numId w:val="0"/>
      </w:numPr>
      <w:jc w:val="both"/>
    </w:pPr>
  </w:style>
  <w:style w:type="paragraph" w:customStyle="1" w:styleId="125">
    <w:name w:val="图标脚注说明"/>
    <w:basedOn w:val="30"/>
    <w:qFormat/>
    <w:uiPriority w:val="0"/>
    <w:pPr>
      <w:ind w:left="840" w:hanging="420" w:firstLineChars="0"/>
    </w:pPr>
    <w:rPr>
      <w:sz w:val="18"/>
      <w:szCs w:val="18"/>
    </w:rPr>
  </w:style>
  <w:style w:type="paragraph" w:customStyle="1" w:styleId="126">
    <w:name w:val="图表脚注说明"/>
    <w:basedOn w:val="1"/>
    <w:qFormat/>
    <w:uiPriority w:val="0"/>
    <w:pPr>
      <w:numPr>
        <w:ilvl w:val="0"/>
        <w:numId w:val="18"/>
      </w:numPr>
    </w:pPr>
    <w:rPr>
      <w:rFonts w:ascii="宋体"/>
      <w:sz w:val="18"/>
      <w:szCs w:val="18"/>
    </w:rPr>
  </w:style>
  <w:style w:type="paragraph" w:customStyle="1" w:styleId="127">
    <w:name w:val="图的脚注"/>
    <w:next w:val="3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9">
    <w:name w:val="五级无"/>
    <w:basedOn w:val="61"/>
    <w:qFormat/>
    <w:uiPriority w:val="0"/>
    <w:pPr>
      <w:spacing w:beforeLines="0" w:afterLines="0"/>
    </w:pPr>
    <w:rPr>
      <w:rFonts w:ascii="宋体" w:eastAsia="宋体"/>
    </w:rPr>
  </w:style>
  <w:style w:type="paragraph" w:customStyle="1" w:styleId="130">
    <w:name w:val="一级无"/>
    <w:basedOn w:val="48"/>
    <w:qFormat/>
    <w:uiPriority w:val="0"/>
    <w:pPr>
      <w:spacing w:beforeLines="0" w:afterLines="0"/>
    </w:pPr>
    <w:rPr>
      <w:rFonts w:ascii="宋体" w:eastAsia="宋体"/>
    </w:rPr>
  </w:style>
  <w:style w:type="paragraph" w:customStyle="1" w:styleId="131">
    <w:name w:val="正文表标题"/>
    <w:next w:val="30"/>
    <w:qFormat/>
    <w:uiPriority w:val="0"/>
    <w:pPr>
      <w:numPr>
        <w:ilvl w:val="0"/>
        <w:numId w:val="19"/>
      </w:numPr>
      <w:spacing w:beforeLines="50" w:afterLines="50"/>
      <w:jc w:val="center"/>
    </w:pPr>
    <w:rPr>
      <w:rFonts w:ascii="黑体" w:hAnsi="Times New Roman" w:eastAsia="黑体" w:cs="Times New Roman"/>
      <w:sz w:val="21"/>
      <w:lang w:val="en-US" w:eastAsia="zh-CN" w:bidi="ar-SA"/>
    </w:rPr>
  </w:style>
  <w:style w:type="paragraph" w:customStyle="1" w:styleId="132">
    <w:name w:val="正文公式编号制表符"/>
    <w:basedOn w:val="30"/>
    <w:next w:val="30"/>
    <w:qFormat/>
    <w:uiPriority w:val="0"/>
    <w:pPr>
      <w:ind w:firstLine="0" w:firstLineChars="0"/>
    </w:pPr>
  </w:style>
  <w:style w:type="paragraph" w:customStyle="1" w:styleId="133">
    <w:name w:val="正文图标题"/>
    <w:next w:val="30"/>
    <w:qFormat/>
    <w:uiPriority w:val="0"/>
    <w:pPr>
      <w:numPr>
        <w:ilvl w:val="0"/>
        <w:numId w:val="20"/>
      </w:numPr>
      <w:spacing w:beforeLines="50" w:afterLines="50"/>
      <w:jc w:val="center"/>
    </w:pPr>
    <w:rPr>
      <w:rFonts w:ascii="黑体" w:hAnsi="Times New Roman" w:eastAsia="黑体" w:cs="Times New Roman"/>
      <w:sz w:val="21"/>
      <w:lang w:val="en-US" w:eastAsia="zh-CN" w:bidi="ar-SA"/>
    </w:rPr>
  </w:style>
  <w:style w:type="paragraph" w:customStyle="1" w:styleId="134">
    <w:name w:val="终结线"/>
    <w:basedOn w:val="1"/>
    <w:qFormat/>
    <w:uiPriority w:val="0"/>
    <w:pPr>
      <w:framePr w:hSpace="181" w:vSpace="181" w:wrap="around" w:vAnchor="text" w:hAnchor="margin" w:xAlign="center" w:y="285"/>
    </w:pPr>
  </w:style>
  <w:style w:type="paragraph" w:customStyle="1" w:styleId="135">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6">
    <w:name w:val="其他实施日期"/>
    <w:basedOn w:val="119"/>
    <w:qFormat/>
    <w:uiPriority w:val="0"/>
  </w:style>
  <w:style w:type="paragraph" w:customStyle="1" w:styleId="137">
    <w:name w:val="封面标准名称2"/>
    <w:basedOn w:val="83"/>
    <w:qFormat/>
    <w:uiPriority w:val="0"/>
    <w:pPr>
      <w:framePr w:y="4469"/>
      <w:spacing w:beforeLines="630"/>
    </w:pPr>
  </w:style>
  <w:style w:type="paragraph" w:customStyle="1" w:styleId="138">
    <w:name w:val="封面标准英文名称2"/>
    <w:basedOn w:val="84"/>
    <w:qFormat/>
    <w:uiPriority w:val="0"/>
    <w:pPr>
      <w:framePr w:y="4469"/>
    </w:pPr>
  </w:style>
  <w:style w:type="paragraph" w:customStyle="1" w:styleId="139">
    <w:name w:val="封面一致性程度标识2"/>
    <w:basedOn w:val="85"/>
    <w:qFormat/>
    <w:uiPriority w:val="0"/>
    <w:pPr>
      <w:framePr w:y="4469"/>
    </w:pPr>
  </w:style>
  <w:style w:type="paragraph" w:customStyle="1" w:styleId="140">
    <w:name w:val="封面标准文稿类别2"/>
    <w:basedOn w:val="86"/>
    <w:qFormat/>
    <w:uiPriority w:val="0"/>
    <w:pPr>
      <w:framePr w:y="4469"/>
    </w:pPr>
  </w:style>
  <w:style w:type="paragraph" w:customStyle="1" w:styleId="141">
    <w:name w:val="封面标准文稿编辑信息2"/>
    <w:basedOn w:val="87"/>
    <w:qFormat/>
    <w:uiPriority w:val="0"/>
    <w:pPr>
      <w:framePr w:y="4469"/>
    </w:pPr>
  </w:style>
  <w:style w:type="paragraph" w:customStyle="1" w:styleId="142">
    <w:name w:val="标准名称"/>
    <w:basedOn w:val="55"/>
    <w:link w:val="145"/>
    <w:qFormat/>
    <w:uiPriority w:val="0"/>
  </w:style>
  <w:style w:type="character" w:styleId="143">
    <w:name w:val="Placeholder Text"/>
    <w:basedOn w:val="41"/>
    <w:semiHidden/>
    <w:qFormat/>
    <w:uiPriority w:val="99"/>
    <w:rPr>
      <w:color w:val="808080"/>
    </w:rPr>
  </w:style>
  <w:style w:type="character" w:customStyle="1" w:styleId="144">
    <w:name w:val="目次、标准名称标题 Char"/>
    <w:basedOn w:val="41"/>
    <w:link w:val="55"/>
    <w:qFormat/>
    <w:uiPriority w:val="0"/>
    <w:rPr>
      <w:rFonts w:ascii="黑体" w:eastAsia="黑体"/>
      <w:sz w:val="32"/>
      <w:shd w:val="clear" w:color="FFFFFF" w:fill="FFFFFF"/>
    </w:rPr>
  </w:style>
  <w:style w:type="character" w:customStyle="1" w:styleId="145">
    <w:name w:val="标准名称 Char"/>
    <w:basedOn w:val="144"/>
    <w:link w:val="142"/>
    <w:qFormat/>
    <w:uiPriority w:val="0"/>
    <w:rPr>
      <w:rFonts w:ascii="黑体" w:eastAsia="黑体"/>
      <w:sz w:val="32"/>
      <w:shd w:val="clear" w:color="FFFFFF" w:fill="FFFFFF"/>
    </w:rPr>
  </w:style>
  <w:style w:type="character" w:customStyle="1" w:styleId="146">
    <w:name w:val="批注框文本 字符"/>
    <w:basedOn w:val="41"/>
    <w:link w:val="23"/>
    <w:qFormat/>
    <w:uiPriority w:val="0"/>
    <w:rPr>
      <w:kern w:val="2"/>
      <w:sz w:val="18"/>
      <w:szCs w:val="18"/>
    </w:rPr>
  </w:style>
  <w:style w:type="character" w:customStyle="1" w:styleId="147">
    <w:name w:val="font71"/>
    <w:basedOn w:val="41"/>
    <w:qFormat/>
    <w:uiPriority w:val="0"/>
    <w:rPr>
      <w:rFonts w:ascii="微软雅黑" w:hAnsi="微软雅黑" w:eastAsia="微软雅黑" w:cs="微软雅黑"/>
      <w:color w:val="000000"/>
      <w:sz w:val="24"/>
      <w:szCs w:val="24"/>
      <w:u w:val="none"/>
    </w:rPr>
  </w:style>
  <w:style w:type="character" w:customStyle="1" w:styleId="148">
    <w:name w:val="font21"/>
    <w:basedOn w:val="41"/>
    <w:qFormat/>
    <w:uiPriority w:val="0"/>
    <w:rPr>
      <w:rFonts w:hint="default" w:ascii="Times New Roman" w:hAnsi="Times New Roman" w:cs="Times New Roman"/>
      <w:color w:val="FF0000"/>
      <w:sz w:val="24"/>
      <w:szCs w:val="24"/>
      <w:u w:val="none"/>
    </w:rPr>
  </w:style>
  <w:style w:type="character" w:customStyle="1" w:styleId="149">
    <w:name w:val="font61"/>
    <w:basedOn w:val="41"/>
    <w:qFormat/>
    <w:uiPriority w:val="0"/>
    <w:rPr>
      <w:rFonts w:hint="default" w:ascii="Times New Roman" w:hAnsi="Times New Roman" w:cs="Times New Roman"/>
      <w:color w:val="FF0000"/>
      <w:sz w:val="24"/>
      <w:szCs w:val="24"/>
      <w:u w:val="none"/>
    </w:rPr>
  </w:style>
  <w:style w:type="character" w:customStyle="1" w:styleId="150">
    <w:name w:val="font31"/>
    <w:basedOn w:val="41"/>
    <w:qFormat/>
    <w:uiPriority w:val="0"/>
    <w:rPr>
      <w:rFonts w:hint="default" w:ascii="Times New Roman" w:hAnsi="Times New Roman" w:cs="Times New Roman"/>
      <w:color w:val="000000"/>
      <w:sz w:val="24"/>
      <w:szCs w:val="24"/>
      <w:u w:val="none"/>
    </w:rPr>
  </w:style>
  <w:style w:type="character" w:customStyle="1" w:styleId="151">
    <w:name w:val="font51"/>
    <w:basedOn w:val="41"/>
    <w:qFormat/>
    <w:uiPriority w:val="0"/>
    <w:rPr>
      <w:rFonts w:hint="eastAsia" w:ascii="宋体" w:hAnsi="宋体" w:eastAsia="宋体" w:cs="宋体"/>
      <w:color w:val="000000"/>
      <w:sz w:val="24"/>
      <w:szCs w:val="24"/>
      <w:u w:val="none"/>
    </w:rPr>
  </w:style>
  <w:style w:type="character" w:customStyle="1" w:styleId="152">
    <w:name w:val="font41"/>
    <w:basedOn w:val="41"/>
    <w:qFormat/>
    <w:uiPriority w:val="0"/>
    <w:rPr>
      <w:rFonts w:hint="eastAsia" w:ascii="微软雅黑" w:hAnsi="微软雅黑" w:eastAsia="微软雅黑" w:cs="微软雅黑"/>
      <w:color w:val="000000"/>
      <w:sz w:val="24"/>
      <w:szCs w:val="24"/>
      <w:u w:val="none"/>
    </w:rPr>
  </w:style>
  <w:style w:type="character" w:customStyle="1" w:styleId="153">
    <w:name w:val="font11"/>
    <w:basedOn w:val="41"/>
    <w:qFormat/>
    <w:uiPriority w:val="0"/>
    <w:rPr>
      <w:rFonts w:hint="default" w:ascii="Times New Roman" w:hAnsi="Times New Roman" w:cs="Times New Roman"/>
      <w:color w:val="000000"/>
      <w:sz w:val="20"/>
      <w:szCs w:val="20"/>
      <w:u w:val="none"/>
    </w:rPr>
  </w:style>
  <w:style w:type="character" w:customStyle="1" w:styleId="154">
    <w:name w:val="font01"/>
    <w:basedOn w:val="41"/>
    <w:qFormat/>
    <w:uiPriority w:val="0"/>
    <w:rPr>
      <w:rFonts w:hint="eastAsia" w:ascii="宋体" w:hAnsi="宋体" w:eastAsia="宋体" w:cs="宋体"/>
      <w:color w:val="000000"/>
      <w:sz w:val="20"/>
      <w:szCs w:val="20"/>
      <w:u w:val="none"/>
    </w:rPr>
  </w:style>
  <w:style w:type="paragraph" w:customStyle="1" w:styleId="155">
    <w:name w:val="二级条标题"/>
    <w:basedOn w:val="48"/>
    <w:next w:val="30"/>
    <w:qFormat/>
    <w:uiPriority w:val="0"/>
    <w:pPr>
      <w:numPr>
        <w:ilvl w:val="2"/>
      </w:numPr>
      <w:spacing w:before="50" w:after="50"/>
      <w:outlineLvl w:val="3"/>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0" Type="http://schemas.openxmlformats.org/officeDocument/2006/relationships/glossaryDocument" Target="glossary/document.xml"/><Relationship Id="rId8" Type="http://schemas.openxmlformats.org/officeDocument/2006/relationships/oleObject" Target="embeddings/oleObject2.bin"/><Relationship Id="rId79" Type="http://schemas.openxmlformats.org/officeDocument/2006/relationships/fontTable" Target="fontTable.xml"/><Relationship Id="rId78" Type="http://schemas.microsoft.com/office/2006/relationships/keyMapCustomizations" Target="customizations.xml"/><Relationship Id="rId77" Type="http://schemas.openxmlformats.org/officeDocument/2006/relationships/numbering" Target="numbering.xml"/><Relationship Id="rId76" Type="http://schemas.openxmlformats.org/officeDocument/2006/relationships/customXml" Target="../customXml/item1.xml"/><Relationship Id="rId75" Type="http://schemas.openxmlformats.org/officeDocument/2006/relationships/oleObject" Target="embeddings/oleObject40.bin"/><Relationship Id="rId74" Type="http://schemas.openxmlformats.org/officeDocument/2006/relationships/oleObject" Target="embeddings/oleObject39.bin"/><Relationship Id="rId73" Type="http://schemas.openxmlformats.org/officeDocument/2006/relationships/oleObject" Target="embeddings/oleObject38.bin"/><Relationship Id="rId72" Type="http://schemas.openxmlformats.org/officeDocument/2006/relationships/oleObject" Target="embeddings/oleObject37.bin"/><Relationship Id="rId71" Type="http://schemas.openxmlformats.org/officeDocument/2006/relationships/image" Target="media/image30.wmf"/><Relationship Id="rId70" Type="http://schemas.openxmlformats.org/officeDocument/2006/relationships/oleObject" Target="embeddings/oleObject36.bin"/><Relationship Id="rId7" Type="http://schemas.openxmlformats.org/officeDocument/2006/relationships/image" Target="media/image1.wmf"/><Relationship Id="rId69" Type="http://schemas.openxmlformats.org/officeDocument/2006/relationships/image" Target="media/image29.wmf"/><Relationship Id="rId68" Type="http://schemas.openxmlformats.org/officeDocument/2006/relationships/oleObject" Target="embeddings/oleObject35.bin"/><Relationship Id="rId67" Type="http://schemas.openxmlformats.org/officeDocument/2006/relationships/image" Target="media/image28.wmf"/><Relationship Id="rId66" Type="http://schemas.openxmlformats.org/officeDocument/2006/relationships/oleObject" Target="embeddings/oleObject34.bin"/><Relationship Id="rId65" Type="http://schemas.openxmlformats.org/officeDocument/2006/relationships/oleObject" Target="embeddings/oleObject33.bin"/><Relationship Id="rId64" Type="http://schemas.openxmlformats.org/officeDocument/2006/relationships/oleObject" Target="embeddings/oleObject32.bin"/><Relationship Id="rId63" Type="http://schemas.openxmlformats.org/officeDocument/2006/relationships/image" Target="media/image27.wmf"/><Relationship Id="rId62" Type="http://schemas.openxmlformats.org/officeDocument/2006/relationships/oleObject" Target="embeddings/oleObject31.bin"/><Relationship Id="rId61" Type="http://schemas.openxmlformats.org/officeDocument/2006/relationships/image" Target="media/image26.wmf"/><Relationship Id="rId60" Type="http://schemas.openxmlformats.org/officeDocument/2006/relationships/oleObject" Target="embeddings/oleObject30.bin"/><Relationship Id="rId6" Type="http://schemas.openxmlformats.org/officeDocument/2006/relationships/oleObject" Target="embeddings/oleObject1.bin"/><Relationship Id="rId59" Type="http://schemas.openxmlformats.org/officeDocument/2006/relationships/image" Target="media/image25.wmf"/><Relationship Id="rId58" Type="http://schemas.openxmlformats.org/officeDocument/2006/relationships/oleObject" Target="embeddings/oleObject29.bin"/><Relationship Id="rId57" Type="http://schemas.openxmlformats.org/officeDocument/2006/relationships/image" Target="media/image24.wmf"/><Relationship Id="rId56" Type="http://schemas.openxmlformats.org/officeDocument/2006/relationships/oleObject" Target="embeddings/oleObject28.bin"/><Relationship Id="rId55" Type="http://schemas.openxmlformats.org/officeDocument/2006/relationships/image" Target="media/image23.wmf"/><Relationship Id="rId54" Type="http://schemas.openxmlformats.org/officeDocument/2006/relationships/oleObject" Target="embeddings/oleObject27.bin"/><Relationship Id="rId53" Type="http://schemas.openxmlformats.org/officeDocument/2006/relationships/image" Target="media/image22.wmf"/><Relationship Id="rId52" Type="http://schemas.openxmlformats.org/officeDocument/2006/relationships/oleObject" Target="embeddings/oleObject26.bin"/><Relationship Id="rId51" Type="http://schemas.openxmlformats.org/officeDocument/2006/relationships/image" Target="media/image21.wmf"/><Relationship Id="rId50" Type="http://schemas.openxmlformats.org/officeDocument/2006/relationships/oleObject" Target="embeddings/oleObject25.bin"/><Relationship Id="rId5" Type="http://schemas.openxmlformats.org/officeDocument/2006/relationships/theme" Target="theme/theme1.xml"/><Relationship Id="rId49" Type="http://schemas.openxmlformats.org/officeDocument/2006/relationships/image" Target="media/image20.wmf"/><Relationship Id="rId48" Type="http://schemas.openxmlformats.org/officeDocument/2006/relationships/oleObject" Target="embeddings/oleObject24.bin"/><Relationship Id="rId47" Type="http://schemas.openxmlformats.org/officeDocument/2006/relationships/image" Target="media/image19.wmf"/><Relationship Id="rId46" Type="http://schemas.openxmlformats.org/officeDocument/2006/relationships/oleObject" Target="embeddings/oleObject23.bin"/><Relationship Id="rId45" Type="http://schemas.openxmlformats.org/officeDocument/2006/relationships/oleObject" Target="embeddings/oleObject22.bin"/><Relationship Id="rId44" Type="http://schemas.openxmlformats.org/officeDocument/2006/relationships/image" Target="media/image18.wmf"/><Relationship Id="rId43" Type="http://schemas.openxmlformats.org/officeDocument/2006/relationships/oleObject" Target="embeddings/oleObject21.bin"/><Relationship Id="rId42" Type="http://schemas.openxmlformats.org/officeDocument/2006/relationships/image" Target="media/image17.wmf"/><Relationship Id="rId41" Type="http://schemas.openxmlformats.org/officeDocument/2006/relationships/oleObject" Target="embeddings/oleObject20.bin"/><Relationship Id="rId40" Type="http://schemas.openxmlformats.org/officeDocument/2006/relationships/image" Target="media/image16.wmf"/><Relationship Id="rId4" Type="http://schemas.openxmlformats.org/officeDocument/2006/relationships/footer" Target="footer1.xml"/><Relationship Id="rId39" Type="http://schemas.openxmlformats.org/officeDocument/2006/relationships/oleObject" Target="embeddings/oleObject19.bin"/><Relationship Id="rId38" Type="http://schemas.openxmlformats.org/officeDocument/2006/relationships/image" Target="media/image15.wmf"/><Relationship Id="rId37" Type="http://schemas.openxmlformats.org/officeDocument/2006/relationships/oleObject" Target="embeddings/oleObject18.bin"/><Relationship Id="rId36" Type="http://schemas.openxmlformats.org/officeDocument/2006/relationships/oleObject" Target="embeddings/oleObject17.bin"/><Relationship Id="rId35" Type="http://schemas.openxmlformats.org/officeDocument/2006/relationships/image" Target="media/image14.wmf"/><Relationship Id="rId34" Type="http://schemas.openxmlformats.org/officeDocument/2006/relationships/oleObject" Target="embeddings/oleObject16.bin"/><Relationship Id="rId33" Type="http://schemas.openxmlformats.org/officeDocument/2006/relationships/image" Target="media/image13.wmf"/><Relationship Id="rId32" Type="http://schemas.openxmlformats.org/officeDocument/2006/relationships/oleObject" Target="embeddings/oleObject15.bin"/><Relationship Id="rId31" Type="http://schemas.openxmlformats.org/officeDocument/2006/relationships/image" Target="media/image12.wmf"/><Relationship Id="rId30" Type="http://schemas.openxmlformats.org/officeDocument/2006/relationships/oleObject" Target="embeddings/oleObject14.bin"/><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13.bin"/><Relationship Id="rId27" Type="http://schemas.openxmlformats.org/officeDocument/2006/relationships/oleObject" Target="embeddings/oleObject12.bin"/><Relationship Id="rId26" Type="http://schemas.openxmlformats.org/officeDocument/2006/relationships/image" Target="media/image10.wmf"/><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2647A"/>
    <w:rsid w:val="0002653F"/>
    <w:rsid w:val="00080DE3"/>
    <w:rsid w:val="00087E40"/>
    <w:rsid w:val="000A783C"/>
    <w:rsid w:val="000C73CF"/>
    <w:rsid w:val="001132F9"/>
    <w:rsid w:val="00114ABC"/>
    <w:rsid w:val="001C16E0"/>
    <w:rsid w:val="002068C7"/>
    <w:rsid w:val="00323E80"/>
    <w:rsid w:val="003372E5"/>
    <w:rsid w:val="003750AF"/>
    <w:rsid w:val="00430F92"/>
    <w:rsid w:val="004F113A"/>
    <w:rsid w:val="004F1EC5"/>
    <w:rsid w:val="00515A81"/>
    <w:rsid w:val="005335DD"/>
    <w:rsid w:val="00595E09"/>
    <w:rsid w:val="00674FBA"/>
    <w:rsid w:val="006D02E4"/>
    <w:rsid w:val="006E2FC7"/>
    <w:rsid w:val="007216E9"/>
    <w:rsid w:val="007C6ACB"/>
    <w:rsid w:val="007E2797"/>
    <w:rsid w:val="007E4627"/>
    <w:rsid w:val="00800293"/>
    <w:rsid w:val="00820E7E"/>
    <w:rsid w:val="008E024D"/>
    <w:rsid w:val="008F0268"/>
    <w:rsid w:val="00902EF8"/>
    <w:rsid w:val="00982DAC"/>
    <w:rsid w:val="009B16B1"/>
    <w:rsid w:val="009B6B1E"/>
    <w:rsid w:val="00A15DA4"/>
    <w:rsid w:val="00A94E45"/>
    <w:rsid w:val="00AD6808"/>
    <w:rsid w:val="00B717AC"/>
    <w:rsid w:val="00BC67AA"/>
    <w:rsid w:val="00BE131B"/>
    <w:rsid w:val="00C875D2"/>
    <w:rsid w:val="00CB0B2B"/>
    <w:rsid w:val="00D4454B"/>
    <w:rsid w:val="00D65DD7"/>
    <w:rsid w:val="00DA4409"/>
    <w:rsid w:val="00DE2234"/>
    <w:rsid w:val="00E95A08"/>
    <w:rsid w:val="00EA15BD"/>
    <w:rsid w:val="00EA32AC"/>
    <w:rsid w:val="00F93653"/>
    <w:rsid w:val="00FD0A3A"/>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
    <w:qFormat/>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 w:type="paragraph" w:customStyle="1" w:styleId="7">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11</Pages>
  <Words>5025</Words>
  <Characters>6192</Characters>
  <Lines>55</Lines>
  <Paragraphs>15</Paragraphs>
  <TotalTime>19</TotalTime>
  <ScaleCrop>false</ScaleCrop>
  <LinksUpToDate>false</LinksUpToDate>
  <CharactersWithSpaces>6463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2020-08-04T00:55:00Z</dcterms:created>
  <dc:creator>CNIS</dc:creator>
  <cp:lastModifiedBy>yr</cp:lastModifiedBy>
  <dcterms:modified xsi:type="dcterms:W3CDTF">2023-02-16T06:36:53Z</dcterms:modified>
  <dc:title>标准名称</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B4C341EBA72F4F4EA09078051C00008D</vt:lpwstr>
  </property>
</Properties>
</file>