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lang w:eastAsia="zh-CN"/>
        </w:rPr>
        <w:t>7</w:t>
      </w:r>
      <w:r>
        <w:rPr>
          <w:rFonts w:hint="eastAsia"/>
          <w:lang w:val="en-US" w:eastAsia="zh-CN"/>
        </w:rPr>
        <w:t>7.150.70</w:t>
      </w:r>
      <w:r>
        <w:fldChar w:fldCharType="end"/>
      </w:r>
      <w:bookmarkEnd w:id="0"/>
    </w:p>
    <w:p>
      <w:pPr>
        <w:pStyle w:val="121"/>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 xml:space="preserve">CCS </w:t>
      </w:r>
      <w:r>
        <w:rPr>
          <w:rFonts w:hint="eastAsia"/>
          <w:lang w:val="en-US" w:eastAsia="zh-CN"/>
        </w:rPr>
        <w:t>62</w:t>
      </w:r>
      <w:r>
        <w:t xml:space="preserve"> </w:t>
      </w:r>
      <w: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1"/>
            </w:pP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07"/>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pPr>
        <w:pStyle w:val="108"/>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pPr>
        <w:pStyle w:val="45"/>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130" w:type="dxa"/>
            <w:tcBorders>
              <w:top w:val="nil"/>
              <w:left w:val="nil"/>
              <w:bottom w:val="nil"/>
              <w:right w:val="nil"/>
            </w:tcBorders>
            <w:shd w:val="clear" w:color="auto" w:fill="auto"/>
          </w:tcPr>
          <w:p>
            <w:pPr>
              <w:pStyle w:val="74"/>
            </w:pPr>
            <w:r>
              <mc:AlternateContent>
                <mc:Choice Requires="wps">
                  <w:drawing>
                    <wp:anchor distT="0" distB="0" distL="114300" distR="114300" simplePos="0" relativeHeight="251664384"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2096;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Pr>
                <w:rFonts w:hint="eastAsia"/>
              </w:rPr>
              <w:t>代替 YS/T 673-2013</w:t>
            </w:r>
            <w:r>
              <w:fldChar w:fldCharType="end"/>
            </w:r>
            <w:bookmarkEnd w:id="8"/>
          </w:p>
        </w:tc>
      </w:tr>
    </w:tbl>
    <w:p>
      <w:pPr>
        <w:pStyle w:val="45"/>
        <w:rPr>
          <w:rFonts w:hAnsi="黑体"/>
        </w:rPr>
      </w:pPr>
    </w:p>
    <w:p>
      <w:pPr>
        <w:pStyle w:val="45"/>
        <w:rPr>
          <w:rFonts w:hAnsi="黑体"/>
        </w:rPr>
      </w:pPr>
    </w:p>
    <w:p>
      <w:pPr>
        <w:pStyle w:val="76"/>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还原钴粉</w:t>
      </w:r>
      <w:r>
        <w:fldChar w:fldCharType="end"/>
      </w:r>
      <w:bookmarkEnd w:id="9"/>
    </w:p>
    <w:p>
      <w:pPr>
        <w:pStyle w:val="77"/>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Deoxidization cobalt powder</w:t>
      </w:r>
      <w:r>
        <w:fldChar w:fldCharType="end"/>
      </w:r>
      <w:bookmarkEnd w:id="10"/>
    </w:p>
    <w:p>
      <w:pPr>
        <w:pStyle w:val="78"/>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9"/>
            </w:pPr>
            <w:r>
              <mc:AlternateContent>
                <mc:Choice Requires="wps">
                  <w:drawing>
                    <wp:anchor distT="0" distB="0" distL="114300" distR="114300" simplePos="0" relativeHeight="251666432"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0048;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1072;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 xml:space="preserve">FORMDROPDOWN</w:instrText>
            </w:r>
            <w:r>
              <w:instrText xml:space="preserve">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29" w:type="dxa"/>
            <w:tcBorders>
              <w:top w:val="nil"/>
              <w:left w:val="nil"/>
              <w:bottom w:val="nil"/>
              <w:right w:val="nil"/>
            </w:tcBorders>
            <w:shd w:val="clear" w:color="auto" w:fill="auto"/>
          </w:tcPr>
          <w:p>
            <w:pPr>
              <w:pStyle w:val="80"/>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w:t>
            </w:r>
          </w:p>
          <w:p>
            <w:pPr>
              <w:pStyle w:val="80"/>
            </w:pPr>
            <w:r>
              <w:rPr>
                <w:rFonts w:hint="eastAsia"/>
              </w:rPr>
              <w:t>在</w:t>
            </w:r>
            <w:r>
              <w:t>提交</w:t>
            </w:r>
            <w:r>
              <w:rPr>
                <w:rFonts w:hint="eastAsia"/>
              </w:rPr>
              <w:t>反馈意见时，请将您知道的相关专利连同支持性文件一并附上。</w:t>
            </w:r>
            <w:r>
              <w:fldChar w:fldCharType="end"/>
            </w:r>
            <w:bookmarkEnd w:id="13"/>
          </w:p>
        </w:tc>
      </w:tr>
    </w:tbl>
    <w:p>
      <w:pPr>
        <w:pStyle w:val="128"/>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1312;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0288;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29"/>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09"/>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71"/>
        </w:rPr>
        <w:t xml:space="preserve"> </w:t>
      </w:r>
      <w:r>
        <w:rPr>
          <w:rStyle w:val="71"/>
          <w:rFonts w:hint="eastAsia"/>
        </w:rPr>
        <w:t>发布</w:t>
      </w:r>
    </w:p>
    <w:p>
      <w:pPr>
        <w:pStyle w:val="22"/>
        <w:sectPr>
          <w:pgSz w:w="11906" w:h="16838"/>
          <w:pgMar w:top="567" w:right="850" w:bottom="1134" w:left="1418" w:header="0" w:footer="0" w:gutter="0"/>
          <w:pgNumType w:start="1"/>
          <w:cols w:space="425" w:num="1"/>
          <w:docGrid w:type="lines" w:linePitch="312" w:charSpace="0"/>
        </w:sectPr>
      </w:pPr>
      <w:r>
        <w:rPr>
          <w:rFonts w:hint="eastAsia"/>
        </w:rPr>
        <mc:AlternateContent>
          <mc:Choice Requires="wps">
            <w:drawing>
              <wp:anchor distT="0" distB="0" distL="114300" distR="114300" simplePos="0" relativeHeight="251667456"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49024;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3360;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2336;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110"/>
      </w:pPr>
      <w:r>
        <w:rPr>
          <w:rFonts w:hint="eastAsia"/>
        </w:rPr>
        <w:t>前</w:t>
      </w:r>
      <w:bookmarkStart w:id="20" w:name="BKQY"/>
      <w:r>
        <w:rPr>
          <w:rFonts w:hAnsi="黑体"/>
        </w:rPr>
        <w:t>  </w:t>
      </w:r>
      <w:r>
        <w:rPr>
          <w:rFonts w:hint="eastAsia"/>
        </w:rPr>
        <w:t>言</w:t>
      </w:r>
      <w:bookmarkEnd w:id="20"/>
    </w:p>
    <w:p>
      <w:pPr>
        <w:pStyle w:val="2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本文件按照GB/T 1.1—2020《标准化工作导则 第1部分：标准化文件的结构和起草规则》的规定起草。</w:t>
      </w:r>
    </w:p>
    <w:p>
      <w:pPr>
        <w:pStyle w:val="22"/>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本文件代替YS/T 673—2013 《还原钴粉》。与 YS/T 673—2013相比，除结构调整和编辑性改动外，主要技术变化如下：</w:t>
      </w:r>
    </w:p>
    <w:p>
      <w:pPr>
        <w:pStyle w:val="22"/>
        <w:numPr>
          <w:ilvl w:val="0"/>
          <w:numId w:val="18"/>
        </w:numPr>
        <w:rPr>
          <w:rFonts w:hint="default" w:ascii="Times New Roman" w:hAnsi="Times New Roman" w:eastAsia="宋体" w:cs="Times New Roman"/>
          <w:sz w:val="21"/>
          <w:szCs w:val="21"/>
          <w:highlight w:val="none"/>
          <w:lang w:eastAsia="zh-CN"/>
        </w:rPr>
      </w:pPr>
      <w:bookmarkStart w:id="21" w:name="_Hlk52089947"/>
      <w:r>
        <w:rPr>
          <w:rFonts w:hint="default" w:ascii="Times New Roman" w:hAnsi="Times New Roman" w:eastAsia="宋体" w:cs="Times New Roman"/>
          <w:kern w:val="0"/>
          <w:sz w:val="21"/>
          <w:szCs w:val="21"/>
          <w:highlight w:val="none"/>
          <w:lang w:val="en-US" w:eastAsia="zh-CN" w:bidi="ar-SA"/>
        </w:rPr>
        <w:t>更改了HCoF-</w:t>
      </w:r>
      <w:r>
        <w:rPr>
          <w:rFonts w:hint="eastAsia" w:ascii="Times New Roman" w:hAnsi="Times New Roman" w:eastAsia="宋体" w:cs="Times New Roman"/>
          <w:kern w:val="0"/>
          <w:sz w:val="21"/>
          <w:szCs w:val="21"/>
          <w:highlight w:val="none"/>
          <w:lang w:val="en-US" w:eastAsia="zh-CN" w:bidi="ar-SA"/>
        </w:rPr>
        <w:t>1、</w:t>
      </w:r>
      <w:r>
        <w:rPr>
          <w:rFonts w:hint="default" w:ascii="Times New Roman" w:hAnsi="Times New Roman" w:eastAsia="宋体" w:cs="Times New Roman"/>
          <w:kern w:val="0"/>
          <w:sz w:val="21"/>
          <w:szCs w:val="21"/>
          <w:highlight w:val="none"/>
          <w:lang w:val="en-US" w:eastAsia="zh-CN" w:bidi="ar-SA"/>
        </w:rPr>
        <w:t>HCoF-</w:t>
      </w:r>
      <w:r>
        <w:rPr>
          <w:rFonts w:hint="eastAsia" w:ascii="Times New Roman" w:hAnsi="Times New Roman" w:eastAsia="宋体" w:cs="Times New Roman"/>
          <w:kern w:val="0"/>
          <w:sz w:val="21"/>
          <w:szCs w:val="21"/>
          <w:highlight w:val="none"/>
          <w:lang w:val="en-US" w:eastAsia="zh-CN" w:bidi="ar-SA"/>
        </w:rPr>
        <w:t>2、</w:t>
      </w:r>
      <w:r>
        <w:rPr>
          <w:rFonts w:hint="default" w:ascii="Times New Roman" w:hAnsi="Times New Roman" w:eastAsia="宋体" w:cs="Times New Roman"/>
          <w:kern w:val="0"/>
          <w:sz w:val="21"/>
          <w:szCs w:val="21"/>
          <w:highlight w:val="none"/>
          <w:lang w:val="en-US" w:eastAsia="zh-CN" w:bidi="ar-SA"/>
        </w:rPr>
        <w:t>HCoF-</w:t>
      </w:r>
      <w:r>
        <w:rPr>
          <w:rFonts w:hint="eastAsia" w:ascii="Times New Roman" w:hAnsi="Times New Roman" w:eastAsia="宋体" w:cs="Times New Roman"/>
          <w:kern w:val="0"/>
          <w:sz w:val="21"/>
          <w:szCs w:val="21"/>
          <w:highlight w:val="none"/>
          <w:lang w:val="en-US" w:eastAsia="zh-CN" w:bidi="ar-SA"/>
        </w:rPr>
        <w:t>31、</w:t>
      </w:r>
      <w:r>
        <w:rPr>
          <w:rFonts w:hint="default" w:ascii="Times New Roman" w:hAnsi="Times New Roman" w:eastAsia="宋体" w:cs="Times New Roman"/>
          <w:kern w:val="0"/>
          <w:sz w:val="21"/>
          <w:szCs w:val="21"/>
          <w:highlight w:val="none"/>
          <w:lang w:val="en-US" w:eastAsia="zh-CN" w:bidi="ar-SA"/>
        </w:rPr>
        <w:t>HCoF-</w:t>
      </w:r>
      <w:r>
        <w:rPr>
          <w:rFonts w:hint="eastAsia" w:ascii="Times New Roman" w:hAnsi="Times New Roman" w:eastAsia="宋体" w:cs="Times New Roman"/>
          <w:kern w:val="0"/>
          <w:sz w:val="21"/>
          <w:szCs w:val="21"/>
          <w:highlight w:val="none"/>
          <w:lang w:val="en-US" w:eastAsia="zh-CN" w:bidi="ar-SA"/>
        </w:rPr>
        <w:t>4类产品的</w:t>
      </w:r>
      <w:r>
        <w:rPr>
          <w:rFonts w:hint="eastAsia" w:ascii="Times New Roman" w:hAnsi="Times New Roman" w:eastAsia="宋体" w:cs="Times New Roman"/>
          <w:sz w:val="21"/>
          <w:szCs w:val="21"/>
          <w:highlight w:val="none"/>
          <w:lang w:val="en-US" w:eastAsia="zh-CN"/>
        </w:rPr>
        <w:t>费氏粒度</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kern w:val="0"/>
          <w:sz w:val="21"/>
          <w:szCs w:val="21"/>
          <w:highlight w:val="none"/>
          <w:lang w:val="en-US" w:eastAsia="zh-CN" w:bidi="ar-SA"/>
        </w:rPr>
        <w:t>更改了HCoF-</w:t>
      </w:r>
      <w:r>
        <w:rPr>
          <w:rFonts w:hint="eastAsia" w:ascii="Times New Roman" w:hAnsi="Times New Roman" w:eastAsia="宋体" w:cs="Times New Roman"/>
          <w:kern w:val="0"/>
          <w:sz w:val="21"/>
          <w:szCs w:val="21"/>
          <w:highlight w:val="none"/>
          <w:lang w:val="en-US" w:eastAsia="zh-CN" w:bidi="ar-SA"/>
        </w:rPr>
        <w:t>0、</w:t>
      </w:r>
      <w:r>
        <w:rPr>
          <w:rFonts w:hint="default" w:ascii="Times New Roman" w:hAnsi="Times New Roman" w:eastAsia="宋体" w:cs="Times New Roman"/>
          <w:kern w:val="0"/>
          <w:sz w:val="21"/>
          <w:szCs w:val="21"/>
          <w:highlight w:val="none"/>
          <w:lang w:val="en-US" w:eastAsia="zh-CN" w:bidi="ar-SA"/>
        </w:rPr>
        <w:t>HCoF-</w:t>
      </w:r>
      <w:r>
        <w:rPr>
          <w:rFonts w:hint="eastAsia" w:ascii="Times New Roman" w:hAnsi="Times New Roman" w:eastAsia="宋体" w:cs="Times New Roman"/>
          <w:kern w:val="0"/>
          <w:sz w:val="21"/>
          <w:szCs w:val="21"/>
          <w:highlight w:val="none"/>
          <w:lang w:val="en-US" w:eastAsia="zh-CN" w:bidi="ar-SA"/>
        </w:rPr>
        <w:t>2类产品的</w:t>
      </w:r>
      <w:r>
        <w:rPr>
          <w:rFonts w:hint="eastAsia" w:ascii="Times New Roman" w:cs="Times New Roman"/>
          <w:kern w:val="0"/>
          <w:sz w:val="21"/>
          <w:szCs w:val="21"/>
          <w:highlight w:val="none"/>
          <w:lang w:val="en-US" w:eastAsia="zh-CN" w:bidi="ar-SA"/>
        </w:rPr>
        <w:t>中位径指标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rPr>
        <w:t>）</w:t>
      </w:r>
      <w:r>
        <w:rPr>
          <w:rFonts w:hint="eastAsia" w:ascii="Times New Roman" w:cs="Times New Roman"/>
          <w:kern w:val="0"/>
          <w:sz w:val="21"/>
          <w:szCs w:val="21"/>
          <w:highlight w:val="none"/>
          <w:lang w:val="en-US" w:eastAsia="zh-CN" w:bidi="ar-SA"/>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kern w:val="0"/>
          <w:sz w:val="21"/>
          <w:szCs w:val="21"/>
          <w:highlight w:val="none"/>
          <w:lang w:val="en-US" w:eastAsia="zh-CN" w:bidi="ar-SA"/>
        </w:rPr>
        <w:t>更改了HCoF-</w:t>
      </w:r>
      <w:r>
        <w:rPr>
          <w:rFonts w:hint="eastAsia" w:ascii="Times New Roman" w:hAnsi="Times New Roman" w:eastAsia="宋体" w:cs="Times New Roman"/>
          <w:kern w:val="0"/>
          <w:sz w:val="21"/>
          <w:szCs w:val="21"/>
          <w:highlight w:val="none"/>
          <w:lang w:val="en-US" w:eastAsia="zh-CN" w:bidi="ar-SA"/>
        </w:rPr>
        <w:t>0、</w:t>
      </w:r>
      <w:r>
        <w:rPr>
          <w:rFonts w:hint="default" w:ascii="Times New Roman" w:hAnsi="Times New Roman" w:eastAsia="宋体" w:cs="Times New Roman"/>
          <w:kern w:val="0"/>
          <w:sz w:val="21"/>
          <w:szCs w:val="21"/>
          <w:highlight w:val="none"/>
          <w:lang w:val="en-US" w:eastAsia="zh-CN" w:bidi="ar-SA"/>
        </w:rPr>
        <w:t>HCoF-</w:t>
      </w:r>
      <w:r>
        <w:rPr>
          <w:rFonts w:hint="eastAsia" w:ascii="Times New Roman" w:hAnsi="Times New Roman" w:eastAsia="宋体" w:cs="Times New Roman"/>
          <w:kern w:val="0"/>
          <w:sz w:val="21"/>
          <w:szCs w:val="21"/>
          <w:highlight w:val="none"/>
          <w:lang w:val="en-US" w:eastAsia="zh-CN" w:bidi="ar-SA"/>
        </w:rPr>
        <w:t>3、</w:t>
      </w:r>
      <w:r>
        <w:rPr>
          <w:rFonts w:hint="default" w:ascii="Times New Roman" w:hAnsi="Times New Roman" w:eastAsia="宋体" w:cs="Times New Roman"/>
          <w:kern w:val="0"/>
          <w:sz w:val="21"/>
          <w:szCs w:val="21"/>
          <w:highlight w:val="none"/>
          <w:lang w:val="en-US" w:eastAsia="zh-CN" w:bidi="ar-SA"/>
        </w:rPr>
        <w:t>HCoF-</w:t>
      </w:r>
      <w:r>
        <w:rPr>
          <w:rFonts w:hint="eastAsia" w:ascii="Times New Roman" w:hAnsi="Times New Roman" w:eastAsia="宋体" w:cs="Times New Roman"/>
          <w:kern w:val="0"/>
          <w:sz w:val="21"/>
          <w:szCs w:val="21"/>
          <w:highlight w:val="none"/>
          <w:lang w:val="en-US" w:eastAsia="zh-CN" w:bidi="ar-SA"/>
        </w:rPr>
        <w:t>4类产品的</w:t>
      </w:r>
      <w:r>
        <w:rPr>
          <w:rFonts w:hint="eastAsia" w:ascii="Times New Roman" w:cs="Times New Roman"/>
          <w:kern w:val="0"/>
          <w:sz w:val="21"/>
          <w:szCs w:val="21"/>
          <w:highlight w:val="none"/>
          <w:lang w:val="en-US" w:eastAsia="zh-CN" w:bidi="ar-SA"/>
        </w:rPr>
        <w:t>松装密度指标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rPr>
        <w:t>）</w:t>
      </w:r>
      <w:r>
        <w:rPr>
          <w:rFonts w:hint="eastAsia" w:ascii="Times New Roman" w:cs="Times New Roman"/>
          <w:kern w:val="0"/>
          <w:sz w:val="21"/>
          <w:szCs w:val="21"/>
          <w:highlight w:val="none"/>
          <w:lang w:val="en-US" w:eastAsia="zh-CN" w:bidi="ar-SA"/>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eastAsia" w:ascii="Times New Roman" w:cs="Times New Roman"/>
          <w:kern w:val="0"/>
          <w:sz w:val="21"/>
          <w:szCs w:val="21"/>
          <w:highlight w:val="none"/>
          <w:lang w:val="en-US" w:eastAsia="zh-CN" w:bidi="ar-SA"/>
        </w:rPr>
        <w:t>增</w:t>
      </w:r>
      <w:r>
        <w:rPr>
          <w:rFonts w:hint="default" w:ascii="Times New Roman" w:hAnsi="Times New Roman" w:eastAsia="宋体" w:cs="Times New Roman"/>
          <w:kern w:val="0"/>
          <w:sz w:val="21"/>
          <w:szCs w:val="21"/>
          <w:highlight w:val="none"/>
          <w:lang w:val="en-US" w:eastAsia="zh-CN" w:bidi="ar-SA"/>
        </w:rPr>
        <w:t>加了产品牌号HCoF-5</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1</w:t>
      </w:r>
      <w:r>
        <w:rPr>
          <w:rFonts w:hint="default" w:ascii="Times New Roman" w:hAnsi="Times New Roman" w:eastAsia="宋体" w:cs="Times New Roman"/>
          <w:sz w:val="21"/>
          <w:szCs w:val="21"/>
          <w:highlight w:val="none"/>
        </w:rPr>
        <w:t>）</w:t>
      </w:r>
      <w:r>
        <w:rPr>
          <w:rFonts w:hint="eastAsia" w:ascii="Times New Roman" w:hAnsi="Times New Roman" w:eastAsia="宋体" w:cs="Times New Roman"/>
          <w:kern w:val="0"/>
          <w:sz w:val="21"/>
          <w:szCs w:val="21"/>
          <w:highlight w:val="none"/>
          <w:lang w:val="en-US" w:eastAsia="zh-CN" w:bidi="ar-SA"/>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更改</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a等级</w:t>
      </w:r>
      <w:r>
        <w:rPr>
          <w:rFonts w:hint="default" w:ascii="Times New Roman" w:hAnsi="Times New Roman" w:eastAsia="宋体" w:cs="Times New Roman"/>
          <w:sz w:val="21"/>
          <w:szCs w:val="21"/>
          <w:highlight w:val="none"/>
          <w:lang w:eastAsia="zh-CN"/>
        </w:rPr>
        <w:t>产品</w:t>
      </w:r>
      <w:r>
        <w:rPr>
          <w:rFonts w:hint="default" w:ascii="Times New Roman" w:hAnsi="Times New Roman" w:eastAsia="宋体" w:cs="Times New Roman"/>
          <w:sz w:val="21"/>
          <w:szCs w:val="21"/>
          <w:highlight w:val="none"/>
          <w:lang w:val="en-US" w:eastAsia="zh-CN"/>
        </w:rPr>
        <w:t>Cu</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Fe</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Ca</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Pb、Zn、Cd、Na、S</w:t>
      </w:r>
      <w:r>
        <w:rPr>
          <w:rFonts w:hint="default" w:ascii="Times New Roman" w:hAnsi="Times New Roman" w:eastAsia="宋体" w:cs="Times New Roman"/>
          <w:sz w:val="21"/>
          <w:szCs w:val="21"/>
          <w:highlight w:val="none"/>
          <w:lang w:eastAsia="zh-CN"/>
        </w:rPr>
        <w:t>杂质元素含量指标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更改</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b等级</w:t>
      </w:r>
      <w:r>
        <w:rPr>
          <w:rFonts w:hint="default" w:ascii="Times New Roman" w:hAnsi="Times New Roman" w:eastAsia="宋体" w:cs="Times New Roman"/>
          <w:sz w:val="21"/>
          <w:szCs w:val="21"/>
          <w:highlight w:val="none"/>
          <w:lang w:eastAsia="zh-CN"/>
        </w:rPr>
        <w:t>产品</w:t>
      </w:r>
      <w:r>
        <w:rPr>
          <w:rFonts w:hint="default" w:ascii="Times New Roman" w:hAnsi="Times New Roman" w:eastAsia="宋体" w:cs="Times New Roman"/>
          <w:sz w:val="21"/>
          <w:szCs w:val="21"/>
          <w:highlight w:val="none"/>
          <w:lang w:val="en-US" w:eastAsia="zh-CN"/>
        </w:rPr>
        <w:t>Ca</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Mn、Na、Al</w:t>
      </w:r>
      <w:r>
        <w:rPr>
          <w:rFonts w:hint="default" w:ascii="Times New Roman" w:hAnsi="Times New Roman" w:eastAsia="宋体" w:cs="Times New Roman"/>
          <w:sz w:val="21"/>
          <w:szCs w:val="21"/>
          <w:highlight w:val="none"/>
          <w:lang w:eastAsia="zh-CN"/>
        </w:rPr>
        <w:t>杂质元素含量指标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更改</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c等级</w:t>
      </w:r>
      <w:r>
        <w:rPr>
          <w:rFonts w:hint="default" w:ascii="Times New Roman" w:hAnsi="Times New Roman" w:eastAsia="宋体" w:cs="Times New Roman"/>
          <w:sz w:val="21"/>
          <w:szCs w:val="21"/>
          <w:highlight w:val="none"/>
          <w:lang w:eastAsia="zh-CN"/>
        </w:rPr>
        <w:t>产品</w:t>
      </w:r>
      <w:r>
        <w:rPr>
          <w:rFonts w:hint="eastAsia" w:ascii="Times New Roman" w:hAnsi="Times New Roman" w:eastAsia="宋体" w:cs="Times New Roman"/>
          <w:sz w:val="21"/>
          <w:szCs w:val="21"/>
          <w:highlight w:val="none"/>
          <w:lang w:val="en-US" w:eastAsia="zh-CN"/>
        </w:rPr>
        <w:t>Co</w:t>
      </w:r>
      <w:r>
        <w:rPr>
          <w:rFonts w:hint="default" w:ascii="Times New Roman" w:hAnsi="Times New Roman" w:eastAsia="宋体" w:cs="Times New Roman"/>
          <w:sz w:val="21"/>
          <w:szCs w:val="21"/>
          <w:highlight w:val="none"/>
          <w:lang w:eastAsia="zh-CN"/>
        </w:rPr>
        <w:t>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更改</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c等级</w:t>
      </w:r>
      <w:r>
        <w:rPr>
          <w:rFonts w:hint="default" w:ascii="Times New Roman" w:hAnsi="Times New Roman" w:eastAsia="宋体" w:cs="Times New Roman"/>
          <w:sz w:val="21"/>
          <w:szCs w:val="21"/>
          <w:highlight w:val="none"/>
          <w:lang w:eastAsia="zh-CN"/>
        </w:rPr>
        <w:t>产品</w:t>
      </w:r>
      <w:r>
        <w:rPr>
          <w:rFonts w:hint="default" w:ascii="Times New Roman" w:hAnsi="Times New Roman" w:eastAsia="宋体" w:cs="Times New Roman"/>
          <w:sz w:val="21"/>
          <w:szCs w:val="21"/>
          <w:highlight w:val="none"/>
          <w:lang w:val="en-US" w:eastAsia="zh-CN"/>
        </w:rPr>
        <w:t>Ni、Fe</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Ca、Zn、Cd、Mn、Na、Al、Si、S</w:t>
      </w:r>
      <w:r>
        <w:rPr>
          <w:rFonts w:hint="default" w:ascii="Times New Roman" w:hAnsi="Times New Roman" w:eastAsia="宋体" w:cs="Times New Roman"/>
          <w:sz w:val="21"/>
          <w:szCs w:val="21"/>
          <w:highlight w:val="none"/>
          <w:lang w:eastAsia="zh-CN"/>
        </w:rPr>
        <w:t>杂质元素含量指标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更改</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d等级</w:t>
      </w:r>
      <w:r>
        <w:rPr>
          <w:rFonts w:hint="default" w:ascii="Times New Roman" w:hAnsi="Times New Roman" w:eastAsia="宋体" w:cs="Times New Roman"/>
          <w:sz w:val="21"/>
          <w:szCs w:val="21"/>
          <w:highlight w:val="none"/>
          <w:lang w:eastAsia="zh-CN"/>
        </w:rPr>
        <w:t>产品</w:t>
      </w:r>
      <w:r>
        <w:rPr>
          <w:rFonts w:hint="eastAsia" w:ascii="Times New Roman" w:hAnsi="Times New Roman" w:eastAsia="宋体" w:cs="Times New Roman"/>
          <w:sz w:val="21"/>
          <w:szCs w:val="21"/>
          <w:highlight w:val="none"/>
          <w:lang w:val="en-US" w:eastAsia="zh-CN"/>
        </w:rPr>
        <w:t>Co</w:t>
      </w:r>
      <w:r>
        <w:rPr>
          <w:rFonts w:hint="default" w:ascii="Times New Roman" w:hAnsi="Times New Roman" w:eastAsia="宋体" w:cs="Times New Roman"/>
          <w:sz w:val="21"/>
          <w:szCs w:val="21"/>
          <w:highlight w:val="none"/>
          <w:lang w:eastAsia="zh-CN"/>
        </w:rPr>
        <w:t>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sz w:val="21"/>
          <w:szCs w:val="21"/>
          <w:highlight w:val="none"/>
          <w:lang w:val="en-US" w:eastAsia="zh-CN"/>
        </w:rPr>
        <w:t>更改</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d等级</w:t>
      </w:r>
      <w:r>
        <w:rPr>
          <w:rFonts w:hint="default" w:ascii="Times New Roman" w:hAnsi="Times New Roman" w:eastAsia="宋体" w:cs="Times New Roman"/>
          <w:sz w:val="21"/>
          <w:szCs w:val="21"/>
          <w:highlight w:val="none"/>
          <w:lang w:eastAsia="zh-CN"/>
        </w:rPr>
        <w:t>产品</w:t>
      </w:r>
      <w:r>
        <w:rPr>
          <w:rFonts w:hint="default" w:ascii="Times New Roman" w:hAnsi="Times New Roman" w:eastAsia="宋体" w:cs="Times New Roman"/>
          <w:sz w:val="21"/>
          <w:szCs w:val="21"/>
          <w:highlight w:val="none"/>
          <w:lang w:val="en-US" w:eastAsia="zh-CN"/>
        </w:rPr>
        <w:t>Ni、Cu</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Fe</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Ca、Zn、Cd、Na、Al、Si、S</w:t>
      </w:r>
      <w:r>
        <w:rPr>
          <w:rFonts w:hint="default" w:ascii="Times New Roman" w:hAnsi="Times New Roman" w:eastAsia="宋体" w:cs="Times New Roman"/>
          <w:sz w:val="21"/>
          <w:szCs w:val="21"/>
          <w:highlight w:val="none"/>
          <w:lang w:eastAsia="zh-CN"/>
        </w:rPr>
        <w:t>杂质元素含量指标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eastAsia="zh-CN"/>
        </w:rPr>
        <w:t>；</w:t>
      </w:r>
    </w:p>
    <w:p>
      <w:pPr>
        <w:pStyle w:val="22"/>
        <w:numPr>
          <w:ilvl w:val="0"/>
          <w:numId w:val="18"/>
        </w:num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增加</w:t>
      </w:r>
      <w:r>
        <w:rPr>
          <w:rFonts w:hint="default" w:ascii="Times New Roman" w:hAnsi="Times New Roman" w:eastAsia="宋体" w:cs="Times New Roman"/>
          <w:sz w:val="21"/>
          <w:szCs w:val="21"/>
          <w:highlight w:val="none"/>
          <w:lang w:eastAsia="zh-CN"/>
        </w:rPr>
        <w:t>了</w:t>
      </w:r>
      <w:r>
        <w:rPr>
          <w:rFonts w:hint="eastAsia" w:ascii="Times New Roman" w:hAnsi="Times New Roman" w:eastAsia="宋体" w:cs="Times New Roman"/>
          <w:sz w:val="21"/>
          <w:szCs w:val="21"/>
          <w:highlight w:val="none"/>
          <w:lang w:val="en-US" w:eastAsia="zh-CN"/>
        </w:rPr>
        <w:t>a、b、c、d等级</w:t>
      </w:r>
      <w:r>
        <w:rPr>
          <w:rFonts w:hint="default" w:ascii="Times New Roman" w:hAnsi="Times New Roman" w:eastAsia="宋体" w:cs="Times New Roman"/>
          <w:sz w:val="21"/>
          <w:szCs w:val="21"/>
          <w:highlight w:val="none"/>
          <w:lang w:eastAsia="zh-CN"/>
        </w:rPr>
        <w:t>产品</w:t>
      </w:r>
      <w:r>
        <w:rPr>
          <w:rFonts w:hint="eastAsia" w:ascii="Times New Roman" w:hAnsi="Times New Roman" w:eastAsia="宋体" w:cs="Times New Roman"/>
          <w:sz w:val="21"/>
          <w:szCs w:val="21"/>
          <w:highlight w:val="none"/>
          <w:lang w:val="en-US" w:eastAsia="zh-CN"/>
        </w:rPr>
        <w:t>的</w:t>
      </w:r>
      <w:r>
        <w:rPr>
          <w:rFonts w:hint="default" w:ascii="Times New Roman" w:hAnsi="Times New Roman" w:eastAsia="宋体" w:cs="Times New Roman"/>
          <w:sz w:val="21"/>
          <w:szCs w:val="21"/>
          <w:highlight w:val="none"/>
          <w:lang w:val="en-US" w:eastAsia="zh-CN"/>
        </w:rPr>
        <w:t>Cr</w:t>
      </w:r>
      <w:r>
        <w:rPr>
          <w:rFonts w:hint="eastAsia"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Mo、Cl</w:t>
      </w:r>
      <w:r>
        <w:rPr>
          <w:rFonts w:hint="default" w:ascii="Times New Roman" w:hAnsi="Times New Roman" w:eastAsia="宋体" w:cs="Times New Roman"/>
          <w:sz w:val="21"/>
          <w:szCs w:val="21"/>
          <w:highlight w:val="none"/>
          <w:lang w:eastAsia="zh-CN"/>
        </w:rPr>
        <w:t>杂质元素含量指标</w:t>
      </w:r>
      <w:r>
        <w:rPr>
          <w:rFonts w:hint="default" w:ascii="Times New Roman" w:hAnsi="Times New Roman" w:eastAsia="宋体" w:cs="Times New Roman"/>
          <w:sz w:val="21"/>
          <w:szCs w:val="21"/>
          <w:highlight w:val="none"/>
        </w:rPr>
        <w:t>（见表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2013年版的</w:t>
      </w:r>
      <w:r>
        <w:rPr>
          <w:rFonts w:hint="default" w:ascii="Times New Roman" w:hAnsi="Times New Roman" w:eastAsia="宋体" w:cs="Times New Roman"/>
          <w:sz w:val="21"/>
          <w:szCs w:val="21"/>
          <w:highlight w:val="none"/>
        </w:rPr>
        <w:t>表</w:t>
      </w:r>
      <w:r>
        <w:rPr>
          <w:rFonts w:hint="eastAsia" w:ascii="Times New Roman" w:cs="Times New Roman"/>
          <w:sz w:val="21"/>
          <w:szCs w:val="21"/>
          <w:highlight w:val="none"/>
          <w:lang w:val="en-US" w:eastAsia="zh-CN"/>
        </w:rPr>
        <w:t>2</w:t>
      </w:r>
      <w:r>
        <w:rPr>
          <w:rFonts w:hint="default" w:ascii="Times New Roman" w:hAnsi="Times New Roman" w:eastAsia="宋体" w:cs="Times New Roman"/>
          <w:sz w:val="21"/>
          <w:szCs w:val="21"/>
          <w:highlight w:val="none"/>
        </w:rPr>
        <w:t>）</w:t>
      </w:r>
      <w:r>
        <w:rPr>
          <w:rFonts w:hint="eastAsia" w:ascii="Times New Roman" w:hAnsi="Times New Roman" w:eastAsia="宋体" w:cs="Times New Roman"/>
          <w:sz w:val="21"/>
          <w:szCs w:val="21"/>
          <w:highlight w:val="none"/>
          <w:lang w:val="en-US" w:eastAsia="zh-CN"/>
        </w:rPr>
        <w:t>。</w:t>
      </w:r>
      <w:bookmarkEnd w:id="21"/>
    </w:p>
    <w:p>
      <w:pPr>
        <w:pStyle w:val="2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请注意本文件的</w:t>
      </w:r>
      <w:r>
        <w:rPr>
          <w:rFonts w:hint="default" w:ascii="Times New Roman" w:hAnsi="Times New Roman" w:eastAsia="宋体" w:cs="Times New Roman"/>
          <w:sz w:val="21"/>
          <w:szCs w:val="21"/>
          <w:lang w:val="en-US" w:eastAsia="zh-CN"/>
        </w:rPr>
        <w:t>有</w:t>
      </w:r>
      <w:r>
        <w:rPr>
          <w:rFonts w:hint="default" w:ascii="Times New Roman" w:hAnsi="Times New Roman" w:eastAsia="宋体" w:cs="Times New Roman"/>
          <w:sz w:val="21"/>
          <w:szCs w:val="21"/>
        </w:rPr>
        <w:t>些内容可能涉及专利。本文件的发布机构不承担识别专利的责任。</w:t>
      </w:r>
    </w:p>
    <w:p>
      <w:pPr>
        <w:pStyle w:val="2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本文件由全国有色金属标准化技术委员会（SAC/TC 243）提出并归口。</w:t>
      </w:r>
    </w:p>
    <w:p>
      <w:pPr>
        <w:pStyle w:val="2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文件起草单位：格林美股份有限公司、荆门市格林美新材料有限公司、衢州华友钴新材料有限公司、广东邦普循环科技有限公司、兰州金川新材料科技股份有限公司、浙江德威硬质合金制造有限公司、西北有色金属研究院、长沙矿冶院检测技术有限责任公司、清华广州研究院、北京工业大学等</w:t>
      </w:r>
      <w:r>
        <w:rPr>
          <w:rFonts w:hint="eastAsia" w:ascii="Times New Roman" w:cs="Times New Roman"/>
          <w:sz w:val="21"/>
          <w:szCs w:val="21"/>
          <w:lang w:val="en-US" w:eastAsia="zh-CN"/>
        </w:rPr>
        <w:t>。</w:t>
      </w:r>
    </w:p>
    <w:p>
      <w:pPr>
        <w:pStyle w:val="22"/>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本文件主要起草人</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highlight w:val="none"/>
          <w:lang w:val="en-US" w:eastAsia="zh-CN"/>
        </w:rPr>
        <w:t>XXX、XXX</w:t>
      </w:r>
      <w:r>
        <w:rPr>
          <w:rFonts w:hint="default" w:ascii="Times New Roman" w:hAnsi="Times New Roman" w:eastAsia="宋体" w:cs="Times New Roman"/>
          <w:sz w:val="21"/>
          <w:szCs w:val="21"/>
          <w:highlight w:val="none"/>
          <w:lang w:eastAsia="zh-CN"/>
        </w:rPr>
        <w:t>、</w:t>
      </w:r>
    </w:p>
    <w:p>
      <w:pPr>
        <w:spacing w:line="276"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本文件及其所代替文件的历次版本发布情况为：</w:t>
      </w:r>
    </w:p>
    <w:p>
      <w:pPr>
        <w:spacing w:line="276"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——2008年首次发布为YS/T 673—2008，2013年第一次修订；</w:t>
      </w:r>
    </w:p>
    <w:p>
      <w:pPr>
        <w:spacing w:line="276"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——本次为第二次修订。</w:t>
      </w:r>
    </w:p>
    <w:p>
      <w:pPr>
        <w:pStyle w:val="48"/>
      </w:pPr>
      <w:sdt>
        <w:sdtPr>
          <w:alias w:val="标准名称"/>
          <w:tag w:val="标准名称"/>
          <w:id w:val="1795105741"/>
          <w:lock w:val="sdtLocked"/>
          <w:placeholder>
            <w:docPart w:val="111"/>
          </w:placeholder>
          <w:text w:multiLine="1"/>
        </w:sdtPr>
        <w:sdtContent>
          <w:r>
            <w:rPr>
              <w:rFonts w:hint="eastAsia"/>
            </w:rPr>
            <w:t>还原钴粉</w:t>
          </w:r>
        </w:sdtContent>
      </w:sdt>
      <w:bookmarkStart w:id="22" w:name="StandardName"/>
      <w:bookmarkEnd w:id="22"/>
    </w:p>
    <w:p>
      <w:pPr>
        <w:pStyle w:val="43"/>
        <w:bidi w:val="0"/>
      </w:pPr>
      <w:r>
        <w:rPr>
          <w:rFonts w:hint="eastAsia"/>
        </w:rPr>
        <w:t>范围</w:t>
      </w:r>
    </w:p>
    <w:p>
      <w:pPr>
        <w:spacing w:before="50"/>
        <w:ind w:firstLine="420" w:firstLineChars="200"/>
        <w:rPr>
          <w:rFonts w:hint="default" w:ascii="Times New Roman" w:hAnsi="Times New Roman" w:cs="Times New Roman"/>
        </w:rPr>
      </w:pPr>
      <w:r>
        <w:rPr>
          <w:rFonts w:hint="default" w:ascii="Times New Roman" w:hAnsi="Times New Roman" w:cs="Times New Roman"/>
        </w:rPr>
        <w:t>本文件规定了还原钴粉的</w:t>
      </w:r>
      <w:r>
        <w:rPr>
          <w:rFonts w:hint="eastAsia" w:cs="Times New Roman"/>
          <w:lang w:val="en-US" w:eastAsia="zh-CN"/>
        </w:rPr>
        <w:t>分类、技术</w:t>
      </w:r>
      <w:r>
        <w:rPr>
          <w:rFonts w:hint="default" w:ascii="Times New Roman" w:hAnsi="Times New Roman" w:cs="Times New Roman"/>
        </w:rPr>
        <w:t>要求、试验方法、检验规则、标志、包装、运输、贮存</w:t>
      </w:r>
      <w:r>
        <w:rPr>
          <w:rFonts w:hint="eastAsia" w:cs="Times New Roman"/>
          <w:lang w:val="en-US" w:eastAsia="zh-CN"/>
        </w:rPr>
        <w:t>及随行文件和</w:t>
      </w:r>
      <w:r>
        <w:rPr>
          <w:rFonts w:hint="default" w:ascii="Times New Roman" w:hAnsi="Times New Roman" w:cs="Times New Roman"/>
        </w:rPr>
        <w:t>订货单内容。</w:t>
      </w:r>
    </w:p>
    <w:p>
      <w:pPr>
        <w:spacing w:before="50"/>
        <w:ind w:firstLine="420" w:firstLineChars="200"/>
        <w:rPr>
          <w:rFonts w:hint="default" w:ascii="Times New Roman" w:hAnsi="Times New Roman" w:cs="Times New Roman"/>
        </w:rPr>
      </w:pPr>
      <w:r>
        <w:rPr>
          <w:rFonts w:hint="default" w:ascii="Times New Roman" w:hAnsi="Times New Roman" w:cs="Times New Roman"/>
        </w:rPr>
        <w:t>本文件适用于草酸钴、碳酸钴和氧化钴等含钴物料经还原得到的钴粉，供硬质合金、金刚石制品、充电电池</w:t>
      </w:r>
      <w:r>
        <w:rPr>
          <w:rFonts w:hint="default" w:ascii="Times New Roman" w:hAnsi="Times New Roman" w:cs="Times New Roman"/>
          <w:highlight w:val="none"/>
        </w:rPr>
        <w:t>、陶瓷等行业</w:t>
      </w:r>
      <w:r>
        <w:rPr>
          <w:rFonts w:hint="default" w:ascii="Times New Roman" w:hAnsi="Times New Roman" w:cs="Times New Roman"/>
        </w:rPr>
        <w:t>使用。</w:t>
      </w:r>
    </w:p>
    <w:p>
      <w:pPr>
        <w:pStyle w:val="43"/>
        <w:spacing w:before="312" w:after="312"/>
        <w:rPr>
          <w:rFonts w:hint="default" w:ascii="Times New Roman" w:hAnsi="Times New Roman" w:cs="Times New Roman"/>
        </w:rPr>
      </w:pPr>
      <w:r>
        <w:rPr>
          <w:rFonts w:hint="default" w:ascii="Times New Roman" w:hAnsi="Times New Roman" w:cs="Times New Roman"/>
        </w:rPr>
        <w:t>规范性引用文件</w:t>
      </w:r>
    </w:p>
    <w:p>
      <w:pPr>
        <w:pStyle w:val="22"/>
        <w:rPr>
          <w:rFonts w:hint="default" w:ascii="Times New Roman" w:hAnsi="Times New Roman" w:cs="Times New Roman"/>
        </w:rPr>
      </w:pPr>
      <w:r>
        <w:rPr>
          <w:rFonts w:hint="default" w:ascii="Times New Roman" w:hAnsi="Times New Roman" w:cs="Times New Roman"/>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default" w:ascii="Times New Roman" w:hAnsi="Times New Roman" w:cs="Times New Roman"/>
        </w:rPr>
        <w:t>。</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1479.1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金属粉末 松装密度的测定 第1部分：漏斗法</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3249</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 xml:space="preserve">难溶金属及化合物粉末粒度的测定方法 </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5314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粉末冶金用粉末的取样方法</w:t>
      </w:r>
    </w:p>
    <w:p>
      <w:pPr>
        <w:spacing w:before="50"/>
        <w:ind w:left="1995" w:leftChars="200" w:hanging="1575" w:hangingChars="750"/>
        <w:rPr>
          <w:rFonts w:hint="default" w:ascii="Times New Roman" w:hAnsi="Times New Roman" w:cs="Times New Roman"/>
          <w:highlight w:val="none"/>
        </w:rPr>
      </w:pPr>
      <w:r>
        <w:rPr>
          <w:rFonts w:hint="default" w:ascii="Times New Roman" w:hAnsi="Times New Roman" w:cs="Times New Roman"/>
          <w:highlight w:val="none"/>
        </w:rPr>
        <w:t>GB/T 19077.1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粒度分析  激光衍射法 第1部分：通则</w:t>
      </w:r>
    </w:p>
    <w:p>
      <w:pPr>
        <w:spacing w:before="50"/>
        <w:ind w:left="1995" w:leftChars="200" w:hanging="1575" w:hangingChars="750"/>
        <w:rPr>
          <w:rFonts w:hint="default" w:ascii="Times New Roman" w:hAnsi="Times New Roman" w:eastAsia="黑体" w:cs="Times New Roman"/>
          <w:highlight w:val="none"/>
        </w:rPr>
      </w:pPr>
      <w:r>
        <w:rPr>
          <w:rFonts w:hint="default" w:ascii="Times New Roman" w:hAnsi="Times New Roman" w:cs="Times New Roman"/>
          <w:highlight w:val="none"/>
        </w:rPr>
        <w:t>YS/T 281（所有部分）</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钴化学分析方法</w:t>
      </w:r>
    </w:p>
    <w:p>
      <w:pPr>
        <w:pStyle w:val="43"/>
        <w:spacing w:before="312" w:after="312"/>
      </w:pPr>
      <w:r>
        <w:rPr>
          <w:rFonts w:hint="eastAsia" w:hAnsi="宋体"/>
          <w:bCs/>
        </w:rPr>
        <w:t>术语和定义</w:t>
      </w:r>
    </w:p>
    <w:p>
      <w:pPr>
        <w:pStyle w:val="22"/>
      </w:pPr>
      <w:r>
        <w:rPr>
          <w:rFonts w:hint="eastAsia"/>
        </w:rPr>
        <w:t>本文件没有需要界定的术语和定义。</w:t>
      </w:r>
    </w:p>
    <w:p>
      <w:pPr>
        <w:pStyle w:val="43"/>
        <w:spacing w:before="312" w:after="312"/>
      </w:pPr>
      <w:r>
        <w:rPr>
          <w:rFonts w:hint="eastAsia" w:hAnsi="黑体"/>
        </w:rPr>
        <w:t>分类</w:t>
      </w:r>
    </w:p>
    <w:p>
      <w:pPr>
        <w:pStyle w:val="40"/>
        <w:spacing w:before="156" w:after="156"/>
        <w:rPr>
          <w:rFonts w:hint="eastAsia" w:hAnsi="黑体"/>
        </w:rPr>
      </w:pPr>
      <w:r>
        <w:rPr>
          <w:rFonts w:hint="eastAsia" w:hAnsi="黑体"/>
        </w:rPr>
        <w:t xml:space="preserve"> 产品牌号</w:t>
      </w:r>
      <w:r>
        <w:rPr>
          <w:rFonts w:hint="eastAsia" w:hAnsi="黑体"/>
          <w:lang w:val="en-US" w:eastAsia="zh-CN"/>
        </w:rPr>
        <w:t>与类别</w:t>
      </w:r>
    </w:p>
    <w:p>
      <w:pPr>
        <w:spacing w:line="400" w:lineRule="exact"/>
        <w:ind w:firstLine="420"/>
        <w:rPr>
          <w:rFonts w:hint="default" w:ascii="Times New Roman" w:hAnsi="Times New Roman" w:cs="Times New Roman"/>
        </w:rPr>
      </w:pPr>
      <w:r>
        <w:rPr>
          <w:rFonts w:hint="default" w:ascii="Times New Roman" w:hAnsi="Times New Roman" w:cs="Times New Roman"/>
        </w:rPr>
        <w:t>产品按费氏粒度分为HCoF-</w:t>
      </w:r>
      <w:r>
        <w:rPr>
          <w:rFonts w:hint="eastAsia" w:cs="Times New Roman"/>
          <w:lang w:val="en-US" w:eastAsia="zh-CN"/>
        </w:rPr>
        <w:t>0、</w:t>
      </w:r>
      <w:r>
        <w:rPr>
          <w:rFonts w:hint="default" w:ascii="Times New Roman" w:hAnsi="Times New Roman" w:cs="Times New Roman"/>
        </w:rPr>
        <w:t>HCoF-</w:t>
      </w:r>
      <w:r>
        <w:rPr>
          <w:rFonts w:hint="eastAsia" w:cs="Times New Roman"/>
          <w:lang w:val="en-US" w:eastAsia="zh-CN"/>
        </w:rPr>
        <w:t>1、</w:t>
      </w:r>
      <w:r>
        <w:rPr>
          <w:rFonts w:hint="default" w:ascii="Times New Roman" w:hAnsi="Times New Roman" w:cs="Times New Roman"/>
        </w:rPr>
        <w:t>HCoF-</w:t>
      </w:r>
      <w:r>
        <w:rPr>
          <w:rFonts w:hint="eastAsia" w:cs="Times New Roman"/>
          <w:lang w:val="en-US" w:eastAsia="zh-CN"/>
        </w:rPr>
        <w:t>2、</w:t>
      </w:r>
      <w:r>
        <w:rPr>
          <w:rFonts w:hint="default" w:ascii="Times New Roman" w:hAnsi="Times New Roman" w:cs="Times New Roman"/>
        </w:rPr>
        <w:t>HCoF-</w:t>
      </w:r>
      <w:r>
        <w:rPr>
          <w:rFonts w:hint="eastAsia" w:cs="Times New Roman"/>
          <w:lang w:val="en-US" w:eastAsia="zh-CN"/>
        </w:rPr>
        <w:t>3、</w:t>
      </w:r>
      <w:r>
        <w:rPr>
          <w:rFonts w:hint="default" w:ascii="Times New Roman" w:hAnsi="Times New Roman" w:cs="Times New Roman"/>
        </w:rPr>
        <w:t>HCoF-</w:t>
      </w:r>
      <w:r>
        <w:rPr>
          <w:rFonts w:hint="eastAsia" w:cs="Times New Roman"/>
          <w:lang w:val="en-US" w:eastAsia="zh-CN"/>
        </w:rPr>
        <w:t>4、</w:t>
      </w:r>
      <w:r>
        <w:rPr>
          <w:rFonts w:hint="default" w:ascii="Times New Roman" w:hAnsi="Times New Roman" w:cs="Times New Roman"/>
        </w:rPr>
        <w:t>HCoF-</w:t>
      </w:r>
      <w:r>
        <w:rPr>
          <w:rFonts w:hint="eastAsia" w:cs="Times New Roman"/>
          <w:lang w:val="en-US" w:eastAsia="zh-CN"/>
        </w:rPr>
        <w:t>5五</w:t>
      </w:r>
      <w:r>
        <w:rPr>
          <w:rFonts w:hint="default" w:ascii="Times New Roman" w:hAnsi="Times New Roman" w:cs="Times New Roman"/>
        </w:rPr>
        <w:t>个牌号</w:t>
      </w:r>
      <w:r>
        <w:rPr>
          <w:rFonts w:hint="eastAsia" w:cs="Times New Roman"/>
          <w:lang w:eastAsia="zh-CN"/>
        </w:rPr>
        <w:t>，</w:t>
      </w:r>
      <w:r>
        <w:rPr>
          <w:rFonts w:hint="default" w:ascii="Times New Roman" w:hAnsi="Times New Roman" w:cs="Times New Roman"/>
        </w:rPr>
        <w:t>按</w:t>
      </w:r>
      <w:r>
        <w:rPr>
          <w:rFonts w:hint="eastAsia" w:cs="Times New Roman"/>
          <w:lang w:val="en-US" w:eastAsia="zh-CN"/>
        </w:rPr>
        <w:t>化学成分</w:t>
      </w:r>
      <w:r>
        <w:rPr>
          <w:rFonts w:hint="default" w:ascii="Times New Roman" w:hAnsi="Times New Roman" w:cs="Times New Roman"/>
        </w:rPr>
        <w:t>分为</w:t>
      </w:r>
      <w:r>
        <w:rPr>
          <w:rFonts w:hint="default" w:ascii="Times New Roman" w:hAnsi="Times New Roman" w:cs="Times New Roman"/>
          <w:lang w:val="en-US" w:eastAsia="zh-CN"/>
        </w:rPr>
        <w:t>a、b、c、d四</w:t>
      </w:r>
      <w:r>
        <w:rPr>
          <w:rFonts w:hint="default" w:ascii="Times New Roman" w:hAnsi="Times New Roman" w:cs="Times New Roman"/>
        </w:rPr>
        <w:t>个</w:t>
      </w:r>
      <w:r>
        <w:rPr>
          <w:rFonts w:hint="default" w:ascii="Times New Roman" w:hAnsi="Times New Roman" w:cs="Times New Roman"/>
          <w:lang w:val="en-US" w:eastAsia="zh-CN"/>
        </w:rPr>
        <w:t>等级</w:t>
      </w:r>
      <w:r>
        <w:rPr>
          <w:rFonts w:hint="default" w:ascii="Times New Roman" w:hAnsi="Times New Roman" w:cs="Times New Roman"/>
        </w:rPr>
        <w:t>。</w:t>
      </w:r>
    </w:p>
    <w:p>
      <w:pPr>
        <w:pStyle w:val="40"/>
        <w:spacing w:before="156" w:after="156"/>
        <w:rPr>
          <w:rFonts w:hint="eastAsia" w:hAnsi="黑体"/>
        </w:rPr>
      </w:pPr>
      <w:r>
        <w:rPr>
          <w:rFonts w:hint="eastAsia" w:hAnsi="黑体"/>
        </w:rPr>
        <w:t>产品命名规则</w:t>
      </w:r>
    </w:p>
    <w:p>
      <w:pPr>
        <w:spacing w:line="400" w:lineRule="exact"/>
        <w:ind w:firstLine="420"/>
        <w:rPr>
          <w:rFonts w:ascii="宋体"/>
        </w:rPr>
      </w:pPr>
      <w:r>
        <w:rPr>
          <w:rFonts w:hint="eastAsia" w:ascii="宋体"/>
        </w:rPr>
        <w:t>产品牌号的命名规则如图1所示：</w:t>
      </w:r>
    </w:p>
    <w:p>
      <w:pPr>
        <w:pStyle w:val="22"/>
      </w:pPr>
    </w:p>
    <w:p>
      <w:pPr>
        <w:pStyle w:val="22"/>
      </w:pPr>
      <w:r>
        <w:rPr>
          <w:rFonts w:hint="default" w:ascii="Times New Roman" w:hAnsi="Times New Roman" w:eastAsia="宋体" w:cs="Times New Roman"/>
        </w:rPr>
        <mc:AlternateContent>
          <mc:Choice Requires="wpc">
            <w:drawing>
              <wp:inline distT="0" distB="0" distL="114300" distR="114300">
                <wp:extent cx="5534025" cy="2009140"/>
                <wp:effectExtent l="0" t="0" r="28575" b="10160"/>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文本框 9"/>
                        <wps:cNvSpPr txBox="1">
                          <a:spLocks noChangeArrowheads="1"/>
                        </wps:cNvSpPr>
                        <wps:spPr bwMode="auto">
                          <a:xfrm>
                            <a:off x="335280" y="62865"/>
                            <a:ext cx="2149475" cy="298452"/>
                          </a:xfrm>
                          <a:prstGeom prst="rect">
                            <a:avLst/>
                          </a:prstGeom>
                          <a:solidFill>
                            <a:srgbClr val="FFFFFF"/>
                          </a:solidFill>
                          <a:ln w="9525">
                            <a:solidFill>
                              <a:srgbClr val="FFFFFF"/>
                            </a:solidFill>
                            <a:miter lim="800000"/>
                          </a:ln>
                          <a:effectLst/>
                        </wps:spPr>
                        <wps:txbx>
                          <w:txbxContent>
                            <w:p>
                              <w:pPr>
                                <w:pStyle w:val="29"/>
                                <w:spacing w:before="0" w:beforeAutospacing="0" w:after="0" w:afterAutospacing="0"/>
                                <w:jc w:val="center"/>
                                <w:rPr>
                                  <w:rFonts w:hint="default" w:eastAsia="宋体"/>
                                  <w:sz w:val="32"/>
                                  <w:lang w:val="en-US" w:eastAsia="zh-CN"/>
                                </w:rPr>
                              </w:pPr>
                              <w:r>
                                <w:rPr>
                                  <w:rFonts w:hint="eastAsia" w:ascii="Times New Roman" w:hAnsi="Times New Roman" w:cs="Times New Roman"/>
                                  <w:kern w:val="2"/>
                                  <w:sz w:val="21"/>
                                  <w:szCs w:val="21"/>
                                  <w:u w:val="single"/>
                                </w:rPr>
                                <w:t>H</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Co</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F</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lang w:val="en-US" w:eastAsia="zh-CN"/>
                                </w:rPr>
                                <w:t>X</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rPr>
                                <w:t>a/b</w:t>
                              </w:r>
                              <w:r>
                                <w:rPr>
                                  <w:rFonts w:hint="eastAsia" w:ascii="Times New Roman" w:hAnsi="Times New Roman" w:cs="Times New Roman"/>
                                  <w:kern w:val="2"/>
                                  <w:sz w:val="21"/>
                                  <w:szCs w:val="21"/>
                                  <w:u w:val="single"/>
                                  <w:lang w:val="en-US" w:eastAsia="zh-CN"/>
                                </w:rPr>
                                <w:t>/c/d</w:t>
                              </w:r>
                            </w:p>
                          </w:txbxContent>
                        </wps:txbx>
                        <wps:bodyPr rot="0" vert="horz" wrap="square" lIns="91440" tIns="45720" rIns="91440" bIns="45720" anchor="t" anchorCtr="0">
                          <a:spAutoFit/>
                        </wps:bodyPr>
                      </wps:wsp>
                      <wps:wsp>
                        <wps:cNvPr id="10" name="肘形连接符 10"/>
                        <wps:cNvCnPr/>
                        <wps:spPr>
                          <a:xfrm>
                            <a:off x="2122170" y="282575"/>
                            <a:ext cx="813435" cy="250826"/>
                          </a:xfrm>
                          <a:prstGeom prst="bentConnector3">
                            <a:avLst>
                              <a:gd name="adj1" fmla="val 79"/>
                            </a:avLst>
                          </a:prstGeom>
                          <a:ln w="9525" cap="flat" cmpd="sng">
                            <a:solidFill>
                              <a:srgbClr val="000000"/>
                            </a:solidFill>
                            <a:prstDash val="solid"/>
                            <a:round/>
                            <a:headEnd type="none" w="med" len="med"/>
                            <a:tailEnd type="none" w="med" len="med"/>
                          </a:ln>
                        </wps:spPr>
                        <wps:bodyPr/>
                      </wps:wsp>
                      <wps:wsp>
                        <wps:cNvPr id="11" name="肘形连接符 11"/>
                        <wps:cNvCnPr/>
                        <wps:spPr>
                          <a:xfrm>
                            <a:off x="1587500" y="278765"/>
                            <a:ext cx="1369695" cy="588010"/>
                          </a:xfrm>
                          <a:prstGeom prst="bentConnector3">
                            <a:avLst>
                              <a:gd name="adj1" fmla="val -227"/>
                            </a:avLst>
                          </a:prstGeom>
                          <a:ln w="9525" cap="flat" cmpd="sng">
                            <a:solidFill>
                              <a:srgbClr val="000000"/>
                            </a:solidFill>
                            <a:prstDash val="solid"/>
                            <a:round/>
                            <a:headEnd type="none" w="med" len="med"/>
                            <a:tailEnd type="none" w="med" len="med"/>
                          </a:ln>
                        </wps:spPr>
                        <wps:bodyPr/>
                      </wps:wsp>
                      <wps:wsp>
                        <wps:cNvPr id="12" name="肘形连接符 12"/>
                        <wps:cNvCnPr/>
                        <wps:spPr>
                          <a:xfrm>
                            <a:off x="1189990" y="278765"/>
                            <a:ext cx="1764030" cy="906780"/>
                          </a:xfrm>
                          <a:prstGeom prst="bentConnector3">
                            <a:avLst>
                              <a:gd name="adj1" fmla="val 181"/>
                            </a:avLst>
                          </a:prstGeom>
                          <a:ln w="9525" cap="flat" cmpd="sng">
                            <a:solidFill>
                              <a:srgbClr val="000000"/>
                            </a:solidFill>
                            <a:prstDash val="solid"/>
                            <a:round/>
                            <a:headEnd type="none" w="med" len="med"/>
                            <a:tailEnd type="none" w="med" len="med"/>
                          </a:ln>
                        </wps:spPr>
                        <wps:bodyPr/>
                      </wps:wsp>
                      <wps:wsp>
                        <wps:cNvPr id="13" name="肘形连接符 13"/>
                        <wps:cNvCnPr/>
                        <wps:spPr>
                          <a:xfrm>
                            <a:off x="873125" y="280035"/>
                            <a:ext cx="2059940" cy="1250315"/>
                          </a:xfrm>
                          <a:prstGeom prst="bentConnector3">
                            <a:avLst>
                              <a:gd name="adj1" fmla="val 278"/>
                            </a:avLst>
                          </a:prstGeom>
                          <a:ln w="9525" cap="flat" cmpd="sng">
                            <a:solidFill>
                              <a:srgbClr val="000000"/>
                            </a:solidFill>
                            <a:prstDash val="solid"/>
                            <a:round/>
                            <a:headEnd type="none" w="med" len="med"/>
                            <a:tailEnd type="none" w="med" len="med"/>
                          </a:ln>
                        </wps:spPr>
                        <wps:bodyPr/>
                      </wps:wsp>
                      <wps:wsp>
                        <wps:cNvPr id="14" name="肘形连接符 14"/>
                        <wps:cNvCnPr/>
                        <wps:spPr>
                          <a:xfrm>
                            <a:off x="541020" y="278765"/>
                            <a:ext cx="2392045" cy="1575435"/>
                          </a:xfrm>
                          <a:prstGeom prst="bentConnector3">
                            <a:avLst>
                              <a:gd name="adj1" fmla="val 28"/>
                            </a:avLst>
                          </a:prstGeom>
                          <a:ln w="9525" cap="flat" cmpd="sng">
                            <a:solidFill>
                              <a:srgbClr val="000000"/>
                            </a:solidFill>
                            <a:prstDash val="solid"/>
                            <a:round/>
                            <a:headEnd type="none" w="med" len="med"/>
                            <a:tailEnd type="none" w="med" len="med"/>
                          </a:ln>
                        </wps:spPr>
                        <wps:bodyPr/>
                      </wps:wsp>
                      <wps:wsp>
                        <wps:cNvPr id="15" name="文本框 15"/>
                        <wps:cNvSpPr txBox="1">
                          <a:spLocks noChangeArrowheads="1"/>
                        </wps:cNvSpPr>
                        <wps:spPr bwMode="auto">
                          <a:xfrm>
                            <a:off x="3007360" y="349887"/>
                            <a:ext cx="2356485" cy="299087"/>
                          </a:xfrm>
                          <a:prstGeom prst="rect">
                            <a:avLst/>
                          </a:prstGeom>
                          <a:solidFill>
                            <a:srgbClr val="FFFFFF"/>
                          </a:solidFill>
                          <a:ln w="9525">
                            <a:solidFill>
                              <a:srgbClr val="FFFFFF"/>
                            </a:solidFill>
                            <a:miter lim="800000"/>
                          </a:ln>
                          <a:effectLst/>
                        </wps:spPr>
                        <wps:txbx>
                          <w:txbxContent>
                            <w:p>
                              <w:r>
                                <w:rPr>
                                  <w:rFonts w:hint="eastAsia" w:ascii="Times New Roman" w:hAnsi="Times New Roman" w:cs="Times New Roman"/>
                                  <w:kern w:val="2"/>
                                  <w:sz w:val="21"/>
                                  <w:szCs w:val="21"/>
                                </w:rPr>
                                <w:t>a/b</w:t>
                              </w:r>
                              <w:r>
                                <w:rPr>
                                  <w:rFonts w:hint="eastAsia" w:ascii="Times New Roman" w:hAnsi="Times New Roman" w:cs="Times New Roman"/>
                                  <w:kern w:val="2"/>
                                  <w:sz w:val="21"/>
                                  <w:szCs w:val="21"/>
                                  <w:lang w:val="en-US" w:eastAsia="zh-CN"/>
                                </w:rPr>
                                <w:t>/c/d</w:t>
                              </w:r>
                              <w:r>
                                <w:rPr>
                                  <w:rFonts w:hint="eastAsia"/>
                                  <w:szCs w:val="21"/>
                                </w:rPr>
                                <w:t>代表产品等级</w:t>
                              </w:r>
                            </w:p>
                          </w:txbxContent>
                        </wps:txbx>
                        <wps:bodyPr rot="0" vert="horz" wrap="square" lIns="91440" tIns="45720" rIns="91440" bIns="45720" anchor="t" anchorCtr="0">
                          <a:spAutoFit/>
                        </wps:bodyPr>
                      </wps:wsp>
                      <wps:wsp>
                        <wps:cNvPr id="16" name="文本框 16"/>
                        <wps:cNvSpPr txBox="1">
                          <a:spLocks noChangeArrowheads="1"/>
                        </wps:cNvSpPr>
                        <wps:spPr bwMode="auto">
                          <a:xfrm>
                            <a:off x="2967990" y="702315"/>
                            <a:ext cx="2575560" cy="709935"/>
                          </a:xfrm>
                          <a:prstGeom prst="rect">
                            <a:avLst/>
                          </a:prstGeom>
                          <a:solidFill>
                            <a:srgbClr val="FFFFFF"/>
                          </a:solidFill>
                          <a:ln w="9525">
                            <a:solidFill>
                              <a:srgbClr val="FFFFFF"/>
                            </a:solidFill>
                            <a:miter lim="800000"/>
                          </a:ln>
                          <a:effectLst/>
                        </wps:spPr>
                        <wps:txbx>
                          <w:txbxContent>
                            <w:p>
                              <w:pPr>
                                <w:pStyle w:val="29"/>
                                <w:spacing w:before="0" w:beforeAutospacing="0" w:after="0" w:afterAutospacing="0"/>
                                <w:jc w:val="both"/>
                                <w:rPr>
                                  <w:rFonts w:hint="eastAsia" w:ascii="Times New Roman" w:hAnsi="Times New Roman"/>
                                  <w:kern w:val="2"/>
                                  <w:sz w:val="21"/>
                                  <w:szCs w:val="21"/>
                                  <w:lang w:val="en-US" w:eastAsia="zh-CN"/>
                                </w:rPr>
                              </w:pPr>
                              <w:r>
                                <w:rPr>
                                  <w:rFonts w:hint="eastAsia" w:ascii="Times New Roman" w:hAnsi="Times New Roman"/>
                                  <w:kern w:val="2"/>
                                  <w:sz w:val="21"/>
                                  <w:szCs w:val="21"/>
                                </w:rPr>
                                <w:t>X代表产品牌号：0、1、2、3、4、</w:t>
                              </w:r>
                              <w:r>
                                <w:rPr>
                                  <w:rFonts w:hint="eastAsia" w:ascii="Times New Roman" w:hAnsi="Times New Roman"/>
                                  <w:kern w:val="2"/>
                                  <w:sz w:val="21"/>
                                  <w:szCs w:val="21"/>
                                  <w:lang w:val="en-US" w:eastAsia="zh-CN"/>
                                </w:rPr>
                                <w:t>5</w:t>
                              </w:r>
                            </w:p>
                            <w:p>
                              <w:pPr>
                                <w:pStyle w:val="29"/>
                                <w:spacing w:before="0" w:beforeAutospacing="0" w:after="0" w:afterAutospacing="0"/>
                                <w:jc w:val="both"/>
                                <w:rPr>
                                  <w:rFonts w:hint="eastAsia" w:ascii="Times New Roman" w:hAnsi="Times New Roman"/>
                                  <w:kern w:val="2"/>
                                  <w:sz w:val="21"/>
                                  <w:szCs w:val="21"/>
                                  <w:lang w:val="en-US" w:eastAsia="zh-CN"/>
                                </w:rPr>
                              </w:pPr>
                            </w:p>
                            <w:p>
                              <w:pPr>
                                <w:pStyle w:val="29"/>
                                <w:spacing w:before="0" w:beforeAutospacing="0" w:after="0" w:afterAutospacing="0"/>
                                <w:jc w:val="both"/>
                              </w:pPr>
                            </w:p>
                          </w:txbxContent>
                        </wps:txbx>
                        <wps:bodyPr rot="0" vert="horz" wrap="square" lIns="91440" tIns="45720" rIns="91440" bIns="45720" anchor="t" anchorCtr="0">
                          <a:noAutofit/>
                        </wps:bodyPr>
                      </wps:wsp>
                      <wps:wsp>
                        <wps:cNvPr id="17" name="文本框 17"/>
                        <wps:cNvSpPr txBox="1">
                          <a:spLocks noChangeArrowheads="1"/>
                        </wps:cNvSpPr>
                        <wps:spPr bwMode="auto">
                          <a:xfrm>
                            <a:off x="2971877" y="1036707"/>
                            <a:ext cx="1821179" cy="299086"/>
                          </a:xfrm>
                          <a:prstGeom prst="rect">
                            <a:avLst/>
                          </a:prstGeom>
                          <a:solidFill>
                            <a:srgbClr val="FFFFFF"/>
                          </a:solidFill>
                          <a:ln w="9525">
                            <a:solidFill>
                              <a:srgbClr val="FFFFFF"/>
                            </a:solidFill>
                            <a:miter lim="800000"/>
                          </a:ln>
                          <a:effectLst/>
                        </wps:spPr>
                        <wps:txbx>
                          <w:txbxContent>
                            <w:p>
                              <w:pPr>
                                <w:pStyle w:val="29"/>
                                <w:spacing w:before="0" w:beforeAutospacing="0" w:after="0" w:afterAutospacing="0"/>
                                <w:jc w:val="both"/>
                              </w:pPr>
                              <w:r>
                                <w:rPr>
                                  <w:rFonts w:hint="eastAsia" w:ascii="Times New Roman" w:hAnsi="Times New Roman"/>
                                  <w:kern w:val="2"/>
                                  <w:sz w:val="21"/>
                                  <w:szCs w:val="21"/>
                                </w:rPr>
                                <w:t>代表粉末</w:t>
                              </w:r>
                            </w:p>
                          </w:txbxContent>
                        </wps:txbx>
                        <wps:bodyPr rot="0" vert="horz" wrap="square" lIns="91440" tIns="45720" rIns="91440" bIns="45720" anchor="t" anchorCtr="0">
                          <a:spAutoFit/>
                        </wps:bodyPr>
                      </wps:wsp>
                      <wps:wsp>
                        <wps:cNvPr id="18" name="文本框 18"/>
                        <wps:cNvSpPr txBox="1">
                          <a:spLocks noChangeArrowheads="1"/>
                        </wps:cNvSpPr>
                        <wps:spPr bwMode="auto">
                          <a:xfrm>
                            <a:off x="2969555" y="1372767"/>
                            <a:ext cx="1820545" cy="298452"/>
                          </a:xfrm>
                          <a:prstGeom prst="rect">
                            <a:avLst/>
                          </a:prstGeom>
                          <a:solidFill>
                            <a:srgbClr val="FFFFFF"/>
                          </a:solidFill>
                          <a:ln w="9525">
                            <a:solidFill>
                              <a:srgbClr val="FFFFFF"/>
                            </a:solidFill>
                            <a:miter lim="800000"/>
                          </a:ln>
                          <a:effectLst/>
                        </wps:spPr>
                        <wps:txbx>
                          <w:txbxContent>
                            <w:p>
                              <w:pPr>
                                <w:pStyle w:val="29"/>
                                <w:spacing w:before="0" w:beforeAutospacing="0" w:after="0" w:afterAutospacing="0"/>
                                <w:jc w:val="both"/>
                              </w:pPr>
                              <w:r>
                                <w:rPr>
                                  <w:rFonts w:hint="eastAsia" w:ascii="Times New Roman"/>
                                  <w:kern w:val="2"/>
                                  <w:sz w:val="21"/>
                                  <w:szCs w:val="21"/>
                                </w:rPr>
                                <w:t>代表Co</w:t>
                              </w:r>
                            </w:p>
                          </w:txbxContent>
                        </wps:txbx>
                        <wps:bodyPr rot="0" vert="horz" wrap="square" lIns="91440" tIns="45720" rIns="91440" bIns="45720" anchor="t" anchorCtr="0">
                          <a:spAutoFit/>
                        </wps:bodyPr>
                      </wps:wsp>
                      <wps:wsp>
                        <wps:cNvPr id="19" name="文本框 19"/>
                        <wps:cNvSpPr txBox="1">
                          <a:spLocks noChangeArrowheads="1"/>
                        </wps:cNvSpPr>
                        <wps:spPr bwMode="auto">
                          <a:xfrm>
                            <a:off x="2968491" y="1704973"/>
                            <a:ext cx="1820545" cy="298452"/>
                          </a:xfrm>
                          <a:prstGeom prst="rect">
                            <a:avLst/>
                          </a:prstGeom>
                          <a:solidFill>
                            <a:srgbClr val="FFFFFF"/>
                          </a:solidFill>
                          <a:ln w="9525">
                            <a:solidFill>
                              <a:srgbClr val="FFFFFF"/>
                            </a:solidFill>
                            <a:miter lim="800000"/>
                          </a:ln>
                          <a:effectLst/>
                        </wps:spPr>
                        <wps:txbx>
                          <w:txbxContent>
                            <w:p>
                              <w:pPr>
                                <w:pStyle w:val="29"/>
                                <w:spacing w:before="0" w:beforeAutospacing="0" w:after="0" w:afterAutospacing="0"/>
                                <w:jc w:val="both"/>
                              </w:pPr>
                              <w:r>
                                <w:rPr>
                                  <w:rFonts w:hint="eastAsia" w:ascii="Times New Roman"/>
                                  <w:kern w:val="2"/>
                                  <w:sz w:val="21"/>
                                  <w:szCs w:val="21"/>
                                </w:rPr>
                                <w:t>代表</w:t>
                              </w:r>
                              <w:r>
                                <w:rPr>
                                  <w:rFonts w:hint="eastAsia" w:ascii="Times New Roman" w:hAnsi="Times New Roman"/>
                                  <w:kern w:val="2"/>
                                  <w:sz w:val="21"/>
                                  <w:szCs w:val="21"/>
                                </w:rPr>
                                <w:t>还原</w:t>
                              </w:r>
                            </w:p>
                          </w:txbxContent>
                        </wps:txbx>
                        <wps:bodyPr rot="0" vert="horz" wrap="square" lIns="91440" tIns="45720" rIns="91440" bIns="45720" anchor="t" anchorCtr="0">
                          <a:spAutoFit/>
                        </wps:bodyPr>
                      </wps:wsp>
                    </wpc:wpc>
                  </a:graphicData>
                </a:graphic>
              </wp:inline>
            </w:drawing>
          </mc:Choice>
          <mc:Fallback>
            <w:pict>
              <v:group id="_x0000_s1026" o:spid="_x0000_s1026" o:spt="203" style="height:158.2pt;width:435.75pt;" coordsize="5534025,2009140" editas="canvas" o:gfxdata="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">
                <o:lock v:ext="edit" aspectratio="f"/>
                <v:shape id="_x0000_s1026" o:spid="_x0000_s1026" style="position:absolute;left:0;top:0;height:2009140;width:5534025;" filled="f" stroked="f" coordsize="21600,21600" o:gfxdata="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JW0J02AAAAAUBAAAPAAAAAAAAAAEA&#10;IAAAACIAAABkcnMvZG93bnJldi54bWxQSwECFAAUAAAACACHTuJAK42/x/QEAABQHgAADgAAAAAA&#10;AAABACAAAAAnAQAAZHJzL2Uyb0RvYy54bWxQSwUGAAAAAAYABgBZAQAAjQgAAAAA&#10;">
                  <v:fill on="f" focussize="0,0"/>
                  <v:stroke on="f"/>
                  <v:imagedata o:title=""/>
                  <o:lock v:ext="edit" aspectratio="t"/>
                </v:shape>
                <v:shape id="_x0000_s1026" o:spid="_x0000_s1026" o:spt="202" type="#_x0000_t202" style="position:absolute;left:335280;top:62865;height:298452;width:214947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p6UAbXAAAABQEAAA8AAAAAAAAAAQAg&#10;AAAAIgAAAGRycy9kb3ducmV2LnhtbFBLAQIUABQAAAAIAIdO4kBhA+sISAIAAJIEAAAOAAAAAAAA&#10;AAEAIAAAACYBAABkcnMvZTJvRG9jLnhtbFBLBQYAAAAABgAGAFkBAADgBQAAAAA=&#10;">
                  <v:fill on="t" focussize="0,0"/>
                  <v:stroke color="#FFFFFF" miterlimit="8" joinstyle="miter"/>
                  <v:imagedata o:title=""/>
                  <o:lock v:ext="edit" aspectratio="f"/>
                  <v:textbox style="mso-fit-shape-to-text:t;">
                    <w:txbxContent>
                      <w:p>
                        <w:pPr>
                          <w:pStyle w:val="29"/>
                          <w:spacing w:before="0" w:beforeAutospacing="0" w:after="0" w:afterAutospacing="0"/>
                          <w:jc w:val="center"/>
                          <w:rPr>
                            <w:rFonts w:hint="default" w:eastAsia="宋体"/>
                            <w:sz w:val="32"/>
                            <w:lang w:val="en-US" w:eastAsia="zh-CN"/>
                          </w:rPr>
                        </w:pPr>
                        <w:r>
                          <w:rPr>
                            <w:rFonts w:hint="eastAsia" w:ascii="Times New Roman" w:hAnsi="Times New Roman" w:cs="Times New Roman"/>
                            <w:kern w:val="2"/>
                            <w:sz w:val="21"/>
                            <w:szCs w:val="21"/>
                            <w:u w:val="single"/>
                          </w:rPr>
                          <w:t>H</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Co</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F</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lang w:val="en-US" w:eastAsia="zh-CN"/>
                          </w:rPr>
                          <w:t>X</w:t>
                        </w:r>
                        <w:r>
                          <w:rPr>
                            <w:rFonts w:hint="eastAsia" w:ascii="Times New Roman" w:hAnsi="Times New Roman" w:cs="Times New Roman"/>
                            <w:kern w:val="2"/>
                            <w:sz w:val="21"/>
                            <w:szCs w:val="21"/>
                          </w:rPr>
                          <w:t xml:space="preserve">  -  </w:t>
                        </w:r>
                        <w:r>
                          <w:rPr>
                            <w:rFonts w:hint="eastAsia" w:ascii="Times New Roman" w:hAnsi="Times New Roman" w:cs="Times New Roman"/>
                            <w:kern w:val="2"/>
                            <w:sz w:val="21"/>
                            <w:szCs w:val="21"/>
                            <w:u w:val="single"/>
                          </w:rPr>
                          <w:t>a/b</w:t>
                        </w:r>
                        <w:r>
                          <w:rPr>
                            <w:rFonts w:hint="eastAsia" w:ascii="Times New Roman" w:hAnsi="Times New Roman" w:cs="Times New Roman"/>
                            <w:kern w:val="2"/>
                            <w:sz w:val="21"/>
                            <w:szCs w:val="21"/>
                            <w:u w:val="single"/>
                            <w:lang w:val="en-US" w:eastAsia="zh-CN"/>
                          </w:rPr>
                          <w:t>/c/d</w:t>
                        </w:r>
                      </w:p>
                    </w:txbxContent>
                  </v:textbox>
                </v:shape>
                <v:shape id="_x0000_s1026" o:spid="_x0000_s1026" o:spt="34" type="#_x0000_t34" style="position:absolute;left:2122170;top:282575;height:250826;width:813435;" filled="f" stroked="t" coordsize="21600,21600" o:gfxdata="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d0cw1AAAAAUB&#10;AAAPAAAAAAAAAAEAIAAAACIAAABkcnMvZG93bnJldi54bWxQSwECFAAUAAAACACHTuJAeuNFCx8C&#10;AAAnBAAADgAAAAAAAAABACAAAAAjAQAAZHJzL2Uyb0RvYy54bWxQSwUGAAAAAAYABgBZAQAAtAUA&#10;AAAA&#10;" adj="17">
                  <v:fill on="f" focussize="0,0"/>
                  <v:stroke color="#000000" joinstyle="round"/>
                  <v:imagedata o:title=""/>
                  <o:lock v:ext="edit" aspectratio="f"/>
                </v:shape>
                <v:shape id="_x0000_s1026" o:spid="_x0000_s1026" o:spt="34" type="#_x0000_t34" style="position:absolute;left:1587500;top:278765;height:588010;width:1369695;" filled="f" stroked="t" coordsize="21600,21600" o:gfxdata="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ax6I/1AAA&#10;AAUBAAAPAAAAAAAAAAEAIAAAACIAAABkcnMvZG93bnJldi54bWxQSwECFAAUAAAACACHTuJAQVsd&#10;UiICAAAqBAAADgAAAAAAAAABACAAAAAjAQAAZHJzL2Uyb0RvYy54bWxQSwUGAAAAAAYABgBZAQAA&#10;twUAAAAA&#10;" adj="-49">
                  <v:fill on="f" focussize="0,0"/>
                  <v:stroke color="#000000" joinstyle="round"/>
                  <v:imagedata o:title=""/>
                  <o:lock v:ext="edit" aspectratio="f"/>
                </v:shape>
                <v:shape id="_x0000_s1026" o:spid="_x0000_s1026" o:spt="34" type="#_x0000_t34" style="position:absolute;left:1189990;top:278765;height:906780;width:1764030;" filled="f" stroked="t" coordsize="21600,21600" o:gfxdata="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CQVN1AAA&#10;AAUBAAAPAAAAAAAAAAEAIAAAACIAAABkcnMvZG93bnJldi54bWxQSwECFAAUAAAACACHTuJA34lB&#10;GyICAAApBAAADgAAAAAAAAABACAAAAAjAQAAZHJzL2Uyb0RvYy54bWxQSwUGAAAAAAYABgBZAQAA&#10;twUAAAAA&#10;" adj="39">
                  <v:fill on="f" focussize="0,0"/>
                  <v:stroke color="#000000" joinstyle="round"/>
                  <v:imagedata o:title=""/>
                  <o:lock v:ext="edit" aspectratio="f"/>
                </v:shape>
                <v:shape id="_x0000_s1026" o:spid="_x0000_s1026" o:spt="34" type="#_x0000_t34" style="position:absolute;left:873125;top:280035;height:1250315;width:2059940;" filled="f" stroked="t" coordsize="21600,21600" o:gfxdata="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fN21U&#10;1wAAAAUBAAAPAAAAAAAAAAEAIAAAACIAAABkcnMvZG93bnJldi54bWxQSwECFAAUAAAACACHTuJA&#10;khlEZyICAAApBAAADgAAAAAAAAABACAAAAAmAQAAZHJzL2Uyb0RvYy54bWxQSwUGAAAAAAYABgBZ&#10;AQAAugUAAAAA&#10;" adj="60">
                  <v:fill on="f" focussize="0,0"/>
                  <v:stroke color="#000000" joinstyle="round"/>
                  <v:imagedata o:title=""/>
                  <o:lock v:ext="edit" aspectratio="f"/>
                </v:shape>
                <v:shape id="_x0000_s1026" o:spid="_x0000_s1026" o:spt="34" type="#_x0000_t34" style="position:absolute;left:541020;top:278765;height:1575435;width:2392045;" filled="f" stroked="t" coordsize="21600,21600" o:gfxdata="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T5QBdMA&#10;AAAFAQAADwAAAAAAAAABACAAAAAiAAAAZHJzL2Rvd25yZXYueG1sUEsBAhQAFAAAAAgAh07iQCxf&#10;wcokAgAAKAQAAA4AAAAAAAAAAQAgAAAAIgEAAGRycy9lMm9Eb2MueG1sUEsFBgAAAAAGAAYAWQEA&#10;ALgFAAAAAA==&#10;" adj="6">
                  <v:fill on="f" focussize="0,0"/>
                  <v:stroke color="#000000" joinstyle="round"/>
                  <v:imagedata o:title=""/>
                  <o:lock v:ext="edit" aspectratio="f"/>
                </v:shape>
                <v:shape id="_x0000_s1026" o:spid="_x0000_s1026" o:spt="202" type="#_x0000_t202" style="position:absolute;left:3007360;top:349887;height:299087;width:235648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p6UAbXAAAABQEAAA8AAAAAAAAAAQAg&#10;AAAAIgAAAGRycy9kb3ducmV2LnhtbFBLAQIUABQAAAAIAIdO4kBTGeC3SAIAAJYEAAAOAAAAAAAA&#10;AAEAIAAAACYBAABkcnMvZTJvRG9jLnhtbFBLBQYAAAAABgAGAFkBAADgBQAAAAA=&#10;">
                  <v:fill on="t" focussize="0,0"/>
                  <v:stroke color="#FFFFFF" miterlimit="8" joinstyle="miter"/>
                  <v:imagedata o:title=""/>
                  <o:lock v:ext="edit" aspectratio="f"/>
                  <v:textbox style="mso-fit-shape-to-text:t;">
                    <w:txbxContent>
                      <w:p>
                        <w:r>
                          <w:rPr>
                            <w:rFonts w:hint="eastAsia" w:ascii="Times New Roman" w:hAnsi="Times New Roman" w:cs="Times New Roman"/>
                            <w:kern w:val="2"/>
                            <w:sz w:val="21"/>
                            <w:szCs w:val="21"/>
                          </w:rPr>
                          <w:t>a/b</w:t>
                        </w:r>
                        <w:r>
                          <w:rPr>
                            <w:rFonts w:hint="eastAsia" w:ascii="Times New Roman" w:hAnsi="Times New Roman" w:cs="Times New Roman"/>
                            <w:kern w:val="2"/>
                            <w:sz w:val="21"/>
                            <w:szCs w:val="21"/>
                            <w:lang w:val="en-US" w:eastAsia="zh-CN"/>
                          </w:rPr>
                          <w:t>/c/d</w:t>
                        </w:r>
                        <w:r>
                          <w:rPr>
                            <w:rFonts w:hint="eastAsia"/>
                            <w:szCs w:val="21"/>
                          </w:rPr>
                          <w:t>代表产品等级</w:t>
                        </w:r>
                      </w:p>
                    </w:txbxContent>
                  </v:textbox>
                </v:shape>
                <v:shape id="_x0000_s1026" o:spid="_x0000_s1026" o:spt="202" type="#_x0000_t202" style="position:absolute;left:2967990;top:702315;height:709935;width:2575560;" fillcolor="#FFFFFF" filled="t" stroked="t" coordsize="21600,21600" o:gfxdata="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9aPjD9YAAAAFAQAADwAAAAAAAAABACAA&#10;AAAiAAAAZHJzL2Rvd25yZXYueG1sUEsBAhQAFAAAAAgAh07iQLXozrBIAgAAlgQAAA4AAAAAAAAA&#10;AQAgAAAAJQEAAGRycy9lMm9Eb2MueG1sUEsFBgAAAAAGAAYAWQEAAN8FAAAAAA==&#10;">
                  <v:fill on="t" focussize="0,0"/>
                  <v:stroke color="#FFFFFF" miterlimit="8" joinstyle="miter"/>
                  <v:imagedata o:title=""/>
                  <o:lock v:ext="edit" aspectratio="f"/>
                  <v:textbox>
                    <w:txbxContent>
                      <w:p>
                        <w:pPr>
                          <w:pStyle w:val="29"/>
                          <w:spacing w:before="0" w:beforeAutospacing="0" w:after="0" w:afterAutospacing="0"/>
                          <w:jc w:val="both"/>
                          <w:rPr>
                            <w:rFonts w:hint="eastAsia" w:ascii="Times New Roman" w:hAnsi="Times New Roman"/>
                            <w:kern w:val="2"/>
                            <w:sz w:val="21"/>
                            <w:szCs w:val="21"/>
                            <w:lang w:val="en-US" w:eastAsia="zh-CN"/>
                          </w:rPr>
                        </w:pPr>
                        <w:r>
                          <w:rPr>
                            <w:rFonts w:hint="eastAsia" w:ascii="Times New Roman" w:hAnsi="Times New Roman"/>
                            <w:kern w:val="2"/>
                            <w:sz w:val="21"/>
                            <w:szCs w:val="21"/>
                          </w:rPr>
                          <w:t>X代表产品牌号：0、1、2、3、4、</w:t>
                        </w:r>
                        <w:r>
                          <w:rPr>
                            <w:rFonts w:hint="eastAsia" w:ascii="Times New Roman" w:hAnsi="Times New Roman"/>
                            <w:kern w:val="2"/>
                            <w:sz w:val="21"/>
                            <w:szCs w:val="21"/>
                            <w:lang w:val="en-US" w:eastAsia="zh-CN"/>
                          </w:rPr>
                          <w:t>5</w:t>
                        </w:r>
                      </w:p>
                      <w:p>
                        <w:pPr>
                          <w:pStyle w:val="29"/>
                          <w:spacing w:before="0" w:beforeAutospacing="0" w:after="0" w:afterAutospacing="0"/>
                          <w:jc w:val="both"/>
                          <w:rPr>
                            <w:rFonts w:hint="eastAsia" w:ascii="Times New Roman" w:hAnsi="Times New Roman"/>
                            <w:kern w:val="2"/>
                            <w:sz w:val="21"/>
                            <w:szCs w:val="21"/>
                            <w:lang w:val="en-US" w:eastAsia="zh-CN"/>
                          </w:rPr>
                        </w:pPr>
                      </w:p>
                      <w:p>
                        <w:pPr>
                          <w:pStyle w:val="29"/>
                          <w:spacing w:before="0" w:beforeAutospacing="0" w:after="0" w:afterAutospacing="0"/>
                          <w:jc w:val="both"/>
                        </w:pPr>
                      </w:p>
                    </w:txbxContent>
                  </v:textbox>
                </v:shape>
                <v:shape id="_x0000_s1026" o:spid="_x0000_s1026" o:spt="202" type="#_x0000_t202" style="position:absolute;left:2971877;top:1036707;height:299086;width:1821179;"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npQBtcAAAAFAQAADwAAAAAAAAAB&#10;ACAAAAAiAAAAZHJzL2Rvd25yZXYueG1sUEsBAhQAFAAAAAgAh07iQOty6olKAgAAlwQAAA4AAAAA&#10;AAAAAQAgAAAAJgEAAGRycy9lMm9Eb2MueG1sUEsFBgAAAAAGAAYAWQEAAOIFAAAAAA==&#10;">
                  <v:fill on="t" focussize="0,0"/>
                  <v:stroke color="#FFFFFF" miterlimit="8" joinstyle="miter"/>
                  <v:imagedata o:title=""/>
                  <o:lock v:ext="edit" aspectratio="f"/>
                  <v:textbox style="mso-fit-shape-to-text:t;">
                    <w:txbxContent>
                      <w:p>
                        <w:pPr>
                          <w:pStyle w:val="29"/>
                          <w:spacing w:before="0" w:beforeAutospacing="0" w:after="0" w:afterAutospacing="0"/>
                          <w:jc w:val="both"/>
                        </w:pPr>
                        <w:r>
                          <w:rPr>
                            <w:rFonts w:hint="eastAsia" w:ascii="Times New Roman" w:hAnsi="Times New Roman"/>
                            <w:kern w:val="2"/>
                            <w:sz w:val="21"/>
                            <w:szCs w:val="21"/>
                          </w:rPr>
                          <w:t>代表粉末</w:t>
                        </w:r>
                      </w:p>
                    </w:txbxContent>
                  </v:textbox>
                </v:shape>
                <v:shape id="_x0000_s1026" o:spid="_x0000_s1026" o:spt="202" type="#_x0000_t202" style="position:absolute;left:2969555;top:1372767;height:298452;width:182054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npQBtcAAAAFAQAADwAAAAAAAAAB&#10;ACAAAAAiAAAAZHJzL2Rvd25yZXYueG1sUEsBAhQAFAAAAAgAh07iQNoXB6BKAgAAlwQAAA4AAAAA&#10;AAAAAQAgAAAAJgEAAGRycy9lMm9Eb2MueG1sUEsFBgAAAAAGAAYAWQEAAOIFAAAAAA==&#10;">
                  <v:fill on="t" focussize="0,0"/>
                  <v:stroke color="#FFFFFF" miterlimit="8" joinstyle="miter"/>
                  <v:imagedata o:title=""/>
                  <o:lock v:ext="edit" aspectratio="f"/>
                  <v:textbox style="mso-fit-shape-to-text:t;">
                    <w:txbxContent>
                      <w:p>
                        <w:pPr>
                          <w:pStyle w:val="29"/>
                          <w:spacing w:before="0" w:beforeAutospacing="0" w:after="0" w:afterAutospacing="0"/>
                          <w:jc w:val="both"/>
                        </w:pPr>
                        <w:r>
                          <w:rPr>
                            <w:rFonts w:hint="eastAsia" w:ascii="Times New Roman"/>
                            <w:kern w:val="2"/>
                            <w:sz w:val="21"/>
                            <w:szCs w:val="21"/>
                          </w:rPr>
                          <w:t>代表Co</w:t>
                        </w:r>
                      </w:p>
                    </w:txbxContent>
                  </v:textbox>
                </v:shape>
                <v:shape id="_x0000_s1026" o:spid="_x0000_s1026" o:spt="202" type="#_x0000_t202" style="position:absolute;left:2968491;top:1704973;height:298452;width:1820545;" fillcolor="#FFFFFF" filled="t" stroked="t" coordsize="21600,21600" o:gfxdata="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npQBtcAAAAFAQAADwAAAAAAAAAB&#10;ACAAAAAiAAAAZHJzL2Rvd25yZXYueG1sUEsBAhQAFAAAAAgAh07iQCPDBgVKAgAAlwQAAA4AAAAA&#10;AAAAAQAgAAAAJgEAAGRycy9lMm9Eb2MueG1sUEsFBgAAAAAGAAYAWQEAAOIFAAAAAA==&#10;">
                  <v:fill on="t" focussize="0,0"/>
                  <v:stroke color="#FFFFFF" miterlimit="8" joinstyle="miter"/>
                  <v:imagedata o:title=""/>
                  <o:lock v:ext="edit" aspectratio="f"/>
                  <v:textbox style="mso-fit-shape-to-text:t;">
                    <w:txbxContent>
                      <w:p>
                        <w:pPr>
                          <w:pStyle w:val="29"/>
                          <w:spacing w:before="0" w:beforeAutospacing="0" w:after="0" w:afterAutospacing="0"/>
                          <w:jc w:val="both"/>
                        </w:pPr>
                        <w:r>
                          <w:rPr>
                            <w:rFonts w:hint="eastAsia" w:ascii="Times New Roman"/>
                            <w:kern w:val="2"/>
                            <w:sz w:val="21"/>
                            <w:szCs w:val="21"/>
                          </w:rPr>
                          <w:t>代表</w:t>
                        </w:r>
                        <w:r>
                          <w:rPr>
                            <w:rFonts w:hint="eastAsia" w:ascii="Times New Roman" w:hAnsi="Times New Roman"/>
                            <w:kern w:val="2"/>
                            <w:sz w:val="21"/>
                            <w:szCs w:val="21"/>
                          </w:rPr>
                          <w:t>还原</w:t>
                        </w:r>
                      </w:p>
                    </w:txbxContent>
                  </v:textbox>
                </v:shape>
                <w10:wrap type="none"/>
                <w10:anchorlock/>
              </v:group>
            </w:pict>
          </mc:Fallback>
        </mc:AlternateContent>
      </w:r>
    </w:p>
    <w:p>
      <w:pPr>
        <w:pStyle w:val="126"/>
        <w:spacing w:before="156" w:after="156"/>
      </w:pPr>
      <w:r>
        <w:rPr>
          <w:rFonts w:hint="eastAsia"/>
        </w:rPr>
        <w:t>产品</w:t>
      </w:r>
      <w:r>
        <w:t>牌号命名规则</w:t>
      </w:r>
    </w:p>
    <w:p>
      <w:pPr>
        <w:pageBreakBefore w:val="0"/>
        <w:kinsoku/>
        <w:wordWrap/>
        <w:overflowPunct/>
        <w:topLinePunct w:val="0"/>
        <w:autoSpaceDE/>
        <w:bidi w:val="0"/>
        <w:adjustRightInd/>
        <w:snapToGrid/>
        <w:spacing w:before="156" w:beforeLines="50" w:beforeAutospacing="0" w:after="0" w:afterLines="0" w:afterAutospacing="0" w:line="360" w:lineRule="auto"/>
        <w:ind w:firstLine="480" w:firstLineChars="200"/>
        <w:jc w:val="both"/>
        <w:rPr>
          <w:rFonts w:hint="eastAsia" w:ascii="Times New Roman" w:hAnsi="Times New Roman" w:eastAsia="宋体" w:cs="Times New Roman"/>
          <w:sz w:val="24"/>
          <w:lang w:val="en-US" w:eastAsia="zh-CN"/>
        </w:rPr>
      </w:pPr>
      <w:r>
        <w:rPr>
          <w:rFonts w:hint="default" w:ascii="Times New Roman" w:hAnsi="Times New Roman" w:eastAsia="宋体" w:cs="Times New Roman"/>
          <w:sz w:val="24"/>
        </w:rPr>
        <w:t>示例：FCo</w:t>
      </w:r>
      <w:r>
        <w:rPr>
          <w:rFonts w:hint="eastAsia" w:cs="Times New Roman"/>
          <w:sz w:val="24"/>
          <w:lang w:val="en-US" w:eastAsia="zh-CN"/>
        </w:rPr>
        <w:t>R</w:t>
      </w:r>
      <w:r>
        <w:rPr>
          <w:rFonts w:hint="default" w:ascii="Times New Roman" w:hAnsi="Times New Roman" w:eastAsia="宋体" w:cs="Times New Roman"/>
          <w:sz w:val="24"/>
        </w:rPr>
        <w:t>-1b</w:t>
      </w:r>
      <w:r>
        <w:rPr>
          <w:rFonts w:hint="default" w:ascii="Times New Roman" w:hAnsi="Times New Roman" w:eastAsia="宋体" w:cs="Times New Roman"/>
          <w:sz w:val="24"/>
          <w:lang w:eastAsia="zh-CN"/>
        </w:rPr>
        <w:t>表示牌号为</w:t>
      </w:r>
      <w:r>
        <w:rPr>
          <w:rFonts w:hint="default" w:ascii="Times New Roman" w:hAnsi="Times New Roman" w:eastAsia="宋体" w:cs="Times New Roman"/>
          <w:sz w:val="24"/>
        </w:rPr>
        <w:t>FCo</w:t>
      </w:r>
      <w:r>
        <w:rPr>
          <w:rFonts w:hint="eastAsia" w:cs="Times New Roman"/>
          <w:sz w:val="24"/>
          <w:lang w:val="en-US" w:eastAsia="zh-CN"/>
        </w:rPr>
        <w:t>R</w:t>
      </w:r>
      <w:r>
        <w:rPr>
          <w:rFonts w:hint="default" w:ascii="Times New Roman" w:hAnsi="Times New Roman" w:eastAsia="宋体" w:cs="Times New Roman"/>
          <w:sz w:val="24"/>
        </w:rPr>
        <w:t>-1</w:t>
      </w:r>
      <w:r>
        <w:rPr>
          <w:rFonts w:hint="default" w:ascii="Times New Roman" w:hAnsi="Times New Roman" w:eastAsia="宋体" w:cs="Times New Roman"/>
          <w:sz w:val="24"/>
          <w:lang w:eastAsia="zh-CN"/>
        </w:rPr>
        <w:t>符合</w:t>
      </w:r>
      <w:r>
        <w:rPr>
          <w:rFonts w:hint="default" w:ascii="Times New Roman" w:hAnsi="Times New Roman" w:eastAsia="宋体" w:cs="Times New Roman"/>
          <w:sz w:val="24"/>
          <w:lang w:val="en-US" w:eastAsia="zh-CN"/>
        </w:rPr>
        <w:t>b类</w:t>
      </w:r>
      <w:r>
        <w:rPr>
          <w:rFonts w:hint="eastAsia" w:cs="Times New Roman"/>
          <w:sz w:val="24"/>
          <w:lang w:val="en-US" w:eastAsia="zh-CN"/>
        </w:rPr>
        <w:t>别</w:t>
      </w:r>
      <w:r>
        <w:rPr>
          <w:rFonts w:hint="default" w:ascii="Times New Roman" w:hAnsi="Times New Roman" w:eastAsia="宋体" w:cs="Times New Roman"/>
          <w:sz w:val="24"/>
          <w:lang w:val="en-US" w:eastAsia="zh-CN"/>
        </w:rPr>
        <w:t>的产品</w:t>
      </w:r>
      <w:r>
        <w:rPr>
          <w:rFonts w:hint="default" w:ascii="Times New Roman" w:hAnsi="Times New Roman" w:eastAsia="宋体" w:cs="Times New Roman"/>
          <w:sz w:val="24"/>
          <w:lang w:eastAsia="zh-CN"/>
        </w:rPr>
        <w:t>。</w:t>
      </w:r>
    </w:p>
    <w:p>
      <w:pPr>
        <w:pStyle w:val="43"/>
        <w:spacing w:before="312" w:after="312"/>
        <w:rPr>
          <w:rFonts w:hint="default" w:ascii="Times New Roman" w:hAnsi="Times New Roman" w:cs="Times New Roman"/>
        </w:rPr>
      </w:pPr>
      <w:r>
        <w:rPr>
          <w:rFonts w:hint="eastAsia" w:hAnsi="黑体"/>
          <w:lang w:val="en-US" w:eastAsia="zh-CN"/>
        </w:rPr>
        <w:t>技术要求</w:t>
      </w:r>
    </w:p>
    <w:p>
      <w:pPr>
        <w:pStyle w:val="40"/>
        <w:bidi w:val="0"/>
      </w:pPr>
      <w:r>
        <w:rPr>
          <w:rFonts w:hint="eastAsia"/>
        </w:rPr>
        <w:t>产品的费氏粒度、中位径、松装密度和氧含量、碳含量</w:t>
      </w:r>
    </w:p>
    <w:p>
      <w:pPr>
        <w:pStyle w:val="22"/>
      </w:pPr>
      <w:r>
        <w:rPr>
          <w:rFonts w:hint="eastAsia"/>
        </w:rPr>
        <w:t>产品的费氏粒度、中位径、松装密度和氧含量、碳含量应符合表</w:t>
      </w:r>
      <w:r>
        <w:rPr>
          <w:rFonts w:ascii="Times New Roman"/>
        </w:rPr>
        <w:t>1</w:t>
      </w:r>
      <w:r>
        <w:rPr>
          <w:rFonts w:hint="eastAsia"/>
        </w:rPr>
        <w:t>的规定。</w:t>
      </w:r>
    </w:p>
    <w:p>
      <w:pPr>
        <w:pStyle w:val="124"/>
        <w:spacing w:before="156" w:after="156"/>
      </w:pPr>
      <w:r>
        <w:rPr>
          <w:rFonts w:hint="eastAsia"/>
        </w:rPr>
        <w:t>产品</w:t>
      </w:r>
      <w:r>
        <w:t>的</w:t>
      </w:r>
      <w:r>
        <w:rPr>
          <w:rFonts w:hint="eastAsia"/>
        </w:rPr>
        <w:t>费氏粒度、中位径、松装密度和氧含量、碳含量</w:t>
      </w:r>
    </w:p>
    <w:tbl>
      <w:tblPr>
        <w:tblStyle w:val="31"/>
        <w:tblW w:w="4994" w:type="pct"/>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866"/>
        <w:gridCol w:w="1508"/>
        <w:gridCol w:w="1975"/>
        <w:gridCol w:w="1405"/>
        <w:gridCol w:w="1423"/>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3" w:type="pct"/>
            <w:tcBorders>
              <w:top w:val="single" w:color="auto" w:sz="12" w:space="0"/>
              <w:left w:val="single" w:color="auto" w:sz="12" w:space="0"/>
              <w:bottom w:val="single" w:color="auto" w:sz="12" w:space="0"/>
              <w:right w:val="single" w:color="auto" w:sz="4" w:space="0"/>
            </w:tcBorders>
            <w:vAlign w:val="center"/>
          </w:tcPr>
          <w:p>
            <w:pPr>
              <w:spacing w:before="50"/>
              <w:jc w:val="center"/>
              <w:rPr>
                <w:rFonts w:hint="default" w:ascii="Times New Roman" w:hAnsi="Times New Roman" w:cs="Times New Roman"/>
                <w:sz w:val="18"/>
              </w:rPr>
            </w:pPr>
            <w:r>
              <w:rPr>
                <w:rFonts w:hint="default" w:ascii="Times New Roman" w:hAnsi="Times New Roman" w:cs="Times New Roman"/>
                <w:sz w:val="18"/>
                <w:szCs w:val="18"/>
              </w:rPr>
              <w:t>牌号</w:t>
            </w:r>
          </w:p>
        </w:tc>
        <w:tc>
          <w:tcPr>
            <w:tcW w:w="976" w:type="pct"/>
            <w:tcBorders>
              <w:top w:val="single" w:color="auto" w:sz="12" w:space="0"/>
              <w:left w:val="single" w:color="auto" w:sz="4" w:space="0"/>
              <w:bottom w:val="single" w:color="auto" w:sz="12" w:space="0"/>
              <w:right w:val="single" w:color="auto" w:sz="8" w:space="0"/>
            </w:tcBorders>
            <w:vAlign w:val="center"/>
          </w:tcPr>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费氏粒度</w:t>
            </w:r>
          </w:p>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FSSS/μm</w:t>
            </w:r>
          </w:p>
        </w:tc>
        <w:tc>
          <w:tcPr>
            <w:tcW w:w="789" w:type="pct"/>
            <w:tcBorders>
              <w:top w:val="single" w:color="auto" w:sz="12" w:space="0"/>
              <w:left w:val="single" w:color="auto" w:sz="4" w:space="0"/>
              <w:bottom w:val="single" w:color="auto" w:sz="12" w:space="0"/>
              <w:right w:val="single" w:color="auto" w:sz="8" w:space="0"/>
            </w:tcBorders>
            <w:vAlign w:val="center"/>
          </w:tcPr>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中位径</w:t>
            </w:r>
          </w:p>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D50/μm</w:t>
            </w:r>
          </w:p>
        </w:tc>
        <w:tc>
          <w:tcPr>
            <w:tcW w:w="1033" w:type="pct"/>
            <w:tcBorders>
              <w:top w:val="single" w:color="auto" w:sz="12" w:space="0"/>
              <w:left w:val="single" w:color="auto" w:sz="4" w:space="0"/>
              <w:bottom w:val="single" w:color="auto" w:sz="12" w:space="0"/>
              <w:right w:val="single" w:color="auto" w:sz="8" w:space="0"/>
            </w:tcBorders>
            <w:vAlign w:val="center"/>
          </w:tcPr>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松装密度</w:t>
            </w:r>
          </w:p>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AD/(g/cm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w:t>
            </w:r>
          </w:p>
        </w:tc>
        <w:tc>
          <w:tcPr>
            <w:tcW w:w="735" w:type="pct"/>
            <w:tcBorders>
              <w:top w:val="single" w:color="auto" w:sz="12" w:space="0"/>
              <w:left w:val="single" w:color="auto" w:sz="4" w:space="0"/>
              <w:bottom w:val="single" w:color="auto" w:sz="12" w:space="0"/>
              <w:right w:val="single" w:color="auto" w:sz="8" w:space="0"/>
            </w:tcBorders>
            <w:vAlign w:val="center"/>
          </w:tcPr>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氧含量</w:t>
            </w:r>
          </w:p>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40" w:type="pct"/>
            <w:tcBorders>
              <w:top w:val="single" w:color="auto" w:sz="12" w:space="0"/>
              <w:left w:val="single" w:color="auto" w:sz="4" w:space="0"/>
              <w:bottom w:val="single" w:color="auto" w:sz="12" w:space="0"/>
              <w:right w:val="single" w:color="auto" w:sz="12" w:space="0"/>
            </w:tcBorders>
            <w:vAlign w:val="center"/>
          </w:tcPr>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碳含量</w:t>
            </w:r>
          </w:p>
          <w:p>
            <w:pPr>
              <w:spacing w:before="50"/>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hint="default" w:ascii="Times New Roman" w:hAnsi="Times New Roman" w:cs="Times New Roman"/>
                <w:kern w:val="0"/>
                <w:sz w:val="18"/>
                <w:szCs w:val="18"/>
              </w:rPr>
            </w:pPr>
            <w:r>
              <w:rPr>
                <w:rFonts w:hint="default" w:ascii="Times New Roman" w:hAnsi="Times New Roman" w:eastAsia="宋体" w:cs="Times New Roman"/>
                <w:sz w:val="18"/>
                <w:szCs w:val="18"/>
              </w:rPr>
              <w:t>HCoF-</w:t>
            </w:r>
            <w:r>
              <w:rPr>
                <w:rFonts w:hint="eastAsia" w:ascii="Times New Roman" w:hAnsi="Times New Roman" w:eastAsia="宋体" w:cs="Times New Roman"/>
                <w:sz w:val="18"/>
                <w:szCs w:val="18"/>
                <w:lang w:val="en-US" w:eastAsia="zh-CN"/>
              </w:rPr>
              <w:t>0</w:t>
            </w:r>
          </w:p>
        </w:tc>
        <w:tc>
          <w:tcPr>
            <w:tcW w:w="1866" w:type="dxa"/>
            <w:tcBorders>
              <w:top w:val="single" w:color="auto" w:sz="12"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508" w:type="dxa"/>
            <w:tcBorders>
              <w:top w:val="single" w:color="auto" w:sz="12"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eastAsia" w:ascii="Times New Roman" w:hAnsi="Times New Roman" w:eastAsia="宋体" w:cs="Times New Roman"/>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30</w:t>
            </w:r>
          </w:p>
        </w:tc>
        <w:tc>
          <w:tcPr>
            <w:tcW w:w="1975" w:type="dxa"/>
            <w:tcBorders>
              <w:top w:val="single" w:color="auto" w:sz="12"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ascii="Times New Roman" w:hAnsi="Times New Roman" w:eastAsia="宋体" w:cs="Times New Roman"/>
                <w:i w:val="0"/>
                <w:iCs w:val="0"/>
                <w:color w:val="000000"/>
                <w:kern w:val="0"/>
                <w:sz w:val="18"/>
                <w:szCs w:val="18"/>
                <w:u w:val="none"/>
                <w:lang w:val="en-US" w:eastAsia="zh-CN" w:bidi="ar"/>
              </w:rPr>
              <w:t>8</w:t>
            </w:r>
            <w:r>
              <w:rPr>
                <w:rFonts w:hint="default" w:ascii="Times New Roman" w:hAnsi="Times New Roman" w:eastAsia="宋体" w:cs="Times New Roman"/>
                <w:i w:val="0"/>
                <w:iCs w:val="0"/>
                <w:color w:val="000000"/>
                <w:kern w:val="0"/>
                <w:sz w:val="18"/>
                <w:szCs w:val="18"/>
                <w:u w:val="none"/>
                <w:lang w:val="en-US" w:eastAsia="zh-CN" w:bidi="ar"/>
              </w:rPr>
              <w:t>0~</w:t>
            </w:r>
            <w:r>
              <w:rPr>
                <w:rFonts w:hint="eastAsia" w:ascii="Times New Roman" w:hAnsi="Times New Roman" w:eastAsia="宋体" w:cs="Times New Roman"/>
                <w:i w:val="0"/>
                <w:iCs w:val="0"/>
                <w:color w:val="000000"/>
                <w:kern w:val="0"/>
                <w:sz w:val="18"/>
                <w:szCs w:val="18"/>
                <w:u w:val="none"/>
                <w:lang w:val="en-US" w:eastAsia="zh-CN" w:bidi="ar"/>
              </w:rPr>
              <w:t>2.3</w:t>
            </w:r>
            <w:r>
              <w:rPr>
                <w:rFonts w:hint="default" w:ascii="Times New Roman" w:hAnsi="Times New Roman" w:eastAsia="宋体" w:cs="Times New Roman"/>
                <w:i w:val="0"/>
                <w:iCs w:val="0"/>
                <w:color w:val="000000"/>
                <w:kern w:val="0"/>
                <w:sz w:val="18"/>
                <w:szCs w:val="18"/>
                <w:u w:val="none"/>
                <w:lang w:val="en-US" w:eastAsia="zh-CN" w:bidi="ar"/>
              </w:rPr>
              <w:t>0</w:t>
            </w:r>
          </w:p>
        </w:tc>
        <w:tc>
          <w:tcPr>
            <w:tcW w:w="1405" w:type="dxa"/>
            <w:tcBorders>
              <w:top w:val="single" w:color="auto" w:sz="12"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≤0.40</w:t>
            </w:r>
          </w:p>
        </w:tc>
        <w:tc>
          <w:tcPr>
            <w:tcW w:w="1423" w:type="dxa"/>
            <w:tcBorders>
              <w:top w:val="single" w:color="auto" w:sz="12" w:space="0"/>
              <w:left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2" w:type="dxa"/>
            <w:tcBorders>
              <w:top w:val="single" w:color="auto" w:sz="4" w:space="0"/>
              <w:left w:val="single" w:color="auto" w:sz="12" w:space="0"/>
              <w:right w:val="single" w:color="auto" w:sz="4" w:space="0"/>
            </w:tcBorders>
            <w:vAlign w:val="center"/>
          </w:tcPr>
          <w:p>
            <w:pPr>
              <w:spacing w:line="360" w:lineRule="auto"/>
              <w:jc w:val="center"/>
              <w:rPr>
                <w:rFonts w:hint="default" w:ascii="Times New Roman" w:hAnsi="Times New Roman" w:cs="Times New Roman"/>
                <w:sz w:val="18"/>
              </w:rPr>
            </w:pPr>
            <w:r>
              <w:rPr>
                <w:rFonts w:hint="default" w:ascii="Times New Roman" w:hAnsi="Times New Roman" w:eastAsia="宋体" w:cs="Times New Roman"/>
                <w:sz w:val="18"/>
                <w:szCs w:val="18"/>
              </w:rPr>
              <w:t>HCoF-</w:t>
            </w:r>
            <w:r>
              <w:rPr>
                <w:rFonts w:hint="eastAsia" w:ascii="Times New Roman" w:hAnsi="Times New Roman" w:eastAsia="宋体" w:cs="Times New Roman"/>
                <w:sz w:val="18"/>
                <w:szCs w:val="18"/>
                <w:lang w:val="en-US" w:eastAsia="zh-CN"/>
              </w:rPr>
              <w:t>1</w:t>
            </w:r>
          </w:p>
        </w:tc>
        <w:tc>
          <w:tcPr>
            <w:tcW w:w="186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eastAsia" w:ascii="Times New Roman" w:hAnsi="Times New Roman" w:eastAsia="宋体" w:cs="Times New Roman"/>
                <w:i w:val="0"/>
                <w:iCs w:val="0"/>
                <w:color w:val="000000"/>
                <w:kern w:val="0"/>
                <w:sz w:val="18"/>
                <w:szCs w:val="18"/>
                <w:u w:val="none"/>
                <w:lang w:val="en-US" w:eastAsia="zh-CN" w:bidi="ar"/>
              </w:rPr>
              <w:t>1.5</w:t>
            </w:r>
            <w:r>
              <w:rPr>
                <w:rFonts w:hint="default" w:ascii="Times New Roman" w:hAnsi="Times New Roman" w:eastAsia="宋体" w:cs="Times New Roman"/>
                <w:i w:val="0"/>
                <w:iCs w:val="0"/>
                <w:color w:val="000000"/>
                <w:kern w:val="0"/>
                <w:sz w:val="18"/>
                <w:szCs w:val="18"/>
                <w:u w:val="none"/>
                <w:lang w:val="en-US" w:eastAsia="zh-CN" w:bidi="ar"/>
              </w:rPr>
              <w:t>0</w:t>
            </w: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b w:val="0"/>
                <w:bCs w:val="0"/>
                <w:i w:val="0"/>
                <w:iCs w:val="0"/>
                <w:color w:val="000000"/>
                <w:kern w:val="0"/>
                <w:sz w:val="18"/>
                <w:szCs w:val="18"/>
                <w:u w:val="none"/>
                <w:lang w:val="en-US" w:eastAsia="zh-CN" w:bidi="ar"/>
              </w:rPr>
              <w:t>FSSS</w:t>
            </w:r>
            <w:r>
              <w:rPr>
                <w:rFonts w:hint="eastAsia" w:ascii="Times New Roman" w:hAnsi="Times New Roman" w:eastAsia="宋体" w:cs="Times New Roman"/>
                <w:i w:val="0"/>
                <w:iCs w:val="0"/>
                <w:color w:val="000000"/>
                <w:kern w:val="0"/>
                <w:sz w:val="18"/>
                <w:szCs w:val="18"/>
                <w:u w:val="none"/>
                <w:lang w:val="en-US" w:eastAsia="zh-CN" w:bidi="ar"/>
              </w:rPr>
              <w:t>＜2.00</w:t>
            </w:r>
          </w:p>
        </w:tc>
        <w:tc>
          <w:tcPr>
            <w:tcW w:w="1508"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97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0.70~1.20</w:t>
            </w:r>
          </w:p>
        </w:tc>
        <w:tc>
          <w:tcPr>
            <w:tcW w:w="140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≤0.40</w:t>
            </w:r>
          </w:p>
        </w:tc>
        <w:tc>
          <w:tcPr>
            <w:tcW w:w="1423"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2" w:type="dxa"/>
            <w:tcBorders>
              <w:left w:val="single" w:color="auto" w:sz="12" w:space="0"/>
              <w:right w:val="single" w:color="auto" w:sz="4" w:space="0"/>
            </w:tcBorders>
            <w:vAlign w:val="center"/>
          </w:tcPr>
          <w:p>
            <w:pPr>
              <w:spacing w:line="360" w:lineRule="auto"/>
              <w:jc w:val="center"/>
              <w:rPr>
                <w:rFonts w:hint="default" w:ascii="Times New Roman" w:hAnsi="Times New Roman" w:cs="Times New Roman"/>
                <w:sz w:val="18"/>
              </w:rPr>
            </w:pPr>
            <w:r>
              <w:rPr>
                <w:rFonts w:hint="default" w:ascii="Times New Roman" w:hAnsi="Times New Roman" w:eastAsia="宋体" w:cs="Times New Roman"/>
                <w:sz w:val="18"/>
                <w:szCs w:val="18"/>
              </w:rPr>
              <w:t>HCoF-</w:t>
            </w:r>
            <w:r>
              <w:rPr>
                <w:rFonts w:hint="eastAsia" w:ascii="Times New Roman" w:hAnsi="Times New Roman" w:eastAsia="宋体" w:cs="Times New Roman"/>
                <w:sz w:val="18"/>
                <w:szCs w:val="18"/>
                <w:lang w:val="en-US" w:eastAsia="zh-CN"/>
              </w:rPr>
              <w:t>2</w:t>
            </w:r>
          </w:p>
        </w:tc>
        <w:tc>
          <w:tcPr>
            <w:tcW w:w="186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b w:val="0"/>
                <w:bCs w:val="0"/>
                <w:i w:val="0"/>
                <w:iCs w:val="0"/>
                <w:color w:val="000000"/>
                <w:kern w:val="0"/>
                <w:sz w:val="18"/>
                <w:szCs w:val="18"/>
                <w:u w:val="none"/>
                <w:lang w:val="en-US" w:eastAsia="zh-CN" w:bidi="ar"/>
              </w:rPr>
              <w:t>FSSS</w:t>
            </w: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1.50</w:t>
            </w:r>
          </w:p>
        </w:tc>
        <w:tc>
          <w:tcPr>
            <w:tcW w:w="1508"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5</w:t>
            </w:r>
          </w:p>
        </w:tc>
        <w:tc>
          <w:tcPr>
            <w:tcW w:w="197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0.60~1.20</w:t>
            </w:r>
          </w:p>
        </w:tc>
        <w:tc>
          <w:tcPr>
            <w:tcW w:w="140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≤0.50</w:t>
            </w:r>
          </w:p>
        </w:tc>
        <w:tc>
          <w:tcPr>
            <w:tcW w:w="1423"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Times New Roman" w:hAnsi="Times New Roman" w:eastAsia="宋体" w:cs="Times New Roman"/>
                <w:kern w:val="0"/>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≤0.03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2" w:type="dxa"/>
            <w:tcBorders>
              <w:left w:val="single" w:color="auto" w:sz="12" w:space="0"/>
              <w:right w:val="single" w:color="auto" w:sz="4" w:space="0"/>
            </w:tcBorders>
            <w:vAlign w:val="center"/>
          </w:tcPr>
          <w:p>
            <w:pPr>
              <w:spacing w:line="360" w:lineRule="auto"/>
              <w:jc w:val="center"/>
              <w:rPr>
                <w:rFonts w:hint="default" w:ascii="Times New Roman" w:hAnsi="Times New Roman" w:cs="Times New Roman"/>
                <w:kern w:val="0"/>
                <w:sz w:val="18"/>
                <w:szCs w:val="18"/>
              </w:rPr>
            </w:pPr>
            <w:r>
              <w:rPr>
                <w:rFonts w:hint="default" w:ascii="Times New Roman" w:hAnsi="Times New Roman" w:eastAsia="宋体" w:cs="Times New Roman"/>
                <w:sz w:val="18"/>
                <w:szCs w:val="18"/>
              </w:rPr>
              <w:t>HCoF-</w:t>
            </w:r>
            <w:r>
              <w:rPr>
                <w:rFonts w:hint="eastAsia" w:ascii="Times New Roman" w:hAnsi="Times New Roman" w:eastAsia="宋体" w:cs="Times New Roman"/>
                <w:sz w:val="18"/>
                <w:szCs w:val="18"/>
                <w:lang w:val="en-US" w:eastAsia="zh-CN"/>
              </w:rPr>
              <w:t>3</w:t>
            </w:r>
          </w:p>
        </w:tc>
        <w:tc>
          <w:tcPr>
            <w:tcW w:w="186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eastAsia" w:ascii="Times New Roman" w:hAnsi="Times New Roman" w:eastAsia="宋体" w:cs="Times New Roman"/>
                <w:i w:val="0"/>
                <w:iCs w:val="0"/>
                <w:color w:val="000000"/>
                <w:kern w:val="0"/>
                <w:sz w:val="18"/>
                <w:szCs w:val="18"/>
                <w:u w:val="none"/>
                <w:lang w:val="en-US" w:eastAsia="zh-CN" w:bidi="ar"/>
              </w:rPr>
              <w:t>0.80≤</w:t>
            </w:r>
            <w:r>
              <w:rPr>
                <w:rFonts w:hint="default" w:ascii="Times New Roman" w:hAnsi="Times New Roman" w:eastAsia="宋体" w:cs="Times New Roman"/>
                <w:b w:val="0"/>
                <w:bCs w:val="0"/>
                <w:i w:val="0"/>
                <w:iCs w:val="0"/>
                <w:color w:val="000000"/>
                <w:kern w:val="0"/>
                <w:sz w:val="18"/>
                <w:szCs w:val="18"/>
                <w:u w:val="none"/>
                <w:lang w:val="en-US" w:eastAsia="zh-CN" w:bidi="ar"/>
              </w:rPr>
              <w:t>FSSS</w:t>
            </w: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0</w:t>
            </w:r>
            <w:r>
              <w:rPr>
                <w:rFonts w:hint="default" w:ascii="Times New Roman" w:hAnsi="Times New Roman" w:eastAsia="宋体" w:cs="Times New Roman"/>
                <w:i w:val="0"/>
                <w:iCs w:val="0"/>
                <w:color w:val="000000"/>
                <w:kern w:val="0"/>
                <w:sz w:val="18"/>
                <w:szCs w:val="18"/>
                <w:u w:val="none"/>
                <w:lang w:val="en-US" w:eastAsia="zh-CN" w:bidi="ar"/>
              </w:rPr>
              <w:t>0</w:t>
            </w:r>
          </w:p>
        </w:tc>
        <w:tc>
          <w:tcPr>
            <w:tcW w:w="1508"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97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0.60~</w:t>
            </w:r>
            <w:r>
              <w:rPr>
                <w:rFonts w:hint="eastAsia"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lang w:val="en-US" w:eastAsia="zh-CN" w:bidi="ar"/>
              </w:rPr>
              <w:t>0</w:t>
            </w:r>
          </w:p>
        </w:tc>
        <w:tc>
          <w:tcPr>
            <w:tcW w:w="140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≤0.70</w:t>
            </w:r>
          </w:p>
        </w:tc>
        <w:tc>
          <w:tcPr>
            <w:tcW w:w="1423"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2" w:type="dxa"/>
            <w:tcBorders>
              <w:left w:val="single" w:color="auto" w:sz="12" w:space="0"/>
              <w:right w:val="single" w:color="auto" w:sz="4" w:space="0"/>
            </w:tcBorders>
            <w:vAlign w:val="center"/>
          </w:tcPr>
          <w:p>
            <w:pPr>
              <w:spacing w:line="360" w:lineRule="auto"/>
              <w:jc w:val="center"/>
              <w:rPr>
                <w:rFonts w:hint="default" w:ascii="Times New Roman" w:hAnsi="Times New Roman" w:cs="Times New Roman"/>
                <w:kern w:val="0"/>
                <w:sz w:val="18"/>
                <w:szCs w:val="18"/>
              </w:rPr>
            </w:pPr>
            <w:r>
              <w:rPr>
                <w:rFonts w:hint="default" w:ascii="Times New Roman" w:hAnsi="Times New Roman" w:eastAsia="宋体" w:cs="Times New Roman"/>
                <w:sz w:val="18"/>
                <w:szCs w:val="18"/>
              </w:rPr>
              <w:t>HCoF-</w:t>
            </w:r>
            <w:r>
              <w:rPr>
                <w:rFonts w:hint="eastAsia" w:ascii="Times New Roman" w:hAnsi="Times New Roman" w:eastAsia="宋体" w:cs="Times New Roman"/>
                <w:sz w:val="18"/>
                <w:szCs w:val="18"/>
                <w:lang w:val="en-US" w:eastAsia="zh-CN"/>
              </w:rPr>
              <w:t>4</w:t>
            </w:r>
          </w:p>
        </w:tc>
        <w:tc>
          <w:tcPr>
            <w:tcW w:w="186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eastAsia" w:ascii="Times New Roman" w:hAnsi="Times New Roman" w:eastAsia="宋体" w:cs="Times New Roman"/>
                <w:i w:val="0"/>
                <w:iCs w:val="0"/>
                <w:color w:val="000000"/>
                <w:kern w:val="0"/>
                <w:sz w:val="18"/>
                <w:szCs w:val="18"/>
                <w:u w:val="none"/>
                <w:lang w:val="en-US" w:eastAsia="zh-CN" w:bidi="ar"/>
              </w:rPr>
              <w:t>0.60≤</w:t>
            </w:r>
            <w:r>
              <w:rPr>
                <w:rFonts w:hint="default" w:ascii="Times New Roman" w:hAnsi="Times New Roman" w:eastAsia="宋体" w:cs="Times New Roman"/>
                <w:b w:val="0"/>
                <w:bCs w:val="0"/>
                <w:i w:val="0"/>
                <w:iCs w:val="0"/>
                <w:color w:val="000000"/>
                <w:kern w:val="0"/>
                <w:sz w:val="18"/>
                <w:szCs w:val="18"/>
                <w:u w:val="none"/>
                <w:lang w:val="en-US" w:eastAsia="zh-CN" w:bidi="ar"/>
              </w:rPr>
              <w:t>FSSS</w:t>
            </w: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0.80</w:t>
            </w:r>
          </w:p>
        </w:tc>
        <w:tc>
          <w:tcPr>
            <w:tcW w:w="1508"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97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0.50~0.</w:t>
            </w:r>
            <w:r>
              <w:rPr>
                <w:rFonts w:hint="eastAsia" w:ascii="Times New Roman" w:hAnsi="Times New Roman" w:eastAsia="宋体" w:cs="Times New Roman"/>
                <w:i w:val="0"/>
                <w:iCs w:val="0"/>
                <w:color w:val="000000"/>
                <w:kern w:val="0"/>
                <w:sz w:val="18"/>
                <w:szCs w:val="18"/>
                <w:u w:val="none"/>
                <w:lang w:val="en-US" w:eastAsia="zh-CN" w:bidi="ar"/>
              </w:rPr>
              <w:t>90</w:t>
            </w:r>
          </w:p>
        </w:tc>
        <w:tc>
          <w:tcPr>
            <w:tcW w:w="140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≤0.80</w:t>
            </w:r>
          </w:p>
        </w:tc>
        <w:tc>
          <w:tcPr>
            <w:tcW w:w="1423"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≤0.03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82" w:type="dxa"/>
            <w:tcBorders>
              <w:left w:val="single" w:color="auto" w:sz="12" w:space="0"/>
              <w:right w:val="single" w:color="auto" w:sz="4" w:space="0"/>
            </w:tcBorders>
            <w:vAlign w:val="center"/>
          </w:tcPr>
          <w:p>
            <w:pPr>
              <w:spacing w:line="360" w:lineRule="auto"/>
              <w:jc w:val="center"/>
              <w:rPr>
                <w:rFonts w:hint="default" w:ascii="Times New Roman" w:hAnsi="Times New Roman" w:cs="Times New Roman"/>
                <w:sz w:val="18"/>
                <w:szCs w:val="18"/>
              </w:rPr>
            </w:pPr>
            <w:r>
              <w:rPr>
                <w:rFonts w:hint="default" w:ascii="Times New Roman" w:hAnsi="Times New Roman" w:eastAsia="宋体" w:cs="Times New Roman"/>
                <w:sz w:val="18"/>
                <w:szCs w:val="18"/>
              </w:rPr>
              <w:t>HCoF-</w:t>
            </w:r>
            <w:r>
              <w:rPr>
                <w:rFonts w:hint="eastAsia" w:ascii="Times New Roman" w:hAnsi="Times New Roman" w:eastAsia="宋体" w:cs="Times New Roman"/>
                <w:sz w:val="18"/>
                <w:szCs w:val="18"/>
                <w:lang w:val="en-US" w:eastAsia="zh-CN"/>
              </w:rPr>
              <w:t>5</w:t>
            </w:r>
          </w:p>
        </w:tc>
        <w:tc>
          <w:tcPr>
            <w:tcW w:w="1866"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w:t>
            </w:r>
            <w:r>
              <w:rPr>
                <w:rFonts w:hint="eastAsia" w:ascii="Times New Roman" w:hAnsi="Times New Roman" w:eastAsia="宋体" w:cs="Times New Roman"/>
                <w:i w:val="0"/>
                <w:iCs w:val="0"/>
                <w:color w:val="000000"/>
                <w:kern w:val="0"/>
                <w:sz w:val="18"/>
                <w:szCs w:val="18"/>
                <w:u w:val="none"/>
                <w:lang w:val="en-US" w:eastAsia="zh-CN" w:bidi="ar"/>
              </w:rPr>
              <w:t>6</w:t>
            </w:r>
            <w:r>
              <w:rPr>
                <w:rFonts w:hint="default" w:ascii="Times New Roman" w:hAnsi="Times New Roman" w:eastAsia="宋体" w:cs="Times New Roman"/>
                <w:i w:val="0"/>
                <w:iCs w:val="0"/>
                <w:color w:val="000000"/>
                <w:kern w:val="0"/>
                <w:sz w:val="18"/>
                <w:szCs w:val="18"/>
                <w:u w:val="none"/>
                <w:lang w:val="en-US" w:eastAsia="zh-CN" w:bidi="ar"/>
              </w:rPr>
              <w:t>0</w:t>
            </w:r>
          </w:p>
        </w:tc>
        <w:tc>
          <w:tcPr>
            <w:tcW w:w="1508"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97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ascii="Times New Roman" w:hAnsi="Times New Roman" w:eastAsia="宋体" w:cs="Times New Roman"/>
                <w:i w:val="0"/>
                <w:iCs w:val="0"/>
                <w:color w:val="000000"/>
                <w:kern w:val="0"/>
                <w:sz w:val="18"/>
                <w:szCs w:val="18"/>
                <w:u w:val="none"/>
                <w:lang w:val="en-US" w:eastAsia="zh-CN" w:bidi="ar"/>
              </w:rPr>
              <w:t>4</w:t>
            </w:r>
            <w:r>
              <w:rPr>
                <w:rFonts w:hint="default" w:ascii="Times New Roman" w:hAnsi="Times New Roman" w:eastAsia="宋体" w:cs="Times New Roman"/>
                <w:i w:val="0"/>
                <w:iCs w:val="0"/>
                <w:color w:val="000000"/>
                <w:kern w:val="0"/>
                <w:sz w:val="18"/>
                <w:szCs w:val="18"/>
                <w:u w:val="none"/>
                <w:lang w:val="en-US" w:eastAsia="zh-CN" w:bidi="ar"/>
              </w:rPr>
              <w:t>0~0.8</w:t>
            </w:r>
            <w:r>
              <w:rPr>
                <w:rFonts w:hint="eastAsia" w:ascii="Times New Roman" w:hAnsi="Times New Roman" w:eastAsia="宋体" w:cs="Times New Roman"/>
                <w:i w:val="0"/>
                <w:iCs w:val="0"/>
                <w:color w:val="000000"/>
                <w:kern w:val="0"/>
                <w:sz w:val="18"/>
                <w:szCs w:val="18"/>
                <w:u w:val="none"/>
                <w:lang w:val="en-US" w:eastAsia="zh-CN" w:bidi="ar"/>
              </w:rPr>
              <w:t>0</w:t>
            </w:r>
          </w:p>
        </w:tc>
        <w:tc>
          <w:tcPr>
            <w:tcW w:w="1405"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1.00</w:t>
            </w:r>
          </w:p>
        </w:tc>
        <w:tc>
          <w:tcPr>
            <w:tcW w:w="1423"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default" w:ascii="Times New Roman" w:hAnsi="Times New Roman" w:cs="Times New Roman"/>
                <w:kern w:val="0"/>
                <w:sz w:val="18"/>
                <w:szCs w:val="18"/>
                <w:lang w:bidi="ar"/>
              </w:rPr>
            </w:pPr>
            <w:r>
              <w:rPr>
                <w:rFonts w:hint="default" w:ascii="Times New Roman" w:hAnsi="Times New Roman" w:eastAsia="宋体" w:cs="Times New Roman"/>
                <w:i w:val="0"/>
                <w:iCs w:val="0"/>
                <w:color w:val="000000"/>
                <w:kern w:val="0"/>
                <w:sz w:val="18"/>
                <w:szCs w:val="18"/>
                <w:u w:val="none"/>
                <w:lang w:val="en-US" w:eastAsia="zh-CN" w:bidi="ar"/>
              </w:rPr>
              <w:t>≤0.0</w:t>
            </w: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gridSpan w:val="6"/>
            <w:tcBorders>
              <w:left w:val="single" w:color="auto" w:sz="12" w:space="0"/>
              <w:bottom w:val="single" w:color="auto" w:sz="12" w:space="0"/>
              <w:right w:val="single" w:color="auto" w:sz="12" w:space="0"/>
            </w:tcBorders>
            <w:vAlign w:val="center"/>
          </w:tcPr>
          <w:p>
            <w:pPr>
              <w:spacing w:before="50"/>
              <w:ind w:firstLine="540" w:firstLineChars="300"/>
              <w:jc w:val="left"/>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注：如需方对费氏粒度、松装密度、中位径</w:t>
            </w:r>
            <w:r>
              <w:rPr>
                <w:rFonts w:hint="eastAsia" w:cs="Times New Roman"/>
                <w:kern w:val="0"/>
                <w:sz w:val="18"/>
                <w:szCs w:val="18"/>
                <w:lang w:val="en-US" w:eastAsia="zh-CN" w:bidi="ar"/>
              </w:rPr>
              <w:t>项目</w:t>
            </w:r>
            <w:r>
              <w:rPr>
                <w:rFonts w:hint="default" w:ascii="Times New Roman" w:hAnsi="Times New Roman" w:cs="Times New Roman"/>
                <w:kern w:val="0"/>
                <w:sz w:val="18"/>
                <w:szCs w:val="18"/>
                <w:lang w:bidi="ar"/>
              </w:rPr>
              <w:t>有特殊要求，由供需双方协商确定。</w:t>
            </w:r>
          </w:p>
        </w:tc>
      </w:tr>
    </w:tbl>
    <w:p>
      <w:pPr>
        <w:pStyle w:val="40"/>
        <w:spacing w:before="156" w:after="156"/>
      </w:pPr>
      <w:r>
        <w:rPr>
          <w:rFonts w:hint="eastAsia"/>
        </w:rPr>
        <w:t>产品的化学成分</w:t>
      </w:r>
    </w:p>
    <w:p>
      <w:pPr>
        <w:pStyle w:val="22"/>
        <w:rPr>
          <w:rFonts w:hint="eastAsia"/>
        </w:rPr>
      </w:pPr>
      <w:r>
        <w:rPr>
          <w:rFonts w:hint="eastAsia"/>
        </w:rPr>
        <w:t>产品的化学成分分为</w:t>
      </w:r>
      <w:r>
        <w:rPr>
          <w:rFonts w:hint="eastAsia"/>
          <w:lang w:val="en-US" w:eastAsia="zh-CN"/>
        </w:rPr>
        <w:t>四</w:t>
      </w:r>
      <w:r>
        <w:rPr>
          <w:rFonts w:hint="eastAsia"/>
        </w:rPr>
        <w:t>个等级，应符合表</w:t>
      </w:r>
      <w:r>
        <w:rPr>
          <w:rFonts w:hint="default" w:ascii="Times New Roman" w:hAnsi="Times New Roman" w:cs="Times New Roman"/>
        </w:rPr>
        <w:t>2</w:t>
      </w:r>
      <w:r>
        <w:rPr>
          <w:rFonts w:hint="eastAsia"/>
        </w:rPr>
        <w:t>的规定。</w:t>
      </w:r>
    </w:p>
    <w:p>
      <w:pPr>
        <w:pStyle w:val="22"/>
        <w:rPr>
          <w:rFonts w:hint="eastAsia"/>
        </w:rPr>
      </w:pPr>
    </w:p>
    <w:p>
      <w:pPr>
        <w:pStyle w:val="124"/>
        <w:spacing w:before="156" w:after="156"/>
      </w:pPr>
      <w:r>
        <w:rPr>
          <w:rFonts w:hint="eastAsia"/>
        </w:rPr>
        <w:t>产品</w:t>
      </w:r>
      <w:r>
        <w:t>的化学成分</w:t>
      </w:r>
    </w:p>
    <w:tbl>
      <w:tblPr>
        <w:tblStyle w:val="3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
        <w:gridCol w:w="498"/>
        <w:gridCol w:w="543"/>
        <w:gridCol w:w="543"/>
        <w:gridCol w:w="543"/>
        <w:gridCol w:w="543"/>
        <w:gridCol w:w="543"/>
        <w:gridCol w:w="543"/>
        <w:gridCol w:w="543"/>
        <w:gridCol w:w="543"/>
        <w:gridCol w:w="543"/>
        <w:gridCol w:w="543"/>
        <w:gridCol w:w="543"/>
        <w:gridCol w:w="544"/>
        <w:gridCol w:w="544"/>
        <w:gridCol w:w="544"/>
        <w:gridCol w:w="544"/>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vMerge w:val="restart"/>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等级</w:t>
            </w:r>
          </w:p>
        </w:tc>
        <w:tc>
          <w:tcPr>
            <w:tcW w:w="4819" w:type="pct"/>
            <w:gridSpan w:val="17"/>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vMerge w:val="continue"/>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p>
        </w:tc>
        <w:tc>
          <w:tcPr>
            <w:tcW w:w="260" w:type="pct"/>
            <w:vMerge w:val="restart"/>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Co</w:t>
            </w:r>
          </w:p>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w:t>
            </w:r>
          </w:p>
        </w:tc>
        <w:tc>
          <w:tcPr>
            <w:tcW w:w="4559" w:type="pct"/>
            <w:gridSpan w:val="16"/>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杂质含量≤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vMerge w:val="continue"/>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p>
        </w:tc>
        <w:tc>
          <w:tcPr>
            <w:tcW w:w="260" w:type="pct"/>
            <w:vMerge w:val="continue"/>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Ni</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Cu</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Fe</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Ca</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Mg</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Pb</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Zn</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Cd</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Mn</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Na</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Al</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Si</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sz w:val="13"/>
                <w:szCs w:val="13"/>
                <w:vertAlign w:val="baseline"/>
                <w:lang w:val="en-US" w:eastAsia="zh-CN"/>
              </w:rPr>
            </w:pPr>
            <w:r>
              <w:rPr>
                <w:rFonts w:hint="default" w:ascii="Times New Roman" w:hAnsi="Times New Roman" w:eastAsia="宋体" w:cs="Times New Roman"/>
                <w:b w:val="0"/>
                <w:bCs w:val="0"/>
                <w:i w:val="0"/>
                <w:iCs w:val="0"/>
                <w:color w:val="000000"/>
                <w:kern w:val="0"/>
                <w:sz w:val="13"/>
                <w:szCs w:val="13"/>
                <w:u w:val="none"/>
                <w:lang w:val="en-US" w:eastAsia="zh-CN" w:bidi="ar"/>
              </w:rPr>
              <w:t>S</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default" w:ascii="Times New Roman" w:hAnsi="Times New Roman" w:eastAsia="宋体" w:cs="Times New Roman"/>
                <w:b w:val="0"/>
                <w:bCs w:val="0"/>
                <w:i w:val="0"/>
                <w:iCs w:val="0"/>
                <w:color w:val="auto"/>
                <w:kern w:val="0"/>
                <w:sz w:val="13"/>
                <w:szCs w:val="13"/>
                <w:u w:val="none"/>
                <w:lang w:val="en-US" w:eastAsia="zh-CN" w:bidi="ar"/>
              </w:rPr>
              <w:t>Cr</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default" w:ascii="Times New Roman" w:hAnsi="Times New Roman" w:eastAsia="宋体" w:cs="Times New Roman"/>
                <w:b w:val="0"/>
                <w:bCs w:val="0"/>
                <w:i w:val="0"/>
                <w:iCs w:val="0"/>
                <w:color w:val="auto"/>
                <w:kern w:val="0"/>
                <w:sz w:val="13"/>
                <w:szCs w:val="13"/>
                <w:u w:val="none"/>
                <w:lang w:val="en-US" w:eastAsia="zh-CN" w:bidi="ar"/>
              </w:rPr>
              <w:t>Mo</w:t>
            </w:r>
          </w:p>
        </w:tc>
        <w:tc>
          <w:tcPr>
            <w:tcW w:w="287"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default" w:ascii="Times New Roman" w:hAnsi="Times New Roman" w:eastAsia="宋体" w:cs="Times New Roman"/>
                <w:b w:val="0"/>
                <w:bCs w:val="0"/>
                <w:i w:val="0"/>
                <w:iCs w:val="0"/>
                <w:color w:val="auto"/>
                <w:kern w:val="0"/>
                <w:sz w:val="13"/>
                <w:szCs w:val="13"/>
                <w:u w:val="none"/>
                <w:lang w:val="en-US" w:eastAsia="zh-CN" w:bidi="ar"/>
              </w:rPr>
              <w: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a</w:t>
            </w:r>
          </w:p>
        </w:tc>
        <w:tc>
          <w:tcPr>
            <w:tcW w:w="260"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99.9</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0.002</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0.002</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0.002</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0.002</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0.002</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0.001</w:t>
            </w:r>
          </w:p>
        </w:tc>
        <w:tc>
          <w:tcPr>
            <w:tcW w:w="287"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b</w:t>
            </w:r>
          </w:p>
        </w:tc>
        <w:tc>
          <w:tcPr>
            <w:tcW w:w="260"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99.9</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highlight w:val="none"/>
                <w:vertAlign w:val="baseline"/>
                <w:lang w:val="en-US" w:eastAsia="zh-CN"/>
              </w:rPr>
            </w:pPr>
            <w:r>
              <w:rPr>
                <w:rFonts w:hint="default" w:ascii="Times New Roman" w:hAnsi="Times New Roman" w:eastAsia="宋体" w:cs="Times New Roman"/>
                <w:b w:val="0"/>
                <w:bCs w:val="0"/>
                <w:i w:val="0"/>
                <w:iCs w:val="0"/>
                <w:color w:val="auto"/>
                <w:kern w:val="0"/>
                <w:sz w:val="13"/>
                <w:szCs w:val="13"/>
                <w:highlight w:val="none"/>
                <w:u w:val="none"/>
                <w:lang w:val="en-US" w:eastAsia="zh-CN" w:bidi="ar"/>
              </w:rPr>
              <w:t>0.00</w:t>
            </w:r>
            <w:r>
              <w:rPr>
                <w:rFonts w:hint="eastAsia" w:cs="Times New Roman"/>
                <w:b w:val="0"/>
                <w:bCs w:val="0"/>
                <w:i w:val="0"/>
                <w:iCs w:val="0"/>
                <w:color w:val="auto"/>
                <w:kern w:val="0"/>
                <w:sz w:val="13"/>
                <w:szCs w:val="13"/>
                <w:highlight w:val="none"/>
                <w:u w:val="none"/>
                <w:lang w:val="en-US" w:eastAsia="zh-CN" w:bidi="ar"/>
              </w:rPr>
              <w:t>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0.002</w:t>
            </w:r>
          </w:p>
        </w:tc>
        <w:tc>
          <w:tcPr>
            <w:tcW w:w="287"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c</w:t>
            </w:r>
          </w:p>
        </w:tc>
        <w:tc>
          <w:tcPr>
            <w:tcW w:w="260"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99.9</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w:t>
            </w:r>
            <w:r>
              <w:rPr>
                <w:rFonts w:hint="eastAsia" w:ascii="Times New Roman" w:hAnsi="Times New Roman" w:eastAsia="宋体" w:cs="Times New Roman"/>
                <w:b w:val="0"/>
                <w:bCs w:val="0"/>
                <w:i w:val="0"/>
                <w:iCs w:val="0"/>
                <w:color w:val="auto"/>
                <w:kern w:val="0"/>
                <w:sz w:val="13"/>
                <w:szCs w:val="13"/>
                <w:u w:val="none"/>
                <w:lang w:val="en-US" w:eastAsia="zh-CN" w:bidi="ar"/>
              </w:rPr>
              <w:t>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w:t>
            </w:r>
            <w:r>
              <w:rPr>
                <w:rFonts w:hint="eastAsia" w:ascii="Times New Roman" w:hAnsi="Times New Roman" w:eastAsia="宋体" w:cs="Times New Roman"/>
                <w:b w:val="0"/>
                <w:bCs w:val="0"/>
                <w:i w:val="0"/>
                <w:iCs w:val="0"/>
                <w:color w:val="auto"/>
                <w:kern w:val="0"/>
                <w:sz w:val="13"/>
                <w:szCs w:val="13"/>
                <w:u w:val="none"/>
                <w:lang w:val="en-US" w:eastAsia="zh-CN" w:bidi="ar"/>
              </w:rPr>
              <w:t>2</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w:t>
            </w:r>
            <w:r>
              <w:rPr>
                <w:rFonts w:hint="eastAsia" w:ascii="Times New Roman" w:hAnsi="Times New Roman" w:eastAsia="宋体" w:cs="Times New Roman"/>
                <w:b w:val="0"/>
                <w:bCs w:val="0"/>
                <w:i w:val="0"/>
                <w:iCs w:val="0"/>
                <w:color w:val="auto"/>
                <w:kern w:val="0"/>
                <w:sz w:val="13"/>
                <w:szCs w:val="13"/>
                <w:u w:val="none"/>
                <w:lang w:val="en-US" w:eastAsia="zh-CN" w:bidi="ar"/>
              </w:rPr>
              <w:t>6</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color w:val="auto"/>
                <w:sz w:val="13"/>
                <w:szCs w:val="13"/>
                <w:vertAlign w:val="baseline"/>
                <w:lang w:val="en-US" w:eastAsia="zh-CN"/>
              </w:rPr>
            </w:pPr>
            <w:r>
              <w:rPr>
                <w:rFonts w:hint="default" w:ascii="Times New Roman" w:hAnsi="Times New Roman" w:eastAsia="宋体" w:cs="Times New Roman"/>
                <w:b w:val="0"/>
                <w:bCs w:val="0"/>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0.003</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0.002</w:t>
            </w:r>
          </w:p>
        </w:tc>
        <w:tc>
          <w:tcPr>
            <w:tcW w:w="287"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b w:val="0"/>
                <w:bCs w:val="0"/>
                <w:i w:val="0"/>
                <w:iCs w:val="0"/>
                <w:color w:val="auto"/>
                <w:kern w:val="0"/>
                <w:sz w:val="13"/>
                <w:szCs w:val="13"/>
                <w:u w:val="none"/>
                <w:lang w:val="en-US" w:eastAsia="zh-CN" w:bidi="ar"/>
              </w:rPr>
            </w:pPr>
            <w:r>
              <w:rPr>
                <w:rFonts w:hint="eastAsia" w:ascii="Times New Roman" w:hAnsi="Times New Roman" w:eastAsia="宋体" w:cs="Times New Roman"/>
                <w:b w:val="0"/>
                <w:bCs w:val="0"/>
                <w:i w:val="0"/>
                <w:iCs w:val="0"/>
                <w:color w:val="auto"/>
                <w:kern w:val="0"/>
                <w:sz w:val="13"/>
                <w:szCs w:val="13"/>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 w:type="pct"/>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eastAsia="宋体" w:cs="Times New Roman"/>
                <w:sz w:val="13"/>
                <w:szCs w:val="13"/>
                <w:vertAlign w:val="baseline"/>
                <w:lang w:val="en-US" w:eastAsia="zh-CN"/>
              </w:rPr>
            </w:pPr>
            <w:r>
              <w:rPr>
                <w:rFonts w:hint="default" w:ascii="Times New Roman" w:hAnsi="Times New Roman" w:eastAsia="宋体" w:cs="Times New Roman"/>
                <w:sz w:val="13"/>
                <w:szCs w:val="13"/>
                <w:vertAlign w:val="baseline"/>
                <w:lang w:val="en-US" w:eastAsia="zh-CN"/>
              </w:rPr>
              <w:t>d</w:t>
            </w:r>
          </w:p>
        </w:tc>
        <w:tc>
          <w:tcPr>
            <w:tcW w:w="260"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99.9</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0.010</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w:t>
            </w:r>
            <w:r>
              <w:rPr>
                <w:rFonts w:hint="eastAsia" w:ascii="Times New Roman" w:hAnsi="Times New Roman" w:eastAsia="宋体" w:cs="Times New Roman"/>
                <w:i w:val="0"/>
                <w:iCs w:val="0"/>
                <w:color w:val="auto"/>
                <w:kern w:val="0"/>
                <w:sz w:val="13"/>
                <w:szCs w:val="13"/>
                <w:u w:val="none"/>
                <w:lang w:val="en-US" w:eastAsia="zh-CN" w:bidi="ar"/>
              </w:rPr>
              <w:t>10</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0.008</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0.01</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color w:val="auto"/>
                <w:sz w:val="13"/>
                <w:szCs w:val="13"/>
                <w:vertAlign w:val="baseline"/>
                <w:lang w:val="en-US" w:eastAsia="zh-CN"/>
              </w:rPr>
            </w:pPr>
            <w:r>
              <w:rPr>
                <w:rFonts w:hint="default" w:ascii="Times New Roman" w:hAnsi="Times New Roman" w:eastAsia="宋体" w:cs="Times New Roman"/>
                <w:i w:val="0"/>
                <w:iCs w:val="0"/>
                <w:color w:val="auto"/>
                <w:kern w:val="0"/>
                <w:sz w:val="13"/>
                <w:szCs w:val="13"/>
                <w:u w:val="none"/>
                <w:lang w:val="en-US" w:eastAsia="zh-CN" w:bidi="ar"/>
              </w:rPr>
              <w:t>0.010</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iCs w:val="0"/>
                <w:color w:val="auto"/>
                <w:kern w:val="0"/>
                <w:sz w:val="13"/>
                <w:szCs w:val="13"/>
                <w:u w:val="none"/>
                <w:lang w:val="en-US" w:eastAsia="zh-CN" w:bidi="ar"/>
              </w:rPr>
            </w:pPr>
            <w:r>
              <w:rPr>
                <w:rFonts w:hint="eastAsia" w:ascii="Times New Roman" w:hAnsi="Times New Roman" w:eastAsia="宋体" w:cs="Times New Roman"/>
                <w:i w:val="0"/>
                <w:iCs w:val="0"/>
                <w:color w:val="auto"/>
                <w:kern w:val="0"/>
                <w:sz w:val="13"/>
                <w:szCs w:val="13"/>
                <w:u w:val="none"/>
                <w:lang w:val="en-US" w:eastAsia="zh-CN" w:bidi="ar"/>
              </w:rPr>
              <w:t>0.005</w:t>
            </w:r>
          </w:p>
        </w:tc>
        <w:tc>
          <w:tcPr>
            <w:tcW w:w="284"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iCs w:val="0"/>
                <w:color w:val="auto"/>
                <w:kern w:val="0"/>
                <w:sz w:val="13"/>
                <w:szCs w:val="13"/>
                <w:u w:val="none"/>
                <w:lang w:val="en-US" w:eastAsia="zh-CN" w:bidi="ar"/>
              </w:rPr>
            </w:pPr>
            <w:r>
              <w:rPr>
                <w:rFonts w:hint="eastAsia" w:ascii="Times New Roman" w:hAnsi="Times New Roman" w:eastAsia="宋体" w:cs="Times New Roman"/>
                <w:i w:val="0"/>
                <w:iCs w:val="0"/>
                <w:color w:val="auto"/>
                <w:kern w:val="0"/>
                <w:sz w:val="13"/>
                <w:szCs w:val="13"/>
                <w:u w:val="none"/>
                <w:lang w:val="en-US" w:eastAsia="zh-CN" w:bidi="ar"/>
              </w:rPr>
              <w:t>0.002</w:t>
            </w:r>
          </w:p>
        </w:tc>
        <w:tc>
          <w:tcPr>
            <w:tcW w:w="287" w:type="pct"/>
            <w:noWrap w:val="0"/>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default" w:ascii="Times New Roman" w:hAnsi="Times New Roman" w:eastAsia="宋体" w:cs="Times New Roman"/>
                <w:i w:val="0"/>
                <w:iCs w:val="0"/>
                <w:color w:val="auto"/>
                <w:kern w:val="0"/>
                <w:sz w:val="13"/>
                <w:szCs w:val="13"/>
                <w:u w:val="none"/>
                <w:lang w:val="en-US" w:eastAsia="zh-CN" w:bidi="ar"/>
              </w:rPr>
            </w:pPr>
            <w:r>
              <w:rPr>
                <w:rFonts w:hint="eastAsia" w:ascii="Times New Roman" w:hAnsi="Times New Roman" w:eastAsia="宋体" w:cs="Times New Roman"/>
                <w:i w:val="0"/>
                <w:iCs w:val="0"/>
                <w:color w:val="auto"/>
                <w:kern w:val="0"/>
                <w:sz w:val="13"/>
                <w:szCs w:val="13"/>
                <w:u w:val="none"/>
                <w:lang w:val="en-US" w:eastAsia="zh-CN" w:bidi="ar"/>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18"/>
            <w:noWrap w:val="0"/>
            <w:vAlign w:val="center"/>
          </w:tcPr>
          <w:p>
            <w:pPr>
              <w:keepNext w:val="0"/>
              <w:keepLines w:val="0"/>
              <w:pageBreakBefore w:val="0"/>
              <w:widowControl/>
              <w:kinsoku/>
              <w:wordWrap/>
              <w:overflowPunct/>
              <w:topLinePunct w:val="0"/>
              <w:bidi w:val="0"/>
              <w:adjustRightInd/>
              <w:snapToGrid/>
              <w:spacing w:line="240" w:lineRule="auto"/>
              <w:ind w:firstLine="390" w:firstLineChars="300"/>
              <w:jc w:val="left"/>
              <w:textAlignment w:val="center"/>
              <w:rPr>
                <w:rFonts w:hint="default" w:ascii="Times New Roman" w:hAnsi="Times New Roman" w:cs="Times New Roman"/>
                <w:kern w:val="0"/>
                <w:sz w:val="13"/>
                <w:szCs w:val="13"/>
                <w:lang w:bidi="ar"/>
              </w:rPr>
            </w:pPr>
            <w:r>
              <w:rPr>
                <w:rFonts w:hint="default" w:ascii="Times New Roman" w:hAnsi="Times New Roman" w:cs="Times New Roman"/>
                <w:kern w:val="0"/>
                <w:sz w:val="13"/>
                <w:szCs w:val="13"/>
                <w:lang w:bidi="ar"/>
              </w:rPr>
              <w:t>注：1.钴含量为差减法计算得到，差减元素为本表所列杂质元素和碳元素；</w:t>
            </w:r>
          </w:p>
          <w:p>
            <w:pPr>
              <w:keepNext w:val="0"/>
              <w:keepLines w:val="0"/>
              <w:pageBreakBefore w:val="0"/>
              <w:widowControl/>
              <w:suppressLineNumbers w:val="0"/>
              <w:kinsoku/>
              <w:wordWrap/>
              <w:overflowPunct/>
              <w:topLinePunct w:val="0"/>
              <w:bidi w:val="0"/>
              <w:adjustRightInd/>
              <w:snapToGrid/>
              <w:spacing w:line="240" w:lineRule="auto"/>
              <w:ind w:firstLine="650" w:firstLineChars="500"/>
              <w:jc w:val="both"/>
              <w:textAlignment w:val="center"/>
              <w:rPr>
                <w:rFonts w:hint="eastAsia" w:ascii="Times New Roman" w:hAnsi="Times New Roman" w:eastAsia="宋体" w:cs="Times New Roman"/>
                <w:i w:val="0"/>
                <w:iCs w:val="0"/>
                <w:color w:val="FF0000"/>
                <w:kern w:val="0"/>
                <w:sz w:val="13"/>
                <w:szCs w:val="13"/>
                <w:u w:val="none"/>
                <w:lang w:val="en-US" w:eastAsia="zh-CN" w:bidi="ar"/>
              </w:rPr>
            </w:pPr>
            <w:r>
              <w:rPr>
                <w:rFonts w:hint="default" w:ascii="Times New Roman" w:hAnsi="Times New Roman" w:cs="Times New Roman"/>
                <w:kern w:val="0"/>
                <w:sz w:val="13"/>
                <w:szCs w:val="13"/>
                <w:lang w:bidi="ar"/>
              </w:rPr>
              <w:t>2.如需方有其他要求时，根据客户的要求进行分析。</w:t>
            </w:r>
          </w:p>
        </w:tc>
      </w:tr>
    </w:tbl>
    <w:p>
      <w:pPr>
        <w:pStyle w:val="22"/>
        <w:keepNext w:val="0"/>
        <w:keepLines w:val="0"/>
        <w:pageBreakBefore w:val="0"/>
        <w:kinsoku/>
        <w:wordWrap/>
        <w:overflowPunct/>
        <w:topLinePunct w:val="0"/>
        <w:bidi w:val="0"/>
        <w:adjustRightInd/>
        <w:snapToGrid/>
        <w:spacing w:line="240" w:lineRule="auto"/>
        <w:rPr>
          <w:sz w:val="15"/>
          <w:szCs w:val="15"/>
        </w:rPr>
      </w:pPr>
    </w:p>
    <w:p>
      <w:pPr>
        <w:pStyle w:val="40"/>
        <w:spacing w:before="156" w:after="156"/>
      </w:pPr>
      <w:r>
        <w:rPr>
          <w:rFonts w:hint="eastAsia"/>
        </w:rPr>
        <w:t>外观</w:t>
      </w:r>
      <w:r>
        <w:t>质量</w:t>
      </w:r>
    </w:p>
    <w:p>
      <w:pPr>
        <w:pStyle w:val="22"/>
      </w:pPr>
      <w:r>
        <w:rPr>
          <w:rFonts w:hint="eastAsia" w:ascii="Times New Roman"/>
          <w:kern w:val="2"/>
          <w:szCs w:val="24"/>
        </w:rPr>
        <w:t>产品应呈灰黑色粉末状，无其他颜色混杂；产品应洁净、干燥、均匀，不得有结块及目视可见的外来夹杂物。</w:t>
      </w:r>
    </w:p>
    <w:p>
      <w:pPr>
        <w:pStyle w:val="43"/>
        <w:spacing w:before="312" w:after="312"/>
        <w:rPr>
          <w:rFonts w:hint="default" w:hAnsi="黑体"/>
          <w:lang w:val="en-US" w:eastAsia="zh-CN"/>
        </w:rPr>
      </w:pPr>
      <w:r>
        <w:rPr>
          <w:rFonts w:hint="eastAsia" w:hAnsi="黑体"/>
          <w:lang w:val="en-US" w:eastAsia="zh-CN"/>
        </w:rPr>
        <w:t>试验方法</w:t>
      </w:r>
    </w:p>
    <w:p>
      <w:pPr>
        <w:pStyle w:val="40"/>
        <w:spacing w:before="156" w:after="156"/>
        <w:rPr>
          <w:rFonts w:hint="default" w:ascii="Times New Roman" w:hAnsi="Times New Roman" w:eastAsia="宋体" w:cs="Times New Roman"/>
        </w:rPr>
      </w:pPr>
      <w:r>
        <w:rPr>
          <w:rFonts w:hint="default" w:ascii="Times New Roman" w:hAnsi="Times New Roman" w:eastAsia="宋体" w:cs="Times New Roman"/>
        </w:rPr>
        <w:t>产品的费氏粒度的测定按</w:t>
      </w:r>
      <w:r>
        <w:rPr>
          <w:rFonts w:hint="default" w:ascii="Times New Roman" w:hAnsi="Times New Roman" w:eastAsia="宋体" w:cs="Times New Roman"/>
          <w:lang w:val="en-US" w:eastAsia="zh-CN"/>
        </w:rPr>
        <w:t>GB/T</w:t>
      </w:r>
      <w:r>
        <w:rPr>
          <w:rFonts w:hint="eastAsia" w:ascii="Times New Roman" w:hAnsi="Times New Roman" w:eastAsia="宋体" w:cs="Times New Roman"/>
          <w:lang w:val="en-US" w:eastAsia="zh-CN"/>
        </w:rPr>
        <w:t xml:space="preserve"> 3249-2022</w:t>
      </w:r>
      <w:r>
        <w:rPr>
          <w:rFonts w:hint="default" w:ascii="Times New Roman" w:hAnsi="Times New Roman" w:eastAsia="宋体" w:cs="Times New Roman"/>
        </w:rPr>
        <w:t>的规定进行。</w:t>
      </w:r>
    </w:p>
    <w:p>
      <w:pPr>
        <w:pStyle w:val="40"/>
        <w:spacing w:before="156" w:after="156"/>
        <w:rPr>
          <w:rFonts w:hint="default" w:ascii="Times New Roman" w:hAnsi="Times New Roman" w:eastAsia="宋体" w:cs="Times New Roman"/>
        </w:rPr>
      </w:pPr>
      <w:r>
        <w:rPr>
          <w:rFonts w:hint="default" w:ascii="Times New Roman" w:hAnsi="Times New Roman" w:eastAsia="宋体" w:cs="Times New Roman"/>
        </w:rPr>
        <w:t>产品的中位径（D</w:t>
      </w:r>
      <w:r>
        <w:rPr>
          <w:rFonts w:hint="default" w:ascii="Times New Roman" w:hAnsi="Times New Roman" w:eastAsia="宋体" w:cs="Times New Roman"/>
          <w:vertAlign w:val="subscript"/>
        </w:rPr>
        <w:t>50</w:t>
      </w:r>
      <w:r>
        <w:rPr>
          <w:rFonts w:hint="default" w:ascii="Times New Roman" w:hAnsi="Times New Roman" w:eastAsia="宋体" w:cs="Times New Roman"/>
        </w:rPr>
        <w:t>）的测定按</w:t>
      </w:r>
      <w:r>
        <w:rPr>
          <w:rFonts w:hint="default" w:ascii="Times New Roman" w:hAnsi="Times New Roman" w:eastAsia="宋体" w:cs="Times New Roman"/>
          <w:lang w:val="en-US" w:eastAsia="zh-CN"/>
        </w:rPr>
        <w:t>GB/T 19077</w:t>
      </w:r>
      <w:r>
        <w:rPr>
          <w:rFonts w:hint="eastAsia" w:ascii="Times New Roman" w:hAnsi="Times New Roman" w:eastAsia="宋体" w:cs="Times New Roman"/>
          <w:lang w:val="en-US" w:eastAsia="zh-CN"/>
        </w:rPr>
        <w:t>-2016</w:t>
      </w:r>
      <w:r>
        <w:rPr>
          <w:rFonts w:hint="default" w:ascii="Times New Roman" w:hAnsi="Times New Roman" w:eastAsia="宋体" w:cs="Times New Roman"/>
        </w:rPr>
        <w:t>的规定进行。</w:t>
      </w:r>
    </w:p>
    <w:p>
      <w:pPr>
        <w:pStyle w:val="40"/>
        <w:spacing w:before="156" w:after="156"/>
        <w:rPr>
          <w:rFonts w:hint="default" w:ascii="Times New Roman" w:hAnsi="Times New Roman" w:eastAsia="宋体" w:cs="Times New Roman"/>
        </w:rPr>
      </w:pPr>
      <w:r>
        <w:rPr>
          <w:rFonts w:hint="default" w:ascii="Times New Roman" w:hAnsi="Times New Roman" w:eastAsia="宋体" w:cs="Times New Roman"/>
        </w:rPr>
        <w:t>产品的松装密度的测定按GB/T 1479的规定进行。</w:t>
      </w:r>
    </w:p>
    <w:p>
      <w:pPr>
        <w:pStyle w:val="40"/>
        <w:spacing w:before="156" w:after="156"/>
        <w:rPr>
          <w:rFonts w:hint="default" w:ascii="Times New Roman" w:hAnsi="Times New Roman" w:eastAsia="宋体" w:cs="Times New Roman"/>
          <w:b/>
          <w:bCs/>
          <w:color w:val="FFFFFF" w:themeColor="background1"/>
          <w14:textFill>
            <w14:solidFill>
              <w14:schemeClr w14:val="bg1"/>
            </w14:solidFill>
          </w14:textFill>
        </w:rPr>
      </w:pPr>
      <w:r>
        <w:rPr>
          <w:rFonts w:hint="default" w:ascii="Times New Roman" w:hAnsi="Times New Roman" w:eastAsia="宋体" w:cs="Times New Roman"/>
        </w:rPr>
        <w:t>产品中的碳、氧含量的测定按YS/T 281的规定进行。</w:t>
      </w:r>
    </w:p>
    <w:p>
      <w:pPr>
        <w:pStyle w:val="40"/>
        <w:spacing w:before="156" w:after="156"/>
        <w:rPr>
          <w:rFonts w:hint="default" w:eastAsia="宋体"/>
          <w:lang w:val="en-US" w:eastAsia="zh-CN"/>
        </w:rPr>
      </w:pPr>
      <w:r>
        <w:rPr>
          <w:rFonts w:hint="default" w:ascii="Times New Roman" w:hAnsi="Times New Roman" w:eastAsia="宋体" w:cs="Times New Roman"/>
        </w:rPr>
        <w:t>产品中的</w:t>
      </w:r>
      <w:r>
        <w:rPr>
          <w:rFonts w:hint="default" w:ascii="Times New Roman" w:hAnsi="Times New Roman" w:eastAsia="宋体" w:cs="Times New Roman"/>
          <w:lang w:val="en-US" w:eastAsia="zh-CN"/>
        </w:rPr>
        <w:t>镍、铜、铁、钙、镁、铅、锌</w:t>
      </w:r>
      <w:r>
        <w:rPr>
          <w:rFonts w:hint="eastAsia" w:ascii="Times New Roman" w:hAnsi="Times New Roman" w:eastAsia="宋体" w:cs="Times New Roman"/>
          <w:lang w:val="en-US" w:eastAsia="zh-CN"/>
        </w:rPr>
        <w:t>、</w:t>
      </w:r>
      <w:r>
        <w:rPr>
          <w:rFonts w:hint="eastAsia" w:ascii="Times New Roman" w:eastAsia="宋体" w:cs="Times New Roman"/>
          <w:lang w:val="en-US" w:eastAsia="zh-CN"/>
        </w:rPr>
        <w:t>镉</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锰</w:t>
      </w:r>
      <w:r>
        <w:rPr>
          <w:rFonts w:hint="eastAsia" w:ascii="Times New Roman" w:hAnsi="Times New Roman" w:eastAsia="宋体" w:cs="Times New Roman"/>
          <w:lang w:val="en-US" w:eastAsia="zh-CN"/>
        </w:rPr>
        <w:t>、钠、铝、硅、硫</w:t>
      </w:r>
      <w:r>
        <w:rPr>
          <w:rFonts w:hint="default" w:ascii="Times New Roman" w:hAnsi="Times New Roman" w:eastAsia="宋体" w:cs="Times New Roman"/>
        </w:rPr>
        <w:t>含量按YS/T 281的规定进行。</w:t>
      </w:r>
    </w:p>
    <w:p>
      <w:pPr>
        <w:pStyle w:val="40"/>
        <w:spacing w:before="156" w:after="156"/>
        <w:rPr>
          <w:rFonts w:hint="default"/>
        </w:rPr>
      </w:pPr>
      <w:r>
        <w:rPr>
          <w:rFonts w:hint="default" w:ascii="Times New Roman" w:hAnsi="Times New Roman" w:eastAsia="宋体" w:cs="Times New Roman"/>
          <w:lang w:val="en-US" w:eastAsia="zh-CN"/>
        </w:rPr>
        <w:t>产品中</w:t>
      </w:r>
      <w:r>
        <w:rPr>
          <w:rFonts w:hint="eastAsia" w:ascii="Times New Roman" w:hAnsi="Times New Roman" w:eastAsia="宋体" w:cs="Times New Roman"/>
          <w:lang w:val="en-US" w:eastAsia="zh-CN"/>
        </w:rPr>
        <w:t>铬的测定按GB/T 15076.9</w:t>
      </w:r>
      <w:r>
        <w:rPr>
          <w:rFonts w:hint="default" w:ascii="Times New Roman" w:hAnsi="Times New Roman" w:eastAsia="宋体" w:cs="Times New Roman"/>
          <w:lang w:val="en-US" w:eastAsia="zh-CN"/>
        </w:rPr>
        <w:t>的规定进行。</w:t>
      </w:r>
    </w:p>
    <w:p>
      <w:pPr>
        <w:pStyle w:val="40"/>
        <w:spacing w:before="156" w:after="156"/>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产品中</w:t>
      </w:r>
      <w:r>
        <w:rPr>
          <w:rFonts w:hint="eastAsia" w:ascii="Times New Roman" w:hAnsi="Times New Roman" w:eastAsia="宋体" w:cs="Times New Roman"/>
          <w:lang w:val="en-US" w:eastAsia="zh-CN"/>
        </w:rPr>
        <w:t>钼的测定按GB/T 1507</w:t>
      </w:r>
      <w:bookmarkStart w:id="23" w:name="_GoBack"/>
      <w:bookmarkEnd w:id="23"/>
      <w:r>
        <w:rPr>
          <w:rFonts w:hint="eastAsia" w:ascii="Times New Roman" w:hAnsi="Times New Roman" w:eastAsia="宋体" w:cs="Times New Roman"/>
          <w:lang w:val="en-US" w:eastAsia="zh-CN"/>
        </w:rPr>
        <w:t>6.5</w:t>
      </w:r>
      <w:r>
        <w:rPr>
          <w:rFonts w:hint="default" w:ascii="Times New Roman" w:hAnsi="Times New Roman" w:eastAsia="宋体" w:cs="Times New Roman"/>
          <w:lang w:val="en-US" w:eastAsia="zh-CN"/>
        </w:rPr>
        <w:t>的规定进行。</w:t>
      </w:r>
    </w:p>
    <w:p>
      <w:pPr>
        <w:pStyle w:val="40"/>
        <w:spacing w:before="156" w:after="156"/>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产品中</w:t>
      </w:r>
      <w:r>
        <w:rPr>
          <w:rFonts w:hint="eastAsia" w:ascii="Times New Roman" w:hAnsi="Times New Roman" w:eastAsia="宋体" w:cs="Times New Roman"/>
          <w:lang w:val="en-US" w:eastAsia="zh-CN"/>
        </w:rPr>
        <w:t xml:space="preserve">氯的测定按GB/T 23945-2009 </w:t>
      </w:r>
      <w:r>
        <w:rPr>
          <w:rFonts w:hint="default" w:ascii="Times New Roman" w:hAnsi="Times New Roman" w:eastAsia="宋体" w:cs="Times New Roman"/>
          <w:lang w:val="en-US" w:eastAsia="zh-CN"/>
        </w:rPr>
        <w:t>的规定进行。</w:t>
      </w:r>
    </w:p>
    <w:p>
      <w:pPr>
        <w:pStyle w:val="40"/>
        <w:spacing w:before="156" w:after="156"/>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产品的外观质量用</w:t>
      </w:r>
      <w:r>
        <w:rPr>
          <w:rFonts w:hint="eastAsia" w:ascii="Times New Roman" w:eastAsia="宋体" w:cs="Times New Roman"/>
          <w:lang w:val="en-US" w:eastAsia="zh-CN"/>
        </w:rPr>
        <w:t>目视法</w:t>
      </w:r>
      <w:r>
        <w:rPr>
          <w:rFonts w:hint="default" w:ascii="Times New Roman" w:hAnsi="Times New Roman" w:eastAsia="宋体" w:cs="Times New Roman"/>
          <w:lang w:val="en-US" w:eastAsia="zh-CN"/>
        </w:rPr>
        <w:t>进行检查。</w:t>
      </w:r>
    </w:p>
    <w:p>
      <w:pPr>
        <w:pStyle w:val="43"/>
        <w:spacing w:before="312" w:after="312"/>
      </w:pPr>
      <w:r>
        <w:rPr>
          <w:rFonts w:hint="eastAsia"/>
        </w:rPr>
        <w:t>检验</w:t>
      </w:r>
      <w:r>
        <w:t>规则</w:t>
      </w:r>
    </w:p>
    <w:p>
      <w:pPr>
        <w:pStyle w:val="40"/>
        <w:spacing w:before="156" w:after="156"/>
      </w:pPr>
      <w:r>
        <w:rPr>
          <w:rFonts w:hint="eastAsia"/>
        </w:rPr>
        <w:t>查检与</w:t>
      </w:r>
      <w:r>
        <w:t>验收</w:t>
      </w:r>
    </w:p>
    <w:p>
      <w:pPr>
        <w:widowControl/>
        <w:numPr>
          <w:ilvl w:val="2"/>
          <w:numId w:val="2"/>
        </w:numPr>
        <w:jc w:val="left"/>
        <w:outlineLvl w:val="3"/>
        <w:rPr>
          <w:rFonts w:hint="default" w:ascii="Times New Roman" w:hAnsi="Times New Roman" w:cs="Times New Roman"/>
          <w:kern w:val="0"/>
          <w:szCs w:val="21"/>
        </w:rPr>
      </w:pPr>
      <w:r>
        <w:rPr>
          <w:rFonts w:hint="default" w:ascii="Times New Roman" w:hAnsi="Times New Roman" w:cs="Times New Roman"/>
          <w:kern w:val="0"/>
          <w:szCs w:val="21"/>
        </w:rPr>
        <w:t>产品应由供方进行检验，保证产品质量符合本文件或合同（或订货单）的规定，并填写质量证明书。</w:t>
      </w:r>
    </w:p>
    <w:p>
      <w:pPr>
        <w:widowControl/>
        <w:numPr>
          <w:ilvl w:val="2"/>
          <w:numId w:val="2"/>
        </w:numPr>
        <w:jc w:val="left"/>
        <w:outlineLvl w:val="3"/>
        <w:rPr>
          <w:rFonts w:hint="default" w:ascii="Times New Roman" w:hAnsi="Times New Roman" w:cs="Times New Roman"/>
          <w:kern w:val="0"/>
          <w:szCs w:val="21"/>
        </w:rPr>
      </w:pPr>
      <w:r>
        <w:rPr>
          <w:rFonts w:hint="default" w:ascii="Times New Roman" w:hAnsi="Times New Roman" w:cs="Times New Roman"/>
          <w:kern w:val="0"/>
          <w:szCs w:val="21"/>
        </w:rPr>
        <w:t>需方应对收到的产品按照本文件或合同（或订货单）的规定进行检验。如检验结果与本文件或合同（或订货单）的规定不符时，应在收到产品之日起一个月内向供方提出，由供需双方协商解决。如需仲裁，仲裁取样在需方，由供需双方共同进行。</w:t>
      </w:r>
    </w:p>
    <w:p>
      <w:pPr>
        <w:pStyle w:val="40"/>
        <w:spacing w:before="156" w:after="156"/>
      </w:pPr>
      <w:r>
        <w:rPr>
          <w:rFonts w:hint="eastAsia"/>
        </w:rPr>
        <w:t>组批</w:t>
      </w:r>
    </w:p>
    <w:p>
      <w:pPr>
        <w:pStyle w:val="22"/>
        <w:rPr>
          <w:rFonts w:hint="default" w:ascii="Times New Roman" w:hAnsi="Times New Roman" w:cs="Times New Roman"/>
          <w:highlight w:val="none"/>
        </w:rPr>
      </w:pPr>
      <w:r>
        <w:rPr>
          <w:rFonts w:hint="default" w:ascii="Times New Roman" w:hAnsi="Times New Roman" w:cs="Times New Roman"/>
          <w:kern w:val="2"/>
          <w:szCs w:val="24"/>
          <w:highlight w:val="none"/>
        </w:rPr>
        <w:t>产品</w:t>
      </w:r>
      <w:r>
        <w:rPr>
          <w:rFonts w:hint="default" w:ascii="Times New Roman" w:hAnsi="Times New Roman" w:cs="Times New Roman"/>
          <w:color w:val="000000"/>
          <w:kern w:val="2"/>
          <w:szCs w:val="24"/>
          <w:highlight w:val="none"/>
        </w:rPr>
        <w:t>应成批提交验收，每批应由同一生产周期、同一牌号、同一规格的产品组成，每批重量不超过5 t。需方有特殊要求时，可由双方协商确定。</w:t>
      </w:r>
    </w:p>
    <w:p>
      <w:pPr>
        <w:pStyle w:val="40"/>
        <w:spacing w:before="156" w:after="156"/>
        <w:rPr>
          <w:highlight w:val="none"/>
        </w:rPr>
      </w:pPr>
      <w:r>
        <w:rPr>
          <w:rFonts w:hint="eastAsia"/>
          <w:highlight w:val="none"/>
        </w:rPr>
        <w:t>检验</w:t>
      </w:r>
      <w:r>
        <w:rPr>
          <w:highlight w:val="none"/>
        </w:rPr>
        <w:t>项目及取样</w:t>
      </w:r>
    </w:p>
    <w:p>
      <w:pPr>
        <w:widowControl/>
        <w:ind w:firstLine="420" w:firstLineChars="200"/>
        <w:jc w:val="left"/>
        <w:outlineLvl w:val="3"/>
        <w:rPr>
          <w:rFonts w:hint="default" w:ascii="Times New Roman" w:hAnsi="Times New Roman" w:cs="Times New Roman"/>
          <w:szCs w:val="21"/>
        </w:rPr>
      </w:pPr>
      <w:r>
        <w:rPr>
          <w:rFonts w:hint="default" w:ascii="Times New Roman" w:hAnsi="Times New Roman" w:cs="Times New Roman"/>
          <w:szCs w:val="21"/>
        </w:rPr>
        <w:t>每批产品出厂前应进行化学成分、物理性能和外观质量的检验，产品的检验项目及取样方法应符合表3的规定。</w:t>
      </w:r>
    </w:p>
    <w:p>
      <w:pPr>
        <w:pStyle w:val="124"/>
        <w:numPr>
          <w:ilvl w:val="0"/>
          <w:numId w:val="0"/>
        </w:numPr>
        <w:spacing w:before="156" w:after="156"/>
      </w:pPr>
      <w:r>
        <w:rPr>
          <w:rFonts w:hint="eastAsia"/>
        </w:rPr>
        <w:t>表3 产品检验项目及取样规定</w:t>
      </w:r>
    </w:p>
    <w:tbl>
      <w:tblPr>
        <w:tblStyle w:val="31"/>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996"/>
        <w:gridCol w:w="1996"/>
        <w:gridCol w:w="215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96" w:type="dxa"/>
            <w:tcBorders>
              <w:bottom w:val="single" w:color="auto" w:sz="12"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检验项目</w:t>
            </w:r>
          </w:p>
        </w:tc>
        <w:tc>
          <w:tcPr>
            <w:tcW w:w="1996" w:type="dxa"/>
            <w:tcBorders>
              <w:bottom w:val="single" w:color="auto" w:sz="12"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取样规定</w:t>
            </w:r>
          </w:p>
        </w:tc>
        <w:tc>
          <w:tcPr>
            <w:tcW w:w="1996" w:type="dxa"/>
            <w:tcBorders>
              <w:bottom w:val="single" w:color="auto" w:sz="12"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要求章节号</w:t>
            </w:r>
          </w:p>
        </w:tc>
        <w:tc>
          <w:tcPr>
            <w:tcW w:w="2152" w:type="dxa"/>
            <w:tcBorders>
              <w:bottom w:val="single" w:color="auto" w:sz="12"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实验方法章节号</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996" w:type="dxa"/>
            <w:tcBorders>
              <w:top w:val="single" w:color="auto" w:sz="12" w:space="0"/>
              <w:bottom w:val="single" w:color="auto" w:sz="4"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费氏粒度</w:t>
            </w:r>
          </w:p>
        </w:tc>
        <w:tc>
          <w:tcPr>
            <w:tcW w:w="1996" w:type="dxa"/>
            <w:vMerge w:val="restart"/>
            <w:tcBorders>
              <w:top w:val="single" w:color="auto" w:sz="12"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按GB/T 5314的规定</w:t>
            </w:r>
          </w:p>
        </w:tc>
        <w:tc>
          <w:tcPr>
            <w:tcW w:w="1996" w:type="dxa"/>
            <w:vMerge w:val="restart"/>
            <w:tcBorders>
              <w:top w:val="single" w:color="auto" w:sz="12"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w:t>
            </w:r>
          </w:p>
        </w:tc>
        <w:tc>
          <w:tcPr>
            <w:tcW w:w="2152" w:type="dxa"/>
            <w:tcBorders>
              <w:top w:val="single" w:color="auto" w:sz="12" w:space="0"/>
              <w:bottom w:val="single" w:color="auto" w:sz="4" w:space="0"/>
            </w:tcBorders>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996" w:type="dxa"/>
            <w:tcBorders>
              <w:top w:val="single" w:color="auto" w:sz="4" w:space="0"/>
              <w:bottom w:val="single" w:color="auto" w:sz="4"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中位径</w:t>
            </w:r>
          </w:p>
        </w:tc>
        <w:tc>
          <w:tcPr>
            <w:tcW w:w="1996" w:type="dxa"/>
            <w:vMerge w:val="continue"/>
            <w:vAlign w:val="center"/>
          </w:tcPr>
          <w:p>
            <w:pPr>
              <w:spacing w:line="400" w:lineRule="exact"/>
              <w:jc w:val="center"/>
              <w:rPr>
                <w:rFonts w:hint="default" w:ascii="Times New Roman" w:hAnsi="Times New Roman" w:eastAsia="宋体" w:cs="Times New Roman"/>
                <w:sz w:val="18"/>
                <w:szCs w:val="18"/>
              </w:rPr>
            </w:pPr>
          </w:p>
        </w:tc>
        <w:tc>
          <w:tcPr>
            <w:tcW w:w="1996" w:type="dxa"/>
            <w:vMerge w:val="continue"/>
            <w:vAlign w:val="center"/>
          </w:tcPr>
          <w:p>
            <w:pPr>
              <w:spacing w:line="400" w:lineRule="exact"/>
              <w:jc w:val="center"/>
              <w:rPr>
                <w:rFonts w:hint="default" w:ascii="Times New Roman" w:hAnsi="Times New Roman" w:eastAsia="宋体" w:cs="Times New Roman"/>
                <w:sz w:val="18"/>
                <w:szCs w:val="18"/>
              </w:rPr>
            </w:pPr>
          </w:p>
        </w:tc>
        <w:tc>
          <w:tcPr>
            <w:tcW w:w="2152" w:type="dxa"/>
            <w:tcBorders>
              <w:top w:val="single" w:color="auto" w:sz="4" w:space="0"/>
              <w:bottom w:val="single" w:color="auto" w:sz="4"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996" w:type="dxa"/>
            <w:tcBorders>
              <w:top w:val="single" w:color="auto" w:sz="4"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松装密度</w:t>
            </w:r>
          </w:p>
        </w:tc>
        <w:tc>
          <w:tcPr>
            <w:tcW w:w="1996" w:type="dxa"/>
            <w:vMerge w:val="continue"/>
            <w:vAlign w:val="center"/>
          </w:tcPr>
          <w:p>
            <w:pPr>
              <w:spacing w:line="400" w:lineRule="exact"/>
              <w:jc w:val="center"/>
              <w:rPr>
                <w:rFonts w:hint="default" w:ascii="Times New Roman" w:hAnsi="Times New Roman" w:eastAsia="宋体" w:cs="Times New Roman"/>
                <w:sz w:val="18"/>
                <w:szCs w:val="18"/>
              </w:rPr>
            </w:pPr>
          </w:p>
        </w:tc>
        <w:tc>
          <w:tcPr>
            <w:tcW w:w="1996" w:type="dxa"/>
            <w:vMerge w:val="continue"/>
            <w:vAlign w:val="center"/>
          </w:tcPr>
          <w:p>
            <w:pPr>
              <w:spacing w:line="400" w:lineRule="exact"/>
              <w:jc w:val="center"/>
              <w:rPr>
                <w:rFonts w:hint="default" w:ascii="Times New Roman" w:hAnsi="Times New Roman" w:eastAsia="宋体" w:cs="Times New Roman"/>
                <w:sz w:val="18"/>
                <w:szCs w:val="18"/>
              </w:rPr>
            </w:pPr>
          </w:p>
        </w:tc>
        <w:tc>
          <w:tcPr>
            <w:tcW w:w="2152" w:type="dxa"/>
            <w:tcBorders>
              <w:top w:val="single" w:color="auto" w:sz="4" w:space="0"/>
            </w:tcBorders>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4.3</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96" w:type="dxa"/>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化学成分</w:t>
            </w:r>
          </w:p>
        </w:tc>
        <w:tc>
          <w:tcPr>
            <w:tcW w:w="1996" w:type="dxa"/>
            <w:vMerge w:val="continue"/>
            <w:vAlign w:val="center"/>
          </w:tcPr>
          <w:p>
            <w:pPr>
              <w:spacing w:line="400" w:lineRule="exact"/>
              <w:jc w:val="center"/>
              <w:rPr>
                <w:rFonts w:hint="default" w:ascii="Times New Roman" w:hAnsi="Times New Roman" w:eastAsia="宋体" w:cs="Times New Roman"/>
                <w:sz w:val="18"/>
                <w:szCs w:val="18"/>
              </w:rPr>
            </w:pPr>
          </w:p>
        </w:tc>
        <w:tc>
          <w:tcPr>
            <w:tcW w:w="1996" w:type="dxa"/>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3.2、3.3</w:t>
            </w:r>
          </w:p>
        </w:tc>
        <w:tc>
          <w:tcPr>
            <w:tcW w:w="2152" w:type="dxa"/>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rPr>
              <w:t>4.5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996" w:type="dxa"/>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外观质量</w:t>
            </w:r>
          </w:p>
        </w:tc>
        <w:tc>
          <w:tcPr>
            <w:tcW w:w="1996" w:type="dxa"/>
            <w:vAlign w:val="center"/>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逐桶</w:t>
            </w:r>
          </w:p>
        </w:tc>
        <w:tc>
          <w:tcPr>
            <w:tcW w:w="1996" w:type="dxa"/>
          </w:tcPr>
          <w:p>
            <w:pPr>
              <w:spacing w:line="4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3.4</w:t>
            </w:r>
          </w:p>
        </w:tc>
        <w:tc>
          <w:tcPr>
            <w:tcW w:w="215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4.6</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40" w:type="dxa"/>
            <w:gridSpan w:val="4"/>
            <w:vAlign w:val="center"/>
          </w:tcPr>
          <w:p>
            <w:pPr>
              <w:ind w:firstLine="360" w:firstLineChars="200"/>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注：物理性能由供方根据生产情况以工艺保证产品达到本文件的要求。</w:t>
            </w:r>
          </w:p>
        </w:tc>
      </w:tr>
    </w:tbl>
    <w:p>
      <w:pPr>
        <w:widowControl/>
        <w:spacing w:before="156" w:beforeLines="50"/>
        <w:ind w:firstLine="420" w:firstLineChars="200"/>
        <w:jc w:val="left"/>
        <w:outlineLvl w:val="3"/>
        <w:rPr>
          <w:b w:val="0"/>
          <w:bCs w:val="0"/>
          <w:color w:val="auto"/>
          <w:kern w:val="0"/>
          <w:szCs w:val="21"/>
          <w:highlight w:val="none"/>
        </w:rPr>
      </w:pPr>
      <w:r>
        <w:rPr>
          <w:rFonts w:hint="eastAsia"/>
          <w:b w:val="0"/>
          <w:bCs w:val="0"/>
          <w:color w:val="auto"/>
          <w:kern w:val="0"/>
          <w:szCs w:val="21"/>
          <w:highlight w:val="none"/>
        </w:rPr>
        <w:t>每批取样总量不得少于</w:t>
      </w:r>
      <w:r>
        <w:rPr>
          <w:b w:val="0"/>
          <w:bCs w:val="0"/>
          <w:color w:val="auto"/>
          <w:kern w:val="0"/>
          <w:szCs w:val="21"/>
          <w:highlight w:val="none"/>
        </w:rPr>
        <w:t>5 kg</w:t>
      </w:r>
      <w:r>
        <w:rPr>
          <w:rFonts w:hint="eastAsia"/>
          <w:b w:val="0"/>
          <w:bCs w:val="0"/>
          <w:color w:val="auto"/>
          <w:kern w:val="0"/>
          <w:szCs w:val="21"/>
          <w:highlight w:val="none"/>
        </w:rPr>
        <w:t>。</w:t>
      </w:r>
    </w:p>
    <w:p>
      <w:pPr>
        <w:pStyle w:val="40"/>
        <w:spacing w:before="156" w:after="156"/>
      </w:pPr>
      <w:r>
        <w:rPr>
          <w:rFonts w:hint="eastAsia"/>
        </w:rPr>
        <w:t>检验</w:t>
      </w:r>
      <w:r>
        <w:t>结果判断</w:t>
      </w:r>
    </w:p>
    <w:p>
      <w:pPr>
        <w:pStyle w:val="44"/>
        <w:bidi w:val="0"/>
        <w:rPr>
          <w:rFonts w:hint="default" w:ascii="Times New Roman" w:hAnsi="Times New Roman" w:cs="Times New Roman"/>
          <w:highlight w:val="none"/>
        </w:rPr>
      </w:pPr>
      <w:r>
        <w:rPr>
          <w:rFonts w:hint="default" w:ascii="Times New Roman" w:hAnsi="Times New Roman" w:eastAsia="宋体" w:cs="Times New Roman"/>
          <w:kern w:val="2"/>
          <w:sz w:val="21"/>
          <w:szCs w:val="24"/>
          <w:highlight w:val="none"/>
          <w:lang w:val="en-US" w:eastAsia="zh-CN" w:bidi="ar-SA"/>
        </w:rPr>
        <w:t>产品的费氏粒度、</w:t>
      </w:r>
      <w:r>
        <w:rPr>
          <w:rFonts w:hint="default" w:ascii="Times New Roman" w:hAnsi="Times New Roman" w:eastAsia="宋体" w:cs="Times New Roman"/>
          <w:kern w:val="0"/>
          <w:szCs w:val="21"/>
        </w:rPr>
        <w:t>中位径、松装密度</w:t>
      </w:r>
      <w:r>
        <w:rPr>
          <w:rFonts w:hint="default" w:ascii="Times New Roman" w:hAnsi="Times New Roman" w:eastAsia="宋体" w:cs="Times New Roman"/>
          <w:kern w:val="2"/>
          <w:sz w:val="21"/>
          <w:szCs w:val="24"/>
          <w:highlight w:val="none"/>
          <w:lang w:val="en-US" w:eastAsia="zh-CN" w:bidi="ar-SA"/>
        </w:rPr>
        <w:t>检验不符合本文件规定时，应在该批产品中对不符合本文件规定的项目取双倍数量的样品按4.</w:t>
      </w:r>
      <w:r>
        <w:rPr>
          <w:rFonts w:hint="eastAsia" w:ascii="Times New Roman" w:eastAsia="宋体" w:cs="Times New Roman"/>
          <w:kern w:val="2"/>
          <w:sz w:val="21"/>
          <w:szCs w:val="24"/>
          <w:highlight w:val="none"/>
          <w:lang w:val="en-US" w:eastAsia="zh-CN" w:bidi="ar-SA"/>
        </w:rPr>
        <w:t>1</w:t>
      </w:r>
      <w:r>
        <w:rPr>
          <w:rFonts w:hint="default" w:ascii="Times New Roman" w:hAnsi="Times New Roman" w:eastAsia="宋体" w:cs="Times New Roman"/>
          <w:kern w:val="2"/>
          <w:sz w:val="21"/>
          <w:szCs w:val="24"/>
          <w:highlight w:val="none"/>
          <w:lang w:val="en-US" w:eastAsia="zh-CN" w:bidi="ar-SA"/>
        </w:rPr>
        <w:t>~4.</w:t>
      </w:r>
      <w:r>
        <w:rPr>
          <w:rFonts w:hint="eastAsia" w:ascii="Times New Roman" w:eastAsia="宋体" w:cs="Times New Roman"/>
          <w:kern w:val="2"/>
          <w:sz w:val="21"/>
          <w:szCs w:val="24"/>
          <w:highlight w:val="none"/>
          <w:lang w:val="en-US" w:eastAsia="zh-CN" w:bidi="ar-SA"/>
        </w:rPr>
        <w:t>3</w:t>
      </w:r>
      <w:r>
        <w:rPr>
          <w:rFonts w:hint="default" w:ascii="Times New Roman" w:hAnsi="Times New Roman" w:eastAsia="宋体" w:cs="Times New Roman"/>
          <w:kern w:val="2"/>
          <w:sz w:val="21"/>
          <w:szCs w:val="24"/>
          <w:highlight w:val="none"/>
          <w:lang w:val="en-US" w:eastAsia="zh-CN" w:bidi="ar-SA"/>
        </w:rPr>
        <w:t>所规定的检验项目进行重复检验。如仍有一个结果不符合本文件的规定时，则判该批产品为不合格。</w:t>
      </w:r>
    </w:p>
    <w:p>
      <w:pPr>
        <w:pStyle w:val="44"/>
        <w:bidi w:val="0"/>
        <w:rPr>
          <w:rFonts w:hint="default" w:ascii="Times New Roman" w:hAnsi="Times New Roman" w:cs="Times New Roman"/>
          <w:szCs w:val="21"/>
          <w:highlight w:val="none"/>
        </w:rPr>
      </w:pPr>
      <w:r>
        <w:rPr>
          <w:rFonts w:hint="default" w:ascii="Times New Roman" w:hAnsi="Times New Roman" w:eastAsia="宋体" w:cs="Times New Roman"/>
          <w:kern w:val="2"/>
          <w:sz w:val="21"/>
          <w:szCs w:val="24"/>
          <w:highlight w:val="none"/>
          <w:lang w:val="en-US" w:eastAsia="zh-CN" w:bidi="ar-SA"/>
        </w:rPr>
        <w:t>产品的化学成分检验不符合本文件规定时，应在该批产品中对不符合本文件规定的项目取双倍数量的样品按4.</w:t>
      </w:r>
      <w:r>
        <w:rPr>
          <w:rFonts w:hint="eastAsia" w:ascii="Times New Roman" w:eastAsia="宋体" w:cs="Times New Roman"/>
          <w:kern w:val="2"/>
          <w:sz w:val="21"/>
          <w:szCs w:val="24"/>
          <w:highlight w:val="none"/>
          <w:lang w:val="en-US" w:eastAsia="zh-CN" w:bidi="ar-SA"/>
        </w:rPr>
        <w:t>4</w:t>
      </w:r>
      <w:r>
        <w:rPr>
          <w:rFonts w:hint="default" w:ascii="Times New Roman" w:hAnsi="Times New Roman" w:eastAsia="宋体" w:cs="Times New Roman"/>
          <w:kern w:val="2"/>
          <w:sz w:val="21"/>
          <w:szCs w:val="24"/>
          <w:highlight w:val="none"/>
          <w:lang w:val="en-US" w:eastAsia="zh-CN" w:bidi="ar-SA"/>
        </w:rPr>
        <w:t>~4.</w:t>
      </w:r>
      <w:r>
        <w:rPr>
          <w:rFonts w:hint="eastAsia" w:ascii="Times New Roman" w:eastAsia="宋体" w:cs="Times New Roman"/>
          <w:kern w:val="2"/>
          <w:sz w:val="21"/>
          <w:szCs w:val="24"/>
          <w:highlight w:val="none"/>
          <w:lang w:val="en-US" w:eastAsia="zh-CN" w:bidi="ar-SA"/>
        </w:rPr>
        <w:t>5</w:t>
      </w:r>
      <w:r>
        <w:rPr>
          <w:rFonts w:hint="default" w:ascii="Times New Roman" w:hAnsi="Times New Roman" w:eastAsia="宋体" w:cs="Times New Roman"/>
          <w:kern w:val="2"/>
          <w:sz w:val="21"/>
          <w:szCs w:val="24"/>
          <w:highlight w:val="none"/>
          <w:lang w:val="en-US" w:eastAsia="zh-CN" w:bidi="ar-SA"/>
        </w:rPr>
        <w:t>所规定的检验项目进行重复检验。如仍有一个结果不符合本文件的规定时，则判该批产品为不合格。</w:t>
      </w:r>
    </w:p>
    <w:p>
      <w:pPr>
        <w:pStyle w:val="44"/>
        <w:bidi w:val="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产品的外观质量检验</w:t>
      </w:r>
      <w:r>
        <w:rPr>
          <w:rFonts w:hint="default" w:ascii="Times New Roman" w:hAnsi="Times New Roman" w:eastAsia="宋体" w:cs="Times New Roman"/>
        </w:rPr>
        <w:t>不符合本文件规定时</w:t>
      </w:r>
      <w:r>
        <w:rPr>
          <w:rFonts w:hint="default" w:ascii="Times New Roman" w:hAnsi="Times New Roman" w:eastAsia="宋体" w:cs="Times New Roman"/>
          <w:kern w:val="0"/>
          <w:szCs w:val="21"/>
        </w:rPr>
        <w:t>，则判该桶（袋）产品不合格。</w:t>
      </w:r>
    </w:p>
    <w:p>
      <w:pPr>
        <w:pStyle w:val="43"/>
        <w:spacing w:before="312" w:after="312"/>
      </w:pPr>
      <w:r>
        <w:rPr>
          <w:rFonts w:hint="eastAsia"/>
        </w:rPr>
        <w:t>标志</w:t>
      </w:r>
      <w:r>
        <w:t>、包装、运输、贮存</w:t>
      </w:r>
      <w:r>
        <w:rPr>
          <w:rFonts w:hint="eastAsia"/>
          <w:lang w:val="en-US" w:eastAsia="zh-CN"/>
        </w:rPr>
        <w:t>及随行文件</w:t>
      </w:r>
    </w:p>
    <w:p>
      <w:pPr>
        <w:pStyle w:val="40"/>
        <w:spacing w:before="156" w:after="156"/>
      </w:pPr>
      <w:r>
        <w:rPr>
          <w:rFonts w:hint="eastAsia"/>
        </w:rPr>
        <w:t>标志</w:t>
      </w:r>
    </w:p>
    <w:p>
      <w:pPr>
        <w:pStyle w:val="44"/>
        <w:bidi w:val="0"/>
        <w:rPr>
          <w:highlight w:val="none"/>
        </w:rPr>
      </w:pPr>
      <w:r>
        <w:rPr>
          <w:rFonts w:hint="eastAsia"/>
          <w:highlight w:val="none"/>
        </w:rPr>
        <w:t>销售包装标志</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经检验合格的产品销售外包装上应打印如下标志（或贴标签）：</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a) 供方质量监督部门的印记；</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b) 供方名称、商标；</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c) 产品名称、牌号；</w:t>
      </w:r>
    </w:p>
    <w:p>
      <w:pPr>
        <w:tabs>
          <w:tab w:val="left" w:pos="540"/>
        </w:tabs>
        <w:ind w:firstLine="315" w:firstLineChars="150"/>
        <w:outlineLvl w:val="1"/>
        <w:rPr>
          <w:rFonts w:hint="default" w:ascii="Times New Roman" w:hAnsi="Times New Roman" w:cs="Times New Roman"/>
        </w:rPr>
      </w:pPr>
      <w:r>
        <w:rPr>
          <w:rFonts w:hint="default" w:ascii="Times New Roman" w:hAnsi="Times New Roman" w:cs="Times New Roman"/>
        </w:rPr>
        <w:t xml:space="preserve"> d）产品批号。</w:t>
      </w:r>
    </w:p>
    <w:p>
      <w:pPr>
        <w:pStyle w:val="44"/>
        <w:bidi w:val="0"/>
      </w:pPr>
      <w:r>
        <w:rPr>
          <w:rFonts w:hint="eastAsia"/>
        </w:rPr>
        <w:t>贮运包装标志</w:t>
      </w:r>
    </w:p>
    <w:p>
      <w:pPr>
        <w:tabs>
          <w:tab w:val="left" w:pos="540"/>
        </w:tabs>
        <w:ind w:firstLine="420" w:firstLineChars="200"/>
        <w:outlineLvl w:val="1"/>
        <w:rPr>
          <w:rFonts w:ascii="宋体" w:hAnsi="宋体"/>
        </w:rPr>
      </w:pPr>
      <w:r>
        <w:rPr>
          <w:rFonts w:hint="eastAsia" w:ascii="宋体" w:hAnsi="宋体"/>
        </w:rPr>
        <w:t>产品的贮运包装应注明：供方名称、地址、产品名称、商标、牌号、等级、批号、净重和生产日期。并注明“防潮”、“轻放”、“向上”等字样或标志。</w:t>
      </w:r>
    </w:p>
    <w:p>
      <w:pPr>
        <w:pStyle w:val="40"/>
        <w:spacing w:before="156" w:after="156"/>
      </w:pPr>
      <w:r>
        <w:rPr>
          <w:rFonts w:hint="eastAsia"/>
        </w:rPr>
        <w:t>包装</w:t>
      </w:r>
    </w:p>
    <w:p>
      <w:pPr>
        <w:tabs>
          <w:tab w:val="left" w:pos="540"/>
        </w:tabs>
        <w:ind w:firstLine="420" w:firstLineChars="200"/>
        <w:outlineLvl w:val="1"/>
        <w:rPr>
          <w:rFonts w:hint="default" w:ascii="Times New Roman" w:hAnsi="Times New Roman" w:cs="Times New Roman"/>
          <w:highlight w:val="none"/>
        </w:rPr>
      </w:pPr>
      <w:r>
        <w:rPr>
          <w:rFonts w:hint="default" w:ascii="Times New Roman" w:hAnsi="Times New Roman" w:cs="Times New Roman"/>
          <w:highlight w:val="none"/>
        </w:rPr>
        <w:t>产品经检验合格后，采用真空包装或包装袋充保护性气体包装，并放于包装桶中加盖密封，每桶净重50</w:t>
      </w:r>
      <w:r>
        <w:rPr>
          <w:rFonts w:hint="eastAsia" w:cs="Times New Roman"/>
          <w:highlight w:val="none"/>
          <w:lang w:val="en-US" w:eastAsia="zh-CN"/>
        </w:rPr>
        <w:t>k</w:t>
      </w:r>
      <w:r>
        <w:rPr>
          <w:rFonts w:hint="default" w:ascii="Times New Roman" w:hAnsi="Times New Roman" w:cs="Times New Roman"/>
          <w:highlight w:val="none"/>
        </w:rPr>
        <w:t>g。</w:t>
      </w:r>
    </w:p>
    <w:p>
      <w:pPr>
        <w:tabs>
          <w:tab w:val="left" w:pos="540"/>
        </w:tabs>
        <w:ind w:firstLine="420" w:firstLineChars="200"/>
        <w:outlineLvl w:val="1"/>
        <w:rPr>
          <w:rFonts w:hint="default" w:ascii="Times New Roman" w:hAnsi="Times New Roman" w:cs="Times New Roman"/>
          <w:highlight w:val="none"/>
        </w:rPr>
      </w:pPr>
      <w:r>
        <w:rPr>
          <w:rFonts w:hint="default" w:ascii="Times New Roman" w:hAnsi="Times New Roman" w:cs="Times New Roman"/>
          <w:kern w:val="0"/>
          <w:szCs w:val="21"/>
        </w:rPr>
        <w:t>需方对包装有特殊要求时，由供需双方协商确定。</w:t>
      </w:r>
    </w:p>
    <w:p>
      <w:pPr>
        <w:pStyle w:val="40"/>
        <w:spacing w:before="156" w:after="156"/>
      </w:pPr>
      <w:r>
        <w:rPr>
          <w:rFonts w:hint="eastAsia"/>
        </w:rPr>
        <w:t>运输</w:t>
      </w:r>
    </w:p>
    <w:p>
      <w:pPr>
        <w:widowControl/>
        <w:spacing w:before="156" w:beforeLines="50" w:after="156" w:afterLines="50"/>
        <w:ind w:firstLine="420" w:firstLineChars="200"/>
        <w:jc w:val="left"/>
        <w:outlineLvl w:val="3"/>
        <w:rPr>
          <w:rFonts w:ascii="宋体" w:hAnsi="宋体"/>
          <w:color w:val="FFFFFF" w:themeColor="background1"/>
          <w:highlight w:val="red"/>
          <w14:textFill>
            <w14:solidFill>
              <w14:schemeClr w14:val="bg1"/>
            </w14:solidFill>
          </w14:textFill>
        </w:rPr>
      </w:pPr>
      <w:r>
        <w:rPr>
          <w:rFonts w:hint="eastAsia" w:ascii="宋体" w:hAnsi="宋体"/>
        </w:rPr>
        <w:t>运输时防止产品受雨、受潮，运输车辆应清洁。在搬运过程中应轻拿轻放，不</w:t>
      </w:r>
      <w:r>
        <w:rPr>
          <w:rFonts w:hint="eastAsia" w:ascii="宋体" w:hAnsi="宋体"/>
          <w:lang w:val="en-US" w:eastAsia="zh-CN"/>
        </w:rPr>
        <w:t>应</w:t>
      </w:r>
      <w:r>
        <w:rPr>
          <w:rFonts w:hint="eastAsia" w:ascii="宋体" w:hAnsi="宋体"/>
        </w:rPr>
        <w:t>滚动、倒置及剧烈碰撞，并防止产品的密封包装损坏。</w:t>
      </w:r>
    </w:p>
    <w:p>
      <w:pPr>
        <w:pStyle w:val="40"/>
        <w:spacing w:before="156" w:after="156"/>
      </w:pPr>
      <w:r>
        <w:rPr>
          <w:rFonts w:hint="eastAsia"/>
        </w:rPr>
        <w:t>贮存</w:t>
      </w:r>
    </w:p>
    <w:p>
      <w:pPr>
        <w:tabs>
          <w:tab w:val="left" w:pos="540"/>
        </w:tabs>
        <w:ind w:firstLine="420" w:firstLineChars="200"/>
        <w:outlineLvl w:val="1"/>
        <w:rPr>
          <w:rFonts w:ascii="宋体" w:hAnsi="宋体"/>
        </w:rPr>
      </w:pPr>
      <w:r>
        <w:rPr>
          <w:rFonts w:hint="eastAsia" w:ascii="宋体" w:hAnsi="宋体"/>
        </w:rPr>
        <w:t>产品应存放于干燥、通风、无腐蚀性气体的环境中，严防受潮、腐蚀。</w:t>
      </w:r>
    </w:p>
    <w:p>
      <w:pPr>
        <w:pStyle w:val="40"/>
        <w:spacing w:before="156" w:after="156"/>
      </w:pPr>
      <w:r>
        <w:rPr>
          <w:rFonts w:hint="eastAsia"/>
          <w:lang w:val="en-US" w:eastAsia="zh-CN"/>
        </w:rPr>
        <w:t>随行文件</w:t>
      </w:r>
    </w:p>
    <w:p>
      <w:pPr>
        <w:tabs>
          <w:tab w:val="left" w:pos="540"/>
        </w:tabs>
        <w:ind w:left="0" w:firstLine="0" w:firstLineChars="0"/>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宋体" w:hAnsi="宋体"/>
        </w:rPr>
        <w:t>每批产品应附有</w:t>
      </w:r>
      <w:r>
        <w:rPr>
          <w:rFonts w:hint="eastAsia" w:ascii="宋体" w:hAnsi="宋体"/>
          <w:lang w:val="en-US" w:eastAsia="zh-CN"/>
        </w:rPr>
        <w:t>随行文件，其中除应包括供方信息、</w:t>
      </w:r>
      <w:r>
        <w:rPr>
          <w:rFonts w:hint="default" w:ascii="宋体" w:hAnsi="宋体"/>
        </w:rPr>
        <w:t>产品</w:t>
      </w:r>
      <w:r>
        <w:rPr>
          <w:rFonts w:hint="eastAsia" w:ascii="宋体" w:hAnsi="宋体"/>
          <w:lang w:val="en-US" w:eastAsia="zh-CN"/>
        </w:rPr>
        <w:t>信息、本文件编号、出厂日期或包装日期外，还宜包括</w:t>
      </w:r>
      <w:r>
        <w:rPr>
          <w:rFonts w:hint="default" w:ascii="宋体" w:hAnsi="宋体"/>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a) 产品质量保证书</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产品的主要性能及技术参数</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产品特点(包括制造工艺及原材料的特点)</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对产品质量所负的责任</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产品获得的质量认证及带供方技术监督部门检印的各项分析检验结果</w:t>
      </w:r>
      <w:r>
        <w:rPr>
          <w:rFonts w:hint="eastAsia" w:cs="Times New Roman"/>
          <w:color w:val="000000"/>
          <w:lang w:eastAsia="zh-CN"/>
        </w:rPr>
        <w:t>；</w:t>
      </w:r>
    </w:p>
    <w:p>
      <w:pPr>
        <w:tabs>
          <w:tab w:val="left" w:pos="540"/>
        </w:tabs>
        <w:ind w:left="420" w:leftChars="200"/>
        <w:rPr>
          <w:rFonts w:hint="eastAsia" w:cs="Times New Roman"/>
          <w:color w:val="000000"/>
          <w:lang w:eastAsia="zh-CN"/>
        </w:rPr>
      </w:pPr>
      <w:r>
        <w:rPr>
          <w:rFonts w:hint="default" w:ascii="Times New Roman" w:hAnsi="Times New Roman" w:eastAsia="宋体" w:cs="Times New Roman"/>
          <w:color w:val="000000"/>
        </w:rPr>
        <w:t>b) 产品合格证</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检验项目及其结果或检验结论</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批号</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检验日期</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检验员签名或盖章</w:t>
      </w:r>
      <w:r>
        <w:rPr>
          <w:rFonts w:hint="eastAsia" w:ascii="Times New Roman" w:hAnsi="Times New Roman" w:eastAsia="宋体" w:cs="Times New Roman"/>
          <w:color w:val="000000"/>
          <w:lang w:eastAsia="zh-CN"/>
        </w:rPr>
        <w:t>；</w:t>
      </w:r>
    </w:p>
    <w:p>
      <w:pPr>
        <w:tabs>
          <w:tab w:val="left" w:pos="540"/>
        </w:tabs>
        <w:ind w:left="420" w:leftChars="200"/>
        <w:rPr>
          <w:rFonts w:hint="eastAsia" w:cs="Times New Roman"/>
          <w:color w:val="000000"/>
          <w:lang w:eastAsia="zh-CN"/>
        </w:rPr>
      </w:pPr>
      <w:r>
        <w:rPr>
          <w:rFonts w:hint="eastAsia" w:cs="Times New Roman"/>
          <w:color w:val="000000"/>
          <w:lang w:val="en-US" w:eastAsia="zh-CN"/>
        </w:rPr>
        <w:t>c</w:t>
      </w:r>
      <w:r>
        <w:rPr>
          <w:rFonts w:hint="default" w:ascii="Times New Roman" w:hAnsi="Times New Roman" w:eastAsia="宋体" w:cs="Times New Roman"/>
          <w:color w:val="000000"/>
        </w:rPr>
        <w:t>)产品质量控制程中的检验报告及成品检验报告</w:t>
      </w:r>
      <w:r>
        <w:rPr>
          <w:rFonts w:hint="eastAsia" w:cs="Times New Roman"/>
          <w:color w:val="000000"/>
          <w:lang w:eastAsia="zh-CN"/>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d) 产品使用说明</w:t>
      </w:r>
      <w:r>
        <w:rPr>
          <w:rFonts w:hint="eastAsia" w:cs="Times New Roman"/>
          <w:color w:val="000000"/>
          <w:lang w:eastAsia="zh-CN"/>
        </w:rPr>
        <w:t>：</w:t>
      </w:r>
      <w:r>
        <w:rPr>
          <w:rFonts w:hint="default" w:ascii="Times New Roman" w:hAnsi="Times New Roman" w:eastAsia="宋体" w:cs="Times New Roman"/>
          <w:color w:val="000000"/>
        </w:rPr>
        <w:t>正确搬运、使用、贮存方法等</w:t>
      </w:r>
      <w:r>
        <w:rPr>
          <w:rFonts w:hint="eastAsia" w:cs="Times New Roman"/>
          <w:color w:val="000000"/>
          <w:lang w:eastAsia="zh-CN"/>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e) 其他</w:t>
      </w:r>
      <w:r>
        <w:rPr>
          <w:rFonts w:hint="eastAsia" w:cs="Times New Roman"/>
          <w:color w:val="000000"/>
          <w:lang w:eastAsia="zh-CN"/>
        </w:rPr>
        <w:t>。</w:t>
      </w:r>
    </w:p>
    <w:p>
      <w:pPr>
        <w:pStyle w:val="43"/>
        <w:spacing w:before="312" w:after="312"/>
        <w:rPr>
          <w:szCs w:val="22"/>
        </w:rPr>
      </w:pPr>
      <w:r>
        <w:rPr>
          <w:rFonts w:hint="eastAsia"/>
          <w:szCs w:val="22"/>
        </w:rPr>
        <w:t>订货单内容</w:t>
      </w:r>
    </w:p>
    <w:p>
      <w:pPr>
        <w:tabs>
          <w:tab w:val="left" w:pos="540"/>
        </w:tabs>
        <w:rPr>
          <w:rFonts w:hint="eastAsia" w:ascii="Times New Roman" w:hAnsi="Times New Roman" w:eastAsia="宋体" w:cs="Times New Roman"/>
          <w:lang w:eastAsia="zh-CN"/>
        </w:rPr>
      </w:pPr>
      <w:r>
        <w:rPr>
          <w:rFonts w:hint="default" w:ascii="Times New Roman" w:hAnsi="Times New Roman" w:eastAsia="宋体" w:cs="Times New Roman"/>
        </w:rPr>
        <w:t xml:space="preserve">    </w:t>
      </w:r>
      <w:r>
        <w:rPr>
          <w:rFonts w:hint="eastAsia" w:cs="Times New Roman"/>
          <w:lang w:val="en-US" w:eastAsia="zh-CN"/>
        </w:rPr>
        <w:t>需方可根据自身需要，在订购</w:t>
      </w:r>
      <w:r>
        <w:rPr>
          <w:rFonts w:hint="default" w:ascii="Times New Roman" w:hAnsi="Times New Roman" w:eastAsia="宋体" w:cs="Times New Roman"/>
        </w:rPr>
        <w:t>本文件所列产品的订货单</w:t>
      </w:r>
      <w:r>
        <w:rPr>
          <w:rFonts w:hint="eastAsia" w:cs="Times New Roman"/>
          <w:lang w:val="en-US" w:eastAsia="zh-CN"/>
        </w:rPr>
        <w:t>内，列出如下内容</w:t>
      </w:r>
      <w:r>
        <w:rPr>
          <w:rFonts w:hint="eastAsia" w:cs="Times New Roman"/>
          <w:lang w:eastAsia="zh-CN"/>
        </w:rPr>
        <w:t>：</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产品名称；</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牌号、等级；</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产品数量；</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本文件编号；</w:t>
      </w:r>
    </w:p>
    <w:p>
      <w:pPr>
        <w:numPr>
          <w:ilvl w:val="0"/>
          <w:numId w:val="19"/>
        </w:numPr>
        <w:rPr>
          <w:rFonts w:hint="default" w:ascii="Times New Roman" w:hAnsi="Times New Roman" w:eastAsia="宋体" w:cs="Times New Roman"/>
        </w:rPr>
      </w:pPr>
      <w:r>
        <w:rPr>
          <w:rFonts w:hint="default" w:ascii="Times New Roman" w:hAnsi="Times New Roman" w:eastAsia="宋体" w:cs="Times New Roman"/>
        </w:rPr>
        <w:t>其他。</w:t>
      </w:r>
    </w:p>
    <w:p/>
    <w:p>
      <w:pPr>
        <w:pStyle w:val="22"/>
      </w:pPr>
    </w:p>
    <w:p>
      <w:pPr>
        <w:pStyle w:val="127"/>
      </w:pPr>
      <w:r>
        <w:t>_________________________________</w: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黑体" w:hAnsi="黑体" w:eastAsia="黑体"/>
      </w:rPr>
    </w:pPr>
    <w:r>
      <w:rPr>
        <w:rFonts w:ascii="黑体" w:hAnsi="黑体" w:eastAsia="黑体"/>
      </w:rP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EEE46"/>
    <w:multiLevelType w:val="singleLevel"/>
    <w:tmpl w:val="870EEE46"/>
    <w:lvl w:ilvl="0" w:tentative="0">
      <w:start w:val="1"/>
      <w:numFmt w:val="lowerLetter"/>
      <w:suff w:val="nothing"/>
      <w:lvlText w:val="%1）"/>
      <w:lvlJc w:val="left"/>
    </w:lvl>
  </w:abstractNum>
  <w:abstractNum w:abstractNumId="1">
    <w:nsid w:val="0000000A"/>
    <w:multiLevelType w:val="multilevel"/>
    <w:tmpl w:val="0000000A"/>
    <w:lvl w:ilvl="0" w:tentative="0">
      <w:start w:val="1"/>
      <w:numFmt w:val="lowerLetter"/>
      <w:lvlText w:val="%1)"/>
      <w:lvlJc w:val="left"/>
      <w:pPr>
        <w:tabs>
          <w:tab w:val="left" w:pos="795"/>
        </w:tabs>
        <w:ind w:left="795" w:hanging="360"/>
      </w:p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0A952887"/>
    <w:multiLevelType w:val="multilevel"/>
    <w:tmpl w:val="0A952887"/>
    <w:lvl w:ilvl="0" w:tentative="0">
      <w:start w:val="1"/>
      <w:numFmt w:val="decimal"/>
      <w:pStyle w:val="6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0F805D97"/>
    <w:multiLevelType w:val="multilevel"/>
    <w:tmpl w:val="0F805D97"/>
    <w:lvl w:ilvl="0" w:tentative="0">
      <w:start w:val="1"/>
      <w:numFmt w:val="none"/>
      <w:pStyle w:val="5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4B435DB"/>
    <w:multiLevelType w:val="multilevel"/>
    <w:tmpl w:val="24B435DB"/>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29707437"/>
    <w:multiLevelType w:val="multilevel"/>
    <w:tmpl w:val="29707437"/>
    <w:lvl w:ilvl="0" w:tentative="0">
      <w:start w:val="1"/>
      <w:numFmt w:val="none"/>
      <w:pStyle w:val="62"/>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520F62E9"/>
    <w:multiLevelType w:val="multilevel"/>
    <w:tmpl w:val="520F62E9"/>
    <w:lvl w:ilvl="0" w:tentative="0">
      <w:start w:val="1"/>
      <w:numFmt w:val="decimal"/>
      <w:pStyle w:val="126"/>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E63562F"/>
    <w:multiLevelType w:val="multilevel"/>
    <w:tmpl w:val="5E63562F"/>
    <w:lvl w:ilvl="0" w:tentative="0">
      <w:start w:val="1"/>
      <w:numFmt w:val="decimal"/>
      <w:pStyle w:val="5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24"/>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AB870ED"/>
    <w:multiLevelType w:val="multilevel"/>
    <w:tmpl w:val="6AB870ED"/>
    <w:lvl w:ilvl="0" w:tentative="0">
      <w:start w:val="1"/>
      <w:numFmt w:val="decimal"/>
      <w:pStyle w:val="60"/>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4"/>
  </w:num>
  <w:num w:numId="3">
    <w:abstractNumId w:val="8"/>
  </w:num>
  <w:num w:numId="4">
    <w:abstractNumId w:val="14"/>
  </w:num>
  <w:num w:numId="5">
    <w:abstractNumId w:val="10"/>
  </w:num>
  <w:num w:numId="6">
    <w:abstractNumId w:val="3"/>
  </w:num>
  <w:num w:numId="7">
    <w:abstractNumId w:val="12"/>
  </w:num>
  <w:num w:numId="8">
    <w:abstractNumId w:val="17"/>
  </w:num>
  <w:num w:numId="9">
    <w:abstractNumId w:val="6"/>
  </w:num>
  <w:num w:numId="10">
    <w:abstractNumId w:val="2"/>
  </w:num>
  <w:num w:numId="11">
    <w:abstractNumId w:val="16"/>
  </w:num>
  <w:num w:numId="12">
    <w:abstractNumId w:val="13"/>
  </w:num>
  <w:num w:numId="13">
    <w:abstractNumId w:val="18"/>
  </w:num>
  <w:num w:numId="14">
    <w:abstractNumId w:val="7"/>
  </w:num>
  <w:num w:numId="15">
    <w:abstractNumId w:val="5"/>
  </w:num>
  <w:num w:numId="16">
    <w:abstractNumId w:val="15"/>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YfbUKm+wO6+Tb0+iadvBnczuzKHBtyMGZJ1ZYdW6GcKVHGN0CpIhOk+pPmR3avvXH9B8qaTDz3k0UgWElEJw==" w:salt="1554oWzBMF7uannLO5Wz9A=="/>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Zjc2Zjc2MmM5OTFhZjE4MzE3MDMzMzdlOTQ5ZjQifQ=="/>
  </w:docVars>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2740"/>
    <w:rsid w:val="00035925"/>
    <w:rsid w:val="00036C2C"/>
    <w:rsid w:val="00045A7C"/>
    <w:rsid w:val="00055371"/>
    <w:rsid w:val="00056A24"/>
    <w:rsid w:val="00057CE5"/>
    <w:rsid w:val="000607A3"/>
    <w:rsid w:val="000657F7"/>
    <w:rsid w:val="00067CDF"/>
    <w:rsid w:val="00074FBE"/>
    <w:rsid w:val="0007762A"/>
    <w:rsid w:val="00081D7E"/>
    <w:rsid w:val="00081F6E"/>
    <w:rsid w:val="00083A09"/>
    <w:rsid w:val="00085A4B"/>
    <w:rsid w:val="0009005E"/>
    <w:rsid w:val="0009066D"/>
    <w:rsid w:val="000918A9"/>
    <w:rsid w:val="00091ACC"/>
    <w:rsid w:val="00092001"/>
    <w:rsid w:val="00092618"/>
    <w:rsid w:val="00092857"/>
    <w:rsid w:val="00092BD8"/>
    <w:rsid w:val="000945D9"/>
    <w:rsid w:val="000964C7"/>
    <w:rsid w:val="000979D9"/>
    <w:rsid w:val="000A20A9"/>
    <w:rsid w:val="000A48B1"/>
    <w:rsid w:val="000A52A8"/>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0BF5"/>
    <w:rsid w:val="00104E29"/>
    <w:rsid w:val="001056DE"/>
    <w:rsid w:val="001124C0"/>
    <w:rsid w:val="00117A25"/>
    <w:rsid w:val="00120F24"/>
    <w:rsid w:val="00121293"/>
    <w:rsid w:val="001307CB"/>
    <w:rsid w:val="0013175F"/>
    <w:rsid w:val="0013364D"/>
    <w:rsid w:val="001343BB"/>
    <w:rsid w:val="00141E9A"/>
    <w:rsid w:val="001512B4"/>
    <w:rsid w:val="0015244C"/>
    <w:rsid w:val="00153A26"/>
    <w:rsid w:val="001620A5"/>
    <w:rsid w:val="00164E53"/>
    <w:rsid w:val="00165D35"/>
    <w:rsid w:val="0016699D"/>
    <w:rsid w:val="001670D9"/>
    <w:rsid w:val="00175159"/>
    <w:rsid w:val="00175AD7"/>
    <w:rsid w:val="00176208"/>
    <w:rsid w:val="0017628E"/>
    <w:rsid w:val="0017780C"/>
    <w:rsid w:val="001813B2"/>
    <w:rsid w:val="0018211B"/>
    <w:rsid w:val="00183FE1"/>
    <w:rsid w:val="001840D3"/>
    <w:rsid w:val="00184782"/>
    <w:rsid w:val="00184C73"/>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2FB1"/>
    <w:rsid w:val="001D3556"/>
    <w:rsid w:val="001D406C"/>
    <w:rsid w:val="001D41EE"/>
    <w:rsid w:val="001D4BEB"/>
    <w:rsid w:val="001D71E6"/>
    <w:rsid w:val="001E0380"/>
    <w:rsid w:val="001E0B1B"/>
    <w:rsid w:val="001E13B1"/>
    <w:rsid w:val="001E2153"/>
    <w:rsid w:val="001E23E7"/>
    <w:rsid w:val="001E4D14"/>
    <w:rsid w:val="001F20AE"/>
    <w:rsid w:val="001F3A19"/>
    <w:rsid w:val="002009E4"/>
    <w:rsid w:val="00201053"/>
    <w:rsid w:val="0020251B"/>
    <w:rsid w:val="002073D3"/>
    <w:rsid w:val="00215D48"/>
    <w:rsid w:val="0021624B"/>
    <w:rsid w:val="0022185E"/>
    <w:rsid w:val="002246F8"/>
    <w:rsid w:val="00227FED"/>
    <w:rsid w:val="0023030A"/>
    <w:rsid w:val="0023070D"/>
    <w:rsid w:val="00230F08"/>
    <w:rsid w:val="00234467"/>
    <w:rsid w:val="00235BE6"/>
    <w:rsid w:val="00237D8D"/>
    <w:rsid w:val="00241DA2"/>
    <w:rsid w:val="00247FEE"/>
    <w:rsid w:val="00250E7D"/>
    <w:rsid w:val="002523DB"/>
    <w:rsid w:val="002527DD"/>
    <w:rsid w:val="00252DAA"/>
    <w:rsid w:val="002565D5"/>
    <w:rsid w:val="002622C0"/>
    <w:rsid w:val="002714D1"/>
    <w:rsid w:val="00275FFE"/>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49A0"/>
    <w:rsid w:val="00301F39"/>
    <w:rsid w:val="00303D27"/>
    <w:rsid w:val="00305BEE"/>
    <w:rsid w:val="00310087"/>
    <w:rsid w:val="003100C1"/>
    <w:rsid w:val="00313962"/>
    <w:rsid w:val="00322EFB"/>
    <w:rsid w:val="003234E0"/>
    <w:rsid w:val="00325926"/>
    <w:rsid w:val="00327A8A"/>
    <w:rsid w:val="003339A3"/>
    <w:rsid w:val="00336610"/>
    <w:rsid w:val="00341F5C"/>
    <w:rsid w:val="00343D23"/>
    <w:rsid w:val="00343F73"/>
    <w:rsid w:val="00344021"/>
    <w:rsid w:val="00345060"/>
    <w:rsid w:val="003451FB"/>
    <w:rsid w:val="00352629"/>
    <w:rsid w:val="0035323B"/>
    <w:rsid w:val="00353D19"/>
    <w:rsid w:val="003553A3"/>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6F5E"/>
    <w:rsid w:val="003A7088"/>
    <w:rsid w:val="003B00DF"/>
    <w:rsid w:val="003B1275"/>
    <w:rsid w:val="003B1778"/>
    <w:rsid w:val="003C11CB"/>
    <w:rsid w:val="003C3017"/>
    <w:rsid w:val="003C6A77"/>
    <w:rsid w:val="003C75F3"/>
    <w:rsid w:val="003C78A3"/>
    <w:rsid w:val="003D36AB"/>
    <w:rsid w:val="003D3C48"/>
    <w:rsid w:val="003E1867"/>
    <w:rsid w:val="003E5729"/>
    <w:rsid w:val="003E724E"/>
    <w:rsid w:val="003F1D40"/>
    <w:rsid w:val="003F22BB"/>
    <w:rsid w:val="003F2A5B"/>
    <w:rsid w:val="003F4EE0"/>
    <w:rsid w:val="003F5559"/>
    <w:rsid w:val="003F7947"/>
    <w:rsid w:val="00400473"/>
    <w:rsid w:val="00402153"/>
    <w:rsid w:val="00402E26"/>
    <w:rsid w:val="00402FC1"/>
    <w:rsid w:val="004056D6"/>
    <w:rsid w:val="004200D9"/>
    <w:rsid w:val="00425082"/>
    <w:rsid w:val="00431DEB"/>
    <w:rsid w:val="0044259D"/>
    <w:rsid w:val="004439D9"/>
    <w:rsid w:val="00446B29"/>
    <w:rsid w:val="004524BE"/>
    <w:rsid w:val="00453F9A"/>
    <w:rsid w:val="00454CC3"/>
    <w:rsid w:val="004574B3"/>
    <w:rsid w:val="00464903"/>
    <w:rsid w:val="00465B72"/>
    <w:rsid w:val="004719FA"/>
    <w:rsid w:val="00471E91"/>
    <w:rsid w:val="00474079"/>
    <w:rsid w:val="00474675"/>
    <w:rsid w:val="0047470C"/>
    <w:rsid w:val="004779A1"/>
    <w:rsid w:val="00484C88"/>
    <w:rsid w:val="00486549"/>
    <w:rsid w:val="004A203E"/>
    <w:rsid w:val="004A35F9"/>
    <w:rsid w:val="004A4662"/>
    <w:rsid w:val="004A7E02"/>
    <w:rsid w:val="004B157A"/>
    <w:rsid w:val="004B24C1"/>
    <w:rsid w:val="004B3092"/>
    <w:rsid w:val="004B49B1"/>
    <w:rsid w:val="004B557C"/>
    <w:rsid w:val="004C292F"/>
    <w:rsid w:val="004C4CE7"/>
    <w:rsid w:val="004C657F"/>
    <w:rsid w:val="004C7F25"/>
    <w:rsid w:val="004D306F"/>
    <w:rsid w:val="004D4B02"/>
    <w:rsid w:val="004D4F76"/>
    <w:rsid w:val="004E24C9"/>
    <w:rsid w:val="004E4B13"/>
    <w:rsid w:val="004E4B8C"/>
    <w:rsid w:val="004E5A47"/>
    <w:rsid w:val="004F3E3E"/>
    <w:rsid w:val="005036E2"/>
    <w:rsid w:val="00503F8B"/>
    <w:rsid w:val="00510280"/>
    <w:rsid w:val="00513D73"/>
    <w:rsid w:val="005148B3"/>
    <w:rsid w:val="00514A43"/>
    <w:rsid w:val="00515361"/>
    <w:rsid w:val="00515E9C"/>
    <w:rsid w:val="005174E5"/>
    <w:rsid w:val="00520898"/>
    <w:rsid w:val="00522393"/>
    <w:rsid w:val="00522620"/>
    <w:rsid w:val="00525656"/>
    <w:rsid w:val="00525BF3"/>
    <w:rsid w:val="00534C02"/>
    <w:rsid w:val="005368F9"/>
    <w:rsid w:val="0054044C"/>
    <w:rsid w:val="0054264B"/>
    <w:rsid w:val="00543786"/>
    <w:rsid w:val="00545A49"/>
    <w:rsid w:val="005463CC"/>
    <w:rsid w:val="00546D0D"/>
    <w:rsid w:val="0055153A"/>
    <w:rsid w:val="005533D7"/>
    <w:rsid w:val="00554B63"/>
    <w:rsid w:val="005564EE"/>
    <w:rsid w:val="00562CF6"/>
    <w:rsid w:val="0056544B"/>
    <w:rsid w:val="00567177"/>
    <w:rsid w:val="005703DE"/>
    <w:rsid w:val="005710BC"/>
    <w:rsid w:val="005755F1"/>
    <w:rsid w:val="00576885"/>
    <w:rsid w:val="00582BBE"/>
    <w:rsid w:val="0058464E"/>
    <w:rsid w:val="0058650E"/>
    <w:rsid w:val="005A01CB"/>
    <w:rsid w:val="005A19A9"/>
    <w:rsid w:val="005A58FF"/>
    <w:rsid w:val="005A5EAF"/>
    <w:rsid w:val="005A6491"/>
    <w:rsid w:val="005A64C0"/>
    <w:rsid w:val="005B1985"/>
    <w:rsid w:val="005B3C11"/>
    <w:rsid w:val="005B4AE5"/>
    <w:rsid w:val="005C1C28"/>
    <w:rsid w:val="005C43D0"/>
    <w:rsid w:val="005C6DB5"/>
    <w:rsid w:val="005D3842"/>
    <w:rsid w:val="005E19E7"/>
    <w:rsid w:val="005E2392"/>
    <w:rsid w:val="005F7BEB"/>
    <w:rsid w:val="006010C5"/>
    <w:rsid w:val="00601622"/>
    <w:rsid w:val="0060789B"/>
    <w:rsid w:val="0061037E"/>
    <w:rsid w:val="00613FAA"/>
    <w:rsid w:val="00616C36"/>
    <w:rsid w:val="0061716C"/>
    <w:rsid w:val="006171AF"/>
    <w:rsid w:val="00617868"/>
    <w:rsid w:val="0062420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8487D"/>
    <w:rsid w:val="00692368"/>
    <w:rsid w:val="006948EA"/>
    <w:rsid w:val="00695192"/>
    <w:rsid w:val="006960F2"/>
    <w:rsid w:val="006A1C8E"/>
    <w:rsid w:val="006A2EBC"/>
    <w:rsid w:val="006A5EA0"/>
    <w:rsid w:val="006A783B"/>
    <w:rsid w:val="006A7B33"/>
    <w:rsid w:val="006B497F"/>
    <w:rsid w:val="006B4C2C"/>
    <w:rsid w:val="006B4E13"/>
    <w:rsid w:val="006B75DD"/>
    <w:rsid w:val="006C047C"/>
    <w:rsid w:val="006C3D8B"/>
    <w:rsid w:val="006C67E0"/>
    <w:rsid w:val="006C7ABA"/>
    <w:rsid w:val="006D0A13"/>
    <w:rsid w:val="006D0D60"/>
    <w:rsid w:val="006D1122"/>
    <w:rsid w:val="006D1B67"/>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26707"/>
    <w:rsid w:val="00730310"/>
    <w:rsid w:val="00740A49"/>
    <w:rsid w:val="007419C3"/>
    <w:rsid w:val="00743406"/>
    <w:rsid w:val="00746559"/>
    <w:rsid w:val="007467A7"/>
    <w:rsid w:val="007469DD"/>
    <w:rsid w:val="0074741B"/>
    <w:rsid w:val="0074759E"/>
    <w:rsid w:val="007478EA"/>
    <w:rsid w:val="00747ED6"/>
    <w:rsid w:val="0075415C"/>
    <w:rsid w:val="00757097"/>
    <w:rsid w:val="007606CB"/>
    <w:rsid w:val="00761E8B"/>
    <w:rsid w:val="00763502"/>
    <w:rsid w:val="00780DE2"/>
    <w:rsid w:val="007913AB"/>
    <w:rsid w:val="007914F7"/>
    <w:rsid w:val="00792567"/>
    <w:rsid w:val="00792648"/>
    <w:rsid w:val="00795C73"/>
    <w:rsid w:val="0079612E"/>
    <w:rsid w:val="007A4809"/>
    <w:rsid w:val="007B1625"/>
    <w:rsid w:val="007B706E"/>
    <w:rsid w:val="007B71EB"/>
    <w:rsid w:val="007C0748"/>
    <w:rsid w:val="007C6205"/>
    <w:rsid w:val="007C686A"/>
    <w:rsid w:val="007C728E"/>
    <w:rsid w:val="007D0BE0"/>
    <w:rsid w:val="007D13C4"/>
    <w:rsid w:val="007D1D7A"/>
    <w:rsid w:val="007D204F"/>
    <w:rsid w:val="007D2C53"/>
    <w:rsid w:val="007D3D60"/>
    <w:rsid w:val="007D49DB"/>
    <w:rsid w:val="007E0B38"/>
    <w:rsid w:val="007E1980"/>
    <w:rsid w:val="007E4B76"/>
    <w:rsid w:val="007E5043"/>
    <w:rsid w:val="007E5EA8"/>
    <w:rsid w:val="007F0CF1"/>
    <w:rsid w:val="007F12A5"/>
    <w:rsid w:val="007F2D74"/>
    <w:rsid w:val="007F3FB7"/>
    <w:rsid w:val="007F4CF1"/>
    <w:rsid w:val="007F7422"/>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308C"/>
    <w:rsid w:val="00884468"/>
    <w:rsid w:val="008856D8"/>
    <w:rsid w:val="00892E82"/>
    <w:rsid w:val="00893277"/>
    <w:rsid w:val="00895FA9"/>
    <w:rsid w:val="008A1035"/>
    <w:rsid w:val="008A6E08"/>
    <w:rsid w:val="008C0BE9"/>
    <w:rsid w:val="008C1B58"/>
    <w:rsid w:val="008C33E3"/>
    <w:rsid w:val="008C39AE"/>
    <w:rsid w:val="008C40DF"/>
    <w:rsid w:val="008C590D"/>
    <w:rsid w:val="008D447E"/>
    <w:rsid w:val="008D7566"/>
    <w:rsid w:val="008E031B"/>
    <w:rsid w:val="008E0560"/>
    <w:rsid w:val="008E2D8C"/>
    <w:rsid w:val="008E7029"/>
    <w:rsid w:val="008E7EF6"/>
    <w:rsid w:val="008F1CD8"/>
    <w:rsid w:val="008F1F98"/>
    <w:rsid w:val="008F2340"/>
    <w:rsid w:val="008F2790"/>
    <w:rsid w:val="008F5EC8"/>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143F"/>
    <w:rsid w:val="0094212C"/>
    <w:rsid w:val="00944853"/>
    <w:rsid w:val="00945185"/>
    <w:rsid w:val="0094609D"/>
    <w:rsid w:val="0095378C"/>
    <w:rsid w:val="00954689"/>
    <w:rsid w:val="0095472A"/>
    <w:rsid w:val="0096085A"/>
    <w:rsid w:val="009617C9"/>
    <w:rsid w:val="00961C93"/>
    <w:rsid w:val="00962B4E"/>
    <w:rsid w:val="00965324"/>
    <w:rsid w:val="0097091E"/>
    <w:rsid w:val="009760D3"/>
    <w:rsid w:val="00977132"/>
    <w:rsid w:val="00980A2A"/>
    <w:rsid w:val="00980A98"/>
    <w:rsid w:val="00981A4B"/>
    <w:rsid w:val="00982250"/>
    <w:rsid w:val="00982501"/>
    <w:rsid w:val="00983D33"/>
    <w:rsid w:val="00984358"/>
    <w:rsid w:val="009877D3"/>
    <w:rsid w:val="00987E0D"/>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5DA"/>
    <w:rsid w:val="009E7E25"/>
    <w:rsid w:val="00A02E43"/>
    <w:rsid w:val="00A05368"/>
    <w:rsid w:val="00A065F9"/>
    <w:rsid w:val="00A07011"/>
    <w:rsid w:val="00A07F34"/>
    <w:rsid w:val="00A15C60"/>
    <w:rsid w:val="00A15F26"/>
    <w:rsid w:val="00A22154"/>
    <w:rsid w:val="00A24058"/>
    <w:rsid w:val="00A25C38"/>
    <w:rsid w:val="00A35824"/>
    <w:rsid w:val="00A36BBE"/>
    <w:rsid w:val="00A37C20"/>
    <w:rsid w:val="00A40D9E"/>
    <w:rsid w:val="00A41DF7"/>
    <w:rsid w:val="00A41EB6"/>
    <w:rsid w:val="00A420B1"/>
    <w:rsid w:val="00A42ECA"/>
    <w:rsid w:val="00A4307A"/>
    <w:rsid w:val="00A46DEF"/>
    <w:rsid w:val="00A47EBB"/>
    <w:rsid w:val="00A51CDD"/>
    <w:rsid w:val="00A563F8"/>
    <w:rsid w:val="00A56BBA"/>
    <w:rsid w:val="00A6730D"/>
    <w:rsid w:val="00A70E72"/>
    <w:rsid w:val="00A71625"/>
    <w:rsid w:val="00A71B9B"/>
    <w:rsid w:val="00A751C7"/>
    <w:rsid w:val="00A80008"/>
    <w:rsid w:val="00A84CE5"/>
    <w:rsid w:val="00A87844"/>
    <w:rsid w:val="00A9227B"/>
    <w:rsid w:val="00A97A55"/>
    <w:rsid w:val="00AA038C"/>
    <w:rsid w:val="00AA5A09"/>
    <w:rsid w:val="00AA7418"/>
    <w:rsid w:val="00AA7A09"/>
    <w:rsid w:val="00AB2C76"/>
    <w:rsid w:val="00AB3B50"/>
    <w:rsid w:val="00AC05B1"/>
    <w:rsid w:val="00AC450C"/>
    <w:rsid w:val="00AD340B"/>
    <w:rsid w:val="00AD356C"/>
    <w:rsid w:val="00AE2914"/>
    <w:rsid w:val="00AE2BE3"/>
    <w:rsid w:val="00AE6D15"/>
    <w:rsid w:val="00AE7023"/>
    <w:rsid w:val="00AE78AA"/>
    <w:rsid w:val="00AF0EF3"/>
    <w:rsid w:val="00AF1F49"/>
    <w:rsid w:val="00AF2D81"/>
    <w:rsid w:val="00B04182"/>
    <w:rsid w:val="00B05ECF"/>
    <w:rsid w:val="00B07AE3"/>
    <w:rsid w:val="00B11430"/>
    <w:rsid w:val="00B12A5D"/>
    <w:rsid w:val="00B165C4"/>
    <w:rsid w:val="00B242F4"/>
    <w:rsid w:val="00B2477A"/>
    <w:rsid w:val="00B24D1C"/>
    <w:rsid w:val="00B30072"/>
    <w:rsid w:val="00B30481"/>
    <w:rsid w:val="00B30B75"/>
    <w:rsid w:val="00B32868"/>
    <w:rsid w:val="00B3312F"/>
    <w:rsid w:val="00B3476F"/>
    <w:rsid w:val="00B353EB"/>
    <w:rsid w:val="00B4016F"/>
    <w:rsid w:val="00B407AC"/>
    <w:rsid w:val="00B439C4"/>
    <w:rsid w:val="00B4535E"/>
    <w:rsid w:val="00B52A8C"/>
    <w:rsid w:val="00B54707"/>
    <w:rsid w:val="00B56155"/>
    <w:rsid w:val="00B62C9F"/>
    <w:rsid w:val="00B62F11"/>
    <w:rsid w:val="00B63042"/>
    <w:rsid w:val="00B636A8"/>
    <w:rsid w:val="00B665C6"/>
    <w:rsid w:val="00B72AD8"/>
    <w:rsid w:val="00B74441"/>
    <w:rsid w:val="00B758A5"/>
    <w:rsid w:val="00B805AF"/>
    <w:rsid w:val="00B82287"/>
    <w:rsid w:val="00B82BD5"/>
    <w:rsid w:val="00B869EC"/>
    <w:rsid w:val="00B92383"/>
    <w:rsid w:val="00B9397A"/>
    <w:rsid w:val="00B9633D"/>
    <w:rsid w:val="00B967D5"/>
    <w:rsid w:val="00B97DB3"/>
    <w:rsid w:val="00BA2EBE"/>
    <w:rsid w:val="00BB0F28"/>
    <w:rsid w:val="00BB1F9D"/>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328F"/>
    <w:rsid w:val="00C244A0"/>
    <w:rsid w:val="00C24971"/>
    <w:rsid w:val="00C25355"/>
    <w:rsid w:val="00C26BE5"/>
    <w:rsid w:val="00C26E4D"/>
    <w:rsid w:val="00C27909"/>
    <w:rsid w:val="00C27B03"/>
    <w:rsid w:val="00C314E1"/>
    <w:rsid w:val="00C34397"/>
    <w:rsid w:val="00C40503"/>
    <w:rsid w:val="00C4095D"/>
    <w:rsid w:val="00C5241D"/>
    <w:rsid w:val="00C57A9C"/>
    <w:rsid w:val="00C601D2"/>
    <w:rsid w:val="00C65BCC"/>
    <w:rsid w:val="00C66970"/>
    <w:rsid w:val="00C71F4D"/>
    <w:rsid w:val="00C82CB9"/>
    <w:rsid w:val="00C8691C"/>
    <w:rsid w:val="00C86CB4"/>
    <w:rsid w:val="00C96295"/>
    <w:rsid w:val="00C96364"/>
    <w:rsid w:val="00CA03DF"/>
    <w:rsid w:val="00CA168A"/>
    <w:rsid w:val="00CA2097"/>
    <w:rsid w:val="00CA357E"/>
    <w:rsid w:val="00CA44F9"/>
    <w:rsid w:val="00CA4A69"/>
    <w:rsid w:val="00CB2132"/>
    <w:rsid w:val="00CB722E"/>
    <w:rsid w:val="00CC3E0C"/>
    <w:rsid w:val="00CC58D3"/>
    <w:rsid w:val="00CC64AF"/>
    <w:rsid w:val="00CC784D"/>
    <w:rsid w:val="00CF1E15"/>
    <w:rsid w:val="00CF2FB9"/>
    <w:rsid w:val="00D00A8D"/>
    <w:rsid w:val="00D03268"/>
    <w:rsid w:val="00D0337B"/>
    <w:rsid w:val="00D07777"/>
    <w:rsid w:val="00D079B2"/>
    <w:rsid w:val="00D114E9"/>
    <w:rsid w:val="00D17CD8"/>
    <w:rsid w:val="00D2527C"/>
    <w:rsid w:val="00D313B3"/>
    <w:rsid w:val="00D35B8E"/>
    <w:rsid w:val="00D40F07"/>
    <w:rsid w:val="00D429C6"/>
    <w:rsid w:val="00D45544"/>
    <w:rsid w:val="00D47748"/>
    <w:rsid w:val="00D5178F"/>
    <w:rsid w:val="00D518DF"/>
    <w:rsid w:val="00D54CC3"/>
    <w:rsid w:val="00D561F6"/>
    <w:rsid w:val="00D566EF"/>
    <w:rsid w:val="00D6041A"/>
    <w:rsid w:val="00D61258"/>
    <w:rsid w:val="00D633EB"/>
    <w:rsid w:val="00D736AC"/>
    <w:rsid w:val="00D747AA"/>
    <w:rsid w:val="00D75A7E"/>
    <w:rsid w:val="00D82FF7"/>
    <w:rsid w:val="00D84271"/>
    <w:rsid w:val="00D84532"/>
    <w:rsid w:val="00D847FE"/>
    <w:rsid w:val="00D86B9C"/>
    <w:rsid w:val="00D900CD"/>
    <w:rsid w:val="00D90A39"/>
    <w:rsid w:val="00D964EA"/>
    <w:rsid w:val="00D966D0"/>
    <w:rsid w:val="00DA0C59"/>
    <w:rsid w:val="00DA3991"/>
    <w:rsid w:val="00DA72A1"/>
    <w:rsid w:val="00DA7F95"/>
    <w:rsid w:val="00DB01F1"/>
    <w:rsid w:val="00DB3222"/>
    <w:rsid w:val="00DB7E6C"/>
    <w:rsid w:val="00DC0758"/>
    <w:rsid w:val="00DC4F68"/>
    <w:rsid w:val="00DC64B0"/>
    <w:rsid w:val="00DC6B1E"/>
    <w:rsid w:val="00DD252A"/>
    <w:rsid w:val="00DD5949"/>
    <w:rsid w:val="00DD5A29"/>
    <w:rsid w:val="00DD5D9D"/>
    <w:rsid w:val="00DE3505"/>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643E"/>
    <w:rsid w:val="00E21B55"/>
    <w:rsid w:val="00E221D3"/>
    <w:rsid w:val="00E24EB4"/>
    <w:rsid w:val="00E30635"/>
    <w:rsid w:val="00E320ED"/>
    <w:rsid w:val="00E33AFB"/>
    <w:rsid w:val="00E34218"/>
    <w:rsid w:val="00E35978"/>
    <w:rsid w:val="00E4555B"/>
    <w:rsid w:val="00E46282"/>
    <w:rsid w:val="00E50833"/>
    <w:rsid w:val="00E5216E"/>
    <w:rsid w:val="00E5529C"/>
    <w:rsid w:val="00E55E16"/>
    <w:rsid w:val="00E657C6"/>
    <w:rsid w:val="00E70261"/>
    <w:rsid w:val="00E75D40"/>
    <w:rsid w:val="00E81965"/>
    <w:rsid w:val="00E81A88"/>
    <w:rsid w:val="00E81F73"/>
    <w:rsid w:val="00E82344"/>
    <w:rsid w:val="00E84C82"/>
    <w:rsid w:val="00E84D64"/>
    <w:rsid w:val="00E87408"/>
    <w:rsid w:val="00E914C4"/>
    <w:rsid w:val="00E934F5"/>
    <w:rsid w:val="00E96961"/>
    <w:rsid w:val="00EA72EC"/>
    <w:rsid w:val="00EA74E6"/>
    <w:rsid w:val="00EB0EDA"/>
    <w:rsid w:val="00EB0F2E"/>
    <w:rsid w:val="00EB11CB"/>
    <w:rsid w:val="00EB1C71"/>
    <w:rsid w:val="00EB275A"/>
    <w:rsid w:val="00EB57CA"/>
    <w:rsid w:val="00EB786A"/>
    <w:rsid w:val="00EC1578"/>
    <w:rsid w:val="00EC1BFC"/>
    <w:rsid w:val="00EC1C72"/>
    <w:rsid w:val="00EC3356"/>
    <w:rsid w:val="00EC3CC9"/>
    <w:rsid w:val="00EC5D85"/>
    <w:rsid w:val="00EC680A"/>
    <w:rsid w:val="00EC7BAC"/>
    <w:rsid w:val="00ED511C"/>
    <w:rsid w:val="00ED7229"/>
    <w:rsid w:val="00EE25CB"/>
    <w:rsid w:val="00EE2BED"/>
    <w:rsid w:val="00EE374B"/>
    <w:rsid w:val="00EE4A87"/>
    <w:rsid w:val="00EF2869"/>
    <w:rsid w:val="00F04293"/>
    <w:rsid w:val="00F05D60"/>
    <w:rsid w:val="00F07224"/>
    <w:rsid w:val="00F07FD3"/>
    <w:rsid w:val="00F115BE"/>
    <w:rsid w:val="00F11BB5"/>
    <w:rsid w:val="00F1296C"/>
    <w:rsid w:val="00F1417B"/>
    <w:rsid w:val="00F1712D"/>
    <w:rsid w:val="00F17A17"/>
    <w:rsid w:val="00F208A0"/>
    <w:rsid w:val="00F2115E"/>
    <w:rsid w:val="00F27B3D"/>
    <w:rsid w:val="00F30ABD"/>
    <w:rsid w:val="00F34B99"/>
    <w:rsid w:val="00F40B02"/>
    <w:rsid w:val="00F41E81"/>
    <w:rsid w:val="00F50D6A"/>
    <w:rsid w:val="00F51720"/>
    <w:rsid w:val="00F51CF2"/>
    <w:rsid w:val="00F52DAB"/>
    <w:rsid w:val="00F543F0"/>
    <w:rsid w:val="00F55E3E"/>
    <w:rsid w:val="00F57601"/>
    <w:rsid w:val="00F73F99"/>
    <w:rsid w:val="00F75F80"/>
    <w:rsid w:val="00F80398"/>
    <w:rsid w:val="00F81D29"/>
    <w:rsid w:val="00F90BE5"/>
    <w:rsid w:val="00F9190C"/>
    <w:rsid w:val="00F91C4D"/>
    <w:rsid w:val="00F92FD9"/>
    <w:rsid w:val="00F93C7A"/>
    <w:rsid w:val="00FA232A"/>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02361CE9"/>
    <w:rsid w:val="037C1244"/>
    <w:rsid w:val="041D1097"/>
    <w:rsid w:val="05341DD6"/>
    <w:rsid w:val="05FA67FB"/>
    <w:rsid w:val="060E4278"/>
    <w:rsid w:val="066B1C6E"/>
    <w:rsid w:val="093C79F0"/>
    <w:rsid w:val="0B4445A2"/>
    <w:rsid w:val="0BD23D12"/>
    <w:rsid w:val="0C865C4F"/>
    <w:rsid w:val="0CCC4E91"/>
    <w:rsid w:val="0D161433"/>
    <w:rsid w:val="0DA65F99"/>
    <w:rsid w:val="10C347DB"/>
    <w:rsid w:val="12893163"/>
    <w:rsid w:val="13DC010A"/>
    <w:rsid w:val="14382F65"/>
    <w:rsid w:val="17776B2F"/>
    <w:rsid w:val="1A384363"/>
    <w:rsid w:val="1AD17DE6"/>
    <w:rsid w:val="1BD07BB1"/>
    <w:rsid w:val="1C3D57BD"/>
    <w:rsid w:val="1CAB69CA"/>
    <w:rsid w:val="1DCE73E9"/>
    <w:rsid w:val="1F47586B"/>
    <w:rsid w:val="20593E36"/>
    <w:rsid w:val="21FB13EB"/>
    <w:rsid w:val="22322E0C"/>
    <w:rsid w:val="22A0566F"/>
    <w:rsid w:val="2467681E"/>
    <w:rsid w:val="24C2769D"/>
    <w:rsid w:val="2577366B"/>
    <w:rsid w:val="25C26B32"/>
    <w:rsid w:val="262B78EE"/>
    <w:rsid w:val="2673738C"/>
    <w:rsid w:val="26B741BD"/>
    <w:rsid w:val="26D1669E"/>
    <w:rsid w:val="29437F8A"/>
    <w:rsid w:val="29845405"/>
    <w:rsid w:val="2A3B121B"/>
    <w:rsid w:val="2CBD3464"/>
    <w:rsid w:val="2E24038A"/>
    <w:rsid w:val="30347B79"/>
    <w:rsid w:val="33133743"/>
    <w:rsid w:val="347B5F48"/>
    <w:rsid w:val="35984C9A"/>
    <w:rsid w:val="36230BB0"/>
    <w:rsid w:val="371856D4"/>
    <w:rsid w:val="37C74D5F"/>
    <w:rsid w:val="37E073AB"/>
    <w:rsid w:val="37FA206C"/>
    <w:rsid w:val="38B90C59"/>
    <w:rsid w:val="3B991021"/>
    <w:rsid w:val="3FAE3F57"/>
    <w:rsid w:val="3FE3292A"/>
    <w:rsid w:val="40A660EB"/>
    <w:rsid w:val="41374BAA"/>
    <w:rsid w:val="43C16477"/>
    <w:rsid w:val="44366F05"/>
    <w:rsid w:val="469A389C"/>
    <w:rsid w:val="48474F49"/>
    <w:rsid w:val="49C55A55"/>
    <w:rsid w:val="4B952863"/>
    <w:rsid w:val="4DAB7D28"/>
    <w:rsid w:val="4E31380D"/>
    <w:rsid w:val="51FA302C"/>
    <w:rsid w:val="54A20713"/>
    <w:rsid w:val="54CB0B93"/>
    <w:rsid w:val="54EB3100"/>
    <w:rsid w:val="551A2A26"/>
    <w:rsid w:val="5AA1673B"/>
    <w:rsid w:val="5B503637"/>
    <w:rsid w:val="5C4D7CE1"/>
    <w:rsid w:val="5CED3EB9"/>
    <w:rsid w:val="5D9B765E"/>
    <w:rsid w:val="5E5576CE"/>
    <w:rsid w:val="602A2D2E"/>
    <w:rsid w:val="61A44577"/>
    <w:rsid w:val="61C5482C"/>
    <w:rsid w:val="623C1C9C"/>
    <w:rsid w:val="63227C4C"/>
    <w:rsid w:val="635F5449"/>
    <w:rsid w:val="63A51276"/>
    <w:rsid w:val="646B1B42"/>
    <w:rsid w:val="65164D63"/>
    <w:rsid w:val="652F0DE7"/>
    <w:rsid w:val="669B6734"/>
    <w:rsid w:val="68143093"/>
    <w:rsid w:val="6A1F6211"/>
    <w:rsid w:val="6C9D0257"/>
    <w:rsid w:val="6D4F5832"/>
    <w:rsid w:val="6FC06CF2"/>
    <w:rsid w:val="70DD1636"/>
    <w:rsid w:val="75BD0EA2"/>
    <w:rsid w:val="75D60A52"/>
    <w:rsid w:val="76B949B4"/>
    <w:rsid w:val="7D953994"/>
    <w:rsid w:val="7DFA3F97"/>
    <w:rsid w:val="7EAC328F"/>
    <w:rsid w:val="7F411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unhideWhenUsed/>
    <w:qFormat/>
    <w:uiPriority w:val="99"/>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39"/>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0"/>
    <w:rPr>
      <w:color w:val="0000FF"/>
      <w:spacing w:val="0"/>
      <w:w w:val="100"/>
      <w:szCs w:val="21"/>
      <w:u w:val="single"/>
    </w:rPr>
  </w:style>
  <w:style w:type="character" w:styleId="38">
    <w:name w:val="footnote reference"/>
    <w:semiHidden/>
    <w:qFormat/>
    <w:uiPriority w:val="0"/>
    <w:rPr>
      <w:vertAlign w:val="superscript"/>
    </w:rPr>
  </w:style>
  <w:style w:type="character" w:customStyle="1" w:styleId="39">
    <w:name w:val="段 Char"/>
    <w:link w:val="22"/>
    <w:qFormat/>
    <w:uiPriority w:val="0"/>
    <w:rPr>
      <w:rFonts w:ascii="宋体"/>
      <w:sz w:val="21"/>
      <w:lang w:val="en-US" w:eastAsia="zh-CN" w:bidi="ar-SA"/>
    </w:rPr>
  </w:style>
  <w:style w:type="paragraph" w:customStyle="1" w:styleId="40">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2"/>
    <w:qFormat/>
    <w:uiPriority w:val="0"/>
    <w:pPr>
      <w:numPr>
        <w:ilvl w:val="2"/>
      </w:num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2"/>
    <w:link w:val="13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2"/>
    <w:qFormat/>
    <w:uiPriority w:val="0"/>
    <w:pPr>
      <w:numPr>
        <w:ilvl w:val="3"/>
      </w:numPr>
      <w:outlineLvl w:val="4"/>
    </w:pPr>
  </w:style>
  <w:style w:type="paragraph" w:customStyle="1" w:styleId="50">
    <w:name w:val="示例"/>
    <w:next w:val="5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3">
    <w:name w:val="四级条标题"/>
    <w:basedOn w:val="49"/>
    <w:next w:val="22"/>
    <w:qFormat/>
    <w:uiPriority w:val="0"/>
    <w:pPr>
      <w:numPr>
        <w:ilvl w:val="4"/>
      </w:numPr>
      <w:outlineLvl w:val="5"/>
    </w:pPr>
  </w:style>
  <w:style w:type="paragraph" w:customStyle="1" w:styleId="54">
    <w:name w:val="五级条标题"/>
    <w:basedOn w:val="53"/>
    <w:next w:val="22"/>
    <w:qFormat/>
    <w:uiPriority w:val="0"/>
    <w:pPr>
      <w:numPr>
        <w:ilvl w:val="5"/>
      </w:numPr>
      <w:outlineLvl w:val="6"/>
    </w:pPr>
  </w:style>
  <w:style w:type="paragraph" w:customStyle="1" w:styleId="55">
    <w:name w:val="注："/>
    <w:next w:val="22"/>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0">
    <w:name w:val="示例×："/>
    <w:basedOn w:val="43"/>
    <w:qFormat/>
    <w:uiPriority w:val="0"/>
    <w:pPr>
      <w:numPr>
        <w:numId w:val="8"/>
      </w:numPr>
      <w:spacing w:beforeLines="0" w:afterLines="0"/>
      <w:outlineLvl w:val="9"/>
    </w:pPr>
    <w:rPr>
      <w:rFonts w:ascii="宋体" w:eastAsia="宋体"/>
      <w:sz w:val="18"/>
      <w:szCs w:val="18"/>
    </w:rPr>
  </w:style>
  <w:style w:type="paragraph" w:customStyle="1" w:styleId="61">
    <w:name w:val="二级无"/>
    <w:basedOn w:val="44"/>
    <w:qFormat/>
    <w:uiPriority w:val="0"/>
    <w:pPr>
      <w:spacing w:beforeLines="0" w:afterLines="0"/>
    </w:pPr>
    <w:rPr>
      <w:rFonts w:ascii="宋体" w:eastAsia="宋体"/>
    </w:rPr>
  </w:style>
  <w:style w:type="paragraph" w:customStyle="1" w:styleId="62">
    <w:name w:val="注：（正文）"/>
    <w:basedOn w:val="55"/>
    <w:next w:val="22"/>
    <w:qFormat/>
    <w:uiPriority w:val="0"/>
    <w:pPr>
      <w:numPr>
        <w:numId w:val="9"/>
      </w:numPr>
      <w:ind w:left="726" w:hanging="363"/>
    </w:pPr>
  </w:style>
  <w:style w:type="paragraph" w:customStyle="1" w:styleId="63">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qFormat/>
    <w:uiPriority w:val="0"/>
    <w:rPr>
      <w:rFonts w:ascii="黑体" w:eastAsia="黑体"/>
      <w:spacing w:val="85"/>
      <w:w w:val="100"/>
      <w:position w:val="3"/>
      <w:sz w:val="28"/>
      <w:szCs w:val="28"/>
    </w:rPr>
  </w:style>
  <w:style w:type="paragraph" w:customStyle="1" w:styleId="72">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spacing w:before="370" w:line="400" w:lineRule="exact"/>
    </w:pPr>
    <w:rPr>
      <w:rFonts w:ascii="Times New Roman"/>
      <w:sz w:val="28"/>
      <w:szCs w:val="28"/>
    </w:rPr>
  </w:style>
  <w:style w:type="paragraph" w:customStyle="1" w:styleId="78">
    <w:name w:val="封面一致性程度标识"/>
    <w:basedOn w:val="77"/>
    <w:qFormat/>
    <w:uiPriority w:val="0"/>
    <w:pPr>
      <w:spacing w:before="440"/>
    </w:pPr>
    <w:rPr>
      <w:rFonts w:ascii="宋体" w:eastAsia="宋体"/>
    </w:rPr>
  </w:style>
  <w:style w:type="paragraph" w:customStyle="1" w:styleId="79">
    <w:name w:val="封面标准文稿类别"/>
    <w:basedOn w:val="78"/>
    <w:qFormat/>
    <w:uiPriority w:val="0"/>
    <w:pPr>
      <w:spacing w:after="160" w:line="240" w:lineRule="auto"/>
    </w:pPr>
    <w:rPr>
      <w:sz w:val="24"/>
    </w:rPr>
  </w:style>
  <w:style w:type="paragraph" w:customStyle="1" w:styleId="80">
    <w:name w:val="封面标准文稿编辑信息"/>
    <w:basedOn w:val="79"/>
    <w:qFormat/>
    <w:uiPriority w:val="0"/>
    <w:p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2"/>
    <w:next w:val="22"/>
    <w:qFormat/>
    <w:uiPriority w:val="0"/>
    <w:pPr>
      <w:ind w:firstLine="0" w:firstLineChars="0"/>
      <w:jc w:val="center"/>
    </w:pPr>
    <w:rPr>
      <w:rFonts w:ascii="黑体" w:eastAsia="黑体"/>
    </w:rPr>
  </w:style>
  <w:style w:type="paragraph" w:customStyle="1" w:styleId="84">
    <w:name w:val="附录表标号"/>
    <w:basedOn w:val="1"/>
    <w:next w:val="2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5">
    <w:name w:val="附录表标题"/>
    <w:basedOn w:val="1"/>
    <w:next w:val="2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2"/>
    <w:next w:val="22"/>
    <w:link w:val="89"/>
    <w:qFormat/>
    <w:uiPriority w:val="0"/>
  </w:style>
  <w:style w:type="character" w:customStyle="1" w:styleId="89">
    <w:name w:val="附录公式 Char"/>
    <w:basedOn w:val="39"/>
    <w:link w:val="88"/>
    <w:qFormat/>
    <w:uiPriority w:val="0"/>
    <w:rPr>
      <w:rFonts w:ascii="宋体"/>
      <w:sz w:val="21"/>
      <w:lang w:val="en-US" w:eastAsia="zh-CN" w:bidi="ar-SA"/>
    </w:rPr>
  </w:style>
  <w:style w:type="paragraph" w:customStyle="1" w:styleId="90">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2"/>
    <w:qFormat/>
    <w:uiPriority w:val="0"/>
    <w:pPr>
      <w:numPr>
        <w:ilvl w:val="4"/>
      </w:numPr>
      <w:outlineLvl w:val="4"/>
    </w:pPr>
  </w:style>
  <w:style w:type="paragraph" w:customStyle="1" w:styleId="92">
    <w:name w:val="附录三级无"/>
    <w:basedOn w:val="91"/>
    <w:qFormat/>
    <w:uiPriority w:val="0"/>
    <w:pPr>
      <w:tabs>
        <w:tab w:val="clear" w:pos="360"/>
      </w:tabs>
      <w:spacing w:beforeLines="0" w:afterLines="0"/>
    </w:pPr>
    <w:rPr>
      <w:rFonts w:ascii="宋体" w:eastAsia="宋体"/>
      <w:szCs w:val="21"/>
    </w:rPr>
  </w:style>
  <w:style w:type="paragraph" w:customStyle="1" w:styleId="93">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4">
    <w:name w:val="附录四级条标题"/>
    <w:basedOn w:val="91"/>
    <w:next w:val="22"/>
    <w:qFormat/>
    <w:uiPriority w:val="0"/>
    <w:pPr>
      <w:numPr>
        <w:ilvl w:val="5"/>
      </w:numPr>
      <w:outlineLvl w:val="5"/>
    </w:pPr>
  </w:style>
  <w:style w:type="paragraph" w:customStyle="1" w:styleId="95">
    <w:name w:val="附录四级无"/>
    <w:basedOn w:val="94"/>
    <w:qFormat/>
    <w:uiPriority w:val="0"/>
    <w:pPr>
      <w:tabs>
        <w:tab w:val="clear" w:pos="360"/>
      </w:tabs>
      <w:spacing w:beforeLines="0" w:afterLines="0"/>
    </w:pPr>
    <w:rPr>
      <w:rFonts w:ascii="宋体" w:eastAsia="宋体"/>
      <w:szCs w:val="21"/>
    </w:rPr>
  </w:style>
  <w:style w:type="paragraph" w:customStyle="1" w:styleId="96">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7">
    <w:name w:val="附录图标题"/>
    <w:basedOn w:val="1"/>
    <w:next w:val="2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8">
    <w:name w:val="附录五级条标题"/>
    <w:basedOn w:val="94"/>
    <w:next w:val="22"/>
    <w:qFormat/>
    <w:uiPriority w:val="0"/>
    <w:pPr>
      <w:numPr>
        <w:ilvl w:val="6"/>
      </w:numPr>
      <w:outlineLvl w:val="6"/>
    </w:pPr>
  </w:style>
  <w:style w:type="paragraph" w:customStyle="1" w:styleId="99">
    <w:name w:val="附录五级无"/>
    <w:basedOn w:val="98"/>
    <w:qFormat/>
    <w:uiPriority w:val="0"/>
    <w:pPr>
      <w:tabs>
        <w:tab w:val="clear" w:pos="360"/>
      </w:tabs>
      <w:spacing w:beforeLines="0" w:afterLines="0"/>
    </w:pPr>
    <w:rPr>
      <w:rFonts w:ascii="宋体" w:eastAsia="宋体"/>
      <w:szCs w:val="21"/>
    </w:rPr>
  </w:style>
  <w:style w:type="paragraph" w:customStyle="1" w:styleId="100">
    <w:name w:val="附录章标题"/>
    <w:next w:val="2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2"/>
    <w:qFormat/>
    <w:uiPriority w:val="0"/>
    <w:pPr>
      <w:numPr>
        <w:ilvl w:val="2"/>
      </w:numPr>
      <w:autoSpaceDN w:val="0"/>
      <w:spacing w:beforeLines="50" w:afterLines="50"/>
      <w:outlineLvl w:val="2"/>
    </w:pPr>
  </w:style>
  <w:style w:type="paragraph" w:customStyle="1" w:styleId="102">
    <w:name w:val="附录一级无"/>
    <w:basedOn w:val="101"/>
    <w:qFormat/>
    <w:uiPriority w:val="0"/>
    <w:pPr>
      <w:tabs>
        <w:tab w:val="clear" w:pos="360"/>
      </w:tabs>
      <w:spacing w:beforeLines="0" w:afterLines="0"/>
    </w:pPr>
    <w:rPr>
      <w:rFonts w:ascii="宋体" w:eastAsia="宋体"/>
      <w:szCs w:val="21"/>
    </w:rPr>
  </w:style>
  <w:style w:type="paragraph" w:customStyle="1" w:styleId="103">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qFormat/>
    <w:uiPriority w:val="0"/>
    <w:pPr>
      <w:framePr w:w="6101"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qFormat/>
    <w:uiPriority w:val="0"/>
    <w:pPr>
      <w:framePr w:y="15310"/>
      <w:spacing w:line="0" w:lineRule="atLeast"/>
    </w:pPr>
    <w:rPr>
      <w:rFonts w:ascii="黑体" w:eastAsia="黑体"/>
      <w:b w:val="0"/>
    </w:rPr>
  </w:style>
  <w:style w:type="paragraph" w:customStyle="1" w:styleId="110">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qFormat/>
    <w:uiPriority w:val="0"/>
    <w:pPr>
      <w:spacing w:beforeLines="0" w:afterLines="0"/>
    </w:pPr>
    <w:rPr>
      <w:rFonts w:ascii="宋体" w:eastAsia="宋体"/>
    </w:rPr>
  </w:style>
  <w:style w:type="paragraph" w:customStyle="1" w:styleId="112">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3">
    <w:name w:val="示例后文字"/>
    <w:basedOn w:val="22"/>
    <w:next w:val="22"/>
    <w:qFormat/>
    <w:uiPriority w:val="0"/>
    <w:pPr>
      <w:ind w:firstLine="360"/>
    </w:pPr>
    <w:rPr>
      <w:sz w:val="18"/>
    </w:rPr>
  </w:style>
  <w:style w:type="paragraph" w:customStyle="1" w:styleId="114">
    <w:name w:val="首示例"/>
    <w:next w:val="22"/>
    <w:link w:val="115"/>
    <w:qFormat/>
    <w:uiPriority w:val="0"/>
    <w:pPr>
      <w:tabs>
        <w:tab w:val="left" w:pos="360"/>
      </w:tabs>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53"/>
    <w:qFormat/>
    <w:uiPriority w:val="0"/>
    <w:pPr>
      <w:spacing w:beforeLines="0" w:afterLines="0"/>
    </w:pPr>
    <w:rPr>
      <w:rFonts w:ascii="宋体" w:eastAsia="宋体"/>
    </w:rPr>
  </w:style>
  <w:style w:type="paragraph" w:customStyle="1" w:styleId="117">
    <w:name w:val="条文脚注"/>
    <w:basedOn w:val="23"/>
    <w:qFormat/>
    <w:uiPriority w:val="0"/>
    <w:pPr>
      <w:numPr>
        <w:numId w:val="0"/>
      </w:numPr>
      <w:jc w:val="both"/>
    </w:pPr>
  </w:style>
  <w:style w:type="paragraph" w:customStyle="1" w:styleId="118">
    <w:name w:val="图标脚注说明"/>
    <w:basedOn w:val="22"/>
    <w:qFormat/>
    <w:uiPriority w:val="0"/>
    <w:pPr>
      <w:ind w:left="840" w:hanging="420" w:firstLineChars="0"/>
    </w:pPr>
    <w:rPr>
      <w:sz w:val="18"/>
      <w:szCs w:val="18"/>
    </w:rPr>
  </w:style>
  <w:style w:type="paragraph" w:customStyle="1" w:styleId="119">
    <w:name w:val="图表脚注说明"/>
    <w:basedOn w:val="1"/>
    <w:qFormat/>
    <w:uiPriority w:val="0"/>
    <w:pPr>
      <w:numPr>
        <w:ilvl w:val="0"/>
        <w:numId w:val="15"/>
      </w:numPr>
    </w:pPr>
    <w:rPr>
      <w:rFonts w:ascii="宋体"/>
      <w:sz w:val="18"/>
      <w:szCs w:val="18"/>
    </w:rPr>
  </w:style>
  <w:style w:type="paragraph" w:customStyle="1" w:styleId="120">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qFormat/>
    <w:uiPriority w:val="0"/>
    <w:pPr>
      <w:spacing w:beforeLines="0" w:afterLines="0"/>
    </w:pPr>
    <w:rPr>
      <w:rFonts w:ascii="宋体" w:eastAsia="宋体"/>
    </w:rPr>
  </w:style>
  <w:style w:type="paragraph" w:customStyle="1" w:styleId="123">
    <w:name w:val="一级无"/>
    <w:basedOn w:val="40"/>
    <w:qFormat/>
    <w:uiPriority w:val="0"/>
    <w:pPr>
      <w:spacing w:beforeLines="0" w:afterLines="0"/>
    </w:pPr>
    <w:rPr>
      <w:rFonts w:ascii="宋体" w:eastAsia="宋体"/>
    </w:rPr>
  </w:style>
  <w:style w:type="paragraph" w:customStyle="1" w:styleId="124">
    <w:name w:val="正文表标题"/>
    <w:next w:val="22"/>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5">
    <w:name w:val="正文公式编号制表符"/>
    <w:basedOn w:val="22"/>
    <w:next w:val="22"/>
    <w:qFormat/>
    <w:uiPriority w:val="0"/>
    <w:pPr>
      <w:ind w:firstLine="0" w:firstLineChars="0"/>
    </w:pPr>
  </w:style>
  <w:style w:type="paragraph" w:customStyle="1" w:styleId="126">
    <w:name w:val="正文图标题"/>
    <w:next w:val="22"/>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9">
    <w:name w:val="其他实施日期"/>
    <w:basedOn w:val="112"/>
    <w:qFormat/>
    <w:uiPriority w:val="0"/>
  </w:style>
  <w:style w:type="paragraph" w:customStyle="1" w:styleId="130">
    <w:name w:val="封面标准名称2"/>
    <w:basedOn w:val="76"/>
    <w:qFormat/>
    <w:uiPriority w:val="0"/>
    <w:pPr>
      <w:framePr w:y="4469"/>
      <w:spacing w:beforeLines="630"/>
    </w:pPr>
  </w:style>
  <w:style w:type="paragraph" w:customStyle="1" w:styleId="131">
    <w:name w:val="封面标准英文名称2"/>
    <w:basedOn w:val="77"/>
    <w:qFormat/>
    <w:uiPriority w:val="0"/>
    <w:pPr>
      <w:framePr w:y="4469"/>
    </w:pPr>
  </w:style>
  <w:style w:type="paragraph" w:customStyle="1" w:styleId="132">
    <w:name w:val="封面一致性程度标识2"/>
    <w:basedOn w:val="78"/>
    <w:qFormat/>
    <w:uiPriority w:val="0"/>
    <w:pPr>
      <w:framePr w:y="4469"/>
    </w:pPr>
  </w:style>
  <w:style w:type="paragraph" w:customStyle="1" w:styleId="133">
    <w:name w:val="封面标准文稿类别2"/>
    <w:basedOn w:val="79"/>
    <w:qFormat/>
    <w:uiPriority w:val="0"/>
    <w:pPr>
      <w:framePr w:y="4469"/>
    </w:pPr>
  </w:style>
  <w:style w:type="paragraph" w:customStyle="1" w:styleId="134">
    <w:name w:val="封面标准文稿编辑信息2"/>
    <w:basedOn w:val="80"/>
    <w:qFormat/>
    <w:uiPriority w:val="0"/>
    <w:pPr>
      <w:framePr w:y="4469"/>
    </w:pPr>
  </w:style>
  <w:style w:type="paragraph" w:customStyle="1" w:styleId="135">
    <w:name w:val="标准名称"/>
    <w:basedOn w:val="48"/>
    <w:link w:val="138"/>
    <w:qFormat/>
    <w:uiPriority w:val="0"/>
  </w:style>
  <w:style w:type="character" w:styleId="136">
    <w:name w:val="Placeholder Text"/>
    <w:basedOn w:val="33"/>
    <w:semiHidden/>
    <w:qFormat/>
    <w:uiPriority w:val="99"/>
    <w:rPr>
      <w:color w:val="808080"/>
    </w:rPr>
  </w:style>
  <w:style w:type="character" w:customStyle="1" w:styleId="137">
    <w:name w:val="目次、标准名称标题 Char"/>
    <w:basedOn w:val="33"/>
    <w:link w:val="48"/>
    <w:qFormat/>
    <w:uiPriority w:val="0"/>
    <w:rPr>
      <w:rFonts w:ascii="黑体" w:eastAsia="黑体"/>
      <w:sz w:val="32"/>
      <w:shd w:val="clear" w:color="FFFFFF" w:fill="FFFFFF"/>
    </w:rPr>
  </w:style>
  <w:style w:type="character" w:customStyle="1" w:styleId="138">
    <w:name w:val="标准名称 Char"/>
    <w:basedOn w:val="137"/>
    <w:link w:val="135"/>
    <w:qFormat/>
    <w:uiPriority w:val="0"/>
    <w:rPr>
      <w:rFonts w:ascii="黑体" w:eastAsia="黑体"/>
      <w:sz w:val="32"/>
      <w:shd w:val="clear" w:color="FFFFFF" w:fill="FFFFFF"/>
    </w:rPr>
  </w:style>
  <w:style w:type="character" w:customStyle="1" w:styleId="139">
    <w:name w:val="批注框文本 字符"/>
    <w:basedOn w:val="33"/>
    <w:link w:val="15"/>
    <w:qFormat/>
    <w:uiPriority w:val="0"/>
    <w:rPr>
      <w:kern w:val="2"/>
      <w:sz w:val="18"/>
      <w:szCs w:val="18"/>
    </w:rPr>
  </w:style>
  <w:style w:type="character" w:customStyle="1" w:styleId="140">
    <w:name w:val="font71"/>
    <w:basedOn w:val="33"/>
    <w:qFormat/>
    <w:uiPriority w:val="0"/>
    <w:rPr>
      <w:rFonts w:ascii="微软雅黑" w:hAnsi="微软雅黑" w:eastAsia="微软雅黑" w:cs="微软雅黑"/>
      <w:color w:val="000000"/>
      <w:sz w:val="24"/>
      <w:szCs w:val="24"/>
      <w:u w:val="none"/>
    </w:rPr>
  </w:style>
  <w:style w:type="character" w:customStyle="1" w:styleId="141">
    <w:name w:val="font21"/>
    <w:basedOn w:val="33"/>
    <w:qFormat/>
    <w:uiPriority w:val="0"/>
    <w:rPr>
      <w:rFonts w:hint="default" w:ascii="Times New Roman" w:hAnsi="Times New Roman" w:cs="Times New Roman"/>
      <w:color w:val="FF0000"/>
      <w:sz w:val="24"/>
      <w:szCs w:val="24"/>
      <w:u w:val="none"/>
    </w:rPr>
  </w:style>
  <w:style w:type="character" w:customStyle="1" w:styleId="142">
    <w:name w:val="font61"/>
    <w:basedOn w:val="33"/>
    <w:qFormat/>
    <w:uiPriority w:val="0"/>
    <w:rPr>
      <w:rFonts w:hint="default" w:ascii="Times New Roman" w:hAnsi="Times New Roman" w:cs="Times New Roman"/>
      <w:color w:val="FF0000"/>
      <w:sz w:val="24"/>
      <w:szCs w:val="24"/>
      <w:u w:val="none"/>
    </w:rPr>
  </w:style>
  <w:style w:type="character" w:customStyle="1" w:styleId="143">
    <w:name w:val="font31"/>
    <w:basedOn w:val="33"/>
    <w:qFormat/>
    <w:uiPriority w:val="0"/>
    <w:rPr>
      <w:rFonts w:hint="default" w:ascii="Times New Roman" w:hAnsi="Times New Roman" w:cs="Times New Roman"/>
      <w:color w:val="000000"/>
      <w:sz w:val="24"/>
      <w:szCs w:val="24"/>
      <w:u w:val="none"/>
    </w:rPr>
  </w:style>
  <w:style w:type="character" w:customStyle="1" w:styleId="144">
    <w:name w:val="font51"/>
    <w:basedOn w:val="33"/>
    <w:qFormat/>
    <w:uiPriority w:val="0"/>
    <w:rPr>
      <w:rFonts w:hint="eastAsia" w:ascii="宋体" w:hAnsi="宋体" w:eastAsia="宋体" w:cs="宋体"/>
      <w:color w:val="000000"/>
      <w:sz w:val="24"/>
      <w:szCs w:val="24"/>
      <w:u w:val="none"/>
    </w:rPr>
  </w:style>
  <w:style w:type="character" w:customStyle="1" w:styleId="145">
    <w:name w:val="font41"/>
    <w:basedOn w:val="33"/>
    <w:qFormat/>
    <w:uiPriority w:val="0"/>
    <w:rPr>
      <w:rFonts w:hint="eastAsia" w:ascii="微软雅黑" w:hAnsi="微软雅黑" w:eastAsia="微软雅黑" w:cs="微软雅黑"/>
      <w:color w:val="000000"/>
      <w:sz w:val="24"/>
      <w:szCs w:val="24"/>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A783C"/>
    <w:rsid w:val="000C73CF"/>
    <w:rsid w:val="001132F9"/>
    <w:rsid w:val="00114ABC"/>
    <w:rsid w:val="001C16E0"/>
    <w:rsid w:val="002068C7"/>
    <w:rsid w:val="00323E80"/>
    <w:rsid w:val="003372E5"/>
    <w:rsid w:val="003750AF"/>
    <w:rsid w:val="00430F92"/>
    <w:rsid w:val="004F113A"/>
    <w:rsid w:val="004F1EC5"/>
    <w:rsid w:val="00515A81"/>
    <w:rsid w:val="005335DD"/>
    <w:rsid w:val="00595E09"/>
    <w:rsid w:val="00674FBA"/>
    <w:rsid w:val="006D02E4"/>
    <w:rsid w:val="007216E9"/>
    <w:rsid w:val="007C6ACB"/>
    <w:rsid w:val="007E2797"/>
    <w:rsid w:val="007E4627"/>
    <w:rsid w:val="00800293"/>
    <w:rsid w:val="00820E7E"/>
    <w:rsid w:val="008E024D"/>
    <w:rsid w:val="008F0268"/>
    <w:rsid w:val="00902EF8"/>
    <w:rsid w:val="00964374"/>
    <w:rsid w:val="00982DAC"/>
    <w:rsid w:val="009B16B1"/>
    <w:rsid w:val="009B6B1E"/>
    <w:rsid w:val="00A94E45"/>
    <w:rsid w:val="00AD6808"/>
    <w:rsid w:val="00B717AC"/>
    <w:rsid w:val="00BC67AA"/>
    <w:rsid w:val="00BE131B"/>
    <w:rsid w:val="00C875D2"/>
    <w:rsid w:val="00CB0B2B"/>
    <w:rsid w:val="00D12559"/>
    <w:rsid w:val="00D4454B"/>
    <w:rsid w:val="00D65DD7"/>
    <w:rsid w:val="00DA4409"/>
    <w:rsid w:val="00E95A08"/>
    <w:rsid w:val="00EA15BD"/>
    <w:rsid w:val="00EA32AC"/>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7</Pages>
  <Words>3142</Words>
  <Characters>4087</Characters>
  <Lines>27</Lines>
  <Paragraphs>7</Paragraphs>
  <TotalTime>0</TotalTime>
  <ScaleCrop>false</ScaleCrop>
  <LinksUpToDate>false</LinksUpToDate>
  <CharactersWithSpaces>4173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2020-08-04T00:55:00Z</dcterms:created>
  <dc:creator>CNIS</dc:creator>
  <cp:lastModifiedBy>yr</cp:lastModifiedBy>
  <dcterms:modified xsi:type="dcterms:W3CDTF">2023-02-16T06:58:31Z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72D0D71DF1354CDA9620AFF293E7CD22</vt:lpwstr>
  </property>
</Properties>
</file>