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pPr>
        <w:pStyle w:val="afff8"/>
        <w:rPr>
          <w:color w:val="000000" w:themeColor="text1"/>
        </w:rPr>
        <w:sectPr>
          <w:headerReference w:type="default" r:id="rId10"/>
          <w:footerReference w:type="even" r:id="rId11"/>
          <w:footerReference w:type="default" r:id="rId12"/>
          <w:headerReference w:type="first" r:id="rId13"/>
          <w:pgSz w:w="11907" w:h="16839"/>
          <w:pgMar w:top="567" w:right="851" w:bottom="1361" w:left="1418" w:header="0" w:footer="0" w:gutter="0"/>
          <w:pgNumType w:start="1"/>
          <w:cols w:space="425"/>
          <w:titlePg/>
          <w:docGrid w:type="lines" w:linePitch="312"/>
        </w:sectPr>
      </w:pPr>
      <w:r>
        <w:rPr>
          <w:noProof/>
          <w:color w:val="000000" w:themeColor="text1"/>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8888730</wp:posOffset>
                </wp:positionV>
                <wp:extent cx="6121400" cy="0"/>
                <wp:effectExtent l="0" t="0" r="1270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15="http://schemas.microsoft.com/office/word/2012/wordml" xmlns:wpsCustomData="http://www.wps.cn/officeDocument/2013/wpsCustomData">
            <w:pict>
              <v:line id="Line 11" o:spid="_x0000_s1026" o:spt="20" style="position:absolute;left:0pt;margin-left:0pt;margin-top:699.9pt;height:0pt;width:482pt;z-index:251667456;mso-width-relative:page;mso-height-relative:page;" filled="f" stroked="t" coordsize="21600,21600" o:gfxdata="UEsDBAoAAAAAAIdO4kAAAAAAAAAAAAAAAAAEAAAAZHJzL1BLAwQUAAAACACHTuJAi/yUodY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yUodYAAAAKAQAADwAAAAAAAAABACAAAAAiAAAAZHJzL2Rv&#10;d25yZXYueG1sUEsBAhQAFAAAAAgAh07iQOMMN17KAQAAogMAAA4AAAAAAAAAAQAgAAAAJQEAAGRy&#10;cy9lMm9Eb2MueG1sUEsFBgAAAAAGAAYAWQEAAGEFAAAAAA==&#10;">
                <v:fill on="f" focussize="0,0"/>
                <v:stroke weight="1pt" color="#080000" joinstyle="round"/>
                <v:imagedata o:title=""/>
                <o:lock v:ext="edit" aspectratio="f"/>
              </v:line>
            </w:pict>
          </mc:Fallback>
        </mc:AlternateContent>
      </w:r>
      <w:r>
        <w:rPr>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2272030</wp:posOffset>
                </wp:positionV>
                <wp:extent cx="6121400" cy="0"/>
                <wp:effectExtent l="0" t="0" r="1270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xmlns:w15="http://schemas.microsoft.com/office/word/2012/wordml" xmlns:wpsCustomData="http://www.wps.cn/officeDocument/2013/wpsCustomData">
            <w:pict>
              <v:line id="Line 10" o:spid="_x0000_s1026" o:spt="20" style="position:absolute;left:0pt;margin-left:0pt;margin-top:178.9pt;height:0pt;width:482pt;z-index:251666432;mso-width-relative:page;mso-height-relative:page;" filled="f" stroked="t" coordsize="21600,21600" o:gfxdata="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Qp2TnXAAAACAEAAA8AAAAAAAAAAQAgAAAAIgAAAGRycy9k&#10;b3ducmV2LnhtbFBLAQIUABQAAAAIAIdO4kBbVxkYygEAAKIDAAAOAAAAAAAAAAEAIAAAACYBAABk&#10;cnMvZTJvRG9jLnhtbFBLBQYAAAAABgAGAFkBAABiBQAAAAA=&#10;">
                <v:fill on="f" focussize="0,0"/>
                <v:stroke weight="1pt" color="#080000" joinstyle="round"/>
                <v:imagedata o:title=""/>
                <o:lock v:ext="edit" aspectratio="f"/>
              </v:line>
            </w:pict>
          </mc:Fallback>
        </mc:AlternateContent>
      </w:r>
      <w:bookmarkStart w:id="1" w:name="_Hlk57585389"/>
      <w:bookmarkEnd w:id="1"/>
      <w:r>
        <w:rPr>
          <w:noProof/>
          <w:color w:val="000000" w:themeColor="text1"/>
        </w:rPr>
        <mc:AlternateContent>
          <mc:Choice Requires="wps">
            <w:drawing>
              <wp:anchor distT="0" distB="0" distL="114300" distR="114300" simplePos="0" relativeHeight="251659776"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90"/>
                              <w:jc w:val="center"/>
                              <w:rPr>
                                <w:color w:val="000000"/>
                              </w:rPr>
                            </w:pPr>
                            <w:r>
                              <w:rPr>
                                <w:rFonts w:hint="eastAsia"/>
                                <w:b/>
                                <w:color w:val="000000"/>
                                <w:szCs w:val="36"/>
                              </w:rPr>
                              <w:t>中华人民共和国</w:t>
                            </w:r>
                            <w:r>
                              <w:rPr>
                                <w:rFonts w:hAnsi="宋体" w:hint="eastAsia"/>
                                <w:b/>
                                <w:color w:val="000000"/>
                                <w:szCs w:val="36"/>
                              </w:rPr>
                              <w:t xml:space="preserve">工业和信息化部 </w:t>
                            </w:r>
                            <w:r>
                              <w:rPr>
                                <w:rFonts w:hint="eastAsia"/>
                                <w:b/>
                                <w:color w:val="000000"/>
                                <w:sz w:val="24"/>
                                <w:szCs w:val="24"/>
                              </w:rPr>
                              <w:t>发 布</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597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" stroked="f">
                <v:textbox inset="0,0,0,0">
                  <w:txbxContent>
                    <w:p>
                      <w:pPr>
                        <w:pStyle w:val="90"/>
                        <w:jc w:val="center"/>
                        <w:rPr>
                          <w:color w:val="000000"/>
                        </w:rPr>
                      </w:pPr>
                      <w:r>
                        <w:rPr>
                          <w:rFonts w:hint="eastAsia"/>
                          <w:b/>
                          <w:color w:val="000000"/>
                          <w:szCs w:val="36"/>
                        </w:rPr>
                        <w:t>中华人民共和国</w:t>
                      </w:r>
                      <w:r>
                        <w:rPr>
                          <w:rFonts w:hAnsi="宋体" w:hint="eastAsia"/>
                          <w:b/>
                          <w:color w:val="000000"/>
                          <w:szCs w:val="36"/>
                        </w:rPr>
                        <w:t xml:space="preserve">工业和信息化部 </w:t>
                      </w:r>
                      <w:r>
                        <w:rPr>
                          <w:rFonts w:hint="eastAsia"/>
                          <w:b/>
                          <w:color w:val="000000"/>
                          <w:sz w:val="24"/>
                          <w:szCs w:val="24"/>
                        </w:rPr>
                        <w:t>发 布</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57728"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7" type="#_x0000_t202" style="position:absolute;left:0;text-align:left;margin-left:322.9pt;margin-top:674.3pt;width:159pt;height:24.6pt;z-index:2516577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" stroked="f">
                <v:textbox inset="0,0,0,0">
                  <w:txbxContent>
                    <w:p>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8" type="#_x0000_t202" style="position:absolute;left:0;text-align:left;margin-left:0;margin-top:674.3pt;width:159pt;height:24.6pt;z-index:2516587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" stroked="f">
                <v:textbox inset="0,0,0,0">
                  <w:txbxContent>
                    <w:p>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56704" behindDoc="0" locked="1" layoutInCell="1" allowOverlap="1">
                <wp:simplePos x="0" y="0"/>
                <wp:positionH relativeFrom="margin">
                  <wp:posOffset>0</wp:posOffset>
                </wp:positionH>
                <wp:positionV relativeFrom="margin">
                  <wp:posOffset>3635375</wp:posOffset>
                </wp:positionV>
                <wp:extent cx="5969000" cy="4681220"/>
                <wp:effectExtent l="0" t="0" r="0" b="508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afff5"/>
                              <w:rPr>
                                <w:rFonts w:ascii="黑体" w:eastAsia="黑体"/>
                                <w:sz w:val="52"/>
                              </w:rPr>
                            </w:pPr>
                            <w:r>
                              <w:rPr>
                                <w:rFonts w:ascii="黑体" w:eastAsia="黑体" w:hint="eastAsia"/>
                                <w:sz w:val="52"/>
                              </w:rPr>
                              <w:t>矿物绝缘电缆用铜棒、线坯</w:t>
                            </w:r>
                          </w:p>
                          <w:p>
                            <w:pPr>
                              <w:pStyle w:val="afff5"/>
                              <w:rPr>
                                <w:color w:val="000000" w:themeColor="text1"/>
                                <w:sz w:val="28"/>
                              </w:rPr>
                            </w:pPr>
                            <w:r>
                              <w:rPr>
                                <w:color w:val="000000" w:themeColor="text1"/>
                                <w:sz w:val="28"/>
                              </w:rPr>
                              <w:t xml:space="preserve">Copper </w:t>
                            </w:r>
                            <w:r>
                              <w:rPr>
                                <w:rFonts w:hint="eastAsia"/>
                                <w:color w:val="000000" w:themeColor="text1"/>
                                <w:sz w:val="28"/>
                              </w:rPr>
                              <w:t xml:space="preserve">bar </w:t>
                            </w:r>
                            <w:r>
                              <w:rPr>
                                <w:color w:val="000000" w:themeColor="text1"/>
                                <w:sz w:val="28"/>
                              </w:rPr>
                              <w:t xml:space="preserve">wire blank for mineral insulated cable </w:t>
                            </w:r>
                          </w:p>
                          <w:p>
                            <w:pPr>
                              <w:pStyle w:val="afff5"/>
                            </w:pPr>
                            <w:r>
                              <w:rPr>
                                <w:rFonts w:hint="eastAsia"/>
                              </w:rPr>
                              <w:t>（讨论稿）</w:t>
                            </w:r>
                          </w:p>
                          <w:p>
                            <w:pPr>
                              <w:pStyle w:val="afff4"/>
                            </w:pPr>
                          </w:p>
                        </w:txbxContent>
                      </wps:txbx>
                      <wps:bodyPr rot="0" vert="horz" wrap="square" lIns="0" tIns="0" rIns="0" bIns="0" anchor="t" anchorCtr="0" upright="1">
                        <a:noAutofit/>
                      </wps:bodyPr>
                    </wps:wsp>
                  </a:graphicData>
                </a:graphic>
              </wp:anchor>
            </w:drawing>
          </mc:Choice>
          <mc:Fallback>
            <w:pict>
              <v:shape id="fmFrame4" o:spid="_x0000_s1029" type="#_x0000_t202" style="position:absolute;left:0;text-align:left;margin-left:0;margin-top:286.25pt;width:470pt;height:368.6pt;z-index:2516567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" stroked="f">
                <v:textbox inset="0,0,0,0">
                  <w:txbxContent>
                    <w:p>
                      <w:pPr>
                        <w:pStyle w:val="afff5"/>
                        <w:rPr>
                          <w:rFonts w:ascii="黑体" w:eastAsia="黑体"/>
                          <w:sz w:val="52"/>
                        </w:rPr>
                      </w:pPr>
                      <w:r>
                        <w:rPr>
                          <w:rFonts w:ascii="黑体" w:eastAsia="黑体" w:hint="eastAsia"/>
                          <w:sz w:val="52"/>
                        </w:rPr>
                        <w:t>矿物绝缘电缆用铜棒、线坯</w:t>
                      </w:r>
                    </w:p>
                    <w:p>
                      <w:pPr>
                        <w:pStyle w:val="afff5"/>
                        <w:rPr>
                          <w:color w:val="000000" w:themeColor="text1"/>
                          <w:sz w:val="28"/>
                        </w:rPr>
                      </w:pPr>
                      <w:r>
                        <w:rPr>
                          <w:color w:val="000000" w:themeColor="text1"/>
                          <w:sz w:val="28"/>
                        </w:rPr>
                        <w:t xml:space="preserve">Copper </w:t>
                      </w:r>
                      <w:r>
                        <w:rPr>
                          <w:rFonts w:hint="eastAsia"/>
                          <w:color w:val="000000" w:themeColor="text1"/>
                          <w:sz w:val="28"/>
                        </w:rPr>
                        <w:t xml:space="preserve">bar </w:t>
                      </w:r>
                      <w:r>
                        <w:rPr>
                          <w:color w:val="000000" w:themeColor="text1"/>
                          <w:sz w:val="28"/>
                        </w:rPr>
                        <w:t xml:space="preserve">wire blank for mineral insulated cable </w:t>
                      </w:r>
                    </w:p>
                    <w:p>
                      <w:pPr>
                        <w:pStyle w:val="afff5"/>
                      </w:pPr>
                      <w:r>
                        <w:rPr>
                          <w:rFonts w:hint="eastAsia"/>
                        </w:rPr>
                        <w:t>（讨论稿）</w:t>
                      </w:r>
                    </w:p>
                    <w:p>
                      <w:pPr>
                        <w:pStyle w:val="afff4"/>
                      </w:pP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55680" behindDoc="0" locked="1" layoutInCell="1" allowOverlap="1">
                <wp:simplePos x="0" y="0"/>
                <wp:positionH relativeFrom="margin">
                  <wp:posOffset>-38100</wp:posOffset>
                </wp:positionH>
                <wp:positionV relativeFrom="margin">
                  <wp:posOffset>1725295</wp:posOffset>
                </wp:positionV>
                <wp:extent cx="5802630" cy="876935"/>
                <wp:effectExtent l="0" t="0" r="7620" b="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76935"/>
                        </a:xfrm>
                        <a:prstGeom prst="rect">
                          <a:avLst/>
                        </a:prstGeom>
                        <a:solidFill>
                          <a:srgbClr val="FFFFFF"/>
                        </a:solidFill>
                        <a:ln>
                          <a:noFill/>
                        </a:ln>
                      </wps:spPr>
                      <wps:txbx>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3pt;margin-top:135.85pt;width:456.9pt;height:69.05pt;z-index:2516556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" stroked="f">
                <v:textbox inset="0,0,0,0">
                  <w:txbxContent>
                    <w:p>
                      <w:pPr>
                        <w:spacing w:line="200" w:lineRule="exact"/>
                        <w:ind w:right="420"/>
                        <w:jc w:val="right"/>
                        <w:rPr>
                          <w:color w:val="000000"/>
                        </w:rPr>
                      </w:pPr>
                      <w:r>
                        <w:rPr>
                          <w:color w:val="000000"/>
                        </w:rPr>
                        <w:t>YS/T</w:t>
                      </w:r>
                      <w:r>
                        <w:rPr>
                          <w:rFonts w:hint="eastAsia"/>
                          <w:color w:val="000000"/>
                        </w:rPr>
                        <w:t>××</w:t>
                      </w:r>
                      <w:r>
                        <w:rPr>
                          <w:color w:val="000000"/>
                        </w:rPr>
                        <w:t xml:space="preserve"> —</w:t>
                      </w:r>
                      <w:r>
                        <w:rPr>
                          <w:rFonts w:hint="eastAsia"/>
                          <w:color w:val="000000"/>
                        </w:rPr>
                        <w:t>××××</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54656"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jc w:val="right"/>
                              <w:rPr>
                                <w:b/>
                                <w:sz w:val="96"/>
                                <w:szCs w:val="96"/>
                              </w:rPr>
                            </w:pPr>
                            <w:r>
                              <w:rPr>
                                <w:b/>
                                <w:sz w:val="96"/>
                                <w:szCs w:val="96"/>
                              </w:rPr>
                              <w:t>YS</w:t>
                            </w:r>
                          </w:p>
                        </w:txbxContent>
                      </wps:txbx>
                      <wps:bodyPr rot="0" vert="horz" wrap="square" lIns="0" tIns="0" rIns="0" bIns="0" anchor="t" anchorCtr="0" upright="1">
                        <a:noAutofit/>
                      </wps:bodyPr>
                    </wps:wsp>
                  </a:graphicData>
                </a:graphic>
              </wp:anchor>
            </w:drawing>
          </mc:Choice>
          <mc:Fallback>
            <w:pict>
              <v:shape id="fmFrame8" o:spid="_x0000_s1031" type="#_x0000_t202" style="position:absolute;left:0;text-align:left;margin-left:200.75pt;margin-top:8.45pt;width:250pt;height:56.7pt;z-index:2516546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" stroked="f">
                <v:textbox inset="0,0,0,0">
                  <w:txbxContent>
                    <w:p>
                      <w:pPr>
                        <w:jc w:val="right"/>
                        <w:rPr>
                          <w:b/>
                          <w:sz w:val="96"/>
                          <w:szCs w:val="96"/>
                        </w:rPr>
                      </w:pPr>
                      <w:r>
                        <w:rPr>
                          <w:b/>
                          <w:sz w:val="96"/>
                          <w:szCs w:val="96"/>
                        </w:rPr>
                        <w:t>YS</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1010920</wp:posOffset>
                </wp:positionV>
                <wp:extent cx="6067425" cy="578485"/>
                <wp:effectExtent l="0" t="0" r="9525" b="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78485"/>
                        </a:xfrm>
                        <a:prstGeom prst="rect">
                          <a:avLst/>
                        </a:prstGeom>
                        <a:solidFill>
                          <a:srgbClr val="FFFFFF"/>
                        </a:solidFill>
                        <a:ln>
                          <a:noFill/>
                        </a:ln>
                      </wps:spPr>
                      <wps:txbx>
                        <w:txbxContent>
                          <w:p>
                            <w:pPr>
                              <w:rPr>
                                <w:rFonts w:ascii="黑体" w:eastAsia="黑体" w:hAnsi="黑体"/>
                                <w:spacing w:val="90"/>
                                <w:sz w:val="52"/>
                                <w:szCs w:val="52"/>
                              </w:rPr>
                            </w:pPr>
                            <w:r>
                              <w:rPr>
                                <w:rFonts w:ascii="黑体" w:eastAsia="黑体" w:hAnsi="黑体" w:hint="eastAsia"/>
                                <w:spacing w:val="90"/>
                                <w:sz w:val="52"/>
                                <w:szCs w:val="52"/>
                              </w:rPr>
                              <w:t>中华人民共和国有色行业标准</w:t>
                            </w: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9.6pt;width:477.75pt;height:45.55pt;z-index:2516536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" stroked="f">
                <v:textbox inset="0,0,0,0">
                  <w:txbxContent>
                    <w:p>
                      <w:pPr>
                        <w:rPr>
                          <w:rFonts w:ascii="黑体" w:eastAsia="黑体" w:hAnsi="黑体"/>
                          <w:spacing w:val="90"/>
                          <w:sz w:val="52"/>
                          <w:szCs w:val="52"/>
                        </w:rPr>
                      </w:pPr>
                      <w:r>
                        <w:rPr>
                          <w:rFonts w:ascii="黑体" w:eastAsia="黑体" w:hAnsi="黑体" w:hint="eastAsia"/>
                          <w:spacing w:val="90"/>
                          <w:sz w:val="52"/>
                          <w:szCs w:val="52"/>
                        </w:rPr>
                        <w:t>中华人民共和国有色行业标准</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52608" behindDoc="0" locked="1" layoutInCell="1" allowOverlap="1">
                <wp:simplePos x="0" y="0"/>
                <wp:positionH relativeFrom="margin">
                  <wp:posOffset>-87630</wp:posOffset>
                </wp:positionH>
                <wp:positionV relativeFrom="margin">
                  <wp:posOffset>132080</wp:posOffset>
                </wp:positionV>
                <wp:extent cx="2540000" cy="657860"/>
                <wp:effectExtent l="0" t="0" r="0" b="8890"/>
                <wp:wrapNone/>
                <wp:docPr id="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
                              <w:rPr>
                                <w:rFonts w:hint="eastAsia"/>
                              </w:rPr>
                              <w:t>ICS 77.150.30</w:t>
                            </w:r>
                          </w:p>
                          <w:p>
                            <w:r>
                              <w:rPr>
                                <w:rFonts w:hint="eastAsia"/>
                              </w:rPr>
                              <w:t>CCS H62</w:t>
                            </w:r>
                          </w:p>
                          <w:p/>
                        </w:txbxContent>
                      </wps:txbx>
                      <wps:bodyPr rot="0" vert="horz" wrap="square" lIns="0" tIns="0" rIns="0" bIns="0" anchor="t" anchorCtr="0" upright="1">
                        <a:noAutofit/>
                      </wps:bodyPr>
                    </wps:wsp>
                  </a:graphicData>
                </a:graphic>
              </wp:anchor>
            </w:drawing>
          </mc:Choice>
          <mc:Fallback>
            <w:pict>
              <v:shape id="fmFrame1" o:spid="_x0000_s1033" type="#_x0000_t202" style="position:absolute;left:0;text-align:left;margin-left:-6.9pt;margin-top:10.4pt;width:200pt;height:51.8pt;z-index:251652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" stroked="f">
                <v:textbox inset="0,0,0,0">
                  <w:txbxContent>
                    <w:p>
                      <w:r>
                        <w:rPr>
                          <w:rFonts w:hint="eastAsia"/>
                        </w:rPr>
                        <w:t>ICS 77.150.30</w:t>
                      </w:r>
                    </w:p>
                    <w:p>
                      <w:r>
                        <w:rPr>
                          <w:rFonts w:hint="eastAsia"/>
                        </w:rPr>
                        <w:t>CCS H62</w:t>
                      </w:r>
                    </w:p>
                    <w:p/>
                  </w:txbxContent>
                </v:textbox>
                <w10:wrap anchorx="margin" anchory="margin"/>
                <w10:anchorlock/>
              </v:shape>
            </w:pict>
          </mc:Fallback>
        </mc:AlternateContent>
      </w:r>
    </w:p>
    <w:p>
      <w:pPr>
        <w:pStyle w:val="a8"/>
        <w:rPr>
          <w:color w:val="000000" w:themeColor="text1"/>
        </w:rPr>
      </w:pPr>
      <w:bookmarkStart w:id="2" w:name="SectionMark2"/>
      <w:bookmarkEnd w:id="0"/>
      <w:r>
        <w:rPr>
          <w:rFonts w:hint="eastAsia"/>
          <w:color w:val="000000" w:themeColor="text1"/>
        </w:rPr>
        <w:lastRenderedPageBreak/>
        <w:t>前    言</w:t>
      </w:r>
    </w:p>
    <w:p>
      <w:pPr>
        <w:pStyle w:val="affe"/>
        <w:ind w:firstLine="420"/>
        <w:rPr>
          <w:color w:val="000000" w:themeColor="text1"/>
        </w:rPr>
      </w:pPr>
      <w:r>
        <w:rPr>
          <w:rFonts w:hint="eastAsia"/>
          <w:color w:val="000000" w:themeColor="text1"/>
        </w:rPr>
        <w:t>本文件按照GB/T 1.1-2020《标准化工作导则 第1部分：标准化文件的结构和起草规则》的规定起草。</w:t>
      </w:r>
    </w:p>
    <w:p>
      <w:pPr>
        <w:pStyle w:val="affe"/>
        <w:ind w:firstLine="420"/>
        <w:rPr>
          <w:rFonts w:hAnsi="宋体"/>
          <w:szCs w:val="21"/>
        </w:rPr>
      </w:pPr>
      <w:r>
        <w:rPr>
          <w:rFonts w:hAnsi="宋体" w:hint="eastAsia"/>
          <w:szCs w:val="21"/>
        </w:rPr>
        <w:t>请注意本文件的某些内容可能涉及专利。本文件的发布机构不承担识别专利的责任。</w:t>
      </w:r>
    </w:p>
    <w:p>
      <w:pPr>
        <w:pStyle w:val="affe"/>
        <w:ind w:firstLine="420"/>
        <w:rPr>
          <w:color w:val="000000" w:themeColor="text1"/>
        </w:rPr>
      </w:pPr>
      <w:r>
        <w:rPr>
          <w:rFonts w:hint="eastAsia"/>
          <w:color w:val="000000" w:themeColor="text1"/>
        </w:rPr>
        <w:t>本文件由全国有色金属标准化技术委员会</w:t>
      </w:r>
      <w:r>
        <w:rPr>
          <w:rFonts w:hAnsi="宋体" w:hint="eastAsia"/>
          <w:color w:val="000000" w:themeColor="text1"/>
        </w:rPr>
        <w:t>（SAC/TC 243）提出并</w:t>
      </w:r>
      <w:r>
        <w:rPr>
          <w:rFonts w:hint="eastAsia"/>
          <w:color w:val="000000" w:themeColor="text1"/>
        </w:rPr>
        <w:t>归口。</w:t>
      </w:r>
    </w:p>
    <w:p>
      <w:pPr>
        <w:pStyle w:val="affe"/>
        <w:ind w:firstLine="420"/>
        <w:rPr>
          <w:color w:val="000000" w:themeColor="text1"/>
        </w:rPr>
      </w:pPr>
      <w:r>
        <w:rPr>
          <w:rFonts w:hint="eastAsia"/>
          <w:color w:val="000000" w:themeColor="text1"/>
        </w:rPr>
        <w:t>本文件起草单位：宁波金田铜业（集团）股份有限公司、芜湖楚江合金铜材有限公司</w:t>
      </w:r>
    </w:p>
    <w:p>
      <w:pPr>
        <w:pStyle w:val="affe"/>
        <w:ind w:firstLine="420"/>
        <w:rPr>
          <w:color w:val="000000" w:themeColor="text1"/>
        </w:rPr>
      </w:pPr>
      <w:r>
        <w:rPr>
          <w:rFonts w:hint="eastAsia"/>
          <w:color w:val="000000" w:themeColor="text1"/>
        </w:rPr>
        <w:t>本文件主要起草人：</w:t>
      </w:r>
    </w:p>
    <w:p>
      <w:pPr>
        <w:pStyle w:val="af0"/>
        <w:numPr>
          <w:ilvl w:val="0"/>
          <w:numId w:val="0"/>
        </w:numPr>
        <w:tabs>
          <w:tab w:val="left" w:pos="420"/>
        </w:tabs>
        <w:rPr>
          <w:color w:val="000000" w:themeColor="text1"/>
        </w:rPr>
      </w:pPr>
    </w:p>
    <w:p>
      <w:pPr>
        <w:pStyle w:val="af0"/>
        <w:numPr>
          <w:ilvl w:val="0"/>
          <w:numId w:val="0"/>
        </w:numPr>
        <w:rPr>
          <w:color w:val="000000" w:themeColor="text1"/>
        </w:rPr>
      </w:pPr>
    </w:p>
    <w:p>
      <w:pPr>
        <w:pStyle w:val="af0"/>
        <w:numPr>
          <w:ilvl w:val="0"/>
          <w:numId w:val="0"/>
        </w:numPr>
        <w:ind w:left="840" w:hanging="420"/>
        <w:rPr>
          <w:color w:val="000000" w:themeColor="text1"/>
        </w:rPr>
      </w:pPr>
    </w:p>
    <w:p>
      <w:pPr>
        <w:pStyle w:val="af0"/>
        <w:numPr>
          <w:ilvl w:val="0"/>
          <w:numId w:val="0"/>
        </w:numPr>
        <w:ind w:left="840" w:hanging="420"/>
        <w:rPr>
          <w:color w:val="000000" w:themeColor="text1"/>
        </w:rPr>
      </w:pPr>
    </w:p>
    <w:p>
      <w:pPr>
        <w:pStyle w:val="af0"/>
        <w:numPr>
          <w:ilvl w:val="0"/>
          <w:numId w:val="0"/>
        </w:numPr>
        <w:ind w:left="840" w:hanging="420"/>
        <w:rPr>
          <w:color w:val="000000" w:themeColor="text1"/>
        </w:rPr>
      </w:pPr>
    </w:p>
    <w:p>
      <w:pPr>
        <w:pStyle w:val="af0"/>
        <w:numPr>
          <w:ilvl w:val="0"/>
          <w:numId w:val="0"/>
        </w:numPr>
        <w:ind w:left="840" w:hanging="420"/>
        <w:rPr>
          <w:color w:val="000000" w:themeColor="text1"/>
        </w:rPr>
      </w:pPr>
    </w:p>
    <w:p>
      <w:pPr>
        <w:pStyle w:val="af0"/>
        <w:numPr>
          <w:ilvl w:val="0"/>
          <w:numId w:val="0"/>
        </w:numPr>
        <w:ind w:left="840" w:hanging="420"/>
        <w:rPr>
          <w:color w:val="000000" w:themeColor="text1"/>
        </w:rPr>
      </w:pPr>
    </w:p>
    <w:p>
      <w:pPr>
        <w:pStyle w:val="af0"/>
        <w:numPr>
          <w:ilvl w:val="0"/>
          <w:numId w:val="0"/>
        </w:numPr>
        <w:ind w:left="840" w:hanging="420"/>
        <w:rPr>
          <w:color w:val="000000" w:themeColor="text1"/>
        </w:rPr>
      </w:pPr>
    </w:p>
    <w:p>
      <w:pPr>
        <w:pStyle w:val="af0"/>
        <w:numPr>
          <w:ilvl w:val="0"/>
          <w:numId w:val="0"/>
        </w:numPr>
        <w:ind w:left="840" w:hanging="420"/>
        <w:rPr>
          <w:color w:val="000000" w:themeColor="text1"/>
        </w:rPr>
      </w:pPr>
    </w:p>
    <w:p>
      <w:pPr>
        <w:pStyle w:val="af0"/>
        <w:numPr>
          <w:ilvl w:val="0"/>
          <w:numId w:val="0"/>
        </w:numPr>
        <w:ind w:left="840" w:hanging="420"/>
        <w:rPr>
          <w:color w:val="000000" w:themeColor="text1"/>
        </w:rPr>
      </w:pPr>
    </w:p>
    <w:p>
      <w:pPr>
        <w:pStyle w:val="affff1"/>
        <w:rPr>
          <w:color w:val="000000" w:themeColor="text1"/>
        </w:rPr>
      </w:pPr>
      <w:bookmarkStart w:id="3" w:name="SectionMark4"/>
      <w:bookmarkEnd w:id="2"/>
    </w:p>
    <w:p>
      <w:pPr>
        <w:pStyle w:val="affff1"/>
        <w:rPr>
          <w:color w:val="000000" w:themeColor="text1"/>
        </w:rPr>
      </w:pPr>
    </w:p>
    <w:p>
      <w:pPr>
        <w:pStyle w:val="affff1"/>
        <w:numPr>
          <w:ilvl w:val="0"/>
          <w:numId w:val="0"/>
        </w:numPr>
        <w:jc w:val="both"/>
        <w:rPr>
          <w:color w:val="000000" w:themeColor="text1"/>
        </w:rPr>
      </w:pPr>
    </w:p>
    <w:p>
      <w:pPr>
        <w:pStyle w:val="affe"/>
        <w:ind w:firstLine="420"/>
        <w:rPr>
          <w:color w:val="000000" w:themeColor="text1"/>
        </w:rPr>
      </w:pPr>
    </w:p>
    <w:p>
      <w:pPr>
        <w:pStyle w:val="affe"/>
        <w:ind w:firstLine="420"/>
        <w:rPr>
          <w:color w:val="000000" w:themeColor="text1"/>
        </w:rPr>
      </w:pPr>
    </w:p>
    <w:p>
      <w:pPr>
        <w:pStyle w:val="affe"/>
        <w:ind w:firstLine="420"/>
        <w:rPr>
          <w:color w:val="000000" w:themeColor="text1"/>
        </w:rPr>
      </w:pPr>
    </w:p>
    <w:p>
      <w:pPr>
        <w:pStyle w:val="affe"/>
        <w:ind w:firstLine="420"/>
        <w:rPr>
          <w:color w:val="000000" w:themeColor="text1"/>
        </w:rPr>
      </w:pPr>
    </w:p>
    <w:p>
      <w:pPr>
        <w:pStyle w:val="affe"/>
        <w:ind w:firstLine="420"/>
        <w:rPr>
          <w:color w:val="000000" w:themeColor="text1"/>
        </w:rPr>
      </w:pPr>
    </w:p>
    <w:p>
      <w:pPr>
        <w:pStyle w:val="affe"/>
        <w:ind w:firstLine="420"/>
        <w:rPr>
          <w:color w:val="000000" w:themeColor="text1"/>
        </w:rPr>
      </w:pPr>
    </w:p>
    <w:p>
      <w:pPr>
        <w:pStyle w:val="affe"/>
        <w:ind w:firstLine="420"/>
        <w:rPr>
          <w:color w:val="000000" w:themeColor="text1"/>
        </w:rPr>
      </w:pPr>
    </w:p>
    <w:p>
      <w:pPr>
        <w:pStyle w:val="affe"/>
        <w:ind w:firstLine="420"/>
        <w:rPr>
          <w:color w:val="000000" w:themeColor="text1"/>
        </w:rPr>
      </w:pPr>
    </w:p>
    <w:p>
      <w:pPr>
        <w:pStyle w:val="affe"/>
        <w:ind w:firstLineChars="0" w:firstLine="0"/>
        <w:rPr>
          <w:color w:val="000000" w:themeColor="text1"/>
        </w:rPr>
      </w:pPr>
    </w:p>
    <w:p>
      <w:pPr>
        <w:pStyle w:val="affe"/>
        <w:ind w:firstLineChars="0" w:firstLine="0"/>
        <w:rPr>
          <w:color w:val="000000" w:themeColor="text1"/>
        </w:rPr>
      </w:pPr>
    </w:p>
    <w:p>
      <w:pPr>
        <w:snapToGrid w:val="0"/>
        <w:spacing w:line="340" w:lineRule="atLeast"/>
        <w:ind w:firstLine="420"/>
        <w:jc w:val="center"/>
        <w:rPr>
          <w:rFonts w:ascii="黑体" w:eastAsia="黑体"/>
          <w:color w:val="000000" w:themeColor="text1"/>
          <w:sz w:val="32"/>
          <w:szCs w:val="32"/>
        </w:rPr>
      </w:pPr>
      <w:r>
        <w:rPr>
          <w:rFonts w:ascii="黑体" w:eastAsia="黑体" w:hint="eastAsia"/>
          <w:color w:val="000000" w:themeColor="text1"/>
          <w:sz w:val="32"/>
          <w:szCs w:val="32"/>
        </w:rPr>
        <w:lastRenderedPageBreak/>
        <w:t>矿物绝缘电缆用铜棒、线坯</w:t>
      </w:r>
    </w:p>
    <w:p>
      <w:pPr>
        <w:pStyle w:val="a9"/>
        <w:spacing w:beforeLines="100" w:before="312" w:afterLines="100" w:after="312"/>
        <w:ind w:left="0"/>
        <w:rPr>
          <w:color w:val="000000" w:themeColor="text1"/>
        </w:rPr>
      </w:pPr>
      <w:r>
        <w:rPr>
          <w:rFonts w:hint="eastAsia"/>
          <w:color w:val="000000" w:themeColor="text1"/>
        </w:rPr>
        <w:t>范围</w:t>
      </w:r>
    </w:p>
    <w:p>
      <w:pPr>
        <w:pStyle w:val="affe"/>
        <w:spacing w:line="340" w:lineRule="exact"/>
        <w:ind w:firstLine="420"/>
      </w:pPr>
      <w:r>
        <w:rPr>
          <w:rFonts w:hint="eastAsia"/>
        </w:rPr>
        <w:t>本文件规定了矿物绝缘电缆用铜棒线坯的产品分类、技术要求、试验方法、检验规则及标志、包装、运输、贮存和随行文件、订货单内容。</w:t>
      </w:r>
    </w:p>
    <w:p>
      <w:pPr>
        <w:pStyle w:val="affe"/>
        <w:spacing w:line="340" w:lineRule="exact"/>
        <w:ind w:firstLine="420"/>
        <w:rPr>
          <w:rFonts w:hAnsi="宋体" w:cs="Arial"/>
        </w:rPr>
      </w:pPr>
      <w:r>
        <w:rPr>
          <w:rFonts w:hint="eastAsia"/>
        </w:rPr>
        <w:t>本文件适用</w:t>
      </w:r>
      <w:r>
        <w:rPr>
          <w:rFonts w:hAnsi="宋体" w:cs="Arial" w:hint="eastAsia"/>
        </w:rPr>
        <w:t>直径为3～80mm，用于制作矿物绝缘电缆用实心铜导体（芯）的圆形截面铜棒、线坯（简称铜棒线坯）</w:t>
      </w:r>
      <w:r>
        <w:rPr>
          <w:rFonts w:hint="eastAsia"/>
        </w:rPr>
        <w:t>。</w:t>
      </w:r>
    </w:p>
    <w:p>
      <w:pPr>
        <w:pStyle w:val="a9"/>
        <w:spacing w:beforeLines="100" w:before="312" w:afterLines="100" w:after="312"/>
        <w:ind w:left="0"/>
        <w:rPr>
          <w:color w:val="000000" w:themeColor="text1"/>
        </w:rPr>
      </w:pPr>
      <w:r>
        <w:rPr>
          <w:rFonts w:hint="eastAsia"/>
          <w:color w:val="000000" w:themeColor="text1"/>
        </w:rPr>
        <w:t>规范性引用文件</w:t>
      </w:r>
    </w:p>
    <w:p>
      <w:pPr>
        <w:pStyle w:val="affe"/>
        <w:spacing w:line="340" w:lineRule="exact"/>
        <w:ind w:firstLine="420"/>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3048.2  电线电缆电性能试验方法 第2部分：金属材料电阻率试验</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3310  铜及铜合金棒材超声波探伤方法</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3956  电缆的导体</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Ansi="宋体" w:hint="eastAsia"/>
          <w:kern w:val="0"/>
          <w:szCs w:val="20"/>
        </w:rPr>
        <w:t xml:space="preserve">GB/T 4340.1  </w:t>
      </w:r>
      <w:r>
        <w:rPr>
          <w:rFonts w:ascii="宋体"/>
          <w:kern w:val="0"/>
          <w:szCs w:val="20"/>
        </w:rPr>
        <w:t xml:space="preserve">金属材料 </w:t>
      </w:r>
      <w:r>
        <w:rPr>
          <w:rFonts w:ascii="宋体" w:hint="eastAsia"/>
          <w:kern w:val="0"/>
          <w:szCs w:val="20"/>
        </w:rPr>
        <w:t xml:space="preserve"> </w:t>
      </w:r>
      <w:r>
        <w:rPr>
          <w:rFonts w:ascii="宋体"/>
          <w:kern w:val="0"/>
          <w:szCs w:val="20"/>
        </w:rPr>
        <w:t>维氏硬度试验 第1部分</w:t>
      </w:r>
      <w:r>
        <w:rPr>
          <w:rFonts w:ascii="宋体" w:hint="eastAsia"/>
          <w:kern w:val="0"/>
          <w:szCs w:val="20"/>
        </w:rPr>
        <w:t>：</w:t>
      </w:r>
      <w:r>
        <w:rPr>
          <w:rFonts w:ascii="宋体"/>
          <w:kern w:val="0"/>
          <w:szCs w:val="20"/>
        </w:rPr>
        <w:t>试验方法</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4909.2  裸电线试验方法 第2部分：尺寸测量</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5121  （所有部分）铜及铜合金化学分析方法</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5231  加工铜及铜合金牌号和化学成分</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32791 铜及铜合金导电率涡流测试方法</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29094  铜及铜合金状态表示方法</w:t>
      </w:r>
    </w:p>
    <w:p>
      <w:pPr>
        <w:widowControl/>
        <w:tabs>
          <w:tab w:val="center" w:pos="4201"/>
          <w:tab w:val="right" w:leader="dot" w:pos="9298"/>
        </w:tabs>
        <w:autoSpaceDE w:val="0"/>
        <w:autoSpaceDN w:val="0"/>
        <w:spacing w:line="340" w:lineRule="exact"/>
        <w:ind w:firstLineChars="200" w:firstLine="420"/>
        <w:rPr>
          <w:rFonts w:ascii="宋体"/>
          <w:kern w:val="0"/>
          <w:szCs w:val="20"/>
        </w:rPr>
      </w:pPr>
      <w:r>
        <w:rPr>
          <w:rFonts w:ascii="宋体" w:hint="eastAsia"/>
          <w:kern w:val="0"/>
          <w:szCs w:val="20"/>
        </w:rPr>
        <w:t>GB/T 34505-2017 铜及铜合金材料  室温拉伸试验方法</w:t>
      </w:r>
    </w:p>
    <w:p>
      <w:pPr>
        <w:pStyle w:val="a9"/>
        <w:spacing w:beforeLines="100" w:before="312" w:afterLines="100" w:after="312"/>
        <w:ind w:left="0"/>
        <w:rPr>
          <w:color w:val="000000" w:themeColor="text1"/>
        </w:rPr>
      </w:pPr>
      <w:r>
        <w:rPr>
          <w:rFonts w:hint="eastAsia"/>
          <w:color w:val="000000" w:themeColor="text1"/>
        </w:rPr>
        <w:t>术语和定义</w:t>
      </w:r>
    </w:p>
    <w:p>
      <w:pPr>
        <w:autoSpaceDE w:val="0"/>
        <w:autoSpaceDN w:val="0"/>
        <w:adjustRightInd w:val="0"/>
        <w:spacing w:line="340" w:lineRule="exact"/>
        <w:ind w:firstLineChars="200" w:firstLine="420"/>
        <w:rPr>
          <w:rFonts w:ascii="宋体" w:hAnsi="宋体"/>
          <w:kern w:val="0"/>
          <w:szCs w:val="46"/>
        </w:rPr>
      </w:pPr>
      <w:r>
        <w:rPr>
          <w:rFonts w:ascii="宋体" w:hAnsi="宋体" w:hint="eastAsia"/>
          <w:kern w:val="0"/>
          <w:szCs w:val="46"/>
        </w:rPr>
        <w:t>本文件没有需要界定的术语和定义。</w:t>
      </w:r>
    </w:p>
    <w:bookmarkEnd w:id="3"/>
    <w:p>
      <w:pPr>
        <w:pStyle w:val="a9"/>
        <w:spacing w:beforeLines="100" w:before="312" w:afterLines="100" w:after="312"/>
        <w:ind w:left="0"/>
      </w:pPr>
      <w:r>
        <w:rPr>
          <w:rFonts w:hint="eastAsia"/>
        </w:rPr>
        <w:t>分类和标记</w:t>
      </w:r>
    </w:p>
    <w:p>
      <w:pPr>
        <w:pStyle w:val="aa"/>
        <w:spacing w:beforeLines="50" w:before="156" w:afterLines="50" w:after="156"/>
        <w:rPr>
          <w:color w:val="000000" w:themeColor="text1"/>
        </w:rPr>
      </w:pPr>
      <w:r>
        <w:rPr>
          <w:rFonts w:hint="eastAsia"/>
          <w:color w:val="000000" w:themeColor="text1"/>
        </w:rPr>
        <w:t>产品分类</w:t>
      </w:r>
    </w:p>
    <w:p>
      <w:pPr>
        <w:pStyle w:val="affe"/>
        <w:spacing w:line="340" w:lineRule="exact"/>
        <w:ind w:firstLineChars="0" w:firstLine="0"/>
        <w:rPr>
          <w:color w:val="000000" w:themeColor="text1"/>
        </w:rPr>
      </w:pPr>
      <w:r>
        <w:rPr>
          <w:rFonts w:hint="eastAsia"/>
          <w:color w:val="000000" w:themeColor="text1"/>
        </w:rPr>
        <w:t>4.1.1 铜棒线坯的牌号、状态和规格应符合表1的规定。</w:t>
      </w:r>
    </w:p>
    <w:p>
      <w:pPr>
        <w:pStyle w:val="a6"/>
        <w:spacing w:beforeLines="50" w:before="156" w:afterLines="50" w:after="156"/>
        <w:ind w:left="0"/>
        <w:rPr>
          <w:color w:val="000000" w:themeColor="text1"/>
          <w:szCs w:val="21"/>
        </w:rPr>
      </w:pPr>
      <w:r>
        <w:rPr>
          <w:rFonts w:hint="eastAsia"/>
          <w:color w:val="000000" w:themeColor="text1"/>
          <w:szCs w:val="21"/>
        </w:rPr>
        <w:t>牌号、状态、规格</w:t>
      </w:r>
    </w:p>
    <w:tbl>
      <w:tblPr>
        <w:tblW w:w="8538" w:type="dxa"/>
        <w:jc w:val="center"/>
        <w:tblLook w:val="04A0" w:firstRow="1" w:lastRow="0" w:firstColumn="1" w:lastColumn="0" w:noHBand="0" w:noVBand="1"/>
      </w:tblPr>
      <w:tblGrid>
        <w:gridCol w:w="1719"/>
        <w:gridCol w:w="1559"/>
        <w:gridCol w:w="1984"/>
        <w:gridCol w:w="1701"/>
        <w:gridCol w:w="1575"/>
      </w:tblGrid>
      <w:tr>
        <w:trPr>
          <w:trHeight w:val="340"/>
          <w:jc w:val="center"/>
        </w:trPr>
        <w:tc>
          <w:tcPr>
            <w:tcW w:w="1719" w:type="dxa"/>
            <w:vMerge w:val="restart"/>
            <w:tcBorders>
              <w:top w:val="single" w:sz="8" w:space="0" w:color="auto"/>
              <w:left w:val="single" w:sz="8" w:space="0" w:color="auto"/>
              <w:right w:val="single" w:sz="4" w:space="0" w:color="auto"/>
            </w:tcBorders>
            <w:shd w:val="clear" w:color="auto" w:fill="auto"/>
            <w:vAlign w:val="center"/>
            <w:hideMark/>
          </w:tcPr>
          <w:p>
            <w:pPr>
              <w:widowControl/>
              <w:jc w:val="center"/>
              <w:rPr>
                <w:rFonts w:ascii="宋体" w:hAnsi="宋体" w:cs="宋体"/>
                <w:kern w:val="0"/>
                <w:sz w:val="18"/>
                <w:szCs w:val="18"/>
              </w:rPr>
            </w:pPr>
            <w:r>
              <w:rPr>
                <w:rFonts w:ascii="宋体" w:hAnsi="宋体" w:cs="宋体" w:hint="eastAsia"/>
                <w:kern w:val="0"/>
                <w:sz w:val="18"/>
                <w:szCs w:val="18"/>
              </w:rPr>
              <w:t>牌号</w:t>
            </w:r>
          </w:p>
        </w:tc>
        <w:tc>
          <w:tcPr>
            <w:tcW w:w="1559" w:type="dxa"/>
            <w:vMerge w:val="restart"/>
            <w:tcBorders>
              <w:top w:val="single" w:sz="8" w:space="0" w:color="auto"/>
              <w:left w:val="nil"/>
              <w:right w:val="single" w:sz="4" w:space="0" w:color="auto"/>
            </w:tcBorders>
            <w:vAlign w:val="center"/>
          </w:tcPr>
          <w:p>
            <w:pPr>
              <w:widowControl/>
              <w:tabs>
                <w:tab w:val="left" w:pos="1064"/>
              </w:tabs>
              <w:jc w:val="center"/>
              <w:rPr>
                <w:rFonts w:ascii="宋体" w:hAnsi="宋体" w:cs="宋体"/>
                <w:kern w:val="0"/>
                <w:sz w:val="18"/>
                <w:szCs w:val="18"/>
              </w:rPr>
            </w:pPr>
            <w:r>
              <w:rPr>
                <w:rFonts w:ascii="宋体" w:hAnsi="宋体" w:cs="宋体" w:hint="eastAsia"/>
                <w:kern w:val="0"/>
                <w:sz w:val="18"/>
                <w:szCs w:val="18"/>
              </w:rPr>
              <w:t>状态</w:t>
            </w:r>
          </w:p>
        </w:tc>
        <w:tc>
          <w:tcPr>
            <w:tcW w:w="1984" w:type="dxa"/>
            <w:vMerge w:val="restart"/>
            <w:tcBorders>
              <w:top w:val="single" w:sz="8" w:space="0" w:color="auto"/>
              <w:left w:val="single" w:sz="4" w:space="0" w:color="auto"/>
              <w:right w:val="single" w:sz="4" w:space="0" w:color="auto"/>
            </w:tcBorders>
            <w:vAlign w:val="center"/>
          </w:tcPr>
          <w:p>
            <w:pPr>
              <w:widowControl/>
              <w:jc w:val="center"/>
              <w:rPr>
                <w:rFonts w:ascii="宋体" w:hAnsi="宋体" w:cs="宋体"/>
                <w:kern w:val="0"/>
                <w:sz w:val="18"/>
                <w:szCs w:val="18"/>
              </w:rPr>
            </w:pPr>
            <w:r>
              <w:rPr>
                <w:rFonts w:ascii="宋体" w:hAnsi="宋体" w:cs="宋体" w:hint="eastAsia"/>
                <w:kern w:val="0"/>
                <w:sz w:val="18"/>
                <w:szCs w:val="18"/>
              </w:rPr>
              <w:t>直径/mm</w:t>
            </w:r>
          </w:p>
        </w:tc>
        <w:tc>
          <w:tcPr>
            <w:tcW w:w="3276" w:type="dxa"/>
            <w:gridSpan w:val="2"/>
            <w:tcBorders>
              <w:top w:val="single" w:sz="8" w:space="0" w:color="auto"/>
              <w:left w:val="single" w:sz="4" w:space="0" w:color="auto"/>
              <w:bottom w:val="single" w:sz="4" w:space="0" w:color="auto"/>
              <w:right w:val="single" w:sz="8" w:space="0" w:color="auto"/>
            </w:tcBorders>
            <w:vAlign w:val="center"/>
          </w:tcPr>
          <w:p>
            <w:pPr>
              <w:widowControl/>
              <w:jc w:val="center"/>
              <w:rPr>
                <w:rFonts w:ascii="宋体" w:hAnsi="宋体" w:cs="宋体"/>
                <w:kern w:val="0"/>
                <w:sz w:val="18"/>
                <w:szCs w:val="18"/>
              </w:rPr>
            </w:pPr>
            <w:r>
              <w:rPr>
                <w:rFonts w:ascii="宋体" w:hAnsi="宋体" w:cs="宋体" w:hint="eastAsia"/>
                <w:kern w:val="0"/>
                <w:sz w:val="18"/>
                <w:szCs w:val="18"/>
              </w:rPr>
              <w:t>长度/mm</w:t>
            </w:r>
          </w:p>
        </w:tc>
      </w:tr>
      <w:tr>
        <w:trPr>
          <w:trHeight w:val="340"/>
          <w:jc w:val="center"/>
        </w:trPr>
        <w:tc>
          <w:tcPr>
            <w:tcW w:w="1719" w:type="dxa"/>
            <w:vMerge/>
            <w:tcBorders>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18"/>
                <w:szCs w:val="18"/>
              </w:rPr>
            </w:pPr>
          </w:p>
        </w:tc>
        <w:tc>
          <w:tcPr>
            <w:tcW w:w="1559" w:type="dxa"/>
            <w:vMerge/>
            <w:tcBorders>
              <w:left w:val="nil"/>
              <w:bottom w:val="single" w:sz="4" w:space="0" w:color="auto"/>
              <w:right w:val="single" w:sz="4" w:space="0" w:color="auto"/>
            </w:tcBorders>
            <w:vAlign w:val="center"/>
          </w:tcPr>
          <w:p>
            <w:pPr>
              <w:widowControl/>
              <w:tabs>
                <w:tab w:val="left" w:pos="1064"/>
              </w:tabs>
              <w:jc w:val="center"/>
              <w:rPr>
                <w:rFonts w:ascii="宋体" w:hAnsi="宋体" w:cs="宋体"/>
                <w:kern w:val="0"/>
                <w:sz w:val="18"/>
                <w:szCs w:val="18"/>
              </w:rPr>
            </w:pPr>
          </w:p>
        </w:tc>
        <w:tc>
          <w:tcPr>
            <w:tcW w:w="1984" w:type="dxa"/>
            <w:vMerge/>
            <w:tcBorders>
              <w:left w:val="single" w:sz="4" w:space="0" w:color="auto"/>
              <w:bottom w:val="single" w:sz="4" w:space="0" w:color="auto"/>
              <w:right w:val="single" w:sz="4" w:space="0" w:color="auto"/>
            </w:tcBorders>
            <w:vAlign w:val="center"/>
          </w:tcPr>
          <w:p>
            <w:pPr>
              <w:jc w:val="center"/>
              <w:rPr>
                <w:rFonts w:ascii="宋体" w:hAnsi="宋体" w:cs="宋体"/>
                <w:kern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cs="宋体"/>
                <w:kern w:val="0"/>
                <w:sz w:val="18"/>
                <w:szCs w:val="18"/>
              </w:rPr>
            </w:pPr>
            <w:r>
              <w:rPr>
                <w:rFonts w:ascii="宋体" w:hAnsi="宋体" w:cs="宋体" w:hint="eastAsia"/>
                <w:kern w:val="0"/>
                <w:sz w:val="18"/>
                <w:szCs w:val="18"/>
              </w:rPr>
              <w:t>卷状</w:t>
            </w:r>
          </w:p>
        </w:tc>
        <w:tc>
          <w:tcPr>
            <w:tcW w:w="1575" w:type="dxa"/>
            <w:tcBorders>
              <w:top w:val="single" w:sz="4" w:space="0" w:color="auto"/>
              <w:left w:val="single" w:sz="4" w:space="0" w:color="auto"/>
              <w:bottom w:val="single" w:sz="4" w:space="0" w:color="auto"/>
              <w:right w:val="single" w:sz="8" w:space="0" w:color="auto"/>
            </w:tcBorders>
            <w:vAlign w:val="center"/>
          </w:tcPr>
          <w:p>
            <w:pPr>
              <w:jc w:val="center"/>
              <w:rPr>
                <w:rFonts w:ascii="宋体" w:hAnsi="宋体" w:cs="宋体"/>
                <w:kern w:val="0"/>
                <w:sz w:val="18"/>
                <w:szCs w:val="18"/>
              </w:rPr>
            </w:pPr>
            <w:r>
              <w:rPr>
                <w:rFonts w:ascii="宋体" w:hAnsi="宋体" w:cs="宋体" w:hint="eastAsia"/>
                <w:kern w:val="0"/>
                <w:sz w:val="18"/>
                <w:szCs w:val="18"/>
              </w:rPr>
              <w:t>直条状</w:t>
            </w:r>
          </w:p>
        </w:tc>
      </w:tr>
      <w:tr>
        <w:trPr>
          <w:trHeight w:val="340"/>
          <w:jc w:val="center"/>
        </w:trPr>
        <w:tc>
          <w:tcPr>
            <w:tcW w:w="1719" w:type="dxa"/>
            <w:vMerge w:val="restart"/>
            <w:tcBorders>
              <w:top w:val="nil"/>
              <w:left w:val="single" w:sz="8" w:space="0" w:color="auto"/>
              <w:right w:val="single" w:sz="4" w:space="0" w:color="auto"/>
            </w:tcBorders>
            <w:shd w:val="clear" w:color="auto" w:fill="auto"/>
            <w:vAlign w:val="center"/>
            <w:hideMark/>
          </w:tcPr>
          <w:p>
            <w:pPr>
              <w:widowControl/>
              <w:jc w:val="center"/>
              <w:rPr>
                <w:rFonts w:ascii="宋体" w:hAnsi="宋体" w:cs="宋体"/>
                <w:kern w:val="0"/>
                <w:sz w:val="18"/>
                <w:szCs w:val="18"/>
              </w:rPr>
            </w:pPr>
            <w:r>
              <w:rPr>
                <w:rFonts w:ascii="宋体" w:hAnsi="宋体" w:cs="宋体" w:hint="eastAsia"/>
                <w:kern w:val="0"/>
                <w:sz w:val="18"/>
                <w:szCs w:val="18"/>
              </w:rPr>
              <w:t>T1、T2、T3、TU1、TU2</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sz w:val="18"/>
                <w:szCs w:val="18"/>
                <w:lang w:val="x-none"/>
              </w:rPr>
            </w:pPr>
            <w:r>
              <w:rPr>
                <w:rFonts w:ascii="宋体" w:hAnsi="宋体" w:hint="eastAsia"/>
                <w:sz w:val="18"/>
                <w:szCs w:val="18"/>
                <w:lang w:val="x-none"/>
              </w:rPr>
              <w:t>M30</w:t>
            </w:r>
          </w:p>
        </w:tc>
        <w:tc>
          <w:tcPr>
            <w:tcW w:w="198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sz w:val="18"/>
                <w:szCs w:val="18"/>
              </w:rPr>
            </w:pPr>
            <w:r>
              <w:rPr>
                <w:rFonts w:ascii="宋体" w:hAnsi="宋体" w:hint="eastAsia"/>
                <w:sz w:val="18"/>
                <w:szCs w:val="18"/>
              </w:rPr>
              <w:t>3～80</w:t>
            </w:r>
          </w:p>
        </w:tc>
        <w:tc>
          <w:tcPr>
            <w:tcW w:w="1701" w:type="dxa"/>
            <w:vMerge w:val="restart"/>
            <w:tcBorders>
              <w:top w:val="single" w:sz="4" w:space="0" w:color="auto"/>
              <w:left w:val="single" w:sz="4" w:space="0" w:color="auto"/>
              <w:right w:val="single" w:sz="4" w:space="0" w:color="auto"/>
            </w:tcBorders>
            <w:vAlign w:val="center"/>
          </w:tcPr>
          <w:p>
            <w:pPr>
              <w:widowControl/>
              <w:jc w:val="center"/>
              <w:rPr>
                <w:rFonts w:ascii="宋体" w:hAnsi="宋体"/>
                <w:sz w:val="18"/>
                <w:szCs w:val="18"/>
              </w:rPr>
            </w:pPr>
            <w:r>
              <w:rPr>
                <w:rFonts w:ascii="宋体" w:hAnsi="宋体" w:hint="eastAsia"/>
                <w:sz w:val="18"/>
                <w:szCs w:val="18"/>
              </w:rPr>
              <w:t>-</w:t>
            </w:r>
          </w:p>
        </w:tc>
        <w:tc>
          <w:tcPr>
            <w:tcW w:w="1575" w:type="dxa"/>
            <w:vMerge w:val="restart"/>
            <w:tcBorders>
              <w:top w:val="single" w:sz="4" w:space="0" w:color="auto"/>
              <w:left w:val="single" w:sz="4" w:space="0" w:color="auto"/>
              <w:right w:val="single" w:sz="8" w:space="0" w:color="auto"/>
            </w:tcBorders>
            <w:vAlign w:val="center"/>
          </w:tcPr>
          <w:p>
            <w:pPr>
              <w:widowControl/>
              <w:jc w:val="center"/>
              <w:rPr>
                <w:rFonts w:ascii="宋体" w:hAnsi="宋体"/>
                <w:sz w:val="18"/>
                <w:szCs w:val="18"/>
              </w:rPr>
            </w:pPr>
            <w:r>
              <w:rPr>
                <w:rFonts w:ascii="宋体" w:hAnsi="宋体" w:cs="宋体" w:hint="eastAsia"/>
                <w:kern w:val="0"/>
                <w:sz w:val="18"/>
                <w:szCs w:val="18"/>
              </w:rPr>
              <w:t>≤</w:t>
            </w:r>
            <w:r>
              <w:rPr>
                <w:rFonts w:ascii="宋体" w:hAnsi="宋体" w:hint="eastAsia"/>
                <w:sz w:val="18"/>
                <w:szCs w:val="18"/>
              </w:rPr>
              <w:t>20000</w:t>
            </w:r>
          </w:p>
        </w:tc>
      </w:tr>
      <w:tr>
        <w:trPr>
          <w:trHeight w:val="340"/>
          <w:jc w:val="center"/>
        </w:trPr>
        <w:tc>
          <w:tcPr>
            <w:tcW w:w="1719" w:type="dxa"/>
            <w:vMerge/>
            <w:tcBorders>
              <w:left w:val="single" w:sz="8" w:space="0" w:color="auto"/>
              <w:bottom w:val="single" w:sz="4" w:space="0" w:color="auto"/>
              <w:right w:val="single" w:sz="4" w:space="0" w:color="auto"/>
            </w:tcBorders>
            <w:shd w:val="clear" w:color="auto" w:fill="auto"/>
            <w:vAlign w:val="center"/>
          </w:tcPr>
          <w:p>
            <w:pPr>
              <w:widowControl/>
              <w:jc w:val="center"/>
              <w:rPr>
                <w:rFonts w:ascii="宋体" w:hAnsi="宋体" w:cs="宋体"/>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rFonts w:ascii="宋体" w:hAnsi="宋体"/>
                <w:sz w:val="18"/>
                <w:szCs w:val="18"/>
                <w:lang w:val="x-none"/>
              </w:rPr>
            </w:pPr>
            <w:r>
              <w:rPr>
                <w:rFonts w:ascii="宋体" w:hAnsi="宋体" w:hint="eastAsia"/>
                <w:sz w:val="18"/>
                <w:szCs w:val="18"/>
                <w:lang w:val="x-none"/>
              </w:rPr>
              <w:t>H50</w:t>
            </w:r>
          </w:p>
        </w:tc>
        <w:tc>
          <w:tcPr>
            <w:tcW w:w="1984" w:type="dxa"/>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sz w:val="18"/>
                <w:szCs w:val="18"/>
              </w:rPr>
            </w:pPr>
            <w:r>
              <w:rPr>
                <w:rFonts w:ascii="宋体" w:hAnsi="宋体" w:hint="eastAsia"/>
                <w:sz w:val="18"/>
                <w:szCs w:val="18"/>
              </w:rPr>
              <w:t>10～30</w:t>
            </w:r>
          </w:p>
        </w:tc>
        <w:tc>
          <w:tcPr>
            <w:tcW w:w="1701" w:type="dxa"/>
            <w:vMerge/>
            <w:tcBorders>
              <w:left w:val="single" w:sz="4" w:space="0" w:color="auto"/>
              <w:bottom w:val="single" w:sz="4" w:space="0" w:color="auto"/>
              <w:right w:val="single" w:sz="4" w:space="0" w:color="auto"/>
            </w:tcBorders>
            <w:vAlign w:val="center"/>
          </w:tcPr>
          <w:p>
            <w:pPr>
              <w:widowControl/>
              <w:jc w:val="center"/>
              <w:rPr>
                <w:rFonts w:ascii="宋体" w:hAnsi="宋体"/>
                <w:sz w:val="18"/>
                <w:szCs w:val="18"/>
              </w:rPr>
            </w:pPr>
          </w:p>
        </w:tc>
        <w:tc>
          <w:tcPr>
            <w:tcW w:w="1575" w:type="dxa"/>
            <w:vMerge/>
            <w:tcBorders>
              <w:left w:val="single" w:sz="4" w:space="0" w:color="auto"/>
              <w:bottom w:val="single" w:sz="4" w:space="0" w:color="auto"/>
              <w:right w:val="single" w:sz="8" w:space="0" w:color="auto"/>
            </w:tcBorders>
            <w:vAlign w:val="center"/>
          </w:tcPr>
          <w:p>
            <w:pPr>
              <w:widowControl/>
              <w:jc w:val="center"/>
              <w:rPr>
                <w:rFonts w:ascii="宋体" w:hAnsi="宋体"/>
                <w:sz w:val="18"/>
                <w:szCs w:val="18"/>
              </w:rPr>
            </w:pPr>
          </w:p>
        </w:tc>
      </w:tr>
      <w:tr>
        <w:trPr>
          <w:trHeight w:val="340"/>
          <w:jc w:val="center"/>
        </w:trPr>
        <w:tc>
          <w:tcPr>
            <w:tcW w:w="8538" w:type="dxa"/>
            <w:gridSpan w:val="5"/>
            <w:tcBorders>
              <w:top w:val="single" w:sz="4" w:space="0" w:color="auto"/>
              <w:left w:val="single" w:sz="8" w:space="0" w:color="auto"/>
              <w:bottom w:val="single" w:sz="8" w:space="0" w:color="auto"/>
              <w:right w:val="single" w:sz="8" w:space="0" w:color="auto"/>
            </w:tcBorders>
            <w:shd w:val="clear" w:color="auto" w:fill="auto"/>
            <w:vAlign w:val="center"/>
          </w:tcPr>
          <w:p>
            <w:pPr>
              <w:widowControl/>
              <w:rPr>
                <w:rFonts w:ascii="宋体" w:hAnsi="宋体"/>
                <w:sz w:val="18"/>
                <w:szCs w:val="18"/>
              </w:rPr>
            </w:pPr>
            <w:r>
              <w:rPr>
                <w:rFonts w:ascii="宋体" w:hAnsi="宋体" w:hint="eastAsia"/>
                <w:sz w:val="18"/>
                <w:szCs w:val="18"/>
              </w:rPr>
              <w:t>注：直径小于或等于18mm的铜棒线坯可成卷状。</w:t>
            </w:r>
          </w:p>
        </w:tc>
      </w:tr>
    </w:tbl>
    <w:p>
      <w:pPr>
        <w:pStyle w:val="aa"/>
        <w:spacing w:beforeLines="50" w:before="156" w:afterLines="50" w:after="156"/>
        <w:rPr>
          <w:color w:val="000000" w:themeColor="text1"/>
        </w:rPr>
      </w:pPr>
      <w:r>
        <w:rPr>
          <w:rFonts w:hint="eastAsia"/>
          <w:color w:val="000000" w:themeColor="text1"/>
        </w:rPr>
        <w:lastRenderedPageBreak/>
        <w:t>标记示例</w:t>
      </w:r>
    </w:p>
    <w:p>
      <w:pPr>
        <w:pStyle w:val="affe"/>
        <w:ind w:firstLine="360"/>
        <w:rPr>
          <w:rFonts w:ascii="黑体" w:eastAsia="黑体" w:hAnsi="黑体"/>
          <w:sz w:val="18"/>
          <w:szCs w:val="18"/>
        </w:rPr>
      </w:pPr>
      <w:r>
        <w:rPr>
          <w:rFonts w:ascii="黑体" w:eastAsia="黑体" w:hAnsi="黑体" w:hint="eastAsia"/>
          <w:sz w:val="18"/>
          <w:szCs w:val="18"/>
        </w:rPr>
        <w:t>示例1：</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trPr>
          <w:trHeight w:val="756"/>
        </w:trPr>
        <w:tc>
          <w:tcPr>
            <w:tcW w:w="8678" w:type="dxa"/>
            <w:vAlign w:val="center"/>
          </w:tcPr>
          <w:p>
            <w:pPr>
              <w:pStyle w:val="affe"/>
              <w:spacing w:line="360" w:lineRule="exact"/>
              <w:ind w:firstLineChars="161" w:firstLine="290"/>
              <w:rPr>
                <w:sz w:val="18"/>
                <w:szCs w:val="18"/>
              </w:rPr>
            </w:pPr>
            <w:r>
              <w:rPr>
                <w:rFonts w:hint="eastAsia"/>
                <w:sz w:val="18"/>
                <w:szCs w:val="18"/>
              </w:rPr>
              <w:t>用T2制造的、M30（挤压）态、直径为40mm、长度为1800mm定尺直条状铜棒标记为：</w:t>
            </w:r>
          </w:p>
          <w:p>
            <w:pPr>
              <w:pStyle w:val="affe"/>
              <w:spacing w:line="360" w:lineRule="exact"/>
              <w:ind w:firstLine="360"/>
            </w:pPr>
            <w:r>
              <w:rPr>
                <w:rFonts w:hint="eastAsia"/>
                <w:sz w:val="18"/>
                <w:szCs w:val="18"/>
              </w:rPr>
              <w:t>铜棒 YS/T***-*** T2 M30 Φ40*1800</w:t>
            </w:r>
          </w:p>
        </w:tc>
      </w:tr>
    </w:tbl>
    <w:p>
      <w:pPr>
        <w:pStyle w:val="affe"/>
        <w:ind w:firstLine="420"/>
      </w:pPr>
    </w:p>
    <w:p>
      <w:pPr>
        <w:pStyle w:val="affe"/>
        <w:ind w:firstLine="360"/>
        <w:rPr>
          <w:rFonts w:ascii="黑体" w:eastAsia="黑体" w:hAnsi="黑体"/>
          <w:sz w:val="18"/>
          <w:szCs w:val="18"/>
        </w:rPr>
      </w:pPr>
      <w:r>
        <w:rPr>
          <w:rFonts w:ascii="黑体" w:eastAsia="黑体" w:hAnsi="黑体" w:hint="eastAsia"/>
          <w:sz w:val="18"/>
          <w:szCs w:val="18"/>
        </w:rPr>
        <w:t>示例2：</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trPr>
          <w:trHeight w:val="756"/>
        </w:trPr>
        <w:tc>
          <w:tcPr>
            <w:tcW w:w="8678" w:type="dxa"/>
            <w:vAlign w:val="center"/>
          </w:tcPr>
          <w:p>
            <w:pPr>
              <w:pStyle w:val="affe"/>
              <w:spacing w:line="360" w:lineRule="exact"/>
              <w:ind w:firstLineChars="0" w:firstLine="0"/>
              <w:rPr>
                <w:sz w:val="18"/>
                <w:szCs w:val="18"/>
              </w:rPr>
            </w:pPr>
            <w:r>
              <w:rPr>
                <w:rFonts w:hint="eastAsia"/>
                <w:sz w:val="18"/>
                <w:szCs w:val="18"/>
              </w:rPr>
              <w:t xml:space="preserve">   用TU2制造的、M30（挤压）态、直径为3.6mm、卷状线坯标记为：</w:t>
            </w:r>
          </w:p>
          <w:p>
            <w:pPr>
              <w:pStyle w:val="affe"/>
              <w:spacing w:line="360" w:lineRule="exact"/>
              <w:ind w:firstLine="360"/>
            </w:pPr>
            <w:r>
              <w:rPr>
                <w:rFonts w:hint="eastAsia"/>
                <w:sz w:val="18"/>
                <w:szCs w:val="18"/>
              </w:rPr>
              <w:t>线坯 YS/T***-*** TU2 M30 Φ3.6</w:t>
            </w:r>
          </w:p>
        </w:tc>
      </w:tr>
    </w:tbl>
    <w:p>
      <w:pPr>
        <w:pStyle w:val="a9"/>
        <w:spacing w:beforeLines="100" w:before="312" w:afterLines="100" w:after="312"/>
        <w:ind w:left="0"/>
        <w:rPr>
          <w:color w:val="000000" w:themeColor="text1"/>
        </w:rPr>
      </w:pPr>
      <w:r>
        <w:rPr>
          <w:rFonts w:hint="eastAsia"/>
          <w:color w:val="000000" w:themeColor="text1"/>
        </w:rPr>
        <w:t>技术要求</w:t>
      </w:r>
    </w:p>
    <w:p>
      <w:pPr>
        <w:pStyle w:val="aa"/>
        <w:spacing w:beforeLines="50" w:before="156" w:afterLines="50" w:after="156"/>
        <w:rPr>
          <w:color w:val="000000" w:themeColor="text1"/>
        </w:rPr>
      </w:pPr>
      <w:r>
        <w:rPr>
          <w:rFonts w:hint="eastAsia"/>
          <w:color w:val="000000" w:themeColor="text1"/>
        </w:rPr>
        <w:t>化学成分</w:t>
      </w:r>
    </w:p>
    <w:p>
      <w:pPr>
        <w:pStyle w:val="aa"/>
        <w:numPr>
          <w:ilvl w:val="0"/>
          <w:numId w:val="0"/>
        </w:numPr>
        <w:spacing w:before="120" w:after="120"/>
        <w:ind w:firstLineChars="200" w:firstLine="420"/>
        <w:rPr>
          <w:rFonts w:ascii="宋体" w:eastAsia="宋体" w:hAnsi="宋体" w:cs="Arial"/>
        </w:rPr>
      </w:pPr>
      <w:r>
        <w:rPr>
          <w:rFonts w:ascii="宋体" w:eastAsia="宋体" w:hAnsi="宋体" w:cs="Arial" w:hint="eastAsia"/>
        </w:rPr>
        <w:t>T1、T2、TU2牌号铜棒线坯的化学成分应符合GB/T 5231的规定。</w:t>
      </w:r>
    </w:p>
    <w:p>
      <w:pPr>
        <w:pStyle w:val="aa"/>
        <w:spacing w:beforeLines="50" w:before="156" w:afterLines="50" w:after="156"/>
        <w:rPr>
          <w:color w:val="000000" w:themeColor="text1"/>
        </w:rPr>
      </w:pPr>
      <w:r>
        <w:rPr>
          <w:rFonts w:hint="eastAsia"/>
          <w:color w:val="000000" w:themeColor="text1"/>
        </w:rPr>
        <w:t>外形尺寸及尺寸允许偏差</w:t>
      </w:r>
    </w:p>
    <w:p>
      <w:pPr>
        <w:pStyle w:val="affe"/>
        <w:ind w:firstLineChars="0" w:firstLine="0"/>
        <w:rPr>
          <w:color w:val="000000" w:themeColor="text1"/>
        </w:rPr>
      </w:pPr>
      <w:r>
        <w:rPr>
          <w:rFonts w:hint="eastAsia"/>
          <w:color w:val="000000" w:themeColor="text1"/>
        </w:rPr>
        <w:t>5.2.1 铜棒线坯的直径及其允许偏差应符合表2的规定。</w:t>
      </w:r>
    </w:p>
    <w:p>
      <w:pPr>
        <w:pStyle w:val="a6"/>
        <w:spacing w:beforeLines="50" w:before="156" w:afterLines="50" w:after="156"/>
        <w:ind w:left="0"/>
        <w:jc w:val="right"/>
        <w:rPr>
          <w:color w:val="000000" w:themeColor="text1"/>
        </w:rPr>
      </w:pPr>
      <w:r>
        <w:rPr>
          <w:rFonts w:hint="eastAsia"/>
        </w:rPr>
        <w:t xml:space="preserve">铜棒线坯的直径尺寸及尺寸允许偏差            </w:t>
      </w:r>
      <w:r>
        <w:rPr>
          <w:rFonts w:hint="eastAsia"/>
          <w:color w:val="000000" w:themeColor="text1"/>
        </w:rPr>
        <w:t>单位：mm</w:t>
      </w:r>
    </w:p>
    <w:tbl>
      <w:tblPr>
        <w:tblpPr w:leftFromText="180" w:rightFromText="180" w:vertAnchor="text" w:tblpXSpec="center" w:tblpY="1"/>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1457"/>
        <w:gridCol w:w="1618"/>
        <w:gridCol w:w="1457"/>
        <w:gridCol w:w="1457"/>
        <w:gridCol w:w="1454"/>
      </w:tblGrid>
      <w:tr>
        <w:trPr>
          <w:trHeight w:val="340"/>
        </w:trPr>
        <w:tc>
          <w:tcPr>
            <w:tcW w:w="1619" w:type="dxa"/>
            <w:tcBorders>
              <w:top w:val="single" w:sz="8" w:space="0" w:color="auto"/>
              <w:left w:val="single" w:sz="8" w:space="0" w:color="auto"/>
            </w:tcBorders>
            <w:vAlign w:val="center"/>
          </w:tcPr>
          <w:p>
            <w:pPr>
              <w:jc w:val="center"/>
              <w:rPr>
                <w:rFonts w:ascii="宋体" w:hAnsi="宋体"/>
                <w:sz w:val="18"/>
              </w:rPr>
            </w:pPr>
            <w:r>
              <w:rPr>
                <w:rFonts w:ascii="宋体" w:hAnsi="宋体" w:hint="eastAsia"/>
                <w:sz w:val="18"/>
              </w:rPr>
              <w:t>公称直径</w:t>
            </w:r>
          </w:p>
        </w:tc>
        <w:tc>
          <w:tcPr>
            <w:tcW w:w="1457" w:type="dxa"/>
            <w:tcBorders>
              <w:top w:val="single" w:sz="8" w:space="0" w:color="auto"/>
            </w:tcBorders>
            <w:vAlign w:val="center"/>
          </w:tcPr>
          <w:p>
            <w:pPr>
              <w:jc w:val="center"/>
              <w:rPr>
                <w:rFonts w:ascii="宋体" w:hAnsi="宋体"/>
                <w:sz w:val="18"/>
              </w:rPr>
            </w:pPr>
            <w:r>
              <w:rPr>
                <w:rFonts w:ascii="宋体" w:hAnsi="宋体" w:hint="eastAsia"/>
                <w:sz w:val="18"/>
              </w:rPr>
              <w:t>状态</w:t>
            </w:r>
          </w:p>
        </w:tc>
        <w:tc>
          <w:tcPr>
            <w:tcW w:w="1618" w:type="dxa"/>
            <w:tcBorders>
              <w:top w:val="single" w:sz="8" w:space="0" w:color="auto"/>
            </w:tcBorders>
            <w:vAlign w:val="center"/>
          </w:tcPr>
          <w:p>
            <w:pPr>
              <w:jc w:val="center"/>
              <w:rPr>
                <w:rFonts w:ascii="宋体" w:hAnsi="宋体"/>
                <w:sz w:val="18"/>
              </w:rPr>
            </w:pPr>
            <w:r>
              <w:rPr>
                <w:rFonts w:ascii="宋体" w:hAnsi="宋体" w:hint="eastAsia"/>
                <w:sz w:val="18"/>
              </w:rPr>
              <w:t>3～10</w:t>
            </w:r>
          </w:p>
        </w:tc>
        <w:tc>
          <w:tcPr>
            <w:tcW w:w="1457" w:type="dxa"/>
            <w:tcBorders>
              <w:top w:val="single" w:sz="8" w:space="0" w:color="auto"/>
            </w:tcBorders>
            <w:vAlign w:val="center"/>
          </w:tcPr>
          <w:p>
            <w:pPr>
              <w:jc w:val="center"/>
              <w:rPr>
                <w:rFonts w:ascii="宋体" w:hAnsi="宋体"/>
                <w:sz w:val="18"/>
              </w:rPr>
            </w:pPr>
            <w:r>
              <w:rPr>
                <w:rFonts w:ascii="宋体" w:hAnsi="宋体" w:hint="eastAsia"/>
                <w:sz w:val="18"/>
              </w:rPr>
              <w:t>＞10～25</w:t>
            </w:r>
          </w:p>
        </w:tc>
        <w:tc>
          <w:tcPr>
            <w:tcW w:w="1457" w:type="dxa"/>
            <w:tcBorders>
              <w:top w:val="single" w:sz="8" w:space="0" w:color="auto"/>
            </w:tcBorders>
            <w:vAlign w:val="center"/>
          </w:tcPr>
          <w:p>
            <w:pPr>
              <w:jc w:val="center"/>
              <w:rPr>
                <w:rFonts w:ascii="宋体" w:hAnsi="宋体"/>
                <w:sz w:val="18"/>
              </w:rPr>
            </w:pPr>
            <w:r>
              <w:rPr>
                <w:rFonts w:ascii="宋体" w:hAnsi="宋体" w:hint="eastAsia"/>
                <w:sz w:val="18"/>
              </w:rPr>
              <w:t>＞25～55</w:t>
            </w:r>
          </w:p>
        </w:tc>
        <w:tc>
          <w:tcPr>
            <w:tcW w:w="1454" w:type="dxa"/>
            <w:tcBorders>
              <w:top w:val="single" w:sz="8" w:space="0" w:color="auto"/>
              <w:right w:val="single" w:sz="8" w:space="0" w:color="auto"/>
            </w:tcBorders>
            <w:vAlign w:val="center"/>
          </w:tcPr>
          <w:p>
            <w:pPr>
              <w:jc w:val="center"/>
              <w:rPr>
                <w:rFonts w:ascii="宋体" w:hAnsi="宋体"/>
                <w:sz w:val="18"/>
              </w:rPr>
            </w:pPr>
            <w:r>
              <w:rPr>
                <w:rFonts w:ascii="宋体" w:hAnsi="宋体" w:hint="eastAsia"/>
                <w:sz w:val="18"/>
              </w:rPr>
              <w:t>＞55～120</w:t>
            </w:r>
          </w:p>
        </w:tc>
      </w:tr>
      <w:tr>
        <w:trPr>
          <w:trHeight w:val="340"/>
        </w:trPr>
        <w:tc>
          <w:tcPr>
            <w:tcW w:w="1619" w:type="dxa"/>
            <w:vMerge w:val="restart"/>
            <w:tcBorders>
              <w:left w:val="single" w:sz="8" w:space="0" w:color="auto"/>
            </w:tcBorders>
            <w:vAlign w:val="center"/>
          </w:tcPr>
          <w:p>
            <w:pPr>
              <w:jc w:val="center"/>
              <w:rPr>
                <w:rFonts w:ascii="宋体" w:hAnsi="宋体"/>
                <w:sz w:val="18"/>
              </w:rPr>
            </w:pPr>
            <w:r>
              <w:rPr>
                <w:rFonts w:ascii="宋体" w:hAnsi="宋体" w:hint="eastAsia"/>
                <w:sz w:val="18"/>
              </w:rPr>
              <w:t>允许偏差</w:t>
            </w:r>
            <w:r>
              <w:rPr>
                <w:rFonts w:ascii="宋体" w:hAnsi="宋体" w:hint="eastAsia"/>
                <w:sz w:val="18"/>
                <w:vertAlign w:val="superscript"/>
              </w:rPr>
              <w:t>a</w:t>
            </w:r>
          </w:p>
        </w:tc>
        <w:tc>
          <w:tcPr>
            <w:tcW w:w="1457" w:type="dxa"/>
            <w:vAlign w:val="center"/>
          </w:tcPr>
          <w:p>
            <w:pPr>
              <w:jc w:val="center"/>
              <w:rPr>
                <w:rFonts w:ascii="宋体" w:hAnsi="宋体"/>
                <w:sz w:val="18"/>
                <w:szCs w:val="18"/>
                <w:lang w:val="x-none"/>
              </w:rPr>
            </w:pPr>
            <w:r>
              <w:rPr>
                <w:rFonts w:ascii="宋体" w:hAnsi="宋体" w:hint="eastAsia"/>
                <w:sz w:val="18"/>
                <w:szCs w:val="18"/>
                <w:lang w:val="x-none"/>
              </w:rPr>
              <w:t>M30</w:t>
            </w:r>
          </w:p>
        </w:tc>
        <w:tc>
          <w:tcPr>
            <w:tcW w:w="1618" w:type="dxa"/>
            <w:vAlign w:val="center"/>
          </w:tcPr>
          <w:p>
            <w:pPr>
              <w:jc w:val="center"/>
              <w:rPr>
                <w:rFonts w:ascii="宋体" w:hAnsi="宋体"/>
                <w:sz w:val="18"/>
              </w:rPr>
            </w:pPr>
            <w:r>
              <w:rPr>
                <w:rFonts w:ascii="宋体" w:hAnsi="宋体" w:hint="eastAsia"/>
                <w:sz w:val="18"/>
              </w:rPr>
              <w:t>±0.05</w:t>
            </w:r>
          </w:p>
        </w:tc>
        <w:tc>
          <w:tcPr>
            <w:tcW w:w="1457" w:type="dxa"/>
            <w:vAlign w:val="center"/>
          </w:tcPr>
          <w:p>
            <w:pPr>
              <w:jc w:val="center"/>
              <w:rPr>
                <w:rFonts w:ascii="宋体" w:hAnsi="宋体"/>
                <w:sz w:val="18"/>
              </w:rPr>
            </w:pPr>
            <w:r>
              <w:rPr>
                <w:rFonts w:ascii="宋体" w:hAnsi="宋体" w:hint="eastAsia"/>
                <w:sz w:val="18"/>
              </w:rPr>
              <w:t>±0.10</w:t>
            </w:r>
          </w:p>
        </w:tc>
        <w:tc>
          <w:tcPr>
            <w:tcW w:w="1457" w:type="dxa"/>
            <w:vAlign w:val="center"/>
          </w:tcPr>
          <w:p>
            <w:pPr>
              <w:jc w:val="center"/>
              <w:rPr>
                <w:rFonts w:ascii="宋体" w:hAnsi="宋体"/>
                <w:sz w:val="18"/>
              </w:rPr>
            </w:pPr>
            <w:r>
              <w:rPr>
                <w:rFonts w:ascii="宋体" w:hAnsi="宋体" w:hint="eastAsia"/>
                <w:sz w:val="18"/>
              </w:rPr>
              <w:t>±0.15</w:t>
            </w:r>
          </w:p>
        </w:tc>
        <w:tc>
          <w:tcPr>
            <w:tcW w:w="1454" w:type="dxa"/>
            <w:tcBorders>
              <w:right w:val="single" w:sz="8" w:space="0" w:color="auto"/>
            </w:tcBorders>
            <w:vAlign w:val="center"/>
          </w:tcPr>
          <w:p>
            <w:pPr>
              <w:jc w:val="center"/>
              <w:rPr>
                <w:rFonts w:ascii="宋体" w:hAnsi="宋体"/>
                <w:sz w:val="18"/>
              </w:rPr>
            </w:pPr>
            <w:r>
              <w:rPr>
                <w:rFonts w:ascii="宋体" w:hAnsi="宋体" w:hint="eastAsia"/>
                <w:sz w:val="18"/>
              </w:rPr>
              <w:t>±0.40</w:t>
            </w:r>
          </w:p>
        </w:tc>
      </w:tr>
      <w:tr>
        <w:trPr>
          <w:trHeight w:val="340"/>
        </w:trPr>
        <w:tc>
          <w:tcPr>
            <w:tcW w:w="1619" w:type="dxa"/>
            <w:vMerge/>
            <w:tcBorders>
              <w:left w:val="single" w:sz="8" w:space="0" w:color="auto"/>
            </w:tcBorders>
            <w:vAlign w:val="center"/>
          </w:tcPr>
          <w:p>
            <w:pPr>
              <w:jc w:val="center"/>
              <w:rPr>
                <w:rFonts w:ascii="宋体" w:hAnsi="宋体"/>
                <w:sz w:val="18"/>
              </w:rPr>
            </w:pPr>
          </w:p>
        </w:tc>
        <w:tc>
          <w:tcPr>
            <w:tcW w:w="1457" w:type="dxa"/>
            <w:vAlign w:val="center"/>
          </w:tcPr>
          <w:p>
            <w:pPr>
              <w:jc w:val="center"/>
              <w:rPr>
                <w:rFonts w:ascii="宋体" w:hAnsi="宋体"/>
                <w:sz w:val="18"/>
                <w:szCs w:val="18"/>
                <w:lang w:val="x-none"/>
              </w:rPr>
            </w:pPr>
            <w:r>
              <w:rPr>
                <w:rFonts w:ascii="宋体" w:hAnsi="宋体" w:hint="eastAsia"/>
                <w:sz w:val="18"/>
                <w:szCs w:val="18"/>
                <w:lang w:val="x-none"/>
              </w:rPr>
              <w:t>H50</w:t>
            </w:r>
          </w:p>
        </w:tc>
        <w:tc>
          <w:tcPr>
            <w:tcW w:w="1618" w:type="dxa"/>
            <w:vAlign w:val="center"/>
          </w:tcPr>
          <w:p>
            <w:pPr>
              <w:jc w:val="center"/>
              <w:rPr>
                <w:rFonts w:ascii="宋体" w:hAnsi="宋体"/>
                <w:sz w:val="18"/>
              </w:rPr>
            </w:pPr>
            <w:r>
              <w:rPr>
                <w:rFonts w:ascii="宋体" w:hAnsi="宋体" w:hint="eastAsia"/>
                <w:sz w:val="18"/>
              </w:rPr>
              <w:t>±0.03</w:t>
            </w:r>
          </w:p>
        </w:tc>
        <w:tc>
          <w:tcPr>
            <w:tcW w:w="1457" w:type="dxa"/>
            <w:vAlign w:val="center"/>
          </w:tcPr>
          <w:p>
            <w:pPr>
              <w:jc w:val="center"/>
              <w:rPr>
                <w:rFonts w:ascii="宋体" w:hAnsi="宋体"/>
                <w:sz w:val="18"/>
              </w:rPr>
            </w:pPr>
            <w:r>
              <w:rPr>
                <w:rFonts w:ascii="宋体" w:hAnsi="宋体" w:hint="eastAsia"/>
                <w:sz w:val="18"/>
              </w:rPr>
              <w:t>±0.07</w:t>
            </w:r>
          </w:p>
        </w:tc>
        <w:tc>
          <w:tcPr>
            <w:tcW w:w="1457" w:type="dxa"/>
            <w:vAlign w:val="center"/>
          </w:tcPr>
          <w:p>
            <w:pPr>
              <w:jc w:val="center"/>
              <w:rPr>
                <w:rFonts w:ascii="宋体" w:hAnsi="宋体"/>
                <w:sz w:val="18"/>
              </w:rPr>
            </w:pPr>
            <w:r>
              <w:rPr>
                <w:rFonts w:ascii="宋体" w:hAnsi="宋体" w:hint="eastAsia"/>
                <w:sz w:val="18"/>
              </w:rPr>
              <w:t>/</w:t>
            </w:r>
          </w:p>
        </w:tc>
        <w:tc>
          <w:tcPr>
            <w:tcW w:w="1454" w:type="dxa"/>
            <w:tcBorders>
              <w:right w:val="single" w:sz="8" w:space="0" w:color="auto"/>
            </w:tcBorders>
            <w:vAlign w:val="center"/>
          </w:tcPr>
          <w:p>
            <w:pPr>
              <w:jc w:val="center"/>
              <w:rPr>
                <w:rFonts w:ascii="宋体" w:hAnsi="宋体"/>
                <w:sz w:val="18"/>
              </w:rPr>
            </w:pPr>
            <w:r>
              <w:rPr>
                <w:rFonts w:ascii="宋体" w:hAnsi="宋体" w:hint="eastAsia"/>
                <w:sz w:val="18"/>
              </w:rPr>
              <w:t>/</w:t>
            </w:r>
          </w:p>
        </w:tc>
      </w:tr>
      <w:tr>
        <w:trPr>
          <w:trHeight w:val="340"/>
        </w:trPr>
        <w:tc>
          <w:tcPr>
            <w:tcW w:w="9062" w:type="dxa"/>
            <w:gridSpan w:val="6"/>
            <w:tcBorders>
              <w:left w:val="single" w:sz="8" w:space="0" w:color="auto"/>
              <w:bottom w:val="single" w:sz="8" w:space="0" w:color="auto"/>
              <w:right w:val="single" w:sz="8" w:space="0" w:color="auto"/>
            </w:tcBorders>
            <w:vAlign w:val="center"/>
          </w:tcPr>
          <w:p>
            <w:pPr>
              <w:jc w:val="left"/>
              <w:rPr>
                <w:rFonts w:ascii="宋体" w:hAnsi="宋体" w:hint="eastAsia"/>
                <w:sz w:val="18"/>
              </w:rPr>
            </w:pPr>
            <w:r>
              <w:rPr>
                <w:rFonts w:ascii="宋体" w:hAnsi="宋体" w:hint="eastAsia"/>
                <w:sz w:val="18"/>
                <w:vertAlign w:val="superscript"/>
              </w:rPr>
              <w:t>a</w:t>
            </w:r>
            <w:r>
              <w:rPr>
                <w:rFonts w:ascii="宋体" w:hAnsi="宋体" w:hint="eastAsia"/>
                <w:sz w:val="18"/>
              </w:rPr>
              <w:t>当需方要求允许偏差全为“+”或全为“-”单向偏差时，其值为表中相应数值的2倍。</w:t>
            </w:r>
          </w:p>
        </w:tc>
      </w:tr>
    </w:tbl>
    <w:p>
      <w:pPr>
        <w:widowControl/>
        <w:spacing w:beforeLines="50" w:before="156" w:afterLines="50" w:after="156" w:line="360" w:lineRule="exact"/>
        <w:outlineLvl w:val="3"/>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5.2.2 圆度</w:t>
      </w:r>
    </w:p>
    <w:p>
      <w:pPr>
        <w:pStyle w:val="affe"/>
        <w:ind w:firstLineChars="0" w:firstLine="0"/>
      </w:pPr>
      <w:r>
        <w:rPr>
          <w:rFonts w:hint="eastAsia"/>
        </w:rPr>
        <w:t xml:space="preserve">    铜棒线坯的圆度不应大于直径允许偏差之半。</w:t>
      </w:r>
    </w:p>
    <w:p>
      <w:pPr>
        <w:widowControl/>
        <w:spacing w:beforeLines="50" w:before="156" w:afterLines="50" w:after="156" w:line="360" w:lineRule="exact"/>
        <w:outlineLvl w:val="3"/>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5.2.3定尺及倍尺长度允许偏差</w:t>
      </w:r>
    </w:p>
    <w:p>
      <w:pPr>
        <w:widowControl/>
        <w:ind w:firstLineChars="200" w:firstLine="420"/>
        <w:outlineLvl w:val="3"/>
        <w:rPr>
          <w:rFonts w:ascii="宋体" w:hAnsi="宋体"/>
          <w:kern w:val="0"/>
          <w:szCs w:val="21"/>
          <w:lang w:val="zh-CN"/>
        </w:rPr>
      </w:pPr>
      <w:r>
        <w:rPr>
          <w:rFonts w:ascii="宋体" w:hAnsi="宋体" w:hint="eastAsia"/>
          <w:kern w:val="0"/>
          <w:szCs w:val="21"/>
          <w:lang w:val="zh-CN"/>
        </w:rPr>
        <w:t>铜棒的定尺或倍尺长度允许偏差为+15mm（±50mm</w:t>
      </w:r>
      <w:r>
        <w:rPr>
          <w:rFonts w:ascii="宋体" w:hAnsi="宋体"/>
          <w:kern w:val="0"/>
          <w:szCs w:val="21"/>
          <w:lang w:val="zh-CN"/>
        </w:rPr>
        <w:t>）</w:t>
      </w:r>
      <w:r>
        <w:rPr>
          <w:rFonts w:ascii="宋体" w:hAnsi="宋体" w:hint="eastAsia"/>
          <w:kern w:val="0"/>
          <w:szCs w:val="21"/>
          <w:lang w:val="zh-CN"/>
        </w:rPr>
        <w:t>，倍尺长度应加入锯切分段时的锯切量，每一锯切量为5mm。定尺或倍尺长度应在不定尺长度范围内，并在合同中注明，否则按不定尺长度供货。</w:t>
      </w:r>
    </w:p>
    <w:p>
      <w:pPr>
        <w:widowControl/>
        <w:spacing w:beforeLines="50" w:before="156" w:afterLines="50" w:after="156" w:line="360" w:lineRule="exact"/>
        <w:outlineLvl w:val="3"/>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5.2.4 直度</w:t>
      </w:r>
    </w:p>
    <w:p>
      <w:pPr>
        <w:widowControl/>
        <w:spacing w:beforeLines="50" w:before="156" w:afterLines="50" w:after="156" w:line="360" w:lineRule="exact"/>
        <w:ind w:firstLine="420"/>
        <w:outlineLvl w:val="3"/>
        <w:rPr>
          <w:rFonts w:asciiTheme="minorEastAsia" w:eastAsiaTheme="minorEastAsia" w:hAnsiTheme="minorEastAsia"/>
          <w:kern w:val="0"/>
          <w:szCs w:val="21"/>
          <w:lang w:val="zh-CN"/>
        </w:rPr>
      </w:pPr>
      <w:r>
        <w:rPr>
          <w:rFonts w:asciiTheme="minorEastAsia" w:eastAsiaTheme="minorEastAsia" w:hAnsiTheme="minorEastAsia" w:hint="eastAsia"/>
          <w:kern w:val="0"/>
          <w:szCs w:val="21"/>
          <w:lang w:val="zh-CN"/>
        </w:rPr>
        <w:t>H50状态铜棒的直度应符合表3规定。M30状态棒材的直度由供需双方协商确定。</w:t>
      </w:r>
    </w:p>
    <w:p>
      <w:pPr>
        <w:widowControl/>
        <w:wordWrap w:val="0"/>
        <w:spacing w:beforeLines="50" w:before="156" w:afterLines="50" w:after="156" w:line="360" w:lineRule="exact"/>
        <w:ind w:firstLine="420"/>
        <w:jc w:val="right"/>
        <w:outlineLvl w:val="3"/>
        <w:rPr>
          <w:rFonts w:asciiTheme="minorEastAsia" w:eastAsiaTheme="minorEastAsia" w:hAnsiTheme="minorEastAsia"/>
          <w:kern w:val="0"/>
          <w:szCs w:val="21"/>
          <w:lang w:val="zh-CN"/>
        </w:rPr>
      </w:pPr>
      <w:r>
        <w:rPr>
          <w:rFonts w:ascii="黑体" w:eastAsia="黑体" w:hint="eastAsia"/>
          <w:kern w:val="0"/>
          <w:szCs w:val="20"/>
        </w:rPr>
        <w:t>表3</w:t>
      </w:r>
      <w:r>
        <w:rPr>
          <w:rFonts w:ascii="黑体" w:eastAsia="黑体" w:hint="eastAsia"/>
          <w:color w:val="000000"/>
          <w:kern w:val="0"/>
          <w:szCs w:val="20"/>
        </w:rPr>
        <w:t xml:space="preserve">  H50状态铜棒的直度                           单位：mm</w:t>
      </w:r>
    </w:p>
    <w:tbl>
      <w:tblPr>
        <w:tblW w:w="487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894"/>
        <w:gridCol w:w="2329"/>
        <w:gridCol w:w="3109"/>
      </w:tblGrid>
      <w:tr>
        <w:trPr>
          <w:trHeight w:val="334"/>
          <w:jc w:val="center"/>
        </w:trPr>
        <w:tc>
          <w:tcPr>
            <w:tcW w:w="2086" w:type="pct"/>
            <w:vMerge w:val="restart"/>
            <w:vAlign w:val="center"/>
          </w:tcPr>
          <w:p>
            <w:pPr>
              <w:pStyle w:val="affe"/>
              <w:ind w:firstLineChars="0" w:firstLine="360"/>
              <w:jc w:val="center"/>
              <w:rPr>
                <w:sz w:val="18"/>
                <w:szCs w:val="18"/>
              </w:rPr>
            </w:pPr>
            <w:r>
              <w:rPr>
                <w:rFonts w:hint="eastAsia"/>
                <w:sz w:val="18"/>
                <w:szCs w:val="18"/>
              </w:rPr>
              <w:t>直径</w:t>
            </w:r>
          </w:p>
        </w:tc>
        <w:tc>
          <w:tcPr>
            <w:tcW w:w="2914" w:type="pct"/>
            <w:gridSpan w:val="2"/>
            <w:vAlign w:val="center"/>
          </w:tcPr>
          <w:p>
            <w:pPr>
              <w:pStyle w:val="affe"/>
              <w:ind w:firstLineChars="0" w:firstLine="0"/>
              <w:jc w:val="center"/>
              <w:rPr>
                <w:sz w:val="18"/>
                <w:szCs w:val="18"/>
              </w:rPr>
            </w:pPr>
            <w:r>
              <w:rPr>
                <w:rFonts w:hint="eastAsia"/>
                <w:sz w:val="18"/>
                <w:szCs w:val="18"/>
              </w:rPr>
              <w:t>每米</w:t>
            </w:r>
            <w:r>
              <w:rPr>
                <w:rFonts w:hAnsi="宋体" w:hint="eastAsia"/>
                <w:sz w:val="18"/>
                <w:szCs w:val="18"/>
              </w:rPr>
              <w:t>直度，</w:t>
            </w:r>
            <w:r>
              <w:rPr>
                <w:rFonts w:hint="eastAsia"/>
                <w:sz w:val="18"/>
                <w:szCs w:val="18"/>
              </w:rPr>
              <w:t>不大于</w:t>
            </w:r>
          </w:p>
        </w:tc>
      </w:tr>
      <w:tr>
        <w:trPr>
          <w:trHeight w:val="334"/>
          <w:jc w:val="center"/>
        </w:trPr>
        <w:tc>
          <w:tcPr>
            <w:tcW w:w="2086" w:type="pct"/>
            <w:vMerge/>
            <w:vAlign w:val="center"/>
          </w:tcPr>
          <w:p>
            <w:pPr>
              <w:pStyle w:val="affe"/>
              <w:ind w:firstLineChars="0" w:firstLine="360"/>
              <w:jc w:val="center"/>
              <w:rPr>
                <w:sz w:val="18"/>
                <w:szCs w:val="18"/>
              </w:rPr>
            </w:pPr>
          </w:p>
        </w:tc>
        <w:tc>
          <w:tcPr>
            <w:tcW w:w="1248" w:type="pct"/>
            <w:vAlign w:val="center"/>
          </w:tcPr>
          <w:p>
            <w:pPr>
              <w:pStyle w:val="affe"/>
              <w:ind w:firstLineChars="0" w:firstLine="0"/>
              <w:jc w:val="center"/>
              <w:rPr>
                <w:sz w:val="18"/>
                <w:szCs w:val="18"/>
              </w:rPr>
            </w:pPr>
            <w:r>
              <w:rPr>
                <w:rFonts w:hint="eastAsia"/>
                <w:sz w:val="18"/>
                <w:szCs w:val="18"/>
              </w:rPr>
              <w:t>普通级</w:t>
            </w:r>
          </w:p>
        </w:tc>
        <w:tc>
          <w:tcPr>
            <w:tcW w:w="1666" w:type="pct"/>
            <w:vAlign w:val="center"/>
          </w:tcPr>
          <w:p>
            <w:pPr>
              <w:pStyle w:val="affe"/>
              <w:ind w:firstLineChars="0" w:firstLine="0"/>
              <w:jc w:val="center"/>
              <w:rPr>
                <w:sz w:val="18"/>
                <w:szCs w:val="18"/>
              </w:rPr>
            </w:pPr>
            <w:r>
              <w:rPr>
                <w:rFonts w:hint="eastAsia"/>
                <w:sz w:val="18"/>
                <w:szCs w:val="18"/>
              </w:rPr>
              <w:t>高精级</w:t>
            </w:r>
          </w:p>
        </w:tc>
      </w:tr>
      <w:tr>
        <w:trPr>
          <w:trHeight w:val="334"/>
          <w:jc w:val="center"/>
        </w:trPr>
        <w:tc>
          <w:tcPr>
            <w:tcW w:w="2086" w:type="pct"/>
            <w:vAlign w:val="center"/>
          </w:tcPr>
          <w:p>
            <w:pPr>
              <w:pStyle w:val="affe"/>
              <w:ind w:firstLineChars="0" w:firstLine="0"/>
              <w:jc w:val="center"/>
              <w:rPr>
                <w:sz w:val="18"/>
                <w:szCs w:val="18"/>
              </w:rPr>
            </w:pPr>
            <w:r>
              <w:rPr>
                <w:rFonts w:hint="eastAsia"/>
                <w:noProof/>
                <w:sz w:val="18"/>
              </w:rPr>
              <w:t>10～30</w:t>
            </w:r>
          </w:p>
        </w:tc>
        <w:tc>
          <w:tcPr>
            <w:tcW w:w="1248" w:type="pct"/>
            <w:vAlign w:val="center"/>
          </w:tcPr>
          <w:p>
            <w:pPr>
              <w:pStyle w:val="affe"/>
              <w:ind w:firstLineChars="0" w:firstLine="0"/>
              <w:jc w:val="center"/>
              <w:rPr>
                <w:sz w:val="18"/>
                <w:szCs w:val="18"/>
              </w:rPr>
            </w:pPr>
            <w:r>
              <w:rPr>
                <w:rFonts w:hint="eastAsia"/>
                <w:sz w:val="18"/>
                <w:szCs w:val="18"/>
              </w:rPr>
              <w:t>6</w:t>
            </w:r>
          </w:p>
        </w:tc>
        <w:tc>
          <w:tcPr>
            <w:tcW w:w="1666" w:type="pct"/>
            <w:vAlign w:val="center"/>
          </w:tcPr>
          <w:p>
            <w:pPr>
              <w:pStyle w:val="affe"/>
              <w:ind w:firstLineChars="0" w:firstLine="0"/>
              <w:jc w:val="center"/>
              <w:rPr>
                <w:sz w:val="18"/>
                <w:szCs w:val="18"/>
              </w:rPr>
            </w:pPr>
            <w:r>
              <w:rPr>
                <w:rFonts w:hint="eastAsia"/>
                <w:sz w:val="18"/>
                <w:szCs w:val="18"/>
              </w:rPr>
              <w:t>3</w:t>
            </w:r>
          </w:p>
        </w:tc>
      </w:tr>
    </w:tbl>
    <w:p>
      <w:pPr>
        <w:widowControl/>
        <w:jc w:val="left"/>
        <w:rPr>
          <w:rStyle w:val="affffd"/>
        </w:rPr>
      </w:pPr>
    </w:p>
    <w:p>
      <w:pPr>
        <w:pStyle w:val="aa"/>
        <w:spacing w:beforeLines="50" w:before="156" w:afterLines="50" w:after="156"/>
        <w:rPr>
          <w:rFonts w:ascii="黑体"/>
          <w:color w:val="000000" w:themeColor="text1"/>
        </w:rPr>
      </w:pPr>
      <w:r>
        <w:rPr>
          <w:rStyle w:val="affffd"/>
          <w:rFonts w:hint="eastAsia"/>
          <w:color w:val="000000" w:themeColor="text1"/>
          <w:u w:val="none"/>
        </w:rPr>
        <w:t>力学性能</w:t>
      </w:r>
    </w:p>
    <w:p>
      <w:pPr>
        <w:pStyle w:val="affe"/>
        <w:ind w:firstLine="420"/>
      </w:pPr>
      <w:r>
        <w:rPr>
          <w:rFonts w:hint="eastAsia"/>
        </w:rPr>
        <w:lastRenderedPageBreak/>
        <w:t>铜棒线坯的室温力学性能应符合表5的规定。</w:t>
      </w:r>
    </w:p>
    <w:p>
      <w:pPr>
        <w:pStyle w:val="a6"/>
        <w:spacing w:beforeLines="50" w:before="156" w:afterLines="50" w:after="156"/>
        <w:ind w:left="0"/>
      </w:pPr>
      <w:bookmarkStart w:id="4" w:name="_GoBack"/>
      <w:bookmarkEnd w:id="4"/>
      <w:r>
        <w:rPr>
          <w:rFonts w:hint="eastAsia"/>
        </w:rPr>
        <w:t>铜棒线坯的力学性能</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157"/>
        <w:gridCol w:w="1174"/>
        <w:gridCol w:w="1762"/>
        <w:gridCol w:w="1615"/>
        <w:gridCol w:w="1552"/>
      </w:tblGrid>
      <w:tr>
        <w:trPr>
          <w:trHeight w:val="340"/>
          <w:jc w:val="center"/>
        </w:trPr>
        <w:tc>
          <w:tcPr>
            <w:tcW w:w="1718" w:type="dxa"/>
            <w:vMerge w:val="restart"/>
            <w:tcBorders>
              <w:top w:val="single" w:sz="8" w:space="0" w:color="auto"/>
              <w:left w:val="single" w:sz="8" w:space="0" w:color="auto"/>
            </w:tcBorders>
            <w:shd w:val="clear" w:color="auto" w:fill="auto"/>
            <w:vAlign w:val="center"/>
            <w:hideMark/>
          </w:tcPr>
          <w:p>
            <w:pPr>
              <w:widowControl/>
              <w:jc w:val="center"/>
              <w:rPr>
                <w:rFonts w:ascii="宋体" w:hAnsi="宋体" w:cs="宋体"/>
                <w:kern w:val="0"/>
                <w:sz w:val="18"/>
                <w:szCs w:val="18"/>
              </w:rPr>
            </w:pPr>
            <w:r>
              <w:rPr>
                <w:rFonts w:ascii="宋体" w:hAnsi="宋体" w:cs="宋体" w:hint="eastAsia"/>
                <w:kern w:val="0"/>
                <w:sz w:val="18"/>
                <w:szCs w:val="18"/>
              </w:rPr>
              <w:t>牌号</w:t>
            </w:r>
          </w:p>
        </w:tc>
        <w:tc>
          <w:tcPr>
            <w:tcW w:w="1157" w:type="dxa"/>
            <w:vMerge w:val="restart"/>
            <w:tcBorders>
              <w:top w:val="single" w:sz="8" w:space="0" w:color="auto"/>
            </w:tcBorders>
            <w:shd w:val="clear" w:color="auto" w:fill="auto"/>
            <w:vAlign w:val="center"/>
            <w:hideMark/>
          </w:tcPr>
          <w:p>
            <w:pPr>
              <w:widowControl/>
              <w:jc w:val="center"/>
              <w:rPr>
                <w:rFonts w:ascii="宋体" w:hAnsi="宋体" w:cs="宋体"/>
                <w:kern w:val="0"/>
                <w:sz w:val="18"/>
                <w:szCs w:val="18"/>
              </w:rPr>
            </w:pPr>
            <w:r>
              <w:rPr>
                <w:rFonts w:ascii="宋体" w:hAnsi="宋体" w:cs="宋体" w:hint="eastAsia"/>
                <w:kern w:val="0"/>
                <w:sz w:val="18"/>
                <w:szCs w:val="18"/>
              </w:rPr>
              <w:t>状态</w:t>
            </w:r>
          </w:p>
        </w:tc>
        <w:tc>
          <w:tcPr>
            <w:tcW w:w="1174" w:type="dxa"/>
            <w:vMerge w:val="restart"/>
            <w:tcBorders>
              <w:top w:val="single" w:sz="8" w:space="0" w:color="auto"/>
            </w:tcBorders>
            <w:shd w:val="clear" w:color="auto" w:fill="auto"/>
            <w:vAlign w:val="center"/>
            <w:hideMark/>
          </w:tcPr>
          <w:p>
            <w:pPr>
              <w:widowControl/>
              <w:jc w:val="center"/>
              <w:rPr>
                <w:rFonts w:ascii="宋体" w:hAnsi="宋体" w:cs="宋体"/>
                <w:kern w:val="0"/>
                <w:sz w:val="18"/>
                <w:szCs w:val="18"/>
              </w:rPr>
            </w:pPr>
            <w:r>
              <w:rPr>
                <w:rFonts w:ascii="宋体" w:hAnsi="宋体" w:cs="宋体" w:hint="eastAsia"/>
                <w:kern w:val="0"/>
                <w:sz w:val="18"/>
                <w:szCs w:val="18"/>
              </w:rPr>
              <w:t>直径</w:t>
            </w:r>
          </w:p>
          <w:p>
            <w:pPr>
              <w:jc w:val="center"/>
              <w:rPr>
                <w:rFonts w:ascii="宋体" w:hAnsi="宋体" w:cs="宋体"/>
                <w:kern w:val="0"/>
                <w:sz w:val="18"/>
                <w:szCs w:val="18"/>
              </w:rPr>
            </w:pPr>
            <w:r>
              <w:rPr>
                <w:rFonts w:ascii="宋体" w:hAnsi="宋体" w:cs="宋体" w:hint="eastAsia"/>
                <w:kern w:val="0"/>
                <w:sz w:val="18"/>
                <w:szCs w:val="18"/>
              </w:rPr>
              <w:t>mm</w:t>
            </w:r>
          </w:p>
        </w:tc>
        <w:tc>
          <w:tcPr>
            <w:tcW w:w="3377" w:type="dxa"/>
            <w:gridSpan w:val="2"/>
            <w:tcBorders>
              <w:top w:val="single" w:sz="8" w:space="0" w:color="auto"/>
              <w:right w:val="single" w:sz="4" w:space="0" w:color="auto"/>
            </w:tcBorders>
            <w:shd w:val="clear" w:color="auto" w:fill="auto"/>
            <w:vAlign w:val="center"/>
            <w:hideMark/>
          </w:tcPr>
          <w:p>
            <w:pPr>
              <w:widowControl/>
              <w:jc w:val="center"/>
              <w:rPr>
                <w:rFonts w:ascii="宋体" w:hAnsi="宋体" w:cs="宋体"/>
                <w:kern w:val="0"/>
                <w:sz w:val="18"/>
                <w:szCs w:val="18"/>
              </w:rPr>
            </w:pPr>
            <w:r>
              <w:rPr>
                <w:rFonts w:ascii="宋体" w:hAnsi="宋体" w:cs="宋体" w:hint="eastAsia"/>
                <w:kern w:val="0"/>
                <w:sz w:val="18"/>
                <w:szCs w:val="18"/>
              </w:rPr>
              <w:t>拉伸试验</w:t>
            </w:r>
          </w:p>
        </w:tc>
        <w:tc>
          <w:tcPr>
            <w:tcW w:w="1552" w:type="dxa"/>
            <w:vMerge w:val="restart"/>
            <w:tcBorders>
              <w:top w:val="single" w:sz="8" w:space="0" w:color="auto"/>
              <w:left w:val="single" w:sz="4" w:space="0" w:color="auto"/>
              <w:right w:val="single" w:sz="8"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维氏硬度HB</w:t>
            </w:r>
          </w:p>
        </w:tc>
      </w:tr>
      <w:tr>
        <w:trPr>
          <w:trHeight w:val="340"/>
          <w:jc w:val="center"/>
        </w:trPr>
        <w:tc>
          <w:tcPr>
            <w:tcW w:w="1718" w:type="dxa"/>
            <w:vMerge/>
            <w:tcBorders>
              <w:left w:val="single" w:sz="8" w:space="0" w:color="auto"/>
            </w:tcBorders>
            <w:vAlign w:val="center"/>
            <w:hideMark/>
          </w:tcPr>
          <w:p>
            <w:pPr>
              <w:widowControl/>
              <w:jc w:val="left"/>
              <w:rPr>
                <w:rFonts w:ascii="宋体" w:hAnsi="宋体" w:cs="宋体"/>
                <w:kern w:val="0"/>
                <w:sz w:val="18"/>
                <w:szCs w:val="18"/>
              </w:rPr>
            </w:pPr>
          </w:p>
        </w:tc>
        <w:tc>
          <w:tcPr>
            <w:tcW w:w="1157" w:type="dxa"/>
            <w:vMerge/>
            <w:vAlign w:val="center"/>
            <w:hideMark/>
          </w:tcPr>
          <w:p>
            <w:pPr>
              <w:widowControl/>
              <w:jc w:val="left"/>
              <w:rPr>
                <w:rFonts w:ascii="宋体" w:hAnsi="宋体" w:cs="宋体"/>
                <w:kern w:val="0"/>
                <w:sz w:val="18"/>
                <w:szCs w:val="18"/>
              </w:rPr>
            </w:pPr>
          </w:p>
        </w:tc>
        <w:tc>
          <w:tcPr>
            <w:tcW w:w="1174" w:type="dxa"/>
            <w:vMerge/>
            <w:shd w:val="clear" w:color="auto" w:fill="auto"/>
            <w:vAlign w:val="center"/>
            <w:hideMark/>
          </w:tcPr>
          <w:p>
            <w:pPr>
              <w:widowControl/>
              <w:jc w:val="center"/>
              <w:rPr>
                <w:rFonts w:ascii="宋体" w:hAnsi="宋体" w:cs="宋体"/>
                <w:kern w:val="0"/>
                <w:sz w:val="18"/>
                <w:szCs w:val="18"/>
              </w:rPr>
            </w:pPr>
          </w:p>
        </w:tc>
        <w:tc>
          <w:tcPr>
            <w:tcW w:w="1762" w:type="dxa"/>
            <w:shd w:val="clear" w:color="auto" w:fill="auto"/>
            <w:vAlign w:val="center"/>
            <w:hideMark/>
          </w:tcPr>
          <w:p>
            <w:pPr>
              <w:widowControl/>
              <w:jc w:val="center"/>
              <w:rPr>
                <w:rFonts w:ascii="宋体" w:hAnsi="宋体" w:cs="宋体"/>
                <w:kern w:val="0"/>
                <w:sz w:val="18"/>
                <w:szCs w:val="18"/>
              </w:rPr>
            </w:pPr>
            <w:r>
              <w:rPr>
                <w:rFonts w:ascii="宋体" w:hAnsi="宋体" w:cs="宋体" w:hint="eastAsia"/>
                <w:kern w:val="0"/>
                <w:sz w:val="18"/>
                <w:szCs w:val="18"/>
              </w:rPr>
              <w:t>抗拉强度</w:t>
            </w:r>
            <w:proofErr w:type="spellStart"/>
            <w:r>
              <w:rPr>
                <w:rFonts w:ascii="宋体" w:hAnsi="宋体" w:cs="宋体" w:hint="eastAsia"/>
                <w:kern w:val="0"/>
                <w:sz w:val="18"/>
                <w:szCs w:val="18"/>
              </w:rPr>
              <w:t>Rm</w:t>
            </w:r>
            <w:proofErr w:type="spellEnd"/>
          </w:p>
          <w:p>
            <w:pPr>
              <w:jc w:val="center"/>
              <w:rPr>
                <w:rFonts w:ascii="宋体" w:hAnsi="宋体" w:cs="宋体"/>
                <w:kern w:val="0"/>
                <w:sz w:val="18"/>
                <w:szCs w:val="18"/>
              </w:rPr>
            </w:pPr>
            <w:proofErr w:type="spellStart"/>
            <w:r>
              <w:rPr>
                <w:rFonts w:ascii="宋体" w:hAnsi="宋体" w:cs="宋体" w:hint="eastAsia"/>
                <w:kern w:val="0"/>
                <w:sz w:val="18"/>
                <w:szCs w:val="18"/>
              </w:rPr>
              <w:t>MPa</w:t>
            </w:r>
            <w:proofErr w:type="spellEnd"/>
          </w:p>
        </w:tc>
        <w:tc>
          <w:tcPr>
            <w:tcW w:w="1615" w:type="dxa"/>
            <w:tcBorders>
              <w:right w:val="single" w:sz="4" w:space="0" w:color="auto"/>
            </w:tcBorders>
            <w:shd w:val="clear" w:color="auto" w:fill="auto"/>
            <w:vAlign w:val="center"/>
            <w:hideMark/>
          </w:tcPr>
          <w:p>
            <w:pPr>
              <w:widowControl/>
              <w:jc w:val="center"/>
              <w:rPr>
                <w:rFonts w:ascii="宋体" w:hAnsi="宋体" w:cs="宋体"/>
                <w:kern w:val="0"/>
                <w:sz w:val="18"/>
                <w:szCs w:val="18"/>
              </w:rPr>
            </w:pPr>
            <w:r>
              <w:rPr>
                <w:rFonts w:ascii="宋体" w:hAnsi="宋体" w:cs="宋体" w:hint="eastAsia"/>
                <w:kern w:val="0"/>
                <w:sz w:val="18"/>
                <w:szCs w:val="18"/>
              </w:rPr>
              <w:t>断后伸长率A</w:t>
            </w:r>
          </w:p>
          <w:p>
            <w:pPr>
              <w:jc w:val="center"/>
              <w:rPr>
                <w:rFonts w:ascii="宋体" w:hAnsi="宋体" w:cs="宋体"/>
                <w:kern w:val="0"/>
                <w:sz w:val="18"/>
                <w:szCs w:val="18"/>
              </w:rPr>
            </w:pPr>
            <w:r>
              <w:rPr>
                <w:rFonts w:ascii="宋体" w:hAnsi="宋体" w:cs="宋体" w:hint="eastAsia"/>
                <w:kern w:val="0"/>
                <w:sz w:val="18"/>
                <w:szCs w:val="18"/>
              </w:rPr>
              <w:t>%</w:t>
            </w:r>
            <w:r>
              <w:rPr>
                <w:kern w:val="0"/>
                <w:szCs w:val="21"/>
              </w:rPr>
              <w:t> </w:t>
            </w:r>
          </w:p>
        </w:tc>
        <w:tc>
          <w:tcPr>
            <w:tcW w:w="1552" w:type="dxa"/>
            <w:vMerge/>
            <w:tcBorders>
              <w:left w:val="single" w:sz="4" w:space="0" w:color="auto"/>
              <w:right w:val="single" w:sz="8" w:space="0" w:color="auto"/>
            </w:tcBorders>
            <w:shd w:val="clear" w:color="auto" w:fill="auto"/>
            <w:vAlign w:val="center"/>
          </w:tcPr>
          <w:p>
            <w:pPr>
              <w:jc w:val="center"/>
              <w:rPr>
                <w:rFonts w:ascii="宋体" w:hAnsi="宋体" w:cs="宋体"/>
                <w:kern w:val="0"/>
                <w:sz w:val="18"/>
                <w:szCs w:val="18"/>
              </w:rPr>
            </w:pPr>
          </w:p>
        </w:tc>
      </w:tr>
      <w:tr>
        <w:trPr>
          <w:trHeight w:val="340"/>
          <w:jc w:val="center"/>
        </w:trPr>
        <w:tc>
          <w:tcPr>
            <w:tcW w:w="1718" w:type="dxa"/>
            <w:vMerge/>
            <w:tcBorders>
              <w:left w:val="single" w:sz="8" w:space="0" w:color="auto"/>
            </w:tcBorders>
            <w:vAlign w:val="center"/>
          </w:tcPr>
          <w:p>
            <w:pPr>
              <w:widowControl/>
              <w:jc w:val="left"/>
              <w:rPr>
                <w:rFonts w:ascii="宋体" w:hAnsi="宋体" w:cs="宋体"/>
                <w:kern w:val="0"/>
                <w:sz w:val="18"/>
                <w:szCs w:val="18"/>
              </w:rPr>
            </w:pPr>
          </w:p>
        </w:tc>
        <w:tc>
          <w:tcPr>
            <w:tcW w:w="1157" w:type="dxa"/>
            <w:vMerge/>
            <w:vAlign w:val="center"/>
          </w:tcPr>
          <w:p>
            <w:pPr>
              <w:widowControl/>
              <w:jc w:val="left"/>
              <w:rPr>
                <w:rFonts w:ascii="宋体" w:hAnsi="宋体" w:cs="宋体"/>
                <w:kern w:val="0"/>
                <w:sz w:val="18"/>
                <w:szCs w:val="18"/>
              </w:rPr>
            </w:pPr>
          </w:p>
        </w:tc>
        <w:tc>
          <w:tcPr>
            <w:tcW w:w="1174" w:type="dxa"/>
            <w:vMerge/>
            <w:shd w:val="clear" w:color="auto" w:fill="auto"/>
            <w:vAlign w:val="center"/>
          </w:tcPr>
          <w:p>
            <w:pPr>
              <w:widowControl/>
              <w:jc w:val="center"/>
              <w:rPr>
                <w:rFonts w:ascii="宋体" w:hAnsi="宋体" w:cs="宋体"/>
                <w:kern w:val="0"/>
                <w:sz w:val="18"/>
                <w:szCs w:val="18"/>
              </w:rPr>
            </w:pPr>
          </w:p>
        </w:tc>
        <w:tc>
          <w:tcPr>
            <w:tcW w:w="4929" w:type="dxa"/>
            <w:gridSpan w:val="3"/>
            <w:tcBorders>
              <w:right w:val="single" w:sz="8" w:space="0" w:color="auto"/>
            </w:tcBorders>
            <w:shd w:val="clear" w:color="auto" w:fill="auto"/>
            <w:vAlign w:val="center"/>
          </w:tcPr>
          <w:p>
            <w:pPr>
              <w:jc w:val="center"/>
              <w:rPr>
                <w:rFonts w:ascii="宋体" w:hAnsi="宋体" w:cs="宋体"/>
                <w:kern w:val="0"/>
                <w:sz w:val="18"/>
                <w:szCs w:val="18"/>
              </w:rPr>
            </w:pPr>
            <w:r>
              <w:rPr>
                <w:rFonts w:ascii="宋体" w:hAnsi="宋体" w:cs="宋体" w:hint="eastAsia"/>
                <w:kern w:val="0"/>
                <w:sz w:val="18"/>
                <w:szCs w:val="18"/>
              </w:rPr>
              <w:t>不小于</w:t>
            </w:r>
          </w:p>
        </w:tc>
      </w:tr>
      <w:tr>
        <w:trPr>
          <w:trHeight w:val="340"/>
          <w:jc w:val="center"/>
        </w:trPr>
        <w:tc>
          <w:tcPr>
            <w:tcW w:w="1718" w:type="dxa"/>
            <w:vMerge w:val="restart"/>
            <w:tcBorders>
              <w:left w:val="single" w:sz="8"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T1、T2、T3、TU1、TU2</w:t>
            </w:r>
          </w:p>
        </w:tc>
        <w:tc>
          <w:tcPr>
            <w:tcW w:w="1157" w:type="dxa"/>
            <w:vMerge w:val="restart"/>
            <w:shd w:val="clear" w:color="auto" w:fill="auto"/>
            <w:vAlign w:val="center"/>
          </w:tcPr>
          <w:p>
            <w:pPr>
              <w:jc w:val="center"/>
              <w:rPr>
                <w:rFonts w:ascii="宋体" w:hAnsi="宋体"/>
                <w:sz w:val="18"/>
                <w:szCs w:val="18"/>
                <w:lang w:val="x-none"/>
              </w:rPr>
            </w:pPr>
            <w:r>
              <w:rPr>
                <w:rFonts w:ascii="宋体" w:hAnsi="宋体" w:hint="eastAsia"/>
                <w:sz w:val="18"/>
                <w:szCs w:val="18"/>
                <w:lang w:val="x-none"/>
              </w:rPr>
              <w:t>M30</w:t>
            </w:r>
          </w:p>
        </w:tc>
        <w:tc>
          <w:tcPr>
            <w:tcW w:w="1174" w:type="dxa"/>
            <w:shd w:val="clear" w:color="auto" w:fill="auto"/>
            <w:vAlign w:val="center"/>
          </w:tcPr>
          <w:p>
            <w:pPr>
              <w:widowControl/>
              <w:jc w:val="center"/>
              <w:rPr>
                <w:rFonts w:ascii="宋体" w:hAnsi="宋体" w:cs="宋体"/>
                <w:kern w:val="0"/>
                <w:sz w:val="18"/>
                <w:szCs w:val="18"/>
              </w:rPr>
            </w:pPr>
            <w:r>
              <w:rPr>
                <w:rFonts w:ascii="宋体" w:hAnsi="宋体" w:hint="eastAsia"/>
                <w:sz w:val="18"/>
                <w:szCs w:val="18"/>
              </w:rPr>
              <w:t>3～10</w:t>
            </w:r>
          </w:p>
        </w:tc>
        <w:tc>
          <w:tcPr>
            <w:tcW w:w="1762" w:type="dxa"/>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220</w:t>
            </w:r>
          </w:p>
        </w:tc>
        <w:tc>
          <w:tcPr>
            <w:tcW w:w="1615" w:type="dxa"/>
            <w:tcBorders>
              <w:right w:val="single" w:sz="4"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40</w:t>
            </w:r>
          </w:p>
        </w:tc>
        <w:tc>
          <w:tcPr>
            <w:tcW w:w="1552" w:type="dxa"/>
            <w:tcBorders>
              <w:left w:val="single" w:sz="4" w:space="0" w:color="auto"/>
              <w:right w:val="single" w:sz="8"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w:t>
            </w:r>
          </w:p>
        </w:tc>
      </w:tr>
      <w:tr>
        <w:trPr>
          <w:trHeight w:val="340"/>
          <w:jc w:val="center"/>
        </w:trPr>
        <w:tc>
          <w:tcPr>
            <w:tcW w:w="1718" w:type="dxa"/>
            <w:vMerge/>
            <w:tcBorders>
              <w:left w:val="single" w:sz="8" w:space="0" w:color="auto"/>
            </w:tcBorders>
            <w:shd w:val="clear" w:color="auto" w:fill="auto"/>
            <w:vAlign w:val="center"/>
          </w:tcPr>
          <w:p>
            <w:pPr>
              <w:widowControl/>
              <w:jc w:val="center"/>
              <w:rPr>
                <w:rFonts w:ascii="宋体" w:hAnsi="宋体" w:cs="宋体"/>
                <w:kern w:val="0"/>
                <w:sz w:val="18"/>
                <w:szCs w:val="18"/>
              </w:rPr>
            </w:pPr>
          </w:p>
        </w:tc>
        <w:tc>
          <w:tcPr>
            <w:tcW w:w="1157" w:type="dxa"/>
            <w:vMerge/>
            <w:shd w:val="clear" w:color="auto" w:fill="auto"/>
            <w:vAlign w:val="center"/>
          </w:tcPr>
          <w:p>
            <w:pPr>
              <w:jc w:val="center"/>
              <w:rPr>
                <w:rFonts w:ascii="宋体" w:hAnsi="宋体"/>
                <w:sz w:val="18"/>
                <w:szCs w:val="18"/>
                <w:lang w:val="x-none"/>
              </w:rPr>
            </w:pPr>
          </w:p>
        </w:tc>
        <w:tc>
          <w:tcPr>
            <w:tcW w:w="1174" w:type="dxa"/>
            <w:shd w:val="clear" w:color="auto" w:fill="auto"/>
            <w:vAlign w:val="center"/>
          </w:tcPr>
          <w:p>
            <w:pPr>
              <w:widowControl/>
              <w:jc w:val="center"/>
              <w:rPr>
                <w:rFonts w:ascii="宋体" w:hAnsi="宋体"/>
                <w:sz w:val="18"/>
                <w:szCs w:val="18"/>
              </w:rPr>
            </w:pPr>
            <w:r>
              <w:rPr>
                <w:rFonts w:ascii="宋体" w:hAnsi="宋体" w:hint="eastAsia"/>
                <w:noProof/>
                <w:kern w:val="0"/>
                <w:sz w:val="18"/>
                <w:szCs w:val="20"/>
              </w:rPr>
              <w:t>＞</w:t>
            </w:r>
            <w:r>
              <w:rPr>
                <w:rFonts w:ascii="宋体" w:hint="eastAsia"/>
                <w:noProof/>
                <w:kern w:val="0"/>
                <w:sz w:val="18"/>
                <w:szCs w:val="20"/>
              </w:rPr>
              <w:t>10</w:t>
            </w:r>
            <w:r>
              <w:rPr>
                <w:rFonts w:ascii="宋体" w:hAnsi="宋体" w:hint="eastAsia"/>
                <w:sz w:val="18"/>
                <w:szCs w:val="18"/>
              </w:rPr>
              <w:t>～</w:t>
            </w:r>
            <w:r>
              <w:rPr>
                <w:rFonts w:ascii="宋体" w:hint="eastAsia"/>
                <w:noProof/>
                <w:kern w:val="0"/>
                <w:sz w:val="18"/>
                <w:szCs w:val="20"/>
              </w:rPr>
              <w:t>30</w:t>
            </w:r>
          </w:p>
        </w:tc>
        <w:tc>
          <w:tcPr>
            <w:tcW w:w="1762" w:type="dxa"/>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200</w:t>
            </w:r>
          </w:p>
        </w:tc>
        <w:tc>
          <w:tcPr>
            <w:tcW w:w="1615" w:type="dxa"/>
            <w:tcBorders>
              <w:right w:val="single" w:sz="4"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40</w:t>
            </w:r>
          </w:p>
        </w:tc>
        <w:tc>
          <w:tcPr>
            <w:tcW w:w="1552" w:type="dxa"/>
            <w:tcBorders>
              <w:left w:val="single" w:sz="4" w:space="0" w:color="auto"/>
              <w:right w:val="single" w:sz="8" w:space="0" w:color="auto"/>
            </w:tcBorders>
            <w:shd w:val="clear" w:color="auto" w:fill="auto"/>
          </w:tcPr>
          <w:p>
            <w:pPr>
              <w:jc w:val="center"/>
              <w:rPr>
                <w:rFonts w:asciiTheme="minorEastAsia" w:eastAsiaTheme="minorEastAsia" w:hAnsiTheme="minorEastAsia"/>
              </w:rPr>
            </w:pPr>
            <w:r>
              <w:rPr>
                <w:rFonts w:asciiTheme="minorEastAsia" w:eastAsiaTheme="minorEastAsia" w:hAnsiTheme="minorEastAsia" w:hint="eastAsia"/>
              </w:rPr>
              <w:t>-</w:t>
            </w:r>
          </w:p>
        </w:tc>
      </w:tr>
      <w:tr>
        <w:trPr>
          <w:trHeight w:val="340"/>
          <w:jc w:val="center"/>
        </w:trPr>
        <w:tc>
          <w:tcPr>
            <w:tcW w:w="1718" w:type="dxa"/>
            <w:vMerge/>
            <w:tcBorders>
              <w:left w:val="single" w:sz="8" w:space="0" w:color="auto"/>
            </w:tcBorders>
            <w:shd w:val="clear" w:color="auto" w:fill="auto"/>
            <w:vAlign w:val="center"/>
          </w:tcPr>
          <w:p>
            <w:pPr>
              <w:widowControl/>
              <w:jc w:val="center"/>
              <w:rPr>
                <w:rFonts w:ascii="宋体" w:hAnsi="宋体" w:cs="宋体"/>
                <w:kern w:val="0"/>
                <w:sz w:val="18"/>
                <w:szCs w:val="18"/>
              </w:rPr>
            </w:pPr>
          </w:p>
        </w:tc>
        <w:tc>
          <w:tcPr>
            <w:tcW w:w="1157" w:type="dxa"/>
            <w:vMerge/>
            <w:shd w:val="clear" w:color="auto" w:fill="auto"/>
            <w:vAlign w:val="center"/>
          </w:tcPr>
          <w:p>
            <w:pPr>
              <w:jc w:val="center"/>
              <w:rPr>
                <w:rFonts w:ascii="宋体" w:hAnsi="宋体"/>
                <w:sz w:val="18"/>
                <w:szCs w:val="18"/>
                <w:lang w:val="x-none"/>
              </w:rPr>
            </w:pPr>
          </w:p>
        </w:tc>
        <w:tc>
          <w:tcPr>
            <w:tcW w:w="1174" w:type="dxa"/>
            <w:shd w:val="clear" w:color="auto" w:fill="auto"/>
            <w:vAlign w:val="center"/>
          </w:tcPr>
          <w:p>
            <w:pPr>
              <w:widowControl/>
              <w:jc w:val="center"/>
              <w:rPr>
                <w:rFonts w:ascii="宋体" w:hAnsi="宋体"/>
                <w:sz w:val="18"/>
                <w:szCs w:val="18"/>
              </w:rPr>
            </w:pPr>
            <w:r>
              <w:rPr>
                <w:rFonts w:ascii="宋体" w:hAnsi="宋体" w:hint="eastAsia"/>
                <w:noProof/>
                <w:kern w:val="0"/>
                <w:sz w:val="18"/>
                <w:szCs w:val="20"/>
              </w:rPr>
              <w:t>＞</w:t>
            </w:r>
            <w:r>
              <w:rPr>
                <w:rFonts w:ascii="宋体" w:hint="eastAsia"/>
                <w:noProof/>
                <w:kern w:val="0"/>
                <w:sz w:val="18"/>
                <w:szCs w:val="20"/>
              </w:rPr>
              <w:t>30</w:t>
            </w:r>
            <w:r>
              <w:rPr>
                <w:rFonts w:ascii="宋体" w:hAnsi="宋体" w:hint="eastAsia"/>
                <w:sz w:val="18"/>
                <w:szCs w:val="18"/>
              </w:rPr>
              <w:t>～</w:t>
            </w:r>
            <w:r>
              <w:rPr>
                <w:rFonts w:ascii="宋体" w:hint="eastAsia"/>
                <w:noProof/>
                <w:kern w:val="0"/>
                <w:sz w:val="18"/>
                <w:szCs w:val="20"/>
              </w:rPr>
              <w:t>80</w:t>
            </w:r>
          </w:p>
        </w:tc>
        <w:tc>
          <w:tcPr>
            <w:tcW w:w="1762" w:type="dxa"/>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w:t>
            </w:r>
          </w:p>
        </w:tc>
        <w:tc>
          <w:tcPr>
            <w:tcW w:w="1615" w:type="dxa"/>
            <w:tcBorders>
              <w:right w:val="single" w:sz="4"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w:t>
            </w:r>
          </w:p>
        </w:tc>
        <w:tc>
          <w:tcPr>
            <w:tcW w:w="1552" w:type="dxa"/>
            <w:tcBorders>
              <w:left w:val="single" w:sz="4" w:space="0" w:color="auto"/>
              <w:right w:val="single" w:sz="8"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45</w:t>
            </w:r>
          </w:p>
        </w:tc>
      </w:tr>
      <w:tr>
        <w:trPr>
          <w:trHeight w:val="340"/>
          <w:jc w:val="center"/>
        </w:trPr>
        <w:tc>
          <w:tcPr>
            <w:tcW w:w="1718" w:type="dxa"/>
            <w:vMerge/>
            <w:tcBorders>
              <w:left w:val="single" w:sz="8" w:space="0" w:color="auto"/>
              <w:bottom w:val="single" w:sz="8" w:space="0" w:color="auto"/>
            </w:tcBorders>
            <w:shd w:val="clear" w:color="auto" w:fill="auto"/>
            <w:vAlign w:val="center"/>
          </w:tcPr>
          <w:p>
            <w:pPr>
              <w:widowControl/>
              <w:jc w:val="center"/>
              <w:rPr>
                <w:rFonts w:ascii="宋体" w:hAnsi="宋体" w:cs="宋体"/>
                <w:kern w:val="0"/>
                <w:sz w:val="18"/>
                <w:szCs w:val="18"/>
              </w:rPr>
            </w:pPr>
          </w:p>
        </w:tc>
        <w:tc>
          <w:tcPr>
            <w:tcW w:w="1157" w:type="dxa"/>
            <w:tcBorders>
              <w:bottom w:val="single" w:sz="8" w:space="0" w:color="auto"/>
            </w:tcBorders>
            <w:shd w:val="clear" w:color="auto" w:fill="auto"/>
            <w:vAlign w:val="center"/>
          </w:tcPr>
          <w:p>
            <w:pPr>
              <w:jc w:val="center"/>
              <w:rPr>
                <w:rFonts w:ascii="宋体" w:hAnsi="宋体"/>
                <w:sz w:val="18"/>
                <w:szCs w:val="18"/>
                <w:lang w:val="x-none"/>
              </w:rPr>
            </w:pPr>
            <w:r>
              <w:rPr>
                <w:rFonts w:ascii="宋体" w:hAnsi="宋体" w:hint="eastAsia"/>
                <w:sz w:val="18"/>
                <w:szCs w:val="18"/>
                <w:lang w:val="x-none"/>
              </w:rPr>
              <w:t>H50</w:t>
            </w:r>
          </w:p>
        </w:tc>
        <w:tc>
          <w:tcPr>
            <w:tcW w:w="1174" w:type="dxa"/>
            <w:tcBorders>
              <w:bottom w:val="single" w:sz="8"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10</w:t>
            </w:r>
            <w:r>
              <w:rPr>
                <w:rFonts w:ascii="宋体" w:hAnsi="宋体" w:hint="eastAsia"/>
                <w:sz w:val="18"/>
                <w:szCs w:val="18"/>
              </w:rPr>
              <w:t>～</w:t>
            </w:r>
            <w:r>
              <w:rPr>
                <w:rFonts w:ascii="宋体" w:hAnsi="宋体" w:cs="宋体" w:hint="eastAsia"/>
                <w:kern w:val="0"/>
                <w:sz w:val="18"/>
                <w:szCs w:val="18"/>
              </w:rPr>
              <w:t>30</w:t>
            </w:r>
          </w:p>
        </w:tc>
        <w:tc>
          <w:tcPr>
            <w:tcW w:w="1762" w:type="dxa"/>
            <w:tcBorders>
              <w:bottom w:val="single" w:sz="8"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w:t>
            </w:r>
          </w:p>
        </w:tc>
        <w:tc>
          <w:tcPr>
            <w:tcW w:w="1615" w:type="dxa"/>
            <w:tcBorders>
              <w:bottom w:val="single" w:sz="8" w:space="0" w:color="auto"/>
              <w:right w:val="single" w:sz="4"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15</w:t>
            </w:r>
          </w:p>
        </w:tc>
        <w:tc>
          <w:tcPr>
            <w:tcW w:w="1552" w:type="dxa"/>
            <w:tcBorders>
              <w:left w:val="single" w:sz="4" w:space="0" w:color="auto"/>
              <w:bottom w:val="single" w:sz="8" w:space="0" w:color="auto"/>
              <w:right w:val="single" w:sz="8" w:space="0" w:color="auto"/>
            </w:tcBorders>
            <w:shd w:val="clear" w:color="auto" w:fill="auto"/>
            <w:vAlign w:val="center"/>
          </w:tcPr>
          <w:p>
            <w:pPr>
              <w:widowControl/>
              <w:jc w:val="center"/>
              <w:rPr>
                <w:rFonts w:ascii="宋体" w:hAnsi="宋体" w:cs="宋体"/>
                <w:kern w:val="0"/>
                <w:sz w:val="18"/>
                <w:szCs w:val="18"/>
              </w:rPr>
            </w:pPr>
            <w:r>
              <w:rPr>
                <w:rFonts w:ascii="宋体" w:hAnsi="宋体" w:cs="宋体" w:hint="eastAsia"/>
                <w:kern w:val="0"/>
                <w:sz w:val="18"/>
                <w:szCs w:val="18"/>
              </w:rPr>
              <w:t>-</w:t>
            </w:r>
          </w:p>
        </w:tc>
      </w:tr>
    </w:tbl>
    <w:p>
      <w:pPr>
        <w:pStyle w:val="affe"/>
        <w:ind w:firstLineChars="0" w:firstLine="0"/>
      </w:pPr>
    </w:p>
    <w:p>
      <w:pPr>
        <w:pStyle w:val="aa"/>
        <w:spacing w:beforeLines="50" w:before="156" w:afterLines="50" w:after="156"/>
        <w:rPr>
          <w:color w:val="000000" w:themeColor="text1"/>
        </w:rPr>
      </w:pPr>
      <w:r>
        <w:rPr>
          <w:rFonts w:hint="eastAsia"/>
          <w:color w:val="000000" w:themeColor="text1"/>
        </w:rPr>
        <w:t>电性能</w:t>
      </w:r>
    </w:p>
    <w:p>
      <w:pPr>
        <w:pStyle w:val="affe"/>
        <w:ind w:firstLine="420"/>
      </w:pPr>
      <w:r>
        <w:rPr>
          <w:rFonts w:hint="eastAsia"/>
        </w:rPr>
        <w:t>5.4.1 铜棒线坯的电性能应符合表4的规定。</w:t>
      </w:r>
    </w:p>
    <w:p>
      <w:pPr>
        <w:pStyle w:val="affe"/>
        <w:ind w:firstLine="420"/>
      </w:pPr>
      <w:r>
        <w:rPr>
          <w:rFonts w:hint="eastAsia"/>
        </w:rPr>
        <w:t>5.4.2 铜棒线坯截面积、电阻率应符合附录A规定。</w:t>
      </w:r>
    </w:p>
    <w:p>
      <w:pPr>
        <w:pStyle w:val="a6"/>
        <w:spacing w:beforeLines="50" w:before="156" w:afterLines="50" w:after="156"/>
        <w:ind w:left="0"/>
      </w:pPr>
      <w:r>
        <w:rPr>
          <w:rFonts w:hint="eastAsia"/>
        </w:rPr>
        <w:t>电性能</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6"/>
        <w:gridCol w:w="1627"/>
        <w:gridCol w:w="2602"/>
        <w:gridCol w:w="2534"/>
      </w:tblGrid>
      <w:tr>
        <w:trPr>
          <w:trHeight w:val="355"/>
          <w:jc w:val="center"/>
        </w:trPr>
        <w:tc>
          <w:tcPr>
            <w:tcW w:w="2106" w:type="dxa"/>
            <w:vMerge w:val="restart"/>
            <w:tcBorders>
              <w:top w:val="single" w:sz="8" w:space="0" w:color="auto"/>
              <w:left w:val="single" w:sz="8" w:space="0" w:color="auto"/>
              <w:right w:val="single" w:sz="4" w:space="0" w:color="auto"/>
            </w:tcBorders>
            <w:vAlign w:val="center"/>
          </w:tcPr>
          <w:p>
            <w:pPr>
              <w:jc w:val="center"/>
              <w:rPr>
                <w:rFonts w:ascii="宋体" w:hAnsi="宋体"/>
                <w:sz w:val="18"/>
              </w:rPr>
            </w:pPr>
            <w:r>
              <w:rPr>
                <w:rFonts w:ascii="宋体" w:hAnsi="宋体" w:hint="eastAsia"/>
                <w:sz w:val="18"/>
                <w:szCs w:val="21"/>
              </w:rPr>
              <w:t>牌号</w:t>
            </w:r>
          </w:p>
        </w:tc>
        <w:tc>
          <w:tcPr>
            <w:tcW w:w="1627" w:type="dxa"/>
            <w:vMerge w:val="restart"/>
            <w:tcBorders>
              <w:top w:val="single" w:sz="8" w:space="0" w:color="auto"/>
              <w:left w:val="single" w:sz="4" w:space="0" w:color="auto"/>
              <w:right w:val="single" w:sz="4" w:space="0" w:color="auto"/>
            </w:tcBorders>
            <w:vAlign w:val="center"/>
          </w:tcPr>
          <w:p>
            <w:pPr>
              <w:jc w:val="center"/>
              <w:rPr>
                <w:rFonts w:ascii="宋体" w:hAnsi="宋体"/>
                <w:sz w:val="18"/>
              </w:rPr>
            </w:pPr>
            <w:r>
              <w:rPr>
                <w:rFonts w:ascii="宋体" w:hAnsi="宋体" w:hint="eastAsia"/>
                <w:sz w:val="18"/>
              </w:rPr>
              <w:t>状态</w:t>
            </w:r>
          </w:p>
        </w:tc>
        <w:tc>
          <w:tcPr>
            <w:tcW w:w="2602" w:type="dxa"/>
            <w:tcBorders>
              <w:top w:val="single" w:sz="8" w:space="0" w:color="auto"/>
              <w:left w:val="single" w:sz="4" w:space="0" w:color="auto"/>
              <w:right w:val="single" w:sz="4" w:space="0" w:color="auto"/>
            </w:tcBorders>
            <w:vAlign w:val="center"/>
          </w:tcPr>
          <w:p>
            <w:pPr>
              <w:jc w:val="center"/>
              <w:rPr>
                <w:rFonts w:ascii="宋体" w:hAnsi="宋体"/>
                <w:sz w:val="18"/>
                <w:szCs w:val="21"/>
              </w:rPr>
            </w:pPr>
            <w:r>
              <w:rPr>
                <w:rFonts w:ascii="宋体" w:hAnsi="宋体" w:hint="eastAsia"/>
                <w:sz w:val="18"/>
                <w:szCs w:val="21"/>
              </w:rPr>
              <w:t>导电率</w:t>
            </w:r>
          </w:p>
          <w:p>
            <w:pPr>
              <w:jc w:val="center"/>
              <w:rPr>
                <w:rFonts w:ascii="宋体" w:hAnsi="宋体"/>
                <w:sz w:val="18"/>
                <w:szCs w:val="21"/>
              </w:rPr>
            </w:pPr>
            <w:r>
              <w:rPr>
                <w:rFonts w:ascii="宋体" w:hAnsi="宋体" w:hint="eastAsia"/>
                <w:sz w:val="18"/>
                <w:szCs w:val="21"/>
              </w:rPr>
              <w:t>%IACS</w:t>
            </w:r>
          </w:p>
        </w:tc>
        <w:tc>
          <w:tcPr>
            <w:tcW w:w="2533" w:type="dxa"/>
            <w:tcBorders>
              <w:top w:val="single" w:sz="8" w:space="0" w:color="auto"/>
              <w:left w:val="single" w:sz="4" w:space="0" w:color="auto"/>
              <w:right w:val="single" w:sz="8" w:space="0" w:color="auto"/>
            </w:tcBorders>
            <w:vAlign w:val="center"/>
          </w:tcPr>
          <w:p>
            <w:pPr>
              <w:jc w:val="center"/>
              <w:rPr>
                <w:rFonts w:ascii="宋体" w:hAnsi="宋体"/>
                <w:sz w:val="18"/>
                <w:szCs w:val="21"/>
              </w:rPr>
            </w:pPr>
            <w:r>
              <w:rPr>
                <w:rFonts w:ascii="宋体" w:hAnsi="宋体" w:hint="eastAsia"/>
                <w:sz w:val="18"/>
                <w:szCs w:val="21"/>
              </w:rPr>
              <w:t>电导率</w:t>
            </w:r>
          </w:p>
          <w:p>
            <w:pPr>
              <w:jc w:val="center"/>
              <w:rPr>
                <w:rFonts w:ascii="宋体" w:hAnsi="宋体"/>
                <w:sz w:val="18"/>
                <w:szCs w:val="21"/>
              </w:rPr>
            </w:pPr>
            <w:r>
              <w:rPr>
                <w:rFonts w:ascii="宋体" w:hAnsi="宋体" w:hint="eastAsia"/>
                <w:sz w:val="18"/>
                <w:szCs w:val="21"/>
              </w:rPr>
              <w:t>MS/m</w:t>
            </w:r>
          </w:p>
        </w:tc>
      </w:tr>
      <w:tr>
        <w:trPr>
          <w:trHeight w:val="355"/>
          <w:jc w:val="center"/>
        </w:trPr>
        <w:tc>
          <w:tcPr>
            <w:tcW w:w="2106" w:type="dxa"/>
            <w:vMerge/>
            <w:tcBorders>
              <w:left w:val="single" w:sz="8" w:space="0" w:color="auto"/>
              <w:right w:val="single" w:sz="4" w:space="0" w:color="auto"/>
            </w:tcBorders>
            <w:vAlign w:val="center"/>
          </w:tcPr>
          <w:p>
            <w:pPr>
              <w:jc w:val="center"/>
              <w:rPr>
                <w:rFonts w:ascii="宋体" w:hAnsi="宋体"/>
                <w:sz w:val="18"/>
                <w:szCs w:val="21"/>
              </w:rPr>
            </w:pPr>
          </w:p>
        </w:tc>
        <w:tc>
          <w:tcPr>
            <w:tcW w:w="1627" w:type="dxa"/>
            <w:vMerge/>
            <w:tcBorders>
              <w:left w:val="single" w:sz="4" w:space="0" w:color="auto"/>
              <w:right w:val="single" w:sz="4" w:space="0" w:color="auto"/>
            </w:tcBorders>
            <w:vAlign w:val="center"/>
          </w:tcPr>
          <w:p>
            <w:pPr>
              <w:jc w:val="center"/>
              <w:rPr>
                <w:rFonts w:ascii="宋体" w:hAnsi="宋体"/>
                <w:sz w:val="18"/>
              </w:rPr>
            </w:pPr>
          </w:p>
        </w:tc>
        <w:tc>
          <w:tcPr>
            <w:tcW w:w="5136" w:type="dxa"/>
            <w:gridSpan w:val="2"/>
            <w:tcBorders>
              <w:left w:val="single" w:sz="4" w:space="0" w:color="auto"/>
              <w:right w:val="single" w:sz="8" w:space="0" w:color="auto"/>
            </w:tcBorders>
            <w:vAlign w:val="center"/>
          </w:tcPr>
          <w:p>
            <w:pPr>
              <w:jc w:val="center"/>
              <w:rPr>
                <w:rFonts w:ascii="宋体" w:hAnsi="宋体"/>
                <w:sz w:val="18"/>
                <w:szCs w:val="21"/>
              </w:rPr>
            </w:pPr>
            <w:r>
              <w:rPr>
                <w:rFonts w:ascii="宋体" w:hAnsi="宋体" w:hint="eastAsia"/>
                <w:sz w:val="18"/>
                <w:szCs w:val="21"/>
              </w:rPr>
              <w:t>不小于</w:t>
            </w:r>
          </w:p>
        </w:tc>
      </w:tr>
      <w:tr>
        <w:trPr>
          <w:trHeight w:val="355"/>
          <w:jc w:val="center"/>
        </w:trPr>
        <w:tc>
          <w:tcPr>
            <w:tcW w:w="2106" w:type="dxa"/>
            <w:vMerge w:val="restart"/>
            <w:tcBorders>
              <w:left w:val="single" w:sz="8" w:space="0" w:color="auto"/>
              <w:right w:val="single" w:sz="4" w:space="0" w:color="auto"/>
            </w:tcBorders>
            <w:vAlign w:val="center"/>
          </w:tcPr>
          <w:p>
            <w:pPr>
              <w:widowControl/>
              <w:jc w:val="center"/>
              <w:rPr>
                <w:rFonts w:ascii="宋体" w:hAnsi="宋体" w:cs="宋体"/>
                <w:kern w:val="0"/>
                <w:sz w:val="18"/>
                <w:szCs w:val="18"/>
              </w:rPr>
            </w:pPr>
            <w:r>
              <w:rPr>
                <w:rFonts w:ascii="宋体" w:hAnsi="宋体" w:cs="宋体" w:hint="eastAsia"/>
                <w:kern w:val="0"/>
                <w:sz w:val="18"/>
                <w:szCs w:val="18"/>
              </w:rPr>
              <w:t>TU1、TU2</w:t>
            </w:r>
          </w:p>
        </w:tc>
        <w:tc>
          <w:tcPr>
            <w:tcW w:w="1627" w:type="dxa"/>
            <w:tcBorders>
              <w:left w:val="single" w:sz="4" w:space="0" w:color="auto"/>
              <w:right w:val="single" w:sz="4" w:space="0" w:color="auto"/>
            </w:tcBorders>
            <w:vAlign w:val="center"/>
          </w:tcPr>
          <w:p>
            <w:pPr>
              <w:jc w:val="center"/>
              <w:rPr>
                <w:rFonts w:ascii="宋体" w:hAnsi="宋体"/>
                <w:sz w:val="18"/>
                <w:szCs w:val="18"/>
                <w:lang w:val="x-none"/>
              </w:rPr>
            </w:pPr>
            <w:r>
              <w:rPr>
                <w:rFonts w:ascii="宋体" w:hAnsi="宋体" w:hint="eastAsia"/>
                <w:sz w:val="18"/>
                <w:szCs w:val="18"/>
                <w:lang w:val="x-none"/>
              </w:rPr>
              <w:t>M30、H02</w:t>
            </w:r>
          </w:p>
        </w:tc>
        <w:tc>
          <w:tcPr>
            <w:tcW w:w="2602" w:type="dxa"/>
            <w:tcBorders>
              <w:left w:val="single" w:sz="4" w:space="0" w:color="auto"/>
              <w:right w:val="single" w:sz="4" w:space="0" w:color="auto"/>
            </w:tcBorders>
            <w:vAlign w:val="center"/>
          </w:tcPr>
          <w:p>
            <w:pPr>
              <w:jc w:val="center"/>
              <w:rPr>
                <w:rFonts w:ascii="宋体" w:hAnsi="宋体"/>
                <w:sz w:val="18"/>
              </w:rPr>
            </w:pPr>
            <w:r>
              <w:rPr>
                <w:rFonts w:ascii="宋体" w:hAnsi="宋体" w:hint="eastAsia"/>
                <w:sz w:val="18"/>
              </w:rPr>
              <w:t>100</w:t>
            </w:r>
          </w:p>
        </w:tc>
        <w:tc>
          <w:tcPr>
            <w:tcW w:w="2533" w:type="dxa"/>
            <w:tcBorders>
              <w:left w:val="single" w:sz="4" w:space="0" w:color="auto"/>
              <w:right w:val="single" w:sz="8" w:space="0" w:color="auto"/>
            </w:tcBorders>
            <w:vAlign w:val="center"/>
          </w:tcPr>
          <w:p>
            <w:pPr>
              <w:jc w:val="center"/>
              <w:rPr>
                <w:rFonts w:ascii="宋体" w:hAnsi="宋体"/>
                <w:sz w:val="18"/>
              </w:rPr>
            </w:pPr>
            <w:r>
              <w:rPr>
                <w:rFonts w:ascii="宋体" w:hAnsi="宋体" w:hint="eastAsia"/>
                <w:sz w:val="18"/>
              </w:rPr>
              <w:t>58</w:t>
            </w:r>
          </w:p>
        </w:tc>
      </w:tr>
      <w:tr>
        <w:trPr>
          <w:trHeight w:val="355"/>
          <w:jc w:val="center"/>
        </w:trPr>
        <w:tc>
          <w:tcPr>
            <w:tcW w:w="2106" w:type="dxa"/>
            <w:vMerge/>
            <w:tcBorders>
              <w:left w:val="single" w:sz="8" w:space="0" w:color="auto"/>
              <w:right w:val="single" w:sz="4" w:space="0" w:color="auto"/>
            </w:tcBorders>
            <w:vAlign w:val="center"/>
          </w:tcPr>
          <w:p>
            <w:pPr>
              <w:widowControl/>
              <w:jc w:val="center"/>
              <w:rPr>
                <w:rFonts w:ascii="宋体" w:hAnsi="宋体" w:cs="宋体"/>
                <w:kern w:val="0"/>
                <w:sz w:val="18"/>
                <w:szCs w:val="18"/>
              </w:rPr>
            </w:pPr>
          </w:p>
        </w:tc>
        <w:tc>
          <w:tcPr>
            <w:tcW w:w="1627" w:type="dxa"/>
            <w:tcBorders>
              <w:left w:val="single" w:sz="4" w:space="0" w:color="auto"/>
              <w:right w:val="single" w:sz="4" w:space="0" w:color="auto"/>
            </w:tcBorders>
            <w:vAlign w:val="center"/>
          </w:tcPr>
          <w:p>
            <w:pPr>
              <w:jc w:val="center"/>
              <w:rPr>
                <w:rFonts w:ascii="宋体" w:hAnsi="宋体"/>
                <w:sz w:val="18"/>
                <w:szCs w:val="18"/>
                <w:lang w:val="x-none"/>
              </w:rPr>
            </w:pPr>
            <w:r>
              <w:rPr>
                <w:rFonts w:ascii="宋体" w:hAnsi="宋体"/>
                <w:sz w:val="18"/>
              </w:rPr>
              <w:t>H5</w:t>
            </w:r>
            <w:r>
              <w:rPr>
                <w:rFonts w:ascii="宋体" w:hAnsi="宋体" w:hint="eastAsia"/>
                <w:sz w:val="18"/>
              </w:rPr>
              <w:t>0</w:t>
            </w:r>
          </w:p>
        </w:tc>
        <w:tc>
          <w:tcPr>
            <w:tcW w:w="2602" w:type="dxa"/>
            <w:tcBorders>
              <w:left w:val="single" w:sz="4" w:space="0" w:color="auto"/>
              <w:right w:val="single" w:sz="4" w:space="0" w:color="auto"/>
            </w:tcBorders>
            <w:vAlign w:val="center"/>
          </w:tcPr>
          <w:p>
            <w:pPr>
              <w:jc w:val="center"/>
              <w:rPr>
                <w:rFonts w:ascii="宋体" w:hAnsi="宋体"/>
                <w:sz w:val="18"/>
              </w:rPr>
            </w:pPr>
            <w:r>
              <w:rPr>
                <w:rFonts w:ascii="宋体" w:hAnsi="宋体" w:hint="eastAsia"/>
                <w:sz w:val="18"/>
              </w:rPr>
              <w:t>98.3</w:t>
            </w:r>
          </w:p>
        </w:tc>
        <w:tc>
          <w:tcPr>
            <w:tcW w:w="2533" w:type="dxa"/>
            <w:tcBorders>
              <w:left w:val="single" w:sz="4" w:space="0" w:color="auto"/>
              <w:right w:val="single" w:sz="8" w:space="0" w:color="auto"/>
            </w:tcBorders>
            <w:vAlign w:val="center"/>
          </w:tcPr>
          <w:p>
            <w:pPr>
              <w:jc w:val="center"/>
              <w:rPr>
                <w:rFonts w:ascii="宋体" w:hAnsi="宋体"/>
                <w:sz w:val="18"/>
              </w:rPr>
            </w:pPr>
            <w:r>
              <w:rPr>
                <w:rFonts w:ascii="宋体" w:hAnsi="宋体" w:hint="eastAsia"/>
                <w:sz w:val="18"/>
              </w:rPr>
              <w:t>57.0</w:t>
            </w:r>
          </w:p>
        </w:tc>
      </w:tr>
      <w:tr>
        <w:trPr>
          <w:trHeight w:val="355"/>
          <w:jc w:val="center"/>
        </w:trPr>
        <w:tc>
          <w:tcPr>
            <w:tcW w:w="2106" w:type="dxa"/>
            <w:vMerge w:val="restart"/>
            <w:tcBorders>
              <w:top w:val="single" w:sz="4" w:space="0" w:color="auto"/>
              <w:left w:val="single" w:sz="8" w:space="0" w:color="auto"/>
              <w:right w:val="single" w:sz="4" w:space="0" w:color="auto"/>
            </w:tcBorders>
            <w:vAlign w:val="center"/>
          </w:tcPr>
          <w:p>
            <w:pPr>
              <w:jc w:val="center"/>
              <w:rPr>
                <w:rFonts w:ascii="宋体" w:hAnsi="宋体" w:cs="宋体"/>
                <w:kern w:val="0"/>
                <w:sz w:val="18"/>
                <w:szCs w:val="18"/>
              </w:rPr>
            </w:pPr>
            <w:r>
              <w:rPr>
                <w:rFonts w:ascii="宋体" w:hAnsi="宋体" w:cs="宋体" w:hint="eastAsia"/>
                <w:kern w:val="0"/>
                <w:sz w:val="18"/>
                <w:szCs w:val="18"/>
              </w:rPr>
              <w:t>T1、T2、T3</w:t>
            </w:r>
          </w:p>
        </w:tc>
        <w:tc>
          <w:tcPr>
            <w:tcW w:w="1627" w:type="dxa"/>
            <w:tcBorders>
              <w:left w:val="single" w:sz="4" w:space="0" w:color="auto"/>
              <w:right w:val="single" w:sz="4" w:space="0" w:color="auto"/>
            </w:tcBorders>
            <w:vAlign w:val="center"/>
          </w:tcPr>
          <w:p>
            <w:pPr>
              <w:jc w:val="center"/>
              <w:rPr>
                <w:rFonts w:ascii="宋体" w:hAnsi="宋体"/>
                <w:sz w:val="18"/>
                <w:szCs w:val="18"/>
                <w:lang w:val="x-none"/>
              </w:rPr>
            </w:pPr>
            <w:r>
              <w:rPr>
                <w:rFonts w:ascii="宋体" w:hAnsi="宋体" w:hint="eastAsia"/>
                <w:sz w:val="18"/>
                <w:szCs w:val="18"/>
                <w:lang w:val="x-none"/>
              </w:rPr>
              <w:t>M30</w:t>
            </w:r>
          </w:p>
        </w:tc>
        <w:tc>
          <w:tcPr>
            <w:tcW w:w="2602" w:type="dxa"/>
            <w:tcBorders>
              <w:left w:val="single" w:sz="4" w:space="0" w:color="auto"/>
              <w:right w:val="single" w:sz="4" w:space="0" w:color="auto"/>
            </w:tcBorders>
            <w:vAlign w:val="center"/>
          </w:tcPr>
          <w:p>
            <w:pPr>
              <w:jc w:val="center"/>
              <w:rPr>
                <w:rFonts w:ascii="宋体" w:hAnsi="宋体"/>
                <w:sz w:val="18"/>
              </w:rPr>
            </w:pPr>
            <w:r>
              <w:rPr>
                <w:rFonts w:ascii="宋体" w:hAnsi="宋体" w:hint="eastAsia"/>
                <w:sz w:val="18"/>
              </w:rPr>
              <w:t>100</w:t>
            </w:r>
          </w:p>
        </w:tc>
        <w:tc>
          <w:tcPr>
            <w:tcW w:w="2533" w:type="dxa"/>
            <w:tcBorders>
              <w:left w:val="single" w:sz="4" w:space="0" w:color="auto"/>
              <w:right w:val="single" w:sz="8" w:space="0" w:color="auto"/>
            </w:tcBorders>
            <w:vAlign w:val="center"/>
          </w:tcPr>
          <w:p>
            <w:pPr>
              <w:jc w:val="center"/>
              <w:rPr>
                <w:rFonts w:ascii="宋体" w:hAnsi="宋体"/>
                <w:sz w:val="18"/>
              </w:rPr>
            </w:pPr>
            <w:r>
              <w:rPr>
                <w:rFonts w:ascii="宋体" w:hAnsi="宋体" w:hint="eastAsia"/>
                <w:sz w:val="18"/>
              </w:rPr>
              <w:t>58</w:t>
            </w:r>
          </w:p>
        </w:tc>
      </w:tr>
      <w:tr>
        <w:trPr>
          <w:trHeight w:val="355"/>
          <w:jc w:val="center"/>
        </w:trPr>
        <w:tc>
          <w:tcPr>
            <w:tcW w:w="2106" w:type="dxa"/>
            <w:vMerge/>
            <w:tcBorders>
              <w:left w:val="single" w:sz="8" w:space="0" w:color="auto"/>
              <w:bottom w:val="single" w:sz="8" w:space="0" w:color="auto"/>
              <w:right w:val="single" w:sz="4" w:space="0" w:color="auto"/>
            </w:tcBorders>
            <w:vAlign w:val="center"/>
          </w:tcPr>
          <w:p>
            <w:pPr>
              <w:widowControl/>
              <w:jc w:val="center"/>
              <w:rPr>
                <w:rFonts w:ascii="宋体" w:hAnsi="宋体" w:cs="宋体"/>
                <w:kern w:val="0"/>
                <w:sz w:val="18"/>
                <w:szCs w:val="18"/>
              </w:rPr>
            </w:pPr>
          </w:p>
        </w:tc>
        <w:tc>
          <w:tcPr>
            <w:tcW w:w="1627" w:type="dxa"/>
            <w:tcBorders>
              <w:left w:val="single" w:sz="4" w:space="0" w:color="auto"/>
              <w:bottom w:val="single" w:sz="8" w:space="0" w:color="auto"/>
              <w:right w:val="single" w:sz="4" w:space="0" w:color="auto"/>
            </w:tcBorders>
            <w:vAlign w:val="center"/>
          </w:tcPr>
          <w:p>
            <w:pPr>
              <w:jc w:val="center"/>
              <w:rPr>
                <w:rFonts w:ascii="宋体" w:hAnsi="宋体"/>
                <w:sz w:val="18"/>
                <w:szCs w:val="18"/>
                <w:lang w:val="x-none"/>
              </w:rPr>
            </w:pPr>
            <w:r>
              <w:rPr>
                <w:rFonts w:ascii="宋体" w:hAnsi="宋体"/>
                <w:sz w:val="18"/>
              </w:rPr>
              <w:t>H5</w:t>
            </w:r>
            <w:r>
              <w:rPr>
                <w:rFonts w:ascii="宋体" w:hAnsi="宋体" w:hint="eastAsia"/>
                <w:sz w:val="18"/>
              </w:rPr>
              <w:t>0</w:t>
            </w:r>
          </w:p>
        </w:tc>
        <w:tc>
          <w:tcPr>
            <w:tcW w:w="2602" w:type="dxa"/>
            <w:tcBorders>
              <w:left w:val="single" w:sz="4" w:space="0" w:color="auto"/>
              <w:bottom w:val="single" w:sz="8" w:space="0" w:color="auto"/>
              <w:right w:val="single" w:sz="4" w:space="0" w:color="auto"/>
            </w:tcBorders>
            <w:vAlign w:val="center"/>
          </w:tcPr>
          <w:p>
            <w:pPr>
              <w:jc w:val="center"/>
              <w:rPr>
                <w:rFonts w:ascii="宋体" w:hAnsi="宋体"/>
                <w:sz w:val="18"/>
              </w:rPr>
            </w:pPr>
            <w:r>
              <w:rPr>
                <w:rFonts w:ascii="宋体" w:hAnsi="宋体" w:hint="eastAsia"/>
                <w:sz w:val="18"/>
              </w:rPr>
              <w:t>97.0</w:t>
            </w:r>
          </w:p>
        </w:tc>
        <w:tc>
          <w:tcPr>
            <w:tcW w:w="2533" w:type="dxa"/>
            <w:tcBorders>
              <w:left w:val="single" w:sz="4" w:space="0" w:color="auto"/>
              <w:bottom w:val="single" w:sz="8" w:space="0" w:color="auto"/>
              <w:right w:val="single" w:sz="8" w:space="0" w:color="auto"/>
            </w:tcBorders>
            <w:vAlign w:val="center"/>
          </w:tcPr>
          <w:p>
            <w:pPr>
              <w:jc w:val="center"/>
              <w:rPr>
                <w:rFonts w:ascii="宋体" w:hAnsi="宋体"/>
                <w:sz w:val="18"/>
              </w:rPr>
            </w:pPr>
            <w:r>
              <w:rPr>
                <w:rFonts w:ascii="宋体" w:hAnsi="宋体" w:hint="eastAsia"/>
                <w:sz w:val="18"/>
              </w:rPr>
              <w:t>56.3</w:t>
            </w:r>
          </w:p>
        </w:tc>
      </w:tr>
    </w:tbl>
    <w:p>
      <w:pPr>
        <w:pStyle w:val="aa"/>
        <w:spacing w:beforeLines="50" w:before="156" w:afterLines="50" w:after="156"/>
        <w:rPr>
          <w:color w:val="000000" w:themeColor="text1"/>
        </w:rPr>
      </w:pPr>
      <w:r>
        <w:rPr>
          <w:rFonts w:hint="eastAsia"/>
          <w:color w:val="000000" w:themeColor="text1"/>
        </w:rPr>
        <w:t>内部质量</w:t>
      </w:r>
    </w:p>
    <w:p>
      <w:pPr>
        <w:pStyle w:val="affe"/>
        <w:ind w:firstLine="420"/>
      </w:pPr>
      <w:r>
        <w:rPr>
          <w:rFonts w:hint="eastAsia"/>
        </w:rPr>
        <w:t>铜棒应进行超声波探伤检验。</w:t>
      </w:r>
    </w:p>
    <w:p>
      <w:pPr>
        <w:pStyle w:val="aa"/>
        <w:spacing w:beforeLines="50" w:before="156" w:afterLines="50" w:after="156"/>
        <w:rPr>
          <w:color w:val="000000" w:themeColor="text1"/>
        </w:rPr>
      </w:pPr>
      <w:r>
        <w:rPr>
          <w:rFonts w:hint="eastAsia"/>
          <w:color w:val="000000" w:themeColor="text1"/>
        </w:rPr>
        <w:t>表面质量</w:t>
      </w:r>
    </w:p>
    <w:p>
      <w:pPr>
        <w:pStyle w:val="affe"/>
        <w:ind w:firstLineChars="0" w:firstLine="0"/>
      </w:pPr>
      <w:r>
        <w:rPr>
          <w:rFonts w:hint="eastAsia"/>
          <w:color w:val="000000" w:themeColor="text1"/>
        </w:rPr>
        <w:t>5</w:t>
      </w:r>
      <w:r>
        <w:rPr>
          <w:rFonts w:hint="eastAsia"/>
        </w:rPr>
        <w:t>.6.1铜棒线坯表面应光亮、清洁，不应有影响使用的缺陷。</w:t>
      </w:r>
    </w:p>
    <w:p>
      <w:pPr>
        <w:pStyle w:val="affe"/>
        <w:ind w:firstLineChars="0" w:firstLine="0"/>
      </w:pPr>
      <w:r>
        <w:rPr>
          <w:rFonts w:hint="eastAsia"/>
        </w:rPr>
        <w:t>5.6.2 直条状的铜棒线坯不应有焊接。</w:t>
      </w:r>
    </w:p>
    <w:p>
      <w:pPr>
        <w:pStyle w:val="a9"/>
        <w:spacing w:beforeLines="100" w:before="312" w:afterLines="100" w:after="312"/>
        <w:ind w:left="0"/>
        <w:rPr>
          <w:color w:val="000000" w:themeColor="text1"/>
        </w:rPr>
      </w:pPr>
      <w:r>
        <w:rPr>
          <w:rFonts w:hint="eastAsia"/>
          <w:color w:val="000000" w:themeColor="text1"/>
        </w:rPr>
        <w:t>试验方法</w:t>
      </w:r>
    </w:p>
    <w:p>
      <w:pPr>
        <w:pStyle w:val="aa"/>
        <w:spacing w:beforeLines="50" w:before="156" w:afterLines="50" w:after="156"/>
        <w:rPr>
          <w:color w:val="000000" w:themeColor="text1"/>
        </w:rPr>
      </w:pPr>
      <w:r>
        <w:rPr>
          <w:rFonts w:hint="eastAsia"/>
          <w:color w:val="000000" w:themeColor="text1"/>
        </w:rPr>
        <w:t>化学成分</w:t>
      </w:r>
    </w:p>
    <w:p>
      <w:pPr>
        <w:adjustRightInd w:val="0"/>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铜棒线坯的化学成分分析方法按GB/T 5121(所有部分)或</w:t>
      </w:r>
      <w:r>
        <w:rPr>
          <w:rFonts w:asciiTheme="minorEastAsia" w:eastAsiaTheme="minorEastAsia" w:hAnsiTheme="minorEastAsia" w:hint="eastAsia"/>
          <w:kern w:val="0"/>
          <w:szCs w:val="20"/>
        </w:rPr>
        <w:t>YS/T 464</w:t>
      </w:r>
      <w:r>
        <w:rPr>
          <w:rFonts w:asciiTheme="minorEastAsia" w:eastAsiaTheme="minorEastAsia" w:hAnsiTheme="minorEastAsia" w:hint="eastAsia"/>
        </w:rPr>
        <w:t>规定的进行。仲裁时按GB/T 5121(所有部分)的规定进行。</w:t>
      </w:r>
    </w:p>
    <w:p>
      <w:pPr>
        <w:pStyle w:val="aa"/>
        <w:spacing w:beforeLines="50" w:before="156" w:afterLines="50" w:after="156"/>
        <w:rPr>
          <w:color w:val="000000" w:themeColor="text1"/>
        </w:rPr>
      </w:pPr>
      <w:r>
        <w:rPr>
          <w:rFonts w:hint="eastAsia"/>
          <w:color w:val="000000" w:themeColor="text1"/>
        </w:rPr>
        <w:t>外形尺寸及其允许偏差测量方法</w:t>
      </w:r>
    </w:p>
    <w:p>
      <w:pPr>
        <w:pStyle w:val="affe"/>
        <w:ind w:firstLine="420"/>
      </w:pPr>
      <w:r>
        <w:rPr>
          <w:rFonts w:hint="eastAsia"/>
        </w:rPr>
        <w:t>铜棒线坯的尺寸测量方法按GB/T4909.2的规定进行。</w:t>
      </w:r>
    </w:p>
    <w:p>
      <w:pPr>
        <w:pStyle w:val="aa"/>
        <w:spacing w:beforeLines="50" w:before="156" w:afterLines="50" w:after="156"/>
        <w:rPr>
          <w:color w:val="000000" w:themeColor="text1"/>
        </w:rPr>
      </w:pPr>
      <w:r>
        <w:rPr>
          <w:rFonts w:hint="eastAsia"/>
          <w:color w:val="000000" w:themeColor="text1"/>
        </w:rPr>
        <w:lastRenderedPageBreak/>
        <w:t>力学性能</w:t>
      </w:r>
    </w:p>
    <w:p>
      <w:pPr>
        <w:pStyle w:val="affe"/>
        <w:ind w:firstLine="420"/>
      </w:pPr>
      <w:r>
        <w:rPr>
          <w:rFonts w:hint="eastAsia"/>
        </w:rPr>
        <w:t xml:space="preserve">铜棒线坯的室温拉伸试验方法应按GB/T </w:t>
      </w:r>
      <w:r>
        <w:t>34505-2017</w:t>
      </w:r>
      <w:r>
        <w:rPr>
          <w:rFonts w:hint="eastAsia"/>
        </w:rPr>
        <w:t>的规定进行。</w:t>
      </w:r>
    </w:p>
    <w:p>
      <w:pPr>
        <w:pStyle w:val="aa"/>
        <w:spacing w:beforeLines="50" w:before="156" w:afterLines="50" w:after="156"/>
        <w:rPr>
          <w:color w:val="000000" w:themeColor="text1"/>
        </w:rPr>
      </w:pPr>
      <w:r>
        <w:rPr>
          <w:rFonts w:hint="eastAsia"/>
          <w:color w:val="000000" w:themeColor="text1"/>
        </w:rPr>
        <w:t>电性能</w:t>
      </w:r>
    </w:p>
    <w:p>
      <w:pPr>
        <w:pStyle w:val="affe"/>
        <w:ind w:firstLine="420"/>
      </w:pPr>
      <w:r>
        <w:rPr>
          <w:rFonts w:hint="eastAsia"/>
        </w:rPr>
        <w:t>铜棒线坯的电阻率测试方法应按</w:t>
      </w:r>
      <w:r>
        <w:t>GB/T</w:t>
      </w:r>
      <w:r>
        <w:rPr>
          <w:rFonts w:hint="eastAsia"/>
        </w:rPr>
        <w:t xml:space="preserve"> </w:t>
      </w:r>
      <w:r>
        <w:t>3048.2</w:t>
      </w:r>
      <w:r>
        <w:rPr>
          <w:rFonts w:hint="eastAsia"/>
        </w:rPr>
        <w:t>的规定进行。</w:t>
      </w:r>
    </w:p>
    <w:p>
      <w:pPr>
        <w:pStyle w:val="aa"/>
        <w:spacing w:beforeLines="50" w:before="156" w:afterLines="50" w:after="156"/>
        <w:rPr>
          <w:color w:val="000000" w:themeColor="text1"/>
        </w:rPr>
      </w:pPr>
      <w:r>
        <w:rPr>
          <w:rFonts w:hint="eastAsia"/>
          <w:color w:val="000000" w:themeColor="text1"/>
        </w:rPr>
        <w:t>内部质量</w:t>
      </w:r>
    </w:p>
    <w:p>
      <w:pPr>
        <w:pStyle w:val="affe"/>
        <w:ind w:firstLine="420"/>
      </w:pPr>
      <w:r>
        <w:rPr>
          <w:rFonts w:hint="eastAsia"/>
        </w:rPr>
        <w:t>铜棒的超声波探伤检验按GB/T 3310的规定进行。（该标准明确紫铜棒最大直径为80mm）</w:t>
      </w:r>
    </w:p>
    <w:p>
      <w:pPr>
        <w:pStyle w:val="aa"/>
        <w:spacing w:beforeLines="50" w:before="156" w:afterLines="50" w:after="156"/>
        <w:rPr>
          <w:color w:val="000000" w:themeColor="text1"/>
        </w:rPr>
      </w:pPr>
      <w:r>
        <w:rPr>
          <w:rFonts w:hint="eastAsia"/>
          <w:color w:val="000000" w:themeColor="text1"/>
        </w:rPr>
        <w:t>表面质量</w:t>
      </w:r>
    </w:p>
    <w:p>
      <w:pPr>
        <w:pStyle w:val="affe"/>
        <w:ind w:firstLine="420"/>
      </w:pPr>
      <w:r>
        <w:rPr>
          <w:rFonts w:hint="eastAsia"/>
        </w:rPr>
        <w:t>铜棒线坯的表面质量用目视进行检验。</w:t>
      </w:r>
    </w:p>
    <w:p>
      <w:pPr>
        <w:pStyle w:val="a9"/>
        <w:spacing w:beforeLines="100" w:before="312" w:afterLines="100" w:after="312"/>
        <w:ind w:left="0"/>
        <w:rPr>
          <w:color w:val="000000" w:themeColor="text1"/>
        </w:rPr>
      </w:pPr>
      <w:r>
        <w:rPr>
          <w:rFonts w:hint="eastAsia"/>
          <w:color w:val="000000" w:themeColor="text1"/>
        </w:rPr>
        <w:t>检验规则</w:t>
      </w:r>
    </w:p>
    <w:p>
      <w:pPr>
        <w:pStyle w:val="aa"/>
        <w:spacing w:beforeLines="50" w:before="156" w:afterLines="50" w:after="156"/>
        <w:rPr>
          <w:color w:val="000000" w:themeColor="text1"/>
        </w:rPr>
      </w:pPr>
      <w:r>
        <w:rPr>
          <w:rFonts w:hint="eastAsia"/>
          <w:color w:val="000000" w:themeColor="text1"/>
        </w:rPr>
        <w:t>检验和验收</w:t>
      </w:r>
    </w:p>
    <w:p>
      <w:pPr>
        <w:autoSpaceDE w:val="0"/>
        <w:autoSpaceDN w:val="0"/>
        <w:adjustRightInd w:val="0"/>
        <w:spacing w:line="340" w:lineRule="exact"/>
        <w:rPr>
          <w:rFonts w:ascii="宋体" w:hAnsi="宋体"/>
          <w:color w:val="000000" w:themeColor="text1"/>
          <w:kern w:val="0"/>
          <w:szCs w:val="44"/>
        </w:rPr>
      </w:pPr>
      <w:r>
        <w:rPr>
          <w:rFonts w:ascii="黑体" w:eastAsia="黑体" w:hAnsi="黑体" w:hint="eastAsia"/>
          <w:color w:val="000000" w:themeColor="text1"/>
          <w:kern w:val="0"/>
          <w:szCs w:val="44"/>
        </w:rPr>
        <w:t>7</w:t>
      </w:r>
      <w:r>
        <w:rPr>
          <w:rFonts w:ascii="黑体" w:eastAsia="黑体" w:hAnsi="黑体"/>
          <w:color w:val="000000" w:themeColor="text1"/>
          <w:kern w:val="0"/>
          <w:szCs w:val="44"/>
        </w:rPr>
        <w:t>.1.1</w:t>
      </w:r>
      <w:r>
        <w:rPr>
          <w:rFonts w:ascii="宋体" w:hAnsi="宋体"/>
          <w:color w:val="000000" w:themeColor="text1"/>
          <w:kern w:val="0"/>
          <w:szCs w:val="44"/>
        </w:rPr>
        <w:t xml:space="preserve"> </w:t>
      </w:r>
      <w:r>
        <w:rPr>
          <w:rFonts w:ascii="宋体" w:hAnsi="宋体" w:hint="eastAsia"/>
          <w:color w:val="000000" w:themeColor="text1"/>
          <w:kern w:val="0"/>
          <w:szCs w:val="44"/>
        </w:rPr>
        <w:t>铜棒线坯应由供方或第三方进行检验，保证产品质量符合本文件</w:t>
      </w:r>
      <w:r>
        <w:rPr>
          <w:rFonts w:ascii="宋体" w:hAnsi="宋体" w:hint="eastAsia"/>
          <w:color w:val="000000" w:themeColor="text1"/>
        </w:rPr>
        <w:t>及订货单</w:t>
      </w:r>
      <w:r>
        <w:rPr>
          <w:rFonts w:ascii="宋体" w:hAnsi="宋体" w:hint="eastAsia"/>
          <w:color w:val="000000" w:themeColor="text1"/>
          <w:kern w:val="0"/>
          <w:szCs w:val="44"/>
        </w:rPr>
        <w:t>的规定。</w:t>
      </w:r>
    </w:p>
    <w:p>
      <w:pPr>
        <w:autoSpaceDE w:val="0"/>
        <w:autoSpaceDN w:val="0"/>
        <w:adjustRightInd w:val="0"/>
        <w:spacing w:line="340" w:lineRule="exact"/>
        <w:rPr>
          <w:rFonts w:ascii="宋体" w:hAnsi="宋体"/>
          <w:color w:val="000000" w:themeColor="text1"/>
          <w:kern w:val="0"/>
          <w:szCs w:val="42"/>
        </w:rPr>
      </w:pPr>
      <w:r>
        <w:rPr>
          <w:rFonts w:ascii="黑体" w:eastAsia="黑体" w:hAnsi="黑体" w:hint="eastAsia"/>
          <w:color w:val="000000" w:themeColor="text1"/>
          <w:kern w:val="0"/>
          <w:szCs w:val="44"/>
        </w:rPr>
        <w:t>7</w:t>
      </w:r>
      <w:r>
        <w:rPr>
          <w:rFonts w:ascii="黑体" w:eastAsia="黑体" w:hAnsi="黑体"/>
          <w:color w:val="000000" w:themeColor="text1"/>
          <w:kern w:val="0"/>
          <w:szCs w:val="44"/>
        </w:rPr>
        <w:t>.1.2</w:t>
      </w:r>
      <w:r>
        <w:rPr>
          <w:rFonts w:ascii="宋体" w:hAnsi="宋体"/>
          <w:color w:val="000000" w:themeColor="text1"/>
          <w:kern w:val="0"/>
          <w:szCs w:val="44"/>
        </w:rPr>
        <w:t xml:space="preserve"> </w:t>
      </w:r>
      <w:r>
        <w:rPr>
          <w:rFonts w:ascii="宋体" w:hAnsi="宋体" w:hint="eastAsia"/>
          <w:color w:val="000000" w:themeColor="text1"/>
          <w:kern w:val="0"/>
          <w:szCs w:val="44"/>
        </w:rPr>
        <w:t>需方可对收到的产品按本文件</w:t>
      </w:r>
      <w:r>
        <w:rPr>
          <w:rFonts w:ascii="宋体" w:hAnsi="宋体" w:hint="eastAsia"/>
          <w:color w:val="000000" w:themeColor="text1"/>
        </w:rPr>
        <w:t>及或订货单</w:t>
      </w:r>
      <w:r>
        <w:rPr>
          <w:rFonts w:ascii="宋体" w:hAnsi="宋体" w:hint="eastAsia"/>
          <w:color w:val="000000" w:themeColor="text1"/>
          <w:kern w:val="0"/>
          <w:szCs w:val="44"/>
        </w:rPr>
        <w:t>的规定进行检验，如检验结果与本文件</w:t>
      </w:r>
      <w:r>
        <w:rPr>
          <w:rFonts w:ascii="宋体" w:hAnsi="宋体" w:hint="eastAsia"/>
          <w:color w:val="000000" w:themeColor="text1"/>
        </w:rPr>
        <w:t>及订货单</w:t>
      </w:r>
      <w:r>
        <w:rPr>
          <w:rFonts w:ascii="宋体" w:hAnsi="宋体" w:hint="eastAsia"/>
          <w:color w:val="000000" w:themeColor="text1"/>
          <w:kern w:val="0"/>
          <w:szCs w:val="44"/>
        </w:rPr>
        <w:t>的规定不符时，应在收到</w:t>
      </w:r>
      <w:r>
        <w:rPr>
          <w:rFonts w:ascii="宋体" w:hAnsi="宋体" w:hint="eastAsia"/>
          <w:color w:val="000000" w:themeColor="text1"/>
          <w:kern w:val="0"/>
          <w:szCs w:val="42"/>
        </w:rPr>
        <w:t>产品之日起</w:t>
      </w:r>
      <w:r>
        <w:rPr>
          <w:rFonts w:ascii="宋体" w:hAnsi="宋体"/>
          <w:color w:val="000000" w:themeColor="text1"/>
          <w:kern w:val="0"/>
          <w:szCs w:val="42"/>
        </w:rPr>
        <w:t>3</w:t>
      </w:r>
      <w:r>
        <w:rPr>
          <w:rFonts w:ascii="宋体" w:hAnsi="宋体" w:hint="eastAsia"/>
          <w:color w:val="000000" w:themeColor="text1"/>
          <w:kern w:val="0"/>
          <w:szCs w:val="42"/>
        </w:rPr>
        <w:t>个月内</w:t>
      </w:r>
      <w:r>
        <w:rPr>
          <w:rFonts w:ascii="宋体" w:hAnsi="宋体" w:hint="eastAsia"/>
          <w:color w:val="000000" w:themeColor="text1"/>
          <w:kern w:val="0"/>
          <w:szCs w:val="44"/>
        </w:rPr>
        <w:t>以书面形式</w:t>
      </w:r>
      <w:r>
        <w:rPr>
          <w:rFonts w:ascii="宋体" w:hAnsi="宋体" w:hint="eastAsia"/>
          <w:color w:val="000000" w:themeColor="text1"/>
          <w:kern w:val="0"/>
          <w:szCs w:val="42"/>
        </w:rPr>
        <w:t>向供方提出。如需仲裁，仲裁取样由供需双方共同进行。</w:t>
      </w:r>
    </w:p>
    <w:p>
      <w:pPr>
        <w:pStyle w:val="aa"/>
        <w:spacing w:beforeLines="50" w:before="156" w:afterLines="50" w:after="156"/>
        <w:rPr>
          <w:color w:val="000000" w:themeColor="text1"/>
        </w:rPr>
      </w:pPr>
      <w:r>
        <w:rPr>
          <w:rFonts w:hint="eastAsia"/>
          <w:color w:val="000000" w:themeColor="text1"/>
        </w:rPr>
        <w:t>组批</w:t>
      </w:r>
    </w:p>
    <w:p>
      <w:pPr>
        <w:pStyle w:val="affe"/>
        <w:ind w:firstLine="420"/>
        <w:rPr>
          <w:color w:val="000000" w:themeColor="text1"/>
        </w:rPr>
      </w:pPr>
      <w:r>
        <w:rPr>
          <w:rFonts w:hint="eastAsia"/>
          <w:color w:val="000000" w:themeColor="text1"/>
        </w:rPr>
        <w:t>产品应成批提交检验。每批应由同一牌号、状态和规格的铜棒线坯组成。每批重量应不大于5000Kg。</w:t>
      </w:r>
    </w:p>
    <w:p>
      <w:pPr>
        <w:pStyle w:val="aa"/>
        <w:spacing w:beforeLines="50" w:before="156" w:afterLines="50" w:after="156"/>
        <w:rPr>
          <w:rFonts w:ascii="宋体" w:eastAsia="宋体"/>
          <w:color w:val="000000" w:themeColor="text1"/>
        </w:rPr>
      </w:pPr>
      <w:r>
        <w:rPr>
          <w:rFonts w:hint="eastAsia"/>
          <w:color w:val="000000" w:themeColor="text1"/>
        </w:rPr>
        <w:t>检验项目</w:t>
      </w:r>
    </w:p>
    <w:p>
      <w:pPr>
        <w:spacing w:line="360" w:lineRule="exact"/>
        <w:ind w:firstLineChars="200" w:firstLine="420"/>
        <w:rPr>
          <w:rFonts w:ascii="宋体" w:hAnsi="宋体"/>
          <w:color w:val="000000"/>
        </w:rPr>
      </w:pPr>
      <w:r>
        <w:rPr>
          <w:rFonts w:ascii="宋体" w:hAnsi="宋体" w:hint="eastAsia"/>
          <w:color w:val="000000"/>
        </w:rPr>
        <w:t>产品的检验项目分为出厂检验项目和型式检验项目，见表5。出现下列任一情况时，应进行型式检验；</w:t>
      </w:r>
    </w:p>
    <w:p>
      <w:pPr>
        <w:pStyle w:val="affe"/>
        <w:numPr>
          <w:ilvl w:val="1"/>
          <w:numId w:val="10"/>
        </w:numPr>
        <w:spacing w:line="360" w:lineRule="exact"/>
        <w:ind w:firstLineChars="0"/>
        <w:rPr>
          <w:color w:val="000000"/>
        </w:rPr>
      </w:pPr>
      <w:r>
        <w:rPr>
          <w:rFonts w:hint="eastAsia"/>
          <w:color w:val="000000"/>
        </w:rPr>
        <w:t>新产品或老产品转厂的试制定型鉴定；</w:t>
      </w:r>
    </w:p>
    <w:p>
      <w:pPr>
        <w:pStyle w:val="affe"/>
        <w:numPr>
          <w:ilvl w:val="1"/>
          <w:numId w:val="10"/>
        </w:numPr>
        <w:spacing w:line="360" w:lineRule="exact"/>
        <w:ind w:firstLineChars="0"/>
        <w:rPr>
          <w:color w:val="000000"/>
        </w:rPr>
      </w:pPr>
      <w:r>
        <w:rPr>
          <w:rFonts w:hint="eastAsia"/>
          <w:color w:val="000000"/>
        </w:rPr>
        <w:t>产品的原料、工艺有较大改变，可能影响产品性能时；</w:t>
      </w:r>
    </w:p>
    <w:p>
      <w:pPr>
        <w:pStyle w:val="affe"/>
        <w:numPr>
          <w:ilvl w:val="1"/>
          <w:numId w:val="10"/>
        </w:numPr>
        <w:spacing w:line="360" w:lineRule="exact"/>
        <w:ind w:firstLineChars="0"/>
        <w:rPr>
          <w:color w:val="000000"/>
        </w:rPr>
      </w:pPr>
      <w:r>
        <w:rPr>
          <w:rFonts w:hint="eastAsia"/>
          <w:color w:val="000000"/>
        </w:rPr>
        <w:t>产品停产后，恢复生产时；</w:t>
      </w:r>
    </w:p>
    <w:p>
      <w:pPr>
        <w:pStyle w:val="affe"/>
        <w:numPr>
          <w:ilvl w:val="1"/>
          <w:numId w:val="10"/>
        </w:numPr>
        <w:spacing w:line="360" w:lineRule="exact"/>
        <w:ind w:firstLineChars="0"/>
        <w:rPr>
          <w:color w:val="000000"/>
        </w:rPr>
      </w:pPr>
      <w:r>
        <w:rPr>
          <w:rFonts w:hint="eastAsia"/>
          <w:color w:val="000000"/>
        </w:rPr>
        <w:t>出厂检验结果与上次型式检验有较大差异时；</w:t>
      </w:r>
    </w:p>
    <w:p>
      <w:pPr>
        <w:pStyle w:val="affe"/>
        <w:numPr>
          <w:ilvl w:val="1"/>
          <w:numId w:val="10"/>
        </w:numPr>
        <w:spacing w:line="360" w:lineRule="exact"/>
        <w:ind w:firstLineChars="0"/>
        <w:rPr>
          <w:color w:val="000000"/>
        </w:rPr>
      </w:pPr>
      <w:r>
        <w:rPr>
          <w:rFonts w:hint="eastAsia"/>
          <w:color w:val="000000"/>
        </w:rPr>
        <w:t>连续二年未进行型式检验时；</w:t>
      </w:r>
    </w:p>
    <w:p>
      <w:pPr>
        <w:pStyle w:val="affe"/>
        <w:numPr>
          <w:ilvl w:val="1"/>
          <w:numId w:val="10"/>
        </w:numPr>
        <w:spacing w:line="360" w:lineRule="exact"/>
        <w:ind w:firstLineChars="0"/>
        <w:rPr>
          <w:color w:val="000000"/>
        </w:rPr>
      </w:pPr>
      <w:r>
        <w:rPr>
          <w:rFonts w:hint="eastAsia"/>
          <w:color w:val="000000"/>
        </w:rPr>
        <w:t>需方要求时（在订货单中注明）；</w:t>
      </w:r>
    </w:p>
    <w:p>
      <w:pPr>
        <w:pStyle w:val="affe"/>
        <w:numPr>
          <w:ilvl w:val="1"/>
          <w:numId w:val="10"/>
        </w:numPr>
        <w:spacing w:line="360" w:lineRule="exact"/>
        <w:ind w:firstLineChars="0"/>
        <w:rPr>
          <w:color w:val="000000"/>
        </w:rPr>
      </w:pPr>
      <w:r>
        <w:rPr>
          <w:rFonts w:hint="eastAsia"/>
          <w:color w:val="000000"/>
        </w:rPr>
        <w:t>国家有关监督机构提出进行型式检验的要求时。</w:t>
      </w:r>
    </w:p>
    <w:p>
      <w:pPr>
        <w:pStyle w:val="a6"/>
        <w:spacing w:beforeLines="50" w:before="156" w:afterLines="50" w:after="156"/>
        <w:ind w:left="0"/>
        <w:rPr>
          <w:rFonts w:hAnsi="黑体"/>
          <w:color w:val="000000" w:themeColor="text1"/>
        </w:rPr>
      </w:pPr>
      <w:r>
        <w:rPr>
          <w:rFonts w:hAnsi="黑体" w:hint="eastAsia"/>
          <w:color w:val="000000" w:themeColor="text1"/>
        </w:rPr>
        <w:t>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65"/>
        <w:gridCol w:w="2836"/>
        <w:gridCol w:w="2837"/>
      </w:tblGrid>
      <w:tr>
        <w:trPr>
          <w:trHeight w:val="340"/>
          <w:jc w:val="center"/>
        </w:trPr>
        <w:tc>
          <w:tcPr>
            <w:tcW w:w="2849" w:type="dxa"/>
            <w:gridSpan w:val="2"/>
            <w:tcBorders>
              <w:top w:val="single" w:sz="8" w:space="0" w:color="auto"/>
              <w:lef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检验项目</w:t>
            </w:r>
          </w:p>
        </w:tc>
        <w:tc>
          <w:tcPr>
            <w:tcW w:w="2836" w:type="dxa"/>
            <w:tcBorders>
              <w:top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出厂检验项目</w:t>
            </w:r>
          </w:p>
        </w:tc>
        <w:tc>
          <w:tcPr>
            <w:tcW w:w="2837" w:type="dxa"/>
            <w:tcBorders>
              <w:top w:val="single" w:sz="8" w:space="0" w:color="auto"/>
              <w:righ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型式检验项目</w:t>
            </w:r>
          </w:p>
        </w:tc>
      </w:tr>
      <w:tr>
        <w:trPr>
          <w:trHeight w:val="340"/>
          <w:jc w:val="center"/>
        </w:trPr>
        <w:tc>
          <w:tcPr>
            <w:tcW w:w="2849" w:type="dxa"/>
            <w:gridSpan w:val="2"/>
            <w:tcBorders>
              <w:lef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化学成分</w:t>
            </w:r>
          </w:p>
        </w:tc>
        <w:tc>
          <w:tcPr>
            <w:tcW w:w="2836" w:type="dxa"/>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c>
          <w:tcPr>
            <w:tcW w:w="2837" w:type="dxa"/>
            <w:tcBorders>
              <w:righ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外形尺寸及其允许偏差</w:t>
            </w:r>
          </w:p>
        </w:tc>
        <w:tc>
          <w:tcPr>
            <w:tcW w:w="2836" w:type="dxa"/>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c>
          <w:tcPr>
            <w:tcW w:w="2837" w:type="dxa"/>
            <w:tcBorders>
              <w:righ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r>
      <w:tr>
        <w:trPr>
          <w:trHeight w:val="340"/>
          <w:jc w:val="center"/>
        </w:trPr>
        <w:tc>
          <w:tcPr>
            <w:tcW w:w="1384" w:type="dxa"/>
            <w:vMerge w:val="restart"/>
            <w:tcBorders>
              <w:left w:val="single" w:sz="8" w:space="0" w:color="auto"/>
              <w:right w:val="single" w:sz="4" w:space="0" w:color="auto"/>
            </w:tcBorders>
            <w:vAlign w:val="center"/>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力学性能</w:t>
            </w:r>
          </w:p>
        </w:tc>
        <w:tc>
          <w:tcPr>
            <w:tcW w:w="1465" w:type="dxa"/>
            <w:tcBorders>
              <w:left w:val="single" w:sz="4"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抗拉强度</w:t>
            </w:r>
          </w:p>
        </w:tc>
        <w:tc>
          <w:tcPr>
            <w:tcW w:w="2836" w:type="dxa"/>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c>
          <w:tcPr>
            <w:tcW w:w="2837" w:type="dxa"/>
            <w:tcBorders>
              <w:righ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r>
      <w:tr>
        <w:trPr>
          <w:trHeight w:val="340"/>
          <w:jc w:val="center"/>
        </w:trPr>
        <w:tc>
          <w:tcPr>
            <w:tcW w:w="1384" w:type="dxa"/>
            <w:vMerge/>
            <w:tcBorders>
              <w:left w:val="single" w:sz="8" w:space="0" w:color="auto"/>
              <w:right w:val="single" w:sz="4" w:space="0" w:color="auto"/>
            </w:tcBorders>
            <w:vAlign w:val="center"/>
          </w:tcPr>
          <w:p>
            <w:pPr>
              <w:widowControl/>
              <w:autoSpaceDE w:val="0"/>
              <w:autoSpaceDN w:val="0"/>
              <w:jc w:val="center"/>
              <w:rPr>
                <w:rFonts w:ascii="宋体" w:hAnsi="Calibri"/>
                <w:color w:val="000000"/>
                <w:kern w:val="0"/>
                <w:sz w:val="18"/>
                <w:szCs w:val="18"/>
              </w:rPr>
            </w:pPr>
          </w:p>
        </w:tc>
        <w:tc>
          <w:tcPr>
            <w:tcW w:w="1465" w:type="dxa"/>
            <w:tcBorders>
              <w:left w:val="single" w:sz="4"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延伸率</w:t>
            </w:r>
          </w:p>
        </w:tc>
        <w:tc>
          <w:tcPr>
            <w:tcW w:w="2836" w:type="dxa"/>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c>
          <w:tcPr>
            <w:tcW w:w="2837" w:type="dxa"/>
            <w:tcBorders>
              <w:righ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lastRenderedPageBreak/>
              <w:t>电性能</w:t>
            </w:r>
          </w:p>
        </w:tc>
        <w:tc>
          <w:tcPr>
            <w:tcW w:w="2836" w:type="dxa"/>
          </w:tcPr>
          <w:p>
            <w:pPr>
              <w:widowControl/>
              <w:autoSpaceDE w:val="0"/>
              <w:autoSpaceDN w:val="0"/>
              <w:jc w:val="center"/>
              <w:rPr>
                <w:rFonts w:ascii="宋体" w:hAnsi="宋体"/>
                <w:color w:val="000000"/>
                <w:kern w:val="0"/>
                <w:sz w:val="18"/>
                <w:szCs w:val="18"/>
              </w:rPr>
            </w:pPr>
            <w:r>
              <w:rPr>
                <w:rFonts w:ascii="宋体" w:hAnsi="宋体" w:hint="eastAsia"/>
                <w:color w:val="000000"/>
                <w:kern w:val="0"/>
                <w:sz w:val="18"/>
                <w:szCs w:val="18"/>
              </w:rPr>
              <w:t>√</w:t>
            </w:r>
          </w:p>
        </w:tc>
        <w:tc>
          <w:tcPr>
            <w:tcW w:w="2837" w:type="dxa"/>
            <w:tcBorders>
              <w:righ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内部质量</w:t>
            </w:r>
          </w:p>
        </w:tc>
        <w:tc>
          <w:tcPr>
            <w:tcW w:w="2836" w:type="dxa"/>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c>
          <w:tcPr>
            <w:tcW w:w="2837" w:type="dxa"/>
            <w:tcBorders>
              <w:righ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r>
      <w:tr>
        <w:trPr>
          <w:trHeight w:val="340"/>
          <w:jc w:val="center"/>
        </w:trPr>
        <w:tc>
          <w:tcPr>
            <w:tcW w:w="2849" w:type="dxa"/>
            <w:gridSpan w:val="2"/>
            <w:tcBorders>
              <w:lef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表面质量</w:t>
            </w:r>
          </w:p>
        </w:tc>
        <w:tc>
          <w:tcPr>
            <w:tcW w:w="2836" w:type="dxa"/>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c>
          <w:tcPr>
            <w:tcW w:w="2837" w:type="dxa"/>
            <w:tcBorders>
              <w:right w:val="single" w:sz="8" w:space="0" w:color="auto"/>
            </w:tcBorders>
          </w:tcPr>
          <w:p>
            <w:pPr>
              <w:widowControl/>
              <w:autoSpaceDE w:val="0"/>
              <w:autoSpaceDN w:val="0"/>
              <w:jc w:val="center"/>
              <w:rPr>
                <w:rFonts w:ascii="宋体" w:hAnsi="Calibri"/>
                <w:color w:val="000000"/>
                <w:kern w:val="0"/>
                <w:sz w:val="18"/>
                <w:szCs w:val="18"/>
              </w:rPr>
            </w:pPr>
            <w:r>
              <w:rPr>
                <w:rFonts w:ascii="宋体" w:hAnsi="Calibri" w:hint="eastAsia"/>
                <w:color w:val="000000"/>
                <w:kern w:val="0"/>
                <w:sz w:val="18"/>
                <w:szCs w:val="18"/>
              </w:rPr>
              <w:t>√</w:t>
            </w:r>
          </w:p>
        </w:tc>
      </w:tr>
      <w:tr>
        <w:trPr>
          <w:trHeight w:val="340"/>
          <w:jc w:val="center"/>
        </w:trPr>
        <w:tc>
          <w:tcPr>
            <w:tcW w:w="8522" w:type="dxa"/>
            <w:gridSpan w:val="4"/>
            <w:tcBorders>
              <w:left w:val="single" w:sz="8" w:space="0" w:color="auto"/>
              <w:bottom w:val="single" w:sz="8" w:space="0" w:color="auto"/>
              <w:right w:val="single" w:sz="8" w:space="0" w:color="auto"/>
            </w:tcBorders>
          </w:tcPr>
          <w:p>
            <w:pPr>
              <w:widowControl/>
              <w:autoSpaceDE w:val="0"/>
              <w:autoSpaceDN w:val="0"/>
              <w:ind w:firstLineChars="200" w:firstLine="360"/>
              <w:jc w:val="left"/>
              <w:rPr>
                <w:rFonts w:ascii="宋体" w:hAnsi="Calibri"/>
                <w:color w:val="000000"/>
                <w:kern w:val="0"/>
                <w:sz w:val="18"/>
                <w:szCs w:val="18"/>
              </w:rPr>
            </w:pPr>
            <w:r>
              <w:rPr>
                <w:rFonts w:ascii="黑体" w:eastAsia="黑体" w:hAnsi="黑体" w:cs="黑体" w:hint="eastAsia"/>
                <w:color w:val="000000"/>
                <w:kern w:val="0"/>
                <w:sz w:val="18"/>
                <w:szCs w:val="18"/>
              </w:rPr>
              <w:t>注</w:t>
            </w:r>
            <w:r>
              <w:rPr>
                <w:rFonts w:ascii="宋体" w:hAnsi="宋体" w:hint="eastAsia"/>
                <w:color w:val="000000"/>
                <w:kern w:val="0"/>
                <w:sz w:val="18"/>
                <w:szCs w:val="18"/>
              </w:rPr>
              <w:t>：表中</w:t>
            </w:r>
            <w:r>
              <w:rPr>
                <w:rFonts w:ascii="宋体" w:hAnsi="Calibri" w:hint="eastAsia"/>
                <w:color w:val="000000"/>
                <w:kern w:val="0"/>
                <w:sz w:val="18"/>
                <w:szCs w:val="18"/>
              </w:rPr>
              <w:t>“</w:t>
            </w:r>
            <w:r>
              <w:rPr>
                <w:rFonts w:ascii="宋体" w:hAnsi="宋体" w:hint="eastAsia"/>
                <w:color w:val="000000"/>
                <w:kern w:val="0"/>
                <w:sz w:val="18"/>
                <w:szCs w:val="18"/>
              </w:rPr>
              <w:t>√</w:t>
            </w:r>
            <w:r>
              <w:rPr>
                <w:rFonts w:ascii="宋体" w:hAnsi="Calibri" w:hint="eastAsia"/>
                <w:color w:val="000000"/>
                <w:kern w:val="0"/>
                <w:sz w:val="18"/>
                <w:szCs w:val="18"/>
              </w:rPr>
              <w:t>”表示必验项目；“△”表示“需方有要求时进行的检验项目”。</w:t>
            </w:r>
          </w:p>
        </w:tc>
      </w:tr>
    </w:tbl>
    <w:p>
      <w:pPr>
        <w:pStyle w:val="affe"/>
        <w:ind w:firstLine="420"/>
      </w:pPr>
    </w:p>
    <w:p>
      <w:pPr>
        <w:pStyle w:val="aa"/>
        <w:spacing w:beforeLines="50" w:before="156" w:afterLines="50" w:after="156"/>
        <w:rPr>
          <w:rFonts w:ascii="黑体"/>
          <w:color w:val="000000" w:themeColor="text1"/>
        </w:rPr>
      </w:pPr>
      <w:r>
        <w:rPr>
          <w:rFonts w:ascii="黑体" w:hint="eastAsia"/>
          <w:color w:val="000000" w:themeColor="text1"/>
        </w:rPr>
        <w:t>取样</w:t>
      </w:r>
    </w:p>
    <w:p>
      <w:pPr>
        <w:spacing w:line="340" w:lineRule="exact"/>
        <w:ind w:firstLineChars="200" w:firstLine="420"/>
        <w:rPr>
          <w:rFonts w:asciiTheme="minorEastAsia" w:eastAsiaTheme="minorEastAsia" w:hAnsiTheme="minorEastAsia"/>
          <w:color w:val="000000" w:themeColor="text1"/>
          <w:kern w:val="0"/>
          <w:szCs w:val="44"/>
        </w:rPr>
      </w:pPr>
      <w:r>
        <w:rPr>
          <w:rFonts w:asciiTheme="minorEastAsia" w:eastAsiaTheme="minorEastAsia" w:hAnsiTheme="minorEastAsia" w:hint="eastAsia"/>
          <w:color w:val="000000" w:themeColor="text1"/>
          <w:kern w:val="0"/>
          <w:szCs w:val="44"/>
        </w:rPr>
        <w:t>棒线材取样应符合表6的规定。取样方法按YS/T 668的规定进行。</w:t>
      </w:r>
    </w:p>
    <w:p>
      <w:pPr>
        <w:pStyle w:val="a6"/>
        <w:spacing w:beforeLines="50" w:before="156" w:afterLines="50" w:after="156"/>
        <w:ind w:left="0"/>
        <w:rPr>
          <w:rFonts w:hAnsi="黑体"/>
          <w:color w:val="000000" w:themeColor="text1"/>
        </w:rPr>
      </w:pPr>
      <w:r>
        <w:rPr>
          <w:rFonts w:hAnsi="黑体" w:hint="eastAsia"/>
          <w:color w:val="000000" w:themeColor="text1"/>
        </w:rPr>
        <w:t>型材的取样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855"/>
        <w:gridCol w:w="1398"/>
        <w:gridCol w:w="1686"/>
      </w:tblGrid>
      <w:tr>
        <w:trPr>
          <w:trHeight w:val="340"/>
          <w:jc w:val="center"/>
        </w:trPr>
        <w:tc>
          <w:tcPr>
            <w:tcW w:w="1583" w:type="dxa"/>
            <w:tcBorders>
              <w:top w:val="single" w:sz="8" w:space="0" w:color="auto"/>
              <w:lef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检验项目</w:t>
            </w:r>
          </w:p>
        </w:tc>
        <w:tc>
          <w:tcPr>
            <w:tcW w:w="3855" w:type="dxa"/>
            <w:tcBorders>
              <w:top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取样规定</w:t>
            </w:r>
          </w:p>
        </w:tc>
        <w:tc>
          <w:tcPr>
            <w:tcW w:w="1398" w:type="dxa"/>
            <w:tcBorders>
              <w:top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要求的章条号</w:t>
            </w:r>
          </w:p>
        </w:tc>
        <w:tc>
          <w:tcPr>
            <w:tcW w:w="1686" w:type="dxa"/>
            <w:tcBorders>
              <w:top w:val="single" w:sz="8" w:space="0" w:color="auto"/>
              <w:righ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试验方法的章条号</w:t>
            </w:r>
          </w:p>
        </w:tc>
      </w:tr>
      <w:tr>
        <w:trPr>
          <w:trHeight w:val="340"/>
          <w:jc w:val="center"/>
        </w:trPr>
        <w:tc>
          <w:tcPr>
            <w:tcW w:w="1583" w:type="dxa"/>
            <w:tcBorders>
              <w:lef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化学成分</w:t>
            </w:r>
          </w:p>
        </w:tc>
        <w:tc>
          <w:tcPr>
            <w:tcW w:w="3855" w:type="dxa"/>
            <w:vAlign w:val="center"/>
          </w:tcPr>
          <w:p>
            <w:pPr>
              <w:rPr>
                <w:rFonts w:ascii="宋体" w:hAnsi="宋体"/>
                <w:color w:val="000000"/>
                <w:sz w:val="18"/>
                <w:szCs w:val="18"/>
              </w:rPr>
            </w:pPr>
            <w:r>
              <w:rPr>
                <w:rFonts w:ascii="宋体" w:hAnsi="宋体" w:hint="eastAsia"/>
                <w:color w:val="000000"/>
                <w:sz w:val="18"/>
                <w:szCs w:val="18"/>
              </w:rPr>
              <w:t>供方每炉取1个试样</w:t>
            </w:r>
          </w:p>
        </w:tc>
        <w:tc>
          <w:tcPr>
            <w:tcW w:w="1398" w:type="dxa"/>
            <w:vAlign w:val="center"/>
          </w:tcPr>
          <w:p>
            <w:pPr>
              <w:jc w:val="center"/>
              <w:rPr>
                <w:rFonts w:ascii="宋体" w:hAnsi="宋体"/>
                <w:color w:val="000000"/>
                <w:sz w:val="18"/>
                <w:szCs w:val="18"/>
              </w:rPr>
            </w:pPr>
            <w:r>
              <w:rPr>
                <w:rFonts w:ascii="宋体" w:hAnsi="宋体" w:hint="eastAsia"/>
                <w:color w:val="000000"/>
                <w:sz w:val="18"/>
                <w:szCs w:val="18"/>
              </w:rPr>
              <w:t>5.1</w:t>
            </w:r>
          </w:p>
        </w:tc>
        <w:tc>
          <w:tcPr>
            <w:tcW w:w="1686" w:type="dxa"/>
            <w:tcBorders>
              <w:righ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6.1</w:t>
            </w:r>
          </w:p>
        </w:tc>
      </w:tr>
      <w:tr>
        <w:trPr>
          <w:trHeight w:val="340"/>
          <w:jc w:val="center"/>
        </w:trPr>
        <w:tc>
          <w:tcPr>
            <w:tcW w:w="1583" w:type="dxa"/>
            <w:tcBorders>
              <w:lef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外形尺寸</w:t>
            </w:r>
            <w:r>
              <w:rPr>
                <w:rFonts w:ascii="黑体" w:hAnsi="黑体" w:hint="eastAsia"/>
                <w:color w:val="000000"/>
                <w:sz w:val="18"/>
                <w:szCs w:val="18"/>
              </w:rPr>
              <w:t>及其</w:t>
            </w:r>
            <w:r>
              <w:rPr>
                <w:rFonts w:ascii="宋体" w:hAnsi="宋体" w:hint="eastAsia"/>
                <w:color w:val="000000"/>
                <w:sz w:val="18"/>
                <w:szCs w:val="18"/>
              </w:rPr>
              <w:t>允许偏差</w:t>
            </w:r>
          </w:p>
        </w:tc>
        <w:tc>
          <w:tcPr>
            <w:tcW w:w="3855" w:type="dxa"/>
            <w:vAlign w:val="center"/>
          </w:tcPr>
          <w:p>
            <w:pPr>
              <w:rPr>
                <w:rFonts w:ascii="宋体" w:hAnsi="宋体"/>
                <w:color w:val="000000"/>
                <w:sz w:val="18"/>
                <w:szCs w:val="18"/>
              </w:rPr>
            </w:pPr>
            <w:r>
              <w:rPr>
                <w:rFonts w:ascii="宋体" w:hAnsi="宋体" w:hint="eastAsia"/>
                <w:color w:val="000000"/>
                <w:sz w:val="18"/>
                <w:szCs w:val="18"/>
              </w:rPr>
              <w:t>按照GB/T 2828.1规定的取样方案要，选择正常检验一次抽样方案，检测水平</w:t>
            </w:r>
            <w:r>
              <w:rPr>
                <w:rFonts w:ascii="宋体" w:hAnsi="宋体" w:cs="宋体" w:hint="eastAsia"/>
                <w:color w:val="000000"/>
                <w:sz w:val="18"/>
                <w:szCs w:val="18"/>
              </w:rPr>
              <w:t>Ⅱ</w:t>
            </w:r>
            <w:r>
              <w:rPr>
                <w:rFonts w:ascii="宋体" w:hAnsi="宋体" w:hint="eastAsia"/>
                <w:color w:val="000000"/>
                <w:sz w:val="18"/>
                <w:szCs w:val="18"/>
              </w:rPr>
              <w:t>，接收质量限AQL=2.5，或供需双方协商</w:t>
            </w:r>
          </w:p>
        </w:tc>
        <w:tc>
          <w:tcPr>
            <w:tcW w:w="1398" w:type="dxa"/>
            <w:vAlign w:val="center"/>
          </w:tcPr>
          <w:p>
            <w:pPr>
              <w:jc w:val="center"/>
              <w:rPr>
                <w:rFonts w:ascii="宋体" w:hAnsi="宋体"/>
                <w:color w:val="000000"/>
                <w:sz w:val="18"/>
                <w:szCs w:val="18"/>
              </w:rPr>
            </w:pPr>
            <w:r>
              <w:rPr>
                <w:rFonts w:ascii="宋体" w:hAnsi="宋体" w:hint="eastAsia"/>
                <w:color w:val="000000"/>
                <w:sz w:val="18"/>
                <w:szCs w:val="18"/>
              </w:rPr>
              <w:t>5.2</w:t>
            </w:r>
          </w:p>
        </w:tc>
        <w:tc>
          <w:tcPr>
            <w:tcW w:w="1686" w:type="dxa"/>
            <w:tcBorders>
              <w:righ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6.2</w:t>
            </w:r>
          </w:p>
        </w:tc>
      </w:tr>
      <w:tr>
        <w:trPr>
          <w:trHeight w:val="340"/>
          <w:jc w:val="center"/>
        </w:trPr>
        <w:tc>
          <w:tcPr>
            <w:tcW w:w="1583" w:type="dxa"/>
            <w:tcBorders>
              <w:lef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力学性能</w:t>
            </w:r>
          </w:p>
        </w:tc>
        <w:tc>
          <w:tcPr>
            <w:tcW w:w="3855" w:type="dxa"/>
            <w:vAlign w:val="center"/>
          </w:tcPr>
          <w:p>
            <w:pPr>
              <w:rPr>
                <w:rFonts w:ascii="宋体" w:hAnsi="宋体"/>
                <w:color w:val="000000"/>
                <w:sz w:val="18"/>
                <w:szCs w:val="18"/>
              </w:rPr>
            </w:pPr>
            <w:r>
              <w:rPr>
                <w:rFonts w:ascii="宋体" w:hAnsi="宋体" w:hint="eastAsia"/>
                <w:color w:val="000000"/>
                <w:sz w:val="18"/>
                <w:szCs w:val="18"/>
              </w:rPr>
              <w:t>每批任取2根，每根取1个试样</w:t>
            </w:r>
          </w:p>
        </w:tc>
        <w:tc>
          <w:tcPr>
            <w:tcW w:w="1398" w:type="dxa"/>
            <w:vAlign w:val="center"/>
          </w:tcPr>
          <w:p>
            <w:pPr>
              <w:jc w:val="center"/>
              <w:rPr>
                <w:rFonts w:ascii="宋体" w:hAnsi="宋体"/>
                <w:color w:val="000000"/>
                <w:sz w:val="18"/>
                <w:szCs w:val="18"/>
              </w:rPr>
            </w:pPr>
            <w:r>
              <w:rPr>
                <w:rFonts w:ascii="宋体" w:hAnsi="宋体" w:hint="eastAsia"/>
                <w:color w:val="000000"/>
                <w:sz w:val="18"/>
                <w:szCs w:val="18"/>
              </w:rPr>
              <w:t>5.3</w:t>
            </w:r>
          </w:p>
        </w:tc>
        <w:tc>
          <w:tcPr>
            <w:tcW w:w="1686" w:type="dxa"/>
            <w:tcBorders>
              <w:right w:val="single" w:sz="8" w:space="0" w:color="auto"/>
            </w:tcBorders>
            <w:vAlign w:val="center"/>
          </w:tcPr>
          <w:p>
            <w:pPr>
              <w:adjustRightInd w:val="0"/>
              <w:jc w:val="center"/>
              <w:textAlignment w:val="baseline"/>
              <w:rPr>
                <w:rFonts w:ascii="宋体" w:hAnsi="宋体"/>
                <w:color w:val="000000"/>
                <w:kern w:val="0"/>
                <w:sz w:val="18"/>
                <w:szCs w:val="18"/>
              </w:rPr>
            </w:pPr>
            <w:r>
              <w:rPr>
                <w:rFonts w:ascii="宋体" w:hAnsi="宋体" w:hint="eastAsia"/>
                <w:color w:val="000000"/>
                <w:kern w:val="0"/>
                <w:sz w:val="18"/>
                <w:szCs w:val="18"/>
              </w:rPr>
              <w:t>6.3</w:t>
            </w:r>
          </w:p>
        </w:tc>
      </w:tr>
      <w:tr>
        <w:trPr>
          <w:trHeight w:val="340"/>
          <w:jc w:val="center"/>
        </w:trPr>
        <w:tc>
          <w:tcPr>
            <w:tcW w:w="1583" w:type="dxa"/>
            <w:tcBorders>
              <w:left w:val="single" w:sz="8" w:space="0" w:color="auto"/>
            </w:tcBorders>
          </w:tcPr>
          <w:p>
            <w:pPr>
              <w:jc w:val="center"/>
              <w:rPr>
                <w:rFonts w:ascii="宋体" w:hAnsi="宋体"/>
                <w:color w:val="000000"/>
                <w:sz w:val="18"/>
                <w:szCs w:val="18"/>
              </w:rPr>
            </w:pPr>
            <w:r>
              <w:rPr>
                <w:rFonts w:ascii="宋体" w:hAnsi="宋体" w:hint="eastAsia"/>
                <w:color w:val="000000"/>
                <w:sz w:val="18"/>
                <w:szCs w:val="18"/>
              </w:rPr>
              <w:t>电性能</w:t>
            </w:r>
          </w:p>
        </w:tc>
        <w:tc>
          <w:tcPr>
            <w:tcW w:w="3855" w:type="dxa"/>
          </w:tcPr>
          <w:p>
            <w:r>
              <w:rPr>
                <w:rFonts w:ascii="宋体" w:hAnsi="宋体" w:hint="eastAsia"/>
                <w:color w:val="000000"/>
                <w:sz w:val="18"/>
                <w:szCs w:val="18"/>
              </w:rPr>
              <w:t>每批任取2根，每根取1个试样</w:t>
            </w:r>
          </w:p>
        </w:tc>
        <w:tc>
          <w:tcPr>
            <w:tcW w:w="1398" w:type="dxa"/>
            <w:vAlign w:val="center"/>
          </w:tcPr>
          <w:p>
            <w:pPr>
              <w:jc w:val="center"/>
              <w:rPr>
                <w:rFonts w:ascii="宋体" w:hAnsi="宋体"/>
                <w:color w:val="000000"/>
                <w:sz w:val="18"/>
                <w:szCs w:val="18"/>
              </w:rPr>
            </w:pPr>
            <w:r>
              <w:rPr>
                <w:rFonts w:ascii="宋体" w:hAnsi="宋体" w:hint="eastAsia"/>
                <w:color w:val="000000"/>
                <w:sz w:val="18"/>
                <w:szCs w:val="18"/>
              </w:rPr>
              <w:t>5.4</w:t>
            </w:r>
          </w:p>
        </w:tc>
        <w:tc>
          <w:tcPr>
            <w:tcW w:w="1686" w:type="dxa"/>
            <w:tcBorders>
              <w:right w:val="single" w:sz="8" w:space="0" w:color="auto"/>
            </w:tcBorders>
            <w:vAlign w:val="center"/>
          </w:tcPr>
          <w:p>
            <w:pPr>
              <w:adjustRightInd w:val="0"/>
              <w:jc w:val="center"/>
              <w:textAlignment w:val="baseline"/>
              <w:rPr>
                <w:rFonts w:ascii="宋体" w:hAnsi="宋体"/>
                <w:color w:val="000000"/>
                <w:kern w:val="0"/>
                <w:sz w:val="18"/>
                <w:szCs w:val="18"/>
              </w:rPr>
            </w:pPr>
            <w:r>
              <w:rPr>
                <w:rFonts w:ascii="宋体" w:hAnsi="宋体" w:hint="eastAsia"/>
                <w:color w:val="000000"/>
                <w:kern w:val="0"/>
                <w:sz w:val="18"/>
                <w:szCs w:val="18"/>
              </w:rPr>
              <w:t>6.4</w:t>
            </w:r>
          </w:p>
        </w:tc>
      </w:tr>
      <w:tr>
        <w:trPr>
          <w:trHeight w:val="340"/>
          <w:jc w:val="center"/>
        </w:trPr>
        <w:tc>
          <w:tcPr>
            <w:tcW w:w="1583" w:type="dxa"/>
            <w:tcBorders>
              <w:lef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内部质量</w:t>
            </w:r>
          </w:p>
        </w:tc>
        <w:tc>
          <w:tcPr>
            <w:tcW w:w="3855" w:type="dxa"/>
            <w:vAlign w:val="center"/>
          </w:tcPr>
          <w:p>
            <w:pPr>
              <w:rPr>
                <w:rFonts w:ascii="宋体" w:hAnsi="宋体"/>
                <w:color w:val="000000"/>
                <w:sz w:val="18"/>
                <w:szCs w:val="18"/>
              </w:rPr>
            </w:pPr>
            <w:r>
              <w:rPr>
                <w:rFonts w:ascii="宋体" w:hAnsi="宋体" w:hint="eastAsia"/>
                <w:color w:val="000000"/>
                <w:sz w:val="18"/>
                <w:szCs w:val="18"/>
              </w:rPr>
              <w:t>每批任取2根，每根取1个试样</w:t>
            </w:r>
          </w:p>
        </w:tc>
        <w:tc>
          <w:tcPr>
            <w:tcW w:w="1398" w:type="dxa"/>
            <w:vAlign w:val="center"/>
          </w:tcPr>
          <w:p>
            <w:pPr>
              <w:jc w:val="center"/>
              <w:rPr>
                <w:rFonts w:ascii="宋体" w:hAnsi="宋体"/>
                <w:color w:val="000000"/>
                <w:sz w:val="18"/>
                <w:szCs w:val="18"/>
              </w:rPr>
            </w:pPr>
            <w:r>
              <w:rPr>
                <w:rFonts w:ascii="宋体" w:hAnsi="宋体" w:hint="eastAsia"/>
                <w:color w:val="000000"/>
                <w:sz w:val="18"/>
                <w:szCs w:val="18"/>
              </w:rPr>
              <w:t>5.5</w:t>
            </w:r>
          </w:p>
        </w:tc>
        <w:tc>
          <w:tcPr>
            <w:tcW w:w="1686" w:type="dxa"/>
            <w:tcBorders>
              <w:right w:val="single" w:sz="8" w:space="0" w:color="auto"/>
            </w:tcBorders>
            <w:vAlign w:val="center"/>
          </w:tcPr>
          <w:p>
            <w:pPr>
              <w:adjustRightInd w:val="0"/>
              <w:jc w:val="center"/>
              <w:textAlignment w:val="baseline"/>
              <w:rPr>
                <w:rFonts w:ascii="宋体" w:hAnsi="宋体"/>
                <w:color w:val="000000"/>
                <w:kern w:val="0"/>
                <w:sz w:val="18"/>
                <w:szCs w:val="18"/>
              </w:rPr>
            </w:pPr>
            <w:r>
              <w:rPr>
                <w:rFonts w:ascii="宋体" w:hAnsi="宋体" w:hint="eastAsia"/>
                <w:color w:val="000000"/>
                <w:kern w:val="0"/>
                <w:sz w:val="18"/>
                <w:szCs w:val="18"/>
              </w:rPr>
              <w:t>6.5</w:t>
            </w:r>
          </w:p>
        </w:tc>
      </w:tr>
      <w:tr>
        <w:trPr>
          <w:trHeight w:val="805"/>
          <w:jc w:val="center"/>
        </w:trPr>
        <w:tc>
          <w:tcPr>
            <w:tcW w:w="1583" w:type="dxa"/>
            <w:tcBorders>
              <w:lef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表面质量</w:t>
            </w:r>
          </w:p>
        </w:tc>
        <w:tc>
          <w:tcPr>
            <w:tcW w:w="3855" w:type="dxa"/>
            <w:vAlign w:val="center"/>
          </w:tcPr>
          <w:p>
            <w:pPr>
              <w:rPr>
                <w:rFonts w:ascii="宋体" w:hAnsi="宋体"/>
                <w:color w:val="000000"/>
                <w:sz w:val="18"/>
                <w:szCs w:val="18"/>
              </w:rPr>
            </w:pPr>
            <w:r>
              <w:rPr>
                <w:rFonts w:ascii="宋体" w:hAnsi="宋体" w:hint="eastAsia"/>
                <w:sz w:val="18"/>
                <w:szCs w:val="18"/>
              </w:rPr>
              <w:t>按照GB/T 2828.1规定的取样方案要，选择正常检验一次抽样方案，检测水平</w:t>
            </w:r>
            <w:r>
              <w:rPr>
                <w:rFonts w:ascii="宋体" w:hAnsi="宋体" w:cs="宋体" w:hint="eastAsia"/>
                <w:sz w:val="18"/>
                <w:szCs w:val="18"/>
              </w:rPr>
              <w:t>Ⅱ</w:t>
            </w:r>
            <w:r>
              <w:rPr>
                <w:rFonts w:ascii="宋体" w:hAnsi="宋体" w:hint="eastAsia"/>
                <w:sz w:val="18"/>
                <w:szCs w:val="18"/>
              </w:rPr>
              <w:t>，接收质量限AQL=2.5，或供需双方协商</w:t>
            </w:r>
          </w:p>
        </w:tc>
        <w:tc>
          <w:tcPr>
            <w:tcW w:w="1398" w:type="dxa"/>
            <w:vAlign w:val="center"/>
          </w:tcPr>
          <w:p>
            <w:pPr>
              <w:jc w:val="center"/>
              <w:rPr>
                <w:rFonts w:ascii="宋体" w:hAnsi="宋体"/>
                <w:color w:val="000000"/>
                <w:sz w:val="18"/>
                <w:szCs w:val="18"/>
              </w:rPr>
            </w:pPr>
            <w:r>
              <w:rPr>
                <w:rFonts w:ascii="宋体" w:hAnsi="宋体" w:hint="eastAsia"/>
                <w:color w:val="000000"/>
                <w:sz w:val="18"/>
                <w:szCs w:val="18"/>
              </w:rPr>
              <w:t>5.6</w:t>
            </w:r>
          </w:p>
        </w:tc>
        <w:tc>
          <w:tcPr>
            <w:tcW w:w="1686" w:type="dxa"/>
            <w:tcBorders>
              <w:right w:val="single" w:sz="8" w:space="0" w:color="auto"/>
            </w:tcBorders>
            <w:vAlign w:val="center"/>
          </w:tcPr>
          <w:p>
            <w:pPr>
              <w:jc w:val="center"/>
              <w:rPr>
                <w:rFonts w:ascii="宋体" w:hAnsi="宋体"/>
                <w:color w:val="000000"/>
                <w:sz w:val="18"/>
                <w:szCs w:val="18"/>
              </w:rPr>
            </w:pPr>
            <w:r>
              <w:rPr>
                <w:rFonts w:ascii="宋体" w:hAnsi="宋体" w:hint="eastAsia"/>
                <w:color w:val="000000"/>
                <w:sz w:val="18"/>
                <w:szCs w:val="18"/>
              </w:rPr>
              <w:t>6.6</w:t>
            </w:r>
          </w:p>
        </w:tc>
      </w:tr>
    </w:tbl>
    <w:p>
      <w:pPr>
        <w:spacing w:line="340" w:lineRule="exact"/>
        <w:rPr>
          <w:rFonts w:asciiTheme="minorEastAsia" w:eastAsiaTheme="minorEastAsia" w:hAnsiTheme="minorEastAsia"/>
          <w:color w:val="000000" w:themeColor="text1"/>
          <w:szCs w:val="21"/>
        </w:rPr>
      </w:pPr>
    </w:p>
    <w:p>
      <w:pPr>
        <w:pStyle w:val="aa"/>
        <w:spacing w:beforeLines="50" w:before="156" w:afterLines="50" w:after="156"/>
        <w:rPr>
          <w:rFonts w:ascii="黑体"/>
          <w:color w:val="000000" w:themeColor="text1"/>
        </w:rPr>
      </w:pPr>
      <w:r>
        <w:rPr>
          <w:rFonts w:ascii="黑体" w:hint="eastAsia"/>
          <w:color w:val="000000" w:themeColor="text1"/>
        </w:rPr>
        <w:t>检验结果判定</w:t>
      </w:r>
    </w:p>
    <w:p>
      <w:pPr>
        <w:pStyle w:val="ab"/>
        <w:autoSpaceDE w:val="0"/>
        <w:autoSpaceDN w:val="0"/>
        <w:adjustRightInd w:val="0"/>
        <w:spacing w:line="360" w:lineRule="exact"/>
        <w:jc w:val="both"/>
        <w:rPr>
          <w:rFonts w:ascii="宋体" w:eastAsia="宋体" w:hAnsi="宋体"/>
          <w:color w:val="000000"/>
        </w:rPr>
      </w:pPr>
      <w:r>
        <w:rPr>
          <w:rFonts w:ascii="宋体" w:eastAsia="宋体" w:hAnsi="宋体" w:hint="eastAsia"/>
          <w:color w:val="000000"/>
        </w:rPr>
        <w:t>检验结果的数值按</w:t>
      </w:r>
      <w:r>
        <w:rPr>
          <w:rFonts w:ascii="宋体" w:eastAsia="宋体" w:hAnsi="宋体"/>
          <w:color w:val="000000"/>
        </w:rPr>
        <w:t>GB/T 8170的规定进行修约，并采用修约值比较法进行判定。</w:t>
      </w:r>
    </w:p>
    <w:p>
      <w:pPr>
        <w:pStyle w:val="ab"/>
        <w:spacing w:line="360" w:lineRule="exact"/>
        <w:jc w:val="both"/>
        <w:rPr>
          <w:rFonts w:ascii="宋体" w:eastAsia="宋体" w:hAnsi="宋体"/>
          <w:color w:val="000000"/>
        </w:rPr>
      </w:pPr>
      <w:r>
        <w:rPr>
          <w:rFonts w:ascii="宋体" w:eastAsia="宋体" w:hAnsi="宋体" w:hint="eastAsia"/>
          <w:color w:val="000000"/>
        </w:rPr>
        <w:t>化学成分不合格时，判该批型材不合格。</w:t>
      </w:r>
    </w:p>
    <w:p>
      <w:pPr>
        <w:pStyle w:val="ab"/>
        <w:spacing w:line="360" w:lineRule="exact"/>
        <w:jc w:val="both"/>
        <w:rPr>
          <w:rFonts w:ascii="宋体" w:eastAsia="宋体" w:hAnsi="宋体"/>
          <w:color w:val="000000"/>
        </w:rPr>
      </w:pPr>
      <w:r>
        <w:rPr>
          <w:rFonts w:ascii="宋体" w:eastAsia="宋体" w:hAnsi="宋体" w:hint="eastAsia"/>
          <w:color w:val="000000"/>
        </w:rPr>
        <w:t>棒线坯的外形尺寸及其允许偏差和表面质量不合格时，按根判不合格。每批中不合格件数超出接收质量限时判整批不合格，或由供方逐根检验，逐根判定。</w:t>
      </w:r>
    </w:p>
    <w:p>
      <w:pPr>
        <w:pStyle w:val="ab"/>
        <w:spacing w:line="360" w:lineRule="exact"/>
        <w:rPr>
          <w:rFonts w:ascii="宋体" w:eastAsia="宋体" w:hAnsi="宋体"/>
          <w:color w:val="000000"/>
        </w:rPr>
      </w:pPr>
      <w:r>
        <w:rPr>
          <w:rFonts w:ascii="宋体" w:eastAsia="宋体" w:hAnsi="宋体" w:hint="eastAsia"/>
          <w:color w:val="000000"/>
        </w:rPr>
        <w:t>当力学性能、电性能的试验结果中有试样不合格时，应从该批型材中另取双倍数量的试样（其中一个试样必须取自原检验不合格的那根）进行重复试验，重复试验结果全部合格，则判整批棒线材合格。若重复试验结果仍有试样不合格，则判该批棒线材不合格。</w:t>
      </w:r>
    </w:p>
    <w:p>
      <w:pPr>
        <w:pStyle w:val="a9"/>
        <w:spacing w:beforeLines="100" w:before="312" w:afterLines="100" w:after="312"/>
        <w:ind w:left="0"/>
        <w:rPr>
          <w:rFonts w:ascii="宋体" w:eastAsia="宋体" w:hAnsi="宋体"/>
          <w:color w:val="000000"/>
        </w:rPr>
      </w:pPr>
      <w:r>
        <w:rPr>
          <w:rFonts w:hint="eastAsia"/>
        </w:rPr>
        <w:t>标志</w:t>
      </w:r>
      <w:r>
        <w:rPr>
          <w:rFonts w:hint="eastAsia"/>
          <w:color w:val="000000" w:themeColor="text1"/>
        </w:rPr>
        <w:t>、包装、运输和贮存及随行文件</w:t>
      </w:r>
    </w:p>
    <w:p>
      <w:pPr>
        <w:pStyle w:val="aa"/>
        <w:spacing w:beforeLines="50" w:before="156" w:afterLines="50" w:after="156"/>
        <w:rPr>
          <w:color w:val="000000" w:themeColor="text1"/>
        </w:rPr>
      </w:pPr>
      <w:r>
        <w:rPr>
          <w:rFonts w:hint="eastAsia"/>
          <w:color w:val="000000" w:themeColor="text1"/>
        </w:rPr>
        <w:t>标志、包装、运输、贮存</w:t>
      </w:r>
    </w:p>
    <w:p>
      <w:pPr>
        <w:pStyle w:val="affe"/>
        <w:spacing w:line="400" w:lineRule="exact"/>
        <w:ind w:firstLineChars="100" w:firstLine="210"/>
      </w:pPr>
      <w:r>
        <w:rPr>
          <w:rFonts w:hint="eastAsia"/>
        </w:rPr>
        <w:t>产品的标志、包装、运输和贮存按GB/T 8888 的规定进行。运输过程中应保持干燥、清洁、无污染物，不应同腐蚀性化学物品及潮湿性材料同一车厢运输。</w:t>
      </w:r>
    </w:p>
    <w:p>
      <w:pPr>
        <w:pStyle w:val="aa"/>
        <w:spacing w:beforeLines="50" w:before="156" w:afterLines="50" w:after="156"/>
        <w:rPr>
          <w:color w:val="000000" w:themeColor="text1"/>
        </w:rPr>
      </w:pPr>
      <w:r>
        <w:rPr>
          <w:rFonts w:hint="eastAsia"/>
          <w:color w:val="000000" w:themeColor="text1"/>
        </w:rPr>
        <w:t>随行文件</w:t>
      </w:r>
    </w:p>
    <w:p>
      <w:pPr>
        <w:widowControl/>
        <w:autoSpaceDE w:val="0"/>
        <w:autoSpaceDN w:val="0"/>
        <w:spacing w:line="360" w:lineRule="exact"/>
        <w:ind w:firstLineChars="200" w:firstLine="420"/>
        <w:rPr>
          <w:rFonts w:ascii="宋体"/>
          <w:color w:val="000000"/>
          <w:kern w:val="0"/>
          <w:szCs w:val="20"/>
        </w:rPr>
      </w:pPr>
      <w:r>
        <w:rPr>
          <w:rFonts w:ascii="宋体" w:hint="eastAsia"/>
          <w:color w:val="000000"/>
          <w:kern w:val="0"/>
          <w:szCs w:val="20"/>
        </w:rPr>
        <w:lastRenderedPageBreak/>
        <w:t>每批产品应附有随行文件，其中除应包括供方信息、产品信息、本文件编号、出厂日期或包装日期外，还宜包括：</w:t>
      </w:r>
    </w:p>
    <w:p>
      <w:pPr>
        <w:widowControl/>
        <w:autoSpaceDE w:val="0"/>
        <w:autoSpaceDN w:val="0"/>
        <w:spacing w:line="360" w:lineRule="exact"/>
        <w:ind w:firstLineChars="200" w:firstLine="420"/>
        <w:rPr>
          <w:rFonts w:ascii="宋体" w:hAnsi="宋体"/>
          <w:color w:val="000000"/>
          <w:kern w:val="0"/>
          <w:szCs w:val="46"/>
        </w:rPr>
      </w:pPr>
      <w:r>
        <w:rPr>
          <w:rFonts w:ascii="宋体"/>
          <w:color w:val="000000"/>
          <w:kern w:val="0"/>
          <w:szCs w:val="20"/>
        </w:rPr>
        <w:t>a</w:t>
      </w:r>
      <w:r>
        <w:rPr>
          <w:rFonts w:ascii="宋体" w:hAnsi="宋体" w:hint="eastAsia"/>
          <w:color w:val="000000"/>
          <w:kern w:val="0"/>
          <w:szCs w:val="46"/>
        </w:rPr>
        <w:t>）产品质量保证书，内容如下：</w:t>
      </w:r>
    </w:p>
    <w:p>
      <w:pPr>
        <w:widowControl/>
        <w:numPr>
          <w:ilvl w:val="0"/>
          <w:numId w:val="13"/>
        </w:numPr>
        <w:autoSpaceDE w:val="0"/>
        <w:autoSpaceDN w:val="0"/>
        <w:spacing w:line="360" w:lineRule="exact"/>
        <w:ind w:left="0" w:firstLineChars="400" w:firstLine="840"/>
        <w:rPr>
          <w:rFonts w:ascii="宋体" w:hAnsi="宋体"/>
          <w:color w:val="000000"/>
          <w:kern w:val="0"/>
          <w:szCs w:val="46"/>
        </w:rPr>
      </w:pPr>
      <w:r>
        <w:rPr>
          <w:rFonts w:ascii="宋体" w:hAnsi="宋体" w:hint="eastAsia"/>
          <w:color w:val="000000"/>
          <w:kern w:val="0"/>
          <w:szCs w:val="46"/>
        </w:rPr>
        <w:t>产品的主要性能及技术参数</w:t>
      </w:r>
    </w:p>
    <w:p>
      <w:pPr>
        <w:widowControl/>
        <w:numPr>
          <w:ilvl w:val="0"/>
          <w:numId w:val="13"/>
        </w:numPr>
        <w:autoSpaceDE w:val="0"/>
        <w:autoSpaceDN w:val="0"/>
        <w:spacing w:line="360" w:lineRule="exact"/>
        <w:ind w:left="0" w:firstLineChars="400" w:firstLine="840"/>
        <w:rPr>
          <w:rFonts w:ascii="宋体" w:hAnsi="宋体"/>
          <w:color w:val="000000"/>
          <w:kern w:val="0"/>
          <w:szCs w:val="46"/>
        </w:rPr>
      </w:pPr>
      <w:r>
        <w:rPr>
          <w:rFonts w:ascii="宋体" w:hAnsi="宋体" w:hint="eastAsia"/>
          <w:color w:val="000000"/>
          <w:kern w:val="0"/>
          <w:szCs w:val="46"/>
        </w:rPr>
        <w:t>产品特点（包括制造工艺及原材料的特点）；</w:t>
      </w:r>
    </w:p>
    <w:p>
      <w:pPr>
        <w:widowControl/>
        <w:numPr>
          <w:ilvl w:val="0"/>
          <w:numId w:val="13"/>
        </w:numPr>
        <w:autoSpaceDE w:val="0"/>
        <w:autoSpaceDN w:val="0"/>
        <w:spacing w:line="360" w:lineRule="exact"/>
        <w:ind w:left="0" w:firstLineChars="400" w:firstLine="840"/>
        <w:rPr>
          <w:rFonts w:ascii="宋体" w:hAnsi="宋体"/>
          <w:color w:val="000000"/>
          <w:kern w:val="0"/>
          <w:szCs w:val="46"/>
        </w:rPr>
      </w:pPr>
      <w:r>
        <w:rPr>
          <w:rFonts w:ascii="宋体" w:hAnsi="宋体" w:hint="eastAsia"/>
          <w:color w:val="000000"/>
          <w:kern w:val="0"/>
          <w:szCs w:val="46"/>
        </w:rPr>
        <w:t>对产品质量所负的责任；</w:t>
      </w:r>
    </w:p>
    <w:p>
      <w:pPr>
        <w:widowControl/>
        <w:numPr>
          <w:ilvl w:val="0"/>
          <w:numId w:val="13"/>
        </w:numPr>
        <w:autoSpaceDE w:val="0"/>
        <w:autoSpaceDN w:val="0"/>
        <w:spacing w:line="360" w:lineRule="exact"/>
        <w:ind w:left="0" w:firstLineChars="400" w:firstLine="840"/>
        <w:rPr>
          <w:rFonts w:ascii="宋体" w:hAnsi="宋体"/>
          <w:color w:val="000000"/>
          <w:kern w:val="0"/>
          <w:szCs w:val="46"/>
        </w:rPr>
      </w:pPr>
      <w:r>
        <w:rPr>
          <w:rFonts w:ascii="宋体" w:hAnsi="宋体" w:hint="eastAsia"/>
          <w:color w:val="000000"/>
          <w:kern w:val="0"/>
          <w:szCs w:val="46"/>
        </w:rPr>
        <w:t>对产品获得的质量认证及带供方技术监督部门检印的各项分析检验结果。</w:t>
      </w:r>
    </w:p>
    <w:p>
      <w:pPr>
        <w:widowControl/>
        <w:autoSpaceDE w:val="0"/>
        <w:autoSpaceDN w:val="0"/>
        <w:spacing w:line="360" w:lineRule="exact"/>
        <w:ind w:firstLineChars="200" w:firstLine="420"/>
        <w:rPr>
          <w:rFonts w:ascii="宋体" w:hAnsi="宋体"/>
          <w:color w:val="000000"/>
          <w:kern w:val="0"/>
          <w:szCs w:val="46"/>
        </w:rPr>
      </w:pPr>
      <w:r>
        <w:rPr>
          <w:rFonts w:ascii="宋体" w:hAnsi="宋体" w:hint="eastAsia"/>
          <w:color w:val="000000"/>
          <w:kern w:val="0"/>
          <w:szCs w:val="46"/>
        </w:rPr>
        <w:t>b）产品合格证，内容如下：</w:t>
      </w:r>
    </w:p>
    <w:p>
      <w:pPr>
        <w:widowControl/>
        <w:numPr>
          <w:ilvl w:val="0"/>
          <w:numId w:val="13"/>
        </w:numPr>
        <w:autoSpaceDE w:val="0"/>
        <w:autoSpaceDN w:val="0"/>
        <w:spacing w:line="360" w:lineRule="exact"/>
        <w:ind w:left="0" w:firstLineChars="400" w:firstLine="840"/>
        <w:rPr>
          <w:rFonts w:ascii="宋体" w:hAnsi="宋体"/>
          <w:color w:val="000000"/>
          <w:kern w:val="0"/>
          <w:szCs w:val="46"/>
        </w:rPr>
      </w:pPr>
      <w:r>
        <w:rPr>
          <w:rFonts w:ascii="宋体" w:hAnsi="宋体" w:hint="eastAsia"/>
          <w:color w:val="000000"/>
          <w:kern w:val="0"/>
          <w:szCs w:val="46"/>
        </w:rPr>
        <w:t>检验项目及其结果或检验结论；</w:t>
      </w:r>
    </w:p>
    <w:p>
      <w:pPr>
        <w:widowControl/>
        <w:numPr>
          <w:ilvl w:val="0"/>
          <w:numId w:val="13"/>
        </w:numPr>
        <w:autoSpaceDE w:val="0"/>
        <w:autoSpaceDN w:val="0"/>
        <w:spacing w:line="360" w:lineRule="exact"/>
        <w:ind w:left="0" w:firstLineChars="400" w:firstLine="840"/>
        <w:rPr>
          <w:rFonts w:ascii="宋体" w:hAnsi="宋体"/>
          <w:color w:val="000000"/>
          <w:kern w:val="0"/>
          <w:szCs w:val="46"/>
        </w:rPr>
      </w:pPr>
      <w:r>
        <w:rPr>
          <w:rFonts w:ascii="宋体" w:hAnsi="宋体" w:hint="eastAsia"/>
          <w:color w:val="000000"/>
          <w:kern w:val="0"/>
          <w:szCs w:val="46"/>
        </w:rPr>
        <w:t>批量或批号；</w:t>
      </w:r>
    </w:p>
    <w:p>
      <w:pPr>
        <w:widowControl/>
        <w:numPr>
          <w:ilvl w:val="0"/>
          <w:numId w:val="13"/>
        </w:numPr>
        <w:autoSpaceDE w:val="0"/>
        <w:autoSpaceDN w:val="0"/>
        <w:spacing w:line="360" w:lineRule="exact"/>
        <w:ind w:left="0" w:firstLineChars="400" w:firstLine="840"/>
        <w:rPr>
          <w:rFonts w:ascii="宋体" w:hAnsi="宋体"/>
          <w:color w:val="000000"/>
          <w:kern w:val="0"/>
          <w:szCs w:val="46"/>
        </w:rPr>
      </w:pPr>
      <w:r>
        <w:rPr>
          <w:rFonts w:ascii="宋体" w:hAnsi="宋体" w:hint="eastAsia"/>
          <w:color w:val="000000"/>
          <w:kern w:val="0"/>
          <w:szCs w:val="46"/>
        </w:rPr>
        <w:t>检验日期；</w:t>
      </w:r>
    </w:p>
    <w:p>
      <w:pPr>
        <w:widowControl/>
        <w:numPr>
          <w:ilvl w:val="255"/>
          <w:numId w:val="0"/>
        </w:numPr>
        <w:autoSpaceDE w:val="0"/>
        <w:autoSpaceDN w:val="0"/>
        <w:spacing w:line="360" w:lineRule="exact"/>
        <w:rPr>
          <w:rFonts w:ascii="宋体" w:hAnsi="宋体"/>
          <w:color w:val="000000"/>
          <w:kern w:val="0"/>
          <w:szCs w:val="46"/>
        </w:rPr>
      </w:pPr>
      <w:r>
        <w:rPr>
          <w:rFonts w:ascii="宋体" w:hAnsi="宋体" w:hint="eastAsia"/>
          <w:color w:val="000000"/>
          <w:kern w:val="0"/>
          <w:szCs w:val="46"/>
        </w:rPr>
        <w:t>9 订货单内容</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hint="eastAsia"/>
          <w:color w:val="000000"/>
          <w:kern w:val="0"/>
          <w:szCs w:val="21"/>
        </w:rPr>
        <w:t>本文件所列产品的订货单应包括下列内容：</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color w:val="000000"/>
          <w:kern w:val="0"/>
          <w:szCs w:val="21"/>
        </w:rPr>
        <w:t xml:space="preserve">a)  </w:t>
      </w:r>
      <w:r>
        <w:rPr>
          <w:rFonts w:ascii="宋体" w:hAnsi="宋体" w:hint="eastAsia"/>
          <w:color w:val="000000"/>
          <w:kern w:val="0"/>
          <w:szCs w:val="21"/>
        </w:rPr>
        <w:t>产品名称；</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color w:val="000000"/>
          <w:kern w:val="0"/>
          <w:szCs w:val="21"/>
        </w:rPr>
        <w:t xml:space="preserve">b)  </w:t>
      </w:r>
      <w:r>
        <w:rPr>
          <w:rFonts w:ascii="宋体" w:hAnsi="宋体" w:hint="eastAsia"/>
          <w:color w:val="000000"/>
          <w:kern w:val="0"/>
          <w:szCs w:val="21"/>
        </w:rPr>
        <w:t>牌号；</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color w:val="000000"/>
          <w:kern w:val="0"/>
          <w:szCs w:val="21"/>
        </w:rPr>
        <w:t xml:space="preserve">c)  </w:t>
      </w:r>
      <w:r>
        <w:rPr>
          <w:rFonts w:ascii="宋体" w:hAnsi="宋体" w:hint="eastAsia"/>
          <w:color w:val="000000"/>
          <w:kern w:val="0"/>
          <w:szCs w:val="21"/>
        </w:rPr>
        <w:t>状态；</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color w:val="000000"/>
          <w:kern w:val="0"/>
          <w:szCs w:val="21"/>
        </w:rPr>
        <w:t xml:space="preserve">d)  </w:t>
      </w:r>
      <w:r>
        <w:rPr>
          <w:rFonts w:hint="eastAsia"/>
          <w:color w:val="000000"/>
          <w:kern w:val="0"/>
          <w:szCs w:val="21"/>
        </w:rPr>
        <w:t>规格；</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color w:val="000000"/>
          <w:kern w:val="0"/>
          <w:szCs w:val="21"/>
        </w:rPr>
        <w:t xml:space="preserve">e)  </w:t>
      </w:r>
      <w:r>
        <w:rPr>
          <w:rFonts w:ascii="宋体" w:hAnsi="宋体" w:hint="eastAsia"/>
          <w:color w:val="000000"/>
          <w:kern w:val="0"/>
          <w:szCs w:val="21"/>
        </w:rPr>
        <w:t>重量或根数；</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color w:val="000000"/>
          <w:kern w:val="0"/>
          <w:szCs w:val="21"/>
        </w:rPr>
        <w:t>f)</w:t>
      </w:r>
      <w:r>
        <w:rPr>
          <w:rFonts w:ascii="宋体" w:hAnsi="宋体" w:hint="eastAsia"/>
          <w:color w:val="000000"/>
          <w:kern w:val="0"/>
          <w:szCs w:val="21"/>
        </w:rPr>
        <w:t xml:space="preserve">  拉伸试验和硬度试验</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hint="eastAsia"/>
          <w:color w:val="000000"/>
          <w:kern w:val="0"/>
          <w:szCs w:val="21"/>
        </w:rPr>
        <w:t>g</w:t>
      </w:r>
      <w:r>
        <w:rPr>
          <w:rFonts w:ascii="宋体" w:hAnsi="宋体"/>
          <w:color w:val="000000"/>
          <w:kern w:val="0"/>
          <w:szCs w:val="21"/>
        </w:rPr>
        <w:t xml:space="preserve">) </w:t>
      </w:r>
      <w:r>
        <w:rPr>
          <w:rFonts w:ascii="宋体" w:hAnsi="宋体" w:hint="eastAsia"/>
          <w:color w:val="000000"/>
          <w:kern w:val="0"/>
          <w:szCs w:val="21"/>
        </w:rPr>
        <w:t>电性能；</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hint="eastAsia"/>
          <w:color w:val="000000"/>
        </w:rPr>
        <w:t>h</w:t>
      </w:r>
      <w:r>
        <w:rPr>
          <w:rFonts w:ascii="宋体" w:hAnsi="宋体"/>
          <w:color w:val="000000"/>
        </w:rPr>
        <w:t>)</w:t>
      </w:r>
      <w:r>
        <w:rPr>
          <w:rFonts w:ascii="宋体" w:hAnsi="宋体" w:hint="eastAsia"/>
          <w:color w:val="000000"/>
          <w:kern w:val="0"/>
          <w:szCs w:val="21"/>
        </w:rPr>
        <w:t xml:space="preserve"> 残余应力(有需要时）；</w:t>
      </w:r>
    </w:p>
    <w:p>
      <w:pPr>
        <w:tabs>
          <w:tab w:val="left" w:pos="2400"/>
        </w:tabs>
        <w:adjustRightInd w:val="0"/>
        <w:spacing w:line="360" w:lineRule="exact"/>
        <w:ind w:firstLineChars="200" w:firstLine="420"/>
        <w:rPr>
          <w:rFonts w:ascii="宋体" w:hAnsi="宋体"/>
          <w:color w:val="000000"/>
          <w:kern w:val="0"/>
          <w:szCs w:val="21"/>
        </w:rPr>
      </w:pPr>
      <w:r>
        <w:rPr>
          <w:rFonts w:ascii="宋体" w:hAnsi="宋体" w:hint="eastAsia"/>
          <w:color w:val="000000"/>
          <w:kern w:val="0"/>
          <w:szCs w:val="21"/>
        </w:rPr>
        <w:t>i）本文件编号；</w:t>
      </w:r>
    </w:p>
    <w:p>
      <w:pPr>
        <w:spacing w:line="360" w:lineRule="exact"/>
        <w:ind w:firstLineChars="200" w:firstLine="420"/>
        <w:rPr>
          <w:rFonts w:ascii="宋体" w:hAnsi="宋体"/>
          <w:color w:val="000000"/>
        </w:rPr>
      </w:pPr>
      <w:r>
        <w:rPr>
          <w:rFonts w:ascii="宋体" w:hAnsi="宋体" w:hint="eastAsia"/>
          <w:color w:val="000000"/>
        </w:rPr>
        <w:t>j）其他。</w:t>
      </w:r>
    </w:p>
    <w:p>
      <w:pPr>
        <w:widowControl/>
        <w:numPr>
          <w:ilvl w:val="255"/>
          <w:numId w:val="0"/>
        </w:numPr>
        <w:autoSpaceDE w:val="0"/>
        <w:autoSpaceDN w:val="0"/>
        <w:spacing w:line="360" w:lineRule="exact"/>
        <w:rPr>
          <w:rFonts w:ascii="宋体" w:hAnsi="宋体"/>
          <w:color w:val="000000"/>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textAlignment w:val="baseline"/>
        <w:rPr>
          <w:rFonts w:ascii="黑体" w:eastAsia="黑体" w:hAnsi="黑体" w:hint="eastAsia"/>
          <w:color w:val="000000" w:themeColor="text1"/>
          <w:kern w:val="0"/>
          <w:szCs w:val="46"/>
        </w:rPr>
      </w:pPr>
    </w:p>
    <w:p>
      <w:pPr>
        <w:tabs>
          <w:tab w:val="left" w:pos="987"/>
        </w:tabs>
        <w:adjustRightInd w:val="0"/>
        <w:textAlignment w:val="baseline"/>
        <w:rPr>
          <w:rFonts w:ascii="黑体" w:eastAsia="黑体" w:hAnsi="黑体" w:hint="eastAsia"/>
          <w:color w:val="000000" w:themeColor="text1"/>
          <w:kern w:val="0"/>
          <w:szCs w:val="46"/>
        </w:rPr>
      </w:pPr>
    </w:p>
    <w:p>
      <w:pPr>
        <w:tabs>
          <w:tab w:val="left" w:pos="987"/>
        </w:tabs>
        <w:adjustRightInd w:val="0"/>
        <w:textAlignment w:val="baseline"/>
        <w:rPr>
          <w:rFonts w:ascii="黑体" w:eastAsia="黑体" w:hAnsi="黑体" w:hint="eastAsia"/>
          <w:color w:val="000000" w:themeColor="text1"/>
          <w:kern w:val="0"/>
          <w:szCs w:val="46"/>
        </w:rPr>
      </w:pPr>
    </w:p>
    <w:p>
      <w:pPr>
        <w:tabs>
          <w:tab w:val="left" w:pos="987"/>
        </w:tabs>
        <w:adjustRightInd w:val="0"/>
        <w:textAlignment w:val="baseline"/>
        <w:rPr>
          <w:rFonts w:ascii="黑体" w:eastAsia="黑体" w:hAnsi="黑体" w:hint="eastAsia"/>
          <w:color w:val="000000" w:themeColor="text1"/>
          <w:kern w:val="0"/>
          <w:szCs w:val="46"/>
        </w:rPr>
      </w:pPr>
    </w:p>
    <w:p>
      <w:pPr>
        <w:tabs>
          <w:tab w:val="left" w:pos="987"/>
        </w:tabs>
        <w:adjustRightInd w:val="0"/>
        <w:textAlignment w:val="baseline"/>
        <w:rPr>
          <w:rFonts w:ascii="黑体" w:eastAsia="黑体" w:hAnsi="黑体" w:hint="eastAsia"/>
          <w:color w:val="000000" w:themeColor="text1"/>
          <w:kern w:val="0"/>
          <w:szCs w:val="46"/>
        </w:rPr>
      </w:pPr>
    </w:p>
    <w:p>
      <w:pPr>
        <w:tabs>
          <w:tab w:val="left" w:pos="987"/>
        </w:tabs>
        <w:adjustRightInd w:val="0"/>
        <w:textAlignment w:val="baseline"/>
        <w:rPr>
          <w:rFonts w:ascii="黑体" w:eastAsia="黑体" w:hAnsi="黑体" w:hint="eastAsia"/>
          <w:color w:val="000000" w:themeColor="text1"/>
          <w:kern w:val="0"/>
          <w:szCs w:val="46"/>
        </w:rPr>
      </w:pPr>
    </w:p>
    <w:p>
      <w:pPr>
        <w:tabs>
          <w:tab w:val="left" w:pos="987"/>
        </w:tabs>
        <w:adjustRightInd w:val="0"/>
        <w:textAlignment w:val="baseline"/>
        <w:rPr>
          <w:rFonts w:ascii="黑体" w:eastAsia="黑体" w:hAnsi="黑体"/>
          <w:color w:val="000000" w:themeColor="text1"/>
          <w:kern w:val="0"/>
          <w:szCs w:val="46"/>
        </w:rPr>
      </w:pPr>
    </w:p>
    <w:p>
      <w:pPr>
        <w:tabs>
          <w:tab w:val="left" w:pos="987"/>
        </w:tabs>
        <w:adjustRightInd w:val="0"/>
        <w:ind w:firstLineChars="200" w:firstLine="420"/>
        <w:jc w:val="center"/>
        <w:textAlignment w:val="baseline"/>
        <w:rPr>
          <w:rFonts w:ascii="黑体" w:eastAsia="黑体" w:hAnsi="黑体"/>
          <w:color w:val="000000" w:themeColor="text1"/>
          <w:kern w:val="0"/>
          <w:szCs w:val="46"/>
        </w:rPr>
      </w:pPr>
      <w:r>
        <w:rPr>
          <w:rFonts w:ascii="黑体" w:eastAsia="黑体" w:hAnsi="黑体" w:hint="eastAsia"/>
          <w:color w:val="000000" w:themeColor="text1"/>
          <w:kern w:val="0"/>
          <w:szCs w:val="46"/>
        </w:rPr>
        <w:lastRenderedPageBreak/>
        <w:t>附录A</w:t>
      </w:r>
    </w:p>
    <w:p>
      <w:pPr>
        <w:tabs>
          <w:tab w:val="left" w:pos="987"/>
        </w:tabs>
        <w:adjustRightInd w:val="0"/>
        <w:ind w:firstLineChars="200" w:firstLine="420"/>
        <w:jc w:val="center"/>
        <w:textAlignment w:val="baseline"/>
        <w:rPr>
          <w:rFonts w:ascii="黑体" w:eastAsia="黑体" w:hAnsi="黑体"/>
          <w:color w:val="000000" w:themeColor="text1"/>
          <w:kern w:val="0"/>
          <w:szCs w:val="46"/>
        </w:rPr>
      </w:pPr>
      <w:r>
        <w:rPr>
          <w:rFonts w:ascii="黑体" w:eastAsia="黑体" w:hAnsi="黑体" w:hint="eastAsia"/>
          <w:color w:val="000000" w:themeColor="text1"/>
          <w:kern w:val="0"/>
          <w:szCs w:val="46"/>
        </w:rPr>
        <w:t>(资料性附录)</w:t>
      </w:r>
    </w:p>
    <w:p>
      <w:pPr>
        <w:tabs>
          <w:tab w:val="left" w:pos="987"/>
        </w:tabs>
        <w:adjustRightInd w:val="0"/>
        <w:ind w:firstLineChars="200" w:firstLine="420"/>
        <w:jc w:val="center"/>
        <w:textAlignment w:val="baseline"/>
        <w:rPr>
          <w:rFonts w:ascii="黑体" w:eastAsia="黑体" w:hAnsi="黑体"/>
          <w:color w:val="000000" w:themeColor="text1"/>
          <w:kern w:val="0"/>
          <w:szCs w:val="46"/>
        </w:rPr>
      </w:pPr>
      <w:r>
        <w:rPr>
          <w:rFonts w:ascii="黑体" w:eastAsia="黑体" w:hAnsi="黑体" w:hint="eastAsia"/>
          <w:color w:val="000000" w:themeColor="text1"/>
          <w:kern w:val="0"/>
          <w:szCs w:val="46"/>
        </w:rPr>
        <w:t>铜棒、线坯的尺寸范围导则</w:t>
      </w:r>
    </w:p>
    <w:p>
      <w:pPr>
        <w:tabs>
          <w:tab w:val="left" w:pos="987"/>
        </w:tabs>
        <w:adjustRightInd w:val="0"/>
        <w:ind w:firstLineChars="200" w:firstLine="420"/>
        <w:jc w:val="left"/>
        <w:textAlignment w:val="baseline"/>
        <w:rPr>
          <w:rFonts w:ascii="宋体" w:hAnsi="宋体"/>
          <w:color w:val="000000" w:themeColor="text1"/>
          <w:kern w:val="0"/>
          <w:szCs w:val="46"/>
        </w:rPr>
      </w:pPr>
    </w:p>
    <w:p>
      <w:pPr>
        <w:tabs>
          <w:tab w:val="left" w:pos="987"/>
        </w:tabs>
        <w:adjustRightInd w:val="0"/>
        <w:jc w:val="left"/>
        <w:textAlignment w:val="baseline"/>
        <w:rPr>
          <w:rFonts w:ascii="宋体" w:hAnsi="宋体"/>
          <w:color w:val="000000" w:themeColor="text1"/>
          <w:kern w:val="0"/>
          <w:szCs w:val="46"/>
        </w:rPr>
      </w:pPr>
      <w:r>
        <w:rPr>
          <w:rFonts w:ascii="宋体" w:hAnsi="宋体" w:hint="eastAsia"/>
          <w:color w:val="000000" w:themeColor="text1"/>
          <w:kern w:val="0"/>
          <w:szCs w:val="46"/>
        </w:rPr>
        <w:t>C.1 本附录为本标准内的矿物绝缘电缆用铜棒、线坯的尺寸范围提供导则。</w:t>
      </w:r>
    </w:p>
    <w:p>
      <w:pPr>
        <w:tabs>
          <w:tab w:val="left" w:pos="987"/>
        </w:tabs>
        <w:adjustRightInd w:val="0"/>
        <w:spacing w:line="360" w:lineRule="exact"/>
        <w:jc w:val="left"/>
        <w:textAlignment w:val="baseline"/>
        <w:rPr>
          <w:rFonts w:ascii="宋体" w:hAnsi="宋体"/>
          <w:color w:val="000000" w:themeColor="text1"/>
          <w:kern w:val="0"/>
          <w:szCs w:val="46"/>
        </w:rPr>
      </w:pPr>
      <w:r>
        <w:rPr>
          <w:rFonts w:ascii="宋体" w:hAnsi="宋体" w:hint="eastAsia"/>
          <w:color w:val="000000" w:themeColor="text1"/>
          <w:kern w:val="0"/>
          <w:szCs w:val="46"/>
        </w:rPr>
        <w:t>C.2 铜棒的尺寸范围</w:t>
      </w:r>
    </w:p>
    <w:p>
      <w:pPr>
        <w:tabs>
          <w:tab w:val="left" w:pos="987"/>
        </w:tabs>
        <w:adjustRightInd w:val="0"/>
        <w:spacing w:line="360" w:lineRule="exact"/>
        <w:ind w:firstLine="420"/>
        <w:jc w:val="left"/>
        <w:textAlignment w:val="baseline"/>
        <w:rPr>
          <w:rFonts w:ascii="宋体" w:hAnsi="宋体"/>
          <w:color w:val="000000" w:themeColor="text1"/>
          <w:kern w:val="0"/>
          <w:szCs w:val="46"/>
        </w:rPr>
      </w:pPr>
      <w:r>
        <w:rPr>
          <w:rFonts w:ascii="宋体" w:hAnsi="宋体" w:hint="eastAsia"/>
          <w:color w:val="000000" w:themeColor="text1"/>
          <w:kern w:val="0"/>
          <w:szCs w:val="46"/>
        </w:rPr>
        <w:t>圆形铜棒线的截面积和电阻率（20℃时）应不超过表C.1给出的值。</w:t>
      </w:r>
    </w:p>
    <w:p>
      <w:pPr>
        <w:tabs>
          <w:tab w:val="left" w:pos="987"/>
        </w:tabs>
        <w:adjustRightInd w:val="0"/>
        <w:spacing w:line="360" w:lineRule="exact"/>
        <w:ind w:firstLine="420"/>
        <w:jc w:val="center"/>
        <w:textAlignment w:val="baseline"/>
        <w:rPr>
          <w:rFonts w:ascii="宋体" w:hAnsi="宋体"/>
          <w:color w:val="000000" w:themeColor="text1"/>
          <w:kern w:val="0"/>
          <w:szCs w:val="46"/>
        </w:rPr>
      </w:pPr>
      <w:r>
        <w:rPr>
          <w:rFonts w:ascii="宋体" w:hAnsi="宋体" w:hint="eastAsia"/>
          <w:color w:val="000000" w:themeColor="text1"/>
          <w:kern w:val="0"/>
          <w:szCs w:val="46"/>
        </w:rPr>
        <w:t>表C.1</w:t>
      </w: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315"/>
        <w:gridCol w:w="3782"/>
      </w:tblGrid>
      <w:tr>
        <w:trPr>
          <w:trHeight w:val="346"/>
          <w:jc w:val="center"/>
        </w:trPr>
        <w:tc>
          <w:tcPr>
            <w:tcW w:w="2089" w:type="dxa"/>
            <w:vMerge w:val="restart"/>
            <w:tcBorders>
              <w:top w:val="single" w:sz="8" w:space="0" w:color="auto"/>
              <w:left w:val="single" w:sz="8" w:space="0" w:color="auto"/>
              <w:right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直径</w:t>
            </w:r>
          </w:p>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mm</w:t>
            </w:r>
          </w:p>
        </w:tc>
        <w:tc>
          <w:tcPr>
            <w:tcW w:w="2315" w:type="dxa"/>
            <w:vMerge w:val="restart"/>
            <w:tcBorders>
              <w:top w:val="single" w:sz="8" w:space="0" w:color="auto"/>
              <w:left w:val="single" w:sz="4"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标称截面积</w:t>
            </w:r>
          </w:p>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mm</w:t>
            </w:r>
            <w:r>
              <w:rPr>
                <w:rFonts w:asciiTheme="minorEastAsia" w:eastAsiaTheme="minorEastAsia" w:hAnsiTheme="minorEastAsia" w:hint="eastAsia"/>
                <w:sz w:val="18"/>
                <w:szCs w:val="18"/>
                <w:vertAlign w:val="superscript"/>
              </w:rPr>
              <w:t>2</w:t>
            </w:r>
          </w:p>
        </w:tc>
        <w:tc>
          <w:tcPr>
            <w:tcW w:w="3782" w:type="dxa"/>
            <w:vMerge w:val="restart"/>
            <w:tcBorders>
              <w:top w:val="single" w:sz="8" w:space="0" w:color="auto"/>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最大导体直流电阻（Ω/m）</w:t>
            </w:r>
          </w:p>
        </w:tc>
      </w:tr>
      <w:tr>
        <w:trPr>
          <w:trHeight w:val="346"/>
          <w:jc w:val="center"/>
        </w:trPr>
        <w:tc>
          <w:tcPr>
            <w:tcW w:w="2089" w:type="dxa"/>
            <w:vMerge/>
            <w:tcBorders>
              <w:left w:val="single" w:sz="8" w:space="0" w:color="auto"/>
              <w:right w:val="single" w:sz="4" w:space="0" w:color="auto"/>
            </w:tcBorders>
            <w:vAlign w:val="center"/>
          </w:tcPr>
          <w:p>
            <w:pPr>
              <w:jc w:val="center"/>
              <w:rPr>
                <w:rFonts w:asciiTheme="minorEastAsia" w:eastAsiaTheme="minorEastAsia" w:hAnsiTheme="minorEastAsia"/>
                <w:sz w:val="18"/>
                <w:szCs w:val="18"/>
              </w:rPr>
            </w:pPr>
          </w:p>
        </w:tc>
        <w:tc>
          <w:tcPr>
            <w:tcW w:w="2315" w:type="dxa"/>
            <w:vMerge/>
            <w:tcBorders>
              <w:left w:val="single" w:sz="4" w:space="0" w:color="auto"/>
            </w:tcBorders>
            <w:vAlign w:val="center"/>
          </w:tcPr>
          <w:p>
            <w:pPr>
              <w:jc w:val="center"/>
              <w:rPr>
                <w:rFonts w:asciiTheme="minorEastAsia" w:eastAsiaTheme="minorEastAsia" w:hAnsiTheme="minorEastAsia"/>
                <w:sz w:val="18"/>
                <w:szCs w:val="18"/>
              </w:rPr>
            </w:pPr>
          </w:p>
        </w:tc>
        <w:tc>
          <w:tcPr>
            <w:tcW w:w="3782" w:type="dxa"/>
            <w:vMerge/>
            <w:tcBorders>
              <w:left w:val="single" w:sz="4" w:space="0" w:color="auto"/>
              <w:right w:val="single" w:sz="8" w:space="0" w:color="auto"/>
            </w:tcBorders>
          </w:tcPr>
          <w:p>
            <w:pPr>
              <w:jc w:val="center"/>
              <w:rPr>
                <w:rFonts w:asciiTheme="minorEastAsia" w:eastAsiaTheme="minorEastAsia" w:hAnsiTheme="minorEastAsia"/>
                <w:sz w:val="18"/>
                <w:szCs w:val="18"/>
              </w:rPr>
            </w:pP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3.08×10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3.7</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10</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1.83×10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4.6</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16</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1.15×10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5.7</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25</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0.727×10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6.7</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35</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0.524×10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7.8</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0.387×10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9.4</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70</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0.268×10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11.0</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95</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0.193×10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12.4</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120</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0.153×10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13.8</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150</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0.124×10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15.4</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185</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0.0991×10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17.6</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240</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0.0754×10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19.8</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300</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0.0601×10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22.2</w:t>
            </w:r>
          </w:p>
        </w:tc>
        <w:tc>
          <w:tcPr>
            <w:tcW w:w="2315" w:type="dxa"/>
            <w:tcBorders>
              <w:lef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400</w:t>
            </w:r>
          </w:p>
        </w:tc>
        <w:tc>
          <w:tcPr>
            <w:tcW w:w="3782" w:type="dxa"/>
            <w:tcBorders>
              <w:left w:val="single" w:sz="4" w:space="0" w:color="auto"/>
              <w:right w:val="single" w:sz="8" w:space="0" w:color="auto"/>
            </w:tcBorders>
            <w:vAlign w:val="center"/>
          </w:tcPr>
          <w:p>
            <w:pPr>
              <w:jc w:val="center"/>
              <w:rPr>
                <w:rFonts w:asciiTheme="minorEastAsia" w:eastAsiaTheme="minorEastAsia" w:hAnsiTheme="minorEastAsia"/>
                <w:color w:val="FF0000"/>
                <w:sz w:val="18"/>
                <w:szCs w:val="18"/>
              </w:rPr>
            </w:pPr>
            <w:r>
              <w:rPr>
                <w:rFonts w:asciiTheme="minorEastAsia" w:eastAsiaTheme="minorEastAsia" w:hAnsiTheme="minorEastAsia" w:hint="eastAsia"/>
                <w:sz w:val="18"/>
                <w:szCs w:val="18"/>
              </w:rPr>
              <w:t>0.0470×10</w:t>
            </w:r>
            <w:r>
              <w:rPr>
                <w:rFonts w:asciiTheme="minorEastAsia" w:eastAsiaTheme="minorEastAsia" w:hAnsiTheme="minorEastAsia" w:hint="eastAsia"/>
                <w:sz w:val="18"/>
                <w:szCs w:val="18"/>
                <w:vertAlign w:val="superscript"/>
              </w:rPr>
              <w:t>-3</w:t>
            </w:r>
          </w:p>
        </w:tc>
      </w:tr>
      <w:tr>
        <w:trPr>
          <w:trHeight w:val="346"/>
          <w:jc w:val="center"/>
        </w:trPr>
        <w:tc>
          <w:tcPr>
            <w:tcW w:w="2089" w:type="dxa"/>
            <w:tcBorders>
              <w:left w:val="single" w:sz="8" w:space="0" w:color="auto"/>
              <w:bottom w:val="single" w:sz="8" w:space="0" w:color="auto"/>
              <w:right w:val="single" w:sz="4"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25.4</w:t>
            </w:r>
          </w:p>
        </w:tc>
        <w:tc>
          <w:tcPr>
            <w:tcW w:w="2315" w:type="dxa"/>
            <w:tcBorders>
              <w:left w:val="single" w:sz="4" w:space="0" w:color="auto"/>
              <w:bottom w:val="single" w:sz="8" w:space="0" w:color="auto"/>
            </w:tcBorders>
            <w:vAlign w:val="center"/>
          </w:tcPr>
          <w:p>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500</w:t>
            </w:r>
          </w:p>
        </w:tc>
        <w:tc>
          <w:tcPr>
            <w:tcW w:w="3782" w:type="dxa"/>
            <w:tcBorders>
              <w:left w:val="single" w:sz="4" w:space="0" w:color="auto"/>
              <w:bottom w:val="single" w:sz="8" w:space="0" w:color="auto"/>
              <w:right w:val="single" w:sz="8" w:space="0" w:color="auto"/>
            </w:tcBorders>
            <w:vAlign w:val="center"/>
          </w:tcPr>
          <w:p>
            <w:pPr>
              <w:jc w:val="center"/>
              <w:rPr>
                <w:rFonts w:asciiTheme="minorEastAsia" w:eastAsiaTheme="minorEastAsia" w:hAnsiTheme="minorEastAsia"/>
                <w:color w:val="FF0000"/>
                <w:sz w:val="18"/>
                <w:szCs w:val="18"/>
              </w:rPr>
            </w:pPr>
            <w:r>
              <w:rPr>
                <w:rFonts w:asciiTheme="minorEastAsia" w:eastAsiaTheme="minorEastAsia" w:hAnsiTheme="minorEastAsia" w:hint="eastAsia"/>
                <w:sz w:val="18"/>
                <w:szCs w:val="18"/>
              </w:rPr>
              <w:t>0.0366×10</w:t>
            </w:r>
            <w:r>
              <w:rPr>
                <w:rFonts w:asciiTheme="minorEastAsia" w:eastAsiaTheme="minorEastAsia" w:hAnsiTheme="minorEastAsia" w:hint="eastAsia"/>
                <w:sz w:val="18"/>
                <w:szCs w:val="18"/>
                <w:vertAlign w:val="superscript"/>
              </w:rPr>
              <w:t>-3</w:t>
            </w:r>
          </w:p>
        </w:tc>
      </w:tr>
    </w:tbl>
    <w:p>
      <w:pPr>
        <w:tabs>
          <w:tab w:val="left" w:pos="987"/>
        </w:tabs>
        <w:adjustRightInd w:val="0"/>
        <w:ind w:firstLine="420"/>
        <w:jc w:val="left"/>
        <w:textAlignment w:val="baseline"/>
        <w:rPr>
          <w:rFonts w:ascii="宋体" w:hAnsi="宋体"/>
          <w:color w:val="000000" w:themeColor="text1"/>
          <w:kern w:val="0"/>
          <w:szCs w:val="46"/>
        </w:rPr>
      </w:pPr>
    </w:p>
    <w:sectPr>
      <w:footerReference w:type="default" r:id="rId14"/>
      <w:pgSz w:w="11907" w:h="16839"/>
      <w:pgMar w:top="1418" w:right="1134" w:bottom="1134" w:left="1418" w:header="1418" w:footer="851" w:gutter="0"/>
      <w:pgNumType w:start="1"/>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F222EB" w15:done="0"/>
  <w15:commentEx w15:paraId="4D587F68" w15:done="0"/>
  <w15:commentEx w15:paraId="09580EBF" w15:done="0"/>
  <w15:commentEx w15:paraId="619B5BCE" w15:done="0"/>
  <w15:commentEx w15:paraId="78B04C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a"/>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rPr>
      <w:t>2</w:t>
    </w:r>
    <w:r>
      <w:rPr>
        <w:rStyle w:val="aff1"/>
      </w:rPr>
      <w:fldChar w:fldCharType="end"/>
    </w:r>
  </w:p>
  <w:p>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9"/>
      <w:rPr>
        <w:rStyle w:val="aff1"/>
      </w:rPr>
    </w:pPr>
    <w:r>
      <w:rPr>
        <w:rStyle w:val="aff1"/>
      </w:rPr>
      <w:fldChar w:fldCharType="begin"/>
    </w:r>
    <w:r>
      <w:rPr>
        <w:rStyle w:val="aff1"/>
      </w:rPr>
      <w:instrText xml:space="preserve">PAGE  </w:instrText>
    </w:r>
    <w:r>
      <w:rPr>
        <w:rStyle w:val="aff1"/>
      </w:rPr>
      <w:fldChar w:fldCharType="separate"/>
    </w:r>
    <w:r>
      <w:rPr>
        <w:rStyle w:val="aff1"/>
      </w:rPr>
      <w:t>1</w:t>
    </w:r>
    <w:r>
      <w:rPr>
        <w:rStyle w:val="af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9"/>
      <w:jc w:val="center"/>
      <w:rPr>
        <w:rStyle w:val="aff1"/>
      </w:rPr>
    </w:pPr>
    <w:r>
      <w:rPr>
        <w:rStyle w:val="aff1"/>
      </w:rPr>
      <w:fldChar w:fldCharType="begin"/>
    </w:r>
    <w:r>
      <w:rPr>
        <w:rStyle w:val="aff1"/>
      </w:rPr>
      <w:instrText xml:space="preserve">PAGE  </w:instrText>
    </w:r>
    <w:r>
      <w:rPr>
        <w:rStyle w:val="aff1"/>
      </w:rPr>
      <w:fldChar w:fldCharType="separate"/>
    </w:r>
    <w:r>
      <w:rPr>
        <w:rStyle w:val="aff1"/>
        <w:noProof/>
      </w:rPr>
      <w:t>3</w:t>
    </w:r>
    <w:r>
      <w:rPr>
        <w:rStyle w:val="af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a"/>
    </w:pPr>
    <w:r>
      <w:t>YS/T</w:t>
    </w:r>
    <w:r>
      <w:rPr>
        <w:rFonts w:hint="eastAsia"/>
      </w:rPr>
      <w:t xml:space="preserve"> </w:t>
    </w:r>
    <w:r>
      <w:rPr>
        <w:rFonts w:ascii="宋体" w:hAnsi="宋体" w:hint="eastAsia"/>
      </w:rPr>
      <w:t>××</w:t>
    </w:r>
    <w:r>
      <w:t>—</w:t>
    </w:r>
    <w:r>
      <w:rPr>
        <w:rFonts w:ascii="宋体" w:hAnsi="宋体"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f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start w:val="1"/>
      <w:numFmt w:val="none"/>
      <w:pStyle w:val="a"/>
      <w:lvlText w:val="%1示例"/>
      <w:lvlJc w:val="left"/>
      <w:pPr>
        <w:tabs>
          <w:tab w:val="left" w:pos="4806"/>
        </w:tabs>
        <w:ind w:left="3686" w:firstLine="400"/>
      </w:pPr>
      <w:rPr>
        <w:rFonts w:ascii="宋体" w:eastAsia="宋体" w:hint="eastAsia"/>
        <w:b w:val="0"/>
        <w:i w:val="0"/>
        <w:sz w:val="18"/>
      </w:rPr>
    </w:lvl>
    <w:lvl w:ilvl="1">
      <w:start w:val="1"/>
      <w:numFmt w:val="lowerLetter"/>
      <w:lvlText w:val="%2)"/>
      <w:lvlJc w:val="left"/>
      <w:pPr>
        <w:tabs>
          <w:tab w:val="left" w:pos="4526"/>
        </w:tabs>
        <w:ind w:left="4526" w:hanging="420"/>
      </w:pPr>
    </w:lvl>
    <w:lvl w:ilvl="2">
      <w:start w:val="1"/>
      <w:numFmt w:val="lowerRoman"/>
      <w:lvlText w:val="%3."/>
      <w:lvlJc w:val="right"/>
      <w:pPr>
        <w:tabs>
          <w:tab w:val="left" w:pos="4946"/>
        </w:tabs>
        <w:ind w:left="4946" w:hanging="420"/>
      </w:pPr>
    </w:lvl>
    <w:lvl w:ilvl="3">
      <w:start w:val="1"/>
      <w:numFmt w:val="decimal"/>
      <w:lvlText w:val="%4."/>
      <w:lvlJc w:val="left"/>
      <w:pPr>
        <w:tabs>
          <w:tab w:val="left" w:pos="5366"/>
        </w:tabs>
        <w:ind w:left="5366" w:hanging="420"/>
      </w:pPr>
    </w:lvl>
    <w:lvl w:ilvl="4">
      <w:start w:val="1"/>
      <w:numFmt w:val="lowerLetter"/>
      <w:lvlText w:val="%5)"/>
      <w:lvlJc w:val="left"/>
      <w:pPr>
        <w:tabs>
          <w:tab w:val="left" w:pos="5786"/>
        </w:tabs>
        <w:ind w:left="5786" w:hanging="420"/>
      </w:pPr>
    </w:lvl>
    <w:lvl w:ilvl="5">
      <w:start w:val="1"/>
      <w:numFmt w:val="lowerRoman"/>
      <w:lvlText w:val="%6."/>
      <w:lvlJc w:val="right"/>
      <w:pPr>
        <w:tabs>
          <w:tab w:val="left" w:pos="6206"/>
        </w:tabs>
        <w:ind w:left="6206" w:hanging="420"/>
      </w:pPr>
    </w:lvl>
    <w:lvl w:ilvl="6">
      <w:start w:val="1"/>
      <w:numFmt w:val="decimal"/>
      <w:lvlText w:val="%7."/>
      <w:lvlJc w:val="left"/>
      <w:pPr>
        <w:tabs>
          <w:tab w:val="left" w:pos="6626"/>
        </w:tabs>
        <w:ind w:left="6626" w:hanging="420"/>
      </w:pPr>
    </w:lvl>
    <w:lvl w:ilvl="7">
      <w:start w:val="1"/>
      <w:numFmt w:val="lowerLetter"/>
      <w:lvlText w:val="%8)"/>
      <w:lvlJc w:val="left"/>
      <w:pPr>
        <w:tabs>
          <w:tab w:val="left" w:pos="7046"/>
        </w:tabs>
        <w:ind w:left="7046" w:hanging="420"/>
      </w:pPr>
    </w:lvl>
    <w:lvl w:ilvl="8">
      <w:start w:val="1"/>
      <w:numFmt w:val="lowerRoman"/>
      <w:lvlText w:val="%9."/>
      <w:lvlJc w:val="right"/>
      <w:pPr>
        <w:tabs>
          <w:tab w:val="left" w:pos="7466"/>
        </w:tabs>
        <w:ind w:left="7466" w:hanging="420"/>
      </w:pPr>
    </w:lvl>
  </w:abstractNum>
  <w:abstractNum w:abstractNumId="1">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B2E319A"/>
    <w:multiLevelType w:val="multilevel"/>
    <w:tmpl w:val="2B2E319A"/>
    <w:lvl w:ilvl="0">
      <w:start w:val="1"/>
      <w:numFmt w:val="bullet"/>
      <w:lvlText w:val=""/>
      <w:lvlJc w:val="left"/>
      <w:pPr>
        <w:ind w:left="1260" w:hanging="420"/>
      </w:pPr>
      <w:rPr>
        <w:rFonts w:ascii="Wingdings" w:hAnsi="Wingdings" w:hint="default"/>
        <w:sz w:val="13"/>
        <w:szCs w:val="13"/>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color w:val="auto"/>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46260FA"/>
    <w:multiLevelType w:val="multilevel"/>
    <w:tmpl w:val="864216AA"/>
    <w:lvl w:ilvl="0">
      <w:start w:val="1"/>
      <w:numFmt w:val="decimal"/>
      <w:pStyle w:val="a6"/>
      <w:suff w:val="nothing"/>
      <w:lvlText w:val="表%1　"/>
      <w:lvlJc w:val="left"/>
      <w:pPr>
        <w:ind w:left="3544" w:firstLine="0"/>
      </w:pPr>
      <w:rPr>
        <w:rFonts w:ascii="黑体" w:eastAsia="黑体" w:hAnsi="Times New Roman" w:hint="eastAsia"/>
        <w:b w:val="0"/>
        <w:i w:val="0"/>
        <w:sz w:val="21"/>
        <w:lang w:val="en-US"/>
      </w:rPr>
    </w:lvl>
    <w:lvl w:ilvl="1">
      <w:start w:val="1"/>
      <w:numFmt w:val="decimal"/>
      <w:lvlText w:val="%1.%2"/>
      <w:lvlJc w:val="left"/>
      <w:pPr>
        <w:tabs>
          <w:tab w:val="left" w:pos="2127"/>
        </w:tabs>
        <w:ind w:left="2127" w:hanging="567"/>
      </w:pPr>
      <w:rPr>
        <w:rFonts w:hint="eastAsia"/>
      </w:rPr>
    </w:lvl>
    <w:lvl w:ilvl="2">
      <w:start w:val="1"/>
      <w:numFmt w:val="decimal"/>
      <w:lvlText w:val="%1.%2.%3"/>
      <w:lvlJc w:val="left"/>
      <w:pPr>
        <w:tabs>
          <w:tab w:val="left" w:pos="2553"/>
        </w:tabs>
        <w:ind w:left="2553" w:hanging="567"/>
      </w:pPr>
      <w:rPr>
        <w:rFonts w:hint="eastAsia"/>
      </w:rPr>
    </w:lvl>
    <w:lvl w:ilvl="3">
      <w:start w:val="1"/>
      <w:numFmt w:val="decimal"/>
      <w:lvlText w:val="%1.%2.%3.%4"/>
      <w:lvlJc w:val="left"/>
      <w:pPr>
        <w:tabs>
          <w:tab w:val="left" w:pos="3119"/>
        </w:tabs>
        <w:ind w:left="3119" w:hanging="708"/>
      </w:pPr>
      <w:rPr>
        <w:rFonts w:hint="eastAsia"/>
      </w:rPr>
    </w:lvl>
    <w:lvl w:ilvl="4">
      <w:start w:val="1"/>
      <w:numFmt w:val="decimal"/>
      <w:lvlText w:val="%1.%2.%3.%4.%5"/>
      <w:lvlJc w:val="left"/>
      <w:pPr>
        <w:tabs>
          <w:tab w:val="left" w:pos="3686"/>
        </w:tabs>
        <w:ind w:left="3686" w:hanging="850"/>
      </w:pPr>
      <w:rPr>
        <w:rFonts w:hint="eastAsia"/>
      </w:rPr>
    </w:lvl>
    <w:lvl w:ilvl="5">
      <w:start w:val="1"/>
      <w:numFmt w:val="decimal"/>
      <w:lvlText w:val="%1.%2.%3.%4.%5.%6"/>
      <w:lvlJc w:val="left"/>
      <w:pPr>
        <w:tabs>
          <w:tab w:val="left" w:pos="4395"/>
        </w:tabs>
        <w:ind w:left="4395" w:hanging="1134"/>
      </w:pPr>
      <w:rPr>
        <w:rFonts w:hint="eastAsia"/>
      </w:rPr>
    </w:lvl>
    <w:lvl w:ilvl="6">
      <w:start w:val="1"/>
      <w:numFmt w:val="decimal"/>
      <w:lvlText w:val="%1.%2.%3.%4.%5.%6.%7"/>
      <w:lvlJc w:val="left"/>
      <w:pPr>
        <w:tabs>
          <w:tab w:val="left" w:pos="4962"/>
        </w:tabs>
        <w:ind w:left="4962" w:hanging="1276"/>
      </w:pPr>
      <w:rPr>
        <w:rFonts w:hint="eastAsia"/>
      </w:rPr>
    </w:lvl>
    <w:lvl w:ilvl="7">
      <w:start w:val="1"/>
      <w:numFmt w:val="decimal"/>
      <w:lvlText w:val="%1.%2.%3.%4.%5.%6.%7.%8"/>
      <w:lvlJc w:val="left"/>
      <w:pPr>
        <w:tabs>
          <w:tab w:val="left" w:pos="5529"/>
        </w:tabs>
        <w:ind w:left="5529" w:hanging="1418"/>
      </w:pPr>
      <w:rPr>
        <w:rFonts w:hint="eastAsia"/>
      </w:rPr>
    </w:lvl>
    <w:lvl w:ilvl="8">
      <w:start w:val="1"/>
      <w:numFmt w:val="decimal"/>
      <w:lvlText w:val="%1.%2.%3.%4.%5.%6.%7.%8.%9"/>
      <w:lvlJc w:val="left"/>
      <w:pPr>
        <w:tabs>
          <w:tab w:val="left" w:pos="6237"/>
        </w:tabs>
        <w:ind w:left="6237" w:hanging="1700"/>
      </w:pPr>
      <w:rPr>
        <w:rFonts w:hint="eastAsia"/>
      </w:rPr>
    </w:lvl>
  </w:abstractNum>
  <w:abstractNum w:abstractNumId="1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CEA2025"/>
    <w:multiLevelType w:val="multilevel"/>
    <w:tmpl w:val="6CEA2025"/>
    <w:lvl w:ilvl="0">
      <w:start w:val="1"/>
      <w:numFmt w:val="none"/>
      <w:pStyle w:val="a8"/>
      <w:suff w:val="nothing"/>
      <w:lvlText w:val="%1"/>
      <w:lvlJc w:val="left"/>
      <w:pPr>
        <w:ind w:left="0" w:firstLine="0"/>
      </w:pPr>
      <w:rPr>
        <w:rFonts w:ascii="Times New Roman" w:hAnsi="Times New Roman" w:hint="default"/>
        <w:b/>
        <w:i w:val="0"/>
        <w:sz w:val="21"/>
      </w:rPr>
    </w:lvl>
    <w:lvl w:ilvl="1">
      <w:start w:val="1"/>
      <w:numFmt w:val="decimal"/>
      <w:pStyle w:val="a9"/>
      <w:suff w:val="nothing"/>
      <w:lvlText w:val="%1%2　"/>
      <w:lvlJc w:val="left"/>
      <w:pPr>
        <w:ind w:left="709" w:firstLine="0"/>
      </w:pPr>
      <w:rPr>
        <w:rFonts w:ascii="黑体" w:eastAsia="黑体" w:hAnsi="Times New Roman" w:hint="eastAsia"/>
        <w:b w:val="0"/>
        <w:i w:val="0"/>
        <w:sz w:val="21"/>
      </w:rPr>
    </w:lvl>
    <w:lvl w:ilvl="2">
      <w:start w:val="1"/>
      <w:numFmt w:val="decimal"/>
      <w:pStyle w:val="aa"/>
      <w:suff w:val="nothing"/>
      <w:lvlText w:val="%1%2.%3　"/>
      <w:lvlJc w:val="left"/>
      <w:pPr>
        <w:ind w:left="0" w:firstLine="0"/>
      </w:pPr>
      <w:rPr>
        <w:rFonts w:ascii="黑体" w:eastAsia="黑体" w:hAnsi="Times New Roman" w:hint="eastAsia"/>
        <w:b w:val="0"/>
        <w:i w:val="0"/>
        <w:color w:val="auto"/>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DBF04F4"/>
    <w:multiLevelType w:val="multilevel"/>
    <w:tmpl w:val="6DBF04F4"/>
    <w:lvl w:ilvl="0">
      <w:start w:val="1"/>
      <w:numFmt w:val="none"/>
      <w:pStyle w:val="af"/>
      <w:lvlText w:val="%1注："/>
      <w:lvlJc w:val="left"/>
      <w:pPr>
        <w:tabs>
          <w:tab w:val="left" w:pos="1287"/>
        </w:tabs>
        <w:ind w:left="987" w:hanging="420"/>
      </w:pPr>
      <w:rPr>
        <w:rFonts w:ascii="黑体" w:eastAsia="黑体" w:hAnsi="黑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6933334"/>
    <w:multiLevelType w:val="multilevel"/>
    <w:tmpl w:val="76933334"/>
    <w:lvl w:ilvl="0">
      <w:start w:val="1"/>
      <w:numFmt w:val="none"/>
      <w:pStyle w:val="af0"/>
      <w:lvlText w:val="%1——"/>
      <w:lvlJc w:val="left"/>
      <w:pPr>
        <w:tabs>
          <w:tab w:val="left" w:pos="1146"/>
        </w:tabs>
        <w:ind w:left="846" w:hanging="420"/>
      </w:pPr>
      <w:rPr>
        <w:rFonts w:hint="eastAsia"/>
        <w:color w:val="000000" w:themeColor="text1"/>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1"/>
  </w:num>
  <w:num w:numId="2">
    <w:abstractNumId w:val="10"/>
  </w:num>
  <w:num w:numId="3">
    <w:abstractNumId w:val="6"/>
  </w:num>
  <w:num w:numId="4">
    <w:abstractNumId w:val="3"/>
  </w:num>
  <w:num w:numId="5">
    <w:abstractNumId w:val="13"/>
  </w:num>
  <w:num w:numId="6">
    <w:abstractNumId w:val="8"/>
  </w:num>
  <w:num w:numId="7">
    <w:abstractNumId w:val="0"/>
  </w:num>
  <w:num w:numId="8">
    <w:abstractNumId w:val="9"/>
  </w:num>
  <w:num w:numId="9">
    <w:abstractNumId w:val="7"/>
  </w:num>
  <w:num w:numId="10">
    <w:abstractNumId w:val="12"/>
  </w:num>
  <w:num w:numId="11">
    <w:abstractNumId w:val="5"/>
  </w:num>
  <w:num w:numId="12">
    <w:abstractNumId w:val="4"/>
  </w:num>
  <w:num w:numId="13">
    <w:abstractNumId w:val="2"/>
  </w:num>
  <w:num w:numId="14">
    <w:abstractNumId w:val="9"/>
  </w:num>
  <w:num w:numId="15">
    <w:abstractNumId w:val="1"/>
  </w:num>
  <w:num w:numId="16">
    <w:abstractNumId w:val="9"/>
  </w:num>
  <w:num w:numId="17">
    <w:abstractNumId w:val="9"/>
  </w:num>
  <w:num w:numId="18">
    <w:abstractNumId w:val="9"/>
  </w:num>
  <w:num w:numId="19">
    <w:abstractNumId w:val="9"/>
  </w:num>
  <w:num w:numId="20">
    <w:abstractNumId w:val="9"/>
  </w:num>
  <w:num w:numId="21">
    <w:abstractNumId w:val="11"/>
  </w:num>
  <w:num w:numId="22">
    <w:abstractNumId w:val="11"/>
  </w:num>
  <w:num w:numId="23">
    <w:abstractNumId w:val="11"/>
  </w:num>
  <w:num w:numId="24">
    <w:abstractNumId w:val="11"/>
  </w:num>
  <w:num w:numId="25">
    <w:abstractNumId w:val="11"/>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attachedTemplate r:id="rId1"/>
  <w:linkStyl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ZGZhM2IyYWRkMzA0MDQ5MWUwYzQwZDY5MmE4ZWEifQ=="/>
  </w:docVar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1">
    <w:name w:val="Normal"/>
    <w:qFormat/>
    <w:pPr>
      <w:widowControl w:val="0"/>
      <w:jc w:val="both"/>
    </w:pPr>
    <w:rPr>
      <w:rFonts w:ascii="Times New Roman" w:hAnsi="Times New Roman"/>
      <w:kern w:val="2"/>
      <w:sz w:val="21"/>
      <w:szCs w:val="24"/>
    </w:rPr>
  </w:style>
  <w:style w:type="paragraph" w:styleId="1">
    <w:name w:val="heading 1"/>
    <w:basedOn w:val="af1"/>
    <w:next w:val="af1"/>
    <w:qFormat/>
    <w:pPr>
      <w:keepNext/>
      <w:keepLines/>
      <w:spacing w:before="340" w:after="330" w:line="578" w:lineRule="auto"/>
      <w:outlineLvl w:val="0"/>
    </w:pPr>
    <w:rPr>
      <w:b/>
      <w:bCs/>
      <w:kern w:val="44"/>
      <w:sz w:val="44"/>
      <w:szCs w:val="44"/>
    </w:rPr>
  </w:style>
  <w:style w:type="paragraph" w:styleId="2">
    <w:name w:val="heading 2"/>
    <w:basedOn w:val="af1"/>
    <w:next w:val="af1"/>
    <w:qFormat/>
    <w:pPr>
      <w:keepNext/>
      <w:keepLines/>
      <w:spacing w:before="260" w:after="260" w:line="416" w:lineRule="auto"/>
      <w:outlineLvl w:val="1"/>
    </w:pPr>
    <w:rPr>
      <w:rFonts w:ascii="Arial" w:eastAsia="黑体" w:hAnsi="Arial"/>
      <w:b/>
      <w:bCs/>
      <w:sz w:val="32"/>
      <w:szCs w:val="32"/>
    </w:rPr>
  </w:style>
  <w:style w:type="paragraph" w:styleId="3">
    <w:name w:val="heading 3"/>
    <w:basedOn w:val="af1"/>
    <w:next w:val="af1"/>
    <w:qFormat/>
    <w:pPr>
      <w:keepNext/>
      <w:keepLines/>
      <w:spacing w:before="260" w:after="260" w:line="416" w:lineRule="auto"/>
      <w:outlineLvl w:val="2"/>
    </w:pPr>
    <w:rPr>
      <w:b/>
      <w:bCs/>
      <w:sz w:val="32"/>
      <w:szCs w:val="32"/>
    </w:rPr>
  </w:style>
  <w:style w:type="paragraph" w:styleId="4">
    <w:name w:val="heading 4"/>
    <w:basedOn w:val="af1"/>
    <w:next w:val="af1"/>
    <w:qFormat/>
    <w:pPr>
      <w:keepNext/>
      <w:keepLines/>
      <w:spacing w:before="280" w:after="290" w:line="376" w:lineRule="auto"/>
      <w:outlineLvl w:val="3"/>
    </w:pPr>
    <w:rPr>
      <w:rFonts w:ascii="Arial" w:eastAsia="黑体" w:hAnsi="Arial"/>
      <w:b/>
      <w:bCs/>
      <w:sz w:val="28"/>
      <w:szCs w:val="28"/>
    </w:rPr>
  </w:style>
  <w:style w:type="paragraph" w:styleId="5">
    <w:name w:val="heading 5"/>
    <w:basedOn w:val="af1"/>
    <w:next w:val="af1"/>
    <w:qFormat/>
    <w:pPr>
      <w:keepNext/>
      <w:keepLines/>
      <w:spacing w:before="280" w:after="290" w:line="376" w:lineRule="auto"/>
      <w:outlineLvl w:val="4"/>
    </w:pPr>
    <w:rPr>
      <w:b/>
      <w:bCs/>
      <w:sz w:val="28"/>
      <w:szCs w:val="28"/>
    </w:rPr>
  </w:style>
  <w:style w:type="paragraph" w:styleId="6">
    <w:name w:val="heading 6"/>
    <w:basedOn w:val="af1"/>
    <w:next w:val="af1"/>
    <w:qFormat/>
    <w:pPr>
      <w:keepNext/>
      <w:keepLines/>
      <w:spacing w:before="240" w:after="64" w:line="320" w:lineRule="auto"/>
      <w:outlineLvl w:val="5"/>
    </w:pPr>
    <w:rPr>
      <w:rFonts w:ascii="Arial" w:eastAsia="黑体" w:hAnsi="Arial"/>
      <w:b/>
      <w:bCs/>
      <w:sz w:val="24"/>
    </w:rPr>
  </w:style>
  <w:style w:type="paragraph" w:styleId="7">
    <w:name w:val="heading 7"/>
    <w:basedOn w:val="af1"/>
    <w:next w:val="af1"/>
    <w:qFormat/>
    <w:pPr>
      <w:keepNext/>
      <w:keepLines/>
      <w:spacing w:before="240" w:after="64" w:line="320" w:lineRule="auto"/>
      <w:outlineLvl w:val="6"/>
    </w:pPr>
    <w:rPr>
      <w:b/>
      <w:bCs/>
      <w:sz w:val="24"/>
    </w:rPr>
  </w:style>
  <w:style w:type="paragraph" w:styleId="8">
    <w:name w:val="heading 8"/>
    <w:basedOn w:val="af1"/>
    <w:next w:val="af1"/>
    <w:qFormat/>
    <w:pPr>
      <w:keepNext/>
      <w:keepLines/>
      <w:spacing w:before="240" w:after="64" w:line="320" w:lineRule="auto"/>
      <w:outlineLvl w:val="7"/>
    </w:pPr>
    <w:rPr>
      <w:rFonts w:ascii="Arial" w:eastAsia="黑体" w:hAnsi="Arial"/>
      <w:sz w:val="24"/>
    </w:rPr>
  </w:style>
  <w:style w:type="paragraph" w:styleId="9">
    <w:name w:val="heading 9"/>
    <w:basedOn w:val="af1"/>
    <w:next w:val="af1"/>
    <w:qFormat/>
    <w:pPr>
      <w:keepNext/>
      <w:keepLines/>
      <w:spacing w:before="240" w:after="64" w:line="320"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60"/>
    <w:next w:val="af1"/>
    <w:semiHidden/>
    <w:qFormat/>
  </w:style>
  <w:style w:type="paragraph" w:styleId="60">
    <w:name w:val="toc 6"/>
    <w:basedOn w:val="50"/>
    <w:next w:val="af1"/>
    <w:semiHidden/>
    <w:qFormat/>
  </w:style>
  <w:style w:type="paragraph" w:styleId="50">
    <w:name w:val="toc 5"/>
    <w:basedOn w:val="40"/>
    <w:next w:val="af1"/>
    <w:semiHidden/>
    <w:qFormat/>
  </w:style>
  <w:style w:type="paragraph" w:styleId="40">
    <w:name w:val="toc 4"/>
    <w:basedOn w:val="30"/>
    <w:next w:val="af1"/>
    <w:semiHidden/>
    <w:qFormat/>
  </w:style>
  <w:style w:type="paragraph" w:styleId="30">
    <w:name w:val="toc 3"/>
    <w:basedOn w:val="20"/>
    <w:next w:val="af1"/>
    <w:semiHidden/>
    <w:qFormat/>
  </w:style>
  <w:style w:type="paragraph" w:styleId="20">
    <w:name w:val="toc 2"/>
    <w:basedOn w:val="10"/>
    <w:next w:val="af1"/>
    <w:semiHidden/>
    <w:qFormat/>
  </w:style>
  <w:style w:type="paragraph" w:styleId="10">
    <w:name w:val="toc 1"/>
    <w:next w:val="af1"/>
    <w:semiHidden/>
    <w:qFormat/>
    <w:pPr>
      <w:jc w:val="both"/>
    </w:pPr>
    <w:rPr>
      <w:rFonts w:ascii="宋体" w:hAnsi="Times New Roman"/>
      <w:sz w:val="21"/>
    </w:rPr>
  </w:style>
  <w:style w:type="paragraph" w:styleId="af5">
    <w:name w:val="Normal Indent"/>
    <w:basedOn w:val="af1"/>
    <w:qFormat/>
    <w:pPr>
      <w:adjustRightInd w:val="0"/>
      <w:spacing w:line="360" w:lineRule="atLeast"/>
      <w:ind w:firstLine="420"/>
      <w:jc w:val="left"/>
    </w:pPr>
    <w:rPr>
      <w:kern w:val="0"/>
      <w:szCs w:val="20"/>
    </w:rPr>
  </w:style>
  <w:style w:type="paragraph" w:styleId="af6">
    <w:name w:val="annotation text"/>
    <w:basedOn w:val="af1"/>
    <w:link w:val="Char"/>
    <w:qFormat/>
    <w:pPr>
      <w:jc w:val="left"/>
    </w:pPr>
  </w:style>
  <w:style w:type="paragraph" w:styleId="HTML">
    <w:name w:val="HTML Address"/>
    <w:basedOn w:val="af1"/>
    <w:qFormat/>
    <w:rPr>
      <w:i/>
      <w:iCs/>
    </w:rPr>
  </w:style>
  <w:style w:type="paragraph" w:styleId="80">
    <w:name w:val="toc 8"/>
    <w:basedOn w:val="70"/>
    <w:next w:val="af1"/>
    <w:semiHidden/>
    <w:qFormat/>
  </w:style>
  <w:style w:type="paragraph" w:styleId="af7">
    <w:name w:val="Date"/>
    <w:basedOn w:val="af1"/>
    <w:next w:val="af1"/>
    <w:link w:val="Char0"/>
    <w:qFormat/>
    <w:pPr>
      <w:ind w:leftChars="2500" w:left="100"/>
    </w:pPr>
  </w:style>
  <w:style w:type="paragraph" w:styleId="af8">
    <w:name w:val="endnote text"/>
    <w:basedOn w:val="af1"/>
    <w:link w:val="Char1"/>
    <w:qFormat/>
    <w:pPr>
      <w:snapToGrid w:val="0"/>
      <w:jc w:val="left"/>
    </w:pPr>
  </w:style>
  <w:style w:type="paragraph" w:styleId="af9">
    <w:name w:val="Balloon Text"/>
    <w:basedOn w:val="af1"/>
    <w:link w:val="Char2"/>
    <w:qFormat/>
    <w:rPr>
      <w:sz w:val="18"/>
      <w:szCs w:val="18"/>
    </w:rPr>
  </w:style>
  <w:style w:type="paragraph" w:styleId="afa">
    <w:name w:val="footer"/>
    <w:basedOn w:val="af1"/>
    <w:qFormat/>
    <w:pPr>
      <w:tabs>
        <w:tab w:val="center" w:pos="4153"/>
        <w:tab w:val="right" w:pos="8306"/>
      </w:tabs>
      <w:snapToGrid w:val="0"/>
      <w:ind w:rightChars="100" w:right="210"/>
      <w:jc w:val="right"/>
    </w:pPr>
    <w:rPr>
      <w:sz w:val="18"/>
      <w:szCs w:val="18"/>
    </w:rPr>
  </w:style>
  <w:style w:type="paragraph" w:styleId="afb">
    <w:name w:val="header"/>
    <w:basedOn w:val="af1"/>
    <w:qFormat/>
    <w:pPr>
      <w:pBdr>
        <w:bottom w:val="single" w:sz="6" w:space="1" w:color="auto"/>
      </w:pBdr>
      <w:tabs>
        <w:tab w:val="center" w:pos="4153"/>
        <w:tab w:val="right" w:pos="8306"/>
      </w:tabs>
      <w:snapToGrid w:val="0"/>
      <w:jc w:val="center"/>
    </w:pPr>
    <w:rPr>
      <w:sz w:val="18"/>
      <w:szCs w:val="18"/>
    </w:rPr>
  </w:style>
  <w:style w:type="paragraph" w:styleId="afc">
    <w:name w:val="footnote text"/>
    <w:basedOn w:val="af1"/>
    <w:semiHidden/>
    <w:qFormat/>
    <w:pPr>
      <w:snapToGrid w:val="0"/>
      <w:jc w:val="left"/>
    </w:pPr>
    <w:rPr>
      <w:sz w:val="18"/>
      <w:szCs w:val="18"/>
    </w:rPr>
  </w:style>
  <w:style w:type="paragraph" w:styleId="90">
    <w:name w:val="toc 9"/>
    <w:basedOn w:val="80"/>
    <w:next w:val="af1"/>
    <w:semiHidden/>
    <w:qFormat/>
  </w:style>
  <w:style w:type="paragraph" w:styleId="HTML0">
    <w:name w:val="HTML Preformatted"/>
    <w:basedOn w:val="af1"/>
    <w:qFormat/>
    <w:rPr>
      <w:rFonts w:ascii="Courier New" w:hAnsi="Courier New" w:cs="Courier New"/>
      <w:sz w:val="20"/>
      <w:szCs w:val="20"/>
    </w:rPr>
  </w:style>
  <w:style w:type="paragraph" w:styleId="afd">
    <w:name w:val="Title"/>
    <w:basedOn w:val="af1"/>
    <w:qFormat/>
    <w:pPr>
      <w:spacing w:before="240" w:after="60"/>
      <w:jc w:val="center"/>
      <w:outlineLvl w:val="0"/>
    </w:pPr>
    <w:rPr>
      <w:rFonts w:ascii="Arial" w:hAnsi="Arial" w:cs="Arial"/>
      <w:b/>
      <w:bCs/>
      <w:sz w:val="32"/>
      <w:szCs w:val="32"/>
    </w:rPr>
  </w:style>
  <w:style w:type="paragraph" w:styleId="afe">
    <w:name w:val="annotation subject"/>
    <w:basedOn w:val="af6"/>
    <w:next w:val="af6"/>
    <w:link w:val="Char3"/>
    <w:qFormat/>
    <w:rPr>
      <w:b/>
      <w:bCs/>
    </w:rPr>
  </w:style>
  <w:style w:type="table" w:styleId="aff">
    <w:name w:val="Table Grid"/>
    <w:basedOn w:val="af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f2"/>
    <w:qFormat/>
    <w:rPr>
      <w:vertAlign w:val="superscript"/>
    </w:rPr>
  </w:style>
  <w:style w:type="character" w:styleId="aff1">
    <w:name w:val="page number"/>
    <w:basedOn w:val="af2"/>
    <w:qFormat/>
    <w:rPr>
      <w:rFonts w:ascii="Times New Roman" w:eastAsia="宋体" w:hAnsi="Times New Roman"/>
      <w:sz w:val="18"/>
    </w:rPr>
  </w:style>
  <w:style w:type="character" w:styleId="aff2">
    <w:name w:val="FollowedHyperlink"/>
    <w:basedOn w:val="af2"/>
    <w:qFormat/>
    <w:rPr>
      <w:color w:val="800080"/>
      <w:u w:val="single"/>
    </w:rPr>
  </w:style>
  <w:style w:type="character" w:styleId="HTML1">
    <w:name w:val="HTML Definition"/>
    <w:basedOn w:val="af2"/>
    <w:qFormat/>
    <w:rPr>
      <w:i/>
      <w:iCs/>
    </w:rPr>
  </w:style>
  <w:style w:type="character" w:styleId="HTML2">
    <w:name w:val="HTML Typewriter"/>
    <w:basedOn w:val="af2"/>
    <w:qFormat/>
    <w:rPr>
      <w:rFonts w:ascii="Courier New" w:hAnsi="Courier New"/>
      <w:sz w:val="20"/>
      <w:szCs w:val="20"/>
    </w:rPr>
  </w:style>
  <w:style w:type="character" w:styleId="HTML3">
    <w:name w:val="HTML Acronym"/>
    <w:basedOn w:val="af2"/>
    <w:qFormat/>
  </w:style>
  <w:style w:type="character" w:styleId="HTML4">
    <w:name w:val="HTML Variable"/>
    <w:basedOn w:val="af2"/>
    <w:qFormat/>
    <w:rPr>
      <w:i/>
      <w:iCs/>
    </w:rPr>
  </w:style>
  <w:style w:type="character" w:styleId="aff3">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2"/>
    <w:qFormat/>
    <w:rPr>
      <w:rFonts w:ascii="Courier New" w:hAnsi="Courier New"/>
      <w:sz w:val="20"/>
      <w:szCs w:val="20"/>
    </w:rPr>
  </w:style>
  <w:style w:type="character" w:styleId="aff4">
    <w:name w:val="annotation reference"/>
    <w:basedOn w:val="af2"/>
    <w:qFormat/>
    <w:rPr>
      <w:sz w:val="21"/>
      <w:szCs w:val="21"/>
    </w:rPr>
  </w:style>
  <w:style w:type="character" w:styleId="HTML6">
    <w:name w:val="HTML Cite"/>
    <w:basedOn w:val="af2"/>
    <w:qFormat/>
    <w:rPr>
      <w:i/>
      <w:iCs/>
    </w:rPr>
  </w:style>
  <w:style w:type="character" w:styleId="aff5">
    <w:name w:val="footnote reference"/>
    <w:basedOn w:val="af2"/>
    <w:semiHidden/>
    <w:qFormat/>
    <w:rPr>
      <w:vertAlign w:val="superscript"/>
    </w:rPr>
  </w:style>
  <w:style w:type="character" w:styleId="HTML7">
    <w:name w:val="HTML Keyboard"/>
    <w:basedOn w:val="af2"/>
    <w:qFormat/>
    <w:rPr>
      <w:rFonts w:ascii="Courier New" w:hAnsi="Courier New"/>
      <w:sz w:val="20"/>
      <w:szCs w:val="20"/>
    </w:rPr>
  </w:style>
  <w:style w:type="character" w:styleId="HTML8">
    <w:name w:val="HTML Sample"/>
    <w:basedOn w:val="af2"/>
    <w:qFormat/>
    <w:rPr>
      <w:rFonts w:ascii="Courier New" w:hAnsi="Courier New"/>
    </w:rPr>
  </w:style>
  <w:style w:type="paragraph" w:customStyle="1" w:styleId="aff6">
    <w:name w:val="标准标志"/>
    <w:next w:val="af1"/>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7">
    <w:name w:val="标准称谓"/>
    <w:next w:val="af1"/>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8">
    <w:name w:val="标准书脚_偶数页"/>
    <w:qFormat/>
    <w:pPr>
      <w:spacing w:before="120"/>
    </w:pPr>
    <w:rPr>
      <w:rFonts w:ascii="Times New Roman" w:hAnsi="Times New Roman"/>
      <w:sz w:val="18"/>
    </w:rPr>
  </w:style>
  <w:style w:type="paragraph" w:customStyle="1" w:styleId="aff9">
    <w:name w:val="标准书脚_奇数页"/>
    <w:qFormat/>
    <w:pPr>
      <w:spacing w:before="120"/>
      <w:jc w:val="right"/>
    </w:pPr>
    <w:rPr>
      <w:rFonts w:ascii="Times New Roman" w:hAnsi="Times New Roman"/>
      <w:sz w:val="18"/>
    </w:rPr>
  </w:style>
  <w:style w:type="paragraph" w:customStyle="1" w:styleId="affa">
    <w:name w:val="标准书眉_奇数页"/>
    <w:next w:val="af1"/>
    <w:qFormat/>
    <w:pPr>
      <w:tabs>
        <w:tab w:val="center" w:pos="4154"/>
        <w:tab w:val="right" w:pos="8306"/>
      </w:tabs>
      <w:spacing w:after="120"/>
      <w:jc w:val="right"/>
    </w:pPr>
    <w:rPr>
      <w:rFonts w:ascii="Times New Roman" w:hAnsi="Times New Roman"/>
      <w:sz w:val="21"/>
    </w:rPr>
  </w:style>
  <w:style w:type="paragraph" w:customStyle="1" w:styleId="affb">
    <w:name w:val="标准书眉_偶数页"/>
    <w:basedOn w:val="affa"/>
    <w:next w:val="af1"/>
    <w:qFormat/>
    <w:pPr>
      <w:jc w:val="left"/>
    </w:pPr>
  </w:style>
  <w:style w:type="paragraph" w:customStyle="1" w:styleId="affc">
    <w:name w:val="标准书眉一"/>
    <w:qFormat/>
    <w:pPr>
      <w:jc w:val="both"/>
    </w:pPr>
    <w:rPr>
      <w:rFonts w:ascii="Times New Roman" w:hAnsi="Times New Roman"/>
    </w:rPr>
  </w:style>
  <w:style w:type="paragraph" w:customStyle="1" w:styleId="a8">
    <w:name w:val="前言、引言标题"/>
    <w:next w:val="af1"/>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d">
    <w:name w:val="参考文献、索引标题"/>
    <w:basedOn w:val="a8"/>
    <w:next w:val="af1"/>
    <w:qFormat/>
    <w:pPr>
      <w:numPr>
        <w:numId w:val="0"/>
      </w:numPr>
      <w:spacing w:after="200"/>
    </w:pPr>
    <w:rPr>
      <w:sz w:val="21"/>
    </w:rPr>
  </w:style>
  <w:style w:type="paragraph" w:customStyle="1" w:styleId="affe">
    <w:name w:val="段"/>
    <w:link w:val="Char4"/>
    <w:qFormat/>
    <w:pPr>
      <w:autoSpaceDE w:val="0"/>
      <w:autoSpaceDN w:val="0"/>
      <w:ind w:firstLineChars="200" w:firstLine="200"/>
      <w:jc w:val="both"/>
    </w:pPr>
    <w:rPr>
      <w:rFonts w:ascii="宋体" w:hAnsi="Times New Roman"/>
      <w:sz w:val="21"/>
    </w:rPr>
  </w:style>
  <w:style w:type="paragraph" w:customStyle="1" w:styleId="a9">
    <w:name w:val="章标题"/>
    <w:next w:val="affe"/>
    <w:qFormat/>
    <w:pPr>
      <w:numPr>
        <w:ilvl w:val="1"/>
        <w:numId w:val="1"/>
      </w:numPr>
      <w:spacing w:beforeLines="50" w:afterLines="50"/>
      <w:jc w:val="both"/>
      <w:outlineLvl w:val="1"/>
    </w:pPr>
    <w:rPr>
      <w:rFonts w:ascii="黑体" w:eastAsia="黑体" w:hAnsi="Times New Roman"/>
      <w:sz w:val="21"/>
    </w:rPr>
  </w:style>
  <w:style w:type="paragraph" w:customStyle="1" w:styleId="aa">
    <w:name w:val="一级条标题"/>
    <w:next w:val="affe"/>
    <w:link w:val="Char5"/>
    <w:qFormat/>
    <w:pPr>
      <w:numPr>
        <w:ilvl w:val="2"/>
        <w:numId w:val="1"/>
      </w:numPr>
      <w:outlineLvl w:val="2"/>
    </w:pPr>
    <w:rPr>
      <w:rFonts w:ascii="Times New Roman" w:eastAsia="黑体" w:hAnsi="Times New Roman"/>
      <w:sz w:val="21"/>
    </w:rPr>
  </w:style>
  <w:style w:type="paragraph" w:customStyle="1" w:styleId="ab">
    <w:name w:val="二级条标题"/>
    <w:basedOn w:val="aa"/>
    <w:next w:val="affe"/>
    <w:link w:val="Char6"/>
    <w:qFormat/>
    <w:pPr>
      <w:numPr>
        <w:ilvl w:val="3"/>
      </w:numPr>
      <w:outlineLvl w:val="3"/>
    </w:pPr>
  </w:style>
  <w:style w:type="character" w:customStyle="1" w:styleId="afff">
    <w:name w:val="发布"/>
    <w:basedOn w:val="af2"/>
    <w:qFormat/>
    <w:rPr>
      <w:rFonts w:ascii="黑体" w:eastAsia="黑体"/>
      <w:spacing w:val="22"/>
      <w:w w:val="100"/>
      <w:position w:val="3"/>
      <w:sz w:val="28"/>
    </w:rPr>
  </w:style>
  <w:style w:type="paragraph" w:customStyle="1" w:styleId="afff0">
    <w:name w:val="发布部门"/>
    <w:next w:val="affe"/>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2">
    <w:name w:val="封面标准代替信息"/>
    <w:basedOn w:val="21"/>
    <w:qFormat/>
    <w:pPr>
      <w:framePr w:wrap="around"/>
      <w:spacing w:before="57"/>
    </w:pPr>
    <w:rPr>
      <w:rFonts w:ascii="宋体"/>
      <w:sz w:val="21"/>
    </w:rPr>
  </w:style>
  <w:style w:type="paragraph" w:customStyle="1" w:styleId="a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4">
    <w:name w:val="封面标准文稿编辑信息"/>
    <w:qFormat/>
    <w:pPr>
      <w:spacing w:before="180" w:line="180" w:lineRule="exact"/>
      <w:jc w:val="center"/>
    </w:pPr>
    <w:rPr>
      <w:rFonts w:ascii="宋体" w:hAnsi="Times New Roman"/>
      <w:sz w:val="21"/>
    </w:rPr>
  </w:style>
  <w:style w:type="paragraph" w:customStyle="1" w:styleId="afff5">
    <w:name w:val="封面标准文稿类别"/>
    <w:qFormat/>
    <w:pPr>
      <w:spacing w:before="440" w:line="400" w:lineRule="exact"/>
      <w:jc w:val="center"/>
    </w:pPr>
    <w:rPr>
      <w:rFonts w:ascii="宋体" w:hAnsi="Times New Roman"/>
      <w:sz w:val="24"/>
    </w:rPr>
  </w:style>
  <w:style w:type="paragraph" w:customStyle="1" w:styleId="afff6">
    <w:name w:val="封面标准英文名称"/>
    <w:qFormat/>
    <w:pPr>
      <w:widowControl w:val="0"/>
      <w:spacing w:before="370" w:line="400" w:lineRule="exact"/>
      <w:jc w:val="center"/>
    </w:pPr>
    <w:rPr>
      <w:rFonts w:ascii="Times New Roman" w:hAnsi="Times New Roman"/>
      <w:sz w:val="28"/>
    </w:rPr>
  </w:style>
  <w:style w:type="paragraph" w:customStyle="1" w:styleId="afff7">
    <w:name w:val="封面一致性程度标识"/>
    <w:qFormat/>
    <w:pPr>
      <w:spacing w:before="440" w:line="400" w:lineRule="exact"/>
      <w:jc w:val="center"/>
    </w:pPr>
    <w:rPr>
      <w:rFonts w:ascii="宋体" w:hAnsi="Times New Roman"/>
      <w:sz w:val="28"/>
    </w:rPr>
  </w:style>
  <w:style w:type="paragraph" w:customStyle="1" w:styleId="afff8">
    <w:name w:val="封面正文"/>
    <w:qFormat/>
    <w:pPr>
      <w:jc w:val="both"/>
    </w:pPr>
    <w:rPr>
      <w:rFonts w:ascii="Times New Roman" w:hAnsi="Times New Roman"/>
    </w:rPr>
  </w:style>
  <w:style w:type="paragraph" w:customStyle="1" w:styleId="a7">
    <w:name w:val="附录标识"/>
    <w:basedOn w:val="a8"/>
    <w:qFormat/>
    <w:pPr>
      <w:numPr>
        <w:numId w:val="2"/>
      </w:numPr>
      <w:tabs>
        <w:tab w:val="left" w:pos="6405"/>
      </w:tabs>
      <w:spacing w:after="200"/>
    </w:pPr>
    <w:rPr>
      <w:sz w:val="21"/>
    </w:rPr>
  </w:style>
  <w:style w:type="paragraph" w:customStyle="1" w:styleId="a3">
    <w:name w:val="附录表标题"/>
    <w:next w:val="affe"/>
    <w:qFormat/>
    <w:pPr>
      <w:numPr>
        <w:numId w:val="3"/>
      </w:numPr>
      <w:jc w:val="center"/>
      <w:textAlignment w:val="baseline"/>
    </w:pPr>
    <w:rPr>
      <w:rFonts w:ascii="黑体" w:eastAsia="黑体" w:hAnsi="Times New Roman"/>
      <w:kern w:val="21"/>
      <w:sz w:val="21"/>
    </w:rPr>
  </w:style>
  <w:style w:type="paragraph" w:customStyle="1" w:styleId="afff9">
    <w:name w:val="附录章标题"/>
    <w:next w:val="affe"/>
    <w:link w:val="Char7"/>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a">
    <w:name w:val="附录一级条标题"/>
    <w:basedOn w:val="afff9"/>
    <w:next w:val="affe"/>
    <w:qFormat/>
    <w:pPr>
      <w:autoSpaceDN w:val="0"/>
      <w:spacing w:beforeLines="0" w:afterLines="0"/>
      <w:outlineLvl w:val="2"/>
    </w:pPr>
  </w:style>
  <w:style w:type="paragraph" w:customStyle="1" w:styleId="afffb">
    <w:name w:val="附录二级条标题"/>
    <w:basedOn w:val="afffa"/>
    <w:next w:val="affe"/>
    <w:qFormat/>
    <w:pPr>
      <w:outlineLvl w:val="3"/>
    </w:pPr>
  </w:style>
  <w:style w:type="paragraph" w:customStyle="1" w:styleId="afffc">
    <w:name w:val="附录三级条标题"/>
    <w:basedOn w:val="afffb"/>
    <w:next w:val="affe"/>
    <w:qFormat/>
    <w:pPr>
      <w:outlineLvl w:val="4"/>
    </w:pPr>
  </w:style>
  <w:style w:type="paragraph" w:customStyle="1" w:styleId="afffd">
    <w:name w:val="附录四级条标题"/>
    <w:basedOn w:val="afffc"/>
    <w:next w:val="affe"/>
    <w:qFormat/>
    <w:pPr>
      <w:outlineLvl w:val="5"/>
    </w:pPr>
  </w:style>
  <w:style w:type="paragraph" w:customStyle="1" w:styleId="a0">
    <w:name w:val="附录图标题"/>
    <w:next w:val="affe"/>
    <w:qFormat/>
    <w:pPr>
      <w:numPr>
        <w:numId w:val="4"/>
      </w:numPr>
      <w:jc w:val="center"/>
    </w:pPr>
    <w:rPr>
      <w:rFonts w:ascii="黑体" w:eastAsia="黑体" w:hAnsi="Times New Roman"/>
      <w:sz w:val="21"/>
    </w:rPr>
  </w:style>
  <w:style w:type="paragraph" w:customStyle="1" w:styleId="afffe">
    <w:name w:val="附录五级条标题"/>
    <w:basedOn w:val="afffd"/>
    <w:next w:val="affe"/>
    <w:qFormat/>
    <w:pPr>
      <w:outlineLvl w:val="6"/>
    </w:pPr>
  </w:style>
  <w:style w:type="character" w:customStyle="1" w:styleId="affff">
    <w:name w:val="个人答复风格"/>
    <w:basedOn w:val="af2"/>
    <w:qFormat/>
    <w:rPr>
      <w:rFonts w:ascii="Arial" w:eastAsia="宋体" w:hAnsi="Arial" w:cs="Arial"/>
      <w:color w:val="auto"/>
      <w:sz w:val="20"/>
    </w:rPr>
  </w:style>
  <w:style w:type="character" w:customStyle="1" w:styleId="affff0">
    <w:name w:val="个人撰写风格"/>
    <w:basedOn w:val="af2"/>
    <w:qFormat/>
    <w:rPr>
      <w:rFonts w:ascii="Arial" w:eastAsia="宋体" w:hAnsi="Arial" w:cs="Arial"/>
      <w:color w:val="auto"/>
      <w:sz w:val="20"/>
    </w:rPr>
  </w:style>
  <w:style w:type="paragraph" w:customStyle="1" w:styleId="af0">
    <w:name w:val="列项——（一级）"/>
    <w:qFormat/>
    <w:pPr>
      <w:widowControl w:val="0"/>
      <w:numPr>
        <w:numId w:val="5"/>
      </w:numPr>
      <w:tabs>
        <w:tab w:val="clear" w:pos="1146"/>
        <w:tab w:val="left" w:pos="854"/>
      </w:tabs>
      <w:ind w:leftChars="200" w:left="200" w:hangingChars="200" w:hanging="200"/>
      <w:jc w:val="both"/>
    </w:pPr>
    <w:rPr>
      <w:rFonts w:ascii="宋体" w:hAnsi="Times New Roman"/>
      <w:sz w:val="21"/>
    </w:rPr>
  </w:style>
  <w:style w:type="paragraph" w:customStyle="1" w:styleId="a5">
    <w:name w:val="列项●（二级）"/>
    <w:qFormat/>
    <w:pPr>
      <w:numPr>
        <w:numId w:val="6"/>
      </w:numPr>
      <w:tabs>
        <w:tab w:val="left" w:pos="840"/>
      </w:tabs>
      <w:ind w:leftChars="400" w:left="600" w:hangingChars="200" w:hanging="200"/>
      <w:jc w:val="both"/>
    </w:pPr>
    <w:rPr>
      <w:rFonts w:ascii="宋体" w:hAnsi="Times New Roman"/>
      <w:sz w:val="21"/>
    </w:rPr>
  </w:style>
  <w:style w:type="paragraph" w:customStyle="1" w:styleId="affff1">
    <w:name w:val="目次、标准名称标题"/>
    <w:basedOn w:val="a8"/>
    <w:next w:val="affe"/>
    <w:qFormat/>
    <w:pPr>
      <w:spacing w:line="460" w:lineRule="exact"/>
    </w:pPr>
  </w:style>
  <w:style w:type="paragraph" w:customStyle="1" w:styleId="affff2">
    <w:name w:val="目次、索引正文"/>
    <w:qFormat/>
    <w:pPr>
      <w:spacing w:line="320" w:lineRule="exact"/>
      <w:jc w:val="both"/>
    </w:pPr>
    <w:rPr>
      <w:rFonts w:ascii="宋体" w:hAnsi="Times New Roman"/>
      <w:sz w:val="21"/>
    </w:rPr>
  </w:style>
  <w:style w:type="paragraph" w:customStyle="1" w:styleId="affff3">
    <w:name w:val="其他标准称谓"/>
    <w:qFormat/>
    <w:pPr>
      <w:spacing w:line="0" w:lineRule="atLeast"/>
      <w:jc w:val="distribute"/>
    </w:pPr>
    <w:rPr>
      <w:rFonts w:ascii="黑体" w:eastAsia="黑体" w:hAnsi="宋体"/>
      <w:sz w:val="52"/>
    </w:rPr>
  </w:style>
  <w:style w:type="paragraph" w:customStyle="1" w:styleId="affff4">
    <w:name w:val="其他发布部门"/>
    <w:basedOn w:val="afff0"/>
    <w:qFormat/>
    <w:pPr>
      <w:framePr w:wrap="around"/>
      <w:spacing w:line="0" w:lineRule="atLeast"/>
    </w:pPr>
    <w:rPr>
      <w:rFonts w:ascii="黑体" w:eastAsia="黑体"/>
      <w:b w:val="0"/>
    </w:rPr>
  </w:style>
  <w:style w:type="paragraph" w:customStyle="1" w:styleId="ac">
    <w:name w:val="三级条标题"/>
    <w:basedOn w:val="ab"/>
    <w:next w:val="affe"/>
    <w:qFormat/>
    <w:pPr>
      <w:numPr>
        <w:ilvl w:val="4"/>
      </w:numPr>
      <w:outlineLvl w:val="4"/>
    </w:pPr>
  </w:style>
  <w:style w:type="paragraph" w:customStyle="1" w:styleId="affff5">
    <w:name w:val="实施日期"/>
    <w:basedOn w:val="afff1"/>
    <w:qFormat/>
    <w:pPr>
      <w:framePr w:hSpace="0" w:wrap="around" w:xAlign="right"/>
      <w:jc w:val="right"/>
    </w:pPr>
  </w:style>
  <w:style w:type="paragraph" w:customStyle="1" w:styleId="a">
    <w:name w:val="示例"/>
    <w:next w:val="affe"/>
    <w:qFormat/>
    <w:pPr>
      <w:numPr>
        <w:numId w:val="7"/>
      </w:numPr>
      <w:tabs>
        <w:tab w:val="left" w:pos="816"/>
      </w:tabs>
      <w:ind w:firstLineChars="233" w:firstLine="419"/>
      <w:jc w:val="both"/>
    </w:pPr>
    <w:rPr>
      <w:rFonts w:ascii="宋体" w:hAnsi="Times New Roman"/>
      <w:sz w:val="18"/>
    </w:rPr>
  </w:style>
  <w:style w:type="paragraph" w:customStyle="1" w:styleId="affff6">
    <w:name w:val="数字编号列项（二级）"/>
    <w:qFormat/>
    <w:pPr>
      <w:ind w:leftChars="400" w:left="1260" w:hangingChars="200" w:hanging="420"/>
      <w:jc w:val="both"/>
    </w:pPr>
    <w:rPr>
      <w:rFonts w:ascii="宋体" w:hAnsi="Times New Roman"/>
      <w:sz w:val="21"/>
    </w:rPr>
  </w:style>
  <w:style w:type="paragraph" w:customStyle="1" w:styleId="ad">
    <w:name w:val="四级条标题"/>
    <w:basedOn w:val="ac"/>
    <w:next w:val="affe"/>
    <w:qFormat/>
    <w:pPr>
      <w:numPr>
        <w:ilvl w:val="5"/>
      </w:numPr>
      <w:outlineLvl w:val="5"/>
    </w:pPr>
  </w:style>
  <w:style w:type="paragraph" w:customStyle="1" w:styleId="affff7">
    <w:name w:val="条文脚注"/>
    <w:basedOn w:val="afc"/>
    <w:qFormat/>
    <w:pPr>
      <w:ind w:leftChars="200" w:left="780" w:hangingChars="200" w:hanging="360"/>
      <w:jc w:val="both"/>
    </w:pPr>
    <w:rPr>
      <w:rFonts w:ascii="宋体"/>
    </w:rPr>
  </w:style>
  <w:style w:type="paragraph" w:customStyle="1" w:styleId="affff8">
    <w:name w:val="图表脚注"/>
    <w:next w:val="affe"/>
    <w:qFormat/>
    <w:pPr>
      <w:ind w:leftChars="200" w:left="300" w:hangingChars="100" w:hanging="100"/>
      <w:jc w:val="both"/>
    </w:pPr>
    <w:rPr>
      <w:rFonts w:ascii="宋体" w:hAnsi="Times New Roman"/>
      <w:sz w:val="18"/>
    </w:rPr>
  </w:style>
  <w:style w:type="paragraph" w:customStyle="1" w:styleId="affff9">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e">
    <w:name w:val="五级条标题"/>
    <w:basedOn w:val="ad"/>
    <w:next w:val="affe"/>
    <w:qFormat/>
    <w:pPr>
      <w:numPr>
        <w:ilvl w:val="6"/>
      </w:numPr>
      <w:outlineLvl w:val="6"/>
    </w:pPr>
  </w:style>
  <w:style w:type="paragraph" w:customStyle="1" w:styleId="a6">
    <w:name w:val="正文表标题"/>
    <w:next w:val="affe"/>
    <w:qFormat/>
    <w:pPr>
      <w:numPr>
        <w:numId w:val="8"/>
      </w:numPr>
      <w:ind w:left="3686"/>
      <w:jc w:val="center"/>
    </w:pPr>
    <w:rPr>
      <w:rFonts w:ascii="黑体" w:eastAsia="黑体" w:hAnsi="Times New Roman"/>
      <w:sz w:val="21"/>
    </w:rPr>
  </w:style>
  <w:style w:type="paragraph" w:customStyle="1" w:styleId="a4">
    <w:name w:val="正文图标题"/>
    <w:next w:val="affe"/>
    <w:qFormat/>
    <w:pPr>
      <w:numPr>
        <w:numId w:val="9"/>
      </w:numPr>
      <w:jc w:val="center"/>
    </w:pPr>
    <w:rPr>
      <w:rFonts w:ascii="黑体" w:eastAsia="黑体" w:hAnsi="Times New Roman"/>
      <w:sz w:val="21"/>
    </w:rPr>
  </w:style>
  <w:style w:type="paragraph" w:customStyle="1" w:styleId="af">
    <w:name w:val="注："/>
    <w:next w:val="affe"/>
    <w:qFormat/>
    <w:pPr>
      <w:widowControl w:val="0"/>
      <w:numPr>
        <w:numId w:val="10"/>
      </w:numPr>
      <w:tabs>
        <w:tab w:val="clear" w:pos="1287"/>
      </w:tabs>
      <w:autoSpaceDE w:val="0"/>
      <w:autoSpaceDN w:val="0"/>
      <w:ind w:left="840"/>
      <w:jc w:val="both"/>
    </w:pPr>
    <w:rPr>
      <w:rFonts w:ascii="宋体" w:hAnsi="Times New Roman"/>
      <w:sz w:val="18"/>
    </w:rPr>
  </w:style>
  <w:style w:type="paragraph" w:customStyle="1" w:styleId="a2">
    <w:name w:val="注×："/>
    <w:qFormat/>
    <w:pPr>
      <w:widowControl w:val="0"/>
      <w:numPr>
        <w:numId w:val="11"/>
      </w:numPr>
      <w:tabs>
        <w:tab w:val="left" w:pos="630"/>
      </w:tabs>
      <w:autoSpaceDE w:val="0"/>
      <w:autoSpaceDN w:val="0"/>
      <w:jc w:val="both"/>
    </w:pPr>
    <w:rPr>
      <w:rFonts w:ascii="宋体" w:hAnsi="Times New Roman"/>
      <w:sz w:val="18"/>
    </w:rPr>
  </w:style>
  <w:style w:type="paragraph" w:customStyle="1" w:styleId="affffa">
    <w:name w:val="字母编号列项（一级）"/>
    <w:qFormat/>
    <w:pPr>
      <w:ind w:leftChars="200" w:left="840" w:hangingChars="200" w:hanging="420"/>
      <w:jc w:val="both"/>
    </w:pPr>
    <w:rPr>
      <w:rFonts w:ascii="宋体" w:hAnsi="Times New Roman"/>
      <w:sz w:val="21"/>
    </w:rPr>
  </w:style>
  <w:style w:type="paragraph" w:customStyle="1" w:styleId="a1">
    <w:name w:val="列项◆（三级）"/>
    <w:qFormat/>
    <w:pPr>
      <w:numPr>
        <w:numId w:val="12"/>
      </w:numPr>
      <w:ind w:leftChars="600" w:left="800" w:hangingChars="200" w:hanging="200"/>
    </w:pPr>
    <w:rPr>
      <w:rFonts w:ascii="宋体" w:hAnsi="Times New Roman"/>
      <w:sz w:val="21"/>
    </w:rPr>
  </w:style>
  <w:style w:type="paragraph" w:customStyle="1" w:styleId="affffb">
    <w:name w:val="编号列项（三级）"/>
    <w:qFormat/>
    <w:pPr>
      <w:ind w:leftChars="600" w:left="800" w:hangingChars="200" w:hanging="200"/>
    </w:pPr>
    <w:rPr>
      <w:rFonts w:ascii="宋体" w:hAnsi="Times New Roman"/>
      <w:sz w:val="21"/>
    </w:rPr>
  </w:style>
  <w:style w:type="paragraph" w:customStyle="1" w:styleId="Char8">
    <w:name w:val="Char"/>
    <w:basedOn w:val="af1"/>
    <w:qFormat/>
    <w:pPr>
      <w:widowControl/>
      <w:spacing w:after="160" w:line="240" w:lineRule="exact"/>
      <w:jc w:val="left"/>
    </w:pPr>
    <w:rPr>
      <w:rFonts w:ascii="Verdana" w:hAnsi="Verdana"/>
      <w:kern w:val="0"/>
      <w:sz w:val="20"/>
      <w:szCs w:val="20"/>
      <w:lang w:eastAsia="en-US"/>
    </w:rPr>
  </w:style>
  <w:style w:type="paragraph" w:customStyle="1" w:styleId="Char10">
    <w:name w:val="Char1"/>
    <w:basedOn w:val="af1"/>
    <w:qFormat/>
    <w:pPr>
      <w:widowControl/>
      <w:spacing w:after="160" w:line="240" w:lineRule="exact"/>
      <w:jc w:val="left"/>
    </w:pPr>
    <w:rPr>
      <w:rFonts w:ascii="Verdana" w:hAnsi="Verdana"/>
      <w:kern w:val="0"/>
      <w:sz w:val="20"/>
      <w:szCs w:val="20"/>
      <w:lang w:eastAsia="en-US"/>
    </w:rPr>
  </w:style>
  <w:style w:type="character" w:customStyle="1" w:styleId="Char0">
    <w:name w:val="日期 Char"/>
    <w:basedOn w:val="af2"/>
    <w:link w:val="af7"/>
    <w:qFormat/>
    <w:rPr>
      <w:kern w:val="2"/>
      <w:sz w:val="21"/>
      <w:szCs w:val="24"/>
    </w:rPr>
  </w:style>
  <w:style w:type="character" w:customStyle="1" w:styleId="Char2">
    <w:name w:val="批注框文本 Char"/>
    <w:basedOn w:val="af2"/>
    <w:link w:val="af9"/>
    <w:qFormat/>
    <w:rPr>
      <w:kern w:val="2"/>
      <w:sz w:val="18"/>
      <w:szCs w:val="18"/>
    </w:rPr>
  </w:style>
  <w:style w:type="paragraph" w:styleId="affffc">
    <w:name w:val="List Paragraph"/>
    <w:basedOn w:val="af1"/>
    <w:uiPriority w:val="34"/>
    <w:qFormat/>
    <w:pPr>
      <w:ind w:firstLineChars="200" w:firstLine="420"/>
    </w:pPr>
  </w:style>
  <w:style w:type="character" w:customStyle="1" w:styleId="Char1">
    <w:name w:val="尾注文本 Char"/>
    <w:basedOn w:val="af2"/>
    <w:link w:val="af8"/>
    <w:qFormat/>
    <w:rPr>
      <w:kern w:val="2"/>
      <w:sz w:val="21"/>
      <w:szCs w:val="24"/>
    </w:rPr>
  </w:style>
  <w:style w:type="character" w:customStyle="1" w:styleId="Char">
    <w:name w:val="批注文字 Char"/>
    <w:basedOn w:val="af2"/>
    <w:link w:val="af6"/>
    <w:rPr>
      <w:kern w:val="2"/>
      <w:sz w:val="21"/>
      <w:szCs w:val="24"/>
    </w:rPr>
  </w:style>
  <w:style w:type="character" w:customStyle="1" w:styleId="Char3">
    <w:name w:val="批注主题 Char"/>
    <w:basedOn w:val="Char"/>
    <w:link w:val="afe"/>
    <w:qFormat/>
    <w:rPr>
      <w:b/>
      <w:bCs/>
      <w:kern w:val="2"/>
      <w:sz w:val="21"/>
      <w:szCs w:val="24"/>
    </w:rPr>
  </w:style>
  <w:style w:type="character" w:customStyle="1" w:styleId="Char7">
    <w:name w:val="附录章标题 Char"/>
    <w:link w:val="afff9"/>
    <w:qFormat/>
    <w:rPr>
      <w:rFonts w:ascii="黑体" w:eastAsia="黑体" w:hAnsi="Times New Roman"/>
      <w:kern w:val="21"/>
      <w:sz w:val="21"/>
    </w:rPr>
  </w:style>
  <w:style w:type="character" w:customStyle="1" w:styleId="Char4">
    <w:name w:val="段 Char"/>
    <w:link w:val="affe"/>
    <w:rPr>
      <w:rFonts w:ascii="宋体" w:hAnsi="Times New Roman"/>
      <w:sz w:val="21"/>
    </w:rPr>
  </w:style>
  <w:style w:type="character" w:customStyle="1" w:styleId="Char6">
    <w:name w:val="二级条标题 Char"/>
    <w:link w:val="ab"/>
    <w:rPr>
      <w:rFonts w:ascii="Times New Roman" w:eastAsia="黑体" w:hAnsi="Times New Roman"/>
      <w:sz w:val="21"/>
    </w:rPr>
  </w:style>
  <w:style w:type="character" w:customStyle="1" w:styleId="Char5">
    <w:name w:val="一级条标题 Char"/>
    <w:link w:val="aa"/>
    <w:rPr>
      <w:rFonts w:ascii="Times New Roman" w:eastAsia="黑体" w:hAnsi="Times New Roman"/>
      <w:sz w:val="21"/>
    </w:rPr>
  </w:style>
  <w:style w:type="character" w:styleId="affffd">
    <w:name w:val="Subtle Reference"/>
    <w:basedOn w:val="af2"/>
    <w:uiPriority w:val="31"/>
    <w:qFormat/>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1">
    <w:name w:val="Normal"/>
    <w:qFormat/>
    <w:pPr>
      <w:widowControl w:val="0"/>
      <w:jc w:val="both"/>
    </w:pPr>
    <w:rPr>
      <w:rFonts w:ascii="Times New Roman" w:hAnsi="Times New Roman"/>
      <w:kern w:val="2"/>
      <w:sz w:val="21"/>
      <w:szCs w:val="24"/>
    </w:rPr>
  </w:style>
  <w:style w:type="paragraph" w:styleId="1">
    <w:name w:val="heading 1"/>
    <w:basedOn w:val="af1"/>
    <w:next w:val="af1"/>
    <w:qFormat/>
    <w:pPr>
      <w:keepNext/>
      <w:keepLines/>
      <w:spacing w:before="340" w:after="330" w:line="578" w:lineRule="auto"/>
      <w:outlineLvl w:val="0"/>
    </w:pPr>
    <w:rPr>
      <w:b/>
      <w:bCs/>
      <w:kern w:val="44"/>
      <w:sz w:val="44"/>
      <w:szCs w:val="44"/>
    </w:rPr>
  </w:style>
  <w:style w:type="paragraph" w:styleId="2">
    <w:name w:val="heading 2"/>
    <w:basedOn w:val="af1"/>
    <w:next w:val="af1"/>
    <w:qFormat/>
    <w:pPr>
      <w:keepNext/>
      <w:keepLines/>
      <w:spacing w:before="260" w:after="260" w:line="416" w:lineRule="auto"/>
      <w:outlineLvl w:val="1"/>
    </w:pPr>
    <w:rPr>
      <w:rFonts w:ascii="Arial" w:eastAsia="黑体" w:hAnsi="Arial"/>
      <w:b/>
      <w:bCs/>
      <w:sz w:val="32"/>
      <w:szCs w:val="32"/>
    </w:rPr>
  </w:style>
  <w:style w:type="paragraph" w:styleId="3">
    <w:name w:val="heading 3"/>
    <w:basedOn w:val="af1"/>
    <w:next w:val="af1"/>
    <w:qFormat/>
    <w:pPr>
      <w:keepNext/>
      <w:keepLines/>
      <w:spacing w:before="260" w:after="260" w:line="416" w:lineRule="auto"/>
      <w:outlineLvl w:val="2"/>
    </w:pPr>
    <w:rPr>
      <w:b/>
      <w:bCs/>
      <w:sz w:val="32"/>
      <w:szCs w:val="32"/>
    </w:rPr>
  </w:style>
  <w:style w:type="paragraph" w:styleId="4">
    <w:name w:val="heading 4"/>
    <w:basedOn w:val="af1"/>
    <w:next w:val="af1"/>
    <w:qFormat/>
    <w:pPr>
      <w:keepNext/>
      <w:keepLines/>
      <w:spacing w:before="280" w:after="290" w:line="376" w:lineRule="auto"/>
      <w:outlineLvl w:val="3"/>
    </w:pPr>
    <w:rPr>
      <w:rFonts w:ascii="Arial" w:eastAsia="黑体" w:hAnsi="Arial"/>
      <w:b/>
      <w:bCs/>
      <w:sz w:val="28"/>
      <w:szCs w:val="28"/>
    </w:rPr>
  </w:style>
  <w:style w:type="paragraph" w:styleId="5">
    <w:name w:val="heading 5"/>
    <w:basedOn w:val="af1"/>
    <w:next w:val="af1"/>
    <w:qFormat/>
    <w:pPr>
      <w:keepNext/>
      <w:keepLines/>
      <w:spacing w:before="280" w:after="290" w:line="376" w:lineRule="auto"/>
      <w:outlineLvl w:val="4"/>
    </w:pPr>
    <w:rPr>
      <w:b/>
      <w:bCs/>
      <w:sz w:val="28"/>
      <w:szCs w:val="28"/>
    </w:rPr>
  </w:style>
  <w:style w:type="paragraph" w:styleId="6">
    <w:name w:val="heading 6"/>
    <w:basedOn w:val="af1"/>
    <w:next w:val="af1"/>
    <w:qFormat/>
    <w:pPr>
      <w:keepNext/>
      <w:keepLines/>
      <w:spacing w:before="240" w:after="64" w:line="320" w:lineRule="auto"/>
      <w:outlineLvl w:val="5"/>
    </w:pPr>
    <w:rPr>
      <w:rFonts w:ascii="Arial" w:eastAsia="黑体" w:hAnsi="Arial"/>
      <w:b/>
      <w:bCs/>
      <w:sz w:val="24"/>
    </w:rPr>
  </w:style>
  <w:style w:type="paragraph" w:styleId="7">
    <w:name w:val="heading 7"/>
    <w:basedOn w:val="af1"/>
    <w:next w:val="af1"/>
    <w:qFormat/>
    <w:pPr>
      <w:keepNext/>
      <w:keepLines/>
      <w:spacing w:before="240" w:after="64" w:line="320" w:lineRule="auto"/>
      <w:outlineLvl w:val="6"/>
    </w:pPr>
    <w:rPr>
      <w:b/>
      <w:bCs/>
      <w:sz w:val="24"/>
    </w:rPr>
  </w:style>
  <w:style w:type="paragraph" w:styleId="8">
    <w:name w:val="heading 8"/>
    <w:basedOn w:val="af1"/>
    <w:next w:val="af1"/>
    <w:qFormat/>
    <w:pPr>
      <w:keepNext/>
      <w:keepLines/>
      <w:spacing w:before="240" w:after="64" w:line="320" w:lineRule="auto"/>
      <w:outlineLvl w:val="7"/>
    </w:pPr>
    <w:rPr>
      <w:rFonts w:ascii="Arial" w:eastAsia="黑体" w:hAnsi="Arial"/>
      <w:sz w:val="24"/>
    </w:rPr>
  </w:style>
  <w:style w:type="paragraph" w:styleId="9">
    <w:name w:val="heading 9"/>
    <w:basedOn w:val="af1"/>
    <w:next w:val="af1"/>
    <w:qFormat/>
    <w:pPr>
      <w:keepNext/>
      <w:keepLines/>
      <w:spacing w:before="240" w:after="64" w:line="320" w:lineRule="auto"/>
      <w:outlineLvl w:val="8"/>
    </w:pPr>
    <w:rPr>
      <w:rFonts w:ascii="Arial" w:eastAsia="黑体" w:hAnsi="Arial"/>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70">
    <w:name w:val="toc 7"/>
    <w:basedOn w:val="60"/>
    <w:next w:val="af1"/>
    <w:semiHidden/>
    <w:qFormat/>
  </w:style>
  <w:style w:type="paragraph" w:styleId="60">
    <w:name w:val="toc 6"/>
    <w:basedOn w:val="50"/>
    <w:next w:val="af1"/>
    <w:semiHidden/>
    <w:qFormat/>
  </w:style>
  <w:style w:type="paragraph" w:styleId="50">
    <w:name w:val="toc 5"/>
    <w:basedOn w:val="40"/>
    <w:next w:val="af1"/>
    <w:semiHidden/>
    <w:qFormat/>
  </w:style>
  <w:style w:type="paragraph" w:styleId="40">
    <w:name w:val="toc 4"/>
    <w:basedOn w:val="30"/>
    <w:next w:val="af1"/>
    <w:semiHidden/>
    <w:qFormat/>
  </w:style>
  <w:style w:type="paragraph" w:styleId="30">
    <w:name w:val="toc 3"/>
    <w:basedOn w:val="20"/>
    <w:next w:val="af1"/>
    <w:semiHidden/>
    <w:qFormat/>
  </w:style>
  <w:style w:type="paragraph" w:styleId="20">
    <w:name w:val="toc 2"/>
    <w:basedOn w:val="10"/>
    <w:next w:val="af1"/>
    <w:semiHidden/>
    <w:qFormat/>
  </w:style>
  <w:style w:type="paragraph" w:styleId="10">
    <w:name w:val="toc 1"/>
    <w:next w:val="af1"/>
    <w:semiHidden/>
    <w:qFormat/>
    <w:pPr>
      <w:jc w:val="both"/>
    </w:pPr>
    <w:rPr>
      <w:rFonts w:ascii="宋体" w:hAnsi="Times New Roman"/>
      <w:sz w:val="21"/>
    </w:rPr>
  </w:style>
  <w:style w:type="paragraph" w:styleId="af5">
    <w:name w:val="Normal Indent"/>
    <w:basedOn w:val="af1"/>
    <w:qFormat/>
    <w:pPr>
      <w:adjustRightInd w:val="0"/>
      <w:spacing w:line="360" w:lineRule="atLeast"/>
      <w:ind w:firstLine="420"/>
      <w:jc w:val="left"/>
    </w:pPr>
    <w:rPr>
      <w:kern w:val="0"/>
      <w:szCs w:val="20"/>
    </w:rPr>
  </w:style>
  <w:style w:type="paragraph" w:styleId="af6">
    <w:name w:val="annotation text"/>
    <w:basedOn w:val="af1"/>
    <w:link w:val="Char"/>
    <w:qFormat/>
    <w:pPr>
      <w:jc w:val="left"/>
    </w:pPr>
  </w:style>
  <w:style w:type="paragraph" w:styleId="HTML">
    <w:name w:val="HTML Address"/>
    <w:basedOn w:val="af1"/>
    <w:qFormat/>
    <w:rPr>
      <w:i/>
      <w:iCs/>
    </w:rPr>
  </w:style>
  <w:style w:type="paragraph" w:styleId="80">
    <w:name w:val="toc 8"/>
    <w:basedOn w:val="70"/>
    <w:next w:val="af1"/>
    <w:semiHidden/>
    <w:qFormat/>
  </w:style>
  <w:style w:type="paragraph" w:styleId="af7">
    <w:name w:val="Date"/>
    <w:basedOn w:val="af1"/>
    <w:next w:val="af1"/>
    <w:link w:val="Char0"/>
    <w:qFormat/>
    <w:pPr>
      <w:ind w:leftChars="2500" w:left="100"/>
    </w:pPr>
  </w:style>
  <w:style w:type="paragraph" w:styleId="af8">
    <w:name w:val="endnote text"/>
    <w:basedOn w:val="af1"/>
    <w:link w:val="Char1"/>
    <w:qFormat/>
    <w:pPr>
      <w:snapToGrid w:val="0"/>
      <w:jc w:val="left"/>
    </w:pPr>
  </w:style>
  <w:style w:type="paragraph" w:styleId="af9">
    <w:name w:val="Balloon Text"/>
    <w:basedOn w:val="af1"/>
    <w:link w:val="Char2"/>
    <w:qFormat/>
    <w:rPr>
      <w:sz w:val="18"/>
      <w:szCs w:val="18"/>
    </w:rPr>
  </w:style>
  <w:style w:type="paragraph" w:styleId="afa">
    <w:name w:val="footer"/>
    <w:basedOn w:val="af1"/>
    <w:qFormat/>
    <w:pPr>
      <w:tabs>
        <w:tab w:val="center" w:pos="4153"/>
        <w:tab w:val="right" w:pos="8306"/>
      </w:tabs>
      <w:snapToGrid w:val="0"/>
      <w:ind w:rightChars="100" w:right="210"/>
      <w:jc w:val="right"/>
    </w:pPr>
    <w:rPr>
      <w:sz w:val="18"/>
      <w:szCs w:val="18"/>
    </w:rPr>
  </w:style>
  <w:style w:type="paragraph" w:styleId="afb">
    <w:name w:val="header"/>
    <w:basedOn w:val="af1"/>
    <w:qFormat/>
    <w:pPr>
      <w:pBdr>
        <w:bottom w:val="single" w:sz="6" w:space="1" w:color="auto"/>
      </w:pBdr>
      <w:tabs>
        <w:tab w:val="center" w:pos="4153"/>
        <w:tab w:val="right" w:pos="8306"/>
      </w:tabs>
      <w:snapToGrid w:val="0"/>
      <w:jc w:val="center"/>
    </w:pPr>
    <w:rPr>
      <w:sz w:val="18"/>
      <w:szCs w:val="18"/>
    </w:rPr>
  </w:style>
  <w:style w:type="paragraph" w:styleId="afc">
    <w:name w:val="footnote text"/>
    <w:basedOn w:val="af1"/>
    <w:semiHidden/>
    <w:qFormat/>
    <w:pPr>
      <w:snapToGrid w:val="0"/>
      <w:jc w:val="left"/>
    </w:pPr>
    <w:rPr>
      <w:sz w:val="18"/>
      <w:szCs w:val="18"/>
    </w:rPr>
  </w:style>
  <w:style w:type="paragraph" w:styleId="90">
    <w:name w:val="toc 9"/>
    <w:basedOn w:val="80"/>
    <w:next w:val="af1"/>
    <w:semiHidden/>
    <w:qFormat/>
  </w:style>
  <w:style w:type="paragraph" w:styleId="HTML0">
    <w:name w:val="HTML Preformatted"/>
    <w:basedOn w:val="af1"/>
    <w:qFormat/>
    <w:rPr>
      <w:rFonts w:ascii="Courier New" w:hAnsi="Courier New" w:cs="Courier New"/>
      <w:sz w:val="20"/>
      <w:szCs w:val="20"/>
    </w:rPr>
  </w:style>
  <w:style w:type="paragraph" w:styleId="afd">
    <w:name w:val="Title"/>
    <w:basedOn w:val="af1"/>
    <w:qFormat/>
    <w:pPr>
      <w:spacing w:before="240" w:after="60"/>
      <w:jc w:val="center"/>
      <w:outlineLvl w:val="0"/>
    </w:pPr>
    <w:rPr>
      <w:rFonts w:ascii="Arial" w:hAnsi="Arial" w:cs="Arial"/>
      <w:b/>
      <w:bCs/>
      <w:sz w:val="32"/>
      <w:szCs w:val="32"/>
    </w:rPr>
  </w:style>
  <w:style w:type="paragraph" w:styleId="afe">
    <w:name w:val="annotation subject"/>
    <w:basedOn w:val="af6"/>
    <w:next w:val="af6"/>
    <w:link w:val="Char3"/>
    <w:qFormat/>
    <w:rPr>
      <w:b/>
      <w:bCs/>
    </w:rPr>
  </w:style>
  <w:style w:type="table" w:styleId="aff">
    <w:name w:val="Table Grid"/>
    <w:basedOn w:val="af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f2"/>
    <w:qFormat/>
    <w:rPr>
      <w:vertAlign w:val="superscript"/>
    </w:rPr>
  </w:style>
  <w:style w:type="character" w:styleId="aff1">
    <w:name w:val="page number"/>
    <w:basedOn w:val="af2"/>
    <w:qFormat/>
    <w:rPr>
      <w:rFonts w:ascii="Times New Roman" w:eastAsia="宋体" w:hAnsi="Times New Roman"/>
      <w:sz w:val="18"/>
    </w:rPr>
  </w:style>
  <w:style w:type="character" w:styleId="aff2">
    <w:name w:val="FollowedHyperlink"/>
    <w:basedOn w:val="af2"/>
    <w:qFormat/>
    <w:rPr>
      <w:color w:val="800080"/>
      <w:u w:val="single"/>
    </w:rPr>
  </w:style>
  <w:style w:type="character" w:styleId="HTML1">
    <w:name w:val="HTML Definition"/>
    <w:basedOn w:val="af2"/>
    <w:qFormat/>
    <w:rPr>
      <w:i/>
      <w:iCs/>
    </w:rPr>
  </w:style>
  <w:style w:type="character" w:styleId="HTML2">
    <w:name w:val="HTML Typewriter"/>
    <w:basedOn w:val="af2"/>
    <w:qFormat/>
    <w:rPr>
      <w:rFonts w:ascii="Courier New" w:hAnsi="Courier New"/>
      <w:sz w:val="20"/>
      <w:szCs w:val="20"/>
    </w:rPr>
  </w:style>
  <w:style w:type="character" w:styleId="HTML3">
    <w:name w:val="HTML Acronym"/>
    <w:basedOn w:val="af2"/>
    <w:qFormat/>
  </w:style>
  <w:style w:type="character" w:styleId="HTML4">
    <w:name w:val="HTML Variable"/>
    <w:basedOn w:val="af2"/>
    <w:qFormat/>
    <w:rPr>
      <w:i/>
      <w:iCs/>
    </w:rPr>
  </w:style>
  <w:style w:type="character" w:styleId="aff3">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2"/>
    <w:qFormat/>
    <w:rPr>
      <w:rFonts w:ascii="Courier New" w:hAnsi="Courier New"/>
      <w:sz w:val="20"/>
      <w:szCs w:val="20"/>
    </w:rPr>
  </w:style>
  <w:style w:type="character" w:styleId="aff4">
    <w:name w:val="annotation reference"/>
    <w:basedOn w:val="af2"/>
    <w:qFormat/>
    <w:rPr>
      <w:sz w:val="21"/>
      <w:szCs w:val="21"/>
    </w:rPr>
  </w:style>
  <w:style w:type="character" w:styleId="HTML6">
    <w:name w:val="HTML Cite"/>
    <w:basedOn w:val="af2"/>
    <w:qFormat/>
    <w:rPr>
      <w:i/>
      <w:iCs/>
    </w:rPr>
  </w:style>
  <w:style w:type="character" w:styleId="aff5">
    <w:name w:val="footnote reference"/>
    <w:basedOn w:val="af2"/>
    <w:semiHidden/>
    <w:qFormat/>
    <w:rPr>
      <w:vertAlign w:val="superscript"/>
    </w:rPr>
  </w:style>
  <w:style w:type="character" w:styleId="HTML7">
    <w:name w:val="HTML Keyboard"/>
    <w:basedOn w:val="af2"/>
    <w:qFormat/>
    <w:rPr>
      <w:rFonts w:ascii="Courier New" w:hAnsi="Courier New"/>
      <w:sz w:val="20"/>
      <w:szCs w:val="20"/>
    </w:rPr>
  </w:style>
  <w:style w:type="character" w:styleId="HTML8">
    <w:name w:val="HTML Sample"/>
    <w:basedOn w:val="af2"/>
    <w:qFormat/>
    <w:rPr>
      <w:rFonts w:ascii="Courier New" w:hAnsi="Courier New"/>
    </w:rPr>
  </w:style>
  <w:style w:type="paragraph" w:customStyle="1" w:styleId="aff6">
    <w:name w:val="标准标志"/>
    <w:next w:val="af1"/>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7">
    <w:name w:val="标准称谓"/>
    <w:next w:val="af1"/>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8">
    <w:name w:val="标准书脚_偶数页"/>
    <w:qFormat/>
    <w:pPr>
      <w:spacing w:before="120"/>
    </w:pPr>
    <w:rPr>
      <w:rFonts w:ascii="Times New Roman" w:hAnsi="Times New Roman"/>
      <w:sz w:val="18"/>
    </w:rPr>
  </w:style>
  <w:style w:type="paragraph" w:customStyle="1" w:styleId="aff9">
    <w:name w:val="标准书脚_奇数页"/>
    <w:qFormat/>
    <w:pPr>
      <w:spacing w:before="120"/>
      <w:jc w:val="right"/>
    </w:pPr>
    <w:rPr>
      <w:rFonts w:ascii="Times New Roman" w:hAnsi="Times New Roman"/>
      <w:sz w:val="18"/>
    </w:rPr>
  </w:style>
  <w:style w:type="paragraph" w:customStyle="1" w:styleId="affa">
    <w:name w:val="标准书眉_奇数页"/>
    <w:next w:val="af1"/>
    <w:qFormat/>
    <w:pPr>
      <w:tabs>
        <w:tab w:val="center" w:pos="4154"/>
        <w:tab w:val="right" w:pos="8306"/>
      </w:tabs>
      <w:spacing w:after="120"/>
      <w:jc w:val="right"/>
    </w:pPr>
    <w:rPr>
      <w:rFonts w:ascii="Times New Roman" w:hAnsi="Times New Roman"/>
      <w:sz w:val="21"/>
    </w:rPr>
  </w:style>
  <w:style w:type="paragraph" w:customStyle="1" w:styleId="affb">
    <w:name w:val="标准书眉_偶数页"/>
    <w:basedOn w:val="affa"/>
    <w:next w:val="af1"/>
    <w:qFormat/>
    <w:pPr>
      <w:jc w:val="left"/>
    </w:pPr>
  </w:style>
  <w:style w:type="paragraph" w:customStyle="1" w:styleId="affc">
    <w:name w:val="标准书眉一"/>
    <w:qFormat/>
    <w:pPr>
      <w:jc w:val="both"/>
    </w:pPr>
    <w:rPr>
      <w:rFonts w:ascii="Times New Roman" w:hAnsi="Times New Roman"/>
    </w:rPr>
  </w:style>
  <w:style w:type="paragraph" w:customStyle="1" w:styleId="a8">
    <w:name w:val="前言、引言标题"/>
    <w:next w:val="af1"/>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ffd">
    <w:name w:val="参考文献、索引标题"/>
    <w:basedOn w:val="a8"/>
    <w:next w:val="af1"/>
    <w:qFormat/>
    <w:pPr>
      <w:numPr>
        <w:numId w:val="0"/>
      </w:numPr>
      <w:spacing w:after="200"/>
    </w:pPr>
    <w:rPr>
      <w:sz w:val="21"/>
    </w:rPr>
  </w:style>
  <w:style w:type="paragraph" w:customStyle="1" w:styleId="affe">
    <w:name w:val="段"/>
    <w:link w:val="Char4"/>
    <w:qFormat/>
    <w:pPr>
      <w:autoSpaceDE w:val="0"/>
      <w:autoSpaceDN w:val="0"/>
      <w:ind w:firstLineChars="200" w:firstLine="200"/>
      <w:jc w:val="both"/>
    </w:pPr>
    <w:rPr>
      <w:rFonts w:ascii="宋体" w:hAnsi="Times New Roman"/>
      <w:sz w:val="21"/>
    </w:rPr>
  </w:style>
  <w:style w:type="paragraph" w:customStyle="1" w:styleId="a9">
    <w:name w:val="章标题"/>
    <w:next w:val="affe"/>
    <w:qFormat/>
    <w:pPr>
      <w:numPr>
        <w:ilvl w:val="1"/>
        <w:numId w:val="1"/>
      </w:numPr>
      <w:spacing w:beforeLines="50" w:afterLines="50"/>
      <w:jc w:val="both"/>
      <w:outlineLvl w:val="1"/>
    </w:pPr>
    <w:rPr>
      <w:rFonts w:ascii="黑体" w:eastAsia="黑体" w:hAnsi="Times New Roman"/>
      <w:sz w:val="21"/>
    </w:rPr>
  </w:style>
  <w:style w:type="paragraph" w:customStyle="1" w:styleId="aa">
    <w:name w:val="一级条标题"/>
    <w:next w:val="affe"/>
    <w:link w:val="Char5"/>
    <w:qFormat/>
    <w:pPr>
      <w:numPr>
        <w:ilvl w:val="2"/>
        <w:numId w:val="1"/>
      </w:numPr>
      <w:outlineLvl w:val="2"/>
    </w:pPr>
    <w:rPr>
      <w:rFonts w:ascii="Times New Roman" w:eastAsia="黑体" w:hAnsi="Times New Roman"/>
      <w:sz w:val="21"/>
    </w:rPr>
  </w:style>
  <w:style w:type="paragraph" w:customStyle="1" w:styleId="ab">
    <w:name w:val="二级条标题"/>
    <w:basedOn w:val="aa"/>
    <w:next w:val="affe"/>
    <w:link w:val="Char6"/>
    <w:qFormat/>
    <w:pPr>
      <w:numPr>
        <w:ilvl w:val="3"/>
      </w:numPr>
      <w:outlineLvl w:val="3"/>
    </w:pPr>
  </w:style>
  <w:style w:type="character" w:customStyle="1" w:styleId="afff">
    <w:name w:val="发布"/>
    <w:basedOn w:val="af2"/>
    <w:qFormat/>
    <w:rPr>
      <w:rFonts w:ascii="黑体" w:eastAsia="黑体"/>
      <w:spacing w:val="22"/>
      <w:w w:val="100"/>
      <w:position w:val="3"/>
      <w:sz w:val="28"/>
    </w:rPr>
  </w:style>
  <w:style w:type="paragraph" w:customStyle="1" w:styleId="afff0">
    <w:name w:val="发布部门"/>
    <w:next w:val="affe"/>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f2">
    <w:name w:val="封面标准代替信息"/>
    <w:basedOn w:val="21"/>
    <w:qFormat/>
    <w:pPr>
      <w:framePr w:wrap="around"/>
      <w:spacing w:before="57"/>
    </w:pPr>
    <w:rPr>
      <w:rFonts w:ascii="宋体"/>
      <w:sz w:val="21"/>
    </w:rPr>
  </w:style>
  <w:style w:type="paragraph" w:customStyle="1" w:styleId="a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4">
    <w:name w:val="封面标准文稿编辑信息"/>
    <w:qFormat/>
    <w:pPr>
      <w:spacing w:before="180" w:line="180" w:lineRule="exact"/>
      <w:jc w:val="center"/>
    </w:pPr>
    <w:rPr>
      <w:rFonts w:ascii="宋体" w:hAnsi="Times New Roman"/>
      <w:sz w:val="21"/>
    </w:rPr>
  </w:style>
  <w:style w:type="paragraph" w:customStyle="1" w:styleId="afff5">
    <w:name w:val="封面标准文稿类别"/>
    <w:qFormat/>
    <w:pPr>
      <w:spacing w:before="440" w:line="400" w:lineRule="exact"/>
      <w:jc w:val="center"/>
    </w:pPr>
    <w:rPr>
      <w:rFonts w:ascii="宋体" w:hAnsi="Times New Roman"/>
      <w:sz w:val="24"/>
    </w:rPr>
  </w:style>
  <w:style w:type="paragraph" w:customStyle="1" w:styleId="afff6">
    <w:name w:val="封面标准英文名称"/>
    <w:qFormat/>
    <w:pPr>
      <w:widowControl w:val="0"/>
      <w:spacing w:before="370" w:line="400" w:lineRule="exact"/>
      <w:jc w:val="center"/>
    </w:pPr>
    <w:rPr>
      <w:rFonts w:ascii="Times New Roman" w:hAnsi="Times New Roman"/>
      <w:sz w:val="28"/>
    </w:rPr>
  </w:style>
  <w:style w:type="paragraph" w:customStyle="1" w:styleId="afff7">
    <w:name w:val="封面一致性程度标识"/>
    <w:qFormat/>
    <w:pPr>
      <w:spacing w:before="440" w:line="400" w:lineRule="exact"/>
      <w:jc w:val="center"/>
    </w:pPr>
    <w:rPr>
      <w:rFonts w:ascii="宋体" w:hAnsi="Times New Roman"/>
      <w:sz w:val="28"/>
    </w:rPr>
  </w:style>
  <w:style w:type="paragraph" w:customStyle="1" w:styleId="afff8">
    <w:name w:val="封面正文"/>
    <w:qFormat/>
    <w:pPr>
      <w:jc w:val="both"/>
    </w:pPr>
    <w:rPr>
      <w:rFonts w:ascii="Times New Roman" w:hAnsi="Times New Roman"/>
    </w:rPr>
  </w:style>
  <w:style w:type="paragraph" w:customStyle="1" w:styleId="a7">
    <w:name w:val="附录标识"/>
    <w:basedOn w:val="a8"/>
    <w:qFormat/>
    <w:pPr>
      <w:numPr>
        <w:numId w:val="2"/>
      </w:numPr>
      <w:tabs>
        <w:tab w:val="left" w:pos="6405"/>
      </w:tabs>
      <w:spacing w:after="200"/>
    </w:pPr>
    <w:rPr>
      <w:sz w:val="21"/>
    </w:rPr>
  </w:style>
  <w:style w:type="paragraph" w:customStyle="1" w:styleId="a3">
    <w:name w:val="附录表标题"/>
    <w:next w:val="affe"/>
    <w:qFormat/>
    <w:pPr>
      <w:numPr>
        <w:numId w:val="3"/>
      </w:numPr>
      <w:jc w:val="center"/>
      <w:textAlignment w:val="baseline"/>
    </w:pPr>
    <w:rPr>
      <w:rFonts w:ascii="黑体" w:eastAsia="黑体" w:hAnsi="Times New Roman"/>
      <w:kern w:val="21"/>
      <w:sz w:val="21"/>
    </w:rPr>
  </w:style>
  <w:style w:type="paragraph" w:customStyle="1" w:styleId="afff9">
    <w:name w:val="附录章标题"/>
    <w:next w:val="affe"/>
    <w:link w:val="Char7"/>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a">
    <w:name w:val="附录一级条标题"/>
    <w:basedOn w:val="afff9"/>
    <w:next w:val="affe"/>
    <w:qFormat/>
    <w:pPr>
      <w:autoSpaceDN w:val="0"/>
      <w:spacing w:beforeLines="0" w:afterLines="0"/>
      <w:outlineLvl w:val="2"/>
    </w:pPr>
  </w:style>
  <w:style w:type="paragraph" w:customStyle="1" w:styleId="afffb">
    <w:name w:val="附录二级条标题"/>
    <w:basedOn w:val="afffa"/>
    <w:next w:val="affe"/>
    <w:qFormat/>
    <w:pPr>
      <w:outlineLvl w:val="3"/>
    </w:pPr>
  </w:style>
  <w:style w:type="paragraph" w:customStyle="1" w:styleId="afffc">
    <w:name w:val="附录三级条标题"/>
    <w:basedOn w:val="afffb"/>
    <w:next w:val="affe"/>
    <w:qFormat/>
    <w:pPr>
      <w:outlineLvl w:val="4"/>
    </w:pPr>
  </w:style>
  <w:style w:type="paragraph" w:customStyle="1" w:styleId="afffd">
    <w:name w:val="附录四级条标题"/>
    <w:basedOn w:val="afffc"/>
    <w:next w:val="affe"/>
    <w:qFormat/>
    <w:pPr>
      <w:outlineLvl w:val="5"/>
    </w:pPr>
  </w:style>
  <w:style w:type="paragraph" w:customStyle="1" w:styleId="a0">
    <w:name w:val="附录图标题"/>
    <w:next w:val="affe"/>
    <w:qFormat/>
    <w:pPr>
      <w:numPr>
        <w:numId w:val="4"/>
      </w:numPr>
      <w:jc w:val="center"/>
    </w:pPr>
    <w:rPr>
      <w:rFonts w:ascii="黑体" w:eastAsia="黑体" w:hAnsi="Times New Roman"/>
      <w:sz w:val="21"/>
    </w:rPr>
  </w:style>
  <w:style w:type="paragraph" w:customStyle="1" w:styleId="afffe">
    <w:name w:val="附录五级条标题"/>
    <w:basedOn w:val="afffd"/>
    <w:next w:val="affe"/>
    <w:qFormat/>
    <w:pPr>
      <w:outlineLvl w:val="6"/>
    </w:pPr>
  </w:style>
  <w:style w:type="character" w:customStyle="1" w:styleId="affff">
    <w:name w:val="个人答复风格"/>
    <w:basedOn w:val="af2"/>
    <w:qFormat/>
    <w:rPr>
      <w:rFonts w:ascii="Arial" w:eastAsia="宋体" w:hAnsi="Arial" w:cs="Arial"/>
      <w:color w:val="auto"/>
      <w:sz w:val="20"/>
    </w:rPr>
  </w:style>
  <w:style w:type="character" w:customStyle="1" w:styleId="affff0">
    <w:name w:val="个人撰写风格"/>
    <w:basedOn w:val="af2"/>
    <w:qFormat/>
    <w:rPr>
      <w:rFonts w:ascii="Arial" w:eastAsia="宋体" w:hAnsi="Arial" w:cs="Arial"/>
      <w:color w:val="auto"/>
      <w:sz w:val="20"/>
    </w:rPr>
  </w:style>
  <w:style w:type="paragraph" w:customStyle="1" w:styleId="af0">
    <w:name w:val="列项——（一级）"/>
    <w:qFormat/>
    <w:pPr>
      <w:widowControl w:val="0"/>
      <w:numPr>
        <w:numId w:val="5"/>
      </w:numPr>
      <w:tabs>
        <w:tab w:val="clear" w:pos="1146"/>
        <w:tab w:val="left" w:pos="854"/>
      </w:tabs>
      <w:ind w:leftChars="200" w:left="200" w:hangingChars="200" w:hanging="200"/>
      <w:jc w:val="both"/>
    </w:pPr>
    <w:rPr>
      <w:rFonts w:ascii="宋体" w:hAnsi="Times New Roman"/>
      <w:sz w:val="21"/>
    </w:rPr>
  </w:style>
  <w:style w:type="paragraph" w:customStyle="1" w:styleId="a5">
    <w:name w:val="列项●（二级）"/>
    <w:qFormat/>
    <w:pPr>
      <w:numPr>
        <w:numId w:val="6"/>
      </w:numPr>
      <w:tabs>
        <w:tab w:val="left" w:pos="840"/>
      </w:tabs>
      <w:ind w:leftChars="400" w:left="600" w:hangingChars="200" w:hanging="200"/>
      <w:jc w:val="both"/>
    </w:pPr>
    <w:rPr>
      <w:rFonts w:ascii="宋体" w:hAnsi="Times New Roman"/>
      <w:sz w:val="21"/>
    </w:rPr>
  </w:style>
  <w:style w:type="paragraph" w:customStyle="1" w:styleId="affff1">
    <w:name w:val="目次、标准名称标题"/>
    <w:basedOn w:val="a8"/>
    <w:next w:val="affe"/>
    <w:qFormat/>
    <w:pPr>
      <w:spacing w:line="460" w:lineRule="exact"/>
    </w:pPr>
  </w:style>
  <w:style w:type="paragraph" w:customStyle="1" w:styleId="affff2">
    <w:name w:val="目次、索引正文"/>
    <w:qFormat/>
    <w:pPr>
      <w:spacing w:line="320" w:lineRule="exact"/>
      <w:jc w:val="both"/>
    </w:pPr>
    <w:rPr>
      <w:rFonts w:ascii="宋体" w:hAnsi="Times New Roman"/>
      <w:sz w:val="21"/>
    </w:rPr>
  </w:style>
  <w:style w:type="paragraph" w:customStyle="1" w:styleId="affff3">
    <w:name w:val="其他标准称谓"/>
    <w:qFormat/>
    <w:pPr>
      <w:spacing w:line="0" w:lineRule="atLeast"/>
      <w:jc w:val="distribute"/>
    </w:pPr>
    <w:rPr>
      <w:rFonts w:ascii="黑体" w:eastAsia="黑体" w:hAnsi="宋体"/>
      <w:sz w:val="52"/>
    </w:rPr>
  </w:style>
  <w:style w:type="paragraph" w:customStyle="1" w:styleId="affff4">
    <w:name w:val="其他发布部门"/>
    <w:basedOn w:val="afff0"/>
    <w:qFormat/>
    <w:pPr>
      <w:framePr w:wrap="around"/>
      <w:spacing w:line="0" w:lineRule="atLeast"/>
    </w:pPr>
    <w:rPr>
      <w:rFonts w:ascii="黑体" w:eastAsia="黑体"/>
      <w:b w:val="0"/>
    </w:rPr>
  </w:style>
  <w:style w:type="paragraph" w:customStyle="1" w:styleId="ac">
    <w:name w:val="三级条标题"/>
    <w:basedOn w:val="ab"/>
    <w:next w:val="affe"/>
    <w:qFormat/>
    <w:pPr>
      <w:numPr>
        <w:ilvl w:val="4"/>
      </w:numPr>
      <w:outlineLvl w:val="4"/>
    </w:pPr>
  </w:style>
  <w:style w:type="paragraph" w:customStyle="1" w:styleId="affff5">
    <w:name w:val="实施日期"/>
    <w:basedOn w:val="afff1"/>
    <w:qFormat/>
    <w:pPr>
      <w:framePr w:hSpace="0" w:wrap="around" w:xAlign="right"/>
      <w:jc w:val="right"/>
    </w:pPr>
  </w:style>
  <w:style w:type="paragraph" w:customStyle="1" w:styleId="a">
    <w:name w:val="示例"/>
    <w:next w:val="affe"/>
    <w:qFormat/>
    <w:pPr>
      <w:numPr>
        <w:numId w:val="7"/>
      </w:numPr>
      <w:tabs>
        <w:tab w:val="left" w:pos="816"/>
      </w:tabs>
      <w:ind w:firstLineChars="233" w:firstLine="419"/>
      <w:jc w:val="both"/>
    </w:pPr>
    <w:rPr>
      <w:rFonts w:ascii="宋体" w:hAnsi="Times New Roman"/>
      <w:sz w:val="18"/>
    </w:rPr>
  </w:style>
  <w:style w:type="paragraph" w:customStyle="1" w:styleId="affff6">
    <w:name w:val="数字编号列项（二级）"/>
    <w:qFormat/>
    <w:pPr>
      <w:ind w:leftChars="400" w:left="1260" w:hangingChars="200" w:hanging="420"/>
      <w:jc w:val="both"/>
    </w:pPr>
    <w:rPr>
      <w:rFonts w:ascii="宋体" w:hAnsi="Times New Roman"/>
      <w:sz w:val="21"/>
    </w:rPr>
  </w:style>
  <w:style w:type="paragraph" w:customStyle="1" w:styleId="ad">
    <w:name w:val="四级条标题"/>
    <w:basedOn w:val="ac"/>
    <w:next w:val="affe"/>
    <w:qFormat/>
    <w:pPr>
      <w:numPr>
        <w:ilvl w:val="5"/>
      </w:numPr>
      <w:outlineLvl w:val="5"/>
    </w:pPr>
  </w:style>
  <w:style w:type="paragraph" w:customStyle="1" w:styleId="affff7">
    <w:name w:val="条文脚注"/>
    <w:basedOn w:val="afc"/>
    <w:qFormat/>
    <w:pPr>
      <w:ind w:leftChars="200" w:left="780" w:hangingChars="200" w:hanging="360"/>
      <w:jc w:val="both"/>
    </w:pPr>
    <w:rPr>
      <w:rFonts w:ascii="宋体"/>
    </w:rPr>
  </w:style>
  <w:style w:type="paragraph" w:customStyle="1" w:styleId="affff8">
    <w:name w:val="图表脚注"/>
    <w:next w:val="affe"/>
    <w:qFormat/>
    <w:pPr>
      <w:ind w:leftChars="200" w:left="300" w:hangingChars="100" w:hanging="100"/>
      <w:jc w:val="both"/>
    </w:pPr>
    <w:rPr>
      <w:rFonts w:ascii="宋体" w:hAnsi="Times New Roman"/>
      <w:sz w:val="18"/>
    </w:rPr>
  </w:style>
  <w:style w:type="paragraph" w:customStyle="1" w:styleId="affff9">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e">
    <w:name w:val="五级条标题"/>
    <w:basedOn w:val="ad"/>
    <w:next w:val="affe"/>
    <w:qFormat/>
    <w:pPr>
      <w:numPr>
        <w:ilvl w:val="6"/>
      </w:numPr>
      <w:outlineLvl w:val="6"/>
    </w:pPr>
  </w:style>
  <w:style w:type="paragraph" w:customStyle="1" w:styleId="a6">
    <w:name w:val="正文表标题"/>
    <w:next w:val="affe"/>
    <w:qFormat/>
    <w:pPr>
      <w:numPr>
        <w:numId w:val="8"/>
      </w:numPr>
      <w:ind w:left="3686"/>
      <w:jc w:val="center"/>
    </w:pPr>
    <w:rPr>
      <w:rFonts w:ascii="黑体" w:eastAsia="黑体" w:hAnsi="Times New Roman"/>
      <w:sz w:val="21"/>
    </w:rPr>
  </w:style>
  <w:style w:type="paragraph" w:customStyle="1" w:styleId="a4">
    <w:name w:val="正文图标题"/>
    <w:next w:val="affe"/>
    <w:qFormat/>
    <w:pPr>
      <w:numPr>
        <w:numId w:val="9"/>
      </w:numPr>
      <w:jc w:val="center"/>
    </w:pPr>
    <w:rPr>
      <w:rFonts w:ascii="黑体" w:eastAsia="黑体" w:hAnsi="Times New Roman"/>
      <w:sz w:val="21"/>
    </w:rPr>
  </w:style>
  <w:style w:type="paragraph" w:customStyle="1" w:styleId="af">
    <w:name w:val="注："/>
    <w:next w:val="affe"/>
    <w:qFormat/>
    <w:pPr>
      <w:widowControl w:val="0"/>
      <w:numPr>
        <w:numId w:val="10"/>
      </w:numPr>
      <w:tabs>
        <w:tab w:val="clear" w:pos="1287"/>
      </w:tabs>
      <w:autoSpaceDE w:val="0"/>
      <w:autoSpaceDN w:val="0"/>
      <w:ind w:left="840"/>
      <w:jc w:val="both"/>
    </w:pPr>
    <w:rPr>
      <w:rFonts w:ascii="宋体" w:hAnsi="Times New Roman"/>
      <w:sz w:val="18"/>
    </w:rPr>
  </w:style>
  <w:style w:type="paragraph" w:customStyle="1" w:styleId="a2">
    <w:name w:val="注×："/>
    <w:qFormat/>
    <w:pPr>
      <w:widowControl w:val="0"/>
      <w:numPr>
        <w:numId w:val="11"/>
      </w:numPr>
      <w:tabs>
        <w:tab w:val="left" w:pos="630"/>
      </w:tabs>
      <w:autoSpaceDE w:val="0"/>
      <w:autoSpaceDN w:val="0"/>
      <w:jc w:val="both"/>
    </w:pPr>
    <w:rPr>
      <w:rFonts w:ascii="宋体" w:hAnsi="Times New Roman"/>
      <w:sz w:val="18"/>
    </w:rPr>
  </w:style>
  <w:style w:type="paragraph" w:customStyle="1" w:styleId="affffa">
    <w:name w:val="字母编号列项（一级）"/>
    <w:qFormat/>
    <w:pPr>
      <w:ind w:leftChars="200" w:left="840" w:hangingChars="200" w:hanging="420"/>
      <w:jc w:val="both"/>
    </w:pPr>
    <w:rPr>
      <w:rFonts w:ascii="宋体" w:hAnsi="Times New Roman"/>
      <w:sz w:val="21"/>
    </w:rPr>
  </w:style>
  <w:style w:type="paragraph" w:customStyle="1" w:styleId="a1">
    <w:name w:val="列项◆（三级）"/>
    <w:qFormat/>
    <w:pPr>
      <w:numPr>
        <w:numId w:val="12"/>
      </w:numPr>
      <w:ind w:leftChars="600" w:left="800" w:hangingChars="200" w:hanging="200"/>
    </w:pPr>
    <w:rPr>
      <w:rFonts w:ascii="宋体" w:hAnsi="Times New Roman"/>
      <w:sz w:val="21"/>
    </w:rPr>
  </w:style>
  <w:style w:type="paragraph" w:customStyle="1" w:styleId="affffb">
    <w:name w:val="编号列项（三级）"/>
    <w:qFormat/>
    <w:pPr>
      <w:ind w:leftChars="600" w:left="800" w:hangingChars="200" w:hanging="200"/>
    </w:pPr>
    <w:rPr>
      <w:rFonts w:ascii="宋体" w:hAnsi="Times New Roman"/>
      <w:sz w:val="21"/>
    </w:rPr>
  </w:style>
  <w:style w:type="paragraph" w:customStyle="1" w:styleId="Char8">
    <w:name w:val="Char"/>
    <w:basedOn w:val="af1"/>
    <w:qFormat/>
    <w:pPr>
      <w:widowControl/>
      <w:spacing w:after="160" w:line="240" w:lineRule="exact"/>
      <w:jc w:val="left"/>
    </w:pPr>
    <w:rPr>
      <w:rFonts w:ascii="Verdana" w:hAnsi="Verdana"/>
      <w:kern w:val="0"/>
      <w:sz w:val="20"/>
      <w:szCs w:val="20"/>
      <w:lang w:eastAsia="en-US"/>
    </w:rPr>
  </w:style>
  <w:style w:type="paragraph" w:customStyle="1" w:styleId="Char10">
    <w:name w:val="Char1"/>
    <w:basedOn w:val="af1"/>
    <w:qFormat/>
    <w:pPr>
      <w:widowControl/>
      <w:spacing w:after="160" w:line="240" w:lineRule="exact"/>
      <w:jc w:val="left"/>
    </w:pPr>
    <w:rPr>
      <w:rFonts w:ascii="Verdana" w:hAnsi="Verdana"/>
      <w:kern w:val="0"/>
      <w:sz w:val="20"/>
      <w:szCs w:val="20"/>
      <w:lang w:eastAsia="en-US"/>
    </w:rPr>
  </w:style>
  <w:style w:type="character" w:customStyle="1" w:styleId="Char0">
    <w:name w:val="日期 Char"/>
    <w:basedOn w:val="af2"/>
    <w:link w:val="af7"/>
    <w:qFormat/>
    <w:rPr>
      <w:kern w:val="2"/>
      <w:sz w:val="21"/>
      <w:szCs w:val="24"/>
    </w:rPr>
  </w:style>
  <w:style w:type="character" w:customStyle="1" w:styleId="Char2">
    <w:name w:val="批注框文本 Char"/>
    <w:basedOn w:val="af2"/>
    <w:link w:val="af9"/>
    <w:qFormat/>
    <w:rPr>
      <w:kern w:val="2"/>
      <w:sz w:val="18"/>
      <w:szCs w:val="18"/>
    </w:rPr>
  </w:style>
  <w:style w:type="paragraph" w:styleId="affffc">
    <w:name w:val="List Paragraph"/>
    <w:basedOn w:val="af1"/>
    <w:uiPriority w:val="34"/>
    <w:qFormat/>
    <w:pPr>
      <w:ind w:firstLineChars="200" w:firstLine="420"/>
    </w:pPr>
  </w:style>
  <w:style w:type="character" w:customStyle="1" w:styleId="Char1">
    <w:name w:val="尾注文本 Char"/>
    <w:basedOn w:val="af2"/>
    <w:link w:val="af8"/>
    <w:qFormat/>
    <w:rPr>
      <w:kern w:val="2"/>
      <w:sz w:val="21"/>
      <w:szCs w:val="24"/>
    </w:rPr>
  </w:style>
  <w:style w:type="character" w:customStyle="1" w:styleId="Char">
    <w:name w:val="批注文字 Char"/>
    <w:basedOn w:val="af2"/>
    <w:link w:val="af6"/>
    <w:rPr>
      <w:kern w:val="2"/>
      <w:sz w:val="21"/>
      <w:szCs w:val="24"/>
    </w:rPr>
  </w:style>
  <w:style w:type="character" w:customStyle="1" w:styleId="Char3">
    <w:name w:val="批注主题 Char"/>
    <w:basedOn w:val="Char"/>
    <w:link w:val="afe"/>
    <w:qFormat/>
    <w:rPr>
      <w:b/>
      <w:bCs/>
      <w:kern w:val="2"/>
      <w:sz w:val="21"/>
      <w:szCs w:val="24"/>
    </w:rPr>
  </w:style>
  <w:style w:type="character" w:customStyle="1" w:styleId="Char7">
    <w:name w:val="附录章标题 Char"/>
    <w:link w:val="afff9"/>
    <w:qFormat/>
    <w:rPr>
      <w:rFonts w:ascii="黑体" w:eastAsia="黑体" w:hAnsi="Times New Roman"/>
      <w:kern w:val="21"/>
      <w:sz w:val="21"/>
    </w:rPr>
  </w:style>
  <w:style w:type="character" w:customStyle="1" w:styleId="Char4">
    <w:name w:val="段 Char"/>
    <w:link w:val="affe"/>
    <w:rPr>
      <w:rFonts w:ascii="宋体" w:hAnsi="Times New Roman"/>
      <w:sz w:val="21"/>
    </w:rPr>
  </w:style>
  <w:style w:type="character" w:customStyle="1" w:styleId="Char6">
    <w:name w:val="二级条标题 Char"/>
    <w:link w:val="ab"/>
    <w:rPr>
      <w:rFonts w:ascii="Times New Roman" w:eastAsia="黑体" w:hAnsi="Times New Roman"/>
      <w:sz w:val="21"/>
    </w:rPr>
  </w:style>
  <w:style w:type="character" w:customStyle="1" w:styleId="Char5">
    <w:name w:val="一级条标题 Char"/>
    <w:link w:val="aa"/>
    <w:rPr>
      <w:rFonts w:ascii="Times New Roman" w:eastAsia="黑体" w:hAnsi="Times New Roman"/>
      <w:sz w:val="21"/>
    </w:rPr>
  </w:style>
  <w:style w:type="character" w:styleId="affffd">
    <w:name w:val="Subtle Reference"/>
    <w:basedOn w:val="af2"/>
    <w:uiPriority w:val="31"/>
    <w:qFormat/>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6A7926-60A7-42F3-8985-6C66FCD8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2555</TotalTime>
  <Pages>1</Pages>
  <Words>643</Words>
  <Characters>3669</Characters>
  <Application>Microsoft Office Word</Application>
  <DocSecurity>0</DocSecurity>
  <Lines>30</Lines>
  <Paragraphs>8</Paragraphs>
  <ScaleCrop>false</ScaleCrop>
  <Company>CNIS</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liufk</dc:creator>
  <cp:lastModifiedBy>裘桂群</cp:lastModifiedBy>
  <cp:revision>410</cp:revision>
  <cp:lastPrinted>2022-11-14T05:02:00Z</cp:lastPrinted>
  <dcterms:created xsi:type="dcterms:W3CDTF">2022-07-06T06:09:00Z</dcterms:created>
  <dcterms:modified xsi:type="dcterms:W3CDTF">2023-02-14T08:17:00Z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2052-11.1.0.12763</vt:lpwstr>
  </property>
  <property fmtid="{D5CDD505-2E9C-101B-9397-08002B2CF9AE}" pid="4" name="ICV">
    <vt:lpwstr>9FEDFF893C544B368EA3B6B3D83797D6</vt:lpwstr>
  </property>
</Properties>
</file>