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pBdr>
          <w:top w:val="none" w:color="auto" w:sz="0" w:space="0"/>
          <w:left w:val="none" w:color="auto" w:sz="0" w:space="0"/>
          <w:bottom w:val="none" w:color="auto" w:sz="0" w:space="0"/>
          <w:right w:val="none" w:color="auto" w:sz="0" w:space="0"/>
        </w:pBdr>
      </w:pPr>
      <w:r>
        <w:rPr>
          <w:rFonts w:ascii="Times New Roman"/>
        </w:rPr>
        <w:t>ICS</w:t>
      </w:r>
      <w:r>
        <w:rPr>
          <w:rFonts w:hAnsi="黑体"/>
        </w:rPr>
        <w:t xml:space="preserve"> </w:t>
      </w:r>
      <w:r>
        <w:t>77.120.99</w:t>
      </w:r>
    </w:p>
    <w:p>
      <w:pPr>
        <w:pStyle w:val="123"/>
        <w:framePr w:wrap="around"/>
        <w:pBdr>
          <w:top w:val="none" w:color="auto" w:sz="0" w:space="0"/>
          <w:left w:val="none" w:color="auto" w:sz="0" w:space="0"/>
          <w:bottom w:val="none" w:color="auto" w:sz="0" w:space="0"/>
          <w:right w:val="none" w:color="auto" w:sz="0" w:space="0"/>
        </w:pBdr>
      </w:pPr>
      <w:r>
        <w:t>CCS H 66</w:t>
      </w:r>
    </w:p>
    <w:p>
      <w:pPr>
        <w:pStyle w:val="66"/>
        <w:framePr w:wrap="around"/>
        <w:pBdr>
          <w:top w:val="none" w:color="auto" w:sz="0" w:space="0"/>
          <w:left w:val="none" w:color="auto" w:sz="0" w:space="0"/>
          <w:bottom w:val="none" w:color="auto" w:sz="0" w:space="0"/>
          <w:right w:val="none" w:color="auto" w:sz="0" w:space="0"/>
        </w:pBdr>
      </w:pPr>
      <w:r>
        <w:rPr>
          <w:rFonts w:hint="eastAsia"/>
        </w:rPr>
        <w:t>YS</w:t>
      </w:r>
    </w:p>
    <w:p>
      <w:pPr>
        <w:pStyle w:val="66"/>
        <w:framePr w:wrap="around"/>
      </w:pPr>
    </w:p>
    <w:p>
      <w:pPr>
        <w:pStyle w:val="67"/>
        <w:framePr w:wrap="around"/>
        <w:ind w:leftChars="100"/>
        <w:jc w:val="distribute"/>
        <w:rPr>
          <w:w w:val="100"/>
        </w:rPr>
      </w:pPr>
      <w:r>
        <w:rPr>
          <w:rStyle w:val="150"/>
          <w:rFonts w:hint="eastAsia"/>
          <w:b w:val="0"/>
          <w:bCs w:val="0"/>
          <w:w w:val="100"/>
        </w:rPr>
        <w:t>中华人民共和国</w:t>
      </w:r>
      <w:r>
        <w:rPr>
          <w:rStyle w:val="150"/>
          <w:rFonts w:hint="eastAsia"/>
          <w:b w:val="0"/>
          <w:bCs w:val="0"/>
          <w:w w:val="100"/>
        </w:rPr>
        <w:fldChar w:fldCharType="begin">
          <w:ffData>
            <w:name w:val="c2"/>
            <w:enabled/>
            <w:calcOnExit w:val="0"/>
            <w:textInput/>
          </w:ffData>
        </w:fldChar>
      </w:r>
      <w:bookmarkStart w:id="0" w:name="c2"/>
      <w:r>
        <w:rPr>
          <w:rStyle w:val="150"/>
          <w:rFonts w:hint="eastAsia"/>
          <w:b w:val="0"/>
          <w:bCs w:val="0"/>
          <w:w w:val="100"/>
        </w:rPr>
        <w:instrText xml:space="preserve"> FORMTEXT </w:instrText>
      </w:r>
      <w:r>
        <w:rPr>
          <w:rStyle w:val="150"/>
          <w:rFonts w:hint="eastAsia"/>
          <w:b w:val="0"/>
          <w:bCs w:val="0"/>
          <w:w w:val="100"/>
        </w:rPr>
        <w:fldChar w:fldCharType="separate"/>
      </w:r>
      <w:r>
        <w:rPr>
          <w:rStyle w:val="150"/>
          <w:rFonts w:hint="eastAsia"/>
          <w:b w:val="0"/>
          <w:bCs w:val="0"/>
          <w:w w:val="100"/>
        </w:rPr>
        <w:t>有色金属</w:t>
      </w:r>
      <w:r>
        <w:rPr>
          <w:rStyle w:val="150"/>
          <w:rFonts w:hint="eastAsia"/>
          <w:b w:val="0"/>
          <w:bCs w:val="0"/>
          <w:w w:val="100"/>
        </w:rPr>
        <w:fldChar w:fldCharType="end"/>
      </w:r>
      <w:bookmarkEnd w:id="0"/>
      <w:r>
        <w:rPr>
          <w:rStyle w:val="150"/>
          <w:rFonts w:hint="eastAsia"/>
          <w:b w:val="0"/>
          <w:bCs w:val="0"/>
          <w:w w:val="100"/>
        </w:rPr>
        <w:t>行业标</w:t>
      </w:r>
      <w:r>
        <w:rPr>
          <w:rFonts w:hint="eastAsia" w:ascii="黑体" w:hAnsi="黑体" w:eastAsia="黑体" w:cs="黑体"/>
          <w:b w:val="0"/>
          <w:bCs w:val="0"/>
          <w:w w:val="100"/>
        </w:rPr>
        <w:t>准</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7"/>
              <w:framePr w:wrap="around"/>
              <w:rPr>
                <w:rFonts w:ascii="Times New Roman"/>
              </w:rPr>
            </w:pPr>
          </w:p>
          <w:p>
            <w:pPr>
              <w:pStyle w:val="47"/>
              <w:framePr w:wrap="around"/>
            </w:pPr>
            <w:r>
              <w:rPr>
                <w:rFonts w:ascii="Times New Roman"/>
              </w:rPr>
              <w:fldChar w:fldCharType="begin">
                <w:ffData>
                  <w:name w:val="StdNo0"/>
                  <w:enabled/>
                  <w:calcOnExit w:val="0"/>
                  <w:textInput>
                    <w:default w:val="XX"/>
                    <w:maxLength w:val="2"/>
                  </w:textInput>
                </w:ffData>
              </w:fldChar>
            </w:r>
            <w:bookmarkStart w:id="1" w:name="StdNo0"/>
            <w:r>
              <w:rPr>
                <w:rFonts w:ascii="Times New Roman"/>
              </w:rPr>
              <w:instrText xml:space="preserve"> FORMTEXT </w:instrText>
            </w:r>
            <w:r>
              <w:rPr>
                <w:rFonts w:ascii="Times New Roman"/>
              </w:rPr>
              <w:fldChar w:fldCharType="separate"/>
            </w:r>
            <w:r>
              <w:rPr>
                <w:rFonts w:hint="eastAsia" w:ascii="Times New Roman"/>
              </w:rPr>
              <w:t>YS</w:t>
            </w:r>
            <w:r>
              <w:rPr>
                <w:rFonts w:ascii="Times New Roman"/>
              </w:rPr>
              <w:fldChar w:fldCharType="end"/>
            </w:r>
            <w:bookmarkEnd w:id="1"/>
            <w:r>
              <w:rPr>
                <w:rFonts w:ascii="Times New Roman"/>
              </w:rPr>
              <w:t>/T</w:t>
            </w:r>
            <w:r>
              <w:rPr>
                <w:rFonts w:hint="eastAsia"/>
                <w:lang w:val="en-US" w:eastAsia="zh-CN"/>
              </w:rPr>
              <w:t>xxxx</w:t>
            </w:r>
            <w:r>
              <w:t>—</w:t>
            </w:r>
            <w:bookmarkStart w:id="2"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2"/>
            <w:bookmarkStart w:id="3"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bookmarkEnd w:id="3"/>
          </w:p>
        </w:tc>
      </w:tr>
    </w:tbl>
    <w:p>
      <w:pPr>
        <w:pStyle w:val="47"/>
        <w:framePr w:wrap="around"/>
      </w:pPr>
    </w:p>
    <w:p>
      <w:pPr>
        <w:pStyle w:val="47"/>
        <w:framePr w:wrap="around"/>
      </w:pPr>
    </w:p>
    <w:p>
      <w:pPr>
        <w:pStyle w:val="78"/>
        <w:framePr w:wrap="around"/>
      </w:pPr>
      <w:bookmarkStart w:id="4"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val="en-US" w:eastAsia="zh-CN"/>
        </w:rPr>
        <w:t>多晶硅行业能源管理体系实施指南</w:t>
      </w:r>
      <w:r>
        <w:fldChar w:fldCharType="end"/>
      </w:r>
      <w:bookmarkEnd w:id="4"/>
    </w:p>
    <w:p>
      <w:pPr>
        <w:pStyle w:val="79"/>
        <w:framePr w:wrap="around"/>
      </w:pPr>
      <w:bookmarkStart w:id="5"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Implementation guidance for energy management</w:t>
      </w:r>
      <w:r>
        <w:rPr>
          <w:rFonts w:hint="eastAsia"/>
          <w:lang w:val="en-US" w:eastAsia="zh-CN"/>
        </w:rPr>
        <w:t xml:space="preserve"> in polysilicon industry</w:t>
      </w:r>
      <w:r>
        <w:t xml:space="preserve"> </w:t>
      </w:r>
      <w:r>
        <w:fldChar w:fldCharType="end"/>
      </w:r>
      <w:bookmarkEnd w:id="5"/>
    </w:p>
    <w:p>
      <w:pPr>
        <w:pStyle w:val="80"/>
        <w:framePr w:wrap="around"/>
      </w:pPr>
      <w:bookmarkStart w:id="6"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6"/>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7" w:name="LB"/>
            <w:r>
              <w:instrText xml:space="preserve"> FORMDROPDOWN </w:instrText>
            </w:r>
            <w:r>
              <w:fldChar w:fldCharType="separate"/>
            </w:r>
            <w:r>
              <w:fldChar w:fldCharType="end"/>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pPr>
            <w:r>
              <w:rPr>
                <w:rFonts w:hint="eastAsia"/>
                <w:lang w:val="en-US" w:eastAsia="zh-CN"/>
              </w:rPr>
              <w:t>讨论</w:t>
            </w:r>
            <w:bookmarkStart w:id="153" w:name="_GoBack"/>
            <w:bookmarkEnd w:id="153"/>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rPr>
                <w:rFonts w:hint="eastAsia"/>
              </w:rPr>
            </w:pPr>
            <w:bookmarkStart w:id="8" w:name="SY"/>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rPr>
                <w:rFonts w:hint="eastAsia"/>
              </w:rPr>
            </w:pPr>
          </w:p>
        </w:tc>
      </w:tr>
    </w:tbl>
    <w:p>
      <w:pPr>
        <w:pStyle w:val="130"/>
        <w:framePr w:w="3793" w:wrap="around" w:hAnchor="page" w:x="1345" w:y="14077"/>
      </w:pPr>
      <w:r>
        <w:rPr>
          <w:rFonts w:ascii="黑体"/>
        </w:rPr>
        <w:fldChar w:fldCharType="begin">
          <w:ffData>
            <w:name w:val="FY"/>
            <w:enabled/>
            <w:calcOnExit w:val="0"/>
            <w:textInput>
              <w:default w:val="XXXX"/>
              <w:maxLength w:val="4"/>
            </w:textInput>
          </w:ffData>
        </w:fldChar>
      </w:r>
      <w:bookmarkStart w:id="9"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10"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1"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3IFdxuQB&#10;AACsAwAADgAAAAAAAAABACAAAAAlAQAAZHJzL2Uyb0RvYy54bWxQSwUGAAAAAAYABgBZAQAAewUA&#10;AAAA&#10;">
                <v:fill on="f" focussize="0,0"/>
                <v:stroke color="#000000" joinstyle="round"/>
                <v:imagedata o:title=""/>
                <o:lock v:ext="edit" aspectratio="f"/>
                <w10:anchorlock/>
              </v:line>
            </w:pict>
          </mc:Fallback>
        </mc:AlternateContent>
      </w:r>
    </w:p>
    <w:p>
      <w:pPr>
        <w:pStyle w:val="131"/>
        <w:framePr w:w="2265" w:wrap="around"/>
        <w:ind w:left="-1" w:leftChars="-607" w:hanging="1274" w:hangingChars="455"/>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rFonts w:ascii="黑体"/>
        </w:rPr>
        <w:t>-</w:t>
      </w:r>
      <w:bookmarkStart w:id="12"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bookmarkStart w:id="13"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11"/>
        <w:framePr w:wrap="around"/>
        <w:pBdr>
          <w:top w:val="none" w:color="auto" w:sz="0" w:space="0"/>
          <w:left w:val="none" w:color="auto" w:sz="0" w:space="0"/>
          <w:bottom w:val="none" w:color="auto" w:sz="0" w:space="0"/>
          <w:right w:val="none" w:color="auto" w:sz="0" w:space="0"/>
        </w:pBdr>
      </w:pPr>
      <w:r>
        <w:t xml:space="preserve">  </w:t>
      </w:r>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r>
        <w:t>   </w:t>
      </w:r>
      <w:r>
        <w:rPr>
          <w:rStyle w:val="73"/>
          <w:rFonts w:hint="eastAsia"/>
        </w:rPr>
        <w:t>发布</w:t>
      </w:r>
    </w:p>
    <w:p>
      <w:pPr>
        <w:pStyle w:val="74"/>
        <w:framePr w:wrap="around"/>
        <w:adjustRightInd w:val="0"/>
        <w:snapToGrid w:val="0"/>
        <w:ind w:right="760" w:firstLine="465" w:firstLineChars="111"/>
        <w:jc w:val="both"/>
      </w:pPr>
    </w:p>
    <w:p>
      <w:pPr>
        <w:pStyle w:val="74"/>
        <w:framePr w:wrap="around"/>
        <w:ind w:firstLine="1408" w:firstLineChars="336"/>
      </w:pPr>
    </w:p>
    <w:p>
      <w:pPr>
        <w:pStyle w:val="23"/>
        <w:ind w:firstLine="0" w:firstLineChars="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9JP+zsgBAACgAwAADgAAAAAAAAABACAAAAAmAQAAZHJz&#10;L2Uyb0RvYy54bWxQSwUGAAAAAAYABgBZAQAAYAUAAAAA&#10;">
                <v:fill on="f" focussize="0,0"/>
                <v:stroke color="#000000" joinstyle="round"/>
                <v:imagedata o:title=""/>
                <o:lock v:ext="edit" aspectratio="f"/>
              </v:line>
            </w:pict>
          </mc:Fallback>
        </mc:AlternateContent>
      </w:r>
    </w:p>
    <w:p>
      <w:pPr>
        <w:tabs>
          <w:tab w:val="left" w:pos="4520"/>
        </w:tabs>
        <w:spacing w:after="0" w:line="362" w:lineRule="exact"/>
        <w:ind w:left="3630" w:right="3610"/>
        <w:jc w:val="center"/>
        <w:rPr>
          <w:rFonts w:ascii="宋体" w:hAnsi="宋体" w:eastAsia="宋体" w:cs="宋体"/>
          <w:position w:val="-3"/>
          <w:sz w:val="30"/>
          <w:szCs w:val="30"/>
          <w:lang w:eastAsia="zh-CN"/>
        </w:rPr>
      </w:pPr>
    </w:p>
    <w:p>
      <w:pPr>
        <w:tabs>
          <w:tab w:val="left" w:pos="4520"/>
        </w:tabs>
        <w:spacing w:after="0" w:line="362" w:lineRule="exact"/>
        <w:ind w:left="3630" w:right="3610"/>
        <w:jc w:val="center"/>
        <w:rPr>
          <w:rFonts w:hint="eastAsia" w:ascii="黑体" w:hAnsi="黑体" w:eastAsia="黑体" w:cs="黑体"/>
          <w:sz w:val="30"/>
          <w:szCs w:val="30"/>
          <w:lang w:eastAsia="zh-CN"/>
        </w:rPr>
      </w:pPr>
      <w:r>
        <w:rPr>
          <w:rFonts w:hint="eastAsia" w:ascii="黑体" w:hAnsi="黑体" w:eastAsia="黑体" w:cs="黑体"/>
          <w:position w:val="-3"/>
          <w:sz w:val="30"/>
          <w:szCs w:val="30"/>
          <w:lang w:eastAsia="zh-CN"/>
        </w:rPr>
        <w:t>目</w:t>
      </w:r>
      <w:r>
        <w:rPr>
          <w:rFonts w:hint="eastAsia" w:ascii="黑体" w:hAnsi="黑体" w:eastAsia="黑体" w:cs="黑体"/>
          <w:position w:val="-3"/>
          <w:sz w:val="30"/>
          <w:szCs w:val="30"/>
          <w:lang w:eastAsia="zh-CN"/>
        </w:rPr>
        <w:tab/>
      </w:r>
      <w:r>
        <w:rPr>
          <w:rFonts w:hint="eastAsia" w:ascii="黑体" w:hAnsi="黑体" w:eastAsia="黑体" w:cs="黑体"/>
          <w:position w:val="-3"/>
          <w:sz w:val="30"/>
          <w:szCs w:val="30"/>
          <w:lang w:eastAsia="zh-CN"/>
        </w:rPr>
        <w:t>录</w:t>
      </w:r>
    </w:p>
    <w:p>
      <w:pPr>
        <w:spacing w:before="5" w:after="0" w:line="240" w:lineRule="exact"/>
        <w:rPr>
          <w:sz w:val="24"/>
          <w:szCs w:val="24"/>
          <w:lang w:eastAsia="zh-CN"/>
        </w:rPr>
      </w:pPr>
    </w:p>
    <w:p>
      <w:pPr>
        <w:spacing w:after="0" w:line="240" w:lineRule="auto"/>
        <w:ind w:left="77" w:right="63"/>
        <w:jc w:val="left"/>
        <w:rPr>
          <w:rFonts w:ascii="Calibri" w:hAnsi="Calibri" w:eastAsia="Calibri" w:cs="Calibri"/>
          <w:sz w:val="20"/>
          <w:szCs w:val="20"/>
          <w:lang w:eastAsia="zh-CN"/>
        </w:rPr>
      </w:pPr>
      <w:r>
        <w:rPr>
          <w:rFonts w:ascii="宋体" w:hAnsi="宋体" w:eastAsia="宋体" w:cs="宋体"/>
          <w:sz w:val="20"/>
          <w:szCs w:val="20"/>
          <w:lang w:eastAsia="zh-CN"/>
        </w:rPr>
        <w:t>前</w:t>
      </w:r>
      <w:r>
        <w:rPr>
          <w:rFonts w:ascii="宋体" w:hAnsi="宋体" w:eastAsia="宋体" w:cs="宋体"/>
          <w:spacing w:val="15"/>
          <w:sz w:val="20"/>
          <w:szCs w:val="20"/>
          <w:lang w:eastAsia="zh-CN"/>
        </w:rPr>
        <w:t>言</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3</w:t>
      </w:r>
    </w:p>
    <w:p>
      <w:pPr>
        <w:spacing w:before="5" w:after="0" w:line="100" w:lineRule="exact"/>
        <w:jc w:val="left"/>
        <w:rPr>
          <w:sz w:val="10"/>
          <w:szCs w:val="10"/>
          <w:lang w:eastAsia="zh-CN"/>
        </w:rPr>
      </w:pPr>
    </w:p>
    <w:p>
      <w:pPr>
        <w:tabs>
          <w:tab w:val="left" w:pos="480"/>
        </w:tabs>
        <w:spacing w:after="0" w:line="240" w:lineRule="auto"/>
        <w:ind w:left="84" w:right="70"/>
        <w:jc w:val="left"/>
        <w:rPr>
          <w:rFonts w:ascii="Calibri" w:hAnsi="Calibri" w:eastAsia="Calibri" w:cs="Calibri"/>
          <w:sz w:val="20"/>
          <w:szCs w:val="20"/>
          <w:lang w:eastAsia="zh-CN"/>
        </w:rPr>
      </w:pPr>
      <w:r>
        <w:rPr>
          <w:rFonts w:ascii="宋体" w:hAnsi="宋体" w:eastAsia="宋体" w:cs="宋体"/>
          <w:sz w:val="20"/>
          <w:szCs w:val="20"/>
          <w:lang w:eastAsia="zh-CN"/>
        </w:rPr>
        <w:t>引</w:t>
      </w:r>
      <w:r>
        <w:rPr>
          <w:rFonts w:ascii="宋体" w:hAnsi="宋体" w:eastAsia="宋体" w:cs="宋体"/>
          <w:sz w:val="20"/>
          <w:szCs w:val="20"/>
          <w:lang w:eastAsia="zh-CN"/>
        </w:rPr>
        <w:tab/>
      </w:r>
      <w:r>
        <w:rPr>
          <w:rFonts w:ascii="宋体" w:hAnsi="宋体" w:eastAsia="宋体" w:cs="宋体"/>
          <w:spacing w:val="14"/>
          <w:sz w:val="20"/>
          <w:szCs w:val="20"/>
          <w:lang w:eastAsia="zh-CN"/>
        </w:rPr>
        <w:t>言</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4</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z w:val="20"/>
          <w:szCs w:val="20"/>
          <w:lang w:eastAsia="zh-CN"/>
        </w:rPr>
        <w:t xml:space="preserve">1 </w:t>
      </w:r>
      <w:r>
        <w:rPr>
          <w:rFonts w:ascii="Calibri" w:hAnsi="Calibri" w:eastAsia="Calibri" w:cs="Calibri"/>
          <w:b/>
          <w:bCs/>
          <w:spacing w:val="9"/>
          <w:sz w:val="20"/>
          <w:szCs w:val="20"/>
          <w:lang w:eastAsia="zh-CN"/>
        </w:rPr>
        <w:t xml:space="preserve"> </w:t>
      </w:r>
      <w:r>
        <w:rPr>
          <w:rFonts w:ascii="宋体" w:hAnsi="宋体" w:eastAsia="宋体" w:cs="宋体"/>
          <w:sz w:val="20"/>
          <w:szCs w:val="20"/>
          <w:lang w:eastAsia="zh-CN"/>
        </w:rPr>
        <w:t>范</w:t>
      </w:r>
      <w:r>
        <w:rPr>
          <w:rFonts w:ascii="宋体" w:hAnsi="宋体" w:eastAsia="宋体" w:cs="宋体"/>
          <w:spacing w:val="14"/>
          <w:sz w:val="20"/>
          <w:szCs w:val="20"/>
          <w:lang w:eastAsia="zh-CN"/>
        </w:rPr>
        <w:t>围</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5</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b/>
          <w:bCs/>
          <w:sz w:val="20"/>
          <w:szCs w:val="20"/>
          <w:lang w:eastAsia="zh-CN"/>
        </w:rPr>
      </w:pPr>
      <w:r>
        <w:rPr>
          <w:rFonts w:ascii="Calibri" w:hAnsi="Calibri" w:eastAsia="Calibri" w:cs="Calibri"/>
          <w:b/>
          <w:bCs/>
          <w:sz w:val="20"/>
          <w:szCs w:val="20"/>
          <w:lang w:eastAsia="zh-CN"/>
        </w:rPr>
        <w:t xml:space="preserve">2 </w:t>
      </w:r>
      <w:r>
        <w:rPr>
          <w:rFonts w:ascii="Calibri" w:hAnsi="Calibri" w:eastAsia="Calibri" w:cs="Calibri"/>
          <w:b/>
          <w:bCs/>
          <w:spacing w:val="9"/>
          <w:sz w:val="20"/>
          <w:szCs w:val="20"/>
          <w:lang w:eastAsia="zh-CN"/>
        </w:rPr>
        <w:t xml:space="preserve"> </w:t>
      </w:r>
      <w:r>
        <w:rPr>
          <w:rFonts w:ascii="宋体" w:hAnsi="宋体" w:eastAsia="宋体" w:cs="宋体"/>
          <w:sz w:val="20"/>
          <w:szCs w:val="20"/>
          <w:lang w:eastAsia="zh-CN"/>
        </w:rPr>
        <w:t>规范性引用文</w:t>
      </w:r>
      <w:r>
        <w:rPr>
          <w:rFonts w:ascii="宋体" w:hAnsi="宋体" w:eastAsia="宋体" w:cs="宋体"/>
          <w:spacing w:val="15"/>
          <w:sz w:val="20"/>
          <w:szCs w:val="20"/>
          <w:lang w:eastAsia="zh-CN"/>
        </w:rPr>
        <w:t>件</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5</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b/>
          <w:bCs/>
          <w:sz w:val="20"/>
          <w:szCs w:val="20"/>
          <w:lang w:eastAsia="zh-CN"/>
        </w:rPr>
      </w:pPr>
      <w:r>
        <w:rPr>
          <w:rFonts w:hint="eastAsia" w:ascii="Calibri" w:hAnsi="Calibri" w:eastAsia="Calibri" w:cs="Calibri"/>
          <w:b/>
          <w:bCs/>
          <w:sz w:val="20"/>
          <w:szCs w:val="20"/>
          <w:lang w:val="en-US" w:eastAsia="zh-CN"/>
        </w:rPr>
        <w:t>3</w:t>
      </w:r>
      <w:r>
        <w:rPr>
          <w:rFonts w:ascii="Calibri" w:hAnsi="Calibri" w:eastAsia="Calibri" w:cs="Calibri"/>
          <w:b/>
          <w:bCs/>
          <w:sz w:val="20"/>
          <w:szCs w:val="20"/>
          <w:lang w:eastAsia="zh-CN"/>
        </w:rPr>
        <w:t xml:space="preserve"> </w:t>
      </w:r>
      <w:r>
        <w:rPr>
          <w:rFonts w:ascii="Calibri" w:hAnsi="Calibri" w:eastAsia="Calibri" w:cs="Calibri"/>
          <w:b/>
          <w:bCs/>
          <w:spacing w:val="9"/>
          <w:sz w:val="20"/>
          <w:szCs w:val="20"/>
          <w:lang w:eastAsia="zh-CN"/>
        </w:rPr>
        <w:t xml:space="preserve"> </w:t>
      </w:r>
      <w:r>
        <w:rPr>
          <w:rFonts w:hint="eastAsia" w:ascii="宋体" w:hAnsi="宋体" w:cs="宋体"/>
          <w:sz w:val="20"/>
          <w:szCs w:val="20"/>
          <w:lang w:val="en-US" w:eastAsia="zh-CN"/>
        </w:rPr>
        <w:t>术语与定义</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5</w:t>
      </w:r>
    </w:p>
    <w:p>
      <w:pPr>
        <w:spacing w:before="2"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z w:val="20"/>
          <w:szCs w:val="20"/>
          <w:lang w:eastAsia="zh-CN"/>
        </w:rPr>
        <w:t xml:space="preserve">4 </w:t>
      </w:r>
      <w:r>
        <w:rPr>
          <w:rFonts w:ascii="Calibri" w:hAnsi="Calibri" w:eastAsia="Calibri" w:cs="Calibri"/>
          <w:b/>
          <w:bCs/>
          <w:spacing w:val="9"/>
          <w:sz w:val="20"/>
          <w:szCs w:val="20"/>
          <w:lang w:eastAsia="zh-CN"/>
        </w:rPr>
        <w:t xml:space="preserve"> </w:t>
      </w:r>
      <w:r>
        <w:rPr>
          <w:rFonts w:ascii="宋体" w:hAnsi="宋体" w:eastAsia="宋体" w:cs="宋体"/>
          <w:sz w:val="20"/>
          <w:szCs w:val="20"/>
          <w:lang w:eastAsia="zh-CN"/>
        </w:rPr>
        <w:t>能源管理</w:t>
      </w:r>
      <w:r>
        <w:rPr>
          <w:rFonts w:hint="eastAsia" w:ascii="宋体" w:hAnsi="宋体" w:cs="宋体"/>
          <w:sz w:val="20"/>
          <w:szCs w:val="20"/>
          <w:lang w:val="en-US" w:eastAsia="zh-CN"/>
        </w:rPr>
        <w:t>体</w:t>
      </w:r>
      <w:r>
        <w:rPr>
          <w:rFonts w:ascii="宋体" w:hAnsi="宋体" w:eastAsia="宋体" w:cs="宋体"/>
          <w:spacing w:val="15"/>
          <w:sz w:val="20"/>
          <w:szCs w:val="20"/>
          <w:lang w:eastAsia="zh-CN"/>
        </w:rPr>
        <w:t>系</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z w:val="20"/>
          <w:szCs w:val="20"/>
          <w:lang w:eastAsia="zh-CN"/>
        </w:rPr>
        <w:t>7</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1</w:t>
      </w:r>
      <w:r>
        <w:rPr>
          <w:rFonts w:ascii="Calibri" w:hAnsi="Calibri" w:eastAsia="Calibri" w:cs="Calibri"/>
          <w:b/>
          <w:bCs/>
          <w:spacing w:val="4"/>
          <w:sz w:val="20"/>
          <w:szCs w:val="20"/>
          <w:lang w:eastAsia="zh-CN"/>
        </w:rPr>
        <w:t xml:space="preserve"> </w:t>
      </w:r>
      <w:r>
        <w:rPr>
          <w:rFonts w:ascii="宋体" w:hAnsi="宋体" w:eastAsia="宋体" w:cs="宋体"/>
          <w:sz w:val="20"/>
          <w:szCs w:val="20"/>
          <w:lang w:eastAsia="zh-CN"/>
        </w:rPr>
        <w:t>总</w:t>
      </w:r>
      <w:r>
        <w:rPr>
          <w:rFonts w:ascii="宋体" w:hAnsi="宋体" w:eastAsia="宋体" w:cs="宋体"/>
          <w:spacing w:val="14"/>
          <w:sz w:val="20"/>
          <w:szCs w:val="20"/>
          <w:lang w:eastAsia="zh-CN"/>
        </w:rPr>
        <w:t>则</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7</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2 </w:t>
      </w:r>
      <w:r>
        <w:rPr>
          <w:rFonts w:ascii="Calibri" w:hAnsi="Calibri" w:eastAsia="Calibri" w:cs="Calibri"/>
          <w:b/>
          <w:bCs/>
          <w:spacing w:val="9"/>
          <w:sz w:val="20"/>
          <w:szCs w:val="20"/>
          <w:lang w:eastAsia="zh-CN"/>
        </w:rPr>
        <w:t xml:space="preserve"> </w:t>
      </w:r>
      <w:r>
        <w:rPr>
          <w:rFonts w:ascii="宋体" w:hAnsi="宋体" w:eastAsia="宋体" w:cs="宋体"/>
          <w:sz w:val="20"/>
          <w:szCs w:val="20"/>
          <w:lang w:eastAsia="zh-CN"/>
        </w:rPr>
        <w:t>管理职</w:t>
      </w:r>
      <w:r>
        <w:rPr>
          <w:rFonts w:ascii="宋体" w:hAnsi="宋体" w:eastAsia="宋体" w:cs="宋体"/>
          <w:spacing w:val="15"/>
          <w:sz w:val="20"/>
          <w:szCs w:val="20"/>
          <w:lang w:eastAsia="zh-CN"/>
        </w:rPr>
        <w:t>责</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z w:val="20"/>
          <w:szCs w:val="20"/>
          <w:lang w:eastAsia="zh-CN"/>
        </w:rPr>
        <w:t>7</w:t>
      </w:r>
    </w:p>
    <w:p>
      <w:pPr>
        <w:spacing w:before="2"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3 </w:t>
      </w:r>
      <w:r>
        <w:rPr>
          <w:rFonts w:ascii="Calibri" w:hAnsi="Calibri" w:eastAsia="Calibri" w:cs="Calibri"/>
          <w:b/>
          <w:bCs/>
          <w:spacing w:val="9"/>
          <w:sz w:val="20"/>
          <w:szCs w:val="20"/>
          <w:lang w:eastAsia="zh-CN"/>
        </w:rPr>
        <w:t xml:space="preserve"> </w:t>
      </w:r>
      <w:r>
        <w:rPr>
          <w:rFonts w:ascii="宋体" w:hAnsi="宋体" w:eastAsia="宋体" w:cs="宋体"/>
          <w:sz w:val="20"/>
          <w:szCs w:val="20"/>
          <w:lang w:eastAsia="zh-CN"/>
        </w:rPr>
        <w:t>能源方</w:t>
      </w:r>
      <w:r>
        <w:rPr>
          <w:rFonts w:ascii="宋体" w:hAnsi="宋体" w:eastAsia="宋体" w:cs="宋体"/>
          <w:spacing w:val="15"/>
          <w:sz w:val="20"/>
          <w:szCs w:val="20"/>
          <w:lang w:eastAsia="zh-CN"/>
        </w:rPr>
        <w:t>针</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z w:val="20"/>
          <w:szCs w:val="20"/>
          <w:lang w:eastAsia="zh-CN"/>
        </w:rPr>
        <w:t>9</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4 </w:t>
      </w:r>
      <w:r>
        <w:rPr>
          <w:rFonts w:ascii="Calibri" w:hAnsi="Calibri" w:eastAsia="Calibri" w:cs="Calibri"/>
          <w:b/>
          <w:bCs/>
          <w:spacing w:val="9"/>
          <w:sz w:val="20"/>
          <w:szCs w:val="20"/>
          <w:lang w:eastAsia="zh-CN"/>
        </w:rPr>
        <w:t xml:space="preserve"> </w:t>
      </w:r>
      <w:r>
        <w:rPr>
          <w:rFonts w:ascii="宋体" w:hAnsi="宋体" w:eastAsia="宋体" w:cs="宋体"/>
          <w:sz w:val="20"/>
          <w:szCs w:val="20"/>
          <w:lang w:eastAsia="zh-CN"/>
        </w:rPr>
        <w:t>策</w:t>
      </w:r>
      <w:r>
        <w:rPr>
          <w:rFonts w:ascii="宋体" w:hAnsi="宋体" w:eastAsia="宋体" w:cs="宋体"/>
          <w:spacing w:val="14"/>
          <w:sz w:val="20"/>
          <w:szCs w:val="20"/>
          <w:lang w:eastAsia="zh-CN"/>
        </w:rPr>
        <w:t>划</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9</w:t>
      </w:r>
    </w:p>
    <w:p>
      <w:pPr>
        <w:spacing w:before="2"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1</w:t>
      </w:r>
      <w:r>
        <w:rPr>
          <w:rFonts w:ascii="Calibri" w:hAnsi="Calibri" w:eastAsia="Calibri" w:cs="Calibri"/>
          <w:b/>
          <w:bCs/>
          <w:spacing w:val="4"/>
          <w:sz w:val="20"/>
          <w:szCs w:val="20"/>
          <w:lang w:eastAsia="zh-CN"/>
        </w:rPr>
        <w:t xml:space="preserve"> </w:t>
      </w:r>
      <w:r>
        <w:rPr>
          <w:rFonts w:ascii="宋体" w:hAnsi="宋体" w:eastAsia="宋体" w:cs="宋体"/>
          <w:spacing w:val="7"/>
          <w:sz w:val="20"/>
          <w:szCs w:val="20"/>
          <w:lang w:eastAsia="zh-CN"/>
        </w:rPr>
        <w:t>总则</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9</w:t>
      </w:r>
    </w:p>
    <w:p>
      <w:pPr>
        <w:spacing w:before="1" w:after="0" w:line="110" w:lineRule="exact"/>
        <w:jc w:val="left"/>
        <w:rPr>
          <w:sz w:val="11"/>
          <w:szCs w:val="11"/>
          <w:lang w:eastAsia="zh-CN"/>
        </w:rPr>
      </w:pPr>
    </w:p>
    <w:p>
      <w:pPr>
        <w:spacing w:after="0" w:line="240" w:lineRule="auto"/>
        <w:ind w:left="84" w:right="70"/>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2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法</w:t>
      </w:r>
      <w:r>
        <w:rPr>
          <w:rFonts w:ascii="宋体" w:hAnsi="宋体" w:eastAsia="宋体" w:cs="宋体"/>
          <w:sz w:val="20"/>
          <w:szCs w:val="20"/>
          <w:lang w:eastAsia="zh-CN"/>
        </w:rPr>
        <w:t>律法规及其他要</w:t>
      </w:r>
      <w:r>
        <w:rPr>
          <w:rFonts w:ascii="宋体" w:hAnsi="宋体" w:eastAsia="宋体" w:cs="宋体"/>
          <w:spacing w:val="8"/>
          <w:sz w:val="20"/>
          <w:szCs w:val="20"/>
          <w:lang w:eastAsia="zh-CN"/>
        </w:rPr>
        <w:t>求</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w:t>
      </w:r>
      <w:r>
        <w:rPr>
          <w:rFonts w:ascii="Calibri" w:hAnsi="Calibri" w:eastAsia="Calibri" w:cs="Calibri"/>
          <w:b/>
          <w:bCs/>
          <w:spacing w:val="-34"/>
          <w:sz w:val="20"/>
          <w:szCs w:val="20"/>
          <w:lang w:eastAsia="zh-CN"/>
        </w:rPr>
        <w:t xml:space="preserve"> </w:t>
      </w:r>
      <w:r>
        <w:rPr>
          <w:rFonts w:ascii="Calibri" w:hAnsi="Calibri" w:eastAsia="Calibri" w:cs="Calibri"/>
          <w:b/>
          <w:bCs/>
          <w:sz w:val="20"/>
          <w:szCs w:val="20"/>
          <w:lang w:eastAsia="zh-CN"/>
        </w:rPr>
        <w:t>9</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 xml:space="preserve">4.4.3 </w:t>
      </w:r>
      <w:r>
        <w:rPr>
          <w:rFonts w:ascii="宋体" w:hAnsi="宋体" w:eastAsia="宋体" w:cs="宋体"/>
          <w:sz w:val="20"/>
          <w:szCs w:val="20"/>
          <w:lang w:eastAsia="zh-CN"/>
        </w:rPr>
        <w:t>能源评</w:t>
      </w:r>
      <w:r>
        <w:rPr>
          <w:rFonts w:ascii="宋体" w:hAnsi="宋体" w:eastAsia="宋体" w:cs="宋体"/>
          <w:spacing w:val="15"/>
          <w:sz w:val="20"/>
          <w:szCs w:val="20"/>
          <w:lang w:eastAsia="zh-CN"/>
        </w:rPr>
        <w:t>审</w:t>
      </w:r>
      <w:r>
        <w:rPr>
          <w:rFonts w:ascii="Calibri" w:hAnsi="Calibri" w:eastAsia="Calibri" w:cs="Calibri"/>
          <w:b/>
          <w:bCs/>
          <w:spacing w:val="-3"/>
          <w:sz w:val="20"/>
          <w:szCs w:val="20"/>
          <w:lang w:eastAsia="zh-CN"/>
        </w:rPr>
        <w:t>............................................................................................................................. ........</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11</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4</w:t>
      </w:r>
      <w:r>
        <w:rPr>
          <w:rFonts w:ascii="Calibri" w:hAnsi="Calibri" w:eastAsia="Calibri" w:cs="Calibri"/>
          <w:b/>
          <w:bCs/>
          <w:spacing w:val="4"/>
          <w:sz w:val="20"/>
          <w:szCs w:val="20"/>
          <w:lang w:eastAsia="zh-CN"/>
        </w:rPr>
        <w:t xml:space="preserve"> </w:t>
      </w:r>
      <w:r>
        <w:rPr>
          <w:rFonts w:ascii="宋体" w:hAnsi="宋体" w:eastAsia="宋体" w:cs="宋体"/>
          <w:spacing w:val="7"/>
          <w:sz w:val="20"/>
          <w:szCs w:val="20"/>
          <w:lang w:eastAsia="zh-CN"/>
        </w:rPr>
        <w:t>能</w:t>
      </w:r>
      <w:r>
        <w:rPr>
          <w:rFonts w:ascii="宋体" w:hAnsi="宋体" w:eastAsia="宋体" w:cs="宋体"/>
          <w:sz w:val="20"/>
          <w:szCs w:val="20"/>
          <w:lang w:eastAsia="zh-CN"/>
        </w:rPr>
        <w:t>源基</w:t>
      </w:r>
      <w:r>
        <w:rPr>
          <w:rFonts w:ascii="宋体" w:hAnsi="宋体" w:eastAsia="宋体" w:cs="宋体"/>
          <w:spacing w:val="8"/>
          <w:sz w:val="20"/>
          <w:szCs w:val="20"/>
          <w:lang w:eastAsia="zh-CN"/>
        </w:rPr>
        <w:t>准</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15</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5</w:t>
      </w:r>
      <w:r>
        <w:rPr>
          <w:rFonts w:ascii="Calibri" w:hAnsi="Calibri" w:eastAsia="Calibri" w:cs="Calibri"/>
          <w:b/>
          <w:bCs/>
          <w:spacing w:val="4"/>
          <w:sz w:val="20"/>
          <w:szCs w:val="20"/>
          <w:lang w:eastAsia="zh-CN"/>
        </w:rPr>
        <w:t xml:space="preserve"> </w:t>
      </w:r>
      <w:r>
        <w:rPr>
          <w:rFonts w:ascii="宋体" w:hAnsi="宋体" w:eastAsia="宋体" w:cs="宋体"/>
          <w:spacing w:val="7"/>
          <w:sz w:val="20"/>
          <w:szCs w:val="20"/>
          <w:lang w:eastAsia="zh-CN"/>
        </w:rPr>
        <w:t>能</w:t>
      </w:r>
      <w:r>
        <w:rPr>
          <w:rFonts w:ascii="宋体" w:hAnsi="宋体" w:eastAsia="宋体" w:cs="宋体"/>
          <w:sz w:val="20"/>
          <w:szCs w:val="20"/>
          <w:lang w:eastAsia="zh-CN"/>
        </w:rPr>
        <w:t>源绩效参</w:t>
      </w:r>
      <w:r>
        <w:rPr>
          <w:rFonts w:ascii="宋体" w:hAnsi="宋体" w:eastAsia="宋体" w:cs="宋体"/>
          <w:spacing w:val="8"/>
          <w:sz w:val="20"/>
          <w:szCs w:val="20"/>
          <w:lang w:eastAsia="zh-CN"/>
        </w:rPr>
        <w:t>数</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16</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6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能</w:t>
      </w:r>
      <w:r>
        <w:rPr>
          <w:rFonts w:ascii="宋体" w:hAnsi="宋体" w:eastAsia="宋体" w:cs="宋体"/>
          <w:sz w:val="20"/>
          <w:szCs w:val="20"/>
          <w:lang w:eastAsia="zh-CN"/>
        </w:rPr>
        <w:t>源目标、能源指标与能</w:t>
      </w:r>
      <w:r>
        <w:rPr>
          <w:rFonts w:ascii="宋体" w:hAnsi="宋体" w:eastAsia="宋体" w:cs="宋体"/>
          <w:spacing w:val="-7"/>
          <w:sz w:val="20"/>
          <w:szCs w:val="20"/>
          <w:lang w:eastAsia="zh-CN"/>
        </w:rPr>
        <w:t>源</w:t>
      </w:r>
      <w:r>
        <w:rPr>
          <w:rFonts w:ascii="宋体" w:hAnsi="宋体" w:eastAsia="宋体" w:cs="宋体"/>
          <w:sz w:val="20"/>
          <w:szCs w:val="20"/>
          <w:lang w:eastAsia="zh-CN"/>
        </w:rPr>
        <w:t>管理实施方</w:t>
      </w:r>
      <w:r>
        <w:rPr>
          <w:rFonts w:ascii="宋体" w:hAnsi="宋体" w:eastAsia="宋体" w:cs="宋体"/>
          <w:spacing w:val="17"/>
          <w:sz w:val="20"/>
          <w:szCs w:val="20"/>
          <w:lang w:eastAsia="zh-CN"/>
        </w:rPr>
        <w:t>案</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17</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5</w:t>
      </w:r>
      <w:r>
        <w:rPr>
          <w:rFonts w:ascii="Calibri" w:hAnsi="Calibri" w:eastAsia="Calibri" w:cs="Calibri"/>
          <w:b/>
          <w:bCs/>
          <w:spacing w:val="4"/>
          <w:sz w:val="20"/>
          <w:szCs w:val="20"/>
          <w:lang w:eastAsia="zh-CN"/>
        </w:rPr>
        <w:t xml:space="preserve"> </w:t>
      </w:r>
      <w:r>
        <w:rPr>
          <w:rFonts w:ascii="宋体" w:hAnsi="宋体" w:eastAsia="宋体" w:cs="宋体"/>
          <w:sz w:val="20"/>
          <w:szCs w:val="20"/>
          <w:lang w:eastAsia="zh-CN"/>
        </w:rPr>
        <w:t>实施与运</w:t>
      </w:r>
      <w:r>
        <w:rPr>
          <w:rFonts w:ascii="宋体" w:hAnsi="宋体" w:eastAsia="宋体" w:cs="宋体"/>
          <w:spacing w:val="15"/>
          <w:sz w:val="20"/>
          <w:szCs w:val="20"/>
          <w:lang w:eastAsia="zh-CN"/>
        </w:rPr>
        <w:t>行</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18</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1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总则</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18</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2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能</w:t>
      </w:r>
      <w:r>
        <w:rPr>
          <w:rFonts w:ascii="宋体" w:hAnsi="宋体" w:eastAsia="宋体" w:cs="宋体"/>
          <w:sz w:val="20"/>
          <w:szCs w:val="20"/>
          <w:lang w:eastAsia="zh-CN"/>
        </w:rPr>
        <w:t>力、培训与意</w:t>
      </w:r>
      <w:r>
        <w:rPr>
          <w:rFonts w:ascii="宋体" w:hAnsi="宋体" w:eastAsia="宋体" w:cs="宋体"/>
          <w:spacing w:val="8"/>
          <w:sz w:val="20"/>
          <w:szCs w:val="20"/>
          <w:lang w:eastAsia="zh-CN"/>
        </w:rPr>
        <w:t>识</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19</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3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信</w:t>
      </w:r>
      <w:r>
        <w:rPr>
          <w:rFonts w:ascii="宋体" w:hAnsi="宋体" w:eastAsia="宋体" w:cs="宋体"/>
          <w:sz w:val="20"/>
          <w:szCs w:val="20"/>
          <w:lang w:eastAsia="zh-CN"/>
        </w:rPr>
        <w:t>息交</w:t>
      </w:r>
      <w:r>
        <w:rPr>
          <w:rFonts w:ascii="宋体" w:hAnsi="宋体" w:eastAsia="宋体" w:cs="宋体"/>
          <w:spacing w:val="8"/>
          <w:sz w:val="20"/>
          <w:szCs w:val="20"/>
          <w:lang w:eastAsia="zh-CN"/>
        </w:rPr>
        <w:t>流</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21</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4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文件</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22</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5</w:t>
      </w:r>
      <w:r>
        <w:rPr>
          <w:rFonts w:ascii="Calibri" w:hAnsi="Calibri" w:eastAsia="Calibri" w:cs="Calibri"/>
          <w:b/>
          <w:bCs/>
          <w:spacing w:val="4"/>
          <w:sz w:val="20"/>
          <w:szCs w:val="20"/>
          <w:lang w:eastAsia="zh-CN"/>
        </w:rPr>
        <w:t xml:space="preserve"> </w:t>
      </w:r>
      <w:r>
        <w:rPr>
          <w:rFonts w:ascii="宋体" w:hAnsi="宋体" w:eastAsia="宋体" w:cs="宋体"/>
          <w:spacing w:val="7"/>
          <w:sz w:val="20"/>
          <w:szCs w:val="20"/>
          <w:lang w:eastAsia="zh-CN"/>
        </w:rPr>
        <w:t>运</w:t>
      </w:r>
      <w:r>
        <w:rPr>
          <w:rFonts w:ascii="宋体" w:hAnsi="宋体" w:eastAsia="宋体" w:cs="宋体"/>
          <w:sz w:val="20"/>
          <w:szCs w:val="20"/>
          <w:lang w:eastAsia="zh-CN"/>
        </w:rPr>
        <w:t>行控</w:t>
      </w:r>
      <w:r>
        <w:rPr>
          <w:rFonts w:ascii="宋体" w:hAnsi="宋体" w:eastAsia="宋体" w:cs="宋体"/>
          <w:spacing w:val="8"/>
          <w:sz w:val="20"/>
          <w:szCs w:val="20"/>
          <w:lang w:eastAsia="zh-CN"/>
        </w:rPr>
        <w:t>制</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23</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6</w:t>
      </w:r>
      <w:r>
        <w:rPr>
          <w:rFonts w:ascii="Calibri" w:hAnsi="Calibri" w:eastAsia="Calibri" w:cs="Calibri"/>
          <w:b/>
          <w:bCs/>
          <w:spacing w:val="4"/>
          <w:sz w:val="20"/>
          <w:szCs w:val="20"/>
          <w:lang w:eastAsia="zh-CN"/>
        </w:rPr>
        <w:t xml:space="preserve"> </w:t>
      </w:r>
      <w:r>
        <w:rPr>
          <w:rFonts w:ascii="宋体" w:hAnsi="宋体" w:eastAsia="宋体" w:cs="宋体"/>
          <w:spacing w:val="7"/>
          <w:sz w:val="20"/>
          <w:szCs w:val="20"/>
          <w:lang w:eastAsia="zh-CN"/>
        </w:rPr>
        <w:t>设计</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26</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5</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7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能</w:t>
      </w:r>
      <w:r>
        <w:rPr>
          <w:rFonts w:ascii="宋体" w:hAnsi="宋体" w:eastAsia="宋体" w:cs="宋体"/>
          <w:sz w:val="20"/>
          <w:szCs w:val="20"/>
          <w:lang w:eastAsia="zh-CN"/>
        </w:rPr>
        <w:t>源服务、产品、设备和</w:t>
      </w:r>
      <w:r>
        <w:rPr>
          <w:rFonts w:ascii="宋体" w:hAnsi="宋体" w:eastAsia="宋体" w:cs="宋体"/>
          <w:spacing w:val="-7"/>
          <w:sz w:val="20"/>
          <w:szCs w:val="20"/>
          <w:lang w:eastAsia="zh-CN"/>
        </w:rPr>
        <w:t>能</w:t>
      </w:r>
      <w:r>
        <w:rPr>
          <w:rFonts w:ascii="宋体" w:hAnsi="宋体" w:eastAsia="宋体" w:cs="宋体"/>
          <w:sz w:val="20"/>
          <w:szCs w:val="20"/>
          <w:lang w:eastAsia="zh-CN"/>
        </w:rPr>
        <w:t>源的采</w:t>
      </w:r>
      <w:r>
        <w:rPr>
          <w:rFonts w:ascii="宋体" w:hAnsi="宋体" w:eastAsia="宋体" w:cs="宋体"/>
          <w:spacing w:val="17"/>
          <w:sz w:val="20"/>
          <w:szCs w:val="20"/>
          <w:lang w:eastAsia="zh-CN"/>
        </w:rPr>
        <w:t>购</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27</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6</w:t>
      </w:r>
      <w:r>
        <w:rPr>
          <w:rFonts w:ascii="Calibri" w:hAnsi="Calibri" w:eastAsia="Calibri" w:cs="Calibri"/>
          <w:b/>
          <w:bCs/>
          <w:spacing w:val="4"/>
          <w:sz w:val="20"/>
          <w:szCs w:val="20"/>
          <w:lang w:eastAsia="zh-CN"/>
        </w:rPr>
        <w:t xml:space="preserve"> </w:t>
      </w:r>
      <w:r>
        <w:rPr>
          <w:rFonts w:ascii="宋体" w:hAnsi="宋体" w:eastAsia="宋体" w:cs="宋体"/>
          <w:sz w:val="20"/>
          <w:szCs w:val="20"/>
          <w:lang w:eastAsia="zh-CN"/>
        </w:rPr>
        <w:t>检</w:t>
      </w:r>
      <w:r>
        <w:rPr>
          <w:rFonts w:ascii="宋体" w:hAnsi="宋体" w:eastAsia="宋体" w:cs="宋体"/>
          <w:spacing w:val="14"/>
          <w:sz w:val="20"/>
          <w:szCs w:val="20"/>
          <w:lang w:eastAsia="zh-CN"/>
        </w:rPr>
        <w:t>查</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28</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6</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1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监</w:t>
      </w:r>
      <w:r>
        <w:rPr>
          <w:rFonts w:ascii="宋体" w:hAnsi="宋体" w:eastAsia="宋体" w:cs="宋体"/>
          <w:sz w:val="20"/>
          <w:szCs w:val="20"/>
          <w:lang w:eastAsia="zh-CN"/>
        </w:rPr>
        <w:t>视、测量与分</w:t>
      </w:r>
      <w:r>
        <w:rPr>
          <w:rFonts w:ascii="宋体" w:hAnsi="宋体" w:eastAsia="宋体" w:cs="宋体"/>
          <w:spacing w:val="8"/>
          <w:sz w:val="20"/>
          <w:szCs w:val="20"/>
          <w:lang w:eastAsia="zh-CN"/>
        </w:rPr>
        <w:t>析</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28</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6</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2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合</w:t>
      </w:r>
      <w:r>
        <w:rPr>
          <w:rFonts w:ascii="宋体" w:hAnsi="宋体" w:eastAsia="宋体" w:cs="宋体"/>
          <w:sz w:val="20"/>
          <w:szCs w:val="20"/>
          <w:lang w:eastAsia="zh-CN"/>
        </w:rPr>
        <w:t>规性评</w:t>
      </w:r>
      <w:r>
        <w:rPr>
          <w:rFonts w:ascii="宋体" w:hAnsi="宋体" w:eastAsia="宋体" w:cs="宋体"/>
          <w:spacing w:val="8"/>
          <w:sz w:val="20"/>
          <w:szCs w:val="20"/>
          <w:lang w:eastAsia="zh-CN"/>
        </w:rPr>
        <w:t>价</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29</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6</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3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能</w:t>
      </w:r>
      <w:r>
        <w:rPr>
          <w:rFonts w:ascii="宋体" w:hAnsi="宋体" w:eastAsia="宋体" w:cs="宋体"/>
          <w:sz w:val="20"/>
          <w:szCs w:val="20"/>
          <w:lang w:eastAsia="zh-CN"/>
        </w:rPr>
        <w:t>源管理体系的内部审</w:t>
      </w:r>
      <w:r>
        <w:rPr>
          <w:rFonts w:ascii="宋体" w:hAnsi="宋体" w:eastAsia="宋体" w:cs="宋体"/>
          <w:spacing w:val="9"/>
          <w:sz w:val="20"/>
          <w:szCs w:val="20"/>
          <w:lang w:eastAsia="zh-CN"/>
        </w:rPr>
        <w:t>核</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30</w:t>
      </w:r>
    </w:p>
    <w:p>
      <w:pPr>
        <w:spacing w:before="2"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6</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 xml:space="preserve">4 </w:t>
      </w:r>
      <w:r>
        <w:rPr>
          <w:rFonts w:ascii="Calibri" w:hAnsi="Calibri" w:eastAsia="Calibri" w:cs="Calibri"/>
          <w:b/>
          <w:bCs/>
          <w:spacing w:val="9"/>
          <w:sz w:val="20"/>
          <w:szCs w:val="20"/>
          <w:lang w:eastAsia="zh-CN"/>
        </w:rPr>
        <w:t xml:space="preserve"> </w:t>
      </w:r>
      <w:r>
        <w:rPr>
          <w:rFonts w:ascii="宋体" w:hAnsi="宋体" w:eastAsia="宋体" w:cs="宋体"/>
          <w:spacing w:val="7"/>
          <w:sz w:val="20"/>
          <w:szCs w:val="20"/>
          <w:lang w:eastAsia="zh-CN"/>
        </w:rPr>
        <w:t>不</w:t>
      </w:r>
      <w:r>
        <w:rPr>
          <w:rFonts w:ascii="宋体" w:hAnsi="宋体" w:eastAsia="宋体" w:cs="宋体"/>
          <w:sz w:val="20"/>
          <w:szCs w:val="20"/>
          <w:lang w:eastAsia="zh-CN"/>
        </w:rPr>
        <w:t>符合</w:t>
      </w:r>
      <w:r>
        <w:rPr>
          <w:rFonts w:ascii="宋体" w:hAnsi="宋体" w:eastAsia="宋体" w:cs="宋体"/>
          <w:spacing w:val="1"/>
          <w:sz w:val="20"/>
          <w:szCs w:val="20"/>
          <w:lang w:eastAsia="zh-CN"/>
        </w:rPr>
        <w:t>、</w:t>
      </w:r>
      <w:r>
        <w:rPr>
          <w:rFonts w:ascii="宋体" w:hAnsi="宋体" w:eastAsia="宋体" w:cs="宋体"/>
          <w:sz w:val="20"/>
          <w:szCs w:val="20"/>
          <w:lang w:eastAsia="zh-CN"/>
        </w:rPr>
        <w:t>纠正、纠正措施</w:t>
      </w:r>
      <w:r>
        <w:rPr>
          <w:rFonts w:ascii="宋体" w:hAnsi="宋体" w:eastAsia="宋体" w:cs="宋体"/>
          <w:spacing w:val="-7"/>
          <w:sz w:val="20"/>
          <w:szCs w:val="20"/>
          <w:lang w:eastAsia="zh-CN"/>
        </w:rPr>
        <w:t>和</w:t>
      </w:r>
      <w:r>
        <w:rPr>
          <w:rFonts w:ascii="宋体" w:hAnsi="宋体" w:eastAsia="宋体" w:cs="宋体"/>
          <w:sz w:val="20"/>
          <w:szCs w:val="20"/>
          <w:lang w:eastAsia="zh-CN"/>
        </w:rPr>
        <w:t>预防措</w:t>
      </w:r>
      <w:r>
        <w:rPr>
          <w:rFonts w:ascii="宋体" w:hAnsi="宋体" w:eastAsia="宋体" w:cs="宋体"/>
          <w:spacing w:val="16"/>
          <w:sz w:val="20"/>
          <w:szCs w:val="20"/>
          <w:lang w:eastAsia="zh-CN"/>
        </w:rPr>
        <w:t>施</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30</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pacing w:val="-1"/>
          <w:sz w:val="20"/>
          <w:szCs w:val="20"/>
          <w:lang w:eastAsia="zh-CN"/>
        </w:rPr>
        <w:t>6</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5</w:t>
      </w:r>
      <w:r>
        <w:rPr>
          <w:rFonts w:ascii="Calibri" w:hAnsi="Calibri" w:eastAsia="Calibri" w:cs="Calibri"/>
          <w:b/>
          <w:bCs/>
          <w:spacing w:val="4"/>
          <w:sz w:val="20"/>
          <w:szCs w:val="20"/>
          <w:lang w:eastAsia="zh-CN"/>
        </w:rPr>
        <w:t xml:space="preserve"> </w:t>
      </w:r>
      <w:r>
        <w:rPr>
          <w:rFonts w:ascii="宋体" w:hAnsi="宋体" w:eastAsia="宋体" w:cs="宋体"/>
          <w:spacing w:val="7"/>
          <w:sz w:val="20"/>
          <w:szCs w:val="20"/>
          <w:lang w:eastAsia="zh-CN"/>
        </w:rPr>
        <w:t>记</w:t>
      </w:r>
      <w:r>
        <w:rPr>
          <w:rFonts w:ascii="宋体" w:hAnsi="宋体" w:eastAsia="宋体" w:cs="宋体"/>
          <w:sz w:val="20"/>
          <w:szCs w:val="20"/>
          <w:lang w:eastAsia="zh-CN"/>
        </w:rPr>
        <w:t>录控</w:t>
      </w:r>
      <w:r>
        <w:rPr>
          <w:rFonts w:ascii="宋体" w:hAnsi="宋体" w:eastAsia="宋体" w:cs="宋体"/>
          <w:spacing w:val="8"/>
          <w:sz w:val="20"/>
          <w:szCs w:val="20"/>
          <w:lang w:eastAsia="zh-CN"/>
        </w:rPr>
        <w:t>制</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30</w:t>
      </w:r>
    </w:p>
    <w:p>
      <w:pPr>
        <w:spacing w:before="1" w:after="0" w:line="110" w:lineRule="exact"/>
        <w:jc w:val="left"/>
        <w:rPr>
          <w:sz w:val="11"/>
          <w:szCs w:val="11"/>
          <w:lang w:eastAsia="zh-CN"/>
        </w:rPr>
      </w:pPr>
    </w:p>
    <w:p>
      <w:pPr>
        <w:spacing w:after="0" w:line="240" w:lineRule="auto"/>
        <w:ind w:left="84" w:right="72"/>
        <w:jc w:val="left"/>
        <w:rPr>
          <w:rFonts w:ascii="Calibri" w:hAnsi="Calibri" w:eastAsia="Calibri" w:cs="Calibri"/>
          <w:sz w:val="20"/>
          <w:szCs w:val="20"/>
          <w:lang w:eastAsia="zh-CN"/>
        </w:rPr>
      </w:pPr>
      <w:r>
        <w:rPr>
          <w:rFonts w:ascii="Calibri" w:hAnsi="Calibri" w:eastAsia="Calibri" w:cs="Calibri"/>
          <w:b/>
          <w:bCs/>
          <w:spacing w:val="-1"/>
          <w:sz w:val="20"/>
          <w:szCs w:val="20"/>
          <w:lang w:eastAsia="zh-CN"/>
        </w:rPr>
        <w:t>4</w:t>
      </w:r>
      <w:r>
        <w:rPr>
          <w:rFonts w:ascii="Calibri" w:hAnsi="Calibri" w:eastAsia="Calibri" w:cs="Calibri"/>
          <w:b/>
          <w:bCs/>
          <w:spacing w:val="-3"/>
          <w:sz w:val="20"/>
          <w:szCs w:val="20"/>
          <w:lang w:eastAsia="zh-CN"/>
        </w:rPr>
        <w:t>.</w:t>
      </w:r>
      <w:r>
        <w:rPr>
          <w:rFonts w:ascii="Calibri" w:hAnsi="Calibri" w:eastAsia="Calibri" w:cs="Calibri"/>
          <w:b/>
          <w:bCs/>
          <w:sz w:val="20"/>
          <w:szCs w:val="20"/>
          <w:lang w:eastAsia="zh-CN"/>
        </w:rPr>
        <w:t>7</w:t>
      </w:r>
      <w:r>
        <w:rPr>
          <w:rFonts w:ascii="Calibri" w:hAnsi="Calibri" w:eastAsia="Calibri" w:cs="Calibri"/>
          <w:b/>
          <w:bCs/>
          <w:spacing w:val="4"/>
          <w:sz w:val="20"/>
          <w:szCs w:val="20"/>
          <w:lang w:eastAsia="zh-CN"/>
        </w:rPr>
        <w:t xml:space="preserve"> </w:t>
      </w:r>
      <w:r>
        <w:rPr>
          <w:rFonts w:ascii="宋体" w:hAnsi="宋体" w:eastAsia="宋体" w:cs="宋体"/>
          <w:sz w:val="20"/>
          <w:szCs w:val="20"/>
          <w:lang w:eastAsia="zh-CN"/>
        </w:rPr>
        <w:t>管理评</w:t>
      </w:r>
      <w:r>
        <w:rPr>
          <w:rFonts w:ascii="宋体" w:hAnsi="宋体" w:eastAsia="宋体" w:cs="宋体"/>
          <w:spacing w:val="15"/>
          <w:sz w:val="20"/>
          <w:szCs w:val="20"/>
          <w:lang w:eastAsia="zh-CN"/>
        </w:rPr>
        <w:t>审</w:t>
      </w:r>
      <w:r>
        <w:rPr>
          <w:rFonts w:ascii="Calibri" w:hAnsi="Calibri" w:eastAsia="Calibri" w:cs="Calibri"/>
          <w:b/>
          <w:bCs/>
          <w:spacing w:val="-3"/>
          <w:sz w:val="20"/>
          <w:szCs w:val="20"/>
          <w:lang w:eastAsia="zh-CN"/>
        </w:rPr>
        <w:t>.........................................................................................................................................</w:t>
      </w:r>
      <w:r>
        <w:rPr>
          <w:rFonts w:ascii="Calibri" w:hAnsi="Calibri" w:eastAsia="Calibri" w:cs="Calibri"/>
          <w:b/>
          <w:bCs/>
          <w:spacing w:val="11"/>
          <w:sz w:val="20"/>
          <w:szCs w:val="20"/>
          <w:lang w:eastAsia="zh-CN"/>
        </w:rPr>
        <w:t>.</w:t>
      </w:r>
      <w:r>
        <w:rPr>
          <w:rFonts w:ascii="Calibri" w:hAnsi="Calibri" w:eastAsia="Calibri" w:cs="Calibri"/>
          <w:b/>
          <w:bCs/>
          <w:spacing w:val="-1"/>
          <w:sz w:val="20"/>
          <w:szCs w:val="20"/>
          <w:lang w:eastAsia="zh-CN"/>
        </w:rPr>
        <w:t>30</w:t>
      </w:r>
    </w:p>
    <w:p>
      <w:pPr>
        <w:spacing w:after="0"/>
        <w:jc w:val="left"/>
        <w:rPr>
          <w:lang w:eastAsia="zh-CN"/>
        </w:rPr>
        <w:sectPr>
          <w:headerReference r:id="rId3" w:type="default"/>
          <w:pgSz w:w="11920" w:h="16860"/>
          <w:pgMar w:top="1040" w:right="1680" w:bottom="280" w:left="1680" w:header="0" w:footer="11460" w:gutter="0"/>
          <w:cols w:space="720" w:num="1"/>
        </w:sectPr>
      </w:pPr>
    </w:p>
    <w:p>
      <w:pPr>
        <w:spacing w:after="0" w:line="200" w:lineRule="exact"/>
        <w:rPr>
          <w:sz w:val="20"/>
          <w:szCs w:val="20"/>
          <w:lang w:eastAsia="zh-CN"/>
        </w:rPr>
      </w:pPr>
    </w:p>
    <w:p>
      <w:pPr>
        <w:spacing w:before="7" w:after="0" w:line="170" w:lineRule="exact"/>
        <w:rPr>
          <w:sz w:val="17"/>
          <w:szCs w:val="17"/>
          <w:lang w:eastAsia="zh-CN"/>
        </w:rPr>
      </w:pPr>
    </w:p>
    <w:p>
      <w:pPr>
        <w:spacing w:after="0" w:line="200" w:lineRule="exact"/>
        <w:rPr>
          <w:sz w:val="20"/>
          <w:szCs w:val="20"/>
          <w:lang w:eastAsia="zh-CN"/>
        </w:rPr>
      </w:pPr>
    </w:p>
    <w:p>
      <w:pPr>
        <w:jc w:val="center"/>
        <w:rPr>
          <w:b/>
          <w:sz w:val="28"/>
          <w:szCs w:val="28"/>
          <w:lang w:eastAsia="zh-CN"/>
        </w:rPr>
      </w:pPr>
      <w:r>
        <w:rPr>
          <w:b/>
          <w:sz w:val="28"/>
          <w:szCs w:val="28"/>
          <w:lang w:eastAsia="zh-CN"/>
        </w:rPr>
        <w:t>前</w:t>
      </w:r>
      <w:r>
        <w:rPr>
          <w:rFonts w:hint="eastAsia"/>
          <w:b/>
          <w:sz w:val="28"/>
          <w:szCs w:val="28"/>
          <w:lang w:eastAsia="zh-CN"/>
        </w:rPr>
        <w:t xml:space="preserve"> </w:t>
      </w:r>
      <w:r>
        <w:rPr>
          <w:b/>
          <w:sz w:val="28"/>
          <w:szCs w:val="28"/>
          <w:lang w:eastAsia="zh-CN"/>
        </w:rPr>
        <w:t xml:space="preserve">   言</w:t>
      </w:r>
    </w:p>
    <w:p>
      <w:pPr>
        <w:spacing w:before="6" w:after="0" w:line="110" w:lineRule="exact"/>
        <w:rPr>
          <w:sz w:val="11"/>
          <w:szCs w:val="11"/>
          <w:lang w:eastAsia="zh-CN"/>
        </w:rPr>
      </w:pPr>
    </w:p>
    <w:p>
      <w:pPr>
        <w:spacing w:after="0" w:line="200" w:lineRule="exact"/>
        <w:rPr>
          <w:sz w:val="20"/>
          <w:szCs w:val="20"/>
          <w:lang w:eastAsia="zh-CN"/>
        </w:rPr>
      </w:pPr>
    </w:p>
    <w:p>
      <w:pPr>
        <w:spacing w:after="0" w:line="200" w:lineRule="exact"/>
        <w:rPr>
          <w:sz w:val="20"/>
          <w:szCs w:val="20"/>
          <w:lang w:eastAsia="zh-CN"/>
        </w:rPr>
      </w:pPr>
    </w:p>
    <w:p>
      <w:pPr>
        <w:pStyle w:val="23"/>
        <w:rPr>
          <w:rFonts w:ascii="宋体" w:hAnsi="宋体" w:eastAsia="宋体" w:cs="宋体"/>
          <w:spacing w:val="-26"/>
          <w:sz w:val="21"/>
          <w:szCs w:val="21"/>
          <w:lang w:eastAsia="zh-CN"/>
        </w:rPr>
      </w:pPr>
      <w:r>
        <w:rPr>
          <w:rFonts w:hint="eastAsia" w:hAnsi="宋体"/>
          <w:color w:val="000000" w:themeColor="text1"/>
          <w:szCs w:val="21"/>
          <w14:textFill>
            <w14:solidFill>
              <w14:schemeClr w14:val="tx1"/>
            </w14:solidFill>
          </w14:textFill>
        </w:rPr>
        <w:t>本文件按照GB/T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 xml:space="preserve">《标准化工作导则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第1部分：标准化文件的结构和起草规则》的规定起草。</w:t>
      </w:r>
      <w:r>
        <w:rPr>
          <w:rFonts w:ascii="宋体" w:hAnsi="宋体" w:eastAsia="宋体" w:cs="宋体"/>
          <w:spacing w:val="-26"/>
          <w:sz w:val="21"/>
          <w:szCs w:val="21"/>
          <w:lang w:eastAsia="zh-CN"/>
        </w:rPr>
        <w:t xml:space="preserve"> </w:t>
      </w:r>
    </w:p>
    <w:p>
      <w:pPr>
        <w:spacing w:after="0" w:line="242" w:lineRule="auto"/>
        <w:ind w:right="39"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本</w:t>
      </w:r>
      <w:r>
        <w:rPr>
          <w:rFonts w:hint="eastAsia" w:hAnsi="宋体"/>
          <w:color w:val="000000" w:themeColor="text1"/>
          <w:szCs w:val="21"/>
          <w14:textFill>
            <w14:solidFill>
              <w14:schemeClr w14:val="tx1"/>
            </w14:solidFill>
          </w14:textFill>
        </w:rPr>
        <w:t>文件</w:t>
      </w:r>
      <w:r>
        <w:rPr>
          <w:rFonts w:ascii="宋体" w:hAnsi="宋体" w:eastAsia="宋体" w:cs="宋体"/>
          <w:spacing w:val="1"/>
          <w:sz w:val="21"/>
          <w:szCs w:val="21"/>
          <w:lang w:eastAsia="zh-CN"/>
        </w:rPr>
        <w:t>是</w:t>
      </w:r>
      <w:r>
        <w:rPr>
          <w:rFonts w:ascii="宋体" w:hAnsi="宋体" w:eastAsia="宋体" w:cs="宋体"/>
          <w:spacing w:val="3"/>
          <w:sz w:val="21"/>
          <w:szCs w:val="21"/>
          <w:lang w:eastAsia="zh-CN"/>
        </w:rPr>
        <w:t xml:space="preserve">GB/T </w:t>
      </w:r>
      <w:r>
        <w:rPr>
          <w:rFonts w:ascii="宋体" w:hAnsi="宋体" w:eastAsia="宋体" w:cs="宋体"/>
          <w:spacing w:val="-4"/>
          <w:sz w:val="21"/>
          <w:szCs w:val="21"/>
          <w:lang w:eastAsia="zh-CN"/>
        </w:rPr>
        <w:t>2</w:t>
      </w:r>
      <w:r>
        <w:rPr>
          <w:rFonts w:ascii="宋体" w:hAnsi="宋体" w:eastAsia="宋体" w:cs="宋体"/>
          <w:spacing w:val="3"/>
          <w:sz w:val="21"/>
          <w:szCs w:val="21"/>
          <w:lang w:eastAsia="zh-CN"/>
        </w:rPr>
        <w:t>3</w:t>
      </w:r>
      <w:r>
        <w:rPr>
          <w:rFonts w:ascii="宋体" w:hAnsi="宋体" w:eastAsia="宋体" w:cs="宋体"/>
          <w:spacing w:val="-4"/>
          <w:sz w:val="21"/>
          <w:szCs w:val="21"/>
          <w:lang w:eastAsia="zh-CN"/>
        </w:rPr>
        <w:t>3</w:t>
      </w:r>
      <w:r>
        <w:rPr>
          <w:rFonts w:ascii="宋体" w:hAnsi="宋体" w:eastAsia="宋体" w:cs="宋体"/>
          <w:spacing w:val="5"/>
          <w:sz w:val="21"/>
          <w:szCs w:val="21"/>
          <w:lang w:eastAsia="zh-CN"/>
        </w:rPr>
        <w:t>3</w:t>
      </w:r>
      <w:r>
        <w:rPr>
          <w:rFonts w:ascii="宋体" w:hAnsi="宋体" w:eastAsia="宋体" w:cs="宋体"/>
          <w:spacing w:val="4"/>
          <w:sz w:val="21"/>
          <w:szCs w:val="21"/>
          <w:lang w:eastAsia="zh-CN"/>
        </w:rPr>
        <w:t>1</w:t>
      </w:r>
      <w:r>
        <w:rPr>
          <w:rFonts w:ascii="宋体" w:hAnsi="宋体" w:eastAsia="宋体" w:cs="宋体"/>
          <w:sz w:val="21"/>
          <w:szCs w:val="21"/>
          <w:lang w:eastAsia="zh-CN"/>
        </w:rPr>
        <w:t>和</w:t>
      </w:r>
      <w:r>
        <w:rPr>
          <w:rFonts w:ascii="宋体" w:hAnsi="宋体" w:eastAsia="宋体" w:cs="宋体"/>
          <w:spacing w:val="-4"/>
          <w:sz w:val="21"/>
          <w:szCs w:val="21"/>
          <w:lang w:eastAsia="zh-CN"/>
        </w:rPr>
        <w:t>G</w:t>
      </w:r>
      <w:r>
        <w:rPr>
          <w:rFonts w:ascii="宋体" w:hAnsi="宋体" w:eastAsia="宋体" w:cs="宋体"/>
          <w:spacing w:val="3"/>
          <w:sz w:val="21"/>
          <w:szCs w:val="21"/>
          <w:lang w:eastAsia="zh-CN"/>
        </w:rPr>
        <w:t>B</w:t>
      </w:r>
      <w:r>
        <w:rPr>
          <w:rFonts w:ascii="宋体" w:hAnsi="宋体" w:eastAsia="宋体" w:cs="宋体"/>
          <w:spacing w:val="-4"/>
          <w:sz w:val="21"/>
          <w:szCs w:val="21"/>
          <w:lang w:eastAsia="zh-CN"/>
        </w:rPr>
        <w:t>/</w:t>
      </w:r>
      <w:r>
        <w:rPr>
          <w:rFonts w:ascii="宋体" w:hAnsi="宋体" w:eastAsia="宋体" w:cs="宋体"/>
          <w:sz w:val="21"/>
          <w:szCs w:val="21"/>
          <w:lang w:eastAsia="zh-CN"/>
        </w:rPr>
        <w:t>T</w:t>
      </w:r>
      <w:r>
        <w:rPr>
          <w:rFonts w:ascii="宋体" w:hAnsi="宋体" w:eastAsia="宋体" w:cs="宋体"/>
          <w:spacing w:val="7"/>
          <w:sz w:val="21"/>
          <w:szCs w:val="21"/>
          <w:lang w:eastAsia="zh-CN"/>
        </w:rPr>
        <w:t xml:space="preserve"> </w:t>
      </w:r>
      <w:r>
        <w:rPr>
          <w:rFonts w:ascii="宋体" w:hAnsi="宋体" w:eastAsia="宋体" w:cs="宋体"/>
          <w:spacing w:val="-4"/>
          <w:sz w:val="21"/>
          <w:szCs w:val="21"/>
          <w:lang w:eastAsia="zh-CN"/>
        </w:rPr>
        <w:t>2</w:t>
      </w:r>
      <w:r>
        <w:rPr>
          <w:rFonts w:ascii="宋体" w:hAnsi="宋体" w:eastAsia="宋体" w:cs="宋体"/>
          <w:spacing w:val="3"/>
          <w:sz w:val="21"/>
          <w:szCs w:val="21"/>
          <w:lang w:eastAsia="zh-CN"/>
        </w:rPr>
        <w:t>9</w:t>
      </w:r>
      <w:r>
        <w:rPr>
          <w:rFonts w:ascii="宋体" w:hAnsi="宋体" w:eastAsia="宋体" w:cs="宋体"/>
          <w:spacing w:val="-4"/>
          <w:sz w:val="21"/>
          <w:szCs w:val="21"/>
          <w:lang w:eastAsia="zh-CN"/>
        </w:rPr>
        <w:t>4</w:t>
      </w:r>
      <w:r>
        <w:rPr>
          <w:rFonts w:ascii="宋体" w:hAnsi="宋体" w:eastAsia="宋体" w:cs="宋体"/>
          <w:spacing w:val="3"/>
          <w:sz w:val="21"/>
          <w:szCs w:val="21"/>
          <w:lang w:eastAsia="zh-CN"/>
        </w:rPr>
        <w:t>5</w:t>
      </w:r>
      <w:r>
        <w:rPr>
          <w:rFonts w:ascii="宋体" w:hAnsi="宋体" w:eastAsia="宋体" w:cs="宋体"/>
          <w:spacing w:val="5"/>
          <w:sz w:val="21"/>
          <w:szCs w:val="21"/>
          <w:lang w:eastAsia="zh-CN"/>
        </w:rPr>
        <w:t>6</w:t>
      </w:r>
      <w:r>
        <w:rPr>
          <w:rFonts w:ascii="宋体" w:hAnsi="宋体" w:eastAsia="宋体" w:cs="宋体"/>
          <w:sz w:val="21"/>
          <w:szCs w:val="21"/>
          <w:lang w:eastAsia="zh-CN"/>
        </w:rPr>
        <w:t>在多晶硅行业的实施指</w:t>
      </w:r>
      <w:r>
        <w:rPr>
          <w:rFonts w:ascii="宋体" w:hAnsi="宋体" w:eastAsia="宋体" w:cs="宋体"/>
          <w:spacing w:val="1"/>
          <w:sz w:val="21"/>
          <w:szCs w:val="21"/>
          <w:lang w:eastAsia="zh-CN"/>
        </w:rPr>
        <w:t>南</w:t>
      </w:r>
      <w:r>
        <w:rPr>
          <w:rFonts w:ascii="宋体" w:hAnsi="宋体" w:eastAsia="宋体" w:cs="宋体"/>
          <w:sz w:val="21"/>
          <w:szCs w:val="21"/>
          <w:lang w:eastAsia="zh-CN"/>
        </w:rPr>
        <w:t xml:space="preserve">。 </w:t>
      </w:r>
    </w:p>
    <w:p>
      <w:pPr>
        <w:spacing w:after="0" w:line="242" w:lineRule="auto"/>
        <w:ind w:right="39"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本</w:t>
      </w:r>
      <w:r>
        <w:rPr>
          <w:rFonts w:hint="eastAsia" w:hAnsi="宋体"/>
          <w:color w:val="000000" w:themeColor="text1"/>
          <w:szCs w:val="21"/>
          <w14:textFill>
            <w14:solidFill>
              <w14:schemeClr w14:val="tx1"/>
            </w14:solidFill>
          </w14:textFill>
        </w:rPr>
        <w:t>文件</w:t>
      </w:r>
      <w:r>
        <w:rPr>
          <w:rFonts w:ascii="宋体" w:hAnsi="宋体" w:eastAsia="宋体" w:cs="宋体"/>
          <w:sz w:val="21"/>
          <w:szCs w:val="21"/>
          <w:lang w:eastAsia="zh-CN"/>
        </w:rPr>
        <w:t>由全国能源</w:t>
      </w:r>
      <w:r>
        <w:rPr>
          <w:rFonts w:ascii="宋体" w:hAnsi="宋体" w:eastAsia="宋体" w:cs="宋体"/>
          <w:spacing w:val="7"/>
          <w:sz w:val="21"/>
          <w:szCs w:val="21"/>
          <w:lang w:eastAsia="zh-CN"/>
        </w:rPr>
        <w:t>基</w:t>
      </w:r>
      <w:r>
        <w:rPr>
          <w:rFonts w:ascii="宋体" w:hAnsi="宋体" w:eastAsia="宋体" w:cs="宋体"/>
          <w:sz w:val="21"/>
          <w:szCs w:val="21"/>
          <w:lang w:eastAsia="zh-CN"/>
        </w:rPr>
        <w:t>础与管理标</w:t>
      </w:r>
      <w:r>
        <w:rPr>
          <w:rFonts w:ascii="宋体" w:hAnsi="宋体" w:eastAsia="宋体" w:cs="宋体"/>
          <w:spacing w:val="7"/>
          <w:sz w:val="21"/>
          <w:szCs w:val="21"/>
          <w:lang w:eastAsia="zh-CN"/>
        </w:rPr>
        <w:t>准</w:t>
      </w:r>
      <w:r>
        <w:rPr>
          <w:rFonts w:ascii="宋体" w:hAnsi="宋体" w:eastAsia="宋体" w:cs="宋体"/>
          <w:sz w:val="21"/>
          <w:szCs w:val="21"/>
          <w:lang w:eastAsia="zh-CN"/>
        </w:rPr>
        <w:t>化技术委员</w:t>
      </w:r>
      <w:r>
        <w:rPr>
          <w:rFonts w:ascii="宋体" w:hAnsi="宋体" w:eastAsia="宋体" w:cs="宋体"/>
          <w:spacing w:val="10"/>
          <w:sz w:val="21"/>
          <w:szCs w:val="21"/>
          <w:lang w:eastAsia="zh-CN"/>
        </w:rPr>
        <w:t>会</w:t>
      </w:r>
      <w:r>
        <w:rPr>
          <w:rFonts w:ascii="宋体" w:hAnsi="宋体" w:eastAsia="宋体" w:cs="宋体"/>
          <w:sz w:val="21"/>
          <w:szCs w:val="21"/>
          <w:lang w:eastAsia="zh-CN"/>
        </w:rPr>
        <w:t>能</w:t>
      </w:r>
      <w:r>
        <w:rPr>
          <w:rFonts w:ascii="宋体" w:hAnsi="宋体" w:eastAsia="宋体" w:cs="宋体"/>
          <w:spacing w:val="1"/>
          <w:sz w:val="21"/>
          <w:szCs w:val="21"/>
          <w:lang w:eastAsia="zh-CN"/>
        </w:rPr>
        <w:t>源</w:t>
      </w:r>
      <w:r>
        <w:rPr>
          <w:rFonts w:ascii="宋体" w:hAnsi="宋体" w:eastAsia="宋体" w:cs="宋体"/>
          <w:sz w:val="21"/>
          <w:szCs w:val="21"/>
          <w:lang w:eastAsia="zh-CN"/>
        </w:rPr>
        <w:t>管理分</w:t>
      </w:r>
      <w:r>
        <w:rPr>
          <w:rFonts w:ascii="宋体" w:hAnsi="宋体" w:eastAsia="宋体" w:cs="宋体"/>
          <w:spacing w:val="7"/>
          <w:sz w:val="21"/>
          <w:szCs w:val="21"/>
          <w:lang w:eastAsia="zh-CN"/>
        </w:rPr>
        <w:t>技</w:t>
      </w:r>
      <w:r>
        <w:rPr>
          <w:rFonts w:ascii="宋体" w:hAnsi="宋体" w:eastAsia="宋体" w:cs="宋体"/>
          <w:sz w:val="21"/>
          <w:szCs w:val="21"/>
          <w:lang w:eastAsia="zh-CN"/>
        </w:rPr>
        <w:t>术委员</w:t>
      </w:r>
      <w:r>
        <w:rPr>
          <w:rFonts w:ascii="宋体" w:hAnsi="宋体" w:eastAsia="宋体" w:cs="宋体"/>
          <w:spacing w:val="-43"/>
          <w:sz w:val="21"/>
          <w:szCs w:val="21"/>
          <w:lang w:eastAsia="zh-CN"/>
        </w:rPr>
        <w:t>会</w:t>
      </w:r>
      <w:r>
        <w:rPr>
          <w:rFonts w:ascii="宋体" w:hAnsi="宋体" w:eastAsia="宋体" w:cs="宋体"/>
          <w:sz w:val="21"/>
          <w:szCs w:val="21"/>
          <w:lang w:eastAsia="zh-CN"/>
        </w:rPr>
        <w:t>（</w:t>
      </w:r>
      <w:r>
        <w:rPr>
          <w:rFonts w:ascii="宋体" w:hAnsi="宋体" w:eastAsia="宋体" w:cs="宋体"/>
          <w:spacing w:val="3"/>
          <w:sz w:val="21"/>
          <w:szCs w:val="21"/>
          <w:lang w:eastAsia="zh-CN"/>
        </w:rPr>
        <w:t>SAC/T</w:t>
      </w:r>
      <w:r>
        <w:rPr>
          <w:rFonts w:ascii="宋体" w:hAnsi="宋体" w:eastAsia="宋体" w:cs="宋体"/>
          <w:sz w:val="21"/>
          <w:szCs w:val="21"/>
          <w:lang w:eastAsia="zh-CN"/>
        </w:rPr>
        <w:t>C</w:t>
      </w:r>
      <w:r>
        <w:rPr>
          <w:rFonts w:ascii="宋体" w:hAnsi="宋体" w:eastAsia="宋体" w:cs="宋体"/>
          <w:spacing w:val="-58"/>
          <w:sz w:val="21"/>
          <w:szCs w:val="21"/>
          <w:lang w:eastAsia="zh-CN"/>
        </w:rPr>
        <w:t xml:space="preserve"> </w:t>
      </w:r>
      <w:r>
        <w:rPr>
          <w:rFonts w:ascii="宋体" w:hAnsi="宋体" w:eastAsia="宋体" w:cs="宋体"/>
          <w:spacing w:val="3"/>
          <w:sz w:val="21"/>
          <w:szCs w:val="21"/>
          <w:lang w:eastAsia="zh-CN"/>
        </w:rPr>
        <w:t>2</w:t>
      </w:r>
      <w:r>
        <w:rPr>
          <w:rFonts w:ascii="宋体" w:hAnsi="宋体" w:eastAsia="宋体" w:cs="宋体"/>
          <w:spacing w:val="6"/>
          <w:sz w:val="21"/>
          <w:szCs w:val="21"/>
          <w:lang w:eastAsia="zh-CN"/>
        </w:rPr>
        <w:t>0</w:t>
      </w:r>
      <w:r>
        <w:rPr>
          <w:rFonts w:ascii="宋体" w:hAnsi="宋体" w:eastAsia="宋体" w:cs="宋体"/>
          <w:spacing w:val="-4"/>
          <w:sz w:val="21"/>
          <w:szCs w:val="21"/>
          <w:lang w:eastAsia="zh-CN"/>
        </w:rPr>
        <w:t>S</w:t>
      </w:r>
      <w:r>
        <w:rPr>
          <w:rFonts w:ascii="宋体" w:hAnsi="宋体" w:eastAsia="宋体" w:cs="宋体"/>
          <w:spacing w:val="3"/>
          <w:sz w:val="21"/>
          <w:szCs w:val="21"/>
          <w:lang w:eastAsia="zh-CN"/>
        </w:rPr>
        <w:t>C</w:t>
      </w:r>
      <w:r>
        <w:rPr>
          <w:rFonts w:ascii="宋体" w:hAnsi="宋体" w:eastAsia="宋体" w:cs="宋体"/>
          <w:spacing w:val="4"/>
          <w:sz w:val="21"/>
          <w:szCs w:val="21"/>
          <w:lang w:eastAsia="zh-CN"/>
        </w:rPr>
        <w:t>3</w:t>
      </w:r>
      <w:r>
        <w:rPr>
          <w:rFonts w:ascii="宋体" w:hAnsi="宋体" w:eastAsia="宋体" w:cs="宋体"/>
          <w:sz w:val="21"/>
          <w:szCs w:val="21"/>
          <w:lang w:eastAsia="zh-CN"/>
        </w:rPr>
        <w:t xml:space="preserve">）提出并归口。 </w:t>
      </w:r>
    </w:p>
    <w:p>
      <w:pPr>
        <w:spacing w:after="0" w:line="242" w:lineRule="auto"/>
        <w:ind w:right="39" w:firstLine="420" w:firstLineChars="200"/>
        <w:jc w:val="both"/>
        <w:rPr>
          <w:rFonts w:ascii="宋体" w:hAnsi="宋体" w:eastAsia="宋体" w:cs="宋体"/>
          <w:sz w:val="21"/>
          <w:szCs w:val="21"/>
          <w:lang w:eastAsia="zh-CN"/>
        </w:rPr>
      </w:pPr>
      <w:r>
        <w:rPr>
          <w:rFonts w:ascii="宋体" w:hAnsi="宋体" w:eastAsia="宋体" w:cs="宋体"/>
          <w:sz w:val="21"/>
          <w:szCs w:val="21"/>
          <w:lang w:eastAsia="zh-CN"/>
        </w:rPr>
        <w:t>本</w:t>
      </w:r>
      <w:r>
        <w:rPr>
          <w:rFonts w:hint="eastAsia" w:hAnsi="宋体"/>
          <w:color w:val="000000" w:themeColor="text1"/>
          <w:szCs w:val="21"/>
          <w14:textFill>
            <w14:solidFill>
              <w14:schemeClr w14:val="tx1"/>
            </w14:solidFill>
          </w14:textFill>
        </w:rPr>
        <w:t>文件</w:t>
      </w:r>
      <w:r>
        <w:rPr>
          <w:rFonts w:ascii="宋体" w:hAnsi="宋体" w:eastAsia="宋体" w:cs="宋体"/>
          <w:sz w:val="21"/>
          <w:szCs w:val="21"/>
          <w:lang w:eastAsia="zh-CN"/>
        </w:rPr>
        <w:t>起草单位：</w:t>
      </w:r>
      <w:r>
        <w:rPr>
          <w:rFonts w:hint="eastAsia" w:ascii="宋体" w:hAnsi="宋体" w:eastAsia="宋体" w:cs="宋体"/>
          <w:sz w:val="21"/>
          <w:szCs w:val="21"/>
          <w:lang w:eastAsia="zh-CN"/>
        </w:rPr>
        <w:t>新特能源股份有限公司</w:t>
      </w:r>
    </w:p>
    <w:p>
      <w:pPr>
        <w:spacing w:after="0" w:line="285" w:lineRule="exact"/>
        <w:ind w:right="-20" w:firstLine="420" w:firstLineChars="200"/>
        <w:jc w:val="both"/>
        <w:rPr>
          <w:rFonts w:ascii="宋体" w:hAnsi="宋体" w:eastAsia="宋体" w:cs="宋体"/>
          <w:sz w:val="21"/>
          <w:szCs w:val="21"/>
          <w:lang w:eastAsia="zh-CN"/>
        </w:rPr>
      </w:pPr>
      <w:r>
        <w:rPr>
          <w:rFonts w:ascii="宋体" w:hAnsi="宋体" w:eastAsia="宋体" w:cs="宋体"/>
          <w:position w:val="-3"/>
          <w:sz w:val="21"/>
          <w:szCs w:val="21"/>
          <w:lang w:eastAsia="zh-CN"/>
        </w:rPr>
        <w:t>本</w:t>
      </w:r>
      <w:r>
        <w:rPr>
          <w:rFonts w:hint="eastAsia" w:hAnsi="宋体"/>
          <w:color w:val="000000" w:themeColor="text1"/>
          <w:szCs w:val="21"/>
          <w14:textFill>
            <w14:solidFill>
              <w14:schemeClr w14:val="tx1"/>
            </w14:solidFill>
          </w14:textFill>
        </w:rPr>
        <w:t>文件</w:t>
      </w:r>
      <w:r>
        <w:rPr>
          <w:rFonts w:ascii="宋体" w:hAnsi="宋体" w:eastAsia="宋体" w:cs="宋体"/>
          <w:position w:val="-3"/>
          <w:sz w:val="21"/>
          <w:szCs w:val="21"/>
          <w:lang w:eastAsia="zh-CN"/>
        </w:rPr>
        <w:t>主要起草人：</w:t>
      </w:r>
    </w:p>
    <w:p>
      <w:pPr>
        <w:pStyle w:val="23"/>
        <w:ind w:firstLine="420"/>
      </w:pPr>
      <w:r>
        <w:rPr>
          <w:rFonts w:hint="eastAsia"/>
        </w:rPr>
        <w:t>本</w:t>
      </w:r>
      <w:r>
        <w:rPr>
          <w:rFonts w:hint="eastAsia" w:hAnsi="宋体"/>
          <w:color w:val="000000" w:themeColor="text1"/>
          <w:szCs w:val="21"/>
          <w14:textFill>
            <w14:solidFill>
              <w14:schemeClr w14:val="tx1"/>
            </w14:solidFill>
          </w14:textFill>
        </w:rPr>
        <w:t>文件</w:t>
      </w:r>
      <w:r>
        <w:rPr>
          <w:rFonts w:hint="eastAsia"/>
        </w:rPr>
        <w:t>为首次发布。</w:t>
      </w:r>
    </w:p>
    <w:p>
      <w:pPr>
        <w:pStyle w:val="23"/>
        <w:ind w:firstLine="420"/>
      </w:pPr>
    </w:p>
    <w:p>
      <w:pPr>
        <w:spacing w:after="0"/>
        <w:rPr>
          <w:lang w:eastAsia="zh-CN"/>
        </w:rPr>
        <w:sectPr>
          <w:headerReference r:id="rId4" w:type="default"/>
          <w:footerReference r:id="rId6" w:type="default"/>
          <w:headerReference r:id="rId5" w:type="even"/>
          <w:footerReference r:id="rId7" w:type="even"/>
          <w:pgSz w:w="11920" w:h="16860"/>
          <w:pgMar w:top="1040" w:right="1480" w:bottom="1620" w:left="1680" w:header="844" w:footer="1421" w:gutter="0"/>
          <w:pgNumType w:start="3"/>
          <w:cols w:space="720" w:num="1"/>
        </w:sectPr>
      </w:pPr>
    </w:p>
    <w:p>
      <w:pPr>
        <w:jc w:val="center"/>
        <w:rPr>
          <w:b/>
          <w:sz w:val="28"/>
          <w:szCs w:val="28"/>
          <w:lang w:eastAsia="zh-CN"/>
        </w:rPr>
      </w:pPr>
      <w:bookmarkStart w:id="14" w:name="_Toc312077642"/>
      <w:bookmarkStart w:id="15" w:name="_Toc334521346"/>
      <w:r>
        <w:rPr>
          <w:rFonts w:hint="eastAsia"/>
          <w:b/>
          <w:sz w:val="28"/>
          <w:szCs w:val="28"/>
          <w:lang w:eastAsia="zh-CN"/>
        </w:rPr>
        <w:t>引   言</w:t>
      </w:r>
      <w:bookmarkEnd w:id="14"/>
      <w:bookmarkEnd w:id="15"/>
    </w:p>
    <w:p>
      <w:pPr>
        <w:pStyle w:val="23"/>
        <w:ind w:firstLine="420"/>
      </w:pPr>
      <w:r>
        <w:rPr>
          <w:rFonts w:hint="eastAsia"/>
        </w:rPr>
        <w:t>本</w:t>
      </w:r>
      <w:r>
        <w:rPr>
          <w:rFonts w:hint="eastAsia" w:hAnsi="宋体"/>
          <w:color w:val="000000" w:themeColor="text1"/>
          <w:szCs w:val="21"/>
          <w14:textFill>
            <w14:solidFill>
              <w14:schemeClr w14:val="tx1"/>
            </w14:solidFill>
          </w14:textFill>
        </w:rPr>
        <w:t>文件</w:t>
      </w:r>
      <w:r>
        <w:rPr>
          <w:rFonts w:hint="eastAsia"/>
        </w:rPr>
        <w:t>的目的是指导组织建立能源管理体系或其他必要的过程，从而规范能源管理行为，提高其能源绩效，包括降低能源消耗，提高能源利用效率，促进可持续发展。</w:t>
      </w:r>
    </w:p>
    <w:p>
      <w:pPr>
        <w:pStyle w:val="23"/>
        <w:ind w:firstLine="420"/>
      </w:pPr>
      <w:r>
        <w:rPr>
          <w:rFonts w:hint="eastAsia"/>
        </w:rPr>
        <w:t>建立和实施能源管理体系是组织最高管理者的一项战略性决策。本标准的成功实施取决于组织各层次的全员参与，尤其是最高管理者的承诺。通过该标准的实施，组织能够：建立节能遵法贯标机制，主动获取并自觉落实节能法律法规、政策、标准和其他要求；建立全过程的能源管理控制机制，促进能量系统优化匹配，使能源管理活动规范有效并不断得到改进；建立节能技术进步机制，主动收集、识别并合理采用先进、成熟的节能管理方法和节能先进技术，实现节能技术进步常态化；建立节能文化建设机制，使全体员工节能意识不断增强，节能制度不断完善，节能行为不断规范。</w:t>
      </w:r>
    </w:p>
    <w:p>
      <w:pPr>
        <w:pStyle w:val="23"/>
        <w:ind w:firstLine="420"/>
      </w:pPr>
      <w:r>
        <w:rPr>
          <w:rFonts w:hint="eastAsia"/>
        </w:rPr>
        <w:t>能源管理体系的核心是在组织内部持续改进能源绩效，并通过管理节能、结构节能和技术节能，实现从注重单体设备能源效率、系统单元能源效率到注重整个组织能源效率的实质性转变，其运行的基本原则为：</w:t>
      </w:r>
    </w:p>
    <w:p>
      <w:pPr>
        <w:pStyle w:val="23"/>
        <w:ind w:firstLine="420"/>
      </w:pPr>
      <w:r>
        <w:rPr>
          <w:rFonts w:hint="eastAsia"/>
        </w:rPr>
        <w:t>—— 采用过程方法和管理的系统方法，使所有过程有机结合，发挥整体的管理效率；</w:t>
      </w:r>
    </w:p>
    <w:p>
      <w:pPr>
        <w:pStyle w:val="23"/>
        <w:ind w:firstLine="420"/>
      </w:pPr>
      <w:r>
        <w:rPr>
          <w:rFonts w:hint="eastAsia"/>
        </w:rPr>
        <w:t>—— 运用PDCA（即Plan—策划、Do—实施、Check—检查、Action—改进）持续改进模式，针对每一个过程和活动都进行有效策划和实施控制，并进行监视和测量，发现问题及时改进，使能源管理融入组织的日常活动中；</w:t>
      </w:r>
    </w:p>
    <w:p>
      <w:pPr>
        <w:pStyle w:val="23"/>
        <w:ind w:firstLine="420"/>
      </w:pPr>
      <w:r>
        <w:rPr>
          <w:rFonts w:hint="eastAsia"/>
        </w:rPr>
        <w:t>—— 构建规范的管理体系，用标准化的理念实现系统节能；</w:t>
      </w:r>
    </w:p>
    <w:p>
      <w:pPr>
        <w:pStyle w:val="23"/>
        <w:ind w:firstLine="420"/>
      </w:pPr>
      <w:r>
        <w:rPr>
          <w:rFonts w:hint="eastAsia"/>
        </w:rPr>
        <w:t>—— 在能源管理体系覆盖范围内，实现全员参与和全过程控制；</w:t>
      </w:r>
    </w:p>
    <w:p>
      <w:pPr>
        <w:pStyle w:val="23"/>
        <w:ind w:firstLine="420"/>
      </w:pPr>
      <w:r>
        <w:rPr>
          <w:rFonts w:hint="eastAsia"/>
        </w:rPr>
        <w:t>—— 贯彻落实相关法律法规、政策、标准和其他要求；</w:t>
      </w:r>
    </w:p>
    <w:p>
      <w:pPr>
        <w:pStyle w:val="23"/>
        <w:ind w:firstLine="420"/>
      </w:pPr>
      <w:r>
        <w:rPr>
          <w:rFonts w:hint="eastAsia"/>
        </w:rPr>
        <w:t>—— 评价体系运行的有效性，注重能源绩效的提高；</w:t>
      </w:r>
    </w:p>
    <w:p>
      <w:pPr>
        <w:pStyle w:val="23"/>
        <w:ind w:firstLine="420"/>
      </w:pPr>
      <w:r>
        <w:rPr>
          <w:rFonts w:hint="eastAsia"/>
        </w:rPr>
        <w:t>—— 应用先进有效的节能技术和管理方法,借鉴最佳节能实践和经验；</w:t>
      </w:r>
    </w:p>
    <w:p>
      <w:pPr>
        <w:pStyle w:val="23"/>
        <w:ind w:firstLine="420"/>
      </w:pPr>
      <w:r>
        <w:rPr>
          <w:rFonts w:hint="eastAsia"/>
        </w:rPr>
        <w:t>—— 通过管理节能来推动技术节能和结构节能；</w:t>
      </w:r>
    </w:p>
    <w:p>
      <w:pPr>
        <w:pStyle w:val="23"/>
        <w:ind w:left="945" w:leftChars="200" w:hanging="525" w:hangingChars="250"/>
      </w:pPr>
      <w:r>
        <w:rPr>
          <w:rFonts w:hint="eastAsia"/>
        </w:rPr>
        <w:t>—— 与其他管理体系相融合，并将现行有效的能源管理方法纳入能源管理体系，如节能目标责任制、能源审计、能量平衡、清洁生产、能效对标等。</w:t>
      </w:r>
    </w:p>
    <w:p>
      <w:pPr>
        <w:pStyle w:val="23"/>
        <w:ind w:firstLine="420"/>
      </w:pPr>
      <w:r>
        <w:rPr>
          <w:rFonts w:hint="eastAsia"/>
        </w:rPr>
        <w:t>能源管理体系是组织管理体系的一部分。组织按本标准建立实施能源管理体系时，应与其他管理体系相融合，如质量、环境或职业健康安全等管理体系要求，最终实现本组织整体管理体系的融合。能源管理体系与其他管理体系整合的关键是本标准各项要求在组织管理体系中得到落实。</w:t>
      </w:r>
    </w:p>
    <w:p>
      <w:pPr>
        <w:pStyle w:val="23"/>
        <w:ind w:firstLine="420"/>
      </w:pPr>
      <w:r>
        <w:rPr>
          <w:rFonts w:hint="eastAsia"/>
        </w:rPr>
        <w:t>本</w:t>
      </w:r>
      <w:r>
        <w:rPr>
          <w:rFonts w:hint="eastAsia" w:hAnsi="宋体"/>
          <w:color w:val="000000" w:themeColor="text1"/>
          <w:szCs w:val="21"/>
          <w14:textFill>
            <w14:solidFill>
              <w14:schemeClr w14:val="tx1"/>
            </w14:solidFill>
          </w14:textFill>
        </w:rPr>
        <w:t>文件</w:t>
      </w:r>
      <w:r>
        <w:rPr>
          <w:rFonts w:hint="eastAsia"/>
        </w:rPr>
        <w:t>适用于多晶硅行业组织控制下的各项活动，能源管理体系的详略和复杂程度、体系文件数量、所投入资源等，取决于组织的规模、体系覆盖的范围、能源利用和消费的类型及数量、能源利用过程及其相互作用的复杂程度等多方面因素。</w:t>
      </w:r>
    </w:p>
    <w:p>
      <w:pPr>
        <w:adjustRightInd w:val="0"/>
        <w:snapToGrid w:val="0"/>
        <w:ind w:firstLine="420" w:firstLineChars="200"/>
        <w:rPr>
          <w:lang w:eastAsia="zh-CN"/>
        </w:rPr>
      </w:pPr>
    </w:p>
    <w:p>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b/>
          <w:sz w:val="32"/>
          <w:szCs w:val="32"/>
          <w:lang w:eastAsia="zh-CN"/>
        </w:rPr>
      </w:pPr>
      <w:r>
        <w:rPr>
          <w:b/>
          <w:sz w:val="32"/>
          <w:szCs w:val="32"/>
          <w:lang w:eastAsia="zh-CN"/>
        </w:rPr>
        <w:br w:type="page"/>
      </w:r>
      <w:r>
        <w:rPr>
          <w:rFonts w:hint="eastAsia" w:ascii="黑体" w:hAnsi="Times New Roman" w:eastAsia="黑体" w:cs="Times New Roman"/>
          <w:kern w:val="0"/>
          <w:sz w:val="32"/>
          <w:szCs w:val="20"/>
          <w:lang w:val="en-US" w:eastAsia="zh-CN" w:bidi="ar-SA"/>
        </w:rPr>
        <w:t>多晶硅行业能源管理体系 实施指南</w:t>
      </w:r>
    </w:p>
    <w:p>
      <w:pPr>
        <w:pStyle w:val="45"/>
        <w:spacing w:before="312" w:after="312"/>
        <w:rPr>
          <w:rFonts w:hint="eastAsia"/>
        </w:rPr>
      </w:pPr>
      <w:bookmarkStart w:id="16" w:name="_Toc312077643"/>
      <w:bookmarkStart w:id="17" w:name="_Toc334521347"/>
      <w:bookmarkStart w:id="18" w:name="_Toc270929331"/>
      <w:r>
        <w:rPr>
          <w:rFonts w:hint="eastAsia"/>
        </w:rPr>
        <w:t>范围</w:t>
      </w:r>
      <w:bookmarkEnd w:id="16"/>
      <w:bookmarkEnd w:id="17"/>
      <w:bookmarkEnd w:id="18"/>
    </w:p>
    <w:p>
      <w:pPr>
        <w:pStyle w:val="23"/>
        <w:ind w:firstLine="420"/>
      </w:pPr>
      <w:r>
        <w:rPr>
          <w:rFonts w:hint="eastAsia"/>
        </w:rPr>
        <w:t>本标准规定了多晶硅行业落实能源管理体系各项要求的通用指南及指导性方法和实施建议，旨在使多晶硅行业能够科学、有效地建立、实施、保持和改进能源管理体系，确保其能源绩效目标的实现。</w:t>
      </w:r>
    </w:p>
    <w:p>
      <w:pPr>
        <w:pStyle w:val="23"/>
        <w:ind w:firstLine="420"/>
      </w:pPr>
      <w:r>
        <w:rPr>
          <w:rFonts w:hint="eastAsia"/>
        </w:rPr>
        <w:t>本标准适用于多晶硅行业，不论其规模、类型、位置和成熟程度。</w:t>
      </w:r>
    </w:p>
    <w:p>
      <w:pPr>
        <w:pStyle w:val="45"/>
        <w:spacing w:before="312" w:after="312"/>
        <w:rPr>
          <w:rFonts w:hint="eastAsia"/>
        </w:rPr>
      </w:pPr>
      <w:bookmarkStart w:id="19" w:name="_Toc334521348"/>
      <w:bookmarkStart w:id="20" w:name="_Toc270929332"/>
      <w:bookmarkStart w:id="21" w:name="_Toc312077644"/>
      <w:r>
        <w:rPr>
          <w:rFonts w:hint="eastAsia"/>
        </w:rPr>
        <w:t>规范性引用文件</w:t>
      </w:r>
      <w:bookmarkEnd w:id="19"/>
      <w:bookmarkEnd w:id="20"/>
      <w:bookmarkEnd w:id="21"/>
    </w:p>
    <w:p>
      <w:pPr>
        <w:pStyle w:val="23"/>
        <w:ind w:firstLine="420"/>
      </w:pPr>
      <w:r>
        <w:rPr>
          <w:rFonts w:hint="eastAsia"/>
        </w:rPr>
        <w:t>下列文件对于本文件的应用是必不可少的。凡是注明日期的引用文件，仅注日期的版本适用于本文件。凡是不注日期的引用文件，其最新版本（包括所有的修改单）适用于本文件。</w:t>
      </w:r>
    </w:p>
    <w:p>
      <w:pPr>
        <w:pStyle w:val="23"/>
        <w:ind w:firstLine="420"/>
      </w:pPr>
      <w:r>
        <w:rPr>
          <w:rFonts w:hint="eastAsia"/>
        </w:rPr>
        <w:t>GB/T 2589  综合能耗计算通则</w:t>
      </w:r>
    </w:p>
    <w:p>
      <w:pPr>
        <w:pStyle w:val="23"/>
        <w:ind w:firstLine="420"/>
      </w:pPr>
      <w:r>
        <w:rPr>
          <w:rFonts w:hint="eastAsia"/>
        </w:rPr>
        <w:t xml:space="preserve">GB/T 13234 </w:t>
      </w:r>
      <w:r>
        <w:t xml:space="preserve"> </w:t>
      </w:r>
      <w:r>
        <w:rPr>
          <w:rFonts w:hint="eastAsia"/>
        </w:rPr>
        <w:t>企业节能量计算方法</w:t>
      </w:r>
    </w:p>
    <w:p>
      <w:pPr>
        <w:pStyle w:val="23"/>
        <w:ind w:firstLine="420"/>
      </w:pPr>
      <w:r>
        <w:rPr>
          <w:rFonts w:hint="eastAsia"/>
        </w:rPr>
        <w:t>GB/T 19011  质量和（或）环境管理体系审核指南</w:t>
      </w:r>
    </w:p>
    <w:p>
      <w:pPr>
        <w:ind w:firstLine="420" w:firstLineChars="200"/>
      </w:pPr>
      <w:r>
        <w:rPr>
          <w:rFonts w:hint="eastAsia" w:ascii="宋体" w:hAnsi="宋体" w:cs="宋体"/>
        </w:rPr>
        <w:t>GB/T 23331</w:t>
      </w:r>
      <w:r>
        <w:rPr>
          <w:rFonts w:hint="eastAsia"/>
        </w:rPr>
        <w:t xml:space="preserve">  能源管理体系 要求</w:t>
      </w:r>
    </w:p>
    <w:p>
      <w:pPr>
        <w:pStyle w:val="45"/>
        <w:spacing w:before="312" w:after="312"/>
      </w:pPr>
      <w:bookmarkStart w:id="22" w:name="_Toc312077645"/>
      <w:bookmarkStart w:id="23" w:name="_Toc270929333"/>
      <w:bookmarkStart w:id="24" w:name="_Toc334521349"/>
      <w:r>
        <w:rPr>
          <w:rFonts w:hint="eastAsia"/>
        </w:rPr>
        <w:t xml:space="preserve"> 术语与定义</w:t>
      </w:r>
      <w:bookmarkEnd w:id="22"/>
      <w:bookmarkEnd w:id="23"/>
      <w:bookmarkEnd w:id="24"/>
    </w:p>
    <w:p>
      <w:pPr>
        <w:pStyle w:val="45"/>
        <w:numPr>
          <w:ilvl w:val="0"/>
          <w:numId w:val="0"/>
        </w:numPr>
        <w:spacing w:before="312" w:after="312"/>
        <w:ind w:leftChars="0"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 23331界定的术语和定义适用于本文件。</w:t>
      </w:r>
    </w:p>
    <w:p>
      <w:pPr>
        <w:pStyle w:val="45"/>
        <w:spacing w:before="312" w:after="312"/>
        <w:rPr>
          <w:rFonts w:hint="eastAsia"/>
        </w:rPr>
      </w:pPr>
      <w:bookmarkStart w:id="25" w:name="_Toc312077649"/>
      <w:bookmarkStart w:id="26" w:name="_Toc270929334"/>
      <w:bookmarkStart w:id="27" w:name="_Toc334521350"/>
      <w:r>
        <w:rPr>
          <w:rFonts w:hint="eastAsia"/>
        </w:rPr>
        <w:t>能源管理体系</w:t>
      </w:r>
      <w:bookmarkEnd w:id="25"/>
      <w:bookmarkEnd w:id="26"/>
      <w:r>
        <w:rPr>
          <w:rFonts w:hint="eastAsia"/>
        </w:rPr>
        <w:t>要求</w:t>
      </w:r>
      <w:bookmarkEnd w:id="27"/>
    </w:p>
    <w:p>
      <w:pPr>
        <w:pStyle w:val="42"/>
        <w:spacing w:before="156" w:after="156"/>
        <w:ind w:left="0"/>
        <w:rPr>
          <w:rFonts w:hint="eastAsia"/>
        </w:rPr>
      </w:pPr>
      <w:bookmarkStart w:id="28" w:name="_Toc334521351"/>
      <w:bookmarkStart w:id="29" w:name="_Toc312077650"/>
      <w:bookmarkStart w:id="30" w:name="_Toc270929335"/>
      <w:r>
        <w:rPr>
          <w:rFonts w:hint="eastAsia"/>
        </w:rPr>
        <w:t>总要求</w:t>
      </w:r>
      <w:bookmarkEnd w:id="28"/>
      <w:bookmarkEnd w:id="29"/>
      <w:bookmarkEnd w:id="30"/>
    </w:p>
    <w:p>
      <w:pPr>
        <w:pStyle w:val="23"/>
        <w:ind w:firstLine="420"/>
      </w:pPr>
      <w:bookmarkStart w:id="31" w:name="_Toc214163050"/>
      <w:bookmarkStart w:id="32" w:name="_Toc205714900"/>
      <w:bookmarkStart w:id="33" w:name="_Toc214260947"/>
      <w:bookmarkStart w:id="34" w:name="_Toc205714471"/>
      <w:bookmarkStart w:id="35" w:name="_Toc206491722"/>
      <w:r>
        <w:t>组织</w:t>
      </w:r>
      <w:r>
        <w:rPr>
          <w:rFonts w:hint="eastAsia"/>
        </w:rPr>
        <w:t>应：</w:t>
      </w:r>
    </w:p>
    <w:p>
      <w:pPr>
        <w:pStyle w:val="23"/>
        <w:numPr>
          <w:ilvl w:val="0"/>
          <w:numId w:val="11"/>
        </w:numPr>
        <w:ind w:firstLine="420"/>
      </w:pPr>
      <w:r>
        <w:rPr>
          <w:rFonts w:hint="eastAsia"/>
        </w:rPr>
        <w:t>根据相关法律法规、政策、标准和其他要求及自身规模、能力、需求等状况，建立、实施、保持和改进能源管理体系。</w:t>
      </w:r>
    </w:p>
    <w:p>
      <w:pPr>
        <w:pStyle w:val="23"/>
        <w:numPr>
          <w:ilvl w:val="0"/>
          <w:numId w:val="11"/>
        </w:numPr>
        <w:ind w:firstLine="420"/>
      </w:pPr>
      <w:r>
        <w:rPr>
          <w:rFonts w:hint="eastAsia"/>
        </w:rPr>
        <w:t>确定能源管理体系</w:t>
      </w:r>
      <w:r>
        <w:t>覆盖的</w:t>
      </w:r>
      <w:r>
        <w:rPr>
          <w:rFonts w:hint="eastAsia"/>
        </w:rPr>
        <w:t>边界和</w:t>
      </w:r>
      <w:r>
        <w:t>范围</w:t>
      </w:r>
      <w:r>
        <w:rPr>
          <w:rFonts w:hint="eastAsia"/>
        </w:rPr>
        <w:t>，并将其形成文件。能源管理体系的范围与组织内部的一系列活动有关，边界更多地与地理位置有关，一个范围可包括多个边界。组织确定的范围至少是能够单独进行能源核算的单元，可包括生产过程、辅助生产过程和附属生产过程的能源利用全过程，以及与实现该过程相关的能源种类、管理职责等。</w:t>
      </w:r>
    </w:p>
    <w:p>
      <w:pPr>
        <w:pStyle w:val="23"/>
        <w:numPr>
          <w:ilvl w:val="0"/>
          <w:numId w:val="11"/>
        </w:numPr>
        <w:ind w:firstLine="420"/>
      </w:pPr>
      <w:r>
        <w:rPr>
          <w:rFonts w:hint="eastAsia"/>
        </w:rPr>
        <w:t>在满足本标准要求的前提下，注重节约的同时合理利用能源、提高能源效率，达到持续改进能源绩效和能源管理体系的目的。</w:t>
      </w:r>
    </w:p>
    <w:p>
      <w:pPr>
        <w:pStyle w:val="42"/>
        <w:spacing w:before="156" w:after="156"/>
        <w:ind w:left="0"/>
      </w:pPr>
      <w:bookmarkStart w:id="36" w:name="_Toc270929336"/>
      <w:bookmarkStart w:id="37" w:name="_Toc312077651"/>
      <w:bookmarkStart w:id="38" w:name="_Toc334521352"/>
      <w:r>
        <w:rPr>
          <w:rFonts w:hint="eastAsia"/>
        </w:rPr>
        <w:t>管理职责</w:t>
      </w:r>
      <w:bookmarkEnd w:id="31"/>
      <w:bookmarkEnd w:id="32"/>
      <w:bookmarkEnd w:id="33"/>
      <w:bookmarkEnd w:id="34"/>
      <w:bookmarkEnd w:id="35"/>
      <w:bookmarkEnd w:id="36"/>
      <w:bookmarkEnd w:id="37"/>
      <w:bookmarkEnd w:id="38"/>
    </w:p>
    <w:p>
      <w:pPr>
        <w:pStyle w:val="46"/>
        <w:spacing w:before="156" w:after="156"/>
        <w:ind w:left="0"/>
      </w:pPr>
      <w:bookmarkStart w:id="39" w:name="_Toc334521353"/>
      <w:bookmarkStart w:id="40" w:name="_Toc214163052"/>
      <w:bookmarkStart w:id="41" w:name="_Toc205714473"/>
      <w:bookmarkStart w:id="42" w:name="_Toc214260949"/>
      <w:bookmarkStart w:id="43" w:name="_Toc205714902"/>
      <w:bookmarkStart w:id="44" w:name="_Toc206491724"/>
      <w:r>
        <w:rPr>
          <w:rFonts w:hint="eastAsia"/>
        </w:rPr>
        <w:t>最高管理者</w:t>
      </w:r>
      <w:bookmarkEnd w:id="39"/>
    </w:p>
    <w:p>
      <w:pPr>
        <w:pStyle w:val="23"/>
        <w:ind w:firstLine="420"/>
      </w:pPr>
      <w:r>
        <w:rPr>
          <w:rFonts w:hint="eastAsia"/>
        </w:rPr>
        <w:t>最高管理者是在最高层指挥和控制组织的决策者或决策层。最高管理者应当对策划、实施、检查和改进能源管理体系做出承诺，并通过其领导行为推动能源管理体系，以实现其承诺。最高管理者应确保提供与建立、实施、保持并持续改进能源管理体系相适宜的资源，如：人力资源、设备设施、资金、节能技术方法、信息等；在组织长期规划中考虑能源绩效，能源绩效是能源管理体系绩效的一部分，在长期规划中考虑能源绩效，确保持续改进能源管理体系绩效；组织开展管理评审，对能源管理体系运行的效率和效果进行评价，确定改进的机会，确保能源管理体系的持续改进。</w:t>
      </w:r>
    </w:p>
    <w:p>
      <w:pPr>
        <w:pStyle w:val="46"/>
        <w:spacing w:before="156" w:after="156"/>
        <w:ind w:left="0"/>
      </w:pPr>
      <w:bookmarkStart w:id="45" w:name="_Toc334521354"/>
      <w:bookmarkStart w:id="46" w:name="_Toc312077653"/>
      <w:bookmarkStart w:id="47" w:name="_Toc270929338"/>
      <w:r>
        <w:rPr>
          <w:rFonts w:hint="eastAsia"/>
        </w:rPr>
        <w:t>管理者代表</w:t>
      </w:r>
      <w:bookmarkEnd w:id="45"/>
    </w:p>
    <w:p>
      <w:pPr>
        <w:pStyle w:val="23"/>
        <w:ind w:firstLine="420"/>
      </w:pPr>
      <w:r>
        <w:rPr>
          <w:rFonts w:hint="eastAsia"/>
        </w:rPr>
        <w:t>管理者代表由最高管理者授权，负责按照GB/T 23331的要求建立、实施、保持和改进能源管理体系，同时保持最高管理者对体系运行情况的了解。为确保能源管理体系的有效运行，应当对管理者代表授予必要的权限，包括必要的人力、财力、物力、技术和信息资源支配权。管理者代表宜由节能意识强、具有管理能力和能源管理经验、分管节能工作的高层管理人员担任。管理者代表除承担能源管理体系职责外还可具有其他职责。确保能源管理体系有效运行和控制的方式包括定期工作会议；对内部审核结果的评审；项目管理工具的使用，如计分卡、能源消耗数据的趋势分析工具等。组织应定期确定对管理者代表和能源管理团队人员的培训需求，并对培训效果进行考核。</w:t>
      </w:r>
    </w:p>
    <w:p>
      <w:pPr>
        <w:pStyle w:val="42"/>
        <w:spacing w:before="156" w:after="156"/>
        <w:ind w:left="0"/>
      </w:pPr>
      <w:bookmarkStart w:id="48" w:name="_Toc334521355"/>
      <w:r>
        <w:rPr>
          <w:rFonts w:hint="eastAsia"/>
        </w:rPr>
        <w:t>能源方针</w:t>
      </w:r>
      <w:bookmarkEnd w:id="40"/>
      <w:bookmarkEnd w:id="41"/>
      <w:bookmarkEnd w:id="42"/>
      <w:bookmarkEnd w:id="43"/>
      <w:bookmarkEnd w:id="44"/>
      <w:bookmarkEnd w:id="46"/>
      <w:bookmarkEnd w:id="47"/>
      <w:bookmarkEnd w:id="48"/>
      <w:bookmarkStart w:id="49" w:name="_Toc205714903"/>
      <w:bookmarkStart w:id="50" w:name="_Toc214163053"/>
      <w:bookmarkStart w:id="51" w:name="_Toc214260950"/>
      <w:bookmarkStart w:id="52" w:name="_Toc206491725"/>
    </w:p>
    <w:p>
      <w:pPr>
        <w:pStyle w:val="23"/>
        <w:ind w:firstLine="420"/>
      </w:pPr>
      <w:r>
        <w:rPr>
          <w:rFonts w:hint="eastAsia"/>
        </w:rPr>
        <w:t>能源方针确定了组织在能源管理方面的行动纲领、组织应当履行的责任和对社会及相关方做出的承诺。能源方针是组织整体方针的一部分。</w:t>
      </w:r>
    </w:p>
    <w:p>
      <w:pPr>
        <w:pStyle w:val="23"/>
        <w:ind w:firstLine="420"/>
      </w:pPr>
      <w:r>
        <w:rPr>
          <w:rFonts w:hint="eastAsia"/>
        </w:rPr>
        <w:t>组织应当根据政府、行业的能源发展战略、规划、政策等，制定出适合自身特点的能源方针。最高管理者应组织并参与能源方针的制定。能源方针可纳入组织其他方针文件中，或与之相融合。组织的最高管理者要对方针的实施负责，并为方针的制修订提供必要的条件。能源方针的表述应当具体，能够为能源目标和指标的制定提供框架。能源方针应当传达给所有为组织或代表组织工作的人员，且能为公众所获取。</w:t>
      </w:r>
    </w:p>
    <w:p>
      <w:pPr>
        <w:pStyle w:val="23"/>
        <w:ind w:firstLine="420"/>
      </w:pPr>
      <w:r>
        <w:rPr>
          <w:rFonts w:hint="eastAsia"/>
        </w:rPr>
        <w:t>组织制定、发布和修订能源方针时并确保其满足GB/T 23331对此项内容的要求。</w:t>
      </w:r>
    </w:p>
    <w:bookmarkEnd w:id="49"/>
    <w:bookmarkEnd w:id="50"/>
    <w:bookmarkEnd w:id="51"/>
    <w:bookmarkEnd w:id="52"/>
    <w:p>
      <w:pPr>
        <w:pStyle w:val="42"/>
        <w:spacing w:before="156" w:after="156"/>
        <w:ind w:left="0"/>
      </w:pPr>
      <w:bookmarkStart w:id="53" w:name="_Toc334521356"/>
      <w:bookmarkStart w:id="54" w:name="_Toc206491726"/>
      <w:bookmarkStart w:id="55" w:name="_Toc214163054"/>
      <w:bookmarkStart w:id="56" w:name="_Toc270929340"/>
      <w:bookmarkStart w:id="57" w:name="_Toc205714904"/>
      <w:bookmarkStart w:id="58" w:name="_Toc214260951"/>
      <w:bookmarkStart w:id="59" w:name="_Toc205714474"/>
      <w:bookmarkStart w:id="60" w:name="_Toc312077655"/>
      <w:r>
        <w:rPr>
          <w:rFonts w:hint="eastAsia"/>
        </w:rPr>
        <w:t>策划</w:t>
      </w:r>
      <w:bookmarkEnd w:id="53"/>
    </w:p>
    <w:p>
      <w:pPr>
        <w:pStyle w:val="46"/>
        <w:spacing w:before="156" w:after="156"/>
        <w:ind w:left="0"/>
      </w:pPr>
      <w:bookmarkStart w:id="61" w:name="_Toc334521357"/>
      <w:r>
        <w:rPr>
          <w:rFonts w:hint="eastAsia"/>
        </w:rPr>
        <w:t>总则</w:t>
      </w:r>
      <w:bookmarkEnd w:id="61"/>
    </w:p>
    <w:p>
      <w:pPr>
        <w:pStyle w:val="23"/>
        <w:ind w:firstLine="420"/>
      </w:pPr>
      <w:r>
        <w:rPr>
          <w:rFonts w:hint="eastAsia"/>
        </w:rPr>
        <w:t>策划是组织建立、实施并保持能源管理体系，实现能源方针的关键环节。策划过程是利用适当的工具和方法对输入的用能信息进行分析，进而识别主要能源使用和持续改进能源绩效的机会，策划输出要形成文件（见附录1实例）。策划流程概念如图1所示。</w:t>
      </w:r>
    </w:p>
    <w:p>
      <w:pPr>
        <w:pStyle w:val="23"/>
        <w:ind w:firstLine="420"/>
      </w:pPr>
      <w:r>
        <w:rPr>
          <w:rFonts w:hint="eastAsia"/>
        </w:rPr>
        <w:t>策划的输入信息不仅包括与能源消耗相关的数据，而且包括组织机构、管理现状、工艺流程、生产设备运行状况、财务信息、产品结构、产量、气象条件等对组织能源绩效有影响的因素。</w:t>
      </w:r>
    </w:p>
    <w:p>
      <w:pPr>
        <w:pStyle w:val="23"/>
        <w:ind w:firstLine="420"/>
      </w:pPr>
      <w:r>
        <w:rPr>
          <w:rFonts w:hint="eastAsia"/>
        </w:rPr>
        <w:t>策划过程中所使用的工具和方法如图1所示，可包括：能源审计、能量平衡、标杆比对、物料平衡、物流分析和设备测试等。</w:t>
      </w:r>
    </w:p>
    <w:p>
      <w:pPr>
        <w:pStyle w:val="23"/>
        <w:ind w:firstLine="420"/>
      </w:pPr>
      <w:r>
        <w:rPr>
          <w:rFonts w:hint="eastAsia"/>
        </w:rPr>
        <w:t>策划结果应至少包括以下内容：</w:t>
      </w:r>
    </w:p>
    <w:p>
      <w:pPr>
        <w:pStyle w:val="23"/>
        <w:ind w:left="705" w:leftChars="202" w:hanging="281" w:hangingChars="134"/>
      </w:pPr>
      <w:r>
        <w:rPr>
          <w:rFonts w:hint="eastAsia"/>
        </w:rPr>
        <w:t>a）能源基准；</w:t>
      </w:r>
    </w:p>
    <w:p>
      <w:pPr>
        <w:pStyle w:val="23"/>
        <w:ind w:left="705" w:leftChars="202" w:hanging="281" w:hangingChars="134"/>
      </w:pPr>
      <w:r>
        <w:rPr>
          <w:rFonts w:hint="eastAsia"/>
        </w:rPr>
        <w:t>b）能源绩效参数；</w:t>
      </w:r>
    </w:p>
    <w:p>
      <w:pPr>
        <w:pStyle w:val="23"/>
        <w:ind w:left="705" w:leftChars="202" w:hanging="281" w:hangingChars="134"/>
      </w:pPr>
      <w:r>
        <w:rPr>
          <w:rFonts w:hint="eastAsia"/>
        </w:rPr>
        <w:t>c）能源目标和指标；</w:t>
      </w:r>
    </w:p>
    <w:p>
      <w:pPr>
        <w:pStyle w:val="23"/>
        <w:ind w:left="705" w:leftChars="202" w:hanging="281" w:hangingChars="134"/>
      </w:pPr>
      <w:r>
        <w:rPr>
          <w:rFonts w:hint="eastAsia"/>
        </w:rPr>
        <w:t>d）能源管理实施方案。</w:t>
      </w:r>
    </w:p>
    <w:p>
      <w:pPr>
        <w:pStyle w:val="23"/>
        <w:ind w:firstLine="420"/>
      </w:pPr>
      <w:r>
        <w:rPr>
          <w:rFonts w:hint="eastAsia"/>
        </w:rPr>
        <w:t>能源标杆是组织参照同类可比活动所确定的能源消耗、能源效率的先进水平，其建立目的是便于组织发现问题和找出节能潜力。可行时，组织应当根据自身情况设定能源标杆，在建立标杆时应当规定标杆选取的方法、比对水平、评审要求和更新规定等。选择能源标杆时可考虑组织内能耗的历史最佳水平、设计水平、国内同行业先进水平、国际同行业先进水平、地方制定的产品能耗限额标准中的先进值等。</w:t>
      </w:r>
    </w:p>
    <w:p>
      <w:pPr>
        <w:pStyle w:val="46"/>
        <w:spacing w:before="156" w:after="156"/>
        <w:ind w:left="0"/>
      </w:pPr>
      <w:bookmarkStart w:id="62" w:name="_Toc334521358"/>
      <w:r>
        <w:rPr>
          <w:rFonts w:hint="eastAsia"/>
        </w:rPr>
        <w:t>法律法规及其他要求</w:t>
      </w:r>
      <w:bookmarkEnd w:id="62"/>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pPr>
      <w:r>
        <w:t>4.</w:t>
      </w:r>
      <w:r>
        <w:rPr>
          <w:rFonts w:hint="eastAsia"/>
        </w:rPr>
        <w:t>4</w:t>
      </w:r>
      <w:r>
        <w:t>.2.1</w:t>
      </w:r>
      <w:r>
        <w:rPr>
          <w:rFonts w:hint="eastAsia"/>
        </w:rPr>
        <w:t xml:space="preserve">  总则</w:t>
      </w:r>
    </w:p>
    <w:p>
      <w:pPr>
        <w:pStyle w:val="23"/>
        <w:ind w:firstLine="420"/>
      </w:pPr>
      <w:r>
        <w:rPr>
          <w:rFonts w:hint="eastAsia"/>
        </w:rPr>
        <w:t>组织应当按照下列步骤进行法律法规和其他要求的获取、识别、实施和评审：</w:t>
      </w:r>
    </w:p>
    <w:p>
      <w:pPr>
        <w:pStyle w:val="23"/>
        <w:ind w:firstLine="420"/>
      </w:pPr>
      <w:r>
        <w:rPr>
          <w:rFonts w:hint="eastAsia"/>
        </w:rPr>
        <w:t>a）收集获取。组织应指定具体的部门，按照规定的方法、渠道和频次追踪、收集、获取和更新适用的法律法规、政策、标准及其他要求。例如：某公司由能源管理办公室负责收集和获取相关的法律法规、标准、政策及其他要求，频次是每月一次，渠道是向节能主管部门、行业协会等咨询索取，方法是查阅文件、网络搜集等。</w:t>
      </w:r>
    </w:p>
    <w:p>
      <w:pPr>
        <w:pStyle w:val="23"/>
        <w:ind w:firstLine="420"/>
      </w:pPr>
      <w:r>
        <w:rPr>
          <w:rFonts w:hint="eastAsia"/>
        </w:rPr>
        <w:t>b）识别评价。识别出适用于本组织的法律法规、政策、标准和其他要求的具体条款，并评价目前组织的遵守情况，形成组织应遵守的法律法规、政策、标准及其他要求清单；</w:t>
      </w:r>
    </w:p>
    <w:p>
      <w:pPr>
        <w:pStyle w:val="23"/>
        <w:ind w:firstLine="420"/>
      </w:pPr>
      <w:r>
        <w:rPr>
          <w:rFonts w:hint="eastAsia"/>
        </w:rPr>
        <w:t>c）贯彻实施。组织可将法律法规、政策、标准和其他要求中的具体条款应用到体系文件中。组织可从如何符合强制性要求、申请应用财政税收优惠等鼓励政策、获得管理技术方法支持等方面，来实现法律法规、政策、标准和其他窑器的有效应用。</w:t>
      </w:r>
    </w:p>
    <w:p>
      <w:pPr>
        <w:pStyle w:val="23"/>
        <w:ind w:firstLine="420"/>
      </w:pPr>
      <w:r>
        <w:rPr>
          <w:rFonts w:hint="eastAsia"/>
        </w:rPr>
        <w:t>d）定期评审。组织应在规定的实施间隔内评审法律法规、政策、标准和其他要求，及时更新，以确保其适宜性。</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pPr>
      <w:r>
        <w:rPr>
          <w:rFonts w:hint="eastAsia"/>
        </w:rPr>
        <w:t>4.4.2.2  法律法规</w:t>
      </w:r>
    </w:p>
    <w:p>
      <w:pPr>
        <w:pStyle w:val="23"/>
        <w:ind w:firstLine="420"/>
      </w:pPr>
      <w:r>
        <w:rPr>
          <w:rFonts w:hint="eastAsia"/>
        </w:rPr>
        <w:t>法律法规是指由国家权力机关、政府及其部门（包括国家和地方）发布、具有法律效力、与组织能源管理体系有关的各种规范性文件。法律法规的种类和形式主要包括：</w:t>
      </w:r>
    </w:p>
    <w:p>
      <w:pPr>
        <w:pStyle w:val="23"/>
        <w:ind w:firstLine="420"/>
      </w:pPr>
      <w:r>
        <w:rPr>
          <w:rFonts w:hint="eastAsia"/>
        </w:rPr>
        <w:t>a）国家法律：</w:t>
      </w:r>
      <w:r>
        <w:t>全国人民代表大会及其常务委员会制定的规范性文件</w:t>
      </w:r>
      <w:r>
        <w:rPr>
          <w:rFonts w:hint="eastAsia"/>
        </w:rPr>
        <w:t>；例如</w:t>
      </w:r>
      <w:r>
        <w:rPr>
          <w:rFonts w:hint="eastAsia"/>
          <w:sz w:val="18"/>
          <w:szCs w:val="18"/>
        </w:rPr>
        <w:t>：</w:t>
      </w:r>
      <w:r>
        <w:rPr>
          <w:rFonts w:hint="eastAsia"/>
        </w:rPr>
        <w:t>《中华人民共和国节约能源法》、《中华人民共和国可再生能源法》、《中华人民共和国循环经济促进法》等属于节能的相关法律。</w:t>
      </w:r>
    </w:p>
    <w:p>
      <w:pPr>
        <w:pStyle w:val="23"/>
        <w:ind w:firstLine="420"/>
      </w:pPr>
      <w:r>
        <w:rPr>
          <w:rFonts w:hint="eastAsia"/>
        </w:rPr>
        <w:t>b）行政法规：国务院制定的有关条例、办法、规定、细则等。例如：《公共机构节能条例》、 《民用建筑节能条例》等属于节能相关行政法规。</w:t>
      </w:r>
    </w:p>
    <w:p>
      <w:pPr>
        <w:pStyle w:val="23"/>
        <w:ind w:firstLine="420"/>
      </w:pPr>
      <w:r>
        <w:rPr>
          <w:rFonts w:hint="eastAsia"/>
        </w:rPr>
        <w:t>c）地方性法规：省、自治区、直辖市、计划单列市及国务院批准的较大市的人民代表大会及其常务委员会，为执行和实施宪法、基本法和单行法及行政法规，在法定权限内制定和发布的规范性文件。例如：《山东省节约能源条例》等属于地方性法规。</w:t>
      </w:r>
    </w:p>
    <w:p>
      <w:pPr>
        <w:pStyle w:val="23"/>
        <w:ind w:firstLine="420"/>
      </w:pPr>
      <w:r>
        <w:rPr>
          <w:rFonts w:hint="eastAsia"/>
        </w:rPr>
        <w:t>d）行政规章：</w:t>
      </w:r>
      <w:r>
        <w:t>指国务院各部、委和省、自治区、直辖市以及省、自治区人民政府所在地的市和国务院批准的较大的市的人民政府为了管理国家行政事务所制定的规范性文件。</w:t>
      </w:r>
      <w:r>
        <w:rPr>
          <w:rFonts w:hint="eastAsia"/>
        </w:rPr>
        <w:t>例如：《产业结构调整指导目录》、《重点用能单位节能管理办法》、</w:t>
      </w:r>
      <w:r>
        <w:t>国家财政部</w:t>
      </w:r>
      <w:r>
        <w:rPr>
          <w:rFonts w:hint="eastAsia"/>
        </w:rPr>
        <w:t>和</w:t>
      </w:r>
      <w:r>
        <w:t>国家发展改革委联合印发</w:t>
      </w:r>
      <w:r>
        <w:rPr>
          <w:rFonts w:hint="eastAsia"/>
        </w:rPr>
        <w:t>的</w:t>
      </w:r>
      <w:r>
        <w:t>《高效照明产品推广财政补贴资金管理暂行办法》</w:t>
      </w:r>
      <w:r>
        <w:rPr>
          <w:rFonts w:hint="eastAsia"/>
        </w:rPr>
        <w:t>等均属于节能相关行政规章。</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pPr>
      <w:r>
        <w:rPr>
          <w:rFonts w:hint="eastAsia"/>
        </w:rPr>
        <w:t>4.4.2.3  标准</w:t>
      </w:r>
    </w:p>
    <w:p>
      <w:pPr>
        <w:pStyle w:val="23"/>
        <w:ind w:firstLine="420"/>
      </w:pPr>
      <w:r>
        <w:rPr>
          <w:rFonts w:hint="eastAsia"/>
        </w:rPr>
        <w:t>标准按照性质可划分为强制性标准和推荐性标准。</w:t>
      </w:r>
    </w:p>
    <w:p>
      <w:pPr>
        <w:pStyle w:val="23"/>
        <w:ind w:firstLine="420"/>
      </w:pPr>
      <w:r>
        <w:rPr>
          <w:rFonts w:hint="eastAsia"/>
        </w:rPr>
        <w:t>标准按照层级可分为国际标准、国家标准、行业标准、地方标准、联盟标准、企业标准等。</w:t>
      </w:r>
    </w:p>
    <w:p>
      <w:pPr>
        <w:pStyle w:val="23"/>
        <w:ind w:firstLine="420"/>
      </w:pPr>
      <w:r>
        <w:rPr>
          <w:rFonts w:hint="eastAsia"/>
        </w:rPr>
        <w:t>与节能相关的标准可包括：节能基础标准、节能监测标准、经济运行标准、合理用能标准、能源计量标准、能源审计标准、终端用能产品能效标准、单位产品能耗限额标准等。</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pPr>
      <w:r>
        <w:rPr>
          <w:rFonts w:hint="eastAsia"/>
        </w:rPr>
        <w:t>4.4.2.4  其他要求</w:t>
      </w:r>
    </w:p>
    <w:p>
      <w:pPr>
        <w:pStyle w:val="23"/>
        <w:ind w:firstLine="420"/>
      </w:pPr>
      <w:r>
        <w:rPr>
          <w:rFonts w:hint="eastAsia"/>
        </w:rPr>
        <w:t>其他要求一般包括：</w:t>
      </w:r>
    </w:p>
    <w:p>
      <w:pPr>
        <w:pStyle w:val="23"/>
        <w:ind w:firstLine="420"/>
      </w:pPr>
      <w:r>
        <w:rPr>
          <w:rFonts w:hint="eastAsia"/>
        </w:rPr>
        <w:t>a）政府部门的行政要求；</w:t>
      </w:r>
    </w:p>
    <w:p>
      <w:pPr>
        <w:pStyle w:val="23"/>
        <w:ind w:firstLine="420"/>
      </w:pPr>
      <w:r>
        <w:rPr>
          <w:rFonts w:hint="eastAsia"/>
        </w:rPr>
        <w:t>b）行业协会的要求；</w:t>
      </w:r>
    </w:p>
    <w:p>
      <w:pPr>
        <w:pStyle w:val="23"/>
        <w:ind w:firstLine="420"/>
      </w:pPr>
      <w:r>
        <w:rPr>
          <w:rFonts w:hint="eastAsia"/>
        </w:rPr>
        <w:t>c）节能自愿性协议；</w:t>
      </w:r>
    </w:p>
    <w:p>
      <w:pPr>
        <w:pStyle w:val="23"/>
        <w:ind w:firstLine="420"/>
      </w:pPr>
      <w:r>
        <w:rPr>
          <w:rFonts w:hint="eastAsia"/>
        </w:rPr>
        <w:t>d）与非政府组织的协议；</w:t>
      </w:r>
    </w:p>
    <w:p>
      <w:pPr>
        <w:pStyle w:val="23"/>
        <w:ind w:firstLine="420"/>
      </w:pPr>
      <w:r>
        <w:rPr>
          <w:rFonts w:hint="eastAsia"/>
        </w:rPr>
        <w:t>e）与顾客的合同；</w:t>
      </w:r>
    </w:p>
    <w:p>
      <w:pPr>
        <w:pStyle w:val="23"/>
        <w:ind w:firstLine="420"/>
      </w:pPr>
      <w:r>
        <w:rPr>
          <w:rFonts w:hint="eastAsia"/>
        </w:rPr>
        <w:t>f）与供方的合同；</w:t>
      </w:r>
    </w:p>
    <w:p>
      <w:pPr>
        <w:pStyle w:val="23"/>
        <w:ind w:firstLine="420"/>
      </w:pPr>
      <w:r>
        <w:rPr>
          <w:rFonts w:hint="eastAsia"/>
        </w:rPr>
        <w:t>g) 组织对公众的承诺等。</w:t>
      </w:r>
    </w:p>
    <w:p>
      <w:pPr>
        <w:pStyle w:val="46"/>
        <w:spacing w:before="156" w:after="156"/>
        <w:ind w:left="0"/>
      </w:pPr>
      <w:bookmarkStart w:id="63" w:name="_Toc334521359"/>
      <w:r>
        <w:rPr>
          <w:rFonts w:hint="eastAsia"/>
        </w:rPr>
        <w:t>能源评审</w:t>
      </w:r>
      <w:bookmarkEnd w:id="63"/>
    </w:p>
    <w:p>
      <w:pPr>
        <w:pStyle w:val="23"/>
        <w:ind w:firstLine="420"/>
      </w:pPr>
      <w:r>
        <w:rPr>
          <w:rFonts w:hint="eastAsia"/>
        </w:rPr>
        <w:t>能源评审是组织策划的重要手段。初次建立能源管理体系的组织应当进行初始能源评审；已经建立能源管理体系的组织，能源评审可以内部审核结合的方式实现。</w:t>
      </w:r>
    </w:p>
    <w:p>
      <w:pPr>
        <w:pStyle w:val="23"/>
        <w:ind w:firstLine="420"/>
      </w:pPr>
      <w:r>
        <w:rPr>
          <w:rFonts w:hint="eastAsia"/>
        </w:rPr>
        <w:t>能源评审的内容和步骤如下：</w:t>
      </w:r>
    </w:p>
    <w:p>
      <w:pPr>
        <w:pStyle w:val="23"/>
        <w:ind w:firstLine="420"/>
      </w:pPr>
      <w:r>
        <w:rPr>
          <w:rFonts w:hint="eastAsia"/>
        </w:rPr>
        <w:t>a）在设备测试和收集数据的基础上，运用能流图、设备清单、统计模型分析等数据和工具进行用能状况分析：</w:t>
      </w:r>
    </w:p>
    <w:p>
      <w:pPr>
        <w:pStyle w:val="23"/>
        <w:ind w:firstLine="420"/>
      </w:pPr>
      <w:r>
        <w:rPr>
          <w:rFonts w:hint="eastAsia"/>
        </w:rPr>
        <w:t>1）能源的供给状况，包括当前的能源种类、来源、价格和质量等；</w:t>
      </w:r>
    </w:p>
    <w:p>
      <w:pPr>
        <w:pStyle w:val="23"/>
        <w:ind w:firstLine="420"/>
      </w:pPr>
      <w:r>
        <w:rPr>
          <w:rFonts w:hint="eastAsia"/>
        </w:rPr>
        <w:t>2）评价过去和现在的能源使用和能源消耗。</w:t>
      </w:r>
    </w:p>
    <w:p>
      <w:pPr>
        <w:pStyle w:val="23"/>
        <w:ind w:firstLine="420"/>
      </w:pPr>
      <w:r>
        <w:rPr>
          <w:rFonts w:hint="eastAsia"/>
        </w:rPr>
        <w:t>b）基于用能状况分析，识别主要能源使用的区域：</w:t>
      </w:r>
    </w:p>
    <w:p>
      <w:pPr>
        <w:pStyle w:val="23"/>
        <w:ind w:firstLine="420"/>
      </w:pPr>
      <w:r>
        <w:rPr>
          <w:rFonts w:hint="eastAsia"/>
        </w:rPr>
        <w:t>1）识别对能源使用和能源消耗有重要影响的设施、设备、系统、过程和人员，并确定其现状。人员包括为组织工作的人和代表组织工作的人员。代表组织工作的人员包括服务承包商、兼职人员以及临时人员。</w:t>
      </w:r>
    </w:p>
    <w:p>
      <w:pPr>
        <w:pStyle w:val="23"/>
        <w:ind w:firstLine="420"/>
      </w:pPr>
      <w:r>
        <w:rPr>
          <w:rFonts w:hint="eastAsia"/>
        </w:rPr>
        <w:t>2）识别影响主 要能源使用的变化因素，如：市场供需状况、能源品种的变化、产品品种和产量、天气等。</w:t>
      </w:r>
    </w:p>
    <w:p>
      <w:pPr>
        <w:pStyle w:val="23"/>
        <w:ind w:firstLine="420"/>
      </w:pPr>
      <w:r>
        <w:rPr>
          <w:rFonts w:hint="eastAsia"/>
        </w:rPr>
        <w:t>3）确定对主要能源使用相关的设施、设备、系统、过程的能源绩效现状。</w:t>
      </w:r>
    </w:p>
    <w:p>
      <w:pPr>
        <w:pStyle w:val="23"/>
        <w:ind w:firstLine="420"/>
      </w:pPr>
      <w:r>
        <w:rPr>
          <w:rFonts w:hint="eastAsia"/>
        </w:rPr>
        <w:t>4）评估未来的能源使用和能源消耗，如扩产后能源需求的变化等。</w:t>
      </w:r>
    </w:p>
    <w:p>
      <w:pPr>
        <w:pStyle w:val="23"/>
        <w:ind w:firstLine="420"/>
      </w:pPr>
      <w:r>
        <w:rPr>
          <w:rFonts w:hint="eastAsia"/>
        </w:rPr>
        <w:t>c）识别、记录改进能源绩效的机会，并进行排序。组织应开展系统的诊断分析，运用能量系统优化、能量平衡、能源网络图、能效队标、专家诊断、最佳节能实践、员工参与等工具和方法识别能源绩效改进机会，并对这些改进机会进行分析评价，根据其重要性和可实现程度进行排序。评价和排序时应当考虑下列因素：</w:t>
      </w:r>
    </w:p>
    <w:p>
      <w:pPr>
        <w:pStyle w:val="23"/>
        <w:ind w:firstLine="420"/>
      </w:pPr>
      <w:r>
        <w:rPr>
          <w:rFonts w:hint="eastAsia"/>
        </w:rPr>
        <w:t>1）影响能源绩效的程度；</w:t>
      </w:r>
    </w:p>
    <w:p>
      <w:pPr>
        <w:pStyle w:val="23"/>
        <w:ind w:firstLine="420"/>
      </w:pPr>
      <w:r>
        <w:rPr>
          <w:rFonts w:hint="eastAsia"/>
        </w:rPr>
        <w:t>2）与法律法规、政策、标准及其他要求的符合性；</w:t>
      </w:r>
    </w:p>
    <w:p>
      <w:pPr>
        <w:pStyle w:val="23"/>
        <w:ind w:firstLine="420"/>
      </w:pPr>
      <w:r>
        <w:rPr>
          <w:rFonts w:hint="eastAsia"/>
        </w:rPr>
        <w:t>3）施工周期、安全及环境影响、技术成熟度、系统匹配等技术可行性；</w:t>
      </w:r>
    </w:p>
    <w:p>
      <w:pPr>
        <w:pStyle w:val="23"/>
        <w:ind w:firstLine="420"/>
      </w:pPr>
      <w:r>
        <w:rPr>
          <w:rFonts w:hint="eastAsia"/>
        </w:rPr>
        <w:t>4）投资回收期、内部收益率、除节能外的其他收益等经济合理性；</w:t>
      </w:r>
    </w:p>
    <w:p>
      <w:pPr>
        <w:pStyle w:val="23"/>
        <w:ind w:firstLine="420"/>
      </w:pPr>
      <w:r>
        <w:rPr>
          <w:rFonts w:hint="eastAsia"/>
        </w:rPr>
        <w:t>5）相关方的要求等。</w:t>
      </w:r>
    </w:p>
    <w:p>
      <w:pPr>
        <w:pStyle w:val="23"/>
        <w:ind w:firstLine="420"/>
      </w:pPr>
      <w:r>
        <w:rPr>
          <w:rFonts w:hint="eastAsia"/>
        </w:rPr>
        <w:t>组织可将能源评审的过程及结果形成能源评审报告，作为组织能源管理体系策划、实施、持续改进的依据。在设备、设施、系统、产品、工艺等发生变化时，应当根据变化过程或环节重新进行能源评审。</w:t>
      </w:r>
    </w:p>
    <w:p>
      <w:pPr>
        <w:pStyle w:val="46"/>
        <w:spacing w:before="156" w:after="156"/>
        <w:ind w:left="0"/>
      </w:pPr>
      <w:bookmarkStart w:id="64" w:name="_Toc334521360"/>
      <w:r>
        <w:rPr>
          <w:rFonts w:hint="eastAsia"/>
        </w:rPr>
        <w:t>能源基准</w:t>
      </w:r>
      <w:bookmarkEnd w:id="64"/>
    </w:p>
    <w:p>
      <w:pPr>
        <w:pStyle w:val="23"/>
        <w:ind w:firstLine="420"/>
      </w:pPr>
      <w:r>
        <w:rPr>
          <w:rFonts w:hint="eastAsia"/>
        </w:rPr>
        <w:t>组织通常依据一定边界条件和生产、设备正常状态下一定时期的能源消耗和能源效率水平来确定能源基准，它可以是平均值或累计值。</w:t>
      </w:r>
    </w:p>
    <w:p>
      <w:pPr>
        <w:pStyle w:val="23"/>
        <w:ind w:firstLine="420"/>
      </w:pPr>
      <w:r>
        <w:rPr>
          <w:rFonts w:hint="eastAsia"/>
        </w:rPr>
        <w:t>确定基准主要用于自身跨期比较，进而在适宜的方面确定、评价能源目标和指标，评估能源绩效。可行时，在组织用能系统、设备；产品品种、产量、产值；能源品种、用途和功能等方面确定能源基准。在确定基准时应当考虑与能源消耗、能源效率的计量、统计、分析系统相匹配，并根据能源结构、产品结构和类型、生产工艺、管理水平和手段、生产用能方面的变化进行调整。组织在确定能源基准时应当规定统计计算准则、评审原则和时间、更新规定等。</w:t>
      </w:r>
    </w:p>
    <w:p>
      <w:pPr>
        <w:pStyle w:val="23"/>
        <w:ind w:firstLine="420"/>
      </w:pPr>
      <w:r>
        <w:rPr>
          <w:rFonts w:hint="eastAsia"/>
        </w:rPr>
        <w:t>组织应当将建立的能源基准形成文件，适时评审和更新，并通过基准确定、评价和比较能源目标和指标，评估改进的有效性，比较、分析与核算能源绩效。组织应当特别考虑相关影响因素对比较评价结果的影响，包括经营规模、设备规模的差异以及由于规模经济而造成的效率差异；产品特性以及生产流程的差异，原、燃料条件、负荷率等外部条件的变化；地域和气候的差异等。</w:t>
      </w:r>
    </w:p>
    <w:p>
      <w:pPr>
        <w:pStyle w:val="46"/>
        <w:spacing w:before="156" w:after="156"/>
        <w:ind w:left="0"/>
      </w:pPr>
      <w:bookmarkStart w:id="65" w:name="_Toc334521361"/>
      <w:r>
        <w:rPr>
          <w:rFonts w:hint="eastAsia"/>
        </w:rPr>
        <w:t>能源绩效参数</w:t>
      </w:r>
      <w:bookmarkEnd w:id="65"/>
    </w:p>
    <w:p>
      <w:pPr>
        <w:pStyle w:val="23"/>
        <w:ind w:firstLine="420"/>
      </w:pPr>
      <w:r>
        <w:rPr>
          <w:rFonts w:hint="eastAsia"/>
        </w:rPr>
        <w:t>组织应当明确影响运行控制的绩效参数，能源绩效参数可以是直接测量的参数（如还原炉电单耗、提纯塔蒸汽压力及温度、循环氢利用率等），也可以是模型计算获得的参数（如单位产品综合能耗)。此类参数与监控对象（如用能设备、用能系统）的能源绩效水平密切相关。组织通过对能源绩效参数的监视和测量，可实时掌握监控对象的能源绩效水平，采取控制措施，确保能源目标和指标的实现。</w:t>
      </w:r>
    </w:p>
    <w:p>
      <w:pPr>
        <w:pStyle w:val="23"/>
        <w:ind w:firstLine="420"/>
      </w:pPr>
      <w:r>
        <w:rPr>
          <w:rFonts w:hint="eastAsia"/>
        </w:rPr>
        <w:t>为了验证能源目标和指标的实现程度，能源绩效参数的设置要包括管理层面和运行层面，管理层面的能源绩效参数通常与主要能源使用的控制有关；运行层面的能源绩效参数与设备、设施运行控制等有关。</w:t>
      </w:r>
    </w:p>
    <w:p>
      <w:pPr>
        <w:pStyle w:val="23"/>
        <w:ind w:firstLine="420"/>
      </w:pPr>
      <w:r>
        <w:rPr>
          <w:rFonts w:hint="eastAsia"/>
        </w:rPr>
        <w:t>组织可用能源绩效参数说明其运行情况，并在影响到能源绩效参数的业务活动或基准变化时更换能源绩效参数。适用时，与能源基准进行比较。</w:t>
      </w:r>
    </w:p>
    <w:p>
      <w:pPr>
        <w:pStyle w:val="23"/>
        <w:ind w:firstLine="420"/>
      </w:pPr>
      <w:r>
        <w:rPr>
          <w:rFonts w:hint="eastAsia"/>
        </w:rPr>
        <w:t>能源绩效参数确定和更新的方法学应予以记录，形成文件并定期评审。</w:t>
      </w:r>
    </w:p>
    <w:p>
      <w:pPr>
        <w:pStyle w:val="46"/>
        <w:spacing w:before="156" w:after="156"/>
        <w:ind w:left="0"/>
      </w:pPr>
      <w:bookmarkStart w:id="66" w:name="_Toc334521362"/>
      <w:r>
        <w:rPr>
          <w:rFonts w:hint="eastAsia"/>
        </w:rPr>
        <w:t>能源目标、能源指标与能源管理实施方案</w:t>
      </w:r>
      <w:bookmarkEnd w:id="66"/>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pPr>
      <w:r>
        <w:rPr>
          <w:rFonts w:hint="eastAsia"/>
        </w:rPr>
        <w:t>4.4.6.1  能源目标和指标</w:t>
      </w:r>
    </w:p>
    <w:p>
      <w:pPr>
        <w:pStyle w:val="23"/>
        <w:ind w:firstLine="420"/>
        <w:rPr>
          <w:szCs w:val="21"/>
        </w:rPr>
      </w:pPr>
      <w:r>
        <w:rPr>
          <w:rFonts w:hint="eastAsia"/>
        </w:rPr>
        <w:t>能源目标和指标是落实能源方针的具体体现，也是评价能源绩效的依据。可行时，能源目标和指标应当是可测量的。能源指标应具体、可测量，并具有相关性和实效性，并应建立在与能源方针一致的能源目标基础上。能源</w:t>
      </w:r>
      <w:r>
        <w:rPr>
          <w:rFonts w:hint="eastAsia"/>
          <w:szCs w:val="21"/>
        </w:rPr>
        <w:t>目标、指标通常可包括以下三个方面：</w:t>
      </w:r>
    </w:p>
    <w:p>
      <w:pPr>
        <w:pStyle w:val="23"/>
        <w:ind w:firstLine="420"/>
        <w:rPr>
          <w:szCs w:val="21"/>
        </w:rPr>
      </w:pPr>
      <w:r>
        <w:rPr>
          <w:rFonts w:hint="eastAsia"/>
          <w:szCs w:val="21"/>
        </w:rPr>
        <w:t>a）能够反映组织整体能源利用水平、能够涵盖全部生产流程的指标，如综合能耗、单位产品综合能耗等；</w:t>
      </w:r>
    </w:p>
    <w:p>
      <w:pPr>
        <w:pStyle w:val="23"/>
        <w:ind w:firstLine="420"/>
        <w:rPr>
          <w:szCs w:val="21"/>
        </w:rPr>
      </w:pPr>
      <w:r>
        <w:rPr>
          <w:rFonts w:hint="eastAsia"/>
          <w:szCs w:val="21"/>
        </w:rPr>
        <w:t>b）能够反映主要工艺流程、环节的指标，如工序能耗；</w:t>
      </w:r>
    </w:p>
    <w:p>
      <w:pPr>
        <w:pStyle w:val="23"/>
        <w:ind w:firstLine="420"/>
        <w:rPr>
          <w:szCs w:val="21"/>
        </w:rPr>
      </w:pPr>
      <w:r>
        <w:rPr>
          <w:rFonts w:hint="eastAsia"/>
          <w:szCs w:val="21"/>
        </w:rPr>
        <w:t>c）用能设备的能源效率等指标。</w:t>
      </w:r>
    </w:p>
    <w:p>
      <w:pPr>
        <w:pStyle w:val="23"/>
        <w:ind w:firstLine="420"/>
        <w:rPr>
          <w:szCs w:val="21"/>
        </w:rPr>
      </w:pPr>
      <w:r>
        <w:rPr>
          <w:rFonts w:hint="eastAsia"/>
          <w:szCs w:val="21"/>
        </w:rPr>
        <w:t>能源评审过程中的数据分析和其他信息可用来确定、改进能源目标和指标。组织建立和评审能源目标和指标时，应当考虑适用的法律法规、政策、标准及其他要求；能源方针；最高管理者的承诺；主要能源使用；改进能源绩效的机会；相关方的关注点和要求；技术、财务、运行和经营条件等方面。</w:t>
      </w:r>
    </w:p>
    <w:p>
      <w:pPr>
        <w:pStyle w:val="23"/>
        <w:ind w:firstLine="420"/>
        <w:rPr>
          <w:szCs w:val="21"/>
        </w:rPr>
      </w:pPr>
      <w:r>
        <w:rPr>
          <w:rFonts w:hint="eastAsia"/>
          <w:szCs w:val="21"/>
        </w:rPr>
        <w:t>组织在建立能源目标和指标时应规定统计计算的方法、考核准则等。组织应在总体及各职能与层次上建立、实施和保持能源目标和指标，并根据客观情况的变化，特别是主要能源使用变更时，适时更新或调整能源目标和指标，以适用变化的要求。</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pPr>
      <w:r>
        <w:rPr>
          <w:rFonts w:hint="eastAsia"/>
        </w:rPr>
        <w:t>4.4.6.2能源管理实施方案</w:t>
      </w:r>
    </w:p>
    <w:p>
      <w:pPr>
        <w:pStyle w:val="23"/>
        <w:ind w:firstLine="420"/>
        <w:rPr>
          <w:szCs w:val="21"/>
        </w:rPr>
      </w:pPr>
      <w:r>
        <w:rPr>
          <w:rFonts w:hint="eastAsia"/>
          <w:szCs w:val="21"/>
        </w:rPr>
        <w:t>能源管理实施方案是为实现能源目标和指标，针对主要能源使用而制定的切实可行的行动和对策。能源管理实施方案分为技术方案和管理方案。</w:t>
      </w:r>
    </w:p>
    <w:p>
      <w:pPr>
        <w:pStyle w:val="23"/>
        <w:ind w:firstLine="420"/>
        <w:rPr>
          <w:szCs w:val="21"/>
        </w:rPr>
      </w:pPr>
      <w:r>
        <w:rPr>
          <w:rFonts w:hint="eastAsia"/>
          <w:szCs w:val="21"/>
        </w:rPr>
        <w:t>组织应当根据行业及自身特点，参考行业内的最佳节能实践，制定能源管理实施方案。能源管理实施方案的控制可纳入组织的项目管理流程。</w:t>
      </w:r>
    </w:p>
    <w:p>
      <w:pPr>
        <w:pStyle w:val="23"/>
        <w:ind w:firstLine="420"/>
        <w:rPr>
          <w:szCs w:val="21"/>
        </w:rPr>
      </w:pPr>
      <w:r>
        <w:rPr>
          <w:rFonts w:hint="eastAsia"/>
          <w:szCs w:val="21"/>
        </w:rPr>
        <w:t>能源管理实施方案可包括项目可行性研究报告、设计方案、施工方案、技术方案和管理措施等，具体包括：</w:t>
      </w:r>
    </w:p>
    <w:p>
      <w:pPr>
        <w:pStyle w:val="23"/>
        <w:ind w:firstLine="420"/>
        <w:rPr>
          <w:szCs w:val="21"/>
        </w:rPr>
      </w:pPr>
      <w:r>
        <w:rPr>
          <w:rFonts w:hint="eastAsia"/>
          <w:szCs w:val="21"/>
        </w:rPr>
        <w:t xml:space="preserve">a) 明确责任部门及其职责； </w:t>
      </w:r>
    </w:p>
    <w:p>
      <w:pPr>
        <w:pStyle w:val="23"/>
        <w:ind w:firstLine="420"/>
        <w:rPr>
          <w:szCs w:val="21"/>
        </w:rPr>
      </w:pPr>
      <w:r>
        <w:rPr>
          <w:rFonts w:hint="eastAsia"/>
          <w:szCs w:val="21"/>
        </w:rPr>
        <w:t>b) 针对主要能源使用制定的措施和预计实现的节能效果；</w:t>
      </w:r>
    </w:p>
    <w:p>
      <w:pPr>
        <w:pStyle w:val="23"/>
        <w:ind w:firstLine="420"/>
        <w:rPr>
          <w:szCs w:val="21"/>
        </w:rPr>
      </w:pPr>
      <w:r>
        <w:rPr>
          <w:rFonts w:hint="eastAsia"/>
          <w:szCs w:val="21"/>
        </w:rPr>
        <w:t>c) 采用的技术方法、施工方法和实施过程中应注意的问题；</w:t>
      </w:r>
    </w:p>
    <w:p>
      <w:pPr>
        <w:pStyle w:val="23"/>
        <w:ind w:firstLine="420"/>
        <w:rPr>
          <w:szCs w:val="21"/>
        </w:rPr>
      </w:pPr>
      <w:r>
        <w:rPr>
          <w:rFonts w:hint="eastAsia"/>
          <w:szCs w:val="21"/>
        </w:rPr>
        <w:t>d) 确定需要的资源，包括人力、物力和财力等；</w:t>
      </w:r>
    </w:p>
    <w:p>
      <w:pPr>
        <w:pStyle w:val="23"/>
        <w:ind w:firstLine="420"/>
        <w:rPr>
          <w:szCs w:val="21"/>
        </w:rPr>
      </w:pPr>
      <w:r>
        <w:rPr>
          <w:rFonts w:hint="eastAsia"/>
          <w:szCs w:val="21"/>
        </w:rPr>
        <w:t>e) 实施过程的时间进度安排；</w:t>
      </w:r>
    </w:p>
    <w:p>
      <w:pPr>
        <w:pStyle w:val="23"/>
        <w:ind w:firstLine="420"/>
        <w:rPr>
          <w:szCs w:val="21"/>
        </w:rPr>
      </w:pPr>
      <w:r>
        <w:rPr>
          <w:rFonts w:hint="eastAsia"/>
          <w:szCs w:val="21"/>
        </w:rPr>
        <w:t>f) 实施过程和结果进行验证的方法。</w:t>
      </w:r>
    </w:p>
    <w:p>
      <w:pPr>
        <w:pStyle w:val="23"/>
        <w:ind w:firstLine="420"/>
        <w:rPr>
          <w:szCs w:val="21"/>
        </w:rPr>
      </w:pPr>
      <w:r>
        <w:rPr>
          <w:rFonts w:hint="eastAsia"/>
          <w:szCs w:val="21"/>
        </w:rPr>
        <w:t xml:space="preserve"> 组织应对方案实施过程形成记录，一般包括实施进度完成情况、节能效果实现情况等。</w:t>
      </w:r>
    </w:p>
    <w:p>
      <w:pPr>
        <w:pStyle w:val="23"/>
        <w:ind w:firstLine="420"/>
        <w:rPr>
          <w:szCs w:val="21"/>
        </w:rPr>
      </w:pPr>
      <w:r>
        <w:rPr>
          <w:rFonts w:hint="eastAsia"/>
          <w:szCs w:val="21"/>
        </w:rPr>
        <w:t>能源管理实施方案可以是一个文件，也可以是相关的几个文件。在方案实施过程中发现不能按照原计划进行时，应当及时对能源管理实施方案进行调整。为确保能源管理实施方案的有效性，可行时，应对方案实施过程及结果进行验证和评价。</w:t>
      </w:r>
    </w:p>
    <w:p>
      <w:pPr>
        <w:pStyle w:val="23"/>
        <w:ind w:firstLine="360"/>
        <w:rPr>
          <w:sz w:val="18"/>
          <w:szCs w:val="18"/>
        </w:rPr>
      </w:pPr>
      <w:r>
        <w:rPr>
          <w:rFonts w:hint="eastAsia"/>
          <w:sz w:val="18"/>
          <w:szCs w:val="18"/>
        </w:rPr>
        <w:t>注：组织的能源管理实施方案既可以是项目可行性研究报告,也可以是设计方案、施工方案、管理措施等的一种,还可以是以上几种的组合。</w:t>
      </w:r>
    </w:p>
    <w:bookmarkEnd w:id="54"/>
    <w:bookmarkEnd w:id="55"/>
    <w:bookmarkEnd w:id="56"/>
    <w:bookmarkEnd w:id="57"/>
    <w:bookmarkEnd w:id="58"/>
    <w:bookmarkEnd w:id="59"/>
    <w:bookmarkEnd w:id="60"/>
    <w:p>
      <w:pPr>
        <w:pStyle w:val="42"/>
        <w:spacing w:before="156" w:after="156"/>
        <w:ind w:left="0"/>
      </w:pPr>
      <w:bookmarkStart w:id="67" w:name="_Toc214260957"/>
      <w:bookmarkStart w:id="68" w:name="_Toc205714910"/>
      <w:bookmarkStart w:id="69" w:name="_Toc312077661"/>
      <w:bookmarkStart w:id="70" w:name="_Toc270929347"/>
      <w:bookmarkStart w:id="71" w:name="_Toc214163060"/>
      <w:bookmarkStart w:id="72" w:name="_Toc205714480"/>
      <w:bookmarkStart w:id="73" w:name="_Toc206491732"/>
      <w:bookmarkStart w:id="74" w:name="_Toc334521363"/>
      <w:bookmarkStart w:id="75" w:name="_Toc270929354"/>
      <w:bookmarkStart w:id="76" w:name="_Toc312077669"/>
      <w:bookmarkStart w:id="77" w:name="_Toc205714488"/>
      <w:bookmarkStart w:id="78" w:name="_Toc214260965"/>
      <w:bookmarkStart w:id="79" w:name="_Toc206491741"/>
      <w:bookmarkStart w:id="80" w:name="_Toc205714919"/>
      <w:bookmarkStart w:id="81" w:name="_Toc214163069"/>
      <w:r>
        <w:rPr>
          <w:rFonts w:hint="eastAsia"/>
        </w:rPr>
        <w:t>实施与运行</w:t>
      </w:r>
      <w:bookmarkEnd w:id="67"/>
      <w:bookmarkEnd w:id="68"/>
      <w:bookmarkEnd w:id="69"/>
      <w:bookmarkEnd w:id="70"/>
      <w:bookmarkEnd w:id="71"/>
      <w:bookmarkEnd w:id="72"/>
      <w:bookmarkEnd w:id="73"/>
      <w:bookmarkEnd w:id="74"/>
    </w:p>
    <w:p>
      <w:pPr>
        <w:pStyle w:val="46"/>
        <w:spacing w:before="156" w:after="156"/>
        <w:ind w:left="0"/>
      </w:pPr>
      <w:bookmarkStart w:id="82" w:name="_Toc334521364"/>
      <w:bookmarkStart w:id="83" w:name="_Toc270929348"/>
      <w:bookmarkStart w:id="84" w:name="_Toc312077662"/>
      <w:bookmarkStart w:id="85" w:name="_Toc214260958"/>
      <w:bookmarkStart w:id="86" w:name="_Toc205714911"/>
      <w:bookmarkStart w:id="87" w:name="_Toc205714481"/>
      <w:bookmarkStart w:id="88" w:name="_Toc214163061"/>
      <w:bookmarkStart w:id="89" w:name="_Toc206491733"/>
      <w:r>
        <w:rPr>
          <w:rFonts w:hint="eastAsia"/>
        </w:rPr>
        <w:t xml:space="preserve"> 总则</w:t>
      </w:r>
      <w:bookmarkEnd w:id="82"/>
    </w:p>
    <w:p>
      <w:pPr>
        <w:pStyle w:val="23"/>
        <w:ind w:firstLine="420"/>
        <w:rPr>
          <w:szCs w:val="21"/>
        </w:rPr>
      </w:pPr>
      <w:r>
        <w:rPr>
          <w:rFonts w:hint="eastAsia"/>
          <w:szCs w:val="21"/>
        </w:rPr>
        <w:t>组织在实施和运行过程中，应使用策划阶段产生的各项结果，可包括：</w:t>
      </w:r>
    </w:p>
    <w:p>
      <w:pPr>
        <w:pStyle w:val="23"/>
        <w:ind w:firstLine="420"/>
        <w:rPr>
          <w:szCs w:val="21"/>
        </w:rPr>
      </w:pPr>
      <w:r>
        <w:rPr>
          <w:rFonts w:hint="eastAsia"/>
          <w:szCs w:val="21"/>
        </w:rPr>
        <w:t>a）能源评审结果；</w:t>
      </w:r>
    </w:p>
    <w:p>
      <w:pPr>
        <w:pStyle w:val="23"/>
        <w:ind w:firstLine="420"/>
        <w:rPr>
          <w:szCs w:val="21"/>
        </w:rPr>
      </w:pPr>
      <w:r>
        <w:rPr>
          <w:rFonts w:hint="eastAsia"/>
          <w:szCs w:val="21"/>
        </w:rPr>
        <w:t>b）能源方针；</w:t>
      </w:r>
    </w:p>
    <w:p>
      <w:pPr>
        <w:pStyle w:val="23"/>
        <w:ind w:firstLine="420"/>
        <w:rPr>
          <w:szCs w:val="21"/>
        </w:rPr>
      </w:pPr>
      <w:r>
        <w:rPr>
          <w:rFonts w:hint="eastAsia"/>
          <w:szCs w:val="21"/>
        </w:rPr>
        <w:t>c）能源基准、能源绩效参数；</w:t>
      </w:r>
    </w:p>
    <w:p>
      <w:pPr>
        <w:pStyle w:val="23"/>
        <w:ind w:firstLine="420"/>
        <w:rPr>
          <w:szCs w:val="21"/>
        </w:rPr>
      </w:pPr>
      <w:r>
        <w:rPr>
          <w:rFonts w:hint="eastAsia"/>
          <w:szCs w:val="21"/>
        </w:rPr>
        <w:t>d）能源目标和指标；</w:t>
      </w:r>
    </w:p>
    <w:p>
      <w:pPr>
        <w:pStyle w:val="23"/>
        <w:ind w:firstLine="420"/>
        <w:rPr>
          <w:szCs w:val="21"/>
        </w:rPr>
      </w:pPr>
      <w:r>
        <w:rPr>
          <w:rFonts w:hint="eastAsia"/>
          <w:szCs w:val="21"/>
        </w:rPr>
        <w:t>e）能源管理实施方案；</w:t>
      </w:r>
    </w:p>
    <w:p>
      <w:pPr>
        <w:pStyle w:val="23"/>
        <w:ind w:firstLine="420"/>
        <w:rPr>
          <w:szCs w:val="21"/>
        </w:rPr>
      </w:pPr>
      <w:r>
        <w:rPr>
          <w:rFonts w:hint="eastAsia"/>
          <w:szCs w:val="21"/>
        </w:rPr>
        <w:t>f）法律法规、政策、标准及其他要求的识别和落实情况等。</w:t>
      </w:r>
    </w:p>
    <w:p>
      <w:pPr>
        <w:pStyle w:val="46"/>
        <w:spacing w:before="156" w:after="156"/>
        <w:ind w:left="0"/>
      </w:pPr>
      <w:bookmarkStart w:id="90" w:name="_Toc334521365"/>
      <w:r>
        <w:rPr>
          <w:rFonts w:hint="eastAsia"/>
        </w:rPr>
        <w:t xml:space="preserve"> 能力、培训与意识</w:t>
      </w:r>
      <w:bookmarkEnd w:id="90"/>
    </w:p>
    <w:p>
      <w:pPr>
        <w:pStyle w:val="23"/>
        <w:ind w:firstLine="420"/>
        <w:rPr>
          <w:szCs w:val="21"/>
        </w:rPr>
      </w:pPr>
      <w:r>
        <w:rPr>
          <w:rFonts w:hint="eastAsia"/>
          <w:szCs w:val="21"/>
        </w:rPr>
        <w:t>组织应采取以下措施来确保为组织或代表组织工作的、与主要能源使用相关的人员具有基于相应教育、培训、技能或经验的能力：</w:t>
      </w:r>
    </w:p>
    <w:p>
      <w:pPr>
        <w:pStyle w:val="23"/>
        <w:ind w:left="707" w:leftChars="203" w:hanging="281" w:hangingChars="134"/>
        <w:rPr>
          <w:szCs w:val="21"/>
        </w:rPr>
      </w:pPr>
      <w:r>
        <w:rPr>
          <w:rFonts w:hint="eastAsia"/>
          <w:szCs w:val="21"/>
        </w:rPr>
        <w:t>a）从教育、培训、技能和经验等方面考察、聘用和培训为组织或代表组织工作的、 与主要能源使用相关的人员，使其具备相应的能力，并保存相关记录；</w:t>
      </w:r>
    </w:p>
    <w:p>
      <w:pPr>
        <w:pStyle w:val="23"/>
        <w:ind w:left="707" w:leftChars="203" w:hanging="281" w:hangingChars="134"/>
        <w:rPr>
          <w:szCs w:val="21"/>
        </w:rPr>
      </w:pPr>
      <w:r>
        <w:rPr>
          <w:rFonts w:hint="eastAsia"/>
          <w:szCs w:val="21"/>
        </w:rPr>
        <w:t>b）对主要能源使用相关的人员进行岗位专业技能培训；</w:t>
      </w:r>
    </w:p>
    <w:p>
      <w:pPr>
        <w:pStyle w:val="23"/>
        <w:ind w:firstLine="707" w:firstLineChars="337"/>
        <w:rPr>
          <w:szCs w:val="21"/>
        </w:rPr>
      </w:pPr>
      <w:r>
        <w:rPr>
          <w:rFonts w:hint="eastAsia"/>
          <w:szCs w:val="21"/>
        </w:rPr>
        <w:t>1）根据人员的不同职能、层次和岗位，进行相关内容的培训。培训内容可包括：</w:t>
      </w:r>
    </w:p>
    <w:p>
      <w:pPr>
        <w:pStyle w:val="23"/>
        <w:ind w:firstLine="991" w:firstLineChars="472"/>
        <w:rPr>
          <w:szCs w:val="21"/>
        </w:rPr>
      </w:pPr>
      <w:r>
        <w:rPr>
          <w:rFonts w:hint="eastAsia"/>
          <w:szCs w:val="21"/>
        </w:rPr>
        <w:t>—— 节能法律法规、政策、标准及其他要求；</w:t>
      </w:r>
    </w:p>
    <w:p>
      <w:pPr>
        <w:pStyle w:val="23"/>
        <w:ind w:firstLine="991" w:firstLineChars="472"/>
        <w:rPr>
          <w:szCs w:val="21"/>
        </w:rPr>
      </w:pPr>
      <w:r>
        <w:rPr>
          <w:rFonts w:hint="eastAsia"/>
          <w:szCs w:val="21"/>
        </w:rPr>
        <w:t>—— 能源管理体系建立、实施、运行和审核；</w:t>
      </w:r>
    </w:p>
    <w:p>
      <w:pPr>
        <w:pStyle w:val="23"/>
        <w:ind w:firstLine="991" w:firstLineChars="472"/>
        <w:rPr>
          <w:szCs w:val="21"/>
        </w:rPr>
      </w:pPr>
      <w:r>
        <w:rPr>
          <w:rFonts w:hint="eastAsia"/>
          <w:szCs w:val="21"/>
        </w:rPr>
        <w:t>—— 能源管理体系标准及体系文件；</w:t>
      </w:r>
    </w:p>
    <w:p>
      <w:pPr>
        <w:pStyle w:val="23"/>
        <w:ind w:firstLine="991" w:firstLineChars="472"/>
        <w:rPr>
          <w:szCs w:val="21"/>
        </w:rPr>
      </w:pPr>
      <w:r>
        <w:rPr>
          <w:rFonts w:hint="eastAsia"/>
          <w:szCs w:val="21"/>
        </w:rPr>
        <w:t>—— 能源计量、统计；</w:t>
      </w:r>
    </w:p>
    <w:p>
      <w:pPr>
        <w:pStyle w:val="23"/>
        <w:ind w:firstLine="991" w:firstLineChars="472"/>
        <w:rPr>
          <w:szCs w:val="21"/>
        </w:rPr>
      </w:pPr>
      <w:r>
        <w:rPr>
          <w:rFonts w:hint="eastAsia"/>
          <w:szCs w:val="21"/>
        </w:rPr>
        <w:t>—— 节能技术；</w:t>
      </w:r>
    </w:p>
    <w:p>
      <w:pPr>
        <w:pStyle w:val="23"/>
        <w:ind w:firstLine="991" w:firstLineChars="472"/>
        <w:rPr>
          <w:szCs w:val="21"/>
        </w:rPr>
      </w:pPr>
      <w:r>
        <w:rPr>
          <w:rFonts w:hint="eastAsia"/>
          <w:szCs w:val="21"/>
        </w:rPr>
        <w:t>—— 用能设备操作；</w:t>
      </w:r>
    </w:p>
    <w:p>
      <w:pPr>
        <w:pStyle w:val="23"/>
        <w:ind w:firstLine="991" w:firstLineChars="472"/>
        <w:rPr>
          <w:szCs w:val="21"/>
        </w:rPr>
      </w:pPr>
      <w:r>
        <w:rPr>
          <w:rFonts w:hint="eastAsia"/>
          <w:szCs w:val="21"/>
        </w:rPr>
        <w:t>—— 相关方的要求等。</w:t>
      </w:r>
    </w:p>
    <w:p>
      <w:pPr>
        <w:pStyle w:val="23"/>
        <w:ind w:firstLine="707" w:firstLineChars="337"/>
        <w:rPr>
          <w:szCs w:val="21"/>
        </w:rPr>
      </w:pPr>
      <w:r>
        <w:rPr>
          <w:rFonts w:hint="eastAsia"/>
          <w:szCs w:val="21"/>
        </w:rPr>
        <w:t>2）组织可按如下程序开展能力、意识的培训：</w:t>
      </w:r>
    </w:p>
    <w:p>
      <w:pPr>
        <w:pStyle w:val="23"/>
        <w:ind w:firstLine="991" w:firstLineChars="472"/>
        <w:rPr>
          <w:szCs w:val="21"/>
        </w:rPr>
      </w:pPr>
      <w:r>
        <w:rPr>
          <w:rFonts w:hint="eastAsia"/>
          <w:szCs w:val="21"/>
        </w:rPr>
        <w:t>—— 调查了解并确定培训需求；</w:t>
      </w:r>
    </w:p>
    <w:p>
      <w:pPr>
        <w:pStyle w:val="23"/>
        <w:ind w:firstLine="991" w:firstLineChars="472"/>
        <w:rPr>
          <w:szCs w:val="21"/>
        </w:rPr>
      </w:pPr>
      <w:r>
        <w:rPr>
          <w:rFonts w:hint="eastAsia"/>
          <w:szCs w:val="21"/>
        </w:rPr>
        <w:t>—— 制定培训计划；</w:t>
      </w:r>
    </w:p>
    <w:p>
      <w:pPr>
        <w:pStyle w:val="23"/>
        <w:ind w:firstLine="991" w:firstLineChars="472"/>
        <w:rPr>
          <w:szCs w:val="21"/>
        </w:rPr>
      </w:pPr>
      <w:r>
        <w:rPr>
          <w:rFonts w:hint="eastAsia"/>
          <w:szCs w:val="21"/>
        </w:rPr>
        <w:t>—— 实施专业技能培训；</w:t>
      </w:r>
    </w:p>
    <w:p>
      <w:pPr>
        <w:pStyle w:val="23"/>
        <w:ind w:firstLine="991" w:firstLineChars="472"/>
        <w:rPr>
          <w:szCs w:val="21"/>
        </w:rPr>
      </w:pPr>
      <w:r>
        <w:rPr>
          <w:rFonts w:hint="eastAsia"/>
          <w:szCs w:val="21"/>
        </w:rPr>
        <w:t>—— 评价培训效果；</w:t>
      </w:r>
    </w:p>
    <w:p>
      <w:pPr>
        <w:pStyle w:val="23"/>
        <w:ind w:firstLine="991" w:firstLineChars="472"/>
        <w:rPr>
          <w:szCs w:val="21"/>
        </w:rPr>
      </w:pPr>
      <w:r>
        <w:rPr>
          <w:rFonts w:hint="eastAsia"/>
          <w:szCs w:val="21"/>
        </w:rPr>
        <w:t>—— 保存教育、培训的相关记录。</w:t>
      </w:r>
    </w:p>
    <w:p>
      <w:pPr>
        <w:pStyle w:val="23"/>
        <w:ind w:left="707" w:leftChars="203" w:hanging="281" w:hangingChars="134"/>
        <w:rPr>
          <w:szCs w:val="21"/>
        </w:rPr>
      </w:pPr>
      <w:r>
        <w:rPr>
          <w:rFonts w:hint="eastAsia"/>
          <w:szCs w:val="21"/>
        </w:rPr>
        <w:t>c）组织通过强化为其或代表其工作的人员节能意识来确保能源管理体系运行的有效性和适宜性。组织可采取如下措施提高员工节能意识：</w:t>
      </w:r>
    </w:p>
    <w:p>
      <w:pPr>
        <w:pStyle w:val="23"/>
        <w:numPr>
          <w:ilvl w:val="0"/>
          <w:numId w:val="12"/>
        </w:numPr>
        <w:ind w:left="991" w:leftChars="338" w:hanging="281" w:hangingChars="134"/>
        <w:rPr>
          <w:szCs w:val="21"/>
        </w:rPr>
      </w:pPr>
      <w:r>
        <w:rPr>
          <w:rFonts w:hint="eastAsia"/>
          <w:szCs w:val="21"/>
        </w:rPr>
        <w:t>加强宣传教育。内容可包括：</w:t>
      </w:r>
    </w:p>
    <w:p>
      <w:pPr>
        <w:pStyle w:val="23"/>
        <w:ind w:left="428" w:leftChars="204" w:firstLine="420"/>
        <w:rPr>
          <w:szCs w:val="21"/>
        </w:rPr>
      </w:pPr>
      <w:r>
        <w:rPr>
          <w:rFonts w:hint="eastAsia"/>
          <w:szCs w:val="21"/>
        </w:rPr>
        <w:t>——节能形势政策；</w:t>
      </w:r>
    </w:p>
    <w:p>
      <w:pPr>
        <w:pStyle w:val="23"/>
        <w:ind w:left="428" w:leftChars="204" w:firstLine="420"/>
        <w:rPr>
          <w:szCs w:val="21"/>
        </w:rPr>
      </w:pPr>
      <w:r>
        <w:rPr>
          <w:rFonts w:hint="eastAsia"/>
          <w:szCs w:val="21"/>
        </w:rPr>
        <w:t>——能源方针、目标和指标；</w:t>
      </w:r>
    </w:p>
    <w:p>
      <w:pPr>
        <w:pStyle w:val="23"/>
        <w:ind w:left="428" w:leftChars="204" w:firstLine="420"/>
        <w:rPr>
          <w:szCs w:val="21"/>
        </w:rPr>
      </w:pPr>
      <w:r>
        <w:rPr>
          <w:rFonts w:hint="eastAsia"/>
          <w:szCs w:val="21"/>
        </w:rPr>
        <w:t>——节约能源所带来的社会和经济效益等；</w:t>
      </w:r>
    </w:p>
    <w:p>
      <w:pPr>
        <w:pStyle w:val="23"/>
        <w:numPr>
          <w:ilvl w:val="0"/>
          <w:numId w:val="12"/>
        </w:numPr>
        <w:ind w:left="991" w:leftChars="338" w:hanging="281" w:hangingChars="134"/>
        <w:rPr>
          <w:szCs w:val="21"/>
        </w:rPr>
      </w:pPr>
      <w:r>
        <w:rPr>
          <w:rFonts w:hint="eastAsia"/>
          <w:szCs w:val="21"/>
        </w:rPr>
        <w:t>开展节能活动。内容可包括：</w:t>
      </w:r>
    </w:p>
    <w:p>
      <w:pPr>
        <w:pStyle w:val="23"/>
        <w:ind w:left="428" w:leftChars="204" w:firstLine="420"/>
        <w:rPr>
          <w:szCs w:val="21"/>
        </w:rPr>
      </w:pPr>
      <w:r>
        <w:rPr>
          <w:rFonts w:hint="eastAsia"/>
          <w:szCs w:val="21"/>
        </w:rPr>
        <w:t>——交流节能技术；</w:t>
      </w:r>
    </w:p>
    <w:p>
      <w:pPr>
        <w:pStyle w:val="23"/>
        <w:ind w:left="428" w:leftChars="204" w:firstLine="420"/>
        <w:rPr>
          <w:szCs w:val="21"/>
        </w:rPr>
      </w:pPr>
      <w:r>
        <w:rPr>
          <w:rFonts w:hint="eastAsia"/>
          <w:szCs w:val="21"/>
        </w:rPr>
        <w:t>——节能知识竞赛；</w:t>
      </w:r>
    </w:p>
    <w:p>
      <w:pPr>
        <w:pStyle w:val="23"/>
        <w:ind w:left="428" w:leftChars="204" w:firstLine="420"/>
        <w:rPr>
          <w:szCs w:val="21"/>
        </w:rPr>
      </w:pPr>
      <w:r>
        <w:rPr>
          <w:rFonts w:hint="eastAsia"/>
          <w:szCs w:val="21"/>
        </w:rPr>
        <w:t>——组建节能小组；</w:t>
      </w:r>
    </w:p>
    <w:p>
      <w:pPr>
        <w:pStyle w:val="23"/>
        <w:ind w:left="428" w:leftChars="204" w:firstLine="420"/>
        <w:rPr>
          <w:szCs w:val="21"/>
        </w:rPr>
      </w:pPr>
      <w:r>
        <w:rPr>
          <w:rFonts w:hint="eastAsia"/>
          <w:szCs w:val="21"/>
        </w:rPr>
        <w:t>——征集合理化建议；</w:t>
      </w:r>
    </w:p>
    <w:p>
      <w:pPr>
        <w:pStyle w:val="23"/>
        <w:ind w:left="428" w:leftChars="204" w:firstLine="420"/>
        <w:rPr>
          <w:szCs w:val="21"/>
        </w:rPr>
      </w:pPr>
      <w:r>
        <w:rPr>
          <w:rFonts w:hint="eastAsia"/>
          <w:szCs w:val="21"/>
        </w:rPr>
        <w:t>——评选节能先进等；</w:t>
      </w:r>
    </w:p>
    <w:p>
      <w:pPr>
        <w:pStyle w:val="23"/>
        <w:numPr>
          <w:ilvl w:val="0"/>
          <w:numId w:val="12"/>
        </w:numPr>
        <w:ind w:left="991" w:leftChars="338" w:hanging="281" w:hangingChars="134"/>
        <w:rPr>
          <w:szCs w:val="21"/>
        </w:rPr>
      </w:pPr>
      <w:r>
        <w:rPr>
          <w:rFonts w:hint="eastAsia"/>
          <w:szCs w:val="21"/>
        </w:rPr>
        <w:t>完善规章制度。内容可包括：</w:t>
      </w:r>
    </w:p>
    <w:p>
      <w:pPr>
        <w:pStyle w:val="23"/>
        <w:ind w:left="428" w:leftChars="204" w:firstLine="420"/>
        <w:rPr>
          <w:szCs w:val="21"/>
        </w:rPr>
      </w:pPr>
      <w:r>
        <w:rPr>
          <w:rFonts w:hint="eastAsia"/>
          <w:szCs w:val="21"/>
        </w:rPr>
        <w:t>——节能目标责任制；</w:t>
      </w:r>
    </w:p>
    <w:p>
      <w:pPr>
        <w:pStyle w:val="23"/>
        <w:ind w:left="428" w:leftChars="204" w:firstLine="420"/>
        <w:rPr>
          <w:szCs w:val="21"/>
        </w:rPr>
      </w:pPr>
      <w:r>
        <w:rPr>
          <w:rFonts w:hint="eastAsia"/>
          <w:szCs w:val="21"/>
        </w:rPr>
        <w:t>——绩效考核制度；</w:t>
      </w:r>
    </w:p>
    <w:p>
      <w:pPr>
        <w:pStyle w:val="23"/>
        <w:ind w:left="428" w:leftChars="204" w:firstLine="420"/>
        <w:rPr>
          <w:szCs w:val="21"/>
        </w:rPr>
      </w:pPr>
      <w:r>
        <w:rPr>
          <w:rFonts w:hint="eastAsia"/>
          <w:szCs w:val="21"/>
        </w:rPr>
        <w:t>——继续教育制度等。</w:t>
      </w:r>
    </w:p>
    <w:bookmarkEnd w:id="83"/>
    <w:bookmarkEnd w:id="84"/>
    <w:p>
      <w:pPr>
        <w:pStyle w:val="46"/>
        <w:spacing w:before="156" w:after="156"/>
        <w:ind w:left="0"/>
      </w:pPr>
      <w:bookmarkStart w:id="91" w:name="_Toc270929350"/>
      <w:bookmarkStart w:id="92" w:name="_Toc334521366"/>
      <w:bookmarkStart w:id="93" w:name="_Toc312077664"/>
      <w:r>
        <w:rPr>
          <w:rFonts w:hint="eastAsia"/>
        </w:rPr>
        <w:t>信息交流</w:t>
      </w:r>
      <w:bookmarkEnd w:id="91"/>
      <w:bookmarkEnd w:id="92"/>
      <w:bookmarkEnd w:id="93"/>
    </w:p>
    <w:p>
      <w:pPr>
        <w:pStyle w:val="23"/>
        <w:ind w:firstLine="420"/>
        <w:rPr>
          <w:szCs w:val="21"/>
        </w:rPr>
      </w:pPr>
      <w:r>
        <w:rPr>
          <w:rFonts w:hint="eastAsia"/>
          <w:szCs w:val="21"/>
        </w:rPr>
        <w:t>组织应当根据其自身和相关方的需求建立、实施并保持就能源绩效和能源管理体系的相关信息进行的内、外部交流，并明确交流方式、内容、对象和时机。</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4.5.3.1  内部信息交流</w:t>
      </w:r>
    </w:p>
    <w:p>
      <w:pPr>
        <w:pStyle w:val="23"/>
        <w:ind w:firstLine="420"/>
        <w:rPr>
          <w:szCs w:val="21"/>
        </w:rPr>
      </w:pPr>
      <w:r>
        <w:rPr>
          <w:rFonts w:hint="eastAsia"/>
          <w:szCs w:val="21"/>
        </w:rPr>
        <w:t>组织应在组织内部各层次和职能间建立与自身规模相适应的的内部沟通。内部沟通应当包括：</w:t>
      </w:r>
    </w:p>
    <w:p>
      <w:pPr>
        <w:pStyle w:val="23"/>
        <w:numPr>
          <w:ilvl w:val="0"/>
          <w:numId w:val="13"/>
        </w:numPr>
        <w:ind w:firstLine="420"/>
        <w:rPr>
          <w:szCs w:val="21"/>
        </w:rPr>
      </w:pPr>
      <w:r>
        <w:rPr>
          <w:rFonts w:hint="eastAsia"/>
          <w:szCs w:val="21"/>
        </w:rPr>
        <w:t>适用的法律法规、政策、标准及其他要求；</w:t>
      </w:r>
    </w:p>
    <w:p>
      <w:pPr>
        <w:pStyle w:val="23"/>
        <w:numPr>
          <w:ilvl w:val="0"/>
          <w:numId w:val="13"/>
        </w:numPr>
        <w:ind w:firstLine="420"/>
        <w:rPr>
          <w:szCs w:val="21"/>
        </w:rPr>
      </w:pPr>
      <w:r>
        <w:rPr>
          <w:rFonts w:hint="eastAsia"/>
          <w:szCs w:val="21"/>
        </w:rPr>
        <w:t>能源使用和能源消耗识别评价结果</w:t>
      </w:r>
    </w:p>
    <w:p>
      <w:pPr>
        <w:pStyle w:val="23"/>
        <w:numPr>
          <w:ilvl w:val="0"/>
          <w:numId w:val="13"/>
        </w:numPr>
        <w:ind w:firstLine="420"/>
        <w:rPr>
          <w:szCs w:val="21"/>
        </w:rPr>
      </w:pPr>
      <w:r>
        <w:rPr>
          <w:rFonts w:hint="eastAsia"/>
          <w:szCs w:val="21"/>
        </w:rPr>
        <w:t>能源目标和指标实现情况；</w:t>
      </w:r>
    </w:p>
    <w:p>
      <w:pPr>
        <w:pStyle w:val="23"/>
        <w:numPr>
          <w:ilvl w:val="0"/>
          <w:numId w:val="13"/>
        </w:numPr>
        <w:ind w:firstLine="420"/>
        <w:rPr>
          <w:szCs w:val="21"/>
        </w:rPr>
      </w:pPr>
      <w:r>
        <w:rPr>
          <w:rFonts w:hint="eastAsia"/>
          <w:szCs w:val="21"/>
        </w:rPr>
        <w:t>能源绩效参数；</w:t>
      </w:r>
    </w:p>
    <w:p>
      <w:pPr>
        <w:pStyle w:val="23"/>
        <w:ind w:firstLine="420"/>
        <w:rPr>
          <w:szCs w:val="21"/>
        </w:rPr>
      </w:pPr>
      <w:r>
        <w:rPr>
          <w:rFonts w:hint="eastAsia"/>
          <w:szCs w:val="21"/>
        </w:rPr>
        <w:t>e)节能技术或管理经验：</w:t>
      </w:r>
    </w:p>
    <w:p>
      <w:pPr>
        <w:pStyle w:val="23"/>
        <w:ind w:firstLine="567" w:firstLineChars="270"/>
        <w:rPr>
          <w:szCs w:val="21"/>
        </w:rPr>
      </w:pPr>
      <w:r>
        <w:rPr>
          <w:rFonts w:hint="eastAsia"/>
          <w:szCs w:val="21"/>
        </w:rPr>
        <w:t>——对影响能源绩效的关键特性定期监视、测量和分析结果；</w:t>
      </w:r>
    </w:p>
    <w:p>
      <w:pPr>
        <w:pStyle w:val="23"/>
        <w:ind w:firstLine="567" w:firstLineChars="270"/>
        <w:rPr>
          <w:szCs w:val="21"/>
        </w:rPr>
      </w:pPr>
      <w:r>
        <w:rPr>
          <w:rFonts w:hint="eastAsia"/>
          <w:szCs w:val="21"/>
        </w:rPr>
        <w:t>——能源管理实施方案的实施情况及效果；</w:t>
      </w:r>
    </w:p>
    <w:p>
      <w:pPr>
        <w:pStyle w:val="23"/>
        <w:ind w:firstLine="567" w:firstLineChars="270"/>
        <w:rPr>
          <w:szCs w:val="21"/>
        </w:rPr>
      </w:pPr>
      <w:r>
        <w:rPr>
          <w:rFonts w:hint="eastAsia"/>
          <w:szCs w:val="21"/>
        </w:rPr>
        <w:t>——不符合及纠正预防措施；</w:t>
      </w:r>
    </w:p>
    <w:p>
      <w:pPr>
        <w:pStyle w:val="23"/>
        <w:ind w:firstLine="567" w:firstLineChars="270"/>
        <w:rPr>
          <w:szCs w:val="21"/>
        </w:rPr>
      </w:pPr>
      <w:r>
        <w:rPr>
          <w:rFonts w:hint="eastAsia"/>
          <w:szCs w:val="21"/>
        </w:rPr>
        <w:t>——为其或代表其工作的人员为能源管理体系改进提出的建议和意见；</w:t>
      </w:r>
    </w:p>
    <w:p>
      <w:pPr>
        <w:pStyle w:val="23"/>
        <w:ind w:firstLine="0" w:firstLineChars="0"/>
        <w:rPr>
          <w:szCs w:val="21"/>
        </w:rPr>
      </w:pPr>
      <w:r>
        <w:rPr>
          <w:rFonts w:hint="eastAsia"/>
          <w:szCs w:val="21"/>
        </w:rPr>
        <w:t xml:space="preserve">      ——内部审核和管理评审结果等。</w:t>
      </w:r>
    </w:p>
    <w:p>
      <w:pPr>
        <w:pStyle w:val="23"/>
        <w:ind w:firstLine="420"/>
        <w:rPr>
          <w:szCs w:val="21"/>
        </w:rPr>
      </w:pPr>
      <w:r>
        <w:rPr>
          <w:rFonts w:hint="eastAsia"/>
          <w:szCs w:val="21"/>
        </w:rPr>
        <w:t>信息交流可采取会议、公告栏、论坛、简报、意见箱、网络等方式。可行时，组织应当积极构建信息监控系统，实现能源数据的在线采集和实时监控。内部信息交流应是多角度的，组织应鼓励员工或代表组织工作的人员对能源绩效和能源管理体系的改进提出意见和建议。</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4.5.3.2  外部信息交流</w:t>
      </w:r>
    </w:p>
    <w:p>
      <w:pPr>
        <w:pStyle w:val="23"/>
        <w:ind w:firstLine="420"/>
        <w:rPr>
          <w:szCs w:val="21"/>
        </w:rPr>
      </w:pPr>
      <w:r>
        <w:rPr>
          <w:rFonts w:hint="eastAsia"/>
          <w:szCs w:val="21"/>
        </w:rPr>
        <w:t>组织应确定是否就能源管理体系和能源绩效进行外部交流。如需外部交流，应确定外部交流内容，并形成文件。</w:t>
      </w:r>
    </w:p>
    <w:p>
      <w:pPr>
        <w:pStyle w:val="23"/>
        <w:ind w:firstLine="420"/>
        <w:rPr>
          <w:szCs w:val="21"/>
        </w:rPr>
      </w:pPr>
      <w:r>
        <w:rPr>
          <w:rFonts w:hint="eastAsia"/>
          <w:szCs w:val="21"/>
        </w:rPr>
        <w:t>外部信息交流是与外部相关方进行的信息交流，分为主动交流和被动交流。主动交流，如：组织通过节能网站、参加会议等方式与外部相关方进行信息交流；通过电子邮件、电话等方式向各级节能主管部门、行业协会、其他组织等寻求节能信息等。被动交流，如：接受并及时处理节能监察部门的节能执法监察、监测等的反馈信息；定期向各级政府部门报送组织能源消耗报表和能源利用状况报告等。</w:t>
      </w:r>
    </w:p>
    <w:p>
      <w:pPr>
        <w:pStyle w:val="23"/>
        <w:ind w:firstLine="420"/>
        <w:rPr>
          <w:szCs w:val="21"/>
        </w:rPr>
      </w:pPr>
      <w:r>
        <w:rPr>
          <w:rFonts w:hint="eastAsia"/>
          <w:szCs w:val="21"/>
        </w:rPr>
        <w:t>组织如决定与外部相关方就其能源管理体系运行情况进行信息交流时，应当将其决定形成文件，规定交流方式并予以实施。</w:t>
      </w:r>
    </w:p>
    <w:p>
      <w:pPr>
        <w:pStyle w:val="23"/>
        <w:ind w:firstLine="420"/>
        <w:rPr>
          <w:szCs w:val="21"/>
        </w:rPr>
      </w:pPr>
      <w:r>
        <w:rPr>
          <w:rFonts w:hint="eastAsia"/>
          <w:szCs w:val="21"/>
        </w:rPr>
        <w:t>组织应当注重收集节能技术、最佳节能实践与经验等外部信息，进而用于改进组织能源管理绩效。</w:t>
      </w:r>
    </w:p>
    <w:bookmarkEnd w:id="85"/>
    <w:bookmarkEnd w:id="86"/>
    <w:bookmarkEnd w:id="87"/>
    <w:bookmarkEnd w:id="88"/>
    <w:bookmarkEnd w:id="89"/>
    <w:p>
      <w:pPr>
        <w:pStyle w:val="46"/>
        <w:spacing w:before="156" w:after="156"/>
        <w:ind w:left="0"/>
      </w:pPr>
      <w:bookmarkStart w:id="94" w:name="_Toc334521367"/>
      <w:bookmarkStart w:id="95" w:name="_Toc312077665"/>
      <w:bookmarkStart w:id="96" w:name="_Toc270929351"/>
      <w:bookmarkStart w:id="97" w:name="_Toc206491736"/>
      <w:bookmarkStart w:id="98" w:name="_Toc214260961"/>
      <w:bookmarkStart w:id="99" w:name="_Toc214163064"/>
      <w:bookmarkStart w:id="100" w:name="_Toc205714914"/>
      <w:r>
        <w:rPr>
          <w:rFonts w:hint="eastAsia"/>
        </w:rPr>
        <w:t>文件</w:t>
      </w:r>
      <w:bookmarkEnd w:id="94"/>
      <w:bookmarkEnd w:id="95"/>
      <w:bookmarkEnd w:id="96"/>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4.5.4.1  文件要求</w:t>
      </w:r>
    </w:p>
    <w:p>
      <w:pPr>
        <w:pStyle w:val="23"/>
        <w:ind w:firstLine="420"/>
        <w:rPr>
          <w:szCs w:val="21"/>
        </w:rPr>
      </w:pPr>
      <w:r>
        <w:rPr>
          <w:rFonts w:hint="eastAsia"/>
          <w:szCs w:val="21"/>
        </w:rPr>
        <w:t>组织应当建立、实施并保持能源管理体系文件，以确保能源管理体系的有效实施和持续改进。组织应当根据实际需要编制能源管理手册、程序文件、作业文件、记录等体系文件。</w:t>
      </w:r>
    </w:p>
    <w:bookmarkEnd w:id="97"/>
    <w:bookmarkEnd w:id="98"/>
    <w:bookmarkEnd w:id="99"/>
    <w:bookmarkEnd w:id="100"/>
    <w:p>
      <w:pPr>
        <w:pStyle w:val="23"/>
        <w:ind w:firstLine="420"/>
        <w:rPr>
          <w:szCs w:val="21"/>
        </w:rPr>
      </w:pPr>
      <w:bookmarkStart w:id="101" w:name="_Toc214163066"/>
      <w:bookmarkStart w:id="102" w:name="_Toc206491738"/>
      <w:bookmarkStart w:id="103" w:name="_Toc205714485"/>
      <w:bookmarkStart w:id="104" w:name="_Toc205714916"/>
      <w:bookmarkStart w:id="105" w:name="_Toc214260962"/>
      <w:r>
        <w:rPr>
          <w:rFonts w:hint="eastAsia"/>
          <w:szCs w:val="21"/>
        </w:rPr>
        <w:t>a）能源管理体系文件可包括：</w:t>
      </w:r>
    </w:p>
    <w:p>
      <w:pPr>
        <w:pStyle w:val="23"/>
        <w:ind w:left="991" w:leftChars="337" w:hanging="283" w:hangingChars="135"/>
        <w:rPr>
          <w:szCs w:val="21"/>
        </w:rPr>
      </w:pPr>
      <w:r>
        <w:rPr>
          <w:rFonts w:hint="eastAsia"/>
          <w:szCs w:val="21"/>
        </w:rPr>
        <w:t>1）能源管理手册，包括形成文件的能源方针、职责权限、组织结构等；</w:t>
      </w:r>
      <w:r>
        <w:rPr>
          <w:szCs w:val="21"/>
        </w:rPr>
        <w:t xml:space="preserve"> </w:t>
      </w:r>
    </w:p>
    <w:p>
      <w:pPr>
        <w:pStyle w:val="23"/>
        <w:ind w:left="991" w:leftChars="337" w:hanging="283" w:hangingChars="135"/>
        <w:rPr>
          <w:szCs w:val="21"/>
        </w:rPr>
      </w:pPr>
      <w:r>
        <w:rPr>
          <w:rFonts w:hint="eastAsia"/>
          <w:szCs w:val="21"/>
        </w:rPr>
        <w:t>2）GB/T23331标准要求的程序文件及记录；</w:t>
      </w:r>
    </w:p>
    <w:p>
      <w:pPr>
        <w:pStyle w:val="23"/>
        <w:ind w:left="991" w:leftChars="337" w:hanging="283" w:hangingChars="135"/>
        <w:rPr>
          <w:szCs w:val="21"/>
        </w:rPr>
      </w:pPr>
      <w:r>
        <w:rPr>
          <w:rFonts w:hint="eastAsia"/>
          <w:szCs w:val="21"/>
        </w:rPr>
        <w:t>3）能源基准和标杆、能源目标和指标、能源管理实施方案；</w:t>
      </w:r>
    </w:p>
    <w:p>
      <w:pPr>
        <w:pStyle w:val="23"/>
        <w:ind w:left="991" w:leftChars="337" w:hanging="283" w:hangingChars="135"/>
        <w:rPr>
          <w:szCs w:val="21"/>
        </w:rPr>
      </w:pPr>
      <w:r>
        <w:rPr>
          <w:rFonts w:hint="eastAsia"/>
          <w:szCs w:val="21"/>
        </w:rPr>
        <w:t>4）组织为确保能源管理过程的有效策划、运作和控制所需的作业文件；</w:t>
      </w:r>
    </w:p>
    <w:p>
      <w:pPr>
        <w:pStyle w:val="23"/>
        <w:ind w:left="991" w:leftChars="337" w:hanging="283" w:hangingChars="135"/>
        <w:rPr>
          <w:szCs w:val="21"/>
        </w:rPr>
      </w:pPr>
      <w:r>
        <w:rPr>
          <w:rFonts w:hint="eastAsia"/>
          <w:szCs w:val="21"/>
        </w:rPr>
        <w:t>5）外来文件（包括法律法规、规程、规范、标准、合理用能评估报告、设备说明书以及相关方文件等）；</w:t>
      </w:r>
    </w:p>
    <w:p>
      <w:pPr>
        <w:pStyle w:val="23"/>
        <w:ind w:left="707" w:leftChars="203" w:hanging="281" w:hangingChars="134"/>
        <w:rPr>
          <w:szCs w:val="21"/>
        </w:rPr>
      </w:pPr>
      <w:r>
        <w:rPr>
          <w:rFonts w:hint="eastAsia"/>
          <w:szCs w:val="21"/>
        </w:rPr>
        <w:t>b）体系文件之间相互联系、相互印证。各层次文件可以相互引用，下一层次文件的内容应是对上一层次文件内容的更为具体、详细的描述。具体情况为：</w:t>
      </w:r>
    </w:p>
    <w:p>
      <w:pPr>
        <w:pStyle w:val="23"/>
        <w:ind w:left="991" w:leftChars="337" w:hanging="283" w:hangingChars="135"/>
        <w:rPr>
          <w:szCs w:val="21"/>
        </w:rPr>
      </w:pPr>
      <w:r>
        <w:rPr>
          <w:rFonts w:hint="eastAsia"/>
          <w:szCs w:val="21"/>
        </w:rPr>
        <w:t>1）能源管理手册阐述组织能源方针、目标、组织机构以及能源管理体系的要求；</w:t>
      </w:r>
    </w:p>
    <w:p>
      <w:pPr>
        <w:pStyle w:val="23"/>
        <w:ind w:left="991" w:leftChars="337" w:hanging="283" w:hangingChars="135"/>
        <w:rPr>
          <w:szCs w:val="21"/>
        </w:rPr>
      </w:pPr>
      <w:r>
        <w:rPr>
          <w:rFonts w:hint="eastAsia"/>
          <w:szCs w:val="21"/>
        </w:rPr>
        <w:t>2）能源管理实施方案、程序文件作为管理手册的支持性文件，描述各部门如何去进行能源管理工作以达到规定的要求；</w:t>
      </w:r>
    </w:p>
    <w:p>
      <w:pPr>
        <w:pStyle w:val="23"/>
        <w:ind w:left="991" w:leftChars="337" w:hanging="283" w:hangingChars="135"/>
        <w:rPr>
          <w:szCs w:val="21"/>
        </w:rPr>
      </w:pPr>
      <w:r>
        <w:rPr>
          <w:rFonts w:hint="eastAsia"/>
          <w:szCs w:val="21"/>
        </w:rPr>
        <w:t>3）各项能源管理相关活动的具体技术要求，可在作业文件中体现。文件的详尽程度，应足以描述能源管理体系及其各部分协同运作的情况，并指示获取能源管理体系某一部分运行的更详细信息的途径。组织可将能源管理体系文件纳入所实施的其他体系的文件中。</w:t>
      </w:r>
    </w:p>
    <w:p>
      <w:pPr>
        <w:pStyle w:val="23"/>
        <w:ind w:firstLine="420"/>
        <w:rPr>
          <w:szCs w:val="21"/>
        </w:rPr>
      </w:pPr>
      <w:r>
        <w:rPr>
          <w:rFonts w:hint="eastAsia"/>
          <w:szCs w:val="21"/>
        </w:rPr>
        <w:t>能源管理体系文件的复杂程度、数量、所投入资源等，取决于体系覆盖的范围、组织的规模、消耗能源的类型及数量、能源利用过程及其相互作用的复杂程度等因素。</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4.5.4.2  文件控制</w:t>
      </w:r>
    </w:p>
    <w:p>
      <w:pPr>
        <w:pStyle w:val="23"/>
        <w:ind w:firstLine="420"/>
        <w:rPr>
          <w:szCs w:val="21"/>
        </w:rPr>
      </w:pPr>
      <w:r>
        <w:rPr>
          <w:rFonts w:hint="eastAsia"/>
          <w:szCs w:val="21"/>
        </w:rPr>
        <w:t>组织应当建立、实施并保持一个或多个程序，对文件的编制、标识、审查、批准、发放、使用、更改、作废和评审等过程做出明确规定，包括：</w:t>
      </w:r>
    </w:p>
    <w:p>
      <w:pPr>
        <w:pStyle w:val="23"/>
        <w:ind w:left="707" w:leftChars="202" w:hanging="283" w:hangingChars="135"/>
        <w:rPr>
          <w:szCs w:val="21"/>
        </w:rPr>
      </w:pPr>
      <w:r>
        <w:rPr>
          <w:rFonts w:hint="eastAsia"/>
          <w:szCs w:val="21"/>
        </w:rPr>
        <w:t>a）文件发布之前应当得到批准，以确保文件是充分和适宜的；</w:t>
      </w:r>
    </w:p>
    <w:p>
      <w:pPr>
        <w:pStyle w:val="23"/>
        <w:ind w:left="707" w:leftChars="202" w:hanging="283" w:hangingChars="135"/>
        <w:rPr>
          <w:szCs w:val="21"/>
        </w:rPr>
      </w:pPr>
      <w:r>
        <w:rPr>
          <w:rFonts w:hint="eastAsia"/>
          <w:szCs w:val="21"/>
        </w:rPr>
        <w:t>b）在实施过程中，必要时，应对文件进行评审，以发现需要修改或更新之处，修订的文件重新发布时应当再次批准；</w:t>
      </w:r>
    </w:p>
    <w:p>
      <w:pPr>
        <w:pStyle w:val="23"/>
        <w:ind w:left="707" w:leftChars="202" w:hanging="283" w:hangingChars="135"/>
        <w:rPr>
          <w:szCs w:val="21"/>
        </w:rPr>
      </w:pPr>
      <w:r>
        <w:rPr>
          <w:rFonts w:hint="eastAsia"/>
          <w:szCs w:val="21"/>
        </w:rPr>
        <w:t>c）确保文件的更改和现行修订状态得到识别，一般需要有文件控制清单或受控文件一览表；</w:t>
      </w:r>
    </w:p>
    <w:p>
      <w:pPr>
        <w:pStyle w:val="23"/>
        <w:ind w:left="707" w:leftChars="202" w:hanging="283" w:hangingChars="135"/>
        <w:rPr>
          <w:szCs w:val="21"/>
        </w:rPr>
      </w:pPr>
      <w:r>
        <w:rPr>
          <w:rFonts w:hint="eastAsia"/>
          <w:szCs w:val="21"/>
        </w:rPr>
        <w:t>d）确保组织员工可获得适用文件的有效版本；</w:t>
      </w:r>
    </w:p>
    <w:p>
      <w:pPr>
        <w:pStyle w:val="23"/>
        <w:ind w:left="707" w:leftChars="202" w:hanging="283" w:hangingChars="135"/>
        <w:rPr>
          <w:szCs w:val="21"/>
        </w:rPr>
      </w:pPr>
      <w:r>
        <w:rPr>
          <w:rFonts w:hint="eastAsia"/>
          <w:szCs w:val="21"/>
        </w:rPr>
        <w:t>e）确保文件字迹清晰、标识明确，易于识别和检索；</w:t>
      </w:r>
    </w:p>
    <w:p>
      <w:pPr>
        <w:pStyle w:val="23"/>
        <w:ind w:left="707" w:leftChars="202" w:hanging="283" w:hangingChars="135"/>
        <w:rPr>
          <w:szCs w:val="21"/>
        </w:rPr>
      </w:pPr>
      <w:r>
        <w:rPr>
          <w:rFonts w:hint="eastAsia"/>
          <w:szCs w:val="21"/>
        </w:rPr>
        <w:t>f）确保组织所确定的策划和运行能源管理体系所需的外来文件得到识别，并对其分发进行控制；</w:t>
      </w:r>
    </w:p>
    <w:p>
      <w:pPr>
        <w:pStyle w:val="23"/>
        <w:ind w:left="707" w:leftChars="202" w:hanging="283" w:hangingChars="135"/>
        <w:rPr>
          <w:szCs w:val="21"/>
        </w:rPr>
      </w:pPr>
      <w:r>
        <w:rPr>
          <w:rFonts w:hint="eastAsia"/>
          <w:szCs w:val="21"/>
        </w:rPr>
        <w:t>g）防止对过期文件的非预期使用。如需将其保留，应作出适当的标识。</w:t>
      </w:r>
    </w:p>
    <w:bookmarkEnd w:id="101"/>
    <w:bookmarkEnd w:id="102"/>
    <w:bookmarkEnd w:id="103"/>
    <w:bookmarkEnd w:id="104"/>
    <w:bookmarkEnd w:id="105"/>
    <w:p>
      <w:pPr>
        <w:pStyle w:val="46"/>
        <w:spacing w:before="156" w:after="156"/>
        <w:ind w:left="0"/>
      </w:pPr>
      <w:bookmarkStart w:id="106" w:name="_Toc334521369"/>
      <w:bookmarkStart w:id="107" w:name="_Toc214260963"/>
      <w:bookmarkStart w:id="108" w:name="_Toc205714486"/>
      <w:bookmarkStart w:id="109" w:name="_Toc206491739"/>
      <w:bookmarkStart w:id="110" w:name="_Toc214163067"/>
      <w:bookmarkStart w:id="111" w:name="_Toc205714917"/>
      <w:r>
        <w:rPr>
          <w:rFonts w:hint="eastAsia"/>
        </w:rPr>
        <w:t>运行控制</w:t>
      </w:r>
      <w:bookmarkEnd w:id="106"/>
    </w:p>
    <w:p>
      <w:pPr>
        <w:pStyle w:val="23"/>
        <w:ind w:firstLine="420"/>
        <w:rPr>
          <w:szCs w:val="21"/>
        </w:rPr>
      </w:pPr>
      <w:r>
        <w:rPr>
          <w:rFonts w:hint="eastAsia"/>
          <w:szCs w:val="21"/>
        </w:rPr>
        <w:t xml:space="preserve">为实现组织的能源目标和指标，组织应策划与主要能源使用相关的运行和维护活动，使之与能源方针、能源目标、指标和能源管理实施方案一致，与主要能源使用相关的过程和活动可包括产品和过程的设计控制、设备设施的配置与控制、生产和服务提供过程的控制、能源的购入贮存、加工转换、输送分配及最终使用、余热余压利用等过程的控制。组织应在规定条件下按下列方式运行对与主要能源使用相关的运行和维护活动:  </w:t>
      </w:r>
    </w:p>
    <w:p>
      <w:pPr>
        <w:pStyle w:val="23"/>
        <w:ind w:left="707" w:leftChars="202" w:hanging="283" w:hangingChars="135"/>
        <w:rPr>
          <w:szCs w:val="21"/>
        </w:rPr>
      </w:pPr>
      <w:r>
        <w:rPr>
          <w:rFonts w:hint="eastAsia"/>
          <w:szCs w:val="21"/>
        </w:rPr>
        <w:t>a) 建立和设置主要能源使用有效运行和维护的准则，确定运行控制方式，配备必要的具备相应能力的人员，规定测量和评价的方法，防止因缺乏以上准则而导致的能源绩效的严重偏离。运行和维护准则的确定基于多种因素，如运行人员的技能和经验、运行的复杂性等。其中，运行控制方式可选择制定并实施程序文件和作业文件、操作行为控制、人员培训，或综合使用上述方式等；</w:t>
      </w:r>
    </w:p>
    <w:p>
      <w:pPr>
        <w:pStyle w:val="23"/>
        <w:ind w:left="707" w:leftChars="202" w:hanging="283" w:hangingChars="135"/>
        <w:rPr>
          <w:szCs w:val="21"/>
        </w:rPr>
      </w:pPr>
      <w:r>
        <w:rPr>
          <w:rFonts w:hint="eastAsia"/>
          <w:szCs w:val="21"/>
        </w:rPr>
        <w:t xml:space="preserve">b) 根据运行准则运行和维护设施、过程、系统和设备，定期评价和完善按照运行准则实施的运行控制的有效性和效果； </w:t>
      </w:r>
    </w:p>
    <w:p>
      <w:pPr>
        <w:pStyle w:val="23"/>
        <w:ind w:left="707" w:leftChars="202" w:hanging="283" w:hangingChars="135"/>
        <w:rPr>
          <w:szCs w:val="21"/>
        </w:rPr>
      </w:pPr>
      <w:r>
        <w:rPr>
          <w:rFonts w:hint="eastAsia"/>
          <w:szCs w:val="21"/>
        </w:rPr>
        <w:t>c)  将运行控制准则适当地传达给为组织或代表组织工作的人员。</w:t>
      </w:r>
    </w:p>
    <w:p>
      <w:pPr>
        <w:pStyle w:val="23"/>
        <w:ind w:firstLine="420"/>
        <w:rPr>
          <w:szCs w:val="21"/>
        </w:rPr>
      </w:pPr>
      <w:r>
        <w:rPr>
          <w:rFonts w:hint="eastAsia"/>
          <w:szCs w:val="21"/>
        </w:rPr>
        <w:t>组织还应考虑相关方（包括服务提供方、设备设施提供方、设备设施维护外包方等）对组织降低能源消耗、提高能源利用效率的影响，组织应建立必要的运行控制措施，如在程序、合同或与供方的协议中做出规定，并就其内容与合同方和供方进行必要的沟通。</w:t>
      </w:r>
    </w:p>
    <w:p>
      <w:pPr>
        <w:pStyle w:val="46"/>
        <w:spacing w:before="156" w:after="156"/>
        <w:ind w:left="0"/>
      </w:pPr>
      <w:r>
        <w:rPr>
          <w:rFonts w:hint="eastAsia"/>
        </w:rPr>
        <w:t xml:space="preserve">  设计</w:t>
      </w:r>
    </w:p>
    <w:p>
      <w:pPr>
        <w:pStyle w:val="23"/>
        <w:ind w:firstLine="420"/>
        <w:rPr>
          <w:szCs w:val="21"/>
        </w:rPr>
      </w:pPr>
      <w:r>
        <w:rPr>
          <w:rFonts w:hint="eastAsia"/>
          <w:szCs w:val="21"/>
        </w:rPr>
        <w:t>在新、改、扩建项目的设计中，针对影响能源绩效较为显著的设施、设备、系统和过程，组织应考虑能源绩效改进的机会和运行控制的需要。其中，在新产品或产品改进的设计阶段，应考虑产品结构、原材料、零部件等的选择对产品实现过程能源消耗的影响。在设计阶段中应考虑：</w:t>
      </w:r>
    </w:p>
    <w:p>
      <w:pPr>
        <w:pStyle w:val="23"/>
        <w:ind w:left="707" w:leftChars="202" w:hanging="283" w:hangingChars="135"/>
        <w:rPr>
          <w:szCs w:val="21"/>
        </w:rPr>
      </w:pPr>
      <w:r>
        <w:rPr>
          <w:rFonts w:hint="eastAsia"/>
          <w:szCs w:val="21"/>
        </w:rPr>
        <w:t>a）组织所需的能源种类、需求量、质量、价格、可获得性、经济性、环境影响、运输供应便捷性、政策和经济支撑条件等因素；</w:t>
      </w:r>
    </w:p>
    <w:p>
      <w:pPr>
        <w:pStyle w:val="23"/>
        <w:ind w:left="707" w:leftChars="202" w:hanging="283" w:hangingChars="135"/>
        <w:rPr>
          <w:szCs w:val="21"/>
        </w:rPr>
      </w:pPr>
      <w:r>
        <w:rPr>
          <w:rFonts w:hint="eastAsia"/>
          <w:szCs w:val="21"/>
        </w:rPr>
        <w:t>b）组织设备、系统的能源绩效参数、运行方式和运行状况、各系统和设备设施的匹配；</w:t>
      </w:r>
    </w:p>
    <w:p>
      <w:pPr>
        <w:pStyle w:val="23"/>
        <w:ind w:left="707" w:leftChars="202" w:hanging="283" w:hangingChars="135"/>
        <w:rPr>
          <w:szCs w:val="21"/>
        </w:rPr>
      </w:pPr>
      <w:r>
        <w:rPr>
          <w:rFonts w:hint="eastAsia"/>
          <w:szCs w:val="21"/>
        </w:rPr>
        <w:t>c）采用节能新技术和方法，推广最佳节能实践与经验；</w:t>
      </w:r>
    </w:p>
    <w:p>
      <w:pPr>
        <w:pStyle w:val="23"/>
        <w:ind w:left="707" w:leftChars="202" w:hanging="283" w:hangingChars="135"/>
        <w:rPr>
          <w:szCs w:val="21"/>
        </w:rPr>
      </w:pPr>
      <w:r>
        <w:rPr>
          <w:rFonts w:hint="eastAsia"/>
          <w:szCs w:val="21"/>
        </w:rPr>
        <w:t>d）在产品和工艺过程的设计开发中提高新能源和可再生能源的利用程度，如应用太阳能和地热能等；</w:t>
      </w:r>
    </w:p>
    <w:p>
      <w:pPr>
        <w:pStyle w:val="23"/>
        <w:ind w:left="707" w:leftChars="202" w:hanging="283" w:hangingChars="135"/>
        <w:rPr>
          <w:szCs w:val="21"/>
        </w:rPr>
      </w:pPr>
      <w:r>
        <w:rPr>
          <w:rFonts w:hint="eastAsia"/>
          <w:szCs w:val="21"/>
        </w:rPr>
        <w:t>e）将改进能源管理绩效作为新的产品和过程设计的评价指标。</w:t>
      </w:r>
    </w:p>
    <w:p>
      <w:pPr>
        <w:pStyle w:val="23"/>
        <w:ind w:firstLine="420"/>
        <w:rPr>
          <w:szCs w:val="21"/>
        </w:rPr>
      </w:pPr>
      <w:r>
        <w:rPr>
          <w:rFonts w:hint="eastAsia"/>
          <w:szCs w:val="21"/>
        </w:rPr>
        <w:t>组织在产品和过程设计阶段要进行合理用能评估，内容主要包括：是否符合国家法律、法规、产业政策、标准、节能技术政策大纲和行业节能设计规范及有关部门规定的其它内容；用能总量及用能种类是否合理；是否采用先进节能工艺技术；是否达到国内外能耗先进水平；是否严格执行国家明令淘汰的设备、产品目录；能耗指标分析；采用的节能技术措施和预期达到的节能效果分析；经济效益分析等。</w:t>
      </w:r>
    </w:p>
    <w:p>
      <w:pPr>
        <w:pStyle w:val="23"/>
        <w:ind w:firstLine="420"/>
        <w:rPr>
          <w:szCs w:val="21"/>
        </w:rPr>
      </w:pPr>
      <w:r>
        <w:rPr>
          <w:rFonts w:hint="eastAsia"/>
          <w:szCs w:val="21"/>
        </w:rPr>
        <w:t>组织应将合理用能评估结果应纳入相关项目相应的规范说明、设计和采购活动中并记录设计活动的结果。</w:t>
      </w:r>
    </w:p>
    <w:p>
      <w:pPr>
        <w:pStyle w:val="46"/>
        <w:spacing w:before="156" w:after="156"/>
        <w:ind w:left="0"/>
      </w:pPr>
      <w:r>
        <w:rPr>
          <w:rFonts w:hint="eastAsia"/>
        </w:rPr>
        <w:t>能源服务、产品、设备和能源的采购</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4.5.7.1  总则</w:t>
      </w:r>
    </w:p>
    <w:p>
      <w:pPr>
        <w:pStyle w:val="23"/>
        <w:ind w:firstLine="420"/>
        <w:rPr>
          <w:szCs w:val="21"/>
        </w:rPr>
      </w:pPr>
      <w:r>
        <w:rPr>
          <w:rFonts w:hint="eastAsia"/>
          <w:szCs w:val="21"/>
        </w:rPr>
        <w:t>当采购对主要能源使用有影响的服务、产品、设备和能源时，应首先评价采购需求。采购规程、招标和合同文件应包括能源消耗标准，必要时，还应分析采购的生命周期成本。适宜时，组织应将能效产品和服务作为采购行为的优先选择。</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4.5.7.2  能源服务、产品和设备的采购</w:t>
      </w:r>
    </w:p>
    <w:p>
      <w:pPr>
        <w:pStyle w:val="23"/>
        <w:ind w:firstLine="420"/>
        <w:rPr>
          <w:szCs w:val="21"/>
        </w:rPr>
      </w:pPr>
      <w:r>
        <w:rPr>
          <w:rFonts w:hint="eastAsia"/>
          <w:szCs w:val="21"/>
        </w:rPr>
        <w:t>组织在采购对主要能源使用具有或可能具有影响的能源服务、产品和设备时，在对供应商评价过程中应考虑能源绩效的要求，并告知供应商。具体可包括：</w:t>
      </w:r>
    </w:p>
    <w:p>
      <w:pPr>
        <w:pStyle w:val="23"/>
        <w:ind w:left="707" w:leftChars="202" w:hanging="283" w:hangingChars="135"/>
        <w:rPr>
          <w:szCs w:val="21"/>
        </w:rPr>
      </w:pPr>
      <w:r>
        <w:rPr>
          <w:rFonts w:hint="eastAsia"/>
          <w:szCs w:val="21"/>
        </w:rPr>
        <w:t>a）法律法规、政策、标准及其他要求；</w:t>
      </w:r>
    </w:p>
    <w:p>
      <w:pPr>
        <w:pStyle w:val="23"/>
        <w:ind w:left="707" w:leftChars="202" w:hanging="283" w:hangingChars="135"/>
        <w:rPr>
          <w:szCs w:val="21"/>
        </w:rPr>
      </w:pPr>
      <w:r>
        <w:rPr>
          <w:rFonts w:hint="eastAsia"/>
          <w:szCs w:val="21"/>
        </w:rPr>
        <w:t>b) 与整个用能系统的匹配程度；</w:t>
      </w:r>
    </w:p>
    <w:p>
      <w:pPr>
        <w:pStyle w:val="23"/>
        <w:ind w:left="707" w:leftChars="202" w:hanging="283" w:hangingChars="135"/>
        <w:rPr>
          <w:szCs w:val="21"/>
        </w:rPr>
      </w:pPr>
      <w:r>
        <w:rPr>
          <w:rFonts w:hint="eastAsia"/>
          <w:szCs w:val="21"/>
        </w:rPr>
        <w:t>c）采购产品和设备的能效水平、运行稳定性；</w:t>
      </w:r>
    </w:p>
    <w:p>
      <w:pPr>
        <w:pStyle w:val="23"/>
        <w:ind w:left="707" w:leftChars="202" w:hanging="283" w:hangingChars="135"/>
        <w:rPr>
          <w:szCs w:val="21"/>
        </w:rPr>
      </w:pPr>
      <w:r>
        <w:rPr>
          <w:rFonts w:hint="eastAsia"/>
          <w:szCs w:val="21"/>
        </w:rPr>
        <w:t>d）用能设备操作人员的能力水平；</w:t>
      </w:r>
    </w:p>
    <w:p>
      <w:pPr>
        <w:pStyle w:val="23"/>
        <w:ind w:left="707" w:leftChars="202" w:hanging="283" w:hangingChars="135"/>
        <w:rPr>
          <w:szCs w:val="21"/>
        </w:rPr>
      </w:pPr>
      <w:r>
        <w:rPr>
          <w:rFonts w:hint="eastAsia"/>
          <w:szCs w:val="21"/>
        </w:rPr>
        <w:t>e）供应商自身的资质、信誉、技术实力、经验等。</w:t>
      </w:r>
    </w:p>
    <w:p>
      <w:pPr>
        <w:pStyle w:val="45"/>
        <w:keepNext w:val="0"/>
        <w:keepLines w:val="0"/>
        <w:pageBreakBefore w:val="0"/>
        <w:widowControl/>
        <w:numPr>
          <w:ilvl w:val="2"/>
          <w:numId w:val="0"/>
        </w:numPr>
        <w:kinsoku/>
        <w:wordWrap/>
        <w:overflowPunct/>
        <w:topLinePunct w:val="0"/>
        <w:autoSpaceDE/>
        <w:autoSpaceDN/>
        <w:bidi w:val="0"/>
        <w:adjustRightInd/>
        <w:snapToGrid/>
        <w:spacing w:beforeLines="0" w:afterLines="0"/>
        <w:textAlignment w:val="auto"/>
        <w:rPr>
          <w:rFonts w:hint="eastAsia"/>
        </w:rPr>
      </w:pPr>
      <w:r>
        <w:rPr>
          <w:rFonts w:hint="eastAsia"/>
        </w:rPr>
        <w:t>4.5.7.3  能源采购控制</w:t>
      </w:r>
    </w:p>
    <w:p>
      <w:pPr>
        <w:pStyle w:val="23"/>
        <w:ind w:firstLine="420"/>
        <w:rPr>
          <w:szCs w:val="21"/>
        </w:rPr>
      </w:pPr>
      <w:r>
        <w:rPr>
          <w:rFonts w:hint="eastAsia"/>
          <w:szCs w:val="21"/>
        </w:rPr>
        <w:t>组织应当制定并实施能源采购控制程序，从而确保能源的有效利用。控制内容包括：</w:t>
      </w:r>
    </w:p>
    <w:p>
      <w:pPr>
        <w:pStyle w:val="23"/>
        <w:ind w:left="707" w:leftChars="202" w:hanging="283" w:hangingChars="135"/>
        <w:rPr>
          <w:szCs w:val="21"/>
        </w:rPr>
      </w:pPr>
      <w:r>
        <w:rPr>
          <w:rFonts w:hint="eastAsia" w:hAnsi="宋体" w:cs="宋体"/>
          <w:szCs w:val="21"/>
        </w:rPr>
        <w:t>a）评价和选择能源供方。对能源供方资质、生产规模、能源质</w:t>
      </w:r>
      <w:r>
        <w:rPr>
          <w:rFonts w:hint="eastAsia"/>
          <w:szCs w:val="21"/>
        </w:rPr>
        <w:t>量、过程的控制能力、产品价格、供方业绩、供方信誉、供方的售后服务等进行评价，确定供方的供应能力，选定符合要求和稳定的能源供方；</w:t>
      </w:r>
    </w:p>
    <w:p>
      <w:pPr>
        <w:pStyle w:val="23"/>
        <w:ind w:left="707" w:leftChars="202" w:hanging="283" w:hangingChars="135"/>
        <w:rPr>
          <w:szCs w:val="21"/>
        </w:rPr>
      </w:pPr>
      <w:r>
        <w:rPr>
          <w:rFonts w:hint="eastAsia"/>
          <w:szCs w:val="21"/>
        </w:rPr>
        <w:t>b）制定各类能源产品的采购标准或规范，确保采购符合要求；</w:t>
      </w:r>
    </w:p>
    <w:p>
      <w:pPr>
        <w:pStyle w:val="23"/>
        <w:ind w:left="707" w:leftChars="202" w:hanging="283" w:hangingChars="135"/>
        <w:rPr>
          <w:szCs w:val="21"/>
        </w:rPr>
      </w:pPr>
      <w:r>
        <w:rPr>
          <w:rFonts w:hint="eastAsia"/>
          <w:szCs w:val="21"/>
        </w:rPr>
        <w:t>c）按规定的能源采购标准和方法对采购的能源进行计量和验证，以确保采购能源的数量和品质；</w:t>
      </w:r>
    </w:p>
    <w:p>
      <w:pPr>
        <w:pStyle w:val="23"/>
        <w:ind w:left="707" w:leftChars="202" w:hanging="283" w:hangingChars="135"/>
        <w:rPr>
          <w:szCs w:val="21"/>
        </w:rPr>
      </w:pPr>
      <w:r>
        <w:rPr>
          <w:rFonts w:hint="eastAsia"/>
          <w:szCs w:val="21"/>
        </w:rPr>
        <w:t>d）制定和执行能源输配和贮存文件，规定并控制输配和贮存损耗；</w:t>
      </w:r>
    </w:p>
    <w:p>
      <w:pPr>
        <w:pStyle w:val="23"/>
        <w:ind w:left="707" w:leftChars="202" w:hanging="283" w:hangingChars="135"/>
        <w:rPr>
          <w:szCs w:val="21"/>
        </w:rPr>
      </w:pPr>
      <w:r>
        <w:rPr>
          <w:rFonts w:hint="eastAsia"/>
          <w:szCs w:val="21"/>
        </w:rPr>
        <w:t>e）定期对采购过程进行评价，以验证其有效性，当采购的产品和设备已经或可能会对能源使用造成重要影响时，组织应对采购过程进行评价；</w:t>
      </w:r>
    </w:p>
    <w:p>
      <w:pPr>
        <w:pStyle w:val="23"/>
        <w:ind w:left="707" w:leftChars="202" w:hanging="283" w:hangingChars="135"/>
        <w:rPr>
          <w:szCs w:val="21"/>
        </w:rPr>
      </w:pPr>
      <w:r>
        <w:rPr>
          <w:rFonts w:hint="eastAsia"/>
          <w:szCs w:val="21"/>
        </w:rPr>
        <w:t>f）采购标准、规范和文件发布前应评审其适宜性和充分性，并由授权人签发</w:t>
      </w:r>
      <w:r>
        <w:rPr>
          <w:szCs w:val="21"/>
        </w:rPr>
        <w:t>。</w:t>
      </w:r>
    </w:p>
    <w:bookmarkEnd w:id="107"/>
    <w:bookmarkEnd w:id="108"/>
    <w:bookmarkEnd w:id="109"/>
    <w:bookmarkEnd w:id="110"/>
    <w:bookmarkEnd w:id="111"/>
    <w:p>
      <w:pPr>
        <w:pStyle w:val="42"/>
        <w:spacing w:before="156" w:after="156"/>
        <w:ind w:left="0"/>
      </w:pPr>
      <w:bookmarkStart w:id="112" w:name="_Toc334521370"/>
      <w:r>
        <w:rPr>
          <w:rFonts w:hint="eastAsia"/>
        </w:rPr>
        <w:t>检查</w:t>
      </w:r>
      <w:bookmarkEnd w:id="75"/>
      <w:bookmarkEnd w:id="76"/>
      <w:bookmarkEnd w:id="112"/>
    </w:p>
    <w:p>
      <w:pPr>
        <w:pStyle w:val="46"/>
        <w:spacing w:before="156" w:after="156"/>
        <w:ind w:left="0"/>
      </w:pPr>
      <w:bookmarkStart w:id="113" w:name="_Toc312077670"/>
      <w:bookmarkStart w:id="114" w:name="_Toc270929355"/>
      <w:bookmarkStart w:id="115" w:name="_Toc334521371"/>
      <w:r>
        <w:rPr>
          <w:rFonts w:hint="eastAsia"/>
        </w:rPr>
        <w:t xml:space="preserve"> 监视、测量与</w:t>
      </w:r>
      <w:bookmarkEnd w:id="113"/>
      <w:bookmarkEnd w:id="114"/>
      <w:r>
        <w:rPr>
          <w:rFonts w:hint="eastAsia"/>
        </w:rPr>
        <w:t>分析</w:t>
      </w:r>
      <w:bookmarkEnd w:id="115"/>
    </w:p>
    <w:p>
      <w:pPr>
        <w:pStyle w:val="23"/>
        <w:ind w:firstLine="420"/>
        <w:rPr>
          <w:szCs w:val="21"/>
        </w:rPr>
      </w:pPr>
      <w:r>
        <w:rPr>
          <w:rFonts w:hint="eastAsia"/>
          <w:szCs w:val="21"/>
        </w:rPr>
        <w:t>组织应在生产运营过程中，对体系的运行情况和决定能源绩效的关键特性进行监视、测量和评价，及时发现问题，采取措施，进行有效控制。组织应在能源管理体系策划阶段考虑监视测量的需求。监视测量内容主要包括：</w:t>
      </w:r>
    </w:p>
    <w:p>
      <w:pPr>
        <w:pStyle w:val="23"/>
        <w:ind w:left="707" w:leftChars="202" w:hanging="283" w:hangingChars="135"/>
        <w:rPr>
          <w:szCs w:val="21"/>
        </w:rPr>
      </w:pPr>
      <w:r>
        <w:rPr>
          <w:rFonts w:hint="eastAsia"/>
          <w:szCs w:val="21"/>
        </w:rPr>
        <w:t>a) 能源绩效参数；</w:t>
      </w:r>
    </w:p>
    <w:p>
      <w:pPr>
        <w:pStyle w:val="23"/>
        <w:ind w:left="707" w:leftChars="202" w:hanging="283" w:hangingChars="135"/>
        <w:rPr>
          <w:szCs w:val="21"/>
        </w:rPr>
      </w:pPr>
      <w:r>
        <w:rPr>
          <w:rFonts w:hint="eastAsia"/>
          <w:szCs w:val="21"/>
        </w:rPr>
        <w:t>b) 能源利用过程的重要运行参数，如温度、压力、流量、</w:t>
      </w:r>
      <w:r>
        <w:rPr>
          <w:rFonts w:hint="eastAsia"/>
          <w:color w:val="FF0000"/>
          <w:szCs w:val="21"/>
        </w:rPr>
        <w:t>电流</w:t>
      </w:r>
      <w:r>
        <w:rPr>
          <w:rFonts w:hint="eastAsia"/>
          <w:szCs w:val="21"/>
        </w:rPr>
        <w:t>等；</w:t>
      </w:r>
    </w:p>
    <w:p>
      <w:pPr>
        <w:pStyle w:val="23"/>
        <w:ind w:left="707" w:leftChars="202" w:hanging="283" w:hangingChars="135"/>
        <w:rPr>
          <w:szCs w:val="21"/>
        </w:rPr>
      </w:pPr>
      <w:r>
        <w:rPr>
          <w:rFonts w:hint="eastAsia"/>
          <w:szCs w:val="21"/>
        </w:rPr>
        <w:t>c) 对过程的节能效果进行检验，如能源绩效是如何通过行动得到改进的。</w:t>
      </w:r>
    </w:p>
    <w:p>
      <w:pPr>
        <w:pStyle w:val="23"/>
        <w:ind w:firstLine="420"/>
        <w:rPr>
          <w:szCs w:val="21"/>
        </w:rPr>
      </w:pPr>
      <w:r>
        <w:rPr>
          <w:rFonts w:hint="eastAsia"/>
          <w:szCs w:val="21"/>
        </w:rPr>
        <w:t>监视和测量方式包括目测、实测、检查、巡视、关键参数记录等。分析是依据监视测量的结果，确定过程的运行状态，进而完善控制措施的过程，可包括：符合性评价、合规性评价、能源管理绩效评价、能源目标和指标的实现程度的确定、标杆比对等。</w:t>
      </w:r>
    </w:p>
    <w:p>
      <w:pPr>
        <w:pStyle w:val="23"/>
        <w:ind w:firstLine="420"/>
        <w:rPr>
          <w:szCs w:val="21"/>
        </w:rPr>
      </w:pPr>
      <w:r>
        <w:rPr>
          <w:rFonts w:hint="eastAsia"/>
          <w:szCs w:val="21"/>
        </w:rPr>
        <w:t>监视、测量和分析的职责应当具体细化到各职能、各层次，制定实施并保持监视、测量和评价控制程序用于开展以下工作：</w:t>
      </w:r>
    </w:p>
    <w:p>
      <w:pPr>
        <w:pStyle w:val="23"/>
        <w:ind w:left="707" w:leftChars="202" w:hanging="283" w:hangingChars="135"/>
        <w:rPr>
          <w:szCs w:val="21"/>
        </w:rPr>
      </w:pPr>
      <w:r>
        <w:rPr>
          <w:rFonts w:hint="eastAsia"/>
          <w:szCs w:val="21"/>
        </w:rPr>
        <w:t>a）对生产、辅助和附属用能管理情况进行日常检查；对能源目标、指标的实现情况进行定期监测、分析与评价；按照能源管理方案中规定的时间进度安排和预期效果进行监测和评价；</w:t>
      </w:r>
    </w:p>
    <w:p>
      <w:pPr>
        <w:pStyle w:val="23"/>
        <w:ind w:left="707" w:leftChars="202" w:hanging="283" w:hangingChars="135"/>
        <w:rPr>
          <w:szCs w:val="21"/>
        </w:rPr>
      </w:pPr>
      <w:r>
        <w:rPr>
          <w:rFonts w:hint="eastAsia"/>
          <w:szCs w:val="21"/>
        </w:rPr>
        <w:t>b）根据确定的评价准则，对各层次的用能状况进行分析，剔除不可控因素对其能源管理绩效的影响，并对比能源管理基准和标杆，评价各层次能源管理绩效；</w:t>
      </w:r>
    </w:p>
    <w:p>
      <w:pPr>
        <w:pStyle w:val="23"/>
        <w:ind w:left="707" w:leftChars="202" w:hanging="283" w:hangingChars="135"/>
        <w:rPr>
          <w:szCs w:val="21"/>
        </w:rPr>
      </w:pPr>
      <w:r>
        <w:rPr>
          <w:rFonts w:hint="eastAsia"/>
          <w:szCs w:val="21"/>
        </w:rPr>
        <w:t>c）确定适当的频次对关键特性的变化情况进行监测，必要时采取纠正措施。关键特性是指影响运行控制和能源管理绩效的关键参数，包括主要能源使用和能源评审的输出、与主要能源使用相关的变量、能源绩效参数、能源管理实施方案在实现能源目标指标方面的有效性、实际与预期能源消耗的对比评价等。</w:t>
      </w:r>
    </w:p>
    <w:p>
      <w:pPr>
        <w:pStyle w:val="23"/>
        <w:ind w:firstLine="420"/>
        <w:rPr>
          <w:szCs w:val="21"/>
        </w:rPr>
      </w:pPr>
      <w:r>
        <w:rPr>
          <w:rFonts w:hint="eastAsia"/>
          <w:szCs w:val="21"/>
        </w:rPr>
        <w:t>组织应对监视和测量的结果进行分析，以确定体系运行效果及须纠正或改进的领域。</w:t>
      </w:r>
    </w:p>
    <w:p>
      <w:pPr>
        <w:pStyle w:val="23"/>
        <w:ind w:firstLine="420"/>
        <w:rPr>
          <w:szCs w:val="21"/>
        </w:rPr>
      </w:pPr>
      <w:r>
        <w:rPr>
          <w:rFonts w:hint="eastAsia"/>
          <w:szCs w:val="21"/>
        </w:rPr>
        <w:t>为了确保监视、测量结果的准确性和可重复性，组织应定期对监测设备进行检定或校准，并保存相应的记录。</w:t>
      </w:r>
    </w:p>
    <w:p>
      <w:pPr>
        <w:pStyle w:val="23"/>
        <w:ind w:firstLine="420"/>
        <w:rPr>
          <w:szCs w:val="21"/>
        </w:rPr>
      </w:pPr>
      <w:r>
        <w:rPr>
          <w:rFonts w:hint="eastAsia"/>
          <w:szCs w:val="21"/>
        </w:rPr>
        <w:t>当检查中发现能源绩效出现重大偏差时，及时采取应对措施。</w:t>
      </w:r>
    </w:p>
    <w:bookmarkEnd w:id="77"/>
    <w:bookmarkEnd w:id="78"/>
    <w:bookmarkEnd w:id="79"/>
    <w:bookmarkEnd w:id="80"/>
    <w:bookmarkEnd w:id="81"/>
    <w:p>
      <w:pPr>
        <w:pStyle w:val="46"/>
        <w:spacing w:before="156" w:after="156"/>
        <w:ind w:left="0"/>
      </w:pPr>
      <w:bookmarkStart w:id="116" w:name="_Toc334521372"/>
      <w:bookmarkStart w:id="117" w:name="_Toc312077671"/>
      <w:bookmarkStart w:id="118" w:name="_Toc206491744"/>
      <w:bookmarkStart w:id="119" w:name="_Toc214260967"/>
      <w:bookmarkStart w:id="120" w:name="_Toc270929356"/>
      <w:bookmarkStart w:id="121" w:name="_Toc205714491"/>
      <w:bookmarkStart w:id="122" w:name="_Toc205714922"/>
      <w:bookmarkStart w:id="123" w:name="_Toc214163071"/>
      <w:r>
        <w:rPr>
          <w:rFonts w:hint="eastAsia"/>
        </w:rPr>
        <w:t>合规性评价</w:t>
      </w:r>
      <w:bookmarkEnd w:id="116"/>
    </w:p>
    <w:p>
      <w:pPr>
        <w:pStyle w:val="23"/>
        <w:ind w:firstLine="420"/>
        <w:rPr>
          <w:szCs w:val="21"/>
        </w:rPr>
      </w:pPr>
      <w:r>
        <w:rPr>
          <w:rFonts w:hint="eastAsia"/>
          <w:szCs w:val="21"/>
        </w:rPr>
        <w:t>合规性评价可针对多项或单项法律法规、政策、标准或其他要求进行。组织应当根据其规模、类型和复杂程度，规定适当的评价方法和频次。评价方法可包括：设备设施能效评估、文件和记录审查、能耗数据统计分析、现场检查等；评价频次取决于以往的合规性情况、所涉及具体法律法规要求等因素。组织可将合规性评价与其他评价活动（如内部审核、管理评审、能源审计等）结合进行。</w:t>
      </w:r>
    </w:p>
    <w:bookmarkEnd w:id="117"/>
    <w:bookmarkEnd w:id="118"/>
    <w:bookmarkEnd w:id="119"/>
    <w:bookmarkEnd w:id="120"/>
    <w:bookmarkEnd w:id="121"/>
    <w:bookmarkEnd w:id="122"/>
    <w:bookmarkEnd w:id="123"/>
    <w:p>
      <w:pPr>
        <w:pStyle w:val="46"/>
        <w:spacing w:before="156" w:after="156"/>
        <w:ind w:left="0"/>
      </w:pPr>
      <w:bookmarkStart w:id="124" w:name="_Toc270929357"/>
      <w:bookmarkStart w:id="125" w:name="_Toc214163072"/>
      <w:bookmarkStart w:id="126" w:name="_Toc334521373"/>
      <w:bookmarkStart w:id="127" w:name="_Toc205714923"/>
      <w:bookmarkStart w:id="128" w:name="_Toc214260968"/>
      <w:bookmarkStart w:id="129" w:name="_Toc312077672"/>
      <w:bookmarkStart w:id="130" w:name="_Toc205714492"/>
      <w:bookmarkStart w:id="131" w:name="_Toc206491745"/>
      <w:r>
        <w:rPr>
          <w:rFonts w:hint="eastAsia"/>
        </w:rPr>
        <w:t>能源管理体系的内部审核</w:t>
      </w:r>
      <w:bookmarkEnd w:id="124"/>
      <w:bookmarkEnd w:id="125"/>
      <w:bookmarkEnd w:id="126"/>
      <w:bookmarkEnd w:id="127"/>
      <w:bookmarkEnd w:id="128"/>
      <w:bookmarkEnd w:id="129"/>
      <w:bookmarkEnd w:id="130"/>
      <w:bookmarkEnd w:id="131"/>
      <w:bookmarkStart w:id="132" w:name="_Toc214163073"/>
      <w:bookmarkStart w:id="133" w:name="_Toc214260969"/>
      <w:bookmarkStart w:id="134" w:name="_Toc205714493"/>
      <w:bookmarkStart w:id="135" w:name="_Toc205714924"/>
      <w:bookmarkStart w:id="136" w:name="_Toc206491746"/>
    </w:p>
    <w:p>
      <w:pPr>
        <w:pStyle w:val="23"/>
        <w:ind w:firstLine="420"/>
        <w:rPr>
          <w:szCs w:val="21"/>
        </w:rPr>
      </w:pPr>
      <w:r>
        <w:rPr>
          <w:rFonts w:hint="eastAsia"/>
          <w:szCs w:val="21"/>
        </w:rPr>
        <w:t>内部审核是对能源管理体系进行定期、全面的检查方式，目的是评价能源管理体系实施和运行的符合性和有效性。它是组织自身为衡量体系文件是否符合标准要求、体系文件是否得到执行及体系运行绩效所采取的检查、分析和评价过程，是实施保持能源管理体系的重要手段。能源管理体系内部审核是相对独立的活动，为管理评审提供依据。</w:t>
      </w:r>
    </w:p>
    <w:p>
      <w:pPr>
        <w:pStyle w:val="23"/>
        <w:ind w:firstLine="420"/>
        <w:rPr>
          <w:szCs w:val="21"/>
        </w:rPr>
      </w:pPr>
      <w:r>
        <w:rPr>
          <w:rFonts w:hint="eastAsia"/>
          <w:szCs w:val="21"/>
        </w:rPr>
        <w:t>审核方案应当覆盖能源管理体系的全部要求，应根据组织的不同区域和活动的运行状况、能源使用的重要性和以往的审核结果，安排审核频次、审核范围和时间，其内容包括：审核的目的、范围与程度、审核的职责与资源、审核程序、审核的实施、审核员的评价与选择。</w:t>
      </w:r>
    </w:p>
    <w:p>
      <w:pPr>
        <w:pStyle w:val="23"/>
        <w:ind w:firstLine="420"/>
        <w:rPr>
          <w:szCs w:val="21"/>
        </w:rPr>
      </w:pPr>
      <w:r>
        <w:rPr>
          <w:rFonts w:hint="eastAsia"/>
          <w:szCs w:val="21"/>
        </w:rPr>
        <w:t>每一次内审不必覆盖整个体系，审核方案需确保组织的所有职能、层次和体系要素以及整个能源管理体系都能得到定期审核，对于运行状况问题较多、重要的区域或某一管理体系标准执行较弱的部门和场所，应加大审核力度。审核可采用集中时间审核，也可结合日常检查活动进行滚动式审核。通常通过制定年度计划来具体实现审核方案。组织应注意保持审核活动的独立性、公正性。应由客观、公正的审核员，必要时在由组织内部或外部选择的技术专家的帮助下，实施审核。</w:t>
      </w:r>
    </w:p>
    <w:p>
      <w:pPr>
        <w:pStyle w:val="23"/>
        <w:ind w:firstLine="420"/>
        <w:rPr>
          <w:szCs w:val="21"/>
        </w:rPr>
      </w:pPr>
      <w:r>
        <w:rPr>
          <w:rFonts w:hint="eastAsia"/>
          <w:szCs w:val="21"/>
        </w:rPr>
        <w:t>组织可通过以下方面对能源管理体系运行绩效进行确认：</w:t>
      </w:r>
    </w:p>
    <w:p>
      <w:pPr>
        <w:pStyle w:val="23"/>
        <w:ind w:left="707" w:leftChars="202" w:hanging="283" w:hangingChars="135"/>
        <w:rPr>
          <w:szCs w:val="21"/>
        </w:rPr>
      </w:pPr>
      <w:r>
        <w:rPr>
          <w:rFonts w:hint="eastAsia"/>
          <w:szCs w:val="21"/>
        </w:rPr>
        <w:t>a）通过对能源管理体系日常运行的监视、测量与评价的数据和信息进行统计分析，评价能源目标、指标的实现程度，必要时可扩大数据收集范围，辅以现场测试；</w:t>
      </w:r>
    </w:p>
    <w:p>
      <w:pPr>
        <w:pStyle w:val="23"/>
        <w:ind w:left="707" w:leftChars="202" w:hanging="283" w:hangingChars="135"/>
        <w:rPr>
          <w:szCs w:val="21"/>
        </w:rPr>
      </w:pPr>
      <w:r>
        <w:rPr>
          <w:rFonts w:hint="eastAsia"/>
          <w:szCs w:val="21"/>
        </w:rPr>
        <w:t>b）重点用能设备和系统的运行效率可通过统计和现场测试的方法获得，方法可参考相关能效限定值及能效等级标准、系统经济运行标准和产品性能标准及其他技术文件；</w:t>
      </w:r>
    </w:p>
    <w:p>
      <w:pPr>
        <w:pStyle w:val="23"/>
        <w:ind w:left="707" w:leftChars="202" w:hanging="283" w:hangingChars="135"/>
        <w:rPr>
          <w:szCs w:val="21"/>
        </w:rPr>
      </w:pPr>
      <w:r>
        <w:rPr>
          <w:rFonts w:hint="eastAsia"/>
          <w:szCs w:val="21"/>
        </w:rPr>
        <w:t>c）综合能耗的计算方法可参考GB/T 2589及相关产品能耗限额标准等；</w:t>
      </w:r>
    </w:p>
    <w:p>
      <w:pPr>
        <w:pStyle w:val="23"/>
        <w:ind w:left="707" w:leftChars="202" w:hanging="283" w:hangingChars="135"/>
        <w:rPr>
          <w:szCs w:val="21"/>
        </w:rPr>
      </w:pPr>
      <w:r>
        <w:rPr>
          <w:rFonts w:hint="eastAsia"/>
          <w:szCs w:val="21"/>
        </w:rPr>
        <w:t>d）节能量的计算方法可参考GB/T 13234或其他技术文件。</w:t>
      </w:r>
    </w:p>
    <w:p>
      <w:pPr>
        <w:pStyle w:val="23"/>
        <w:ind w:firstLine="420"/>
        <w:rPr>
          <w:szCs w:val="21"/>
        </w:rPr>
      </w:pPr>
      <w:r>
        <w:rPr>
          <w:rFonts w:hint="eastAsia"/>
          <w:szCs w:val="21"/>
        </w:rPr>
        <w:t>组织应当记录内部审核的结果并将审核结果向各级管理者报告，同时将审核发现和审核结果通知相关部门和人员，以便采取必要的纠正和预防措施。</w:t>
      </w:r>
    </w:p>
    <w:p>
      <w:pPr>
        <w:pStyle w:val="23"/>
        <w:ind w:firstLine="420"/>
        <w:rPr>
          <w:szCs w:val="21"/>
        </w:rPr>
      </w:pPr>
      <w:r>
        <w:rPr>
          <w:rFonts w:hint="eastAsia"/>
          <w:szCs w:val="21"/>
        </w:rPr>
        <w:t>有关能源管理体系内部审核参见</w:t>
      </w:r>
      <w:r>
        <w:rPr>
          <w:szCs w:val="21"/>
        </w:rPr>
        <w:t>GB/T</w:t>
      </w:r>
      <w:r>
        <w:rPr>
          <w:rFonts w:hint="eastAsia"/>
          <w:szCs w:val="21"/>
        </w:rPr>
        <w:t xml:space="preserve"> </w:t>
      </w:r>
      <w:r>
        <w:rPr>
          <w:szCs w:val="21"/>
        </w:rPr>
        <w:t>19011</w:t>
      </w:r>
      <w:r>
        <w:rPr>
          <w:rFonts w:hint="eastAsia"/>
          <w:szCs w:val="21"/>
        </w:rPr>
        <w:t>中的相关条款。</w:t>
      </w:r>
    </w:p>
    <w:p>
      <w:pPr>
        <w:pStyle w:val="46"/>
        <w:spacing w:before="156" w:after="156"/>
        <w:ind w:left="0"/>
      </w:pPr>
      <w:bookmarkStart w:id="137" w:name="_Toc334521374"/>
      <w:r>
        <w:rPr>
          <w:rFonts w:hint="eastAsia"/>
        </w:rPr>
        <w:t>不符合、纠正、纠正措施和预防措施</w:t>
      </w:r>
      <w:bookmarkEnd w:id="137"/>
    </w:p>
    <w:p>
      <w:pPr>
        <w:pStyle w:val="23"/>
        <w:ind w:firstLine="420"/>
        <w:rPr>
          <w:szCs w:val="21"/>
        </w:rPr>
      </w:pPr>
      <w:r>
        <w:rPr>
          <w:rFonts w:hint="eastAsia"/>
          <w:szCs w:val="21"/>
        </w:rPr>
        <w:t>为使能源管理持续有效，组织应当以系统的方法确定实际和潜在的不符合，采取纠正和预防措施。当能源管理体系的要求未规定或未实施，或未达到能源管理绩效要求时，即被视为不符合。不符合的情况可包括：</w:t>
      </w:r>
    </w:p>
    <w:p>
      <w:pPr>
        <w:pStyle w:val="23"/>
        <w:ind w:left="707" w:leftChars="202" w:hanging="283" w:hangingChars="135"/>
        <w:rPr>
          <w:szCs w:val="21"/>
        </w:rPr>
      </w:pPr>
      <w:r>
        <w:rPr>
          <w:rFonts w:hint="eastAsia"/>
          <w:szCs w:val="21"/>
        </w:rPr>
        <w:t>a）未建立或未达到能源目标、指标；</w:t>
      </w:r>
    </w:p>
    <w:p>
      <w:pPr>
        <w:pStyle w:val="23"/>
        <w:ind w:left="707" w:leftChars="202" w:hanging="283" w:hangingChars="135"/>
        <w:rPr>
          <w:szCs w:val="21"/>
        </w:rPr>
      </w:pPr>
      <w:r>
        <w:rPr>
          <w:rFonts w:hint="eastAsia"/>
          <w:szCs w:val="21"/>
        </w:rPr>
        <w:t>b）未规定能源管理体系的职责；</w:t>
      </w:r>
    </w:p>
    <w:p>
      <w:pPr>
        <w:pStyle w:val="23"/>
        <w:ind w:left="707" w:leftChars="202" w:hanging="283" w:hangingChars="135"/>
        <w:rPr>
          <w:szCs w:val="21"/>
        </w:rPr>
      </w:pPr>
      <w:r>
        <w:rPr>
          <w:rFonts w:hint="eastAsia"/>
          <w:szCs w:val="21"/>
        </w:rPr>
        <w:t>c）未满足法律法规的要求；</w:t>
      </w:r>
    </w:p>
    <w:p>
      <w:pPr>
        <w:pStyle w:val="23"/>
        <w:ind w:left="707" w:leftChars="202" w:hanging="283" w:hangingChars="135"/>
        <w:rPr>
          <w:szCs w:val="21"/>
        </w:rPr>
      </w:pPr>
      <w:r>
        <w:rPr>
          <w:rFonts w:hint="eastAsia"/>
          <w:szCs w:val="21"/>
        </w:rPr>
        <w:t>d）未对重点用能设备或系统按规定要求进行监测；</w:t>
      </w:r>
    </w:p>
    <w:p>
      <w:pPr>
        <w:pStyle w:val="23"/>
        <w:ind w:left="707" w:leftChars="202" w:hanging="283" w:hangingChars="135"/>
        <w:rPr>
          <w:szCs w:val="21"/>
        </w:rPr>
      </w:pPr>
      <w:r>
        <w:rPr>
          <w:rFonts w:hint="eastAsia"/>
          <w:szCs w:val="21"/>
        </w:rPr>
        <w:t>e）未按计划维护用能设备，未能达到运行效率指标；</w:t>
      </w:r>
    </w:p>
    <w:p>
      <w:pPr>
        <w:pStyle w:val="23"/>
        <w:ind w:left="707" w:leftChars="202" w:hanging="283" w:hangingChars="135"/>
        <w:rPr>
          <w:szCs w:val="21"/>
        </w:rPr>
      </w:pPr>
      <w:r>
        <w:rPr>
          <w:rFonts w:hint="eastAsia"/>
          <w:szCs w:val="21"/>
        </w:rPr>
        <w:t>f）未执行管理和运行标准等。</w:t>
      </w:r>
    </w:p>
    <w:p>
      <w:pPr>
        <w:pStyle w:val="23"/>
        <w:ind w:firstLine="420"/>
        <w:rPr>
          <w:szCs w:val="21"/>
        </w:rPr>
      </w:pPr>
      <w:r>
        <w:rPr>
          <w:rFonts w:hint="eastAsia"/>
          <w:szCs w:val="21"/>
        </w:rPr>
        <w:t>对不符合、纠正、纠正措施及预防措施，组织应建立、实施并保持一个或多个程序，其内容包括：识别和纠正不符合，确定不符合产生的原因，评价不符合的严重程度、处置不符合采取的纠正、纠正措施和预防措施，以避免不符合的重复发生和潜在不符合的发生。</w:t>
      </w:r>
    </w:p>
    <w:p>
      <w:pPr>
        <w:pStyle w:val="23"/>
        <w:ind w:firstLine="420"/>
        <w:rPr>
          <w:szCs w:val="21"/>
        </w:rPr>
      </w:pPr>
      <w:r>
        <w:rPr>
          <w:rFonts w:hint="eastAsia"/>
          <w:szCs w:val="21"/>
        </w:rPr>
        <w:t>组织应当评审所采取纠正、纠正措施和预防措施的有效性及适宜性，并确保评审人员能够做出正确判断。组织应保存实施纠正、纠正措施和预防措施的结果记录。</w:t>
      </w:r>
    </w:p>
    <w:p>
      <w:pPr>
        <w:pStyle w:val="23"/>
        <w:ind w:firstLine="420"/>
        <w:rPr>
          <w:szCs w:val="21"/>
        </w:rPr>
      </w:pPr>
      <w:r>
        <w:rPr>
          <w:rFonts w:hint="eastAsia"/>
          <w:szCs w:val="21"/>
        </w:rPr>
        <w:t>当纠正、纠正措施和预防措施涉及程序文件等的修改时，应按照文件管理的要求对涉及的相关文件进行修改。</w:t>
      </w:r>
    </w:p>
    <w:p>
      <w:pPr>
        <w:pStyle w:val="46"/>
        <w:spacing w:before="156" w:after="156"/>
        <w:ind w:left="0"/>
      </w:pPr>
      <w:r>
        <w:rPr>
          <w:rFonts w:hint="eastAsia"/>
        </w:rPr>
        <w:t>记录控制</w:t>
      </w:r>
    </w:p>
    <w:p>
      <w:pPr>
        <w:pStyle w:val="23"/>
        <w:ind w:firstLine="420"/>
        <w:rPr>
          <w:szCs w:val="21"/>
        </w:rPr>
      </w:pPr>
      <w:r>
        <w:rPr>
          <w:rFonts w:hint="eastAsia"/>
          <w:szCs w:val="21"/>
        </w:rPr>
        <w:t>组织应当建立记录的有效控制程序，对记录的标识、存放、检索、保存期限、保护和处置等进行明确的规定。记录的形式应适合组织的运作方式，可以采用纸质或电子形式进行保存，所有记录均应当字迹清晰、标识明确，易于识别和检索，并具有可追溯性。</w:t>
      </w:r>
    </w:p>
    <w:p>
      <w:pPr>
        <w:pStyle w:val="23"/>
        <w:ind w:left="707" w:leftChars="202" w:hanging="283" w:hangingChars="135"/>
        <w:rPr>
          <w:szCs w:val="21"/>
        </w:rPr>
      </w:pPr>
      <w:r>
        <w:rPr>
          <w:rFonts w:hint="eastAsia"/>
          <w:szCs w:val="21"/>
        </w:rPr>
        <w:t>a）能源管理体系的记录可包括：</w:t>
      </w:r>
    </w:p>
    <w:p>
      <w:pPr>
        <w:pStyle w:val="23"/>
        <w:ind w:left="993" w:leftChars="338" w:hanging="283" w:hangingChars="135"/>
        <w:rPr>
          <w:szCs w:val="21"/>
        </w:rPr>
      </w:pPr>
      <w:r>
        <w:rPr>
          <w:rFonts w:hint="eastAsia"/>
          <w:szCs w:val="21"/>
        </w:rPr>
        <w:t>1）能源使用和主要能源使用识别与评价记录；</w:t>
      </w:r>
    </w:p>
    <w:p>
      <w:pPr>
        <w:pStyle w:val="23"/>
        <w:ind w:left="993" w:leftChars="338" w:hanging="283" w:hangingChars="135"/>
        <w:rPr>
          <w:szCs w:val="21"/>
        </w:rPr>
      </w:pPr>
      <w:r>
        <w:rPr>
          <w:rFonts w:hint="eastAsia"/>
          <w:szCs w:val="21"/>
        </w:rPr>
        <w:t>2）法律法规、政策、标准及其他要求识别与合规性评价记录；</w:t>
      </w:r>
    </w:p>
    <w:p>
      <w:pPr>
        <w:pStyle w:val="23"/>
        <w:ind w:left="993" w:leftChars="338" w:hanging="283" w:hangingChars="135"/>
        <w:rPr>
          <w:szCs w:val="21"/>
        </w:rPr>
      </w:pPr>
      <w:r>
        <w:rPr>
          <w:rFonts w:hint="eastAsia"/>
          <w:szCs w:val="21"/>
        </w:rPr>
        <w:t>3）能源绩效参数、能源基准和标杆的建立、评审与更新记录；</w:t>
      </w:r>
    </w:p>
    <w:p>
      <w:pPr>
        <w:pStyle w:val="23"/>
        <w:ind w:left="993" w:leftChars="338" w:hanging="283" w:hangingChars="135"/>
        <w:rPr>
          <w:szCs w:val="21"/>
        </w:rPr>
      </w:pPr>
      <w:r>
        <w:rPr>
          <w:rFonts w:hint="eastAsia"/>
          <w:szCs w:val="21"/>
        </w:rPr>
        <w:t>4）证实能源目标和指标实现的记录；</w:t>
      </w:r>
    </w:p>
    <w:p>
      <w:pPr>
        <w:pStyle w:val="23"/>
        <w:ind w:left="993" w:leftChars="338" w:hanging="283" w:hangingChars="135"/>
        <w:rPr>
          <w:szCs w:val="21"/>
        </w:rPr>
      </w:pPr>
      <w:r>
        <w:rPr>
          <w:rFonts w:hint="eastAsia"/>
          <w:szCs w:val="21"/>
        </w:rPr>
        <w:t>5）能源管理实施方案实施过程与结果评价和变更记录；</w:t>
      </w:r>
    </w:p>
    <w:p>
      <w:pPr>
        <w:pStyle w:val="23"/>
        <w:ind w:left="993" w:leftChars="338" w:hanging="283" w:hangingChars="135"/>
        <w:rPr>
          <w:szCs w:val="21"/>
        </w:rPr>
      </w:pPr>
      <w:r>
        <w:rPr>
          <w:rFonts w:hint="eastAsia"/>
          <w:szCs w:val="21"/>
        </w:rPr>
        <w:t>6）人员专业能力需求与评价记录；</w:t>
      </w:r>
    </w:p>
    <w:p>
      <w:pPr>
        <w:pStyle w:val="23"/>
        <w:ind w:left="993" w:leftChars="338" w:hanging="283" w:hangingChars="135"/>
        <w:rPr>
          <w:szCs w:val="21"/>
        </w:rPr>
      </w:pPr>
      <w:r>
        <w:rPr>
          <w:rFonts w:hint="eastAsia"/>
          <w:szCs w:val="21"/>
        </w:rPr>
        <w:t>7）设备设施计量与监测装置的相关记录；</w:t>
      </w:r>
    </w:p>
    <w:p>
      <w:pPr>
        <w:pStyle w:val="23"/>
        <w:ind w:left="993" w:leftChars="338" w:hanging="283" w:hangingChars="135"/>
        <w:rPr>
          <w:szCs w:val="21"/>
        </w:rPr>
      </w:pPr>
      <w:r>
        <w:rPr>
          <w:rFonts w:hint="eastAsia"/>
          <w:szCs w:val="21"/>
        </w:rPr>
        <w:t>8）培训记录；</w:t>
      </w:r>
    </w:p>
    <w:p>
      <w:pPr>
        <w:pStyle w:val="23"/>
        <w:ind w:left="993" w:leftChars="338" w:hanging="283" w:hangingChars="135"/>
        <w:rPr>
          <w:szCs w:val="21"/>
        </w:rPr>
      </w:pPr>
      <w:r>
        <w:rPr>
          <w:rFonts w:hint="eastAsia"/>
          <w:szCs w:val="21"/>
        </w:rPr>
        <w:t>9）信息交流记录；</w:t>
      </w:r>
    </w:p>
    <w:p>
      <w:pPr>
        <w:pStyle w:val="23"/>
        <w:ind w:left="993" w:leftChars="338" w:hanging="283" w:hangingChars="135"/>
        <w:rPr>
          <w:szCs w:val="21"/>
        </w:rPr>
      </w:pPr>
      <w:r>
        <w:rPr>
          <w:rFonts w:hint="eastAsia"/>
          <w:szCs w:val="21"/>
        </w:rPr>
        <w:t>10）文件控制的相关记录；</w:t>
      </w:r>
    </w:p>
    <w:p>
      <w:pPr>
        <w:pStyle w:val="23"/>
        <w:ind w:left="993" w:leftChars="338" w:hanging="283" w:hangingChars="135"/>
        <w:rPr>
          <w:szCs w:val="21"/>
        </w:rPr>
      </w:pPr>
      <w:r>
        <w:rPr>
          <w:rFonts w:hint="eastAsia"/>
          <w:szCs w:val="21"/>
        </w:rPr>
        <w:t>11）产品和过程设计的相关记录；</w:t>
      </w:r>
    </w:p>
    <w:p>
      <w:pPr>
        <w:pStyle w:val="23"/>
        <w:ind w:left="993" w:leftChars="338" w:hanging="283" w:hangingChars="135"/>
        <w:rPr>
          <w:szCs w:val="21"/>
        </w:rPr>
      </w:pPr>
      <w:r>
        <w:rPr>
          <w:rFonts w:hint="eastAsia"/>
          <w:szCs w:val="21"/>
        </w:rPr>
        <w:t>12）设备设施的采购、维护和更新，以及重点设备设施操作人员资质鉴定的相关记录；</w:t>
      </w:r>
    </w:p>
    <w:p>
      <w:pPr>
        <w:pStyle w:val="23"/>
        <w:ind w:left="993" w:leftChars="338" w:hanging="283" w:hangingChars="135"/>
        <w:rPr>
          <w:szCs w:val="21"/>
        </w:rPr>
      </w:pPr>
      <w:r>
        <w:rPr>
          <w:rFonts w:hint="eastAsia"/>
          <w:szCs w:val="21"/>
        </w:rPr>
        <w:t>13）能源采购、检验、贮存记录；</w:t>
      </w:r>
    </w:p>
    <w:p>
      <w:pPr>
        <w:pStyle w:val="23"/>
        <w:ind w:left="993" w:leftChars="338" w:hanging="283" w:hangingChars="135"/>
        <w:rPr>
          <w:szCs w:val="21"/>
        </w:rPr>
      </w:pPr>
      <w:r>
        <w:rPr>
          <w:rFonts w:hint="eastAsia"/>
          <w:szCs w:val="21"/>
        </w:rPr>
        <w:t>14）能量消耗及能源指标相关报表；</w:t>
      </w:r>
    </w:p>
    <w:p>
      <w:pPr>
        <w:pStyle w:val="23"/>
        <w:ind w:left="993" w:leftChars="338" w:hanging="283" w:hangingChars="135"/>
        <w:rPr>
          <w:szCs w:val="21"/>
        </w:rPr>
      </w:pPr>
      <w:r>
        <w:rPr>
          <w:rFonts w:hint="eastAsia"/>
          <w:szCs w:val="21"/>
        </w:rPr>
        <w:t>15）应急准备和响应的实施和验证记录；</w:t>
      </w:r>
    </w:p>
    <w:p>
      <w:pPr>
        <w:pStyle w:val="23"/>
        <w:ind w:left="993" w:leftChars="338" w:hanging="283" w:hangingChars="135"/>
        <w:rPr>
          <w:szCs w:val="21"/>
        </w:rPr>
      </w:pPr>
      <w:r>
        <w:rPr>
          <w:rFonts w:hint="eastAsia"/>
          <w:szCs w:val="21"/>
        </w:rPr>
        <w:t>16）能源绩效参数监控记录；</w:t>
      </w:r>
    </w:p>
    <w:p>
      <w:pPr>
        <w:pStyle w:val="23"/>
        <w:ind w:left="993" w:leftChars="338" w:hanging="283" w:hangingChars="135"/>
        <w:rPr>
          <w:szCs w:val="21"/>
        </w:rPr>
      </w:pPr>
      <w:r>
        <w:rPr>
          <w:rFonts w:hint="eastAsia"/>
          <w:szCs w:val="21"/>
        </w:rPr>
        <w:t>17）不符合、纠正和预防措施记录；</w:t>
      </w:r>
    </w:p>
    <w:p>
      <w:pPr>
        <w:pStyle w:val="23"/>
        <w:ind w:left="993" w:leftChars="338" w:hanging="283" w:hangingChars="135"/>
        <w:rPr>
          <w:szCs w:val="21"/>
        </w:rPr>
      </w:pPr>
      <w:r>
        <w:rPr>
          <w:rFonts w:hint="eastAsia"/>
          <w:szCs w:val="21"/>
        </w:rPr>
        <w:t>18）能源管理体系内审和管理评审记录。</w:t>
      </w:r>
    </w:p>
    <w:p>
      <w:pPr>
        <w:pStyle w:val="23"/>
        <w:ind w:left="707" w:leftChars="202" w:hanging="283" w:hangingChars="135"/>
        <w:rPr>
          <w:szCs w:val="21"/>
        </w:rPr>
      </w:pPr>
      <w:r>
        <w:rPr>
          <w:rFonts w:hint="eastAsia"/>
          <w:szCs w:val="21"/>
        </w:rPr>
        <w:t>b） 除上述记录外，还可包括：</w:t>
      </w:r>
    </w:p>
    <w:p>
      <w:pPr>
        <w:pStyle w:val="23"/>
        <w:ind w:left="993" w:leftChars="338" w:hanging="283" w:hangingChars="135"/>
        <w:rPr>
          <w:szCs w:val="21"/>
        </w:rPr>
      </w:pPr>
      <w:r>
        <w:rPr>
          <w:rFonts w:hint="eastAsia"/>
          <w:szCs w:val="21"/>
        </w:rPr>
        <w:t>1）能源审计与节能监测报告；</w:t>
      </w:r>
    </w:p>
    <w:p>
      <w:pPr>
        <w:pStyle w:val="23"/>
        <w:ind w:left="993" w:leftChars="338" w:hanging="283" w:hangingChars="135"/>
        <w:rPr>
          <w:szCs w:val="21"/>
        </w:rPr>
      </w:pPr>
      <w:r>
        <w:rPr>
          <w:rFonts w:hint="eastAsia"/>
          <w:szCs w:val="21"/>
        </w:rPr>
        <w:t>2）综合能耗与节能量的分析报告；</w:t>
      </w:r>
    </w:p>
    <w:p>
      <w:pPr>
        <w:pStyle w:val="23"/>
        <w:ind w:left="993" w:leftChars="338" w:hanging="283" w:hangingChars="135"/>
        <w:rPr>
          <w:szCs w:val="21"/>
        </w:rPr>
      </w:pPr>
      <w:r>
        <w:rPr>
          <w:rFonts w:hint="eastAsia"/>
          <w:szCs w:val="21"/>
        </w:rPr>
        <w:t>3）节能新技术应用效果；</w:t>
      </w:r>
    </w:p>
    <w:p>
      <w:pPr>
        <w:pStyle w:val="23"/>
        <w:ind w:left="993" w:leftChars="338" w:hanging="283" w:hangingChars="135"/>
        <w:rPr>
          <w:szCs w:val="21"/>
        </w:rPr>
      </w:pPr>
      <w:r>
        <w:rPr>
          <w:rFonts w:hint="eastAsia"/>
          <w:szCs w:val="21"/>
        </w:rPr>
        <w:t>4）节能项目实施结果；</w:t>
      </w:r>
    </w:p>
    <w:p>
      <w:pPr>
        <w:pStyle w:val="23"/>
        <w:ind w:left="993" w:leftChars="338" w:hanging="283" w:hangingChars="135"/>
        <w:rPr>
          <w:szCs w:val="21"/>
        </w:rPr>
      </w:pPr>
      <w:r>
        <w:rPr>
          <w:rFonts w:hint="eastAsia"/>
          <w:szCs w:val="21"/>
        </w:rPr>
        <w:t>5）能源管理绩效评价结果；</w:t>
      </w:r>
    </w:p>
    <w:p>
      <w:pPr>
        <w:pStyle w:val="23"/>
        <w:ind w:left="993" w:leftChars="338" w:hanging="283" w:hangingChars="135"/>
        <w:rPr>
          <w:szCs w:val="21"/>
        </w:rPr>
      </w:pPr>
      <w:r>
        <w:rPr>
          <w:rFonts w:hint="eastAsia"/>
          <w:szCs w:val="21"/>
        </w:rPr>
        <w:t>6）能源评估与审查报告；</w:t>
      </w:r>
    </w:p>
    <w:p>
      <w:pPr>
        <w:pStyle w:val="23"/>
        <w:ind w:left="993" w:leftChars="338" w:hanging="283" w:hangingChars="135"/>
        <w:rPr>
          <w:szCs w:val="21"/>
        </w:rPr>
      </w:pPr>
      <w:r>
        <w:rPr>
          <w:rFonts w:hint="eastAsia"/>
          <w:szCs w:val="21"/>
        </w:rPr>
        <w:t>7）其他记录。</w:t>
      </w:r>
    </w:p>
    <w:p>
      <w:pPr>
        <w:pStyle w:val="42"/>
        <w:spacing w:before="156" w:after="156"/>
        <w:ind w:left="0"/>
      </w:pPr>
      <w:bookmarkStart w:id="138" w:name="_Toc312077673"/>
      <w:bookmarkStart w:id="139" w:name="_Toc270929358"/>
      <w:bookmarkStart w:id="140" w:name="_Toc334521375"/>
      <w:r>
        <w:rPr>
          <w:rFonts w:hint="eastAsia"/>
        </w:rPr>
        <w:t>管理评审</w:t>
      </w:r>
      <w:bookmarkEnd w:id="132"/>
      <w:bookmarkEnd w:id="133"/>
      <w:bookmarkEnd w:id="134"/>
      <w:bookmarkEnd w:id="135"/>
      <w:bookmarkEnd w:id="136"/>
      <w:bookmarkEnd w:id="138"/>
      <w:bookmarkEnd w:id="139"/>
      <w:bookmarkEnd w:id="140"/>
    </w:p>
    <w:p>
      <w:pPr>
        <w:pStyle w:val="46"/>
        <w:spacing w:before="156" w:after="156"/>
        <w:ind w:left="0"/>
      </w:pPr>
      <w:bookmarkStart w:id="141" w:name="_Toc312077674"/>
      <w:bookmarkStart w:id="142" w:name="_Toc334521376"/>
      <w:bookmarkStart w:id="143" w:name="_Toc270929359"/>
      <w:bookmarkStart w:id="144" w:name="_Toc205714494"/>
      <w:r>
        <w:rPr>
          <w:rFonts w:hint="eastAsia"/>
        </w:rPr>
        <w:t>总则</w:t>
      </w:r>
      <w:bookmarkEnd w:id="141"/>
      <w:bookmarkEnd w:id="142"/>
      <w:bookmarkEnd w:id="143"/>
      <w:bookmarkEnd w:id="144"/>
    </w:p>
    <w:p>
      <w:pPr>
        <w:pStyle w:val="23"/>
        <w:ind w:firstLine="420"/>
        <w:rPr>
          <w:szCs w:val="21"/>
        </w:rPr>
      </w:pPr>
      <w:bookmarkStart w:id="145" w:name="_Toc205714495"/>
      <w:r>
        <w:rPr>
          <w:rFonts w:hint="eastAsia"/>
          <w:szCs w:val="21"/>
        </w:rPr>
        <w:t>管理评审的目的是评价能源管理体系的绩效和组织的能源绩效，作出适当调整，确保持续改进。最高管理者应当按规定的时间主持管理评审，对能源管理体系的适宜性、充分性和有效性进行评判，以持续改进能源管理体系。最高管理者对管理评审过程的承诺至关重要，是管理过程的核心要素。组织可自行决定参加管理评审的人员，通常应当包括管理者代表、能源管理人员、对能源消耗和能源管理体系有重要影响的关键部门负责人。</w:t>
      </w:r>
    </w:p>
    <w:p>
      <w:pPr>
        <w:pStyle w:val="23"/>
        <w:ind w:firstLine="420"/>
        <w:rPr>
          <w:szCs w:val="21"/>
        </w:rPr>
      </w:pPr>
      <w:r>
        <w:rPr>
          <w:rFonts w:hint="eastAsia"/>
          <w:szCs w:val="21"/>
        </w:rPr>
        <w:t>管理评审通常每12个月进行一次，一般在一次完整的内部审核后进行。管理评审过程要记录，结果要形成评审报告。管理评审可采用以下步骤进行：</w:t>
      </w:r>
    </w:p>
    <w:p>
      <w:pPr>
        <w:pStyle w:val="23"/>
        <w:ind w:left="707" w:leftChars="202" w:hanging="283" w:hangingChars="135"/>
        <w:rPr>
          <w:szCs w:val="21"/>
        </w:rPr>
      </w:pPr>
      <w:r>
        <w:rPr>
          <w:rFonts w:hint="eastAsia"/>
          <w:szCs w:val="21"/>
        </w:rPr>
        <w:t>a）制定计划，明确开展管理评审的时间、目的、内容、参加人员、输入信息等要求；</w:t>
      </w:r>
    </w:p>
    <w:p>
      <w:pPr>
        <w:pStyle w:val="23"/>
        <w:ind w:left="707" w:leftChars="202" w:hanging="283" w:hangingChars="135"/>
        <w:rPr>
          <w:szCs w:val="21"/>
        </w:rPr>
      </w:pPr>
      <w:r>
        <w:rPr>
          <w:rFonts w:hint="eastAsia"/>
          <w:szCs w:val="21"/>
        </w:rPr>
        <w:t>b）实施管理评审，记录评审过程；</w:t>
      </w:r>
    </w:p>
    <w:p>
      <w:pPr>
        <w:pStyle w:val="23"/>
        <w:ind w:left="707" w:leftChars="202" w:hanging="283" w:hangingChars="135"/>
        <w:rPr>
          <w:szCs w:val="21"/>
        </w:rPr>
      </w:pPr>
      <w:r>
        <w:rPr>
          <w:rFonts w:hint="eastAsia"/>
          <w:szCs w:val="21"/>
        </w:rPr>
        <w:t>c）编制评审报告，内容包括：体系的适宜性、充分性和有效性的评价，改进措施等；</w:t>
      </w:r>
    </w:p>
    <w:p>
      <w:pPr>
        <w:pStyle w:val="23"/>
        <w:ind w:left="707" w:leftChars="202" w:hanging="283" w:hangingChars="135"/>
        <w:rPr>
          <w:szCs w:val="21"/>
        </w:rPr>
      </w:pPr>
      <w:r>
        <w:rPr>
          <w:rFonts w:hint="eastAsia"/>
          <w:szCs w:val="21"/>
        </w:rPr>
        <w:t>d）对提出的改进措施及时实施，并进行效果验证；</w:t>
      </w:r>
    </w:p>
    <w:p>
      <w:pPr>
        <w:pStyle w:val="23"/>
        <w:ind w:left="707" w:leftChars="202" w:hanging="283" w:hangingChars="135"/>
        <w:rPr>
          <w:szCs w:val="21"/>
        </w:rPr>
      </w:pPr>
      <w:r>
        <w:rPr>
          <w:rFonts w:hint="eastAsia"/>
          <w:szCs w:val="21"/>
        </w:rPr>
        <w:t>e）当发生以下重大变化时可临时追加管理评审：</w:t>
      </w:r>
    </w:p>
    <w:p>
      <w:pPr>
        <w:pStyle w:val="23"/>
        <w:ind w:left="993" w:leftChars="338" w:hanging="283" w:hangingChars="135"/>
        <w:rPr>
          <w:szCs w:val="21"/>
        </w:rPr>
      </w:pPr>
      <w:r>
        <w:rPr>
          <w:rFonts w:hint="eastAsia"/>
          <w:szCs w:val="21"/>
        </w:rPr>
        <w:t>1）法律法规、政策、标准及其它要求发生变化；</w:t>
      </w:r>
    </w:p>
    <w:p>
      <w:pPr>
        <w:pStyle w:val="23"/>
        <w:ind w:left="993" w:leftChars="338" w:hanging="283" w:hangingChars="135"/>
        <w:rPr>
          <w:szCs w:val="21"/>
        </w:rPr>
      </w:pPr>
      <w:r>
        <w:rPr>
          <w:rFonts w:hint="eastAsia"/>
          <w:szCs w:val="21"/>
        </w:rPr>
        <w:t>2）政府及节能主管部门的要求发生变化；</w:t>
      </w:r>
    </w:p>
    <w:p>
      <w:pPr>
        <w:pStyle w:val="23"/>
        <w:ind w:left="993" w:leftChars="338" w:hanging="283" w:hangingChars="135"/>
        <w:rPr>
          <w:szCs w:val="21"/>
        </w:rPr>
      </w:pPr>
      <w:r>
        <w:rPr>
          <w:rFonts w:hint="eastAsia"/>
          <w:szCs w:val="21"/>
        </w:rPr>
        <w:t>3）组织机构、能源结构等情况发生变化。</w:t>
      </w:r>
    </w:p>
    <w:p>
      <w:pPr>
        <w:pStyle w:val="23"/>
        <w:ind w:firstLine="420"/>
        <w:rPr>
          <w:szCs w:val="21"/>
        </w:rPr>
      </w:pPr>
      <w:r>
        <w:rPr>
          <w:rFonts w:hint="eastAsia"/>
          <w:szCs w:val="21"/>
        </w:rPr>
        <w:t>组织应当保持管理评审记录，可包括：会议议程、参会人员名单、发言稿或会议资料复印件，对管理者决定的归档材料、报告、会议纪要、跟踪制度等。</w:t>
      </w:r>
    </w:p>
    <w:p>
      <w:pPr>
        <w:pStyle w:val="46"/>
        <w:spacing w:before="156" w:after="156"/>
        <w:ind w:left="0"/>
      </w:pPr>
      <w:bookmarkStart w:id="146" w:name="_Toc334521377"/>
      <w:bookmarkStart w:id="147" w:name="_Toc312077675"/>
      <w:bookmarkStart w:id="148" w:name="_Toc270929360"/>
      <w:r>
        <w:rPr>
          <w:rFonts w:hint="eastAsia"/>
        </w:rPr>
        <w:t>评审输入</w:t>
      </w:r>
      <w:bookmarkEnd w:id="145"/>
      <w:bookmarkEnd w:id="146"/>
      <w:bookmarkEnd w:id="147"/>
      <w:bookmarkEnd w:id="148"/>
    </w:p>
    <w:p>
      <w:pPr>
        <w:pStyle w:val="23"/>
        <w:ind w:firstLine="420"/>
        <w:rPr>
          <w:szCs w:val="21"/>
        </w:rPr>
      </w:pPr>
      <w:bookmarkStart w:id="149" w:name="_Toc205714496"/>
      <w:r>
        <w:rPr>
          <w:rFonts w:hint="eastAsia"/>
          <w:szCs w:val="21"/>
        </w:rPr>
        <w:t>评审输入是指为管理评审提供的信息，充分、准确的信息是管理评审有效实施的前提。评审输入应包括：</w:t>
      </w:r>
    </w:p>
    <w:p>
      <w:pPr>
        <w:pStyle w:val="23"/>
        <w:ind w:left="707" w:leftChars="202" w:hanging="283" w:hangingChars="135"/>
        <w:rPr>
          <w:szCs w:val="21"/>
        </w:rPr>
      </w:pPr>
      <w:r>
        <w:rPr>
          <w:rFonts w:hint="eastAsia"/>
          <w:szCs w:val="21"/>
        </w:rPr>
        <w:t>a）审核的结果，包括内部审核、第二方审核、第三方审核以及国家、地方或组织开展的能源审计的结果，以评价组织能源管理体系是否有效运行；</w:t>
      </w:r>
    </w:p>
    <w:p>
      <w:pPr>
        <w:pStyle w:val="23"/>
        <w:ind w:left="707" w:leftChars="202" w:hanging="283" w:hangingChars="135"/>
        <w:rPr>
          <w:szCs w:val="21"/>
        </w:rPr>
      </w:pPr>
      <w:r>
        <w:rPr>
          <w:rFonts w:hint="eastAsia"/>
          <w:szCs w:val="21"/>
        </w:rPr>
        <w:t>b）相关方（包括政府、行业、顾客等）的反馈，以分析和明确外部对组织能效方面的最新要求，为组织调整能源方针、目标和指标，确定相应的能源标杆提供依据；</w:t>
      </w:r>
    </w:p>
    <w:p>
      <w:pPr>
        <w:pStyle w:val="23"/>
        <w:ind w:left="707" w:leftChars="202" w:hanging="283" w:hangingChars="135"/>
        <w:rPr>
          <w:szCs w:val="21"/>
        </w:rPr>
      </w:pPr>
      <w:r>
        <w:rPr>
          <w:rFonts w:hint="eastAsia"/>
          <w:szCs w:val="21"/>
        </w:rPr>
        <w:t>c）能源管理的承诺与绩效，包括重点用能设备和系统运行效率、综合能耗和节能量等。组织在评审时应提供各方面绩效的实际指标，以确定组织能源管理承诺和绩效实现的真实性，并与组织的预期目标、能源管理标杆相比较，确定改进能源管理绩效的机会；</w:t>
      </w:r>
    </w:p>
    <w:p>
      <w:pPr>
        <w:pStyle w:val="23"/>
        <w:ind w:left="707" w:leftChars="202" w:hanging="283" w:hangingChars="135"/>
        <w:rPr>
          <w:szCs w:val="21"/>
        </w:rPr>
      </w:pPr>
      <w:r>
        <w:rPr>
          <w:rFonts w:hint="eastAsia"/>
          <w:szCs w:val="21"/>
        </w:rPr>
        <w:t>d）目标和指标的实现程度，包括与能源标杆的比较、能源成本的变化等，以确认能源管理体系运行的效果；</w:t>
      </w:r>
    </w:p>
    <w:p>
      <w:pPr>
        <w:pStyle w:val="23"/>
        <w:ind w:left="707" w:leftChars="202" w:hanging="283" w:hangingChars="135"/>
        <w:rPr>
          <w:szCs w:val="21"/>
        </w:rPr>
      </w:pPr>
      <w:r>
        <w:rPr>
          <w:rFonts w:hint="eastAsia"/>
          <w:szCs w:val="21"/>
        </w:rPr>
        <w:t>e）纠正措施和预防措施的实施状况，以评价组织是否形成了自我改进和自我完善的运行机制，以达到保持体系有效运行和持续改进的目的；</w:t>
      </w:r>
    </w:p>
    <w:p>
      <w:pPr>
        <w:pStyle w:val="23"/>
        <w:ind w:left="707" w:leftChars="202" w:hanging="283" w:hangingChars="135"/>
        <w:rPr>
          <w:szCs w:val="21"/>
        </w:rPr>
      </w:pPr>
      <w:r>
        <w:rPr>
          <w:rFonts w:hint="eastAsia"/>
          <w:szCs w:val="21"/>
        </w:rPr>
        <w:t>f）以往管理评审所确定改进措施的实施情况及有效性，以进一步评价自我约束、自我调节和自我完善运行机制的能力；</w:t>
      </w:r>
    </w:p>
    <w:p>
      <w:pPr>
        <w:pStyle w:val="23"/>
        <w:ind w:left="707" w:leftChars="202" w:hanging="283" w:hangingChars="135"/>
        <w:rPr>
          <w:szCs w:val="21"/>
        </w:rPr>
      </w:pPr>
      <w:r>
        <w:rPr>
          <w:rFonts w:hint="eastAsia"/>
          <w:szCs w:val="21"/>
        </w:rPr>
        <w:t>g）能源管理体系的客观变化包括：组织产品、活动和服务的变化；对新设备、新工艺和新开发项目的能源因素的变化；适用的法律法规和其他要求的变化；相关方的观点；节能技术的发展和科技的进步；能源及原材料的变化等；</w:t>
      </w:r>
    </w:p>
    <w:p>
      <w:pPr>
        <w:pStyle w:val="23"/>
        <w:ind w:left="707" w:leftChars="202" w:hanging="283" w:hangingChars="135"/>
        <w:rPr>
          <w:szCs w:val="21"/>
        </w:rPr>
      </w:pPr>
      <w:r>
        <w:rPr>
          <w:rFonts w:hint="eastAsia"/>
          <w:szCs w:val="21"/>
        </w:rPr>
        <w:t>h）有关组织降低能耗、提高能源利用效率和体系改进的建议。</w:t>
      </w:r>
    </w:p>
    <w:p>
      <w:pPr>
        <w:pStyle w:val="46"/>
        <w:spacing w:before="156" w:after="156"/>
        <w:ind w:left="0"/>
      </w:pPr>
      <w:bookmarkStart w:id="150" w:name="_Toc270929361"/>
      <w:bookmarkStart w:id="151" w:name="_Toc312077676"/>
      <w:bookmarkStart w:id="152" w:name="_Toc334521378"/>
      <w:r>
        <w:rPr>
          <w:rFonts w:hint="eastAsia"/>
        </w:rPr>
        <w:t xml:space="preserve"> 评审输出</w:t>
      </w:r>
      <w:bookmarkEnd w:id="150"/>
      <w:bookmarkEnd w:id="151"/>
      <w:bookmarkEnd w:id="152"/>
    </w:p>
    <w:bookmarkEnd w:id="149"/>
    <w:p>
      <w:pPr>
        <w:pStyle w:val="23"/>
        <w:ind w:firstLine="420"/>
        <w:rPr>
          <w:szCs w:val="21"/>
        </w:rPr>
      </w:pPr>
      <w:r>
        <w:rPr>
          <w:rFonts w:hint="eastAsia"/>
          <w:szCs w:val="21"/>
        </w:rPr>
        <w:t>评审输出是管理评审活动的结果，是最高管理者对组织能源管理体系做出战略性决策的重要依据。评审输出应包括：</w:t>
      </w:r>
    </w:p>
    <w:p>
      <w:pPr>
        <w:pStyle w:val="23"/>
        <w:ind w:left="707" w:leftChars="202" w:hanging="283" w:hangingChars="135"/>
        <w:rPr>
          <w:szCs w:val="21"/>
        </w:rPr>
      </w:pPr>
      <w:r>
        <w:rPr>
          <w:rFonts w:hint="eastAsia"/>
          <w:szCs w:val="21"/>
        </w:rPr>
        <w:t>a）对组织能源管理体系适宜性、充分性和有效性的总体评价；</w:t>
      </w:r>
    </w:p>
    <w:p>
      <w:pPr>
        <w:pStyle w:val="23"/>
        <w:ind w:left="707" w:leftChars="202" w:hanging="283" w:hangingChars="135"/>
        <w:rPr>
          <w:szCs w:val="21"/>
        </w:rPr>
      </w:pPr>
      <w:r>
        <w:rPr>
          <w:rFonts w:hint="eastAsia"/>
          <w:szCs w:val="21"/>
        </w:rPr>
        <w:t>b）决定能源管理体系和能源节约持续改进的措施，包括提高能源管理绩效，重点用能设备改造，重大节能技术引进，工艺流程改进等；</w:t>
      </w:r>
    </w:p>
    <w:p>
      <w:pPr>
        <w:pStyle w:val="23"/>
        <w:ind w:left="707" w:leftChars="202" w:hanging="283" w:hangingChars="135"/>
        <w:rPr>
          <w:szCs w:val="21"/>
        </w:rPr>
      </w:pPr>
      <w:r>
        <w:rPr>
          <w:rFonts w:hint="eastAsia"/>
          <w:szCs w:val="21"/>
        </w:rPr>
        <w:t>c）能源发展战略、能源基准、能源绩效参数、能源方针、目标、指标的变更，以及支持实现能源管理方案变更的重大决策；</w:t>
      </w:r>
    </w:p>
    <w:p>
      <w:pPr>
        <w:pStyle w:val="23"/>
        <w:ind w:left="707" w:leftChars="202" w:hanging="283" w:hangingChars="135"/>
      </w:pPr>
      <w:r>
        <w:rPr>
          <w:rFonts w:hint="eastAsia"/>
          <w:szCs w:val="21"/>
        </w:rPr>
        <w:t>d）支持管理评审输出活动的资源需求。</w:t>
      </w:r>
    </w:p>
    <w:sectPr>
      <w:headerReference r:id="rId8" w:type="default"/>
      <w:footerReference r:id="rId9"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3730625</wp:posOffset>
              </wp:positionH>
              <wp:positionV relativeFrom="page">
                <wp:posOffset>9651365</wp:posOffset>
              </wp:positionV>
              <wp:extent cx="10795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75pt;margin-top:759.95pt;height:11pt;width:8.5pt;mso-position-horizontal-relative:page;mso-position-vertical-relative:page;z-index:-251652096;mso-width-relative:page;mso-height-relative:page;" filled="f" stroked="f" coordsize="21600,21600" o:gfxdata="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erFMtoAAAANAQAADwAAAAAAAAABACAAAAAiAAAAZHJzL2Rvd25yZXYueG1sUEsB&#10;AhQAFAAAAAgAh07iQITJNJK6AQAAcwMAAA4AAAAAAAAAAQAgAAAAKQEAAGRycy9lMm9Eb2MueG1s&#10;UEsFBgAAAAAGAAYAWQEAAFUFAAAAAA==&#10;">
              <v:fill on="f" focussize="0,0"/>
              <v:stroke on="f"/>
              <v:imagedata o:title=""/>
              <o:lock v:ext="edit" aspectratio="f"/>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3698240</wp:posOffset>
              </wp:positionH>
              <wp:positionV relativeFrom="page">
                <wp:posOffset>9651365</wp:posOffset>
              </wp:positionV>
              <wp:extent cx="160655" cy="139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60655" cy="139700"/>
                      </a:xfrm>
                      <a:prstGeom prst="rect">
                        <a:avLst/>
                      </a:prstGeom>
                      <a:noFill/>
                      <a:ln>
                        <a:noFill/>
                      </a:ln>
                    </wps:spPr>
                    <wps:txbx>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59.95pt;height:11pt;width:12.65pt;mso-position-horizontal-relative:page;mso-position-vertical-relative:page;z-index:-251652096;mso-width-relative:page;mso-height-relative:page;" filled="f" stroked="f" coordsize="21600,21600" o:gfxdata="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UIcVLbAAAADQEAAA8AAAAAAAAAAQAgAAAAIgAAAGRycy9kb3ducmV2LnhtbFBL&#10;AQIUABQAAAAIAIdO4kDLNUbuugEAAHMDAAAOAAAAAAAAAAEAIAAAACoBAABkcnMvZTJvRG9jLnht&#10;bFBLBQYAAAAABgAGAFkBAABWBQAAAAA=&#10;">
              <v:fill on="f" focussize="0,0"/>
              <v:stroke on="f"/>
              <v:imagedata o:title=""/>
              <o:lock v:ext="edit" aspectratio="f"/>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lang w:val="en-US" w:eastAsia="zh-CN"/>
      </w:rPr>
      <w:t>YS</w:t>
    </w:r>
    <w:r>
      <w:t>/T XXXXX—XXXX</w:t>
    </w:r>
  </w:p>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5591175</wp:posOffset>
              </wp:positionH>
              <wp:positionV relativeFrom="page">
                <wp:posOffset>535940</wp:posOffset>
              </wp:positionV>
              <wp:extent cx="809625"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9625" cy="139700"/>
                      </a:xfrm>
                      <a:prstGeom prst="rect">
                        <a:avLst/>
                      </a:prstGeom>
                      <a:noFill/>
                      <a:ln>
                        <a:noFill/>
                      </a:ln>
                    </wps:spPr>
                    <wps:txbx>
                      <w:txbxContent>
                        <w:p>
                          <w:pPr>
                            <w:rPr>
                              <w:szCs w:val="18"/>
                            </w:rPr>
                          </w:pPr>
                        </w:p>
                      </w:txbxContent>
                    </wps:txbx>
                    <wps:bodyPr lIns="0" tIns="0" rIns="0" bIns="0" upright="1"/>
                  </wps:wsp>
                </a:graphicData>
              </a:graphic>
            </wp:anchor>
          </w:drawing>
        </mc:Choice>
        <mc:Fallback>
          <w:pict>
            <v:shape id="_x0000_s1026" o:spid="_x0000_s1026" o:spt="202" type="#_x0000_t202" style="position:absolute;left:0pt;margin-left:440.25pt;margin-top:42.2pt;height:11pt;width:63.75pt;mso-position-horizontal-relative:page;mso-position-vertical-relative:page;z-index:-251652096;mso-width-relative:page;mso-height-relative:page;" filled="f" stroked="f" coordsize="21600,21600" o:gfxdata="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4QQsc1wAAAAsBAAAPAAAAAAAAAAEAIAAAACIAAABkcnMvZG93bnJldi54bWxQSwEC&#10;FAAUAAAACACHTuJAyxDlLbwBAABzAwAADgAAAAAAAAABACAAAAAmAQAAZHJzL2Uyb0RvYy54bWxQ&#10;SwUGAAAAAAYABgBZAQAAVAUAAAAA&#10;">
              <v:fill on="f" focussize="0,0"/>
              <v:stroke on="f"/>
              <v:imagedata o:title=""/>
              <o:lock v:ext="edit" aspectratio="f"/>
              <v:textbox inset="0mm,0mm,0mm,0mm">
                <w:txbxContent>
                  <w:p>
                    <w:pPr>
                      <w:rPr>
                        <w:szCs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lang w:eastAsia="zh-CN"/>
      </w:rPr>
    </w:pPr>
    <w:r>
      <w:rPr>
        <w:rFonts w:hint="eastAsia"/>
        <w:sz w:val="20"/>
        <w:szCs w:val="20"/>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lowerLetter"/>
      <w:suff w:val="space"/>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000000E"/>
    <w:multiLevelType w:val="singleLevel"/>
    <w:tmpl w:val="0000000E"/>
    <w:lvl w:ilvl="0" w:tentative="0">
      <w:start w:val="1"/>
      <w:numFmt w:val="lowerLetter"/>
      <w:suff w:val="space"/>
      <w:lvlText w:val="%1)"/>
      <w:lvlJc w:val="left"/>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pStyle w:val="138"/>
      <w:suff w:val="nothing"/>
      <w:lvlText w:val="%1%2.%3.%4　"/>
      <w:lvlJc w:val="left"/>
      <w:pPr>
        <w:ind w:left="0" w:firstLine="0"/>
      </w:pPr>
      <w:rPr>
        <w:rFonts w:hint="eastAsia" w:ascii="黑体" w:hAnsi="Times New Roman" w:eastAsia="黑体"/>
        <w:b w:val="0"/>
        <w:i w:val="0"/>
        <w:sz w:val="21"/>
      </w:rPr>
    </w:lvl>
    <w:lvl w:ilvl="4" w:tentative="0">
      <w:start w:val="1"/>
      <w:numFmt w:val="decimal"/>
      <w:pStyle w:val="139"/>
      <w:suff w:val="nothing"/>
      <w:lvlText w:val="%1%2.%3.%4.%5　"/>
      <w:lvlJc w:val="left"/>
      <w:pPr>
        <w:ind w:left="0" w:firstLine="0"/>
      </w:pPr>
      <w:rPr>
        <w:rFonts w:hint="eastAsia" w:ascii="黑体" w:hAnsi="Times New Roman" w:eastAsia="黑体"/>
        <w:b w:val="0"/>
        <w:i w:val="0"/>
        <w:sz w:val="21"/>
      </w:rPr>
    </w:lvl>
    <w:lvl w:ilvl="5" w:tentative="0">
      <w:start w:val="1"/>
      <w:numFmt w:val="decimal"/>
      <w:pStyle w:val="140"/>
      <w:suff w:val="nothing"/>
      <w:lvlText w:val="%1%2.%3.%4.%5.%6　"/>
      <w:lvlJc w:val="left"/>
      <w:pPr>
        <w:ind w:left="0" w:firstLine="0"/>
      </w:pPr>
      <w:rPr>
        <w:rFonts w:hint="eastAsia" w:ascii="黑体" w:hAnsi="Times New Roman" w:eastAsia="黑体"/>
        <w:b w:val="0"/>
        <w:i w:val="0"/>
        <w:sz w:val="21"/>
      </w:rPr>
    </w:lvl>
    <w:lvl w:ilvl="6" w:tentative="0">
      <w:start w:val="1"/>
      <w:numFmt w:val="decimal"/>
      <w:pStyle w:val="14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426"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5"/>
  </w:num>
  <w:num w:numId="3">
    <w:abstractNumId w:val="7"/>
  </w:num>
  <w:num w:numId="4">
    <w:abstractNumId w:val="9"/>
  </w:num>
  <w:num w:numId="5">
    <w:abstractNumId w:val="4"/>
  </w:num>
  <w:num w:numId="6">
    <w:abstractNumId w:val="11"/>
  </w:num>
  <w:num w:numId="7">
    <w:abstractNumId w:val="10"/>
  </w:num>
  <w:num w:numId="8">
    <w:abstractNumId w:val="12"/>
  </w:num>
  <w:num w:numId="9">
    <w:abstractNumId w:val="6"/>
  </w:num>
  <w:num w:numId="10">
    <w:abstractNumId w:val="3"/>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586F"/>
    <w:rsid w:val="00005A15"/>
    <w:rsid w:val="00006E5C"/>
    <w:rsid w:val="00013D86"/>
    <w:rsid w:val="00013E02"/>
    <w:rsid w:val="0002143C"/>
    <w:rsid w:val="00025A65"/>
    <w:rsid w:val="00026034"/>
    <w:rsid w:val="00026C31"/>
    <w:rsid w:val="00027280"/>
    <w:rsid w:val="000320A7"/>
    <w:rsid w:val="00035925"/>
    <w:rsid w:val="00036B73"/>
    <w:rsid w:val="000511C3"/>
    <w:rsid w:val="0005303A"/>
    <w:rsid w:val="00053ADB"/>
    <w:rsid w:val="00063138"/>
    <w:rsid w:val="00063E97"/>
    <w:rsid w:val="00064121"/>
    <w:rsid w:val="00067CDF"/>
    <w:rsid w:val="000700EE"/>
    <w:rsid w:val="000716E1"/>
    <w:rsid w:val="0007336C"/>
    <w:rsid w:val="00074FBE"/>
    <w:rsid w:val="00083A09"/>
    <w:rsid w:val="000841EE"/>
    <w:rsid w:val="0009005E"/>
    <w:rsid w:val="00092857"/>
    <w:rsid w:val="000A20A9"/>
    <w:rsid w:val="000A48B1"/>
    <w:rsid w:val="000B3143"/>
    <w:rsid w:val="000C51FC"/>
    <w:rsid w:val="000C6B05"/>
    <w:rsid w:val="000C6DD6"/>
    <w:rsid w:val="000C73D4"/>
    <w:rsid w:val="000C7BB4"/>
    <w:rsid w:val="000D3D4C"/>
    <w:rsid w:val="000D4F51"/>
    <w:rsid w:val="000D718B"/>
    <w:rsid w:val="000E0C46"/>
    <w:rsid w:val="000E398F"/>
    <w:rsid w:val="000E6074"/>
    <w:rsid w:val="000E7F53"/>
    <w:rsid w:val="000F030C"/>
    <w:rsid w:val="000F129C"/>
    <w:rsid w:val="001056DE"/>
    <w:rsid w:val="001124C0"/>
    <w:rsid w:val="00120EDF"/>
    <w:rsid w:val="00122897"/>
    <w:rsid w:val="0013175F"/>
    <w:rsid w:val="001512B4"/>
    <w:rsid w:val="001519D8"/>
    <w:rsid w:val="00157ED8"/>
    <w:rsid w:val="001620A5"/>
    <w:rsid w:val="00164E53"/>
    <w:rsid w:val="0016699D"/>
    <w:rsid w:val="00173224"/>
    <w:rsid w:val="00175159"/>
    <w:rsid w:val="00176208"/>
    <w:rsid w:val="001804B1"/>
    <w:rsid w:val="0018211B"/>
    <w:rsid w:val="001837AE"/>
    <w:rsid w:val="001840D3"/>
    <w:rsid w:val="001900F8"/>
    <w:rsid w:val="00191258"/>
    <w:rsid w:val="00192680"/>
    <w:rsid w:val="00193037"/>
    <w:rsid w:val="00193A2C"/>
    <w:rsid w:val="001A288E"/>
    <w:rsid w:val="001A7661"/>
    <w:rsid w:val="001B6BE0"/>
    <w:rsid w:val="001B6DC2"/>
    <w:rsid w:val="001C149C"/>
    <w:rsid w:val="001C1CE7"/>
    <w:rsid w:val="001C21AC"/>
    <w:rsid w:val="001C47BA"/>
    <w:rsid w:val="001C59EA"/>
    <w:rsid w:val="001D406C"/>
    <w:rsid w:val="001D41EE"/>
    <w:rsid w:val="001E0380"/>
    <w:rsid w:val="001E13B1"/>
    <w:rsid w:val="001F0221"/>
    <w:rsid w:val="001F3A19"/>
    <w:rsid w:val="00215920"/>
    <w:rsid w:val="002177B7"/>
    <w:rsid w:val="00217C9E"/>
    <w:rsid w:val="00221A69"/>
    <w:rsid w:val="002331C2"/>
    <w:rsid w:val="00234467"/>
    <w:rsid w:val="00235BFF"/>
    <w:rsid w:val="00237D8D"/>
    <w:rsid w:val="00241DA2"/>
    <w:rsid w:val="00247FEE"/>
    <w:rsid w:val="00250E7D"/>
    <w:rsid w:val="002565D5"/>
    <w:rsid w:val="002622C0"/>
    <w:rsid w:val="002778AE"/>
    <w:rsid w:val="00280B20"/>
    <w:rsid w:val="0028269A"/>
    <w:rsid w:val="00283590"/>
    <w:rsid w:val="00284AFB"/>
    <w:rsid w:val="00286973"/>
    <w:rsid w:val="00287920"/>
    <w:rsid w:val="00294C17"/>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D5E9B"/>
    <w:rsid w:val="002E0DDF"/>
    <w:rsid w:val="002E2906"/>
    <w:rsid w:val="002E5635"/>
    <w:rsid w:val="002E64C3"/>
    <w:rsid w:val="002E6A2C"/>
    <w:rsid w:val="002E6B9D"/>
    <w:rsid w:val="002E7180"/>
    <w:rsid w:val="002F07F2"/>
    <w:rsid w:val="002F1D8C"/>
    <w:rsid w:val="002F21DA"/>
    <w:rsid w:val="002F39D9"/>
    <w:rsid w:val="00300567"/>
    <w:rsid w:val="00301F39"/>
    <w:rsid w:val="00302C4F"/>
    <w:rsid w:val="003058E4"/>
    <w:rsid w:val="00325926"/>
    <w:rsid w:val="0032768C"/>
    <w:rsid w:val="00327A8A"/>
    <w:rsid w:val="00336610"/>
    <w:rsid w:val="00336D4C"/>
    <w:rsid w:val="00343F73"/>
    <w:rsid w:val="00345060"/>
    <w:rsid w:val="0035323B"/>
    <w:rsid w:val="00354573"/>
    <w:rsid w:val="003609D2"/>
    <w:rsid w:val="00363F22"/>
    <w:rsid w:val="00365F62"/>
    <w:rsid w:val="00375564"/>
    <w:rsid w:val="00383191"/>
    <w:rsid w:val="003867DF"/>
    <w:rsid w:val="00386DED"/>
    <w:rsid w:val="003912E7"/>
    <w:rsid w:val="00393947"/>
    <w:rsid w:val="003A2275"/>
    <w:rsid w:val="003A5B13"/>
    <w:rsid w:val="003A6A4F"/>
    <w:rsid w:val="003A7088"/>
    <w:rsid w:val="003B00DF"/>
    <w:rsid w:val="003B1275"/>
    <w:rsid w:val="003B1778"/>
    <w:rsid w:val="003C11CB"/>
    <w:rsid w:val="003C348F"/>
    <w:rsid w:val="003C75F3"/>
    <w:rsid w:val="003C78A3"/>
    <w:rsid w:val="003C7992"/>
    <w:rsid w:val="003D052A"/>
    <w:rsid w:val="003E1867"/>
    <w:rsid w:val="003E5729"/>
    <w:rsid w:val="003F4EE0"/>
    <w:rsid w:val="00402153"/>
    <w:rsid w:val="00402FC1"/>
    <w:rsid w:val="00410282"/>
    <w:rsid w:val="00425082"/>
    <w:rsid w:val="0043032E"/>
    <w:rsid w:val="00431DEB"/>
    <w:rsid w:val="0043659F"/>
    <w:rsid w:val="00437006"/>
    <w:rsid w:val="00444D83"/>
    <w:rsid w:val="00446B29"/>
    <w:rsid w:val="0045338E"/>
    <w:rsid w:val="00453F9A"/>
    <w:rsid w:val="0046287E"/>
    <w:rsid w:val="00471E91"/>
    <w:rsid w:val="00474675"/>
    <w:rsid w:val="0047470C"/>
    <w:rsid w:val="00474F8E"/>
    <w:rsid w:val="00475CF0"/>
    <w:rsid w:val="00477A21"/>
    <w:rsid w:val="00482172"/>
    <w:rsid w:val="0049715A"/>
    <w:rsid w:val="004A2D81"/>
    <w:rsid w:val="004A35F9"/>
    <w:rsid w:val="004A797E"/>
    <w:rsid w:val="004B2159"/>
    <w:rsid w:val="004B24C1"/>
    <w:rsid w:val="004C292F"/>
    <w:rsid w:val="004C52D9"/>
    <w:rsid w:val="004D1B05"/>
    <w:rsid w:val="004E4F47"/>
    <w:rsid w:val="00510280"/>
    <w:rsid w:val="00513D73"/>
    <w:rsid w:val="00514A43"/>
    <w:rsid w:val="005174E5"/>
    <w:rsid w:val="00522393"/>
    <w:rsid w:val="005223FF"/>
    <w:rsid w:val="00522620"/>
    <w:rsid w:val="00525656"/>
    <w:rsid w:val="0052670B"/>
    <w:rsid w:val="00534C02"/>
    <w:rsid w:val="00535E20"/>
    <w:rsid w:val="0054264B"/>
    <w:rsid w:val="00543786"/>
    <w:rsid w:val="00544E32"/>
    <w:rsid w:val="005533D7"/>
    <w:rsid w:val="00553E2C"/>
    <w:rsid w:val="00554446"/>
    <w:rsid w:val="0056691F"/>
    <w:rsid w:val="00566E43"/>
    <w:rsid w:val="005703DE"/>
    <w:rsid w:val="00574213"/>
    <w:rsid w:val="005751DA"/>
    <w:rsid w:val="0058464E"/>
    <w:rsid w:val="0058751E"/>
    <w:rsid w:val="00592076"/>
    <w:rsid w:val="00593005"/>
    <w:rsid w:val="005A01CB"/>
    <w:rsid w:val="005A1C9F"/>
    <w:rsid w:val="005A58FF"/>
    <w:rsid w:val="005A5EAF"/>
    <w:rsid w:val="005A64C0"/>
    <w:rsid w:val="005B3C11"/>
    <w:rsid w:val="005C1A74"/>
    <w:rsid w:val="005C1C28"/>
    <w:rsid w:val="005C6DB5"/>
    <w:rsid w:val="005E19E7"/>
    <w:rsid w:val="005F18CF"/>
    <w:rsid w:val="0061716C"/>
    <w:rsid w:val="00623573"/>
    <w:rsid w:val="006243A1"/>
    <w:rsid w:val="00624D43"/>
    <w:rsid w:val="00632E56"/>
    <w:rsid w:val="00635CBA"/>
    <w:rsid w:val="006373D2"/>
    <w:rsid w:val="006427E6"/>
    <w:rsid w:val="0064338B"/>
    <w:rsid w:val="00646542"/>
    <w:rsid w:val="006504F4"/>
    <w:rsid w:val="00654BC9"/>
    <w:rsid w:val="006552FD"/>
    <w:rsid w:val="00661B08"/>
    <w:rsid w:val="006632AF"/>
    <w:rsid w:val="00663AF3"/>
    <w:rsid w:val="00666B6C"/>
    <w:rsid w:val="00682682"/>
    <w:rsid w:val="00682702"/>
    <w:rsid w:val="00692368"/>
    <w:rsid w:val="006A2EBC"/>
    <w:rsid w:val="006A5EA0"/>
    <w:rsid w:val="006A783B"/>
    <w:rsid w:val="006A7B33"/>
    <w:rsid w:val="006B4618"/>
    <w:rsid w:val="006B4E13"/>
    <w:rsid w:val="006B75DD"/>
    <w:rsid w:val="006C452F"/>
    <w:rsid w:val="006C67E0"/>
    <w:rsid w:val="006C7ABA"/>
    <w:rsid w:val="006D0D60"/>
    <w:rsid w:val="006D1122"/>
    <w:rsid w:val="006D3C00"/>
    <w:rsid w:val="006E072B"/>
    <w:rsid w:val="006E3675"/>
    <w:rsid w:val="006E4A7F"/>
    <w:rsid w:val="006E7EFC"/>
    <w:rsid w:val="006F29A4"/>
    <w:rsid w:val="006F412A"/>
    <w:rsid w:val="006F6BA3"/>
    <w:rsid w:val="00704DF6"/>
    <w:rsid w:val="0070651C"/>
    <w:rsid w:val="007132A3"/>
    <w:rsid w:val="00716421"/>
    <w:rsid w:val="00720172"/>
    <w:rsid w:val="00724EFB"/>
    <w:rsid w:val="00730B67"/>
    <w:rsid w:val="007419C3"/>
    <w:rsid w:val="00745173"/>
    <w:rsid w:val="007467A7"/>
    <w:rsid w:val="007469DD"/>
    <w:rsid w:val="0074741B"/>
    <w:rsid w:val="0074759E"/>
    <w:rsid w:val="007478EA"/>
    <w:rsid w:val="0075415C"/>
    <w:rsid w:val="00763502"/>
    <w:rsid w:val="007700AC"/>
    <w:rsid w:val="007913AB"/>
    <w:rsid w:val="007914F7"/>
    <w:rsid w:val="007A1DA0"/>
    <w:rsid w:val="007B1625"/>
    <w:rsid w:val="007B706E"/>
    <w:rsid w:val="007B71EB"/>
    <w:rsid w:val="007C3EA5"/>
    <w:rsid w:val="007C6205"/>
    <w:rsid w:val="007C686A"/>
    <w:rsid w:val="007C728E"/>
    <w:rsid w:val="007D2C53"/>
    <w:rsid w:val="007D3D60"/>
    <w:rsid w:val="007D55E9"/>
    <w:rsid w:val="007E1980"/>
    <w:rsid w:val="007E1DAD"/>
    <w:rsid w:val="007E4B76"/>
    <w:rsid w:val="007E5EA8"/>
    <w:rsid w:val="007F0CF1"/>
    <w:rsid w:val="007F12A5"/>
    <w:rsid w:val="007F315A"/>
    <w:rsid w:val="007F4CF1"/>
    <w:rsid w:val="007F758D"/>
    <w:rsid w:val="007F7D52"/>
    <w:rsid w:val="0080654C"/>
    <w:rsid w:val="008071C6"/>
    <w:rsid w:val="008110D0"/>
    <w:rsid w:val="008170F6"/>
    <w:rsid w:val="00817A00"/>
    <w:rsid w:val="0083395C"/>
    <w:rsid w:val="00835DB3"/>
    <w:rsid w:val="0083617B"/>
    <w:rsid w:val="008371BD"/>
    <w:rsid w:val="008460D0"/>
    <w:rsid w:val="008504A8"/>
    <w:rsid w:val="0085282E"/>
    <w:rsid w:val="0086407F"/>
    <w:rsid w:val="008646E6"/>
    <w:rsid w:val="0087198C"/>
    <w:rsid w:val="00872C1F"/>
    <w:rsid w:val="00873B42"/>
    <w:rsid w:val="00873CA4"/>
    <w:rsid w:val="0087748B"/>
    <w:rsid w:val="008856D8"/>
    <w:rsid w:val="00890ACB"/>
    <w:rsid w:val="00892E82"/>
    <w:rsid w:val="008A782D"/>
    <w:rsid w:val="008C1B58"/>
    <w:rsid w:val="008C39AE"/>
    <w:rsid w:val="008C3BB5"/>
    <w:rsid w:val="008C3BCA"/>
    <w:rsid w:val="008C590D"/>
    <w:rsid w:val="008E031B"/>
    <w:rsid w:val="008E30E9"/>
    <w:rsid w:val="008E7029"/>
    <w:rsid w:val="008E7EF6"/>
    <w:rsid w:val="008F1F98"/>
    <w:rsid w:val="008F6758"/>
    <w:rsid w:val="00902A43"/>
    <w:rsid w:val="009040DD"/>
    <w:rsid w:val="00905B47"/>
    <w:rsid w:val="0091331C"/>
    <w:rsid w:val="009279DE"/>
    <w:rsid w:val="00927E30"/>
    <w:rsid w:val="00930116"/>
    <w:rsid w:val="0094212C"/>
    <w:rsid w:val="00950798"/>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975DC"/>
    <w:rsid w:val="009A054C"/>
    <w:rsid w:val="009A3A7C"/>
    <w:rsid w:val="009B2ADB"/>
    <w:rsid w:val="009B3126"/>
    <w:rsid w:val="009B603A"/>
    <w:rsid w:val="009B79F3"/>
    <w:rsid w:val="009C2D0E"/>
    <w:rsid w:val="009C3ABB"/>
    <w:rsid w:val="009C3DAC"/>
    <w:rsid w:val="009C42E0"/>
    <w:rsid w:val="009D5362"/>
    <w:rsid w:val="009E0569"/>
    <w:rsid w:val="009E1415"/>
    <w:rsid w:val="009E6116"/>
    <w:rsid w:val="009F2FF2"/>
    <w:rsid w:val="00A02E43"/>
    <w:rsid w:val="00A065F9"/>
    <w:rsid w:val="00A07F34"/>
    <w:rsid w:val="00A22154"/>
    <w:rsid w:val="00A242E3"/>
    <w:rsid w:val="00A25C38"/>
    <w:rsid w:val="00A273C8"/>
    <w:rsid w:val="00A33FC4"/>
    <w:rsid w:val="00A36BBE"/>
    <w:rsid w:val="00A4307A"/>
    <w:rsid w:val="00A43A02"/>
    <w:rsid w:val="00A4461C"/>
    <w:rsid w:val="00A47EBB"/>
    <w:rsid w:val="00A51CDD"/>
    <w:rsid w:val="00A6730D"/>
    <w:rsid w:val="00A71625"/>
    <w:rsid w:val="00A71B9B"/>
    <w:rsid w:val="00A751C7"/>
    <w:rsid w:val="00A8144A"/>
    <w:rsid w:val="00A87844"/>
    <w:rsid w:val="00AA038C"/>
    <w:rsid w:val="00AA7A09"/>
    <w:rsid w:val="00AB0CCF"/>
    <w:rsid w:val="00AB12B1"/>
    <w:rsid w:val="00AB3B50"/>
    <w:rsid w:val="00AB69CA"/>
    <w:rsid w:val="00AC05B1"/>
    <w:rsid w:val="00AC7C86"/>
    <w:rsid w:val="00AD356C"/>
    <w:rsid w:val="00AE2914"/>
    <w:rsid w:val="00AE3778"/>
    <w:rsid w:val="00AE6D15"/>
    <w:rsid w:val="00B04182"/>
    <w:rsid w:val="00B058C1"/>
    <w:rsid w:val="00B074AC"/>
    <w:rsid w:val="00B07AE3"/>
    <w:rsid w:val="00B11430"/>
    <w:rsid w:val="00B30F36"/>
    <w:rsid w:val="00B353EB"/>
    <w:rsid w:val="00B4072D"/>
    <w:rsid w:val="00B439C4"/>
    <w:rsid w:val="00B4535E"/>
    <w:rsid w:val="00B52A8C"/>
    <w:rsid w:val="00B636A8"/>
    <w:rsid w:val="00B665C6"/>
    <w:rsid w:val="00B75D6D"/>
    <w:rsid w:val="00B805AF"/>
    <w:rsid w:val="00B850FC"/>
    <w:rsid w:val="00B859A6"/>
    <w:rsid w:val="00B869EC"/>
    <w:rsid w:val="00B9397A"/>
    <w:rsid w:val="00B9633D"/>
    <w:rsid w:val="00BA2EBE"/>
    <w:rsid w:val="00BA34B4"/>
    <w:rsid w:val="00BB0F28"/>
    <w:rsid w:val="00BB2C87"/>
    <w:rsid w:val="00BB458A"/>
    <w:rsid w:val="00BB7717"/>
    <w:rsid w:val="00BD00D3"/>
    <w:rsid w:val="00BD1659"/>
    <w:rsid w:val="00BD3AA9"/>
    <w:rsid w:val="00BD4A18"/>
    <w:rsid w:val="00BD6DB2"/>
    <w:rsid w:val="00BE11CF"/>
    <w:rsid w:val="00BE21AB"/>
    <w:rsid w:val="00BE55CB"/>
    <w:rsid w:val="00BF1217"/>
    <w:rsid w:val="00BF5074"/>
    <w:rsid w:val="00BF617A"/>
    <w:rsid w:val="00C0379D"/>
    <w:rsid w:val="00C03931"/>
    <w:rsid w:val="00C05FE3"/>
    <w:rsid w:val="00C13C40"/>
    <w:rsid w:val="00C2136D"/>
    <w:rsid w:val="00C214EE"/>
    <w:rsid w:val="00C2314B"/>
    <w:rsid w:val="00C24971"/>
    <w:rsid w:val="00C26BE5"/>
    <w:rsid w:val="00C26E4D"/>
    <w:rsid w:val="00C27909"/>
    <w:rsid w:val="00C27B03"/>
    <w:rsid w:val="00C314E1"/>
    <w:rsid w:val="00C34397"/>
    <w:rsid w:val="00C377A1"/>
    <w:rsid w:val="00C4095D"/>
    <w:rsid w:val="00C42003"/>
    <w:rsid w:val="00C54FCC"/>
    <w:rsid w:val="00C601D2"/>
    <w:rsid w:val="00C65BCC"/>
    <w:rsid w:val="00C66970"/>
    <w:rsid w:val="00C675AF"/>
    <w:rsid w:val="00C8691C"/>
    <w:rsid w:val="00CA168A"/>
    <w:rsid w:val="00CA357E"/>
    <w:rsid w:val="00CA44F9"/>
    <w:rsid w:val="00CA4A69"/>
    <w:rsid w:val="00CA4F58"/>
    <w:rsid w:val="00CB7738"/>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5F7"/>
    <w:rsid w:val="00D73725"/>
    <w:rsid w:val="00D8152B"/>
    <w:rsid w:val="00D82FF7"/>
    <w:rsid w:val="00D847FE"/>
    <w:rsid w:val="00D964EA"/>
    <w:rsid w:val="00D966D0"/>
    <w:rsid w:val="00DA0C59"/>
    <w:rsid w:val="00DA3991"/>
    <w:rsid w:val="00DB3C69"/>
    <w:rsid w:val="00DB5837"/>
    <w:rsid w:val="00DB7E6C"/>
    <w:rsid w:val="00DD0430"/>
    <w:rsid w:val="00DD04DA"/>
    <w:rsid w:val="00DD193C"/>
    <w:rsid w:val="00DD5A29"/>
    <w:rsid w:val="00DD5D9D"/>
    <w:rsid w:val="00DE231F"/>
    <w:rsid w:val="00DE35CB"/>
    <w:rsid w:val="00DE62CB"/>
    <w:rsid w:val="00DE71D6"/>
    <w:rsid w:val="00DF21E9"/>
    <w:rsid w:val="00DF4387"/>
    <w:rsid w:val="00DF649D"/>
    <w:rsid w:val="00E00F14"/>
    <w:rsid w:val="00E06386"/>
    <w:rsid w:val="00E24EB4"/>
    <w:rsid w:val="00E27BE7"/>
    <w:rsid w:val="00E320ED"/>
    <w:rsid w:val="00E33AFB"/>
    <w:rsid w:val="00E34218"/>
    <w:rsid w:val="00E35F00"/>
    <w:rsid w:val="00E447EB"/>
    <w:rsid w:val="00E46282"/>
    <w:rsid w:val="00E5216E"/>
    <w:rsid w:val="00E55250"/>
    <w:rsid w:val="00E55C4C"/>
    <w:rsid w:val="00E62EBC"/>
    <w:rsid w:val="00E715C4"/>
    <w:rsid w:val="00E82344"/>
    <w:rsid w:val="00E83C06"/>
    <w:rsid w:val="00E84C82"/>
    <w:rsid w:val="00E84D64"/>
    <w:rsid w:val="00E87408"/>
    <w:rsid w:val="00E914C4"/>
    <w:rsid w:val="00E91FF1"/>
    <w:rsid w:val="00E934F5"/>
    <w:rsid w:val="00E96881"/>
    <w:rsid w:val="00E96961"/>
    <w:rsid w:val="00EA42C5"/>
    <w:rsid w:val="00EA5A48"/>
    <w:rsid w:val="00EA61B7"/>
    <w:rsid w:val="00EA72EC"/>
    <w:rsid w:val="00EB11CB"/>
    <w:rsid w:val="00EB275A"/>
    <w:rsid w:val="00EB786A"/>
    <w:rsid w:val="00EC1578"/>
    <w:rsid w:val="00EC1C72"/>
    <w:rsid w:val="00EC3CC9"/>
    <w:rsid w:val="00EC680A"/>
    <w:rsid w:val="00EE2BED"/>
    <w:rsid w:val="00EE374B"/>
    <w:rsid w:val="00F10C21"/>
    <w:rsid w:val="00F11BB5"/>
    <w:rsid w:val="00F1417B"/>
    <w:rsid w:val="00F17CF7"/>
    <w:rsid w:val="00F272D2"/>
    <w:rsid w:val="00F27A5C"/>
    <w:rsid w:val="00F325EE"/>
    <w:rsid w:val="00F34B99"/>
    <w:rsid w:val="00F37D15"/>
    <w:rsid w:val="00F45F77"/>
    <w:rsid w:val="00F52DAB"/>
    <w:rsid w:val="00F53429"/>
    <w:rsid w:val="00F543F0"/>
    <w:rsid w:val="00F66E58"/>
    <w:rsid w:val="00F81D29"/>
    <w:rsid w:val="00F838AB"/>
    <w:rsid w:val="00F91C4D"/>
    <w:rsid w:val="00F929DC"/>
    <w:rsid w:val="00F92FD9"/>
    <w:rsid w:val="00F942B5"/>
    <w:rsid w:val="00FA3440"/>
    <w:rsid w:val="00FA6684"/>
    <w:rsid w:val="00FA71AC"/>
    <w:rsid w:val="00FA731E"/>
    <w:rsid w:val="00FB2B38"/>
    <w:rsid w:val="00FB4945"/>
    <w:rsid w:val="00FC439B"/>
    <w:rsid w:val="00FC6358"/>
    <w:rsid w:val="00FD0B6C"/>
    <w:rsid w:val="00FD320D"/>
    <w:rsid w:val="00FE071F"/>
    <w:rsid w:val="00FE23DE"/>
    <w:rsid w:val="00FF64B6"/>
    <w:rsid w:val="02DE5024"/>
    <w:rsid w:val="04AD0BA0"/>
    <w:rsid w:val="090360BD"/>
    <w:rsid w:val="0A6058C3"/>
    <w:rsid w:val="1C1C76E2"/>
    <w:rsid w:val="23C21B52"/>
    <w:rsid w:val="38F350E9"/>
    <w:rsid w:val="3C577A5B"/>
    <w:rsid w:val="40BA423A"/>
    <w:rsid w:val="5DED228C"/>
    <w:rsid w:val="75F1708C"/>
    <w:rsid w:val="7EE71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3"/>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47"/>
    <w:semiHidden/>
    <w:unhideWhenUsed/>
    <w:qFormat/>
    <w:uiPriority w:val="0"/>
    <w:p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7"/>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Body Text First Indent"/>
    <w:basedOn w:val="9"/>
    <w:link w:val="148"/>
    <w:semiHidden/>
    <w:unhideWhenUsed/>
    <w:qFormat/>
    <w:uiPriority w:val="0"/>
    <w:pPr>
      <w:spacing w:after="0"/>
      <w:ind w:firstLine="360"/>
    </w:p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99"/>
    <w:rPr>
      <w:color w:val="0000FF"/>
      <w:spacing w:val="0"/>
      <w:w w:val="100"/>
      <w:szCs w:val="21"/>
      <w:u w:val="single"/>
    </w:rPr>
  </w:style>
  <w:style w:type="character" w:styleId="39">
    <w:name w:val="annotation reference"/>
    <w:qFormat/>
    <w:uiPriority w:val="0"/>
    <w:rPr>
      <w:sz w:val="21"/>
      <w:szCs w:val="21"/>
    </w:rPr>
  </w:style>
  <w:style w:type="character" w:styleId="40">
    <w:name w:val="footnote reference"/>
    <w:basedOn w:val="34"/>
    <w:semiHidden/>
    <w:qFormat/>
    <w:uiPriority w:val="0"/>
    <w:rPr>
      <w:vertAlign w:val="superscript"/>
    </w:rPr>
  </w:style>
  <w:style w:type="character" w:customStyle="1" w:styleId="41">
    <w:name w:val="段 Char"/>
    <w:basedOn w:val="34"/>
    <w:link w:val="23"/>
    <w:qFormat/>
    <w:uiPriority w:val="0"/>
    <w:rPr>
      <w:rFonts w:ascii="宋体"/>
      <w:sz w:val="21"/>
      <w:lang w:val="en-US" w:eastAsia="zh-CN" w:bidi="ar-SA"/>
    </w:rPr>
  </w:style>
  <w:style w:type="paragraph" w:customStyle="1" w:styleId="42">
    <w:name w:val="一级条标题"/>
    <w:next w:val="23"/>
    <w:qFormat/>
    <w:uiPriority w:val="0"/>
    <w:pPr>
      <w:numPr>
        <w:ilvl w:val="1"/>
        <w:numId w:val="2"/>
      </w:numPr>
      <w:spacing w:beforeLines="50" w:afterLines="50"/>
      <w:ind w:left="71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ind w:left="1277"/>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0"/>
      </w:numPr>
      <w:spacing w:beforeLines="0" w:afterLines="0"/>
      <w:ind w:firstLine="363"/>
      <w:outlineLvl w:val="9"/>
    </w:pPr>
    <w:rPr>
      <w:rFonts w:ascii="宋体" w:eastAsia="宋体"/>
      <w:sz w:val="18"/>
      <w:szCs w:val="18"/>
    </w:rPr>
  </w:style>
  <w:style w:type="paragraph" w:customStyle="1" w:styleId="63">
    <w:name w:val="二级无"/>
    <w:basedOn w:val="46"/>
    <w:qFormat/>
    <w:uiPriority w:val="0"/>
    <w:pPr>
      <w:spacing w:beforeLines="0" w:afterLines="0"/>
      <w:ind w:left="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basedOn w:val="34"/>
    <w:qFormat/>
    <w:uiPriority w:val="0"/>
    <w:rPr>
      <w:rFonts w:ascii="黑体" w:eastAsia="黑体"/>
      <w:spacing w:val="85"/>
      <w:w w:val="100"/>
      <w:position w:val="3"/>
      <w:sz w:val="28"/>
      <w:szCs w:val="28"/>
    </w:rPr>
  </w:style>
  <w:style w:type="paragraph" w:customStyle="1" w:styleId="74">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link w:val="149"/>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qFormat/>
    <w:uiPriority w:val="0"/>
    <w:pPr>
      <w:ind w:firstLine="0" w:firstLineChars="0"/>
      <w:jc w:val="center"/>
    </w:pPr>
    <w:rPr>
      <w:rFonts w:ascii="黑体" w:eastAsia="黑体"/>
    </w:rPr>
  </w:style>
  <w:style w:type="paragraph" w:customStyle="1" w:styleId="86">
    <w:name w:val="附录表标号"/>
    <w:basedOn w:val="1"/>
    <w:next w:val="23"/>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7">
    <w:name w:val="附录表标题"/>
    <w:basedOn w:val="1"/>
    <w:next w:val="23"/>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qFormat/>
    <w:uiPriority w:val="0"/>
    <w:pPr>
      <w:numPr>
        <w:ilvl w:val="4"/>
      </w:numPr>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6">
    <w:name w:val="附录四级条标题"/>
    <w:basedOn w:val="93"/>
    <w:next w:val="23"/>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9">
    <w:name w:val="附录图标题"/>
    <w:basedOn w:val="1"/>
    <w:next w:val="23"/>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3"/>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qFormat/>
    <w:uiPriority w:val="0"/>
    <w:pPr>
      <w:numPr>
        <w:ilvl w:val="2"/>
      </w:numPr>
      <w:autoSpaceDN w:val="0"/>
      <w:spacing w:beforeLines="50" w:afterLines="50"/>
      <w:outlineLvl w:val="2"/>
    </w:pPr>
  </w:style>
  <w:style w:type="paragraph" w:customStyle="1" w:styleId="104">
    <w:name w:val="附录一级无"/>
    <w:basedOn w:val="103"/>
    <w:qFormat/>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link w:val="150"/>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tabs>
        <w:tab w:val="left" w:pos="360"/>
      </w:tabs>
    </w:pPr>
    <w:rPr>
      <w:rFonts w:ascii="宋体" w:hAnsi="宋体" w:eastAsia="宋体" w:cs="Times New Roman"/>
      <w:kern w:val="2"/>
      <w:sz w:val="18"/>
      <w:szCs w:val="18"/>
      <w:lang w:val="en-US" w:eastAsia="zh-CN" w:bidi="ar-SA"/>
    </w:rPr>
  </w:style>
  <w:style w:type="character" w:customStyle="1" w:styleId="117">
    <w:name w:val="首示例 Char"/>
    <w:basedOn w:val="34"/>
    <w:link w:val="116"/>
    <w:qFormat/>
    <w:uiPriority w:val="0"/>
    <w:rPr>
      <w:rFonts w:ascii="宋体" w:hAnsi="宋体"/>
      <w:kern w:val="2"/>
      <w:sz w:val="18"/>
      <w:szCs w:val="18"/>
    </w:rPr>
  </w:style>
  <w:style w:type="paragraph" w:customStyle="1" w:styleId="118">
    <w:name w:val="四级无"/>
    <w:basedOn w:val="55"/>
    <w:uiPriority w:val="0"/>
    <w:pPr>
      <w:spacing w:beforeLines="0" w:afterLines="0"/>
    </w:pPr>
    <w:rPr>
      <w:rFonts w:ascii="宋体" w:eastAsia="宋体"/>
    </w:rPr>
  </w:style>
  <w:style w:type="paragraph" w:customStyle="1" w:styleId="119">
    <w:name w:val="条文脚注"/>
    <w:basedOn w:val="24"/>
    <w:qFormat/>
    <w:uiPriority w:val="0"/>
    <w:pPr>
      <w:numPr>
        <w:numId w:val="0"/>
      </w:numPr>
      <w:jc w:val="both"/>
    </w:pPr>
  </w:style>
  <w:style w:type="paragraph" w:customStyle="1" w:styleId="120">
    <w:name w:val="图标脚注说明"/>
    <w:basedOn w:val="23"/>
    <w:qFormat/>
    <w:uiPriority w:val="0"/>
    <w:pPr>
      <w:ind w:left="840" w:hanging="420" w:firstLineChars="0"/>
    </w:pPr>
    <w:rPr>
      <w:sz w:val="18"/>
      <w:szCs w:val="18"/>
    </w:rPr>
  </w:style>
  <w:style w:type="paragraph" w:customStyle="1" w:styleId="121">
    <w:name w:val="图表脚注说明"/>
    <w:basedOn w:val="1"/>
    <w:qFormat/>
    <w:uiPriority w:val="0"/>
    <w:pPr>
      <w:ind w:left="544" w:hanging="181"/>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ind w:left="993"/>
    </w:pPr>
    <w:rPr>
      <w:rFonts w:ascii="宋体" w:eastAsia="宋体"/>
    </w:rPr>
  </w:style>
  <w:style w:type="paragraph" w:customStyle="1" w:styleId="126">
    <w:name w:val="正文表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character" w:customStyle="1" w:styleId="137">
    <w:name w:val="批注框文本 字符"/>
    <w:basedOn w:val="34"/>
    <w:link w:val="16"/>
    <w:qFormat/>
    <w:uiPriority w:val="0"/>
    <w:rPr>
      <w:kern w:val="2"/>
      <w:sz w:val="18"/>
      <w:szCs w:val="18"/>
    </w:rPr>
  </w:style>
  <w:style w:type="paragraph" w:customStyle="1" w:styleId="138">
    <w:name w:val="二级无标题条"/>
    <w:basedOn w:val="1"/>
    <w:qFormat/>
    <w:uiPriority w:val="0"/>
    <w:pPr>
      <w:numPr>
        <w:ilvl w:val="3"/>
        <w:numId w:val="10"/>
      </w:numPr>
    </w:pPr>
  </w:style>
  <w:style w:type="paragraph" w:customStyle="1" w:styleId="139">
    <w:name w:val="三级无标题条"/>
    <w:basedOn w:val="1"/>
    <w:qFormat/>
    <w:uiPriority w:val="0"/>
    <w:pPr>
      <w:numPr>
        <w:ilvl w:val="4"/>
        <w:numId w:val="10"/>
      </w:numPr>
    </w:pPr>
  </w:style>
  <w:style w:type="paragraph" w:customStyle="1" w:styleId="140">
    <w:name w:val="四级无标题条"/>
    <w:basedOn w:val="1"/>
    <w:qFormat/>
    <w:uiPriority w:val="0"/>
    <w:pPr>
      <w:numPr>
        <w:ilvl w:val="5"/>
        <w:numId w:val="10"/>
      </w:numPr>
    </w:pPr>
  </w:style>
  <w:style w:type="paragraph" w:customStyle="1" w:styleId="141">
    <w:name w:val="五级无标题条"/>
    <w:basedOn w:val="1"/>
    <w:qFormat/>
    <w:uiPriority w:val="0"/>
    <w:pPr>
      <w:numPr>
        <w:ilvl w:val="6"/>
        <w:numId w:val="10"/>
      </w:numPr>
    </w:pPr>
  </w:style>
  <w:style w:type="paragraph" w:customStyle="1" w:styleId="142">
    <w:name w:val="一级无标题条"/>
    <w:basedOn w:val="1"/>
    <w:qFormat/>
    <w:uiPriority w:val="0"/>
    <w:pPr>
      <w:numPr>
        <w:ilvl w:val="2"/>
        <w:numId w:val="10"/>
      </w:numPr>
    </w:pPr>
  </w:style>
  <w:style w:type="character" w:customStyle="1" w:styleId="143">
    <w:name w:val="批注文字 字符"/>
    <w:basedOn w:val="34"/>
    <w:link w:val="7"/>
    <w:qFormat/>
    <w:uiPriority w:val="0"/>
    <w:rPr>
      <w:kern w:val="2"/>
      <w:sz w:val="21"/>
      <w:szCs w:val="24"/>
    </w:rPr>
  </w:style>
  <w:style w:type="character" w:customStyle="1" w:styleId="144">
    <w:name w:val="medium_text1"/>
    <w:qFormat/>
    <w:uiPriority w:val="0"/>
    <w:rPr>
      <w:sz w:val="24"/>
      <w:szCs w:val="24"/>
    </w:rPr>
  </w:style>
  <w:style w:type="paragraph" w:styleId="145">
    <w:name w:val="List Paragraph"/>
    <w:basedOn w:val="1"/>
    <w:qFormat/>
    <w:uiPriority w:val="34"/>
    <w:pPr>
      <w:ind w:firstLine="420" w:firstLineChars="200"/>
    </w:pPr>
  </w:style>
  <w:style w:type="character" w:styleId="146">
    <w:name w:val="Placeholder Text"/>
    <w:basedOn w:val="34"/>
    <w:semiHidden/>
    <w:qFormat/>
    <w:uiPriority w:val="99"/>
    <w:rPr>
      <w:color w:val="808080"/>
    </w:rPr>
  </w:style>
  <w:style w:type="character" w:customStyle="1" w:styleId="147">
    <w:name w:val="正文文本 字符"/>
    <w:basedOn w:val="34"/>
    <w:link w:val="9"/>
    <w:semiHidden/>
    <w:qFormat/>
    <w:uiPriority w:val="0"/>
    <w:rPr>
      <w:kern w:val="2"/>
      <w:sz w:val="21"/>
      <w:szCs w:val="24"/>
    </w:rPr>
  </w:style>
  <w:style w:type="character" w:customStyle="1" w:styleId="148">
    <w:name w:val="正文文本首行缩进 字符"/>
    <w:basedOn w:val="147"/>
    <w:link w:val="31"/>
    <w:semiHidden/>
    <w:qFormat/>
    <w:uiPriority w:val="0"/>
    <w:rPr>
      <w:kern w:val="2"/>
      <w:sz w:val="21"/>
      <w:szCs w:val="24"/>
    </w:rPr>
  </w:style>
  <w:style w:type="character" w:customStyle="1" w:styleId="149">
    <w:name w:val="封面标准名称 Char"/>
    <w:link w:val="78"/>
    <w:qFormat/>
    <w:uiPriority w:val="0"/>
    <w:rPr>
      <w:rFonts w:ascii="黑体" w:hAnsi="Times New Roman" w:eastAsia="黑体" w:cs="Times New Roman"/>
      <w:sz w:val="52"/>
      <w:lang w:val="en-US" w:eastAsia="zh-CN" w:bidi="ar-SA"/>
    </w:rPr>
  </w:style>
  <w:style w:type="character" w:customStyle="1" w:styleId="150">
    <w:name w:val="其他标准称谓 Char"/>
    <w:link w:val="110"/>
    <w:qFormat/>
    <w:uiPriority w:val="0"/>
    <w:rPr>
      <w:rFonts w:ascii="黑体" w:hAnsi="宋体" w:eastAsia="黑体" w:cs="Times New Roman"/>
      <w:spacing w:val="-40"/>
      <w:sz w:val="48"/>
      <w:szCs w:val="5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16DF6-ABF9-4749-A877-78A533659864}">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17</Pages>
  <Words>15178</Words>
  <Characters>19623</Characters>
  <Lines>69</Lines>
  <Paragraphs>19</Paragraphs>
  <TotalTime>4</TotalTime>
  <ScaleCrop>false</ScaleCrop>
  <LinksUpToDate>false</LinksUpToDate>
  <CharactersWithSpaces>19818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2021-05-23T02:25:00Z</dcterms:created>
  <dc:creator>CNIS</dc:creator>
  <cp:lastModifiedBy>素素</cp:lastModifiedBy>
  <cp:lastPrinted>2021-03-21T07:58:00Z</cp:lastPrinted>
  <dcterms:modified xsi:type="dcterms:W3CDTF">2023-02-10T05:20:42Z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7689B1BAA58D45A38A7E84FB5C4C4029</vt:lpwstr>
  </property>
</Properties>
</file>