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asciiTheme="minorEastAsia" w:hAnsiTheme="minorEastAsia"/>
          <w:b/>
          <w:bCs/>
          <w:sz w:val="28"/>
          <w:szCs w:val="28"/>
        </w:rPr>
      </w:pPr>
      <w:r>
        <w:rPr>
          <w:rFonts w:hint="eastAsia" w:asciiTheme="minorEastAsia" w:hAnsiTheme="minorEastAsia"/>
          <w:b/>
          <w:bCs/>
          <w:sz w:val="28"/>
          <w:szCs w:val="28"/>
        </w:rPr>
        <w:t>国家标准《半导体器件 功率器件用碳化硅同质外延片缺陷的无损检测识别判据 第</w:t>
      </w:r>
      <w:r>
        <w:rPr>
          <w:rFonts w:asciiTheme="minorEastAsia" w:hAnsiTheme="minorEastAsia"/>
          <w:b/>
          <w:bCs/>
          <w:sz w:val="28"/>
          <w:szCs w:val="28"/>
        </w:rPr>
        <w:t>2</w:t>
      </w:r>
      <w:r>
        <w:rPr>
          <w:rFonts w:hint="eastAsia" w:asciiTheme="minorEastAsia" w:hAnsiTheme="minorEastAsia"/>
          <w:b/>
          <w:bCs/>
          <w:sz w:val="28"/>
          <w:szCs w:val="28"/>
        </w:rPr>
        <w:t>部分：缺陷的光学检测方法》</w:t>
      </w:r>
    </w:p>
    <w:p>
      <w:pPr>
        <w:adjustRightInd w:val="0"/>
        <w:snapToGrid w:val="0"/>
        <w:jc w:val="center"/>
        <w:rPr>
          <w:rFonts w:asciiTheme="minorEastAsia" w:hAnsiTheme="minorEastAsia"/>
          <w:b/>
          <w:bCs/>
          <w:sz w:val="28"/>
          <w:szCs w:val="28"/>
        </w:rPr>
      </w:pPr>
      <w:r>
        <w:rPr>
          <w:rFonts w:hint="eastAsia" w:asciiTheme="minorEastAsia" w:hAnsiTheme="minorEastAsia"/>
          <w:b/>
          <w:bCs/>
          <w:sz w:val="28"/>
          <w:szCs w:val="28"/>
        </w:rPr>
        <w:t>编制说明</w:t>
      </w:r>
    </w:p>
    <w:p>
      <w:pPr>
        <w:pStyle w:val="16"/>
        <w:numPr>
          <w:ilvl w:val="0"/>
          <w:numId w:val="4"/>
        </w:numPr>
        <w:spacing w:line="360" w:lineRule="auto"/>
        <w:ind w:firstLineChars="0"/>
        <w:rPr>
          <w:rFonts w:asciiTheme="minorEastAsia" w:hAnsiTheme="minorEastAsia"/>
          <w:b/>
          <w:bCs/>
          <w:sz w:val="24"/>
          <w:szCs w:val="24"/>
        </w:rPr>
      </w:pPr>
      <w:r>
        <w:rPr>
          <w:rFonts w:hint="eastAsia" w:ascii="宋体" w:hAnsi="宋体" w:eastAsia="宋体"/>
          <w:b/>
          <w:bCs/>
          <w:sz w:val="24"/>
          <w:szCs w:val="24"/>
        </w:rPr>
        <w:t>工</w:t>
      </w:r>
      <w:r>
        <w:rPr>
          <w:rFonts w:hint="eastAsia" w:asciiTheme="minorEastAsia" w:hAnsiTheme="minorEastAsia"/>
          <w:b/>
          <w:bCs/>
          <w:sz w:val="24"/>
          <w:szCs w:val="24"/>
        </w:rPr>
        <w:t>作简况</w:t>
      </w:r>
    </w:p>
    <w:p>
      <w:pPr>
        <w:pStyle w:val="16"/>
        <w:numPr>
          <w:ilvl w:val="0"/>
          <w:numId w:val="5"/>
        </w:numPr>
        <w:spacing w:line="360" w:lineRule="auto"/>
        <w:ind w:left="567" w:hanging="567" w:firstLineChars="0"/>
        <w:rPr>
          <w:rFonts w:asciiTheme="minorEastAsia" w:hAnsiTheme="minorEastAsia"/>
          <w:b/>
          <w:bCs/>
          <w:sz w:val="28"/>
        </w:rPr>
      </w:pPr>
      <w:r>
        <w:rPr>
          <w:rFonts w:hint="eastAsia" w:asciiTheme="minorEastAsia" w:hAnsiTheme="minorEastAsia"/>
          <w:b/>
          <w:bCs/>
          <w:sz w:val="24"/>
        </w:rPr>
        <w:t>立项目的和意义</w:t>
      </w:r>
    </w:p>
    <w:p>
      <w:pPr>
        <w:adjustRightInd w:val="0"/>
        <w:snapToGrid w:val="0"/>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碳化硅（</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作为典型的宽禁带半导体材料，与硅(Si)相比，具有击穿电场高、导热率高、饱和电子漂移速度高和本征载流子浓度低等优越的物理性能，非常适合在大功率、高温和高频环境下应用，因此广泛应用于新一代功率半导体器件中。</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基功率半导体器件相对于硅基器件，具有更快的开关速度、低损耗、高阻断电压和耐高温等性能。当前，全球半导体产业正处于深度变革，化合物半导体成为产业发展新的关注点，我国正加紧产业布局，抢占发展的主动权。</w:t>
      </w:r>
    </w:p>
    <w:p>
      <w:pPr>
        <w:adjustRightInd w:val="0"/>
        <w:snapToGrid w:val="0"/>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外延片是在碳化硅单晶抛光片上经过化学气相沉积反应生长一层导电类型、载流子浓度、厚度和晶格结构都符合要求的碳化硅单晶薄膜，</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同质外延片中存在的缺陷是衡量</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外延片质量的重要参数，也直接影响</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基功率半导体器件的成品率和可靠性，准确识别</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外延片中的缺陷，对于</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外延片的制备、使用有重要的意义。关于</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外延片中的缺陷分类及其检测方法，在我国目前均无统一的标准，需制定国家标准，规范</w:t>
      </w:r>
      <w:r>
        <w:rPr>
          <w:rFonts w:asciiTheme="minorEastAsia" w:hAnsiTheme="minorEastAsia"/>
          <w:color w:val="000000" w:themeColor="text1"/>
          <w:sz w:val="24"/>
          <w:szCs w:val="24"/>
          <w14:textFill>
            <w14:solidFill>
              <w14:schemeClr w14:val="tx1"/>
            </w14:solidFill>
          </w14:textFill>
        </w:rPr>
        <w:t>SiC</w:t>
      </w:r>
      <w:r>
        <w:rPr>
          <w:rFonts w:hint="eastAsia" w:asciiTheme="minorEastAsia" w:hAnsiTheme="minorEastAsia"/>
          <w:color w:val="000000" w:themeColor="text1"/>
          <w:sz w:val="24"/>
          <w:szCs w:val="24"/>
          <w14:textFill>
            <w14:solidFill>
              <w14:schemeClr w14:val="tx1"/>
            </w14:solidFill>
          </w14:textFill>
        </w:rPr>
        <w:t>外延片的缺陷分类及其检测方法，指导SiC外延片的生产和使用，促进国内SiC半导体材料和SiC基功率半导体器件的发展。</w:t>
      </w:r>
    </w:p>
    <w:p>
      <w:pPr>
        <w:pStyle w:val="16"/>
        <w:numPr>
          <w:ilvl w:val="0"/>
          <w:numId w:val="5"/>
        </w:numPr>
        <w:spacing w:line="360" w:lineRule="auto"/>
        <w:ind w:left="709" w:firstLineChars="0"/>
        <w:rPr>
          <w:rFonts w:ascii="宋体" w:hAnsi="宋体" w:eastAsia="宋体"/>
          <w:b/>
          <w:bCs/>
          <w:sz w:val="24"/>
          <w:szCs w:val="24"/>
        </w:rPr>
      </w:pPr>
      <w:r>
        <w:rPr>
          <w:rFonts w:hint="eastAsia" w:ascii="宋体" w:hAnsi="宋体" w:eastAsia="宋体"/>
          <w:b/>
          <w:bCs/>
          <w:sz w:val="24"/>
          <w:szCs w:val="24"/>
        </w:rPr>
        <w:t>任务来源</w:t>
      </w:r>
    </w:p>
    <w:p>
      <w:pPr>
        <w:pStyle w:val="20"/>
        <w:spacing w:line="360" w:lineRule="auto"/>
        <w:ind w:firstLine="480"/>
        <w:rPr>
          <w:sz w:val="24"/>
          <w:szCs w:val="24"/>
        </w:rPr>
      </w:pPr>
      <w:r>
        <w:rPr>
          <w:rFonts w:hint="eastAsia" w:hAnsi="宋体"/>
          <w:sz w:val="24"/>
          <w:szCs w:val="24"/>
        </w:rPr>
        <w:t>《半导体器件 功率器件用碳化硅同质外延片缺陷的无损检测识别判据 第</w:t>
      </w:r>
      <w:r>
        <w:rPr>
          <w:rFonts w:hAnsi="宋体"/>
          <w:sz w:val="24"/>
          <w:szCs w:val="24"/>
        </w:rPr>
        <w:t>2</w:t>
      </w:r>
      <w:r>
        <w:rPr>
          <w:rFonts w:hint="eastAsia" w:hAnsi="宋体"/>
          <w:sz w:val="24"/>
          <w:szCs w:val="24"/>
        </w:rPr>
        <w:t>部分：缺陷的光学检测方法》标准制定是2021年第4批国家标准计划项目，</w:t>
      </w:r>
      <w:r>
        <w:rPr>
          <w:rFonts w:ascii="Times New Roman"/>
          <w:sz w:val="24"/>
          <w:szCs w:val="24"/>
        </w:rPr>
        <w:t>计划项目批准文号：</w:t>
      </w:r>
      <w:r>
        <w:rPr>
          <w:rFonts w:hint="eastAsia"/>
          <w:sz w:val="24"/>
        </w:rPr>
        <w:t>国标委发【</w:t>
      </w:r>
      <w:r>
        <w:rPr>
          <w:sz w:val="24"/>
        </w:rPr>
        <w:t>202</w:t>
      </w:r>
      <w:r>
        <w:rPr>
          <w:rFonts w:hint="eastAsia"/>
          <w:sz w:val="24"/>
        </w:rPr>
        <w:t>1】41号，</w:t>
      </w:r>
      <w:r>
        <w:rPr>
          <w:rFonts w:hint="eastAsia" w:hAnsi="宋体"/>
          <w:sz w:val="24"/>
          <w:szCs w:val="24"/>
        </w:rPr>
        <w:t>计划项目代号：2</w:t>
      </w:r>
      <w:r>
        <w:rPr>
          <w:rFonts w:hAnsi="宋体"/>
          <w:sz w:val="24"/>
          <w:szCs w:val="24"/>
        </w:rPr>
        <w:t>0214649-T-469</w:t>
      </w:r>
      <w:r>
        <w:rPr>
          <w:rFonts w:hint="eastAsia" w:hAnsi="宋体"/>
          <w:sz w:val="24"/>
          <w:szCs w:val="24"/>
        </w:rPr>
        <w:t>。归口单位为全国半导体设备和材料标准化技术委员会（TC 203）归口，执行单位为全国半导体设备和材料标准化技术委员会材料分会（TC 203/SC2），承办单位为中国电子科技集团公司第十三研究所，项目周期为18个月。</w:t>
      </w:r>
    </w:p>
    <w:p>
      <w:pPr>
        <w:pStyle w:val="16"/>
        <w:numPr>
          <w:ilvl w:val="0"/>
          <w:numId w:val="5"/>
        </w:numPr>
        <w:spacing w:line="360" w:lineRule="auto"/>
        <w:ind w:firstLineChars="0"/>
        <w:rPr>
          <w:rFonts w:ascii="宋体" w:hAnsi="宋体" w:eastAsia="宋体"/>
          <w:b/>
          <w:bCs/>
          <w:sz w:val="24"/>
          <w:szCs w:val="24"/>
        </w:rPr>
      </w:pPr>
      <w:r>
        <w:rPr>
          <w:rFonts w:hint="eastAsia" w:ascii="宋体" w:hAnsi="宋体" w:eastAsia="宋体"/>
          <w:b/>
          <w:bCs/>
          <w:sz w:val="24"/>
          <w:szCs w:val="24"/>
        </w:rPr>
        <w:t>主要工作过程</w:t>
      </w:r>
    </w:p>
    <w:p>
      <w:pPr>
        <w:spacing w:line="360" w:lineRule="auto"/>
        <w:rPr>
          <w:rFonts w:asciiTheme="minorEastAsia" w:hAnsiTheme="minorEastAsia" w:cstheme="minorEastAsia"/>
          <w:b/>
          <w:bCs/>
          <w:sz w:val="24"/>
          <w:szCs w:val="24"/>
        </w:rPr>
      </w:pPr>
      <w:r>
        <w:rPr>
          <w:rFonts w:asciiTheme="minorEastAsia" w:hAnsiTheme="minorEastAsia" w:cstheme="minorEastAsia"/>
          <w:b/>
          <w:bCs/>
          <w:sz w:val="24"/>
          <w:szCs w:val="24"/>
        </w:rPr>
        <w:t>3.1</w:t>
      </w:r>
      <w:r>
        <w:rPr>
          <w:rFonts w:hint="eastAsia" w:asciiTheme="minorEastAsia" w:hAnsiTheme="minorEastAsia" w:cstheme="minorEastAsia"/>
          <w:b/>
          <w:bCs/>
          <w:sz w:val="24"/>
          <w:szCs w:val="24"/>
        </w:rPr>
        <w:t>、起草阶段</w:t>
      </w:r>
    </w:p>
    <w:p>
      <w:pPr>
        <w:pStyle w:val="26"/>
        <w:spacing w:line="360" w:lineRule="auto"/>
        <w:ind w:left="120" w:leftChars="57" w:firstLine="360" w:firstLineChars="150"/>
        <w:rPr>
          <w:rFonts w:cs="Times New Roman"/>
        </w:rPr>
      </w:pPr>
      <w:r>
        <w:rPr>
          <w:rFonts w:cs="Times New Roman"/>
        </w:rPr>
        <w:t>2022.1~2022</w:t>
      </w:r>
      <w:r>
        <w:rPr>
          <w:rFonts w:hint="eastAsia" w:cs="Times New Roman"/>
        </w:rPr>
        <w:t>.</w:t>
      </w:r>
      <w:r>
        <w:rPr>
          <w:rFonts w:cs="Times New Roman"/>
        </w:rPr>
        <w:t>6</w:t>
      </w:r>
      <w:r>
        <w:rPr>
          <w:rFonts w:hint="eastAsia" w:cs="Times New Roman"/>
        </w:rPr>
        <w:t>:成立了编制组, 查询、收集和分析相关标准资料。编制组由半导体材料的设计人员、工艺人员、检验试验管理人员和标准化人员组成；编制组首先对</w:t>
      </w:r>
      <w:r>
        <w:rPr>
          <w:rFonts w:hint="eastAsia"/>
          <w:color w:val="000000"/>
        </w:rPr>
        <w:t>IEC 63068-</w:t>
      </w:r>
      <w:r>
        <w:rPr>
          <w:color w:val="000000"/>
        </w:rPr>
        <w:t>2</w:t>
      </w:r>
      <w:r>
        <w:rPr>
          <w:rFonts w:hint="eastAsia"/>
          <w:color w:val="000000"/>
        </w:rPr>
        <w:t xml:space="preserve"> Ed1.0:2019</w:t>
      </w:r>
      <w:r>
        <w:rPr>
          <w:rFonts w:hint="eastAsia" w:cs="Times New Roman"/>
        </w:rPr>
        <w:t>进行翻译和研究，同时对收集的SiC外延材料相关的标准和资料进行分析。编写组召开研讨会，</w:t>
      </w:r>
      <w:r>
        <w:rPr>
          <w:rFonts w:hint="eastAsia" w:cs="Times New Roman" w:asciiTheme="minorEastAsia" w:hAnsiTheme="minorEastAsia"/>
        </w:rPr>
        <w:t>在草案的基础上对标准的内容进行进一步的完善，形成《半导体器件 功率器件用碳化硅同质外延片缺陷的无损检测识别判据 第2部分：缺陷的光学检测方法》征求意见稿.</w:t>
      </w:r>
    </w:p>
    <w:p>
      <w:pPr>
        <w:pStyle w:val="16"/>
        <w:numPr>
          <w:ilvl w:val="0"/>
          <w:numId w:val="5"/>
        </w:numPr>
        <w:spacing w:line="360" w:lineRule="auto"/>
        <w:ind w:firstLineChars="0"/>
        <w:rPr>
          <w:rFonts w:ascii="宋体" w:hAnsi="宋体" w:eastAsia="宋体" w:cs="Times New Roman"/>
          <w:b/>
          <w:sz w:val="24"/>
          <w:szCs w:val="24"/>
        </w:rPr>
      </w:pPr>
      <w:r>
        <w:rPr>
          <w:rFonts w:hint="eastAsia" w:ascii="宋体" w:hAnsi="宋体" w:eastAsia="宋体" w:cs="Times New Roman"/>
          <w:b/>
          <w:sz w:val="24"/>
          <w:szCs w:val="24"/>
        </w:rPr>
        <w:t>标准主要起草单位及人员所做的工作</w:t>
      </w:r>
    </w:p>
    <w:p>
      <w:pPr>
        <w:pStyle w:val="16"/>
        <w:spacing w:line="360" w:lineRule="auto"/>
        <w:ind w:firstLine="480"/>
        <w:rPr>
          <w:rFonts w:ascii="宋体" w:hAnsi="宋体"/>
          <w:sz w:val="24"/>
        </w:rPr>
      </w:pPr>
      <w:r>
        <w:rPr>
          <w:rFonts w:hint="eastAsia" w:ascii="宋体" w:hAnsi="宋体"/>
          <w:sz w:val="24"/>
        </w:rPr>
        <w:t>中国电子科技集团公司第十三研究所作为本标准的主要承办单位，是国内最早开展SiC同质外延材料生长研究的单位之一，多年从事各种材料的研制工作。目前已实现SiC外延材料工程化生产，形成了碳化硅外延工艺生产和测试平台，掌握了设计仿真、缺陷表征、参数检测以及稳定性控制的全套外延生产技术，SiC外延片产品掺杂浓度不均匀性、厚度不均匀性、缺陷等典型指标达到国内领先水平，技术力量雄厚，测试分析手段丰富，拥有多台套国际先进、全系列的半导体外延材料测试设备，具备制定本标准的技术实力，在标准制定过程中同时也牵头组织了标准的试验验证工作，为标准技术内容的确定奠定了技术基础。</w:t>
      </w:r>
    </w:p>
    <w:p>
      <w:pPr>
        <w:pStyle w:val="16"/>
        <w:numPr>
          <w:ilvl w:val="0"/>
          <w:numId w:val="4"/>
        </w:numPr>
        <w:spacing w:line="360" w:lineRule="auto"/>
        <w:ind w:firstLineChars="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sz w:val="24"/>
          <w:szCs w:val="24"/>
        </w:rPr>
        <w:t>标准编制原则及确定标准主要内容的依据</w:t>
      </w:r>
    </w:p>
    <w:p>
      <w:pPr>
        <w:pStyle w:val="16"/>
        <w:numPr>
          <w:ilvl w:val="0"/>
          <w:numId w:val="6"/>
        </w:numPr>
        <w:spacing w:line="360" w:lineRule="auto"/>
        <w:ind w:firstLineChars="0"/>
        <w:rPr>
          <w:rFonts w:ascii="宋体" w:hAnsi="宋体" w:eastAsia="宋体"/>
          <w:b/>
          <w:bCs/>
          <w:color w:val="E7E6E6" w:themeColor="background2"/>
          <w:sz w:val="24"/>
          <w:szCs w:val="24"/>
          <w14:textFill>
            <w14:solidFill>
              <w14:schemeClr w14:val="bg2"/>
            </w14:solidFill>
          </w14:textFill>
        </w:rPr>
      </w:pPr>
      <w:r>
        <w:rPr>
          <w:rFonts w:hint="eastAsia" w:ascii="宋体" w:hAnsi="宋体" w:eastAsia="宋体"/>
          <w:b/>
          <w:bCs/>
          <w:sz w:val="24"/>
          <w:szCs w:val="24"/>
        </w:rPr>
        <w:t>编制原则</w:t>
      </w:r>
    </w:p>
    <w:p>
      <w:pPr>
        <w:spacing w:line="360" w:lineRule="auto"/>
        <w:ind w:firstLine="420"/>
        <w:rPr>
          <w:rFonts w:ascii="宋体" w:hAnsi="宋体" w:eastAsia="宋体"/>
          <w:sz w:val="24"/>
          <w:szCs w:val="24"/>
        </w:rPr>
      </w:pPr>
      <w:r>
        <w:rPr>
          <w:rFonts w:hint="eastAsia" w:ascii="宋体" w:hAnsi="宋体" w:eastAsia="宋体"/>
          <w:sz w:val="24"/>
          <w:szCs w:val="24"/>
        </w:rPr>
        <w:t>本标准等同采用IEC 63068-</w:t>
      </w:r>
      <w:r>
        <w:rPr>
          <w:rFonts w:ascii="宋体" w:hAnsi="宋体" w:eastAsia="宋体"/>
          <w:sz w:val="24"/>
          <w:szCs w:val="24"/>
        </w:rPr>
        <w:t>2</w:t>
      </w:r>
      <w:r>
        <w:rPr>
          <w:rFonts w:hint="eastAsia" w:ascii="宋体" w:hAnsi="宋体" w:eastAsia="宋体"/>
          <w:sz w:val="24"/>
          <w:szCs w:val="24"/>
        </w:rPr>
        <w:t xml:space="preserve"> Ed1.0:2019《半导体器件 功率器件用碳化硅同质外延片缺陷的无损检测识别判据 第2部分：缺陷的光学检测方法》。</w:t>
      </w:r>
      <w:r>
        <w:rPr>
          <w:rFonts w:hint="eastAsia" w:asciiTheme="minorEastAsia" w:hAnsiTheme="minorEastAsia" w:cstheme="minorEastAsia"/>
          <w:sz w:val="24"/>
          <w:szCs w:val="24"/>
        </w:rPr>
        <w:t>标准编写符合GB/T 1.1—2020《标准化工作导则 第1部分：标准化文件的结构和起草规则》、GB/T 1.2-2020 《标准化工作导则 第2部分：以ISO/IEC标准化文件为基础的标准化文件起草规则》的规定。</w:t>
      </w:r>
    </w:p>
    <w:p>
      <w:pPr>
        <w:pStyle w:val="16"/>
        <w:numPr>
          <w:ilvl w:val="0"/>
          <w:numId w:val="6"/>
        </w:numPr>
        <w:spacing w:line="360" w:lineRule="auto"/>
        <w:ind w:firstLineChars="0"/>
        <w:rPr>
          <w:rFonts w:ascii="宋体" w:hAnsi="宋体" w:eastAsia="宋体"/>
          <w:b/>
          <w:bCs/>
          <w:sz w:val="24"/>
          <w:szCs w:val="24"/>
        </w:rPr>
      </w:pPr>
      <w:r>
        <w:rPr>
          <w:rFonts w:hint="eastAsia" w:ascii="宋体" w:hAnsi="宋体" w:eastAsia="宋体"/>
          <w:b/>
          <w:bCs/>
          <w:sz w:val="24"/>
          <w:szCs w:val="24"/>
        </w:rPr>
        <w:t>标准主要内容的确定依据</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除编辑性修改外，标准的结构和内容与IEC 63068-2：2019保持一致。本标准包含了范围、引用文件、术语和定义和光学检测方法四章内容，其中检测方法中对测试的原理、条件、参数设置、程序、评价和报告等内容进行详细的规定。具体说明如下：</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1）范围：商用碳化硅（SiC）同质外延片产品上缺陷的光学检测方法。</w:t>
      </w:r>
    </w:p>
    <w:p>
      <w:pPr>
        <w:spacing w:line="360" w:lineRule="auto"/>
        <w:ind w:firstLine="480" w:firstLineChars="200"/>
        <w:rPr>
          <w:rFonts w:asciiTheme="minorEastAsia" w:hAnsiTheme="minorEastAsia" w:cstheme="minorEastAsia"/>
          <w:color w:val="FF0000"/>
          <w:sz w:val="24"/>
          <w:szCs w:val="24"/>
        </w:rPr>
      </w:pPr>
      <w:r>
        <w:rPr>
          <w:rFonts w:hint="eastAsia" w:asciiTheme="minorEastAsia" w:hAnsiTheme="minorEastAsia" w:cstheme="minorEastAsia"/>
          <w:sz w:val="24"/>
          <w:szCs w:val="24"/>
        </w:rPr>
        <w:t>2）</w:t>
      </w:r>
      <w:r>
        <w:rPr>
          <w:rFonts w:hint="eastAsia" w:asciiTheme="minorEastAsia" w:hAnsiTheme="minorEastAsia" w:cstheme="minorEastAsia"/>
          <w:color w:val="000000" w:themeColor="text1"/>
          <w:sz w:val="24"/>
          <w:szCs w:val="24"/>
          <w14:textFill>
            <w14:solidFill>
              <w14:schemeClr w14:val="tx1"/>
            </w14:solidFill>
          </w14:textFill>
        </w:rPr>
        <w:t>规范性引用文件：本标准没有规范性引用文件，按照GB/T 1.1的编写要求，保留该章编号和标题的设置。</w:t>
      </w:r>
    </w:p>
    <w:p>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3）术语和定义：给出了光学检测、光学成像、照明等术语定义，本文件中术语主要参考I</w:t>
      </w:r>
      <w:r>
        <w:rPr>
          <w:rFonts w:asciiTheme="minorEastAsia" w:hAnsiTheme="minorEastAsia" w:cstheme="minorEastAsia"/>
          <w:color w:val="000000" w:themeColor="text1"/>
          <w:sz w:val="24"/>
          <w:szCs w:val="24"/>
          <w14:textFill>
            <w14:solidFill>
              <w14:schemeClr w14:val="tx1"/>
            </w14:solidFill>
          </w14:textFill>
        </w:rPr>
        <w:t>EC</w:t>
      </w:r>
      <w:r>
        <w:rPr>
          <w:rFonts w:hint="eastAsia" w:asciiTheme="minorEastAsia" w:hAnsiTheme="minorEastAsia" w:cstheme="minorEastAsia"/>
          <w:color w:val="000000" w:themeColor="text1"/>
          <w:sz w:val="24"/>
          <w:szCs w:val="24"/>
          <w14:textFill>
            <w14:solidFill>
              <w14:schemeClr w14:val="tx1"/>
            </w14:solidFill>
          </w14:textFill>
        </w:rPr>
        <w:t>标准原文翻译，尽量和I</w:t>
      </w:r>
      <w:r>
        <w:rPr>
          <w:rFonts w:asciiTheme="minorEastAsia" w:hAnsiTheme="minorEastAsia" w:cstheme="minorEastAsia"/>
          <w:color w:val="000000" w:themeColor="text1"/>
          <w:sz w:val="24"/>
          <w:szCs w:val="24"/>
          <w14:textFill>
            <w14:solidFill>
              <w14:schemeClr w14:val="tx1"/>
            </w14:solidFill>
          </w14:textFill>
        </w:rPr>
        <w:t>EC</w:t>
      </w:r>
      <w:r>
        <w:rPr>
          <w:rFonts w:hint="eastAsia" w:asciiTheme="minorEastAsia" w:hAnsiTheme="minorEastAsia" w:cstheme="minorEastAsia"/>
          <w:color w:val="000000" w:themeColor="text1"/>
          <w:sz w:val="24"/>
          <w:szCs w:val="24"/>
          <w14:textFill>
            <w14:solidFill>
              <w14:schemeClr w14:val="tx1"/>
            </w14:solidFill>
          </w14:textFill>
        </w:rPr>
        <w:t>原文保持一致。</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4）</w:t>
      </w:r>
      <w:r>
        <w:rPr>
          <w:rFonts w:hint="eastAsia" w:asciiTheme="minorEastAsia" w:hAnsiTheme="minorEastAsia" w:cstheme="minorEastAsia"/>
          <w:sz w:val="24"/>
          <w:szCs w:val="24"/>
        </w:rPr>
        <w:t>光学检测方法：规定了具有表面形态特征的缺陷的光学检测方法。其中包括测试原理、测试条件、测试参数设置和测试数据处理方法。</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5）附录A为资料性附录：介绍了反射照明下通过明场差分干涉获得的4H-SiC同质外延片缺陷的典型图像和特征。</w:t>
      </w:r>
    </w:p>
    <w:p>
      <w:pPr>
        <w:spacing w:line="500" w:lineRule="exact"/>
        <w:rPr>
          <w:rFonts w:ascii="宋体" w:hAnsi="宋体" w:eastAsia="宋体"/>
          <w:b/>
          <w:bCs/>
          <w:sz w:val="24"/>
          <w:szCs w:val="24"/>
        </w:rPr>
      </w:pPr>
      <w:bookmarkStart w:id="0" w:name="page12"/>
      <w:bookmarkEnd w:id="0"/>
      <w:bookmarkStart w:id="1" w:name="page13"/>
      <w:bookmarkEnd w:id="1"/>
      <w:bookmarkStart w:id="2" w:name="page11"/>
      <w:bookmarkEnd w:id="2"/>
      <w:r>
        <w:rPr>
          <w:rFonts w:hint="eastAsia" w:ascii="宋体" w:hAnsi="宋体" w:eastAsia="宋体"/>
          <w:b/>
          <w:bCs/>
          <w:sz w:val="24"/>
          <w:szCs w:val="24"/>
        </w:rPr>
        <w:t>三、标准水平分析</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本标准</w:t>
      </w:r>
      <w:r>
        <w:rPr>
          <w:rFonts w:hint="eastAsia"/>
          <w:color w:val="000000"/>
          <w:sz w:val="24"/>
        </w:rPr>
        <w:t>等同采用IEC 63068-</w:t>
      </w:r>
      <w:r>
        <w:rPr>
          <w:color w:val="000000"/>
          <w:sz w:val="24"/>
        </w:rPr>
        <w:t>2</w:t>
      </w:r>
      <w:r>
        <w:rPr>
          <w:rFonts w:hint="eastAsia"/>
          <w:color w:val="000000"/>
          <w:sz w:val="24"/>
        </w:rPr>
        <w:t xml:space="preserve"> Ed1.0:2019 《Semiconductor device-Non-destructive recognition criteria of defects in silicon carbide homoepitaxial wafer for power devices –Part </w:t>
      </w:r>
      <w:r>
        <w:rPr>
          <w:color w:val="000000"/>
          <w:sz w:val="24"/>
        </w:rPr>
        <w:t>2</w:t>
      </w:r>
      <w:r>
        <w:rPr>
          <w:rFonts w:hint="eastAsia"/>
          <w:color w:val="000000"/>
          <w:sz w:val="24"/>
        </w:rPr>
        <w:t xml:space="preserve">: </w:t>
      </w:r>
      <w:r>
        <w:rPr>
          <w:color w:val="000000"/>
          <w:sz w:val="24"/>
        </w:rPr>
        <w:t>T</w:t>
      </w:r>
      <w:r>
        <w:rPr>
          <w:rFonts w:hint="eastAsia"/>
          <w:color w:val="000000"/>
          <w:sz w:val="24"/>
        </w:rPr>
        <w:t>e</w:t>
      </w:r>
      <w:r>
        <w:rPr>
          <w:color w:val="000000"/>
          <w:sz w:val="24"/>
        </w:rPr>
        <w:t>st method for defects using optical inspection</w:t>
      </w:r>
      <w:r>
        <w:rPr>
          <w:rFonts w:hint="eastAsia"/>
          <w:color w:val="000000"/>
          <w:sz w:val="24"/>
        </w:rPr>
        <w:t>》。</w:t>
      </w:r>
    </w:p>
    <w:p>
      <w:pPr>
        <w:spacing w:line="500" w:lineRule="exact"/>
        <w:ind w:firstLine="480" w:firstLineChars="200"/>
        <w:rPr>
          <w:rFonts w:ascii="Times New Roman" w:hAnsi="Times New Roman" w:cs="Times New Roman"/>
          <w:sz w:val="24"/>
          <w:szCs w:val="24"/>
          <w:highlight w:val="yellow"/>
        </w:rPr>
      </w:pPr>
      <w:r>
        <w:rPr>
          <w:rFonts w:hint="eastAsia" w:ascii="Times New Roman" w:hAnsi="Times New Roman" w:cs="Times New Roman"/>
          <w:sz w:val="24"/>
          <w:szCs w:val="24"/>
        </w:rPr>
        <w:t>本次标准的制定</w:t>
      </w:r>
      <w:r>
        <w:rPr>
          <w:rFonts w:hint="eastAsia"/>
          <w:sz w:val="24"/>
        </w:rPr>
        <w:t>对碳化硅同质外延片制备技术的提高，规范碳化硅外延片产业的发展起到巨大的推动作用</w:t>
      </w:r>
      <w:r>
        <w:rPr>
          <w:rFonts w:hint="eastAsia" w:ascii="Times New Roman" w:hAnsi="Times New Roman" w:cs="Times New Roman"/>
          <w:sz w:val="24"/>
          <w:szCs w:val="24"/>
        </w:rPr>
        <w:t>，同时实现了与国际标准的接轨</w:t>
      </w:r>
      <w:r>
        <w:rPr>
          <w:rFonts w:hint="eastAsia" w:ascii="Times New Roman" w:hAnsi="Times New Roman" w:cs="Times New Roman"/>
          <w:sz w:val="24"/>
        </w:rPr>
        <w:t>。</w:t>
      </w:r>
      <w:r>
        <w:rPr>
          <w:rFonts w:hint="eastAsia"/>
          <w:sz w:val="24"/>
        </w:rPr>
        <w:t>本标准为推荐性国家标准，</w:t>
      </w:r>
      <w:r>
        <w:rPr>
          <w:rFonts w:hint="eastAsia" w:ascii="Times New Roman" w:hAnsi="Times New Roman" w:cs="Times New Roman"/>
          <w:sz w:val="24"/>
          <w:szCs w:val="24"/>
        </w:rPr>
        <w:t>达到了国际一般水平。</w:t>
      </w:r>
    </w:p>
    <w:p>
      <w:pPr>
        <w:spacing w:line="500" w:lineRule="exact"/>
        <w:rPr>
          <w:rFonts w:ascii="宋体" w:hAnsi="宋体" w:eastAsia="宋体"/>
          <w:b/>
          <w:bCs/>
          <w:sz w:val="24"/>
          <w:szCs w:val="24"/>
        </w:rPr>
      </w:pPr>
      <w:r>
        <w:rPr>
          <w:rFonts w:hint="eastAsia" w:ascii="宋体" w:hAnsi="宋体" w:eastAsia="宋体"/>
          <w:b/>
          <w:bCs/>
          <w:sz w:val="24"/>
          <w:szCs w:val="24"/>
        </w:rPr>
        <w:t>四、与现行法律、法规、强制性国家标准及相关标准协调配套情况</w:t>
      </w:r>
    </w:p>
    <w:p>
      <w:pPr>
        <w:spacing w:line="360" w:lineRule="auto"/>
        <w:ind w:firstLine="480" w:firstLineChars="200"/>
        <w:rPr>
          <w:rFonts w:ascii="宋体" w:hAnsi="宋体"/>
          <w:sz w:val="24"/>
          <w:szCs w:val="24"/>
        </w:rPr>
      </w:pPr>
      <w:r>
        <w:rPr>
          <w:rFonts w:hint="eastAsia" w:ascii="宋体" w:hAnsi="宋体"/>
          <w:color w:val="000000"/>
          <w:sz w:val="24"/>
        </w:rPr>
        <w:t>目前国内无碳化硅同质外延片无损检测相关标准。</w:t>
      </w:r>
      <w:r>
        <w:rPr>
          <w:rFonts w:hint="eastAsia" w:asciiTheme="minorEastAsia" w:hAnsiTheme="minorEastAsia" w:cstheme="minorEastAsia"/>
          <w:sz w:val="24"/>
          <w:szCs w:val="24"/>
        </w:rPr>
        <w:t>本</w:t>
      </w:r>
      <w:r>
        <w:rPr>
          <w:rFonts w:hint="eastAsia" w:ascii="宋体" w:hAnsi="宋体"/>
          <w:sz w:val="24"/>
          <w:szCs w:val="24"/>
        </w:rPr>
        <w:t>标准与现行的法律、法规及国家标准、国家军用标准、行业标准没有冲突，不涉及知识产权纠纷。</w:t>
      </w:r>
    </w:p>
    <w:p>
      <w:pPr>
        <w:spacing w:line="360" w:lineRule="auto"/>
        <w:ind w:firstLine="480" w:firstLineChars="200"/>
        <w:rPr>
          <w:rFonts w:ascii="宋体" w:hAnsi="宋体"/>
          <w:sz w:val="24"/>
          <w:szCs w:val="24"/>
        </w:rPr>
      </w:pPr>
      <w:r>
        <w:rPr>
          <w:rFonts w:hint="eastAsia" w:ascii="宋体" w:hAnsi="宋体"/>
          <w:sz w:val="24"/>
          <w:szCs w:val="24"/>
        </w:rPr>
        <w:t>目前SiC已发布的</w:t>
      </w:r>
      <w:r>
        <w:rPr>
          <w:rFonts w:ascii="宋体" w:hAnsi="宋体"/>
          <w:sz w:val="24"/>
          <w:szCs w:val="24"/>
        </w:rPr>
        <w:t>SiC</w:t>
      </w:r>
      <w:r>
        <w:rPr>
          <w:rFonts w:hint="eastAsia" w:ascii="宋体" w:hAnsi="宋体"/>
          <w:sz w:val="24"/>
          <w:szCs w:val="24"/>
        </w:rPr>
        <w:t>材料和器件相关国家标准主要包括：</w:t>
      </w:r>
    </w:p>
    <w:p>
      <w:pPr>
        <w:spacing w:line="360" w:lineRule="auto"/>
        <w:ind w:firstLine="480" w:firstLineChars="200"/>
        <w:rPr>
          <w:rFonts w:ascii="宋体" w:hAnsi="宋体"/>
          <w:sz w:val="24"/>
          <w:szCs w:val="24"/>
        </w:rPr>
      </w:pPr>
      <w:r>
        <w:rPr>
          <w:rFonts w:hint="eastAsia" w:ascii="宋体" w:hAnsi="宋体"/>
          <w:sz w:val="24"/>
          <w:szCs w:val="24"/>
        </w:rPr>
        <w:t>第三代半导体产业技术创新战略联盟标准T/CASA004.1《4H碳化硅衬底及外延层缺陷术语》</w:t>
      </w:r>
    </w:p>
    <w:p>
      <w:pPr>
        <w:spacing w:line="360" w:lineRule="auto"/>
        <w:ind w:firstLine="480" w:firstLineChars="200"/>
        <w:rPr>
          <w:rFonts w:ascii="宋体" w:hAnsi="宋体"/>
          <w:sz w:val="24"/>
          <w:szCs w:val="24"/>
        </w:rPr>
      </w:pPr>
      <w:r>
        <w:rPr>
          <w:rFonts w:hint="eastAsia" w:ascii="宋体" w:hAnsi="宋体"/>
          <w:sz w:val="24"/>
          <w:szCs w:val="24"/>
        </w:rPr>
        <w:t>第三代半导体产业技术创新战略联盟标准T/CASA004.2《4H-SiC衬底及外延层缺陷图谱》。</w:t>
      </w:r>
    </w:p>
    <w:p>
      <w:pPr>
        <w:spacing w:line="360" w:lineRule="auto"/>
        <w:ind w:firstLine="480" w:firstLineChars="200"/>
        <w:rPr>
          <w:rFonts w:ascii="宋体" w:hAnsi="宋体"/>
          <w:sz w:val="24"/>
          <w:szCs w:val="24"/>
        </w:rPr>
      </w:pPr>
      <w:r>
        <w:rPr>
          <w:rFonts w:hint="eastAsia" w:ascii="宋体" w:hAnsi="宋体"/>
          <w:sz w:val="24"/>
          <w:szCs w:val="24"/>
        </w:rPr>
        <w:t>本标准等同采用</w:t>
      </w:r>
      <w:r>
        <w:rPr>
          <w:rFonts w:ascii="宋体" w:hAnsi="宋体"/>
          <w:sz w:val="24"/>
          <w:szCs w:val="24"/>
        </w:rPr>
        <w:t>IEC 63068-2 Ed1.0:2019</w:t>
      </w:r>
      <w:r>
        <w:rPr>
          <w:rFonts w:hint="eastAsia" w:ascii="宋体" w:hAnsi="宋体"/>
          <w:sz w:val="24"/>
          <w:szCs w:val="24"/>
        </w:rPr>
        <w:t>，对缺陷的分类和检测方法进行补充，是对上述联盟标准的补充和配套。</w:t>
      </w:r>
    </w:p>
    <w:p>
      <w:pPr>
        <w:spacing w:line="360" w:lineRule="auto"/>
        <w:ind w:firstLine="480" w:firstLineChars="200"/>
        <w:rPr>
          <w:rFonts w:hint="eastAsia" w:ascii="宋体" w:hAnsi="宋体"/>
          <w:sz w:val="24"/>
          <w:szCs w:val="24"/>
        </w:rPr>
      </w:pPr>
    </w:p>
    <w:p>
      <w:pPr>
        <w:spacing w:line="500" w:lineRule="exact"/>
        <w:rPr>
          <w:rFonts w:ascii="宋体" w:hAnsi="宋体" w:eastAsia="宋体"/>
          <w:b/>
          <w:bCs/>
          <w:sz w:val="24"/>
          <w:szCs w:val="24"/>
        </w:rPr>
      </w:pPr>
      <w:r>
        <w:rPr>
          <w:rFonts w:hint="eastAsia" w:ascii="宋体" w:hAnsi="宋体" w:eastAsia="宋体"/>
          <w:b/>
          <w:bCs/>
          <w:sz w:val="24"/>
          <w:szCs w:val="24"/>
        </w:rPr>
        <w:t>五、重大分歧意见的处理经过和依据</w:t>
      </w:r>
    </w:p>
    <w:p>
      <w:pPr>
        <w:spacing w:line="500" w:lineRule="exact"/>
        <w:ind w:firstLine="420"/>
        <w:rPr>
          <w:rFonts w:asciiTheme="minorEastAsia" w:hAnsiTheme="minorEastAsia" w:cstheme="minorEastAsia"/>
          <w:sz w:val="24"/>
          <w:szCs w:val="24"/>
        </w:rPr>
      </w:pPr>
      <w:r>
        <w:rPr>
          <w:rFonts w:hint="eastAsia" w:asciiTheme="minorEastAsia" w:hAnsiTheme="minorEastAsia" w:cstheme="minorEastAsia"/>
          <w:sz w:val="24"/>
          <w:szCs w:val="24"/>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pPr>
        <w:spacing w:line="500" w:lineRule="exact"/>
        <w:rPr>
          <w:rFonts w:ascii="宋体" w:hAnsi="宋体" w:eastAsia="宋体"/>
          <w:b/>
          <w:bCs/>
          <w:sz w:val="24"/>
          <w:szCs w:val="24"/>
        </w:rPr>
      </w:pPr>
      <w:r>
        <w:rPr>
          <w:rFonts w:hint="eastAsia" w:ascii="宋体" w:hAnsi="宋体" w:eastAsia="宋体"/>
          <w:b/>
          <w:bCs/>
          <w:sz w:val="24"/>
          <w:szCs w:val="24"/>
        </w:rPr>
        <w:t>六、标准作为强制性标准或推荐性标准的建议</w:t>
      </w:r>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建议本</w:t>
      </w:r>
      <w:r>
        <w:rPr>
          <w:rFonts w:hint="eastAsia" w:ascii="宋体" w:hAnsi="宋体"/>
          <w:sz w:val="24"/>
          <w:szCs w:val="24"/>
        </w:rPr>
        <w:t>标准将作为推荐性国家标准实施。</w:t>
      </w:r>
    </w:p>
    <w:p>
      <w:pPr>
        <w:spacing w:line="500" w:lineRule="exact"/>
        <w:rPr>
          <w:rFonts w:ascii="宋体" w:hAnsi="宋体" w:eastAsia="宋体"/>
          <w:b/>
          <w:bCs/>
          <w:sz w:val="24"/>
          <w:szCs w:val="24"/>
        </w:rPr>
      </w:pPr>
      <w:r>
        <w:rPr>
          <w:rFonts w:hint="eastAsia" w:ascii="宋体" w:hAnsi="宋体" w:eastAsia="宋体"/>
          <w:b/>
          <w:bCs/>
          <w:sz w:val="24"/>
          <w:szCs w:val="24"/>
        </w:rPr>
        <w:t>七、废止现行有关标准的建议</w:t>
      </w:r>
    </w:p>
    <w:p>
      <w:pPr>
        <w:pStyle w:val="20"/>
        <w:spacing w:line="360" w:lineRule="auto"/>
        <w:ind w:firstLine="480"/>
        <w:rPr>
          <w:rFonts w:ascii="楷体_GB2312" w:hAnsi="宋体" w:eastAsia="楷体_GB2312"/>
          <w:szCs w:val="21"/>
        </w:rPr>
      </w:pPr>
      <w:r>
        <w:rPr>
          <w:rFonts w:hint="eastAsia" w:hAnsi="宋体" w:cs="宋体"/>
          <w:sz w:val="24"/>
        </w:rPr>
        <w:t>无替代或废止现行相关标准</w:t>
      </w:r>
      <w:r>
        <w:rPr>
          <w:rFonts w:hAnsi="宋体" w:cs="宋体"/>
          <w:sz w:val="24"/>
        </w:rPr>
        <w:t>。</w:t>
      </w:r>
    </w:p>
    <w:p>
      <w:pPr>
        <w:spacing w:line="500" w:lineRule="exact"/>
        <w:rPr>
          <w:rFonts w:ascii="宋体" w:hAnsi="宋体" w:eastAsia="宋体"/>
          <w:b/>
          <w:bCs/>
          <w:sz w:val="24"/>
          <w:szCs w:val="24"/>
        </w:rPr>
      </w:pPr>
      <w:r>
        <w:rPr>
          <w:rFonts w:hint="eastAsia" w:ascii="宋体" w:hAnsi="宋体" w:eastAsia="宋体"/>
          <w:b/>
          <w:bCs/>
          <w:sz w:val="24"/>
          <w:szCs w:val="24"/>
        </w:rPr>
        <w:t>八、贯彻国家标准的要求和措施建议</w:t>
      </w:r>
      <w:bookmarkStart w:id="3" w:name="_GoBack"/>
      <w:bookmarkEnd w:id="3"/>
    </w:p>
    <w:p>
      <w:pPr>
        <w:spacing w:line="500" w:lineRule="exact"/>
        <w:ind w:firstLine="420"/>
        <w:rPr>
          <w:rFonts w:ascii="黑体" w:eastAsia="黑体"/>
          <w:sz w:val="28"/>
        </w:rPr>
      </w:pPr>
      <w:r>
        <w:rPr>
          <w:rFonts w:hint="eastAsia" w:asciiTheme="minorEastAsia" w:hAnsiTheme="minorEastAsia" w:cstheme="minorEastAsia"/>
          <w:sz w:val="24"/>
          <w:szCs w:val="24"/>
        </w:rPr>
        <w:t>本标准的实施与现有的其他标准没有冲突之处。本标准的制定和推广，有利于规范行业的发展，有利于国内半导体材料、符合大尺寸半导体样品的质量监控与品质提升的需求，有利于提高国内半导体样品的国内与国际市场竞争能力，实现高端半导体材料的民族自主可控。标准发布后建议组织标准宣贯推广会，促进标准的实施。</w:t>
      </w:r>
    </w:p>
    <w:p>
      <w:pPr>
        <w:spacing w:line="500" w:lineRule="exact"/>
        <w:rPr>
          <w:rFonts w:ascii="黑体" w:eastAsia="黑体"/>
          <w:sz w:val="28"/>
        </w:rPr>
      </w:pPr>
      <w:r>
        <w:rPr>
          <w:rFonts w:hint="eastAsia" w:ascii="宋体" w:hAnsi="宋体" w:eastAsia="宋体"/>
          <w:b/>
          <w:bCs/>
          <w:sz w:val="24"/>
          <w:szCs w:val="24"/>
        </w:rPr>
        <w:t>九、其他需要说明的事项</w:t>
      </w:r>
    </w:p>
    <w:p>
      <w:pPr>
        <w:spacing w:line="500" w:lineRule="exact"/>
        <w:ind w:firstLine="480" w:firstLineChars="200"/>
        <w:rPr>
          <w:rFonts w:ascii="黑体" w:eastAsia="黑体"/>
          <w:sz w:val="28"/>
        </w:rPr>
      </w:pPr>
      <w:r>
        <w:rPr>
          <w:rFonts w:hint="eastAsia" w:asciiTheme="minorEastAsia" w:hAnsiTheme="minorEastAsia" w:cstheme="minorEastAsia"/>
          <w:sz w:val="24"/>
          <w:szCs w:val="24"/>
        </w:rPr>
        <w:t>本</w:t>
      </w:r>
      <w:r>
        <w:rPr>
          <w:rFonts w:hint="eastAsia" w:ascii="宋体" w:hAnsi="宋体"/>
          <w:sz w:val="24"/>
          <w:szCs w:val="24"/>
        </w:rPr>
        <w:t>标准作为推荐性国家标准供大家使用，若对结果有疑义，以供需双方商议的测试方法为准。</w:t>
      </w:r>
    </w:p>
    <w:p>
      <w:pPr>
        <w:spacing w:line="360" w:lineRule="auto"/>
        <w:jc w:val="right"/>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标准编制组</w:t>
      </w:r>
    </w:p>
    <w:p>
      <w:pPr>
        <w:spacing w:line="360" w:lineRule="auto"/>
        <w:rPr>
          <w:rFonts w:ascii="宋体" w:hAnsi="宋体"/>
          <w:sz w:val="24"/>
          <w:szCs w:val="24"/>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64970"/>
    </w:sdtPr>
    <w:sdtEndPr>
      <w:rPr>
        <w:rFonts w:ascii="宋体" w:hAnsi="宋体" w:eastAsia="宋体"/>
      </w:rPr>
    </w:sdtEndPr>
    <w:sdtContent>
      <w:p>
        <w:pPr>
          <w:pStyle w:val="5"/>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2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2C5917C3"/>
    <w:multiLevelType w:val="multilevel"/>
    <w:tmpl w:val="2C5917C3"/>
    <w:lvl w:ilvl="0" w:tentative="0">
      <w:start w:val="1"/>
      <w:numFmt w:val="none"/>
      <w:pStyle w:val="13"/>
      <w:suff w:val="nothing"/>
      <w:lvlText w:val="%1——"/>
      <w:lvlJc w:val="left"/>
      <w:pPr>
        <w:ind w:left="1353" w:hanging="408"/>
      </w:pPr>
      <w:rPr>
        <w:rFonts w:hint="eastAsia"/>
        <w:color w:val="auto"/>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2E2F0CBC"/>
    <w:multiLevelType w:val="multilevel"/>
    <w:tmpl w:val="2E2F0CBC"/>
    <w:lvl w:ilvl="0" w:tentative="0">
      <w:start w:val="1"/>
      <w:numFmt w:val="decimal"/>
      <w:lvlText w:val="%1、"/>
      <w:lvlJc w:val="left"/>
      <w:pPr>
        <w:ind w:left="720" w:hanging="720"/>
      </w:pPr>
      <w:rPr>
        <w:rFonts w:hint="default"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C2317D"/>
    <w:multiLevelType w:val="multilevel"/>
    <w:tmpl w:val="52C2317D"/>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7"/>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D253D9B"/>
    <w:multiLevelType w:val="multilevel"/>
    <w:tmpl w:val="7D253D9B"/>
    <w:lvl w:ilvl="0" w:tentative="0">
      <w:start w:val="1"/>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4DB90528"/>
    <w:rsid w:val="00001F34"/>
    <w:rsid w:val="00054D99"/>
    <w:rsid w:val="00060C9A"/>
    <w:rsid w:val="0007102D"/>
    <w:rsid w:val="0007495E"/>
    <w:rsid w:val="00074DE2"/>
    <w:rsid w:val="00082F06"/>
    <w:rsid w:val="000962CC"/>
    <w:rsid w:val="00097ADF"/>
    <w:rsid w:val="000A2372"/>
    <w:rsid w:val="000A3824"/>
    <w:rsid w:val="000A7ECC"/>
    <w:rsid w:val="000B08F9"/>
    <w:rsid w:val="000B342B"/>
    <w:rsid w:val="000D23D2"/>
    <w:rsid w:val="000F115D"/>
    <w:rsid w:val="000F20CF"/>
    <w:rsid w:val="000F2405"/>
    <w:rsid w:val="000F6294"/>
    <w:rsid w:val="0010232F"/>
    <w:rsid w:val="00106AD7"/>
    <w:rsid w:val="001375E9"/>
    <w:rsid w:val="0014057D"/>
    <w:rsid w:val="0014190F"/>
    <w:rsid w:val="00143892"/>
    <w:rsid w:val="00146091"/>
    <w:rsid w:val="00147918"/>
    <w:rsid w:val="00154EDB"/>
    <w:rsid w:val="001616F2"/>
    <w:rsid w:val="00161FA1"/>
    <w:rsid w:val="001677FB"/>
    <w:rsid w:val="00192070"/>
    <w:rsid w:val="00197933"/>
    <w:rsid w:val="00197973"/>
    <w:rsid w:val="001A1279"/>
    <w:rsid w:val="001B1B98"/>
    <w:rsid w:val="001B1FA2"/>
    <w:rsid w:val="001B2262"/>
    <w:rsid w:val="001C09C3"/>
    <w:rsid w:val="001C40CC"/>
    <w:rsid w:val="001E052A"/>
    <w:rsid w:val="001E091A"/>
    <w:rsid w:val="001E50F4"/>
    <w:rsid w:val="0020127E"/>
    <w:rsid w:val="00201B77"/>
    <w:rsid w:val="00213F81"/>
    <w:rsid w:val="00235B32"/>
    <w:rsid w:val="00242D17"/>
    <w:rsid w:val="002522D1"/>
    <w:rsid w:val="002706B0"/>
    <w:rsid w:val="00274837"/>
    <w:rsid w:val="00286720"/>
    <w:rsid w:val="002869A3"/>
    <w:rsid w:val="0029352D"/>
    <w:rsid w:val="00294DFF"/>
    <w:rsid w:val="002953C4"/>
    <w:rsid w:val="002A0123"/>
    <w:rsid w:val="002A4EEA"/>
    <w:rsid w:val="002B5094"/>
    <w:rsid w:val="002D76DB"/>
    <w:rsid w:val="002D7E48"/>
    <w:rsid w:val="002E26C0"/>
    <w:rsid w:val="002E48E1"/>
    <w:rsid w:val="002E7FE3"/>
    <w:rsid w:val="002F35D2"/>
    <w:rsid w:val="00300C93"/>
    <w:rsid w:val="003014A9"/>
    <w:rsid w:val="00311AF6"/>
    <w:rsid w:val="00316EA1"/>
    <w:rsid w:val="003262F3"/>
    <w:rsid w:val="003272D8"/>
    <w:rsid w:val="00330564"/>
    <w:rsid w:val="0033182F"/>
    <w:rsid w:val="0033512E"/>
    <w:rsid w:val="00336C4E"/>
    <w:rsid w:val="00350211"/>
    <w:rsid w:val="003507E0"/>
    <w:rsid w:val="00350A5E"/>
    <w:rsid w:val="003566CD"/>
    <w:rsid w:val="00356ADB"/>
    <w:rsid w:val="00356BCF"/>
    <w:rsid w:val="0037151D"/>
    <w:rsid w:val="00380404"/>
    <w:rsid w:val="003845E0"/>
    <w:rsid w:val="00386E8D"/>
    <w:rsid w:val="003A26DC"/>
    <w:rsid w:val="003B18EB"/>
    <w:rsid w:val="003B6B30"/>
    <w:rsid w:val="003B7660"/>
    <w:rsid w:val="003B782C"/>
    <w:rsid w:val="003C073E"/>
    <w:rsid w:val="003C72A4"/>
    <w:rsid w:val="003D2A60"/>
    <w:rsid w:val="003E0A9C"/>
    <w:rsid w:val="00401A2B"/>
    <w:rsid w:val="004215C4"/>
    <w:rsid w:val="00422EA3"/>
    <w:rsid w:val="00424614"/>
    <w:rsid w:val="00425925"/>
    <w:rsid w:val="004409C6"/>
    <w:rsid w:val="00440E59"/>
    <w:rsid w:val="00446AB2"/>
    <w:rsid w:val="00454843"/>
    <w:rsid w:val="0045509B"/>
    <w:rsid w:val="00455579"/>
    <w:rsid w:val="00460613"/>
    <w:rsid w:val="0047082B"/>
    <w:rsid w:val="004771C0"/>
    <w:rsid w:val="0047777B"/>
    <w:rsid w:val="00481313"/>
    <w:rsid w:val="00484725"/>
    <w:rsid w:val="00492043"/>
    <w:rsid w:val="004A1092"/>
    <w:rsid w:val="004A1B35"/>
    <w:rsid w:val="004A6D66"/>
    <w:rsid w:val="004A7389"/>
    <w:rsid w:val="004B41E3"/>
    <w:rsid w:val="004B429D"/>
    <w:rsid w:val="004C413E"/>
    <w:rsid w:val="004D2B43"/>
    <w:rsid w:val="004D662E"/>
    <w:rsid w:val="004D6EF3"/>
    <w:rsid w:val="004D76A1"/>
    <w:rsid w:val="004E47FE"/>
    <w:rsid w:val="004E4D7D"/>
    <w:rsid w:val="004F1A43"/>
    <w:rsid w:val="005125AA"/>
    <w:rsid w:val="00517B7E"/>
    <w:rsid w:val="00530ABA"/>
    <w:rsid w:val="00534A07"/>
    <w:rsid w:val="00537262"/>
    <w:rsid w:val="00544C0F"/>
    <w:rsid w:val="00546A91"/>
    <w:rsid w:val="00555B39"/>
    <w:rsid w:val="00563EE0"/>
    <w:rsid w:val="005672EF"/>
    <w:rsid w:val="00573E23"/>
    <w:rsid w:val="005751D5"/>
    <w:rsid w:val="00575BAA"/>
    <w:rsid w:val="00580997"/>
    <w:rsid w:val="00584C4B"/>
    <w:rsid w:val="00591A02"/>
    <w:rsid w:val="00596415"/>
    <w:rsid w:val="00597E61"/>
    <w:rsid w:val="005A457D"/>
    <w:rsid w:val="005A6E9D"/>
    <w:rsid w:val="005D1BD3"/>
    <w:rsid w:val="005E1290"/>
    <w:rsid w:val="005E49D2"/>
    <w:rsid w:val="00623E2A"/>
    <w:rsid w:val="006376D0"/>
    <w:rsid w:val="00642D8A"/>
    <w:rsid w:val="00646578"/>
    <w:rsid w:val="00646CBA"/>
    <w:rsid w:val="00652855"/>
    <w:rsid w:val="00652DF3"/>
    <w:rsid w:val="00656494"/>
    <w:rsid w:val="006628D5"/>
    <w:rsid w:val="006634B6"/>
    <w:rsid w:val="00664DFC"/>
    <w:rsid w:val="00666B57"/>
    <w:rsid w:val="00691ACD"/>
    <w:rsid w:val="00695F74"/>
    <w:rsid w:val="006A2B98"/>
    <w:rsid w:val="006A48D5"/>
    <w:rsid w:val="006B0460"/>
    <w:rsid w:val="006B087A"/>
    <w:rsid w:val="006B6222"/>
    <w:rsid w:val="006C1415"/>
    <w:rsid w:val="006C1886"/>
    <w:rsid w:val="006C20F0"/>
    <w:rsid w:val="006C342F"/>
    <w:rsid w:val="006C3619"/>
    <w:rsid w:val="006C4D6B"/>
    <w:rsid w:val="006E6984"/>
    <w:rsid w:val="006E7883"/>
    <w:rsid w:val="006F3BD5"/>
    <w:rsid w:val="006F6BB6"/>
    <w:rsid w:val="007111CC"/>
    <w:rsid w:val="00713EE5"/>
    <w:rsid w:val="00733B1B"/>
    <w:rsid w:val="0073557F"/>
    <w:rsid w:val="00736B15"/>
    <w:rsid w:val="00737127"/>
    <w:rsid w:val="0074139D"/>
    <w:rsid w:val="00744032"/>
    <w:rsid w:val="00746116"/>
    <w:rsid w:val="0075702A"/>
    <w:rsid w:val="00760EEE"/>
    <w:rsid w:val="007616B5"/>
    <w:rsid w:val="007624FD"/>
    <w:rsid w:val="00773448"/>
    <w:rsid w:val="00790285"/>
    <w:rsid w:val="007903D4"/>
    <w:rsid w:val="00791988"/>
    <w:rsid w:val="00794708"/>
    <w:rsid w:val="00796AFB"/>
    <w:rsid w:val="007A1EA6"/>
    <w:rsid w:val="007A4487"/>
    <w:rsid w:val="007A67D5"/>
    <w:rsid w:val="007A70BA"/>
    <w:rsid w:val="007A74E5"/>
    <w:rsid w:val="007B64D2"/>
    <w:rsid w:val="007D4CBD"/>
    <w:rsid w:val="007D51AD"/>
    <w:rsid w:val="007E4C95"/>
    <w:rsid w:val="007E7C62"/>
    <w:rsid w:val="007E7DC0"/>
    <w:rsid w:val="007F0D1F"/>
    <w:rsid w:val="007F2452"/>
    <w:rsid w:val="00800259"/>
    <w:rsid w:val="0080489F"/>
    <w:rsid w:val="00810272"/>
    <w:rsid w:val="00812121"/>
    <w:rsid w:val="00816D14"/>
    <w:rsid w:val="00820A5C"/>
    <w:rsid w:val="00830980"/>
    <w:rsid w:val="00833940"/>
    <w:rsid w:val="00835DD0"/>
    <w:rsid w:val="00842B2F"/>
    <w:rsid w:val="00844B36"/>
    <w:rsid w:val="00851F3D"/>
    <w:rsid w:val="00852BE3"/>
    <w:rsid w:val="00862962"/>
    <w:rsid w:val="00862D33"/>
    <w:rsid w:val="00874BFB"/>
    <w:rsid w:val="00877814"/>
    <w:rsid w:val="00884587"/>
    <w:rsid w:val="00890222"/>
    <w:rsid w:val="00894AE2"/>
    <w:rsid w:val="008965D6"/>
    <w:rsid w:val="008A1F33"/>
    <w:rsid w:val="008A5224"/>
    <w:rsid w:val="008A7EF3"/>
    <w:rsid w:val="008B0260"/>
    <w:rsid w:val="008B1994"/>
    <w:rsid w:val="008C25C7"/>
    <w:rsid w:val="008C3A0C"/>
    <w:rsid w:val="008C3E0D"/>
    <w:rsid w:val="008D4FFF"/>
    <w:rsid w:val="008D6F27"/>
    <w:rsid w:val="008E4FE2"/>
    <w:rsid w:val="008E7D5D"/>
    <w:rsid w:val="008F3F75"/>
    <w:rsid w:val="00900D21"/>
    <w:rsid w:val="00902CF4"/>
    <w:rsid w:val="00904085"/>
    <w:rsid w:val="00911E45"/>
    <w:rsid w:val="00913F3D"/>
    <w:rsid w:val="00924107"/>
    <w:rsid w:val="00927485"/>
    <w:rsid w:val="00935DD8"/>
    <w:rsid w:val="00973AF9"/>
    <w:rsid w:val="009A54F9"/>
    <w:rsid w:val="009B6C12"/>
    <w:rsid w:val="009B7128"/>
    <w:rsid w:val="009C1ADA"/>
    <w:rsid w:val="009C3472"/>
    <w:rsid w:val="009C4DF9"/>
    <w:rsid w:val="009D1923"/>
    <w:rsid w:val="009D3FB3"/>
    <w:rsid w:val="009D51F6"/>
    <w:rsid w:val="009D538C"/>
    <w:rsid w:val="009E56EF"/>
    <w:rsid w:val="009F0AB2"/>
    <w:rsid w:val="009F40A3"/>
    <w:rsid w:val="00A008CD"/>
    <w:rsid w:val="00A058A5"/>
    <w:rsid w:val="00A139DB"/>
    <w:rsid w:val="00A238BA"/>
    <w:rsid w:val="00A53842"/>
    <w:rsid w:val="00A60BC2"/>
    <w:rsid w:val="00A64DC0"/>
    <w:rsid w:val="00A658F4"/>
    <w:rsid w:val="00A706E9"/>
    <w:rsid w:val="00A71E3A"/>
    <w:rsid w:val="00A74F80"/>
    <w:rsid w:val="00A75443"/>
    <w:rsid w:val="00A80600"/>
    <w:rsid w:val="00A810F0"/>
    <w:rsid w:val="00A908C2"/>
    <w:rsid w:val="00AA1A19"/>
    <w:rsid w:val="00AA67A0"/>
    <w:rsid w:val="00AB11B6"/>
    <w:rsid w:val="00AD5E77"/>
    <w:rsid w:val="00AE4ADE"/>
    <w:rsid w:val="00AE58BA"/>
    <w:rsid w:val="00AF51B0"/>
    <w:rsid w:val="00AF686F"/>
    <w:rsid w:val="00AF779B"/>
    <w:rsid w:val="00B02BC2"/>
    <w:rsid w:val="00B038BF"/>
    <w:rsid w:val="00B10869"/>
    <w:rsid w:val="00B10CEA"/>
    <w:rsid w:val="00B11BE0"/>
    <w:rsid w:val="00B14A32"/>
    <w:rsid w:val="00B1579C"/>
    <w:rsid w:val="00B318C3"/>
    <w:rsid w:val="00B324F8"/>
    <w:rsid w:val="00B34872"/>
    <w:rsid w:val="00B350DE"/>
    <w:rsid w:val="00B36E6B"/>
    <w:rsid w:val="00B46DD4"/>
    <w:rsid w:val="00B57B7A"/>
    <w:rsid w:val="00B61AD2"/>
    <w:rsid w:val="00B7335B"/>
    <w:rsid w:val="00B73A9A"/>
    <w:rsid w:val="00B74540"/>
    <w:rsid w:val="00B7557C"/>
    <w:rsid w:val="00B83BA8"/>
    <w:rsid w:val="00BA07DF"/>
    <w:rsid w:val="00BA4878"/>
    <w:rsid w:val="00BB6D77"/>
    <w:rsid w:val="00BD200C"/>
    <w:rsid w:val="00BD2A5A"/>
    <w:rsid w:val="00BE612E"/>
    <w:rsid w:val="00BF4337"/>
    <w:rsid w:val="00C07E7D"/>
    <w:rsid w:val="00C108AD"/>
    <w:rsid w:val="00C13027"/>
    <w:rsid w:val="00C173A5"/>
    <w:rsid w:val="00C1770F"/>
    <w:rsid w:val="00C22922"/>
    <w:rsid w:val="00C25631"/>
    <w:rsid w:val="00C2583D"/>
    <w:rsid w:val="00C2650A"/>
    <w:rsid w:val="00C355C8"/>
    <w:rsid w:val="00C36455"/>
    <w:rsid w:val="00C7562C"/>
    <w:rsid w:val="00C81491"/>
    <w:rsid w:val="00C84CD1"/>
    <w:rsid w:val="00C87CC2"/>
    <w:rsid w:val="00C96052"/>
    <w:rsid w:val="00CA2FD1"/>
    <w:rsid w:val="00CA3E9A"/>
    <w:rsid w:val="00CB16DA"/>
    <w:rsid w:val="00CB649C"/>
    <w:rsid w:val="00CB6B81"/>
    <w:rsid w:val="00CB7942"/>
    <w:rsid w:val="00CF2195"/>
    <w:rsid w:val="00D06E37"/>
    <w:rsid w:val="00D11AEA"/>
    <w:rsid w:val="00D14DA8"/>
    <w:rsid w:val="00D17FA8"/>
    <w:rsid w:val="00D22F04"/>
    <w:rsid w:val="00D2413A"/>
    <w:rsid w:val="00D24D73"/>
    <w:rsid w:val="00D2643B"/>
    <w:rsid w:val="00D279FE"/>
    <w:rsid w:val="00D318AC"/>
    <w:rsid w:val="00D337A9"/>
    <w:rsid w:val="00D36D99"/>
    <w:rsid w:val="00D41D79"/>
    <w:rsid w:val="00D56DD4"/>
    <w:rsid w:val="00D57FB7"/>
    <w:rsid w:val="00D65F02"/>
    <w:rsid w:val="00D67786"/>
    <w:rsid w:val="00D77FE9"/>
    <w:rsid w:val="00D83A92"/>
    <w:rsid w:val="00D84490"/>
    <w:rsid w:val="00D84FE3"/>
    <w:rsid w:val="00D9069C"/>
    <w:rsid w:val="00DA1AA9"/>
    <w:rsid w:val="00DA2C49"/>
    <w:rsid w:val="00DA30FD"/>
    <w:rsid w:val="00DB12C5"/>
    <w:rsid w:val="00DB3445"/>
    <w:rsid w:val="00DC0A83"/>
    <w:rsid w:val="00DD4208"/>
    <w:rsid w:val="00DD4DC1"/>
    <w:rsid w:val="00DF3AFF"/>
    <w:rsid w:val="00DF5077"/>
    <w:rsid w:val="00DF6947"/>
    <w:rsid w:val="00E0653D"/>
    <w:rsid w:val="00E06C81"/>
    <w:rsid w:val="00E138B3"/>
    <w:rsid w:val="00E1688B"/>
    <w:rsid w:val="00E230EF"/>
    <w:rsid w:val="00E34C69"/>
    <w:rsid w:val="00E4247B"/>
    <w:rsid w:val="00E43663"/>
    <w:rsid w:val="00E45A6F"/>
    <w:rsid w:val="00E4660F"/>
    <w:rsid w:val="00E53FDD"/>
    <w:rsid w:val="00E561A4"/>
    <w:rsid w:val="00E67A2C"/>
    <w:rsid w:val="00E724EE"/>
    <w:rsid w:val="00E76A29"/>
    <w:rsid w:val="00E77925"/>
    <w:rsid w:val="00E80DC6"/>
    <w:rsid w:val="00E8675E"/>
    <w:rsid w:val="00E91BD2"/>
    <w:rsid w:val="00E93DC9"/>
    <w:rsid w:val="00EC18FF"/>
    <w:rsid w:val="00EC5D1C"/>
    <w:rsid w:val="00ED47F2"/>
    <w:rsid w:val="00ED61DB"/>
    <w:rsid w:val="00EE058E"/>
    <w:rsid w:val="00EE1336"/>
    <w:rsid w:val="00EF18C0"/>
    <w:rsid w:val="00EF7E2C"/>
    <w:rsid w:val="00F007A9"/>
    <w:rsid w:val="00F046D1"/>
    <w:rsid w:val="00F078B6"/>
    <w:rsid w:val="00F26CC1"/>
    <w:rsid w:val="00F33035"/>
    <w:rsid w:val="00F365C2"/>
    <w:rsid w:val="00F629E5"/>
    <w:rsid w:val="00F7104D"/>
    <w:rsid w:val="00F71A35"/>
    <w:rsid w:val="00F9323B"/>
    <w:rsid w:val="00FA7B24"/>
    <w:rsid w:val="00FB2400"/>
    <w:rsid w:val="00FD03A0"/>
    <w:rsid w:val="00FD6985"/>
    <w:rsid w:val="00FE77EC"/>
    <w:rsid w:val="01FC4184"/>
    <w:rsid w:val="059A3B3C"/>
    <w:rsid w:val="0A3F5E5E"/>
    <w:rsid w:val="11D626D2"/>
    <w:rsid w:val="1316525D"/>
    <w:rsid w:val="134A0035"/>
    <w:rsid w:val="15D043E5"/>
    <w:rsid w:val="16435794"/>
    <w:rsid w:val="16CC0D8B"/>
    <w:rsid w:val="19FD036C"/>
    <w:rsid w:val="1ADD2620"/>
    <w:rsid w:val="1BE240CC"/>
    <w:rsid w:val="1CB82E2A"/>
    <w:rsid w:val="1D135AC2"/>
    <w:rsid w:val="20A5599E"/>
    <w:rsid w:val="22AF59F3"/>
    <w:rsid w:val="23197621"/>
    <w:rsid w:val="277F7F13"/>
    <w:rsid w:val="293549A8"/>
    <w:rsid w:val="2C075ACB"/>
    <w:rsid w:val="2E126E25"/>
    <w:rsid w:val="31DB35D8"/>
    <w:rsid w:val="327E4466"/>
    <w:rsid w:val="38D315C7"/>
    <w:rsid w:val="3D423410"/>
    <w:rsid w:val="409C435F"/>
    <w:rsid w:val="41404B99"/>
    <w:rsid w:val="43587D6E"/>
    <w:rsid w:val="47E51E85"/>
    <w:rsid w:val="4A2758B7"/>
    <w:rsid w:val="4DB90528"/>
    <w:rsid w:val="5359794D"/>
    <w:rsid w:val="558F6259"/>
    <w:rsid w:val="585070F0"/>
    <w:rsid w:val="5A84160F"/>
    <w:rsid w:val="5F99057C"/>
    <w:rsid w:val="5FD45FC8"/>
    <w:rsid w:val="6031251E"/>
    <w:rsid w:val="624834CE"/>
    <w:rsid w:val="62C32E18"/>
    <w:rsid w:val="6A0E6264"/>
    <w:rsid w:val="6DA822F6"/>
    <w:rsid w:val="6ED92668"/>
    <w:rsid w:val="6F7460EA"/>
    <w:rsid w:val="74D516B9"/>
    <w:rsid w:val="77032068"/>
    <w:rsid w:val="78980F37"/>
    <w:rsid w:val="7D2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rPr>
      <w:rFonts w:ascii="Times New Roman" w:hAnsi="Times New Roman" w:eastAsia="宋体" w:cs="Times New Roman"/>
      <w:szCs w:val="24"/>
      <w:lang w:val="zh-CN"/>
    </w:rPr>
  </w:style>
  <w:style w:type="paragraph" w:styleId="3">
    <w:name w:val="Date"/>
    <w:basedOn w:val="1"/>
    <w:next w:val="1"/>
    <w:link w:val="19"/>
    <w:qFormat/>
    <w:uiPriority w:val="0"/>
    <w:pPr>
      <w:ind w:left="100" w:leftChars="2500"/>
    </w:pPr>
  </w:style>
  <w:style w:type="paragraph" w:styleId="4">
    <w:name w:val="Balloon Text"/>
    <w:basedOn w:val="1"/>
    <w:link w:val="18"/>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5"/>
    <w:semiHidden/>
    <w:unhideWhenUsed/>
    <w:qFormat/>
    <w:uiPriority w:val="99"/>
    <w:rPr>
      <w:rFonts w:asciiTheme="minorHAnsi" w:hAnsiTheme="minorHAnsi" w:eastAsiaTheme="minorEastAsia" w:cstheme="minorBidi"/>
      <w:b/>
      <w:bCs/>
      <w:szCs w:val="22"/>
      <w:lang w:val="en-US"/>
    </w:rPr>
  </w:style>
  <w:style w:type="table" w:styleId="9">
    <w:name w:val="Table Grid"/>
    <w:basedOn w:val="8"/>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3366CC"/>
      <w:u w:val="none"/>
    </w:rPr>
  </w:style>
  <w:style w:type="character" w:styleId="12">
    <w:name w:val="annotation reference"/>
    <w:qFormat/>
    <w:uiPriority w:val="0"/>
    <w:rPr>
      <w:sz w:val="21"/>
      <w:szCs w:val="21"/>
    </w:rPr>
  </w:style>
  <w:style w:type="paragraph" w:customStyle="1" w:styleId="13">
    <w:name w:val="列项——（一级）"/>
    <w:qFormat/>
    <w:uiPriority w:val="0"/>
    <w:pPr>
      <w:widowControl w:val="0"/>
      <w:numPr>
        <w:ilvl w:val="0"/>
        <w:numId w:val="1"/>
      </w:numPr>
      <w:jc w:val="both"/>
    </w:pPr>
    <w:rPr>
      <w:rFonts w:ascii="宋体" w:hAnsi="Times New Roman" w:eastAsia="宋体" w:cs="Times New Roman"/>
      <w:sz w:val="21"/>
      <w:szCs w:val="22"/>
      <w:lang w:val="en-US" w:eastAsia="zh-CN" w:bidi="ar-SA"/>
    </w:rPr>
  </w:style>
  <w:style w:type="character" w:customStyle="1" w:styleId="14">
    <w:name w:val="页眉 Char"/>
    <w:basedOn w:val="10"/>
    <w:link w:val="6"/>
    <w:qFormat/>
    <w:uiPriority w:val="99"/>
    <w:rPr>
      <w:rFonts w:asciiTheme="minorHAnsi" w:hAnsiTheme="minorHAnsi" w:eastAsiaTheme="minorEastAsia" w:cstheme="minorBidi"/>
      <w:kern w:val="2"/>
      <w:sz w:val="18"/>
      <w:szCs w:val="18"/>
    </w:rPr>
  </w:style>
  <w:style w:type="character" w:customStyle="1" w:styleId="15">
    <w:name w:val="页脚 Char"/>
    <w:basedOn w:val="10"/>
    <w:link w:val="5"/>
    <w:qFormat/>
    <w:uiPriority w:val="99"/>
    <w:rPr>
      <w:rFonts w:asciiTheme="minorHAnsi" w:hAnsiTheme="minorHAnsi" w:eastAsiaTheme="minorEastAsia" w:cstheme="minorBidi"/>
      <w:kern w:val="2"/>
      <w:sz w:val="18"/>
      <w:szCs w:val="18"/>
    </w:rPr>
  </w:style>
  <w:style w:type="paragraph" w:styleId="16">
    <w:name w:val="List Paragraph"/>
    <w:basedOn w:val="1"/>
    <w:unhideWhenUsed/>
    <w:qFormat/>
    <w:uiPriority w:val="34"/>
    <w:pPr>
      <w:ind w:firstLine="420" w:firstLineChars="200"/>
    </w:pPr>
  </w:style>
  <w:style w:type="character" w:customStyle="1" w:styleId="17">
    <w:name w:val="批注文字 Char"/>
    <w:basedOn w:val="10"/>
    <w:link w:val="2"/>
    <w:qFormat/>
    <w:uiPriority w:val="0"/>
    <w:rPr>
      <w:kern w:val="2"/>
      <w:sz w:val="21"/>
      <w:szCs w:val="24"/>
      <w:lang w:val="zh-CN" w:eastAsia="zh-CN"/>
    </w:rPr>
  </w:style>
  <w:style w:type="character" w:customStyle="1" w:styleId="18">
    <w:name w:val="批注框文本 Char"/>
    <w:basedOn w:val="10"/>
    <w:link w:val="4"/>
    <w:qFormat/>
    <w:uiPriority w:val="99"/>
    <w:rPr>
      <w:rFonts w:asciiTheme="minorHAnsi" w:hAnsiTheme="minorHAnsi" w:eastAsiaTheme="minorEastAsia" w:cstheme="minorBidi"/>
      <w:kern w:val="2"/>
      <w:sz w:val="18"/>
      <w:szCs w:val="18"/>
    </w:rPr>
  </w:style>
  <w:style w:type="character" w:customStyle="1" w:styleId="19">
    <w:name w:val="日期 Char"/>
    <w:basedOn w:val="10"/>
    <w:link w:val="3"/>
    <w:qFormat/>
    <w:uiPriority w:val="0"/>
    <w:rPr>
      <w:rFonts w:asciiTheme="minorHAnsi" w:hAnsiTheme="minorHAnsi" w:eastAsiaTheme="minorEastAsia" w:cstheme="minorBidi"/>
      <w:kern w:val="2"/>
      <w:sz w:val="21"/>
      <w:szCs w:val="22"/>
    </w:r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0"/>
    <w:rPr>
      <w:rFonts w:ascii="宋体"/>
      <w:sz w:val="21"/>
    </w:rPr>
  </w:style>
  <w:style w:type="paragraph" w:customStyle="1" w:styleId="22">
    <w:name w:val="示例"/>
    <w:next w:val="1"/>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23">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szCs w:val="24"/>
    </w:rPr>
  </w:style>
  <w:style w:type="character" w:customStyle="1" w:styleId="24">
    <w:name w:val="未处理的提及1"/>
    <w:basedOn w:val="10"/>
    <w:semiHidden/>
    <w:unhideWhenUsed/>
    <w:qFormat/>
    <w:uiPriority w:val="99"/>
    <w:rPr>
      <w:color w:val="605E5C"/>
      <w:shd w:val="clear" w:color="auto" w:fill="E1DFDD"/>
    </w:rPr>
  </w:style>
  <w:style w:type="character" w:customStyle="1" w:styleId="25">
    <w:name w:val="批注主题 Char"/>
    <w:basedOn w:val="17"/>
    <w:link w:val="7"/>
    <w:semiHidden/>
    <w:qFormat/>
    <w:uiPriority w:val="99"/>
    <w:rPr>
      <w:rFonts w:asciiTheme="minorHAnsi" w:hAnsiTheme="minorHAnsi" w:eastAsiaTheme="minorEastAsia" w:cstheme="minorBidi"/>
      <w:b/>
      <w:bCs/>
      <w:kern w:val="2"/>
      <w:sz w:val="21"/>
      <w:szCs w:val="22"/>
      <w:lang w:val="zh-CN" w:eastAsia="zh-CN"/>
    </w:rPr>
  </w:style>
  <w:style w:type="paragraph" w:customStyle="1" w:styleId="26">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标准文件_章标题"/>
    <w:next w:val="28"/>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FC03F-9ABD-47D6-8A20-B5BCE696DE1F}">
  <ds:schemaRefs/>
</ds:datastoreItem>
</file>

<file path=docProps/app.xml><?xml version="1.0" encoding="utf-8"?>
<Properties xmlns="http://schemas.openxmlformats.org/officeDocument/2006/extended-properties" xmlns:vt="http://schemas.openxmlformats.org/officeDocument/2006/docPropsVTypes">
  <Template>Normal</Template>
  <Company>有研光电新材料有限责任公司</Company>
  <Pages>4</Pages>
  <Words>2753</Words>
  <Characters>3127</Characters>
  <Lines>22</Lines>
  <Paragraphs>6</Paragraphs>
  <TotalTime>5</TotalTime>
  <ScaleCrop>false</ScaleCrop>
  <LinksUpToDate>false</LinksUpToDate>
  <CharactersWithSpaces>3176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2022-05-31T01:44:00Z</dcterms:created>
  <dc:creator>赵敬平</dc:creator>
  <cp:lastModifiedBy>素素</cp:lastModifiedBy>
  <dcterms:modified xsi:type="dcterms:W3CDTF">2023-01-18T07:50:22Z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3A8636EE1307405FBB8AF68489AF2DFC</vt:lpwstr>
  </property>
</Properties>
</file>