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framePr w:hSpace="180" w:vSpace="180" w:wrap="around" w:vAnchor="margin" w:hAnchor="margin" w:y="1" w:anchorLock="1"/>
      </w:pPr>
      <w:r>
        <w:t>ICS</w:t>
      </w:r>
      <w:r>
        <w:rPr>
          <w:rFonts w:hint="eastAsia"/>
        </w:rPr>
        <w:t xml:space="preserve"> 77.150.99</w:t>
      </w:r>
    </w:p>
    <w:p>
      <w:pPr>
        <w:pStyle w:val="36"/>
        <w:framePr w:hSpace="180" w:vSpace="180" w:wrap="around" w:vAnchor="margin" w:hAnchor="margin" w:y="1" w:anchorLock="1"/>
      </w:pPr>
      <w:r>
        <w:t xml:space="preserve">CCS </w:t>
      </w:r>
      <w:r>
        <w:rPr>
          <w:rFonts w:hint="eastAsia"/>
        </w:rPr>
        <w:t>H 66</w:t>
      </w:r>
    </w:p>
    <w:p>
      <w:pPr>
        <w:pStyle w:val="32"/>
        <w:framePr w:w="2546" w:h="1389" w:hRule="exact" w:hSpace="181" w:vSpace="181" w:wrap="around" w:vAnchor="margin" w:hAnchor="margin" w:x="6522" w:y="398" w:anchorLock="1"/>
        <w:spacing w:line="240" w:lineRule="auto"/>
      </w:pPr>
      <w:r>
        <w:drawing>
          <wp:inline distT="0" distB="0" distL="0" distR="0">
            <wp:extent cx="1428750" cy="723900"/>
            <wp:effectExtent l="0" t="0" r="0" b="0"/>
            <wp:docPr id="2" name="图片 2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framePr w:w="9639" w:h="624" w:hRule="exact" w:hSpace="181" w:vSpace="181" w:wrap="around" w:vAnchor="page" w:hAnchor="page" w:x="1419" w:y="2286" w:anchorLock="1"/>
        <w:spacing w:line="240" w:lineRule="auto"/>
        <w:rPr>
          <w:rFonts w:ascii="Times New Roman"/>
        </w:rPr>
      </w:pPr>
      <w:r>
        <w:rPr>
          <w:rFonts w:hint="eastAsia" w:ascii="Times New Roman"/>
        </w:rPr>
        <w:t>中华人民共和国国家标准</w:t>
      </w:r>
    </w:p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>GB/T 10118—</w:t>
      </w:r>
      <w:r>
        <w:rPr>
          <w:rFonts w:hAnsi="黑体"/>
          <w:sz w:val="24"/>
          <w:szCs w:val="24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StdNo2"/>
      <w:r>
        <w:rPr>
          <w:rFonts w:hAnsi="黑体"/>
          <w:sz w:val="24"/>
          <w:szCs w:val="24"/>
        </w:rPr>
        <w:instrText xml:space="preserve"> FORMTEXT </w:instrText>
      </w:r>
      <w:r>
        <w:rPr>
          <w:rFonts w:hAnsi="黑体"/>
          <w:sz w:val="24"/>
          <w:szCs w:val="24"/>
        </w:rPr>
        <w:fldChar w:fldCharType="separate"/>
      </w:r>
      <w:r>
        <w:rPr>
          <w:rFonts w:hAnsi="黑体"/>
          <w:sz w:val="24"/>
          <w:szCs w:val="24"/>
        </w:rPr>
        <w:t>XXXX</w:t>
      </w:r>
      <w:r>
        <w:rPr>
          <w:rFonts w:hAnsi="黑体"/>
          <w:sz w:val="24"/>
          <w:szCs w:val="24"/>
        </w:rPr>
        <w:fldChar w:fldCharType="end"/>
      </w:r>
      <w:bookmarkEnd w:id="0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9"/>
              <w:framePr w:w="9140" w:h="1242" w:hRule="exact" w:hSpace="284" w:wrap="around" w:vAnchor="page" w:hAnchor="page" w:x="1645" w:y="2910" w:anchorLock="1"/>
              <w:spacing w:line="240" w:lineRule="auto"/>
              <w:rPr>
                <w:rFonts w:ascii="Times New Roman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5g8svWAAAACAEAAA8A&#10;AAAAAAAAAQAgAAAAIgAAAGRycy9kb3ducmV2LnhtbFBLAQIUABQAAAAIAIdO4kD+2UDsGQIAACYE&#10;AAAOAAAAAAAAAAEAIAAAACU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代替</w:t>
            </w:r>
            <w:r>
              <w:rPr>
                <w:rFonts w:ascii="黑体" w:hAnsi="黑体" w:eastAsia="黑体"/>
              </w:rPr>
              <w:t>GB/T 10118</w:t>
            </w:r>
            <w:r>
              <w:rPr>
                <w:rFonts w:hAnsi="黑体"/>
                <w:sz w:val="24"/>
                <w:szCs w:val="24"/>
              </w:rPr>
              <w:t>—</w:t>
            </w:r>
            <w:r>
              <w:rPr>
                <w:rFonts w:ascii="黑体" w:hAnsi="黑体" w:eastAsia="黑体"/>
              </w:rPr>
              <w:t>200</w:t>
            </w:r>
            <w:r>
              <w:rPr>
                <w:rFonts w:ascii="Times New Roman"/>
              </w:rPr>
              <w:t>9</w:t>
            </w:r>
          </w:p>
        </w:tc>
      </w:tr>
    </w:tbl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31"/>
        <w:framePr w:w="9639" w:h="6917" w:hRule="exact" w:wrap="around" w:vAnchor="page" w:hAnchor="page" w:xAlign="center" w:y="6408" w:anchorLock="1"/>
      </w:pPr>
      <w:r>
        <w:rPr>
          <w:rFonts w:hint="eastAsia"/>
        </w:rPr>
        <w:t>高纯镓</w:t>
      </w:r>
    </w:p>
    <w:p>
      <w:pPr>
        <w:pStyle w:val="30"/>
        <w:framePr w:w="9639" w:h="6917" w:hRule="exact" w:wrap="around" w:vAnchor="page" w:hAnchor="page" w:xAlign="center" w:y="6408" w:anchorLock="1"/>
      </w:pPr>
      <w:r>
        <w:t xml:space="preserve">High </w:t>
      </w:r>
      <w:r>
        <w:rPr>
          <w:rFonts w:hint="eastAsia"/>
        </w:rPr>
        <w:t>p</w:t>
      </w:r>
      <w:r>
        <w:t xml:space="preserve">urity </w:t>
      </w:r>
      <w:r>
        <w:rPr>
          <w:rFonts w:hint="eastAsia"/>
        </w:rPr>
        <w:t>g</w:t>
      </w:r>
      <w:r>
        <w:t>allium</w:t>
      </w:r>
    </w:p>
    <w:p>
      <w:pPr>
        <w:pStyle w:val="30"/>
        <w:framePr w:w="9639" w:h="6917" w:hRule="exact" w:wrap="around" w:vAnchor="page" w:hAnchor="page" w:xAlign="center" w:y="6408" w:anchorLock="1"/>
        <w:tabs>
          <w:tab w:val="center" w:pos="4885"/>
          <w:tab w:val="left" w:pos="8297"/>
        </w:tabs>
        <w:spacing w:line="240" w:lineRule="auto"/>
        <w:jc w:val="left"/>
      </w:pPr>
      <w:r>
        <w:rPr>
          <w:rFonts w:hint="eastAsia" w:eastAsia="宋体"/>
        </w:rPr>
        <w:tab/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 w:w="9639" w:h="6917" w:hRule="exact" w:wrap="around" w:vAnchor="page" w:hAnchor="page" w:xAlign="center" w:y="6408" w:anchorLock="1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</w:t>
            </w:r>
            <w:r>
              <w:rPr>
                <w:rFonts w:hint="eastAsia" w:ascii="Times New Roman"/>
                <w:lang w:val="en-US" w:eastAsia="zh-CN"/>
              </w:rPr>
              <w:t>征求意见</w:t>
            </w:r>
            <w:r>
              <w:rPr>
                <w:rFonts w:hint="eastAsia" w:ascii="Times New Roman"/>
              </w:rPr>
              <w:t>稿）</w: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ia6S1QAAAAoBAAAPAAAA&#10;AAAAAAEAIAAAACIAAABkcnMvZG93bnJldi54bWxQSwECFAAUAAAACACHTuJA4cIhCBgCAAAmBAAA&#10;DgAAAAAAAAABACAAAAAk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+GL5dYAAAAJAQAADwAA&#10;AAAAAAABACAAAAAiAAAAZHJzL2Rvd25yZXYueG1sUEsBAhQAFAAAAAgAh07iQPDekL0YAgAAJgQA&#10;AA4AAAAAAAAAAQAgAAAAJQ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framePr w:w="9639" w:h="6917" w:hRule="exact" w:wrap="around" w:vAnchor="page" w:hAnchor="page" w:xAlign="center" w:y="6408" w:anchorLock="1"/>
              <w:spacing w:line="240" w:lineRule="auto"/>
              <w:rPr>
                <w:rFonts w:ascii="Times New Roman"/>
              </w:rPr>
            </w:pPr>
          </w:p>
        </w:tc>
      </w:tr>
    </w:tbl>
    <w:p>
      <w:pPr>
        <w:pStyle w:val="34"/>
        <w:framePr w:w="3997" w:h="471" w:hRule="exact" w:vSpace="181" w:wrap="around" w:vAnchor="page" w:hAnchor="page" w:x="7064" w:y="14279" w:anchorLock="1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XXXX</w:t>
      </w:r>
      <w:r>
        <w:rPr>
          <w:rFonts w:ascii="黑体" w:hAnsi="黑体"/>
        </w:rPr>
        <w:fldChar w:fldCharType="end"/>
      </w:r>
      <w:bookmarkEnd w:id="1"/>
      <w:r>
        <w:rPr>
          <w:rFonts w:ascii="黑体" w:hAnsi="黑体"/>
        </w:rPr>
        <w:t>-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2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2"/>
      <w:r>
        <w:rPr>
          <w:rFonts w:ascii="黑体" w:hAnsi="黑体"/>
        </w:rPr>
        <w:t>-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3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3"/>
      <w:r>
        <w:rPr>
          <w:rFonts w:hint="eastAsia" w:ascii="黑体" w:hAnsi="黑体"/>
        </w:rPr>
        <w:t>实施</w:t>
      </w:r>
    </w:p>
    <w:p>
      <w:pPr>
        <w:pStyle w:val="34"/>
        <w:framePr w:w="3997" w:h="471" w:hRule="exact" w:vSpace="181" w:wrap="around" w:vAnchor="page" w:hAnchor="page" w:x="7064" w:y="14279" w:anchorLock="1"/>
        <w:rPr>
          <w:rFonts w:eastAsia="宋体"/>
        </w:rPr>
      </w:pPr>
      <w:r>
        <w:rPr>
          <w:rFonts w:eastAsia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4500880</wp:posOffset>
            </wp:positionH>
            <wp:positionV relativeFrom="paragraph">
              <wp:posOffset>8590280</wp:posOffset>
            </wp:positionV>
            <wp:extent cx="3895725" cy="935990"/>
            <wp:effectExtent l="0" t="0" r="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3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sz w:val="24"/>
          <w:szCs w:val="24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hint="eastAsia" w:eastAsia="宋体"/>
        </w:rPr>
        <w:t>实施</w:t>
      </w:r>
    </w:p>
    <w:p>
      <w:pPr>
        <w:pStyle w:val="34"/>
        <w:framePr w:w="4665" w:h="506" w:hRule="exact" w:hSpace="125" w:wrap="around" w:vAnchor="page" w:hAnchor="page" w:x="1354" w:y="14197"/>
        <w:jc w:val="left"/>
        <w:rPr>
          <w:rFonts w:ascii="黑体" w:hAnsi="黑体"/>
        </w:rPr>
      </w:pPr>
      <w:r>
        <w:rPr>
          <w:rFonts w:ascii="黑体" w:hAnsi="黑体"/>
          <w:szCs w:val="28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XXXX</w:t>
      </w:r>
      <w:r>
        <w:rPr>
          <w:rFonts w:ascii="黑体" w:hAnsi="黑体"/>
          <w:szCs w:val="28"/>
        </w:rPr>
        <w:fldChar w:fldCharType="end"/>
      </w:r>
      <w:r>
        <w:rPr>
          <w:rFonts w:ascii="黑体" w:hAnsi="黑体"/>
          <w:szCs w:val="28"/>
        </w:rPr>
        <w:t>-</w:t>
      </w:r>
      <w:r>
        <w:rPr>
          <w:rFonts w:ascii="黑体" w:hAnsi="黑体"/>
          <w:szCs w:val="28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</w:t>
      </w:r>
      <w:r>
        <w:rPr>
          <w:rFonts w:ascii="黑体" w:hAnsi="黑体"/>
          <w:szCs w:val="28"/>
        </w:rPr>
        <w:fldChar w:fldCharType="end"/>
      </w:r>
      <w:r>
        <w:rPr>
          <w:rFonts w:ascii="黑体" w:hAnsi="黑体"/>
          <w:szCs w:val="28"/>
        </w:rPr>
        <w:t>-</w:t>
      </w:r>
      <w:r>
        <w:rPr>
          <w:rFonts w:ascii="黑体" w:hAnsi="黑体"/>
          <w:szCs w:val="28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</w:t>
      </w:r>
      <w:r>
        <w:rPr>
          <w:rFonts w:ascii="黑体" w:hAnsi="黑体"/>
          <w:szCs w:val="28"/>
        </w:rPr>
        <w:fldChar w:fldCharType="end"/>
      </w:r>
      <w:r>
        <w:rPr>
          <w:rFonts w:hint="eastAsia" w:ascii="黑体" w:hAnsi="黑体"/>
        </w:rPr>
        <w:t>发布</w:t>
      </w:r>
    </w:p>
    <w:p>
      <w:pPr>
        <w:pStyle w:val="19"/>
        <w:rPr>
          <w:rFonts w:ascii="Times New Roman" w:hAnsi="Times New Roman" w:eastAsia="宋体"/>
        </w:rPr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2260600</wp:posOffset>
                </wp:positionV>
                <wp:extent cx="612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8pt;height:0pt;width:481.9pt;mso-position-horizontal:center;mso-position-horizontal-relative:margin;z-index:251665408;mso-width-relative:page;mso-height-relative:page;" filled="f" stroked="t" coordsize="21600,21600" o:gfxdata="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6veqdUAAAAIAQAA&#10;DwAAAAAAAAABACAAAAAiAAAAZHJzL2Rvd25yZXYueG1sUEsBAhQAFAAAAAgAh07iQOokenX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9030970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11.1pt;height:0pt;width:481.9pt;z-index:251664384;mso-width-relative:page;mso-height-relative:page;" filled="f" stroked="t" coordsize="21600,21600" o:gfxdata="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ZBbxNUAAAAKAQAA&#10;DwAAAAAAAAABACAAAAAiAAAAZHJzL2Rvd25yZXYueG1sUEsBAhQAFAAAAAgAh07iQJAQkRv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1353820</wp:posOffset>
            </wp:positionH>
            <wp:positionV relativeFrom="paragraph">
              <wp:posOffset>9116695</wp:posOffset>
            </wp:positionV>
            <wp:extent cx="3296285" cy="791845"/>
            <wp:effectExtent l="0" t="0" r="0" b="825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52" cy="7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2"/>
        <w:rPr>
          <w:rFonts w:hAnsi="黑体"/>
        </w:rPr>
      </w:pPr>
      <w:r>
        <w:rPr>
          <w:rFonts w:hint="eastAsia" w:hAnsi="黑体"/>
        </w:rPr>
        <w:t>前</w:t>
      </w:r>
      <w:bookmarkStart w:id="4" w:name="BKQY"/>
      <w:r>
        <w:rPr>
          <w:rFonts w:hAnsi="黑体"/>
        </w:rPr>
        <w:t>  </w:t>
      </w:r>
      <w:r>
        <w:rPr>
          <w:rFonts w:hint="eastAsia" w:hAnsi="黑体"/>
        </w:rPr>
        <w:t>言</w:t>
      </w:r>
      <w:bookmarkEnd w:id="4"/>
    </w:p>
    <w:p>
      <w:pPr>
        <w:pStyle w:val="19"/>
        <w:rPr>
          <w:rFonts w:hAnsi="宋体" w:eastAsia="宋体"/>
          <w:szCs w:val="21"/>
        </w:rPr>
      </w:pPr>
      <w:r>
        <w:rPr>
          <w:rFonts w:hint="eastAsia" w:hAnsi="宋体"/>
          <w:szCs w:val="21"/>
        </w:rPr>
        <w:t>本文件按照GB/T 1.1—2020《标准化工作导则  第1部分：标准化文件的结构和起草规则》的规定起草。</w:t>
      </w:r>
    </w:p>
    <w:p>
      <w:pPr>
        <w:pStyle w:val="19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本</w:t>
      </w:r>
      <w:r>
        <w:rPr>
          <w:rFonts w:hint="eastAsia" w:hAnsi="宋体" w:eastAsia="宋体"/>
          <w:szCs w:val="21"/>
        </w:rPr>
        <w:t>文件代替GB/T 10118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szCs w:val="21"/>
        </w:rPr>
        <w:t>200</w:t>
      </w:r>
      <w:r>
        <w:rPr>
          <w:rFonts w:hAnsi="宋体" w:eastAsia="宋体"/>
          <w:szCs w:val="21"/>
        </w:rPr>
        <w:t>9</w:t>
      </w:r>
      <w:r>
        <w:rPr>
          <w:rFonts w:hint="eastAsia" w:hAnsi="宋体" w:eastAsia="宋体"/>
          <w:szCs w:val="21"/>
        </w:rPr>
        <w:t>《高纯镓》，与GB/T 10118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szCs w:val="21"/>
        </w:rPr>
        <w:t>200</w:t>
      </w:r>
      <w:r>
        <w:rPr>
          <w:rFonts w:hAnsi="宋体" w:eastAsia="宋体"/>
          <w:szCs w:val="21"/>
        </w:rPr>
        <w:t>9</w:t>
      </w:r>
      <w:r>
        <w:rPr>
          <w:rFonts w:hint="eastAsia" w:hAnsi="宋体" w:eastAsia="宋体"/>
          <w:szCs w:val="21"/>
        </w:rPr>
        <w:t>相比，除结构调整和编辑性改动外，主要技术变化如下：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更改了标准的适用范围（见第1章，2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年版的第1章）；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更改了规范性引用文件（见第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年版的第1章）；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增加了术语和定义章（见第3章）；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删除了产品分类中关于牌号对应镓含量的描述（见2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</w:t>
      </w:r>
      <w:r>
        <w:rPr>
          <w:rFonts w:ascii="宋体" w:hAnsi="宋体"/>
        </w:rPr>
        <w:t>3.1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更改了高纯镓的牌号表示，Ga-</w:t>
      </w:r>
      <w:r>
        <w:rPr>
          <w:rFonts w:ascii="宋体" w:hAnsi="宋体"/>
        </w:rPr>
        <w:t>06</w:t>
      </w:r>
      <w:r>
        <w:rPr>
          <w:rFonts w:hint="eastAsia" w:ascii="宋体" w:hAnsi="宋体"/>
        </w:rPr>
        <w:t>改为Ga</w:t>
      </w:r>
      <w:r>
        <w:rPr>
          <w:rFonts w:ascii="宋体" w:hAnsi="宋体"/>
        </w:rPr>
        <w:t>6N</w:t>
      </w:r>
      <w:r>
        <w:rPr>
          <w:rFonts w:hint="eastAsia" w:ascii="宋体" w:hAnsi="宋体"/>
        </w:rPr>
        <w:t>、Ga-</w:t>
      </w:r>
      <w:r>
        <w:rPr>
          <w:rFonts w:ascii="宋体" w:hAnsi="宋体"/>
        </w:rPr>
        <w:t>07</w:t>
      </w:r>
      <w:r>
        <w:rPr>
          <w:rFonts w:hint="eastAsia" w:ascii="宋体" w:hAnsi="宋体"/>
        </w:rPr>
        <w:t>改为Ga</w:t>
      </w:r>
      <w:r>
        <w:rPr>
          <w:rFonts w:ascii="宋体" w:hAnsi="宋体"/>
        </w:rPr>
        <w:t>7N</w:t>
      </w:r>
      <w:r>
        <w:rPr>
          <w:rFonts w:hint="eastAsia" w:ascii="宋体" w:hAnsi="宋体"/>
        </w:rPr>
        <w:t>、M</w:t>
      </w:r>
      <w:r>
        <w:rPr>
          <w:rFonts w:ascii="宋体" w:hAnsi="宋体"/>
        </w:rPr>
        <w:t>BE</w:t>
      </w:r>
      <w:r>
        <w:rPr>
          <w:rFonts w:hint="eastAsia" w:ascii="宋体" w:hAnsi="宋体"/>
        </w:rPr>
        <w:t>级改为Ga</w:t>
      </w:r>
      <w:r>
        <w:rPr>
          <w:rFonts w:ascii="宋体" w:hAnsi="宋体"/>
        </w:rPr>
        <w:t>8N</w:t>
      </w:r>
      <w:r>
        <w:rPr>
          <w:rFonts w:hint="eastAsia" w:ascii="宋体" w:hAnsi="宋体"/>
        </w:rPr>
        <w:t>（见第3章，2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更改了牌号Ga</w:t>
      </w:r>
      <w:r>
        <w:rPr>
          <w:rFonts w:ascii="宋体" w:hAnsi="宋体"/>
        </w:rPr>
        <w:t>6N</w:t>
      </w:r>
      <w:r>
        <w:rPr>
          <w:rFonts w:hint="eastAsia" w:ascii="宋体" w:hAnsi="宋体"/>
        </w:rPr>
        <w:t>、Ga</w:t>
      </w:r>
      <w:r>
        <w:rPr>
          <w:rFonts w:ascii="宋体" w:hAnsi="宋体"/>
        </w:rPr>
        <w:t>7N</w:t>
      </w:r>
      <w:r>
        <w:rPr>
          <w:rFonts w:hint="eastAsia" w:ascii="宋体" w:hAnsi="宋体"/>
        </w:rPr>
        <w:t>高纯镓的化学成分要求（见</w:t>
      </w:r>
      <w:r>
        <w:rPr>
          <w:rFonts w:ascii="宋体" w:hAnsi="宋体"/>
        </w:rPr>
        <w:t>5.1.1</w: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更改了外观质量的要求（见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更改了化学成分的检验方法（见6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</w:t>
      </w:r>
      <w:r>
        <w:rPr>
          <w:rFonts w:ascii="宋体" w:hAnsi="宋体"/>
        </w:rPr>
        <w:t>4.1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更改了检查和验收的内容（见7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更改了组批的规定（见7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增加了检验项目的内容（见7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增加了对外观质量检验的取样要求（见7</w:t>
      </w:r>
      <w:r>
        <w:rPr>
          <w:rFonts w:ascii="宋体" w:hAnsi="宋体"/>
        </w:rPr>
        <w:t>.4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更改了外观质量的检验结果判定（见7</w:t>
      </w:r>
      <w:r>
        <w:rPr>
          <w:rFonts w:ascii="宋体" w:hAnsi="宋体"/>
          <w:szCs w:val="21"/>
        </w:rPr>
        <w:t>.5.3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.4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修改了标志的内容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修改了运输的要求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质量说明书更改为随行文件，并增加了化学技术说明书及安全标签的要求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删除了资料性附录A（见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年版的附录A</w:t>
      </w:r>
      <w:r>
        <w:rPr>
          <w:rFonts w:hint="eastAsia" w:ascii="宋体" w:hAnsi="宋体"/>
        </w:rPr>
        <w:t>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本文件由全国半导体设备和材料标准化技术委员会（SAC/TC203）与全国半导体设备和材料标准化技术委员会材料分技术委员会（SAC/TC203/SC2）共同提出并归口。</w:t>
      </w:r>
    </w:p>
    <w:p>
      <w:pPr>
        <w:pStyle w:val="19"/>
        <w:rPr>
          <w:rFonts w:hint="default" w:hAnsi="宋体" w:eastAsia="宋体"/>
          <w:lang w:val="en-US" w:eastAsia="zh-CN"/>
        </w:rPr>
      </w:pPr>
      <w:r>
        <w:rPr>
          <w:rFonts w:hAnsi="宋体" w:eastAsia="宋体"/>
        </w:rPr>
        <w:t>本</w:t>
      </w:r>
      <w:r>
        <w:rPr>
          <w:rFonts w:hint="eastAsia" w:hAnsi="宋体" w:eastAsia="宋体"/>
        </w:rPr>
        <w:t>文件</w:t>
      </w:r>
      <w:r>
        <w:rPr>
          <w:rFonts w:hAnsi="宋体" w:eastAsia="宋体"/>
        </w:rPr>
        <w:t>起草单位：</w:t>
      </w:r>
      <w:r>
        <w:rPr>
          <w:rFonts w:hint="eastAsia" w:hAnsi="宋体" w:eastAsia="宋体"/>
          <w:color w:val="auto"/>
          <w:highlight w:val="none"/>
        </w:rPr>
        <w:t>有研国晶辉新材料有限公司</w:t>
      </w:r>
      <w:r>
        <w:rPr>
          <w:rFonts w:hint="eastAsia" w:hAnsi="宋体" w:eastAsia="宋体"/>
          <w:lang w:val="en-US" w:eastAsia="zh-CN"/>
        </w:rPr>
        <w:t>......</w:t>
      </w:r>
    </w:p>
    <w:p>
      <w:pPr>
        <w:pStyle w:val="26"/>
        <w:ind w:firstLine="420"/>
        <w:jc w:val="left"/>
        <w:rPr>
          <w:rFonts w:hint="default" w:ascii="宋体" w:hAnsi="宋体" w:eastAsia="宋体"/>
          <w:lang w:val="en-US" w:eastAsia="zh-CN"/>
        </w:rPr>
      </w:pPr>
      <w:r>
        <w:rPr>
          <w:rFonts w:ascii="宋体" w:hAnsi="宋体"/>
        </w:rPr>
        <w:t>本</w:t>
      </w:r>
      <w:r>
        <w:rPr>
          <w:rFonts w:hint="eastAsia" w:ascii="宋体" w:hAnsi="宋体"/>
        </w:rPr>
        <w:t>文件</w:t>
      </w:r>
      <w:r>
        <w:rPr>
          <w:rFonts w:ascii="宋体" w:hAnsi="宋体"/>
        </w:rPr>
        <w:t>主要起草人：</w:t>
      </w:r>
      <w:r>
        <w:rPr>
          <w:rFonts w:hint="eastAsia" w:ascii="宋体" w:hAnsi="宋体"/>
          <w:lang w:val="en-US" w:eastAsia="zh-CN"/>
        </w:rPr>
        <w:t>......</w:t>
      </w:r>
      <w:bookmarkStart w:id="6" w:name="_GoBack"/>
      <w:bookmarkEnd w:id="6"/>
    </w:p>
    <w:p>
      <w:pPr>
        <w:pStyle w:val="26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本文件及其所代替文件的历次版本发布情况为：</w:t>
      </w:r>
    </w:p>
    <w:p>
      <w:pPr>
        <w:ind w:left="865" w:leftChars="210" w:hanging="424" w:hangingChars="202"/>
        <w:rPr>
          <w:rFonts w:ascii="宋体" w:hAnsi="宋体"/>
          <w:szCs w:val="21"/>
        </w:rPr>
      </w:pPr>
      <w:r>
        <w:rPr>
          <w:szCs w:val="21"/>
        </w:rPr>
        <w:t>——</w:t>
      </w:r>
      <w:r>
        <w:rPr>
          <w:rFonts w:ascii="宋体" w:hAnsi="宋体"/>
          <w:szCs w:val="21"/>
        </w:rPr>
        <w:t>1988</w:t>
      </w:r>
      <w:r>
        <w:rPr>
          <w:rFonts w:hint="eastAsia" w:ascii="宋体" w:hAnsi="宋体"/>
          <w:szCs w:val="21"/>
        </w:rPr>
        <w:t>年首次发布为GB/T 10118</w:t>
      </w:r>
      <w:r>
        <w:rPr>
          <w:rFonts w:hint="eastAsia" w:hAnsi="宋体"/>
          <w:szCs w:val="21"/>
        </w:rPr>
        <w:t>—</w:t>
      </w:r>
      <w:r>
        <w:rPr>
          <w:rFonts w:ascii="宋体" w:hAnsi="宋体"/>
          <w:szCs w:val="21"/>
        </w:rPr>
        <w:t>1988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年第一次修订；</w:t>
      </w:r>
    </w:p>
    <w:p>
      <w:pPr>
        <w:pStyle w:val="19"/>
        <w:rPr>
          <w:rFonts w:ascii="Times New Roman" w:hAnsi="Times New Roman" w:eastAsia="宋体"/>
        </w:rPr>
      </w:pP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hAnsi="宋体"/>
          <w:szCs w:val="21"/>
        </w:rPr>
        <w:t>本次为第二次修订。</w:t>
      </w:r>
    </w:p>
    <w:p>
      <w:pPr>
        <w:pStyle w:val="19"/>
        <w:rPr>
          <w:rFonts w:ascii="Times New Roman" w:hAnsi="Times New Roman" w:eastAsia="宋体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33"/>
        <w:spacing w:before="360" w:line="240" w:lineRule="auto"/>
        <w:rPr>
          <w:rFonts w:hAnsi="黑体"/>
        </w:rPr>
      </w:pPr>
      <w:r>
        <w:rPr>
          <w:rFonts w:hint="eastAsia" w:hAnsi="黑体"/>
        </w:rPr>
        <w:t>高纯镓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范围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规定了</w:t>
      </w:r>
      <w:r>
        <w:rPr>
          <w:rFonts w:hint="eastAsia" w:ascii="宋体" w:hAnsi="宋体"/>
          <w:szCs w:val="21"/>
        </w:rPr>
        <w:t>高纯镓的技术要求、试验方法、检验规则、标志、包装、</w:t>
      </w:r>
      <w:r>
        <w:rPr>
          <w:rFonts w:hint="eastAsia" w:ascii="宋体" w:hAnsi="宋体"/>
        </w:rPr>
        <w:t>运输、贮存、随行文件及订货单内容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hint="eastAsia" w:ascii="宋体" w:hAnsi="宋体"/>
        </w:rPr>
        <w:t>适用于以纯度不小于9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99</w:t>
      </w:r>
      <w:r>
        <w:rPr>
          <w:rFonts w:hint="eastAsia" w:ascii="宋体" w:hAnsi="宋体"/>
        </w:rPr>
        <w:t>%的工业镓为原料，经电解精炼、拉制单晶等工艺制得的纯度不小于9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9999</w:t>
      </w:r>
      <w:r>
        <w:rPr>
          <w:rFonts w:hint="eastAsia" w:ascii="宋体" w:hAnsi="宋体"/>
        </w:rPr>
        <w:t>%的高纯镓。产品主要用于制备化合物半导体、高纯合金以及半导体材料的掺杂等。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规范性引用文件</w:t>
      </w:r>
    </w:p>
    <w:p>
      <w:pPr>
        <w:pStyle w:val="19"/>
        <w:rPr>
          <w:rFonts w:hint="eastAsia" w:hAnsi="宋体" w:eastAsia="宋体"/>
        </w:rPr>
      </w:pPr>
      <w:r>
        <w:rPr>
          <w:rFonts w:hAnsi="宋体" w:eastAsia="宋体"/>
        </w:rPr>
        <w:t>下列文件</w:t>
      </w:r>
      <w:r>
        <w:rPr>
          <w:rFonts w:hint="eastAsia" w:hAnsi="宋体" w:eastAsia="宋体"/>
        </w:rPr>
        <w:t>中的内容通过文中的规范性引用而构成本文件必不可少的条款</w:t>
      </w:r>
      <w:r>
        <w:rPr>
          <w:rFonts w:hAnsi="宋体" w:eastAsia="宋体"/>
        </w:rPr>
        <w:t>。</w:t>
      </w:r>
      <w:r>
        <w:rPr>
          <w:rFonts w:hint="eastAsia" w:hAnsi="宋体" w:eastAsia="宋体"/>
        </w:rPr>
        <w:t>其中，注日期的引用文件，仅该日期对应的版本适用于本文件；不注日期的引用文件，其最新版本（包括所有的修改单）适用于本文件。</w:t>
      </w:r>
    </w:p>
    <w:p>
      <w:pPr>
        <w:pStyle w:val="19"/>
        <w:ind w:firstLine="420"/>
        <w:rPr>
          <w:rFonts w:hint="default" w:hAnsi="宋体" w:eastAsia="宋体"/>
          <w:lang w:val="en-US" w:eastAsia="zh-CN"/>
        </w:rPr>
      </w:pPr>
      <w:r>
        <w:rPr>
          <w:rFonts w:hAnsi="宋体"/>
          <w:szCs w:val="21"/>
        </w:rPr>
        <w:t>GB/T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2828</w:t>
      </w:r>
      <w:r>
        <w:rPr>
          <w:rFonts w:hint="eastAsia" w:hAnsi="宋体"/>
          <w:szCs w:val="21"/>
        </w:rPr>
        <w:t xml:space="preserve">.1 </w:t>
      </w:r>
      <w:r>
        <w:rPr>
          <w:rFonts w:hAnsi="宋体"/>
          <w:szCs w:val="21"/>
        </w:rPr>
        <w:t>计数抽样检验程序 第1部分:按接收质量限(AQL)检索的逐批检验抽样计划</w:t>
      </w:r>
    </w:p>
    <w:p>
      <w:pPr>
        <w:pStyle w:val="19"/>
        <w:rPr>
          <w:rFonts w:hAnsi="宋体" w:eastAsia="宋体"/>
        </w:rPr>
      </w:pPr>
      <w:r>
        <w:rPr>
          <w:rFonts w:hint="eastAsia" w:hAnsi="宋体" w:eastAsia="宋体"/>
        </w:rPr>
        <w:t xml:space="preserve">GB/T </w:t>
      </w:r>
      <w:r>
        <w:rPr>
          <w:rFonts w:hAnsi="宋体" w:eastAsia="宋体"/>
        </w:rPr>
        <w:t>8170</w:t>
      </w:r>
      <w:r>
        <w:rPr>
          <w:rFonts w:hint="eastAsia" w:hAnsi="宋体" w:eastAsia="宋体"/>
        </w:rPr>
        <w:t xml:space="preserve">  数值修约规则与极限数值的表示和判定</w:t>
      </w:r>
    </w:p>
    <w:p>
      <w:pPr>
        <w:pStyle w:val="19"/>
        <w:rPr>
          <w:rFonts w:hAnsi="宋体" w:eastAsia="宋体"/>
        </w:rPr>
      </w:pPr>
      <w:r>
        <w:rPr>
          <w:rFonts w:hAnsi="宋体" w:eastAsia="宋体"/>
        </w:rPr>
        <w:t>YS/T 38</w:t>
      </w:r>
      <w:r>
        <w:rPr>
          <w:rFonts w:hint="eastAsia" w:hAnsi="宋体" w:eastAsia="宋体"/>
          <w:lang w:val="en-US" w:eastAsia="zh-CN"/>
        </w:rPr>
        <w:t>.3</w:t>
      </w:r>
      <w:r>
        <w:rPr>
          <w:rFonts w:hint="eastAsia" w:hAnsi="宋体" w:eastAsia="宋体"/>
        </w:rPr>
        <w:t xml:space="preserve">  高纯镓化学分析方法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术语和定义</w:t>
      </w:r>
    </w:p>
    <w:p>
      <w:pPr>
        <w:pStyle w:val="19"/>
      </w:pPr>
      <w:r>
        <w:rPr>
          <w:rFonts w:hint="eastAsia" w:hAnsi="宋体" w:eastAsia="宋体"/>
        </w:rPr>
        <w:t>本文件没有需要界定的术语和定义。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牌号</w:t>
      </w:r>
    </w:p>
    <w:p>
      <w:pPr>
        <w:pStyle w:val="22"/>
        <w:tabs>
          <w:tab w:val="clear" w:pos="760"/>
        </w:tabs>
        <w:ind w:left="420" w:leftChars="200" w:firstLine="0"/>
        <w:jc w:val="both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高纯镓按照化学成分分为</w:t>
      </w:r>
      <w:r>
        <w:rPr>
          <w:rFonts w:hint="eastAsia" w:asciiTheme="majorEastAsia" w:hAnsiTheme="majorEastAsia" w:eastAsiaTheme="majorEastAsia"/>
          <w:highlight w:val="none"/>
        </w:rPr>
        <w:t>Ga</w:t>
      </w:r>
      <w:r>
        <w:rPr>
          <w:rFonts w:asciiTheme="majorEastAsia" w:hAnsiTheme="majorEastAsia" w:eastAsiaTheme="majorEastAsia"/>
          <w:highlight w:val="none"/>
        </w:rPr>
        <w:t>6N</w:t>
      </w:r>
      <w:r>
        <w:rPr>
          <w:rFonts w:hint="eastAsia" w:asciiTheme="majorEastAsia" w:hAnsiTheme="majorEastAsia" w:eastAsiaTheme="majorEastAsia"/>
          <w:highlight w:val="none"/>
        </w:rPr>
        <w:t>、Ga</w:t>
      </w:r>
      <w:r>
        <w:rPr>
          <w:rFonts w:asciiTheme="majorEastAsia" w:hAnsiTheme="majorEastAsia" w:eastAsiaTheme="majorEastAsia"/>
          <w:highlight w:val="none"/>
        </w:rPr>
        <w:t>7N</w:t>
      </w:r>
      <w:r>
        <w:rPr>
          <w:rFonts w:hint="eastAsia" w:asciiTheme="majorEastAsia" w:hAnsiTheme="majorEastAsia" w:eastAsiaTheme="majorEastAsia"/>
          <w:highlight w:val="none"/>
        </w:rPr>
        <w:t>、Ga</w:t>
      </w:r>
      <w:r>
        <w:rPr>
          <w:rFonts w:asciiTheme="majorEastAsia" w:hAnsiTheme="majorEastAsia" w:eastAsiaTheme="majorEastAsia"/>
          <w:highlight w:val="none"/>
        </w:rPr>
        <w:t>8N</w:t>
      </w:r>
      <w:r>
        <w:rPr>
          <w:rFonts w:hint="eastAsia" w:ascii="Times New Roman" w:eastAsia="宋体"/>
          <w:highlight w:val="none"/>
        </w:rPr>
        <w:t>三</w:t>
      </w:r>
      <w:r>
        <w:rPr>
          <w:rFonts w:hint="eastAsia" w:ascii="Times New Roman" w:eastAsia="宋体"/>
        </w:rPr>
        <w:t>个牌号。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技术要求</w:t>
      </w:r>
    </w:p>
    <w:p>
      <w:pPr>
        <w:pStyle w:val="22"/>
        <w:numPr>
          <w:ilvl w:val="1"/>
          <w:numId w:val="4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化学成分</w:t>
      </w:r>
    </w:p>
    <w:p>
      <w:pPr>
        <w:pStyle w:val="22"/>
        <w:tabs>
          <w:tab w:val="clear" w:pos="760"/>
        </w:tabs>
        <w:ind w:left="0" w:firstLine="0"/>
        <w:jc w:val="both"/>
        <w:outlineLvl w:val="9"/>
      </w:pPr>
      <w:r>
        <w:rPr>
          <w:rFonts w:hAnsi="黑体"/>
          <w:highlight w:val="none"/>
        </w:rPr>
        <w:t>5.1.1</w:t>
      </w:r>
      <w:r>
        <w:rPr>
          <w:rFonts w:asciiTheme="majorEastAsia" w:hAnsiTheme="majorEastAsia" w:eastAsiaTheme="maj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highlight w:val="none"/>
        </w:rPr>
        <w:t>Ga</w:t>
      </w:r>
      <w:r>
        <w:rPr>
          <w:rFonts w:asciiTheme="minorEastAsia" w:hAnsiTheme="minorEastAsia" w:eastAsiaTheme="minorEastAsia"/>
          <w:highlight w:val="none"/>
        </w:rPr>
        <w:t>6N</w:t>
      </w:r>
      <w:r>
        <w:rPr>
          <w:rFonts w:hint="eastAsia" w:asciiTheme="minorEastAsia" w:hAnsiTheme="minorEastAsia" w:eastAsiaTheme="minorEastAsia"/>
          <w:highlight w:val="none"/>
        </w:rPr>
        <w:t>、Ga</w:t>
      </w:r>
      <w:r>
        <w:rPr>
          <w:rFonts w:asciiTheme="minorEastAsia" w:hAnsiTheme="minorEastAsia" w:eastAsiaTheme="minorEastAsia"/>
          <w:highlight w:val="none"/>
        </w:rPr>
        <w:t>7N</w:t>
      </w:r>
      <w:r>
        <w:rPr>
          <w:rFonts w:hint="eastAsia" w:asciiTheme="minorEastAsia" w:hAnsiTheme="minorEastAsia" w:eastAsiaTheme="minorEastAsia"/>
          <w:highlight w:val="none"/>
        </w:rPr>
        <w:t>高</w:t>
      </w:r>
      <w:r>
        <w:rPr>
          <w:rFonts w:hint="eastAsia" w:asciiTheme="minorEastAsia" w:hAnsiTheme="minorEastAsia" w:eastAsiaTheme="minorEastAsia"/>
        </w:rPr>
        <w:t>纯镓的化学成分应符合表1的规定。</w:t>
      </w:r>
    </w:p>
    <w:p>
      <w:pPr>
        <w:pStyle w:val="19"/>
        <w:spacing w:before="156" w:beforeLines="50" w:after="156" w:afterLines="50"/>
        <w:ind w:firstLine="3150" w:firstLineChars="15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表1 Ga6N、Ga7N高纯镓的化学成分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3112"/>
        <w:gridCol w:w="3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</w:tblPrEx>
        <w:trPr>
          <w:trHeight w:val="217" w:hRule="atLeast"/>
          <w:tblHeader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Ga6N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Ga7N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Ga（质量分数），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%</w:t>
            </w:r>
          </w:p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不小于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杂质含量，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ng/g</w:t>
            </w:r>
          </w:p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Fe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i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</w:t>
            </w:r>
            <w:r>
              <w:rPr>
                <w:rFonts w:ascii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Z</w:t>
            </w: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</w:tr>
    </w:tbl>
    <w:p>
      <w:pPr>
        <w:pStyle w:val="19"/>
        <w:spacing w:before="156" w:beforeLines="50" w:after="156" w:afterLines="50"/>
        <w:ind w:firstLine="0" w:firstLineChars="0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表1</w:t>
      </w:r>
      <w:r>
        <w:rPr>
          <w:rFonts w:ascii="黑体" w:hAnsi="黑体" w:eastAsia="黑体"/>
          <w:bCs/>
        </w:rPr>
        <w:t xml:space="preserve"> </w:t>
      </w:r>
      <w:r>
        <w:rPr>
          <w:rFonts w:hint="eastAsia" w:hAnsi="宋体" w:eastAsia="宋体"/>
          <w:bCs/>
        </w:rPr>
        <w:t>（续）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3112"/>
        <w:gridCol w:w="3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Ga6N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Ga7N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杂质含量，</w:t>
            </w:r>
            <w:r>
              <w:rPr>
                <w:rFonts w:asciiTheme="minorEastAsia" w:hAnsiTheme="minorEastAsia"/>
                <w:sz w:val="18"/>
                <w:szCs w:val="18"/>
              </w:rPr>
              <w:t>ng/g</w:t>
            </w:r>
          </w:p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sz w:val="18"/>
                <w:szCs w:val="18"/>
              </w:rPr>
              <w:t>u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sz w:val="18"/>
                <w:szCs w:val="18"/>
              </w:rPr>
              <w:t>r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hAnsiTheme="minorEastAsia"/>
                <w:sz w:val="18"/>
                <w:szCs w:val="18"/>
              </w:rPr>
              <w:t>i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i/>
                <w:iCs/>
                <w:sz w:val="18"/>
                <w:szCs w:val="18"/>
              </w:rPr>
              <w:t>N</w:t>
            </w:r>
            <w:r>
              <w:rPr>
                <w:rFonts w:asciiTheme="minorEastAsia" w:hAnsiTheme="minorEastAsia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i/>
                <w:iCs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As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Ag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总含量</w:t>
            </w:r>
          </w:p>
        </w:tc>
        <w:tc>
          <w:tcPr>
            <w:tcW w:w="3112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000</w:t>
            </w:r>
          </w:p>
        </w:tc>
        <w:tc>
          <w:tcPr>
            <w:tcW w:w="3112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3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注1：表中镓含量为100%减去表中所列杂质含量（质量分数）总和的差值。</w:t>
            </w:r>
          </w:p>
          <w:p>
            <w:pPr>
              <w:pStyle w:val="19"/>
              <w:ind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注2：表中未列的其他杂质元素，由供需双方协商确定。</w:t>
            </w:r>
          </w:p>
        </w:tc>
      </w:tr>
    </w:tbl>
    <w:p>
      <w:pPr>
        <w:pStyle w:val="22"/>
        <w:tabs>
          <w:tab w:val="clear" w:pos="760"/>
        </w:tabs>
        <w:ind w:left="0" w:firstLine="0"/>
        <w:jc w:val="both"/>
        <w:outlineLvl w:val="9"/>
      </w:pPr>
      <w:r>
        <w:rPr>
          <w:rFonts w:hAnsi="黑体"/>
          <w:highlight w:val="none"/>
        </w:rPr>
        <w:t>5.1.2</w:t>
      </w:r>
      <w:r>
        <w:rPr>
          <w:rFonts w:asciiTheme="majorEastAsia" w:hAnsiTheme="majorEastAsia" w:eastAsiaTheme="maj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highlight w:val="none"/>
        </w:rPr>
        <w:t>Ga</w:t>
      </w:r>
      <w:r>
        <w:rPr>
          <w:rFonts w:asciiTheme="minorEastAsia" w:hAnsiTheme="minorEastAsia" w:eastAsiaTheme="minorEastAsia"/>
          <w:highlight w:val="none"/>
        </w:rPr>
        <w:t>8N</w:t>
      </w:r>
      <w:r>
        <w:rPr>
          <w:rFonts w:hint="eastAsia" w:asciiTheme="minorEastAsia" w:hAnsiTheme="minorEastAsia" w:eastAsiaTheme="minorEastAsia"/>
          <w:highlight w:val="none"/>
        </w:rPr>
        <w:t>高</w:t>
      </w:r>
      <w:r>
        <w:rPr>
          <w:rFonts w:hint="eastAsia" w:asciiTheme="minorEastAsia" w:hAnsiTheme="minorEastAsia" w:eastAsiaTheme="minorEastAsia"/>
        </w:rPr>
        <w:t>纯镓的化学成分应符合表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的规定。</w:t>
      </w:r>
    </w:p>
    <w:p>
      <w:pPr>
        <w:pStyle w:val="19"/>
        <w:spacing w:before="156" w:beforeLines="50" w:after="156" w:afterLines="50"/>
        <w:ind w:firstLine="0" w:firstLineChars="0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</w:t>
      </w:r>
      <w:r>
        <w:rPr>
          <w:rFonts w:ascii="黑体" w:hAnsi="黑体" w:eastAsia="黑体"/>
          <w:bCs/>
        </w:rPr>
        <w:t>2</w:t>
      </w:r>
      <w:r>
        <w:rPr>
          <w:rFonts w:hint="eastAsia" w:ascii="黑体" w:hAnsi="黑体" w:eastAsia="黑体"/>
          <w:bCs/>
        </w:rPr>
        <w:t xml:space="preserve"> </w:t>
      </w:r>
      <w:r>
        <w:rPr>
          <w:rFonts w:ascii="黑体" w:hAnsi="黑体" w:eastAsia="黑体"/>
          <w:bCs/>
          <w:highlight w:val="none"/>
        </w:rPr>
        <w:t xml:space="preserve"> </w:t>
      </w:r>
      <w:r>
        <w:rPr>
          <w:rFonts w:hint="eastAsia" w:ascii="黑体" w:hAnsi="黑体" w:eastAsia="黑体"/>
          <w:highlight w:val="none"/>
        </w:rPr>
        <w:t>Ga</w:t>
      </w:r>
      <w:r>
        <w:rPr>
          <w:rFonts w:ascii="黑体" w:hAnsi="黑体" w:eastAsia="黑体"/>
          <w:highlight w:val="none"/>
        </w:rPr>
        <w:t>8N</w:t>
      </w:r>
      <w:r>
        <w:rPr>
          <w:rFonts w:hint="eastAsia" w:ascii="黑体" w:hAnsi="黑体" w:eastAsia="黑体"/>
          <w:bCs/>
          <w:highlight w:val="none"/>
        </w:rPr>
        <w:t>高</w:t>
      </w:r>
      <w:r>
        <w:rPr>
          <w:rFonts w:hint="eastAsia" w:ascii="黑体" w:hAnsi="黑体" w:eastAsia="黑体"/>
          <w:bCs/>
        </w:rPr>
        <w:t>纯镓的化学成分</w:t>
      </w:r>
    </w:p>
    <w:tbl>
      <w:tblPr>
        <w:tblStyle w:val="11"/>
        <w:tblW w:w="93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30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牌号</w:t>
            </w:r>
          </w:p>
        </w:tc>
        <w:tc>
          <w:tcPr>
            <w:tcW w:w="8534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化学成分（质量分数）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Ga8N</w:t>
            </w:r>
          </w:p>
        </w:tc>
        <w:tc>
          <w:tcPr>
            <w:tcW w:w="1730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Ga含量，不小于</w:t>
            </w:r>
          </w:p>
        </w:tc>
        <w:tc>
          <w:tcPr>
            <w:tcW w:w="680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杂质含量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99．999999</w:t>
            </w:r>
          </w:p>
        </w:tc>
        <w:tc>
          <w:tcPr>
            <w:tcW w:w="680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除了基体Ga和离子源Ta，其他杂质元素的含量都低于G</w:t>
            </w:r>
            <w:r>
              <w:rPr>
                <w:rFonts w:hAnsi="宋体"/>
                <w:sz w:val="18"/>
                <w:szCs w:val="18"/>
              </w:rPr>
              <w:t>D-MS</w:t>
            </w:r>
            <w:r>
              <w:rPr>
                <w:rFonts w:hint="eastAsia" w:hAnsi="宋体"/>
                <w:sz w:val="18"/>
                <w:szCs w:val="18"/>
              </w:rPr>
              <w:t>检测极限（0.</w:t>
            </w:r>
            <w:r>
              <w:rPr>
                <w:rFonts w:hAnsi="宋体"/>
                <w:sz w:val="18"/>
                <w:szCs w:val="18"/>
              </w:rPr>
              <w:t>001</w:t>
            </w:r>
            <w:r>
              <w:rPr>
                <w:rFonts w:hint="eastAsia" w:hAnsi="宋体"/>
                <w:sz w:val="18"/>
                <w:szCs w:val="18"/>
              </w:rPr>
              <w:t>μg/g）</w:t>
            </w:r>
          </w:p>
        </w:tc>
      </w:tr>
    </w:tbl>
    <w:p>
      <w:pPr>
        <w:pStyle w:val="22"/>
        <w:numPr>
          <w:ilvl w:val="1"/>
          <w:numId w:val="4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外观质量</w:t>
      </w:r>
    </w:p>
    <w:p>
      <w:pPr>
        <w:pStyle w:val="19"/>
        <w:rPr>
          <w:rFonts w:ascii="Times New Roman" w:eastAsia="宋体"/>
        </w:rPr>
      </w:pPr>
      <w:r>
        <w:rPr>
          <w:rFonts w:hint="eastAsia" w:ascii="Times New Roman" w:eastAsia="宋体"/>
        </w:rPr>
        <w:t>固态产品呈蓝白色，液态产品呈银白色，表面具有金属光泽，无氧化色斑及夹杂物。</w:t>
      </w:r>
    </w:p>
    <w:p>
      <w:pPr>
        <w:pStyle w:val="22"/>
        <w:numPr>
          <w:ilvl w:val="1"/>
          <w:numId w:val="4"/>
        </w:numPr>
      </w:pPr>
      <w:r>
        <w:rPr>
          <w:rFonts w:hint="eastAsia"/>
        </w:rPr>
        <w:t>其他</w:t>
      </w:r>
    </w:p>
    <w:p>
      <w:pPr>
        <w:pStyle w:val="19"/>
      </w:pPr>
      <w:r>
        <w:rPr>
          <w:rFonts w:hint="eastAsia"/>
        </w:rPr>
        <w:t>需方如对高纯镓有特殊要求时，由供需双方协商确定并在订货单中注明</w:t>
      </w:r>
      <w:r>
        <w:t>。</w:t>
      </w:r>
    </w:p>
    <w:p>
      <w:pPr>
        <w:pStyle w:val="37"/>
        <w:numPr>
          <w:ilvl w:val="0"/>
          <w:numId w:val="4"/>
        </w:numPr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hAnsi="黑体"/>
        </w:rPr>
        <w:t>试验方法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="宋体" w:hAnsi="宋体"/>
        </w:rPr>
        <w:t>高纯镓的化学成分按</w:t>
      </w:r>
      <w:r>
        <w:rPr>
          <w:rFonts w:ascii="宋体" w:hAnsi="宋体"/>
        </w:rPr>
        <w:t>YS/T 38.3</w:t>
      </w:r>
      <w:r>
        <w:rPr>
          <w:rFonts w:hint="eastAsia" w:ascii="宋体" w:hAnsi="宋体"/>
          <w:lang w:val="en-US" w:eastAsia="zh-CN"/>
        </w:rPr>
        <w:t>高纯镓化学分析方法</w:t>
      </w:r>
      <w:r>
        <w:rPr>
          <w:rFonts w:hint="eastAsia" w:ascii="宋体" w:hAnsi="宋体"/>
        </w:rPr>
        <w:t>的规定</w:t>
      </w:r>
      <w:r>
        <w:rPr>
          <w:rFonts w:ascii="宋体" w:hAnsi="宋体"/>
        </w:rPr>
        <w:t>进行</w:t>
      </w:r>
      <w:r>
        <w:rPr>
          <w:rFonts w:hint="eastAsia" w:ascii="宋体" w:hAnsi="宋体"/>
        </w:rPr>
        <w:t>测定。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="宋体" w:hAnsi="宋体"/>
        </w:rPr>
        <w:t>高纯镓的外观质量用目视检查。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检验规则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检查和验收</w:t>
      </w:r>
    </w:p>
    <w:p>
      <w:bookmarkStart w:id="5" w:name="DW"/>
      <w:bookmarkEnd w:id="5"/>
      <w:r>
        <w:rPr>
          <w:rFonts w:ascii="黑体" w:hAnsi="黑体" w:eastAsia="黑体"/>
        </w:rPr>
        <w:t>7.1.1</w:t>
      </w:r>
      <w:r>
        <w:t xml:space="preserve">  </w:t>
      </w:r>
      <w:r>
        <w:rPr>
          <w:rFonts w:hint="eastAsia"/>
        </w:rPr>
        <w:t>产品由供方或第三方进行检验，保证产品质量符合本文件及订货单的规定。</w:t>
      </w:r>
    </w:p>
    <w:p>
      <w:r>
        <w:rPr>
          <w:rFonts w:ascii="黑体" w:hAnsi="黑体" w:eastAsia="黑体"/>
        </w:rPr>
        <w:t>7.1.2</w:t>
      </w:r>
      <w:r>
        <w:t xml:space="preserve">  </w:t>
      </w:r>
      <w:r>
        <w:rPr>
          <w:rFonts w:hint="eastAsia"/>
        </w:rPr>
        <w:t>需方可对收到的产品按照本文件的规定进行检验。如检验结果与本文件或订货单的规定不符，应以书面形式向供方提出，由供需双方协商解决。属于外观质量的异议，应在收到产品之日起</w:t>
      </w:r>
      <w:r>
        <w:rPr>
          <w:rFonts w:hint="eastAsia" w:ascii="宋体" w:hAnsi="宋体"/>
        </w:rPr>
        <w:t>1个月内提出，属于化学成分的异议，应在收到产品之日起3个月内提出。如需仲裁，仲裁取样应由供需双方共同进行。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组批</w:t>
      </w:r>
    </w:p>
    <w:p>
      <w:pPr>
        <w:pStyle w:val="19"/>
      </w:pPr>
      <w:r>
        <w:rPr>
          <w:rFonts w:hint="eastAsia"/>
        </w:rPr>
        <w:t>产品应成批提交验收，每批应由同一牌号、同一生产方法的产品组成。连续生产的每批总量不超过1000</w:t>
      </w:r>
      <w:r>
        <w:t xml:space="preserve"> kg</w:t>
      </w:r>
      <w:r>
        <w:rPr>
          <w:rFonts w:hint="eastAsia"/>
        </w:rPr>
        <w:t>，间断生产的每批总量不超过100</w:t>
      </w:r>
      <w:r>
        <w:t xml:space="preserve"> kg</w:t>
      </w:r>
      <w:r>
        <w:rPr>
          <w:rFonts w:hint="eastAsia"/>
        </w:rPr>
        <w:t>。</w:t>
      </w:r>
    </w:p>
    <w:p>
      <w:pPr>
        <w:pStyle w:val="22"/>
        <w:numPr>
          <w:ilvl w:val="1"/>
          <w:numId w:val="4"/>
        </w:numPr>
        <w:rPr>
          <w:rFonts w:hAnsi="黑体"/>
          <w:iCs/>
        </w:rPr>
      </w:pPr>
      <w:r>
        <w:rPr>
          <w:rFonts w:hint="eastAsia" w:hAnsi="黑体"/>
          <w:iCs/>
        </w:rPr>
        <w:t>检验项目</w:t>
      </w:r>
    </w:p>
    <w:p>
      <w:pPr>
        <w:pStyle w:val="19"/>
      </w:pPr>
      <w:r>
        <w:rPr>
          <w:rFonts w:hint="eastAsia"/>
        </w:rPr>
        <w:t>每批产品应对化学成分、外观质量进行检验。</w:t>
      </w:r>
    </w:p>
    <w:p>
      <w:pPr>
        <w:pStyle w:val="22"/>
        <w:numPr>
          <w:ilvl w:val="1"/>
          <w:numId w:val="4"/>
        </w:numPr>
        <w:rPr>
          <w:rFonts w:hAnsi="黑体"/>
          <w:iCs/>
        </w:rPr>
      </w:pPr>
      <w:r>
        <w:rPr>
          <w:rFonts w:hint="eastAsia" w:hAnsi="黑体"/>
          <w:iCs/>
        </w:rPr>
        <w:t>取样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0"/>
        <w:rPr>
          <w:rFonts w:hAnsi="黑体"/>
        </w:rPr>
      </w:pPr>
      <w:r>
        <w:rPr>
          <w:rFonts w:hint="eastAsia" w:hAnsi="黑体"/>
        </w:rPr>
        <w:t>7</w:t>
      </w:r>
      <w:r>
        <w:rPr>
          <w:rFonts w:hAnsi="黑体"/>
        </w:rPr>
        <w:t xml:space="preserve">.4.1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产品取样按如下规定进行，</w:t>
      </w:r>
      <w:r>
        <w:rPr>
          <w:rFonts w:hint="eastAsia" w:ascii="宋体" w:hAnsi="宋体" w:eastAsia="宋体"/>
          <w:kern w:val="2"/>
          <w:szCs w:val="24"/>
        </w:rPr>
        <w:t>从每批产品中任取5</w:t>
      </w:r>
      <w:r>
        <w:rPr>
          <w:rFonts w:hint="eastAsia" w:ascii="宋体" w:hAnsi="宋体" w:eastAsia="宋体"/>
          <w:kern w:val="2"/>
          <w:szCs w:val="24"/>
          <w:lang w:val="en-US" w:eastAsia="zh-CN"/>
        </w:rPr>
        <w:t>个包装单位</w:t>
      </w:r>
      <w:r>
        <w:rPr>
          <w:rFonts w:hint="eastAsia" w:ascii="宋体" w:hAnsi="宋体" w:eastAsia="宋体"/>
          <w:kern w:val="2"/>
          <w:szCs w:val="24"/>
        </w:rPr>
        <w:t>，每瓶任取5</w:t>
      </w:r>
      <w:r>
        <w:rPr>
          <w:rFonts w:ascii="宋体" w:hAnsi="宋体" w:eastAsia="宋体"/>
          <w:kern w:val="2"/>
          <w:szCs w:val="24"/>
        </w:rPr>
        <w:t xml:space="preserve"> </w:t>
      </w:r>
      <w:r>
        <w:rPr>
          <w:rFonts w:hint="eastAsia" w:ascii="宋体" w:hAnsi="宋体" w:eastAsia="宋体"/>
          <w:kern w:val="2"/>
          <w:szCs w:val="24"/>
        </w:rPr>
        <w:t>g～10</w:t>
      </w:r>
      <w:r>
        <w:rPr>
          <w:rFonts w:ascii="宋体" w:hAnsi="宋体" w:eastAsia="宋体"/>
          <w:kern w:val="2"/>
          <w:szCs w:val="24"/>
        </w:rPr>
        <w:t xml:space="preserve"> </w:t>
      </w:r>
      <w:r>
        <w:rPr>
          <w:rFonts w:hint="eastAsia" w:ascii="宋体" w:hAnsi="宋体" w:eastAsia="宋体"/>
          <w:kern w:val="2"/>
          <w:szCs w:val="24"/>
        </w:rPr>
        <w:t>g，混合均匀后进行检验。</w:t>
      </w:r>
    </w:p>
    <w:p>
      <w:pPr>
        <w:pStyle w:val="19"/>
        <w:ind w:firstLine="0" w:firstLineChars="0"/>
        <w:rPr>
          <w:rFonts w:hAnsi="宋体" w:eastAsia="宋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.4.2</w:t>
      </w:r>
      <w:r>
        <w:rPr>
          <w:rFonts w:hAnsi="宋体" w:eastAsia="宋体"/>
        </w:rPr>
        <w:t xml:space="preserve">  </w:t>
      </w:r>
      <w:r>
        <w:rPr>
          <w:rFonts w:hint="eastAsia" w:hAnsi="宋体" w:eastAsia="宋体"/>
        </w:rPr>
        <w:t>外观质量检验逐瓶或逐个最小包装单元进行。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检验结果的判定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0"/>
        <w:rPr>
          <w:rFonts w:hAnsi="黑体"/>
        </w:rPr>
      </w:pPr>
      <w:r>
        <w:rPr>
          <w:rFonts w:hint="eastAsia" w:hAnsi="黑体"/>
        </w:rPr>
        <w:t>7</w:t>
      </w:r>
      <w:r>
        <w:rPr>
          <w:rFonts w:hAnsi="黑体"/>
        </w:rPr>
        <w:t>.5.</w:t>
      </w:r>
      <w:r>
        <w:rPr>
          <w:rFonts w:hint="eastAsia" w:hAnsi="黑体"/>
          <w:lang w:val="en-US" w:eastAsia="zh-CN"/>
        </w:rPr>
        <w:t xml:space="preserve">1 </w:t>
      </w:r>
      <w:r>
        <w:rPr>
          <w:rFonts w:hAnsi="宋体" w:eastAsia="宋体"/>
        </w:rPr>
        <w:t xml:space="preserve"> </w:t>
      </w:r>
      <w:r>
        <w:rPr>
          <w:rFonts w:hint="eastAsia" w:ascii="宋体" w:hAnsi="宋体" w:eastAsia="宋体"/>
        </w:rPr>
        <w:t>化学成分的检验结果不合格时，判该批产品不合格。</w:t>
      </w:r>
    </w:p>
    <w:p>
      <w:pPr>
        <w:pStyle w:val="19"/>
        <w:ind w:firstLine="0" w:firstLineChars="0"/>
        <w:rPr>
          <w:rFonts w:hAnsi="宋体" w:eastAsia="宋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.5.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Ansi="宋体" w:eastAsia="宋体"/>
        </w:rPr>
        <w:t xml:space="preserve">  </w:t>
      </w:r>
      <w:r>
        <w:rPr>
          <w:rFonts w:hint="eastAsia" w:hAnsi="宋体" w:eastAsia="宋体"/>
        </w:rPr>
        <w:t>外观质量的检验结果不合格时，</w:t>
      </w:r>
      <w:r>
        <w:rPr>
          <w:rFonts w:hint="eastAsia" w:hAnsi="宋体" w:eastAsia="宋体"/>
          <w:lang w:val="en-US" w:eastAsia="zh-CN"/>
        </w:rPr>
        <w:t>由供需双方协商解决</w:t>
      </w:r>
      <w:r>
        <w:rPr>
          <w:rFonts w:hint="eastAsia" w:hAnsi="宋体" w:eastAsia="宋体"/>
        </w:rPr>
        <w:t>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标志、包装、运输、贮存和随行文件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标志</w:t>
      </w:r>
    </w:p>
    <w:p>
      <w:pPr>
        <w:pStyle w:val="22"/>
        <w:numPr>
          <w:ilvl w:val="2"/>
          <w:numId w:val="4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  <w:kern w:val="2"/>
          <w:szCs w:val="24"/>
        </w:rPr>
        <w:t>产品包装瓶外应逐个张贴标签，其上注明：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供方名称；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产品名称；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本文件编号；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牌号；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批号；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净重；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生产日期；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“禁止倒置”标志或字样。</w:t>
      </w:r>
    </w:p>
    <w:p>
      <w:pPr>
        <w:pStyle w:val="22"/>
        <w:numPr>
          <w:ilvl w:val="2"/>
          <w:numId w:val="4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产品外包装箱上应注明：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供方名称；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产品名称；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批号；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数量及重量；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“向上”、“禁止翻滚”“防潮”、“防晒”标志或字样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8.2  包装</w:t>
      </w:r>
    </w:p>
    <w:p>
      <w:pPr>
        <w:ind w:firstLine="420" w:firstLineChars="200"/>
        <w:jc w:val="left"/>
      </w:pPr>
      <w:r>
        <w:rPr>
          <w:rFonts w:hint="eastAsia"/>
        </w:rPr>
        <w:t>产品装入洁净干燥处理</w:t>
      </w:r>
      <w:r>
        <w:rPr>
          <w:rFonts w:hint="eastAsia" w:ascii="宋体" w:hAnsi="宋体"/>
        </w:rPr>
        <w:t>过的非极性塑料瓶中，每瓶净重不超过2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kg，冷凝成固体，经充高纯惰性气体或真空封装后，置于泡沫盒中，最</w:t>
      </w:r>
      <w:r>
        <w:rPr>
          <w:rFonts w:hint="eastAsia"/>
        </w:rPr>
        <w:t>后装入包装箱内，</w:t>
      </w:r>
      <w:r>
        <w:rPr>
          <w:rFonts w:hint="eastAsia"/>
          <w:color w:val="auto"/>
          <w:highlight w:val="none"/>
        </w:rPr>
        <w:t>必要时可在包装箱内加冰袋等降温措施。</w:t>
      </w:r>
      <w:r>
        <w:rPr>
          <w:rFonts w:hint="eastAsia"/>
        </w:rPr>
        <w:t xml:space="preserve">包装方法和每瓶重量可由供需双方协商定。 </w:t>
      </w:r>
      <w:r>
        <w:t xml:space="preserve">     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8.3  运输</w:t>
      </w:r>
    </w:p>
    <w:p>
      <w:pPr>
        <w:ind w:firstLine="420" w:firstLineChars="200"/>
      </w:pPr>
      <w:r>
        <w:rPr>
          <w:rFonts w:hint="eastAsia"/>
        </w:rPr>
        <w:t>产品在运输过程中应防止潮湿，不准许倒置、翻滚和碰撞。</w:t>
      </w:r>
    </w:p>
    <w:p>
      <w:pPr>
        <w:pStyle w:val="22"/>
        <w:tabs>
          <w:tab w:val="clear" w:pos="760"/>
        </w:tabs>
        <w:ind w:left="0" w:firstLine="0"/>
        <w:rPr>
          <w:rFonts w:ascii="Times New Roman" w:eastAsia="宋体"/>
        </w:rPr>
      </w:pPr>
      <w:r>
        <w:rPr>
          <w:rFonts w:hint="eastAsia" w:hAnsi="黑体"/>
        </w:rPr>
        <w:t>8.4  贮存</w:t>
      </w:r>
    </w:p>
    <w:p>
      <w:pPr>
        <w:ind w:firstLine="420" w:firstLineChars="200"/>
      </w:pPr>
      <w:r>
        <w:rPr>
          <w:rFonts w:hint="eastAsia"/>
        </w:rPr>
        <w:t>产品应存放于清洁、干燥和无酸、碱气氛中，环境温度为低温或室温，产品有效期为2年。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8.5  随行文件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每批产品</w:t>
      </w:r>
      <w:r>
        <w:rPr>
          <w:rFonts w:ascii="Times New Roman" w:eastAsia="宋体"/>
        </w:rPr>
        <w:t>应附有</w:t>
      </w:r>
      <w:r>
        <w:rPr>
          <w:rFonts w:hint="eastAsia" w:ascii="Times New Roman" w:eastAsia="宋体"/>
        </w:rPr>
        <w:t>随行文件，其中除应包括供方信息、产品信息、本文件编号、生产日期或包装日期外，还宜包括：</w:t>
      </w:r>
      <w:r>
        <w:rPr>
          <w:rFonts w:ascii="Times New Roman" w:eastAsia="宋体"/>
        </w:rPr>
        <w:t xml:space="preserve"> 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a）产品质量证明书，内容如下：</w:t>
      </w:r>
    </w:p>
    <w:p>
      <w:pPr>
        <w:pStyle w:val="22"/>
        <w:numPr>
          <w:ilvl w:val="0"/>
          <w:numId w:val="7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供方名称；</w:t>
      </w:r>
    </w:p>
    <w:p>
      <w:pPr>
        <w:pStyle w:val="22"/>
        <w:numPr>
          <w:ilvl w:val="0"/>
          <w:numId w:val="7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产品名称；</w:t>
      </w:r>
    </w:p>
    <w:p>
      <w:pPr>
        <w:pStyle w:val="22"/>
        <w:numPr>
          <w:ilvl w:val="0"/>
          <w:numId w:val="7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批号；</w:t>
      </w:r>
    </w:p>
    <w:p>
      <w:pPr>
        <w:pStyle w:val="19"/>
        <w:numPr>
          <w:ilvl w:val="0"/>
          <w:numId w:val="8"/>
        </w:numPr>
        <w:ind w:firstLineChars="0"/>
      </w:pPr>
      <w:r>
        <w:rPr>
          <w:rFonts w:hint="eastAsia"/>
        </w:rPr>
        <w:t>牌号；</w:t>
      </w:r>
    </w:p>
    <w:p>
      <w:pPr>
        <w:pStyle w:val="19"/>
        <w:numPr>
          <w:ilvl w:val="0"/>
          <w:numId w:val="8"/>
        </w:numPr>
        <w:ind w:firstLineChars="0"/>
      </w:pPr>
      <w:r>
        <w:rPr>
          <w:rFonts w:hint="eastAsia"/>
        </w:rPr>
        <w:t>各项分析检验结果；</w:t>
      </w:r>
    </w:p>
    <w:p>
      <w:pPr>
        <w:pStyle w:val="19"/>
        <w:numPr>
          <w:ilvl w:val="0"/>
          <w:numId w:val="8"/>
        </w:numPr>
        <w:ind w:firstLineChars="0"/>
      </w:pPr>
      <w:r>
        <w:rPr>
          <w:rFonts w:hint="eastAsia"/>
        </w:rPr>
        <w:t>检验部门印记及检验员签章。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b）高纯镓化学技术说明书和安全标签。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c）产品使用说明：正确搬运、使用、贮存方法等。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d）其他。</w:t>
      </w:r>
    </w:p>
    <w:p>
      <w:pPr>
        <w:pStyle w:val="22"/>
        <w:tabs>
          <w:tab w:val="clear" w:pos="760"/>
        </w:tabs>
        <w:spacing w:before="312" w:beforeLines="100" w:after="312" w:afterLines="100"/>
        <w:ind w:left="0" w:firstLine="0"/>
        <w:rPr>
          <w:rFonts w:hAnsi="黑体"/>
        </w:rPr>
      </w:pPr>
      <w:r>
        <w:rPr>
          <w:rFonts w:hint="eastAsia" w:hAnsi="黑体"/>
        </w:rPr>
        <w:t>9  订货单</w:t>
      </w:r>
      <w:r>
        <w:rPr>
          <w:rFonts w:hAnsi="黑体"/>
        </w:rPr>
        <w:t>内容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需方可根据自身的需要，在订购本文件</w:t>
      </w:r>
      <w:r>
        <w:rPr>
          <w:rFonts w:ascii="Times New Roman" w:eastAsia="宋体"/>
        </w:rPr>
        <w:t>所列</w:t>
      </w:r>
      <w:r>
        <w:rPr>
          <w:rFonts w:hint="eastAsia" w:ascii="Times New Roman" w:eastAsia="宋体"/>
        </w:rPr>
        <w:t>产品</w:t>
      </w:r>
      <w:r>
        <w:rPr>
          <w:rFonts w:ascii="Times New Roman" w:eastAsia="宋体"/>
        </w:rPr>
        <w:t>的订货单</w:t>
      </w:r>
      <w:r>
        <w:rPr>
          <w:rFonts w:hint="eastAsia" w:ascii="Times New Roman" w:eastAsia="宋体"/>
        </w:rPr>
        <w:t>内，列出以下</w:t>
      </w:r>
      <w:r>
        <w:rPr>
          <w:rFonts w:ascii="Times New Roman" w:eastAsia="宋体"/>
        </w:rPr>
        <w:t xml:space="preserve">内容： 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产品名称；</w:t>
      </w:r>
    </w:p>
    <w:p>
      <w:pPr>
        <w:pStyle w:val="19"/>
        <w:numPr>
          <w:ilvl w:val="0"/>
          <w:numId w:val="9"/>
        </w:numPr>
        <w:ind w:left="420" w:leftChars="200" w:firstLineChars="0"/>
      </w:pPr>
      <w:r>
        <w:rPr>
          <w:rFonts w:hint="eastAsia" w:hAnsi="宋体" w:eastAsia="宋体"/>
        </w:rPr>
        <w:t>牌号；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</w:pPr>
      <w:r>
        <w:rPr>
          <w:rFonts w:hint="eastAsia" w:ascii="宋体" w:hAnsi="宋体" w:eastAsia="宋体"/>
        </w:rPr>
        <w:t>重量；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宋体" w:hAnsi="宋体" w:eastAsia="宋体"/>
        </w:rPr>
        <w:t>本</w:t>
      </w:r>
      <w:r>
        <w:rPr>
          <w:rFonts w:hint="eastAsia" w:ascii="Times New Roman" w:eastAsia="宋体"/>
        </w:rPr>
        <w:t>文件编号；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其他。</w:t>
      </w:r>
    </w:p>
    <w:p>
      <w:pPr>
        <w:pStyle w:val="19"/>
      </w:pPr>
    </w:p>
    <w:p>
      <w:pPr>
        <w:pStyle w:val="19"/>
      </w:pPr>
    </w:p>
    <w:p>
      <w:pPr>
        <w:pStyle w:val="19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21602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6.85pt;height:0pt;width:170.1pt;mso-position-horizontal:center;mso-position-horizontal-relative:margin;z-index:251666432;mso-width-relative:page;mso-height-relative:page;" filled="f" stroked="t" coordsize="21600,21600" o:gfxdata="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32&#10;cvDTAAAABgEAAA8AAAAAAAAAAQAgAAAAIgAAAGRycy9kb3ducmV2LnhtbFBLAQIUABQAAAAIAIdO&#10;4kD1YbcG7wEAANQDAAAOAAAAAAAAAAEAIAAAACIBAABkcnMvZTJvRG9jLnhtbFBLBQYAAAAABgAG&#10;AFkBAACD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lear" w:pos="4154"/>
        <w:tab w:val="clear" w:pos="8306"/>
      </w:tabs>
    </w:pPr>
    <w:r>
      <w:t xml:space="preserve">GB/T </w:t>
    </w:r>
    <w:r>
      <w:rPr>
        <w:rFonts w:hint="eastAsia"/>
        <w:lang w:val="en-US" w:eastAsia="zh-CN"/>
      </w:rPr>
      <w:t>10118</w:t>
    </w:r>
    <w:r>
      <w:t>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hAnsi="黑体"/>
      </w:rPr>
    </w:pPr>
    <w:r>
      <w:rPr>
        <w:rFonts w:hAnsi="黑体"/>
      </w:rPr>
      <w:t>GB/T 10118—XXXX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B4124C4"/>
    <w:multiLevelType w:val="multilevel"/>
    <w:tmpl w:val="2B4124C4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1D2B09"/>
    <w:multiLevelType w:val="multilevel"/>
    <w:tmpl w:val="491D2B09"/>
    <w:lvl w:ilvl="0" w:tentative="0">
      <w:start w:val="1"/>
      <w:numFmt w:val="bullet"/>
      <w:lvlText w:val=""/>
      <w:lvlJc w:val="left"/>
      <w:pPr>
        <w:ind w:left="11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3">
    <w:nsid w:val="557C2AF5"/>
    <w:multiLevelType w:val="multilevel"/>
    <w:tmpl w:val="557C2AF5"/>
    <w:lvl w:ilvl="0" w:tentative="0">
      <w:start w:val="1"/>
      <w:numFmt w:val="decimal"/>
      <w:pStyle w:val="5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5CFC0BC9"/>
    <w:multiLevelType w:val="multilevel"/>
    <w:tmpl w:val="5CFC0BC9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5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9C44402"/>
    <w:multiLevelType w:val="multilevel"/>
    <w:tmpl w:val="69C4440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31061"/>
    <w:multiLevelType w:val="multilevel"/>
    <w:tmpl w:val="73031061"/>
    <w:lvl w:ilvl="0" w:tentative="0">
      <w:start w:val="1"/>
      <w:numFmt w:val="bullet"/>
      <w:lvlText w:val=""/>
      <w:lvlJc w:val="left"/>
      <w:pPr>
        <w:ind w:left="11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8">
    <w:nsid w:val="79482072"/>
    <w:multiLevelType w:val="multilevel"/>
    <w:tmpl w:val="7948207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NDk3ZWFkNmRhNWE5ODMzNzE5OTQxMTA3M2NjZDkifQ=="/>
  </w:docVars>
  <w:rsids>
    <w:rsidRoot w:val="006547C5"/>
    <w:rsid w:val="0000276B"/>
    <w:rsid w:val="00031230"/>
    <w:rsid w:val="000513ED"/>
    <w:rsid w:val="000514D9"/>
    <w:rsid w:val="00054168"/>
    <w:rsid w:val="00054F97"/>
    <w:rsid w:val="00056670"/>
    <w:rsid w:val="00065BB3"/>
    <w:rsid w:val="00074476"/>
    <w:rsid w:val="00093CDC"/>
    <w:rsid w:val="000B3288"/>
    <w:rsid w:val="000B35CD"/>
    <w:rsid w:val="000B7093"/>
    <w:rsid w:val="000C278F"/>
    <w:rsid w:val="000C2A36"/>
    <w:rsid w:val="000C2B8F"/>
    <w:rsid w:val="000D2005"/>
    <w:rsid w:val="000D75F4"/>
    <w:rsid w:val="000E2CF4"/>
    <w:rsid w:val="000E432A"/>
    <w:rsid w:val="000F0B2D"/>
    <w:rsid w:val="00124556"/>
    <w:rsid w:val="001250BF"/>
    <w:rsid w:val="00131B6C"/>
    <w:rsid w:val="0013728A"/>
    <w:rsid w:val="00145998"/>
    <w:rsid w:val="00152893"/>
    <w:rsid w:val="00166330"/>
    <w:rsid w:val="00166B2E"/>
    <w:rsid w:val="00184951"/>
    <w:rsid w:val="001921F6"/>
    <w:rsid w:val="00194394"/>
    <w:rsid w:val="00195445"/>
    <w:rsid w:val="001A3D67"/>
    <w:rsid w:val="001A5710"/>
    <w:rsid w:val="001B58BB"/>
    <w:rsid w:val="001C5908"/>
    <w:rsid w:val="001C5D15"/>
    <w:rsid w:val="001C679C"/>
    <w:rsid w:val="001D0F70"/>
    <w:rsid w:val="001D438E"/>
    <w:rsid w:val="001E0D7B"/>
    <w:rsid w:val="001F09E7"/>
    <w:rsid w:val="00202805"/>
    <w:rsid w:val="002031E7"/>
    <w:rsid w:val="002050C4"/>
    <w:rsid w:val="002109DE"/>
    <w:rsid w:val="00215532"/>
    <w:rsid w:val="0022195D"/>
    <w:rsid w:val="00224FD2"/>
    <w:rsid w:val="00226BC6"/>
    <w:rsid w:val="002304B7"/>
    <w:rsid w:val="00237B2F"/>
    <w:rsid w:val="00242360"/>
    <w:rsid w:val="00260541"/>
    <w:rsid w:val="00262B8B"/>
    <w:rsid w:val="002664F0"/>
    <w:rsid w:val="0028131C"/>
    <w:rsid w:val="00281E9C"/>
    <w:rsid w:val="00282312"/>
    <w:rsid w:val="00292F7C"/>
    <w:rsid w:val="00296F7C"/>
    <w:rsid w:val="0029758A"/>
    <w:rsid w:val="002A4BA5"/>
    <w:rsid w:val="002A749D"/>
    <w:rsid w:val="002B2BE2"/>
    <w:rsid w:val="002B4C7F"/>
    <w:rsid w:val="002C6C6A"/>
    <w:rsid w:val="002C7524"/>
    <w:rsid w:val="002E7E05"/>
    <w:rsid w:val="002F0A18"/>
    <w:rsid w:val="002F2FAF"/>
    <w:rsid w:val="002F700B"/>
    <w:rsid w:val="00321594"/>
    <w:rsid w:val="00331081"/>
    <w:rsid w:val="00331D92"/>
    <w:rsid w:val="003327FE"/>
    <w:rsid w:val="00337CD9"/>
    <w:rsid w:val="0034203C"/>
    <w:rsid w:val="003456CF"/>
    <w:rsid w:val="00356104"/>
    <w:rsid w:val="0036522E"/>
    <w:rsid w:val="00374ACB"/>
    <w:rsid w:val="00375C2D"/>
    <w:rsid w:val="00381791"/>
    <w:rsid w:val="003A19FB"/>
    <w:rsid w:val="003A2198"/>
    <w:rsid w:val="003A2F0A"/>
    <w:rsid w:val="003A77EF"/>
    <w:rsid w:val="003B18A3"/>
    <w:rsid w:val="003C5C8F"/>
    <w:rsid w:val="003C7544"/>
    <w:rsid w:val="003D60D5"/>
    <w:rsid w:val="00403D4A"/>
    <w:rsid w:val="00404E61"/>
    <w:rsid w:val="004109A8"/>
    <w:rsid w:val="00414556"/>
    <w:rsid w:val="00417EEC"/>
    <w:rsid w:val="00425310"/>
    <w:rsid w:val="00436915"/>
    <w:rsid w:val="004466F1"/>
    <w:rsid w:val="0045350D"/>
    <w:rsid w:val="00454E92"/>
    <w:rsid w:val="0047153C"/>
    <w:rsid w:val="0047313B"/>
    <w:rsid w:val="00474FF9"/>
    <w:rsid w:val="00486BC1"/>
    <w:rsid w:val="0049420C"/>
    <w:rsid w:val="00496955"/>
    <w:rsid w:val="004970B1"/>
    <w:rsid w:val="004A7CD6"/>
    <w:rsid w:val="004B27EC"/>
    <w:rsid w:val="004B3F80"/>
    <w:rsid w:val="004C226E"/>
    <w:rsid w:val="004C25D2"/>
    <w:rsid w:val="004F59B1"/>
    <w:rsid w:val="00502B6B"/>
    <w:rsid w:val="00514EA1"/>
    <w:rsid w:val="00517DA1"/>
    <w:rsid w:val="00522FCB"/>
    <w:rsid w:val="005258A3"/>
    <w:rsid w:val="005273C1"/>
    <w:rsid w:val="00537848"/>
    <w:rsid w:val="005612CF"/>
    <w:rsid w:val="00565952"/>
    <w:rsid w:val="005915FC"/>
    <w:rsid w:val="00595ABA"/>
    <w:rsid w:val="005A4F59"/>
    <w:rsid w:val="005A6723"/>
    <w:rsid w:val="005B1F83"/>
    <w:rsid w:val="005B71E7"/>
    <w:rsid w:val="005D34A4"/>
    <w:rsid w:val="005D60E8"/>
    <w:rsid w:val="005E37D1"/>
    <w:rsid w:val="005F31B8"/>
    <w:rsid w:val="005F687B"/>
    <w:rsid w:val="005F7579"/>
    <w:rsid w:val="0060645B"/>
    <w:rsid w:val="00621FF3"/>
    <w:rsid w:val="006220DE"/>
    <w:rsid w:val="00636768"/>
    <w:rsid w:val="006444FF"/>
    <w:rsid w:val="006508D1"/>
    <w:rsid w:val="006547C5"/>
    <w:rsid w:val="00666EED"/>
    <w:rsid w:val="00671362"/>
    <w:rsid w:val="00672D6E"/>
    <w:rsid w:val="00680933"/>
    <w:rsid w:val="00681E39"/>
    <w:rsid w:val="006875DA"/>
    <w:rsid w:val="006912E3"/>
    <w:rsid w:val="00691C1B"/>
    <w:rsid w:val="00696088"/>
    <w:rsid w:val="006A0AB0"/>
    <w:rsid w:val="006A0C95"/>
    <w:rsid w:val="006A531E"/>
    <w:rsid w:val="006B624F"/>
    <w:rsid w:val="006C035E"/>
    <w:rsid w:val="006C07E8"/>
    <w:rsid w:val="006C1E2F"/>
    <w:rsid w:val="006C5C46"/>
    <w:rsid w:val="006C6656"/>
    <w:rsid w:val="006C7589"/>
    <w:rsid w:val="006D51A9"/>
    <w:rsid w:val="006E04A0"/>
    <w:rsid w:val="006E2AB0"/>
    <w:rsid w:val="006E4B63"/>
    <w:rsid w:val="006E740A"/>
    <w:rsid w:val="006F0858"/>
    <w:rsid w:val="006F41BB"/>
    <w:rsid w:val="006F55C2"/>
    <w:rsid w:val="0071047D"/>
    <w:rsid w:val="00740637"/>
    <w:rsid w:val="00742DC3"/>
    <w:rsid w:val="00742E05"/>
    <w:rsid w:val="00770528"/>
    <w:rsid w:val="007716A8"/>
    <w:rsid w:val="007831EA"/>
    <w:rsid w:val="00783F4D"/>
    <w:rsid w:val="00790105"/>
    <w:rsid w:val="007B0416"/>
    <w:rsid w:val="007B43AB"/>
    <w:rsid w:val="007C0778"/>
    <w:rsid w:val="007C2601"/>
    <w:rsid w:val="007C3896"/>
    <w:rsid w:val="007C54C1"/>
    <w:rsid w:val="007D3442"/>
    <w:rsid w:val="007D3A92"/>
    <w:rsid w:val="007D6C0A"/>
    <w:rsid w:val="007E1F81"/>
    <w:rsid w:val="007E69BD"/>
    <w:rsid w:val="007F46FE"/>
    <w:rsid w:val="007F737A"/>
    <w:rsid w:val="00811E0C"/>
    <w:rsid w:val="00812E2B"/>
    <w:rsid w:val="00815BED"/>
    <w:rsid w:val="008208D3"/>
    <w:rsid w:val="00822D59"/>
    <w:rsid w:val="00846A26"/>
    <w:rsid w:val="00850022"/>
    <w:rsid w:val="00852F19"/>
    <w:rsid w:val="00853769"/>
    <w:rsid w:val="0085401E"/>
    <w:rsid w:val="00863B6F"/>
    <w:rsid w:val="008661DE"/>
    <w:rsid w:val="00884068"/>
    <w:rsid w:val="00891E99"/>
    <w:rsid w:val="0089205E"/>
    <w:rsid w:val="00894FF0"/>
    <w:rsid w:val="008A0E0C"/>
    <w:rsid w:val="008A72C2"/>
    <w:rsid w:val="008B1075"/>
    <w:rsid w:val="008B2750"/>
    <w:rsid w:val="008C5E06"/>
    <w:rsid w:val="008C5E51"/>
    <w:rsid w:val="008C7D3B"/>
    <w:rsid w:val="008D1636"/>
    <w:rsid w:val="008D1F4B"/>
    <w:rsid w:val="008E3380"/>
    <w:rsid w:val="008F076D"/>
    <w:rsid w:val="008F0BF3"/>
    <w:rsid w:val="008F289C"/>
    <w:rsid w:val="008F2FA8"/>
    <w:rsid w:val="008F5CC0"/>
    <w:rsid w:val="00902A1F"/>
    <w:rsid w:val="0090497C"/>
    <w:rsid w:val="009057BE"/>
    <w:rsid w:val="00910DE5"/>
    <w:rsid w:val="009279B9"/>
    <w:rsid w:val="0093261A"/>
    <w:rsid w:val="00947361"/>
    <w:rsid w:val="009523F9"/>
    <w:rsid w:val="00952CCD"/>
    <w:rsid w:val="00957B7E"/>
    <w:rsid w:val="009656A7"/>
    <w:rsid w:val="009658F6"/>
    <w:rsid w:val="009673A7"/>
    <w:rsid w:val="00980F02"/>
    <w:rsid w:val="0098548E"/>
    <w:rsid w:val="0099067B"/>
    <w:rsid w:val="0099082D"/>
    <w:rsid w:val="00990EE0"/>
    <w:rsid w:val="00992A8A"/>
    <w:rsid w:val="009C1968"/>
    <w:rsid w:val="00A0034B"/>
    <w:rsid w:val="00A0071F"/>
    <w:rsid w:val="00A01D0F"/>
    <w:rsid w:val="00A220CB"/>
    <w:rsid w:val="00A23800"/>
    <w:rsid w:val="00A30EEA"/>
    <w:rsid w:val="00A333FF"/>
    <w:rsid w:val="00A52CFD"/>
    <w:rsid w:val="00A579EC"/>
    <w:rsid w:val="00A60176"/>
    <w:rsid w:val="00A66BC3"/>
    <w:rsid w:val="00A81DBD"/>
    <w:rsid w:val="00A82302"/>
    <w:rsid w:val="00A848BB"/>
    <w:rsid w:val="00A85A4C"/>
    <w:rsid w:val="00A91A42"/>
    <w:rsid w:val="00A9363D"/>
    <w:rsid w:val="00AA078F"/>
    <w:rsid w:val="00AA10ED"/>
    <w:rsid w:val="00AA25F2"/>
    <w:rsid w:val="00AA693B"/>
    <w:rsid w:val="00AB5D06"/>
    <w:rsid w:val="00AC0B63"/>
    <w:rsid w:val="00AC2515"/>
    <w:rsid w:val="00AD02E2"/>
    <w:rsid w:val="00AD176C"/>
    <w:rsid w:val="00AE23C9"/>
    <w:rsid w:val="00AE38CA"/>
    <w:rsid w:val="00AF52FC"/>
    <w:rsid w:val="00B00FB0"/>
    <w:rsid w:val="00B03BE7"/>
    <w:rsid w:val="00B12250"/>
    <w:rsid w:val="00B12277"/>
    <w:rsid w:val="00B13DFB"/>
    <w:rsid w:val="00B15553"/>
    <w:rsid w:val="00B155B8"/>
    <w:rsid w:val="00B23F74"/>
    <w:rsid w:val="00B339F8"/>
    <w:rsid w:val="00B34433"/>
    <w:rsid w:val="00B438BE"/>
    <w:rsid w:val="00B64491"/>
    <w:rsid w:val="00B66A5E"/>
    <w:rsid w:val="00B75642"/>
    <w:rsid w:val="00B772D0"/>
    <w:rsid w:val="00B82EA8"/>
    <w:rsid w:val="00B83417"/>
    <w:rsid w:val="00B84015"/>
    <w:rsid w:val="00B86A6E"/>
    <w:rsid w:val="00B923A6"/>
    <w:rsid w:val="00B95B89"/>
    <w:rsid w:val="00B96790"/>
    <w:rsid w:val="00B9746F"/>
    <w:rsid w:val="00BA11EA"/>
    <w:rsid w:val="00BA683E"/>
    <w:rsid w:val="00BC0BCC"/>
    <w:rsid w:val="00BC188E"/>
    <w:rsid w:val="00BC720B"/>
    <w:rsid w:val="00BC7AFE"/>
    <w:rsid w:val="00BD3036"/>
    <w:rsid w:val="00BD35DA"/>
    <w:rsid w:val="00BE0256"/>
    <w:rsid w:val="00BE7663"/>
    <w:rsid w:val="00BF1CEF"/>
    <w:rsid w:val="00C053F6"/>
    <w:rsid w:val="00C36FF1"/>
    <w:rsid w:val="00C437AB"/>
    <w:rsid w:val="00C46EA1"/>
    <w:rsid w:val="00C47A79"/>
    <w:rsid w:val="00C50367"/>
    <w:rsid w:val="00C51764"/>
    <w:rsid w:val="00C6438C"/>
    <w:rsid w:val="00C71968"/>
    <w:rsid w:val="00C740DE"/>
    <w:rsid w:val="00C750B1"/>
    <w:rsid w:val="00C82E9A"/>
    <w:rsid w:val="00C95AD4"/>
    <w:rsid w:val="00CA279A"/>
    <w:rsid w:val="00CA3C1E"/>
    <w:rsid w:val="00CA4220"/>
    <w:rsid w:val="00CB0BF1"/>
    <w:rsid w:val="00CC2682"/>
    <w:rsid w:val="00CD5F10"/>
    <w:rsid w:val="00CD6FF2"/>
    <w:rsid w:val="00CD7DAD"/>
    <w:rsid w:val="00CE085D"/>
    <w:rsid w:val="00CE592F"/>
    <w:rsid w:val="00CE6425"/>
    <w:rsid w:val="00CF06CF"/>
    <w:rsid w:val="00D10799"/>
    <w:rsid w:val="00D11CC4"/>
    <w:rsid w:val="00D30411"/>
    <w:rsid w:val="00D449AE"/>
    <w:rsid w:val="00D54A28"/>
    <w:rsid w:val="00D556E6"/>
    <w:rsid w:val="00D64B77"/>
    <w:rsid w:val="00D67515"/>
    <w:rsid w:val="00D82F54"/>
    <w:rsid w:val="00D95166"/>
    <w:rsid w:val="00DB0482"/>
    <w:rsid w:val="00DC027D"/>
    <w:rsid w:val="00DD2310"/>
    <w:rsid w:val="00DD73C3"/>
    <w:rsid w:val="00DE351A"/>
    <w:rsid w:val="00DF14AD"/>
    <w:rsid w:val="00DF7E54"/>
    <w:rsid w:val="00E00CA8"/>
    <w:rsid w:val="00E01651"/>
    <w:rsid w:val="00E04F27"/>
    <w:rsid w:val="00E063CA"/>
    <w:rsid w:val="00E16A15"/>
    <w:rsid w:val="00E2154E"/>
    <w:rsid w:val="00E22343"/>
    <w:rsid w:val="00E250DE"/>
    <w:rsid w:val="00E4779D"/>
    <w:rsid w:val="00E513FF"/>
    <w:rsid w:val="00E63A67"/>
    <w:rsid w:val="00E65598"/>
    <w:rsid w:val="00E73083"/>
    <w:rsid w:val="00E904A6"/>
    <w:rsid w:val="00E906DE"/>
    <w:rsid w:val="00E90D7B"/>
    <w:rsid w:val="00EC3322"/>
    <w:rsid w:val="00EC335C"/>
    <w:rsid w:val="00EC3983"/>
    <w:rsid w:val="00EC3A78"/>
    <w:rsid w:val="00EE2CEF"/>
    <w:rsid w:val="00EE3197"/>
    <w:rsid w:val="00EF54F7"/>
    <w:rsid w:val="00F01696"/>
    <w:rsid w:val="00F07AD3"/>
    <w:rsid w:val="00F13D0A"/>
    <w:rsid w:val="00F23861"/>
    <w:rsid w:val="00F27649"/>
    <w:rsid w:val="00F316E3"/>
    <w:rsid w:val="00F44CD4"/>
    <w:rsid w:val="00F57CC4"/>
    <w:rsid w:val="00F71F37"/>
    <w:rsid w:val="00F726F5"/>
    <w:rsid w:val="00F731A9"/>
    <w:rsid w:val="00F938F9"/>
    <w:rsid w:val="00FB1E08"/>
    <w:rsid w:val="00FB2AE5"/>
    <w:rsid w:val="00FB305D"/>
    <w:rsid w:val="00FB7EF5"/>
    <w:rsid w:val="00FD2D1E"/>
    <w:rsid w:val="00FE36C8"/>
    <w:rsid w:val="00FF26A6"/>
    <w:rsid w:val="00FF49E0"/>
    <w:rsid w:val="0ECC3920"/>
    <w:rsid w:val="25615AB2"/>
    <w:rsid w:val="32347E91"/>
    <w:rsid w:val="4B61166F"/>
    <w:rsid w:val="5D85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3"/>
    <w:unhideWhenUsed/>
    <w:uiPriority w:val="0"/>
    <w:pPr>
      <w:jc w:val="left"/>
    </w:pPr>
  </w:style>
  <w:style w:type="paragraph" w:styleId="3">
    <w:name w:val="Body Text"/>
    <w:basedOn w:val="1"/>
    <w:link w:val="47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5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4"/>
    <w:uiPriority w:val="0"/>
    <w:pPr>
      <w:tabs>
        <w:tab w:val="left" w:pos="2520"/>
      </w:tabs>
      <w:jc w:val="left"/>
    </w:pPr>
    <w:rPr>
      <w:sz w:val="24"/>
    </w:rPr>
  </w:style>
  <w:style w:type="paragraph" w:styleId="9">
    <w:name w:val="annotation subject"/>
    <w:basedOn w:val="2"/>
    <w:next w:val="2"/>
    <w:link w:val="54"/>
    <w:semiHidden/>
    <w:unhideWhenUsed/>
    <w:qFormat/>
    <w:uiPriority w:val="99"/>
    <w:rPr>
      <w:b/>
      <w:bCs/>
    </w:rPr>
  </w:style>
  <w:style w:type="paragraph" w:styleId="10">
    <w:name w:val="Body Text First Indent"/>
    <w:basedOn w:val="3"/>
    <w:link w:val="48"/>
    <w:semiHidden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段 Char"/>
    <w:link w:val="19"/>
    <w:qFormat/>
    <w:uiPriority w:val="0"/>
    <w:rPr>
      <w:rFonts w:ascii="宋体"/>
    </w:rPr>
  </w:style>
  <w:style w:type="paragraph" w:customStyle="1" w:styleId="19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2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2">
    <w:name w:val="一级条标题"/>
    <w:next w:val="19"/>
    <w:qFormat/>
    <w:uiPriority w:val="0"/>
    <w:pPr>
      <w:tabs>
        <w:tab w:val="left" w:pos="760"/>
      </w:tabs>
      <w:spacing w:before="156" w:beforeLines="50" w:after="156" w:afterLines="50"/>
      <w:ind w:left="1264" w:hanging="413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3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character" w:customStyle="1" w:styleId="24">
    <w:name w:val="正文文本 2 字符"/>
    <w:basedOn w:val="13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封面标准文稿编辑信息"/>
    <w:basedOn w:val="28"/>
    <w:qFormat/>
    <w:uiPriority w:val="0"/>
    <w:pPr>
      <w:spacing w:before="180" w:line="180" w:lineRule="exact"/>
    </w:pPr>
    <w:rPr>
      <w:sz w:val="21"/>
    </w:rPr>
  </w:style>
  <w:style w:type="paragraph" w:customStyle="1" w:styleId="28">
    <w:name w:val="封面标准文稿类别"/>
    <w:basedOn w:val="29"/>
    <w:qFormat/>
    <w:uiPriority w:val="0"/>
    <w:pPr>
      <w:spacing w:after="160" w:line="240" w:lineRule="auto"/>
    </w:pPr>
    <w:rPr>
      <w:sz w:val="24"/>
    </w:rPr>
  </w:style>
  <w:style w:type="paragraph" w:customStyle="1" w:styleId="29">
    <w:name w:val="封面一致性程度标识"/>
    <w:basedOn w:val="30"/>
    <w:uiPriority w:val="0"/>
    <w:pPr>
      <w:spacing w:before="440"/>
    </w:pPr>
    <w:rPr>
      <w:rFonts w:ascii="宋体" w:eastAsia="宋体"/>
    </w:rPr>
  </w:style>
  <w:style w:type="paragraph" w:customStyle="1" w:styleId="30">
    <w:name w:val="封面标准英文名称"/>
    <w:basedOn w:val="3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3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3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33">
    <w:name w:val="目次、标准名称标题"/>
    <w:basedOn w:val="1"/>
    <w:next w:val="1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其他实施日期"/>
    <w:basedOn w:val="1"/>
    <w:qFormat/>
    <w:uiPriority w:val="0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35">
    <w:name w:val="列项——（一级）"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37">
    <w:name w:val="章标题"/>
    <w:next w:val="19"/>
    <w:qFormat/>
    <w:uiPriority w:val="0"/>
    <w:pPr>
      <w:spacing w:before="312" w:beforeLines="100" w:after="312" w:afterLines="100"/>
      <w:ind w:left="840" w:hanging="408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8">
    <w:name w:val="标准书眉_偶数页"/>
    <w:basedOn w:val="23"/>
    <w:next w:val="1"/>
    <w:qFormat/>
    <w:uiPriority w:val="0"/>
    <w:pPr>
      <w:jc w:val="left"/>
    </w:pPr>
  </w:style>
  <w:style w:type="paragraph" w:customStyle="1" w:styleId="39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4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41">
    <w:name w:val="终结线"/>
    <w:basedOn w:val="1"/>
    <w:qFormat/>
    <w:uiPriority w:val="0"/>
  </w:style>
  <w:style w:type="paragraph" w:customStyle="1" w:styleId="42">
    <w:name w:val="前言、引言标题"/>
    <w:next w:val="1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43">
    <w:name w:val="字母编号列项（一级）"/>
    <w:qFormat/>
    <w:uiPriority w:val="0"/>
    <w:pPr>
      <w:tabs>
        <w:tab w:val="left" w:pos="839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4">
    <w:name w:val="发布部门"/>
    <w:next w:val="1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character" w:customStyle="1" w:styleId="46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正文文本 字符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首行缩进 字符"/>
    <w:basedOn w:val="47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basedOn w:val="13"/>
    <w:qFormat/>
    <w:uiPriority w:val="0"/>
  </w:style>
  <w:style w:type="paragraph" w:customStyle="1" w:styleId="50">
    <w:name w:val="正文表标题"/>
    <w:next w:val="19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1">
    <w:name w:val="正文图标题"/>
    <w:next w:val="19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2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2"/>
      </w:numPr>
      <w:jc w:val="left"/>
    </w:pPr>
    <w:rPr>
      <w:rFonts w:eastAsia="黑体"/>
      <w:kern w:val="0"/>
      <w:sz w:val="28"/>
      <w:szCs w:val="20"/>
    </w:rPr>
  </w:style>
  <w:style w:type="character" w:customStyle="1" w:styleId="53">
    <w:name w:val="批注文字 字符"/>
    <w:basedOn w:val="13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批注主题 字符"/>
    <w:basedOn w:val="53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日期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6">
    <w:name w:val="二级条标题"/>
    <w:basedOn w:val="22"/>
    <w:next w:val="19"/>
    <w:qFormat/>
    <w:uiPriority w:val="0"/>
    <w:pPr>
      <w:tabs>
        <w:tab w:val="clear" w:pos="760"/>
      </w:tabs>
      <w:spacing w:before="50" w:after="50"/>
      <w:ind w:left="0" w:firstLine="0"/>
      <w:outlineLvl w:val="3"/>
    </w:pPr>
  </w:style>
  <w:style w:type="paragraph" w:customStyle="1" w:styleId="57">
    <w:name w:val="三级条标题"/>
    <w:basedOn w:val="56"/>
    <w:next w:val="19"/>
    <w:qFormat/>
    <w:uiPriority w:val="0"/>
    <w:pPr>
      <w:outlineLvl w:val="4"/>
    </w:pPr>
  </w:style>
  <w:style w:type="paragraph" w:customStyle="1" w:styleId="58">
    <w:name w:val="四级条标题"/>
    <w:basedOn w:val="57"/>
    <w:next w:val="19"/>
    <w:qFormat/>
    <w:uiPriority w:val="0"/>
    <w:pPr>
      <w:outlineLvl w:val="5"/>
    </w:pPr>
  </w:style>
  <w:style w:type="paragraph" w:customStyle="1" w:styleId="59">
    <w:name w:val="五级条标题"/>
    <w:basedOn w:val="58"/>
    <w:next w:val="19"/>
    <w:qFormat/>
    <w:uiPriority w:val="0"/>
    <w:pPr>
      <w:outlineLvl w:val="6"/>
    </w:pPr>
  </w:style>
  <w:style w:type="paragraph" w:customStyle="1" w:styleId="60">
    <w:name w:val="二级无"/>
    <w:basedOn w:val="56"/>
    <w:qFormat/>
    <w:uiPriority w:val="0"/>
    <w:pPr>
      <w:spacing w:beforeLines="0" w:afterLines="0"/>
    </w:pPr>
    <w:rPr>
      <w:rFonts w:ascii="宋体" w:eastAsia="宋体"/>
    </w:rPr>
  </w:style>
  <w:style w:type="character" w:styleId="61">
    <w:name w:val="Placeholder Text"/>
    <w:basedOn w:val="13"/>
    <w:semiHidden/>
    <w:qFormat/>
    <w:uiPriority w:val="99"/>
    <w:rPr>
      <w:color w:val="808080"/>
    </w:rPr>
  </w:style>
  <w:style w:type="paragraph" w:customStyle="1" w:styleId="62">
    <w:name w:val="列表段落1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62ACC-2B1E-4A56-902D-9595A10D7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2399</Words>
  <Characters>2889</Characters>
  <Lines>26</Lines>
  <Paragraphs>7</Paragraphs>
  <TotalTime>419</TotalTime>
  <ScaleCrop>false</ScaleCrop>
  <LinksUpToDate>false</LinksUpToDate>
  <CharactersWithSpaces>2960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2021-06-03T07:23:00Z</dcterms:created>
  <dc:creator>马 留白</dc:creator>
  <cp:lastModifiedBy>素素</cp:lastModifiedBy>
  <dcterms:modified xsi:type="dcterms:W3CDTF">2023-01-18T08:09:10Z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C654D865ECD846A289C61DE4693128AC</vt:lpwstr>
  </property>
</Properties>
</file>