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5" w:type="dxa"/>
        <w:tblLayout w:type="fixed"/>
        <w:tblCellMar>
          <w:left w:w="0" w:type="dxa"/>
          <w:right w:w="0" w:type="dxa"/>
        </w:tblCellMar>
        <w:tblLook w:val="04A0" w:firstRow="1" w:lastRow="0" w:firstColumn="1" w:lastColumn="0" w:noHBand="0" w:noVBand="1"/>
      </w:tblPr>
      <w:tblGrid>
        <w:gridCol w:w="694"/>
        <w:gridCol w:w="1574"/>
        <w:gridCol w:w="6557"/>
        <w:gridCol w:w="2650"/>
        <w:gridCol w:w="1030"/>
        <w:gridCol w:w="1480"/>
      </w:tblGrid>
      <w:tr w:rsidR="00BB7677" w:rsidRPr="00BB7677" w14:paraId="30945DAB" w14:textId="77777777" w:rsidTr="00BB7677">
        <w:trPr>
          <w:trHeight w:val="520"/>
        </w:trPr>
        <w:tc>
          <w:tcPr>
            <w:tcW w:w="13985" w:type="dxa"/>
            <w:gridSpan w:val="6"/>
            <w:tcBorders>
              <w:top w:val="nil"/>
              <w:left w:val="nil"/>
              <w:bottom w:val="nil"/>
              <w:right w:val="nil"/>
            </w:tcBorders>
            <w:noWrap/>
            <w:tcMar>
              <w:top w:w="15" w:type="dxa"/>
              <w:left w:w="15" w:type="dxa"/>
              <w:right w:w="15" w:type="dxa"/>
            </w:tcMar>
            <w:vAlign w:val="bottom"/>
          </w:tcPr>
          <w:p w14:paraId="732D6BFA" w14:textId="77777777" w:rsidR="00F02D23" w:rsidRPr="00BB7677" w:rsidRDefault="008156B3">
            <w:pPr>
              <w:widowControl/>
              <w:snapToGrid w:val="0"/>
              <w:jc w:val="center"/>
              <w:textAlignment w:val="bottom"/>
              <w:rPr>
                <w:rFonts w:ascii="宋体" w:hAnsi="宋体" w:cs="宋体"/>
                <w:bCs/>
                <w:szCs w:val="21"/>
              </w:rPr>
            </w:pPr>
            <w:r w:rsidRPr="00BB7677">
              <w:rPr>
                <w:rFonts w:ascii="宋体" w:hAnsi="宋体" w:cs="宋体" w:hint="eastAsia"/>
                <w:bCs/>
                <w:kern w:val="0"/>
                <w:szCs w:val="21"/>
                <w:lang w:bidi="ar"/>
              </w:rPr>
              <w:t>标准意见汇总处理表</w:t>
            </w:r>
          </w:p>
        </w:tc>
      </w:tr>
      <w:tr w:rsidR="00BB7677" w:rsidRPr="00BB7677" w14:paraId="3A59964E" w14:textId="77777777" w:rsidTr="00BB7677">
        <w:trPr>
          <w:trHeight w:val="270"/>
        </w:trPr>
        <w:tc>
          <w:tcPr>
            <w:tcW w:w="13985" w:type="dxa"/>
            <w:gridSpan w:val="6"/>
            <w:tcBorders>
              <w:top w:val="nil"/>
              <w:left w:val="nil"/>
              <w:bottom w:val="nil"/>
              <w:right w:val="nil"/>
            </w:tcBorders>
            <w:noWrap/>
            <w:tcMar>
              <w:top w:w="15" w:type="dxa"/>
              <w:left w:w="15" w:type="dxa"/>
              <w:right w:w="15" w:type="dxa"/>
            </w:tcMar>
            <w:vAlign w:val="bottom"/>
          </w:tcPr>
          <w:p w14:paraId="46DA28BC" w14:textId="65413A69" w:rsidR="00F02D23" w:rsidRPr="00BB7677" w:rsidRDefault="008156B3" w:rsidP="00BB7677">
            <w:pPr>
              <w:pStyle w:val="a9"/>
              <w:framePr w:w="0" w:hRule="auto" w:wrap="auto" w:vAnchor="margin" w:hAnchor="text" w:xAlign="left" w:yAlign="inline"/>
              <w:jc w:val="both"/>
              <w:rPr>
                <w:rFonts w:ascii="宋体" w:eastAsia="宋体" w:hAnsi="宋体" w:cs="宋体"/>
                <w:bCs/>
                <w:sz w:val="21"/>
                <w:szCs w:val="21"/>
                <w:lang w:bidi="ar"/>
              </w:rPr>
            </w:pPr>
            <w:r w:rsidRPr="00BB7677">
              <w:rPr>
                <w:rFonts w:ascii="宋体" w:eastAsia="宋体" w:hAnsi="宋体" w:cs="宋体" w:hint="eastAsia"/>
                <w:bCs/>
                <w:sz w:val="21"/>
                <w:szCs w:val="21"/>
                <w:lang w:bidi="ar"/>
              </w:rPr>
              <w:t>标准项目名称：</w:t>
            </w:r>
            <w:r w:rsidR="00BB7677" w:rsidRPr="00BB7677">
              <w:rPr>
                <w:rFonts w:ascii="宋体" w:eastAsia="宋体" w:hAnsi="宋体" w:cs="宋体" w:hint="eastAsia"/>
                <w:bCs/>
                <w:sz w:val="21"/>
                <w:szCs w:val="21"/>
                <w:lang w:bidi="ar"/>
              </w:rPr>
              <w:t>铜矿石生物堆浸循环过程控制技术规范</w:t>
            </w:r>
            <w:r w:rsidR="00BB7677">
              <w:rPr>
                <w:rFonts w:ascii="宋体" w:eastAsia="宋体" w:hAnsi="宋体" w:cs="宋体" w:hint="eastAsia"/>
                <w:bCs/>
                <w:sz w:val="21"/>
                <w:szCs w:val="21"/>
                <w:lang w:bidi="ar"/>
              </w:rPr>
              <w:t xml:space="preserve"> </w:t>
            </w:r>
            <w:r w:rsidR="00BB7677">
              <w:rPr>
                <w:rFonts w:ascii="宋体" w:eastAsia="宋体" w:hAnsi="宋体" w:cs="宋体"/>
                <w:bCs/>
                <w:sz w:val="21"/>
                <w:szCs w:val="21"/>
                <w:lang w:bidi="ar"/>
              </w:rPr>
              <w:t xml:space="preserve">                   </w:t>
            </w:r>
            <w:r w:rsidRPr="00BB7677">
              <w:rPr>
                <w:rFonts w:ascii="宋体" w:eastAsia="宋体" w:hAnsi="宋体" w:cs="宋体" w:hint="eastAsia"/>
                <w:bCs/>
                <w:sz w:val="21"/>
                <w:szCs w:val="21"/>
                <w:lang w:bidi="ar"/>
              </w:rPr>
              <w:t>承办人：</w:t>
            </w:r>
            <w:r w:rsidR="00216D5E">
              <w:rPr>
                <w:rFonts w:ascii="宋体" w:eastAsia="宋体" w:hAnsi="宋体" w:cs="宋体" w:hint="eastAsia"/>
                <w:bCs/>
                <w:sz w:val="21"/>
                <w:szCs w:val="21"/>
                <w:lang w:bidi="ar"/>
              </w:rPr>
              <w:t>罗远辉、尚鹤</w:t>
            </w:r>
          </w:p>
        </w:tc>
      </w:tr>
      <w:tr w:rsidR="00BB7677" w:rsidRPr="00BB7677" w14:paraId="732D136F" w14:textId="77777777" w:rsidTr="00BB7677">
        <w:trPr>
          <w:trHeight w:val="270"/>
        </w:trPr>
        <w:tc>
          <w:tcPr>
            <w:tcW w:w="13985" w:type="dxa"/>
            <w:gridSpan w:val="6"/>
            <w:tcBorders>
              <w:top w:val="nil"/>
              <w:left w:val="nil"/>
              <w:bottom w:val="nil"/>
              <w:right w:val="nil"/>
            </w:tcBorders>
            <w:noWrap/>
            <w:tcMar>
              <w:top w:w="15" w:type="dxa"/>
              <w:left w:w="15" w:type="dxa"/>
              <w:right w:w="15" w:type="dxa"/>
            </w:tcMar>
            <w:vAlign w:val="bottom"/>
          </w:tcPr>
          <w:p w14:paraId="19E7F84B" w14:textId="2BB62C93" w:rsidR="00F02D23" w:rsidRPr="00BB7677" w:rsidRDefault="008156B3">
            <w:pPr>
              <w:snapToGrid w:val="0"/>
              <w:rPr>
                <w:rFonts w:ascii="宋体" w:hAnsi="宋体" w:cs="宋体"/>
                <w:bCs/>
                <w:szCs w:val="21"/>
              </w:rPr>
            </w:pPr>
            <w:r w:rsidRPr="00BB7677">
              <w:rPr>
                <w:rFonts w:ascii="宋体" w:hAnsi="宋体" w:cs="宋体" w:hint="eastAsia"/>
                <w:bCs/>
                <w:kern w:val="0"/>
                <w:szCs w:val="21"/>
                <w:lang w:bidi="ar"/>
              </w:rPr>
              <w:t>标准项目负责起草单位：</w:t>
            </w:r>
            <w:r w:rsidR="00216D5E">
              <w:rPr>
                <w:rFonts w:ascii="宋体" w:hAnsi="宋体" w:cs="宋体" w:hint="eastAsia"/>
                <w:bCs/>
                <w:kern w:val="0"/>
                <w:szCs w:val="21"/>
                <w:lang w:bidi="ar"/>
              </w:rPr>
              <w:t>有研资源环境技术研究院（北京）有限公司</w:t>
            </w:r>
            <w:r w:rsidRPr="00BB7677">
              <w:rPr>
                <w:rFonts w:ascii="宋体" w:hAnsi="宋体" w:cs="宋体" w:hint="eastAsia"/>
                <w:bCs/>
                <w:kern w:val="0"/>
                <w:szCs w:val="21"/>
                <w:lang w:bidi="ar"/>
              </w:rPr>
              <w:t xml:space="preserve">          电话：</w:t>
            </w:r>
            <w:r w:rsidR="00216D5E">
              <w:rPr>
                <w:rFonts w:ascii="宋体" w:hAnsi="宋体" w:cs="宋体" w:hint="eastAsia"/>
                <w:bCs/>
                <w:kern w:val="0"/>
                <w:szCs w:val="21"/>
                <w:lang w:bidi="ar"/>
              </w:rPr>
              <w:t>1</w:t>
            </w:r>
            <w:r w:rsidR="00216D5E">
              <w:rPr>
                <w:rFonts w:ascii="宋体" w:hAnsi="宋体" w:cs="宋体"/>
                <w:bCs/>
                <w:kern w:val="0"/>
                <w:szCs w:val="21"/>
                <w:lang w:bidi="ar"/>
              </w:rPr>
              <w:t>3301322589</w:t>
            </w:r>
            <w:r w:rsidR="00216D5E">
              <w:rPr>
                <w:rFonts w:ascii="宋体" w:hAnsi="宋体" w:cs="宋体" w:hint="eastAsia"/>
                <w:bCs/>
                <w:kern w:val="0"/>
                <w:szCs w:val="21"/>
                <w:lang w:bidi="ar"/>
              </w:rPr>
              <w:t>、1</w:t>
            </w:r>
            <w:r w:rsidR="00216D5E">
              <w:rPr>
                <w:rFonts w:ascii="宋体" w:hAnsi="宋体" w:cs="宋体"/>
                <w:bCs/>
                <w:kern w:val="0"/>
                <w:szCs w:val="21"/>
                <w:lang w:bidi="ar"/>
              </w:rPr>
              <w:t>5210903181</w:t>
            </w:r>
            <w:r w:rsidRPr="00BB7677">
              <w:rPr>
                <w:rFonts w:ascii="宋体" w:hAnsi="宋体" w:cs="宋体" w:hint="eastAsia"/>
                <w:bCs/>
                <w:kern w:val="0"/>
                <w:szCs w:val="21"/>
                <w:lang w:bidi="ar"/>
              </w:rPr>
              <w:t xml:space="preserve">           202</w:t>
            </w:r>
            <w:r w:rsidR="009371D1">
              <w:rPr>
                <w:rFonts w:ascii="宋体" w:hAnsi="宋体" w:cs="宋体" w:hint="eastAsia"/>
                <w:bCs/>
                <w:kern w:val="0"/>
                <w:szCs w:val="21"/>
                <w:lang w:bidi="ar"/>
              </w:rPr>
              <w:t>2</w:t>
            </w:r>
            <w:r w:rsidRPr="00BB7677">
              <w:rPr>
                <w:rFonts w:ascii="宋体" w:hAnsi="宋体" w:cs="宋体" w:hint="eastAsia"/>
                <w:bCs/>
                <w:kern w:val="0"/>
                <w:szCs w:val="21"/>
                <w:lang w:bidi="ar"/>
              </w:rPr>
              <w:t>年</w:t>
            </w:r>
            <w:r w:rsidR="00EB61C0">
              <w:rPr>
                <w:rFonts w:ascii="宋体" w:hAnsi="宋体" w:cs="宋体"/>
                <w:bCs/>
                <w:kern w:val="0"/>
                <w:szCs w:val="21"/>
                <w:lang w:bidi="ar"/>
              </w:rPr>
              <w:t>10</w:t>
            </w:r>
            <w:r w:rsidRPr="00BB7677">
              <w:rPr>
                <w:rFonts w:ascii="宋体" w:hAnsi="宋体" w:cs="宋体" w:hint="eastAsia"/>
                <w:bCs/>
                <w:kern w:val="0"/>
                <w:szCs w:val="21"/>
                <w:lang w:bidi="ar"/>
              </w:rPr>
              <w:t>月</w:t>
            </w:r>
            <w:r w:rsidR="00EB61C0">
              <w:rPr>
                <w:rFonts w:ascii="宋体" w:hAnsi="宋体" w:cs="宋体"/>
                <w:bCs/>
                <w:kern w:val="0"/>
                <w:szCs w:val="21"/>
                <w:lang w:bidi="ar"/>
              </w:rPr>
              <w:t>28</w:t>
            </w:r>
            <w:r w:rsidRPr="00BB7677">
              <w:rPr>
                <w:rFonts w:ascii="宋体" w:hAnsi="宋体" w:cs="宋体" w:hint="eastAsia"/>
                <w:bCs/>
                <w:kern w:val="0"/>
                <w:szCs w:val="21"/>
                <w:lang w:bidi="ar"/>
              </w:rPr>
              <w:t>日填写</w:t>
            </w:r>
          </w:p>
        </w:tc>
      </w:tr>
      <w:tr w:rsidR="00BB7677" w:rsidRPr="00BB7677" w14:paraId="54414088"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F8063"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序号</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D2191"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标准章条编号</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D9C14"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意见内容</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99464"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提出单位</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E942C"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处理意见</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73FA4" w14:textId="77777777" w:rsidR="00F02D23" w:rsidRPr="00BB7677" w:rsidRDefault="008156B3">
            <w:pPr>
              <w:widowControl/>
              <w:snapToGrid w:val="0"/>
              <w:jc w:val="center"/>
              <w:textAlignment w:val="center"/>
              <w:rPr>
                <w:rFonts w:ascii="宋体" w:hAnsi="宋体" w:cs="宋体"/>
                <w:bCs/>
                <w:szCs w:val="21"/>
              </w:rPr>
            </w:pPr>
            <w:r w:rsidRPr="00BB7677">
              <w:rPr>
                <w:rFonts w:ascii="宋体" w:hAnsi="宋体" w:cs="宋体" w:hint="eastAsia"/>
                <w:bCs/>
                <w:kern w:val="0"/>
                <w:szCs w:val="21"/>
                <w:lang w:bidi="ar"/>
              </w:rPr>
              <w:t>备 注</w:t>
            </w:r>
          </w:p>
        </w:tc>
      </w:tr>
      <w:tr w:rsidR="00CE0929" w:rsidRPr="009F251B" w14:paraId="51478DA4"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61781" w14:textId="52F3D028" w:rsidR="00CE0929" w:rsidRPr="00B725F2" w:rsidRDefault="00CE0929" w:rsidP="00B725F2">
            <w:pPr>
              <w:jc w:val="left"/>
              <w:rPr>
                <w:szCs w:val="21"/>
              </w:rPr>
            </w:pPr>
            <w:r w:rsidRPr="00B725F2">
              <w:rPr>
                <w:rFonts w:hint="eastAsia"/>
                <w:szCs w:val="21"/>
              </w:rPr>
              <w:t>1</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06344" w14:textId="72803727" w:rsidR="00CE0929" w:rsidRPr="00B725F2" w:rsidRDefault="00CE0929" w:rsidP="00B725F2">
            <w:pPr>
              <w:jc w:val="left"/>
              <w:rPr>
                <w:szCs w:val="21"/>
              </w:rPr>
            </w:pPr>
            <w:r w:rsidRPr="00B725F2">
              <w:rPr>
                <w:rFonts w:hint="eastAsia"/>
                <w:szCs w:val="21"/>
              </w:rPr>
              <w:t>1</w:t>
            </w:r>
            <w:r w:rsidRPr="00B725F2">
              <w:rPr>
                <w:szCs w:val="21"/>
              </w:rPr>
              <w:t xml:space="preserve"> </w:t>
            </w:r>
            <w:r w:rsidRPr="00B725F2">
              <w:rPr>
                <w:rFonts w:hint="eastAsia"/>
                <w:szCs w:val="21"/>
              </w:rPr>
              <w:t>范围</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CF269" w14:textId="58C2654D" w:rsidR="00CE0929" w:rsidRPr="00CE0929" w:rsidRDefault="00CE0929" w:rsidP="00B725F2">
            <w:pPr>
              <w:jc w:val="left"/>
              <w:rPr>
                <w:szCs w:val="21"/>
              </w:rPr>
            </w:pPr>
            <w:r>
              <w:rPr>
                <w:rFonts w:hint="eastAsia"/>
                <w:szCs w:val="21"/>
              </w:rPr>
              <w:t>“本文件规定了</w:t>
            </w:r>
            <w:r w:rsidRPr="00CA617F">
              <w:rPr>
                <w:rFonts w:hint="eastAsia"/>
                <w:szCs w:val="21"/>
              </w:rPr>
              <w:t>铜矿石生物堆浸绿色循环</w:t>
            </w:r>
            <w:r>
              <w:rPr>
                <w:rFonts w:hint="eastAsia"/>
                <w:szCs w:val="21"/>
              </w:rPr>
              <w:t>过程控制的技术要求、取样要求及堆浸过程金属平衡计算方法。”中删除“堆浸过程”。</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C5D4B" w14:textId="5EB3620A" w:rsidR="00CE0929" w:rsidRPr="00B725F2" w:rsidRDefault="00CE0929" w:rsidP="00B725F2">
            <w:pPr>
              <w:jc w:val="left"/>
              <w:rPr>
                <w:szCs w:val="21"/>
              </w:rPr>
            </w:pPr>
            <w:r w:rsidRPr="00B725F2">
              <w:rPr>
                <w:rFonts w:hint="eastAsia"/>
                <w:szCs w:val="21"/>
              </w:rPr>
              <w:t>白银有色集团股份有限公司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3D419" w14:textId="22C50C33" w:rsidR="00CE0929" w:rsidRPr="00B725F2" w:rsidRDefault="00CE0929" w:rsidP="00B725F2">
            <w:pPr>
              <w:jc w:val="left"/>
              <w:rPr>
                <w:szCs w:val="21"/>
              </w:rPr>
            </w:pPr>
            <w:r w:rsidRPr="00B725F2">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C925C" w14:textId="77777777" w:rsidR="00CE0929" w:rsidRPr="00B725F2" w:rsidRDefault="00CE0929" w:rsidP="00B725F2">
            <w:pPr>
              <w:jc w:val="left"/>
              <w:rPr>
                <w:szCs w:val="21"/>
              </w:rPr>
            </w:pPr>
          </w:p>
        </w:tc>
      </w:tr>
      <w:tr w:rsidR="000E58B7" w:rsidRPr="009F251B" w14:paraId="550D2876"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B4D1D" w14:textId="54565B09" w:rsidR="000E58B7" w:rsidRPr="00B725F2" w:rsidRDefault="000E58B7" w:rsidP="00B725F2">
            <w:pPr>
              <w:jc w:val="left"/>
              <w:rPr>
                <w:szCs w:val="21"/>
              </w:rPr>
            </w:pPr>
            <w:r w:rsidRPr="00B725F2">
              <w:rPr>
                <w:rFonts w:hint="eastAsia"/>
                <w:szCs w:val="21"/>
              </w:rPr>
              <w:t>2</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A2EF9" w14:textId="2000C764" w:rsidR="000E58B7" w:rsidRPr="009F251B" w:rsidRDefault="000E58B7" w:rsidP="009F251B">
            <w:pPr>
              <w:jc w:val="left"/>
              <w:rPr>
                <w:szCs w:val="21"/>
              </w:rPr>
            </w:pPr>
            <w:bookmarkStart w:id="0" w:name="_Toc71182016"/>
            <w:r w:rsidRPr="00B725F2">
              <w:rPr>
                <w:szCs w:val="21"/>
              </w:rPr>
              <w:t xml:space="preserve">3 </w:t>
            </w:r>
            <w:r w:rsidRPr="00B725F2">
              <w:rPr>
                <w:szCs w:val="21"/>
              </w:rPr>
              <w:t>术语及定义</w:t>
            </w:r>
            <w:bookmarkEnd w:id="0"/>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8CD57" w14:textId="040EA038" w:rsidR="000E58B7" w:rsidRPr="00B725F2" w:rsidRDefault="000E58B7" w:rsidP="00B725F2">
            <w:pPr>
              <w:jc w:val="left"/>
              <w:rPr>
                <w:szCs w:val="21"/>
              </w:rPr>
            </w:pPr>
            <w:r w:rsidRPr="00B725F2">
              <w:rPr>
                <w:rFonts w:hint="eastAsia"/>
                <w:szCs w:val="21"/>
              </w:rPr>
              <w:t>按</w:t>
            </w:r>
            <w:r w:rsidRPr="00B725F2">
              <w:rPr>
                <w:rFonts w:hint="eastAsia"/>
                <w:szCs w:val="21"/>
              </w:rPr>
              <w:t>GB/T1.1-2020</w:t>
            </w:r>
            <w:r w:rsidRPr="00B725F2">
              <w:rPr>
                <w:rFonts w:hint="eastAsia"/>
                <w:szCs w:val="21"/>
              </w:rPr>
              <w:t>《标准化工作导则</w:t>
            </w:r>
            <w:r w:rsidRPr="00B725F2">
              <w:rPr>
                <w:rFonts w:hint="eastAsia"/>
                <w:szCs w:val="21"/>
              </w:rPr>
              <w:t xml:space="preserve"> </w:t>
            </w:r>
            <w:r w:rsidRPr="00B725F2">
              <w:rPr>
                <w:rFonts w:hint="eastAsia"/>
                <w:szCs w:val="21"/>
              </w:rPr>
              <w:t>第</w:t>
            </w:r>
            <w:r w:rsidRPr="00B725F2">
              <w:rPr>
                <w:rFonts w:hint="eastAsia"/>
                <w:szCs w:val="21"/>
              </w:rPr>
              <w:t>1</w:t>
            </w:r>
            <w:r w:rsidRPr="00B725F2">
              <w:rPr>
                <w:rFonts w:hint="eastAsia"/>
                <w:szCs w:val="21"/>
              </w:rPr>
              <w:t>部分：标准化文件的结构和起草规则》的规定修改编排格式</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A5600" w14:textId="169F24CD" w:rsidR="000E58B7" w:rsidRPr="00B725F2" w:rsidRDefault="000E58B7" w:rsidP="00B725F2">
            <w:pPr>
              <w:jc w:val="left"/>
              <w:rPr>
                <w:szCs w:val="21"/>
              </w:rPr>
            </w:pPr>
            <w:r w:rsidRPr="00B725F2">
              <w:rPr>
                <w:rFonts w:hint="eastAsia"/>
                <w:szCs w:val="21"/>
              </w:rPr>
              <w:t>株洲冶炼集团股份有限公司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21E35" w14:textId="72539B38" w:rsidR="000E58B7" w:rsidRPr="00B725F2" w:rsidRDefault="000E58B7" w:rsidP="00B725F2">
            <w:pPr>
              <w:jc w:val="left"/>
              <w:rPr>
                <w:szCs w:val="21"/>
              </w:rPr>
            </w:pPr>
            <w:r w:rsidRPr="00B725F2">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DB9C9" w14:textId="77777777" w:rsidR="000E58B7" w:rsidRPr="00B725F2" w:rsidRDefault="000E58B7" w:rsidP="00B725F2">
            <w:pPr>
              <w:jc w:val="left"/>
              <w:rPr>
                <w:szCs w:val="21"/>
              </w:rPr>
            </w:pPr>
          </w:p>
        </w:tc>
      </w:tr>
      <w:tr w:rsidR="000263DE" w:rsidRPr="009F251B" w14:paraId="6EAB6F8B"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D8A99" w14:textId="41E30DEC" w:rsidR="000263DE" w:rsidRPr="00B725F2" w:rsidRDefault="000263DE" w:rsidP="000263DE">
            <w:pPr>
              <w:jc w:val="left"/>
              <w:rPr>
                <w:szCs w:val="21"/>
              </w:rPr>
            </w:pPr>
            <w:r>
              <w:rPr>
                <w:rFonts w:hint="eastAsia"/>
                <w:szCs w:val="21"/>
              </w:rPr>
              <w:t>3</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AE694" w14:textId="3E99FC43" w:rsidR="000263DE" w:rsidRPr="009F251B" w:rsidRDefault="000263DE" w:rsidP="009F251B">
            <w:pPr>
              <w:jc w:val="left"/>
              <w:rPr>
                <w:szCs w:val="21"/>
              </w:rPr>
            </w:pPr>
            <w:r w:rsidRPr="000263DE">
              <w:rPr>
                <w:szCs w:val="21"/>
              </w:rPr>
              <w:t xml:space="preserve">3.1 </w:t>
            </w:r>
            <w:r w:rsidRPr="000263DE">
              <w:rPr>
                <w:rFonts w:hint="eastAsia"/>
                <w:szCs w:val="21"/>
              </w:rPr>
              <w:t>生物堆浸</w:t>
            </w:r>
            <w:r w:rsidRPr="000263DE">
              <w:rPr>
                <w:szCs w:val="21"/>
              </w:rPr>
              <w:t xml:space="preserve">  Heap bioleaching</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C6AD2" w14:textId="3A4C58B7" w:rsidR="000263DE" w:rsidRPr="000263DE" w:rsidRDefault="000263DE" w:rsidP="009F251B">
            <w:pPr>
              <w:jc w:val="left"/>
              <w:rPr>
                <w:szCs w:val="21"/>
              </w:rPr>
            </w:pPr>
            <w:r w:rsidRPr="000263DE">
              <w:rPr>
                <w:rFonts w:hint="eastAsia"/>
                <w:szCs w:val="21"/>
              </w:rPr>
              <w:t>“将矿石或含矿废渣直接或经破碎、造粒之后，在准备好的不透水的基底之上筑成矿堆，使含浸矿微生物的浸取剂溶液在矿堆中渗透，溶解目标组分，收集浸取液并回收目标组分的工艺过程。”修改为：“在不透水的基底上，将矿石或含矿废渣直接或经破碎、造粒后筑成矿堆，使含浸矿微生物的浸取剂</w:t>
            </w:r>
            <w:r w:rsidR="00106099">
              <w:rPr>
                <w:rFonts w:hint="eastAsia"/>
                <w:szCs w:val="21"/>
              </w:rPr>
              <w:t>溶液</w:t>
            </w:r>
            <w:r w:rsidRPr="000263DE">
              <w:rPr>
                <w:rFonts w:hint="eastAsia"/>
                <w:szCs w:val="21"/>
              </w:rPr>
              <w:t>在矿堆中渗透，溶解目标组分，收集浸取液并回收目标组分的工艺过程。”</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AD6D4" w14:textId="28B9BBC3" w:rsidR="000263DE" w:rsidRPr="00B725F2" w:rsidRDefault="000263DE" w:rsidP="000263DE">
            <w:pPr>
              <w:jc w:val="left"/>
              <w:rPr>
                <w:szCs w:val="21"/>
              </w:rPr>
            </w:pPr>
            <w:r w:rsidRPr="009F251B">
              <w:rPr>
                <w:rFonts w:hint="eastAsia"/>
                <w:szCs w:val="21"/>
              </w:rPr>
              <w:t>河南豫光金铅集团有限责任公司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04302" w14:textId="61A518EB" w:rsidR="000263DE" w:rsidRPr="00B725F2" w:rsidRDefault="000263DE" w:rsidP="000263DE">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75BD8" w14:textId="77777777" w:rsidR="000263DE" w:rsidRPr="00B725F2" w:rsidRDefault="000263DE" w:rsidP="000263DE">
            <w:pPr>
              <w:jc w:val="left"/>
              <w:rPr>
                <w:szCs w:val="21"/>
              </w:rPr>
            </w:pPr>
          </w:p>
        </w:tc>
      </w:tr>
      <w:tr w:rsidR="00106099" w:rsidRPr="009F251B" w14:paraId="45B7A572"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06A87" w14:textId="3152D6BE" w:rsidR="00106099" w:rsidRDefault="00106099" w:rsidP="00106099">
            <w:pPr>
              <w:jc w:val="left"/>
              <w:rPr>
                <w:szCs w:val="21"/>
              </w:rPr>
            </w:pPr>
            <w:r>
              <w:rPr>
                <w:rFonts w:hint="eastAsia"/>
                <w:szCs w:val="21"/>
              </w:rPr>
              <w:t>4</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39889" w14:textId="05ABC35C" w:rsidR="00106099" w:rsidRPr="009F251B" w:rsidRDefault="00106099" w:rsidP="009F251B">
            <w:pPr>
              <w:jc w:val="left"/>
              <w:rPr>
                <w:szCs w:val="21"/>
              </w:rPr>
            </w:pPr>
            <w:r w:rsidRPr="001C6A74">
              <w:rPr>
                <w:szCs w:val="21"/>
              </w:rPr>
              <w:t xml:space="preserve">3.2 </w:t>
            </w:r>
            <w:r w:rsidRPr="001C6A74">
              <w:rPr>
                <w:rFonts w:hint="eastAsia"/>
                <w:szCs w:val="21"/>
              </w:rPr>
              <w:t>绿色循环过程</w:t>
            </w:r>
            <w:r w:rsidRPr="001C6A74">
              <w:rPr>
                <w:szCs w:val="21"/>
              </w:rPr>
              <w:t xml:space="preserve">  Green circulating process</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F6AED" w14:textId="29725CE4" w:rsidR="00106099" w:rsidRPr="000263DE" w:rsidRDefault="00106099" w:rsidP="009F251B">
            <w:pPr>
              <w:jc w:val="left"/>
              <w:rPr>
                <w:szCs w:val="21"/>
              </w:rPr>
            </w:pPr>
            <w:r w:rsidRPr="001C6A74">
              <w:rPr>
                <w:rFonts w:hint="eastAsia"/>
                <w:szCs w:val="21"/>
              </w:rPr>
              <w:t>“以最小资源消耗以及尽可能地减少环境污染并在适当的情况下变废为宝的一种物质闭环过程。”修改为：“以最小资源消耗以及尽可能减少环境污染并在适当情况下变废为宝的一种物质闭环过程。”</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5F7EA" w14:textId="236260B6" w:rsidR="00106099" w:rsidRPr="009F251B" w:rsidRDefault="00106099" w:rsidP="00106099">
            <w:pPr>
              <w:jc w:val="left"/>
              <w:rPr>
                <w:szCs w:val="21"/>
              </w:rPr>
            </w:pPr>
            <w:r w:rsidRPr="009F251B">
              <w:rPr>
                <w:szCs w:val="21"/>
              </w:rPr>
              <w:t>广西南</w:t>
            </w:r>
            <w:r w:rsidRPr="001C6A74">
              <w:rPr>
                <w:szCs w:val="21"/>
              </w:rPr>
              <w:t>丹</w:t>
            </w:r>
            <w:r w:rsidRPr="009F251B">
              <w:rPr>
                <w:szCs w:val="21"/>
              </w:rPr>
              <w:t>南方</w:t>
            </w:r>
            <w:r w:rsidRPr="001C6A74">
              <w:rPr>
                <w:szCs w:val="21"/>
              </w:rPr>
              <w:t>金属</w:t>
            </w:r>
            <w:r w:rsidRPr="009F251B">
              <w:rPr>
                <w:szCs w:val="21"/>
              </w:rPr>
              <w:t>有</w:t>
            </w:r>
            <w:r w:rsidRPr="001C6A74">
              <w:rPr>
                <w:szCs w:val="21"/>
              </w:rPr>
              <w:t>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4ADF0" w14:textId="1024DD58" w:rsidR="00106099" w:rsidRPr="009F251B" w:rsidRDefault="00106099" w:rsidP="00106099">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1B98A" w14:textId="77777777" w:rsidR="00106099" w:rsidRPr="00B725F2" w:rsidRDefault="00106099" w:rsidP="00106099">
            <w:pPr>
              <w:jc w:val="left"/>
              <w:rPr>
                <w:szCs w:val="21"/>
              </w:rPr>
            </w:pPr>
          </w:p>
        </w:tc>
      </w:tr>
      <w:tr w:rsidR="00473C82" w:rsidRPr="009F251B" w14:paraId="0F5BBB52"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6A3AD" w14:textId="4D2DEF1D" w:rsidR="00473C82" w:rsidRDefault="00473C82" w:rsidP="00473C82">
            <w:pPr>
              <w:jc w:val="left"/>
              <w:rPr>
                <w:szCs w:val="21"/>
              </w:rPr>
            </w:pPr>
            <w:r>
              <w:rPr>
                <w:rFonts w:hint="eastAsia"/>
                <w:szCs w:val="21"/>
              </w:rPr>
              <w:t>5</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2216E" w14:textId="2344661C" w:rsidR="00473C82" w:rsidRPr="009F251B" w:rsidRDefault="00473C82" w:rsidP="009F251B">
            <w:pPr>
              <w:jc w:val="left"/>
              <w:rPr>
                <w:szCs w:val="21"/>
              </w:rPr>
            </w:pPr>
            <w:r w:rsidRPr="009F251B">
              <w:rPr>
                <w:szCs w:val="21"/>
              </w:rPr>
              <w:t xml:space="preserve">3.6 </w:t>
            </w:r>
            <w:r w:rsidRPr="009F251B">
              <w:rPr>
                <w:rFonts w:hint="eastAsia"/>
                <w:szCs w:val="21"/>
              </w:rPr>
              <w:t>浸取液</w:t>
            </w:r>
            <w:r w:rsidRPr="009F251B">
              <w:rPr>
                <w:szCs w:val="21"/>
              </w:rPr>
              <w:t xml:space="preserve">  Leaching solution</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93CEB" w14:textId="7B3A725D" w:rsidR="00473C82" w:rsidRPr="001C6A74" w:rsidRDefault="00473C82" w:rsidP="009F251B">
            <w:pPr>
              <w:jc w:val="left"/>
              <w:rPr>
                <w:szCs w:val="21"/>
              </w:rPr>
            </w:pPr>
            <w:r>
              <w:rPr>
                <w:rFonts w:hint="eastAsia"/>
                <w:szCs w:val="21"/>
              </w:rPr>
              <w:t>全文：“浸取液”修改为：“浸出液”；“浸取”修改为：“浸出”</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2F9E8" w14:textId="4415BC20" w:rsidR="00473C82" w:rsidRPr="009F251B" w:rsidRDefault="00473C82" w:rsidP="00473C82">
            <w:pPr>
              <w:jc w:val="left"/>
              <w:rPr>
                <w:szCs w:val="21"/>
              </w:rPr>
            </w:pPr>
            <w:r w:rsidRPr="009F251B">
              <w:rPr>
                <w:szCs w:val="21"/>
              </w:rPr>
              <w:t>阳谷祥光铜业有限公司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A20C3" w14:textId="560A1B12" w:rsidR="00473C82" w:rsidRPr="009F251B" w:rsidRDefault="00473C82" w:rsidP="00473C82">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78666" w14:textId="77777777" w:rsidR="00473C82" w:rsidRPr="00B725F2" w:rsidRDefault="00473C82" w:rsidP="00473C82">
            <w:pPr>
              <w:jc w:val="left"/>
              <w:rPr>
                <w:szCs w:val="21"/>
              </w:rPr>
            </w:pPr>
          </w:p>
        </w:tc>
      </w:tr>
      <w:tr w:rsidR="00473C82" w:rsidRPr="009F251B" w14:paraId="77596C88"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C0F2A" w14:textId="57A91235" w:rsidR="00473C82" w:rsidRPr="00B725F2" w:rsidRDefault="00473C82" w:rsidP="00473C82">
            <w:pPr>
              <w:jc w:val="left"/>
              <w:rPr>
                <w:szCs w:val="21"/>
              </w:rPr>
            </w:pPr>
            <w:r>
              <w:rPr>
                <w:szCs w:val="21"/>
              </w:rPr>
              <w:t>6</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50DE1" w14:textId="4032B630" w:rsidR="00473C82" w:rsidRPr="009F251B" w:rsidRDefault="00473C82" w:rsidP="009F251B">
            <w:pPr>
              <w:jc w:val="left"/>
              <w:rPr>
                <w:szCs w:val="21"/>
              </w:rPr>
            </w:pPr>
            <w:bookmarkStart w:id="1" w:name="_Toc497209979"/>
            <w:bookmarkStart w:id="2" w:name="_Toc71182018"/>
            <w:r w:rsidRPr="00B725F2">
              <w:rPr>
                <w:szCs w:val="21"/>
              </w:rPr>
              <w:t xml:space="preserve">4.1  </w:t>
            </w:r>
            <w:bookmarkEnd w:id="1"/>
            <w:r w:rsidRPr="00B725F2">
              <w:rPr>
                <w:rFonts w:hint="eastAsia"/>
                <w:szCs w:val="21"/>
              </w:rPr>
              <w:t>入堆矿石的预处理控制</w:t>
            </w:r>
            <w:bookmarkEnd w:id="2"/>
            <w:r w:rsidRPr="00B725F2">
              <w:rPr>
                <w:rFonts w:hint="eastAsia"/>
                <w:szCs w:val="21"/>
              </w:rPr>
              <w:t>；</w:t>
            </w:r>
            <w:bookmarkStart w:id="3" w:name="_Toc71182022"/>
            <w:bookmarkStart w:id="4" w:name="_Hlk520100102"/>
            <w:r w:rsidRPr="00B725F2">
              <w:rPr>
                <w:szCs w:val="21"/>
              </w:rPr>
              <w:t xml:space="preserve"> 4.2  </w:t>
            </w:r>
            <w:r w:rsidRPr="00B725F2">
              <w:rPr>
                <w:rFonts w:hint="eastAsia"/>
                <w:szCs w:val="21"/>
              </w:rPr>
              <w:t>接种控制</w:t>
            </w:r>
            <w:bookmarkEnd w:id="3"/>
            <w:r w:rsidRPr="00B725F2">
              <w:rPr>
                <w:rFonts w:hint="eastAsia"/>
                <w:szCs w:val="21"/>
              </w:rPr>
              <w:t>；</w:t>
            </w:r>
            <w:r w:rsidRPr="00B725F2">
              <w:rPr>
                <w:szCs w:val="21"/>
              </w:rPr>
              <w:lastRenderedPageBreak/>
              <w:t xml:space="preserve">4.3  </w:t>
            </w:r>
            <w:r w:rsidRPr="00B725F2">
              <w:rPr>
                <w:rFonts w:hint="eastAsia"/>
                <w:szCs w:val="21"/>
              </w:rPr>
              <w:t>浸取液绿色循环控制；</w:t>
            </w:r>
            <w:r w:rsidRPr="00B725F2">
              <w:rPr>
                <w:szCs w:val="21"/>
              </w:rPr>
              <w:t xml:space="preserve">4.4  </w:t>
            </w:r>
            <w:r w:rsidRPr="00B725F2">
              <w:rPr>
                <w:rFonts w:hint="eastAsia"/>
                <w:szCs w:val="21"/>
              </w:rPr>
              <w:t>浸取液中三价铁及其它杂质离子浓度控制</w:t>
            </w:r>
          </w:p>
          <w:bookmarkEnd w:id="4"/>
          <w:p w14:paraId="4B3E82F7" w14:textId="5BB25491" w:rsidR="00473C82" w:rsidRPr="009F251B" w:rsidRDefault="00473C82" w:rsidP="009F251B">
            <w:pPr>
              <w:jc w:val="left"/>
              <w:rPr>
                <w:szCs w:val="21"/>
              </w:rPr>
            </w:pP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32D39" w14:textId="6B798AB6" w:rsidR="00473C82" w:rsidRPr="009F251B" w:rsidRDefault="00473C82" w:rsidP="009F251B">
            <w:pPr>
              <w:jc w:val="left"/>
              <w:rPr>
                <w:szCs w:val="21"/>
              </w:rPr>
            </w:pPr>
            <w:r w:rsidRPr="00B725F2">
              <w:rPr>
                <w:rFonts w:hint="eastAsia"/>
                <w:szCs w:val="21"/>
              </w:rPr>
              <w:lastRenderedPageBreak/>
              <w:t>“</w:t>
            </w:r>
            <w:r w:rsidRPr="00B725F2">
              <w:rPr>
                <w:szCs w:val="21"/>
              </w:rPr>
              <w:t xml:space="preserve">4.1  </w:t>
            </w:r>
            <w:r w:rsidRPr="00B725F2">
              <w:rPr>
                <w:rFonts w:hint="eastAsia"/>
                <w:szCs w:val="21"/>
              </w:rPr>
              <w:t>入堆矿石的预处理控制；</w:t>
            </w:r>
            <w:r w:rsidRPr="00B725F2">
              <w:rPr>
                <w:szCs w:val="21"/>
              </w:rPr>
              <w:t xml:space="preserve">4.1.1  </w:t>
            </w:r>
            <w:r w:rsidRPr="00B725F2">
              <w:rPr>
                <w:rFonts w:hint="eastAsia"/>
                <w:szCs w:val="21"/>
              </w:rPr>
              <w:t>入堆矿石破碎控制；</w:t>
            </w:r>
            <w:r w:rsidRPr="00B725F2">
              <w:rPr>
                <w:szCs w:val="21"/>
              </w:rPr>
              <w:t xml:space="preserve">4.1.2  </w:t>
            </w:r>
            <w:r w:rsidRPr="00B725F2">
              <w:rPr>
                <w:rFonts w:hint="eastAsia"/>
                <w:szCs w:val="21"/>
              </w:rPr>
              <w:t>堆场坡度控制；</w:t>
            </w:r>
            <w:r w:rsidRPr="00B725F2">
              <w:rPr>
                <w:szCs w:val="21"/>
              </w:rPr>
              <w:t xml:space="preserve">4.1.3  </w:t>
            </w:r>
            <w:r w:rsidRPr="00B725F2">
              <w:rPr>
                <w:rFonts w:hint="eastAsia"/>
                <w:szCs w:val="21"/>
              </w:rPr>
              <w:t>浸取液</w:t>
            </w:r>
            <w:r w:rsidRPr="00B725F2">
              <w:rPr>
                <w:szCs w:val="21"/>
              </w:rPr>
              <w:t>pH</w:t>
            </w:r>
            <w:r w:rsidRPr="00B725F2">
              <w:rPr>
                <w:rFonts w:hint="eastAsia"/>
                <w:szCs w:val="21"/>
              </w:rPr>
              <w:t>值调整与矿堆布液控制；</w:t>
            </w:r>
            <w:r w:rsidRPr="00B725F2">
              <w:rPr>
                <w:szCs w:val="21"/>
              </w:rPr>
              <w:t xml:space="preserve">4.1.4  </w:t>
            </w:r>
            <w:r w:rsidRPr="00B725F2">
              <w:rPr>
                <w:rFonts w:hint="eastAsia"/>
                <w:szCs w:val="21"/>
              </w:rPr>
              <w:t>矿堆渗透性及边坡稳定性控制。</w:t>
            </w:r>
            <w:r w:rsidRPr="00B725F2">
              <w:rPr>
                <w:szCs w:val="21"/>
              </w:rPr>
              <w:t xml:space="preserve">4.2  </w:t>
            </w:r>
            <w:r w:rsidRPr="00B725F2">
              <w:rPr>
                <w:rFonts w:hint="eastAsia"/>
                <w:szCs w:val="21"/>
              </w:rPr>
              <w:t>接种控制；</w:t>
            </w:r>
            <w:bookmarkStart w:id="5" w:name="_Toc71182023"/>
            <w:r w:rsidRPr="00B725F2">
              <w:rPr>
                <w:szCs w:val="21"/>
              </w:rPr>
              <w:t xml:space="preserve">4.2.1  </w:t>
            </w:r>
            <w:r w:rsidRPr="00B725F2">
              <w:rPr>
                <w:rFonts w:hint="eastAsia"/>
                <w:szCs w:val="21"/>
              </w:rPr>
              <w:t>接种时机控制</w:t>
            </w:r>
            <w:bookmarkEnd w:id="5"/>
            <w:r w:rsidRPr="00B725F2">
              <w:rPr>
                <w:rFonts w:hint="eastAsia"/>
                <w:szCs w:val="21"/>
              </w:rPr>
              <w:t>；</w:t>
            </w:r>
            <w:bookmarkStart w:id="6" w:name="_Toc71182024"/>
            <w:r w:rsidRPr="00B725F2">
              <w:rPr>
                <w:szCs w:val="21"/>
              </w:rPr>
              <w:t xml:space="preserve">4.2.2  </w:t>
            </w:r>
            <w:r w:rsidRPr="00B725F2">
              <w:rPr>
                <w:rFonts w:hint="eastAsia"/>
                <w:szCs w:val="21"/>
              </w:rPr>
              <w:lastRenderedPageBreak/>
              <w:t>浸矿微生物的生物代谢特性控制</w:t>
            </w:r>
            <w:bookmarkEnd w:id="6"/>
            <w:r w:rsidRPr="00B725F2">
              <w:rPr>
                <w:rFonts w:hint="eastAsia"/>
                <w:szCs w:val="21"/>
              </w:rPr>
              <w:t>；</w:t>
            </w:r>
            <w:bookmarkStart w:id="7" w:name="_Toc71182025"/>
            <w:r w:rsidRPr="00B725F2">
              <w:rPr>
                <w:szCs w:val="21"/>
              </w:rPr>
              <w:t xml:space="preserve">4.2.3  </w:t>
            </w:r>
            <w:r w:rsidRPr="00B725F2">
              <w:rPr>
                <w:rFonts w:hint="eastAsia"/>
                <w:szCs w:val="21"/>
              </w:rPr>
              <w:t>接种所需浸矿微生物浓度控制</w:t>
            </w:r>
            <w:bookmarkEnd w:id="7"/>
            <w:r w:rsidRPr="00B725F2">
              <w:rPr>
                <w:rFonts w:hint="eastAsia"/>
                <w:szCs w:val="21"/>
              </w:rPr>
              <w:t>；</w:t>
            </w:r>
            <w:r w:rsidRPr="00B725F2">
              <w:rPr>
                <w:szCs w:val="21"/>
              </w:rPr>
              <w:t xml:space="preserve">4.2.4  </w:t>
            </w:r>
            <w:r w:rsidRPr="00B725F2">
              <w:rPr>
                <w:rFonts w:hint="eastAsia"/>
                <w:szCs w:val="21"/>
              </w:rPr>
              <w:t>接种比例控制；</w:t>
            </w:r>
            <w:bookmarkStart w:id="8" w:name="_Toc71182027"/>
            <w:r w:rsidRPr="00B725F2">
              <w:rPr>
                <w:szCs w:val="21"/>
              </w:rPr>
              <w:t xml:space="preserve">4.3  </w:t>
            </w:r>
            <w:r w:rsidRPr="00B725F2">
              <w:rPr>
                <w:rFonts w:hint="eastAsia"/>
                <w:szCs w:val="21"/>
              </w:rPr>
              <w:t>浸取液绿色循环控制</w:t>
            </w:r>
            <w:bookmarkEnd w:id="8"/>
            <w:r w:rsidRPr="00B725F2">
              <w:rPr>
                <w:rFonts w:hint="eastAsia"/>
                <w:szCs w:val="21"/>
              </w:rPr>
              <w:t>；</w:t>
            </w:r>
            <w:r w:rsidRPr="00B725F2">
              <w:rPr>
                <w:szCs w:val="21"/>
              </w:rPr>
              <w:t xml:space="preserve">4.3.1  </w:t>
            </w:r>
            <w:r w:rsidRPr="00B725F2">
              <w:rPr>
                <w:rFonts w:hint="eastAsia"/>
                <w:szCs w:val="21"/>
              </w:rPr>
              <w:t>铜离子浓度控制；</w:t>
            </w:r>
            <w:r w:rsidRPr="00B725F2">
              <w:rPr>
                <w:szCs w:val="21"/>
              </w:rPr>
              <w:t xml:space="preserve">4.3.2  </w:t>
            </w:r>
            <w:r w:rsidRPr="00B725F2">
              <w:rPr>
                <w:rFonts w:hint="eastAsia"/>
                <w:szCs w:val="21"/>
              </w:rPr>
              <w:t>浸取液</w:t>
            </w:r>
            <w:r w:rsidRPr="00B725F2">
              <w:rPr>
                <w:szCs w:val="21"/>
              </w:rPr>
              <w:t>pH</w:t>
            </w:r>
            <w:r w:rsidRPr="00B725F2">
              <w:rPr>
                <w:rFonts w:hint="eastAsia"/>
                <w:szCs w:val="21"/>
              </w:rPr>
              <w:t>值控制；</w:t>
            </w:r>
            <w:bookmarkStart w:id="9" w:name="_Toc71182030"/>
            <w:r w:rsidRPr="00B725F2">
              <w:rPr>
                <w:szCs w:val="21"/>
              </w:rPr>
              <w:t xml:space="preserve">4.3.3  </w:t>
            </w:r>
            <w:r w:rsidRPr="00B725F2">
              <w:rPr>
                <w:rFonts w:hint="eastAsia"/>
                <w:szCs w:val="21"/>
              </w:rPr>
              <w:t>浸取液循环过程中水平衡控制</w:t>
            </w:r>
            <w:bookmarkEnd w:id="9"/>
            <w:r w:rsidRPr="00B725F2">
              <w:rPr>
                <w:rFonts w:hint="eastAsia"/>
                <w:szCs w:val="21"/>
              </w:rPr>
              <w:t>；</w:t>
            </w:r>
            <w:bookmarkStart w:id="10" w:name="_Toc71182032"/>
            <w:r w:rsidRPr="00B725F2">
              <w:rPr>
                <w:szCs w:val="21"/>
              </w:rPr>
              <w:t xml:space="preserve">4.4  </w:t>
            </w:r>
            <w:r w:rsidRPr="00B725F2">
              <w:rPr>
                <w:rFonts w:hint="eastAsia"/>
                <w:szCs w:val="21"/>
              </w:rPr>
              <w:t>浸取液中三价铁及其它杂质离子浓度控制</w:t>
            </w:r>
            <w:bookmarkEnd w:id="10"/>
            <w:r w:rsidRPr="00B725F2">
              <w:rPr>
                <w:rFonts w:hint="eastAsia"/>
                <w:szCs w:val="21"/>
              </w:rPr>
              <w:t>；</w:t>
            </w:r>
            <w:r w:rsidRPr="00B725F2">
              <w:rPr>
                <w:szCs w:val="21"/>
              </w:rPr>
              <w:t xml:space="preserve">4.4.1  </w:t>
            </w:r>
            <w:r w:rsidRPr="00B725F2">
              <w:rPr>
                <w:rFonts w:hint="eastAsia"/>
                <w:szCs w:val="21"/>
              </w:rPr>
              <w:t>三价铁离子浓度控制；</w:t>
            </w:r>
            <w:bookmarkStart w:id="11" w:name="_Toc71182034"/>
            <w:r w:rsidRPr="00B725F2">
              <w:rPr>
                <w:szCs w:val="21"/>
              </w:rPr>
              <w:t xml:space="preserve">4.4.2  </w:t>
            </w:r>
            <w:r w:rsidRPr="00B725F2">
              <w:rPr>
                <w:rFonts w:hint="eastAsia"/>
                <w:szCs w:val="21"/>
              </w:rPr>
              <w:t>其它杂质离子浓度控制</w:t>
            </w:r>
            <w:bookmarkEnd w:id="11"/>
            <w:r w:rsidRPr="00B725F2">
              <w:rPr>
                <w:rFonts w:hint="eastAsia"/>
                <w:szCs w:val="21"/>
              </w:rPr>
              <w:t>；</w:t>
            </w:r>
            <w:r w:rsidRPr="00B725F2">
              <w:rPr>
                <w:szCs w:val="21"/>
              </w:rPr>
              <w:t xml:space="preserve">4.4.3  </w:t>
            </w:r>
            <w:r w:rsidRPr="00B725F2">
              <w:rPr>
                <w:rFonts w:hint="eastAsia"/>
                <w:szCs w:val="21"/>
              </w:rPr>
              <w:t>有害离子浓度控制。”及条目内内容，删除“控制”（“</w:t>
            </w:r>
            <w:r w:rsidRPr="00B725F2">
              <w:rPr>
                <w:rFonts w:hint="eastAsia"/>
                <w:szCs w:val="21"/>
              </w:rPr>
              <w:t>4</w:t>
            </w:r>
            <w:r w:rsidRPr="00B725F2">
              <w:rPr>
                <w:szCs w:val="21"/>
              </w:rPr>
              <w:t xml:space="preserve"> </w:t>
            </w:r>
            <w:r w:rsidRPr="00B725F2">
              <w:rPr>
                <w:rFonts w:hint="eastAsia"/>
                <w:szCs w:val="21"/>
              </w:rPr>
              <w:t>技术要求”包含“控制”）</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AC857" w14:textId="1E9AD9B5" w:rsidR="00473C82" w:rsidRPr="009F251B" w:rsidRDefault="00473C82" w:rsidP="009F251B">
            <w:pPr>
              <w:jc w:val="left"/>
              <w:rPr>
                <w:szCs w:val="21"/>
              </w:rPr>
            </w:pPr>
            <w:r w:rsidRPr="009F251B">
              <w:rPr>
                <w:rFonts w:hint="eastAsia"/>
                <w:szCs w:val="21"/>
              </w:rPr>
              <w:lastRenderedPageBreak/>
              <w:t>东营方圆有色金属有限公司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462E9" w14:textId="5BE399C1" w:rsidR="00473C82" w:rsidRPr="009F251B" w:rsidRDefault="00473C82" w:rsidP="009F251B">
            <w:pPr>
              <w:jc w:val="left"/>
              <w:rPr>
                <w:szCs w:val="21"/>
              </w:rPr>
            </w:pPr>
            <w:r w:rsidRPr="00B725F2">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34C0D" w14:textId="77777777" w:rsidR="00473C82" w:rsidRPr="009F251B" w:rsidRDefault="00473C82" w:rsidP="009F251B">
            <w:pPr>
              <w:jc w:val="left"/>
              <w:rPr>
                <w:szCs w:val="21"/>
              </w:rPr>
            </w:pPr>
          </w:p>
        </w:tc>
      </w:tr>
      <w:tr w:rsidR="00473C82" w:rsidRPr="009F251B" w14:paraId="1C9EA437"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3EE83" w14:textId="1EFF6668" w:rsidR="00473C82" w:rsidRPr="009F251B" w:rsidRDefault="00473C82" w:rsidP="009F251B">
            <w:pPr>
              <w:jc w:val="left"/>
              <w:rPr>
                <w:szCs w:val="21"/>
              </w:rPr>
            </w:pPr>
            <w:r w:rsidRPr="009F251B">
              <w:rPr>
                <w:szCs w:val="21"/>
              </w:rPr>
              <w:t>7</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1F6E5" w14:textId="45D4CAB6" w:rsidR="00473C82" w:rsidRPr="009F251B" w:rsidRDefault="00473C82" w:rsidP="009F251B">
            <w:pPr>
              <w:jc w:val="left"/>
              <w:rPr>
                <w:szCs w:val="21"/>
              </w:rPr>
            </w:pPr>
            <w:r w:rsidRPr="009F251B">
              <w:rPr>
                <w:szCs w:val="21"/>
              </w:rPr>
              <w:t xml:space="preserve">4.1.1  </w:t>
            </w:r>
            <w:r w:rsidRPr="009F251B">
              <w:rPr>
                <w:rFonts w:hint="eastAsia"/>
                <w:szCs w:val="21"/>
              </w:rPr>
              <w:t>入堆矿石破碎控制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9B132" w14:textId="24306CF6" w:rsidR="00473C82" w:rsidRPr="009F251B" w:rsidRDefault="00473C82" w:rsidP="009F251B">
            <w:pPr>
              <w:jc w:val="left"/>
              <w:rPr>
                <w:szCs w:val="21"/>
              </w:rPr>
            </w:pPr>
            <w:r w:rsidRPr="009F251B">
              <w:rPr>
                <w:rFonts w:hint="eastAsia"/>
                <w:szCs w:val="21"/>
              </w:rPr>
              <w:t>“自动化与智能化”修改为：“自动化或智能化”</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F8456" w14:textId="3160A3D9" w:rsidR="00473C82" w:rsidRPr="009F251B" w:rsidRDefault="00473C82" w:rsidP="009F251B">
            <w:pPr>
              <w:jc w:val="left"/>
              <w:rPr>
                <w:szCs w:val="21"/>
              </w:rPr>
            </w:pPr>
            <w:r w:rsidRPr="009F251B">
              <w:rPr>
                <w:szCs w:val="21"/>
              </w:rPr>
              <w:t>广西南国铜业有限责任公司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4A16C" w14:textId="6D4942AB" w:rsidR="00473C82" w:rsidRPr="009F251B" w:rsidRDefault="00473C82" w:rsidP="009F251B">
            <w:pPr>
              <w:jc w:val="left"/>
              <w:rPr>
                <w:szCs w:val="21"/>
              </w:rPr>
            </w:pPr>
            <w:r w:rsidRPr="00B725F2">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17F55" w14:textId="77777777" w:rsidR="00473C82" w:rsidRPr="009F251B" w:rsidRDefault="00473C82" w:rsidP="009F251B">
            <w:pPr>
              <w:jc w:val="left"/>
              <w:rPr>
                <w:szCs w:val="21"/>
              </w:rPr>
            </w:pPr>
          </w:p>
        </w:tc>
      </w:tr>
      <w:tr w:rsidR="00473C82" w:rsidRPr="009F251B" w14:paraId="68AB509F"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6B547" w14:textId="278F3F10" w:rsidR="00473C82" w:rsidRPr="009F251B" w:rsidRDefault="00473C82" w:rsidP="009F251B">
            <w:pPr>
              <w:jc w:val="left"/>
              <w:rPr>
                <w:szCs w:val="21"/>
              </w:rPr>
            </w:pPr>
            <w:r w:rsidRPr="009F251B">
              <w:rPr>
                <w:szCs w:val="21"/>
              </w:rPr>
              <w:t>8</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5600D" w14:textId="44DE1D2A" w:rsidR="00473C82" w:rsidRPr="009F251B" w:rsidRDefault="00473C82" w:rsidP="009F251B">
            <w:pPr>
              <w:jc w:val="left"/>
              <w:rPr>
                <w:szCs w:val="21"/>
              </w:rPr>
            </w:pPr>
            <w:r w:rsidRPr="009F251B">
              <w:rPr>
                <w:rFonts w:hint="eastAsia"/>
                <w:szCs w:val="21"/>
              </w:rPr>
              <w:t>4.1.3.1</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2A4EC" w14:textId="2FBC84D4" w:rsidR="00473C82" w:rsidRPr="009F251B" w:rsidRDefault="00473C82" w:rsidP="009F251B">
            <w:pPr>
              <w:jc w:val="left"/>
              <w:rPr>
                <w:szCs w:val="21"/>
              </w:rPr>
            </w:pPr>
            <w:r w:rsidRPr="009F251B">
              <w:rPr>
                <w:rFonts w:hint="eastAsia"/>
                <w:szCs w:val="21"/>
              </w:rPr>
              <w:t>“</w:t>
            </w:r>
            <w:r w:rsidRPr="009F251B">
              <w:rPr>
                <w:szCs w:val="21"/>
              </w:rPr>
              <w:t>浸取液在接种浸矿微生物之前应加入</w:t>
            </w:r>
            <w:r w:rsidRPr="009F251B">
              <w:rPr>
                <w:szCs w:val="21"/>
              </w:rPr>
              <w:t>pH</w:t>
            </w:r>
            <w:r w:rsidRPr="009F251B">
              <w:rPr>
                <w:rFonts w:hint="eastAsia"/>
                <w:szCs w:val="21"/>
              </w:rPr>
              <w:t>值</w:t>
            </w:r>
            <w:r w:rsidRPr="009F251B">
              <w:rPr>
                <w:szCs w:val="21"/>
              </w:rPr>
              <w:t>调整剂。此处</w:t>
            </w:r>
            <w:r w:rsidRPr="009F251B">
              <w:rPr>
                <w:szCs w:val="21"/>
              </w:rPr>
              <w:t>pH</w:t>
            </w:r>
            <w:r w:rsidRPr="009F251B">
              <w:rPr>
                <w:rFonts w:hint="eastAsia"/>
                <w:szCs w:val="21"/>
              </w:rPr>
              <w:t>值</w:t>
            </w:r>
            <w:r w:rsidRPr="009F251B">
              <w:rPr>
                <w:szCs w:val="21"/>
              </w:rPr>
              <w:t>调整剂通常为硫酸</w:t>
            </w:r>
            <w:r w:rsidRPr="009F251B">
              <w:rPr>
                <w:rFonts w:hint="eastAsia"/>
                <w:szCs w:val="21"/>
              </w:rPr>
              <w:t>”修改为：“</w:t>
            </w:r>
            <w:r w:rsidRPr="009F251B">
              <w:rPr>
                <w:szCs w:val="21"/>
              </w:rPr>
              <w:t>浸取液在接种浸矿微生物之前应加入</w:t>
            </w:r>
            <w:r w:rsidRPr="009F251B">
              <w:rPr>
                <w:szCs w:val="21"/>
              </w:rPr>
              <w:t>pH</w:t>
            </w:r>
            <w:r w:rsidRPr="009F251B">
              <w:rPr>
                <w:rFonts w:hint="eastAsia"/>
                <w:szCs w:val="21"/>
              </w:rPr>
              <w:t>值</w:t>
            </w:r>
            <w:r w:rsidRPr="009F251B">
              <w:rPr>
                <w:szCs w:val="21"/>
              </w:rPr>
              <w:t>调整剂</w:t>
            </w:r>
            <w:r w:rsidRPr="009F251B">
              <w:rPr>
                <w:rFonts w:hint="eastAsia"/>
                <w:szCs w:val="21"/>
              </w:rPr>
              <w:t>，</w:t>
            </w:r>
            <w:r w:rsidRPr="009F251B">
              <w:rPr>
                <w:szCs w:val="21"/>
              </w:rPr>
              <w:t>pH</w:t>
            </w:r>
            <w:r w:rsidRPr="009F251B">
              <w:rPr>
                <w:rFonts w:hint="eastAsia"/>
                <w:szCs w:val="21"/>
              </w:rPr>
              <w:t>值</w:t>
            </w:r>
            <w:r w:rsidRPr="009F251B">
              <w:rPr>
                <w:szCs w:val="21"/>
              </w:rPr>
              <w:t>调整剂通常为硫酸</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DAF2D" w14:textId="006C8B03" w:rsidR="00473C82" w:rsidRPr="009F251B" w:rsidRDefault="00473C82" w:rsidP="009F251B">
            <w:pPr>
              <w:jc w:val="left"/>
              <w:rPr>
                <w:szCs w:val="21"/>
              </w:rPr>
            </w:pPr>
            <w:r w:rsidRPr="009F251B">
              <w:rPr>
                <w:szCs w:val="21"/>
              </w:rPr>
              <w:t>铜陵有色金属集团股份有限公司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62917" w14:textId="5F1DA677" w:rsidR="00473C82" w:rsidRPr="00B725F2" w:rsidRDefault="00473C82"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325BC" w14:textId="77777777" w:rsidR="00473C82" w:rsidRPr="009F251B" w:rsidRDefault="00473C82" w:rsidP="009F251B">
            <w:pPr>
              <w:jc w:val="left"/>
              <w:rPr>
                <w:szCs w:val="21"/>
              </w:rPr>
            </w:pPr>
          </w:p>
        </w:tc>
      </w:tr>
      <w:tr w:rsidR="00473C82" w:rsidRPr="009F251B" w14:paraId="54D54CA1"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CE945" w14:textId="01731B78" w:rsidR="00473C82" w:rsidRPr="009F251B" w:rsidRDefault="00473C82" w:rsidP="009F251B">
            <w:pPr>
              <w:jc w:val="left"/>
              <w:rPr>
                <w:szCs w:val="21"/>
              </w:rPr>
            </w:pPr>
            <w:r w:rsidRPr="009F251B">
              <w:rPr>
                <w:szCs w:val="21"/>
              </w:rPr>
              <w:t>9</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DB131" w14:textId="27323265" w:rsidR="00473C82" w:rsidRPr="009F251B" w:rsidRDefault="00473C82" w:rsidP="009F251B">
            <w:pPr>
              <w:jc w:val="left"/>
              <w:rPr>
                <w:szCs w:val="21"/>
              </w:rPr>
            </w:pPr>
            <w:r w:rsidRPr="009F251B">
              <w:rPr>
                <w:rFonts w:hint="eastAsia"/>
                <w:szCs w:val="21"/>
              </w:rPr>
              <w:t>4</w:t>
            </w:r>
            <w:r w:rsidRPr="009F251B">
              <w:rPr>
                <w:szCs w:val="21"/>
              </w:rPr>
              <w:t>.1.3.2</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37653" w14:textId="636FBD44" w:rsidR="00473C82" w:rsidRPr="009F251B" w:rsidRDefault="00473C82" w:rsidP="009F251B">
            <w:pPr>
              <w:jc w:val="left"/>
              <w:rPr>
                <w:szCs w:val="21"/>
              </w:rPr>
            </w:pPr>
            <w:r w:rsidRPr="009F251B">
              <w:rPr>
                <w:rFonts w:hint="eastAsia"/>
                <w:szCs w:val="21"/>
              </w:rPr>
              <w:t>“</w:t>
            </w:r>
            <w:r w:rsidRPr="009F251B">
              <w:rPr>
                <w:szCs w:val="21"/>
              </w:rPr>
              <w:t>浸取液循环</w:t>
            </w:r>
            <w:r w:rsidRPr="009F251B">
              <w:rPr>
                <w:rFonts w:hint="eastAsia"/>
                <w:szCs w:val="21"/>
              </w:rPr>
              <w:t>淋浸</w:t>
            </w:r>
            <w:r w:rsidRPr="009F251B">
              <w:rPr>
                <w:szCs w:val="21"/>
              </w:rPr>
              <w:t>矿堆</w:t>
            </w:r>
            <w:r w:rsidRPr="009F251B">
              <w:rPr>
                <w:rFonts w:hint="eastAsia"/>
                <w:szCs w:val="21"/>
              </w:rPr>
              <w:t>”修改为：“</w:t>
            </w:r>
            <w:r w:rsidRPr="009F251B">
              <w:rPr>
                <w:szCs w:val="21"/>
              </w:rPr>
              <w:t>浸取液循环</w:t>
            </w:r>
            <w:r w:rsidRPr="009F251B">
              <w:rPr>
                <w:rFonts w:hint="eastAsia"/>
                <w:szCs w:val="21"/>
              </w:rPr>
              <w:t>淋浸或滴浸</w:t>
            </w:r>
            <w:r w:rsidRPr="009F251B">
              <w:rPr>
                <w:szCs w:val="21"/>
              </w:rPr>
              <w:t>矿堆</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F199B" w14:textId="39657D10" w:rsidR="00473C82" w:rsidRPr="009F251B" w:rsidRDefault="00473C82" w:rsidP="009F251B">
            <w:pPr>
              <w:jc w:val="left"/>
              <w:rPr>
                <w:szCs w:val="21"/>
              </w:rPr>
            </w:pPr>
            <w:r w:rsidRPr="009F251B">
              <w:rPr>
                <w:szCs w:val="21"/>
              </w:rPr>
              <w:t>云南铜业股份有限公司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625C7" w14:textId="057BAD14" w:rsidR="00473C82" w:rsidRPr="009F251B" w:rsidRDefault="00473C82"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40E4C" w14:textId="77777777" w:rsidR="00473C82" w:rsidRPr="009F251B" w:rsidRDefault="00473C82" w:rsidP="009F251B">
            <w:pPr>
              <w:jc w:val="left"/>
              <w:rPr>
                <w:szCs w:val="21"/>
              </w:rPr>
            </w:pPr>
          </w:p>
        </w:tc>
      </w:tr>
      <w:tr w:rsidR="00473C82" w:rsidRPr="009F251B" w14:paraId="55744138"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C22CF" w14:textId="32D94E2A" w:rsidR="00473C82" w:rsidRPr="009F251B" w:rsidRDefault="00473C82" w:rsidP="009F251B">
            <w:pPr>
              <w:jc w:val="left"/>
              <w:rPr>
                <w:szCs w:val="21"/>
              </w:rPr>
            </w:pPr>
            <w:r w:rsidRPr="009F251B">
              <w:rPr>
                <w:szCs w:val="21"/>
              </w:rPr>
              <w:t>10</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03511" w14:textId="51A8DC2A" w:rsidR="00473C82" w:rsidRPr="009F251B" w:rsidRDefault="00473C82" w:rsidP="009F251B">
            <w:pPr>
              <w:jc w:val="left"/>
              <w:rPr>
                <w:szCs w:val="21"/>
              </w:rPr>
            </w:pPr>
            <w:r w:rsidRPr="009F251B">
              <w:rPr>
                <w:rFonts w:hint="eastAsia"/>
                <w:szCs w:val="21"/>
              </w:rPr>
              <w:t>4</w:t>
            </w:r>
            <w:r w:rsidRPr="009F251B">
              <w:rPr>
                <w:szCs w:val="21"/>
              </w:rPr>
              <w:t>.1.3.4</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AD28" w14:textId="48CC4132" w:rsidR="00473C82" w:rsidRPr="009F251B" w:rsidRDefault="00473C82" w:rsidP="009F251B">
            <w:pPr>
              <w:jc w:val="left"/>
              <w:rPr>
                <w:szCs w:val="21"/>
              </w:rPr>
            </w:pPr>
            <w:r w:rsidRPr="009F251B">
              <w:rPr>
                <w:rFonts w:hint="eastAsia"/>
                <w:szCs w:val="21"/>
              </w:rPr>
              <w:t>“建议采用</w:t>
            </w:r>
            <w:r w:rsidRPr="009F251B">
              <w:rPr>
                <w:rFonts w:hint="eastAsia"/>
                <w:szCs w:val="21"/>
              </w:rPr>
              <w:t>pH</w:t>
            </w:r>
            <w:r w:rsidRPr="009F251B">
              <w:rPr>
                <w:rFonts w:hint="eastAsia"/>
                <w:szCs w:val="21"/>
              </w:rPr>
              <w:t>值检测仪表、自动添加系统等实现</w:t>
            </w:r>
            <w:r w:rsidRPr="009F251B">
              <w:rPr>
                <w:rFonts w:hint="eastAsia"/>
                <w:szCs w:val="21"/>
              </w:rPr>
              <w:t>pH</w:t>
            </w:r>
            <w:r w:rsidRPr="009F251B">
              <w:rPr>
                <w:rFonts w:hint="eastAsia"/>
                <w:szCs w:val="21"/>
              </w:rPr>
              <w:t>值调整的智能控制及调节”修改为：“建议采用</w:t>
            </w:r>
            <w:r w:rsidRPr="009F251B">
              <w:rPr>
                <w:rFonts w:hint="eastAsia"/>
                <w:szCs w:val="21"/>
              </w:rPr>
              <w:t>pH</w:t>
            </w:r>
            <w:r w:rsidRPr="009F251B">
              <w:rPr>
                <w:rFonts w:hint="eastAsia"/>
                <w:szCs w:val="21"/>
              </w:rPr>
              <w:t>值调整智能控制及调节系统”</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FCB86" w14:textId="775C4A68" w:rsidR="00473C82" w:rsidRPr="009F251B" w:rsidRDefault="00473C82" w:rsidP="009F251B">
            <w:pPr>
              <w:jc w:val="left"/>
              <w:rPr>
                <w:szCs w:val="21"/>
              </w:rPr>
            </w:pPr>
            <w:r w:rsidRPr="009F251B">
              <w:rPr>
                <w:rFonts w:hint="eastAsia"/>
                <w:szCs w:val="21"/>
              </w:rPr>
              <w:t>西部矿业集团有限公司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F8E0D" w14:textId="2A9F7690" w:rsidR="00473C82" w:rsidRPr="009F251B" w:rsidRDefault="00473C82"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94F4E" w14:textId="77777777" w:rsidR="00473C82" w:rsidRPr="009F251B" w:rsidRDefault="00473C82" w:rsidP="009F251B">
            <w:pPr>
              <w:jc w:val="left"/>
              <w:rPr>
                <w:szCs w:val="21"/>
              </w:rPr>
            </w:pPr>
          </w:p>
        </w:tc>
      </w:tr>
      <w:tr w:rsidR="00473C82" w:rsidRPr="009F251B" w14:paraId="26FD0D31"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F00DA" w14:textId="514AB2B5" w:rsidR="00473C82" w:rsidRPr="009F251B" w:rsidRDefault="00473C82" w:rsidP="009F251B">
            <w:pPr>
              <w:jc w:val="left"/>
              <w:rPr>
                <w:szCs w:val="21"/>
              </w:rPr>
            </w:pPr>
            <w:r w:rsidRPr="009F251B">
              <w:rPr>
                <w:rFonts w:hint="eastAsia"/>
                <w:szCs w:val="21"/>
              </w:rPr>
              <w:t>1</w:t>
            </w:r>
            <w:r w:rsidRPr="009F251B">
              <w:rPr>
                <w:szCs w:val="21"/>
              </w:rPr>
              <w:t>1</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05F92" w14:textId="0D6EC858" w:rsidR="00473C82" w:rsidRPr="009F251B" w:rsidRDefault="00473C82" w:rsidP="009F251B">
            <w:pPr>
              <w:jc w:val="left"/>
              <w:rPr>
                <w:szCs w:val="21"/>
              </w:rPr>
            </w:pPr>
            <w:r w:rsidRPr="009F251B">
              <w:rPr>
                <w:rFonts w:hint="eastAsia"/>
                <w:szCs w:val="21"/>
              </w:rPr>
              <w:t>4.1.4</w:t>
            </w:r>
            <w:r w:rsidRPr="009F251B">
              <w:rPr>
                <w:szCs w:val="21"/>
              </w:rPr>
              <w:t xml:space="preserve"> </w:t>
            </w:r>
            <w:r w:rsidRPr="009F251B">
              <w:rPr>
                <w:rFonts w:hint="eastAsia"/>
                <w:szCs w:val="21"/>
              </w:rPr>
              <w:t>矿堆渗透性及边坡稳定性控制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F3C9B" w14:textId="11838940" w:rsidR="00473C82" w:rsidRPr="009F251B" w:rsidRDefault="00473C82" w:rsidP="009F251B">
            <w:pPr>
              <w:jc w:val="left"/>
              <w:rPr>
                <w:szCs w:val="21"/>
              </w:rPr>
            </w:pPr>
            <w:r w:rsidRPr="009F251B">
              <w:rPr>
                <w:rFonts w:hint="eastAsia"/>
                <w:szCs w:val="21"/>
              </w:rPr>
              <w:t>“宜适当降低布液强度，减少积液”修改为：“宜适当降低布液强度，消除积液”</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4D49B" w14:textId="77FC8BE0" w:rsidR="00473C82" w:rsidRPr="009F251B" w:rsidRDefault="00473C82" w:rsidP="009F251B">
            <w:pPr>
              <w:jc w:val="left"/>
              <w:rPr>
                <w:szCs w:val="21"/>
              </w:rPr>
            </w:pPr>
            <w:r w:rsidRPr="009F251B">
              <w:rPr>
                <w:rFonts w:hint="eastAsia"/>
                <w:szCs w:val="21"/>
              </w:rPr>
              <w:t>中国铜业有限公司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D3764" w14:textId="2E8F12D4" w:rsidR="00473C82" w:rsidRPr="009F251B" w:rsidRDefault="00473C82"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2E58D" w14:textId="77777777" w:rsidR="00473C82" w:rsidRPr="009F251B" w:rsidRDefault="00473C82" w:rsidP="009F251B">
            <w:pPr>
              <w:jc w:val="left"/>
              <w:rPr>
                <w:szCs w:val="21"/>
              </w:rPr>
            </w:pPr>
          </w:p>
        </w:tc>
      </w:tr>
      <w:tr w:rsidR="00A6219F" w:rsidRPr="009F251B" w14:paraId="7054F2F6"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20D2C" w14:textId="307ABB33" w:rsidR="00A6219F" w:rsidRPr="009F251B" w:rsidRDefault="00A6219F" w:rsidP="009F251B">
            <w:pPr>
              <w:jc w:val="left"/>
              <w:rPr>
                <w:szCs w:val="21"/>
              </w:rPr>
            </w:pPr>
            <w:r w:rsidRPr="009F251B">
              <w:rPr>
                <w:rFonts w:hint="eastAsia"/>
                <w:szCs w:val="21"/>
              </w:rPr>
              <w:t>1</w:t>
            </w:r>
            <w:r w:rsidRPr="009F251B">
              <w:rPr>
                <w:szCs w:val="21"/>
              </w:rPr>
              <w:t>2</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04CC4" w14:textId="3183D905" w:rsidR="00A6219F" w:rsidRPr="009F251B" w:rsidRDefault="00A6219F" w:rsidP="009F251B">
            <w:pPr>
              <w:jc w:val="left"/>
              <w:rPr>
                <w:szCs w:val="21"/>
              </w:rPr>
            </w:pPr>
            <w:r w:rsidRPr="009F251B">
              <w:rPr>
                <w:szCs w:val="21"/>
              </w:rPr>
              <w:t xml:space="preserve">4.2.2  </w:t>
            </w:r>
            <w:r w:rsidRPr="009F251B">
              <w:rPr>
                <w:rFonts w:hint="eastAsia"/>
                <w:szCs w:val="21"/>
              </w:rPr>
              <w:t>浸矿微生物的生物代谢特性控制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DD7BD" w14:textId="5F21DF64" w:rsidR="00A6219F" w:rsidRPr="009F251B" w:rsidRDefault="00A6219F" w:rsidP="009F251B">
            <w:pPr>
              <w:jc w:val="left"/>
              <w:rPr>
                <w:szCs w:val="21"/>
              </w:rPr>
            </w:pPr>
            <w:r w:rsidRPr="009F251B">
              <w:rPr>
                <w:rFonts w:hint="eastAsia"/>
                <w:szCs w:val="21"/>
              </w:rPr>
              <w:t>删除：“生物堆浸过程应基本不产生碳排放。”</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A5403" w14:textId="5B8EF6DB" w:rsidR="00A6219F" w:rsidRPr="009F251B" w:rsidRDefault="00A6219F" w:rsidP="009F251B">
            <w:pPr>
              <w:jc w:val="left"/>
              <w:rPr>
                <w:szCs w:val="21"/>
              </w:rPr>
            </w:pPr>
            <w:r w:rsidRPr="009F251B">
              <w:rPr>
                <w:szCs w:val="21"/>
              </w:rPr>
              <w:t>中原冶炼厂</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5D593" w14:textId="16A11BE8" w:rsidR="00A6219F" w:rsidRPr="009F251B" w:rsidRDefault="00A6219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F441D" w14:textId="77777777" w:rsidR="00A6219F" w:rsidRPr="009F251B" w:rsidRDefault="00A6219F" w:rsidP="009F251B">
            <w:pPr>
              <w:jc w:val="left"/>
              <w:rPr>
                <w:szCs w:val="21"/>
              </w:rPr>
            </w:pPr>
          </w:p>
        </w:tc>
      </w:tr>
      <w:tr w:rsidR="00A6219F" w:rsidRPr="009F251B" w14:paraId="7199EEC7"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C44C7" w14:textId="3AE53F0F" w:rsidR="00A6219F" w:rsidRPr="009F251B" w:rsidRDefault="00A6219F" w:rsidP="009F251B">
            <w:pPr>
              <w:jc w:val="left"/>
              <w:rPr>
                <w:szCs w:val="21"/>
              </w:rPr>
            </w:pPr>
            <w:r w:rsidRPr="009F251B">
              <w:rPr>
                <w:rFonts w:hint="eastAsia"/>
                <w:szCs w:val="21"/>
              </w:rPr>
              <w:t>13</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775A3" w14:textId="63A5EFB5" w:rsidR="00A6219F" w:rsidRPr="009F251B" w:rsidRDefault="00A6219F" w:rsidP="009F251B">
            <w:pPr>
              <w:jc w:val="left"/>
              <w:rPr>
                <w:szCs w:val="21"/>
              </w:rPr>
            </w:pPr>
            <w:r w:rsidRPr="009F251B">
              <w:rPr>
                <w:szCs w:val="21"/>
              </w:rPr>
              <w:t xml:space="preserve">4.2.3  </w:t>
            </w:r>
            <w:r w:rsidRPr="009F251B">
              <w:rPr>
                <w:rFonts w:hint="eastAsia"/>
                <w:szCs w:val="21"/>
              </w:rPr>
              <w:t>接种所需浸矿微生物浓度控制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8C4E9" w14:textId="45577FB1" w:rsidR="00A6219F" w:rsidRPr="009F251B" w:rsidRDefault="00A6219F" w:rsidP="009F251B">
            <w:pPr>
              <w:jc w:val="left"/>
              <w:rPr>
                <w:szCs w:val="21"/>
              </w:rPr>
            </w:pPr>
            <w:r w:rsidRPr="009F251B">
              <w:rPr>
                <w:rFonts w:hint="eastAsia"/>
                <w:szCs w:val="21"/>
              </w:rPr>
              <w:t>“对该矿的浸矿能力具有相对良好的适应性及浸出特性。”修改为：“对浸矿具有相对良好的适应性及浸出特性。”</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6D830" w14:textId="27812F68" w:rsidR="00A6219F" w:rsidRPr="009F251B" w:rsidRDefault="00A6219F" w:rsidP="009F251B">
            <w:pPr>
              <w:jc w:val="left"/>
              <w:rPr>
                <w:szCs w:val="21"/>
              </w:rPr>
            </w:pPr>
            <w:r w:rsidRPr="009F251B">
              <w:rPr>
                <w:szCs w:val="21"/>
              </w:rPr>
              <w:t>中铜东南铜业有限公司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9675" w14:textId="22046AA5" w:rsidR="00A6219F" w:rsidRPr="009F251B" w:rsidRDefault="00A6219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8EB5C" w14:textId="77777777" w:rsidR="00A6219F" w:rsidRPr="009F251B" w:rsidRDefault="00A6219F" w:rsidP="009F251B">
            <w:pPr>
              <w:jc w:val="left"/>
              <w:rPr>
                <w:szCs w:val="21"/>
              </w:rPr>
            </w:pPr>
          </w:p>
        </w:tc>
      </w:tr>
      <w:tr w:rsidR="00002774" w:rsidRPr="009F251B" w14:paraId="0F33C0E9"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B8DCB" w14:textId="70B8027E" w:rsidR="00002774" w:rsidRPr="009F251B" w:rsidRDefault="00002774" w:rsidP="009F251B">
            <w:pPr>
              <w:jc w:val="left"/>
              <w:rPr>
                <w:szCs w:val="21"/>
              </w:rPr>
            </w:pPr>
            <w:r w:rsidRPr="009F251B">
              <w:rPr>
                <w:rFonts w:hint="eastAsia"/>
                <w:szCs w:val="21"/>
              </w:rPr>
              <w:t>14</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A6E6" w14:textId="39604E1D" w:rsidR="00002774" w:rsidRPr="009F251B" w:rsidRDefault="00002774" w:rsidP="009F251B">
            <w:pPr>
              <w:jc w:val="left"/>
              <w:rPr>
                <w:szCs w:val="21"/>
              </w:rPr>
            </w:pPr>
            <w:r w:rsidRPr="009F251B">
              <w:rPr>
                <w:szCs w:val="21"/>
              </w:rPr>
              <w:t xml:space="preserve">4.2.4  </w:t>
            </w:r>
            <w:r w:rsidRPr="009F251B">
              <w:rPr>
                <w:rFonts w:hint="eastAsia"/>
                <w:szCs w:val="21"/>
              </w:rPr>
              <w:t>接种比例控制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E8CAA" w14:textId="37177934" w:rsidR="00002774" w:rsidRPr="009F251B" w:rsidRDefault="00002774" w:rsidP="009F251B">
            <w:pPr>
              <w:jc w:val="left"/>
              <w:rPr>
                <w:szCs w:val="21"/>
              </w:rPr>
            </w:pPr>
            <w:r w:rsidRPr="009F251B">
              <w:rPr>
                <w:rFonts w:hint="eastAsia"/>
                <w:szCs w:val="21"/>
              </w:rPr>
              <w:t>“接入时含浸矿微生物的溶液体积与入堆溶液体积的比值应不低于</w:t>
            </w:r>
            <w:r w:rsidRPr="009F251B">
              <w:rPr>
                <w:rFonts w:hint="eastAsia"/>
                <w:szCs w:val="21"/>
              </w:rPr>
              <w:t>1:10</w:t>
            </w:r>
            <w:r w:rsidRPr="009F251B">
              <w:rPr>
                <w:rFonts w:hint="eastAsia"/>
                <w:szCs w:val="21"/>
              </w:rPr>
              <w:t>（体积比）。”修改为：“接入时含浸矿微生物的溶液体积与入堆溶液体</w:t>
            </w:r>
            <w:r w:rsidRPr="009F251B">
              <w:rPr>
                <w:rFonts w:hint="eastAsia"/>
                <w:szCs w:val="21"/>
              </w:rPr>
              <w:lastRenderedPageBreak/>
              <w:t>积的比例应不低于</w:t>
            </w:r>
            <w:r w:rsidRPr="009F251B">
              <w:rPr>
                <w:rFonts w:hint="eastAsia"/>
                <w:szCs w:val="21"/>
              </w:rPr>
              <w:t>1:10</w:t>
            </w:r>
            <w:r w:rsidRPr="009F251B">
              <w:rPr>
                <w:rFonts w:hint="eastAsia"/>
                <w:szCs w:val="21"/>
              </w:rPr>
              <w:t>（体积比）。”</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717B1" w14:textId="4F6B2E7D" w:rsidR="00002774" w:rsidRPr="009F251B" w:rsidRDefault="00002774" w:rsidP="009F251B">
            <w:pPr>
              <w:jc w:val="left"/>
              <w:rPr>
                <w:szCs w:val="21"/>
              </w:rPr>
            </w:pPr>
            <w:r w:rsidRPr="009F251B">
              <w:rPr>
                <w:szCs w:val="21"/>
              </w:rPr>
              <w:lastRenderedPageBreak/>
              <w:t>中铝洛阳铜业有限公司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4DB83" w14:textId="5DE3457A" w:rsidR="00002774" w:rsidRPr="009F251B" w:rsidRDefault="00002774"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5EDE1" w14:textId="77777777" w:rsidR="00002774" w:rsidRPr="009F251B" w:rsidRDefault="00002774" w:rsidP="009F251B">
            <w:pPr>
              <w:jc w:val="left"/>
              <w:rPr>
                <w:szCs w:val="21"/>
              </w:rPr>
            </w:pPr>
          </w:p>
        </w:tc>
      </w:tr>
      <w:tr w:rsidR="006F3AFF" w:rsidRPr="009F251B" w14:paraId="50D74734"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C9DCF" w14:textId="622A7959" w:rsidR="006F3AFF" w:rsidRPr="009F251B" w:rsidRDefault="006F3AFF" w:rsidP="009F251B">
            <w:pPr>
              <w:jc w:val="left"/>
              <w:rPr>
                <w:szCs w:val="21"/>
              </w:rPr>
            </w:pPr>
            <w:r w:rsidRPr="009F251B">
              <w:rPr>
                <w:rFonts w:hint="eastAsia"/>
                <w:szCs w:val="21"/>
              </w:rPr>
              <w:t>15</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EDE60" w14:textId="4526DB4D" w:rsidR="006F3AFF" w:rsidRPr="009F251B" w:rsidRDefault="006F3AFF" w:rsidP="009F251B">
            <w:pPr>
              <w:jc w:val="left"/>
              <w:rPr>
                <w:szCs w:val="21"/>
              </w:rPr>
            </w:pPr>
            <w:r w:rsidRPr="009F251B">
              <w:rPr>
                <w:szCs w:val="21"/>
              </w:rPr>
              <w:t xml:space="preserve">4.2.4  </w:t>
            </w:r>
            <w:r w:rsidRPr="009F251B">
              <w:rPr>
                <w:rFonts w:hint="eastAsia"/>
                <w:szCs w:val="21"/>
              </w:rPr>
              <w:t>接种比例控制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5C9FD" w14:textId="2EE4461E" w:rsidR="006F3AFF" w:rsidRPr="009F251B" w:rsidRDefault="006F3AFF" w:rsidP="009F251B">
            <w:pPr>
              <w:jc w:val="left"/>
              <w:rPr>
                <w:szCs w:val="21"/>
              </w:rPr>
            </w:pPr>
            <w:r w:rsidRPr="009F251B">
              <w:rPr>
                <w:rFonts w:hint="eastAsia"/>
                <w:szCs w:val="21"/>
              </w:rPr>
              <w:t>“若微生物浓度低于</w:t>
            </w:r>
            <w:r w:rsidRPr="009F251B">
              <w:rPr>
                <w:rFonts w:hint="eastAsia"/>
                <w:szCs w:val="21"/>
              </w:rPr>
              <w:t>108</w:t>
            </w:r>
            <w:r w:rsidRPr="009F251B">
              <w:rPr>
                <w:rFonts w:hint="eastAsia"/>
                <w:szCs w:val="21"/>
              </w:rPr>
              <w:t>个</w:t>
            </w:r>
            <w:r w:rsidRPr="009F251B">
              <w:rPr>
                <w:rFonts w:hint="eastAsia"/>
                <w:szCs w:val="21"/>
              </w:rPr>
              <w:t>/g</w:t>
            </w:r>
            <w:r w:rsidRPr="009F251B">
              <w:rPr>
                <w:rFonts w:hint="eastAsia"/>
                <w:szCs w:val="21"/>
              </w:rPr>
              <w:t>矿”修改为：“若微生物浓度低于</w:t>
            </w:r>
            <w:r w:rsidRPr="009F251B">
              <w:rPr>
                <w:rFonts w:hint="eastAsia"/>
                <w:szCs w:val="21"/>
              </w:rPr>
              <w:t>108</w:t>
            </w:r>
            <w:r w:rsidRPr="009F251B">
              <w:rPr>
                <w:rFonts w:hint="eastAsia"/>
                <w:szCs w:val="21"/>
              </w:rPr>
              <w:t>个</w:t>
            </w:r>
            <w:r w:rsidRPr="009F251B">
              <w:rPr>
                <w:rFonts w:hint="eastAsia"/>
                <w:szCs w:val="21"/>
              </w:rPr>
              <w:t>/g</w:t>
            </w:r>
            <w:r w:rsidR="00AA60AA" w:rsidRPr="009F251B">
              <w:rPr>
                <w:rFonts w:hint="eastAsia"/>
                <w:szCs w:val="21"/>
              </w:rPr>
              <w:t>(</w:t>
            </w:r>
            <w:r w:rsidRPr="009F251B">
              <w:rPr>
                <w:rFonts w:hint="eastAsia"/>
                <w:szCs w:val="21"/>
              </w:rPr>
              <w:t>矿</w:t>
            </w:r>
            <w:r w:rsidR="00AA60AA" w:rsidRPr="009F251B">
              <w:rPr>
                <w:rFonts w:hint="eastAsia"/>
                <w:szCs w:val="21"/>
              </w:rPr>
              <w:t>)</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2C2D4" w14:textId="6CF93D09" w:rsidR="006F3AFF" w:rsidRPr="009F251B" w:rsidRDefault="006F3AFF" w:rsidP="009F251B">
            <w:pPr>
              <w:jc w:val="left"/>
              <w:rPr>
                <w:szCs w:val="21"/>
              </w:rPr>
            </w:pPr>
            <w:r w:rsidRPr="009F251B">
              <w:rPr>
                <w:szCs w:val="21"/>
              </w:rPr>
              <w:t>山东亨圆铜业有限公司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929A3" w14:textId="30A763E7" w:rsidR="006F3AFF" w:rsidRPr="009F251B" w:rsidRDefault="006F3AF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F3E56" w14:textId="77777777" w:rsidR="006F3AFF" w:rsidRPr="009F251B" w:rsidRDefault="006F3AFF" w:rsidP="009F251B">
            <w:pPr>
              <w:jc w:val="left"/>
              <w:rPr>
                <w:szCs w:val="21"/>
              </w:rPr>
            </w:pPr>
          </w:p>
        </w:tc>
      </w:tr>
      <w:tr w:rsidR="006F3AFF" w:rsidRPr="009F251B" w14:paraId="0A65196A"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A6004" w14:textId="242CB261" w:rsidR="006F3AFF" w:rsidRPr="009F251B" w:rsidRDefault="006F3AFF" w:rsidP="009F251B">
            <w:pPr>
              <w:jc w:val="left"/>
              <w:rPr>
                <w:szCs w:val="21"/>
              </w:rPr>
            </w:pPr>
            <w:r w:rsidRPr="009F251B">
              <w:rPr>
                <w:rFonts w:hint="eastAsia"/>
                <w:szCs w:val="21"/>
              </w:rPr>
              <w:t>16</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219AC" w14:textId="5D62DA6B" w:rsidR="006F3AFF" w:rsidRPr="009F251B" w:rsidRDefault="006F3AFF" w:rsidP="009F251B">
            <w:pPr>
              <w:jc w:val="left"/>
              <w:rPr>
                <w:szCs w:val="21"/>
              </w:rPr>
            </w:pPr>
            <w:r w:rsidRPr="009F251B">
              <w:rPr>
                <w:szCs w:val="21"/>
              </w:rPr>
              <w:t xml:space="preserve">4.3.1  </w:t>
            </w:r>
            <w:r w:rsidRPr="009F251B">
              <w:rPr>
                <w:rFonts w:hint="eastAsia"/>
                <w:szCs w:val="21"/>
              </w:rPr>
              <w:t>铜离子浓度控制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FB960" w14:textId="62104E9C" w:rsidR="006F3AFF" w:rsidRPr="009F251B" w:rsidRDefault="006F3AFF" w:rsidP="009F251B">
            <w:pPr>
              <w:jc w:val="left"/>
              <w:rPr>
                <w:szCs w:val="21"/>
              </w:rPr>
            </w:pPr>
            <w:r w:rsidRPr="009F251B">
              <w:rPr>
                <w:rFonts w:hint="eastAsia"/>
                <w:szCs w:val="21"/>
              </w:rPr>
              <w:t>“应将部分浸取液进行萃取—电积或置换处理”修改为：“应将部分浸取液进行萃取——电积或置换处理”</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474D" w14:textId="3AFD3484" w:rsidR="006F3AFF" w:rsidRPr="009F251B" w:rsidRDefault="006F3AFF" w:rsidP="009F251B">
            <w:pPr>
              <w:jc w:val="left"/>
              <w:rPr>
                <w:szCs w:val="21"/>
              </w:rPr>
            </w:pPr>
            <w:r w:rsidRPr="009F251B">
              <w:rPr>
                <w:szCs w:val="21"/>
              </w:rPr>
              <w:t>江铜国兴（烟台）铜业有限公司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7545A" w14:textId="1ED4795B" w:rsidR="006F3AFF" w:rsidRPr="009F251B" w:rsidRDefault="006F3AF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BD272" w14:textId="77777777" w:rsidR="006F3AFF" w:rsidRPr="009F251B" w:rsidRDefault="006F3AFF" w:rsidP="009F251B">
            <w:pPr>
              <w:jc w:val="left"/>
              <w:rPr>
                <w:szCs w:val="21"/>
              </w:rPr>
            </w:pPr>
          </w:p>
        </w:tc>
      </w:tr>
      <w:tr w:rsidR="00CA0EBA" w:rsidRPr="009F251B" w14:paraId="566B5031"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833AF" w14:textId="3944CE69" w:rsidR="00CA0EBA" w:rsidRPr="009F251B" w:rsidRDefault="00CA0EBA" w:rsidP="009F251B">
            <w:pPr>
              <w:jc w:val="left"/>
              <w:rPr>
                <w:szCs w:val="21"/>
              </w:rPr>
            </w:pPr>
            <w:r w:rsidRPr="009F251B">
              <w:rPr>
                <w:rFonts w:hint="eastAsia"/>
                <w:szCs w:val="21"/>
              </w:rPr>
              <w:t>17</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38BF4" w14:textId="109472C6" w:rsidR="00CA0EBA" w:rsidRPr="009F251B" w:rsidRDefault="00CA0EBA" w:rsidP="009F251B">
            <w:pPr>
              <w:jc w:val="left"/>
              <w:rPr>
                <w:szCs w:val="21"/>
              </w:rPr>
            </w:pPr>
            <w:r w:rsidRPr="009F251B">
              <w:rPr>
                <w:szCs w:val="21"/>
              </w:rPr>
              <w:t>4</w:t>
            </w:r>
            <w:r w:rsidRPr="009F251B">
              <w:rPr>
                <w:rFonts w:hint="eastAsia"/>
                <w:szCs w:val="21"/>
              </w:rPr>
              <w:t>.</w:t>
            </w:r>
            <w:r w:rsidRPr="009F251B">
              <w:rPr>
                <w:szCs w:val="21"/>
              </w:rPr>
              <w:t>3</w:t>
            </w:r>
            <w:r w:rsidRPr="009F251B">
              <w:rPr>
                <w:rFonts w:hint="eastAsia"/>
                <w:szCs w:val="21"/>
              </w:rPr>
              <w:t>.</w:t>
            </w:r>
            <w:r w:rsidRPr="009F251B">
              <w:rPr>
                <w:szCs w:val="21"/>
              </w:rPr>
              <w:t>3</w:t>
            </w:r>
            <w:r w:rsidRPr="009F251B">
              <w:rPr>
                <w:rFonts w:hint="eastAsia"/>
                <w:szCs w:val="21"/>
              </w:rPr>
              <w:t>.4</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4919F" w14:textId="77777777" w:rsidR="004A45B9" w:rsidRPr="009F251B" w:rsidRDefault="00CA0EBA" w:rsidP="009F251B">
            <w:pPr>
              <w:jc w:val="left"/>
              <w:rPr>
                <w:szCs w:val="21"/>
              </w:rPr>
            </w:pPr>
            <w:r w:rsidRPr="009F251B">
              <w:rPr>
                <w:rFonts w:hint="eastAsia"/>
                <w:szCs w:val="21"/>
              </w:rPr>
              <w:t>“</w:t>
            </w:r>
            <w:r w:rsidR="004A45B9" w:rsidRPr="009F251B">
              <w:rPr>
                <w:rFonts w:hint="eastAsia"/>
                <w:szCs w:val="21"/>
              </w:rPr>
              <w:t>有条件时，浸取液应实现循环平衡在线监控和分析，应采用新水或工艺补水自动添加系统，对水添加量进行自动统计，实现自动平衡控制及智能调节。</w:t>
            </w:r>
          </w:p>
          <w:p w14:paraId="0BFEF7D4" w14:textId="27FF4D0C" w:rsidR="004A45B9" w:rsidRPr="009F251B" w:rsidRDefault="004A45B9" w:rsidP="009F251B">
            <w:pPr>
              <w:jc w:val="left"/>
              <w:rPr>
                <w:szCs w:val="21"/>
              </w:rPr>
            </w:pPr>
            <w:r w:rsidRPr="009F251B">
              <w:rPr>
                <w:rFonts w:hint="eastAsia"/>
                <w:szCs w:val="21"/>
              </w:rPr>
              <w:t>磨矿分级工序的介质储存及添加应采用自动添加系统，对介质添加量及添加种类进行自动统计，宜实现介质添加智能调节。循环药剂或介质应实现循环平衡在线监控和分析，并实现自动平衡控制。</w:t>
            </w:r>
            <w:r w:rsidR="00CA0EBA" w:rsidRPr="009F251B">
              <w:rPr>
                <w:rFonts w:hint="eastAsia"/>
                <w:szCs w:val="21"/>
              </w:rPr>
              <w:t>”修改为：“</w:t>
            </w:r>
            <w:r w:rsidRPr="009F251B">
              <w:rPr>
                <w:rFonts w:hint="eastAsia"/>
                <w:szCs w:val="21"/>
              </w:rPr>
              <w:t>有条件时，浸取液应实现循环平衡在线监控和分析，应采用新水或工艺补水自动添加系统，对水添加量进行自动统计，实现自动或智能平衡控制及调节。</w:t>
            </w:r>
          </w:p>
          <w:p w14:paraId="6C7CDF23" w14:textId="32DA3448" w:rsidR="00CA0EBA" w:rsidRPr="009F251B" w:rsidRDefault="004A45B9" w:rsidP="009F251B">
            <w:pPr>
              <w:jc w:val="left"/>
              <w:rPr>
                <w:szCs w:val="21"/>
              </w:rPr>
            </w:pPr>
            <w:r w:rsidRPr="009F251B">
              <w:rPr>
                <w:rFonts w:hint="eastAsia"/>
                <w:szCs w:val="21"/>
              </w:rPr>
              <w:t>磨矿分级工序的介质储存及添加应采用自动或智能添加系统，对介质添加量及添加种类进行自动统计，宜实现介质添加自动或智能调节。循环药剂或介质应实现循环平衡在线监控和分析，并实现自动或智能平衡控制。</w:t>
            </w:r>
            <w:r w:rsidR="00CA0EBA"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93735" w14:textId="13B8F759" w:rsidR="00CA0EBA" w:rsidRPr="009F251B" w:rsidRDefault="00CA0EBA" w:rsidP="009F251B">
            <w:pPr>
              <w:jc w:val="left"/>
              <w:rPr>
                <w:szCs w:val="21"/>
              </w:rPr>
            </w:pPr>
            <w:r w:rsidRPr="009F251B">
              <w:rPr>
                <w:szCs w:val="21"/>
              </w:rPr>
              <w:t>金隆铜业有限公司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79889" w14:textId="39F5C974" w:rsidR="00CA0EBA" w:rsidRPr="009F251B" w:rsidRDefault="00CA0EBA"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3A705" w14:textId="77777777" w:rsidR="00CA0EBA" w:rsidRPr="009F251B" w:rsidRDefault="00CA0EBA" w:rsidP="009F251B">
            <w:pPr>
              <w:jc w:val="left"/>
              <w:rPr>
                <w:szCs w:val="21"/>
              </w:rPr>
            </w:pPr>
          </w:p>
        </w:tc>
      </w:tr>
      <w:tr w:rsidR="001D6ACB" w:rsidRPr="009F251B" w14:paraId="2657A744"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9A9EE" w14:textId="43B299DD" w:rsidR="001D6ACB" w:rsidRPr="009F251B" w:rsidRDefault="001D6ACB" w:rsidP="009F251B">
            <w:pPr>
              <w:jc w:val="left"/>
              <w:rPr>
                <w:szCs w:val="21"/>
              </w:rPr>
            </w:pPr>
            <w:r w:rsidRPr="009F251B">
              <w:rPr>
                <w:rFonts w:hint="eastAsia"/>
                <w:szCs w:val="21"/>
              </w:rPr>
              <w:t>18</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8C616" w14:textId="6153C751" w:rsidR="001D6ACB" w:rsidRPr="009F251B" w:rsidRDefault="001D6ACB" w:rsidP="009F251B">
            <w:pPr>
              <w:jc w:val="left"/>
              <w:rPr>
                <w:szCs w:val="21"/>
              </w:rPr>
            </w:pPr>
            <w:r w:rsidRPr="009F251B">
              <w:rPr>
                <w:rFonts w:hint="eastAsia"/>
                <w:szCs w:val="21"/>
              </w:rPr>
              <w:t>4</w:t>
            </w:r>
            <w:r w:rsidRPr="009F251B">
              <w:rPr>
                <w:szCs w:val="21"/>
              </w:rPr>
              <w:t>.3.4.1</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3FD6E" w14:textId="61797039" w:rsidR="001D6ACB" w:rsidRPr="009F251B" w:rsidRDefault="001D6ACB" w:rsidP="009F251B">
            <w:pPr>
              <w:jc w:val="left"/>
              <w:rPr>
                <w:szCs w:val="21"/>
              </w:rPr>
            </w:pPr>
            <w:r w:rsidRPr="009F251B">
              <w:rPr>
                <w:rFonts w:hint="eastAsia"/>
                <w:szCs w:val="21"/>
              </w:rPr>
              <w:t>“关键设备应实现在线智能化监测”修改为：“关键设备应实现在线自动或智能化监测”</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E2AB8" w14:textId="4C6D9A1A" w:rsidR="001D6ACB" w:rsidRPr="009F251B" w:rsidRDefault="001D6ACB" w:rsidP="009F251B">
            <w:pPr>
              <w:jc w:val="left"/>
              <w:rPr>
                <w:szCs w:val="21"/>
              </w:rPr>
            </w:pPr>
            <w:r w:rsidRPr="009F251B">
              <w:rPr>
                <w:szCs w:val="21"/>
              </w:rPr>
              <w:t>浙江富冶集团有限公司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9B2CE" w14:textId="3E5E39AB" w:rsidR="001D6ACB" w:rsidRPr="009F251B" w:rsidRDefault="001D6ACB"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D5A22" w14:textId="77777777" w:rsidR="001D6ACB" w:rsidRPr="009F251B" w:rsidRDefault="001D6ACB" w:rsidP="009F251B">
            <w:pPr>
              <w:jc w:val="left"/>
              <w:rPr>
                <w:szCs w:val="21"/>
              </w:rPr>
            </w:pPr>
          </w:p>
        </w:tc>
      </w:tr>
      <w:tr w:rsidR="001D6ACB" w:rsidRPr="009F251B" w14:paraId="45849B8F"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9122C" w14:textId="1658EBE9" w:rsidR="001D6ACB" w:rsidRPr="009F251B" w:rsidRDefault="001D6ACB" w:rsidP="009F251B">
            <w:pPr>
              <w:jc w:val="left"/>
              <w:rPr>
                <w:szCs w:val="21"/>
              </w:rPr>
            </w:pPr>
            <w:r w:rsidRPr="009F251B">
              <w:rPr>
                <w:rFonts w:hint="eastAsia"/>
                <w:szCs w:val="21"/>
              </w:rPr>
              <w:t>19</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B2197" w14:textId="6C5F068F" w:rsidR="001D6ACB" w:rsidRPr="009F251B" w:rsidRDefault="001D6ACB" w:rsidP="009F251B">
            <w:pPr>
              <w:jc w:val="left"/>
              <w:rPr>
                <w:szCs w:val="21"/>
              </w:rPr>
            </w:pPr>
            <w:r w:rsidRPr="009F251B">
              <w:rPr>
                <w:rFonts w:hint="eastAsia"/>
                <w:szCs w:val="21"/>
              </w:rPr>
              <w:t>4</w:t>
            </w:r>
            <w:r w:rsidRPr="009F251B">
              <w:rPr>
                <w:szCs w:val="21"/>
              </w:rPr>
              <w:t>.3.4.2</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45E39" w14:textId="09305526" w:rsidR="001D6ACB" w:rsidRPr="009F251B" w:rsidRDefault="001D6ACB" w:rsidP="009F251B">
            <w:pPr>
              <w:jc w:val="left"/>
              <w:rPr>
                <w:szCs w:val="21"/>
              </w:rPr>
            </w:pPr>
            <w:r w:rsidRPr="009F251B">
              <w:rPr>
                <w:rFonts w:hint="eastAsia"/>
                <w:szCs w:val="21"/>
              </w:rPr>
              <w:t>“应合理选择设备和管道结构及材料”修改为：“应合理选择设备、管道结构及材料”</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F654E" w14:textId="1FD22348" w:rsidR="001D6ACB" w:rsidRPr="009F251B" w:rsidRDefault="001D6ACB" w:rsidP="009F251B">
            <w:pPr>
              <w:jc w:val="left"/>
              <w:rPr>
                <w:szCs w:val="21"/>
              </w:rPr>
            </w:pPr>
            <w:r w:rsidRPr="009F251B">
              <w:rPr>
                <w:rFonts w:hint="eastAsia"/>
                <w:szCs w:val="21"/>
              </w:rPr>
              <w:t>江西理工大学</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E4ECE" w14:textId="5BA05334" w:rsidR="001D6ACB" w:rsidRPr="009F251B" w:rsidRDefault="001D6ACB"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21D22" w14:textId="77777777" w:rsidR="001D6ACB" w:rsidRPr="009F251B" w:rsidRDefault="001D6ACB" w:rsidP="009F251B">
            <w:pPr>
              <w:jc w:val="left"/>
              <w:rPr>
                <w:szCs w:val="21"/>
              </w:rPr>
            </w:pPr>
          </w:p>
        </w:tc>
      </w:tr>
      <w:tr w:rsidR="00CA234A" w:rsidRPr="009F251B" w14:paraId="61225B5E"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E1552" w14:textId="7DA03369" w:rsidR="00CA234A" w:rsidRPr="009F251B" w:rsidRDefault="00CA234A" w:rsidP="009F251B">
            <w:pPr>
              <w:jc w:val="left"/>
              <w:rPr>
                <w:szCs w:val="21"/>
              </w:rPr>
            </w:pPr>
            <w:r w:rsidRPr="009F251B">
              <w:rPr>
                <w:rFonts w:hint="eastAsia"/>
                <w:szCs w:val="21"/>
              </w:rPr>
              <w:t>20</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4CBD1" w14:textId="24714866" w:rsidR="00CA234A" w:rsidRPr="009F251B" w:rsidRDefault="00CA234A" w:rsidP="009F251B">
            <w:pPr>
              <w:jc w:val="left"/>
              <w:rPr>
                <w:szCs w:val="21"/>
              </w:rPr>
            </w:pPr>
            <w:r w:rsidRPr="009F251B">
              <w:rPr>
                <w:rFonts w:hint="eastAsia"/>
                <w:szCs w:val="21"/>
              </w:rPr>
              <w:t>4</w:t>
            </w:r>
            <w:r w:rsidRPr="009F251B">
              <w:rPr>
                <w:szCs w:val="21"/>
              </w:rPr>
              <w:t>.3.4.3</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8DD2E" w14:textId="77777777" w:rsidR="00CA234A" w:rsidRPr="009F251B" w:rsidRDefault="00CA234A" w:rsidP="009F251B">
            <w:pPr>
              <w:jc w:val="left"/>
              <w:rPr>
                <w:szCs w:val="21"/>
              </w:rPr>
            </w:pPr>
            <w:r w:rsidRPr="009F251B">
              <w:rPr>
                <w:rFonts w:hint="eastAsia"/>
                <w:szCs w:val="21"/>
              </w:rPr>
              <w:t>“具有化学灼伤或剧毒危害的作业应尽量采用机械化、管道化和自动化，安装必要的信号报警和保险装置，并在危险作业点装设防护设施。</w:t>
            </w:r>
          </w:p>
          <w:p w14:paraId="7F5C19BE" w14:textId="2A96C9F1" w:rsidR="00CA234A" w:rsidRPr="009F251B" w:rsidRDefault="00CA234A" w:rsidP="009F251B">
            <w:pPr>
              <w:jc w:val="left"/>
              <w:rPr>
                <w:szCs w:val="21"/>
              </w:rPr>
            </w:pPr>
            <w:r w:rsidRPr="009F251B">
              <w:rPr>
                <w:rFonts w:hint="eastAsia"/>
                <w:szCs w:val="21"/>
              </w:rPr>
              <w:t>”修改为：“具有危险性或毒害性的作业应采用自动化或智能化，安装</w:t>
            </w:r>
            <w:r w:rsidRPr="009F251B">
              <w:rPr>
                <w:rFonts w:hint="eastAsia"/>
                <w:szCs w:val="21"/>
              </w:rPr>
              <w:lastRenderedPageBreak/>
              <w:t>必要的信号报警和保险装置，并在危险作业点装设防护设施。”</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81F1" w14:textId="3727C1F6" w:rsidR="00CA234A" w:rsidRPr="009F251B" w:rsidRDefault="00CA234A" w:rsidP="009F251B">
            <w:pPr>
              <w:jc w:val="left"/>
              <w:rPr>
                <w:szCs w:val="21"/>
              </w:rPr>
            </w:pPr>
            <w:r w:rsidRPr="009F251B">
              <w:rPr>
                <w:szCs w:val="21"/>
              </w:rPr>
              <w:lastRenderedPageBreak/>
              <w:t>洛阳璟铜铜业有限公司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9AE07" w14:textId="0B48D3AF" w:rsidR="00CA234A" w:rsidRPr="009F251B" w:rsidRDefault="00CA234A"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61437" w14:textId="77777777" w:rsidR="00CA234A" w:rsidRPr="009F251B" w:rsidRDefault="00CA234A" w:rsidP="009F251B">
            <w:pPr>
              <w:jc w:val="left"/>
              <w:rPr>
                <w:szCs w:val="21"/>
              </w:rPr>
            </w:pPr>
          </w:p>
        </w:tc>
      </w:tr>
      <w:tr w:rsidR="00CA234A" w:rsidRPr="009F251B" w14:paraId="2A429191"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245BE" w14:textId="7AB4EE01" w:rsidR="00CA234A" w:rsidRPr="009F251B" w:rsidRDefault="00CA234A" w:rsidP="009F251B">
            <w:pPr>
              <w:jc w:val="left"/>
              <w:rPr>
                <w:szCs w:val="21"/>
              </w:rPr>
            </w:pPr>
            <w:r w:rsidRPr="009F251B">
              <w:rPr>
                <w:rFonts w:hint="eastAsia"/>
                <w:szCs w:val="21"/>
              </w:rPr>
              <w:t>21</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A62AB" w14:textId="60BF7F0C" w:rsidR="00CA234A" w:rsidRPr="009F251B" w:rsidRDefault="00CA234A" w:rsidP="009F251B">
            <w:pPr>
              <w:jc w:val="left"/>
              <w:rPr>
                <w:szCs w:val="21"/>
              </w:rPr>
            </w:pPr>
            <w:r w:rsidRPr="009F251B">
              <w:rPr>
                <w:rFonts w:hint="eastAsia"/>
                <w:szCs w:val="21"/>
              </w:rPr>
              <w:t>4</w:t>
            </w:r>
            <w:r w:rsidRPr="009F251B">
              <w:rPr>
                <w:szCs w:val="21"/>
              </w:rPr>
              <w:t>.3.4.4</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7E908" w14:textId="34A18FA0" w:rsidR="00CA234A" w:rsidRPr="009F251B" w:rsidRDefault="00CA234A" w:rsidP="009F251B">
            <w:pPr>
              <w:jc w:val="left"/>
              <w:rPr>
                <w:szCs w:val="21"/>
              </w:rPr>
            </w:pPr>
            <w:r w:rsidRPr="009F251B">
              <w:rPr>
                <w:rFonts w:hint="eastAsia"/>
                <w:szCs w:val="21"/>
              </w:rPr>
              <w:t>“输送、布液管路及其附属装置的结构、抗腐蚀性和强度，应与所输送物质的特性和工作条件相符，防止破损而泄漏输送液。”修改为：“输送、布液管道及其附属装置的结构、强度抗和耐腐蚀性，应与所输送物质的特性和工作条件相符，防止破损而泄漏输送液。”</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38026" w14:textId="553B4139" w:rsidR="00CA234A" w:rsidRPr="009F251B" w:rsidRDefault="00CA234A" w:rsidP="009F251B">
            <w:pPr>
              <w:jc w:val="left"/>
              <w:rPr>
                <w:szCs w:val="21"/>
              </w:rPr>
            </w:pPr>
            <w:r w:rsidRPr="009F251B">
              <w:rPr>
                <w:szCs w:val="21"/>
              </w:rPr>
              <w:t>宜兴卓达铜业有限公司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7D3AC" w14:textId="5D420A63" w:rsidR="00CA234A" w:rsidRPr="009F251B" w:rsidRDefault="00CA234A"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04B38" w14:textId="77777777" w:rsidR="00CA234A" w:rsidRPr="009F251B" w:rsidRDefault="00CA234A" w:rsidP="009F251B">
            <w:pPr>
              <w:jc w:val="left"/>
              <w:rPr>
                <w:szCs w:val="21"/>
              </w:rPr>
            </w:pPr>
          </w:p>
        </w:tc>
      </w:tr>
      <w:tr w:rsidR="00E5256F" w:rsidRPr="009F251B" w14:paraId="6485EEBD"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8364B" w14:textId="01B4EEE6" w:rsidR="00E5256F" w:rsidRPr="009F251B" w:rsidRDefault="00E5256F" w:rsidP="009F251B">
            <w:pPr>
              <w:jc w:val="left"/>
              <w:rPr>
                <w:szCs w:val="21"/>
              </w:rPr>
            </w:pPr>
            <w:r w:rsidRPr="009F251B">
              <w:rPr>
                <w:rFonts w:hint="eastAsia"/>
                <w:szCs w:val="21"/>
              </w:rPr>
              <w:t>22</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7C02E" w14:textId="66A24EBA" w:rsidR="00E5256F" w:rsidRPr="009F251B" w:rsidRDefault="00E5256F" w:rsidP="009F251B">
            <w:pPr>
              <w:jc w:val="left"/>
              <w:rPr>
                <w:szCs w:val="21"/>
              </w:rPr>
            </w:pPr>
            <w:r w:rsidRPr="009F251B">
              <w:rPr>
                <w:szCs w:val="21"/>
              </w:rPr>
              <w:t xml:space="preserve">4.4  </w:t>
            </w:r>
            <w:r w:rsidRPr="009F251B">
              <w:rPr>
                <w:rFonts w:hint="eastAsia"/>
                <w:szCs w:val="21"/>
              </w:rPr>
              <w:t>浸取液中三价铁及其它杂质离子浓度控制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44B87" w14:textId="6B17BF32" w:rsidR="00E5256F" w:rsidRPr="009F251B" w:rsidRDefault="00E5256F" w:rsidP="009F251B">
            <w:pPr>
              <w:jc w:val="left"/>
              <w:rPr>
                <w:szCs w:val="21"/>
              </w:rPr>
            </w:pPr>
            <w:r w:rsidRPr="009F251B">
              <w:rPr>
                <w:rFonts w:hint="eastAsia"/>
                <w:szCs w:val="21"/>
              </w:rPr>
              <w:t>“三价铁”修改为“三价铁离子”</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230F8" w14:textId="6AB93FAD" w:rsidR="00E5256F" w:rsidRPr="009F251B" w:rsidRDefault="00E5256F" w:rsidP="009F251B">
            <w:pPr>
              <w:jc w:val="left"/>
              <w:rPr>
                <w:szCs w:val="21"/>
              </w:rPr>
            </w:pPr>
            <w:r w:rsidRPr="009F251B">
              <w:rPr>
                <w:szCs w:val="21"/>
              </w:rPr>
              <w:t>楚雄云星铜材有限公司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D5E8B" w14:textId="5FCCC87B" w:rsidR="00E5256F" w:rsidRPr="009F251B" w:rsidRDefault="00E5256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0BE6B" w14:textId="77777777" w:rsidR="00E5256F" w:rsidRPr="009F251B" w:rsidRDefault="00E5256F" w:rsidP="009F251B">
            <w:pPr>
              <w:jc w:val="left"/>
              <w:rPr>
                <w:szCs w:val="21"/>
              </w:rPr>
            </w:pPr>
          </w:p>
        </w:tc>
      </w:tr>
      <w:tr w:rsidR="00E5256F" w:rsidRPr="009F251B" w14:paraId="79CB061C"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8C9A3" w14:textId="7FDE81FD" w:rsidR="00E5256F" w:rsidRPr="009F251B" w:rsidRDefault="00E5256F" w:rsidP="009F251B">
            <w:pPr>
              <w:jc w:val="left"/>
              <w:rPr>
                <w:szCs w:val="21"/>
              </w:rPr>
            </w:pPr>
            <w:r w:rsidRPr="009F251B">
              <w:rPr>
                <w:rFonts w:hint="eastAsia"/>
                <w:szCs w:val="21"/>
              </w:rPr>
              <w:t>23</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C4C0D" w14:textId="277BED66" w:rsidR="00E5256F" w:rsidRPr="009F251B" w:rsidRDefault="00E5256F" w:rsidP="009F251B">
            <w:pPr>
              <w:jc w:val="left"/>
              <w:rPr>
                <w:szCs w:val="21"/>
              </w:rPr>
            </w:pPr>
            <w:bookmarkStart w:id="12" w:name="_Toc71182033"/>
            <w:r w:rsidRPr="009F251B">
              <w:rPr>
                <w:szCs w:val="21"/>
              </w:rPr>
              <w:t xml:space="preserve">4.4.1  </w:t>
            </w:r>
            <w:r w:rsidRPr="009F251B">
              <w:rPr>
                <w:rFonts w:hint="eastAsia"/>
                <w:szCs w:val="21"/>
              </w:rPr>
              <w:t>三价铁离子浓度控制</w:t>
            </w:r>
            <w:bookmarkEnd w:id="12"/>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E86C2" w14:textId="1893A459" w:rsidR="00E5256F" w:rsidRPr="009F251B" w:rsidRDefault="00E5256F" w:rsidP="009F251B">
            <w:pPr>
              <w:jc w:val="left"/>
              <w:rPr>
                <w:szCs w:val="21"/>
              </w:rPr>
            </w:pPr>
            <w:r w:rsidRPr="009F251B">
              <w:rPr>
                <w:rFonts w:hint="eastAsia"/>
                <w:szCs w:val="21"/>
              </w:rPr>
              <w:t>“当浸取液中的三价铁离子浓度大于</w:t>
            </w:r>
            <w:r w:rsidRPr="009F251B">
              <w:rPr>
                <w:rFonts w:hint="eastAsia"/>
                <w:szCs w:val="21"/>
              </w:rPr>
              <w:t>20g/L</w:t>
            </w:r>
            <w:r w:rsidRPr="009F251B">
              <w:rPr>
                <w:rFonts w:hint="eastAsia"/>
                <w:szCs w:val="21"/>
              </w:rPr>
              <w:t>，应及时除铁，采用的除铁方法应根据现场实际情况和设计方案综合决定。”修改为：“当浸取液中的三价铁离子浓度大于</w:t>
            </w:r>
            <w:r w:rsidRPr="009F251B">
              <w:rPr>
                <w:rFonts w:hint="eastAsia"/>
                <w:szCs w:val="21"/>
              </w:rPr>
              <w:t>20g/L</w:t>
            </w:r>
            <w:r w:rsidRPr="009F251B">
              <w:rPr>
                <w:rFonts w:hint="eastAsia"/>
                <w:szCs w:val="21"/>
              </w:rPr>
              <w:t>时，应及时除铁，采用的除铁方法应根据现场实际情况决定。”</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49A03" w14:textId="793EBCA2" w:rsidR="00E5256F" w:rsidRPr="009F251B" w:rsidRDefault="00E5256F" w:rsidP="009F251B">
            <w:pPr>
              <w:jc w:val="left"/>
              <w:rPr>
                <w:szCs w:val="21"/>
              </w:rPr>
            </w:pPr>
            <w:r w:rsidRPr="009F251B">
              <w:rPr>
                <w:szCs w:val="21"/>
              </w:rPr>
              <w:t>成都贝德铜业有限公司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5679E" w14:textId="0D923482" w:rsidR="00E5256F" w:rsidRPr="009F251B" w:rsidRDefault="00E5256F"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4DC0F" w14:textId="77777777" w:rsidR="00E5256F" w:rsidRPr="009F251B" w:rsidRDefault="00E5256F" w:rsidP="009F251B">
            <w:pPr>
              <w:jc w:val="left"/>
              <w:rPr>
                <w:szCs w:val="21"/>
              </w:rPr>
            </w:pPr>
          </w:p>
        </w:tc>
      </w:tr>
      <w:tr w:rsidR="00E5256F" w:rsidRPr="009F251B" w14:paraId="0754BEFA"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9D473" w14:textId="0F1B4793" w:rsidR="00E5256F" w:rsidRPr="009F251B" w:rsidRDefault="003422AB" w:rsidP="009F251B">
            <w:pPr>
              <w:jc w:val="left"/>
              <w:rPr>
                <w:szCs w:val="21"/>
              </w:rPr>
            </w:pPr>
            <w:r w:rsidRPr="009F251B">
              <w:rPr>
                <w:rFonts w:hint="eastAsia"/>
                <w:szCs w:val="21"/>
              </w:rPr>
              <w:t>24</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8344B" w14:textId="719073A5" w:rsidR="00E5256F" w:rsidRPr="009F251B" w:rsidRDefault="003422AB" w:rsidP="009F251B">
            <w:pPr>
              <w:jc w:val="left"/>
              <w:rPr>
                <w:szCs w:val="21"/>
              </w:rPr>
            </w:pPr>
            <w:r w:rsidRPr="009F251B">
              <w:rPr>
                <w:szCs w:val="21"/>
              </w:rPr>
              <w:t xml:space="preserve">4.4.3  </w:t>
            </w:r>
            <w:r w:rsidRPr="009F251B">
              <w:rPr>
                <w:rFonts w:hint="eastAsia"/>
                <w:szCs w:val="21"/>
              </w:rPr>
              <w:t>有害离子浓度控制</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AE608" w14:textId="4428D8F6" w:rsidR="00E5256F" w:rsidRPr="009F251B" w:rsidRDefault="003422AB" w:rsidP="009F251B">
            <w:pPr>
              <w:jc w:val="left"/>
              <w:rPr>
                <w:szCs w:val="21"/>
              </w:rPr>
            </w:pPr>
            <w:r w:rsidRPr="009F251B">
              <w:rPr>
                <w:rFonts w:hint="eastAsia"/>
                <w:szCs w:val="21"/>
              </w:rPr>
              <w:t>“生物堆浸绿色循环控制过程中，应监测浸取液中汞、镉、铅、铬、砷、锌、钴、镍等有害元素离子的浓度，达到设计限值时需对其进行去除。”</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79101" w14:textId="076442FE" w:rsidR="00E5256F" w:rsidRPr="009F251B" w:rsidRDefault="003422AB" w:rsidP="009F251B">
            <w:pPr>
              <w:jc w:val="left"/>
              <w:rPr>
                <w:szCs w:val="21"/>
              </w:rPr>
            </w:pPr>
            <w:r w:rsidRPr="009F251B">
              <w:rPr>
                <w:szCs w:val="21"/>
              </w:rPr>
              <w:t>江西中核铜业有限公司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2B3DF" w14:textId="1AA9F277" w:rsidR="00E5256F" w:rsidRPr="009F251B" w:rsidRDefault="003422AB"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B4A0E" w14:textId="77777777" w:rsidR="00E5256F" w:rsidRPr="009F251B" w:rsidRDefault="00E5256F" w:rsidP="009F251B">
            <w:pPr>
              <w:jc w:val="left"/>
              <w:rPr>
                <w:szCs w:val="21"/>
              </w:rPr>
            </w:pPr>
          </w:p>
        </w:tc>
      </w:tr>
      <w:tr w:rsidR="002D32BE" w:rsidRPr="009F251B" w14:paraId="4F5E00BB"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53DE5" w14:textId="5482D7E1" w:rsidR="002D32BE" w:rsidRPr="009F251B" w:rsidRDefault="00FF28F6" w:rsidP="009F251B">
            <w:pPr>
              <w:jc w:val="left"/>
              <w:rPr>
                <w:szCs w:val="21"/>
              </w:rPr>
            </w:pPr>
            <w:r w:rsidRPr="009F251B">
              <w:rPr>
                <w:rFonts w:hint="eastAsia"/>
                <w:szCs w:val="21"/>
              </w:rPr>
              <w:t>25</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44AF6" w14:textId="302BE562" w:rsidR="002D32BE" w:rsidRPr="009F251B" w:rsidRDefault="007B1A58" w:rsidP="009F251B">
            <w:pPr>
              <w:jc w:val="left"/>
              <w:rPr>
                <w:szCs w:val="21"/>
              </w:rPr>
            </w:pPr>
            <w:r w:rsidRPr="009F251B">
              <w:rPr>
                <w:szCs w:val="21"/>
              </w:rPr>
              <w:t xml:space="preserve">4.5.1  </w:t>
            </w:r>
            <w:r w:rsidRPr="009F251B">
              <w:rPr>
                <w:rFonts w:hint="eastAsia"/>
                <w:szCs w:val="21"/>
              </w:rPr>
              <w:t>浸出终点的判定</w:t>
            </w: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CB83A" w14:textId="5BA5F6FB" w:rsidR="002D32BE" w:rsidRPr="009F251B" w:rsidRDefault="007B1A58" w:rsidP="009F251B">
            <w:pPr>
              <w:jc w:val="left"/>
              <w:rPr>
                <w:szCs w:val="21"/>
              </w:rPr>
            </w:pPr>
            <w:r w:rsidRPr="009F251B">
              <w:rPr>
                <w:rFonts w:hint="eastAsia"/>
                <w:szCs w:val="21"/>
              </w:rPr>
              <w:t>“不小于</w:t>
            </w:r>
            <w:r w:rsidRPr="009F251B">
              <w:rPr>
                <w:rFonts w:hint="eastAsia"/>
                <w:szCs w:val="21"/>
              </w:rPr>
              <w:t>5%</w:t>
            </w:r>
            <w:r w:rsidRPr="009F251B">
              <w:rPr>
                <w:rFonts w:hint="eastAsia"/>
                <w:szCs w:val="21"/>
              </w:rPr>
              <w:t>时”修改为：“大于</w:t>
            </w:r>
            <w:r w:rsidRPr="009F251B">
              <w:rPr>
                <w:rFonts w:hint="eastAsia"/>
                <w:szCs w:val="21"/>
              </w:rPr>
              <w:t>5%</w:t>
            </w:r>
            <w:r w:rsidRPr="009F251B">
              <w:rPr>
                <w:rFonts w:hint="eastAsia"/>
                <w:szCs w:val="21"/>
              </w:rPr>
              <w:t>时”</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46263" w14:textId="3D2ADBF4" w:rsidR="002D32BE" w:rsidRPr="009F251B" w:rsidRDefault="007B1A58" w:rsidP="009F251B">
            <w:pPr>
              <w:jc w:val="left"/>
              <w:rPr>
                <w:szCs w:val="21"/>
              </w:rPr>
            </w:pPr>
            <w:r w:rsidRPr="009F251B">
              <w:rPr>
                <w:szCs w:val="21"/>
              </w:rPr>
              <w:t>贵溪骏达特种铜材有限公司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F3738" w14:textId="46B677A4" w:rsidR="002D32BE" w:rsidRPr="009F251B" w:rsidRDefault="007B1A58"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65595" w14:textId="77777777" w:rsidR="002D32BE" w:rsidRPr="009F251B" w:rsidRDefault="002D32BE" w:rsidP="009F251B">
            <w:pPr>
              <w:jc w:val="left"/>
              <w:rPr>
                <w:szCs w:val="21"/>
              </w:rPr>
            </w:pPr>
          </w:p>
        </w:tc>
      </w:tr>
      <w:tr w:rsidR="001C6C01" w:rsidRPr="009F251B" w14:paraId="3BDC62AC"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CCC1D" w14:textId="3F184D05" w:rsidR="001C6C01" w:rsidRPr="009F251B" w:rsidRDefault="001C6C01" w:rsidP="009F251B">
            <w:pPr>
              <w:jc w:val="left"/>
              <w:rPr>
                <w:szCs w:val="21"/>
              </w:rPr>
            </w:pPr>
            <w:r w:rsidRPr="009F251B">
              <w:rPr>
                <w:rFonts w:hint="eastAsia"/>
                <w:szCs w:val="21"/>
              </w:rPr>
              <w:t>26</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F4469" w14:textId="67C50DBD" w:rsidR="001C6C01" w:rsidRPr="009F251B" w:rsidRDefault="001C6C01" w:rsidP="009F251B">
            <w:pPr>
              <w:jc w:val="left"/>
              <w:rPr>
                <w:szCs w:val="21"/>
              </w:rPr>
            </w:pPr>
            <w:bookmarkStart w:id="13" w:name="_Toc71182037"/>
            <w:r w:rsidRPr="009F251B">
              <w:rPr>
                <w:szCs w:val="21"/>
              </w:rPr>
              <w:t xml:space="preserve">4.5.2  </w:t>
            </w:r>
            <w:r w:rsidRPr="009F251B">
              <w:rPr>
                <w:rFonts w:hint="eastAsia"/>
                <w:szCs w:val="21"/>
              </w:rPr>
              <w:t>洗堆</w:t>
            </w:r>
            <w:bookmarkEnd w:id="13"/>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04735" w14:textId="48BEEAC4" w:rsidR="001C6C01" w:rsidRPr="009F251B" w:rsidRDefault="001C6C01" w:rsidP="009F251B">
            <w:pPr>
              <w:jc w:val="left"/>
              <w:rPr>
                <w:szCs w:val="21"/>
              </w:rPr>
            </w:pPr>
            <w:r w:rsidRPr="009F251B">
              <w:rPr>
                <w:rFonts w:hint="eastAsia"/>
                <w:szCs w:val="21"/>
              </w:rPr>
              <w:t>“参照</w:t>
            </w:r>
            <w:r w:rsidRPr="009F251B">
              <w:rPr>
                <w:rFonts w:hint="eastAsia"/>
                <w:szCs w:val="21"/>
              </w:rPr>
              <w:t>HJ/T 298</w:t>
            </w:r>
            <w:r w:rsidRPr="009F251B">
              <w:rPr>
                <w:rFonts w:hint="eastAsia"/>
                <w:szCs w:val="21"/>
              </w:rPr>
              <w:t>及</w:t>
            </w:r>
            <w:r w:rsidRPr="009F251B">
              <w:rPr>
                <w:rFonts w:hint="eastAsia"/>
                <w:szCs w:val="21"/>
              </w:rPr>
              <w:t>HJ/T 299</w:t>
            </w:r>
            <w:r w:rsidRPr="009F251B">
              <w:rPr>
                <w:rFonts w:hint="eastAsia"/>
                <w:szCs w:val="21"/>
              </w:rPr>
              <w:t>”修改为：“参照</w:t>
            </w:r>
            <w:r w:rsidRPr="009F251B">
              <w:rPr>
                <w:rFonts w:hint="eastAsia"/>
                <w:szCs w:val="21"/>
              </w:rPr>
              <w:t>HJ/T 298</w:t>
            </w:r>
            <w:r w:rsidRPr="009F251B">
              <w:rPr>
                <w:rFonts w:hint="eastAsia"/>
                <w:szCs w:val="21"/>
              </w:rPr>
              <w:t>及</w:t>
            </w:r>
            <w:r w:rsidRPr="009F251B">
              <w:rPr>
                <w:rFonts w:hint="eastAsia"/>
                <w:szCs w:val="21"/>
              </w:rPr>
              <w:t>HJ/T 299</w:t>
            </w:r>
            <w:r w:rsidRPr="009F251B">
              <w:rPr>
                <w:rFonts w:hint="eastAsia"/>
                <w:szCs w:val="21"/>
              </w:rPr>
              <w:t>的相关规定”</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8BF01" w14:textId="211F71A9" w:rsidR="001C6C01" w:rsidRPr="009F251B" w:rsidRDefault="001C6C01" w:rsidP="009F251B">
            <w:pPr>
              <w:jc w:val="left"/>
              <w:rPr>
                <w:szCs w:val="21"/>
              </w:rPr>
            </w:pPr>
            <w:r w:rsidRPr="009F251B">
              <w:rPr>
                <w:szCs w:val="21"/>
              </w:rPr>
              <w:t>黄山飞宇铜业有限公司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461DB" w14:textId="40E2CACF" w:rsidR="001C6C01" w:rsidRPr="009F251B" w:rsidRDefault="001C6C01"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AD5E4" w14:textId="77777777" w:rsidR="001C6C01" w:rsidRPr="009F251B" w:rsidRDefault="001C6C01" w:rsidP="009F251B">
            <w:pPr>
              <w:jc w:val="left"/>
              <w:rPr>
                <w:szCs w:val="21"/>
              </w:rPr>
            </w:pPr>
          </w:p>
        </w:tc>
      </w:tr>
      <w:tr w:rsidR="001C6C01" w:rsidRPr="009F251B" w14:paraId="3777B373"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7B96B" w14:textId="243D0977" w:rsidR="001C6C01" w:rsidRPr="009F251B" w:rsidRDefault="00AA60AA" w:rsidP="009F251B">
            <w:pPr>
              <w:jc w:val="left"/>
              <w:rPr>
                <w:szCs w:val="21"/>
              </w:rPr>
            </w:pPr>
            <w:r w:rsidRPr="009F251B">
              <w:rPr>
                <w:rFonts w:hint="eastAsia"/>
                <w:szCs w:val="21"/>
              </w:rPr>
              <w:t>27</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1189B" w14:textId="3B5F6D04" w:rsidR="001C6C01" w:rsidRPr="009F251B" w:rsidRDefault="00AA60AA" w:rsidP="009F251B">
            <w:pPr>
              <w:jc w:val="left"/>
              <w:rPr>
                <w:szCs w:val="21"/>
              </w:rPr>
            </w:pPr>
            <w:bookmarkStart w:id="14" w:name="_Toc71182046"/>
            <w:r w:rsidRPr="009F251B">
              <w:rPr>
                <w:szCs w:val="21"/>
              </w:rPr>
              <w:t xml:space="preserve">5.3.2  </w:t>
            </w:r>
            <w:r w:rsidRPr="009F251B">
              <w:rPr>
                <w:rFonts w:hint="eastAsia"/>
                <w:szCs w:val="21"/>
              </w:rPr>
              <w:t>浸渣样品内微生物的计数</w:t>
            </w:r>
            <w:bookmarkEnd w:id="14"/>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F13C" w14:textId="226ED3DE" w:rsidR="001C6C01" w:rsidRPr="009F251B" w:rsidRDefault="00AA60AA" w:rsidP="009F251B">
            <w:pPr>
              <w:jc w:val="left"/>
              <w:rPr>
                <w:szCs w:val="21"/>
              </w:rPr>
            </w:pPr>
            <w:r w:rsidRPr="009F251B">
              <w:rPr>
                <w:rFonts w:hint="eastAsia"/>
                <w:szCs w:val="21"/>
              </w:rPr>
              <w:t>（</w:t>
            </w:r>
            <w:r w:rsidRPr="009F251B">
              <w:rPr>
                <w:rFonts w:hint="eastAsia"/>
                <w:szCs w:val="21"/>
              </w:rPr>
              <w:t>1</w:t>
            </w:r>
            <w:r w:rsidRPr="009F251B">
              <w:rPr>
                <w:rFonts w:hint="eastAsia"/>
                <w:szCs w:val="21"/>
              </w:rPr>
              <w:t>）“采用血细胞计数法进行微生物技术”修改为：“采用血细胞计数法进行微生物计数”；（</w:t>
            </w:r>
            <w:r w:rsidRPr="009F251B">
              <w:rPr>
                <w:rFonts w:hint="eastAsia"/>
                <w:szCs w:val="21"/>
              </w:rPr>
              <w:t>2</w:t>
            </w:r>
            <w:r w:rsidRPr="009F251B">
              <w:rPr>
                <w:rFonts w:hint="eastAsia"/>
                <w:szCs w:val="21"/>
              </w:rPr>
              <w:t>）</w:t>
            </w:r>
            <w:r w:rsidR="00742CB1" w:rsidRPr="009F251B">
              <w:rPr>
                <w:rFonts w:hint="eastAsia"/>
                <w:szCs w:val="21"/>
              </w:rPr>
              <w:t>全文：</w:t>
            </w:r>
            <w:r w:rsidRPr="009F251B">
              <w:rPr>
                <w:rFonts w:hint="eastAsia"/>
                <w:szCs w:val="21"/>
              </w:rPr>
              <w:t>使用公式编辑器编辑计算公式；（</w:t>
            </w:r>
            <w:r w:rsidRPr="009F251B">
              <w:rPr>
                <w:rFonts w:hint="eastAsia"/>
                <w:szCs w:val="21"/>
              </w:rPr>
              <w:t>3</w:t>
            </w:r>
            <w:r w:rsidRPr="009F251B">
              <w:rPr>
                <w:rFonts w:hint="eastAsia"/>
                <w:szCs w:val="21"/>
              </w:rPr>
              <w:t>）全文</w:t>
            </w:r>
            <w:r w:rsidR="00742CB1" w:rsidRPr="009F251B">
              <w:rPr>
                <w:rFonts w:hint="eastAsia"/>
                <w:szCs w:val="21"/>
              </w:rPr>
              <w:t>：</w:t>
            </w:r>
            <w:r w:rsidRPr="009F251B">
              <w:rPr>
                <w:rFonts w:hint="eastAsia"/>
                <w:szCs w:val="21"/>
              </w:rPr>
              <w:t>“个</w:t>
            </w:r>
            <w:r w:rsidRPr="009F251B">
              <w:rPr>
                <w:rFonts w:hint="eastAsia"/>
                <w:szCs w:val="21"/>
              </w:rPr>
              <w:t>/</w:t>
            </w:r>
            <w:r w:rsidRPr="009F251B">
              <w:rPr>
                <w:szCs w:val="21"/>
              </w:rPr>
              <w:t>g</w:t>
            </w:r>
            <w:r w:rsidRPr="009F251B">
              <w:rPr>
                <w:rFonts w:hint="eastAsia"/>
                <w:szCs w:val="21"/>
              </w:rPr>
              <w:t>矿”修改为：“</w:t>
            </w:r>
            <w:r w:rsidRPr="009F251B">
              <w:rPr>
                <w:szCs w:val="21"/>
              </w:rPr>
              <w:t>单位为</w:t>
            </w:r>
            <w:r w:rsidRPr="009F251B">
              <w:rPr>
                <w:rFonts w:hint="eastAsia"/>
                <w:szCs w:val="21"/>
              </w:rPr>
              <w:t>个</w:t>
            </w:r>
            <w:r w:rsidRPr="009F251B">
              <w:rPr>
                <w:rFonts w:hint="eastAsia"/>
                <w:szCs w:val="21"/>
              </w:rPr>
              <w:t>/</w:t>
            </w:r>
            <w:r w:rsidRPr="009F251B">
              <w:rPr>
                <w:szCs w:val="21"/>
              </w:rPr>
              <w:t>g</w:t>
            </w:r>
            <w:r w:rsidRPr="009F251B">
              <w:rPr>
                <w:rFonts w:hint="eastAsia"/>
                <w:szCs w:val="21"/>
              </w:rPr>
              <w:t>(</w:t>
            </w:r>
            <w:r w:rsidRPr="009F251B">
              <w:rPr>
                <w:rFonts w:hint="eastAsia"/>
                <w:szCs w:val="21"/>
              </w:rPr>
              <w:t>矿</w:t>
            </w:r>
            <w:r w:rsidRPr="009F251B">
              <w:rPr>
                <w:rFonts w:hint="eastAsia"/>
                <w:szCs w:val="21"/>
              </w:rPr>
              <w:t>)</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87F75" w14:textId="52981657" w:rsidR="001C6C01" w:rsidRPr="009F251B" w:rsidRDefault="002B4B34" w:rsidP="009F251B">
            <w:pPr>
              <w:jc w:val="left"/>
              <w:rPr>
                <w:szCs w:val="21"/>
              </w:rPr>
            </w:pPr>
            <w:r w:rsidRPr="009F251B">
              <w:rPr>
                <w:szCs w:val="21"/>
              </w:rPr>
              <w:t>云南铜业压铸科技有限公司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A496" w14:textId="0A050639" w:rsidR="001C6C01" w:rsidRPr="009F251B" w:rsidRDefault="002B4B34"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CFCB6" w14:textId="77777777" w:rsidR="001C6C01" w:rsidRPr="009F251B" w:rsidRDefault="001C6C01" w:rsidP="009F251B">
            <w:pPr>
              <w:jc w:val="left"/>
              <w:rPr>
                <w:szCs w:val="21"/>
              </w:rPr>
            </w:pPr>
          </w:p>
        </w:tc>
      </w:tr>
      <w:tr w:rsidR="002B4B34" w:rsidRPr="009F251B" w14:paraId="7F8941CA"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7549F" w14:textId="5E4A55AF" w:rsidR="002B4B34" w:rsidRPr="009F251B" w:rsidRDefault="002B4B34" w:rsidP="009F251B">
            <w:pPr>
              <w:jc w:val="left"/>
              <w:rPr>
                <w:szCs w:val="21"/>
              </w:rPr>
            </w:pPr>
            <w:r w:rsidRPr="009F251B">
              <w:rPr>
                <w:rFonts w:hint="eastAsia"/>
                <w:szCs w:val="21"/>
              </w:rPr>
              <w:t>28</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627F0" w14:textId="2B3D67CF" w:rsidR="002B4B34" w:rsidRPr="009F251B" w:rsidRDefault="002B4B34" w:rsidP="009F251B">
            <w:pPr>
              <w:jc w:val="left"/>
              <w:rPr>
                <w:szCs w:val="21"/>
              </w:rPr>
            </w:pPr>
            <w:bookmarkStart w:id="15" w:name="_Toc71182047"/>
            <w:r w:rsidRPr="009F251B">
              <w:rPr>
                <w:szCs w:val="21"/>
              </w:rPr>
              <w:t xml:space="preserve">5.4  </w:t>
            </w:r>
            <w:r w:rsidRPr="009F251B">
              <w:rPr>
                <w:rFonts w:hint="eastAsia"/>
                <w:szCs w:val="21"/>
              </w:rPr>
              <w:t>样品检测和分析</w:t>
            </w:r>
            <w:bookmarkEnd w:id="15"/>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6E34D" w14:textId="308481C3" w:rsidR="002B4B34" w:rsidRPr="009F251B" w:rsidRDefault="002B4B34" w:rsidP="009F251B">
            <w:pPr>
              <w:jc w:val="left"/>
              <w:rPr>
                <w:szCs w:val="21"/>
              </w:rPr>
            </w:pPr>
            <w:r w:rsidRPr="009F251B">
              <w:rPr>
                <w:rFonts w:hint="eastAsia"/>
                <w:szCs w:val="21"/>
              </w:rPr>
              <w:t>“样品的检测分析方法按表</w:t>
            </w:r>
            <w:r w:rsidRPr="009F251B">
              <w:rPr>
                <w:rFonts w:hint="eastAsia"/>
                <w:szCs w:val="21"/>
              </w:rPr>
              <w:t>1</w:t>
            </w:r>
            <w:r w:rsidRPr="009F251B">
              <w:rPr>
                <w:rFonts w:hint="eastAsia"/>
                <w:szCs w:val="21"/>
              </w:rPr>
              <w:t>或国家认定的替代方法、等效方法执行。”修改为：“样品的检测分析方法见表</w:t>
            </w:r>
            <w:r w:rsidRPr="009F251B">
              <w:rPr>
                <w:rFonts w:hint="eastAsia"/>
                <w:szCs w:val="21"/>
              </w:rPr>
              <w:t>1</w:t>
            </w:r>
            <w:r w:rsidRPr="009F251B">
              <w:rPr>
                <w:szCs w:val="21"/>
              </w:rPr>
              <w:t xml:space="preserve"> </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AD4E5" w14:textId="5DAD4E12" w:rsidR="002B4B34" w:rsidRPr="009F251B" w:rsidRDefault="002B4B34" w:rsidP="009F251B">
            <w:pPr>
              <w:jc w:val="left"/>
              <w:rPr>
                <w:szCs w:val="21"/>
              </w:rPr>
            </w:pPr>
            <w:r w:rsidRPr="009F251B">
              <w:rPr>
                <w:szCs w:val="21"/>
              </w:rPr>
              <w:t>天津瑞林异型铜排电气有限公司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61973" w14:textId="13AC81E7" w:rsidR="002B4B34" w:rsidRPr="009F251B" w:rsidRDefault="002B4B34" w:rsidP="009F251B">
            <w:pPr>
              <w:jc w:val="left"/>
              <w:rPr>
                <w:szCs w:val="21"/>
              </w:rPr>
            </w:pPr>
            <w:r w:rsidRPr="009F251B">
              <w:rPr>
                <w:rFonts w:hint="eastAsia"/>
                <w:szCs w:val="21"/>
              </w:rPr>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B3CD2" w14:textId="77777777" w:rsidR="002B4B34" w:rsidRPr="009F251B" w:rsidRDefault="002B4B34" w:rsidP="009F251B">
            <w:pPr>
              <w:jc w:val="left"/>
              <w:rPr>
                <w:szCs w:val="21"/>
              </w:rPr>
            </w:pPr>
          </w:p>
        </w:tc>
      </w:tr>
      <w:tr w:rsidR="00560412" w:rsidRPr="009F251B" w14:paraId="595BA1F1" w14:textId="77777777" w:rsidTr="00BB7677">
        <w:trPr>
          <w:trHeight w:val="42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DDDEC" w14:textId="16E64EB6" w:rsidR="00560412" w:rsidRPr="009F251B" w:rsidRDefault="00742CB1" w:rsidP="009F251B">
            <w:pPr>
              <w:jc w:val="left"/>
              <w:rPr>
                <w:szCs w:val="21"/>
              </w:rPr>
            </w:pPr>
            <w:r w:rsidRPr="009F251B">
              <w:rPr>
                <w:rFonts w:hint="eastAsia"/>
                <w:szCs w:val="21"/>
              </w:rPr>
              <w:t>29</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850E9" w14:textId="77777777" w:rsidR="00742CB1" w:rsidRPr="009F251B" w:rsidRDefault="00742CB1" w:rsidP="009F251B">
            <w:pPr>
              <w:jc w:val="left"/>
              <w:rPr>
                <w:szCs w:val="21"/>
              </w:rPr>
            </w:pPr>
            <w:bookmarkStart w:id="16" w:name="_Toc71182049"/>
            <w:r w:rsidRPr="009F251B">
              <w:rPr>
                <w:szCs w:val="21"/>
              </w:rPr>
              <w:t>6.1</w:t>
            </w:r>
            <w:r w:rsidRPr="009F251B">
              <w:rPr>
                <w:rFonts w:hint="eastAsia"/>
                <w:szCs w:val="21"/>
              </w:rPr>
              <w:t xml:space="preserve">　原矿品位</w:t>
            </w:r>
            <w:bookmarkEnd w:id="16"/>
          </w:p>
          <w:p w14:paraId="6D478F2F" w14:textId="3F50AB5F" w:rsidR="00560412" w:rsidRPr="009F251B" w:rsidRDefault="00742CB1" w:rsidP="009F251B">
            <w:pPr>
              <w:jc w:val="left"/>
              <w:rPr>
                <w:szCs w:val="21"/>
              </w:rPr>
            </w:pPr>
            <w:bookmarkStart w:id="17" w:name="_Toc71182050"/>
            <w:r w:rsidRPr="009F251B">
              <w:rPr>
                <w:szCs w:val="21"/>
              </w:rPr>
              <w:lastRenderedPageBreak/>
              <w:t>6.2</w:t>
            </w:r>
            <w:r w:rsidRPr="009F251B">
              <w:rPr>
                <w:rFonts w:hint="eastAsia"/>
                <w:szCs w:val="21"/>
              </w:rPr>
              <w:t xml:space="preserve">　浸渣品位</w:t>
            </w:r>
            <w:bookmarkEnd w:id="17"/>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CDFDA" w14:textId="5F75E68B" w:rsidR="00560412" w:rsidRPr="009F251B" w:rsidRDefault="00742CB1" w:rsidP="009F251B">
            <w:pPr>
              <w:jc w:val="left"/>
              <w:rPr>
                <w:szCs w:val="21"/>
              </w:rPr>
            </w:pPr>
            <w:r w:rsidRPr="009F251B">
              <w:rPr>
                <w:szCs w:val="21"/>
              </w:rPr>
              <w:lastRenderedPageBreak/>
              <w:t>原矿加权平均品位</w:t>
            </w:r>
            <w:r w:rsidRPr="009F251B">
              <w:rPr>
                <w:rFonts w:hint="eastAsia"/>
                <w:szCs w:val="21"/>
              </w:rPr>
              <w:t>，</w:t>
            </w:r>
            <w:r w:rsidRPr="009F251B">
              <w:rPr>
                <w:szCs w:val="21"/>
              </w:rPr>
              <w:t>每批筑堆原矿含铜品位</w:t>
            </w:r>
            <w:r w:rsidRPr="009F251B">
              <w:rPr>
                <w:rFonts w:hint="eastAsia"/>
                <w:szCs w:val="21"/>
              </w:rPr>
              <w:t>，浸渣</w:t>
            </w:r>
            <w:r w:rsidRPr="009F251B">
              <w:rPr>
                <w:szCs w:val="21"/>
              </w:rPr>
              <w:t>加权平均品位</w:t>
            </w:r>
            <w:r w:rsidRPr="009F251B">
              <w:rPr>
                <w:rFonts w:hint="eastAsia"/>
                <w:szCs w:val="21"/>
              </w:rPr>
              <w:t>，</w:t>
            </w:r>
            <w:r w:rsidRPr="009F251B">
              <w:rPr>
                <w:szCs w:val="21"/>
              </w:rPr>
              <w:t>每批</w:t>
            </w:r>
            <w:r w:rsidRPr="009F251B">
              <w:rPr>
                <w:szCs w:val="21"/>
              </w:rPr>
              <w:lastRenderedPageBreak/>
              <w:t>筑堆原矿含铜品位</w:t>
            </w:r>
            <w:r w:rsidRPr="009F251B">
              <w:rPr>
                <w:rFonts w:hint="eastAsia"/>
                <w:szCs w:val="21"/>
              </w:rPr>
              <w:t>：单位均应为：质量分数（</w:t>
            </w:r>
            <w:r w:rsidRPr="009F251B">
              <w:rPr>
                <w:rFonts w:hint="eastAsia"/>
                <w:szCs w:val="21"/>
              </w:rPr>
              <w:t>%</w:t>
            </w:r>
            <w:r w:rsidRPr="009F251B">
              <w:rPr>
                <w:rFonts w:hint="eastAsia"/>
                <w:szCs w:val="21"/>
              </w:rPr>
              <w:t>）</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4B00C" w14:textId="33B6C375" w:rsidR="00560412" w:rsidRPr="009F251B" w:rsidRDefault="00742CB1" w:rsidP="009F251B">
            <w:pPr>
              <w:jc w:val="left"/>
              <w:rPr>
                <w:szCs w:val="21"/>
              </w:rPr>
            </w:pPr>
            <w:r w:rsidRPr="009F251B">
              <w:rPr>
                <w:szCs w:val="21"/>
              </w:rPr>
              <w:lastRenderedPageBreak/>
              <w:t>江苏金奕达铜业股份有限公</w:t>
            </w:r>
            <w:r w:rsidRPr="009F251B">
              <w:rPr>
                <w:szCs w:val="21"/>
              </w:rPr>
              <w:lastRenderedPageBreak/>
              <w:t>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28DF5" w14:textId="02CF7E73" w:rsidR="00560412" w:rsidRPr="009F251B" w:rsidRDefault="00742CB1" w:rsidP="009F251B">
            <w:pPr>
              <w:jc w:val="left"/>
              <w:rPr>
                <w:szCs w:val="21"/>
              </w:rPr>
            </w:pPr>
            <w:r w:rsidRPr="009F251B">
              <w:rPr>
                <w:rFonts w:hint="eastAsia"/>
                <w:szCs w:val="21"/>
              </w:rPr>
              <w:lastRenderedPageBreak/>
              <w:t>采纳</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CC26D" w14:textId="77777777" w:rsidR="00560412" w:rsidRPr="009F251B" w:rsidRDefault="00560412" w:rsidP="009F251B">
            <w:pPr>
              <w:jc w:val="left"/>
              <w:rPr>
                <w:szCs w:val="21"/>
              </w:rPr>
            </w:pPr>
          </w:p>
        </w:tc>
      </w:tr>
      <w:tr w:rsidR="001C6C01" w:rsidRPr="009F251B" w14:paraId="531EDC5E" w14:textId="77777777" w:rsidTr="00BB7677">
        <w:trPr>
          <w:trHeight w:val="38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BAB74" w14:textId="0F1A889F" w:rsidR="001C6C01" w:rsidRPr="009F251B" w:rsidRDefault="009F251B" w:rsidP="009F251B">
            <w:pPr>
              <w:jc w:val="left"/>
              <w:rPr>
                <w:szCs w:val="21"/>
              </w:rPr>
            </w:pPr>
            <w:r w:rsidRPr="009F251B">
              <w:rPr>
                <w:rFonts w:hint="eastAsia"/>
                <w:szCs w:val="21"/>
              </w:rPr>
              <w:t>3</w:t>
            </w:r>
            <w:r w:rsidR="00E174D5">
              <w:rPr>
                <w:rFonts w:hint="eastAsia"/>
                <w:szCs w:val="21"/>
              </w:rPr>
              <w:t>0</w:t>
            </w:r>
          </w:p>
        </w:tc>
        <w:tc>
          <w:tcPr>
            <w:tcW w:w="1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D7CA0" w14:textId="77777777" w:rsidR="001C6C01" w:rsidRPr="009F251B" w:rsidRDefault="001C6C01" w:rsidP="009F251B">
            <w:pPr>
              <w:jc w:val="left"/>
              <w:rPr>
                <w:szCs w:val="21"/>
              </w:rPr>
            </w:pPr>
          </w:p>
        </w:tc>
        <w:tc>
          <w:tcPr>
            <w:tcW w:w="6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2C6C9" w14:textId="271C56D8" w:rsidR="001C6C01" w:rsidRPr="009F251B" w:rsidRDefault="001C6C01" w:rsidP="009F251B">
            <w:pPr>
              <w:jc w:val="left"/>
              <w:rPr>
                <w:szCs w:val="21"/>
              </w:rPr>
            </w:pPr>
            <w:r w:rsidRPr="009F251B">
              <w:rPr>
                <w:rFonts w:hint="eastAsia"/>
                <w:szCs w:val="21"/>
              </w:rPr>
              <w:t>无意见</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103DB" w14:textId="534523B8" w:rsidR="001C6C01" w:rsidRPr="009F251B" w:rsidRDefault="001C6C01" w:rsidP="009F251B">
            <w:pPr>
              <w:jc w:val="left"/>
              <w:rPr>
                <w:szCs w:val="21"/>
              </w:rPr>
            </w:pPr>
            <w:r w:rsidRPr="009F251B">
              <w:rPr>
                <w:szCs w:val="21"/>
              </w:rPr>
              <w:t>北京金鹰铜业有限责任公司</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DC58C" w14:textId="77777777" w:rsidR="001C6C01" w:rsidRPr="009F251B" w:rsidRDefault="001C6C01" w:rsidP="009F251B">
            <w:pPr>
              <w:jc w:val="left"/>
              <w:rPr>
                <w:szCs w:val="21"/>
              </w:rPr>
            </w:pP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04F4C" w14:textId="77777777" w:rsidR="001C6C01" w:rsidRPr="009F251B" w:rsidRDefault="001C6C01" w:rsidP="009F251B">
            <w:pPr>
              <w:jc w:val="left"/>
              <w:rPr>
                <w:szCs w:val="21"/>
              </w:rPr>
            </w:pPr>
          </w:p>
        </w:tc>
      </w:tr>
    </w:tbl>
    <w:p w14:paraId="69A3F635" w14:textId="572AE6FC" w:rsidR="00F02D23" w:rsidRPr="00CE17DF" w:rsidRDefault="008156B3" w:rsidP="009F251B">
      <w:pPr>
        <w:jc w:val="left"/>
        <w:rPr>
          <w:rFonts w:ascii="宋体" w:hAnsi="宋体"/>
          <w:bCs/>
          <w:szCs w:val="21"/>
        </w:rPr>
      </w:pPr>
      <w:r w:rsidRPr="009F251B">
        <w:rPr>
          <w:rFonts w:hint="eastAsia"/>
          <w:szCs w:val="21"/>
        </w:rPr>
        <w:t>说明</w:t>
      </w:r>
      <w:r w:rsidRPr="009F251B">
        <w:rPr>
          <w:szCs w:val="21"/>
        </w:rPr>
        <w:t>:</w:t>
      </w:r>
      <w:r w:rsidR="00CE17DF">
        <w:rPr>
          <w:szCs w:val="21"/>
        </w:rPr>
        <w:t xml:space="preserve"> </w:t>
      </w:r>
      <w:r w:rsidR="00CE17DF">
        <w:rPr>
          <w:rFonts w:ascii="宋体" w:hAnsi="宋体"/>
          <w:bCs/>
          <w:szCs w:val="21"/>
        </w:rPr>
        <w:t>(</w:t>
      </w:r>
      <w:r w:rsidRPr="00CE17DF">
        <w:rPr>
          <w:rFonts w:ascii="宋体" w:hAnsi="宋体"/>
          <w:bCs/>
          <w:szCs w:val="21"/>
        </w:rPr>
        <w:t>1</w:t>
      </w:r>
      <w:r w:rsidR="00CE17DF">
        <w:rPr>
          <w:rFonts w:ascii="宋体" w:hAnsi="宋体" w:hint="eastAsia"/>
          <w:bCs/>
          <w:szCs w:val="21"/>
        </w:rPr>
        <w:t>)</w:t>
      </w:r>
      <w:r w:rsidRPr="00CE17DF">
        <w:rPr>
          <w:rFonts w:ascii="宋体" w:hAnsi="宋体" w:hint="eastAsia"/>
          <w:bCs/>
          <w:szCs w:val="21"/>
        </w:rPr>
        <w:t>发送</w:t>
      </w:r>
      <w:r w:rsidRPr="00CE17DF">
        <w:rPr>
          <w:rFonts w:ascii="宋体" w:hAnsi="宋体"/>
          <w:bCs/>
          <w:szCs w:val="21"/>
        </w:rPr>
        <w:t>&lt;</w:t>
      </w:r>
      <w:r w:rsidRPr="00CE17DF">
        <w:rPr>
          <w:rFonts w:ascii="宋体" w:hAnsi="宋体" w:hint="eastAsia"/>
          <w:bCs/>
          <w:szCs w:val="21"/>
        </w:rPr>
        <w:t>征求意见稿</w:t>
      </w:r>
      <w:r w:rsidRPr="00CE17DF">
        <w:rPr>
          <w:rFonts w:ascii="宋体" w:hAnsi="宋体"/>
          <w:bCs/>
          <w:szCs w:val="21"/>
        </w:rPr>
        <w:t>&gt;</w:t>
      </w:r>
      <w:r w:rsidRPr="00CE17DF">
        <w:rPr>
          <w:rFonts w:ascii="宋体" w:hAnsi="宋体" w:hint="eastAsia"/>
          <w:bCs/>
          <w:szCs w:val="21"/>
        </w:rPr>
        <w:t>的单位个数</w:t>
      </w:r>
      <w:r w:rsidRPr="00CE17DF">
        <w:rPr>
          <w:rFonts w:ascii="宋体" w:hAnsi="宋体"/>
          <w:bCs/>
          <w:szCs w:val="21"/>
        </w:rPr>
        <w:t xml:space="preserve">:  </w:t>
      </w:r>
      <w:r w:rsidR="00E174D5" w:rsidRPr="00CE17DF">
        <w:rPr>
          <w:rFonts w:ascii="宋体" w:hAnsi="宋体" w:hint="eastAsia"/>
          <w:bCs/>
          <w:szCs w:val="21"/>
        </w:rPr>
        <w:t>30</w:t>
      </w:r>
      <w:r w:rsidRPr="00CE17DF">
        <w:rPr>
          <w:rFonts w:ascii="宋体" w:hAnsi="宋体" w:hint="eastAsia"/>
          <w:bCs/>
          <w:szCs w:val="21"/>
        </w:rPr>
        <w:t>个</w:t>
      </w:r>
    </w:p>
    <w:p w14:paraId="522951DA" w14:textId="7A8B0CCA" w:rsidR="00F02D23" w:rsidRPr="00BB7677" w:rsidRDefault="008156B3">
      <w:pPr>
        <w:rPr>
          <w:rFonts w:ascii="宋体" w:hAnsi="宋体"/>
          <w:bCs/>
          <w:szCs w:val="21"/>
        </w:rPr>
      </w:pPr>
      <w:r w:rsidRPr="00BB7677">
        <w:rPr>
          <w:rFonts w:ascii="宋体" w:hAnsi="宋体"/>
          <w:bCs/>
          <w:szCs w:val="21"/>
        </w:rPr>
        <w:tab/>
      </w:r>
      <w:r w:rsidR="00BB7677">
        <w:rPr>
          <w:rFonts w:ascii="宋体" w:hAnsi="宋体"/>
          <w:bCs/>
          <w:szCs w:val="21"/>
        </w:rPr>
        <w:t xml:space="preserve"> </w:t>
      </w:r>
      <w:r w:rsidRPr="00BB7677">
        <w:rPr>
          <w:rFonts w:ascii="宋体" w:hAnsi="宋体"/>
          <w:bCs/>
          <w:szCs w:val="21"/>
        </w:rPr>
        <w:t>(2)</w:t>
      </w:r>
      <w:r w:rsidRPr="00BB7677">
        <w:rPr>
          <w:rFonts w:ascii="宋体" w:hAnsi="宋体" w:hint="eastAsia"/>
          <w:bCs/>
          <w:szCs w:val="21"/>
        </w:rPr>
        <w:t>收到</w:t>
      </w:r>
      <w:r w:rsidRPr="00BB7677">
        <w:rPr>
          <w:rFonts w:ascii="宋体" w:hAnsi="宋体"/>
          <w:bCs/>
          <w:szCs w:val="21"/>
        </w:rPr>
        <w:t>&lt;</w:t>
      </w:r>
      <w:r w:rsidRPr="00BB7677">
        <w:rPr>
          <w:rFonts w:ascii="宋体" w:hAnsi="宋体" w:hint="eastAsia"/>
          <w:bCs/>
          <w:szCs w:val="21"/>
        </w:rPr>
        <w:t>征求意见稿</w:t>
      </w:r>
      <w:r w:rsidRPr="00BB7677">
        <w:rPr>
          <w:rFonts w:ascii="宋体" w:hAnsi="宋体"/>
          <w:bCs/>
          <w:szCs w:val="21"/>
        </w:rPr>
        <w:t>&gt;</w:t>
      </w:r>
      <w:r w:rsidRPr="00BB7677">
        <w:rPr>
          <w:rFonts w:ascii="宋体" w:hAnsi="宋体" w:hint="eastAsia"/>
          <w:bCs/>
          <w:szCs w:val="21"/>
        </w:rPr>
        <w:t>后</w:t>
      </w:r>
      <w:r w:rsidRPr="00BB7677">
        <w:rPr>
          <w:rFonts w:ascii="宋体" w:hAnsi="宋体"/>
          <w:bCs/>
          <w:szCs w:val="21"/>
        </w:rPr>
        <w:t>,</w:t>
      </w:r>
      <w:r w:rsidRPr="00BB7677">
        <w:rPr>
          <w:rFonts w:ascii="宋体" w:hAnsi="宋体" w:hint="eastAsia"/>
          <w:bCs/>
          <w:szCs w:val="21"/>
        </w:rPr>
        <w:t>回函的单位数</w:t>
      </w:r>
      <w:r w:rsidRPr="00BB7677">
        <w:rPr>
          <w:rFonts w:ascii="宋体" w:hAnsi="宋体"/>
          <w:bCs/>
          <w:szCs w:val="21"/>
        </w:rPr>
        <w:t xml:space="preserve">:  </w:t>
      </w:r>
      <w:r w:rsidR="00E174D5">
        <w:rPr>
          <w:rFonts w:ascii="宋体" w:hAnsi="宋体" w:hint="eastAsia"/>
          <w:bCs/>
          <w:szCs w:val="21"/>
        </w:rPr>
        <w:t>30</w:t>
      </w:r>
      <w:r w:rsidRPr="00BB7677">
        <w:rPr>
          <w:rFonts w:ascii="宋体" w:hAnsi="宋体" w:hint="eastAsia"/>
          <w:bCs/>
          <w:szCs w:val="21"/>
        </w:rPr>
        <w:t>个</w:t>
      </w:r>
    </w:p>
    <w:p w14:paraId="1636090A" w14:textId="3A161E2C" w:rsidR="00F02D23" w:rsidRPr="00BB7677" w:rsidRDefault="008156B3">
      <w:pPr>
        <w:rPr>
          <w:rFonts w:ascii="宋体" w:hAnsi="宋体"/>
          <w:bCs/>
          <w:szCs w:val="21"/>
        </w:rPr>
      </w:pPr>
      <w:r w:rsidRPr="00BB7677">
        <w:rPr>
          <w:rFonts w:ascii="宋体" w:hAnsi="宋体"/>
          <w:bCs/>
          <w:szCs w:val="21"/>
        </w:rPr>
        <w:tab/>
      </w:r>
      <w:r w:rsidR="00BB7677">
        <w:rPr>
          <w:rFonts w:ascii="宋体" w:hAnsi="宋体"/>
          <w:bCs/>
          <w:szCs w:val="21"/>
        </w:rPr>
        <w:t xml:space="preserve"> </w:t>
      </w:r>
      <w:r w:rsidRPr="00BB7677">
        <w:rPr>
          <w:rFonts w:ascii="宋体" w:hAnsi="宋体"/>
          <w:bCs/>
          <w:szCs w:val="21"/>
        </w:rPr>
        <w:t>(3)</w:t>
      </w:r>
      <w:r w:rsidRPr="00BB7677">
        <w:rPr>
          <w:rFonts w:ascii="宋体" w:hAnsi="宋体" w:hint="eastAsia"/>
          <w:bCs/>
          <w:szCs w:val="21"/>
        </w:rPr>
        <w:t>收到</w:t>
      </w:r>
      <w:r w:rsidRPr="00BB7677">
        <w:rPr>
          <w:rFonts w:ascii="宋体" w:hAnsi="宋体"/>
          <w:bCs/>
          <w:szCs w:val="21"/>
        </w:rPr>
        <w:t>&lt;</w:t>
      </w:r>
      <w:r w:rsidRPr="00BB7677">
        <w:rPr>
          <w:rFonts w:ascii="宋体" w:hAnsi="宋体" w:hint="eastAsia"/>
          <w:bCs/>
          <w:szCs w:val="21"/>
        </w:rPr>
        <w:t>征求意见稿</w:t>
      </w:r>
      <w:r w:rsidRPr="00BB7677">
        <w:rPr>
          <w:rFonts w:ascii="宋体" w:hAnsi="宋体"/>
          <w:bCs/>
          <w:szCs w:val="21"/>
        </w:rPr>
        <w:t>&gt;</w:t>
      </w:r>
      <w:r w:rsidRPr="00BB7677">
        <w:rPr>
          <w:rFonts w:ascii="宋体" w:hAnsi="宋体" w:hint="eastAsia"/>
          <w:bCs/>
          <w:szCs w:val="21"/>
        </w:rPr>
        <w:t>后</w:t>
      </w:r>
      <w:r w:rsidRPr="00BB7677">
        <w:rPr>
          <w:rFonts w:ascii="宋体" w:hAnsi="宋体"/>
          <w:bCs/>
          <w:szCs w:val="21"/>
        </w:rPr>
        <w:t>,</w:t>
      </w:r>
      <w:r w:rsidRPr="00BB7677">
        <w:rPr>
          <w:rFonts w:ascii="宋体" w:hAnsi="宋体" w:hint="eastAsia"/>
          <w:bCs/>
          <w:szCs w:val="21"/>
        </w:rPr>
        <w:t>回函并有建议或意见的单位数</w:t>
      </w:r>
      <w:r w:rsidRPr="00BB7677">
        <w:rPr>
          <w:rFonts w:ascii="宋体" w:hAnsi="宋体"/>
          <w:bCs/>
          <w:szCs w:val="21"/>
        </w:rPr>
        <w:t>:</w:t>
      </w:r>
      <w:r w:rsidRPr="00BB7677">
        <w:rPr>
          <w:rFonts w:ascii="宋体" w:hAnsi="宋体" w:hint="eastAsia"/>
          <w:bCs/>
          <w:szCs w:val="21"/>
        </w:rPr>
        <w:t xml:space="preserve"> </w:t>
      </w:r>
      <w:r w:rsidR="00BB7677">
        <w:rPr>
          <w:rFonts w:ascii="宋体" w:hAnsi="宋体"/>
          <w:bCs/>
          <w:szCs w:val="21"/>
        </w:rPr>
        <w:t>2</w:t>
      </w:r>
      <w:r w:rsidR="00E174D5">
        <w:rPr>
          <w:rFonts w:ascii="宋体" w:hAnsi="宋体" w:hint="eastAsia"/>
          <w:bCs/>
          <w:szCs w:val="21"/>
        </w:rPr>
        <w:t>9</w:t>
      </w:r>
      <w:r w:rsidRPr="00BB7677">
        <w:rPr>
          <w:rFonts w:ascii="宋体" w:hAnsi="宋体" w:hint="eastAsia"/>
          <w:bCs/>
          <w:szCs w:val="21"/>
        </w:rPr>
        <w:t>个</w:t>
      </w:r>
    </w:p>
    <w:p w14:paraId="32058D3D" w14:textId="3D44A951" w:rsidR="00F02D23" w:rsidRPr="00BB7677" w:rsidRDefault="008156B3">
      <w:pPr>
        <w:rPr>
          <w:rFonts w:ascii="宋体" w:hAnsi="宋体"/>
          <w:bCs/>
          <w:szCs w:val="21"/>
        </w:rPr>
      </w:pPr>
      <w:r w:rsidRPr="00BB7677">
        <w:rPr>
          <w:rFonts w:ascii="宋体" w:hAnsi="宋体"/>
          <w:bCs/>
          <w:szCs w:val="21"/>
        </w:rPr>
        <w:tab/>
      </w:r>
      <w:r w:rsidR="00BB7677">
        <w:rPr>
          <w:rFonts w:ascii="宋体" w:hAnsi="宋体"/>
          <w:bCs/>
          <w:szCs w:val="21"/>
        </w:rPr>
        <w:t xml:space="preserve"> </w:t>
      </w:r>
      <w:r w:rsidRPr="00BB7677">
        <w:rPr>
          <w:rFonts w:ascii="宋体" w:hAnsi="宋体"/>
          <w:bCs/>
          <w:szCs w:val="21"/>
        </w:rPr>
        <w:t>(4)</w:t>
      </w:r>
      <w:r w:rsidRPr="00BB7677">
        <w:rPr>
          <w:rFonts w:ascii="宋体" w:hAnsi="宋体" w:hint="eastAsia"/>
          <w:bCs/>
          <w:szCs w:val="21"/>
        </w:rPr>
        <w:t>没有回函的单位数</w:t>
      </w:r>
      <w:r w:rsidRPr="00BB7677">
        <w:rPr>
          <w:rFonts w:ascii="宋体" w:hAnsi="宋体"/>
          <w:bCs/>
          <w:szCs w:val="21"/>
        </w:rPr>
        <w:t xml:space="preserve">: </w:t>
      </w:r>
      <w:r w:rsidR="00BB7677">
        <w:rPr>
          <w:rFonts w:ascii="宋体" w:hAnsi="宋体"/>
          <w:bCs/>
          <w:szCs w:val="21"/>
        </w:rPr>
        <w:t>0</w:t>
      </w:r>
      <w:r w:rsidRPr="00BB7677">
        <w:rPr>
          <w:rFonts w:ascii="宋体" w:hAnsi="宋体" w:hint="eastAsia"/>
          <w:bCs/>
          <w:szCs w:val="21"/>
        </w:rPr>
        <w:t>个</w:t>
      </w:r>
    </w:p>
    <w:p w14:paraId="1A083760" w14:textId="77777777" w:rsidR="00F02D23" w:rsidRPr="00BB7677" w:rsidRDefault="00F02D23">
      <w:pPr>
        <w:snapToGrid w:val="0"/>
        <w:rPr>
          <w:rFonts w:ascii="宋体" w:hAnsi="宋体" w:cs="宋体"/>
          <w:bCs/>
          <w:szCs w:val="21"/>
        </w:rPr>
      </w:pPr>
    </w:p>
    <w:p w14:paraId="48412C06" w14:textId="0026C81B" w:rsidR="00F02D23" w:rsidRDefault="00F02D23">
      <w:pPr>
        <w:rPr>
          <w:rFonts w:ascii="宋体" w:hAnsi="宋体"/>
          <w:bCs/>
          <w:szCs w:val="21"/>
        </w:rPr>
      </w:pPr>
    </w:p>
    <w:sectPr w:rsidR="00F02D2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BC3" w14:textId="77777777" w:rsidR="007A75B0" w:rsidRDefault="007A75B0" w:rsidP="00216D5E">
      <w:r>
        <w:separator/>
      </w:r>
    </w:p>
  </w:endnote>
  <w:endnote w:type="continuationSeparator" w:id="0">
    <w:p w14:paraId="0B3293F5" w14:textId="77777777" w:rsidR="007A75B0" w:rsidRDefault="007A75B0" w:rsidP="0021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585D" w14:textId="77777777" w:rsidR="007A75B0" w:rsidRDefault="007A75B0" w:rsidP="00216D5E">
      <w:r>
        <w:separator/>
      </w:r>
    </w:p>
  </w:footnote>
  <w:footnote w:type="continuationSeparator" w:id="0">
    <w:p w14:paraId="2EC98C7E" w14:textId="77777777" w:rsidR="007A75B0" w:rsidRDefault="007A75B0" w:rsidP="0021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23"/>
    <w:rsid w:val="00002774"/>
    <w:rsid w:val="000263DE"/>
    <w:rsid w:val="000B03EB"/>
    <w:rsid w:val="000D4870"/>
    <w:rsid w:val="000E05CC"/>
    <w:rsid w:val="000E58B7"/>
    <w:rsid w:val="00106099"/>
    <w:rsid w:val="00117995"/>
    <w:rsid w:val="00125A54"/>
    <w:rsid w:val="0016293B"/>
    <w:rsid w:val="001A1677"/>
    <w:rsid w:val="001C6A74"/>
    <w:rsid w:val="001C6C01"/>
    <w:rsid w:val="001C71EB"/>
    <w:rsid w:val="001D6ACB"/>
    <w:rsid w:val="001F2FF5"/>
    <w:rsid w:val="001F52D6"/>
    <w:rsid w:val="00207277"/>
    <w:rsid w:val="00216D5E"/>
    <w:rsid w:val="00225A83"/>
    <w:rsid w:val="00244184"/>
    <w:rsid w:val="00260860"/>
    <w:rsid w:val="0028023B"/>
    <w:rsid w:val="002B4B34"/>
    <w:rsid w:val="002D32BE"/>
    <w:rsid w:val="0030292A"/>
    <w:rsid w:val="003422AB"/>
    <w:rsid w:val="003F5C23"/>
    <w:rsid w:val="00473C82"/>
    <w:rsid w:val="004A22FF"/>
    <w:rsid w:val="004A45B9"/>
    <w:rsid w:val="00544AC6"/>
    <w:rsid w:val="00557DAE"/>
    <w:rsid w:val="00560412"/>
    <w:rsid w:val="00584F6B"/>
    <w:rsid w:val="005B4EAE"/>
    <w:rsid w:val="005F2B39"/>
    <w:rsid w:val="006A223E"/>
    <w:rsid w:val="006B7A64"/>
    <w:rsid w:val="006E55C9"/>
    <w:rsid w:val="006F3AFF"/>
    <w:rsid w:val="007060EA"/>
    <w:rsid w:val="00734074"/>
    <w:rsid w:val="00742CB1"/>
    <w:rsid w:val="00761C5C"/>
    <w:rsid w:val="00766E27"/>
    <w:rsid w:val="00767CA1"/>
    <w:rsid w:val="007A75B0"/>
    <w:rsid w:val="007B1A58"/>
    <w:rsid w:val="008156B3"/>
    <w:rsid w:val="00861AA8"/>
    <w:rsid w:val="00877D1A"/>
    <w:rsid w:val="008A0164"/>
    <w:rsid w:val="008A66FE"/>
    <w:rsid w:val="00914A69"/>
    <w:rsid w:val="009371D1"/>
    <w:rsid w:val="00967BE8"/>
    <w:rsid w:val="009F251B"/>
    <w:rsid w:val="00A064AA"/>
    <w:rsid w:val="00A2494E"/>
    <w:rsid w:val="00A256F0"/>
    <w:rsid w:val="00A41E8F"/>
    <w:rsid w:val="00A57B90"/>
    <w:rsid w:val="00A6219F"/>
    <w:rsid w:val="00AA38DB"/>
    <w:rsid w:val="00AA60AA"/>
    <w:rsid w:val="00AB3D15"/>
    <w:rsid w:val="00AD7D5B"/>
    <w:rsid w:val="00B22CA5"/>
    <w:rsid w:val="00B46047"/>
    <w:rsid w:val="00B47A48"/>
    <w:rsid w:val="00B63B69"/>
    <w:rsid w:val="00B658B4"/>
    <w:rsid w:val="00B725F2"/>
    <w:rsid w:val="00B77CE3"/>
    <w:rsid w:val="00B87C3A"/>
    <w:rsid w:val="00BA377D"/>
    <w:rsid w:val="00BB7677"/>
    <w:rsid w:val="00BD2AD3"/>
    <w:rsid w:val="00BD7FD0"/>
    <w:rsid w:val="00BF0294"/>
    <w:rsid w:val="00C33BEC"/>
    <w:rsid w:val="00C5205E"/>
    <w:rsid w:val="00C67D17"/>
    <w:rsid w:val="00C947D7"/>
    <w:rsid w:val="00CA0EBA"/>
    <w:rsid w:val="00CA234A"/>
    <w:rsid w:val="00CE0929"/>
    <w:rsid w:val="00CE17DF"/>
    <w:rsid w:val="00CE183E"/>
    <w:rsid w:val="00D158F5"/>
    <w:rsid w:val="00D2547B"/>
    <w:rsid w:val="00D44DAC"/>
    <w:rsid w:val="00D81937"/>
    <w:rsid w:val="00D900B1"/>
    <w:rsid w:val="00D97883"/>
    <w:rsid w:val="00D97C77"/>
    <w:rsid w:val="00DA038E"/>
    <w:rsid w:val="00DA04EB"/>
    <w:rsid w:val="00DD294B"/>
    <w:rsid w:val="00E15D5B"/>
    <w:rsid w:val="00E174D5"/>
    <w:rsid w:val="00E4484A"/>
    <w:rsid w:val="00E5256F"/>
    <w:rsid w:val="00E54BF7"/>
    <w:rsid w:val="00E90433"/>
    <w:rsid w:val="00E93066"/>
    <w:rsid w:val="00EB61C0"/>
    <w:rsid w:val="00F02D23"/>
    <w:rsid w:val="00F515FB"/>
    <w:rsid w:val="00FA3800"/>
    <w:rsid w:val="00FB59C7"/>
    <w:rsid w:val="00FF28F6"/>
    <w:rsid w:val="00FF7E81"/>
    <w:rsid w:val="1A96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BDF9E"/>
  <w15:docId w15:val="{EF1E95E9-C05F-4EAF-96B8-F5D1840A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D5B"/>
    <w:pPr>
      <w:widowControl w:val="0"/>
      <w:jc w:val="both"/>
    </w:pPr>
    <w:rPr>
      <w:kern w:val="2"/>
      <w:sz w:val="21"/>
      <w:szCs w:val="24"/>
    </w:rPr>
  </w:style>
  <w:style w:type="paragraph" w:styleId="2">
    <w:name w:val="heading 2"/>
    <w:basedOn w:val="a"/>
    <w:next w:val="a"/>
    <w:link w:val="20"/>
    <w:uiPriority w:val="9"/>
    <w:unhideWhenUsed/>
    <w:qFormat/>
    <w:rsid w:val="004A22FF"/>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nhideWhenUsed/>
    <w:qFormat/>
    <w:rsid w:val="00D254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a5">
    <w:name w:val="其他标准称谓"/>
    <w:qFormat/>
    <w:pPr>
      <w:spacing w:line="0" w:lineRule="atLeast"/>
      <w:jc w:val="distribute"/>
    </w:pPr>
    <w:rPr>
      <w:rFonts w:ascii="黑体" w:eastAsia="黑体" w:hAnsi="宋体"/>
      <w:sz w:val="52"/>
    </w:rPr>
  </w:style>
  <w:style w:type="character" w:styleId="a6">
    <w:name w:val="Strong"/>
    <w:basedOn w:val="a0"/>
    <w:uiPriority w:val="22"/>
    <w:qFormat/>
    <w:rsid w:val="00BD2AD3"/>
    <w:rPr>
      <w:b/>
      <w:bCs/>
    </w:rPr>
  </w:style>
  <w:style w:type="character" w:styleId="a7">
    <w:name w:val="Hyperlink"/>
    <w:basedOn w:val="a0"/>
    <w:uiPriority w:val="99"/>
    <w:unhideWhenUsed/>
    <w:rsid w:val="00BD2AD3"/>
    <w:rPr>
      <w:color w:val="0000FF"/>
      <w:u w:val="single"/>
    </w:rPr>
  </w:style>
  <w:style w:type="character" w:customStyle="1" w:styleId="20">
    <w:name w:val="标题 2 字符"/>
    <w:basedOn w:val="a0"/>
    <w:link w:val="2"/>
    <w:uiPriority w:val="9"/>
    <w:qFormat/>
    <w:rsid w:val="004A22FF"/>
    <w:rPr>
      <w:rFonts w:asciiTheme="majorHAnsi" w:eastAsia="黑体" w:hAnsiTheme="majorHAnsi" w:cstheme="majorBidi"/>
      <w:bCs/>
      <w:kern w:val="2"/>
      <w:sz w:val="21"/>
      <w:szCs w:val="32"/>
    </w:rPr>
  </w:style>
  <w:style w:type="character" w:styleId="a8">
    <w:name w:val="Emphasis"/>
    <w:basedOn w:val="a0"/>
    <w:uiPriority w:val="20"/>
    <w:qFormat/>
    <w:rsid w:val="0016293B"/>
    <w:rPr>
      <w:i/>
      <w:iCs/>
    </w:rPr>
  </w:style>
  <w:style w:type="paragraph" w:customStyle="1" w:styleId="a9">
    <w:name w:val="封面标准名称"/>
    <w:qFormat/>
    <w:rsid w:val="00BB7677"/>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30">
    <w:name w:val="标题 3 字符"/>
    <w:basedOn w:val="a0"/>
    <w:link w:val="3"/>
    <w:rsid w:val="00D2547B"/>
    <w:rPr>
      <w:b/>
      <w:bCs/>
      <w:kern w:val="2"/>
      <w:sz w:val="32"/>
      <w:szCs w:val="32"/>
    </w:rPr>
  </w:style>
  <w:style w:type="character" w:styleId="aa">
    <w:name w:val="Placeholder Text"/>
    <w:basedOn w:val="a0"/>
    <w:uiPriority w:val="99"/>
    <w:semiHidden/>
    <w:rsid w:val="00AA60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27E3A-5348-4820-B22B-CB4AB763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YXL</cp:lastModifiedBy>
  <cp:revision>104</cp:revision>
  <dcterms:created xsi:type="dcterms:W3CDTF">2022-07-07T18:49:00Z</dcterms:created>
  <dcterms:modified xsi:type="dcterms:W3CDTF">2022-11-14T08:07:00Z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