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45" w:firstLineChars="1450"/>
        <w:rPr>
          <w:rFonts w:ascii="Times New Roman" w:hAnsi="Times New Roman" w:cs="Times New Roman"/>
          <w:b/>
          <w:spacing w:val="48"/>
          <w:sz w:val="44"/>
          <w:szCs w:val="48"/>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26035</wp:posOffset>
                </wp:positionV>
                <wp:extent cx="1478280" cy="464820"/>
                <wp:effectExtent l="4445" t="5080" r="10795" b="17780"/>
                <wp:wrapNone/>
                <wp:docPr id="90" name="文本框 261"/>
                <wp:cNvGraphicFramePr/>
                <a:graphic xmlns:a="http://schemas.openxmlformats.org/drawingml/2006/main">
                  <a:graphicData uri="http://schemas.microsoft.com/office/word/2010/wordprocessingShape">
                    <wps:wsp>
                      <wps:cNvSpPr txBox="1"/>
                      <wps:spPr>
                        <a:xfrm>
                          <a:off x="1231900" y="940435"/>
                          <a:ext cx="1478280"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rPr>
                            </w:pPr>
                            <w:r>
                              <w:rPr>
                                <w:rFonts w:ascii="黑体" w:hAnsi="黑体" w:eastAsia="黑体"/>
                              </w:rPr>
                              <w:t>ICS 77.020</w:t>
                            </w:r>
                          </w:p>
                          <w:p>
                            <w:pPr>
                              <w:rPr>
                                <w:rFonts w:ascii="黑体" w:hAnsi="黑体" w:eastAsia="黑体"/>
                              </w:rPr>
                            </w:pPr>
                            <w:r>
                              <w:rPr>
                                <w:rFonts w:ascii="黑体" w:hAnsi="黑体" w:eastAsia="黑体"/>
                              </w:rPr>
                              <w:t>CCS H 05</w:t>
                            </w:r>
                          </w:p>
                        </w:txbxContent>
                      </wps:txbx>
                      <wps:bodyPr vert="horz" anchor="t" upright="1"/>
                    </wps:wsp>
                  </a:graphicData>
                </a:graphic>
              </wp:anchor>
            </w:drawing>
          </mc:Choice>
          <mc:Fallback>
            <w:pict>
              <v:shape id="文本框 261" o:spid="_x0000_s1026" o:spt="202" type="#_x0000_t202" style="position:absolute;left:0pt;margin-left:7pt;margin-top:2.05pt;height:36.6pt;width:116.4pt;z-index:251666432;mso-width-relative:page;mso-height-relative:page;" fillcolor="#FFFFFF" filled="t" stroked="t" coordsize="21600,21600" o:gfxdata="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5Kh6dYAAAAHAQAADwAAAAAAAAABACAAAAAiAAAAZHJzL2Rvd25yZXYueG1sUEsBAhQAFAAAAAgA&#10;h07iQIaKIyQnAgAAWwQAAA4AAAAAAAAAAQAgAAAAJQEAAGRycy9lMm9Eb2MueG1sUEsFBgAAAAAG&#10;AAYAWQEAAL4FAAAAAA==&#10;">
                <v:fill on="t" focussize="0,0"/>
                <v:stroke color="#000000" joinstyle="miter"/>
                <v:imagedata o:title=""/>
                <o:lock v:ext="edit" aspectratio="f"/>
                <v:textbox>
                  <w:txbxContent>
                    <w:p>
                      <w:pPr>
                        <w:rPr>
                          <w:rFonts w:ascii="黑体" w:hAnsi="黑体" w:eastAsia="黑体"/>
                        </w:rPr>
                      </w:pPr>
                      <w:r>
                        <w:rPr>
                          <w:rFonts w:ascii="黑体" w:hAnsi="黑体" w:eastAsia="黑体"/>
                        </w:rPr>
                        <w:t>ICS 77.020</w:t>
                      </w:r>
                    </w:p>
                    <w:p>
                      <w:pPr>
                        <w:rPr>
                          <w:rFonts w:ascii="黑体" w:hAnsi="黑体" w:eastAsia="黑体"/>
                        </w:rPr>
                      </w:pPr>
                      <w:r>
                        <w:rPr>
                          <w:rFonts w:ascii="黑体" w:hAnsi="黑体" w:eastAsia="黑体"/>
                        </w:rPr>
                        <w:t>CCS H 05</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margin">
                  <wp:posOffset>147320</wp:posOffset>
                </wp:positionH>
                <wp:positionV relativeFrom="margin">
                  <wp:posOffset>662305</wp:posOffset>
                </wp:positionV>
                <wp:extent cx="4886325" cy="353695"/>
                <wp:effectExtent l="0" t="0" r="5715" b="12065"/>
                <wp:wrapNone/>
                <wp:docPr id="4"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pPr>
                              <w:pStyle w:val="40"/>
                            </w:pPr>
                            <w:r>
                              <w:rPr>
                                <w:rFonts w:hint="eastAsia"/>
                              </w:rPr>
                              <w:t>团体标准</w:t>
                            </w:r>
                          </w:p>
                        </w:txbxContent>
                      </wps:txbx>
                      <wps:bodyPr lIns="0" tIns="0" rIns="0" bIns="0" upright="1"/>
                    </wps:wsp>
                  </a:graphicData>
                </a:graphic>
              </wp:anchor>
            </w:drawing>
          </mc:Choice>
          <mc:Fallback>
            <w:pict>
              <v:shape id="fmFrame2" o:spid="_x0000_s1026" o:spt="202" type="#_x0000_t202" style="position:absolute;left:0pt;margin-left:11.6pt;margin-top:52.15pt;height:27.85pt;width:384.75pt;mso-position-horizontal-relative:margin;mso-position-vertical-relative:margin;z-index:251665408;mso-width-relative:page;mso-height-relative:page;" fillcolor="#FFFFFF" filled="t" stroked="f" coordsize="21600,21600" o:gfxdata="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BDuftgAAAAKAQAADwAAAAAAAAABACAAAAAiAAAAZHJz&#10;L2Rvd25yZXYueG1sUEsBAhQAFAAAAAgAh07iQOolZ+LLAQAArwMAAA4AAAAAAAAAAQAgAAAAJwEA&#10;AGRycy9lMm9Eb2MueG1sUEsFBgAAAAAGAAYAWQEAAGQFAAAAAA==&#10;">
                <v:fill on="t" focussize="0,0"/>
                <v:stroke on="f"/>
                <v:imagedata o:title=""/>
                <o:lock v:ext="edit" aspectratio="f"/>
                <v:textbox inset="0mm,0mm,0mm,0mm">
                  <w:txbxContent>
                    <w:p>
                      <w:pPr>
                        <w:pStyle w:val="40"/>
                      </w:pPr>
                      <w:r>
                        <w:rPr>
                          <w:rFonts w:hint="eastAsia"/>
                        </w:rPr>
                        <w:t>团体标准</w:t>
                      </w:r>
                    </w:p>
                  </w:txbxContent>
                </v:textbox>
                <w10:anchorlock/>
              </v:shape>
            </w:pict>
          </mc:Fallback>
        </mc:AlternateContent>
      </w:r>
    </w:p>
    <w:p>
      <w:pPr>
        <w:ind w:firstLine="10988" w:firstLineChars="2050"/>
        <w:rPr>
          <w:rFonts w:ascii="Times New Roman" w:hAnsi="Times New Roman" w:cs="Times New Roman"/>
          <w:spacing w:val="48"/>
          <w:sz w:val="44"/>
          <w:szCs w:val="48"/>
        </w:rPr>
      </w:pPr>
    </w:p>
    <w:p>
      <w:pPr>
        <w:rPr>
          <w:rFonts w:ascii="Times New Roman" w:hAnsi="Times New Roman" w:cs="Times New Roman"/>
        </w:rPr>
      </w:pPr>
    </w:p>
    <w:p>
      <w:pPr>
        <w:rPr>
          <w:rFonts w:ascii="Times New Roman" w:hAnsi="Times New Roman" w:cs="Times New Roman"/>
        </w:rPr>
      </w:pPr>
    </w:p>
    <w:p>
      <w:pPr>
        <w:pStyle w:val="18"/>
        <w:ind w:firstLine="21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3456305</wp:posOffset>
                </wp:positionH>
                <wp:positionV relativeFrom="paragraph">
                  <wp:posOffset>13970</wp:posOffset>
                </wp:positionV>
                <wp:extent cx="1760855" cy="420370"/>
                <wp:effectExtent l="0" t="0" r="10795" b="17780"/>
                <wp:wrapNone/>
                <wp:docPr id="1" name="文本框 2"/>
                <wp:cNvGraphicFramePr/>
                <a:graphic xmlns:a="http://schemas.openxmlformats.org/drawingml/2006/main">
                  <a:graphicData uri="http://schemas.microsoft.com/office/word/2010/wordprocessingShape">
                    <wps:wsp>
                      <wps:cNvSpPr txBox="1"/>
                      <wps:spPr>
                        <a:xfrm>
                          <a:off x="0" y="0"/>
                          <a:ext cx="1760855" cy="420370"/>
                        </a:xfrm>
                        <a:prstGeom prst="rect">
                          <a:avLst/>
                        </a:prstGeom>
                        <a:solidFill>
                          <a:srgbClr val="FFFFFF"/>
                        </a:solidFill>
                        <a:ln>
                          <a:noFill/>
                        </a:ln>
                      </wps:spPr>
                      <wps:txbx>
                        <w:txbxContent>
                          <w:p>
                            <w:pPr>
                              <w:jc w:val="left"/>
                              <w:rPr>
                                <w:rFonts w:ascii="Times New Roman" w:hAnsi="Times New Roman" w:cs="Times New Roman"/>
                                <w:sz w:val="28"/>
                              </w:rPr>
                            </w:pPr>
                            <w:r>
                              <w:rPr>
                                <w:rFonts w:hint="eastAsia" w:ascii="Times New Roman" w:hAnsi="Times New Roman" w:cs="Times New Roman"/>
                                <w:sz w:val="28"/>
                              </w:rPr>
                              <w:t xml:space="preserve">T/CNIA </w:t>
                            </w:r>
                            <w:r>
                              <w:rPr>
                                <w:rFonts w:hint="eastAsia"/>
                                <w:b/>
                              </w:rPr>
                              <w:t>×××</w:t>
                            </w:r>
                            <w:r>
                              <w:rPr>
                                <w:rFonts w:hint="eastAsia" w:ascii="Times New Roman" w:hAnsi="Times New Roman" w:cs="Times New Roman"/>
                                <w:sz w:val="28"/>
                              </w:rPr>
                              <w:t>-20</w:t>
                            </w:r>
                            <w:r>
                              <w:rPr>
                                <w:rFonts w:ascii="Times New Roman" w:hAnsi="Times New Roman" w:cs="Times New Roman"/>
                                <w:sz w:val="28"/>
                              </w:rPr>
                              <w:t>2</w:t>
                            </w:r>
                            <w:r>
                              <w:rPr>
                                <w:rFonts w:hint="eastAsia"/>
                                <w:b/>
                              </w:rPr>
                              <w:t>×</w:t>
                            </w:r>
                          </w:p>
                          <w:p>
                            <w:pPr>
                              <w:jc w:val="center"/>
                              <w:rPr>
                                <w:b/>
                                <w:sz w:val="56"/>
                              </w:rPr>
                            </w:pPr>
                          </w:p>
                        </w:txbxContent>
                      </wps:txbx>
                      <wps:bodyPr anchor="t" upright="1"/>
                    </wps:wsp>
                  </a:graphicData>
                </a:graphic>
              </wp:anchor>
            </w:drawing>
          </mc:Choice>
          <mc:Fallback>
            <w:pict>
              <v:shape id="文本框 2" o:spid="_x0000_s1026" o:spt="202" type="#_x0000_t202" style="position:absolute;left:0pt;margin-left:272.15pt;margin-top:1.1pt;height:33.1pt;width:138.65pt;z-index:251664384;mso-width-relative:page;mso-height-relative:page;" fillcolor="#FFFFFF" filled="t" stroked="f" coordsize="21600,21600" o:gfxdata="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iRSm1gAAAAgBAAAPAAAAAAAAAAEAIAAAACIAAABkcnMvZG93&#10;bnJldi54bWxQSwECFAAUAAAACACHTuJAITC0x8kBAACCAwAADgAAAAAAAAABACAAAAAlAQAAZHJz&#10;L2Uyb0RvYy54bWxQSwUGAAAAAAYABgBZAQAAYAUAAAAA&#10;">
                <v:fill on="t" focussize="0,0"/>
                <v:stroke on="f"/>
                <v:imagedata o:title=""/>
                <o:lock v:ext="edit" aspectratio="f"/>
                <v:textbox>
                  <w:txbxContent>
                    <w:p>
                      <w:pPr>
                        <w:jc w:val="left"/>
                        <w:rPr>
                          <w:rFonts w:ascii="Times New Roman" w:hAnsi="Times New Roman" w:cs="Times New Roman"/>
                          <w:sz w:val="28"/>
                        </w:rPr>
                      </w:pPr>
                      <w:r>
                        <w:rPr>
                          <w:rFonts w:hint="eastAsia" w:ascii="Times New Roman" w:hAnsi="Times New Roman" w:cs="Times New Roman"/>
                          <w:sz w:val="28"/>
                        </w:rPr>
                        <w:t xml:space="preserve">T/CNIA </w:t>
                      </w:r>
                      <w:r>
                        <w:rPr>
                          <w:rFonts w:hint="eastAsia"/>
                          <w:b/>
                        </w:rPr>
                        <w:t>×××</w:t>
                      </w:r>
                      <w:r>
                        <w:rPr>
                          <w:rFonts w:hint="eastAsia" w:ascii="Times New Roman" w:hAnsi="Times New Roman" w:cs="Times New Roman"/>
                          <w:sz w:val="28"/>
                        </w:rPr>
                        <w:t>-20</w:t>
                      </w:r>
                      <w:r>
                        <w:rPr>
                          <w:rFonts w:ascii="Times New Roman" w:hAnsi="Times New Roman" w:cs="Times New Roman"/>
                          <w:sz w:val="28"/>
                        </w:rPr>
                        <w:t>2</w:t>
                      </w:r>
                      <w:r>
                        <w:rPr>
                          <w:rFonts w:hint="eastAsia"/>
                          <w:b/>
                        </w:rPr>
                        <w:t>×</w:t>
                      </w:r>
                    </w:p>
                    <w:p>
                      <w:pPr>
                        <w:jc w:val="center"/>
                        <w:rPr>
                          <w:b/>
                          <w:sz w:val="56"/>
                        </w:rPr>
                      </w:pPr>
                    </w:p>
                  </w:txbxContent>
                </v:textbox>
              </v:shape>
            </w:pict>
          </mc:Fallback>
        </mc:AlternateContent>
      </w:r>
    </w:p>
    <w:p>
      <w:pPr>
        <w:rPr>
          <w:rFonts w:ascii="Times New Roman" w:hAnsi="Times New Roman" w:cs="Times New Roman"/>
        </w:rPr>
      </w:pPr>
      <w:r>
        <w:rPr>
          <w:rFonts w:ascii="Times New Roman" w:hAnsi="Times New Roman" w:cs="Times New Roman"/>
        </w:rPr>
        <w:t>　　　　</w:t>
      </w:r>
    </w:p>
    <w:p>
      <w:pPr>
        <w:pStyle w:val="45"/>
        <w:framePr w:w="9453" w:hRule="auto" w:hSpace="181" w:wrap="notBeside" w:x="1440" w:y="5761"/>
        <w:rPr>
          <w:rFonts w:ascii="Times New Roman"/>
        </w:rPr>
      </w:pPr>
      <w:r>
        <w:rPr>
          <w:rFonts w:hint="eastAsia" w:ascii="Times New Roman"/>
        </w:rPr>
        <w:t>铜矿石生物堆浸循环过程控制</w:t>
      </w:r>
    </w:p>
    <w:p>
      <w:pPr>
        <w:pStyle w:val="45"/>
        <w:framePr w:w="9453" w:hRule="auto" w:hSpace="181" w:wrap="notBeside" w:x="1440" w:y="5761"/>
        <w:rPr>
          <w:rFonts w:ascii="Times New Roman"/>
        </w:rPr>
      </w:pPr>
      <w:r>
        <w:rPr>
          <w:rFonts w:hint="eastAsia" w:ascii="Times New Roman"/>
        </w:rPr>
        <w:t>技术规范</w:t>
      </w:r>
    </w:p>
    <w:p>
      <w:pPr>
        <w:spacing w:line="160" w:lineRule="exact"/>
        <w:rPr>
          <w:rFonts w:ascii="Times New Roman" w:hAnsi="Times New Roman" w:cs="Times New Roman"/>
        </w:rPr>
      </w:pPr>
    </w:p>
    <w:p>
      <w:pPr>
        <w:rPr>
          <w:rFonts w:ascii="Times New Roman" w:hAnsi="Times New Roman" w:cs="Times New Roman"/>
          <w:sz w:val="30"/>
          <w:szCs w:val="30"/>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263525</wp:posOffset>
                </wp:positionV>
                <wp:extent cx="6392545" cy="0"/>
                <wp:effectExtent l="0" t="0" r="0" b="0"/>
                <wp:wrapNone/>
                <wp:docPr id="5" name="自选图形 251"/>
                <wp:cNvGraphicFramePr/>
                <a:graphic xmlns:a="http://schemas.openxmlformats.org/drawingml/2006/main">
                  <a:graphicData uri="http://schemas.microsoft.com/office/word/2010/wordprocessingShape">
                    <wps:wsp>
                      <wps:cNvCnPr/>
                      <wps:spPr>
                        <a:xfrm>
                          <a:off x="0" y="0"/>
                          <a:ext cx="6392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1" o:spid="_x0000_s1026" o:spt="32" type="#_x0000_t32" style="position:absolute;left:0pt;margin-left:-27.75pt;margin-top:20.75pt;height:0pt;width:503.35pt;z-index:251662336;mso-width-relative:page;mso-height-relative:page;" filled="f" stroked="t" coordsize="21600,21600" o:gfxdata="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x8Cg1gAAAAkBAAAPAAAAAAAAAAEAIAAAACIAAABkcnMvZG93bnJldi54bWxQSwEC&#10;FAAUAAAACACHTuJALuMigvYBAADlAwAADgAAAAAAAAABACAAAAAlAQAAZHJzL2Uyb0RvYy54bWxQ&#10;SwUGAAAAAAYABgBZAQAAjQUAAAAA&#10;">
                <v:fill on="f" focussize="0,0"/>
                <v:stroke color="#000000" joinstyle="round"/>
                <v:imagedata o:title=""/>
                <o:lock v:ext="edit" aspectratio="f"/>
              </v:shape>
            </w:pict>
          </mc:Fallback>
        </mc:AlternateContent>
      </w:r>
      <w:r>
        <w:rPr>
          <w:rFonts w:ascii="Times New Roman" w:hAnsi="Times New Roman" w:cs="Times New Roman"/>
          <w:sz w:val="30"/>
          <w:szCs w:val="30"/>
        </w:rPr>
        <w:t xml:space="preserve">                     </w:t>
      </w:r>
    </w:p>
    <w:p>
      <w:pPr>
        <w:rPr>
          <w:rFonts w:ascii="Times New Roman" w:hAnsi="Times New Roman" w:cs="Times New Roman"/>
        </w:rPr>
      </w:pPr>
    </w:p>
    <w:p>
      <w:pPr>
        <w:jc w:val="center"/>
        <w:rPr>
          <w:rFonts w:ascii="Times New Roman" w:hAnsi="Times New Roman" w:cs="Times New Roman"/>
          <w:sz w:val="28"/>
          <w:szCs w:val="30"/>
        </w:rPr>
      </w:pPr>
      <w:r>
        <w:rPr>
          <w:rFonts w:ascii="Times New Roman" w:hAnsi="Times New Roman" w:cs="Times New Roman"/>
          <w:bCs/>
          <w:sz w:val="28"/>
          <w:szCs w:val="28"/>
        </w:rPr>
        <w:t>Technical specification for cycle process control of copper ore biological heap leaching</w:t>
      </w:r>
    </w:p>
    <w:p>
      <w:pPr>
        <w:jc w:val="center"/>
        <w:rPr>
          <w:rFonts w:ascii="Times New Roman" w:hAnsi="Times New Roman" w:cs="Times New Roman"/>
          <w:sz w:val="32"/>
          <w:szCs w:val="32"/>
        </w:rPr>
      </w:pPr>
      <w:r>
        <w:rPr>
          <w:rFonts w:ascii="Times New Roman" w:hAnsi="Times New Roman" w:cs="Times New Roman"/>
          <w:sz w:val="30"/>
          <w:szCs w:val="30"/>
        </w:rPr>
        <w:t>（</w:t>
      </w:r>
      <w:r>
        <w:rPr>
          <w:rFonts w:hint="eastAsia" w:ascii="Times New Roman" w:hAnsi="Times New Roman" w:cs="Times New Roman"/>
          <w:sz w:val="30"/>
          <w:szCs w:val="30"/>
          <w:lang w:val="en-US" w:eastAsia="zh-CN"/>
        </w:rPr>
        <w:t>送审</w:t>
      </w:r>
      <w:bookmarkStart w:id="41" w:name="_GoBack"/>
      <w:bookmarkEnd w:id="41"/>
      <w:r>
        <w:rPr>
          <w:rFonts w:ascii="Times New Roman" w:hAnsi="Times New Roman" w:cs="Times New Roman"/>
          <w:sz w:val="30"/>
          <w:szCs w:val="30"/>
        </w:rPr>
        <w:t>稿）</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margin">
                  <wp:posOffset>-226060</wp:posOffset>
                </wp:positionH>
                <wp:positionV relativeFrom="margin">
                  <wp:posOffset>6894830</wp:posOffset>
                </wp:positionV>
                <wp:extent cx="2019300" cy="312420"/>
                <wp:effectExtent l="0" t="0" r="7620" b="762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6"/>
                              <w:ind w:firstLine="211"/>
                              <w:rPr>
                                <w:b/>
                              </w:rPr>
                            </w:pPr>
                            <w:r>
                              <w:rPr>
                                <w:rFonts w:hint="eastAsia"/>
                                <w:b/>
                              </w:rPr>
                              <w:t>20××-××-××发布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8pt;margin-top:542.9pt;height:24.6pt;width:159pt;mso-position-horizontal-relative:margin;mso-position-vertical-relative:margin;z-index:251660288;mso-width-relative:page;mso-height-relative:page;" fillcolor="#FFFFFF" filled="t" stroked="f" coordsize="21600,21600" o:gfxdata="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NO7Nw2wAAAA0BAAAPAAAAAAAAAAEAIAAAACIAAABkcnMvZG93bnJldi54bWxQSwECFAAUAAAA&#10;CACHTuJAUSZ+byQCAAA+BAAADgAAAAAAAAABACAAAAAqAQAAZHJzL2Uyb0RvYy54bWxQSwUGAAAA&#10;AAYABgBZAQAAwAUAAAAA&#10;">
                <v:fill on="t" focussize="0,0"/>
                <v:stroke on="f"/>
                <v:imagedata o:title=""/>
                <o:lock v:ext="edit" aspectratio="f"/>
                <v:textbox inset="0mm,0mm,0mm,0mm">
                  <w:txbxContent>
                    <w:p>
                      <w:pPr>
                        <w:pStyle w:val="36"/>
                        <w:ind w:firstLine="211"/>
                        <w:rPr>
                          <w:b/>
                        </w:rPr>
                      </w:pPr>
                      <w:r>
                        <w:rPr>
                          <w:rFonts w:hint="eastAsia"/>
                          <w:b/>
                        </w:rPr>
                        <w:t>20××-××-××发布</w:t>
                      </w:r>
                    </w:p>
                  </w:txbxContent>
                </v:textbox>
                <w10:anchorlock/>
              </v:shape>
            </w:pict>
          </mc:Fallback>
        </mc:AlternateContent>
      </w:r>
    </w:p>
    <w:p>
      <w:pPr>
        <w:tabs>
          <w:tab w:val="left" w:pos="5265"/>
        </w:tabs>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margin">
                  <wp:posOffset>3597910</wp:posOffset>
                </wp:positionH>
                <wp:positionV relativeFrom="margin">
                  <wp:posOffset>6894830</wp:posOffset>
                </wp:positionV>
                <wp:extent cx="2019300" cy="312420"/>
                <wp:effectExtent l="0" t="0" r="7620" b="762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7"/>
                              <w:rPr>
                                <w:b/>
                              </w:rPr>
                            </w:pPr>
                            <w:r>
                              <w:rPr>
                                <w:rFonts w:hint="eastAsia"/>
                                <w:b/>
                              </w:rPr>
                              <w:t>20××-××-××实施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3pt;margin-top:542.9pt;height:24.6pt;width:159pt;mso-position-horizontal-relative:margin;mso-position-vertical-relative:margin;z-index:251661312;mso-width-relative:page;mso-height-relative:page;" fillcolor="#FFFFFF" filled="t" stroked="f" coordsize="21600,21600" o:gfxdata="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B7ZqXaAAAADQEAAA8AAAAAAAAAAQAgAAAAIgAAAGRycy9kb3ducmV2LnhtbFBLAQIUABQAAAAI&#10;AIdO4kCdIT0JJAIAAD4EAAAOAAAAAAAAAAEAIAAAACkBAABkcnMvZTJvRG9jLnhtbFBLBQYAAAAA&#10;BgAGAFkBAAC/BQAAAAA=&#10;">
                <v:fill on="t" focussize="0,0"/>
                <v:stroke on="f"/>
                <v:imagedata o:title=""/>
                <o:lock v:ext="edit" aspectratio="f"/>
                <v:textbox inset="0mm,0mm,0mm,0mm">
                  <w:txbxContent>
                    <w:p>
                      <w:pPr>
                        <w:pStyle w:val="37"/>
                        <w:rPr>
                          <w:b/>
                        </w:rPr>
                      </w:pPr>
                      <w:r>
                        <w:rPr>
                          <w:rFonts w:hint="eastAsia"/>
                          <w:b/>
                        </w:rPr>
                        <w:t>20××-××-××实施</w:t>
                      </w:r>
                    </w:p>
                  </w:txbxContent>
                </v:textbox>
                <w10:anchorlock/>
              </v:shape>
            </w:pict>
          </mc:Fallback>
        </mc:AlternateContent>
      </w:r>
      <w:r>
        <w:rPr>
          <w:rFonts w:ascii="Times New Roman" w:hAnsi="Times New Roman" w:cs="Times New Roman"/>
        </w:rPr>
        <mc:AlternateContent>
          <mc:Choice Requires="wps">
            <w:drawing>
              <wp:anchor distT="0" distB="0" distL="114300" distR="114300" simplePos="0" relativeHeight="251659264" behindDoc="0" locked="1" layoutInCell="1" allowOverlap="1">
                <wp:simplePos x="0" y="0"/>
                <wp:positionH relativeFrom="page">
                  <wp:posOffset>917575</wp:posOffset>
                </wp:positionH>
                <wp:positionV relativeFrom="page">
                  <wp:posOffset>8369935</wp:posOffset>
                </wp:positionV>
                <wp:extent cx="612076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anchor>
            </w:drawing>
          </mc:Choice>
          <mc:Fallback>
            <w:pict>
              <v:line id="_x0000_s1026" o:spid="_x0000_s1026" o:spt="20" style="position:absolute;left:0pt;margin-left:72.25pt;margin-top:659.05pt;height:0.05pt;width:481.95pt;mso-position-horizontal-relative:page;mso-position-vertical-relative:page;z-index:251659264;mso-width-relative:page;mso-height-relative:page;" filled="f" stroked="t" coordsize="21600,21600" o:gfxdata="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u4972wAAAA4BAAAPAAAAAAAAAAEAIAAA&#10;ACIAAABkcnMvZG93bnJldi54bWxQSwECFAAUAAAACACHTuJAfrGthQkCAAAKBAAADgAAAAAAAAAB&#10;ACAAAAAqAQAAZHJzL2Uyb0RvYy54bWxQSwUGAAAAAAYABgBZAQAApQUAAAAA&#10;">
                <v:fill on="f" focussize="0,0"/>
                <v:stroke color="#000000" joinstyle="round" startarrowwidth="narrow" startarrowlength="short" endarrowwidth="narrow" endarrowlength="short"/>
                <v:imagedata o:title=""/>
                <o:lock v:ext="edit" aspectratio="f"/>
                <w10:anchorlock/>
              </v:line>
            </w:pict>
          </mc:Fallback>
        </mc:AlternateContent>
      </w:r>
      <w:r>
        <w:rPr>
          <w:rFonts w:ascii="Times New Roman" w:hAnsi="Times New Roman" w:cs="Times New Roman"/>
        </w:rPr>
        <w:tab/>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黑体" w:cs="Times New Roman"/>
          <w:b/>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ind w:firstLine="1265" w:firstLineChars="350"/>
        <w:rPr>
          <w:rFonts w:ascii="Times New Roman" w:hAnsi="Times New Roman" w:cs="Times New Roman"/>
          <w:b/>
          <w:sz w:val="36"/>
          <w:szCs w:val="36"/>
        </w:rPr>
      </w:pPr>
    </w:p>
    <w:p>
      <w:pPr>
        <w:jc w:val="center"/>
        <w:rPr>
          <w:rFonts w:ascii="Times New Roman" w:hAnsi="Times New Roman" w:cs="Times New Roman"/>
          <w:b/>
          <w:sz w:val="28"/>
          <w:szCs w:val="28"/>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54" w:type="dxa"/>
            <w:vAlign w:val="center"/>
          </w:tcPr>
          <w:p>
            <w:pPr>
              <w:pStyle w:val="42"/>
              <w:jc w:val="right"/>
              <w:rPr>
                <w:rFonts w:ascii="黑体" w:eastAsia="黑体"/>
                <w:b w:val="0"/>
              </w:rPr>
            </w:pPr>
            <w:r>
              <w:rPr>
                <w:rFonts w:hint="eastAsia" w:ascii="黑体" w:eastAsia="黑体"/>
                <w:b w:val="0"/>
              </w:rPr>
              <w:t>中</w:t>
            </w:r>
            <w:r>
              <w:rPr>
                <w:rFonts w:hint="eastAsia" w:ascii="黑体" w:eastAsia="黑体"/>
                <w:b w:val="0"/>
                <w:sz w:val="11"/>
                <w:szCs w:val="11"/>
              </w:rPr>
              <w:t xml:space="preserve"> </w:t>
            </w:r>
            <w:r>
              <w:rPr>
                <w:rFonts w:hint="eastAsia" w:ascii="黑体" w:eastAsia="黑体"/>
                <w:b w:val="0"/>
              </w:rPr>
              <w:t>国</w:t>
            </w:r>
            <w:r>
              <w:rPr>
                <w:rFonts w:hint="eastAsia" w:ascii="黑体" w:eastAsia="黑体"/>
                <w:b w:val="0"/>
                <w:sz w:val="11"/>
                <w:szCs w:val="11"/>
              </w:rPr>
              <w:t xml:space="preserve"> </w:t>
            </w:r>
            <w:r>
              <w:rPr>
                <w:rFonts w:hint="eastAsia" w:ascii="黑体" w:eastAsia="黑体"/>
                <w:b w:val="0"/>
              </w:rPr>
              <w:t>有</w:t>
            </w:r>
            <w:r>
              <w:rPr>
                <w:rFonts w:hint="eastAsia" w:ascii="黑体" w:eastAsia="黑体"/>
                <w:b w:val="0"/>
                <w:sz w:val="11"/>
                <w:szCs w:val="11"/>
              </w:rPr>
              <w:t xml:space="preserve"> </w:t>
            </w:r>
            <w:r>
              <w:rPr>
                <w:rFonts w:hint="eastAsia" w:ascii="黑体" w:eastAsia="黑体"/>
                <w:b w:val="0"/>
              </w:rPr>
              <w:t>色</w:t>
            </w:r>
            <w:r>
              <w:rPr>
                <w:rFonts w:hint="eastAsia" w:ascii="黑体" w:eastAsia="黑体"/>
                <w:b w:val="0"/>
                <w:sz w:val="11"/>
                <w:szCs w:val="11"/>
              </w:rPr>
              <w:t xml:space="preserve"> </w:t>
            </w:r>
            <w:r>
              <w:rPr>
                <w:rFonts w:hint="eastAsia" w:ascii="黑体" w:eastAsia="黑体"/>
                <w:b w:val="0"/>
              </w:rPr>
              <w:t>金</w:t>
            </w:r>
            <w:r>
              <w:rPr>
                <w:rFonts w:hint="eastAsia" w:ascii="黑体" w:eastAsia="黑体"/>
                <w:b w:val="0"/>
                <w:sz w:val="11"/>
                <w:szCs w:val="11"/>
              </w:rPr>
              <w:t xml:space="preserve"> </w:t>
            </w:r>
            <w:r>
              <w:rPr>
                <w:rFonts w:hint="eastAsia" w:ascii="黑体" w:eastAsia="黑体"/>
                <w:b w:val="0"/>
              </w:rPr>
              <w:t>属</w:t>
            </w:r>
            <w:r>
              <w:rPr>
                <w:rFonts w:hint="eastAsia" w:ascii="黑体" w:eastAsia="黑体"/>
                <w:b w:val="0"/>
                <w:sz w:val="11"/>
                <w:szCs w:val="11"/>
              </w:rPr>
              <w:t xml:space="preserve"> </w:t>
            </w:r>
            <w:r>
              <w:rPr>
                <w:rFonts w:hint="eastAsia" w:ascii="黑体" w:eastAsia="黑体"/>
                <w:b w:val="0"/>
              </w:rPr>
              <w:t>工</w:t>
            </w:r>
            <w:r>
              <w:rPr>
                <w:rFonts w:hint="eastAsia" w:ascii="黑体" w:eastAsia="黑体"/>
                <w:b w:val="0"/>
                <w:sz w:val="11"/>
                <w:szCs w:val="11"/>
              </w:rPr>
              <w:t xml:space="preserve"> </w:t>
            </w:r>
            <w:r>
              <w:rPr>
                <w:rFonts w:hint="eastAsia" w:ascii="黑体" w:eastAsia="黑体"/>
                <w:b w:val="0"/>
              </w:rPr>
              <w:t>业</w:t>
            </w:r>
            <w:r>
              <w:rPr>
                <w:rFonts w:hint="eastAsia" w:ascii="黑体" w:eastAsia="黑体"/>
                <w:b w:val="0"/>
                <w:sz w:val="11"/>
                <w:szCs w:val="11"/>
              </w:rPr>
              <w:t xml:space="preserve"> </w:t>
            </w:r>
            <w:r>
              <w:rPr>
                <w:rFonts w:hint="eastAsia" w:ascii="黑体" w:eastAsia="黑体"/>
                <w:b w:val="0"/>
              </w:rPr>
              <w:t>协</w:t>
            </w:r>
            <w:r>
              <w:rPr>
                <w:rFonts w:hint="eastAsia" w:ascii="黑体" w:eastAsia="黑体"/>
                <w:b w:val="0"/>
                <w:sz w:val="11"/>
                <w:szCs w:val="11"/>
              </w:rPr>
              <w:t xml:space="preserve"> </w:t>
            </w:r>
            <w:r>
              <w:rPr>
                <w:rFonts w:hint="eastAsia" w:ascii="黑体" w:eastAsia="黑体"/>
                <w:b w:val="0"/>
              </w:rPr>
              <w:t>会</w:t>
            </w:r>
          </w:p>
        </w:tc>
        <w:tc>
          <w:tcPr>
            <w:tcW w:w="1468" w:type="dxa"/>
            <w:vMerge w:val="restart"/>
            <w:vAlign w:val="center"/>
          </w:tcPr>
          <w:p>
            <w:pPr>
              <w:pStyle w:val="42"/>
              <w:jc w:val="left"/>
              <w:rPr>
                <w:rFonts w:ascii="黑体" w:eastAsia="黑体"/>
                <w:b w:val="0"/>
              </w:rPr>
            </w:pPr>
            <w:r>
              <w:rPr>
                <w:rFonts w:hint="eastAsia" w:ascii="黑体" w:eastAsia="黑体"/>
                <w:b w:val="0"/>
              </w:rPr>
              <w:t>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vAlign w:val="center"/>
          </w:tcPr>
          <w:p>
            <w:pPr>
              <w:pStyle w:val="42"/>
              <w:jc w:val="right"/>
              <w:rPr>
                <w:rFonts w:ascii="黑体" w:eastAsia="黑体"/>
                <w:b w:val="0"/>
              </w:rPr>
            </w:pPr>
            <w:r>
              <w:rPr>
                <w:rFonts w:hint="eastAsia" w:ascii="黑体" w:eastAsia="黑体"/>
                <w:b w:val="0"/>
              </w:rPr>
              <w:t>有色金属标准化技术委员会</w:t>
            </w:r>
          </w:p>
        </w:tc>
        <w:tc>
          <w:tcPr>
            <w:tcW w:w="1468" w:type="dxa"/>
            <w:vMerge w:val="continue"/>
            <w:vAlign w:val="center"/>
          </w:tcPr>
          <w:p>
            <w:pPr>
              <w:jc w:val="center"/>
              <w:rPr>
                <w:rFonts w:ascii="Times New Roman" w:hAnsi="Times New Roman" w:cs="Times New Roman"/>
                <w:b/>
                <w:sz w:val="36"/>
                <w:szCs w:val="36"/>
              </w:rPr>
            </w:pPr>
          </w:p>
        </w:tc>
      </w:tr>
    </w:tbl>
    <w:p>
      <w:pPr>
        <w:ind w:firstLine="1265" w:firstLineChars="350"/>
        <w:jc w:val="center"/>
        <w:rPr>
          <w:rFonts w:ascii="Times New Roman" w:hAnsi="Times New Roman" w:cs="Times New Roman"/>
          <w:b/>
          <w:sz w:val="36"/>
          <w:szCs w:val="36"/>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rPr>
          <w:rFonts w:ascii="Times New Roman" w:hAnsi="Times New Roman" w:eastAsia="黑体" w:cs="Times New Roman"/>
          <w:b/>
          <w:sz w:val="32"/>
        </w:rPr>
      </w:pPr>
    </w:p>
    <w:p>
      <w:pPr>
        <w:pStyle w:val="3"/>
        <w:jc w:val="center"/>
        <w:rPr>
          <w:sz w:val="32"/>
        </w:rPr>
      </w:pPr>
      <w:bookmarkStart w:id="0" w:name="_Toc71182013"/>
      <w:r>
        <w:rPr>
          <w:sz w:val="32"/>
        </w:rPr>
        <w:t>前</w:t>
      </w:r>
      <w:r>
        <w:rPr>
          <w:rFonts w:hint="eastAsia"/>
          <w:sz w:val="32"/>
        </w:rPr>
        <w:t xml:space="preserve">  </w:t>
      </w:r>
      <w:r>
        <w:rPr>
          <w:sz w:val="32"/>
        </w:rPr>
        <w:t>言</w:t>
      </w:r>
      <w:bookmarkEnd w:id="0"/>
    </w:p>
    <w:p>
      <w:pPr>
        <w:ind w:firstLine="420" w:firstLineChars="200"/>
        <w:rPr>
          <w:rFonts w:ascii="Times New Roman" w:hAnsi="Times New Roman" w:cs="Times New Roman"/>
        </w:rPr>
      </w:pPr>
      <w:r>
        <w:rPr>
          <w:rFonts w:hint="eastAsia" w:ascii="Times New Roman" w:hAnsi="Times New Roman" w:cs="Times New Roman"/>
        </w:rPr>
        <w:t>本文件按照GB/T1.1-2020《标准化工作导则 第1部分：标准化文件的结构和起草规则》的规定起草。</w:t>
      </w:r>
    </w:p>
    <w:p>
      <w:pPr>
        <w:ind w:firstLine="420" w:firstLineChars="200"/>
        <w:rPr>
          <w:rFonts w:ascii="Times New Roman" w:hAnsi="Times New Roman" w:cs="Times New Roman"/>
        </w:rPr>
      </w:pPr>
      <w:r>
        <w:rPr>
          <w:rFonts w:hint="eastAsia" w:ascii="Times New Roman" w:hAnsi="Times New Roman" w:cs="Times New Roman"/>
        </w:rPr>
        <w:t>请注意本文件的某些内容可能涉及专利。本文件的发布机构不承担识别专利的责任。</w:t>
      </w:r>
    </w:p>
    <w:p>
      <w:pPr>
        <w:ind w:firstLine="420" w:firstLineChars="200"/>
        <w:rPr>
          <w:rFonts w:ascii="Times New Roman" w:hAnsi="Times New Roman" w:cs="Times New Roman"/>
        </w:rPr>
      </w:pPr>
      <w:r>
        <w:rPr>
          <w:rFonts w:hint="eastAsia" w:ascii="Times New Roman" w:hAnsi="Times New Roman" w:cs="Times New Roman"/>
        </w:rPr>
        <w:t>本文件由全国有色金属标准化技术委员会(SAC/TC243)提出并归口。</w:t>
      </w:r>
    </w:p>
    <w:p>
      <w:pPr>
        <w:ind w:firstLine="420" w:firstLineChars="200"/>
        <w:rPr>
          <w:rFonts w:ascii="Times New Roman" w:hAnsi="Times New Roman" w:cs="Times New Roman"/>
        </w:rPr>
      </w:pPr>
      <w:r>
        <w:rPr>
          <w:rFonts w:hint="eastAsia" w:ascii="Times New Roman" w:hAnsi="Times New Roman" w:cs="Times New Roman"/>
        </w:rPr>
        <w:t>本文件起草单位：有研资源环境技术研究院（北京）有限公司、有研科技集团有限公司、紫金矿业集团股份有限公司、北方矿业有限责任公司、中南大学、中国科学院过程工程研究所。</w:t>
      </w:r>
    </w:p>
    <w:p>
      <w:pPr>
        <w:ind w:firstLine="420" w:firstLineChars="200"/>
        <w:rPr>
          <w:rFonts w:ascii="Times New Roman" w:hAnsi="Times New Roman" w:cs="Times New Roman"/>
        </w:rPr>
      </w:pPr>
      <w:r>
        <w:rPr>
          <w:rFonts w:hint="eastAsia" w:ascii="Times New Roman" w:hAnsi="Times New Roman" w:cs="Times New Roman"/>
        </w:rPr>
        <w:t>本文件主要起草人：杨鑫龙、刘学、孙建之、温建康、尚鹤、莫晓兰、王军、张雁生、谢建平、伍赠玲、贾炎、梁新星、王大文。</w:t>
      </w: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sectPr>
          <w:footerReference r:id="rId6" w:type="even"/>
          <w:pgSz w:w="11906" w:h="16838"/>
          <w:pgMar w:top="1440" w:right="1800" w:bottom="1440" w:left="1800" w:header="851" w:footer="992" w:gutter="0"/>
          <w:pgNumType w:fmt="upperRoman" w:start="2"/>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铜矿石生物堆浸循环过程控制技术规范</w:t>
      </w:r>
    </w:p>
    <w:p>
      <w:pPr>
        <w:pStyle w:val="3"/>
        <w:spacing w:line="360" w:lineRule="auto"/>
        <w:rPr>
          <w:rFonts w:ascii="黑体" w:hAnsi="黑体" w:cs="Times New Roman"/>
        </w:rPr>
      </w:pPr>
      <w:bookmarkStart w:id="1" w:name="_Toc71182014"/>
      <w:r>
        <w:rPr>
          <w:rFonts w:ascii="黑体" w:hAnsi="黑体" w:cs="Times New Roman"/>
        </w:rPr>
        <w:t>1 范围</w:t>
      </w:r>
      <w:bookmarkEnd w:id="1"/>
    </w:p>
    <w:p>
      <w:pPr>
        <w:ind w:firstLine="420" w:firstLineChars="200"/>
        <w:jc w:val="left"/>
        <w:rPr>
          <w:rFonts w:ascii="Times New Roman" w:hAnsi="Times New Roman" w:cs="Times New Roman"/>
          <w:szCs w:val="21"/>
        </w:rPr>
      </w:pPr>
      <w:r>
        <w:rPr>
          <w:rFonts w:hint="eastAsia" w:ascii="Times New Roman" w:hAnsi="Times New Roman" w:cs="Times New Roman"/>
          <w:szCs w:val="21"/>
        </w:rPr>
        <w:t>本文件规定了铜矿石生物堆浸循环过程控制的技术要求、设备要求及取样和检测要求。</w:t>
      </w:r>
    </w:p>
    <w:p>
      <w:pPr>
        <w:ind w:firstLine="420" w:firstLineChars="200"/>
        <w:jc w:val="left"/>
        <w:rPr>
          <w:rFonts w:ascii="Times New Roman" w:hAnsi="Times New Roman" w:cs="Times New Roman"/>
          <w:szCs w:val="21"/>
        </w:rPr>
      </w:pPr>
      <w:r>
        <w:rPr>
          <w:rFonts w:hint="eastAsia" w:ascii="Times New Roman" w:hAnsi="Times New Roman" w:cs="Times New Roman"/>
          <w:szCs w:val="21"/>
        </w:rPr>
        <w:t>本文件适用于可溶性钙镁总含量（质量分数）不大于15%的氧硫混合铜矿及硫化铜矿生物堆浸生产。</w:t>
      </w:r>
    </w:p>
    <w:p>
      <w:pPr>
        <w:pStyle w:val="3"/>
        <w:spacing w:line="360" w:lineRule="auto"/>
        <w:rPr>
          <w:rFonts w:ascii="黑体" w:hAnsi="黑体" w:cs="Times New Roman"/>
        </w:rPr>
      </w:pPr>
      <w:bookmarkStart w:id="2" w:name="_Toc71182015"/>
      <w:r>
        <w:rPr>
          <w:rFonts w:ascii="黑体" w:hAnsi="黑体" w:cs="Times New Roman"/>
        </w:rPr>
        <w:t>2 规范性引用文件</w:t>
      </w:r>
      <w:bookmarkEnd w:id="2"/>
    </w:p>
    <w:p>
      <w:pPr>
        <w:adjustRightInd w:val="0"/>
        <w:snapToGrid w:val="0"/>
        <w:spacing w:line="360" w:lineRule="exact"/>
        <w:ind w:firstLine="420" w:firstLineChars="200"/>
        <w:jc w:val="left"/>
        <w:textAlignment w:val="baseline"/>
        <w:rPr>
          <w:rFonts w:ascii="Times New Roman" w:hAnsi="Times New Roman" w:eastAsia="宋体" w:cs="Times New Roman"/>
          <w:spacing w:val="-2"/>
          <w:kern w:val="0"/>
          <w:szCs w:val="21"/>
        </w:rPr>
      </w:pPr>
      <w:r>
        <w:rPr>
          <w:rFonts w:ascii="Times New Roman" w:hAnsi="宋体" w:eastAsia="宋体" w:cs="Times New Roman"/>
          <w:kern w:val="0"/>
          <w:szCs w:val="20"/>
        </w:rPr>
        <w:t>下列文件</w:t>
      </w:r>
      <w:r>
        <w:rPr>
          <w:rFonts w:hint="eastAsia" w:ascii="Times New Roman" w:hAnsi="宋体" w:eastAsia="宋体" w:cs="Times New Roman"/>
          <w:kern w:val="0"/>
          <w:szCs w:val="20"/>
        </w:rPr>
        <w:t>的内容通过文中的规范性引用而构成本文件必不可少的条款</w:t>
      </w:r>
      <w:r>
        <w:rPr>
          <w:rFonts w:ascii="Times New Roman" w:hAnsi="宋体" w:eastAsia="宋体" w:cs="Times New Roman"/>
          <w:kern w:val="0"/>
          <w:szCs w:val="20"/>
        </w:rPr>
        <w:t>。</w:t>
      </w:r>
      <w:r>
        <w:rPr>
          <w:rFonts w:hint="eastAsia" w:ascii="Times New Roman" w:hAnsi="宋体" w:eastAsia="宋体" w:cs="Times New Roman"/>
          <w:kern w:val="0"/>
          <w:szCs w:val="20"/>
        </w:rPr>
        <w:t>其中，</w:t>
      </w:r>
      <w:r>
        <w:rPr>
          <w:rFonts w:ascii="Times New Roman" w:hAnsi="宋体" w:eastAsia="宋体" w:cs="Times New Roman"/>
          <w:kern w:val="0"/>
          <w:szCs w:val="20"/>
        </w:rPr>
        <w:t>注日期的引用文件，仅</w:t>
      </w:r>
      <w:r>
        <w:rPr>
          <w:rFonts w:hint="eastAsia" w:ascii="Times New Roman" w:hAnsi="宋体" w:eastAsia="宋体" w:cs="Times New Roman"/>
          <w:kern w:val="0"/>
          <w:szCs w:val="20"/>
        </w:rPr>
        <w:t>该</w:t>
      </w:r>
      <w:r>
        <w:rPr>
          <w:rFonts w:ascii="Times New Roman" w:hAnsi="宋体" w:eastAsia="宋体" w:cs="Times New Roman"/>
          <w:kern w:val="0"/>
          <w:szCs w:val="20"/>
        </w:rPr>
        <w:t>日期</w:t>
      </w:r>
      <w:r>
        <w:rPr>
          <w:rFonts w:hint="eastAsia" w:ascii="Times New Roman" w:hAnsi="宋体" w:eastAsia="宋体" w:cs="Times New Roman"/>
          <w:kern w:val="0"/>
          <w:szCs w:val="20"/>
        </w:rPr>
        <w:t>对应</w:t>
      </w:r>
      <w:r>
        <w:rPr>
          <w:rFonts w:ascii="Times New Roman" w:hAnsi="宋体" w:eastAsia="宋体" w:cs="Times New Roman"/>
          <w:kern w:val="0"/>
          <w:szCs w:val="20"/>
        </w:rPr>
        <w:t>的版本适用于本文件</w:t>
      </w:r>
      <w:r>
        <w:rPr>
          <w:rFonts w:hint="eastAsia" w:ascii="Times New Roman" w:hAnsi="宋体" w:eastAsia="宋体" w:cs="Times New Roman"/>
          <w:kern w:val="0"/>
          <w:szCs w:val="20"/>
        </w:rPr>
        <w:t>；</w:t>
      </w:r>
      <w:r>
        <w:rPr>
          <w:rFonts w:ascii="Times New Roman" w:hAnsi="宋体" w:eastAsia="宋体" w:cs="Times New Roman"/>
          <w:kern w:val="0"/>
          <w:szCs w:val="20"/>
        </w:rPr>
        <w:t>不注日期的引用文件，其最新版本（包括所有的修改单）适用于本文件。</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GB 5085.3  危险废物鉴别标准 浸出毒性鉴别</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GB</w:t>
      </w:r>
      <w:r>
        <w:rPr>
          <w:rFonts w:ascii="Times New Roman" w:hAnsi="Times New Roman" w:eastAsia="宋体" w:cs="Times New Roman"/>
          <w:kern w:val="0"/>
          <w:szCs w:val="20"/>
        </w:rPr>
        <w:t xml:space="preserve"> 51411  </w:t>
      </w:r>
      <w:r>
        <w:rPr>
          <w:rFonts w:hint="eastAsia" w:ascii="Times New Roman" w:hAnsi="Times New Roman" w:eastAsia="宋体" w:cs="Times New Roman"/>
          <w:kern w:val="0"/>
          <w:szCs w:val="20"/>
        </w:rPr>
        <w:t>金属矿山土地复垦工程设计标准</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GB/T 6920  水质 pH值的测定 玻璃电极法</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GB/T 30989  高通量基因测序技术规程</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GB</w:t>
      </w:r>
      <w:r>
        <w:rPr>
          <w:rFonts w:ascii="Times New Roman" w:hAnsi="Times New Roman" w:eastAsia="宋体" w:cs="Times New Roman"/>
          <w:kern w:val="0"/>
          <w:szCs w:val="20"/>
        </w:rPr>
        <w:t xml:space="preserve">/T 33705  </w:t>
      </w:r>
      <w:r>
        <w:rPr>
          <w:rFonts w:hint="eastAsia" w:ascii="Times New Roman" w:hAnsi="Times New Roman" w:eastAsia="宋体" w:cs="Times New Roman"/>
          <w:kern w:val="0"/>
          <w:szCs w:val="20"/>
        </w:rPr>
        <w:t>土壤水分观测 频域反射法</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GB/T 41184.1</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土壤水分蒸发测量仪器 第1部分：水力式蒸发器</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GB/T 51404  有色金属堆浸场浸出液收集系统技术标准</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DZ/T 0227  地质岩心钻探规程</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HJ/T 20  工业固体废物采样制样技术规范</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HJ/T 298  危险废物鉴别技术规范</w:t>
      </w:r>
    </w:p>
    <w:p>
      <w:pPr>
        <w:pStyle w:val="8"/>
        <w:spacing w:after="0"/>
        <w:ind w:left="0" w:leftChars="0" w:firstLine="420" w:firstLineChars="200"/>
      </w:pPr>
      <w:r>
        <w:rPr>
          <w:rFonts w:hint="eastAsia"/>
          <w:kern w:val="0"/>
          <w:szCs w:val="20"/>
        </w:rPr>
        <w:t>HJ/T 299  固体废物 浸出毒性浸出方法 硫酸硝酸法</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HJ 494 水质 采样技术指导</w:t>
      </w:r>
    </w:p>
    <w:p>
      <w:pPr>
        <w:tabs>
          <w:tab w:val="left" w:pos="2734"/>
        </w:tabs>
        <w:adjustRightInd w:val="0"/>
        <w:snapToGrid w:val="0"/>
        <w:spacing w:line="360" w:lineRule="exac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 xml:space="preserve">SL 21 </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降水量观测规范</w:t>
      </w:r>
    </w:p>
    <w:p>
      <w:pPr>
        <w:pStyle w:val="3"/>
        <w:spacing w:line="360" w:lineRule="auto"/>
        <w:rPr>
          <w:rFonts w:ascii="黑体" w:hAnsi="黑体" w:cs="Times New Roman"/>
        </w:rPr>
      </w:pPr>
      <w:bookmarkStart w:id="3" w:name="_Toc71182016"/>
      <w:r>
        <w:rPr>
          <w:rFonts w:ascii="黑体" w:hAnsi="黑体" w:cs="Times New Roman"/>
        </w:rPr>
        <w:t>3 术语及定义</w:t>
      </w:r>
      <w:bookmarkEnd w:id="3"/>
    </w:p>
    <w:p>
      <w:pPr>
        <w:adjustRightInd w:val="0"/>
        <w:snapToGrid w:val="0"/>
        <w:spacing w:line="360" w:lineRule="exac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下列术语和定义适用于本文件。</w:t>
      </w:r>
    </w:p>
    <w:p>
      <w:pPr>
        <w:adjustRightInd w:val="0"/>
        <w:snapToGrid w:val="0"/>
        <w:spacing w:line="360" w:lineRule="exact"/>
        <w:jc w:val="left"/>
        <w:textAlignment w:val="baseline"/>
        <w:rPr>
          <w:rFonts w:ascii="黑体" w:hAnsi="黑体" w:eastAsia="黑体" w:cs="Times New Roman"/>
          <w:kern w:val="0"/>
          <w:szCs w:val="20"/>
        </w:rPr>
      </w:pPr>
      <w:r>
        <w:rPr>
          <w:rFonts w:ascii="黑体" w:hAnsi="黑体" w:eastAsia="黑体" w:cs="Times New Roman"/>
          <w:kern w:val="0"/>
          <w:szCs w:val="20"/>
        </w:rPr>
        <w:t xml:space="preserve">3.1 </w:t>
      </w:r>
    </w:p>
    <w:p>
      <w:pPr>
        <w:adjustRightInd w:val="0"/>
        <w:snapToGrid w:val="0"/>
        <w:spacing w:line="360" w:lineRule="exact"/>
        <w:ind w:firstLine="420" w:firstLineChars="200"/>
        <w:jc w:val="left"/>
        <w:textAlignment w:val="baseline"/>
        <w:rPr>
          <w:rFonts w:ascii="黑体" w:hAnsi="黑体" w:eastAsia="黑体" w:cs="Times New Roman"/>
          <w:kern w:val="0"/>
          <w:szCs w:val="20"/>
        </w:rPr>
      </w:pPr>
      <w:r>
        <w:rPr>
          <w:rFonts w:hint="eastAsia" w:ascii="黑体" w:hAnsi="黑体" w:eastAsia="黑体" w:cs="Times New Roman"/>
          <w:kern w:val="0"/>
          <w:szCs w:val="20"/>
        </w:rPr>
        <w:t>生物堆浸</w:t>
      </w:r>
      <w:r>
        <w:rPr>
          <w:rFonts w:ascii="黑体" w:hAnsi="黑体" w:eastAsia="黑体" w:cs="Times New Roman"/>
          <w:kern w:val="0"/>
          <w:szCs w:val="20"/>
        </w:rPr>
        <w:t xml:space="preserve">  heap bioleaching</w:t>
      </w:r>
    </w:p>
    <w:p>
      <w:pPr>
        <w:adjustRightInd w:val="0"/>
        <w:snapToGrid w:val="0"/>
        <w:spacing w:line="360" w:lineRule="exact"/>
        <w:ind w:firstLine="42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在不透水的基底上，将矿石或含矿废渣直接或经破碎、造粒后筑成矿堆，使含浸矿微生物的浸出剂溶液在矿堆中渗透，溶解目标组分，收集浸出液并回收目标组分的工艺过程。</w:t>
      </w:r>
    </w:p>
    <w:p>
      <w:pPr>
        <w:adjustRightInd w:val="0"/>
        <w:snapToGrid w:val="0"/>
        <w:spacing w:line="360" w:lineRule="exact"/>
        <w:jc w:val="left"/>
        <w:textAlignment w:val="baseline"/>
        <w:rPr>
          <w:rFonts w:ascii="黑体" w:hAnsi="黑体" w:eastAsia="黑体" w:cs="Times New Roman"/>
          <w:kern w:val="0"/>
          <w:szCs w:val="20"/>
        </w:rPr>
      </w:pPr>
      <w:r>
        <w:rPr>
          <w:rFonts w:ascii="黑体" w:hAnsi="黑体" w:eastAsia="黑体" w:cs="Times New Roman"/>
          <w:kern w:val="0"/>
          <w:szCs w:val="20"/>
        </w:rPr>
        <w:t xml:space="preserve">3.2 </w:t>
      </w:r>
    </w:p>
    <w:p>
      <w:pPr>
        <w:adjustRightInd w:val="0"/>
        <w:snapToGrid w:val="0"/>
        <w:spacing w:line="360" w:lineRule="exact"/>
        <w:ind w:firstLine="420" w:firstLineChars="200"/>
        <w:jc w:val="left"/>
        <w:textAlignment w:val="baseline"/>
        <w:rPr>
          <w:rFonts w:ascii="黑体" w:hAnsi="黑体" w:eastAsia="黑体" w:cs="Times New Roman"/>
          <w:kern w:val="0"/>
          <w:szCs w:val="20"/>
        </w:rPr>
      </w:pPr>
      <w:r>
        <w:rPr>
          <w:rFonts w:hint="eastAsia" w:ascii="黑体" w:hAnsi="黑体" w:eastAsia="黑体" w:cs="Times New Roman"/>
          <w:kern w:val="0"/>
          <w:szCs w:val="20"/>
        </w:rPr>
        <w:t>浸矿微生物</w:t>
      </w:r>
      <w:r>
        <w:rPr>
          <w:rFonts w:ascii="黑体" w:hAnsi="黑体" w:eastAsia="黑体" w:cs="Times New Roman"/>
          <w:kern w:val="0"/>
          <w:szCs w:val="20"/>
        </w:rPr>
        <w:t xml:space="preserve">  </w:t>
      </w:r>
      <w:r>
        <w:rPr>
          <w:rFonts w:hint="eastAsia" w:ascii="黑体" w:hAnsi="黑体" w:eastAsia="黑体" w:cs="Times New Roman"/>
          <w:kern w:val="0"/>
          <w:szCs w:val="20"/>
        </w:rPr>
        <w:t>b</w:t>
      </w:r>
      <w:r>
        <w:rPr>
          <w:rFonts w:ascii="黑体" w:hAnsi="黑体" w:eastAsia="黑体" w:cs="Times New Roman"/>
          <w:kern w:val="0"/>
          <w:szCs w:val="20"/>
        </w:rPr>
        <w:t>ioleaching microbial</w:t>
      </w:r>
    </w:p>
    <w:p>
      <w:pPr>
        <w:adjustRightInd w:val="0"/>
        <w:snapToGrid w:val="0"/>
        <w:spacing w:line="360" w:lineRule="exact"/>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 xml:space="preserve">    可以直接或间接地参与金属硫化物或氧化物的氧化和溶解过程的微生物。</w:t>
      </w:r>
    </w:p>
    <w:p>
      <w:pPr>
        <w:adjustRightInd w:val="0"/>
        <w:snapToGrid w:val="0"/>
        <w:spacing w:line="360" w:lineRule="exact"/>
        <w:jc w:val="left"/>
        <w:textAlignment w:val="baseline"/>
        <w:rPr>
          <w:rFonts w:ascii="黑体" w:hAnsi="黑体" w:eastAsia="黑体" w:cs="Times New Roman"/>
          <w:kern w:val="0"/>
          <w:szCs w:val="20"/>
        </w:rPr>
      </w:pPr>
      <w:r>
        <w:rPr>
          <w:rFonts w:ascii="黑体" w:hAnsi="黑体" w:eastAsia="黑体" w:cs="Times New Roman"/>
          <w:kern w:val="0"/>
          <w:szCs w:val="20"/>
        </w:rPr>
        <w:t xml:space="preserve">3.3 </w:t>
      </w:r>
    </w:p>
    <w:p>
      <w:pPr>
        <w:adjustRightInd w:val="0"/>
        <w:snapToGrid w:val="0"/>
        <w:spacing w:line="360" w:lineRule="exact"/>
        <w:ind w:firstLine="420" w:firstLineChars="200"/>
        <w:jc w:val="left"/>
        <w:textAlignment w:val="baseline"/>
        <w:rPr>
          <w:rFonts w:ascii="黑体" w:hAnsi="黑体" w:eastAsia="黑体" w:cs="Times New Roman"/>
          <w:kern w:val="0"/>
          <w:szCs w:val="20"/>
        </w:rPr>
      </w:pPr>
      <w:r>
        <w:rPr>
          <w:rFonts w:hint="eastAsia" w:ascii="黑体" w:hAnsi="黑体" w:eastAsia="黑体" w:cs="Times New Roman"/>
          <w:kern w:val="0"/>
          <w:szCs w:val="20"/>
        </w:rPr>
        <w:t>接种</w:t>
      </w:r>
      <w:r>
        <w:rPr>
          <w:rFonts w:ascii="黑体" w:hAnsi="黑体" w:eastAsia="黑体" w:cs="Times New Roman"/>
          <w:kern w:val="0"/>
          <w:szCs w:val="20"/>
        </w:rPr>
        <w:t xml:space="preserve">  </w:t>
      </w:r>
      <w:r>
        <w:rPr>
          <w:rFonts w:hint="eastAsia" w:ascii="黑体" w:hAnsi="黑体" w:eastAsia="黑体" w:cs="Times New Roman"/>
          <w:kern w:val="0"/>
          <w:szCs w:val="20"/>
        </w:rPr>
        <w:t>i</w:t>
      </w:r>
      <w:r>
        <w:rPr>
          <w:rFonts w:ascii="黑体" w:hAnsi="黑体" w:eastAsia="黑体" w:cs="Times New Roman"/>
          <w:kern w:val="0"/>
          <w:szCs w:val="20"/>
        </w:rPr>
        <w:t>noculation</w:t>
      </w:r>
    </w:p>
    <w:p>
      <w:pPr>
        <w:adjustRightInd w:val="0"/>
        <w:snapToGrid w:val="0"/>
        <w:spacing w:line="360" w:lineRule="exact"/>
        <w:ind w:firstLine="42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将浸矿微生物接种入矿堆的过程。</w:t>
      </w:r>
    </w:p>
    <w:p>
      <w:pPr>
        <w:adjustRightInd w:val="0"/>
        <w:snapToGrid w:val="0"/>
        <w:spacing w:line="360" w:lineRule="exact"/>
        <w:jc w:val="left"/>
        <w:textAlignment w:val="baseline"/>
        <w:rPr>
          <w:rFonts w:ascii="黑体" w:hAnsi="黑体" w:eastAsia="黑体" w:cs="Times New Roman"/>
          <w:kern w:val="0"/>
          <w:szCs w:val="20"/>
        </w:rPr>
      </w:pPr>
      <w:r>
        <w:rPr>
          <w:rFonts w:ascii="黑体" w:hAnsi="黑体" w:eastAsia="黑体" w:cs="Times New Roman"/>
          <w:kern w:val="0"/>
          <w:szCs w:val="20"/>
        </w:rPr>
        <w:t xml:space="preserve">3.4 </w:t>
      </w:r>
    </w:p>
    <w:p>
      <w:pPr>
        <w:adjustRightInd w:val="0"/>
        <w:snapToGrid w:val="0"/>
        <w:spacing w:line="360" w:lineRule="exact"/>
        <w:ind w:firstLine="420" w:firstLineChars="200"/>
        <w:jc w:val="left"/>
        <w:textAlignment w:val="baseline"/>
        <w:rPr>
          <w:rFonts w:ascii="黑体" w:hAnsi="黑体" w:eastAsia="黑体" w:cs="Times New Roman"/>
          <w:kern w:val="0"/>
          <w:szCs w:val="20"/>
        </w:rPr>
      </w:pPr>
      <w:r>
        <w:rPr>
          <w:rFonts w:hint="eastAsia" w:ascii="黑体" w:hAnsi="黑体" w:eastAsia="黑体" w:cs="Times New Roman"/>
          <w:kern w:val="0"/>
          <w:szCs w:val="20"/>
        </w:rPr>
        <w:t>布液</w:t>
      </w:r>
      <w:r>
        <w:rPr>
          <w:rFonts w:ascii="黑体" w:hAnsi="黑体" w:eastAsia="黑体" w:cs="Times New Roman"/>
          <w:kern w:val="0"/>
          <w:szCs w:val="20"/>
        </w:rPr>
        <w:t xml:space="preserve">  </w:t>
      </w:r>
      <w:r>
        <w:rPr>
          <w:rFonts w:hint="eastAsia" w:ascii="黑体" w:hAnsi="黑体" w:eastAsia="黑体" w:cs="Times New Roman"/>
          <w:kern w:val="0"/>
          <w:szCs w:val="20"/>
        </w:rPr>
        <w:t>s</w:t>
      </w:r>
      <w:r>
        <w:rPr>
          <w:rFonts w:ascii="黑体" w:hAnsi="黑体" w:eastAsia="黑体" w:cs="Times New Roman"/>
          <w:kern w:val="0"/>
          <w:szCs w:val="20"/>
        </w:rPr>
        <w:t>olution distributing</w:t>
      </w:r>
    </w:p>
    <w:p>
      <w:pPr>
        <w:adjustRightInd w:val="0"/>
        <w:snapToGrid w:val="0"/>
        <w:spacing w:line="360" w:lineRule="exac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将溶液在矿堆表面均匀分布并使其与矿石充分接触的过程。</w:t>
      </w:r>
    </w:p>
    <w:p>
      <w:pPr>
        <w:adjustRightInd w:val="0"/>
        <w:snapToGrid w:val="0"/>
        <w:spacing w:line="360" w:lineRule="exact"/>
        <w:jc w:val="left"/>
        <w:textAlignment w:val="baseline"/>
        <w:rPr>
          <w:rFonts w:ascii="黑体" w:hAnsi="黑体" w:eastAsia="黑体" w:cs="Times New Roman"/>
          <w:kern w:val="0"/>
          <w:szCs w:val="20"/>
        </w:rPr>
      </w:pPr>
      <w:r>
        <w:rPr>
          <w:rFonts w:ascii="黑体" w:hAnsi="黑体" w:eastAsia="黑体" w:cs="Times New Roman"/>
          <w:kern w:val="0"/>
          <w:szCs w:val="20"/>
        </w:rPr>
        <w:t xml:space="preserve">3.5 </w:t>
      </w:r>
    </w:p>
    <w:p>
      <w:pPr>
        <w:adjustRightInd w:val="0"/>
        <w:snapToGrid w:val="0"/>
        <w:spacing w:line="360" w:lineRule="exact"/>
        <w:ind w:firstLine="420" w:firstLineChars="200"/>
        <w:jc w:val="left"/>
        <w:textAlignment w:val="baseline"/>
        <w:rPr>
          <w:rFonts w:ascii="黑体" w:hAnsi="黑体" w:eastAsia="黑体" w:cs="Times New Roman"/>
          <w:kern w:val="0"/>
          <w:szCs w:val="20"/>
        </w:rPr>
      </w:pPr>
      <w:r>
        <w:rPr>
          <w:rFonts w:hint="eastAsia" w:ascii="黑体" w:hAnsi="黑体" w:eastAsia="黑体" w:cs="Times New Roman"/>
          <w:kern w:val="0"/>
          <w:szCs w:val="20"/>
        </w:rPr>
        <w:t>浸出液</w:t>
      </w:r>
      <w:r>
        <w:rPr>
          <w:rFonts w:ascii="黑体" w:hAnsi="黑体" w:eastAsia="黑体" w:cs="Times New Roman"/>
          <w:kern w:val="0"/>
          <w:szCs w:val="20"/>
        </w:rPr>
        <w:t xml:space="preserve">  </w:t>
      </w:r>
      <w:r>
        <w:rPr>
          <w:rFonts w:hint="eastAsia" w:ascii="黑体" w:hAnsi="黑体" w:eastAsia="黑体" w:cs="Times New Roman"/>
          <w:kern w:val="0"/>
          <w:szCs w:val="20"/>
        </w:rPr>
        <w:t>l</w:t>
      </w:r>
      <w:r>
        <w:rPr>
          <w:rFonts w:ascii="黑体" w:hAnsi="黑体" w:eastAsia="黑体" w:cs="Times New Roman"/>
          <w:kern w:val="0"/>
          <w:szCs w:val="20"/>
        </w:rPr>
        <w:t>eaching solution</w:t>
      </w:r>
    </w:p>
    <w:p>
      <w:pPr>
        <w:adjustRightInd w:val="0"/>
        <w:snapToGrid w:val="0"/>
        <w:spacing w:line="360" w:lineRule="exac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含浸出剂且在矿堆内流动并能与矿石目标组分发生化学反应的溶液。</w:t>
      </w:r>
    </w:p>
    <w:p>
      <w:pPr>
        <w:adjustRightInd w:val="0"/>
        <w:snapToGrid w:val="0"/>
        <w:spacing w:line="360" w:lineRule="exact"/>
        <w:jc w:val="left"/>
        <w:textAlignment w:val="baseline"/>
        <w:rPr>
          <w:rFonts w:ascii="黑体" w:hAnsi="黑体" w:eastAsia="黑体" w:cs="Times New Roman"/>
          <w:kern w:val="0"/>
          <w:szCs w:val="20"/>
        </w:rPr>
      </w:pPr>
      <w:r>
        <w:rPr>
          <w:rFonts w:ascii="黑体" w:hAnsi="黑体" w:eastAsia="黑体" w:cs="Times New Roman"/>
          <w:kern w:val="0"/>
          <w:szCs w:val="20"/>
        </w:rPr>
        <w:t xml:space="preserve">3.6 </w:t>
      </w:r>
    </w:p>
    <w:p>
      <w:pPr>
        <w:adjustRightInd w:val="0"/>
        <w:snapToGrid w:val="0"/>
        <w:spacing w:line="360" w:lineRule="exact"/>
        <w:ind w:firstLine="420" w:firstLineChars="200"/>
        <w:jc w:val="left"/>
        <w:textAlignment w:val="baseline"/>
        <w:rPr>
          <w:rFonts w:ascii="黑体" w:hAnsi="黑体" w:eastAsia="黑体" w:cs="Times New Roman"/>
          <w:kern w:val="0"/>
          <w:szCs w:val="20"/>
        </w:rPr>
      </w:pPr>
      <w:r>
        <w:rPr>
          <w:rFonts w:hint="eastAsia" w:ascii="黑体" w:hAnsi="黑体" w:eastAsia="黑体" w:cs="Times New Roman"/>
          <w:kern w:val="0"/>
          <w:szCs w:val="20"/>
        </w:rPr>
        <w:t>溶液池</w:t>
      </w:r>
      <w:r>
        <w:rPr>
          <w:rFonts w:ascii="黑体" w:hAnsi="黑体" w:eastAsia="黑体" w:cs="Times New Roman"/>
          <w:kern w:val="0"/>
          <w:szCs w:val="20"/>
        </w:rPr>
        <w:t xml:space="preserve">  </w:t>
      </w:r>
      <w:r>
        <w:rPr>
          <w:rFonts w:hint="eastAsia" w:ascii="黑体" w:hAnsi="黑体" w:eastAsia="黑体" w:cs="Times New Roman"/>
          <w:kern w:val="0"/>
          <w:szCs w:val="20"/>
        </w:rPr>
        <w:t>l</w:t>
      </w:r>
      <w:r>
        <w:rPr>
          <w:rFonts w:ascii="黑体" w:hAnsi="黑体" w:eastAsia="黑体" w:cs="Times New Roman"/>
          <w:kern w:val="0"/>
          <w:szCs w:val="20"/>
        </w:rPr>
        <w:t>eaching solution pond</w:t>
      </w:r>
    </w:p>
    <w:p>
      <w:pPr>
        <w:ind w:firstLine="420" w:firstLineChars="200"/>
        <w:rPr>
          <w:rFonts w:ascii="Times New Roman" w:hAnsi="Times New Roman" w:cs="Times New Roman"/>
        </w:rPr>
      </w:pPr>
      <w:r>
        <w:rPr>
          <w:rFonts w:hint="eastAsia" w:ascii="Times New Roman" w:hAnsi="Times New Roman" w:eastAsia="宋体" w:cs="Times New Roman"/>
          <w:kern w:val="0"/>
          <w:szCs w:val="20"/>
        </w:rPr>
        <w:t>位于生物堆浸场外收集、贮存喷（滴）淋矿石浸出液或经工艺流程返回溶液的水池，包括但不限于贵液池、中间液池、萃余液池（贫液池）和防洪池等。</w:t>
      </w:r>
    </w:p>
    <w:p>
      <w:pPr>
        <w:pStyle w:val="3"/>
        <w:spacing w:line="360" w:lineRule="auto"/>
        <w:rPr>
          <w:rFonts w:ascii="黑体" w:hAnsi="黑体" w:cs="Times New Roman"/>
        </w:rPr>
      </w:pPr>
      <w:bookmarkStart w:id="4" w:name="_Toc71182017"/>
      <w:r>
        <w:rPr>
          <w:rFonts w:ascii="黑体" w:hAnsi="黑体" w:cs="Times New Roman"/>
        </w:rPr>
        <w:t xml:space="preserve">4 </w:t>
      </w:r>
      <w:r>
        <w:rPr>
          <w:rFonts w:hint="eastAsia" w:ascii="黑体" w:hAnsi="黑体" w:cs="Times New Roman"/>
        </w:rPr>
        <w:t>循环控制技术要求</w:t>
      </w:r>
      <w:bookmarkEnd w:id="4"/>
    </w:p>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5" w:name="_Toc497209979"/>
      <w:bookmarkStart w:id="6" w:name="_Toc71182018"/>
      <w:bookmarkStart w:id="7" w:name="_Toc462385457"/>
      <w:r>
        <w:rPr>
          <w:rFonts w:ascii="黑体" w:hAnsi="黑体" w:eastAsia="黑体" w:cs="Times New Roman"/>
          <w:kern w:val="0"/>
          <w:szCs w:val="20"/>
        </w:rPr>
        <w:t xml:space="preserve">4.1  </w:t>
      </w:r>
      <w:bookmarkEnd w:id="5"/>
      <w:bookmarkStart w:id="8" w:name="_Toc497209980"/>
      <w:bookmarkStart w:id="9" w:name="_Toc482371797"/>
      <w:bookmarkStart w:id="10" w:name="_Toc491581450"/>
      <w:r>
        <w:rPr>
          <w:rFonts w:hint="eastAsia" w:ascii="黑体" w:hAnsi="黑体" w:eastAsia="黑体" w:cs="Times New Roman"/>
          <w:kern w:val="0"/>
          <w:szCs w:val="20"/>
        </w:rPr>
        <w:t>入堆矿石的预处理控制</w:t>
      </w:r>
      <w:bookmarkEnd w:id="6"/>
    </w:p>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11" w:name="_Toc71182019"/>
      <w:bookmarkStart w:id="12" w:name="_Hlk66697135"/>
      <w:r>
        <w:rPr>
          <w:rFonts w:ascii="黑体" w:hAnsi="黑体" w:eastAsia="黑体" w:cs="Times New Roman"/>
          <w:kern w:val="0"/>
          <w:szCs w:val="21"/>
        </w:rPr>
        <w:t xml:space="preserve">4.1.1  </w:t>
      </w:r>
      <w:bookmarkEnd w:id="8"/>
      <w:bookmarkEnd w:id="9"/>
      <w:bookmarkEnd w:id="10"/>
      <w:bookmarkStart w:id="13" w:name="_Hlk520100082"/>
      <w:r>
        <w:rPr>
          <w:rFonts w:hint="eastAsia" w:ascii="黑体" w:hAnsi="黑体" w:eastAsia="黑体" w:cs="Times New Roman"/>
          <w:kern w:val="0"/>
          <w:szCs w:val="21"/>
        </w:rPr>
        <w:t>入堆矿石粒度控制</w:t>
      </w:r>
      <w:bookmarkEnd w:id="11"/>
    </w:p>
    <w:bookmarkEnd w:id="13"/>
    <w:p>
      <w:pPr>
        <w:adjustRightInd w:val="0"/>
        <w:snapToGrid w:val="0"/>
        <w:spacing w:after="120" w:line="360" w:lineRule="exact"/>
        <w:ind w:firstLine="420"/>
        <w:jc w:val="left"/>
        <w:textAlignment w:val="baseline"/>
        <w:rPr>
          <w:rFonts w:ascii="Times New Roman" w:hAnsi="宋体" w:eastAsia="宋体" w:cs="Times New Roman"/>
          <w:kern w:val="0"/>
          <w:szCs w:val="21"/>
        </w:rPr>
      </w:pPr>
      <w:bookmarkStart w:id="14" w:name="_Toc491581451"/>
      <w:bookmarkStart w:id="15" w:name="_Toc497209981"/>
      <w:bookmarkStart w:id="16" w:name="_Toc482371798"/>
      <w:r>
        <w:rPr>
          <w:rFonts w:hint="eastAsia" w:ascii="Times New Roman" w:hAnsi="宋体" w:eastAsia="宋体" w:cs="Times New Roman"/>
          <w:kern w:val="0"/>
          <w:szCs w:val="21"/>
        </w:rPr>
        <w:t>矿石在入堆之前，应经旋回式破碎机、颚式破碎机或圆锥破碎机等进行破碎，通过配矿使入堆矿石的粒度和平均品位达到预设值。宜通过破碎及配矿自动化或智能化控制，稳定入堆矿石粒径及品位，避免过粉碎。颗粒宜不大于5</w:t>
      </w:r>
      <w:r>
        <w:rPr>
          <w:rFonts w:ascii="Times New Roman" w:hAnsi="宋体" w:eastAsia="宋体" w:cs="Times New Roman"/>
          <w:kern w:val="0"/>
          <w:szCs w:val="21"/>
        </w:rPr>
        <w:t xml:space="preserve">0 </w:t>
      </w:r>
      <w:r>
        <w:rPr>
          <w:rFonts w:hint="eastAsia" w:ascii="Times New Roman" w:hAnsi="宋体" w:eastAsia="宋体" w:cs="Times New Roman"/>
          <w:kern w:val="0"/>
          <w:szCs w:val="21"/>
        </w:rPr>
        <w:t>mm，最大应不超过1</w:t>
      </w:r>
      <w:r>
        <w:rPr>
          <w:rFonts w:ascii="Times New Roman" w:hAnsi="宋体" w:eastAsia="宋体" w:cs="Times New Roman"/>
          <w:kern w:val="0"/>
          <w:szCs w:val="21"/>
        </w:rPr>
        <w:t xml:space="preserve">000 </w:t>
      </w:r>
      <w:r>
        <w:rPr>
          <w:rFonts w:hint="eastAsia" w:ascii="Times New Roman" w:hAnsi="宋体" w:eastAsia="宋体" w:cs="Times New Roman"/>
          <w:kern w:val="0"/>
          <w:szCs w:val="21"/>
        </w:rPr>
        <w:t>mm。</w:t>
      </w:r>
    </w:p>
    <w:p>
      <w:pPr>
        <w:widowControl/>
        <w:snapToGrid w:val="0"/>
        <w:spacing w:before="156" w:beforeLines="50" w:after="156" w:afterLines="50" w:line="360" w:lineRule="exact"/>
        <w:jc w:val="left"/>
        <w:outlineLvl w:val="2"/>
        <w:rPr>
          <w:rFonts w:ascii="黑体" w:hAnsi="黑体" w:eastAsia="黑体" w:cs="Times New Roman"/>
          <w:kern w:val="0"/>
          <w:szCs w:val="21"/>
        </w:rPr>
      </w:pPr>
      <w:r>
        <w:rPr>
          <w:rFonts w:ascii="黑体" w:hAnsi="黑体" w:eastAsia="黑体" w:cs="Times New Roman"/>
          <w:kern w:val="0"/>
          <w:szCs w:val="21"/>
        </w:rPr>
        <w:t xml:space="preserve">4.1.2  </w:t>
      </w:r>
      <w:r>
        <w:rPr>
          <w:rFonts w:hint="eastAsia" w:ascii="黑体" w:hAnsi="黑体" w:eastAsia="黑体" w:cs="Times New Roman"/>
          <w:kern w:val="0"/>
          <w:szCs w:val="21"/>
        </w:rPr>
        <w:t>堆场坡度控制</w:t>
      </w:r>
    </w:p>
    <w:p>
      <w:pPr>
        <w:adjustRightInd w:val="0"/>
        <w:snapToGrid w:val="0"/>
        <w:spacing w:after="120" w:line="360" w:lineRule="exact"/>
        <w:jc w:val="left"/>
        <w:textAlignment w:val="baseline"/>
        <w:rPr>
          <w:rFonts w:ascii="Times New Roman" w:hAnsi="宋体" w:eastAsia="宋体" w:cs="Times New Roman"/>
          <w:kern w:val="0"/>
          <w:szCs w:val="21"/>
        </w:rPr>
      </w:pPr>
      <w:r>
        <w:rPr>
          <w:rFonts w:hint="eastAsia" w:ascii="Times New Roman" w:hAnsi="宋体" w:eastAsia="宋体" w:cs="Times New Roman"/>
          <w:kern w:val="0"/>
          <w:szCs w:val="21"/>
        </w:rPr>
        <w:t xml:space="preserve"> </w:t>
      </w:r>
      <w:r>
        <w:rPr>
          <w:rFonts w:ascii="Times New Roman" w:hAnsi="宋体" w:eastAsia="宋体" w:cs="Times New Roman"/>
          <w:kern w:val="0"/>
          <w:szCs w:val="21"/>
        </w:rPr>
        <w:t xml:space="preserve">   </w:t>
      </w:r>
      <w:r>
        <w:rPr>
          <w:rFonts w:hint="eastAsia" w:ascii="Times New Roman" w:hAnsi="宋体" w:eastAsia="宋体" w:cs="Times New Roman"/>
          <w:kern w:val="0"/>
          <w:szCs w:val="21"/>
        </w:rPr>
        <w:t>根据自然地势，应选择远离地表径流的开阔地面，平整地面，建设堆场，平整后地面向中间液池倾斜，倾角为</w:t>
      </w:r>
      <w:r>
        <w:rPr>
          <w:rFonts w:ascii="Times New Roman" w:hAnsi="Times New Roman" w:eastAsia="宋体" w:cs="Times New Roman"/>
          <w:kern w:val="0"/>
          <w:szCs w:val="21"/>
        </w:rPr>
        <w:t>2°</w:t>
      </w:r>
      <w:r>
        <w:rPr>
          <w:rFonts w:hint="eastAsia" w:ascii="Times New Roman" w:hAnsi="Times New Roman" w:eastAsia="宋体" w:cs="Times New Roman"/>
          <w:kern w:val="0"/>
          <w:szCs w:val="20"/>
        </w:rPr>
        <w:t>~</w:t>
      </w:r>
      <w:r>
        <w:rPr>
          <w:rFonts w:ascii="Times New Roman" w:hAnsi="Times New Roman" w:eastAsia="宋体" w:cs="Times New Roman"/>
          <w:kern w:val="0"/>
          <w:szCs w:val="21"/>
        </w:rPr>
        <w:t>5°</w:t>
      </w:r>
      <w:r>
        <w:rPr>
          <w:rFonts w:hint="eastAsia" w:ascii="Times New Roman" w:hAnsi="宋体" w:eastAsia="宋体" w:cs="Times New Roman"/>
          <w:kern w:val="0"/>
          <w:szCs w:val="21"/>
        </w:rPr>
        <w:t>，便于浸出液充分收集。</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17" w:name="_Toc71182020"/>
      <w:r>
        <w:rPr>
          <w:rFonts w:ascii="黑体" w:hAnsi="黑体" w:eastAsia="黑体" w:cs="Times New Roman"/>
          <w:kern w:val="0"/>
          <w:szCs w:val="21"/>
        </w:rPr>
        <w:t xml:space="preserve">4.1.3  </w:t>
      </w:r>
      <w:r>
        <w:rPr>
          <w:rFonts w:hint="eastAsia" w:ascii="黑体" w:hAnsi="黑体" w:eastAsia="黑体" w:cs="Times New Roman"/>
          <w:kern w:val="0"/>
          <w:szCs w:val="21"/>
        </w:rPr>
        <w:t>浸出液</w:t>
      </w:r>
      <w:r>
        <w:rPr>
          <w:rFonts w:ascii="黑体" w:hAnsi="黑体" w:eastAsia="黑体" w:cs="Times New Roman"/>
          <w:kern w:val="0"/>
          <w:szCs w:val="21"/>
        </w:rPr>
        <w:t>pH</w:t>
      </w:r>
      <w:r>
        <w:rPr>
          <w:rFonts w:hint="eastAsia" w:ascii="黑体" w:hAnsi="黑体" w:eastAsia="黑体" w:cs="Times New Roman"/>
          <w:kern w:val="0"/>
          <w:szCs w:val="21"/>
        </w:rPr>
        <w:t>值调整与矿堆布液控制</w:t>
      </w:r>
      <w:bookmarkEnd w:id="17"/>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4.1.3.1</w:t>
      </w:r>
      <w:r>
        <w:rPr>
          <w:rFonts w:ascii="Times New Roman" w:hAnsi="Times New Roman" w:eastAsia="宋体" w:cs="Times New Roman"/>
          <w:kern w:val="0"/>
          <w:szCs w:val="20"/>
        </w:rPr>
        <w:t xml:space="preserve">  浸出液在接种浸矿微生物之前应加入pH</w:t>
      </w:r>
      <w:r>
        <w:rPr>
          <w:rFonts w:hint="eastAsia" w:ascii="Times New Roman" w:hAnsi="Times New Roman" w:eastAsia="宋体" w:cs="Times New Roman"/>
          <w:kern w:val="0"/>
          <w:szCs w:val="20"/>
        </w:rPr>
        <w:t>值</w:t>
      </w:r>
      <w:r>
        <w:rPr>
          <w:rFonts w:ascii="Times New Roman" w:hAnsi="Times New Roman" w:eastAsia="宋体" w:cs="Times New Roman"/>
          <w:kern w:val="0"/>
          <w:szCs w:val="20"/>
        </w:rPr>
        <w:t>调整剂</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宜在矿石破碎后、入堆之前根据矿石酸耗实际情况部分添加。</w:t>
      </w:r>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4.1.3.2</w:t>
      </w:r>
      <w:r>
        <w:rPr>
          <w:rFonts w:ascii="Times New Roman" w:hAnsi="Times New Roman" w:eastAsia="宋体" w:cs="Times New Roman"/>
          <w:kern w:val="0"/>
          <w:szCs w:val="20"/>
        </w:rPr>
        <w:t xml:space="preserve">  浸出液循环</w:t>
      </w:r>
      <w:r>
        <w:rPr>
          <w:rFonts w:hint="eastAsia" w:ascii="Times New Roman" w:hAnsi="Times New Roman" w:eastAsia="宋体" w:cs="Times New Roman"/>
          <w:kern w:val="0"/>
          <w:szCs w:val="20"/>
        </w:rPr>
        <w:t>淋浸或滴浸</w:t>
      </w:r>
      <w:r>
        <w:rPr>
          <w:rFonts w:ascii="Times New Roman" w:hAnsi="Times New Roman" w:eastAsia="宋体" w:cs="Times New Roman"/>
          <w:kern w:val="0"/>
          <w:szCs w:val="20"/>
        </w:rPr>
        <w:t>矿堆，循环过程中逐步添加pH</w:t>
      </w:r>
      <w:r>
        <w:rPr>
          <w:rFonts w:hint="eastAsia" w:ascii="Times New Roman" w:hAnsi="Times New Roman" w:eastAsia="宋体" w:cs="Times New Roman"/>
          <w:kern w:val="0"/>
          <w:szCs w:val="20"/>
        </w:rPr>
        <w:t>值</w:t>
      </w:r>
      <w:r>
        <w:rPr>
          <w:rFonts w:ascii="Times New Roman" w:hAnsi="Times New Roman" w:eastAsia="宋体" w:cs="Times New Roman"/>
          <w:kern w:val="0"/>
          <w:szCs w:val="20"/>
        </w:rPr>
        <w:t>调整剂，使浸出液最终pH</w:t>
      </w:r>
      <w:r>
        <w:rPr>
          <w:rFonts w:hint="eastAsia" w:ascii="Times New Roman" w:hAnsi="Times New Roman" w:eastAsia="宋体" w:cs="Times New Roman"/>
          <w:kern w:val="0"/>
          <w:szCs w:val="20"/>
        </w:rPr>
        <w:t>值</w:t>
      </w:r>
      <w:r>
        <w:rPr>
          <w:rFonts w:ascii="Times New Roman" w:hAnsi="Times New Roman" w:eastAsia="宋体" w:cs="Times New Roman"/>
          <w:kern w:val="0"/>
          <w:szCs w:val="20"/>
        </w:rPr>
        <w:t>维持在1.0</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2.0范围内。</w:t>
      </w:r>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4.1.3.3</w:t>
      </w:r>
      <w:r>
        <w:rPr>
          <w:rFonts w:ascii="Times New Roman" w:hAnsi="Times New Roman" w:eastAsia="宋体" w:cs="Times New Roman"/>
          <w:kern w:val="0"/>
          <w:szCs w:val="20"/>
        </w:rPr>
        <w:t xml:space="preserve">  布液方式包含喷淋/滴淋两种，其选择应按现场的自然环境情况和矿堆自身的渗透性而定。</w:t>
      </w:r>
      <w:r>
        <w:rPr>
          <w:rFonts w:hint="eastAsia" w:ascii="Times New Roman" w:hAnsi="Times New Roman" w:eastAsia="宋体" w:cs="Times New Roman"/>
          <w:kern w:val="0"/>
          <w:szCs w:val="20"/>
        </w:rPr>
        <w:t>应合理采用布液休闲制度，减少人力成本及能源消耗。</w:t>
      </w:r>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4.1.3.4</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建议采用pH值调整智能控制及调节系统。</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18" w:name="_Toc71182021"/>
      <w:r>
        <w:rPr>
          <w:rFonts w:ascii="黑体" w:hAnsi="黑体" w:eastAsia="黑体" w:cs="Times New Roman"/>
          <w:kern w:val="0"/>
          <w:szCs w:val="21"/>
        </w:rPr>
        <w:t xml:space="preserve">4.1.4 </w:t>
      </w:r>
      <w:bookmarkEnd w:id="14"/>
      <w:bookmarkEnd w:id="15"/>
      <w:bookmarkEnd w:id="16"/>
      <w:bookmarkStart w:id="19" w:name="_Hlk520100102"/>
      <w:r>
        <w:rPr>
          <w:rFonts w:ascii="黑体" w:hAnsi="黑体" w:eastAsia="黑体" w:cs="Times New Roman"/>
          <w:kern w:val="0"/>
          <w:szCs w:val="21"/>
        </w:rPr>
        <w:t xml:space="preserve"> </w:t>
      </w:r>
      <w:r>
        <w:rPr>
          <w:rFonts w:hint="eastAsia" w:ascii="黑体" w:hAnsi="黑体" w:eastAsia="黑体" w:cs="Times New Roman"/>
          <w:kern w:val="0"/>
          <w:szCs w:val="21"/>
        </w:rPr>
        <w:t>矿堆渗透性及边坡稳定性控制</w:t>
      </w:r>
      <w:bookmarkEnd w:id="18"/>
    </w:p>
    <w:bookmarkEnd w:id="19"/>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已筑好的矿堆，初始渗透系数K应不小于</w:t>
      </w:r>
      <w:r>
        <w:rPr>
          <w:rFonts w:ascii="Times New Roman" w:hAnsi="Times New Roman" w:eastAsia="宋体" w:cs="Times New Roman"/>
          <w:kern w:val="0"/>
          <w:szCs w:val="20"/>
        </w:rPr>
        <w:t>1</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10</w:t>
      </w:r>
      <w:r>
        <w:rPr>
          <w:rFonts w:ascii="Times New Roman" w:hAnsi="Times New Roman" w:eastAsia="宋体" w:cs="Times New Roman"/>
          <w:kern w:val="0"/>
          <w:szCs w:val="20"/>
          <w:vertAlign w:val="superscript"/>
        </w:rPr>
        <w:t>-2</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cm</w:t>
      </w:r>
      <w:r>
        <w:rPr>
          <w:rFonts w:ascii="Times New Roman" w:hAnsi="Times New Roman" w:eastAsia="宋体" w:cs="Times New Roman"/>
          <w:kern w:val="0"/>
          <w:szCs w:val="20"/>
        </w:rPr>
        <w:t>/s</w:t>
      </w:r>
      <w:r>
        <w:rPr>
          <w:rFonts w:hint="eastAsia" w:ascii="Times New Roman" w:hAnsi="Times New Roman" w:eastAsia="宋体" w:cs="Times New Roman"/>
          <w:kern w:val="0"/>
          <w:szCs w:val="20"/>
        </w:rPr>
        <w:t>。矿堆边坡角应比自然安息角小5</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~10</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，单层堆高不宜超过10</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m，并做防滑落处理。</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生物堆浸过程中渗透性变差，导致矿堆表面形成积液时，宜适当降低布液强度，消除积液。若积液较严重时，应在矿堆积液区域进行翻堆作业。</w:t>
      </w:r>
    </w:p>
    <w:bookmarkEnd w:id="12"/>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20" w:name="_Toc71182022"/>
      <w:r>
        <w:rPr>
          <w:rFonts w:ascii="黑体" w:hAnsi="黑体" w:eastAsia="黑体" w:cs="Times New Roman"/>
          <w:kern w:val="0"/>
          <w:szCs w:val="20"/>
        </w:rPr>
        <w:t>4.</w:t>
      </w:r>
      <w:bookmarkEnd w:id="7"/>
      <w:r>
        <w:rPr>
          <w:rFonts w:ascii="黑体" w:hAnsi="黑体" w:eastAsia="黑体" w:cs="Times New Roman"/>
          <w:kern w:val="0"/>
          <w:szCs w:val="20"/>
        </w:rPr>
        <w:t xml:space="preserve">2  </w:t>
      </w:r>
      <w:r>
        <w:rPr>
          <w:rFonts w:hint="eastAsia" w:ascii="黑体" w:hAnsi="黑体" w:eastAsia="黑体" w:cs="Times New Roman"/>
          <w:kern w:val="0"/>
          <w:szCs w:val="20"/>
        </w:rPr>
        <w:t>接种控制</w:t>
      </w:r>
      <w:bookmarkEnd w:id="20"/>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21" w:name="_Toc71182023"/>
      <w:r>
        <w:rPr>
          <w:rFonts w:ascii="黑体" w:hAnsi="黑体" w:eastAsia="黑体" w:cs="Times New Roman"/>
          <w:kern w:val="0"/>
          <w:szCs w:val="21"/>
        </w:rPr>
        <w:t xml:space="preserve">4.2.1  </w:t>
      </w:r>
      <w:r>
        <w:rPr>
          <w:rFonts w:hint="eastAsia" w:ascii="黑体" w:hAnsi="黑体" w:eastAsia="黑体" w:cs="Times New Roman"/>
          <w:kern w:val="0"/>
          <w:szCs w:val="21"/>
        </w:rPr>
        <w:t>接种时机控制</w:t>
      </w:r>
      <w:bookmarkEnd w:id="21"/>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ascii="Times New Roman" w:hAnsi="Times New Roman" w:eastAsia="宋体" w:cs="Times New Roman"/>
          <w:kern w:val="0"/>
          <w:szCs w:val="20"/>
        </w:rPr>
        <w:t>接种时机应选择浸出液pH</w:t>
      </w:r>
      <w:r>
        <w:rPr>
          <w:rFonts w:hint="eastAsia" w:ascii="Times New Roman" w:hAnsi="Times New Roman" w:eastAsia="宋体" w:cs="Times New Roman"/>
          <w:kern w:val="0"/>
          <w:szCs w:val="20"/>
        </w:rPr>
        <w:t>值</w:t>
      </w:r>
      <w:r>
        <w:rPr>
          <w:rFonts w:ascii="Times New Roman" w:hAnsi="Times New Roman" w:eastAsia="宋体" w:cs="Times New Roman"/>
          <w:kern w:val="0"/>
          <w:szCs w:val="20"/>
        </w:rPr>
        <w:t>达到要求并稳定1周后进行接种，在接种不同温度段的含浸矿微生物溶液时，宜在当前矿堆内部温度</w:t>
      </w:r>
      <w:r>
        <w:rPr>
          <w:rFonts w:hint="eastAsia" w:ascii="Times New Roman" w:hAnsi="Times New Roman" w:eastAsia="宋体" w:cs="Times New Roman"/>
          <w:kern w:val="0"/>
          <w:szCs w:val="20"/>
        </w:rPr>
        <w:t>在</w:t>
      </w:r>
      <w:r>
        <w:rPr>
          <w:rFonts w:ascii="Times New Roman" w:hAnsi="Times New Roman" w:eastAsia="宋体" w:cs="Times New Roman"/>
          <w:kern w:val="0"/>
          <w:szCs w:val="20"/>
        </w:rPr>
        <w:t>浸矿微生物最佳适应温度范围下限</w:t>
      </w:r>
      <w:r>
        <w:rPr>
          <w:rFonts w:hint="eastAsia" w:ascii="Times New Roman" w:hAnsi="Times New Roman" w:eastAsia="宋体" w:cs="Times New Roman"/>
          <w:kern w:val="0"/>
          <w:szCs w:val="20"/>
        </w:rPr>
        <w:t>之下</w:t>
      </w:r>
      <w:r>
        <w:rPr>
          <w:rFonts w:ascii="Times New Roman" w:hAnsi="Times New Roman" w:eastAsia="宋体" w:cs="Times New Roman"/>
          <w:kern w:val="0"/>
          <w:szCs w:val="20"/>
        </w:rPr>
        <w:t>5℃~10℃时接入该溶液</w:t>
      </w:r>
      <w:r>
        <w:rPr>
          <w:rFonts w:hint="eastAsia" w:ascii="Times New Roman" w:hAnsi="Times New Roman" w:eastAsia="宋体" w:cs="Times New Roman"/>
          <w:kern w:val="0"/>
          <w:szCs w:val="20"/>
        </w:rPr>
        <w:t>，以减少可能产生的溶液加热能耗</w:t>
      </w:r>
      <w:r>
        <w:rPr>
          <w:rFonts w:ascii="Times New Roman" w:hAnsi="Times New Roman" w:eastAsia="宋体" w:cs="Times New Roman"/>
          <w:kern w:val="0"/>
          <w:szCs w:val="20"/>
        </w:rPr>
        <w:t>。</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22" w:name="_Toc71182024"/>
      <w:r>
        <w:rPr>
          <w:rFonts w:ascii="黑体" w:hAnsi="黑体" w:eastAsia="黑体" w:cs="Times New Roman"/>
          <w:kern w:val="0"/>
          <w:szCs w:val="21"/>
        </w:rPr>
        <w:t xml:space="preserve">4.2.2  </w:t>
      </w:r>
      <w:r>
        <w:rPr>
          <w:rFonts w:hint="eastAsia" w:ascii="黑体" w:hAnsi="黑体" w:eastAsia="黑体" w:cs="Times New Roman"/>
          <w:kern w:val="0"/>
          <w:szCs w:val="21"/>
        </w:rPr>
        <w:t>浸矿微生物的生物代谢特性控制</w:t>
      </w:r>
      <w:bookmarkEnd w:id="22"/>
    </w:p>
    <w:p>
      <w:pPr>
        <w:adjustRightInd w:val="0"/>
        <w:spacing w:line="360" w:lineRule="atLeast"/>
        <w:ind w:firstLine="435"/>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所接种的浸矿微生物群落应具有可通过氧化铁（+</w:t>
      </w:r>
      <w:r>
        <w:rPr>
          <w:rFonts w:ascii="Times New Roman" w:hAnsi="Times New Roman" w:eastAsia="宋体" w:cs="Times New Roman"/>
          <w:kern w:val="0"/>
          <w:szCs w:val="20"/>
        </w:rPr>
        <w:t>2</w:t>
      </w:r>
      <w:r>
        <w:rPr>
          <w:rFonts w:hint="eastAsia" w:ascii="Times New Roman" w:hAnsi="Times New Roman" w:eastAsia="宋体" w:cs="Times New Roman"/>
          <w:kern w:val="0"/>
          <w:szCs w:val="20"/>
        </w:rPr>
        <w:t>价）和低价硫（含</w:t>
      </w:r>
      <w:r>
        <w:rPr>
          <w:rFonts w:ascii="Times New Roman" w:hAnsi="Times New Roman" w:eastAsia="宋体" w:cs="Times New Roman"/>
          <w:kern w:val="0"/>
          <w:szCs w:val="20"/>
        </w:rPr>
        <w:t>-2</w:t>
      </w:r>
      <w:r>
        <w:rPr>
          <w:rFonts w:hint="eastAsia" w:ascii="Times New Roman" w:hAnsi="Times New Roman" w:eastAsia="宋体" w:cs="Times New Roman"/>
          <w:kern w:val="0"/>
          <w:szCs w:val="20"/>
        </w:rPr>
        <w:t>价至</w:t>
      </w:r>
      <w:r>
        <w:rPr>
          <w:rFonts w:ascii="Times New Roman" w:hAnsi="Times New Roman" w:eastAsia="宋体" w:cs="Times New Roman"/>
          <w:kern w:val="0"/>
          <w:szCs w:val="20"/>
        </w:rPr>
        <w:t>+4</w:t>
      </w:r>
      <w:r>
        <w:rPr>
          <w:rFonts w:hint="eastAsia" w:ascii="Times New Roman" w:hAnsi="Times New Roman" w:eastAsia="宋体" w:cs="Times New Roman"/>
          <w:kern w:val="0"/>
          <w:szCs w:val="20"/>
        </w:rPr>
        <w:t>价）放热，并进行生命代谢的基础表观生物特性。</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23" w:name="_Toc71182025"/>
      <w:r>
        <w:rPr>
          <w:rFonts w:ascii="黑体" w:hAnsi="黑体" w:eastAsia="黑体" w:cs="Times New Roman"/>
          <w:kern w:val="0"/>
          <w:szCs w:val="21"/>
        </w:rPr>
        <w:t xml:space="preserve">4.2.3  </w:t>
      </w:r>
      <w:r>
        <w:rPr>
          <w:rFonts w:hint="eastAsia" w:ascii="黑体" w:hAnsi="黑体" w:eastAsia="黑体" w:cs="Times New Roman"/>
          <w:kern w:val="0"/>
          <w:szCs w:val="21"/>
        </w:rPr>
        <w:t>接种所需浸矿微生物浓度控制</w:t>
      </w:r>
      <w:bookmarkEnd w:id="23"/>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含浸矿微生物溶液中微生物浓度应达到1×10</w:t>
      </w:r>
      <w:r>
        <w:rPr>
          <w:rFonts w:hint="eastAsia" w:ascii="Times New Roman" w:hAnsi="Times New Roman" w:eastAsia="宋体" w:cs="Times New Roman"/>
          <w:kern w:val="0"/>
          <w:szCs w:val="20"/>
          <w:vertAlign w:val="superscript"/>
        </w:rPr>
        <w:t>8</w:t>
      </w:r>
      <w:r>
        <w:rPr>
          <w:rFonts w:hint="eastAsia" w:ascii="Times New Roman" w:hAnsi="Times New Roman" w:eastAsia="宋体" w:cs="Times New Roman"/>
          <w:kern w:val="0"/>
          <w:szCs w:val="20"/>
        </w:rPr>
        <w:t>个/mL以上。</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24" w:name="_Toc71182026"/>
      <w:r>
        <w:rPr>
          <w:rFonts w:ascii="黑体" w:hAnsi="黑体" w:eastAsia="黑体" w:cs="Times New Roman"/>
          <w:kern w:val="0"/>
          <w:szCs w:val="21"/>
        </w:rPr>
        <w:t xml:space="preserve">4.2.4  </w:t>
      </w:r>
      <w:r>
        <w:rPr>
          <w:rFonts w:hint="eastAsia" w:ascii="黑体" w:hAnsi="黑体" w:eastAsia="黑体" w:cs="Times New Roman"/>
          <w:kern w:val="0"/>
          <w:szCs w:val="21"/>
        </w:rPr>
        <w:t>接种比例控制</w:t>
      </w:r>
      <w:bookmarkEnd w:id="24"/>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接入时含浸矿微生物的溶液体积与入堆溶液体积的比例应不低于1:10（体积比）。</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宜在接种后60天内在距矿堆中部区域表面不小于1m处取湿矿样，若微生物浓度低于10</w:t>
      </w:r>
      <w:r>
        <w:rPr>
          <w:rFonts w:hint="eastAsia" w:ascii="Times New Roman" w:hAnsi="Times New Roman" w:eastAsia="宋体" w:cs="Times New Roman"/>
          <w:kern w:val="0"/>
          <w:szCs w:val="20"/>
          <w:vertAlign w:val="superscript"/>
        </w:rPr>
        <w:t>8</w:t>
      </w:r>
      <w:r>
        <w:rPr>
          <w:rFonts w:hint="eastAsia" w:ascii="Times New Roman" w:hAnsi="Times New Roman" w:eastAsia="宋体" w:cs="Times New Roman"/>
          <w:kern w:val="0"/>
          <w:szCs w:val="20"/>
        </w:rPr>
        <w:t>个/g(矿</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，进行菌种补接，之后宜定期检测矿堆内微生物浓度。</w:t>
      </w:r>
    </w:p>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25" w:name="_Toc71182027"/>
      <w:r>
        <w:rPr>
          <w:rFonts w:ascii="黑体" w:hAnsi="黑体" w:eastAsia="黑体" w:cs="Times New Roman"/>
          <w:kern w:val="0"/>
          <w:szCs w:val="20"/>
        </w:rPr>
        <w:t xml:space="preserve">4.3  </w:t>
      </w:r>
      <w:r>
        <w:rPr>
          <w:rFonts w:hint="eastAsia" w:ascii="黑体" w:hAnsi="黑体" w:eastAsia="黑体" w:cs="Times New Roman"/>
          <w:kern w:val="0"/>
          <w:szCs w:val="20"/>
        </w:rPr>
        <w:t>浸出液循环控制</w:t>
      </w:r>
      <w:bookmarkEnd w:id="25"/>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26" w:name="_Toc71182028"/>
      <w:r>
        <w:rPr>
          <w:rFonts w:ascii="黑体" w:hAnsi="黑体" w:eastAsia="黑体" w:cs="Times New Roman"/>
          <w:kern w:val="0"/>
          <w:szCs w:val="21"/>
        </w:rPr>
        <w:t xml:space="preserve">4.3.1  </w:t>
      </w:r>
      <w:r>
        <w:rPr>
          <w:rFonts w:hint="eastAsia" w:ascii="黑体" w:hAnsi="黑体" w:eastAsia="黑体" w:cs="Times New Roman"/>
          <w:kern w:val="0"/>
          <w:szCs w:val="21"/>
        </w:rPr>
        <w:t>铜离子浓度控制</w:t>
      </w:r>
      <w:bookmarkEnd w:id="26"/>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4.3.1.1</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浸出液循环过程中，当铜离子浓度达到设计要求时，应将部分浸出液进行萃取——电积或置换处理，以产出金属铜。</w:t>
      </w:r>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4.3.1.2</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生物堆浸过程铜</w:t>
      </w:r>
      <w:r>
        <w:rPr>
          <w:rFonts w:ascii="Times New Roman" w:hAnsi="Times New Roman" w:eastAsia="宋体" w:cs="Times New Roman"/>
          <w:kern w:val="0"/>
          <w:szCs w:val="20"/>
        </w:rPr>
        <w:t>浸出率</w:t>
      </w:r>
      <w:r>
        <w:rPr>
          <w:rFonts w:hint="eastAsia" w:ascii="Times New Roman" w:hAnsi="Times New Roman" w:eastAsia="宋体" w:cs="Times New Roman"/>
          <w:kern w:val="0"/>
          <w:szCs w:val="20"/>
        </w:rPr>
        <w:t>通过测定得到的铜离子浓度计算，如</w:t>
      </w:r>
      <w:r>
        <w:rPr>
          <w:rFonts w:ascii="Times New Roman" w:hAnsi="Times New Roman" w:eastAsia="宋体" w:cs="Times New Roman"/>
          <w:kern w:val="0"/>
          <w:szCs w:val="20"/>
        </w:rPr>
        <w:t>公式（1）</w:t>
      </w:r>
      <w:r>
        <w:rPr>
          <w:rFonts w:hint="eastAsia" w:ascii="Times New Roman" w:hAnsi="Times New Roman" w:eastAsia="宋体" w:cs="Times New Roman"/>
          <w:kern w:val="0"/>
          <w:szCs w:val="20"/>
        </w:rPr>
        <w:t>所示</w:t>
      </w:r>
      <w:r>
        <w:rPr>
          <w:rFonts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m:oMathPara>
        <m:oMath>
          <m:r>
            <m:rPr/>
            <w:rPr>
              <w:rFonts w:ascii="Cambria Math" w:hAnsi="Cambria Math" w:eastAsia="宋体" w:cs="Times New Roman"/>
              <w:kern w:val="0"/>
              <w:szCs w:val="20"/>
            </w:rPr>
            <m:t>ε</m:t>
          </m:r>
          <m:r>
            <m:rPr/>
            <w:rPr>
              <w:rFonts w:hint="eastAsia" w:ascii="Cambria Math" w:hAnsi="Cambria Math" w:eastAsia="宋体" w:cs="Times New Roman"/>
              <w:kern w:val="0"/>
              <w:szCs w:val="20"/>
            </w:rPr>
            <m:t>=</m:t>
          </m:r>
          <m:r>
            <m:rPr/>
            <w:rPr>
              <w:rFonts w:ascii="Cambria Math" w:hAnsi="Cambria Math" w:eastAsia="宋体" w:cs="Times New Roman"/>
              <w:kern w:val="0"/>
              <w:szCs w:val="20"/>
            </w:rPr>
            <m:t>(</m:t>
          </m:r>
          <m:f>
            <m:fPr>
              <m:ctrlPr>
                <w:rPr>
                  <w:rFonts w:ascii="Cambria Math" w:hAnsi="Cambria Math" w:eastAsia="宋体" w:cs="Times New Roman"/>
                  <w:i/>
                  <w:kern w:val="0"/>
                  <w:szCs w:val="20"/>
                </w:rPr>
              </m:ctrlPr>
            </m:fPr>
            <m:num>
              <m:sSub>
                <m:sSubPr>
                  <m:ctrlPr>
                    <w:rPr>
                      <w:rFonts w:ascii="Cambria Math" w:hAnsi="Cambria Math" w:eastAsia="宋体" w:cs="Times New Roman"/>
                      <w:i/>
                      <w:kern w:val="0"/>
                      <w:szCs w:val="20"/>
                    </w:rPr>
                  </m:ctrlPr>
                </m:sSubPr>
                <m:e>
                  <m:r>
                    <m:rPr/>
                    <w:rPr>
                      <w:rFonts w:hint="eastAsia" w:ascii="Cambria Math" w:hAnsi="Cambria Math" w:eastAsia="宋体" w:cs="Times New Roman"/>
                      <w:kern w:val="0"/>
                      <w:szCs w:val="20"/>
                    </w:rPr>
                    <m:t>C</m:t>
                  </m:r>
                  <m:ctrlPr>
                    <w:rPr>
                      <w:rFonts w:ascii="Cambria Math" w:hAnsi="Cambria Math" w:eastAsia="宋体" w:cs="Times New Roman"/>
                      <w:i/>
                      <w:kern w:val="0"/>
                      <w:szCs w:val="20"/>
                    </w:rPr>
                  </m:ctrlPr>
                </m:e>
                <m:sub>
                  <m:r>
                    <m:rPr>
                      <m:sty m:val="p"/>
                    </m:rPr>
                    <w:rPr>
                      <w:rFonts w:ascii="Cambria Math" w:hAnsi="Cambria Math" w:eastAsia="宋体" w:cs="Times New Roman"/>
                      <w:kern w:val="0"/>
                      <w:szCs w:val="20"/>
                    </w:rPr>
                    <m:t>0</m:t>
                  </m:r>
                  <m:ctrlPr>
                    <w:rPr>
                      <w:rFonts w:ascii="Cambria Math" w:hAnsi="Cambria Math" w:eastAsia="宋体" w:cs="Times New Roman"/>
                      <w:i/>
                      <w:kern w:val="0"/>
                      <w:szCs w:val="20"/>
                    </w:rPr>
                  </m:ctrlPr>
                </m:sub>
              </m:sSub>
              <m:r>
                <m:rPr/>
                <w:rPr>
                  <w:rFonts w:ascii="Cambria Math" w:hAnsi="Cambria Math" w:eastAsia="宋体" w:cs="Times New Roman"/>
                  <w:kern w:val="0"/>
                  <w:szCs w:val="20"/>
                </w:rPr>
                <m:t>×</m:t>
              </m:r>
              <m:sSub>
                <m:sSubPr>
                  <m:ctrlPr>
                    <w:rPr>
                      <w:rFonts w:ascii="Cambria Math" w:hAnsi="Cambria Math" w:eastAsia="宋体" w:cs="Times New Roman"/>
                      <w:i/>
                      <w:kern w:val="0"/>
                      <w:szCs w:val="20"/>
                    </w:rPr>
                  </m:ctrlPr>
                </m:sSubPr>
                <m:e>
                  <m:r>
                    <m:rPr/>
                    <w:rPr>
                      <w:rFonts w:ascii="Cambria Math" w:hAnsi="Cambria Math" w:eastAsia="宋体" w:cs="Times New Roman"/>
                      <w:kern w:val="0"/>
                      <w:szCs w:val="20"/>
                    </w:rPr>
                    <m:t>V</m:t>
                  </m:r>
                  <m:ctrlPr>
                    <w:rPr>
                      <w:rFonts w:ascii="Cambria Math" w:hAnsi="Cambria Math" w:eastAsia="宋体" w:cs="Times New Roman"/>
                      <w:i/>
                      <w:kern w:val="0"/>
                      <w:szCs w:val="20"/>
                    </w:rPr>
                  </m:ctrlPr>
                </m:e>
                <m:sub>
                  <m:r>
                    <m:rPr>
                      <m:sty m:val="p"/>
                    </m:rPr>
                    <w:rPr>
                      <w:rFonts w:ascii="Cambria Math" w:hAnsi="Cambria Math" w:eastAsia="宋体" w:cs="Times New Roman"/>
                      <w:kern w:val="0"/>
                      <w:szCs w:val="20"/>
                    </w:rPr>
                    <m:t>0</m:t>
                  </m:r>
                  <m:ctrlPr>
                    <w:rPr>
                      <w:rFonts w:ascii="Cambria Math" w:hAnsi="Cambria Math" w:eastAsia="宋体" w:cs="Times New Roman"/>
                      <w:i/>
                      <w:kern w:val="0"/>
                      <w:szCs w:val="20"/>
                    </w:rPr>
                  </m:ctrlPr>
                </m:sub>
              </m:sSub>
              <m:ctrlPr>
                <w:rPr>
                  <w:rFonts w:ascii="Cambria Math" w:hAnsi="Cambria Math" w:eastAsia="宋体" w:cs="Times New Roman"/>
                  <w:i/>
                  <w:kern w:val="0"/>
                  <w:szCs w:val="20"/>
                </w:rPr>
              </m:ctrlPr>
            </m:num>
            <m:den>
              <m:r>
                <m:rPr/>
                <w:rPr>
                  <w:rFonts w:ascii="Cambria Math" w:hAnsi="Cambria Math" w:eastAsia="宋体" w:cs="Times New Roman"/>
                  <w:kern w:val="0"/>
                  <w:szCs w:val="20"/>
                </w:rPr>
                <m:t>α×</m:t>
              </m:r>
              <m:sSub>
                <m:sSubPr>
                  <m:ctrlPr>
                    <w:rPr>
                      <w:rFonts w:ascii="Cambria Math" w:hAnsi="Cambria Math" w:eastAsia="宋体" w:cs="Times New Roman"/>
                      <w:i/>
                      <w:kern w:val="0"/>
                      <w:szCs w:val="20"/>
                    </w:rPr>
                  </m:ctrlPr>
                </m:sSubPr>
                <m:e>
                  <m:r>
                    <m:rPr/>
                    <w:rPr>
                      <w:rFonts w:hint="eastAsia" w:ascii="Cambria Math" w:hAnsi="Cambria Math" w:eastAsia="宋体" w:cs="Times New Roman"/>
                      <w:kern w:val="0"/>
                      <w:szCs w:val="20"/>
                    </w:rPr>
                    <m:t>M</m:t>
                  </m:r>
                  <m:ctrlPr>
                    <w:rPr>
                      <w:rFonts w:ascii="Cambria Math" w:hAnsi="Cambria Math" w:eastAsia="宋体" w:cs="Times New Roman"/>
                      <w:i/>
                      <w:kern w:val="0"/>
                      <w:szCs w:val="20"/>
                    </w:rPr>
                  </m:ctrlPr>
                </m:e>
                <m:sub>
                  <m:r>
                    <m:rPr>
                      <m:sty m:val="p"/>
                    </m:rPr>
                    <w:rPr>
                      <w:rFonts w:ascii="Cambria Math" w:hAnsi="Cambria Math" w:eastAsia="宋体" w:cs="Times New Roman"/>
                      <w:kern w:val="0"/>
                      <w:szCs w:val="20"/>
                    </w:rPr>
                    <m:t>0</m:t>
                  </m:r>
                  <m:ctrlPr>
                    <w:rPr>
                      <w:rFonts w:ascii="Cambria Math" w:hAnsi="Cambria Math" w:eastAsia="宋体" w:cs="Times New Roman"/>
                      <w:i/>
                      <w:kern w:val="0"/>
                      <w:szCs w:val="20"/>
                    </w:rPr>
                  </m:ctrlPr>
                </m:sub>
              </m:sSub>
              <m:ctrlPr>
                <w:rPr>
                  <w:rFonts w:ascii="Cambria Math" w:hAnsi="Cambria Math" w:eastAsia="宋体" w:cs="Times New Roman"/>
                  <w:i/>
                  <w:kern w:val="0"/>
                  <w:szCs w:val="20"/>
                </w:rPr>
              </m:ctrlPr>
            </m:den>
          </m:f>
          <m:r>
            <m:rPr/>
            <w:rPr>
              <w:rFonts w:hint="eastAsia" w:ascii="Cambria Math" w:hAnsi="Cambria Math" w:eastAsia="宋体" w:cs="Times New Roman"/>
              <w:kern w:val="0"/>
              <w:szCs w:val="20"/>
            </w:rPr>
            <m:t>+</m:t>
          </m:r>
          <m:f>
            <m:fPr>
              <m:ctrlPr>
                <w:rPr>
                  <w:rFonts w:ascii="Cambria Math" w:hAnsi="Cambria Math" w:eastAsia="宋体" w:cs="Times New Roman"/>
                  <w:i/>
                  <w:kern w:val="0"/>
                  <w:szCs w:val="20"/>
                </w:rPr>
              </m:ctrlPr>
            </m:fPr>
            <m:num>
              <m:sSub>
                <m:sSubPr>
                  <m:ctrlPr>
                    <w:rPr>
                      <w:rFonts w:ascii="Cambria Math" w:hAnsi="Cambria Math" w:eastAsia="宋体" w:cs="Times New Roman"/>
                      <w:i/>
                      <w:kern w:val="0"/>
                      <w:szCs w:val="20"/>
                    </w:rPr>
                  </m:ctrlPr>
                </m:sSubPr>
                <m:e>
                  <m:r>
                    <m:rPr/>
                    <w:rPr>
                      <w:rFonts w:hint="eastAsia" w:ascii="Cambria Math" w:hAnsi="Cambria Math" w:eastAsia="宋体" w:cs="Times New Roman"/>
                      <w:kern w:val="0"/>
                      <w:szCs w:val="20"/>
                    </w:rPr>
                    <m:t>M</m:t>
                  </m:r>
                  <m:ctrlPr>
                    <w:rPr>
                      <w:rFonts w:ascii="Cambria Math" w:hAnsi="Cambria Math" w:eastAsia="宋体" w:cs="Times New Roman"/>
                      <w:i/>
                      <w:kern w:val="0"/>
                      <w:szCs w:val="20"/>
                    </w:rPr>
                  </m:ctrlPr>
                </m:e>
                <m:sub>
                  <m:r>
                    <m:rPr>
                      <m:sty m:val="p"/>
                    </m:rPr>
                    <w:rPr>
                      <w:rFonts w:ascii="Cambria Math" w:hAnsi="Cambria Math" w:eastAsia="宋体" w:cs="Times New Roman"/>
                      <w:kern w:val="0"/>
                      <w:szCs w:val="20"/>
                    </w:rPr>
                    <m:t>1</m:t>
                  </m:r>
                  <m:ctrlPr>
                    <w:rPr>
                      <w:rFonts w:ascii="Cambria Math" w:hAnsi="Cambria Math" w:eastAsia="宋体" w:cs="Times New Roman"/>
                      <w:i/>
                      <w:kern w:val="0"/>
                      <w:szCs w:val="20"/>
                    </w:rPr>
                  </m:ctrlPr>
                </m:sub>
              </m:sSub>
              <m:ctrlPr>
                <w:rPr>
                  <w:rFonts w:ascii="Cambria Math" w:hAnsi="Cambria Math" w:eastAsia="宋体" w:cs="Times New Roman"/>
                  <w:i/>
                  <w:kern w:val="0"/>
                  <w:szCs w:val="20"/>
                </w:rPr>
              </m:ctrlPr>
            </m:num>
            <m:den>
              <m:r>
                <m:rPr/>
                <w:rPr>
                  <w:rFonts w:ascii="Cambria Math" w:hAnsi="Cambria Math" w:eastAsia="宋体" w:cs="Times New Roman"/>
                  <w:kern w:val="0"/>
                  <w:szCs w:val="20"/>
                </w:rPr>
                <m:t>γ</m:t>
              </m:r>
              <m:ctrlPr>
                <w:rPr>
                  <w:rFonts w:ascii="Cambria Math" w:hAnsi="Cambria Math" w:eastAsia="宋体" w:cs="Times New Roman"/>
                  <w:i/>
                  <w:kern w:val="0"/>
                  <w:szCs w:val="20"/>
                </w:rPr>
              </m:ctrlPr>
            </m:den>
          </m:f>
          <m:r>
            <m:rPr/>
            <w:rPr>
              <w:rFonts w:ascii="Cambria Math" w:hAnsi="Cambria Math" w:eastAsia="宋体" w:cs="Times New Roman"/>
              <w:kern w:val="0"/>
              <w:szCs w:val="20"/>
            </w:rPr>
            <m:t>)×100%</m:t>
          </m:r>
        </m:oMath>
      </m:oMathPara>
    </w:p>
    <w:p>
      <w:pPr>
        <w:adjustRightInd w:val="0"/>
        <w:spacing w:line="360" w:lineRule="atLeast"/>
        <w:jc w:val="righ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w:t>
      </w:r>
      <w:r>
        <w:rPr>
          <w:rFonts w:ascii="Times New Roman" w:hAnsi="Times New Roman" w:eastAsia="宋体" w:cs="Times New Roman"/>
          <w:kern w:val="0"/>
          <w:szCs w:val="20"/>
        </w:rPr>
        <w:t>1</w:t>
      </w:r>
      <w:r>
        <w:rPr>
          <w:rFonts w:hint="eastAsia"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ascii="Times New Roman" w:hAnsi="Times New Roman" w:eastAsia="宋体" w:cs="Times New Roman"/>
          <w:kern w:val="0"/>
          <w:szCs w:val="20"/>
        </w:rPr>
        <w:t>式中：</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ascii="Times New Roman" w:hAnsi="Times New Roman" w:eastAsia="宋体" w:cs="Times New Roman"/>
          <w:kern w:val="0"/>
          <w:szCs w:val="20"/>
        </w:rPr>
        <w:t>ε——</w:t>
      </w:r>
      <w:r>
        <w:rPr>
          <w:rFonts w:hint="eastAsia" w:ascii="Times New Roman" w:hAnsi="Times New Roman" w:eastAsia="宋体" w:cs="Times New Roman"/>
          <w:kern w:val="0"/>
          <w:szCs w:val="20"/>
        </w:rPr>
        <w:t>浸出率</w:t>
      </w:r>
      <w:r>
        <w:rPr>
          <w:rFonts w:ascii="Times New Roman" w:hAnsi="Times New Roman" w:eastAsia="宋体" w:cs="Times New Roman"/>
          <w:kern w:val="0"/>
          <w:szCs w:val="20"/>
        </w:rPr>
        <w:t>，单位为百分比（%）</w:t>
      </w:r>
      <w:r>
        <w:rPr>
          <w:rFonts w:hint="eastAsia"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C</w:t>
      </w:r>
      <w:r>
        <w:rPr>
          <w:rFonts w:ascii="Times New Roman" w:hAnsi="Times New Roman" w:eastAsia="宋体" w:cs="Times New Roman"/>
          <w:kern w:val="0"/>
          <w:szCs w:val="20"/>
          <w:vertAlign w:val="subscript"/>
        </w:rPr>
        <w:t>0</w:t>
      </w:r>
      <w:r>
        <w:rPr>
          <w:rFonts w:hint="eastAsia" w:ascii="Times New Roman" w:hAnsi="Times New Roman" w:eastAsia="宋体" w:cs="Times New Roman"/>
          <w:kern w:val="0"/>
          <w:szCs w:val="20"/>
        </w:rPr>
        <w:t>——浸出液中铜离子浓度，单位为克/升（g/L）；</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V</w:t>
      </w:r>
      <w:r>
        <w:rPr>
          <w:rFonts w:ascii="Times New Roman" w:hAnsi="Times New Roman" w:eastAsia="宋体" w:cs="Times New Roman"/>
          <w:kern w:val="0"/>
          <w:szCs w:val="20"/>
          <w:vertAlign w:val="subscript"/>
        </w:rPr>
        <w:t>0</w:t>
      </w:r>
      <w:r>
        <w:rPr>
          <w:rFonts w:hint="eastAsia" w:ascii="Times New Roman" w:hAnsi="Times New Roman" w:eastAsia="宋体" w:cs="Times New Roman"/>
          <w:kern w:val="0"/>
          <w:szCs w:val="20"/>
        </w:rPr>
        <w:t>——浸出液总体积，单位为立方米（m</w:t>
      </w:r>
      <w:r>
        <w:rPr>
          <w:rFonts w:ascii="Times New Roman" w:hAnsi="Times New Roman" w:eastAsia="宋体" w:cs="Times New Roman"/>
          <w:kern w:val="0"/>
          <w:szCs w:val="20"/>
          <w:vertAlign w:val="superscript"/>
        </w:rPr>
        <w:t>3</w:t>
      </w:r>
      <w:r>
        <w:rPr>
          <w:rFonts w:hint="eastAsia"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ascii="Times New Roman" w:hAnsi="Times New Roman" w:eastAsia="宋体" w:cs="Times New Roman"/>
          <w:kern w:val="0"/>
          <w:szCs w:val="20"/>
        </w:rPr>
        <w:t>α</w:t>
      </w:r>
      <w:r>
        <w:rPr>
          <w:rFonts w:hint="eastAsia" w:ascii="Times New Roman" w:hAnsi="Times New Roman" w:eastAsia="宋体" w:cs="Times New Roman"/>
          <w:kern w:val="0"/>
          <w:szCs w:val="20"/>
        </w:rPr>
        <w:t>——入堆铜品位，单位为百分比（%）；</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M</w:t>
      </w:r>
      <w:r>
        <w:rPr>
          <w:rFonts w:ascii="Times New Roman" w:hAnsi="Times New Roman" w:eastAsia="宋体" w:cs="Times New Roman"/>
          <w:kern w:val="0"/>
          <w:szCs w:val="20"/>
          <w:vertAlign w:val="subscript"/>
        </w:rPr>
        <w:t>0</w:t>
      </w:r>
      <w:r>
        <w:rPr>
          <w:rFonts w:hint="eastAsia" w:ascii="Times New Roman" w:hAnsi="Times New Roman" w:eastAsia="宋体" w:cs="Times New Roman"/>
          <w:kern w:val="0"/>
          <w:szCs w:val="20"/>
        </w:rPr>
        <w:t>——入堆矿石量</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吨</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t</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M</w:t>
      </w:r>
      <w:r>
        <w:rPr>
          <w:rFonts w:ascii="Times New Roman" w:hAnsi="Times New Roman" w:eastAsia="宋体" w:cs="Times New Roman"/>
          <w:kern w:val="0"/>
          <w:szCs w:val="20"/>
          <w:vertAlign w:val="subscript"/>
        </w:rPr>
        <w:t>1</w:t>
      </w:r>
      <w:r>
        <w:rPr>
          <w:rFonts w:hint="eastAsia" w:ascii="Times New Roman" w:hAnsi="Times New Roman" w:eastAsia="宋体" w:cs="Times New Roman"/>
          <w:kern w:val="0"/>
          <w:szCs w:val="20"/>
        </w:rPr>
        <w:t>——阴极铜总产量</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吨</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t</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γ——萃取——电积段铜回收率，单位为百分比（%）。</w:t>
      </w:r>
    </w:p>
    <w:p>
      <w:pPr>
        <w:widowControl/>
        <w:snapToGrid w:val="0"/>
        <w:spacing w:before="156" w:beforeLines="50" w:after="156" w:afterLines="50" w:line="360" w:lineRule="exact"/>
        <w:jc w:val="left"/>
        <w:outlineLvl w:val="2"/>
        <w:rPr>
          <w:rFonts w:ascii="黑体" w:hAnsi="黑体" w:eastAsia="黑体" w:cs="Times New Roman"/>
          <w:kern w:val="0"/>
          <w:szCs w:val="21"/>
        </w:rPr>
      </w:pPr>
      <w:r>
        <w:rPr>
          <w:rFonts w:ascii="黑体" w:hAnsi="黑体" w:eastAsia="黑体" w:cs="Times New Roman"/>
          <w:kern w:val="0"/>
          <w:szCs w:val="21"/>
        </w:rPr>
        <w:t xml:space="preserve">4.3.2  </w:t>
      </w:r>
      <w:r>
        <w:rPr>
          <w:rFonts w:hint="eastAsia" w:ascii="黑体" w:hAnsi="黑体" w:eastAsia="黑体" w:cs="Times New Roman"/>
          <w:kern w:val="0"/>
          <w:szCs w:val="21"/>
        </w:rPr>
        <w:t>浸出液中三价铁离子及其它杂质离子浓度控制</w:t>
      </w:r>
    </w:p>
    <w:p>
      <w:pPr>
        <w:adjustRightInd w:val="0"/>
        <w:spacing w:line="360" w:lineRule="atLeast"/>
        <w:jc w:val="left"/>
        <w:textAlignment w:val="baseline"/>
        <w:rPr>
          <w:rFonts w:ascii="黑体" w:hAnsi="黑体" w:eastAsia="黑体" w:cs="Times New Roman"/>
          <w:kern w:val="0"/>
          <w:szCs w:val="20"/>
        </w:rPr>
      </w:pPr>
      <w:r>
        <w:rPr>
          <w:rFonts w:ascii="黑体" w:hAnsi="黑体" w:eastAsia="黑体" w:cs="Times New Roman"/>
          <w:kern w:val="0"/>
          <w:szCs w:val="20"/>
        </w:rPr>
        <w:t xml:space="preserve">4.3.2.1  </w:t>
      </w:r>
      <w:r>
        <w:rPr>
          <w:rFonts w:hint="eastAsia" w:ascii="黑体" w:hAnsi="黑体" w:eastAsia="黑体" w:cs="Times New Roman"/>
          <w:kern w:val="0"/>
          <w:szCs w:val="20"/>
        </w:rPr>
        <w:t>三价铁离子浓度控制</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当浸出液中的三价铁离子浓度大于</w:t>
      </w:r>
      <w:r>
        <w:rPr>
          <w:rFonts w:ascii="Times New Roman" w:hAnsi="Times New Roman" w:eastAsia="宋体" w:cs="Times New Roman"/>
          <w:kern w:val="0"/>
          <w:szCs w:val="20"/>
        </w:rPr>
        <w:t>3</w:t>
      </w:r>
      <w:r>
        <w:rPr>
          <w:rFonts w:hint="eastAsia" w:ascii="Times New Roman" w:hAnsi="Times New Roman" w:eastAsia="宋体" w:cs="Times New Roman"/>
          <w:kern w:val="0"/>
          <w:szCs w:val="20"/>
        </w:rPr>
        <w:t>0g/L，应及时除铁，采用的除铁方法包括中和水解法、针铁矿法、赤铁矿法、黄钾铁矾法等，应根据现场实际情况决定。</w:t>
      </w:r>
    </w:p>
    <w:p>
      <w:pPr>
        <w:adjustRightInd w:val="0"/>
        <w:spacing w:line="360" w:lineRule="atLeast"/>
        <w:jc w:val="left"/>
        <w:textAlignment w:val="baseline"/>
        <w:rPr>
          <w:rFonts w:ascii="黑体" w:hAnsi="黑体" w:eastAsia="黑体" w:cs="Times New Roman"/>
          <w:kern w:val="0"/>
          <w:szCs w:val="20"/>
        </w:rPr>
      </w:pPr>
      <w:r>
        <w:rPr>
          <w:rFonts w:ascii="黑体" w:hAnsi="黑体" w:eastAsia="黑体" w:cs="Times New Roman"/>
          <w:kern w:val="0"/>
          <w:szCs w:val="20"/>
        </w:rPr>
        <w:t xml:space="preserve">4.3.2.2  </w:t>
      </w:r>
      <w:r>
        <w:rPr>
          <w:rFonts w:hint="eastAsia" w:ascii="黑体" w:hAnsi="黑体" w:eastAsia="黑体" w:cs="Times New Roman"/>
          <w:kern w:val="0"/>
          <w:szCs w:val="20"/>
        </w:rPr>
        <w:t>其它杂质离子浓度控制</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根据后续溶液处理的杂质离子浓度范围要求，应选择中和沉淀法、萃取法、离子交换法、电渗析法等合理的处理方法将杂质离子浓度限定在可控的范围内。杂质离子应至少包含Fe</w:t>
      </w:r>
      <w:r>
        <w:rPr>
          <w:rFonts w:ascii="Times New Roman" w:hAnsi="Times New Roman" w:eastAsia="宋体" w:cs="Times New Roman"/>
          <w:kern w:val="0"/>
          <w:szCs w:val="20"/>
          <w:vertAlign w:val="superscript"/>
        </w:rPr>
        <w:t>2</w:t>
      </w:r>
      <w:r>
        <w:rPr>
          <w:rFonts w:hint="eastAsia" w:ascii="Times New Roman" w:hAnsi="Times New Roman" w:eastAsia="宋体" w:cs="Times New Roman"/>
          <w:kern w:val="0"/>
          <w:szCs w:val="20"/>
          <w:vertAlign w:val="superscript"/>
        </w:rPr>
        <w:t>+</w:t>
      </w:r>
      <w:r>
        <w:rPr>
          <w:rFonts w:hint="eastAsia" w:ascii="Times New Roman" w:hAnsi="Times New Roman" w:eastAsia="宋体" w:cs="Times New Roman"/>
          <w:kern w:val="0"/>
          <w:szCs w:val="20"/>
        </w:rPr>
        <w:t>、Fe</w:t>
      </w:r>
      <w:r>
        <w:rPr>
          <w:rFonts w:ascii="Times New Roman" w:hAnsi="Times New Roman" w:eastAsia="宋体" w:cs="Times New Roman"/>
          <w:kern w:val="0"/>
          <w:szCs w:val="20"/>
          <w:vertAlign w:val="superscript"/>
        </w:rPr>
        <w:t>3</w:t>
      </w:r>
      <w:r>
        <w:rPr>
          <w:rFonts w:hint="eastAsia" w:ascii="Times New Roman" w:hAnsi="Times New Roman" w:eastAsia="宋体" w:cs="Times New Roman"/>
          <w:kern w:val="0"/>
          <w:szCs w:val="20"/>
          <w:vertAlign w:val="superscript"/>
        </w:rPr>
        <w:t>+</w:t>
      </w:r>
      <w:r>
        <w:rPr>
          <w:rFonts w:hint="eastAsia" w:ascii="Times New Roman" w:hAnsi="Times New Roman" w:eastAsia="宋体" w:cs="Times New Roman"/>
          <w:kern w:val="0"/>
          <w:szCs w:val="20"/>
        </w:rPr>
        <w:t>、Ca</w:t>
      </w:r>
      <w:r>
        <w:rPr>
          <w:rFonts w:hint="eastAsia" w:ascii="Times New Roman" w:hAnsi="Times New Roman" w:eastAsia="宋体" w:cs="Times New Roman"/>
          <w:kern w:val="0"/>
          <w:szCs w:val="20"/>
          <w:vertAlign w:val="superscript"/>
        </w:rPr>
        <w:t>2+</w:t>
      </w:r>
      <w:r>
        <w:rPr>
          <w:rFonts w:hint="eastAsia" w:ascii="Times New Roman" w:hAnsi="Times New Roman" w:eastAsia="宋体" w:cs="Times New Roman"/>
          <w:kern w:val="0"/>
          <w:szCs w:val="20"/>
        </w:rPr>
        <w:t>、Mg</w:t>
      </w:r>
      <w:r>
        <w:rPr>
          <w:rFonts w:hint="eastAsia" w:ascii="Times New Roman" w:hAnsi="Times New Roman" w:eastAsia="宋体" w:cs="Times New Roman"/>
          <w:kern w:val="0"/>
          <w:szCs w:val="20"/>
          <w:vertAlign w:val="superscript"/>
        </w:rPr>
        <w:t>2+</w:t>
      </w:r>
      <w:r>
        <w:rPr>
          <w:rFonts w:hint="eastAsia" w:ascii="Times New Roman" w:hAnsi="Times New Roman" w:eastAsia="宋体" w:cs="Times New Roman"/>
          <w:kern w:val="0"/>
          <w:szCs w:val="20"/>
        </w:rPr>
        <w:t>、Al</w:t>
      </w:r>
      <w:r>
        <w:rPr>
          <w:rFonts w:hint="eastAsia" w:ascii="Times New Roman" w:hAnsi="Times New Roman" w:eastAsia="宋体" w:cs="Times New Roman"/>
          <w:kern w:val="0"/>
          <w:szCs w:val="20"/>
          <w:vertAlign w:val="superscript"/>
        </w:rPr>
        <w:t>3+</w:t>
      </w:r>
      <w:r>
        <w:rPr>
          <w:rFonts w:hint="eastAsia" w:ascii="Times New Roman" w:hAnsi="Times New Roman" w:eastAsia="宋体" w:cs="Times New Roman"/>
          <w:kern w:val="0"/>
          <w:szCs w:val="20"/>
        </w:rPr>
        <w:t>、SiO</w:t>
      </w:r>
      <w:r>
        <w:rPr>
          <w:rFonts w:hint="eastAsia" w:ascii="Times New Roman" w:hAnsi="Times New Roman" w:eastAsia="宋体" w:cs="Times New Roman"/>
          <w:kern w:val="0"/>
          <w:szCs w:val="20"/>
          <w:vertAlign w:val="subscript"/>
        </w:rPr>
        <w:t>3</w:t>
      </w:r>
      <w:r>
        <w:rPr>
          <w:rFonts w:hint="eastAsia" w:ascii="Times New Roman" w:hAnsi="Times New Roman" w:eastAsia="宋体" w:cs="Times New Roman"/>
          <w:kern w:val="0"/>
          <w:szCs w:val="20"/>
          <w:vertAlign w:val="superscript"/>
        </w:rPr>
        <w:t>2-</w:t>
      </w:r>
      <w:r>
        <w:rPr>
          <w:rFonts w:hint="eastAsia" w:ascii="Times New Roman" w:hAnsi="Times New Roman" w:eastAsia="宋体" w:cs="Times New Roman"/>
          <w:kern w:val="0"/>
          <w:szCs w:val="20"/>
        </w:rPr>
        <w:t>。Mn</w:t>
      </w:r>
      <w:r>
        <w:rPr>
          <w:rFonts w:ascii="Times New Roman" w:hAnsi="Times New Roman" w:eastAsia="宋体" w:cs="Times New Roman"/>
          <w:kern w:val="0"/>
          <w:szCs w:val="20"/>
          <w:vertAlign w:val="superscript"/>
        </w:rPr>
        <w:t>2</w:t>
      </w:r>
      <w:r>
        <w:rPr>
          <w:rFonts w:hint="eastAsia" w:ascii="Times New Roman" w:hAnsi="Times New Roman" w:eastAsia="宋体" w:cs="Times New Roman"/>
          <w:kern w:val="0"/>
          <w:szCs w:val="20"/>
          <w:vertAlign w:val="superscript"/>
        </w:rPr>
        <w:t>+</w:t>
      </w:r>
      <w:r>
        <w:rPr>
          <w:rFonts w:hint="eastAsia" w:ascii="Times New Roman" w:hAnsi="Times New Roman" w:eastAsia="宋体" w:cs="Times New Roman"/>
          <w:kern w:val="0"/>
          <w:szCs w:val="20"/>
        </w:rPr>
        <w:t>、F</w:t>
      </w:r>
      <w:r>
        <w:rPr>
          <w:rFonts w:hint="eastAsia" w:ascii="Times New Roman" w:hAnsi="Times New Roman" w:eastAsia="宋体" w:cs="Times New Roman"/>
          <w:kern w:val="0"/>
          <w:szCs w:val="20"/>
          <w:vertAlign w:val="superscript"/>
        </w:rPr>
        <w:t>-</w:t>
      </w:r>
      <w:r>
        <w:rPr>
          <w:rFonts w:hint="eastAsia" w:ascii="Times New Roman" w:hAnsi="Times New Roman" w:eastAsia="宋体" w:cs="Times New Roman"/>
          <w:kern w:val="0"/>
          <w:szCs w:val="20"/>
        </w:rPr>
        <w:t>、Cl</w:t>
      </w:r>
      <w:r>
        <w:rPr>
          <w:rFonts w:hint="eastAsia" w:ascii="Times New Roman" w:hAnsi="Times New Roman" w:eastAsia="宋体" w:cs="Times New Roman"/>
          <w:kern w:val="0"/>
          <w:szCs w:val="20"/>
          <w:vertAlign w:val="superscript"/>
        </w:rPr>
        <w:t>-</w:t>
      </w:r>
      <w:r>
        <w:rPr>
          <w:rFonts w:hint="eastAsia" w:ascii="Times New Roman" w:hAnsi="Times New Roman" w:eastAsia="宋体" w:cs="Times New Roman"/>
          <w:kern w:val="0"/>
          <w:szCs w:val="20"/>
        </w:rPr>
        <w:t>。</w:t>
      </w:r>
    </w:p>
    <w:p>
      <w:pPr>
        <w:adjustRightInd w:val="0"/>
        <w:spacing w:line="360" w:lineRule="atLeast"/>
        <w:ind w:firstLine="42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生物堆浸循环控制过程中，应监测浸出液中汞、镉、铅、铬、砷、锌、钴、镍等有害元素离子的浓度，达到设计限值时需对其进行去除。</w:t>
      </w:r>
    </w:p>
    <w:p>
      <w:pPr>
        <w:adjustRightInd w:val="0"/>
        <w:spacing w:line="360" w:lineRule="atLeast"/>
        <w:jc w:val="left"/>
        <w:textAlignment w:val="baseline"/>
        <w:rPr>
          <w:rFonts w:ascii="黑体" w:hAnsi="黑体" w:eastAsia="黑体" w:cs="Times New Roman"/>
          <w:kern w:val="0"/>
          <w:szCs w:val="20"/>
        </w:rPr>
      </w:pPr>
      <w:r>
        <w:rPr>
          <w:rFonts w:ascii="黑体" w:hAnsi="黑体" w:eastAsia="黑体" w:cs="Times New Roman"/>
          <w:kern w:val="0"/>
          <w:szCs w:val="20"/>
        </w:rPr>
        <w:t xml:space="preserve">4.3.2.3  </w:t>
      </w:r>
      <w:r>
        <w:rPr>
          <w:rFonts w:hint="eastAsia" w:ascii="黑体" w:hAnsi="黑体" w:eastAsia="黑体" w:cs="Times New Roman"/>
          <w:kern w:val="0"/>
          <w:szCs w:val="20"/>
        </w:rPr>
        <w:t>其它</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应对杂质离子及有害离子产生量、产生位点、处理量等进行数字化管理。根据堆浸场的特点对监测点有害离子的产生进行实时在线监测和预警。</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27" w:name="_Toc71182029"/>
      <w:r>
        <w:rPr>
          <w:rFonts w:ascii="黑体" w:hAnsi="黑体" w:eastAsia="黑体" w:cs="Times New Roman"/>
          <w:kern w:val="0"/>
          <w:szCs w:val="21"/>
        </w:rPr>
        <w:t xml:space="preserve">4.3.3  </w:t>
      </w:r>
      <w:r>
        <w:rPr>
          <w:rFonts w:hint="eastAsia" w:ascii="黑体" w:hAnsi="黑体" w:eastAsia="黑体" w:cs="Times New Roman"/>
          <w:kern w:val="0"/>
          <w:szCs w:val="21"/>
        </w:rPr>
        <w:t>浸出液</w:t>
      </w:r>
      <w:r>
        <w:rPr>
          <w:rFonts w:ascii="黑体" w:hAnsi="黑体" w:eastAsia="黑体" w:cs="Times New Roman"/>
          <w:kern w:val="0"/>
          <w:szCs w:val="21"/>
        </w:rPr>
        <w:t>pH</w:t>
      </w:r>
      <w:r>
        <w:rPr>
          <w:rFonts w:hint="eastAsia" w:ascii="黑体" w:hAnsi="黑体" w:eastAsia="黑体" w:cs="Times New Roman"/>
          <w:kern w:val="0"/>
          <w:szCs w:val="21"/>
        </w:rPr>
        <w:t>值控制</w:t>
      </w:r>
      <w:bookmarkEnd w:id="27"/>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浸出液循环过程中，其pH值应维持在1.</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~2.0范围内，pH值高于2.0或低于1.</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时，应按照少量多次的原则，适当添加pH值调整剂。</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28" w:name="_Toc71182030"/>
      <w:r>
        <w:rPr>
          <w:rFonts w:ascii="黑体" w:hAnsi="黑体" w:eastAsia="黑体" w:cs="Times New Roman"/>
          <w:kern w:val="0"/>
          <w:szCs w:val="21"/>
        </w:rPr>
        <w:t xml:space="preserve">4.3.4  </w:t>
      </w:r>
      <w:r>
        <w:rPr>
          <w:rFonts w:hint="eastAsia" w:ascii="黑体" w:hAnsi="黑体" w:eastAsia="黑体" w:cs="Times New Roman"/>
          <w:kern w:val="0"/>
          <w:szCs w:val="21"/>
        </w:rPr>
        <w:t>浸出液循环过程中水平衡控制</w:t>
      </w:r>
      <w:bookmarkEnd w:id="28"/>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4.3.4.1</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工艺水平衡控制</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工艺水平衡控制按照公式（</w:t>
      </w:r>
      <w:r>
        <w:rPr>
          <w:rFonts w:ascii="Times New Roman" w:hAnsi="Times New Roman" w:eastAsia="宋体" w:cs="Times New Roman"/>
          <w:kern w:val="0"/>
          <w:szCs w:val="20"/>
        </w:rPr>
        <w:t>2</w:t>
      </w:r>
      <w:r>
        <w:rPr>
          <w:rFonts w:hint="eastAsia" w:ascii="Times New Roman" w:hAnsi="Times New Roman" w:eastAsia="宋体" w:cs="Times New Roman"/>
          <w:kern w:val="0"/>
          <w:szCs w:val="20"/>
        </w:rPr>
        <w:t>）计算：</w:t>
      </w:r>
    </w:p>
    <w:p>
      <w:pPr>
        <w:adjustRightInd w:val="0"/>
        <w:spacing w:line="360" w:lineRule="atLeast"/>
        <w:jc w:val="left"/>
        <w:textAlignment w:val="baseline"/>
        <w:rPr>
          <w:rFonts w:ascii="Times New Roman" w:hAnsi="Times New Roman" w:eastAsia="宋体" w:cs="Times New Roman"/>
          <w:kern w:val="0"/>
          <w:szCs w:val="20"/>
        </w:rPr>
      </w:pPr>
      <m:oMathPara>
        <m:oMath>
          <m:sSub>
            <m:sSubPr>
              <m:ctrlPr>
                <w:rPr>
                  <w:rFonts w:ascii="Cambria Math" w:hAnsi="Cambria Math" w:eastAsia="宋体" w:cs="Times New Roman"/>
                  <w:i/>
                  <w:kern w:val="0"/>
                  <w:szCs w:val="20"/>
                </w:rPr>
              </m:ctrlPr>
            </m:sSubPr>
            <m:e>
              <m:r>
                <m:rPr/>
                <w:rPr>
                  <w:rFonts w:hint="eastAsia" w:ascii="Cambria Math" w:hAnsi="Cambria Math" w:eastAsia="宋体" w:cs="Times New Roman"/>
                  <w:kern w:val="0"/>
                  <w:szCs w:val="20"/>
                </w:rPr>
                <m:t>V</m:t>
              </m:r>
              <m:ctrlPr>
                <w:rPr>
                  <w:rFonts w:ascii="Cambria Math" w:hAnsi="Cambria Math" w:eastAsia="宋体" w:cs="Times New Roman"/>
                  <w:i/>
                  <w:kern w:val="0"/>
                  <w:szCs w:val="20"/>
                </w:rPr>
              </m:ctrlPr>
            </m:e>
            <m:sub>
              <m:r>
                <m:rPr>
                  <m:sty m:val="p"/>
                </m:rPr>
                <w:rPr>
                  <w:rFonts w:hint="eastAsia" w:ascii="Cambria Math" w:hAnsi="Cambria Math" w:eastAsia="宋体" w:cs="Times New Roman"/>
                  <w:kern w:val="0"/>
                  <w:szCs w:val="20"/>
                </w:rPr>
                <m:t>进</m:t>
              </m:r>
              <m:ctrlPr>
                <w:rPr>
                  <w:rFonts w:ascii="Cambria Math" w:hAnsi="Cambria Math" w:eastAsia="宋体" w:cs="Times New Roman"/>
                  <w:i/>
                  <w:kern w:val="0"/>
                  <w:szCs w:val="20"/>
                </w:rPr>
              </m:ctrlPr>
            </m:sub>
          </m:sSub>
          <m:r>
            <m:rPr/>
            <w:rPr>
              <w:rFonts w:hint="eastAsia" w:ascii="Cambria Math" w:hAnsi="Cambria Math" w:eastAsia="宋体" w:cs="Times New Roman"/>
              <w:kern w:val="0"/>
              <w:szCs w:val="20"/>
            </w:rPr>
            <m:t>=</m:t>
          </m:r>
          <m:sSub>
            <m:sSubPr>
              <m:ctrlPr>
                <w:rPr>
                  <w:rFonts w:ascii="Cambria Math" w:hAnsi="Cambria Math" w:eastAsia="宋体" w:cs="Times New Roman"/>
                  <w:i/>
                  <w:kern w:val="0"/>
                  <w:szCs w:val="20"/>
                </w:rPr>
              </m:ctrlPr>
            </m:sSubPr>
            <m:e>
              <m:r>
                <m:rPr/>
                <w:rPr>
                  <w:rFonts w:hint="eastAsia" w:ascii="Cambria Math" w:hAnsi="Cambria Math" w:eastAsia="宋体" w:cs="Times New Roman"/>
                  <w:kern w:val="0"/>
                  <w:szCs w:val="20"/>
                </w:rPr>
                <m:t>V</m:t>
              </m:r>
              <m:ctrlPr>
                <w:rPr>
                  <w:rFonts w:ascii="Cambria Math" w:hAnsi="Cambria Math" w:eastAsia="宋体" w:cs="Times New Roman"/>
                  <w:i/>
                  <w:kern w:val="0"/>
                  <w:szCs w:val="20"/>
                </w:rPr>
              </m:ctrlPr>
            </m:e>
            <m:sub>
              <m:r>
                <m:rPr>
                  <m:sty m:val="p"/>
                </m:rPr>
                <w:rPr>
                  <w:rFonts w:hint="eastAsia" w:ascii="Cambria Math" w:hAnsi="Cambria Math" w:eastAsia="宋体" w:cs="Times New Roman"/>
                  <w:kern w:val="0"/>
                  <w:szCs w:val="20"/>
                </w:rPr>
                <m:t>出</m:t>
              </m:r>
              <m:ctrlPr>
                <w:rPr>
                  <w:rFonts w:ascii="Cambria Math" w:hAnsi="Cambria Math" w:eastAsia="宋体" w:cs="Times New Roman"/>
                  <w:i/>
                  <w:kern w:val="0"/>
                  <w:szCs w:val="20"/>
                </w:rPr>
              </m:ctrlPr>
            </m:sub>
          </m:sSub>
          <m:r>
            <m:rPr/>
            <w:rPr>
              <w:rFonts w:hint="eastAsia" w:ascii="Cambria Math" w:hAnsi="Cambria Math" w:eastAsia="宋体" w:cs="Times New Roman"/>
              <w:kern w:val="0"/>
              <w:szCs w:val="20"/>
            </w:rPr>
            <m:t>+</m:t>
          </m:r>
          <m:r>
            <m:rPr/>
            <w:rPr>
              <w:rFonts w:ascii="Cambria Math" w:hAnsi="Cambria Math" w:eastAsia="宋体" w:cs="Times New Roman"/>
              <w:kern w:val="0"/>
              <w:szCs w:val="20"/>
            </w:rPr>
            <m:t>∆</m:t>
          </m:r>
          <m:sSub>
            <m:sSubPr>
              <m:ctrlPr>
                <w:rPr>
                  <w:rFonts w:ascii="Cambria Math" w:hAnsi="Cambria Math" w:eastAsia="宋体" w:cs="Times New Roman"/>
                  <w:i/>
                  <w:kern w:val="0"/>
                  <w:szCs w:val="20"/>
                </w:rPr>
              </m:ctrlPr>
            </m:sSubPr>
            <m:e>
              <m:r>
                <m:rPr/>
                <w:rPr>
                  <w:rFonts w:hint="eastAsia" w:ascii="Cambria Math" w:hAnsi="Cambria Math" w:eastAsia="宋体" w:cs="Times New Roman"/>
                  <w:kern w:val="0"/>
                  <w:szCs w:val="20"/>
                </w:rPr>
                <m:t>V</m:t>
              </m:r>
              <m:ctrlPr>
                <w:rPr>
                  <w:rFonts w:ascii="Cambria Math" w:hAnsi="Cambria Math" w:eastAsia="宋体" w:cs="Times New Roman"/>
                  <w:i/>
                  <w:kern w:val="0"/>
                  <w:szCs w:val="20"/>
                </w:rPr>
              </m:ctrlPr>
            </m:e>
            <m:sub>
              <m:r>
                <m:rPr>
                  <m:sty m:val="p"/>
                </m:rPr>
                <w:rPr>
                  <w:rFonts w:hint="eastAsia" w:ascii="Cambria Math" w:hAnsi="Cambria Math" w:eastAsia="宋体" w:cs="Times New Roman"/>
                  <w:kern w:val="0"/>
                  <w:szCs w:val="20"/>
                </w:rPr>
                <m:t>含</m:t>
              </m:r>
              <m:ctrlPr>
                <w:rPr>
                  <w:rFonts w:ascii="Cambria Math" w:hAnsi="Cambria Math" w:eastAsia="宋体" w:cs="Times New Roman"/>
                  <w:i/>
                  <w:kern w:val="0"/>
                  <w:szCs w:val="20"/>
                </w:rPr>
              </m:ctrlPr>
            </m:sub>
          </m:sSub>
        </m:oMath>
      </m:oMathPara>
    </w:p>
    <w:p>
      <w:pPr>
        <w:adjustRightInd w:val="0"/>
        <w:spacing w:line="360" w:lineRule="atLeast"/>
        <w:jc w:val="righ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w:t>
      </w:r>
      <w:r>
        <w:rPr>
          <w:rFonts w:ascii="Times New Roman" w:hAnsi="Times New Roman" w:eastAsia="宋体" w:cs="Times New Roman"/>
          <w:kern w:val="0"/>
          <w:szCs w:val="20"/>
        </w:rPr>
        <w:t>2</w:t>
      </w:r>
      <w:r>
        <w:rPr>
          <w:rFonts w:hint="eastAsia"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其中，</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V</w:t>
      </w:r>
      <w:r>
        <w:rPr>
          <w:rFonts w:hint="eastAsia" w:ascii="Times New Roman" w:hAnsi="Times New Roman" w:eastAsia="宋体" w:cs="Times New Roman"/>
          <w:kern w:val="0"/>
          <w:szCs w:val="20"/>
          <w:vertAlign w:val="subscript"/>
        </w:rPr>
        <w:t>进</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工艺循环进入堆场的水体积</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立方米</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m</w:t>
      </w:r>
      <w:r>
        <w:rPr>
          <w:rFonts w:ascii="Times New Roman" w:hAnsi="Times New Roman" w:eastAsia="宋体" w:cs="Times New Roman"/>
          <w:kern w:val="0"/>
          <w:szCs w:val="20"/>
          <w:vertAlign w:val="superscript"/>
        </w:rPr>
        <w:t>3</w:t>
      </w:r>
      <w:r>
        <w:rPr>
          <w:rFonts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V</w:t>
      </w:r>
      <w:r>
        <w:rPr>
          <w:rFonts w:hint="eastAsia" w:ascii="Times New Roman" w:hAnsi="Times New Roman" w:eastAsia="宋体" w:cs="Times New Roman"/>
          <w:kern w:val="0"/>
          <w:szCs w:val="20"/>
          <w:vertAlign w:val="subscript"/>
        </w:rPr>
        <w:t>出</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工艺循环流出堆场的水体积</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立方米</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m</w:t>
      </w:r>
      <w:r>
        <w:rPr>
          <w:rFonts w:ascii="Times New Roman" w:hAnsi="Times New Roman" w:eastAsia="宋体" w:cs="Times New Roman"/>
          <w:kern w:val="0"/>
          <w:szCs w:val="20"/>
          <w:vertAlign w:val="superscript"/>
        </w:rPr>
        <w:t>3</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宋体" w:hAnsi="宋体" w:eastAsia="宋体" w:cs="Times New Roman"/>
          <w:kern w:val="0"/>
          <w:szCs w:val="20"/>
        </w:rPr>
        <w:t>Δ</w:t>
      </w:r>
      <w:r>
        <w:rPr>
          <w:rFonts w:hint="eastAsia" w:ascii="Times New Roman" w:hAnsi="Times New Roman" w:eastAsia="宋体" w:cs="Times New Roman"/>
          <w:kern w:val="0"/>
          <w:szCs w:val="20"/>
        </w:rPr>
        <w:t>V</w:t>
      </w:r>
      <w:r>
        <w:rPr>
          <w:rFonts w:hint="eastAsia" w:ascii="Times New Roman" w:hAnsi="Times New Roman" w:eastAsia="宋体" w:cs="Times New Roman"/>
          <w:kern w:val="0"/>
          <w:szCs w:val="20"/>
          <w:vertAlign w:val="subscript"/>
        </w:rPr>
        <w:t>含</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两次取样所测矿堆含水量体积差值</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立方米</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m</w:t>
      </w:r>
      <w:r>
        <w:rPr>
          <w:rFonts w:ascii="Times New Roman" w:hAnsi="Times New Roman" w:eastAsia="宋体" w:cs="Times New Roman"/>
          <w:kern w:val="0"/>
          <w:szCs w:val="20"/>
          <w:vertAlign w:val="superscript"/>
        </w:rPr>
        <w:t>3</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矿堆含水量测定周期为2周，测定方法参照GB</w:t>
      </w:r>
      <w:r>
        <w:rPr>
          <w:rFonts w:ascii="Times New Roman" w:hAnsi="Times New Roman" w:eastAsia="宋体" w:cs="Times New Roman"/>
          <w:kern w:val="0"/>
          <w:szCs w:val="20"/>
        </w:rPr>
        <w:t>/T 33705</w:t>
      </w:r>
      <w:r>
        <w:rPr>
          <w:rFonts w:hint="eastAsia" w:ascii="Times New Roman" w:hAnsi="Times New Roman" w:eastAsia="宋体" w:cs="Times New Roman"/>
          <w:kern w:val="0"/>
          <w:szCs w:val="20"/>
        </w:rPr>
        <w:t>中土壤水分测定方法执行。</w:t>
      </w:r>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4.3.4.2</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外部环境的水平衡控制</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当一个统计周期内进入浸出液循环系统的降水量（单位为立方米）与浸出液循环系统自然蒸发的水量（单位为立方米）相同时，浸出液循环过程无需补充水或排水；当降水量大于蒸发量时，浸出液循环过程应及时排水，并将其导入贫液池或防洪池，用作工艺补水；当降水量小于蒸发量时，浸出液循环过程应及时补充新水或工艺补水。补水时应按照少量多次的原则，避免浸出液pH值大幅波动。</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降水量、蒸发量数据采用当地气象部门数据，无法获取时，降水量参照SL</w:t>
      </w:r>
      <w:r>
        <w:rPr>
          <w:rFonts w:ascii="Times New Roman" w:hAnsi="Times New Roman" w:eastAsia="宋体" w:cs="Times New Roman"/>
          <w:kern w:val="0"/>
          <w:szCs w:val="20"/>
        </w:rPr>
        <w:t xml:space="preserve"> 21</w:t>
      </w:r>
      <w:r>
        <w:rPr>
          <w:rFonts w:hint="eastAsia" w:ascii="Times New Roman" w:hAnsi="Times New Roman" w:eastAsia="宋体" w:cs="Times New Roman"/>
          <w:kern w:val="0"/>
          <w:szCs w:val="20"/>
        </w:rPr>
        <w:t>执行，蒸发量采用</w:t>
      </w:r>
      <w:r>
        <w:rPr>
          <w:rFonts w:ascii="Times New Roman" w:hAnsi="Times New Roman" w:eastAsia="宋体" w:cs="Times New Roman"/>
          <w:kern w:val="0"/>
          <w:szCs w:val="20"/>
        </w:rPr>
        <w:t>GB/T 41184.1</w:t>
      </w:r>
      <w:r>
        <w:rPr>
          <w:rFonts w:hint="eastAsia" w:ascii="Times New Roman" w:hAnsi="Times New Roman" w:eastAsia="宋体" w:cs="Times New Roman"/>
          <w:kern w:val="0"/>
          <w:szCs w:val="20"/>
        </w:rPr>
        <w:t>仪器实测。</w:t>
      </w:r>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4.3.4.3</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浸出液循环过程不应出现漏液情况。如出现，则应尽快停止溶液循环，查找漏点，修复好再开启溶液循环。</w:t>
      </w:r>
    </w:p>
    <w:p>
      <w:pPr>
        <w:adjustRightInd w:val="0"/>
        <w:spacing w:line="360" w:lineRule="atLeast"/>
        <w:jc w:val="left"/>
        <w:textAlignment w:val="baseline"/>
        <w:rPr>
          <w:rFonts w:ascii="Times New Roman" w:hAnsi="Times New Roman" w:eastAsia="宋体" w:cs="Times New Roman"/>
          <w:kern w:val="0"/>
          <w:szCs w:val="20"/>
        </w:rPr>
      </w:pPr>
      <w:r>
        <w:rPr>
          <w:rFonts w:ascii="黑体" w:hAnsi="黑体" w:eastAsia="黑体" w:cs="Times New Roman"/>
          <w:kern w:val="0"/>
          <w:szCs w:val="20"/>
        </w:rPr>
        <w:t>4.3.4.4</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浸出液宜实现循环平衡在线监控和分析，应采用新水或工艺补水自动添加系统，对水添加量进行自动统计，实现自动或智能平衡控制及调节。</w:t>
      </w:r>
    </w:p>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29" w:name="_Toc71182035"/>
      <w:r>
        <w:rPr>
          <w:rFonts w:ascii="黑体" w:hAnsi="黑体" w:eastAsia="黑体" w:cs="Times New Roman"/>
          <w:kern w:val="0"/>
          <w:szCs w:val="20"/>
        </w:rPr>
        <w:t xml:space="preserve">4.4  </w:t>
      </w:r>
      <w:r>
        <w:rPr>
          <w:rFonts w:hint="eastAsia" w:ascii="黑体" w:hAnsi="黑体" w:eastAsia="黑体" w:cs="Times New Roman"/>
          <w:kern w:val="0"/>
          <w:szCs w:val="20"/>
        </w:rPr>
        <w:t>堆场的关闭作业</w:t>
      </w:r>
      <w:bookmarkEnd w:id="29"/>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30" w:name="_Toc71182036"/>
      <w:r>
        <w:rPr>
          <w:rFonts w:ascii="黑体" w:hAnsi="黑体" w:eastAsia="黑体" w:cs="Times New Roman"/>
          <w:kern w:val="0"/>
          <w:szCs w:val="21"/>
        </w:rPr>
        <w:t xml:space="preserve">4.4.1  </w:t>
      </w:r>
      <w:r>
        <w:rPr>
          <w:rFonts w:hint="eastAsia" w:ascii="黑体" w:hAnsi="黑体" w:eastAsia="黑体" w:cs="Times New Roman"/>
          <w:kern w:val="0"/>
          <w:szCs w:val="21"/>
        </w:rPr>
        <w:t>浸出终点的判定</w:t>
      </w:r>
      <w:bookmarkEnd w:id="30"/>
    </w:p>
    <w:p>
      <w:pPr>
        <w:adjustRightInd w:val="0"/>
        <w:spacing w:line="360" w:lineRule="atLeast"/>
        <w:ind w:firstLine="420" w:firstLineChars="200"/>
        <w:jc w:val="left"/>
        <w:textAlignment w:val="baseline"/>
        <w:rPr>
          <w:rFonts w:ascii="Times New Roman" w:hAnsi="Times New Roman" w:eastAsia="宋体" w:cs="Times New Roman"/>
          <w:kern w:val="0"/>
          <w:szCs w:val="20"/>
        </w:rPr>
      </w:pPr>
      <w:bookmarkStart w:id="31" w:name="_Hlk108967592"/>
      <w:r>
        <w:rPr>
          <w:rFonts w:hint="eastAsia" w:ascii="Times New Roman" w:hAnsi="Times New Roman" w:eastAsia="宋体" w:cs="Times New Roman"/>
          <w:kern w:val="0"/>
          <w:szCs w:val="20"/>
        </w:rPr>
        <w:t>应按设计单位推荐的浸出周期提前对矿堆铜浸出率进行预测，判断浸出终点。当浸出周期内实际铜浸出率偏离设计铜浸出率大于5%时，应从运营成本、铜浸出率和矿堆安全方面进行综合评估，以判定浸出终点。铜浸出率应按照4</w:t>
      </w:r>
      <w:r>
        <w:rPr>
          <w:rFonts w:ascii="Times New Roman" w:hAnsi="Times New Roman" w:eastAsia="宋体" w:cs="Times New Roman"/>
          <w:kern w:val="0"/>
          <w:szCs w:val="20"/>
        </w:rPr>
        <w:t>.3.1</w:t>
      </w:r>
      <w:r>
        <w:rPr>
          <w:rFonts w:hint="eastAsia" w:ascii="Times New Roman" w:hAnsi="Times New Roman" w:eastAsia="宋体" w:cs="Times New Roman"/>
          <w:kern w:val="0"/>
          <w:szCs w:val="20"/>
        </w:rPr>
        <w:t>中公式（1）计算。</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32" w:name="_Toc71182037"/>
      <w:r>
        <w:rPr>
          <w:rFonts w:ascii="黑体" w:hAnsi="黑体" w:eastAsia="黑体" w:cs="Times New Roman"/>
          <w:kern w:val="0"/>
          <w:szCs w:val="21"/>
        </w:rPr>
        <w:t xml:space="preserve">4.4.2  </w:t>
      </w:r>
      <w:r>
        <w:rPr>
          <w:rFonts w:hint="eastAsia" w:ascii="黑体" w:hAnsi="黑体" w:eastAsia="黑体" w:cs="Times New Roman"/>
          <w:kern w:val="0"/>
          <w:szCs w:val="21"/>
        </w:rPr>
        <w:t>洗堆</w:t>
      </w:r>
      <w:bookmarkEnd w:id="32"/>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堆场在闭堆之前，应采用弱酸性的水洗涤矿堆，使矿堆内残留的金属离子进入洗水。洗水排入萃余液池（贫液池），用于其它矿堆布液。洗堆后对堆内矿石进行取样，参照HJ/T 298及HJ/T 299的相关规定判断浸出毒性及固废属性，确定是否需要继续洗堆。</w:t>
      </w:r>
    </w:p>
    <w:p>
      <w:pPr>
        <w:widowControl/>
        <w:snapToGrid w:val="0"/>
        <w:spacing w:before="156" w:beforeLines="50" w:after="156" w:afterLines="50" w:line="360" w:lineRule="exact"/>
        <w:jc w:val="left"/>
        <w:outlineLvl w:val="2"/>
        <w:rPr>
          <w:rFonts w:ascii="黑体" w:hAnsi="黑体" w:eastAsia="黑体" w:cs="Times New Roman"/>
          <w:kern w:val="0"/>
          <w:szCs w:val="21"/>
        </w:rPr>
      </w:pPr>
      <w:r>
        <w:rPr>
          <w:rFonts w:ascii="黑体" w:hAnsi="黑体" w:eastAsia="黑体" w:cs="Times New Roman"/>
          <w:kern w:val="0"/>
          <w:szCs w:val="21"/>
        </w:rPr>
        <w:t xml:space="preserve">4.4.3  </w:t>
      </w:r>
      <w:r>
        <w:rPr>
          <w:rFonts w:hint="eastAsia" w:ascii="黑体" w:hAnsi="黑体" w:eastAsia="黑体" w:cs="Times New Roman"/>
          <w:kern w:val="0"/>
          <w:szCs w:val="21"/>
        </w:rPr>
        <w:t>闭堆</w:t>
      </w:r>
    </w:p>
    <w:p>
      <w:pPr>
        <w:adjustRightInd w:val="0"/>
        <w:snapToGrid w:val="0"/>
        <w:spacing w:line="360" w:lineRule="exact"/>
        <w:ind w:firstLine="42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堆场闭堆时，矿堆表面应采用粒径为1</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mm-</w:t>
      </w:r>
      <w:r>
        <w:rPr>
          <w:rFonts w:ascii="Times New Roman" w:hAnsi="Times New Roman" w:eastAsia="宋体" w:cs="Times New Roman"/>
          <w:kern w:val="0"/>
          <w:szCs w:val="20"/>
        </w:rPr>
        <w:t xml:space="preserve">20 </w:t>
      </w:r>
      <w:r>
        <w:rPr>
          <w:rFonts w:hint="eastAsia" w:ascii="Times New Roman" w:hAnsi="Times New Roman" w:eastAsia="宋体" w:cs="Times New Roman"/>
          <w:kern w:val="0"/>
          <w:szCs w:val="20"/>
        </w:rPr>
        <w:t>mm的石灰石等碱性矿石或矿渣颗粒覆盖，覆盖厚度应在5</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cm-</w:t>
      </w:r>
      <w:r>
        <w:rPr>
          <w:rFonts w:ascii="Times New Roman" w:hAnsi="Times New Roman" w:eastAsia="宋体" w:cs="Times New Roman"/>
          <w:kern w:val="0"/>
          <w:szCs w:val="20"/>
        </w:rPr>
        <w:t xml:space="preserve">30 </w:t>
      </w:r>
      <w:r>
        <w:rPr>
          <w:rFonts w:hint="eastAsia" w:ascii="Times New Roman" w:hAnsi="Times New Roman" w:eastAsia="宋体" w:cs="Times New Roman"/>
          <w:kern w:val="0"/>
          <w:szCs w:val="20"/>
        </w:rPr>
        <w:t>cm。闭堆后的矿堆可根据实际需要再次覆盖粘土及土工薄膜进行堆场铺底，或按照GB</w:t>
      </w:r>
      <w:r>
        <w:rPr>
          <w:rFonts w:ascii="Times New Roman" w:hAnsi="Times New Roman" w:eastAsia="宋体" w:cs="Times New Roman"/>
          <w:kern w:val="0"/>
          <w:szCs w:val="20"/>
        </w:rPr>
        <w:t xml:space="preserve"> 51411</w:t>
      </w:r>
      <w:r>
        <w:rPr>
          <w:rFonts w:hint="eastAsia" w:ascii="Times New Roman" w:hAnsi="Times New Roman" w:eastAsia="宋体" w:cs="Times New Roman"/>
          <w:kern w:val="0"/>
          <w:szCs w:val="20"/>
        </w:rPr>
        <w:t>规定设计复垦工程。</w:t>
      </w:r>
      <w:bookmarkEnd w:id="31"/>
    </w:p>
    <w:p>
      <w:pPr>
        <w:pStyle w:val="3"/>
        <w:spacing w:line="360" w:lineRule="auto"/>
        <w:rPr>
          <w:rFonts w:ascii="黑体" w:hAnsi="黑体" w:cs="Times New Roman"/>
        </w:rPr>
      </w:pPr>
      <w:r>
        <w:rPr>
          <w:rFonts w:ascii="黑体" w:hAnsi="黑体" w:cs="Times New Roman"/>
        </w:rPr>
        <w:t xml:space="preserve">5 </w:t>
      </w:r>
      <w:r>
        <w:rPr>
          <w:rFonts w:hint="eastAsia" w:ascii="黑体" w:hAnsi="黑体" w:cs="Times New Roman"/>
        </w:rPr>
        <w:t>设备要求</w:t>
      </w:r>
    </w:p>
    <w:p>
      <w:pPr>
        <w:adjustRightInd w:val="0"/>
        <w:spacing w:before="156" w:beforeLines="50" w:after="156" w:afterLines="50" w:line="360" w:lineRule="atLeast"/>
        <w:jc w:val="left"/>
        <w:textAlignment w:val="baseline"/>
        <w:rPr>
          <w:rFonts w:ascii="黑体" w:hAnsi="黑体" w:eastAsia="黑体" w:cs="Times New Roman"/>
          <w:kern w:val="0"/>
          <w:szCs w:val="20"/>
        </w:rPr>
      </w:pPr>
      <w:r>
        <w:rPr>
          <w:rFonts w:ascii="黑体" w:hAnsi="黑体" w:eastAsia="黑体" w:cs="Times New Roman"/>
          <w:kern w:val="0"/>
          <w:szCs w:val="20"/>
        </w:rPr>
        <w:t>5.1</w:t>
      </w:r>
      <w:r>
        <w:rPr>
          <w:rFonts w:hint="eastAsia" w:ascii="黑体" w:hAnsi="黑体" w:eastAsia="黑体" w:cs="Times New Roman"/>
          <w:kern w:val="0"/>
          <w:szCs w:val="20"/>
        </w:rPr>
        <w:t xml:space="preserve"> </w:t>
      </w:r>
      <w:r>
        <w:rPr>
          <w:rFonts w:ascii="黑体" w:hAnsi="黑体" w:eastAsia="黑体" w:cs="Times New Roman"/>
          <w:kern w:val="0"/>
          <w:szCs w:val="20"/>
        </w:rPr>
        <w:t xml:space="preserve"> </w:t>
      </w:r>
      <w:r>
        <w:rPr>
          <w:rFonts w:hint="eastAsia" w:ascii="Times New Roman" w:hAnsi="Times New Roman" w:eastAsia="宋体" w:cs="Times New Roman"/>
          <w:kern w:val="0"/>
          <w:szCs w:val="20"/>
        </w:rPr>
        <w:t>生物堆浸所用破碎机、清水泵、耐腐蚀泵等设备，应在兼顾生产能力的基础上尽量选择低功耗的型号。关键设备宜实现在线自动或智能化监测，设置异常预警和故障类型识别。</w:t>
      </w:r>
    </w:p>
    <w:p>
      <w:pPr>
        <w:adjustRightInd w:val="0"/>
        <w:spacing w:before="156" w:beforeLines="50" w:after="156" w:afterLines="50" w:line="360" w:lineRule="atLeast"/>
        <w:jc w:val="left"/>
        <w:textAlignment w:val="baseline"/>
        <w:rPr>
          <w:rFonts w:ascii="黑体" w:hAnsi="黑体" w:eastAsia="黑体" w:cs="Times New Roman"/>
          <w:kern w:val="0"/>
          <w:szCs w:val="20"/>
        </w:rPr>
      </w:pPr>
      <w:r>
        <w:rPr>
          <w:rFonts w:ascii="黑体" w:hAnsi="黑体" w:eastAsia="黑体" w:cs="Times New Roman"/>
          <w:kern w:val="0"/>
          <w:szCs w:val="20"/>
        </w:rPr>
        <w:t>5.2</w:t>
      </w:r>
      <w:r>
        <w:rPr>
          <w:rFonts w:hint="eastAsia" w:ascii="黑体" w:hAnsi="黑体" w:eastAsia="黑体" w:cs="Times New Roman"/>
          <w:kern w:val="0"/>
          <w:szCs w:val="20"/>
        </w:rPr>
        <w:t xml:space="preserve"> </w:t>
      </w:r>
      <w:r>
        <w:rPr>
          <w:rFonts w:ascii="黑体" w:hAnsi="黑体" w:eastAsia="黑体" w:cs="Times New Roman"/>
          <w:kern w:val="0"/>
          <w:szCs w:val="20"/>
        </w:rPr>
        <w:t xml:space="preserve"> </w:t>
      </w:r>
      <w:r>
        <w:rPr>
          <w:rFonts w:hint="eastAsia" w:ascii="Times New Roman" w:hAnsi="Times New Roman" w:eastAsia="宋体" w:cs="Times New Roman"/>
          <w:kern w:val="0"/>
          <w:szCs w:val="20"/>
        </w:rPr>
        <w:t>浸出液循环过程中，应合理选择设备、管道结构及材料，防止物料外泄造成危害。输送、布液管路及其附属装置的结构、抗腐蚀性和强度，应与所输送物质的特性和工作条件相符，防止破损而泄漏输送液。</w:t>
      </w:r>
    </w:p>
    <w:p>
      <w:pPr>
        <w:adjustRightInd w:val="0"/>
        <w:spacing w:before="156" w:beforeLines="50" w:after="156" w:afterLines="50" w:line="360" w:lineRule="atLeast"/>
        <w:jc w:val="left"/>
        <w:textAlignment w:val="baseline"/>
        <w:rPr>
          <w:rFonts w:ascii="黑体" w:hAnsi="黑体" w:eastAsia="黑体" w:cs="Times New Roman"/>
          <w:kern w:val="0"/>
          <w:szCs w:val="20"/>
        </w:rPr>
      </w:pPr>
      <w:r>
        <w:rPr>
          <w:rFonts w:ascii="黑体" w:hAnsi="黑体" w:eastAsia="黑体" w:cs="Times New Roman"/>
          <w:kern w:val="0"/>
          <w:szCs w:val="20"/>
        </w:rPr>
        <w:t>5.3</w:t>
      </w:r>
      <w:r>
        <w:rPr>
          <w:rFonts w:hint="eastAsia" w:ascii="黑体" w:hAnsi="黑体" w:eastAsia="黑体" w:cs="Times New Roman"/>
          <w:kern w:val="0"/>
          <w:szCs w:val="20"/>
        </w:rPr>
        <w:t xml:space="preserve"> </w:t>
      </w:r>
      <w:r>
        <w:rPr>
          <w:rFonts w:ascii="黑体" w:hAnsi="黑体" w:eastAsia="黑体" w:cs="Times New Roman"/>
          <w:kern w:val="0"/>
          <w:szCs w:val="20"/>
        </w:rPr>
        <w:t xml:space="preserve"> </w:t>
      </w:r>
      <w:r>
        <w:rPr>
          <w:rFonts w:hint="eastAsia" w:ascii="Times New Roman" w:hAnsi="Times New Roman" w:eastAsia="宋体" w:cs="Times New Roman"/>
          <w:kern w:val="0"/>
          <w:szCs w:val="20"/>
        </w:rPr>
        <w:t>具有危险性或毒害性的作业应实现自动化或智能化，安装必要的信号报警和保险装置，并在危险作业点装设防护设施。</w:t>
      </w:r>
    </w:p>
    <w:p>
      <w:pPr>
        <w:pStyle w:val="3"/>
        <w:spacing w:line="360" w:lineRule="auto"/>
        <w:rPr>
          <w:rFonts w:ascii="黑体" w:hAnsi="黑体" w:cs="Times New Roman"/>
        </w:rPr>
      </w:pPr>
      <w:bookmarkStart w:id="33" w:name="_Toc71182038"/>
      <w:r>
        <w:rPr>
          <w:rFonts w:ascii="黑体" w:hAnsi="黑体" w:cs="Times New Roman"/>
        </w:rPr>
        <w:t xml:space="preserve">6 </w:t>
      </w:r>
      <w:r>
        <w:rPr>
          <w:rFonts w:hint="eastAsia" w:ascii="黑体" w:hAnsi="黑体" w:cs="Times New Roman"/>
        </w:rPr>
        <w:t>生物堆浸过程取样和检测要求</w:t>
      </w:r>
      <w:bookmarkEnd w:id="33"/>
    </w:p>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34" w:name="_Toc71182039"/>
      <w:r>
        <w:rPr>
          <w:rFonts w:ascii="黑体" w:hAnsi="黑体" w:eastAsia="黑体" w:cs="Times New Roman"/>
          <w:kern w:val="0"/>
          <w:szCs w:val="20"/>
        </w:rPr>
        <w:t xml:space="preserve">6.1  </w:t>
      </w:r>
      <w:bookmarkEnd w:id="34"/>
      <w:r>
        <w:rPr>
          <w:rFonts w:hint="eastAsia" w:ascii="黑体" w:hAnsi="黑体" w:eastAsia="黑体" w:cs="Times New Roman"/>
          <w:kern w:val="0"/>
          <w:szCs w:val="20"/>
        </w:rPr>
        <w:t>取样种类</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取样应包含溶液样品、固体样品。样品用于检测其中铜及其它金属含量、铜离子及其它离子浓度、pH值、浸矿微生物浓度、微生物基因组序列等。</w:t>
      </w:r>
    </w:p>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35" w:name="_Toc71182043"/>
      <w:r>
        <w:rPr>
          <w:rFonts w:ascii="黑体" w:hAnsi="黑体" w:eastAsia="黑体" w:cs="Times New Roman"/>
          <w:kern w:val="0"/>
          <w:szCs w:val="20"/>
        </w:rPr>
        <w:t xml:space="preserve">6.2  </w:t>
      </w:r>
      <w:r>
        <w:rPr>
          <w:rFonts w:hint="eastAsia" w:ascii="黑体" w:hAnsi="黑体" w:eastAsia="黑体" w:cs="Times New Roman"/>
          <w:kern w:val="0"/>
          <w:szCs w:val="20"/>
        </w:rPr>
        <w:t>取样方法</w:t>
      </w:r>
      <w:bookmarkEnd w:id="35"/>
    </w:p>
    <w:p>
      <w:pPr>
        <w:widowControl/>
        <w:snapToGrid w:val="0"/>
        <w:spacing w:before="156" w:beforeLines="50" w:after="156" w:afterLines="50" w:line="360" w:lineRule="exact"/>
        <w:jc w:val="left"/>
        <w:outlineLvl w:val="2"/>
        <w:rPr>
          <w:rFonts w:ascii="黑体" w:hAnsi="黑体" w:eastAsia="黑体" w:cs="Times New Roman"/>
          <w:kern w:val="0"/>
          <w:szCs w:val="21"/>
        </w:rPr>
      </w:pPr>
      <w:r>
        <w:rPr>
          <w:rFonts w:ascii="黑体" w:hAnsi="黑体" w:eastAsia="黑体" w:cs="Times New Roman"/>
          <w:kern w:val="0"/>
          <w:szCs w:val="21"/>
        </w:rPr>
        <w:t>6.2.1</w:t>
      </w:r>
      <w:r>
        <w:rPr>
          <w:rFonts w:hint="eastAsia" w:ascii="黑体" w:hAnsi="黑体" w:eastAsia="黑体" w:cs="Times New Roman"/>
          <w:kern w:val="0"/>
          <w:szCs w:val="21"/>
        </w:rPr>
        <w:t xml:space="preserve"> </w:t>
      </w:r>
      <w:r>
        <w:rPr>
          <w:rFonts w:ascii="黑体" w:hAnsi="黑体" w:eastAsia="黑体" w:cs="Times New Roman"/>
          <w:kern w:val="0"/>
          <w:szCs w:val="21"/>
        </w:rPr>
        <w:t xml:space="preserve"> </w:t>
      </w:r>
      <w:r>
        <w:rPr>
          <w:rFonts w:hint="eastAsia" w:ascii="Times New Roman" w:hAnsi="Times New Roman" w:eastAsia="宋体" w:cs="Times New Roman"/>
          <w:kern w:val="0"/>
          <w:szCs w:val="20"/>
        </w:rPr>
        <w:t>浸出液取样地点应设置在堆浸汇合管道出口处及各溶液池内。浸渣取样应按照均匀布点原则，在矿堆表面按一定的间距取样。</w:t>
      </w:r>
    </w:p>
    <w:p>
      <w:pPr>
        <w:widowControl/>
        <w:snapToGrid w:val="0"/>
        <w:spacing w:before="156" w:beforeLines="50" w:after="156" w:afterLines="50" w:line="360" w:lineRule="exact"/>
        <w:jc w:val="left"/>
        <w:outlineLvl w:val="2"/>
        <w:rPr>
          <w:rFonts w:ascii="黑体" w:hAnsi="黑体" w:eastAsia="黑体" w:cs="Times New Roman"/>
          <w:kern w:val="0"/>
          <w:szCs w:val="21"/>
        </w:rPr>
      </w:pPr>
      <w:r>
        <w:rPr>
          <w:rFonts w:ascii="黑体" w:hAnsi="黑体" w:eastAsia="黑体" w:cs="Times New Roman"/>
          <w:kern w:val="0"/>
          <w:szCs w:val="21"/>
        </w:rPr>
        <w:t>6.2.2</w:t>
      </w:r>
      <w:r>
        <w:rPr>
          <w:rFonts w:hint="eastAsia" w:ascii="黑体" w:hAnsi="黑体" w:eastAsia="黑体" w:cs="Times New Roman"/>
          <w:kern w:val="0"/>
          <w:szCs w:val="21"/>
        </w:rPr>
        <w:t xml:space="preserve"> </w:t>
      </w:r>
      <w:r>
        <w:rPr>
          <w:rFonts w:ascii="黑体" w:hAnsi="黑体" w:eastAsia="黑体" w:cs="Times New Roman"/>
          <w:kern w:val="0"/>
          <w:szCs w:val="21"/>
        </w:rPr>
        <w:t xml:space="preserve"> </w:t>
      </w:r>
      <w:r>
        <w:rPr>
          <w:rFonts w:hint="eastAsia" w:ascii="Times New Roman" w:hAnsi="Times New Roman" w:eastAsia="宋体" w:cs="Times New Roman"/>
          <w:kern w:val="0"/>
          <w:szCs w:val="20"/>
        </w:rPr>
        <w:t>液体取样方法按GB/T 51404和HJ 494的规定执行。浸渣取样方法按DZ/T 0227和HJ/T 20的规定执行。</w:t>
      </w:r>
    </w:p>
    <w:p>
      <w:pPr>
        <w:widowControl/>
        <w:snapToGrid w:val="0"/>
        <w:spacing w:before="156" w:beforeLines="50" w:after="156" w:afterLines="50" w:line="360" w:lineRule="exact"/>
        <w:jc w:val="left"/>
        <w:outlineLvl w:val="2"/>
        <w:rPr>
          <w:rFonts w:ascii="黑体" w:hAnsi="黑体" w:eastAsia="黑体" w:cs="Times New Roman"/>
          <w:kern w:val="0"/>
          <w:szCs w:val="21"/>
        </w:rPr>
      </w:pPr>
      <w:r>
        <w:rPr>
          <w:rFonts w:ascii="黑体" w:hAnsi="黑体" w:eastAsia="黑体" w:cs="Times New Roman"/>
          <w:kern w:val="0"/>
          <w:szCs w:val="21"/>
        </w:rPr>
        <w:t>6.2.3</w:t>
      </w:r>
      <w:r>
        <w:rPr>
          <w:rFonts w:hint="eastAsia" w:ascii="黑体" w:hAnsi="黑体" w:eastAsia="黑体" w:cs="Times New Roman"/>
          <w:kern w:val="0"/>
          <w:szCs w:val="21"/>
        </w:rPr>
        <w:t xml:space="preserve"> </w:t>
      </w:r>
      <w:r>
        <w:rPr>
          <w:rFonts w:ascii="黑体" w:hAnsi="黑体" w:eastAsia="黑体" w:cs="Times New Roman"/>
          <w:kern w:val="0"/>
          <w:szCs w:val="21"/>
        </w:rPr>
        <w:t xml:space="preserve"> </w:t>
      </w:r>
      <w:r>
        <w:rPr>
          <w:rFonts w:hint="eastAsia" w:ascii="Times New Roman" w:hAnsi="Times New Roman" w:eastAsia="宋体" w:cs="Times New Roman"/>
          <w:kern w:val="0"/>
          <w:szCs w:val="20"/>
        </w:rPr>
        <w:t>应按照工艺设计的取样周期取样。</w:t>
      </w:r>
    </w:p>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36" w:name="_Toc71182044"/>
      <w:r>
        <w:rPr>
          <w:rFonts w:ascii="黑体" w:hAnsi="黑体" w:eastAsia="黑体" w:cs="Times New Roman"/>
          <w:kern w:val="0"/>
          <w:szCs w:val="20"/>
        </w:rPr>
        <w:t xml:space="preserve">6.3  </w:t>
      </w:r>
      <w:r>
        <w:rPr>
          <w:rFonts w:hint="eastAsia" w:ascii="黑体" w:hAnsi="黑体" w:eastAsia="黑体" w:cs="Times New Roman"/>
          <w:kern w:val="0"/>
          <w:szCs w:val="20"/>
        </w:rPr>
        <w:t>溶液和浸渣样品内微生物的分离及计数</w:t>
      </w:r>
      <w:bookmarkEnd w:id="36"/>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37" w:name="_Toc71182045"/>
      <w:r>
        <w:rPr>
          <w:rFonts w:ascii="黑体" w:hAnsi="黑体" w:eastAsia="黑体" w:cs="Times New Roman"/>
          <w:kern w:val="0"/>
          <w:szCs w:val="21"/>
        </w:rPr>
        <w:t xml:space="preserve">6.3.1  </w:t>
      </w:r>
      <w:r>
        <w:rPr>
          <w:rFonts w:hint="eastAsia" w:ascii="黑体" w:hAnsi="黑体" w:eastAsia="黑体" w:cs="Times New Roman"/>
          <w:kern w:val="0"/>
          <w:szCs w:val="21"/>
        </w:rPr>
        <w:t>溶液样品内微生物的计数</w:t>
      </w:r>
      <w:bookmarkEnd w:id="37"/>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溶液样品采用血细胞计数法进行计数。取一定体积的样品细胞悬浮液置于血细胞计数器的计数室内，用显微镜观察计数。并计算样品中的含菌数。</w:t>
      </w:r>
    </w:p>
    <w:p>
      <w:pPr>
        <w:widowControl/>
        <w:snapToGrid w:val="0"/>
        <w:spacing w:before="156" w:beforeLines="50" w:after="156" w:afterLines="50" w:line="360" w:lineRule="exact"/>
        <w:jc w:val="left"/>
        <w:outlineLvl w:val="2"/>
        <w:rPr>
          <w:rFonts w:ascii="黑体" w:hAnsi="黑体" w:eastAsia="黑体" w:cs="Times New Roman"/>
          <w:kern w:val="0"/>
          <w:szCs w:val="21"/>
        </w:rPr>
      </w:pPr>
      <w:bookmarkStart w:id="38" w:name="_Toc71182046"/>
      <w:r>
        <w:rPr>
          <w:rFonts w:ascii="黑体" w:hAnsi="黑体" w:eastAsia="黑体" w:cs="Times New Roman"/>
          <w:kern w:val="0"/>
          <w:szCs w:val="21"/>
        </w:rPr>
        <w:t xml:space="preserve">6.3.2  </w:t>
      </w:r>
      <w:r>
        <w:rPr>
          <w:rFonts w:hint="eastAsia" w:ascii="黑体" w:hAnsi="黑体" w:eastAsia="黑体" w:cs="Times New Roman"/>
          <w:kern w:val="0"/>
          <w:szCs w:val="21"/>
        </w:rPr>
        <w:t>浸渣样品内微生物的计数</w:t>
      </w:r>
      <w:bookmarkEnd w:id="38"/>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应使用取得的湿浸渣样品进行浸矿微生物的分离。用一定量pH值为1</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的酸性水浸泡浸渣样品</w:t>
      </w:r>
      <w:r>
        <w:rPr>
          <w:rFonts w:ascii="Times New Roman" w:hAnsi="Times New Roman" w:eastAsia="宋体" w:cs="Times New Roman"/>
          <w:kern w:val="0"/>
          <w:szCs w:val="20"/>
        </w:rPr>
        <w:t>30</w:t>
      </w:r>
      <w:r>
        <w:rPr>
          <w:rFonts w:hint="eastAsia" w:ascii="Times New Roman" w:hAnsi="Times New Roman" w:eastAsia="宋体" w:cs="Times New Roman"/>
          <w:kern w:val="0"/>
          <w:szCs w:val="20"/>
        </w:rPr>
        <w:t>分钟以上，使矿石表面的微生物脱附至溶液中，形成细胞悬浮液，采用血细胞计数法进行微生物计数。矿石干燥后称重。</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矿石中微生物数量按照公式（</w:t>
      </w:r>
      <w:r>
        <w:rPr>
          <w:rFonts w:ascii="Times New Roman" w:hAnsi="Times New Roman" w:eastAsia="宋体" w:cs="Times New Roman"/>
          <w:kern w:val="0"/>
          <w:szCs w:val="20"/>
        </w:rPr>
        <w:t>3</w:t>
      </w:r>
      <w:r>
        <w:rPr>
          <w:rFonts w:hint="eastAsia" w:ascii="Times New Roman" w:hAnsi="Times New Roman" w:eastAsia="宋体" w:cs="Times New Roman"/>
          <w:kern w:val="0"/>
          <w:szCs w:val="20"/>
        </w:rPr>
        <w:t>）计算：</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m:oMathPara>
        <m:oMath>
          <m:sSub>
            <m:sSubPr>
              <m:ctrlPr>
                <w:rPr>
                  <w:rFonts w:ascii="Cambria Math" w:hAnsi="Cambria Math" w:eastAsia="宋体" w:cs="Times New Roman"/>
                  <w:i/>
                  <w:kern w:val="0"/>
                  <w:szCs w:val="20"/>
                </w:rPr>
              </m:ctrlPr>
            </m:sSubPr>
            <m:e>
              <m:r>
                <m:rPr/>
                <w:rPr>
                  <w:rFonts w:ascii="Cambria Math" w:hAnsi="Cambria Math" w:eastAsia="宋体" w:cs="Times New Roman"/>
                  <w:kern w:val="0"/>
                  <w:szCs w:val="20"/>
                </w:rPr>
                <m:t>C</m:t>
              </m:r>
              <m:ctrlPr>
                <w:rPr>
                  <w:rFonts w:ascii="Cambria Math" w:hAnsi="Cambria Math" w:eastAsia="宋体" w:cs="Times New Roman"/>
                  <w:i/>
                  <w:kern w:val="0"/>
                  <w:szCs w:val="20"/>
                </w:rPr>
              </m:ctrlPr>
            </m:e>
            <m:sub>
              <m:r>
                <m:rPr>
                  <m:sty m:val="p"/>
                </m:rPr>
                <w:rPr>
                  <w:rFonts w:hint="eastAsia" w:ascii="Cambria Math" w:hAnsi="Cambria Math" w:eastAsia="宋体" w:cs="Times New Roman"/>
                  <w:kern w:val="0"/>
                  <w:szCs w:val="20"/>
                </w:rPr>
                <m:t>矿</m:t>
              </m:r>
              <m:ctrlPr>
                <w:rPr>
                  <w:rFonts w:ascii="Cambria Math" w:hAnsi="Cambria Math" w:eastAsia="宋体" w:cs="Times New Roman"/>
                  <w:i/>
                  <w:kern w:val="0"/>
                  <w:szCs w:val="20"/>
                </w:rPr>
              </m:ctrlPr>
            </m:sub>
          </m:sSub>
          <m:r>
            <m:rPr/>
            <w:rPr>
              <w:rFonts w:hint="eastAsia" w:ascii="Cambria Math" w:hAnsi="Cambria Math" w:eastAsia="宋体" w:cs="Times New Roman"/>
              <w:kern w:val="0"/>
              <w:szCs w:val="20"/>
            </w:rPr>
            <m:t>=C</m:t>
          </m:r>
          <m:r>
            <m:rPr/>
            <w:rPr>
              <w:rFonts w:ascii="Cambria Math" w:hAnsi="Cambria Math" w:eastAsia="宋体" w:cs="Times New Roman"/>
              <w:kern w:val="0"/>
              <w:szCs w:val="20"/>
            </w:rPr>
            <m:t>×</m:t>
          </m:r>
          <m:f>
            <m:fPr>
              <m:ctrlPr>
                <w:rPr>
                  <w:rFonts w:ascii="Cambria Math" w:hAnsi="Cambria Math" w:eastAsia="宋体" w:cs="Times New Roman"/>
                  <w:i/>
                  <w:kern w:val="0"/>
                  <w:szCs w:val="20"/>
                </w:rPr>
              </m:ctrlPr>
            </m:fPr>
            <m:num>
              <m:r>
                <m:rPr/>
                <w:rPr>
                  <w:rFonts w:hint="eastAsia" w:ascii="Cambria Math" w:hAnsi="Cambria Math" w:eastAsia="宋体" w:cs="Times New Roman"/>
                  <w:kern w:val="0"/>
                  <w:szCs w:val="20"/>
                </w:rPr>
                <m:t>V</m:t>
              </m:r>
              <m:ctrlPr>
                <w:rPr>
                  <w:rFonts w:ascii="Cambria Math" w:hAnsi="Cambria Math" w:eastAsia="宋体" w:cs="Times New Roman"/>
                  <w:i/>
                  <w:kern w:val="0"/>
                  <w:szCs w:val="20"/>
                </w:rPr>
              </m:ctrlPr>
            </m:num>
            <m:den>
              <m:r>
                <m:rPr/>
                <w:rPr>
                  <w:rFonts w:hint="eastAsia" w:ascii="Cambria Math" w:hAnsi="Cambria Math" w:eastAsia="宋体" w:cs="Times New Roman"/>
                  <w:kern w:val="0"/>
                  <w:szCs w:val="20"/>
                </w:rPr>
                <m:t>M</m:t>
              </m:r>
              <m:ctrlPr>
                <w:rPr>
                  <w:rFonts w:ascii="Cambria Math" w:hAnsi="Cambria Math" w:eastAsia="宋体" w:cs="Times New Roman"/>
                  <w:i/>
                  <w:kern w:val="0"/>
                  <w:szCs w:val="20"/>
                </w:rPr>
              </m:ctrlPr>
            </m:den>
          </m:f>
        </m:oMath>
      </m:oMathPara>
    </w:p>
    <w:p>
      <w:pPr>
        <w:adjustRightInd w:val="0"/>
        <w:spacing w:line="360" w:lineRule="atLeast"/>
        <w:jc w:val="right"/>
        <w:textAlignment w:val="baseline"/>
        <w:rPr>
          <w:rFonts w:ascii="Times New Roman" w:hAnsi="Times New Roman" w:eastAsia="宋体" w:cs="Times New Roman"/>
          <w:kern w:val="0"/>
          <w:szCs w:val="20"/>
        </w:rPr>
      </w:pPr>
      <w:bookmarkStart w:id="39" w:name="_Hlk108440492"/>
      <w:r>
        <w:rPr>
          <w:rFonts w:hint="eastAsia" w:ascii="Times New Roman" w:hAnsi="Times New Roman" w:eastAsia="宋体" w:cs="Times New Roman"/>
          <w:kern w:val="0"/>
          <w:szCs w:val="20"/>
        </w:rPr>
        <w:t>…………………………………………………（</w:t>
      </w:r>
      <w:r>
        <w:rPr>
          <w:rFonts w:ascii="Times New Roman" w:hAnsi="Times New Roman" w:eastAsia="宋体" w:cs="Times New Roman"/>
          <w:kern w:val="0"/>
          <w:szCs w:val="20"/>
        </w:rPr>
        <w:t>3</w:t>
      </w:r>
      <w:r>
        <w:rPr>
          <w:rFonts w:hint="eastAsia" w:ascii="Times New Roman" w:hAnsi="Times New Roman" w:eastAsia="宋体" w:cs="Times New Roman"/>
          <w:kern w:val="0"/>
          <w:szCs w:val="20"/>
        </w:rPr>
        <w:t>）</w:t>
      </w:r>
    </w:p>
    <w:bookmarkEnd w:id="39"/>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ascii="Times New Roman" w:hAnsi="Times New Roman" w:eastAsia="宋体" w:cs="Times New Roman"/>
          <w:kern w:val="0"/>
          <w:szCs w:val="20"/>
        </w:rPr>
        <w:t>式中：</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i/>
          <w:iCs/>
          <w:kern w:val="0"/>
          <w:szCs w:val="20"/>
        </w:rPr>
        <w:t>C</w:t>
      </w:r>
      <w:r>
        <w:rPr>
          <w:rFonts w:hint="eastAsia" w:ascii="Times New Roman" w:hAnsi="Times New Roman" w:eastAsia="宋体" w:cs="Times New Roman"/>
          <w:kern w:val="0"/>
          <w:szCs w:val="20"/>
          <w:vertAlign w:val="subscript"/>
        </w:rPr>
        <w:t>矿</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单位质量浸渣中微生物的数量</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个/g</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矿</w:t>
      </w:r>
      <w:r>
        <w:rPr>
          <w:rFonts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i/>
          <w:iCs/>
          <w:kern w:val="0"/>
          <w:szCs w:val="20"/>
        </w:rPr>
        <w:t>C</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单位体积细胞悬浮液中微生物的数量</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个/毫升</w:t>
      </w:r>
      <w:r>
        <w:rPr>
          <w:rFonts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i/>
          <w:iCs/>
          <w:kern w:val="0"/>
          <w:szCs w:val="20"/>
        </w:rPr>
        <w:t>V</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细胞悬浮液的体积</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毫升</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mL</w:t>
      </w:r>
      <w:r>
        <w:rPr>
          <w:rFonts w:ascii="Times New Roman" w:hAnsi="Times New Roman" w:eastAsia="宋体" w:cs="Times New Roman"/>
          <w:kern w:val="0"/>
          <w:szCs w:val="20"/>
        </w:rPr>
        <w:t>）。</w:t>
      </w:r>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i/>
          <w:iCs/>
          <w:kern w:val="0"/>
          <w:szCs w:val="20"/>
        </w:rPr>
        <w:t>M</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浸渣样品干重</w:t>
      </w:r>
      <w:r>
        <w:rPr>
          <w:rFonts w:ascii="Times New Roman" w:hAnsi="Times New Roman" w:eastAsia="宋体" w:cs="Times New Roman"/>
          <w:kern w:val="0"/>
          <w:szCs w:val="20"/>
        </w:rPr>
        <w:t>，单位为</w:t>
      </w:r>
      <w:r>
        <w:rPr>
          <w:rFonts w:hint="eastAsia" w:ascii="Times New Roman" w:hAnsi="Times New Roman" w:eastAsia="宋体" w:cs="Times New Roman"/>
          <w:kern w:val="0"/>
          <w:szCs w:val="20"/>
        </w:rPr>
        <w:t>克</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g</w:t>
      </w:r>
      <w:r>
        <w:rPr>
          <w:rFonts w:ascii="Times New Roman" w:hAnsi="Times New Roman" w:eastAsia="宋体" w:cs="Times New Roman"/>
          <w:kern w:val="0"/>
          <w:szCs w:val="20"/>
        </w:rPr>
        <w:t>）。</w:t>
      </w:r>
    </w:p>
    <w:p>
      <w:pPr>
        <w:widowControl/>
        <w:snapToGrid w:val="0"/>
        <w:spacing w:before="156" w:beforeLines="50" w:after="156" w:afterLines="50" w:line="360" w:lineRule="exact"/>
        <w:jc w:val="left"/>
        <w:outlineLvl w:val="2"/>
        <w:rPr>
          <w:rFonts w:ascii="黑体" w:hAnsi="黑体" w:eastAsia="黑体" w:cs="Times New Roman"/>
          <w:kern w:val="0"/>
          <w:szCs w:val="20"/>
        </w:rPr>
      </w:pPr>
      <w:bookmarkStart w:id="40" w:name="_Toc71182047"/>
      <w:r>
        <w:rPr>
          <w:rFonts w:ascii="黑体" w:hAnsi="黑体" w:eastAsia="黑体" w:cs="Times New Roman"/>
          <w:kern w:val="0"/>
          <w:szCs w:val="20"/>
        </w:rPr>
        <w:t xml:space="preserve">6.4  </w:t>
      </w:r>
      <w:r>
        <w:rPr>
          <w:rFonts w:hint="eastAsia" w:ascii="黑体" w:hAnsi="黑体" w:eastAsia="黑体" w:cs="Times New Roman"/>
          <w:kern w:val="0"/>
          <w:szCs w:val="20"/>
        </w:rPr>
        <w:t>样品检测和分析</w:t>
      </w:r>
      <w:bookmarkEnd w:id="40"/>
    </w:p>
    <w:p>
      <w:pPr>
        <w:adjustRightInd w:val="0"/>
        <w:spacing w:line="360" w:lineRule="atLeast"/>
        <w:ind w:firstLine="420" w:firstLineChars="2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样品的检测分析方法见表1。</w:t>
      </w:r>
    </w:p>
    <w:p>
      <w:pPr>
        <w:adjustRightInd w:val="0"/>
        <w:spacing w:line="360" w:lineRule="atLeast"/>
        <w:jc w:val="center"/>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表1 生物堆浸工艺过程样品测定方法</w:t>
      </w:r>
    </w:p>
    <w:tbl>
      <w:tblPr>
        <w:tblStyle w:val="19"/>
        <w:tblW w:w="76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7"/>
        <w:gridCol w:w="1528"/>
        <w:gridCol w:w="3716"/>
        <w:gridCol w:w="1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7"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序号</w:t>
            </w:r>
          </w:p>
        </w:tc>
        <w:tc>
          <w:tcPr>
            <w:tcW w:w="1528"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p>
        </w:tc>
        <w:tc>
          <w:tcPr>
            <w:tcW w:w="3716"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测定方法</w:t>
            </w:r>
          </w:p>
        </w:tc>
        <w:tc>
          <w:tcPr>
            <w:tcW w:w="1651"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方法标准编号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7"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528"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pH值</w:t>
            </w:r>
          </w:p>
        </w:tc>
        <w:tc>
          <w:tcPr>
            <w:tcW w:w="3716"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玻璃电极法</w:t>
            </w:r>
          </w:p>
        </w:tc>
        <w:tc>
          <w:tcPr>
            <w:tcW w:w="1651"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GB/T 6920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7"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528"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元素测定</w:t>
            </w:r>
          </w:p>
        </w:tc>
        <w:tc>
          <w:tcPr>
            <w:tcW w:w="3716"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电感耦合等离子体发射光谱法</w:t>
            </w:r>
          </w:p>
        </w:tc>
        <w:tc>
          <w:tcPr>
            <w:tcW w:w="1651" w:type="dxa"/>
            <w:tcBorders>
              <w:top w:val="single" w:color="auto" w:sz="4" w:space="0"/>
              <w:bottom w:val="single" w:color="auto" w:sz="4" w:space="0"/>
            </w:tcBorders>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GB 5085.3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7" w:type="dxa"/>
            <w:tcBorders>
              <w:top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528" w:type="dxa"/>
            <w:tcBorders>
              <w:top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微生物基因组序列</w:t>
            </w:r>
          </w:p>
        </w:tc>
        <w:tc>
          <w:tcPr>
            <w:tcW w:w="3716" w:type="dxa"/>
            <w:tcBorders>
              <w:top w:val="single" w:color="auto" w:sz="4" w:space="0"/>
            </w:tcBorders>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高通量基因测序</w:t>
            </w:r>
          </w:p>
        </w:tc>
        <w:tc>
          <w:tcPr>
            <w:tcW w:w="1651" w:type="dxa"/>
            <w:tcBorders>
              <w:top w:val="single" w:color="auto" w:sz="4" w:space="0"/>
            </w:tcBorders>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GB/T 30989</w:t>
            </w:r>
          </w:p>
        </w:tc>
      </w:tr>
    </w:tbl>
    <w:p>
      <w:pPr>
        <w:adjustRightInd w:val="0"/>
        <w:snapToGrid w:val="0"/>
        <w:spacing w:line="360" w:lineRule="exact"/>
        <w:jc w:val="left"/>
        <w:textAlignment w:val="baseline"/>
        <w:rPr>
          <w:rFonts w:ascii="Times New Roman" w:hAnsi="Times New Roman" w:eastAsia="宋体" w:cs="Times New Roman"/>
          <w:kern w:val="0"/>
          <w:szCs w:val="20"/>
        </w:rPr>
      </w:pPr>
    </w:p>
    <w:p>
      <w:pPr>
        <w:spacing w:line="360" w:lineRule="auto"/>
        <w:ind w:firstLine="315" w:firstLineChars="150"/>
        <w:jc w:val="center"/>
        <w:rPr>
          <w:rFonts w:ascii="Times New Roman" w:hAnsi="Times New Roman" w:cs="Times New Roman"/>
          <w:sz w:val="56"/>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1279525</wp:posOffset>
                </wp:positionH>
                <wp:positionV relativeFrom="paragraph">
                  <wp:posOffset>601980</wp:posOffset>
                </wp:positionV>
                <wp:extent cx="2915920" cy="0"/>
                <wp:effectExtent l="0" t="0" r="17780" b="19050"/>
                <wp:wrapNone/>
                <wp:docPr id="95" name="直接连接符 95"/>
                <wp:cNvGraphicFramePr/>
                <a:graphic xmlns:a="http://schemas.openxmlformats.org/drawingml/2006/main">
                  <a:graphicData uri="http://schemas.microsoft.com/office/word/2010/wordprocessingShape">
                    <wps:wsp>
                      <wps:cNvCnPr/>
                      <wps:spPr>
                        <a:xfrm>
                          <a:off x="0" y="0"/>
                          <a:ext cx="2915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0.75pt;margin-top:47.4pt;height:0pt;width:229.6pt;z-index:251663360;mso-width-relative:page;mso-height-relative:page;" filled="f" stroked="t" coordsize="21600,21600" o:gfxdata="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pnA7PYAAAA&#10;CQEAAA8AAAAAAAAAAQAgAAAAIgAAAGRycy9kb3ducmV2LnhtbFBLAQIUABQAAAAIAIdO4kCpreeu&#10;5AEAALQDAAAOAAAAAAAAAAEAIAAAACcBAABkcnMvZTJvRG9jLnhtbFBLBQYAAAAABgAGAFkBAAB9&#10;BQAAAAA=&#10;">
                <v:fill on="f" focussize="0,0"/>
                <v:stroke weight="1pt" color="#000000 [3213]" miterlimit="8" joinstyle="miter"/>
                <v:imagedata o:title=""/>
                <o:lock v:ext="edit" aspectratio="f"/>
              </v:line>
            </w:pict>
          </mc:Fallback>
        </mc:AlternateContent>
      </w:r>
    </w:p>
    <w:sectPr>
      <w:footerReference r:id="rId7" w:type="default"/>
      <w:pgSz w:w="11906" w:h="16838"/>
      <w:pgMar w:top="1440" w:right="2267"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588366"/>
      <w:docPartObj>
        <w:docPartGallery w:val="autotext"/>
      </w:docPartObj>
    </w:sdtPr>
    <w:sdtContent>
      <w:p>
        <w:pPr>
          <w:pStyle w:val="12"/>
          <w:jc w:val="right"/>
        </w:pPr>
        <w:r>
          <w:fldChar w:fldCharType="begin"/>
        </w:r>
        <w:r>
          <w:instrText xml:space="preserve">PAGE   \* MERGEFORMAT</w:instrText>
        </w:r>
        <w:r>
          <w:fldChar w:fldCharType="separate"/>
        </w:r>
        <w:r>
          <w:rPr>
            <w:lang w:val="zh-CN"/>
          </w:rPr>
          <w:t>II</w:t>
        </w:r>
        <w: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335366"/>
      <w:docPartObj>
        <w:docPartGallery w:val="autotext"/>
      </w:docPartObj>
    </w:sdtPr>
    <w:sdtContent>
      <w:p>
        <w:pPr>
          <w:pStyle w:val="12"/>
        </w:pPr>
        <w:r>
          <w:fldChar w:fldCharType="begin"/>
        </w:r>
        <w:r>
          <w:instrText xml:space="preserve">PAGE   \* MERGEFORMAT</w:instrText>
        </w:r>
        <w:r>
          <w:fldChar w:fldCharType="separate"/>
        </w:r>
        <w:r>
          <w:rPr>
            <w:lang w:val="zh-CN"/>
          </w:rPr>
          <w:t>II</w:t>
        </w:r>
        <w: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072324"/>
      <w:docPartObj>
        <w:docPartGallery w:val="autotext"/>
      </w:docPartObj>
    </w:sdtPr>
    <w:sdtEndPr>
      <w:rPr>
        <w:rFonts w:ascii="Times New Roman" w:hAnsi="Times New Roman" w:cs="Times New Roman"/>
      </w:rPr>
    </w:sdtEndPr>
    <w:sdtContent>
      <w:p>
        <w:pPr>
          <w:pStyle w:val="12"/>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b/>
      </w:rPr>
    </w:pPr>
    <w:r>
      <w:rPr>
        <w:rFonts w:ascii="Times New Roman" w:hAnsi="Times New Roman" w:cs="Times New Roman"/>
        <w:sz w:val="24"/>
      </w:rPr>
      <w:t>T/CNIA</w:t>
    </w:r>
    <w:r>
      <w:rPr>
        <w:rFonts w:hint="eastAsia" w:ascii="Times New Roman" w:hAnsi="Times New Roman" w:cs="Times New Roman"/>
        <w:sz w:val="24"/>
      </w:rPr>
      <w:t xml:space="preserve"> </w:t>
    </w:r>
    <w:r>
      <w:rPr>
        <w:rFonts w:hint="eastAsia"/>
        <w:b/>
      </w:rPr>
      <w:t>×××</w:t>
    </w:r>
    <w:r>
      <w:rPr>
        <w:rFonts w:ascii="Times New Roman" w:hAnsi="Times New Roman" w:cs="Times New Roman"/>
        <w:sz w:val="24"/>
      </w:rPr>
      <w:t>-20</w:t>
    </w:r>
    <w:r>
      <w:rPr>
        <w:rFonts w:hint="eastAsia" w:ascii="Times New Roman" w:hAnsi="Times New Roman" w:cs="Times New Roman"/>
        <w:sz w:val="24"/>
      </w:rPr>
      <w:t>2</w:t>
    </w:r>
    <w:r>
      <w:rPr>
        <w:rFonts w:hint="eastAsia"/>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YTU2ZjRkNjZjZjQ5ZGU2ZTYzNGEzOGRhZjhkZDYifQ=="/>
    <w:docVar w:name="KSO_WPS_MARK_KEY" w:val="d556294b-5296-4d88-88fa-1fa04ff32b47"/>
  </w:docVars>
  <w:rsids>
    <w:rsidRoot w:val="005F007F"/>
    <w:rsid w:val="00010CB6"/>
    <w:rsid w:val="0001482C"/>
    <w:rsid w:val="000151F9"/>
    <w:rsid w:val="00016F9E"/>
    <w:rsid w:val="00025482"/>
    <w:rsid w:val="0002632F"/>
    <w:rsid w:val="000315D0"/>
    <w:rsid w:val="000316F3"/>
    <w:rsid w:val="0003192E"/>
    <w:rsid w:val="00035A0A"/>
    <w:rsid w:val="0004111B"/>
    <w:rsid w:val="000414C5"/>
    <w:rsid w:val="00047E1C"/>
    <w:rsid w:val="00050D49"/>
    <w:rsid w:val="00061141"/>
    <w:rsid w:val="00063EE6"/>
    <w:rsid w:val="000657D2"/>
    <w:rsid w:val="00065E63"/>
    <w:rsid w:val="000737CB"/>
    <w:rsid w:val="00081DE4"/>
    <w:rsid w:val="000855B3"/>
    <w:rsid w:val="00091EEF"/>
    <w:rsid w:val="000921B0"/>
    <w:rsid w:val="00095210"/>
    <w:rsid w:val="00095BF2"/>
    <w:rsid w:val="000968E0"/>
    <w:rsid w:val="000A00E7"/>
    <w:rsid w:val="000A0D6A"/>
    <w:rsid w:val="000A3002"/>
    <w:rsid w:val="000A3AA6"/>
    <w:rsid w:val="000A435F"/>
    <w:rsid w:val="000A779A"/>
    <w:rsid w:val="000A787E"/>
    <w:rsid w:val="000B0056"/>
    <w:rsid w:val="000B77F7"/>
    <w:rsid w:val="000C62A8"/>
    <w:rsid w:val="000D1F1F"/>
    <w:rsid w:val="000D2340"/>
    <w:rsid w:val="000D5910"/>
    <w:rsid w:val="000D69FA"/>
    <w:rsid w:val="000E3EDD"/>
    <w:rsid w:val="000E734B"/>
    <w:rsid w:val="000F1786"/>
    <w:rsid w:val="000F1DF6"/>
    <w:rsid w:val="000F5587"/>
    <w:rsid w:val="00103FD2"/>
    <w:rsid w:val="00104655"/>
    <w:rsid w:val="0010774B"/>
    <w:rsid w:val="00121F03"/>
    <w:rsid w:val="00122ECC"/>
    <w:rsid w:val="00132A39"/>
    <w:rsid w:val="00142337"/>
    <w:rsid w:val="00145648"/>
    <w:rsid w:val="00150C12"/>
    <w:rsid w:val="00155822"/>
    <w:rsid w:val="00160FA5"/>
    <w:rsid w:val="001629D7"/>
    <w:rsid w:val="001633CE"/>
    <w:rsid w:val="00166106"/>
    <w:rsid w:val="00166EB1"/>
    <w:rsid w:val="00167A30"/>
    <w:rsid w:val="001743C3"/>
    <w:rsid w:val="00176A6C"/>
    <w:rsid w:val="00180193"/>
    <w:rsid w:val="0018134C"/>
    <w:rsid w:val="00181BC5"/>
    <w:rsid w:val="00183541"/>
    <w:rsid w:val="00184718"/>
    <w:rsid w:val="0018773A"/>
    <w:rsid w:val="001910F5"/>
    <w:rsid w:val="00192379"/>
    <w:rsid w:val="00197860"/>
    <w:rsid w:val="001A0716"/>
    <w:rsid w:val="001A2A32"/>
    <w:rsid w:val="001A3E53"/>
    <w:rsid w:val="001B0BC5"/>
    <w:rsid w:val="001B37E7"/>
    <w:rsid w:val="001B561D"/>
    <w:rsid w:val="001B6012"/>
    <w:rsid w:val="001B7ED6"/>
    <w:rsid w:val="001C0162"/>
    <w:rsid w:val="001D4F94"/>
    <w:rsid w:val="001F1503"/>
    <w:rsid w:val="001F1724"/>
    <w:rsid w:val="001F30A0"/>
    <w:rsid w:val="001F5B71"/>
    <w:rsid w:val="0020012A"/>
    <w:rsid w:val="0020317E"/>
    <w:rsid w:val="00203B78"/>
    <w:rsid w:val="00204688"/>
    <w:rsid w:val="00213FC7"/>
    <w:rsid w:val="00216357"/>
    <w:rsid w:val="00220E4A"/>
    <w:rsid w:val="00221010"/>
    <w:rsid w:val="00227412"/>
    <w:rsid w:val="0023022F"/>
    <w:rsid w:val="00233745"/>
    <w:rsid w:val="0023795F"/>
    <w:rsid w:val="00242BE4"/>
    <w:rsid w:val="00243F2E"/>
    <w:rsid w:val="00247446"/>
    <w:rsid w:val="0025016A"/>
    <w:rsid w:val="00250179"/>
    <w:rsid w:val="00251F92"/>
    <w:rsid w:val="00256052"/>
    <w:rsid w:val="00263672"/>
    <w:rsid w:val="0027043C"/>
    <w:rsid w:val="002708F3"/>
    <w:rsid w:val="00271B6F"/>
    <w:rsid w:val="00272A11"/>
    <w:rsid w:val="00276C86"/>
    <w:rsid w:val="002876AA"/>
    <w:rsid w:val="002902C2"/>
    <w:rsid w:val="0029590D"/>
    <w:rsid w:val="00297224"/>
    <w:rsid w:val="00297C74"/>
    <w:rsid w:val="002A2632"/>
    <w:rsid w:val="002A5CF3"/>
    <w:rsid w:val="002A635C"/>
    <w:rsid w:val="002B28E4"/>
    <w:rsid w:val="002B460A"/>
    <w:rsid w:val="002B616B"/>
    <w:rsid w:val="002C13A3"/>
    <w:rsid w:val="002C4BA5"/>
    <w:rsid w:val="002C6071"/>
    <w:rsid w:val="002C6DB3"/>
    <w:rsid w:val="002C7644"/>
    <w:rsid w:val="002D54DE"/>
    <w:rsid w:val="002E0F18"/>
    <w:rsid w:val="002E7E67"/>
    <w:rsid w:val="002F0643"/>
    <w:rsid w:val="002F216E"/>
    <w:rsid w:val="002F27CA"/>
    <w:rsid w:val="002F2E93"/>
    <w:rsid w:val="002F771D"/>
    <w:rsid w:val="003032E4"/>
    <w:rsid w:val="003111F7"/>
    <w:rsid w:val="003143E4"/>
    <w:rsid w:val="00317EF9"/>
    <w:rsid w:val="003244BF"/>
    <w:rsid w:val="00333342"/>
    <w:rsid w:val="00333E0B"/>
    <w:rsid w:val="003415EF"/>
    <w:rsid w:val="0034636F"/>
    <w:rsid w:val="00346FFD"/>
    <w:rsid w:val="00350FE7"/>
    <w:rsid w:val="00353BAE"/>
    <w:rsid w:val="00355480"/>
    <w:rsid w:val="0035570B"/>
    <w:rsid w:val="00356091"/>
    <w:rsid w:val="00356F77"/>
    <w:rsid w:val="00357274"/>
    <w:rsid w:val="00367206"/>
    <w:rsid w:val="00367DCF"/>
    <w:rsid w:val="003714BF"/>
    <w:rsid w:val="00371F4E"/>
    <w:rsid w:val="003739D6"/>
    <w:rsid w:val="00374F2A"/>
    <w:rsid w:val="00380E03"/>
    <w:rsid w:val="00385FF7"/>
    <w:rsid w:val="0038702D"/>
    <w:rsid w:val="003872D6"/>
    <w:rsid w:val="00390414"/>
    <w:rsid w:val="00391CF1"/>
    <w:rsid w:val="00395771"/>
    <w:rsid w:val="00397938"/>
    <w:rsid w:val="003A0323"/>
    <w:rsid w:val="003A0AAE"/>
    <w:rsid w:val="003A45EC"/>
    <w:rsid w:val="003B2A81"/>
    <w:rsid w:val="003B36EB"/>
    <w:rsid w:val="003B4A0F"/>
    <w:rsid w:val="003B4D58"/>
    <w:rsid w:val="003B740A"/>
    <w:rsid w:val="003C4B2A"/>
    <w:rsid w:val="003C6380"/>
    <w:rsid w:val="003D5FB3"/>
    <w:rsid w:val="003D69A1"/>
    <w:rsid w:val="003D7E76"/>
    <w:rsid w:val="003D7F56"/>
    <w:rsid w:val="003E2774"/>
    <w:rsid w:val="003F2B32"/>
    <w:rsid w:val="003F4D2B"/>
    <w:rsid w:val="003F5B4A"/>
    <w:rsid w:val="003F798A"/>
    <w:rsid w:val="00404706"/>
    <w:rsid w:val="00406283"/>
    <w:rsid w:val="004078F6"/>
    <w:rsid w:val="00410DBA"/>
    <w:rsid w:val="00411484"/>
    <w:rsid w:val="004177BC"/>
    <w:rsid w:val="00421150"/>
    <w:rsid w:val="0042324A"/>
    <w:rsid w:val="00423754"/>
    <w:rsid w:val="00427575"/>
    <w:rsid w:val="00433824"/>
    <w:rsid w:val="004353A3"/>
    <w:rsid w:val="004365CA"/>
    <w:rsid w:val="00437F0B"/>
    <w:rsid w:val="00441F21"/>
    <w:rsid w:val="00442C64"/>
    <w:rsid w:val="00445B60"/>
    <w:rsid w:val="00446197"/>
    <w:rsid w:val="004470CC"/>
    <w:rsid w:val="00451E44"/>
    <w:rsid w:val="004546F7"/>
    <w:rsid w:val="004629AA"/>
    <w:rsid w:val="00466147"/>
    <w:rsid w:val="004677CB"/>
    <w:rsid w:val="0046798F"/>
    <w:rsid w:val="004756C5"/>
    <w:rsid w:val="004770D9"/>
    <w:rsid w:val="00483D3D"/>
    <w:rsid w:val="00487519"/>
    <w:rsid w:val="00487FDB"/>
    <w:rsid w:val="00494E0E"/>
    <w:rsid w:val="004A2675"/>
    <w:rsid w:val="004A6151"/>
    <w:rsid w:val="004B542C"/>
    <w:rsid w:val="004B55FC"/>
    <w:rsid w:val="004B6982"/>
    <w:rsid w:val="004B7403"/>
    <w:rsid w:val="004C2742"/>
    <w:rsid w:val="004C5AD9"/>
    <w:rsid w:val="004C6F8D"/>
    <w:rsid w:val="004C77BC"/>
    <w:rsid w:val="004D03F3"/>
    <w:rsid w:val="004D152E"/>
    <w:rsid w:val="004D4AB7"/>
    <w:rsid w:val="004E341B"/>
    <w:rsid w:val="004E718E"/>
    <w:rsid w:val="004F1CC2"/>
    <w:rsid w:val="004F2BFB"/>
    <w:rsid w:val="004F3E29"/>
    <w:rsid w:val="004F5050"/>
    <w:rsid w:val="004F5985"/>
    <w:rsid w:val="004F79C3"/>
    <w:rsid w:val="00500D1A"/>
    <w:rsid w:val="00510B1D"/>
    <w:rsid w:val="005151C1"/>
    <w:rsid w:val="005162EF"/>
    <w:rsid w:val="00522BD4"/>
    <w:rsid w:val="005246C9"/>
    <w:rsid w:val="00527E66"/>
    <w:rsid w:val="00533298"/>
    <w:rsid w:val="00542BE6"/>
    <w:rsid w:val="00546BF0"/>
    <w:rsid w:val="00550FCA"/>
    <w:rsid w:val="005526DE"/>
    <w:rsid w:val="00552989"/>
    <w:rsid w:val="005536F0"/>
    <w:rsid w:val="005565B1"/>
    <w:rsid w:val="005608FF"/>
    <w:rsid w:val="005623A8"/>
    <w:rsid w:val="0056369F"/>
    <w:rsid w:val="005677C5"/>
    <w:rsid w:val="0057141D"/>
    <w:rsid w:val="005719A1"/>
    <w:rsid w:val="00575428"/>
    <w:rsid w:val="00585B4D"/>
    <w:rsid w:val="005867CB"/>
    <w:rsid w:val="005901D0"/>
    <w:rsid w:val="00592C5B"/>
    <w:rsid w:val="0059461C"/>
    <w:rsid w:val="00595816"/>
    <w:rsid w:val="00596642"/>
    <w:rsid w:val="00597590"/>
    <w:rsid w:val="005A58D6"/>
    <w:rsid w:val="005A7313"/>
    <w:rsid w:val="005B3D69"/>
    <w:rsid w:val="005B6131"/>
    <w:rsid w:val="005C1075"/>
    <w:rsid w:val="005C5278"/>
    <w:rsid w:val="005C7C0A"/>
    <w:rsid w:val="005D0353"/>
    <w:rsid w:val="005D0B1F"/>
    <w:rsid w:val="005D1A3E"/>
    <w:rsid w:val="005D3240"/>
    <w:rsid w:val="005D51A3"/>
    <w:rsid w:val="005D637A"/>
    <w:rsid w:val="005D6E29"/>
    <w:rsid w:val="005E0A6A"/>
    <w:rsid w:val="005E25A7"/>
    <w:rsid w:val="005E273A"/>
    <w:rsid w:val="005E6E20"/>
    <w:rsid w:val="005F007F"/>
    <w:rsid w:val="005F049E"/>
    <w:rsid w:val="005F262A"/>
    <w:rsid w:val="005F37D5"/>
    <w:rsid w:val="00600BC8"/>
    <w:rsid w:val="0060135D"/>
    <w:rsid w:val="00601895"/>
    <w:rsid w:val="0060250F"/>
    <w:rsid w:val="00604EAD"/>
    <w:rsid w:val="00610FD9"/>
    <w:rsid w:val="0062187C"/>
    <w:rsid w:val="006231CC"/>
    <w:rsid w:val="00626157"/>
    <w:rsid w:val="0063194C"/>
    <w:rsid w:val="0063242F"/>
    <w:rsid w:val="00633523"/>
    <w:rsid w:val="006357BA"/>
    <w:rsid w:val="00637A38"/>
    <w:rsid w:val="006407E5"/>
    <w:rsid w:val="00642213"/>
    <w:rsid w:val="0064389F"/>
    <w:rsid w:val="006460D0"/>
    <w:rsid w:val="00647C78"/>
    <w:rsid w:val="00651F9D"/>
    <w:rsid w:val="00654D77"/>
    <w:rsid w:val="00660837"/>
    <w:rsid w:val="00662EAA"/>
    <w:rsid w:val="0066554B"/>
    <w:rsid w:val="0066612C"/>
    <w:rsid w:val="00667371"/>
    <w:rsid w:val="00671D24"/>
    <w:rsid w:val="00674128"/>
    <w:rsid w:val="00675AEC"/>
    <w:rsid w:val="00680313"/>
    <w:rsid w:val="0068299D"/>
    <w:rsid w:val="00683188"/>
    <w:rsid w:val="0068734C"/>
    <w:rsid w:val="00697030"/>
    <w:rsid w:val="006A06D2"/>
    <w:rsid w:val="006A1046"/>
    <w:rsid w:val="006A1453"/>
    <w:rsid w:val="006A1845"/>
    <w:rsid w:val="006A3AA9"/>
    <w:rsid w:val="006B1C23"/>
    <w:rsid w:val="006B3C2B"/>
    <w:rsid w:val="006B59AF"/>
    <w:rsid w:val="006C1D19"/>
    <w:rsid w:val="006C3204"/>
    <w:rsid w:val="006D314C"/>
    <w:rsid w:val="006D3796"/>
    <w:rsid w:val="006D6966"/>
    <w:rsid w:val="006D7E8E"/>
    <w:rsid w:val="006E385C"/>
    <w:rsid w:val="006E3FB0"/>
    <w:rsid w:val="006E6740"/>
    <w:rsid w:val="006E774E"/>
    <w:rsid w:val="006F37F8"/>
    <w:rsid w:val="006F434C"/>
    <w:rsid w:val="006F477B"/>
    <w:rsid w:val="007002D0"/>
    <w:rsid w:val="00702159"/>
    <w:rsid w:val="00717CF4"/>
    <w:rsid w:val="00721B09"/>
    <w:rsid w:val="007243C6"/>
    <w:rsid w:val="00727AA5"/>
    <w:rsid w:val="00727BA9"/>
    <w:rsid w:val="00737900"/>
    <w:rsid w:val="0074318F"/>
    <w:rsid w:val="00744DFF"/>
    <w:rsid w:val="007463FC"/>
    <w:rsid w:val="00746C24"/>
    <w:rsid w:val="00747871"/>
    <w:rsid w:val="00752D82"/>
    <w:rsid w:val="007550F8"/>
    <w:rsid w:val="00760933"/>
    <w:rsid w:val="00765556"/>
    <w:rsid w:val="00766B97"/>
    <w:rsid w:val="00766E34"/>
    <w:rsid w:val="007730CC"/>
    <w:rsid w:val="0079037C"/>
    <w:rsid w:val="00792840"/>
    <w:rsid w:val="00795636"/>
    <w:rsid w:val="00795C46"/>
    <w:rsid w:val="00797FBC"/>
    <w:rsid w:val="007A30FF"/>
    <w:rsid w:val="007A4267"/>
    <w:rsid w:val="007A63F1"/>
    <w:rsid w:val="007A77E9"/>
    <w:rsid w:val="007A79D3"/>
    <w:rsid w:val="007B10AF"/>
    <w:rsid w:val="007B3D89"/>
    <w:rsid w:val="007B48B8"/>
    <w:rsid w:val="007C0C08"/>
    <w:rsid w:val="007C34FE"/>
    <w:rsid w:val="007C4B3C"/>
    <w:rsid w:val="007C52D6"/>
    <w:rsid w:val="007C5FBB"/>
    <w:rsid w:val="007D1C08"/>
    <w:rsid w:val="007D20CC"/>
    <w:rsid w:val="007D2D67"/>
    <w:rsid w:val="007D4A12"/>
    <w:rsid w:val="007F0434"/>
    <w:rsid w:val="007F426B"/>
    <w:rsid w:val="008008D3"/>
    <w:rsid w:val="00804DA3"/>
    <w:rsid w:val="008058BB"/>
    <w:rsid w:val="00805D1E"/>
    <w:rsid w:val="0080640F"/>
    <w:rsid w:val="0080651C"/>
    <w:rsid w:val="00810DA9"/>
    <w:rsid w:val="008171C0"/>
    <w:rsid w:val="008234BF"/>
    <w:rsid w:val="00825DC6"/>
    <w:rsid w:val="00826DAE"/>
    <w:rsid w:val="00826E3E"/>
    <w:rsid w:val="00827ECC"/>
    <w:rsid w:val="00835913"/>
    <w:rsid w:val="00842491"/>
    <w:rsid w:val="0084702F"/>
    <w:rsid w:val="008503CA"/>
    <w:rsid w:val="00851CF5"/>
    <w:rsid w:val="00852A9E"/>
    <w:rsid w:val="00853FFE"/>
    <w:rsid w:val="00854318"/>
    <w:rsid w:val="00854ED1"/>
    <w:rsid w:val="00856214"/>
    <w:rsid w:val="00860735"/>
    <w:rsid w:val="00860F2D"/>
    <w:rsid w:val="00861980"/>
    <w:rsid w:val="00861CD2"/>
    <w:rsid w:val="008630E0"/>
    <w:rsid w:val="0086542D"/>
    <w:rsid w:val="00865597"/>
    <w:rsid w:val="008749F1"/>
    <w:rsid w:val="00876493"/>
    <w:rsid w:val="00876AB1"/>
    <w:rsid w:val="00882072"/>
    <w:rsid w:val="0088291C"/>
    <w:rsid w:val="008829EB"/>
    <w:rsid w:val="00883B21"/>
    <w:rsid w:val="008854A5"/>
    <w:rsid w:val="008911D4"/>
    <w:rsid w:val="00891361"/>
    <w:rsid w:val="00891E09"/>
    <w:rsid w:val="008934F2"/>
    <w:rsid w:val="008973B6"/>
    <w:rsid w:val="008A1792"/>
    <w:rsid w:val="008A39B7"/>
    <w:rsid w:val="008A433F"/>
    <w:rsid w:val="008B2950"/>
    <w:rsid w:val="008B3E2D"/>
    <w:rsid w:val="008B42BB"/>
    <w:rsid w:val="008B690C"/>
    <w:rsid w:val="008B71C8"/>
    <w:rsid w:val="008C0649"/>
    <w:rsid w:val="008C68BC"/>
    <w:rsid w:val="008C7039"/>
    <w:rsid w:val="008C7E6D"/>
    <w:rsid w:val="008D24A5"/>
    <w:rsid w:val="008D6238"/>
    <w:rsid w:val="008D76DA"/>
    <w:rsid w:val="008E3488"/>
    <w:rsid w:val="008E3DC4"/>
    <w:rsid w:val="008E5634"/>
    <w:rsid w:val="008F1223"/>
    <w:rsid w:val="008F41C3"/>
    <w:rsid w:val="008F5194"/>
    <w:rsid w:val="008F52D3"/>
    <w:rsid w:val="008F6B6A"/>
    <w:rsid w:val="00900FE8"/>
    <w:rsid w:val="00901A91"/>
    <w:rsid w:val="00903512"/>
    <w:rsid w:val="009042AA"/>
    <w:rsid w:val="0090693D"/>
    <w:rsid w:val="009072AD"/>
    <w:rsid w:val="009201BA"/>
    <w:rsid w:val="009204B1"/>
    <w:rsid w:val="00921E14"/>
    <w:rsid w:val="00924416"/>
    <w:rsid w:val="00930FFB"/>
    <w:rsid w:val="00932A54"/>
    <w:rsid w:val="009350C6"/>
    <w:rsid w:val="00941518"/>
    <w:rsid w:val="009457E7"/>
    <w:rsid w:val="00946D18"/>
    <w:rsid w:val="00952535"/>
    <w:rsid w:val="00952C91"/>
    <w:rsid w:val="0095409D"/>
    <w:rsid w:val="00955033"/>
    <w:rsid w:val="00955831"/>
    <w:rsid w:val="00955DDE"/>
    <w:rsid w:val="009604E2"/>
    <w:rsid w:val="009641BA"/>
    <w:rsid w:val="00965326"/>
    <w:rsid w:val="009654C2"/>
    <w:rsid w:val="00965EEE"/>
    <w:rsid w:val="0097485E"/>
    <w:rsid w:val="00981C6A"/>
    <w:rsid w:val="00984BA4"/>
    <w:rsid w:val="00984EAD"/>
    <w:rsid w:val="00992D75"/>
    <w:rsid w:val="00994483"/>
    <w:rsid w:val="00994A61"/>
    <w:rsid w:val="009955D4"/>
    <w:rsid w:val="00997B03"/>
    <w:rsid w:val="009A2B87"/>
    <w:rsid w:val="009A322D"/>
    <w:rsid w:val="009A5EAE"/>
    <w:rsid w:val="009B237B"/>
    <w:rsid w:val="009B4C3E"/>
    <w:rsid w:val="009C11BE"/>
    <w:rsid w:val="009C262C"/>
    <w:rsid w:val="009C48DD"/>
    <w:rsid w:val="009C4D6C"/>
    <w:rsid w:val="009D3740"/>
    <w:rsid w:val="009E2D4E"/>
    <w:rsid w:val="009E5733"/>
    <w:rsid w:val="009E7737"/>
    <w:rsid w:val="009F0ACF"/>
    <w:rsid w:val="009F389E"/>
    <w:rsid w:val="009F5104"/>
    <w:rsid w:val="009F67EC"/>
    <w:rsid w:val="00A042C4"/>
    <w:rsid w:val="00A04918"/>
    <w:rsid w:val="00A0538C"/>
    <w:rsid w:val="00A056EB"/>
    <w:rsid w:val="00A11590"/>
    <w:rsid w:val="00A12259"/>
    <w:rsid w:val="00A2027A"/>
    <w:rsid w:val="00A21C75"/>
    <w:rsid w:val="00A23216"/>
    <w:rsid w:val="00A23222"/>
    <w:rsid w:val="00A24A64"/>
    <w:rsid w:val="00A26BEB"/>
    <w:rsid w:val="00A27E4C"/>
    <w:rsid w:val="00A31156"/>
    <w:rsid w:val="00A313E8"/>
    <w:rsid w:val="00A31A27"/>
    <w:rsid w:val="00A40CFE"/>
    <w:rsid w:val="00A41744"/>
    <w:rsid w:val="00A42DB0"/>
    <w:rsid w:val="00A478CD"/>
    <w:rsid w:val="00A510AB"/>
    <w:rsid w:val="00A5130B"/>
    <w:rsid w:val="00A56FFF"/>
    <w:rsid w:val="00A60421"/>
    <w:rsid w:val="00A605E2"/>
    <w:rsid w:val="00A66322"/>
    <w:rsid w:val="00A739C2"/>
    <w:rsid w:val="00A73B94"/>
    <w:rsid w:val="00A7464D"/>
    <w:rsid w:val="00A776C9"/>
    <w:rsid w:val="00A83ABE"/>
    <w:rsid w:val="00A9046B"/>
    <w:rsid w:val="00A9448C"/>
    <w:rsid w:val="00A97632"/>
    <w:rsid w:val="00AA032E"/>
    <w:rsid w:val="00AA2240"/>
    <w:rsid w:val="00AA4F98"/>
    <w:rsid w:val="00AA67C3"/>
    <w:rsid w:val="00AB22BE"/>
    <w:rsid w:val="00AB4365"/>
    <w:rsid w:val="00AB5E87"/>
    <w:rsid w:val="00AC0876"/>
    <w:rsid w:val="00AC0E72"/>
    <w:rsid w:val="00AC3BB7"/>
    <w:rsid w:val="00AC3F4D"/>
    <w:rsid w:val="00AC44EB"/>
    <w:rsid w:val="00AC6520"/>
    <w:rsid w:val="00AD20C3"/>
    <w:rsid w:val="00AD6920"/>
    <w:rsid w:val="00AD7D04"/>
    <w:rsid w:val="00AE1AC3"/>
    <w:rsid w:val="00AE3DE6"/>
    <w:rsid w:val="00AF0EF9"/>
    <w:rsid w:val="00AF29C4"/>
    <w:rsid w:val="00AF4197"/>
    <w:rsid w:val="00AF4B9D"/>
    <w:rsid w:val="00AF673A"/>
    <w:rsid w:val="00B00407"/>
    <w:rsid w:val="00B00776"/>
    <w:rsid w:val="00B00803"/>
    <w:rsid w:val="00B05CD4"/>
    <w:rsid w:val="00B06245"/>
    <w:rsid w:val="00B12C67"/>
    <w:rsid w:val="00B16352"/>
    <w:rsid w:val="00B22EB5"/>
    <w:rsid w:val="00B270C5"/>
    <w:rsid w:val="00B27272"/>
    <w:rsid w:val="00B35223"/>
    <w:rsid w:val="00B40C4C"/>
    <w:rsid w:val="00B41922"/>
    <w:rsid w:val="00B47366"/>
    <w:rsid w:val="00B533B8"/>
    <w:rsid w:val="00B57636"/>
    <w:rsid w:val="00B5768A"/>
    <w:rsid w:val="00B61CCC"/>
    <w:rsid w:val="00B62F7A"/>
    <w:rsid w:val="00B65950"/>
    <w:rsid w:val="00B7284E"/>
    <w:rsid w:val="00B77A09"/>
    <w:rsid w:val="00B802E7"/>
    <w:rsid w:val="00B823B8"/>
    <w:rsid w:val="00B835F4"/>
    <w:rsid w:val="00B84360"/>
    <w:rsid w:val="00B849CF"/>
    <w:rsid w:val="00B86E85"/>
    <w:rsid w:val="00B91E13"/>
    <w:rsid w:val="00B94DBA"/>
    <w:rsid w:val="00B965B6"/>
    <w:rsid w:val="00B97550"/>
    <w:rsid w:val="00BA14F9"/>
    <w:rsid w:val="00BA2AAB"/>
    <w:rsid w:val="00BA3CCA"/>
    <w:rsid w:val="00BA702D"/>
    <w:rsid w:val="00BB5FB5"/>
    <w:rsid w:val="00BB7B8E"/>
    <w:rsid w:val="00BB7BE5"/>
    <w:rsid w:val="00BC43E6"/>
    <w:rsid w:val="00BD0E35"/>
    <w:rsid w:val="00BD3044"/>
    <w:rsid w:val="00BD5E0C"/>
    <w:rsid w:val="00BE0A25"/>
    <w:rsid w:val="00BE4E8F"/>
    <w:rsid w:val="00BF1FD7"/>
    <w:rsid w:val="00BF2BB3"/>
    <w:rsid w:val="00BF403F"/>
    <w:rsid w:val="00BF421D"/>
    <w:rsid w:val="00C0003E"/>
    <w:rsid w:val="00C041D4"/>
    <w:rsid w:val="00C041D9"/>
    <w:rsid w:val="00C046DD"/>
    <w:rsid w:val="00C137B9"/>
    <w:rsid w:val="00C13A10"/>
    <w:rsid w:val="00C1493F"/>
    <w:rsid w:val="00C14ECD"/>
    <w:rsid w:val="00C20349"/>
    <w:rsid w:val="00C22299"/>
    <w:rsid w:val="00C2339A"/>
    <w:rsid w:val="00C24787"/>
    <w:rsid w:val="00C267FA"/>
    <w:rsid w:val="00C30689"/>
    <w:rsid w:val="00C33F43"/>
    <w:rsid w:val="00C34C4C"/>
    <w:rsid w:val="00C40283"/>
    <w:rsid w:val="00C40BA1"/>
    <w:rsid w:val="00C40D76"/>
    <w:rsid w:val="00C5071B"/>
    <w:rsid w:val="00C52BD8"/>
    <w:rsid w:val="00C54CB1"/>
    <w:rsid w:val="00C57636"/>
    <w:rsid w:val="00C605A0"/>
    <w:rsid w:val="00C60895"/>
    <w:rsid w:val="00C625EC"/>
    <w:rsid w:val="00C63327"/>
    <w:rsid w:val="00C65AC5"/>
    <w:rsid w:val="00C67892"/>
    <w:rsid w:val="00C7376B"/>
    <w:rsid w:val="00C759AF"/>
    <w:rsid w:val="00C80172"/>
    <w:rsid w:val="00C85621"/>
    <w:rsid w:val="00C85DFF"/>
    <w:rsid w:val="00C86D38"/>
    <w:rsid w:val="00C87984"/>
    <w:rsid w:val="00C915DC"/>
    <w:rsid w:val="00C93D1F"/>
    <w:rsid w:val="00C9456B"/>
    <w:rsid w:val="00CA37AC"/>
    <w:rsid w:val="00CA3805"/>
    <w:rsid w:val="00CA3E0E"/>
    <w:rsid w:val="00CA617F"/>
    <w:rsid w:val="00CA72A7"/>
    <w:rsid w:val="00CB1A14"/>
    <w:rsid w:val="00CC0295"/>
    <w:rsid w:val="00CC3A21"/>
    <w:rsid w:val="00CC4816"/>
    <w:rsid w:val="00CC4957"/>
    <w:rsid w:val="00CC553A"/>
    <w:rsid w:val="00CC58FE"/>
    <w:rsid w:val="00CC659C"/>
    <w:rsid w:val="00CD2981"/>
    <w:rsid w:val="00CD571B"/>
    <w:rsid w:val="00CD6FD1"/>
    <w:rsid w:val="00CE5F8B"/>
    <w:rsid w:val="00CE6D97"/>
    <w:rsid w:val="00D07CE1"/>
    <w:rsid w:val="00D07EAF"/>
    <w:rsid w:val="00D10577"/>
    <w:rsid w:val="00D11DB6"/>
    <w:rsid w:val="00D14DAE"/>
    <w:rsid w:val="00D1716D"/>
    <w:rsid w:val="00D17F91"/>
    <w:rsid w:val="00D208BA"/>
    <w:rsid w:val="00D2126E"/>
    <w:rsid w:val="00D31AE0"/>
    <w:rsid w:val="00D34B1E"/>
    <w:rsid w:val="00D35C0B"/>
    <w:rsid w:val="00D42007"/>
    <w:rsid w:val="00D45605"/>
    <w:rsid w:val="00D501EB"/>
    <w:rsid w:val="00D56982"/>
    <w:rsid w:val="00D5734E"/>
    <w:rsid w:val="00D608DD"/>
    <w:rsid w:val="00D7209E"/>
    <w:rsid w:val="00D766E8"/>
    <w:rsid w:val="00D8056E"/>
    <w:rsid w:val="00D80FB9"/>
    <w:rsid w:val="00D81546"/>
    <w:rsid w:val="00D82D5F"/>
    <w:rsid w:val="00D86EF3"/>
    <w:rsid w:val="00D8727B"/>
    <w:rsid w:val="00D91415"/>
    <w:rsid w:val="00D95FA1"/>
    <w:rsid w:val="00DA132C"/>
    <w:rsid w:val="00DA61B2"/>
    <w:rsid w:val="00DA67DD"/>
    <w:rsid w:val="00DA7100"/>
    <w:rsid w:val="00DA75FE"/>
    <w:rsid w:val="00DA771B"/>
    <w:rsid w:val="00DB4813"/>
    <w:rsid w:val="00DB562E"/>
    <w:rsid w:val="00DB62DD"/>
    <w:rsid w:val="00DC29AB"/>
    <w:rsid w:val="00DC6C6F"/>
    <w:rsid w:val="00DC6D4C"/>
    <w:rsid w:val="00DD1723"/>
    <w:rsid w:val="00DE2BDA"/>
    <w:rsid w:val="00DE2CBE"/>
    <w:rsid w:val="00DE363D"/>
    <w:rsid w:val="00DE46A6"/>
    <w:rsid w:val="00DE7708"/>
    <w:rsid w:val="00DF28E7"/>
    <w:rsid w:val="00DF2CC5"/>
    <w:rsid w:val="00DF332F"/>
    <w:rsid w:val="00E02363"/>
    <w:rsid w:val="00E034A5"/>
    <w:rsid w:val="00E12305"/>
    <w:rsid w:val="00E150B5"/>
    <w:rsid w:val="00E16CD0"/>
    <w:rsid w:val="00E17C49"/>
    <w:rsid w:val="00E22026"/>
    <w:rsid w:val="00E300DC"/>
    <w:rsid w:val="00E31043"/>
    <w:rsid w:val="00E32BB4"/>
    <w:rsid w:val="00E42383"/>
    <w:rsid w:val="00E45604"/>
    <w:rsid w:val="00E522FE"/>
    <w:rsid w:val="00E52D87"/>
    <w:rsid w:val="00E57DF6"/>
    <w:rsid w:val="00E62FAC"/>
    <w:rsid w:val="00E6322B"/>
    <w:rsid w:val="00E64A78"/>
    <w:rsid w:val="00E65F94"/>
    <w:rsid w:val="00E70C9B"/>
    <w:rsid w:val="00E73076"/>
    <w:rsid w:val="00E739EA"/>
    <w:rsid w:val="00E77C2C"/>
    <w:rsid w:val="00E8514F"/>
    <w:rsid w:val="00E85938"/>
    <w:rsid w:val="00E87B16"/>
    <w:rsid w:val="00E90543"/>
    <w:rsid w:val="00E9488B"/>
    <w:rsid w:val="00E94AA3"/>
    <w:rsid w:val="00E94EEC"/>
    <w:rsid w:val="00E9673D"/>
    <w:rsid w:val="00EA731E"/>
    <w:rsid w:val="00EB103B"/>
    <w:rsid w:val="00EB26C2"/>
    <w:rsid w:val="00EB2EF5"/>
    <w:rsid w:val="00EB3EBD"/>
    <w:rsid w:val="00EB471B"/>
    <w:rsid w:val="00EB5AC0"/>
    <w:rsid w:val="00EB5E3D"/>
    <w:rsid w:val="00EB7166"/>
    <w:rsid w:val="00EC22CA"/>
    <w:rsid w:val="00EC6B42"/>
    <w:rsid w:val="00ED2101"/>
    <w:rsid w:val="00ED386D"/>
    <w:rsid w:val="00ED56BF"/>
    <w:rsid w:val="00ED6A62"/>
    <w:rsid w:val="00ED7567"/>
    <w:rsid w:val="00EE3BDC"/>
    <w:rsid w:val="00EE5685"/>
    <w:rsid w:val="00EE5DD5"/>
    <w:rsid w:val="00EF047E"/>
    <w:rsid w:val="00EF5AE5"/>
    <w:rsid w:val="00EF60B7"/>
    <w:rsid w:val="00EF71D6"/>
    <w:rsid w:val="00F00401"/>
    <w:rsid w:val="00F076A5"/>
    <w:rsid w:val="00F12EC9"/>
    <w:rsid w:val="00F141A4"/>
    <w:rsid w:val="00F257CA"/>
    <w:rsid w:val="00F261FD"/>
    <w:rsid w:val="00F30A83"/>
    <w:rsid w:val="00F35706"/>
    <w:rsid w:val="00F46038"/>
    <w:rsid w:val="00F47064"/>
    <w:rsid w:val="00F505C8"/>
    <w:rsid w:val="00F511FB"/>
    <w:rsid w:val="00F52C09"/>
    <w:rsid w:val="00F540F2"/>
    <w:rsid w:val="00F54434"/>
    <w:rsid w:val="00F554BC"/>
    <w:rsid w:val="00F60B78"/>
    <w:rsid w:val="00F63724"/>
    <w:rsid w:val="00F64207"/>
    <w:rsid w:val="00F65B3B"/>
    <w:rsid w:val="00F66C3E"/>
    <w:rsid w:val="00F67E9C"/>
    <w:rsid w:val="00F70AF4"/>
    <w:rsid w:val="00F7272A"/>
    <w:rsid w:val="00F7383B"/>
    <w:rsid w:val="00F73B2D"/>
    <w:rsid w:val="00F75DF5"/>
    <w:rsid w:val="00F84DBC"/>
    <w:rsid w:val="00F867D4"/>
    <w:rsid w:val="00F870CD"/>
    <w:rsid w:val="00F91410"/>
    <w:rsid w:val="00F93341"/>
    <w:rsid w:val="00F95300"/>
    <w:rsid w:val="00F953A3"/>
    <w:rsid w:val="00F965C3"/>
    <w:rsid w:val="00F96DFC"/>
    <w:rsid w:val="00F9750F"/>
    <w:rsid w:val="00FA6A01"/>
    <w:rsid w:val="00FA7B30"/>
    <w:rsid w:val="00FB0F96"/>
    <w:rsid w:val="00FB4AFB"/>
    <w:rsid w:val="00FC7FE4"/>
    <w:rsid w:val="00FD3087"/>
    <w:rsid w:val="00FD6B45"/>
    <w:rsid w:val="00FE0019"/>
    <w:rsid w:val="00FE0E4A"/>
    <w:rsid w:val="00FE2A07"/>
    <w:rsid w:val="00FE3663"/>
    <w:rsid w:val="00FE7DFF"/>
    <w:rsid w:val="00FF1AE1"/>
    <w:rsid w:val="00FF23DF"/>
    <w:rsid w:val="00FF36D3"/>
    <w:rsid w:val="00FF40CB"/>
    <w:rsid w:val="00FF453E"/>
    <w:rsid w:val="00FF4C0B"/>
    <w:rsid w:val="00FF7D51"/>
    <w:rsid w:val="07D80611"/>
    <w:rsid w:val="13C40F99"/>
    <w:rsid w:val="14FC6610"/>
    <w:rsid w:val="157A2B1D"/>
    <w:rsid w:val="17810D3B"/>
    <w:rsid w:val="18F57EEC"/>
    <w:rsid w:val="197460A0"/>
    <w:rsid w:val="21764FC9"/>
    <w:rsid w:val="22B56F56"/>
    <w:rsid w:val="240D596B"/>
    <w:rsid w:val="2B3F3D93"/>
    <w:rsid w:val="30AD343B"/>
    <w:rsid w:val="32250414"/>
    <w:rsid w:val="34BA6587"/>
    <w:rsid w:val="3F2F60D7"/>
    <w:rsid w:val="3FCF6897"/>
    <w:rsid w:val="41ED3FF0"/>
    <w:rsid w:val="42D81A97"/>
    <w:rsid w:val="49D50D8D"/>
    <w:rsid w:val="572B2E98"/>
    <w:rsid w:val="573220DE"/>
    <w:rsid w:val="5EE6407D"/>
    <w:rsid w:val="64072AAB"/>
    <w:rsid w:val="6B3531D1"/>
    <w:rsid w:val="73AB4701"/>
    <w:rsid w:val="73AD53D6"/>
    <w:rsid w:val="75E45951"/>
    <w:rsid w:val="779D0A10"/>
    <w:rsid w:val="7AEE4755"/>
    <w:rsid w:val="7DBD4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line="578" w:lineRule="auto"/>
      <w:jc w:val="center"/>
      <w:outlineLvl w:val="0"/>
    </w:pPr>
    <w:rPr>
      <w:rFonts w:eastAsia="黑体"/>
      <w:b/>
      <w:bCs/>
      <w:kern w:val="44"/>
      <w:sz w:val="32"/>
      <w:szCs w:val="44"/>
    </w:rPr>
  </w:style>
  <w:style w:type="paragraph" w:styleId="3">
    <w:name w:val="heading 2"/>
    <w:basedOn w:val="1"/>
    <w:next w:val="1"/>
    <w:link w:val="27"/>
    <w:unhideWhenUsed/>
    <w:qFormat/>
    <w:uiPriority w:val="9"/>
    <w:pPr>
      <w:keepNext/>
      <w:keepLines/>
      <w:spacing w:line="415" w:lineRule="auto"/>
      <w:jc w:val="left"/>
      <w:outlineLvl w:val="1"/>
    </w:pPr>
    <w:rPr>
      <w:rFonts w:eastAsia="黑体" w:asciiTheme="majorHAnsi" w:hAnsiTheme="majorHAnsi" w:cstheme="majorBidi"/>
      <w:bCs/>
      <w:szCs w:val="32"/>
    </w:rPr>
  </w:style>
  <w:style w:type="paragraph" w:styleId="4">
    <w:name w:val="heading 3"/>
    <w:basedOn w:val="1"/>
    <w:next w:val="1"/>
    <w:link w:val="31"/>
    <w:unhideWhenUsed/>
    <w:qFormat/>
    <w:uiPriority w:val="9"/>
    <w:pPr>
      <w:keepNext/>
      <w:keepLines/>
      <w:spacing w:line="415" w:lineRule="auto"/>
      <w:jc w:val="left"/>
      <w:outlineLvl w:val="2"/>
    </w:pPr>
    <w:rPr>
      <w:rFonts w:eastAsia="黑体"/>
      <w:bCs/>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Cs w:val="20"/>
    </w:rPr>
  </w:style>
  <w:style w:type="paragraph" w:styleId="6">
    <w:name w:val="annotation text"/>
    <w:basedOn w:val="1"/>
    <w:link w:val="46"/>
    <w:semiHidden/>
    <w:unhideWhenUsed/>
    <w:uiPriority w:val="99"/>
    <w:pPr>
      <w:jc w:val="left"/>
    </w:pPr>
  </w:style>
  <w:style w:type="paragraph" w:styleId="7">
    <w:name w:val="Body Text"/>
    <w:basedOn w:val="1"/>
    <w:link w:val="34"/>
    <w:semiHidden/>
    <w:unhideWhenUsed/>
    <w:qFormat/>
    <w:uiPriority w:val="99"/>
    <w:pPr>
      <w:spacing w:after="120"/>
    </w:pPr>
  </w:style>
  <w:style w:type="paragraph" w:styleId="8">
    <w:name w:val="Body Text Indent"/>
    <w:basedOn w:val="1"/>
    <w:link w:val="26"/>
    <w:qFormat/>
    <w:uiPriority w:val="0"/>
    <w:pPr>
      <w:spacing w:after="120"/>
      <w:ind w:left="420" w:leftChars="200"/>
    </w:pPr>
    <w:rPr>
      <w:rFonts w:ascii="Times New Roman" w:hAnsi="Times New Roman" w:eastAsia="宋体" w:cs="Times New Roman"/>
      <w:szCs w:val="24"/>
    </w:rPr>
  </w:style>
  <w:style w:type="paragraph" w:styleId="9">
    <w:name w:val="toc 3"/>
    <w:basedOn w:val="1"/>
    <w:next w:val="1"/>
    <w:unhideWhenUsed/>
    <w:qFormat/>
    <w:uiPriority w:val="39"/>
    <w:pPr>
      <w:ind w:left="840" w:leftChars="400"/>
    </w:pPr>
  </w:style>
  <w:style w:type="paragraph" w:styleId="10">
    <w:name w:val="Date"/>
    <w:basedOn w:val="1"/>
    <w:next w:val="1"/>
    <w:link w:val="29"/>
    <w:semiHidden/>
    <w:unhideWhenUsed/>
    <w:qFormat/>
    <w:uiPriority w:val="99"/>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toc 2"/>
    <w:basedOn w:val="1"/>
    <w:next w:val="1"/>
    <w:unhideWhenUsed/>
    <w:qFormat/>
    <w:uiPriority w:val="39"/>
    <w:pPr>
      <w:tabs>
        <w:tab w:val="right" w:leader="dot" w:pos="8296"/>
      </w:tabs>
      <w:ind w:left="420" w:leftChars="200"/>
      <w:jc w:val="center"/>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6"/>
    <w:next w:val="6"/>
    <w:link w:val="47"/>
    <w:semiHidden/>
    <w:unhideWhenUsed/>
    <w:uiPriority w:val="99"/>
    <w:rPr>
      <w:b/>
      <w:bCs/>
    </w:rPr>
  </w:style>
  <w:style w:type="paragraph" w:styleId="18">
    <w:name w:val="Body Text First Indent"/>
    <w:basedOn w:val="7"/>
    <w:link w:val="35"/>
    <w:unhideWhenUsed/>
    <w:qFormat/>
    <w:uiPriority w:val="99"/>
    <w:pPr>
      <w:ind w:firstLine="420" w:firstLineChars="1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3"/>
    <w:qFormat/>
    <w:uiPriority w:val="99"/>
    <w:rPr>
      <w:sz w:val="18"/>
      <w:szCs w:val="18"/>
    </w:rPr>
  </w:style>
  <w:style w:type="character" w:customStyle="1" w:styleId="25">
    <w:name w:val="页脚 字符"/>
    <w:basedOn w:val="21"/>
    <w:link w:val="12"/>
    <w:qFormat/>
    <w:uiPriority w:val="99"/>
    <w:rPr>
      <w:sz w:val="18"/>
      <w:szCs w:val="18"/>
    </w:rPr>
  </w:style>
  <w:style w:type="character" w:customStyle="1" w:styleId="26">
    <w:name w:val="正文文本缩进 字符"/>
    <w:basedOn w:val="21"/>
    <w:link w:val="8"/>
    <w:qFormat/>
    <w:uiPriority w:val="0"/>
    <w:rPr>
      <w:rFonts w:ascii="Times New Roman" w:hAnsi="Times New Roman" w:eastAsia="宋体" w:cs="Times New Roman"/>
      <w:szCs w:val="24"/>
    </w:rPr>
  </w:style>
  <w:style w:type="character" w:customStyle="1" w:styleId="27">
    <w:name w:val="标题 2 字符"/>
    <w:basedOn w:val="21"/>
    <w:link w:val="3"/>
    <w:qFormat/>
    <w:uiPriority w:val="9"/>
    <w:rPr>
      <w:rFonts w:eastAsia="黑体" w:asciiTheme="majorHAnsi" w:hAnsiTheme="majorHAnsi" w:cstheme="majorBidi"/>
      <w:bCs/>
      <w:szCs w:val="32"/>
    </w:rPr>
  </w:style>
  <w:style w:type="character" w:customStyle="1" w:styleId="28">
    <w:name w:val="标题 1 字符"/>
    <w:basedOn w:val="21"/>
    <w:link w:val="2"/>
    <w:qFormat/>
    <w:uiPriority w:val="9"/>
    <w:rPr>
      <w:rFonts w:eastAsia="黑体"/>
      <w:b/>
      <w:bCs/>
      <w:kern w:val="44"/>
      <w:sz w:val="32"/>
      <w:szCs w:val="44"/>
    </w:rPr>
  </w:style>
  <w:style w:type="character" w:customStyle="1" w:styleId="29">
    <w:name w:val="日期 字符"/>
    <w:basedOn w:val="21"/>
    <w:link w:val="10"/>
    <w:semiHidden/>
    <w:qFormat/>
    <w:uiPriority w:val="99"/>
  </w:style>
  <w:style w:type="character" w:customStyle="1" w:styleId="30">
    <w:name w:val="正文文本 + MingLiU2"/>
    <w:qFormat/>
    <w:uiPriority w:val="0"/>
    <w:rPr>
      <w:rFonts w:ascii="MingLiU" w:eastAsia="MingLiU" w:cs="MingLiU"/>
      <w:kern w:val="2"/>
      <w:sz w:val="20"/>
      <w:szCs w:val="20"/>
      <w:lang w:bidi="ar-SA"/>
    </w:rPr>
  </w:style>
  <w:style w:type="character" w:customStyle="1" w:styleId="31">
    <w:name w:val="标题 3 字符"/>
    <w:basedOn w:val="21"/>
    <w:link w:val="4"/>
    <w:qFormat/>
    <w:uiPriority w:val="9"/>
    <w:rPr>
      <w:rFonts w:eastAsia="黑体"/>
      <w:bCs/>
      <w:szCs w:val="32"/>
    </w:rPr>
  </w:style>
  <w:style w:type="paragraph" w:customStyle="1" w:styleId="32">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段 Char"/>
    <w:basedOn w:val="21"/>
    <w:link w:val="32"/>
    <w:qFormat/>
    <w:uiPriority w:val="0"/>
    <w:rPr>
      <w:rFonts w:ascii="宋体" w:hAnsi="Times New Roman" w:eastAsia="宋体" w:cs="Times New Roman"/>
      <w:kern w:val="0"/>
      <w:szCs w:val="20"/>
    </w:rPr>
  </w:style>
  <w:style w:type="character" w:customStyle="1" w:styleId="34">
    <w:name w:val="正文文本 字符"/>
    <w:basedOn w:val="21"/>
    <w:link w:val="7"/>
    <w:semiHidden/>
    <w:qFormat/>
    <w:uiPriority w:val="99"/>
  </w:style>
  <w:style w:type="character" w:customStyle="1" w:styleId="35">
    <w:name w:val="正文文本首行缩进 字符"/>
    <w:basedOn w:val="34"/>
    <w:link w:val="18"/>
    <w:qFormat/>
    <w:uiPriority w:val="99"/>
  </w:style>
  <w:style w:type="paragraph" w:customStyle="1" w:styleId="36">
    <w:name w:val="发布日期"/>
    <w:qFormat/>
    <w:uiPriority w:val="0"/>
    <w:rPr>
      <w:rFonts w:ascii="Times New Roman" w:hAnsi="Times New Roman" w:eastAsia="黑体" w:cs="Times New Roman"/>
      <w:sz w:val="28"/>
      <w:lang w:val="en-US" w:eastAsia="zh-CN" w:bidi="ar-SA"/>
    </w:rPr>
  </w:style>
  <w:style w:type="paragraph" w:customStyle="1" w:styleId="37">
    <w:name w:val="实施日期"/>
    <w:basedOn w:val="36"/>
    <w:qFormat/>
    <w:uiPriority w:val="0"/>
    <w:pPr>
      <w:jc w:val="right"/>
    </w:pPr>
  </w:style>
  <w:style w:type="character" w:customStyle="1" w:styleId="38">
    <w:name w:val="批注框文本 字符"/>
    <w:basedOn w:val="21"/>
    <w:link w:val="11"/>
    <w:semiHidden/>
    <w:qFormat/>
    <w:uiPriority w:val="99"/>
    <w:rPr>
      <w:kern w:val="2"/>
      <w:sz w:val="18"/>
      <w:szCs w:val="18"/>
    </w:rPr>
  </w:style>
  <w:style w:type="paragraph" w:customStyle="1" w:styleId="3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0">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1">
    <w:name w:val="发布"/>
    <w:basedOn w:val="21"/>
    <w:qFormat/>
    <w:uiPriority w:val="0"/>
    <w:rPr>
      <w:rFonts w:ascii="黑体" w:eastAsia="黑体"/>
      <w:spacing w:val="22"/>
      <w:w w:val="100"/>
      <w:position w:val="3"/>
      <w:sz w:val="28"/>
    </w:rPr>
  </w:style>
  <w:style w:type="paragraph" w:customStyle="1" w:styleId="42">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4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styleId="44">
    <w:name w:val="Placeholder Text"/>
    <w:basedOn w:val="21"/>
    <w:unhideWhenUsed/>
    <w:qFormat/>
    <w:uiPriority w:val="99"/>
    <w:rPr>
      <w:color w:val="808080"/>
    </w:r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46">
    <w:name w:val="批注文字 字符"/>
    <w:basedOn w:val="21"/>
    <w:link w:val="6"/>
    <w:semiHidden/>
    <w:qFormat/>
    <w:uiPriority w:val="99"/>
    <w:rPr>
      <w:rFonts w:asciiTheme="minorHAnsi" w:hAnsiTheme="minorHAnsi" w:eastAsiaTheme="minorEastAsia" w:cstheme="minorBidi"/>
      <w:kern w:val="2"/>
      <w:sz w:val="21"/>
      <w:szCs w:val="22"/>
    </w:rPr>
  </w:style>
  <w:style w:type="character" w:customStyle="1" w:styleId="47">
    <w:name w:val="批注主题 字符"/>
    <w:basedOn w:val="46"/>
    <w:link w:val="17"/>
    <w:semiHidden/>
    <w:qFormat/>
    <w:uiPriority w:val="99"/>
    <w:rPr>
      <w:rFonts w:asciiTheme="minorHAnsi" w:hAnsiTheme="minorHAnsi" w:eastAsiaTheme="minorEastAsia" w:cstheme="minorBidi"/>
      <w:b/>
      <w:bCs/>
      <w:kern w:val="2"/>
      <w:sz w:val="21"/>
      <w:szCs w:val="22"/>
    </w:rPr>
  </w:style>
  <w:style w:type="paragraph" w:customStyle="1" w:styleId="4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E1322-34BA-407B-B187-A0556109047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4257</Words>
  <Characters>4928</Characters>
  <Lines>38</Lines>
  <Paragraphs>10</Paragraphs>
  <TotalTime>1951</TotalTime>
  <ScaleCrop>false</ScaleCrop>
  <LinksUpToDate>false</LinksUpToDate>
  <CharactersWithSpaces>5171</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2018-03-21T00:06:00Z</dcterms:created>
  <dc:creator>谢中科</dc:creator>
  <cp:lastModifiedBy>林若虚</cp:lastModifiedBy>
  <cp:lastPrinted>2020-09-14T08:10:00Z</cp:lastPrinted>
  <dcterms:modified xsi:type="dcterms:W3CDTF">2022-11-16T01:35:05Z</dcterms:modified>
  <cp:revision>724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9D7ED00330BD4BC4A0AD22F91A259E9D</vt:lpwstr>
  </property>
</Properties>
</file>