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19"/>
          <w:tab w:val="center" w:pos="5233"/>
        </w:tabs>
        <w:jc w:val="center"/>
        <w:rPr>
          <w:b/>
          <w:sz w:val="28"/>
          <w:szCs w:val="28"/>
        </w:rPr>
      </w:pPr>
      <w:r>
        <w:rPr>
          <w:rFonts w:hint="eastAsia"/>
          <w:b/>
          <w:sz w:val="28"/>
          <w:szCs w:val="28"/>
        </w:rPr>
        <w:t>标准征求意见稿意见汇总处理表</w:t>
      </w:r>
    </w:p>
    <w:p>
      <w:pPr>
        <w:spacing w:line="360" w:lineRule="auto"/>
        <w:ind w:firstLine="210" w:firstLineChars="100"/>
        <w:jc w:val="left"/>
        <w:rPr>
          <w:rFonts w:ascii="宋体" w:hAnsi="宋体"/>
          <w:szCs w:val="21"/>
        </w:rPr>
      </w:pPr>
      <w:r>
        <w:rPr>
          <w:rFonts w:hint="eastAsia" w:ascii="宋体" w:hAnsi="宋体"/>
          <w:szCs w:val="21"/>
        </w:rPr>
        <w:t>标准项目名称:含铜污泥取制样方法</w:t>
      </w:r>
    </w:p>
    <w:p>
      <w:pPr>
        <w:rPr>
          <w:rFonts w:ascii="宋体" w:hAnsi="宋体"/>
          <w:szCs w:val="21"/>
        </w:rPr>
      </w:pPr>
      <w:r>
        <w:rPr>
          <w:rFonts w:hint="eastAsia" w:ascii="宋体" w:hAnsi="宋体"/>
          <w:szCs w:val="21"/>
        </w:rPr>
        <w:t>方法承办人:谢中科</w:t>
      </w:r>
    </w:p>
    <w:p>
      <w:pPr>
        <w:rPr>
          <w:rFonts w:ascii="宋体" w:hAnsi="宋体"/>
          <w:szCs w:val="21"/>
        </w:rPr>
      </w:pPr>
      <w:r>
        <w:rPr>
          <w:rFonts w:hint="eastAsia" w:ascii="宋体" w:hAnsi="宋体"/>
          <w:szCs w:val="21"/>
        </w:rPr>
        <w:t>标准项目</w:t>
      </w:r>
      <w:r>
        <w:rPr>
          <w:rFonts w:ascii="宋体" w:hAnsi="宋体"/>
          <w:szCs w:val="21"/>
        </w:rPr>
        <w:t>负责起草单位</w:t>
      </w:r>
      <w:r>
        <w:rPr>
          <w:rFonts w:hint="eastAsia" w:ascii="宋体" w:hAnsi="宋体"/>
          <w:szCs w:val="21"/>
        </w:rPr>
        <w:t>:江西华赣瑞林稀贵金属科技有限公司</w:t>
      </w:r>
      <w:r>
        <w:rPr>
          <w:rFonts w:hint="eastAsia" w:ascii="宋体" w:hAnsi="宋体"/>
          <w:szCs w:val="21"/>
          <w:lang w:val="en-US" w:eastAsia="zh-CN"/>
        </w:rPr>
        <w:t xml:space="preserve">            </w:t>
      </w:r>
      <w:r>
        <w:rPr>
          <w:rFonts w:hint="eastAsia" w:ascii="宋体" w:hAnsi="宋体"/>
          <w:szCs w:val="21"/>
        </w:rPr>
        <w:t>电话:13870101769</w:t>
      </w:r>
    </w:p>
    <w:tbl>
      <w:tblPr>
        <w:tblStyle w:val="7"/>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134"/>
        <w:gridCol w:w="3022"/>
        <w:gridCol w:w="2175"/>
        <w:gridCol w:w="99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Align w:val="center"/>
          </w:tcPr>
          <w:p>
            <w:pPr>
              <w:jc w:val="center"/>
              <w:rPr>
                <w:szCs w:val="21"/>
              </w:rPr>
            </w:pPr>
            <w:r>
              <w:rPr>
                <w:szCs w:val="21"/>
              </w:rPr>
              <w:t>序号</w:t>
            </w:r>
          </w:p>
        </w:tc>
        <w:tc>
          <w:tcPr>
            <w:tcW w:w="1134" w:type="dxa"/>
            <w:vAlign w:val="center"/>
          </w:tcPr>
          <w:p>
            <w:pPr>
              <w:jc w:val="center"/>
              <w:rPr>
                <w:szCs w:val="21"/>
              </w:rPr>
            </w:pPr>
            <w:r>
              <w:rPr>
                <w:szCs w:val="21"/>
              </w:rPr>
              <w:t>标准章条编号</w:t>
            </w:r>
          </w:p>
        </w:tc>
        <w:tc>
          <w:tcPr>
            <w:tcW w:w="3022" w:type="dxa"/>
            <w:vAlign w:val="center"/>
          </w:tcPr>
          <w:p>
            <w:pPr>
              <w:jc w:val="center"/>
              <w:rPr>
                <w:szCs w:val="21"/>
              </w:rPr>
            </w:pPr>
            <w:r>
              <w:rPr>
                <w:szCs w:val="21"/>
              </w:rPr>
              <w:t>意见内容</w:t>
            </w:r>
          </w:p>
        </w:tc>
        <w:tc>
          <w:tcPr>
            <w:tcW w:w="2175" w:type="dxa"/>
            <w:vAlign w:val="center"/>
          </w:tcPr>
          <w:p>
            <w:pPr>
              <w:jc w:val="center"/>
              <w:rPr>
                <w:szCs w:val="21"/>
              </w:rPr>
            </w:pPr>
            <w:r>
              <w:rPr>
                <w:szCs w:val="21"/>
              </w:rPr>
              <w:t>提出单位</w:t>
            </w:r>
          </w:p>
        </w:tc>
        <w:tc>
          <w:tcPr>
            <w:tcW w:w="990" w:type="dxa"/>
            <w:vAlign w:val="center"/>
          </w:tcPr>
          <w:p>
            <w:pPr>
              <w:jc w:val="center"/>
              <w:rPr>
                <w:szCs w:val="21"/>
              </w:rPr>
            </w:pPr>
            <w:r>
              <w:rPr>
                <w:szCs w:val="21"/>
              </w:rPr>
              <w:t>处理意见</w:t>
            </w:r>
          </w:p>
        </w:tc>
        <w:tc>
          <w:tcPr>
            <w:tcW w:w="2249"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50" w:type="dxa"/>
            <w:vAlign w:val="center"/>
          </w:tcPr>
          <w:p>
            <w:pPr>
              <w:jc w:val="center"/>
              <w:rPr>
                <w:szCs w:val="21"/>
              </w:rPr>
            </w:pPr>
            <w:r>
              <w:rPr>
                <w:rFonts w:hint="eastAsia"/>
                <w:szCs w:val="21"/>
              </w:rPr>
              <w:t>1</w:t>
            </w:r>
          </w:p>
        </w:tc>
        <w:tc>
          <w:tcPr>
            <w:tcW w:w="1134" w:type="dxa"/>
            <w:vAlign w:val="center"/>
          </w:tcPr>
          <w:p>
            <w:pPr>
              <w:jc w:val="center"/>
              <w:rPr>
                <w:szCs w:val="21"/>
              </w:rPr>
            </w:pPr>
            <w:r>
              <w:rPr>
                <w:rFonts w:hint="eastAsia"/>
                <w:szCs w:val="21"/>
              </w:rPr>
              <w:t>3</w:t>
            </w:r>
          </w:p>
        </w:tc>
        <w:tc>
          <w:tcPr>
            <w:tcW w:w="3022" w:type="dxa"/>
            <w:vAlign w:val="center"/>
          </w:tcPr>
          <w:p>
            <w:pPr>
              <w:jc w:val="left"/>
              <w:rPr>
                <w:szCs w:val="21"/>
              </w:rPr>
            </w:pPr>
            <w:r>
              <w:rPr>
                <w:szCs w:val="21"/>
              </w:rPr>
              <w:t>GB/T2007.</w:t>
            </w:r>
            <w:r>
              <w:rPr>
                <w:rFonts w:hint="eastAsia"/>
                <w:szCs w:val="21"/>
              </w:rPr>
              <w:t>2的术语和定义是否适用于本文件。</w:t>
            </w:r>
          </w:p>
        </w:tc>
        <w:tc>
          <w:tcPr>
            <w:tcW w:w="2175" w:type="dxa"/>
            <w:vMerge w:val="restart"/>
            <w:vAlign w:val="center"/>
          </w:tcPr>
          <w:p>
            <w:pPr>
              <w:spacing w:beforeLines="50" w:line="360" w:lineRule="auto"/>
              <w:jc w:val="center"/>
              <w:rPr>
                <w:szCs w:val="21"/>
              </w:rPr>
            </w:pPr>
            <w:r>
              <w:rPr>
                <w:rFonts w:hint="eastAsia"/>
                <w:szCs w:val="21"/>
              </w:rPr>
              <w:t>山西北方铜业有限公司</w:t>
            </w:r>
          </w:p>
        </w:tc>
        <w:tc>
          <w:tcPr>
            <w:tcW w:w="990" w:type="dxa"/>
            <w:vAlign w:val="center"/>
          </w:tcPr>
          <w:p>
            <w:pPr>
              <w:jc w:val="center"/>
              <w:rPr>
                <w:szCs w:val="21"/>
              </w:rPr>
            </w:pPr>
          </w:p>
        </w:tc>
        <w:tc>
          <w:tcPr>
            <w:tcW w:w="224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50" w:type="dxa"/>
            <w:vAlign w:val="center"/>
          </w:tcPr>
          <w:p>
            <w:pPr>
              <w:jc w:val="center"/>
              <w:rPr>
                <w:szCs w:val="21"/>
              </w:rPr>
            </w:pPr>
            <w:r>
              <w:rPr>
                <w:rFonts w:hint="eastAsia"/>
                <w:szCs w:val="21"/>
              </w:rPr>
              <w:t>2</w:t>
            </w:r>
          </w:p>
        </w:tc>
        <w:tc>
          <w:tcPr>
            <w:tcW w:w="1134" w:type="dxa"/>
            <w:vAlign w:val="center"/>
          </w:tcPr>
          <w:p>
            <w:pPr>
              <w:jc w:val="center"/>
              <w:rPr>
                <w:szCs w:val="21"/>
              </w:rPr>
            </w:pPr>
            <w:r>
              <w:rPr>
                <w:rFonts w:hint="eastAsia"/>
                <w:szCs w:val="21"/>
              </w:rPr>
              <w:t>6.2.1</w:t>
            </w:r>
          </w:p>
        </w:tc>
        <w:tc>
          <w:tcPr>
            <w:tcW w:w="3022" w:type="dxa"/>
            <w:vAlign w:val="center"/>
          </w:tcPr>
          <w:p>
            <w:pPr>
              <w:jc w:val="left"/>
              <w:rPr>
                <w:szCs w:val="21"/>
              </w:rPr>
            </w:pPr>
            <w:r>
              <w:rPr>
                <w:rFonts w:hint="eastAsia"/>
                <w:szCs w:val="21"/>
              </w:rPr>
              <w:t>试样兼用和重用分成两个来写。重用还是6.2.1的内容。当试样兼用时，由于污泥水分和粘性较大，可以在不高于105℃±5℃的恒温鼓风干燥箱或空气中进行预干燥至制样不发生困难为止。</w:t>
            </w:r>
          </w:p>
        </w:tc>
        <w:tc>
          <w:tcPr>
            <w:tcW w:w="2175" w:type="dxa"/>
            <w:vMerge w:val="continue"/>
          </w:tcPr>
          <w:p>
            <w:pPr>
              <w:spacing w:beforeLines="50" w:line="360" w:lineRule="auto"/>
              <w:rPr>
                <w:szCs w:val="21"/>
              </w:rPr>
            </w:pPr>
          </w:p>
        </w:tc>
        <w:tc>
          <w:tcPr>
            <w:tcW w:w="990" w:type="dxa"/>
            <w:vAlign w:val="center"/>
          </w:tcPr>
          <w:p>
            <w:pPr>
              <w:jc w:val="center"/>
              <w:rPr>
                <w:rFonts w:hint="default" w:eastAsia="宋体"/>
                <w:szCs w:val="21"/>
                <w:lang w:val="en-US" w:eastAsia="zh-CN"/>
              </w:rPr>
            </w:pPr>
            <w:r>
              <w:rPr>
                <w:rFonts w:hint="eastAsia"/>
                <w:szCs w:val="21"/>
                <w:lang w:val="en-US" w:eastAsia="zh-CN"/>
              </w:rPr>
              <w:t>采纳</w:t>
            </w:r>
          </w:p>
        </w:tc>
        <w:tc>
          <w:tcPr>
            <w:tcW w:w="224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050" w:type="dxa"/>
            <w:vAlign w:val="center"/>
          </w:tcPr>
          <w:p>
            <w:pPr>
              <w:jc w:val="center"/>
              <w:rPr>
                <w:szCs w:val="21"/>
              </w:rPr>
            </w:pPr>
            <w:r>
              <w:rPr>
                <w:rFonts w:hint="eastAsia"/>
                <w:szCs w:val="21"/>
              </w:rPr>
              <w:t>3</w:t>
            </w:r>
          </w:p>
        </w:tc>
        <w:tc>
          <w:tcPr>
            <w:tcW w:w="1134" w:type="dxa"/>
            <w:vAlign w:val="center"/>
          </w:tcPr>
          <w:p>
            <w:pPr>
              <w:jc w:val="center"/>
              <w:rPr>
                <w:szCs w:val="21"/>
              </w:rPr>
            </w:pPr>
            <w:r>
              <w:rPr>
                <w:rFonts w:hint="eastAsia"/>
                <w:szCs w:val="21"/>
              </w:rPr>
              <w:t>6.4.1</w:t>
            </w:r>
          </w:p>
        </w:tc>
        <w:tc>
          <w:tcPr>
            <w:tcW w:w="3022" w:type="dxa"/>
            <w:vAlign w:val="center"/>
          </w:tcPr>
          <w:p>
            <w:pPr>
              <w:jc w:val="left"/>
              <w:rPr>
                <w:szCs w:val="21"/>
              </w:rPr>
            </w:pPr>
            <w:r>
              <w:rPr>
                <w:rFonts w:hint="eastAsia"/>
                <w:szCs w:val="21"/>
              </w:rPr>
              <w:t>最后增加一句：如果缩分后的试样质量小于所需质量，应增加每铲的质量或网格数。</w:t>
            </w:r>
          </w:p>
        </w:tc>
        <w:tc>
          <w:tcPr>
            <w:tcW w:w="2175" w:type="dxa"/>
            <w:vMerge w:val="continue"/>
          </w:tcPr>
          <w:p>
            <w:pPr>
              <w:spacing w:beforeLines="50" w:line="360" w:lineRule="auto"/>
              <w:rPr>
                <w:szCs w:val="21"/>
              </w:rPr>
            </w:pPr>
          </w:p>
        </w:tc>
        <w:tc>
          <w:tcPr>
            <w:tcW w:w="990" w:type="dxa"/>
            <w:vAlign w:val="center"/>
          </w:tcPr>
          <w:p>
            <w:pPr>
              <w:jc w:val="center"/>
              <w:rPr>
                <w:rFonts w:hint="eastAsia" w:eastAsia="宋体"/>
                <w:szCs w:val="21"/>
                <w:lang w:val="en-US" w:eastAsia="zh-CN"/>
              </w:rPr>
            </w:pPr>
            <w:r>
              <w:rPr>
                <w:rFonts w:hint="eastAsia"/>
                <w:szCs w:val="21"/>
                <w:lang w:val="en-US" w:eastAsia="zh-CN"/>
              </w:rPr>
              <w:t>采纳</w:t>
            </w:r>
          </w:p>
        </w:tc>
        <w:tc>
          <w:tcPr>
            <w:tcW w:w="224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050" w:type="dxa"/>
            <w:vAlign w:val="center"/>
          </w:tcPr>
          <w:p>
            <w:pPr>
              <w:jc w:val="center"/>
              <w:rPr>
                <w:szCs w:val="21"/>
              </w:rPr>
            </w:pPr>
            <w:r>
              <w:rPr>
                <w:rFonts w:hint="eastAsia"/>
                <w:szCs w:val="21"/>
              </w:rPr>
              <w:t>4</w:t>
            </w:r>
          </w:p>
        </w:tc>
        <w:tc>
          <w:tcPr>
            <w:tcW w:w="1134" w:type="dxa"/>
            <w:vAlign w:val="center"/>
          </w:tcPr>
          <w:p>
            <w:pPr>
              <w:jc w:val="center"/>
              <w:rPr>
                <w:szCs w:val="21"/>
              </w:rPr>
            </w:pPr>
            <w:r>
              <w:rPr>
                <w:rFonts w:hint="eastAsia"/>
                <w:szCs w:val="21"/>
              </w:rPr>
              <w:t>7.4.2</w:t>
            </w:r>
          </w:p>
        </w:tc>
        <w:tc>
          <w:tcPr>
            <w:tcW w:w="3022" w:type="dxa"/>
            <w:vAlign w:val="center"/>
          </w:tcPr>
          <w:p>
            <w:pPr>
              <w:jc w:val="left"/>
              <w:rPr>
                <w:szCs w:val="21"/>
              </w:rPr>
            </w:pPr>
            <w:r>
              <w:rPr>
                <w:rFonts w:hint="eastAsia"/>
                <w:szCs w:val="21"/>
              </w:rPr>
              <w:t>水分平行样之间差值不大于0.5%，改为应不大于。</w:t>
            </w:r>
          </w:p>
        </w:tc>
        <w:tc>
          <w:tcPr>
            <w:tcW w:w="2175" w:type="dxa"/>
            <w:vMerge w:val="continue"/>
          </w:tcPr>
          <w:p>
            <w:pPr>
              <w:spacing w:beforeLines="50" w:line="360" w:lineRule="auto"/>
              <w:rPr>
                <w:szCs w:val="21"/>
              </w:rPr>
            </w:pPr>
          </w:p>
        </w:tc>
        <w:tc>
          <w:tcPr>
            <w:tcW w:w="990" w:type="dxa"/>
            <w:vAlign w:val="center"/>
          </w:tcPr>
          <w:p>
            <w:pPr>
              <w:jc w:val="center"/>
              <w:rPr>
                <w:rFonts w:hint="eastAsia" w:eastAsia="宋体"/>
                <w:szCs w:val="21"/>
                <w:lang w:val="en-US" w:eastAsia="zh-CN"/>
              </w:rPr>
            </w:pPr>
            <w:r>
              <w:rPr>
                <w:rFonts w:hint="eastAsia"/>
                <w:szCs w:val="21"/>
                <w:lang w:val="en-US" w:eastAsia="zh-CN"/>
              </w:rPr>
              <w:t>采纳</w:t>
            </w:r>
          </w:p>
        </w:tc>
        <w:tc>
          <w:tcPr>
            <w:tcW w:w="224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50" w:type="dxa"/>
            <w:vAlign w:val="center"/>
          </w:tcPr>
          <w:p>
            <w:pPr>
              <w:jc w:val="center"/>
              <w:rPr>
                <w:szCs w:val="21"/>
              </w:rPr>
            </w:pPr>
            <w:r>
              <w:rPr>
                <w:rFonts w:hint="eastAsia"/>
                <w:szCs w:val="21"/>
              </w:rPr>
              <w:t>5</w:t>
            </w:r>
          </w:p>
        </w:tc>
        <w:tc>
          <w:tcPr>
            <w:tcW w:w="1134" w:type="dxa"/>
            <w:vAlign w:val="center"/>
          </w:tcPr>
          <w:p>
            <w:pPr>
              <w:jc w:val="center"/>
              <w:rPr>
                <w:szCs w:val="21"/>
              </w:rPr>
            </w:pPr>
            <w:r>
              <w:rPr>
                <w:rFonts w:hint="eastAsia"/>
                <w:szCs w:val="21"/>
              </w:rPr>
              <w:t>8</w:t>
            </w:r>
          </w:p>
        </w:tc>
        <w:tc>
          <w:tcPr>
            <w:tcW w:w="3022" w:type="dxa"/>
            <w:vAlign w:val="center"/>
          </w:tcPr>
          <w:p>
            <w:pPr>
              <w:jc w:val="left"/>
              <w:rPr>
                <w:szCs w:val="21"/>
              </w:rPr>
            </w:pPr>
            <w:r>
              <w:rPr>
                <w:rFonts w:hint="eastAsia"/>
                <w:szCs w:val="21"/>
              </w:rPr>
              <w:t>应增加对试样袋的要求，防止试样变质。因为有些污泥中含酸，会吸收水分。</w:t>
            </w:r>
          </w:p>
        </w:tc>
        <w:tc>
          <w:tcPr>
            <w:tcW w:w="2175" w:type="dxa"/>
            <w:vMerge w:val="continue"/>
          </w:tcPr>
          <w:p>
            <w:pPr>
              <w:spacing w:beforeLines="50" w:line="360" w:lineRule="auto"/>
              <w:rPr>
                <w:szCs w:val="21"/>
              </w:rPr>
            </w:pPr>
          </w:p>
        </w:tc>
        <w:tc>
          <w:tcPr>
            <w:tcW w:w="990" w:type="dxa"/>
            <w:vAlign w:val="center"/>
          </w:tcPr>
          <w:p>
            <w:pPr>
              <w:jc w:val="center"/>
              <w:rPr>
                <w:rFonts w:hint="eastAsia" w:eastAsia="宋体"/>
                <w:szCs w:val="21"/>
                <w:lang w:val="en-US" w:eastAsia="zh-CN"/>
              </w:rPr>
            </w:pPr>
            <w:r>
              <w:rPr>
                <w:rFonts w:hint="eastAsia"/>
                <w:szCs w:val="21"/>
                <w:lang w:val="en-US" w:eastAsia="zh-CN"/>
              </w:rPr>
              <w:t>不采纳</w:t>
            </w:r>
          </w:p>
        </w:tc>
        <w:tc>
          <w:tcPr>
            <w:tcW w:w="2249" w:type="dxa"/>
            <w:vAlign w:val="center"/>
          </w:tcPr>
          <w:p>
            <w:pPr>
              <w:jc w:val="center"/>
              <w:rPr>
                <w:rFonts w:hint="default" w:eastAsia="宋体"/>
                <w:szCs w:val="21"/>
                <w:lang w:val="en-US" w:eastAsia="zh-CN"/>
              </w:rPr>
            </w:pPr>
            <w:r>
              <w:rPr>
                <w:rFonts w:hint="eastAsia"/>
                <w:szCs w:val="21"/>
                <w:lang w:val="en-US" w:eastAsia="zh-CN"/>
              </w:rPr>
              <w:t>6.2.3条款中一堆样品包装做出要求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050" w:type="dxa"/>
            <w:vAlign w:val="center"/>
          </w:tcPr>
          <w:p>
            <w:pPr>
              <w:jc w:val="center"/>
              <w:rPr>
                <w:szCs w:val="21"/>
              </w:rPr>
            </w:pPr>
            <w:r>
              <w:rPr>
                <w:rFonts w:hint="eastAsia"/>
                <w:szCs w:val="21"/>
              </w:rPr>
              <w:t>6</w:t>
            </w:r>
          </w:p>
        </w:tc>
        <w:tc>
          <w:tcPr>
            <w:tcW w:w="1134" w:type="dxa"/>
            <w:vAlign w:val="center"/>
          </w:tcPr>
          <w:p>
            <w:pPr>
              <w:jc w:val="center"/>
              <w:rPr>
                <w:rFonts w:hint="default" w:eastAsia="宋体"/>
                <w:szCs w:val="21"/>
                <w:lang w:val="en-US" w:eastAsia="zh-CN"/>
              </w:rPr>
            </w:pPr>
            <w:r>
              <w:rPr>
                <w:rFonts w:hint="eastAsia"/>
                <w:szCs w:val="21"/>
                <w:lang w:val="en-US" w:eastAsia="zh-CN"/>
              </w:rPr>
              <w:t>6.2.2</w:t>
            </w:r>
          </w:p>
        </w:tc>
        <w:tc>
          <w:tcPr>
            <w:tcW w:w="3022" w:type="dxa"/>
            <w:vAlign w:val="center"/>
          </w:tcPr>
          <w:p>
            <w:pPr>
              <w:jc w:val="left"/>
              <w:rPr>
                <w:color w:val="000000"/>
                <w:spacing w:val="6"/>
              </w:rPr>
            </w:pPr>
            <w:r>
              <w:rPr>
                <w:rFonts w:hint="eastAsia"/>
                <w:szCs w:val="21"/>
              </w:rPr>
              <w:t>由于含铜污泥的特殊性，是否存在样品不能</w:t>
            </w:r>
            <w:r>
              <w:rPr>
                <w:rFonts w:hint="eastAsia"/>
              </w:rPr>
              <w:t>全量自由通过0.098mm标准筛，样品分筛上筛下。</w:t>
            </w:r>
          </w:p>
        </w:tc>
        <w:tc>
          <w:tcPr>
            <w:tcW w:w="2175" w:type="dxa"/>
          </w:tcPr>
          <w:p>
            <w:pPr>
              <w:spacing w:beforeLines="50" w:line="360" w:lineRule="auto"/>
              <w:rPr>
                <w:szCs w:val="21"/>
              </w:rPr>
            </w:pPr>
            <w:r>
              <w:rPr>
                <w:rFonts w:hint="eastAsia"/>
                <w:szCs w:val="21"/>
                <w:lang w:val="en-US" w:eastAsia="zh-CN"/>
              </w:rPr>
              <w:t>龙南骏亚电子科技有限公司</w:t>
            </w:r>
          </w:p>
        </w:tc>
        <w:tc>
          <w:tcPr>
            <w:tcW w:w="990" w:type="dxa"/>
            <w:vAlign w:val="center"/>
          </w:tcPr>
          <w:p>
            <w:pPr>
              <w:jc w:val="center"/>
              <w:rPr>
                <w:rFonts w:hint="eastAsia" w:eastAsia="宋体"/>
                <w:szCs w:val="21"/>
                <w:lang w:val="en-US" w:eastAsia="zh-CN"/>
              </w:rPr>
            </w:pPr>
            <w:r>
              <w:rPr>
                <w:rFonts w:hint="eastAsia"/>
                <w:szCs w:val="21"/>
                <w:lang w:val="en-US" w:eastAsia="zh-CN"/>
              </w:rPr>
              <w:t>不采纳</w:t>
            </w:r>
          </w:p>
        </w:tc>
        <w:tc>
          <w:tcPr>
            <w:tcW w:w="2249" w:type="dxa"/>
            <w:vAlign w:val="center"/>
          </w:tcPr>
          <w:p>
            <w:pPr>
              <w:jc w:val="center"/>
              <w:rPr>
                <w:rFonts w:hint="default" w:eastAsia="宋体"/>
                <w:szCs w:val="21"/>
                <w:lang w:val="en-US" w:eastAsia="zh-CN"/>
              </w:rPr>
            </w:pPr>
            <w:r>
              <w:rPr>
                <w:rFonts w:hint="eastAsia"/>
                <w:szCs w:val="21"/>
                <w:lang w:val="en-US" w:eastAsia="zh-CN"/>
              </w:rPr>
              <w:t>污泥可全量通过0.098mm筛，除非特殊情况，但这种情况发生概率较低。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1050" w:type="dxa"/>
            <w:vAlign w:val="center"/>
          </w:tcPr>
          <w:p>
            <w:pPr>
              <w:jc w:val="center"/>
              <w:rPr>
                <w:szCs w:val="21"/>
              </w:rPr>
            </w:pPr>
            <w:r>
              <w:rPr>
                <w:rFonts w:hint="eastAsia"/>
                <w:szCs w:val="21"/>
              </w:rPr>
              <w:t>7</w:t>
            </w:r>
          </w:p>
        </w:tc>
        <w:tc>
          <w:tcPr>
            <w:tcW w:w="1134" w:type="dxa"/>
            <w:vAlign w:val="center"/>
          </w:tcPr>
          <w:p>
            <w:pPr>
              <w:jc w:val="center"/>
              <w:rPr>
                <w:rFonts w:hint="eastAsia" w:eastAsia="宋体"/>
                <w:szCs w:val="21"/>
                <w:highlight w:val="yellow"/>
                <w:lang w:val="en-US" w:eastAsia="zh-CN"/>
              </w:rPr>
            </w:pPr>
            <w:r>
              <w:rPr>
                <w:rFonts w:hint="eastAsia"/>
                <w:szCs w:val="21"/>
                <w:highlight w:val="none"/>
                <w:lang w:val="en-US" w:eastAsia="zh-CN"/>
              </w:rPr>
              <w:t>封面</w:t>
            </w:r>
          </w:p>
        </w:tc>
        <w:tc>
          <w:tcPr>
            <w:tcW w:w="3022" w:type="dxa"/>
            <w:vAlign w:val="center"/>
          </w:tcPr>
          <w:p>
            <w:pPr>
              <w:jc w:val="left"/>
              <w:rPr>
                <w:rFonts w:hint="default" w:eastAsia="宋体"/>
                <w:szCs w:val="21"/>
                <w:lang w:val="en-US" w:eastAsia="zh-CN"/>
              </w:rPr>
            </w:pPr>
            <w:r>
              <w:rPr>
                <w:rFonts w:hint="eastAsia"/>
                <w:szCs w:val="21"/>
              </w:rPr>
              <w:t>methods for sampling and sample preparation of copper-tontaining sludge</w:t>
            </w:r>
            <w:r>
              <w:rPr>
                <w:rFonts w:hint="eastAsia"/>
                <w:szCs w:val="21"/>
                <w:lang w:val="en-US" w:eastAsia="zh-CN"/>
              </w:rPr>
              <w:t>英文翻译应该为M</w:t>
            </w:r>
            <w:r>
              <w:rPr>
                <w:rFonts w:hint="eastAsia"/>
                <w:szCs w:val="21"/>
              </w:rPr>
              <w:t>ethods for sampling and sample preparation of copper-</w:t>
            </w:r>
            <w:r>
              <w:rPr>
                <w:rFonts w:hint="eastAsia"/>
                <w:szCs w:val="21"/>
                <w:lang w:val="en-US" w:eastAsia="zh-CN"/>
              </w:rPr>
              <w:t>c</w:t>
            </w:r>
            <w:r>
              <w:rPr>
                <w:rFonts w:hint="eastAsia"/>
                <w:szCs w:val="21"/>
              </w:rPr>
              <w:t>ontaining sludge</w:t>
            </w:r>
          </w:p>
        </w:tc>
        <w:tc>
          <w:tcPr>
            <w:tcW w:w="2175" w:type="dxa"/>
          </w:tcPr>
          <w:p>
            <w:pPr>
              <w:spacing w:beforeLines="50" w:line="360" w:lineRule="auto"/>
              <w:rPr>
                <w:rFonts w:hint="default" w:eastAsia="宋体"/>
                <w:szCs w:val="21"/>
                <w:lang w:val="en-US" w:eastAsia="zh-CN"/>
              </w:rPr>
            </w:pPr>
            <w:r>
              <w:rPr>
                <w:rFonts w:hint="eastAsia"/>
                <w:szCs w:val="21"/>
                <w:lang w:val="en-US" w:eastAsia="zh-CN"/>
              </w:rPr>
              <w:t>昆明理工大学</w:t>
            </w:r>
          </w:p>
        </w:tc>
        <w:tc>
          <w:tcPr>
            <w:tcW w:w="990" w:type="dxa"/>
            <w:vAlign w:val="center"/>
          </w:tcPr>
          <w:p>
            <w:pPr>
              <w:jc w:val="center"/>
              <w:rPr>
                <w:rFonts w:hint="eastAsia" w:eastAsia="宋体"/>
                <w:szCs w:val="21"/>
                <w:lang w:val="en-US" w:eastAsia="zh-CN"/>
              </w:rPr>
            </w:pPr>
            <w:r>
              <w:rPr>
                <w:rFonts w:hint="eastAsia"/>
                <w:szCs w:val="21"/>
                <w:lang w:val="en-US" w:eastAsia="zh-CN"/>
              </w:rPr>
              <w:t>采纳</w:t>
            </w:r>
          </w:p>
        </w:tc>
        <w:tc>
          <w:tcPr>
            <w:tcW w:w="224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szCs w:val="21"/>
              </w:rPr>
            </w:pPr>
            <w:r>
              <w:rPr>
                <w:rFonts w:hint="eastAsia"/>
                <w:szCs w:val="21"/>
              </w:rPr>
              <w:t>8</w:t>
            </w:r>
          </w:p>
        </w:tc>
        <w:tc>
          <w:tcPr>
            <w:tcW w:w="1134" w:type="dxa"/>
            <w:vAlign w:val="center"/>
          </w:tcPr>
          <w:p>
            <w:pPr>
              <w:jc w:val="center"/>
              <w:rPr>
                <w:rFonts w:hint="default" w:eastAsia="宋体"/>
                <w:szCs w:val="21"/>
                <w:lang w:val="en-US" w:eastAsia="zh-CN"/>
              </w:rPr>
            </w:pPr>
            <w:r>
              <w:rPr>
                <w:rFonts w:hint="eastAsia"/>
                <w:szCs w:val="21"/>
                <w:lang w:val="en-US" w:eastAsia="zh-CN"/>
              </w:rPr>
              <w:t>4.2</w:t>
            </w:r>
          </w:p>
        </w:tc>
        <w:tc>
          <w:tcPr>
            <w:tcW w:w="3022" w:type="dxa"/>
            <w:vAlign w:val="center"/>
          </w:tcPr>
          <w:p>
            <w:pPr>
              <w:jc w:val="left"/>
              <w:rPr>
                <w:rFonts w:hint="default"/>
                <w:szCs w:val="21"/>
                <w:lang w:val="en-US"/>
              </w:rPr>
            </w:pPr>
            <w:r>
              <w:rPr>
                <w:rFonts w:hint="eastAsia" w:asciiTheme="minorEastAsia" w:hAnsiTheme="minorEastAsia" w:cstheme="minorEastAsia"/>
                <w:bCs/>
                <w:szCs w:val="21"/>
                <w:lang w:val="en-US" w:eastAsia="zh-CN"/>
              </w:rPr>
              <w:t>建议“</w:t>
            </w:r>
            <w:r>
              <w:rPr>
                <w:rFonts w:hint="eastAsia" w:asciiTheme="minorEastAsia" w:hAnsiTheme="minorEastAsia" w:cstheme="minorEastAsia"/>
                <w:bCs/>
                <w:szCs w:val="21"/>
              </w:rPr>
              <w:t>含铜污泥的检验元素按供需双方约定的项目确定以及国</w:t>
            </w:r>
            <w:r>
              <w:rPr>
                <w:rFonts w:hint="eastAsia" w:asciiTheme="minorEastAsia" w:hAnsiTheme="minorEastAsia" w:cstheme="minorEastAsia"/>
                <w:bCs/>
                <w:szCs w:val="21"/>
                <w:highlight w:val="none"/>
              </w:rPr>
              <w:t>家和地方规定的检测元素要求</w:t>
            </w:r>
            <w:r>
              <w:rPr>
                <w:rFonts w:hint="eastAsia" w:asciiTheme="minorEastAsia" w:hAnsiTheme="minorEastAsia" w:cstheme="minorEastAsia"/>
                <w:bCs/>
                <w:szCs w:val="21"/>
                <w:highlight w:val="none"/>
                <w:lang w:val="en-US" w:eastAsia="zh-CN"/>
              </w:rPr>
              <w:t>”改为“</w:t>
            </w:r>
            <w:r>
              <w:rPr>
                <w:rFonts w:hint="eastAsia" w:asciiTheme="minorEastAsia" w:hAnsiTheme="minorEastAsia" w:cstheme="minorEastAsia"/>
                <w:bCs/>
                <w:szCs w:val="21"/>
                <w:highlight w:val="none"/>
              </w:rPr>
              <w:t>含铜污泥的检验元素按供需双方约定的项目以及国家和地方规定的检测元素进行确定</w:t>
            </w:r>
            <w:r>
              <w:rPr>
                <w:rFonts w:hint="eastAsia" w:asciiTheme="minorEastAsia" w:hAnsiTheme="minorEastAsia" w:cstheme="minorEastAsia"/>
                <w:bCs/>
                <w:szCs w:val="21"/>
                <w:highlight w:val="none"/>
                <w:lang w:val="en-US" w:eastAsia="zh-CN"/>
              </w:rPr>
              <w:t>”</w:t>
            </w:r>
          </w:p>
        </w:tc>
        <w:tc>
          <w:tcPr>
            <w:tcW w:w="2175" w:type="dxa"/>
          </w:tcPr>
          <w:p>
            <w:pPr>
              <w:spacing w:beforeLines="50" w:line="360" w:lineRule="auto"/>
              <w:rPr>
                <w:rFonts w:hint="default" w:eastAsia="宋体"/>
                <w:szCs w:val="21"/>
                <w:lang w:val="en-US" w:eastAsia="zh-CN"/>
              </w:rPr>
            </w:pPr>
            <w:r>
              <w:rPr>
                <w:rFonts w:hint="eastAsia"/>
                <w:szCs w:val="21"/>
                <w:lang w:val="en-US" w:eastAsia="zh-CN"/>
              </w:rPr>
              <w:t>昆明理工大学</w:t>
            </w:r>
          </w:p>
        </w:tc>
        <w:tc>
          <w:tcPr>
            <w:tcW w:w="990" w:type="dxa"/>
            <w:vAlign w:val="center"/>
          </w:tcPr>
          <w:p>
            <w:pPr>
              <w:jc w:val="center"/>
              <w:rPr>
                <w:rFonts w:hint="eastAsia" w:eastAsia="宋体"/>
                <w:szCs w:val="21"/>
                <w:lang w:val="en-US" w:eastAsia="zh-CN"/>
              </w:rPr>
            </w:pPr>
            <w:r>
              <w:rPr>
                <w:rFonts w:hint="eastAsia"/>
                <w:szCs w:val="21"/>
                <w:lang w:val="en-US" w:eastAsia="zh-CN"/>
              </w:rPr>
              <w:t>采纳</w:t>
            </w:r>
          </w:p>
        </w:tc>
        <w:tc>
          <w:tcPr>
            <w:tcW w:w="224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eastAsia" w:eastAsia="宋体"/>
                <w:szCs w:val="21"/>
                <w:lang w:val="en-US" w:eastAsia="zh-CN"/>
              </w:rPr>
            </w:pPr>
            <w:r>
              <w:rPr>
                <w:rFonts w:hint="eastAsia"/>
                <w:szCs w:val="21"/>
                <w:lang w:val="en-US" w:eastAsia="zh-CN"/>
              </w:rPr>
              <w:t>9</w:t>
            </w:r>
          </w:p>
        </w:tc>
        <w:tc>
          <w:tcPr>
            <w:tcW w:w="1134" w:type="dxa"/>
            <w:vAlign w:val="center"/>
          </w:tcPr>
          <w:p>
            <w:pPr>
              <w:jc w:val="center"/>
              <w:rPr>
                <w:rFonts w:hint="default"/>
                <w:szCs w:val="21"/>
                <w:lang w:val="en-US" w:eastAsia="zh-CN"/>
              </w:rPr>
            </w:pPr>
            <w:r>
              <w:rPr>
                <w:rFonts w:hint="eastAsia"/>
                <w:szCs w:val="21"/>
                <w:lang w:val="en-US" w:eastAsia="zh-CN"/>
              </w:rPr>
              <w:t>4.3</w:t>
            </w:r>
          </w:p>
        </w:tc>
        <w:tc>
          <w:tcPr>
            <w:tcW w:w="3022" w:type="dxa"/>
            <w:vAlign w:val="center"/>
          </w:tcPr>
          <w:p>
            <w:pPr>
              <w:jc w:val="left"/>
              <w:rPr>
                <w:rFonts w:hint="default" w:eastAsia="宋体" w:asciiTheme="minorEastAsia" w:hAnsiTheme="minorEastAsia" w:cstheme="minorEastAsia"/>
                <w:bCs/>
                <w:szCs w:val="21"/>
                <w:lang w:val="en-US" w:eastAsia="zh-CN"/>
              </w:rPr>
            </w:pPr>
            <w:r>
              <w:rPr>
                <w:rFonts w:hint="eastAsia" w:asciiTheme="minorEastAsia" w:hAnsiTheme="minorEastAsia" w:cstheme="minorEastAsia"/>
                <w:bCs/>
                <w:szCs w:val="21"/>
              </w:rPr>
              <w:t>含铜污泥运输应满足防雨、防渗漏、防泼撒或其他防止污染环境的要求</w:t>
            </w:r>
            <w:r>
              <w:rPr>
                <w:rFonts w:hint="eastAsia" w:asciiTheme="minorEastAsia" w:hAnsiTheme="minorEastAsia" w:cstheme="minorEastAsia"/>
                <w:bCs/>
                <w:szCs w:val="21"/>
                <w:lang w:val="en-US" w:eastAsia="zh-CN"/>
              </w:rPr>
              <w:t>中的“或”是够应改成“及”。</w:t>
            </w:r>
          </w:p>
        </w:tc>
        <w:tc>
          <w:tcPr>
            <w:tcW w:w="2175" w:type="dxa"/>
          </w:tcPr>
          <w:p>
            <w:pPr>
              <w:spacing w:beforeLines="50" w:line="360" w:lineRule="auto"/>
              <w:rPr>
                <w:rFonts w:hint="default"/>
                <w:szCs w:val="21"/>
                <w:lang w:val="en-US" w:eastAsia="zh-CN"/>
              </w:rPr>
            </w:pPr>
            <w:r>
              <w:rPr>
                <w:rFonts w:hint="eastAsia"/>
                <w:szCs w:val="21"/>
                <w:lang w:val="en-US" w:eastAsia="zh-CN"/>
              </w:rPr>
              <w:t>昆明理工大学</w:t>
            </w:r>
          </w:p>
        </w:tc>
        <w:tc>
          <w:tcPr>
            <w:tcW w:w="990" w:type="dxa"/>
            <w:vAlign w:val="center"/>
          </w:tcPr>
          <w:p>
            <w:pPr>
              <w:jc w:val="center"/>
              <w:rPr>
                <w:rFonts w:hint="default"/>
                <w:szCs w:val="21"/>
                <w:lang w:val="en-US" w:eastAsia="zh-CN"/>
              </w:rPr>
            </w:pPr>
            <w:r>
              <w:rPr>
                <w:rFonts w:hint="eastAsia"/>
                <w:szCs w:val="21"/>
                <w:lang w:val="en-US" w:eastAsia="zh-CN"/>
              </w:rPr>
              <w:t>采纳</w:t>
            </w:r>
          </w:p>
        </w:tc>
        <w:tc>
          <w:tcPr>
            <w:tcW w:w="224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50" w:type="dxa"/>
            <w:vAlign w:val="center"/>
          </w:tcPr>
          <w:p>
            <w:pPr>
              <w:jc w:val="center"/>
              <w:rPr>
                <w:rFonts w:hint="default" w:eastAsia="宋体"/>
                <w:szCs w:val="21"/>
                <w:lang w:val="en-US" w:eastAsia="zh-CN"/>
              </w:rPr>
            </w:pPr>
            <w:r>
              <w:rPr>
                <w:rFonts w:hint="eastAsia"/>
                <w:szCs w:val="21"/>
                <w:lang w:val="en-US" w:eastAsia="zh-CN"/>
              </w:rPr>
              <w:t>10</w:t>
            </w:r>
          </w:p>
        </w:tc>
        <w:tc>
          <w:tcPr>
            <w:tcW w:w="1134" w:type="dxa"/>
            <w:vAlign w:val="center"/>
          </w:tcPr>
          <w:p>
            <w:pPr>
              <w:jc w:val="center"/>
              <w:rPr>
                <w:rFonts w:hint="default" w:eastAsia="宋体"/>
                <w:szCs w:val="21"/>
                <w:lang w:val="en-US" w:eastAsia="zh-CN"/>
              </w:rPr>
            </w:pPr>
            <w:r>
              <w:rPr>
                <w:rFonts w:hint="eastAsia"/>
                <w:szCs w:val="21"/>
                <w:lang w:val="en-US" w:eastAsia="zh-CN"/>
              </w:rPr>
              <w:t>5.1.1</w:t>
            </w:r>
          </w:p>
        </w:tc>
        <w:tc>
          <w:tcPr>
            <w:tcW w:w="3022" w:type="dxa"/>
            <w:vAlign w:val="center"/>
          </w:tcPr>
          <w:p>
            <w:pPr>
              <w:jc w:val="left"/>
              <w:rPr>
                <w:rFonts w:hint="default" w:eastAsia="宋体"/>
                <w:color w:val="000000"/>
                <w:spacing w:val="6"/>
                <w:lang w:val="en-US" w:eastAsia="zh-CN"/>
              </w:rPr>
            </w:pPr>
            <w:r>
              <w:rPr>
                <w:rFonts w:hint="eastAsia"/>
                <w:color w:val="000000"/>
                <w:spacing w:val="6"/>
                <w:lang w:val="en-US" w:eastAsia="zh-CN"/>
              </w:rPr>
              <w:t>应增加：取样钎 其规格尺寸见图1</w:t>
            </w:r>
          </w:p>
        </w:tc>
        <w:tc>
          <w:tcPr>
            <w:tcW w:w="2175" w:type="dxa"/>
            <w:vAlign w:val="center"/>
          </w:tcPr>
          <w:p>
            <w:pPr>
              <w:jc w:val="left"/>
              <w:rPr>
                <w:rFonts w:hint="default" w:eastAsia="宋体"/>
                <w:szCs w:val="21"/>
                <w:lang w:val="en-US" w:eastAsia="zh-CN"/>
              </w:rPr>
            </w:pPr>
            <w:r>
              <w:rPr>
                <w:rFonts w:hint="eastAsia"/>
                <w:szCs w:val="21"/>
                <w:lang w:val="en-US" w:eastAsia="zh-CN"/>
              </w:rPr>
              <w:t>昆明理工大学</w:t>
            </w:r>
          </w:p>
        </w:tc>
        <w:tc>
          <w:tcPr>
            <w:tcW w:w="990" w:type="dxa"/>
            <w:vAlign w:val="center"/>
          </w:tcPr>
          <w:p>
            <w:pPr>
              <w:jc w:val="center"/>
              <w:rPr>
                <w:rFonts w:hint="eastAsia" w:eastAsia="宋体"/>
                <w:szCs w:val="21"/>
                <w:lang w:val="en-US" w:eastAsia="zh-CN"/>
              </w:rPr>
            </w:pPr>
            <w:r>
              <w:rPr>
                <w:rFonts w:hint="eastAsia"/>
                <w:szCs w:val="21"/>
                <w:lang w:val="en-US" w:eastAsia="zh-CN"/>
              </w:rPr>
              <w:t>采纳</w:t>
            </w:r>
          </w:p>
        </w:tc>
        <w:tc>
          <w:tcPr>
            <w:tcW w:w="224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050" w:type="dxa"/>
            <w:vAlign w:val="center"/>
          </w:tcPr>
          <w:p>
            <w:pPr>
              <w:jc w:val="center"/>
              <w:rPr>
                <w:rFonts w:hint="default" w:eastAsia="宋体"/>
                <w:szCs w:val="21"/>
                <w:lang w:val="en-US" w:eastAsia="zh-CN"/>
              </w:rPr>
            </w:pPr>
            <w:r>
              <w:rPr>
                <w:rFonts w:hint="eastAsia"/>
                <w:szCs w:val="21"/>
                <w:lang w:val="en-US" w:eastAsia="zh-CN"/>
              </w:rPr>
              <w:t>11</w:t>
            </w:r>
          </w:p>
        </w:tc>
        <w:tc>
          <w:tcPr>
            <w:tcW w:w="1134" w:type="dxa"/>
            <w:vAlign w:val="center"/>
          </w:tcPr>
          <w:p>
            <w:pPr>
              <w:jc w:val="center"/>
              <w:rPr>
                <w:rFonts w:hint="default"/>
                <w:szCs w:val="21"/>
                <w:lang w:val="en-US" w:eastAsia="zh-CN"/>
              </w:rPr>
            </w:pPr>
            <w:r>
              <w:rPr>
                <w:rFonts w:hint="eastAsia"/>
                <w:szCs w:val="21"/>
                <w:lang w:val="en-US" w:eastAsia="zh-CN"/>
              </w:rPr>
              <w:t>5.2.1</w:t>
            </w:r>
          </w:p>
        </w:tc>
        <w:tc>
          <w:tcPr>
            <w:tcW w:w="3022" w:type="dxa"/>
            <w:vAlign w:val="center"/>
          </w:tcPr>
          <w:p>
            <w:pPr>
              <w:jc w:val="left"/>
              <w:rPr>
                <w:rFonts w:hint="default"/>
                <w:color w:val="000000"/>
                <w:spacing w:val="6"/>
                <w:lang w:val="en-US" w:eastAsia="zh-CN"/>
              </w:rPr>
            </w:pPr>
            <w:r>
              <w:rPr>
                <w:rFonts w:hint="eastAsia"/>
                <w:lang w:val="en-US" w:eastAsia="zh-CN"/>
              </w:rPr>
              <w:t>建议将“</w:t>
            </w:r>
            <w:r>
              <w:rPr>
                <w:rFonts w:hint="eastAsia"/>
              </w:rPr>
              <w:t>以同一供货单位、同一来</w:t>
            </w:r>
            <w:r>
              <w:rPr>
                <w:rFonts w:hint="eastAsia"/>
                <w:highlight w:val="none"/>
              </w:rPr>
              <w:t>源、同一品级，总量不超过30吨为一个检验批</w:t>
            </w:r>
            <w:r>
              <w:rPr>
                <w:rFonts w:hint="eastAsia"/>
                <w:highlight w:val="none"/>
                <w:lang w:val="en-US" w:eastAsia="zh-CN"/>
              </w:rPr>
              <w:t>”改为“</w:t>
            </w:r>
            <w:r>
              <w:rPr>
                <w:rFonts w:hint="eastAsia"/>
                <w:highlight w:val="none"/>
              </w:rPr>
              <w:t>每个批次总量不大于30t，同一批次应为同一供货单位、同一来源、同一品级的含铜污泥组成。”</w:t>
            </w:r>
          </w:p>
        </w:tc>
        <w:tc>
          <w:tcPr>
            <w:tcW w:w="2175" w:type="dxa"/>
            <w:vAlign w:val="center"/>
          </w:tcPr>
          <w:p>
            <w:pPr>
              <w:jc w:val="left"/>
              <w:rPr>
                <w:rFonts w:hint="eastAsia"/>
                <w:szCs w:val="21"/>
                <w:lang w:val="en-US" w:eastAsia="zh-CN"/>
              </w:rPr>
            </w:pPr>
            <w:r>
              <w:rPr>
                <w:rFonts w:hint="eastAsia"/>
                <w:szCs w:val="21"/>
                <w:lang w:val="en-US" w:eastAsia="zh-CN"/>
              </w:rPr>
              <w:t>昆明理工大学</w:t>
            </w:r>
          </w:p>
        </w:tc>
        <w:tc>
          <w:tcPr>
            <w:tcW w:w="990" w:type="dxa"/>
            <w:vAlign w:val="center"/>
          </w:tcPr>
          <w:p>
            <w:pPr>
              <w:jc w:val="center"/>
              <w:rPr>
                <w:rFonts w:hint="default"/>
                <w:szCs w:val="21"/>
                <w:lang w:val="en-US" w:eastAsia="zh-CN"/>
              </w:rPr>
            </w:pPr>
            <w:r>
              <w:rPr>
                <w:rFonts w:hint="eastAsia"/>
                <w:szCs w:val="21"/>
                <w:lang w:val="en-US" w:eastAsia="zh-CN"/>
              </w:rPr>
              <w:t>采纳</w:t>
            </w:r>
          </w:p>
        </w:tc>
        <w:tc>
          <w:tcPr>
            <w:tcW w:w="224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1</w:t>
            </w:r>
            <w:r>
              <w:rPr>
                <w:rFonts w:hint="eastAsia"/>
                <w:szCs w:val="21"/>
                <w:lang w:val="en-US" w:eastAsia="zh-CN"/>
              </w:rPr>
              <w:t>2</w:t>
            </w:r>
          </w:p>
        </w:tc>
        <w:tc>
          <w:tcPr>
            <w:tcW w:w="1134" w:type="dxa"/>
            <w:vAlign w:val="center"/>
          </w:tcPr>
          <w:p>
            <w:pPr>
              <w:jc w:val="center"/>
              <w:rPr>
                <w:rFonts w:hint="default"/>
                <w:szCs w:val="21"/>
                <w:lang w:val="en-US" w:eastAsia="zh-CN"/>
              </w:rPr>
            </w:pPr>
            <w:r>
              <w:rPr>
                <w:rFonts w:hint="eastAsia"/>
                <w:szCs w:val="21"/>
                <w:lang w:val="en-US" w:eastAsia="zh-CN"/>
              </w:rPr>
              <w:t>5.2.2</w:t>
            </w:r>
          </w:p>
        </w:tc>
        <w:tc>
          <w:tcPr>
            <w:tcW w:w="3022" w:type="dxa"/>
            <w:vAlign w:val="center"/>
          </w:tcPr>
          <w:p>
            <w:pPr>
              <w:jc w:val="left"/>
              <w:rPr>
                <w:rFonts w:hint="eastAsia"/>
                <w:lang w:val="en-US" w:eastAsia="zh-CN"/>
              </w:rPr>
            </w:pPr>
            <w:r>
              <w:rPr>
                <w:rFonts w:hint="eastAsia"/>
                <w:szCs w:val="21"/>
                <w:lang w:val="en-US" w:eastAsia="zh-CN"/>
              </w:rPr>
              <w:t>建议增加“从袋口任一位置沿对角线插入底部采取份样”方法</w:t>
            </w:r>
          </w:p>
        </w:tc>
        <w:tc>
          <w:tcPr>
            <w:tcW w:w="2175" w:type="dxa"/>
            <w:vAlign w:val="center"/>
          </w:tcPr>
          <w:p>
            <w:pPr>
              <w:jc w:val="left"/>
              <w:rPr>
                <w:rFonts w:hint="eastAsia"/>
                <w:szCs w:val="21"/>
                <w:lang w:val="en-US" w:eastAsia="zh-CN"/>
              </w:rPr>
            </w:pPr>
            <w:r>
              <w:rPr>
                <w:rFonts w:hint="eastAsia"/>
                <w:szCs w:val="21"/>
              </w:rPr>
              <w:t>江西科翔电子科技有限公司</w:t>
            </w:r>
          </w:p>
        </w:tc>
        <w:tc>
          <w:tcPr>
            <w:tcW w:w="990" w:type="dxa"/>
            <w:vAlign w:val="center"/>
          </w:tcPr>
          <w:p>
            <w:pPr>
              <w:jc w:val="center"/>
              <w:rPr>
                <w:rFonts w:hint="default"/>
                <w:szCs w:val="21"/>
                <w:lang w:val="en-US" w:eastAsia="zh-CN"/>
              </w:rPr>
            </w:pPr>
            <w:r>
              <w:rPr>
                <w:rFonts w:hint="eastAsia"/>
                <w:szCs w:val="21"/>
                <w:lang w:val="en-US" w:eastAsia="zh-CN"/>
              </w:rPr>
              <w:t>不采纳</w:t>
            </w:r>
          </w:p>
        </w:tc>
        <w:tc>
          <w:tcPr>
            <w:tcW w:w="2249" w:type="dxa"/>
            <w:vAlign w:val="center"/>
          </w:tcPr>
          <w:p>
            <w:pPr>
              <w:jc w:val="center"/>
              <w:rPr>
                <w:rFonts w:hint="default" w:eastAsia="宋体"/>
                <w:szCs w:val="21"/>
                <w:lang w:val="en-US" w:eastAsia="zh-CN"/>
              </w:rPr>
            </w:pPr>
            <w:r>
              <w:rPr>
                <w:rFonts w:hint="eastAsia"/>
                <w:szCs w:val="21"/>
                <w:lang w:val="en-US" w:eastAsia="zh-CN"/>
              </w:rPr>
              <w:t>中间和边缘区域水分和品位有些许差异，特别是水分越大，差别更加明显，故建议中间和边缘分别采取份样。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13</w:t>
            </w:r>
          </w:p>
        </w:tc>
        <w:tc>
          <w:tcPr>
            <w:tcW w:w="1134" w:type="dxa"/>
            <w:vAlign w:val="center"/>
          </w:tcPr>
          <w:p>
            <w:pPr>
              <w:jc w:val="center"/>
              <w:rPr>
                <w:rFonts w:hint="default" w:eastAsia="宋体"/>
                <w:szCs w:val="21"/>
                <w:highlight w:val="yellow"/>
                <w:lang w:val="en-US" w:eastAsia="zh-CN"/>
              </w:rPr>
            </w:pPr>
            <w:r>
              <w:rPr>
                <w:rFonts w:hint="eastAsia"/>
                <w:szCs w:val="21"/>
                <w:highlight w:val="none"/>
                <w:lang w:val="en-US" w:eastAsia="zh-CN"/>
              </w:rPr>
              <w:t>5.2.4</w:t>
            </w:r>
          </w:p>
        </w:tc>
        <w:tc>
          <w:tcPr>
            <w:tcW w:w="3022" w:type="dxa"/>
            <w:vAlign w:val="center"/>
          </w:tcPr>
          <w:p>
            <w:pPr>
              <w:jc w:val="left"/>
              <w:rPr>
                <w:rFonts w:hint="default" w:eastAsia="宋体"/>
                <w:szCs w:val="21"/>
                <w:lang w:val="en-US" w:eastAsia="zh-CN"/>
              </w:rPr>
            </w:pPr>
            <w:r>
              <w:rPr>
                <w:rFonts w:hint="eastAsia"/>
                <w:szCs w:val="21"/>
                <w:lang w:val="en-US" w:eastAsia="zh-CN"/>
              </w:rPr>
              <w:t>对于结块的污泥，建议增加抽样袋数比例，并约定最小抽样袋数</w:t>
            </w:r>
          </w:p>
        </w:tc>
        <w:tc>
          <w:tcPr>
            <w:tcW w:w="2175" w:type="dxa"/>
            <w:vAlign w:val="center"/>
          </w:tcPr>
          <w:p>
            <w:pPr>
              <w:jc w:val="left"/>
              <w:rPr>
                <w:rFonts w:hint="default" w:eastAsia="宋体"/>
                <w:szCs w:val="21"/>
                <w:lang w:val="en-US" w:eastAsia="zh-CN"/>
              </w:rPr>
            </w:pPr>
            <w:r>
              <w:rPr>
                <w:rFonts w:hint="eastAsia"/>
                <w:szCs w:val="21"/>
                <w:lang w:val="en-US" w:eastAsia="zh-CN"/>
              </w:rPr>
              <w:t>江西鑫科环保高新技术有限公司</w:t>
            </w:r>
          </w:p>
        </w:tc>
        <w:tc>
          <w:tcPr>
            <w:tcW w:w="990" w:type="dxa"/>
            <w:vAlign w:val="center"/>
          </w:tcPr>
          <w:p>
            <w:pPr>
              <w:jc w:val="center"/>
              <w:rPr>
                <w:rFonts w:hint="default" w:eastAsia="宋体"/>
                <w:szCs w:val="21"/>
                <w:lang w:val="en-US" w:eastAsia="zh-CN"/>
              </w:rPr>
            </w:pPr>
            <w:r>
              <w:rPr>
                <w:rFonts w:hint="eastAsia"/>
                <w:szCs w:val="21"/>
                <w:lang w:val="en-US" w:eastAsia="zh-CN"/>
              </w:rPr>
              <w:t>采纳</w:t>
            </w:r>
          </w:p>
        </w:tc>
        <w:tc>
          <w:tcPr>
            <w:tcW w:w="2249" w:type="dxa"/>
          </w:tcPr>
          <w:p>
            <w:pPr>
              <w:jc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eastAsia="宋体"/>
                <w:szCs w:val="21"/>
                <w:lang w:val="en-US" w:eastAsia="zh-CN"/>
              </w:rPr>
            </w:pPr>
            <w:r>
              <w:rPr>
                <w:rFonts w:hint="eastAsia"/>
                <w:szCs w:val="21"/>
                <w:lang w:val="en-US" w:eastAsia="zh-CN"/>
              </w:rPr>
              <w:t>14</w:t>
            </w:r>
          </w:p>
        </w:tc>
        <w:tc>
          <w:tcPr>
            <w:tcW w:w="1134" w:type="dxa"/>
            <w:vAlign w:val="center"/>
          </w:tcPr>
          <w:p>
            <w:pPr>
              <w:jc w:val="center"/>
              <w:rPr>
                <w:rFonts w:hint="eastAsia" w:ascii="Times New Roman" w:hAnsi="Times New Roman" w:eastAsia="宋体" w:cs="Times New Roman"/>
                <w:kern w:val="2"/>
                <w:sz w:val="21"/>
                <w:szCs w:val="21"/>
                <w:highlight w:val="yellow"/>
                <w:lang w:val="en-US" w:eastAsia="zh-CN" w:bidi="ar-SA"/>
              </w:rPr>
            </w:pPr>
          </w:p>
        </w:tc>
        <w:tc>
          <w:tcPr>
            <w:tcW w:w="3022" w:type="dxa"/>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lang w:val="en-US" w:eastAsia="zh-CN"/>
              </w:rPr>
              <w:t>建议在6.2制样步骤</w:t>
            </w:r>
            <w:bookmarkStart w:id="0" w:name="_GoBack"/>
            <w:bookmarkEnd w:id="0"/>
            <w:r>
              <w:rPr>
                <w:rFonts w:hint="eastAsia"/>
                <w:szCs w:val="21"/>
                <w:lang w:val="en-US" w:eastAsia="zh-CN"/>
              </w:rPr>
              <w:t>前增加一个“制样要求”条款</w:t>
            </w:r>
          </w:p>
        </w:tc>
        <w:tc>
          <w:tcPr>
            <w:tcW w:w="2175" w:type="dxa"/>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lang w:val="en-US" w:eastAsia="zh-CN"/>
              </w:rPr>
              <w:t>江西鑫科环保高新技术有限公司</w:t>
            </w:r>
          </w:p>
        </w:tc>
        <w:tc>
          <w:tcPr>
            <w:tcW w:w="990"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采纳</w:t>
            </w:r>
          </w:p>
        </w:tc>
        <w:tc>
          <w:tcPr>
            <w:tcW w:w="2249" w:type="dxa"/>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szCs w:val="21"/>
                <w:lang w:val="en-US" w:eastAsia="zh-CN"/>
              </w:rPr>
            </w:pPr>
            <w:r>
              <w:rPr>
                <w:rFonts w:hint="eastAsia"/>
                <w:szCs w:val="21"/>
                <w:lang w:val="en-US" w:eastAsia="zh-CN"/>
              </w:rPr>
              <w:t>15</w:t>
            </w:r>
          </w:p>
        </w:tc>
        <w:tc>
          <w:tcPr>
            <w:tcW w:w="1134" w:type="dxa"/>
            <w:vAlign w:val="center"/>
          </w:tcPr>
          <w:p>
            <w:pPr>
              <w:jc w:val="center"/>
              <w:rPr>
                <w:rFonts w:hint="default"/>
                <w:szCs w:val="21"/>
                <w:highlight w:val="none"/>
                <w:lang w:val="en-US" w:eastAsia="zh-CN"/>
              </w:rPr>
            </w:pPr>
            <w:r>
              <w:rPr>
                <w:rFonts w:hint="eastAsia"/>
                <w:szCs w:val="21"/>
                <w:highlight w:val="none"/>
                <w:lang w:val="en-US" w:eastAsia="zh-CN"/>
              </w:rPr>
              <w:t>6.1</w:t>
            </w:r>
          </w:p>
        </w:tc>
        <w:tc>
          <w:tcPr>
            <w:tcW w:w="3022" w:type="dxa"/>
            <w:vAlign w:val="center"/>
          </w:tcPr>
          <w:p>
            <w:pPr>
              <w:jc w:val="left"/>
              <w:rPr>
                <w:rFonts w:hint="eastAsia"/>
                <w:szCs w:val="21"/>
                <w:lang w:val="en-US" w:eastAsia="zh-CN"/>
              </w:rPr>
            </w:pPr>
            <w:r>
              <w:rPr>
                <w:rFonts w:hint="eastAsia"/>
                <w:szCs w:val="21"/>
                <w:lang w:val="en-US" w:eastAsia="zh-CN"/>
              </w:rPr>
              <w:t>制样设备和工具这部分工具提的相对比较笼统，型号或部分非标设备是否提供示意图。</w:t>
            </w:r>
          </w:p>
        </w:tc>
        <w:tc>
          <w:tcPr>
            <w:tcW w:w="2175" w:type="dxa"/>
            <w:vAlign w:val="center"/>
          </w:tcPr>
          <w:p>
            <w:pPr>
              <w:jc w:val="left"/>
              <w:rPr>
                <w:rFonts w:hint="eastAsia"/>
                <w:szCs w:val="21"/>
                <w:lang w:val="en-US" w:eastAsia="zh-CN"/>
              </w:rPr>
            </w:pPr>
            <w:r>
              <w:rPr>
                <w:rFonts w:hint="eastAsia"/>
                <w:szCs w:val="21"/>
                <w:lang w:val="en-US" w:eastAsia="zh-CN"/>
              </w:rPr>
              <w:t>江西鑫科环保高新技术有限公司</w:t>
            </w:r>
          </w:p>
        </w:tc>
        <w:tc>
          <w:tcPr>
            <w:tcW w:w="990" w:type="dxa"/>
            <w:vAlign w:val="center"/>
          </w:tcPr>
          <w:p>
            <w:pPr>
              <w:jc w:val="center"/>
              <w:rPr>
                <w:rFonts w:hint="default"/>
                <w:szCs w:val="21"/>
                <w:lang w:val="en-US" w:eastAsia="zh-CN"/>
              </w:rPr>
            </w:pPr>
            <w:r>
              <w:rPr>
                <w:rFonts w:hint="eastAsia"/>
                <w:szCs w:val="21"/>
                <w:lang w:val="en-US" w:eastAsia="zh-CN"/>
              </w:rPr>
              <w:t>不采纳</w:t>
            </w:r>
          </w:p>
        </w:tc>
        <w:tc>
          <w:tcPr>
            <w:tcW w:w="2249" w:type="dxa"/>
          </w:tcPr>
          <w:p>
            <w:pPr>
              <w:jc w:val="center"/>
              <w:rPr>
                <w:rFonts w:hint="default"/>
                <w:szCs w:val="21"/>
                <w:lang w:val="en-US" w:eastAsia="zh-CN"/>
              </w:rPr>
            </w:pPr>
            <w:r>
              <w:rPr>
                <w:rFonts w:hint="eastAsia"/>
                <w:szCs w:val="21"/>
                <w:lang w:val="en-US" w:eastAsia="zh-CN"/>
              </w:rPr>
              <w:t>具体型号根据各单位自行决定，非标的工具已有示意图</w:t>
            </w:r>
          </w:p>
        </w:tc>
      </w:tr>
    </w:tbl>
    <w:p>
      <w:pPr>
        <w:pStyle w:val="10"/>
        <w:numPr>
          <w:ilvl w:val="0"/>
          <w:numId w:val="1"/>
        </w:numPr>
        <w:ind w:left="283" w:hanging="283" w:hangingChars="135"/>
        <w:jc w:val="left"/>
        <w:rPr>
          <w:rFonts w:ascii="Times New Roman" w:hAnsi="Times New Roman"/>
        </w:rPr>
      </w:pPr>
      <w:r>
        <w:rPr>
          <w:rFonts w:ascii="Times New Roman" w:hAnsi="Times New Roman"/>
        </w:rPr>
        <w:t>发送征求意见函的单位：</w:t>
      </w:r>
      <w:r>
        <w:rPr>
          <w:rFonts w:hint="eastAsia" w:ascii="Times New Roman" w:hAnsi="Times New Roman"/>
          <w:lang w:val="en-US" w:eastAsia="zh-CN"/>
        </w:rPr>
        <w:t>8</w:t>
      </w:r>
      <w:r>
        <w:rPr>
          <w:rFonts w:ascii="Times New Roman" w:hAnsi="Times New Roman"/>
        </w:rPr>
        <w:t>个；</w:t>
      </w:r>
    </w:p>
    <w:p>
      <w:pPr>
        <w:pStyle w:val="10"/>
        <w:numPr>
          <w:ilvl w:val="0"/>
          <w:numId w:val="1"/>
        </w:numPr>
        <w:ind w:firstLineChars="0"/>
        <w:jc w:val="left"/>
        <w:rPr>
          <w:rFonts w:ascii="Times New Roman" w:hAnsi="Times New Roman"/>
        </w:rPr>
      </w:pPr>
      <w:r>
        <w:rPr>
          <w:rFonts w:ascii="Times New Roman" w:hAnsi="Times New Roman"/>
        </w:rPr>
        <w:t>收到征求意见函后，回复的单位：</w:t>
      </w:r>
      <w:r>
        <w:rPr>
          <w:rFonts w:hint="eastAsia" w:ascii="Times New Roman" w:hAnsi="Times New Roman"/>
          <w:lang w:val="en-US" w:eastAsia="zh-CN"/>
        </w:rPr>
        <w:t>5</w:t>
      </w:r>
      <w:r>
        <w:rPr>
          <w:rFonts w:ascii="Times New Roman" w:hAnsi="Times New Roman"/>
        </w:rPr>
        <w:t>个；</w:t>
      </w:r>
    </w:p>
    <w:p>
      <w:pPr>
        <w:pStyle w:val="10"/>
        <w:numPr>
          <w:ilvl w:val="0"/>
          <w:numId w:val="1"/>
        </w:numPr>
        <w:ind w:firstLineChars="0"/>
        <w:jc w:val="left"/>
        <w:rPr>
          <w:rFonts w:ascii="Times New Roman" w:hAnsi="Times New Roman"/>
        </w:rPr>
      </w:pPr>
      <w:r>
        <w:rPr>
          <w:rFonts w:ascii="Times New Roman" w:hAnsi="Times New Roman"/>
        </w:rPr>
        <w:t>收到征求意见函后，有意见和建议的单位：</w:t>
      </w:r>
      <w:r>
        <w:rPr>
          <w:rFonts w:hint="eastAsia" w:ascii="Times New Roman" w:hAnsi="Times New Roman"/>
          <w:lang w:val="en-US" w:eastAsia="zh-CN"/>
        </w:rPr>
        <w:t>5</w:t>
      </w:r>
      <w:r>
        <w:rPr>
          <w:rFonts w:ascii="Times New Roman" w:hAnsi="Times New Roman"/>
        </w:rPr>
        <w:t>个；</w:t>
      </w:r>
    </w:p>
    <w:p>
      <w:pPr>
        <w:pStyle w:val="10"/>
        <w:numPr>
          <w:ilvl w:val="0"/>
          <w:numId w:val="1"/>
        </w:numPr>
        <w:ind w:firstLineChars="0"/>
        <w:jc w:val="left"/>
        <w:rPr>
          <w:rFonts w:ascii="Times New Roman" w:hAnsi="Times New Roman"/>
        </w:rPr>
      </w:pPr>
      <w:r>
        <w:rPr>
          <w:rFonts w:ascii="Times New Roman" w:hAnsi="Times New Roman"/>
        </w:rPr>
        <w:t>没有回复</w:t>
      </w:r>
      <w:r>
        <w:rPr>
          <w:rFonts w:hint="eastAsia" w:ascii="Times New Roman" w:hAnsi="Times New Roman"/>
        </w:rPr>
        <w:t>意见</w:t>
      </w:r>
      <w:r>
        <w:rPr>
          <w:rFonts w:ascii="Times New Roman" w:hAnsi="Times New Roman"/>
        </w:rPr>
        <w:t>的单位：</w:t>
      </w:r>
      <w:r>
        <w:rPr>
          <w:rFonts w:hint="eastAsia" w:ascii="Times New Roman" w:hAnsi="Times New Roman"/>
          <w:lang w:val="en-US" w:eastAsia="zh-CN"/>
        </w:rPr>
        <w:t>3</w:t>
      </w:r>
      <w:r>
        <w:rPr>
          <w:rFonts w:ascii="Times New Roman" w:hAnsi="Times New Roman"/>
        </w:rPr>
        <w:t>个</w:t>
      </w:r>
      <w:r>
        <w:rPr>
          <w:rFonts w:hint="eastAsia" w:ascii="Times New Roman" w:hAnsi="Times New Roman"/>
        </w:rPr>
        <w:t>；</w:t>
      </w:r>
    </w:p>
    <w:p>
      <w:pPr>
        <w:pStyle w:val="10"/>
        <w:numPr>
          <w:ilvl w:val="0"/>
          <w:numId w:val="1"/>
        </w:numPr>
        <w:ind w:firstLineChars="0"/>
        <w:jc w:val="left"/>
        <w:rPr>
          <w:rFonts w:ascii="Times New Roman" w:hAnsi="Times New Roman"/>
        </w:rPr>
      </w:pPr>
      <w:r>
        <w:rPr>
          <w:rFonts w:ascii="Times New Roman" w:hAnsi="Times New Roman"/>
        </w:rPr>
        <w:t>预审会提出意见单位：</w:t>
      </w:r>
      <w:r>
        <w:rPr>
          <w:rFonts w:hint="eastAsia" w:ascii="Times New Roman" w:hAnsi="Times New Roman"/>
          <w:lang w:val="en-US" w:eastAsia="zh-CN"/>
        </w:rPr>
        <w:t>2</w:t>
      </w:r>
      <w:r>
        <w:rPr>
          <w:rFonts w:hint="eastAsia" w:ascii="Times New Roman" w:hAnsi="Times New Roman"/>
        </w:rPr>
        <w:t>个。</w:t>
      </w:r>
    </w:p>
    <w:p>
      <w:pPr>
        <w:pStyle w:val="10"/>
        <w:ind w:left="360" w:firstLine="0" w:firstLineChars="0"/>
        <w:jc w:val="left"/>
        <w:rPr>
          <w:rFonts w:ascii="Times New Roman" w:hAnsi="Times New Roman"/>
        </w:rPr>
      </w:pPr>
    </w:p>
    <w:sectPr>
      <w:pgSz w:w="11907" w:h="16840"/>
      <w:pgMar w:top="1134" w:right="851" w:bottom="1134" w:left="851" w:header="851" w:footer="851" w:gutter="0"/>
      <w:pgNumType w:start="1"/>
      <w:cols w:space="720" w:num="1"/>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E4FD4"/>
    <w:multiLevelType w:val="multilevel"/>
    <w:tmpl w:val="32BE4FD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ZDE3MmFjM2VjYmRjMWE5OWUwOTMzNTRkY2E2ZDYifQ=="/>
  </w:docVars>
  <w:rsids>
    <w:rsidRoot w:val="00077F30"/>
    <w:rsid w:val="000077ED"/>
    <w:rsid w:val="00011062"/>
    <w:rsid w:val="00020473"/>
    <w:rsid w:val="00067638"/>
    <w:rsid w:val="00077F30"/>
    <w:rsid w:val="00093A0B"/>
    <w:rsid w:val="000B7665"/>
    <w:rsid w:val="000C31EB"/>
    <w:rsid w:val="000E22AE"/>
    <w:rsid w:val="000E4B3B"/>
    <w:rsid w:val="000F7518"/>
    <w:rsid w:val="000F7C7C"/>
    <w:rsid w:val="00121D35"/>
    <w:rsid w:val="00146202"/>
    <w:rsid w:val="0015388A"/>
    <w:rsid w:val="00167FC0"/>
    <w:rsid w:val="0017501C"/>
    <w:rsid w:val="00180A4F"/>
    <w:rsid w:val="001869C3"/>
    <w:rsid w:val="001A198B"/>
    <w:rsid w:val="001A5468"/>
    <w:rsid w:val="001A5E82"/>
    <w:rsid w:val="001B19FA"/>
    <w:rsid w:val="001C0E73"/>
    <w:rsid w:val="001E2943"/>
    <w:rsid w:val="001E57A9"/>
    <w:rsid w:val="001F2AEA"/>
    <w:rsid w:val="00200A75"/>
    <w:rsid w:val="00206FBD"/>
    <w:rsid w:val="00263EE3"/>
    <w:rsid w:val="002659B3"/>
    <w:rsid w:val="0027128B"/>
    <w:rsid w:val="00273A2F"/>
    <w:rsid w:val="002760B4"/>
    <w:rsid w:val="00277C9D"/>
    <w:rsid w:val="002A50B7"/>
    <w:rsid w:val="002A6680"/>
    <w:rsid w:val="002C1A10"/>
    <w:rsid w:val="002C46D2"/>
    <w:rsid w:val="002F0473"/>
    <w:rsid w:val="002F27D6"/>
    <w:rsid w:val="00300507"/>
    <w:rsid w:val="00323633"/>
    <w:rsid w:val="00325118"/>
    <w:rsid w:val="003346A0"/>
    <w:rsid w:val="0034191C"/>
    <w:rsid w:val="00351621"/>
    <w:rsid w:val="00357BAD"/>
    <w:rsid w:val="003863A3"/>
    <w:rsid w:val="003B5110"/>
    <w:rsid w:val="003B7CE9"/>
    <w:rsid w:val="003E1247"/>
    <w:rsid w:val="003E78BC"/>
    <w:rsid w:val="003F7478"/>
    <w:rsid w:val="00403FA8"/>
    <w:rsid w:val="004048DF"/>
    <w:rsid w:val="00414BE2"/>
    <w:rsid w:val="00416060"/>
    <w:rsid w:val="00417135"/>
    <w:rsid w:val="004365DB"/>
    <w:rsid w:val="00436F65"/>
    <w:rsid w:val="00443B6C"/>
    <w:rsid w:val="00465C79"/>
    <w:rsid w:val="00476F70"/>
    <w:rsid w:val="004777B2"/>
    <w:rsid w:val="00480852"/>
    <w:rsid w:val="00482A3E"/>
    <w:rsid w:val="00486D9D"/>
    <w:rsid w:val="004960AD"/>
    <w:rsid w:val="004A3908"/>
    <w:rsid w:val="004C286F"/>
    <w:rsid w:val="004E2A06"/>
    <w:rsid w:val="004E634D"/>
    <w:rsid w:val="004F750A"/>
    <w:rsid w:val="00536AEA"/>
    <w:rsid w:val="00540602"/>
    <w:rsid w:val="0055675A"/>
    <w:rsid w:val="00564509"/>
    <w:rsid w:val="00565612"/>
    <w:rsid w:val="005704DF"/>
    <w:rsid w:val="00576985"/>
    <w:rsid w:val="00586613"/>
    <w:rsid w:val="005B7FCE"/>
    <w:rsid w:val="005E0A6D"/>
    <w:rsid w:val="005E0F4A"/>
    <w:rsid w:val="005F2311"/>
    <w:rsid w:val="005F50C7"/>
    <w:rsid w:val="0062225D"/>
    <w:rsid w:val="00651236"/>
    <w:rsid w:val="006547A1"/>
    <w:rsid w:val="006636E0"/>
    <w:rsid w:val="0066497C"/>
    <w:rsid w:val="006650BD"/>
    <w:rsid w:val="006B4290"/>
    <w:rsid w:val="006B4729"/>
    <w:rsid w:val="006B7013"/>
    <w:rsid w:val="006D0ED3"/>
    <w:rsid w:val="00713CBA"/>
    <w:rsid w:val="007212DF"/>
    <w:rsid w:val="00731383"/>
    <w:rsid w:val="00747CDC"/>
    <w:rsid w:val="00757DD8"/>
    <w:rsid w:val="00785802"/>
    <w:rsid w:val="007A3CC9"/>
    <w:rsid w:val="007B6112"/>
    <w:rsid w:val="007C0624"/>
    <w:rsid w:val="0081331F"/>
    <w:rsid w:val="008237A6"/>
    <w:rsid w:val="008258ED"/>
    <w:rsid w:val="008370EC"/>
    <w:rsid w:val="00864157"/>
    <w:rsid w:val="008713D2"/>
    <w:rsid w:val="00887EE2"/>
    <w:rsid w:val="00892246"/>
    <w:rsid w:val="008B38F6"/>
    <w:rsid w:val="008C3CAB"/>
    <w:rsid w:val="008D2F2E"/>
    <w:rsid w:val="008E1403"/>
    <w:rsid w:val="009133F4"/>
    <w:rsid w:val="0096189A"/>
    <w:rsid w:val="009644E1"/>
    <w:rsid w:val="009656B3"/>
    <w:rsid w:val="00971C9F"/>
    <w:rsid w:val="0099103E"/>
    <w:rsid w:val="009C2195"/>
    <w:rsid w:val="009C39F1"/>
    <w:rsid w:val="009C57E1"/>
    <w:rsid w:val="009E30BE"/>
    <w:rsid w:val="00A17F3F"/>
    <w:rsid w:val="00A34C16"/>
    <w:rsid w:val="00A60966"/>
    <w:rsid w:val="00A73EE4"/>
    <w:rsid w:val="00AB64E9"/>
    <w:rsid w:val="00AB75DC"/>
    <w:rsid w:val="00AF40A4"/>
    <w:rsid w:val="00B03F63"/>
    <w:rsid w:val="00B07453"/>
    <w:rsid w:val="00B10EC9"/>
    <w:rsid w:val="00B116BA"/>
    <w:rsid w:val="00B4650E"/>
    <w:rsid w:val="00B6104B"/>
    <w:rsid w:val="00B84A47"/>
    <w:rsid w:val="00B9031D"/>
    <w:rsid w:val="00BB50C0"/>
    <w:rsid w:val="00BC1593"/>
    <w:rsid w:val="00BE410C"/>
    <w:rsid w:val="00C3748D"/>
    <w:rsid w:val="00C40546"/>
    <w:rsid w:val="00C41BD9"/>
    <w:rsid w:val="00C435CE"/>
    <w:rsid w:val="00C51999"/>
    <w:rsid w:val="00C6560E"/>
    <w:rsid w:val="00C70472"/>
    <w:rsid w:val="00C719CF"/>
    <w:rsid w:val="00C77D29"/>
    <w:rsid w:val="00C83FC3"/>
    <w:rsid w:val="00C9241F"/>
    <w:rsid w:val="00C95998"/>
    <w:rsid w:val="00CA1420"/>
    <w:rsid w:val="00CB20B0"/>
    <w:rsid w:val="00CC2546"/>
    <w:rsid w:val="00CC5227"/>
    <w:rsid w:val="00CD4AB7"/>
    <w:rsid w:val="00CE73B8"/>
    <w:rsid w:val="00D1228A"/>
    <w:rsid w:val="00D14931"/>
    <w:rsid w:val="00D333FE"/>
    <w:rsid w:val="00D57890"/>
    <w:rsid w:val="00D951FD"/>
    <w:rsid w:val="00D96E2B"/>
    <w:rsid w:val="00D97DBC"/>
    <w:rsid w:val="00DB7FD0"/>
    <w:rsid w:val="00DC5119"/>
    <w:rsid w:val="00DE1019"/>
    <w:rsid w:val="00DF0E5C"/>
    <w:rsid w:val="00E00F15"/>
    <w:rsid w:val="00E144AC"/>
    <w:rsid w:val="00E264F5"/>
    <w:rsid w:val="00E33C48"/>
    <w:rsid w:val="00E42A38"/>
    <w:rsid w:val="00E53625"/>
    <w:rsid w:val="00E82B44"/>
    <w:rsid w:val="00E865CB"/>
    <w:rsid w:val="00E87AFE"/>
    <w:rsid w:val="00EB16CF"/>
    <w:rsid w:val="00EB3F0F"/>
    <w:rsid w:val="00EC2D2C"/>
    <w:rsid w:val="00EC6F7A"/>
    <w:rsid w:val="00ED653B"/>
    <w:rsid w:val="00EF5AED"/>
    <w:rsid w:val="00EF700C"/>
    <w:rsid w:val="00F01F93"/>
    <w:rsid w:val="00F24FF5"/>
    <w:rsid w:val="00F32C43"/>
    <w:rsid w:val="00F544AF"/>
    <w:rsid w:val="00F62E2A"/>
    <w:rsid w:val="00F75816"/>
    <w:rsid w:val="00F76860"/>
    <w:rsid w:val="00F81F71"/>
    <w:rsid w:val="00F97D43"/>
    <w:rsid w:val="00FB6746"/>
    <w:rsid w:val="00FB6A06"/>
    <w:rsid w:val="00FC6175"/>
    <w:rsid w:val="0AE12C3D"/>
    <w:rsid w:val="128B5A2E"/>
    <w:rsid w:val="1C65710C"/>
    <w:rsid w:val="1EA35913"/>
    <w:rsid w:val="20F94EDF"/>
    <w:rsid w:val="2380392B"/>
    <w:rsid w:val="3BA320B3"/>
    <w:rsid w:val="3BE3753E"/>
    <w:rsid w:val="3FC7515B"/>
    <w:rsid w:val="50F11846"/>
    <w:rsid w:val="53D66C4E"/>
    <w:rsid w:val="54F63186"/>
    <w:rsid w:val="579C794E"/>
    <w:rsid w:val="5F195292"/>
    <w:rsid w:val="645815A9"/>
    <w:rsid w:val="65CB6659"/>
    <w:rsid w:val="6CFC2F0E"/>
    <w:rsid w:val="72555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customStyle="1" w:styleId="1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15">
    <w:name w:val="批注文字 Char"/>
    <w:basedOn w:val="8"/>
    <w:link w:val="2"/>
    <w:semiHidden/>
    <w:qFormat/>
    <w:uiPriority w:val="99"/>
    <w:rPr>
      <w:rFonts w:ascii="Times New Roman" w:hAnsi="Times New Roman" w:eastAsia="宋体" w:cs="Times New Roman"/>
      <w:szCs w:val="24"/>
    </w:rPr>
  </w:style>
  <w:style w:type="character" w:customStyle="1" w:styleId="16">
    <w:name w:val="批注主题 Char"/>
    <w:basedOn w:val="15"/>
    <w:link w:val="6"/>
    <w:semiHidden/>
    <w:qFormat/>
    <w:uiPriority w:val="99"/>
    <w:rPr>
      <w:rFonts w:ascii="Times New Roman" w:hAnsi="Times New Roman" w:eastAsia="宋体" w:cs="Times New Roman"/>
      <w:b/>
      <w:bCs/>
      <w:szCs w:val="24"/>
    </w:rPr>
  </w:style>
  <w:style w:type="character" w:customStyle="1" w:styleId="17">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3D98-33D7-4617-85CF-5835B2178B2F}">
  <ds:schemaRefs/>
</ds:datastoreItem>
</file>

<file path=customXml/itemProps2.xml><?xml version="1.0" encoding="utf-8"?>
<ds:datastoreItem xmlns:ds="http://schemas.openxmlformats.org/officeDocument/2006/customXml" ds:itemID="{75BA121B-8E90-4847-8C33-A4A6DCB39D88}">
  <ds:schemaRefs/>
</ds:datastoreItem>
</file>

<file path=customXml/itemProps3.xml><?xml version="1.0" encoding="utf-8"?>
<ds:datastoreItem xmlns:ds="http://schemas.openxmlformats.org/officeDocument/2006/customXml" ds:itemID="{240652F0-0313-4ED2-8729-B2849D70501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962</Words>
  <Characters>1161</Characters>
  <Lines>3</Lines>
  <Paragraphs>1</Paragraphs>
  <TotalTime>2</TotalTime>
  <ScaleCrop>false</ScaleCrop>
  <LinksUpToDate>false</LinksUpToDate>
  <CharactersWithSpaces>1190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2019-11-18T13:43:00Z</dcterms:created>
  <dc:creator>lenovo</dc:creator>
  <cp:lastModifiedBy>HGRL-0046</cp:lastModifiedBy>
  <dcterms:modified xsi:type="dcterms:W3CDTF">2022-11-08T07:29:11Z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8028A8B8EDD643118961C161DEACC16C</vt:lpwstr>
  </property>
</Properties>
</file>