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新宋体" w:eastAsia="仿宋_GB2312" w:cs="Times New Roman"/>
          <w:b/>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48260</wp:posOffset>
                </wp:positionV>
                <wp:extent cx="1612900" cy="530860"/>
                <wp:effectExtent l="0" t="0" r="2540" b="2540"/>
                <wp:wrapNone/>
                <wp:docPr id="3" name="文本框 3"/>
                <wp:cNvGraphicFramePr/>
                <a:graphic xmlns:a="http://schemas.openxmlformats.org/drawingml/2006/main">
                  <a:graphicData uri="http://schemas.microsoft.com/office/word/2010/wordprocessingShape">
                    <wps:wsp>
                      <wps:cNvSpPr txBox="1"/>
                      <wps:spPr>
                        <a:xfrm>
                          <a:off x="814705" y="768350"/>
                          <a:ext cx="1612900" cy="530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ICS 77.120.60</w:t>
                            </w:r>
                          </w:p>
                          <w:p>
                            <w:r>
                              <w:rPr>
                                <w:rFonts w:hint="eastAsia"/>
                              </w:rPr>
                              <w:t>CCS H62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3.8pt;height:41.8pt;width:127pt;z-index:251660288;mso-width-relative:page;mso-height-relative:page;" fillcolor="#FFFFFF [3201]" filled="t" stroked="f" coordsize="21600,21600" o:gfxdata="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k7roS0gAAAAcB&#10;AAAPAAAAAAAAAAEAIAAAACIAAABkcnMvZG93bnJldi54bWxQSwECFAAUAAAACACHTuJAC8YLg1oC&#10;AACZBAAADgAAAAAAAAABACAAAAAhAQAAZHJzL2Uyb0RvYy54bWxQSwUGAAAAAAYABgBZAQAA7QUA&#10;AAAA&#10;">
                <v:fill on="t" focussize="0,0"/>
                <v:stroke on="f" weight="0.5pt"/>
                <v:imagedata o:title=""/>
                <o:lock v:ext="edit" aspectratio="f"/>
                <v:textbox>
                  <w:txbxContent>
                    <w:p>
                      <w:r>
                        <w:rPr>
                          <w:rFonts w:hint="eastAsia"/>
                        </w:rPr>
                        <w:t>ICS 77.120.60</w:t>
                      </w:r>
                    </w:p>
                    <w:p>
                      <w:r>
                        <w:rPr>
                          <w:rFonts w:hint="eastAsia"/>
                        </w:rPr>
                        <w:t>CCS H62</w:t>
                      </w:r>
                    </w:p>
                  </w:txbxContent>
                </v:textbox>
              </v:shape>
            </w:pict>
          </mc:Fallback>
        </mc:AlternateContent>
      </w:r>
    </w:p>
    <w:p>
      <w:pPr>
        <w:jc w:val="center"/>
        <w:rPr>
          <w:rFonts w:ascii="仿宋_GB2312" w:hAnsi="新宋体" w:eastAsia="仿宋_GB2312" w:cs="Times New Roman"/>
          <w:b/>
          <w:color w:val="000000" w:themeColor="text1"/>
          <w:sz w:val="32"/>
          <w:szCs w:val="32"/>
          <w14:textFill>
            <w14:solidFill>
              <w14:schemeClr w14:val="tx1"/>
            </w14:solidFill>
          </w14:textFill>
        </w:rPr>
      </w:pPr>
    </w:p>
    <w:p>
      <w:pPr>
        <w:jc w:val="center"/>
        <w:rPr>
          <w:rFonts w:ascii="仿宋_GB2312" w:hAnsi="新宋体" w:eastAsia="仿宋_GB2312" w:cs="Times New Roman"/>
          <w:b/>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margin">
                  <wp:posOffset>210820</wp:posOffset>
                </wp:positionH>
                <wp:positionV relativeFrom="margin">
                  <wp:posOffset>741045</wp:posOffset>
                </wp:positionV>
                <wp:extent cx="6120130" cy="666750"/>
                <wp:effectExtent l="0" t="0" r="6350" b="3810"/>
                <wp:wrapNone/>
                <wp:docPr id="4" name="文本框 4"/>
                <wp:cNvGraphicFramePr/>
                <a:graphic xmlns:a="http://schemas.openxmlformats.org/drawingml/2006/main">
                  <a:graphicData uri="http://schemas.microsoft.com/office/word/2010/wordprocessingShape">
                    <wps:wsp>
                      <wps:cNvSpPr txBox="1"/>
                      <wps:spPr>
                        <a:xfrm>
                          <a:off x="0" y="0"/>
                          <a:ext cx="6120130" cy="666750"/>
                        </a:xfrm>
                        <a:prstGeom prst="rect">
                          <a:avLst/>
                        </a:prstGeom>
                        <a:solidFill>
                          <a:srgbClr val="FFFFFF"/>
                        </a:solidFill>
                        <a:ln>
                          <a:noFill/>
                        </a:ln>
                      </wps:spPr>
                      <wps:txbx>
                        <w:txbxContent>
                          <w:p>
                            <w:pPr>
                              <w:pStyle w:val="40"/>
                              <w:jc w:val="center"/>
                              <w:rPr>
                                <w:rFonts w:ascii="黑体" w:hAnsi="黑体" w:eastAsia="黑体"/>
                                <w:b w:val="0"/>
                                <w:spacing w:val="80"/>
                                <w:sz w:val="72"/>
                                <w:szCs w:val="72"/>
                              </w:rPr>
                            </w:pPr>
                            <w:r>
                              <w:rPr>
                                <w:rFonts w:hint="eastAsia" w:ascii="黑体" w:hAnsi="黑体" w:eastAsia="黑体"/>
                                <w:b w:val="0"/>
                                <w:spacing w:val="80"/>
                                <w:sz w:val="72"/>
                                <w:szCs w:val="72"/>
                              </w:rPr>
                              <w:t>团 体 标 准</w:t>
                            </w:r>
                          </w:p>
                          <w:p>
                            <w:pPr>
                              <w:pStyle w:val="37"/>
                              <w:jc w:val="center"/>
                            </w:pPr>
                          </w:p>
                        </w:txbxContent>
                      </wps:txbx>
                      <wps:bodyPr lIns="0" tIns="0" rIns="0" bIns="0" upright="1"/>
                    </wps:wsp>
                  </a:graphicData>
                </a:graphic>
              </wp:anchor>
            </w:drawing>
          </mc:Choice>
          <mc:Fallback>
            <w:pict>
              <v:shape id="_x0000_s1026" o:spid="_x0000_s1026" o:spt="202" type="#_x0000_t202" style="position:absolute;left:0pt;margin-left:16.6pt;margin-top:58.35pt;height:52.5pt;width:481.9pt;mso-position-horizontal-relative:margin;mso-position-vertical-relative:margin;z-index:251659264;mso-width-relative:page;mso-height-relative:page;" fillcolor="#FFFFFF" filled="t" stroked="f" coordsize="21600,21600" o:gfxdata="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OTLG2QAAAAoBAAAPAAAAAAAAAAEAIAAAACIA&#10;AABkcnMvZG93bnJldi54bWxQSwECFAAUAAAACACHTuJAIIWCPM8BAACbAwAADgAAAAAAAAABACAA&#10;AAAoAQAAZHJzL2Uyb0RvYy54bWxQSwUGAAAAAAYABgBZAQAAaQUAAAAA&#10;">
                <v:fill on="t" focussize="0,0"/>
                <v:stroke on="f"/>
                <v:imagedata o:title=""/>
                <o:lock v:ext="edit" aspectratio="f"/>
                <v:textbox inset="0mm,0mm,0mm,0mm">
                  <w:txbxContent>
                    <w:p>
                      <w:pPr>
                        <w:pStyle w:val="40"/>
                        <w:jc w:val="center"/>
                        <w:rPr>
                          <w:rFonts w:ascii="黑体" w:hAnsi="黑体" w:eastAsia="黑体"/>
                          <w:b w:val="0"/>
                          <w:spacing w:val="80"/>
                          <w:sz w:val="72"/>
                          <w:szCs w:val="72"/>
                        </w:rPr>
                      </w:pPr>
                      <w:r>
                        <w:rPr>
                          <w:rFonts w:hint="eastAsia" w:ascii="黑体" w:hAnsi="黑体" w:eastAsia="黑体"/>
                          <w:b w:val="0"/>
                          <w:spacing w:val="80"/>
                          <w:sz w:val="72"/>
                          <w:szCs w:val="72"/>
                        </w:rPr>
                        <w:t>团 体 标 准</w:t>
                      </w:r>
                    </w:p>
                    <w:p>
                      <w:pPr>
                        <w:pStyle w:val="37"/>
                        <w:jc w:val="center"/>
                      </w:pPr>
                    </w:p>
                  </w:txbxContent>
                </v:textbox>
                <w10:anchorlock/>
              </v:shape>
            </w:pict>
          </mc:Fallback>
        </mc:AlternateContent>
      </w:r>
    </w:p>
    <w:p>
      <w:pPr>
        <w:jc w:val="center"/>
        <w:rPr>
          <w:rFonts w:ascii="黑体" w:hAnsi="黑体" w:eastAsia="黑体" w:cs="黑体"/>
          <w:bCs/>
          <w:color w:val="000000" w:themeColor="text1"/>
          <w:sz w:val="52"/>
          <w:szCs w:val="52"/>
          <w14:textFill>
            <w14:solidFill>
              <w14:schemeClr w14:val="tx1"/>
            </w14:solidFill>
          </w14:textFill>
        </w:rPr>
      </w:pPr>
      <w:r>
        <w:rPr>
          <w:color w:val="000000" w:themeColor="text1"/>
          <w:sz w:val="5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4606925</wp:posOffset>
                </wp:positionH>
                <wp:positionV relativeFrom="paragraph">
                  <wp:posOffset>102870</wp:posOffset>
                </wp:positionV>
                <wp:extent cx="1558290" cy="381000"/>
                <wp:effectExtent l="0" t="0" r="3810" b="0"/>
                <wp:wrapNone/>
                <wp:docPr id="6" name="文本框 6"/>
                <wp:cNvGraphicFramePr/>
                <a:graphic xmlns:a="http://schemas.openxmlformats.org/drawingml/2006/main">
                  <a:graphicData uri="http://schemas.microsoft.com/office/word/2010/wordprocessingShape">
                    <wps:wsp>
                      <wps:cNvSpPr txBox="1"/>
                      <wps:spPr>
                        <a:xfrm>
                          <a:off x="0" y="0"/>
                          <a:ext cx="1558456"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T/CNIA XXXX-2023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75pt;margin-top:8.1pt;height:30pt;width:122.7pt;z-index:251661312;mso-width-relative:page;mso-height-relative:page;" fillcolor="#FFFFFF [3201]" filled="t" stroked="f" coordsize="21600,21600" o:gfxdata="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F9X7tQAAAAJAQAADwAAAAAA&#10;AAABACAAAAAiAAAAZHJzL2Rvd25yZXYueG1sUEsBAhQAFAAAAAgAh07iQKgUjqZQAgAAjwQAAA4A&#10;AAAAAAAAAQAgAAAAIwEAAGRycy9lMm9Eb2MueG1sUEsFBgAAAAAGAAYAWQEAAOUFAAAAAA==&#10;">
                <v:fill on="t" focussize="0,0"/>
                <v:stroke on="f" weight="0.5pt"/>
                <v:imagedata o:title=""/>
                <o:lock v:ext="edit" aspectratio="f"/>
                <v:textbox>
                  <w:txbxContent>
                    <w:p>
                      <w:pPr>
                        <w:rPr>
                          <w:sz w:val="28"/>
                          <w:szCs w:val="28"/>
                        </w:rPr>
                      </w:pPr>
                      <w:r>
                        <w:rPr>
                          <w:sz w:val="28"/>
                          <w:szCs w:val="28"/>
                        </w:rPr>
                        <w:t>T/CNIA XXXX-2023</w:t>
                      </w:r>
                    </w:p>
                  </w:txbxContent>
                </v:textbox>
              </v:shape>
            </w:pict>
          </mc:Fallback>
        </mc:AlternateContent>
      </w:r>
    </w:p>
    <w:p>
      <w:pPr>
        <w:jc w:val="center"/>
        <w:rPr>
          <w:rFonts w:ascii="黑体" w:hAnsi="黑体" w:eastAsia="黑体" w:cs="黑体"/>
          <w:bCs/>
          <w:color w:val="000000" w:themeColor="text1"/>
          <w:sz w:val="52"/>
          <w:szCs w:val="5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35560</wp:posOffset>
                </wp:positionV>
                <wp:extent cx="612140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2.8pt;height:0pt;width:482pt;mso-position-horizontal:right;mso-position-horizontal-relative:margin;mso-wrap-distance-bottom:0pt;mso-wrap-distance-top:0pt;z-index:251662336;mso-width-relative:page;mso-height-relative:page;" filled="f" stroked="t" coordsize="21600,21600" o:gfxdata="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4q9rDT&#10;AAAABAEAAA8AAAAAAAAAAQAgAAAAIgAAAGRycy9kb3ducmV2LnhtbFBLAQIUABQAAAAIAIdO4kBc&#10;lu/g7AEAANkDAAAOAAAAAAAAAAEAIAAAACIBAABkcnMvZTJvRG9jLnhtbFBLBQYAAAAABgAGAFkB&#10;AACABQAAAAA=&#10;">
                <v:fill on="f" focussize="0,0"/>
                <v:stroke weight="1pt" color="#000000" joinstyle="round"/>
                <v:imagedata o:title=""/>
                <o:lock v:ext="edit" aspectratio="f"/>
                <w10:wrap type="topAndBottom"/>
              </v:line>
            </w:pict>
          </mc:Fallback>
        </mc:AlternateContent>
      </w:r>
    </w:p>
    <w:p>
      <w:pPr>
        <w:jc w:val="center"/>
        <w:rPr>
          <w:rFonts w:ascii="黑体" w:hAnsi="黑体" w:eastAsia="黑体" w:cs="黑体"/>
          <w:bCs/>
          <w:color w:val="000000" w:themeColor="text1"/>
          <w:sz w:val="52"/>
          <w:szCs w:val="52"/>
          <w14:textFill>
            <w14:solidFill>
              <w14:schemeClr w14:val="tx1"/>
            </w14:solidFill>
          </w14:textFill>
        </w:rPr>
      </w:pPr>
    </w:p>
    <w:p>
      <w:pPr>
        <w:jc w:val="center"/>
        <w:rPr>
          <w:rFonts w:ascii="黑体" w:hAnsi="黑体" w:eastAsia="黑体" w:cs="黑体"/>
          <w:bCs/>
          <w:color w:val="000000" w:themeColor="text1"/>
          <w:sz w:val="52"/>
          <w:szCs w:val="52"/>
          <w14:textFill>
            <w14:solidFill>
              <w14:schemeClr w14:val="tx1"/>
            </w14:solidFill>
          </w14:textFill>
        </w:rPr>
      </w:pPr>
      <w:r>
        <w:rPr>
          <w:rFonts w:hint="eastAsia" w:ascii="黑体" w:hAnsi="黑体" w:eastAsia="黑体" w:cs="黑体"/>
          <w:bCs/>
          <w:color w:val="000000" w:themeColor="text1"/>
          <w:sz w:val="52"/>
          <w:szCs w:val="52"/>
          <w14:textFill>
            <w14:solidFill>
              <w14:schemeClr w14:val="tx1"/>
            </w14:solidFill>
          </w14:textFill>
        </w:rPr>
        <w:t>废铅膏制备精铅（选择性浸出和旋转电积工艺）污染控制技术规范</w:t>
      </w:r>
    </w:p>
    <w:p>
      <w:pPr>
        <w:jc w:val="center"/>
        <w:rPr>
          <w:rFonts w:ascii="Times New Roman" w:hAnsi="Times New Roman" w:eastAsia="仿宋_GB2312" w:cs="Times New Roman"/>
          <w:b/>
          <w:color w:val="000000" w:themeColor="text1"/>
          <w:sz w:val="32"/>
          <w:szCs w:val="32"/>
          <w14:textFill>
            <w14:solidFill>
              <w14:schemeClr w14:val="tx1"/>
            </w14:solidFill>
          </w14:textFill>
        </w:rPr>
      </w:pPr>
      <w:r>
        <w:rPr>
          <w:rFonts w:ascii="黑体" w:hAnsi="黑体" w:eastAsia="黑体" w:cs="黑体"/>
          <w:color w:val="000000" w:themeColor="text1"/>
          <w:sz w:val="28"/>
          <w:szCs w:val="30"/>
          <w14:textFill>
            <w14:solidFill>
              <w14:schemeClr w14:val="tx1"/>
            </w14:solidFill>
          </w14:textFill>
        </w:rPr>
        <w:t>Technical specification of pollution control for refined lead production by using selective leaching and rotation electrowinning from waste lead paste</w:t>
      </w:r>
    </w:p>
    <w:p>
      <w:pPr>
        <w:jc w:val="center"/>
        <w:rPr>
          <w:rFonts w:ascii="仿宋_GB2312" w:hAnsi="新宋体" w:eastAsia="仿宋_GB2312" w:cs="Times New Roman"/>
          <w:b/>
          <w:color w:val="000000" w:themeColor="text1"/>
          <w:sz w:val="32"/>
          <w:szCs w:val="32"/>
          <w14:textFill>
            <w14:solidFill>
              <w14:schemeClr w14:val="tx1"/>
            </w14:solidFill>
          </w14:textFill>
        </w:rPr>
      </w:pPr>
    </w:p>
    <w:p>
      <w:pPr>
        <w:jc w:val="center"/>
        <w:rPr>
          <w:rFonts w:ascii="仿宋_GB2312" w:hAnsi="新宋体" w:eastAsia="仿宋_GB2312"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w:t>
      </w:r>
      <w:r>
        <w:rPr>
          <w:rFonts w:hint="eastAsia" w:ascii="黑体" w:hAnsi="黑体" w:eastAsia="黑体" w:cs="Times New Roman"/>
          <w:color w:val="000000" w:themeColor="text1"/>
          <w:sz w:val="28"/>
          <w:szCs w:val="28"/>
          <w:lang w:val="en-US" w:eastAsia="zh-CN"/>
          <w14:textFill>
            <w14:solidFill>
              <w14:schemeClr w14:val="tx1"/>
            </w14:solidFill>
          </w14:textFill>
        </w:rPr>
        <w:t>送审</w:t>
      </w:r>
      <w:bookmarkStart w:id="10" w:name="_GoBack"/>
      <w:bookmarkEnd w:id="10"/>
      <w:r>
        <w:rPr>
          <w:rFonts w:hint="eastAsia" w:ascii="黑体" w:hAnsi="黑体" w:eastAsia="黑体" w:cs="Times New Roman"/>
          <w:color w:val="000000" w:themeColor="text1"/>
          <w:sz w:val="28"/>
          <w:szCs w:val="28"/>
          <w14:textFill>
            <w14:solidFill>
              <w14:schemeClr w14:val="tx1"/>
            </w14:solidFill>
          </w14:textFill>
        </w:rPr>
        <w:t>稿）</w:t>
      </w:r>
    </w:p>
    <w:p>
      <w:pPr>
        <w:jc w:val="center"/>
        <w:rPr>
          <w:rFonts w:ascii="仿宋_GB2312" w:hAnsi="新宋体" w:eastAsia="仿宋_GB2312" w:cs="Times New Roman"/>
          <w:b/>
          <w:color w:val="000000" w:themeColor="text1"/>
          <w:sz w:val="32"/>
          <w:szCs w:val="32"/>
          <w14:textFill>
            <w14:solidFill>
              <w14:schemeClr w14:val="tx1"/>
            </w14:solidFill>
          </w14:textFill>
        </w:rPr>
      </w:pPr>
    </w:p>
    <w:p>
      <w:pPr>
        <w:jc w:val="center"/>
        <w:rPr>
          <w:rFonts w:ascii="仿宋_GB2312" w:hAnsi="新宋体" w:eastAsia="仿宋_GB2312" w:cs="Times New Roman"/>
          <w:b/>
          <w:color w:val="000000" w:themeColor="text1"/>
          <w:sz w:val="32"/>
          <w:szCs w:val="32"/>
          <w14:textFill>
            <w14:solidFill>
              <w14:schemeClr w14:val="tx1"/>
            </w14:solidFill>
          </w14:textFill>
        </w:rPr>
      </w:pPr>
    </w:p>
    <w:p>
      <w:pPr>
        <w:jc w:val="center"/>
        <w:rPr>
          <w:rFonts w:ascii="仿宋_GB2312" w:hAnsi="新宋体" w:eastAsia="仿宋_GB2312" w:cs="Times New Roman"/>
          <w:b/>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1" layoutInCell="1" allowOverlap="1">
                <wp:simplePos x="0" y="0"/>
                <wp:positionH relativeFrom="margin">
                  <wp:align>right</wp:align>
                </wp:positionH>
                <wp:positionV relativeFrom="margin">
                  <wp:posOffset>7545070</wp:posOffset>
                </wp:positionV>
                <wp:extent cx="2019300" cy="3124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6"/>
                            </w:pPr>
                            <w:r>
                              <w:rPr>
                                <w:rFonts w:hint="eastAsia"/>
                              </w:rPr>
                              <w:t>××××-××-××实施</w:t>
                            </w:r>
                          </w:p>
                        </w:txbxContent>
                      </wps:txbx>
                      <wps:bodyPr lIns="0" tIns="0" rIns="0" bIns="0" upright="1"/>
                    </wps:wsp>
                  </a:graphicData>
                </a:graphic>
              </wp:anchor>
            </w:drawing>
          </mc:Choice>
          <mc:Fallback>
            <w:pict>
              <v:shape id="_x0000_s1026" o:spid="_x0000_s1026" o:spt="202" type="#_x0000_t202" style="position:absolute;left:0pt;margin-top:594.1pt;height:24.6pt;width:159pt;mso-position-horizontal:right;mso-position-horizontal-relative:margin;mso-position-vertical-relative:margin;z-index:251665408;mso-width-relative:page;mso-height-relative:page;" fillcolor="#FFFFFF" filled="t" stroked="f" coordsize="21600,21600" o:gfxdata="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1IBRNgAAAAKAQAADwAAAAAAAAABACAAAAAiAAAA&#10;ZHJzL2Rvd25yZXYueG1sUEsBAhQAFAAAAAgAh07iQH+AtVfOAQAAnQMAAA4AAAAAAAAAAQAgAAAA&#10;JwEAAGRycy9lMm9Eb2MueG1sUEsFBgAAAAAGAAYAWQEAAGcFAAAAAA==&#10;">
                <v:fill on="t" focussize="0,0"/>
                <v:stroke on="f"/>
                <v:imagedata o:title=""/>
                <o:lock v:ext="edit" aspectratio="f"/>
                <v:textbox inset="0mm,0mm,0mm,0mm">
                  <w:txbxContent>
                    <w:p>
                      <w:pPr>
                        <w:pStyle w:val="36"/>
                      </w:pPr>
                      <w:r>
                        <w:rPr>
                          <w:rFonts w:hint="eastAsia"/>
                        </w:rPr>
                        <w:t>××××-××-××实施</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1" layoutInCell="1" allowOverlap="1">
                <wp:simplePos x="0" y="0"/>
                <wp:positionH relativeFrom="margin">
                  <wp:posOffset>-635</wp:posOffset>
                </wp:positionH>
                <wp:positionV relativeFrom="margin">
                  <wp:posOffset>7534910</wp:posOffset>
                </wp:positionV>
                <wp:extent cx="2019300" cy="312420"/>
                <wp:effectExtent l="0" t="0" r="7620" b="7620"/>
                <wp:wrapNone/>
                <wp:docPr id="13" name="文本框 13"/>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5"/>
                              <w:ind w:firstLine="210"/>
                            </w:pP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0.05pt;margin-top:593.3pt;height:24.6pt;width:159pt;mso-position-horizontal-relative:margin;mso-position-vertical-relative:margin;z-index:251664384;mso-width-relative:page;mso-height-relative:page;" fillcolor="#FFFFFF" filled="t" stroked="f" coordsize="21600,21600" o:gfxdata="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aKj5doAAAALAQAADwAAAAAAAAABACAAAAAi&#10;AAAAZHJzL2Rvd25yZXYueG1sUEsBAhQAFAAAAAgAh07iQLlX0OXPAQAAnQMAAA4AAAAAAAAAAQAg&#10;AAAAKQEAAGRycy9lMm9Eb2MueG1sUEsFBgAAAAAGAAYAWQEAAGoFAAAAAA==&#10;">
                <v:fill on="t" focussize="0,0"/>
                <v:stroke on="f"/>
                <v:imagedata o:title=""/>
                <o:lock v:ext="edit" aspectratio="f"/>
                <v:textbox inset="0mm,0mm,0mm,0mm">
                  <w:txbxContent>
                    <w:p>
                      <w:pPr>
                        <w:pStyle w:val="35"/>
                        <w:ind w:firstLine="210"/>
                      </w:pPr>
                      <w:r>
                        <w:rPr>
                          <w:rFonts w:hint="eastAsia"/>
                        </w:rPr>
                        <w:t>××××-××-××发布</w:t>
                      </w:r>
                    </w:p>
                  </w:txbxContent>
                </v:textbox>
                <w10:anchorlock/>
              </v:shape>
            </w:pict>
          </mc:Fallback>
        </mc:AlternateContent>
      </w:r>
    </w:p>
    <w:p>
      <w:pPr>
        <w:jc w:val="center"/>
        <w:rPr>
          <w:rFonts w:ascii="仿宋_GB2312" w:hAnsi="新宋体" w:eastAsia="仿宋_GB2312" w:cs="Times New Roman"/>
          <w:b/>
          <w:color w:val="000000" w:themeColor="text1"/>
          <w:sz w:val="32"/>
          <w:szCs w:val="32"/>
          <w14:textFill>
            <w14:solidFill>
              <w14:schemeClr w14:val="tx1"/>
            </w14:solidFill>
          </w14:textFill>
        </w:rPr>
      </w:pPr>
    </w:p>
    <w:p>
      <w:pPr>
        <w:jc w:val="center"/>
        <w:rPr>
          <w:rFonts w:ascii="仿宋_GB2312" w:hAnsi="Times New Roman" w:eastAsia="仿宋_GB2312" w:cs="Times New Roman"/>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205740</wp:posOffset>
                </wp:positionV>
                <wp:extent cx="6121400" cy="0"/>
                <wp:effectExtent l="0" t="0" r="0" b="0"/>
                <wp:wrapTopAndBottom/>
                <wp:docPr id="14" name="直接连接符 1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16.2pt;height:0pt;width:482pt;mso-position-horizontal:right;mso-position-horizontal-relative:margin;mso-wrap-distance-bottom:0pt;mso-wrap-distance-top:0pt;z-index:251663360;mso-width-relative:page;mso-height-relative:page;" filled="f" stroked="t" coordsize="21600,21600" o:gfxdata="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zTz&#10;2dUAAAAGAQAADwAAAAAAAAABACAAAAAiAAAAZHJzL2Rvd25yZXYueG1sUEsBAhQAFAAAAAgAh07i&#10;QIRB3dTsAQAA2wMAAA4AAAAAAAAAAQAgAAAAJAEAAGRycy9lMm9Eb2MueG1sUEsFBgAAAAAGAAYA&#10;WQEAAIIFAAAAAA==&#10;">
                <v:fill on="f" focussize="0,0"/>
                <v:stroke weight="1pt" color="#000000" joinstyle="round"/>
                <v:imagedata o:title=""/>
                <o:lock v:ext="edit" aspectratio="f"/>
                <w10:wrap type="topAndBottom"/>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5154295</wp:posOffset>
                </wp:positionH>
                <wp:positionV relativeFrom="paragraph">
                  <wp:posOffset>429895</wp:posOffset>
                </wp:positionV>
                <wp:extent cx="832485" cy="487045"/>
                <wp:effectExtent l="0" t="0" r="5715" b="635"/>
                <wp:wrapNone/>
                <wp:docPr id="15" name="文本框 15"/>
                <wp:cNvGraphicFramePr/>
                <a:graphic xmlns:a="http://schemas.openxmlformats.org/drawingml/2006/main">
                  <a:graphicData uri="http://schemas.microsoft.com/office/word/2010/wordprocessingShape">
                    <wps:wsp>
                      <wps:cNvSpPr txBox="1"/>
                      <wps:spPr>
                        <a:xfrm>
                          <a:off x="5909945" y="8960485"/>
                          <a:ext cx="832485" cy="487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z w:val="28"/>
                                <w:szCs w:val="28"/>
                              </w:rPr>
                            </w:pPr>
                            <w:r>
                              <w:rPr>
                                <w:rFonts w:hint="eastAsia" w:ascii="黑体" w:hAnsi="黑体" w:eastAsia="黑体" w:cs="黑体"/>
                                <w:sz w:val="28"/>
                                <w:szCs w:val="28"/>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5pt;margin-top:33.85pt;height:38.35pt;width:65.55pt;z-index:251668480;mso-width-relative:page;mso-height-relative:page;" fillcolor="#FFFFFF [3201]" filled="t" stroked="f" coordsize="21600,21600" o:gfxdata="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fnHdUA&#10;AAAKAQAADwAAAAAAAAABACAAAAAiAAAAZHJzL2Rvd25yZXYueG1sUEsBAhQAFAAAAAgAh07iQHuE&#10;iOtbAgAAnAQAAA4AAAAAAAAAAQAgAAAAJAEAAGRycy9lMm9Eb2MueG1sUEsFBgAAAAAGAAYAWQEA&#10;APEFAAAAAA==&#10;">
                <v:fill on="t" focussize="0,0"/>
                <v:stroke on="f" weight="0.5pt"/>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发布</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1" layoutInCell="1" allowOverlap="1">
                <wp:simplePos x="0" y="0"/>
                <wp:positionH relativeFrom="margin">
                  <wp:posOffset>211455</wp:posOffset>
                </wp:positionH>
                <wp:positionV relativeFrom="margin">
                  <wp:posOffset>8029575</wp:posOffset>
                </wp:positionV>
                <wp:extent cx="4638040" cy="829310"/>
                <wp:effectExtent l="0" t="0" r="10160" b="8890"/>
                <wp:wrapNone/>
                <wp:docPr id="16" name="文本框 16"/>
                <wp:cNvGraphicFramePr/>
                <a:graphic xmlns:a="http://schemas.openxmlformats.org/drawingml/2006/main">
                  <a:graphicData uri="http://schemas.microsoft.com/office/word/2010/wordprocessingShape">
                    <wps:wsp>
                      <wps:cNvSpPr txBox="1"/>
                      <wps:spPr>
                        <a:xfrm>
                          <a:off x="0" y="0"/>
                          <a:ext cx="4638040" cy="829310"/>
                        </a:xfrm>
                        <a:prstGeom prst="rect">
                          <a:avLst/>
                        </a:prstGeom>
                        <a:solidFill>
                          <a:srgbClr val="FFFFFF"/>
                        </a:solidFill>
                        <a:ln>
                          <a:noFill/>
                        </a:ln>
                      </wps:spPr>
                      <wps:txbx>
                        <w:txbxContent>
                          <w:p>
                            <w:pPr>
                              <w:pStyle w:val="38"/>
                              <w:jc w:val="both"/>
                              <w:rPr>
                                <w:spacing w:val="0"/>
                                <w:szCs w:val="36"/>
                              </w:rPr>
                            </w:pPr>
                            <w:r>
                              <w:rPr>
                                <w:rFonts w:hint="eastAsia"/>
                                <w:spacing w:val="0"/>
                                <w:szCs w:val="36"/>
                              </w:rPr>
                              <w:t>中</w:t>
                            </w:r>
                            <w:r>
                              <w:rPr>
                                <w:spacing w:val="0"/>
                                <w:szCs w:val="36"/>
                              </w:rPr>
                              <w:t xml:space="preserve"> </w:t>
                            </w:r>
                            <w:r>
                              <w:rPr>
                                <w:rFonts w:hint="eastAsia"/>
                                <w:spacing w:val="0"/>
                                <w:szCs w:val="36"/>
                              </w:rPr>
                              <w:t>国</w:t>
                            </w:r>
                            <w:r>
                              <w:rPr>
                                <w:spacing w:val="0"/>
                                <w:szCs w:val="36"/>
                              </w:rPr>
                              <w:t xml:space="preserve"> </w:t>
                            </w:r>
                            <w:r>
                              <w:rPr>
                                <w:rFonts w:hint="eastAsia"/>
                                <w:spacing w:val="0"/>
                                <w:szCs w:val="36"/>
                              </w:rPr>
                              <w:t>有</w:t>
                            </w:r>
                            <w:r>
                              <w:rPr>
                                <w:spacing w:val="0"/>
                                <w:szCs w:val="36"/>
                              </w:rPr>
                              <w:t xml:space="preserve"> </w:t>
                            </w:r>
                            <w:r>
                              <w:rPr>
                                <w:rFonts w:hint="eastAsia"/>
                                <w:spacing w:val="0"/>
                                <w:szCs w:val="36"/>
                              </w:rPr>
                              <w:t>色</w:t>
                            </w:r>
                            <w:r>
                              <w:rPr>
                                <w:spacing w:val="0"/>
                                <w:szCs w:val="36"/>
                              </w:rPr>
                              <w:t xml:space="preserve"> </w:t>
                            </w:r>
                            <w:r>
                              <w:rPr>
                                <w:rFonts w:hint="eastAsia"/>
                                <w:spacing w:val="0"/>
                                <w:szCs w:val="36"/>
                              </w:rPr>
                              <w:t>金</w:t>
                            </w:r>
                            <w:r>
                              <w:rPr>
                                <w:spacing w:val="0"/>
                                <w:szCs w:val="36"/>
                              </w:rPr>
                              <w:t xml:space="preserve"> </w:t>
                            </w:r>
                            <w:r>
                              <w:rPr>
                                <w:rFonts w:hint="eastAsia"/>
                                <w:spacing w:val="0"/>
                                <w:szCs w:val="36"/>
                              </w:rPr>
                              <w:t>属</w:t>
                            </w:r>
                            <w:r>
                              <w:rPr>
                                <w:spacing w:val="0"/>
                                <w:szCs w:val="36"/>
                              </w:rPr>
                              <w:t xml:space="preserve"> </w:t>
                            </w:r>
                            <w:r>
                              <w:rPr>
                                <w:rFonts w:hint="eastAsia"/>
                                <w:spacing w:val="0"/>
                                <w:szCs w:val="36"/>
                              </w:rPr>
                              <w:t>工</w:t>
                            </w:r>
                            <w:r>
                              <w:rPr>
                                <w:spacing w:val="0"/>
                                <w:szCs w:val="36"/>
                              </w:rPr>
                              <w:t xml:space="preserve"> </w:t>
                            </w:r>
                            <w:r>
                              <w:rPr>
                                <w:rFonts w:hint="eastAsia"/>
                                <w:spacing w:val="0"/>
                                <w:szCs w:val="36"/>
                              </w:rPr>
                              <w:t>业</w:t>
                            </w:r>
                            <w:r>
                              <w:rPr>
                                <w:spacing w:val="0"/>
                                <w:szCs w:val="36"/>
                              </w:rPr>
                              <w:t xml:space="preserve"> </w:t>
                            </w:r>
                            <w:r>
                              <w:rPr>
                                <w:rFonts w:hint="eastAsia"/>
                                <w:spacing w:val="0"/>
                                <w:szCs w:val="36"/>
                              </w:rPr>
                              <w:t>协</w:t>
                            </w:r>
                            <w:r>
                              <w:rPr>
                                <w:spacing w:val="0"/>
                                <w:szCs w:val="36"/>
                              </w:rPr>
                              <w:t xml:space="preserve"> </w:t>
                            </w:r>
                            <w:r>
                              <w:rPr>
                                <w:rFonts w:hint="eastAsia"/>
                                <w:spacing w:val="0"/>
                                <w:szCs w:val="36"/>
                              </w:rPr>
                              <w:t>会</w:t>
                            </w:r>
                            <w:r>
                              <w:rPr>
                                <w:spacing w:val="0"/>
                                <w:szCs w:val="36"/>
                              </w:rPr>
                              <w:t xml:space="preserve"> </w:t>
                            </w:r>
                          </w:p>
                          <w:p>
                            <w:pPr>
                              <w:pStyle w:val="38"/>
                              <w:jc w:val="both"/>
                              <w:rPr>
                                <w:szCs w:val="36"/>
                              </w:rPr>
                            </w:pPr>
                            <w:r>
                              <w:rPr>
                                <w:rFonts w:hint="eastAsia"/>
                                <w:spacing w:val="0"/>
                                <w:w w:val="130"/>
                                <w:szCs w:val="36"/>
                              </w:rPr>
                              <w:t>中</w:t>
                            </w:r>
                            <w:r>
                              <w:rPr>
                                <w:spacing w:val="0"/>
                                <w:w w:val="130"/>
                                <w:szCs w:val="36"/>
                              </w:rPr>
                              <w:t xml:space="preserve">  </w:t>
                            </w:r>
                            <w:r>
                              <w:rPr>
                                <w:rFonts w:hint="eastAsia"/>
                                <w:spacing w:val="0"/>
                                <w:w w:val="130"/>
                                <w:szCs w:val="36"/>
                              </w:rPr>
                              <w:t>国</w:t>
                            </w:r>
                            <w:r>
                              <w:rPr>
                                <w:spacing w:val="0"/>
                                <w:w w:val="130"/>
                                <w:szCs w:val="36"/>
                              </w:rPr>
                              <w:t xml:space="preserve">  </w:t>
                            </w:r>
                            <w:r>
                              <w:rPr>
                                <w:rFonts w:hint="eastAsia"/>
                                <w:spacing w:val="0"/>
                                <w:w w:val="130"/>
                                <w:szCs w:val="36"/>
                              </w:rPr>
                              <w:t>有</w:t>
                            </w:r>
                            <w:r>
                              <w:rPr>
                                <w:spacing w:val="0"/>
                                <w:w w:val="130"/>
                                <w:szCs w:val="36"/>
                              </w:rPr>
                              <w:t xml:space="preserve">  </w:t>
                            </w:r>
                            <w:r>
                              <w:rPr>
                                <w:rFonts w:hint="eastAsia"/>
                                <w:spacing w:val="0"/>
                                <w:w w:val="130"/>
                                <w:szCs w:val="36"/>
                              </w:rPr>
                              <w:t>色</w:t>
                            </w:r>
                            <w:r>
                              <w:rPr>
                                <w:spacing w:val="0"/>
                                <w:w w:val="130"/>
                                <w:szCs w:val="36"/>
                              </w:rPr>
                              <w:t xml:space="preserve">  </w:t>
                            </w:r>
                            <w:r>
                              <w:rPr>
                                <w:rFonts w:hint="eastAsia"/>
                                <w:spacing w:val="0"/>
                                <w:w w:val="130"/>
                                <w:szCs w:val="36"/>
                              </w:rPr>
                              <w:t>金</w:t>
                            </w:r>
                            <w:r>
                              <w:rPr>
                                <w:spacing w:val="0"/>
                                <w:w w:val="130"/>
                                <w:szCs w:val="36"/>
                              </w:rPr>
                              <w:t xml:space="preserve">  </w:t>
                            </w:r>
                            <w:r>
                              <w:rPr>
                                <w:rFonts w:hint="eastAsia"/>
                                <w:spacing w:val="0"/>
                                <w:w w:val="130"/>
                                <w:szCs w:val="36"/>
                              </w:rPr>
                              <w:t>属</w:t>
                            </w:r>
                            <w:r>
                              <w:rPr>
                                <w:spacing w:val="0"/>
                                <w:w w:val="130"/>
                                <w:szCs w:val="36"/>
                              </w:rPr>
                              <w:t xml:space="preserve">  </w:t>
                            </w:r>
                            <w:r>
                              <w:rPr>
                                <w:rFonts w:hint="eastAsia"/>
                                <w:spacing w:val="0"/>
                                <w:w w:val="130"/>
                                <w:szCs w:val="36"/>
                              </w:rPr>
                              <w:t>学</w:t>
                            </w:r>
                            <w:r>
                              <w:rPr>
                                <w:spacing w:val="0"/>
                                <w:w w:val="130"/>
                                <w:szCs w:val="36"/>
                              </w:rPr>
                              <w:t xml:space="preserve">  </w:t>
                            </w:r>
                            <w:r>
                              <w:rPr>
                                <w:rFonts w:hint="eastAsia"/>
                                <w:spacing w:val="0"/>
                                <w:w w:val="130"/>
                                <w:szCs w:val="36"/>
                              </w:rPr>
                              <w:t>会</w:t>
                            </w:r>
                            <w:r>
                              <w:rPr>
                                <w:spacing w:val="0"/>
                                <w:w w:val="130"/>
                                <w:szCs w:val="36"/>
                              </w:rPr>
                              <w:t xml:space="preserve"> </w:t>
                            </w:r>
                          </w:p>
                        </w:txbxContent>
                      </wps:txbx>
                      <wps:bodyPr lIns="0" tIns="0" rIns="0" bIns="0" upright="1"/>
                    </wps:wsp>
                  </a:graphicData>
                </a:graphic>
              </wp:anchor>
            </w:drawing>
          </mc:Choice>
          <mc:Fallback>
            <w:pict>
              <v:shape id="_x0000_s1026" o:spid="_x0000_s1026" o:spt="202" type="#_x0000_t202" style="position:absolute;left:0pt;margin-left:16.65pt;margin-top:632.25pt;height:65.3pt;width:365.2pt;mso-position-horizontal-relative:margin;mso-position-vertical-relative:margin;z-index:251666432;mso-width-relative:page;mso-height-relative:page;" fillcolor="#FFFFFF" filled="t" stroked="f" coordsize="21600,21600" o:gfxdata="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6hLTNsAAAAMAQAADwAAAAAAAAABACAA&#10;AAAiAAAAZHJzL2Rvd25yZXYueG1sUEsBAhQAFAAAAAgAh07iQMQVnUfRAQAAnQMAAA4AAAAAAAAA&#10;AQAgAAAAKgEAAGRycy9lMm9Eb2MueG1sUEsFBgAAAAAGAAYAWQEAAG0FAAAAAA==&#10;">
                <v:fill on="t" focussize="0,0"/>
                <v:stroke on="f"/>
                <v:imagedata o:title=""/>
                <o:lock v:ext="edit" aspectratio="f"/>
                <v:textbox inset="0mm,0mm,0mm,0mm">
                  <w:txbxContent>
                    <w:p>
                      <w:pPr>
                        <w:pStyle w:val="38"/>
                        <w:jc w:val="both"/>
                        <w:rPr>
                          <w:spacing w:val="0"/>
                          <w:szCs w:val="36"/>
                        </w:rPr>
                      </w:pPr>
                      <w:r>
                        <w:rPr>
                          <w:rFonts w:hint="eastAsia"/>
                          <w:spacing w:val="0"/>
                          <w:szCs w:val="36"/>
                        </w:rPr>
                        <w:t>中</w:t>
                      </w:r>
                      <w:r>
                        <w:rPr>
                          <w:spacing w:val="0"/>
                          <w:szCs w:val="36"/>
                        </w:rPr>
                        <w:t xml:space="preserve"> </w:t>
                      </w:r>
                      <w:r>
                        <w:rPr>
                          <w:rFonts w:hint="eastAsia"/>
                          <w:spacing w:val="0"/>
                          <w:szCs w:val="36"/>
                        </w:rPr>
                        <w:t>国</w:t>
                      </w:r>
                      <w:r>
                        <w:rPr>
                          <w:spacing w:val="0"/>
                          <w:szCs w:val="36"/>
                        </w:rPr>
                        <w:t xml:space="preserve"> </w:t>
                      </w:r>
                      <w:r>
                        <w:rPr>
                          <w:rFonts w:hint="eastAsia"/>
                          <w:spacing w:val="0"/>
                          <w:szCs w:val="36"/>
                        </w:rPr>
                        <w:t>有</w:t>
                      </w:r>
                      <w:r>
                        <w:rPr>
                          <w:spacing w:val="0"/>
                          <w:szCs w:val="36"/>
                        </w:rPr>
                        <w:t xml:space="preserve"> </w:t>
                      </w:r>
                      <w:r>
                        <w:rPr>
                          <w:rFonts w:hint="eastAsia"/>
                          <w:spacing w:val="0"/>
                          <w:szCs w:val="36"/>
                        </w:rPr>
                        <w:t>色</w:t>
                      </w:r>
                      <w:r>
                        <w:rPr>
                          <w:spacing w:val="0"/>
                          <w:szCs w:val="36"/>
                        </w:rPr>
                        <w:t xml:space="preserve"> </w:t>
                      </w:r>
                      <w:r>
                        <w:rPr>
                          <w:rFonts w:hint="eastAsia"/>
                          <w:spacing w:val="0"/>
                          <w:szCs w:val="36"/>
                        </w:rPr>
                        <w:t>金</w:t>
                      </w:r>
                      <w:r>
                        <w:rPr>
                          <w:spacing w:val="0"/>
                          <w:szCs w:val="36"/>
                        </w:rPr>
                        <w:t xml:space="preserve"> </w:t>
                      </w:r>
                      <w:r>
                        <w:rPr>
                          <w:rFonts w:hint="eastAsia"/>
                          <w:spacing w:val="0"/>
                          <w:szCs w:val="36"/>
                        </w:rPr>
                        <w:t>属</w:t>
                      </w:r>
                      <w:r>
                        <w:rPr>
                          <w:spacing w:val="0"/>
                          <w:szCs w:val="36"/>
                        </w:rPr>
                        <w:t xml:space="preserve"> </w:t>
                      </w:r>
                      <w:r>
                        <w:rPr>
                          <w:rFonts w:hint="eastAsia"/>
                          <w:spacing w:val="0"/>
                          <w:szCs w:val="36"/>
                        </w:rPr>
                        <w:t>工</w:t>
                      </w:r>
                      <w:r>
                        <w:rPr>
                          <w:spacing w:val="0"/>
                          <w:szCs w:val="36"/>
                        </w:rPr>
                        <w:t xml:space="preserve"> </w:t>
                      </w:r>
                      <w:r>
                        <w:rPr>
                          <w:rFonts w:hint="eastAsia"/>
                          <w:spacing w:val="0"/>
                          <w:szCs w:val="36"/>
                        </w:rPr>
                        <w:t>业</w:t>
                      </w:r>
                      <w:r>
                        <w:rPr>
                          <w:spacing w:val="0"/>
                          <w:szCs w:val="36"/>
                        </w:rPr>
                        <w:t xml:space="preserve"> </w:t>
                      </w:r>
                      <w:r>
                        <w:rPr>
                          <w:rFonts w:hint="eastAsia"/>
                          <w:spacing w:val="0"/>
                          <w:szCs w:val="36"/>
                        </w:rPr>
                        <w:t>协</w:t>
                      </w:r>
                      <w:r>
                        <w:rPr>
                          <w:spacing w:val="0"/>
                          <w:szCs w:val="36"/>
                        </w:rPr>
                        <w:t xml:space="preserve"> </w:t>
                      </w:r>
                      <w:r>
                        <w:rPr>
                          <w:rFonts w:hint="eastAsia"/>
                          <w:spacing w:val="0"/>
                          <w:szCs w:val="36"/>
                        </w:rPr>
                        <w:t>会</w:t>
                      </w:r>
                      <w:r>
                        <w:rPr>
                          <w:spacing w:val="0"/>
                          <w:szCs w:val="36"/>
                        </w:rPr>
                        <w:t xml:space="preserve"> </w:t>
                      </w:r>
                    </w:p>
                    <w:p>
                      <w:pPr>
                        <w:pStyle w:val="38"/>
                        <w:jc w:val="both"/>
                        <w:rPr>
                          <w:szCs w:val="36"/>
                        </w:rPr>
                      </w:pPr>
                      <w:r>
                        <w:rPr>
                          <w:rFonts w:hint="eastAsia"/>
                          <w:spacing w:val="0"/>
                          <w:w w:val="130"/>
                          <w:szCs w:val="36"/>
                        </w:rPr>
                        <w:t>中</w:t>
                      </w:r>
                      <w:r>
                        <w:rPr>
                          <w:spacing w:val="0"/>
                          <w:w w:val="130"/>
                          <w:szCs w:val="36"/>
                        </w:rPr>
                        <w:t xml:space="preserve">  </w:t>
                      </w:r>
                      <w:r>
                        <w:rPr>
                          <w:rFonts w:hint="eastAsia"/>
                          <w:spacing w:val="0"/>
                          <w:w w:val="130"/>
                          <w:szCs w:val="36"/>
                        </w:rPr>
                        <w:t>国</w:t>
                      </w:r>
                      <w:r>
                        <w:rPr>
                          <w:spacing w:val="0"/>
                          <w:w w:val="130"/>
                          <w:szCs w:val="36"/>
                        </w:rPr>
                        <w:t xml:space="preserve">  </w:t>
                      </w:r>
                      <w:r>
                        <w:rPr>
                          <w:rFonts w:hint="eastAsia"/>
                          <w:spacing w:val="0"/>
                          <w:w w:val="130"/>
                          <w:szCs w:val="36"/>
                        </w:rPr>
                        <w:t>有</w:t>
                      </w:r>
                      <w:r>
                        <w:rPr>
                          <w:spacing w:val="0"/>
                          <w:w w:val="130"/>
                          <w:szCs w:val="36"/>
                        </w:rPr>
                        <w:t xml:space="preserve">  </w:t>
                      </w:r>
                      <w:r>
                        <w:rPr>
                          <w:rFonts w:hint="eastAsia"/>
                          <w:spacing w:val="0"/>
                          <w:w w:val="130"/>
                          <w:szCs w:val="36"/>
                        </w:rPr>
                        <w:t>色</w:t>
                      </w:r>
                      <w:r>
                        <w:rPr>
                          <w:spacing w:val="0"/>
                          <w:w w:val="130"/>
                          <w:szCs w:val="36"/>
                        </w:rPr>
                        <w:t xml:space="preserve">  </w:t>
                      </w:r>
                      <w:r>
                        <w:rPr>
                          <w:rFonts w:hint="eastAsia"/>
                          <w:spacing w:val="0"/>
                          <w:w w:val="130"/>
                          <w:szCs w:val="36"/>
                        </w:rPr>
                        <w:t>金</w:t>
                      </w:r>
                      <w:r>
                        <w:rPr>
                          <w:spacing w:val="0"/>
                          <w:w w:val="130"/>
                          <w:szCs w:val="36"/>
                        </w:rPr>
                        <w:t xml:space="preserve">  </w:t>
                      </w:r>
                      <w:r>
                        <w:rPr>
                          <w:rFonts w:hint="eastAsia"/>
                          <w:spacing w:val="0"/>
                          <w:w w:val="130"/>
                          <w:szCs w:val="36"/>
                        </w:rPr>
                        <w:t>属</w:t>
                      </w:r>
                      <w:r>
                        <w:rPr>
                          <w:spacing w:val="0"/>
                          <w:w w:val="130"/>
                          <w:szCs w:val="36"/>
                        </w:rPr>
                        <w:t xml:space="preserve">  </w:t>
                      </w:r>
                      <w:r>
                        <w:rPr>
                          <w:rFonts w:hint="eastAsia"/>
                          <w:spacing w:val="0"/>
                          <w:w w:val="130"/>
                          <w:szCs w:val="36"/>
                        </w:rPr>
                        <w:t>学</w:t>
                      </w:r>
                      <w:r>
                        <w:rPr>
                          <w:spacing w:val="0"/>
                          <w:w w:val="130"/>
                          <w:szCs w:val="36"/>
                        </w:rPr>
                        <w:t xml:space="preserve">  </w:t>
                      </w:r>
                      <w:r>
                        <w:rPr>
                          <w:rFonts w:hint="eastAsia"/>
                          <w:spacing w:val="0"/>
                          <w:w w:val="130"/>
                          <w:szCs w:val="36"/>
                        </w:rPr>
                        <w:t>会</w:t>
                      </w:r>
                      <w:r>
                        <w:rPr>
                          <w:spacing w:val="0"/>
                          <w:w w:val="130"/>
                          <w:szCs w:val="36"/>
                        </w:rPr>
                        <w:t xml:space="preserve"> </w:t>
                      </w:r>
                    </w:p>
                  </w:txbxContent>
                </v:textbox>
                <w10:anchorlock/>
              </v:shape>
            </w:pict>
          </mc:Fallback>
        </mc:AlternateContent>
      </w:r>
      <w:r>
        <w:rPr>
          <w:rFonts w:hint="eastAsia" w:ascii="仿宋_GB2312" w:hAnsi="Times New Roman" w:eastAsia="仿宋_GB2312" w:cs="Times New Roman"/>
          <w:color w:val="000000" w:themeColor="text1"/>
          <w:sz w:val="32"/>
          <w:szCs w:val="32"/>
          <w14:textFill>
            <w14:solidFill>
              <w14:schemeClr w14:val="tx1"/>
            </w14:solidFill>
          </w14:textFill>
        </w:rPr>
        <w:br w:type="page"/>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6367145</wp:posOffset>
                </wp:positionH>
                <wp:positionV relativeFrom="paragraph">
                  <wp:posOffset>9596120</wp:posOffset>
                </wp:positionV>
                <wp:extent cx="608330" cy="305435"/>
                <wp:effectExtent l="4445" t="4445" r="12065" b="10160"/>
                <wp:wrapNone/>
                <wp:docPr id="17" name="矩形 17"/>
                <wp:cNvGraphicFramePr/>
                <a:graphic xmlns:a="http://schemas.openxmlformats.org/drawingml/2006/main">
                  <a:graphicData uri="http://schemas.microsoft.com/office/word/2010/wordprocessingShape">
                    <wps:wsp>
                      <wps:cNvSpPr/>
                      <wps:spPr>
                        <a:xfrm>
                          <a:off x="0" y="0"/>
                          <a:ext cx="608330" cy="3054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黑体" w:eastAsia="黑体"/>
                                <w:b/>
                                <w:sz w:val="28"/>
                                <w:szCs w:val="28"/>
                              </w:rPr>
                            </w:pPr>
                            <w:r>
                              <w:rPr>
                                <w:rFonts w:hint="eastAsia" w:ascii="黑体" w:eastAsia="黑体"/>
                                <w:b/>
                                <w:sz w:val="28"/>
                                <w:szCs w:val="28"/>
                              </w:rPr>
                              <w:t>发布</w:t>
                            </w:r>
                          </w:p>
                          <w:p/>
                        </w:txbxContent>
                      </wps:txbx>
                      <wps:bodyPr upright="1"/>
                    </wps:wsp>
                  </a:graphicData>
                </a:graphic>
              </wp:anchor>
            </w:drawing>
          </mc:Choice>
          <mc:Fallback>
            <w:pict>
              <v:rect id="_x0000_s1026" o:spid="_x0000_s1026" o:spt="1" style="position:absolute;left:0pt;margin-left:501.35pt;margin-top:755.6pt;height:24.05pt;width:47.9pt;z-index:251669504;mso-width-relative:page;mso-height-relative:page;" fillcolor="#FFFFFF" filled="t" stroked="t" coordsize="21600,21600" o:gfxdata="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UY6Z2gAAAA8BAAAPAAAAAAAAAAEAIAAAACIAAABkcnMvZG93&#10;bnJldi54bWxQSwECFAAUAAAACACHTuJAw1RVWP4BAAAqBAAADgAAAAAAAAABACAAAAApAQAAZHJz&#10;L2Uyb0RvYy54bWxQSwUGAAAAAAYABgBZAQAAmQUAAAAA&#10;">
                <v:fill on="t" focussize="0,0"/>
                <v:stroke color="#FFFFFF" joinstyle="miter"/>
                <v:imagedata o:title=""/>
                <o:lock v:ext="edit" aspectratio="f"/>
                <v:textbox>
                  <w:txbxContent>
                    <w:p>
                      <w:pPr>
                        <w:rPr>
                          <w:rFonts w:ascii="黑体" w:eastAsia="黑体"/>
                          <w:b/>
                          <w:sz w:val="28"/>
                          <w:szCs w:val="28"/>
                        </w:rPr>
                      </w:pPr>
                      <w:r>
                        <w:rPr>
                          <w:rFonts w:hint="eastAsia" w:ascii="黑体" w:eastAsia="黑体"/>
                          <w:b/>
                          <w:sz w:val="28"/>
                          <w:szCs w:val="28"/>
                        </w:rPr>
                        <w:t>发布</w:t>
                      </w:r>
                    </w:p>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6214745</wp:posOffset>
                </wp:positionH>
                <wp:positionV relativeFrom="paragraph">
                  <wp:posOffset>9443720</wp:posOffset>
                </wp:positionV>
                <wp:extent cx="608330" cy="305435"/>
                <wp:effectExtent l="4445" t="4445" r="12065" b="10160"/>
                <wp:wrapNone/>
                <wp:docPr id="18" name="矩形 18"/>
                <wp:cNvGraphicFramePr/>
                <a:graphic xmlns:a="http://schemas.openxmlformats.org/drawingml/2006/main">
                  <a:graphicData uri="http://schemas.microsoft.com/office/word/2010/wordprocessingShape">
                    <wps:wsp>
                      <wps:cNvSpPr/>
                      <wps:spPr>
                        <a:xfrm>
                          <a:off x="0" y="0"/>
                          <a:ext cx="608330" cy="3054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黑体" w:eastAsia="黑体"/>
                                <w:b/>
                                <w:sz w:val="28"/>
                                <w:szCs w:val="28"/>
                              </w:rPr>
                            </w:pPr>
                            <w:r>
                              <w:rPr>
                                <w:rFonts w:hint="eastAsia" w:ascii="黑体" w:eastAsia="黑体"/>
                                <w:b/>
                                <w:sz w:val="28"/>
                                <w:szCs w:val="28"/>
                              </w:rPr>
                              <w:t>发布</w:t>
                            </w:r>
                          </w:p>
                          <w:p/>
                        </w:txbxContent>
                      </wps:txbx>
                      <wps:bodyPr upright="1"/>
                    </wps:wsp>
                  </a:graphicData>
                </a:graphic>
              </wp:anchor>
            </w:drawing>
          </mc:Choice>
          <mc:Fallback>
            <w:pict>
              <v:rect id="_x0000_s1026" o:spid="_x0000_s1026" o:spt="1" style="position:absolute;left:0pt;margin-left:489.35pt;margin-top:743.6pt;height:24.05pt;width:47.9pt;z-index:251667456;mso-width-relative:page;mso-height-relative:page;" fillcolor="#FFFFFF" filled="t" stroked="t" coordsize="21600,21600" o:gfxdata="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5o3BB2wAAAA4BAAAPAAAAAAAAAAEAIAAAACIAAABkcnMvZG93&#10;bnJldi54bWxQSwECFAAUAAAACACHTuJA6zjsXP0BAAAqBAAADgAAAAAAAAABACAAAAAqAQAAZHJz&#10;L2Uyb0RvYy54bWxQSwUGAAAAAAYABgBZAQAAmQUAAAAA&#10;">
                <v:fill on="t" focussize="0,0"/>
                <v:stroke color="#FFFFFF" joinstyle="miter"/>
                <v:imagedata o:title=""/>
                <o:lock v:ext="edit" aspectratio="f"/>
                <v:textbox>
                  <w:txbxContent>
                    <w:p>
                      <w:pPr>
                        <w:rPr>
                          <w:rFonts w:ascii="黑体" w:eastAsia="黑体"/>
                          <w:b/>
                          <w:sz w:val="28"/>
                          <w:szCs w:val="28"/>
                        </w:rPr>
                      </w:pPr>
                      <w:r>
                        <w:rPr>
                          <w:rFonts w:hint="eastAsia" w:ascii="黑体" w:eastAsia="黑体"/>
                          <w:b/>
                          <w:sz w:val="28"/>
                          <w:szCs w:val="28"/>
                        </w:rPr>
                        <w:t>发布</w:t>
                      </w:r>
                    </w:p>
                    <w:p/>
                  </w:txbxContent>
                </v:textbox>
              </v:rect>
            </w:pict>
          </mc:Fallback>
        </mc:AlternateContent>
      </w:r>
    </w:p>
    <w:p>
      <w:pPr>
        <w:pStyle w:val="14"/>
        <w:spacing w:before="156" w:after="156"/>
        <w:jc w:val="center"/>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前  言</w:t>
      </w:r>
    </w:p>
    <w:p>
      <w:pPr>
        <w:spacing w:line="360"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本文件按照GB/T 1.1-2020《标准化工作导则 第1部分：标准化文件的结构和起草规则》的规定起草。</w:t>
      </w:r>
    </w:p>
    <w:p>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请注意本文件的某些内容可能涉及专利。本文件的发布机构不承担识别专利的责任。</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本文件由全国有色金属标准化技术委员会</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SAC/TC 243</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提出并归口。</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本文件起草单位：</w:t>
      </w:r>
      <w:r>
        <w:rPr>
          <w:rFonts w:hint="eastAsia" w:ascii="Times New Roman" w:hAnsi="Times New Roman" w:cs="Times New Roman"/>
          <w:color w:val="000000" w:themeColor="text1"/>
          <w:szCs w:val="21"/>
          <w14:textFill>
            <w14:solidFill>
              <w14:schemeClr w14:val="tx1"/>
            </w14:solidFill>
          </w14:textFill>
        </w:rPr>
        <w:t>生态环境部华南环境科学研究所、生态环境部固体废物与化学品管理技术中心、矿冶科技集团有限公司、天津理工大学、东北大学、北京化工大学、华南农业大学、浙江天能电源材料有限公司、超威集团、北京中再联盟技术有限公司、郑州金泉矿冶设备有限公司</w:t>
      </w:r>
      <w:r>
        <w:rPr>
          <w:rFonts w:ascii="Times New Roman" w:hAnsi="Times New Roman" w:eastAsia="宋体"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本文件主要起草人：</w:t>
      </w: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ind w:firstLine="420" w:firstLineChars="200"/>
        <w:rPr>
          <w:rFonts w:ascii="Times New Roman" w:hAnsi="Times New Roman" w:cs="Times New Roman"/>
          <w:color w:val="000000" w:themeColor="text1"/>
          <w:szCs w:val="21"/>
          <w14:textFill>
            <w14:solidFill>
              <w14:schemeClr w14:val="tx1"/>
            </w14:solidFill>
          </w14:textFill>
        </w:rPr>
      </w:pPr>
    </w:p>
    <w:p>
      <w:pPr>
        <w:jc w:val="center"/>
        <w:rPr>
          <w:rFonts w:ascii="仿宋_GB2312" w:hAnsi="新宋体" w:eastAsia="仿宋_GB2312" w:cs="Times New Roman"/>
          <w:b/>
          <w:color w:val="000000" w:themeColor="text1"/>
          <w:sz w:val="32"/>
          <w:szCs w:val="32"/>
          <w14:textFill>
            <w14:solidFill>
              <w14:schemeClr w14:val="tx1"/>
            </w14:solidFill>
          </w14:textFill>
        </w:rPr>
        <w:sectPr>
          <w:footerReference r:id="rId3" w:type="default"/>
          <w:pgSz w:w="11906" w:h="16838"/>
          <w:pgMar w:top="1134" w:right="1134" w:bottom="1134" w:left="1134" w:header="851" w:footer="992" w:gutter="0"/>
          <w:cols w:space="425" w:num="1"/>
          <w:docGrid w:type="lines" w:linePitch="312" w:charSpace="0"/>
        </w:sectPr>
      </w:pPr>
    </w:p>
    <w:p>
      <w:pPr>
        <w:jc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废铅膏制备精铅（选择性浸出和旋转电积工艺）</w:t>
      </w:r>
    </w:p>
    <w:p>
      <w:pPr>
        <w:jc w:val="center"/>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污染控制技术规范</w:t>
      </w:r>
    </w:p>
    <w:p>
      <w:pPr>
        <w:pStyle w:val="3"/>
        <w:spacing w:after="312" w:afterLines="100" w:line="360" w:lineRule="auto"/>
        <w:rPr>
          <w:rFonts w:ascii="Times New Roman" w:hAnsi="Times New Roman" w:cs="Times New Roman"/>
          <w:color w:val="000000" w:themeColor="text1"/>
          <w:sz w:val="21"/>
          <w14:textFill>
            <w14:solidFill>
              <w14:schemeClr w14:val="tx1"/>
            </w14:solidFill>
          </w14:textFill>
        </w:rPr>
      </w:pPr>
      <w:bookmarkStart w:id="0" w:name="_Toc84978186"/>
      <w:r>
        <w:rPr>
          <w:rFonts w:ascii="Times New Roman" w:hAnsi="Times New Roman" w:cs="Times New Roman"/>
          <w:color w:val="000000" w:themeColor="text1"/>
          <w:sz w:val="21"/>
          <w14:textFill>
            <w14:solidFill>
              <w14:schemeClr w14:val="tx1"/>
            </w14:solidFill>
          </w14:textFill>
        </w:rPr>
        <w:t>1 范围</w:t>
      </w:r>
      <w:bookmarkEnd w:id="0"/>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本文件规定了废铅膏制备精铅（选择性浸出和旋转电积工艺）工艺污染控制总体要求、技术要求、污染排放控制要求、环境管理要求。</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本文件适用于废铅膏采用选择性浸出和旋转电积工艺制备精铅过程的污染控制，可用于指导废铅膏制备精铅</w:t>
      </w:r>
      <w:r>
        <w:rPr>
          <w:rFonts w:hint="eastAsia" w:ascii="Times New Roman" w:hAnsi="Times New Roman" w:eastAsia="宋体" w:cs="Times New Roman"/>
          <w:color w:val="000000" w:themeColor="text1"/>
          <w:szCs w:val="21"/>
          <w14:textFill>
            <w14:solidFill>
              <w14:schemeClr w14:val="tx1"/>
            </w14:solidFill>
          </w14:textFill>
        </w:rPr>
        <w:t>生产线或生产</w:t>
      </w:r>
      <w:r>
        <w:rPr>
          <w:rFonts w:ascii="Times New Roman" w:hAnsi="Times New Roman" w:eastAsia="宋体" w:cs="Times New Roman"/>
          <w:color w:val="000000" w:themeColor="text1"/>
          <w:szCs w:val="21"/>
          <w14:textFill>
            <w14:solidFill>
              <w14:schemeClr w14:val="tx1"/>
            </w14:solidFill>
          </w14:textFill>
        </w:rPr>
        <w:t>企业的污染控制管理工作。</w:t>
      </w:r>
    </w:p>
    <w:p>
      <w:pPr>
        <w:pStyle w:val="3"/>
        <w:spacing w:after="312" w:afterLines="100" w:line="360" w:lineRule="auto"/>
        <w:rPr>
          <w:rFonts w:ascii="Times New Roman" w:hAnsi="Times New Roman" w:cs="Times New Roman"/>
          <w:color w:val="000000" w:themeColor="text1"/>
          <w:sz w:val="21"/>
          <w14:textFill>
            <w14:solidFill>
              <w14:schemeClr w14:val="tx1"/>
            </w14:solidFill>
          </w14:textFill>
        </w:rPr>
      </w:pPr>
      <w:bookmarkStart w:id="1" w:name="_Toc84978187"/>
      <w:r>
        <w:rPr>
          <w:rFonts w:ascii="Times New Roman" w:hAnsi="Times New Roman" w:cs="Times New Roman"/>
          <w:color w:val="000000" w:themeColor="text1"/>
          <w:sz w:val="21"/>
          <w14:textFill>
            <w14:solidFill>
              <w14:schemeClr w14:val="tx1"/>
            </w14:solidFill>
          </w14:textFill>
        </w:rPr>
        <w:t>2 规范性引用文件</w:t>
      </w:r>
      <w:bookmarkEnd w:id="1"/>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bookmarkStart w:id="2" w:name="_Hlk108421046"/>
      <w:r>
        <w:rPr>
          <w:rFonts w:ascii="Times New Roman" w:hAnsi="Times New Roman" w:eastAsia="宋体" w:cs="Times New Roman"/>
          <w:color w:val="000000" w:themeColor="text1"/>
          <w:szCs w:val="21"/>
          <w14:textFill>
            <w14:solidFill>
              <w14:schemeClr w14:val="tx1"/>
            </w14:solidFill>
          </w14:textFill>
        </w:rPr>
        <w:t>GB 3095  环境空气质量标准</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12348  工业企业厂界环境噪声排放标准</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15562.2  环境保护图形标志 固体废物贮存（处置）场</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15618  土壤环境质量 农用地土壤污染风险管控标准（试行）</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18597  危险废物贮存污染控制标准</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18599  一般工业固体废物贮存和填埋污染控制标准</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31574  再生铜、铝、铅、锌工业污染物排放标准</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GB</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34330</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固体废物鉴别标准通则</w:t>
      </w:r>
    </w:p>
    <w:bookmarkEnd w:id="2"/>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GB/T21181-2017</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国家标准再生铅及铅合金锭</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GB/T 14848  地下水质量标准</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 519  废铅蓄电池处理污染控制技术规范</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HJ 863.</w:t>
      </w: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 xml:space="preserve">  排污许可证申请与核发技术规范 有色金属工业—</w:t>
      </w:r>
      <w:r>
        <w:rPr>
          <w:rFonts w:hint="eastAsia" w:ascii="Times New Roman" w:hAnsi="Times New Roman" w:eastAsia="宋体" w:cs="Times New Roman"/>
          <w:color w:val="000000" w:themeColor="text1"/>
          <w:szCs w:val="21"/>
          <w14:textFill>
            <w14:solidFill>
              <w14:schemeClr w14:val="tx1"/>
            </w14:solidFill>
          </w14:textFill>
        </w:rPr>
        <w:t>铅锌冶炼</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HJ 863.4</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排污许可证申请与核发技术规范 有色金属工业—再生金属</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HJ</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1091</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固体废物再生利用污染防治技术导则</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HJ 2025</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危险废物收集 贮存 运输技术规范</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HJ 2042</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危险废物处置工程技术导则</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YS/T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1169</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再生铅生产废水处理回用技术规范</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YS/T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1170</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再生铅生产废气处理技术规范</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中华人民共和国环境保护部令 第34号</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突发环境事件应急管理办法</w:t>
      </w:r>
    </w:p>
    <w:p>
      <w:pPr>
        <w:tabs>
          <w:tab w:val="left" w:pos="1843"/>
        </w:tabs>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公告2007年第48号</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危险废物经营单位编制应急预案指南</w:t>
      </w:r>
    </w:p>
    <w:p>
      <w:pPr>
        <w:pStyle w:val="3"/>
        <w:spacing w:after="312" w:afterLines="100" w:line="360" w:lineRule="auto"/>
        <w:rPr>
          <w:rFonts w:ascii="Times New Roman" w:hAnsi="Times New Roman" w:cs="Times New Roman"/>
          <w:color w:val="auto"/>
          <w:sz w:val="21"/>
        </w:rPr>
      </w:pPr>
      <w:bookmarkStart w:id="3" w:name="_Toc84978274"/>
      <w:bookmarkStart w:id="4" w:name="_Toc84978189"/>
      <w:r>
        <w:rPr>
          <w:rFonts w:ascii="Times New Roman" w:hAnsi="Times New Roman" w:cs="Times New Roman"/>
          <w:color w:val="auto"/>
          <w:sz w:val="21"/>
        </w:rPr>
        <w:t>3 术语与定义</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下列术语和定义适用于本文件。</w:t>
      </w:r>
    </w:p>
    <w:p>
      <w:pPr>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3.1 </w:t>
      </w:r>
    </w:p>
    <w:p>
      <w:pPr>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废铅膏 waste lead paste</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指废铅蓄电池回收、铅蓄电池生产等过程分离出含</w:t>
      </w:r>
      <w:r>
        <w:rPr>
          <w:rFonts w:ascii="Times New Roman" w:hAnsi="Times New Roman" w:eastAsia="宋体" w:cs="Times New Roman"/>
          <w:color w:val="auto"/>
          <w:kern w:val="0"/>
          <w:szCs w:val="21"/>
          <w:lang w:bidi="ar"/>
        </w:rPr>
        <w:t>PbSO</w:t>
      </w:r>
      <w:r>
        <w:rPr>
          <w:rFonts w:ascii="Times New Roman" w:hAnsi="Times New Roman" w:eastAsia="宋体" w:cs="Times New Roman"/>
          <w:color w:val="auto"/>
          <w:kern w:val="0"/>
          <w:szCs w:val="21"/>
          <w:vertAlign w:val="subscript"/>
          <w:lang w:bidi="ar"/>
        </w:rPr>
        <w:t>4</w:t>
      </w:r>
      <w:r>
        <w:rPr>
          <w:rFonts w:ascii="Times New Roman" w:hAnsi="Times New Roman" w:eastAsia="宋体" w:cs="Times New Roman"/>
          <w:color w:val="auto"/>
          <w:kern w:val="0"/>
          <w:szCs w:val="21"/>
          <w:lang w:bidi="ar"/>
        </w:rPr>
        <w:t>、PbO</w:t>
      </w:r>
      <w:r>
        <w:rPr>
          <w:rFonts w:ascii="Times New Roman" w:hAnsi="Times New Roman" w:eastAsia="宋体" w:cs="Times New Roman"/>
          <w:color w:val="auto"/>
          <w:kern w:val="0"/>
          <w:szCs w:val="21"/>
          <w:vertAlign w:val="subscript"/>
          <w:lang w:bidi="ar"/>
        </w:rPr>
        <w:t>2</w:t>
      </w:r>
      <w:r>
        <w:rPr>
          <w:rFonts w:ascii="Times New Roman" w:hAnsi="Times New Roman" w:eastAsia="宋体" w:cs="Times New Roman"/>
          <w:color w:val="auto"/>
          <w:kern w:val="0"/>
          <w:szCs w:val="21"/>
          <w:lang w:bidi="ar"/>
        </w:rPr>
        <w:t>、PbO和Pb</w:t>
      </w:r>
      <w:r>
        <w:rPr>
          <w:rFonts w:ascii="Times New Roman" w:hAnsi="Times New Roman" w:eastAsia="宋体" w:cs="Times New Roman"/>
          <w:color w:val="auto"/>
          <w:szCs w:val="21"/>
        </w:rPr>
        <w:t>的可塑性膏状混合物。</w:t>
      </w:r>
    </w:p>
    <w:p>
      <w:pPr>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3.2 </w:t>
      </w:r>
    </w:p>
    <w:p>
      <w:pPr>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选择性浸出 selective leaching</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指物料在溶液体系中，经过定向浸出法实现金属的分离提取技术。</w:t>
      </w:r>
    </w:p>
    <w:p>
      <w:pPr>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3.3 </w:t>
      </w:r>
    </w:p>
    <w:p>
      <w:pPr>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旋转电积 rotation electrowinning</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指物料在溶液体系中，经过旋转阴极法实现金属精炼的分离提取技术。</w:t>
      </w:r>
    </w:p>
    <w:p>
      <w:pPr>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3.4 </w:t>
      </w:r>
    </w:p>
    <w:p>
      <w:pPr>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净化 purification</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指溶液经过物理、化学法实现杂质去除的分离净化技术。</w:t>
      </w:r>
    </w:p>
    <w:p>
      <w:pPr>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3.5 </w:t>
      </w:r>
    </w:p>
    <w:p>
      <w:pPr>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贮存 storage</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指将收集的废铅膏置于转运点和废铅膏制备精铅企业的活动。</w:t>
      </w:r>
    </w:p>
    <w:p>
      <w:pPr>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3.6 </w:t>
      </w:r>
    </w:p>
    <w:p>
      <w:pPr>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非硫组分 sulfurless cure</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w:t>
      </w:r>
      <w:r>
        <w:rPr>
          <w:rFonts w:hint="eastAsia" w:ascii="Times New Roman" w:hAnsi="Times New Roman" w:cs="Times New Roman"/>
          <w:color w:val="auto"/>
          <w:szCs w:val="21"/>
        </w:rPr>
        <w:t>废</w:t>
      </w:r>
      <w:r>
        <w:rPr>
          <w:rFonts w:ascii="Times New Roman" w:hAnsi="Times New Roman" w:cs="Times New Roman"/>
          <w:color w:val="auto"/>
          <w:szCs w:val="21"/>
        </w:rPr>
        <w:t>铅膏里面除掉硫酸铅的其它含铅组分，包含二氧化铅，氧化铅和单质铅</w:t>
      </w:r>
    </w:p>
    <w:p>
      <w:pPr>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3.7 </w:t>
      </w:r>
    </w:p>
    <w:p>
      <w:pPr>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非硫组分浸出效率 sulfurless cure</w:t>
      </w:r>
      <w:r>
        <w:rPr>
          <w:rFonts w:hint="eastAsia" w:ascii="Times New Roman" w:hAnsi="Times New Roman" w:eastAsia="黑体" w:cs="Times New Roman"/>
          <w:color w:val="auto"/>
          <w:szCs w:val="21"/>
        </w:rPr>
        <w:t xml:space="preserve"> l</w:t>
      </w:r>
      <w:r>
        <w:rPr>
          <w:rFonts w:ascii="Times New Roman" w:hAnsi="Times New Roman" w:eastAsia="黑体" w:cs="Times New Roman"/>
          <w:color w:val="auto"/>
          <w:szCs w:val="21"/>
        </w:rPr>
        <w:t>eaching efficiency</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指在一定计量时间内，浸出液中的含铅量占原料中非硫组分含铅量的比值。</w:t>
      </w:r>
    </w:p>
    <w:p>
      <w:pPr>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3.8 </w:t>
      </w:r>
    </w:p>
    <w:p>
      <w:pPr>
        <w:spacing w:line="360" w:lineRule="auto"/>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非硫组分铅回收率 sulfurless cure recovery rate of lead</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指在一定计量时间内，产品中的含铅量占原料中非硫组分含铅量的比值。</w:t>
      </w:r>
    </w:p>
    <w:p>
      <w:pPr>
        <w:pStyle w:val="3"/>
        <w:spacing w:after="312" w:afterLines="100" w:line="360" w:lineRule="auto"/>
        <w:rPr>
          <w:rFonts w:ascii="Times New Roman" w:hAnsi="Times New Roman" w:cs="Times New Roman"/>
          <w:color w:val="auto"/>
          <w:sz w:val="21"/>
        </w:rPr>
      </w:pPr>
      <w:r>
        <w:rPr>
          <w:rFonts w:ascii="Times New Roman" w:hAnsi="Times New Roman" w:cs="Times New Roman"/>
          <w:color w:val="auto"/>
          <w:sz w:val="21"/>
        </w:rPr>
        <w:t>4 总体要求</w:t>
      </w:r>
      <w:bookmarkEnd w:id="3"/>
    </w:p>
    <w:p>
      <w:pPr>
        <w:spacing w:line="360" w:lineRule="auto"/>
        <w:rPr>
          <w:rFonts w:ascii="Times New Roman" w:hAnsi="Times New Roman" w:cs="Times New Roman"/>
          <w:color w:val="auto"/>
          <w:szCs w:val="21"/>
        </w:rPr>
      </w:pPr>
      <w:r>
        <w:rPr>
          <w:rFonts w:ascii="Times New Roman" w:hAnsi="Times New Roman" w:eastAsia="黑体" w:cs="Times New Roman"/>
          <w:color w:val="auto"/>
          <w:szCs w:val="21"/>
        </w:rPr>
        <w:t xml:space="preserve">4.1 </w:t>
      </w:r>
      <w:r>
        <w:rPr>
          <w:rFonts w:ascii="Times New Roman" w:hAnsi="Times New Roman" w:eastAsia="宋体" w:cs="Times New Roman"/>
          <w:color w:val="auto"/>
          <w:szCs w:val="21"/>
        </w:rPr>
        <w:t>废铅膏接收、运输、贮存过程污染防治应满足HJ 519、HJ 2025、GB 18597要求。</w:t>
      </w:r>
    </w:p>
    <w:p>
      <w:pPr>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 xml:space="preserve">4.2 </w:t>
      </w:r>
      <w:r>
        <w:rPr>
          <w:rFonts w:ascii="Times New Roman" w:hAnsi="Times New Roman" w:eastAsia="宋体" w:cs="Times New Roman"/>
          <w:color w:val="auto"/>
          <w:szCs w:val="21"/>
        </w:rPr>
        <w:t>废铅膏倒料、转运宜采取密闭、机械输送，宜配置防粉尘溢撒设施。</w:t>
      </w:r>
    </w:p>
    <w:p>
      <w:pPr>
        <w:spacing w:line="360" w:lineRule="auto"/>
        <w:rPr>
          <w:rFonts w:ascii="Times New Roman" w:hAnsi="Times New Roman" w:eastAsia="宋体" w:cs="Times New Roman"/>
          <w:color w:val="auto"/>
          <w:szCs w:val="21"/>
        </w:rPr>
      </w:pPr>
      <w:r>
        <w:rPr>
          <w:rFonts w:ascii="Times New Roman" w:hAnsi="Times New Roman" w:eastAsia="黑体" w:cs="Times New Roman"/>
          <w:color w:val="auto"/>
          <w:szCs w:val="21"/>
        </w:rPr>
        <w:t>4.3</w:t>
      </w:r>
      <w:r>
        <w:rPr>
          <w:rFonts w:ascii="Times New Roman" w:hAnsi="Times New Roman" w:eastAsia="宋体" w:cs="Times New Roman"/>
          <w:color w:val="auto"/>
          <w:szCs w:val="21"/>
        </w:rPr>
        <w:t xml:space="preserve"> 应优先选用环境风险低、自动化程度高、连续化运行、能效高、能耗低、污染少的技术及装备。</w:t>
      </w:r>
    </w:p>
    <w:p>
      <w:pPr>
        <w:spacing w:line="360" w:lineRule="auto"/>
        <w:rPr>
          <w:rFonts w:ascii="Times New Roman" w:hAnsi="Times New Roman" w:eastAsia="宋体" w:cs="Times New Roman"/>
          <w:color w:val="auto"/>
          <w:szCs w:val="21"/>
        </w:rPr>
      </w:pPr>
      <w:r>
        <w:rPr>
          <w:rFonts w:ascii="Times New Roman" w:hAnsi="Times New Roman" w:eastAsia="黑体" w:cs="Times New Roman"/>
          <w:color w:val="auto"/>
          <w:szCs w:val="21"/>
        </w:rPr>
        <w:t xml:space="preserve">4.4 </w:t>
      </w:r>
      <w:r>
        <w:rPr>
          <w:rFonts w:ascii="Times New Roman" w:hAnsi="Times New Roman" w:eastAsia="宋体" w:cs="Times New Roman"/>
          <w:color w:val="auto"/>
          <w:szCs w:val="21"/>
        </w:rPr>
        <w:t>应配套完善的环境治理设施，环境治理技术及装备应成熟、可靠、高效、安全，优先选用废水循环利用技术。</w:t>
      </w:r>
    </w:p>
    <w:p>
      <w:pPr>
        <w:spacing w:line="360" w:lineRule="auto"/>
        <w:rPr>
          <w:rFonts w:ascii="Times New Roman" w:hAnsi="Times New Roman" w:cs="Times New Roman"/>
          <w:color w:val="auto"/>
          <w:szCs w:val="21"/>
        </w:rPr>
      </w:pPr>
      <w:r>
        <w:rPr>
          <w:rFonts w:ascii="Times New Roman" w:hAnsi="Times New Roman" w:eastAsia="黑体" w:cs="Times New Roman"/>
          <w:color w:val="auto"/>
          <w:szCs w:val="21"/>
        </w:rPr>
        <w:t xml:space="preserve">4.5 </w:t>
      </w:r>
      <w:r>
        <w:rPr>
          <w:rFonts w:ascii="Times New Roman" w:hAnsi="Times New Roman" w:cs="Times New Roman"/>
          <w:color w:val="auto"/>
          <w:szCs w:val="21"/>
        </w:rPr>
        <w:t>污染物排放应满足国家或地方、行业的污染物排放（控制）标准，排放标准应从严选择执行。</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auto"/>
          <w:szCs w:val="21"/>
        </w:rPr>
        <w:t xml:space="preserve">4.6 </w:t>
      </w:r>
      <w:r>
        <w:rPr>
          <w:rFonts w:ascii="Times New Roman" w:hAnsi="Times New Roman" w:eastAsia="宋体" w:cs="Times New Roman"/>
          <w:color w:val="auto"/>
          <w:szCs w:val="21"/>
        </w:rPr>
        <w:t>废铅膏制备精铅企业</w:t>
      </w:r>
      <w:r>
        <w:rPr>
          <w:rFonts w:ascii="Times New Roman" w:hAnsi="Times New Roman" w:cs="Times New Roman"/>
          <w:color w:val="auto"/>
          <w:szCs w:val="21"/>
        </w:rPr>
        <w:t>应建立涵盖接收、贮存、利用、处置、出厂等环节的电子台账等信息化管理系统和视频监控系统。宜建立危险废物物联网管理系统，具有电子磅秤自动关联电子台账、管理计划、申报登记等功能；具备与生态环境管理部门固</w:t>
      </w:r>
      <w:r>
        <w:rPr>
          <w:rFonts w:ascii="Times New Roman" w:hAnsi="Times New Roman" w:cs="Times New Roman"/>
          <w:color w:val="000000" w:themeColor="text1"/>
          <w:szCs w:val="21"/>
          <w14:textFill>
            <w14:solidFill>
              <w14:schemeClr w14:val="tx1"/>
            </w14:solidFill>
          </w14:textFill>
        </w:rPr>
        <w:t>体废物管理系统对接的端口；具备独立DCS或PLC等中控系统。</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4.7 </w:t>
      </w:r>
      <w:r>
        <w:rPr>
          <w:rFonts w:ascii="Times New Roman" w:hAnsi="Times New Roman" w:eastAsia="宋体" w:cs="Times New Roman"/>
          <w:color w:val="000000" w:themeColor="text1"/>
          <w:szCs w:val="21"/>
          <w14:textFill>
            <w14:solidFill>
              <w14:schemeClr w14:val="tx1"/>
            </w14:solidFill>
          </w14:textFill>
        </w:rPr>
        <w:t>配备与废铅膏利用处置相匹配的化验分析能力设施</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包括分析化验场所、分析化验仪器、人员及实验室废物收集系统。</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4.8</w:t>
      </w:r>
      <w:r>
        <w:rPr>
          <w:rFonts w:ascii="Times New Roman" w:hAnsi="Times New Roman" w:eastAsia="宋体" w:cs="Times New Roman"/>
          <w:color w:val="000000" w:themeColor="text1"/>
          <w:szCs w:val="21"/>
          <w14:textFill>
            <w14:solidFill>
              <w14:schemeClr w14:val="tx1"/>
            </w14:solidFill>
          </w14:textFill>
        </w:rPr>
        <w:t xml:space="preserve"> 废铅膏综合利用后产生的副产物管理应当符合GB 34330、HJ 1091等国家标准或专项标准要求。</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4.9</w:t>
      </w:r>
      <w:r>
        <w:rPr>
          <w:rFonts w:ascii="Times New Roman" w:hAnsi="Times New Roman" w:eastAsia="宋体" w:cs="Times New Roman"/>
          <w:color w:val="000000" w:themeColor="text1"/>
          <w:szCs w:val="21"/>
          <w14:textFill>
            <w14:solidFill>
              <w14:schemeClr w14:val="tx1"/>
            </w14:solidFill>
          </w14:textFill>
        </w:rPr>
        <w:t xml:space="preserve"> 应具健全的人员管理、生产管理、质量管理、安全生产管理、环境管理和事故应急等管理制度或</w:t>
      </w:r>
      <w:r>
        <w:rPr>
          <w:rFonts w:hint="eastAsia" w:ascii="Times New Roman" w:hAnsi="Times New Roman" w:eastAsia="宋体" w:cs="Times New Roman"/>
          <w:color w:val="000000" w:themeColor="text1"/>
          <w:szCs w:val="21"/>
          <w14:textFill>
            <w14:solidFill>
              <w14:schemeClr w14:val="tx1"/>
            </w14:solidFill>
          </w14:textFill>
        </w:rPr>
        <w:t xml:space="preserve">ISO </w:t>
      </w:r>
      <w:r>
        <w:rPr>
          <w:rFonts w:ascii="Times New Roman" w:hAnsi="Times New Roman" w:eastAsia="宋体" w:cs="Times New Roman"/>
          <w:color w:val="000000" w:themeColor="text1"/>
          <w:szCs w:val="21"/>
          <w14:textFill>
            <w14:solidFill>
              <w14:schemeClr w14:val="tx1"/>
            </w14:solidFill>
          </w14:textFill>
        </w:rPr>
        <w:t>9001环境管理体系。</w:t>
      </w:r>
    </w:p>
    <w:bookmarkEnd w:id="4"/>
    <w:p>
      <w:pPr>
        <w:pStyle w:val="3"/>
        <w:spacing w:after="312" w:afterLines="100" w:line="360" w:lineRule="auto"/>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5 精铅制备过程污染防治技术要求</w:t>
      </w:r>
    </w:p>
    <w:p>
      <w:pPr>
        <w:spacing w:line="360" w:lineRule="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5.1 废铅膏预处理</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5.1.1 </w:t>
      </w:r>
      <w:r>
        <w:rPr>
          <w:rFonts w:ascii="Times New Roman" w:hAnsi="Times New Roman" w:cs="Times New Roman"/>
          <w:color w:val="000000" w:themeColor="text1"/>
          <w:szCs w:val="21"/>
          <w14:textFill>
            <w14:solidFill>
              <w14:schemeClr w14:val="tx1"/>
            </w14:solidFill>
          </w14:textFill>
        </w:rPr>
        <w:t>废铅膏包装宜采用内衬复合塑料包装袋，不易破损，材料能有效地防止渗漏、扩散，并耐酸腐蚀。</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5.1.2 </w:t>
      </w:r>
      <w:r>
        <w:rPr>
          <w:rFonts w:ascii="Times New Roman" w:hAnsi="Times New Roman" w:cs="Times New Roman"/>
          <w:color w:val="000000" w:themeColor="text1"/>
          <w:szCs w:val="21"/>
          <w14:textFill>
            <w14:solidFill>
              <w14:schemeClr w14:val="tx1"/>
            </w14:solidFill>
          </w14:textFill>
        </w:rPr>
        <w:t>废铅膏宜设置专用的贮存设施，宜通过设置有给料称量装置进行加料，固定料仓宜配置仓顶除尘器，收集的</w:t>
      </w:r>
      <w:r>
        <w:rPr>
          <w:rFonts w:hint="eastAsia" w:ascii="Times New Roman" w:hAnsi="Times New Roman" w:cs="Times New Roman"/>
          <w:color w:val="000000" w:themeColor="text1"/>
          <w:szCs w:val="21"/>
          <w14:textFill>
            <w14:solidFill>
              <w14:schemeClr w14:val="tx1"/>
            </w14:solidFill>
          </w14:textFill>
        </w:rPr>
        <w:t>废气、废水及固体废物</w:t>
      </w:r>
      <w:r>
        <w:rPr>
          <w:rFonts w:ascii="Times New Roman" w:hAnsi="Times New Roman" w:cs="Times New Roman"/>
          <w:color w:val="000000" w:themeColor="text1"/>
          <w:szCs w:val="21"/>
          <w14:textFill>
            <w14:solidFill>
              <w14:schemeClr w14:val="tx1"/>
            </w14:solidFill>
          </w14:textFill>
        </w:rPr>
        <w:t>应进行集中处理，废气污染防治技术应满足</w:t>
      </w:r>
      <w:r>
        <w:rPr>
          <w:rFonts w:ascii="Times New Roman" w:hAnsi="Times New Roman" w:eastAsia="宋体" w:cs="Times New Roman"/>
          <w:color w:val="000000" w:themeColor="text1"/>
          <w:szCs w:val="21"/>
          <w14:textFill>
            <w14:solidFill>
              <w14:schemeClr w14:val="tx1"/>
            </w14:solidFill>
          </w14:textFill>
        </w:rPr>
        <w:t>YS/T 1170要求，</w:t>
      </w:r>
      <w:r>
        <w:rPr>
          <w:rFonts w:hint="eastAsia" w:ascii="Times New Roman" w:hAnsi="Times New Roman" w:eastAsia="宋体" w:cs="Times New Roman"/>
          <w:color w:val="000000" w:themeColor="text1"/>
          <w:szCs w:val="21"/>
          <w14:textFill>
            <w14:solidFill>
              <w14:schemeClr w14:val="tx1"/>
            </w14:solidFill>
          </w14:textFill>
        </w:rPr>
        <w:t>清洗水及渗滤液</w:t>
      </w:r>
      <w:r>
        <w:rPr>
          <w:rFonts w:ascii="Times New Roman" w:hAnsi="Times New Roman" w:cs="Times New Roman"/>
          <w:color w:val="000000" w:themeColor="text1"/>
          <w:szCs w:val="21"/>
          <w14:textFill>
            <w14:solidFill>
              <w14:schemeClr w14:val="tx1"/>
            </w14:solidFill>
          </w14:textFill>
        </w:rPr>
        <w:t>污染防治技术应满足</w:t>
      </w:r>
      <w:r>
        <w:rPr>
          <w:rFonts w:ascii="Times New Roman" w:hAnsi="Times New Roman" w:eastAsia="宋体" w:cs="Times New Roman"/>
          <w:color w:val="000000" w:themeColor="text1"/>
          <w:szCs w:val="21"/>
          <w14:textFill>
            <w14:solidFill>
              <w14:schemeClr w14:val="tx1"/>
            </w14:solidFill>
          </w14:textFill>
        </w:rPr>
        <w:t>YS/T 1169</w:t>
      </w:r>
      <w:r>
        <w:rPr>
          <w:rFonts w:hint="eastAsia" w:ascii="Times New Roman" w:hAnsi="Times New Roman" w:eastAsia="宋体" w:cs="Times New Roman"/>
          <w:color w:val="000000" w:themeColor="text1"/>
          <w:szCs w:val="21"/>
          <w14:textFill>
            <w14:solidFill>
              <w14:schemeClr w14:val="tx1"/>
            </w14:solidFill>
          </w14:textFill>
        </w:rPr>
        <w:t>要求，废弃包装物及残渣</w:t>
      </w:r>
      <w:r>
        <w:rPr>
          <w:rFonts w:ascii="Times New Roman" w:hAnsi="Times New Roman" w:cs="Times New Roman"/>
          <w:color w:val="000000" w:themeColor="text1"/>
          <w:szCs w:val="21"/>
          <w14:textFill>
            <w14:solidFill>
              <w14:schemeClr w14:val="tx1"/>
            </w14:solidFill>
          </w14:textFill>
        </w:rPr>
        <w:t>污染防治技术</w:t>
      </w:r>
      <w:r>
        <w:rPr>
          <w:rFonts w:hint="eastAsia" w:ascii="Times New Roman" w:hAnsi="Times New Roman" w:cs="Times New Roman"/>
          <w:color w:val="000000" w:themeColor="text1"/>
          <w:szCs w:val="21"/>
          <w14:textFill>
            <w14:solidFill>
              <w14:schemeClr w14:val="tx1"/>
            </w14:solidFill>
          </w14:textFill>
        </w:rPr>
        <w:t>应</w:t>
      </w:r>
      <w:r>
        <w:rPr>
          <w:rFonts w:ascii="Times New Roman" w:hAnsi="Times New Roman" w:cs="Times New Roman"/>
          <w:color w:val="000000" w:themeColor="text1"/>
          <w:szCs w:val="21"/>
          <w14:textFill>
            <w14:solidFill>
              <w14:schemeClr w14:val="tx1"/>
            </w14:solidFill>
          </w14:textFill>
        </w:rPr>
        <w:t>满足</w:t>
      </w:r>
      <w:r>
        <w:rPr>
          <w:rFonts w:ascii="Times New Roman" w:hAnsi="Times New Roman" w:eastAsia="宋体" w:cs="Times New Roman"/>
          <w:color w:val="000000" w:themeColor="text1"/>
          <w:szCs w:val="21"/>
          <w14:textFill>
            <w14:solidFill>
              <w14:schemeClr w14:val="tx1"/>
            </w14:solidFill>
          </w14:textFill>
        </w:rPr>
        <w:t>GB 18597要求。</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5.1.3</w:t>
      </w:r>
      <w:r>
        <w:rPr>
          <w:rFonts w:ascii="Times New Roman" w:hAnsi="Times New Roman" w:cs="Times New Roman"/>
          <w:color w:val="000000" w:themeColor="text1"/>
          <w:szCs w:val="21"/>
          <w14:textFill>
            <w14:solidFill>
              <w14:schemeClr w14:val="tx1"/>
            </w14:solidFill>
          </w14:textFill>
        </w:rPr>
        <w:t xml:space="preserve"> 经预处理后废铅膏中含硅杂质含量宜控制在2%，化浆工序固液比宜控制在1:1左右。</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5.1.4 </w:t>
      </w:r>
      <w:r>
        <w:rPr>
          <w:rFonts w:ascii="Times New Roman" w:hAnsi="Times New Roman" w:eastAsia="宋体" w:cs="Times New Roman"/>
          <w:color w:val="000000" w:themeColor="text1"/>
          <w:szCs w:val="21"/>
          <w14:textFill>
            <w14:solidFill>
              <w14:schemeClr w14:val="tx1"/>
            </w14:solidFill>
          </w14:textFill>
        </w:rPr>
        <w:t>废弃、破损包装袋应分类收集后打捆存放。</w:t>
      </w:r>
    </w:p>
    <w:p>
      <w:pPr>
        <w:spacing w:line="360" w:lineRule="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5.2 选择性浸出</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5.2.1</w:t>
      </w:r>
      <w:r>
        <w:rPr>
          <w:rFonts w:ascii="Times New Roman" w:hAnsi="Times New Roman" w:cs="Times New Roman"/>
          <w:color w:val="000000" w:themeColor="text1"/>
          <w:szCs w:val="21"/>
          <w14:textFill>
            <w14:solidFill>
              <w14:schemeClr w14:val="tx1"/>
            </w14:solidFill>
          </w14:textFill>
        </w:rPr>
        <w:t xml:space="preserve"> 浸出过程宜采用技术装备先进、设备能效高、资源综合利用率高、污染防治水平高的先进工艺。</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5.2.2 </w:t>
      </w:r>
      <w:r>
        <w:rPr>
          <w:rFonts w:ascii="Times New Roman" w:hAnsi="Times New Roman" w:cs="Times New Roman"/>
          <w:color w:val="000000" w:themeColor="text1"/>
          <w:szCs w:val="21"/>
          <w14:textFill>
            <w14:solidFill>
              <w14:schemeClr w14:val="tx1"/>
            </w14:solidFill>
          </w14:textFill>
        </w:rPr>
        <w:t>废铅膏浸出剂应遵循绿色、可循环使用原则，根据市场需求及当地资源利用情况选择，宜采用甲基磺酸、乙基磺酸等有机酸，非硫组分铅的浸出效率不低于98%。</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5.2.3</w:t>
      </w:r>
      <w:r>
        <w:rPr>
          <w:rFonts w:ascii="Times New Roman" w:hAnsi="Times New Roman" w:cs="Times New Roman"/>
          <w:color w:val="000000" w:themeColor="text1"/>
          <w:szCs w:val="21"/>
          <w14:textFill>
            <w14:solidFill>
              <w14:schemeClr w14:val="tx1"/>
            </w14:solidFill>
          </w14:textFill>
        </w:rPr>
        <w:t xml:space="preserve"> 浸出剂应设置固定暂存罐，其材质应与浸出剂化学特性相匹配，配置定量给料计量设施。</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5.2.4</w:t>
      </w:r>
      <w:r>
        <w:rPr>
          <w:rFonts w:ascii="Times New Roman" w:hAnsi="Times New Roman" w:cs="Times New Roman"/>
          <w:color w:val="000000" w:themeColor="text1"/>
          <w:szCs w:val="21"/>
          <w14:textFill>
            <w14:solidFill>
              <w14:schemeClr w14:val="tx1"/>
            </w14:solidFill>
          </w14:textFill>
        </w:rPr>
        <w:t xml:space="preserve"> 浸出液宜通过压滤、离心过滤等设备进行固液分离，浸出过程</w:t>
      </w:r>
      <w:r>
        <w:rPr>
          <w:rFonts w:ascii="Times New Roman" w:hAnsi="Times New Roman" w:eastAsia="宋体" w:cs="Times New Roman"/>
          <w:color w:val="000000" w:themeColor="text1"/>
          <w:szCs w:val="21"/>
          <w14:textFill>
            <w14:solidFill>
              <w14:schemeClr w14:val="tx1"/>
            </w14:solidFill>
          </w14:textFill>
        </w:rPr>
        <w:t>温度宜控制45℃以内，</w:t>
      </w:r>
      <w:r>
        <w:rPr>
          <w:rFonts w:ascii="Times New Roman" w:hAnsi="Times New Roman" w:cs="Times New Roman"/>
          <w:color w:val="000000" w:themeColor="text1"/>
          <w:szCs w:val="21"/>
          <w14:textFill>
            <w14:solidFill>
              <w14:schemeClr w14:val="tx1"/>
            </w14:solidFill>
          </w14:textFill>
        </w:rPr>
        <w:t>洗涤用水的回用水技术要求应满足</w:t>
      </w:r>
      <w:r>
        <w:rPr>
          <w:rFonts w:ascii="Times New Roman" w:hAnsi="Times New Roman" w:eastAsia="宋体" w:cs="Times New Roman"/>
          <w:color w:val="000000" w:themeColor="text1"/>
          <w:szCs w:val="21"/>
          <w14:textFill>
            <w14:solidFill>
              <w14:schemeClr w14:val="tx1"/>
            </w14:solidFill>
          </w14:textFill>
        </w:rPr>
        <w:t>YS/T 1169，</w:t>
      </w:r>
      <w:r>
        <w:rPr>
          <w:rFonts w:ascii="Times New Roman" w:hAnsi="Times New Roman" w:cs="Times New Roman"/>
          <w:color w:val="000000" w:themeColor="text1"/>
          <w:szCs w:val="21"/>
          <w14:textFill>
            <w14:solidFill>
              <w14:schemeClr w14:val="tx1"/>
            </w14:solidFill>
          </w14:textFill>
        </w:rPr>
        <w:t>分离后的硫酸铅富集物</w:t>
      </w:r>
      <w:r>
        <w:rPr>
          <w:rFonts w:hint="eastAsia" w:ascii="Times New Roman" w:hAnsi="Times New Roman" w:cs="Times New Roman"/>
          <w:color w:val="000000" w:themeColor="text1"/>
          <w:szCs w:val="21"/>
          <w14:textFill>
            <w14:solidFill>
              <w14:schemeClr w14:val="tx1"/>
            </w14:solidFill>
          </w14:textFill>
        </w:rPr>
        <w:t>的收集和贮存</w:t>
      </w:r>
      <w:r>
        <w:rPr>
          <w:rFonts w:ascii="Times New Roman" w:hAnsi="Times New Roman" w:cs="Times New Roman"/>
          <w:color w:val="000000" w:themeColor="text1"/>
          <w:szCs w:val="21"/>
          <w14:textFill>
            <w14:solidFill>
              <w14:schemeClr w14:val="tx1"/>
            </w14:solidFill>
          </w14:textFill>
        </w:rPr>
        <w:t>应满足GB 18597要求。</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5.2.5 </w:t>
      </w:r>
      <w:r>
        <w:rPr>
          <w:rFonts w:ascii="Times New Roman" w:hAnsi="Times New Roman" w:cs="Times New Roman"/>
          <w:color w:val="000000" w:themeColor="text1"/>
          <w:szCs w:val="21"/>
          <w14:textFill>
            <w14:solidFill>
              <w14:schemeClr w14:val="tx1"/>
            </w14:solidFill>
          </w14:textFill>
        </w:rPr>
        <w:t>选择性浸出工序应在负压封闭条件下进行，避免有害气体和粉尘逸出，收集的气体应进行集中处理，废气污染防治技术应满足</w:t>
      </w:r>
      <w:r>
        <w:rPr>
          <w:rFonts w:ascii="Times New Roman" w:hAnsi="Times New Roman" w:eastAsia="宋体" w:cs="Times New Roman"/>
          <w:color w:val="000000" w:themeColor="text1"/>
          <w:szCs w:val="21"/>
          <w14:textFill>
            <w14:solidFill>
              <w14:schemeClr w14:val="tx1"/>
            </w14:solidFill>
          </w14:textFill>
        </w:rPr>
        <w:t>YS/T 1170要求。</w:t>
      </w:r>
    </w:p>
    <w:p>
      <w:pPr>
        <w:spacing w:line="360" w:lineRule="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5.3 旋转电积</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5.3.1</w:t>
      </w:r>
      <w:r>
        <w:rPr>
          <w:rFonts w:ascii="Times New Roman" w:hAnsi="Times New Roman" w:cs="Times New Roman"/>
          <w:color w:val="000000" w:themeColor="text1"/>
          <w:szCs w:val="21"/>
          <w14:textFill>
            <w14:solidFill>
              <w14:schemeClr w14:val="tx1"/>
            </w14:solidFill>
          </w14:textFill>
        </w:rPr>
        <w:t xml:space="preserve"> 旋转电积过程宜采用生产效率高、能耗低的先进工艺及装备，鼓励采用先进适用的清洁生产技术工艺，不得采用国家明令禁止和淘汰的落后工艺及设备。</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5.3.2 </w:t>
      </w:r>
      <w:r>
        <w:rPr>
          <w:rFonts w:ascii="Times New Roman" w:hAnsi="Times New Roman" w:cs="Times New Roman"/>
          <w:color w:val="000000" w:themeColor="text1"/>
          <w:szCs w:val="21"/>
          <w14:textFill>
            <w14:solidFill>
              <w14:schemeClr w14:val="tx1"/>
            </w14:solidFill>
          </w14:textFill>
        </w:rPr>
        <w:t>浸出富液经净化后送入电解槽阴极室内，旋转电积设备宜采用石墨、涂层钛等材料做不溶性阳极，316不锈钢板等材料做阴极</w:t>
      </w:r>
      <w:r>
        <w:rPr>
          <w:rFonts w:ascii="Times New Roman" w:hAnsi="Times New Roman" w:eastAsia="宋体" w:cs="Times New Roman"/>
          <w:color w:val="000000" w:themeColor="text1"/>
          <w:szCs w:val="21"/>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5.3.3 </w:t>
      </w:r>
      <w:r>
        <w:rPr>
          <w:rFonts w:ascii="Times New Roman" w:hAnsi="Times New Roman" w:cs="Times New Roman"/>
          <w:color w:val="000000" w:themeColor="text1"/>
          <w:szCs w:val="21"/>
          <w14:textFill>
            <w14:solidFill>
              <w14:schemeClr w14:val="tx1"/>
            </w14:solidFill>
          </w14:textFill>
        </w:rPr>
        <w:t>宜收集铅的结晶状或海绵状的电解沉积物，经洗涤后压制成铅饼，洗涤用水的回用水技术要求满足</w:t>
      </w:r>
      <w:r>
        <w:rPr>
          <w:rFonts w:ascii="Times New Roman" w:hAnsi="Times New Roman" w:eastAsia="宋体" w:cs="Times New Roman"/>
          <w:color w:val="000000" w:themeColor="text1"/>
          <w:szCs w:val="21"/>
          <w14:textFill>
            <w14:solidFill>
              <w14:schemeClr w14:val="tx1"/>
            </w14:solidFill>
          </w14:textFill>
        </w:rPr>
        <w:t>YS/T 1169。</w:t>
      </w:r>
      <w:r>
        <w:rPr>
          <w:rFonts w:ascii="Times New Roman" w:hAnsi="Times New Roman" w:cs="Times New Roman"/>
          <w:color w:val="000000" w:themeColor="text1"/>
          <w:szCs w:val="21"/>
          <w14:textFill>
            <w14:solidFill>
              <w14:schemeClr w14:val="tx1"/>
            </w14:solidFill>
          </w14:textFill>
        </w:rPr>
        <w:t>经熔铸制成的精铅锭应满足GB/T21181-2017标准。</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5.3.4 </w:t>
      </w:r>
      <w:r>
        <w:rPr>
          <w:rFonts w:ascii="Times New Roman" w:hAnsi="Times New Roman" w:cs="Times New Roman"/>
          <w:color w:val="000000" w:themeColor="text1"/>
          <w:szCs w:val="21"/>
          <w14:textFill>
            <w14:solidFill>
              <w14:schemeClr w14:val="tx1"/>
            </w14:solidFill>
          </w14:textFill>
        </w:rPr>
        <w:t>旋转电积过程应实现非硫组分铅回收率大于98%，电解后铅离子的浓度宜控制在0.4~1.2 mol/L，游离酸浓度宜控制在0.8~2.2 mol/L。</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5.3.5 </w:t>
      </w:r>
      <w:r>
        <w:rPr>
          <w:rFonts w:ascii="Times New Roman" w:hAnsi="Times New Roman" w:cs="Times New Roman"/>
          <w:color w:val="000000" w:themeColor="text1"/>
          <w:szCs w:val="21"/>
          <w14:textFill>
            <w14:solidFill>
              <w14:schemeClr w14:val="tx1"/>
            </w14:solidFill>
          </w14:textFill>
        </w:rPr>
        <w:t>旋转电积工序应在负压封闭条件下进行，避免有害气体和粉尘逸出，收集的气体应进行集中处理，废气污染防治技术应满足</w:t>
      </w:r>
      <w:r>
        <w:rPr>
          <w:rFonts w:ascii="Times New Roman" w:hAnsi="Times New Roman" w:eastAsia="宋体" w:cs="Times New Roman"/>
          <w:color w:val="000000" w:themeColor="text1"/>
          <w:szCs w:val="21"/>
          <w14:textFill>
            <w14:solidFill>
              <w14:schemeClr w14:val="tx1"/>
            </w14:solidFill>
          </w14:textFill>
        </w:rPr>
        <w:t>YS/T 1170要求。</w:t>
      </w:r>
    </w:p>
    <w:p>
      <w:pPr>
        <w:spacing w:line="360" w:lineRule="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5.4 电解液再生</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5.4.1 </w:t>
      </w:r>
      <w:r>
        <w:rPr>
          <w:rFonts w:ascii="Times New Roman" w:hAnsi="Times New Roman" w:cs="Times New Roman"/>
          <w:color w:val="000000" w:themeColor="text1"/>
          <w:szCs w:val="21"/>
          <w14:textFill>
            <w14:solidFill>
              <w14:schemeClr w14:val="tx1"/>
            </w14:solidFill>
          </w14:textFill>
        </w:rPr>
        <w:t>旋转电积后电解液</w:t>
      </w:r>
      <w:r>
        <w:rPr>
          <w:rFonts w:hint="eastAsia" w:ascii="Times New Roman" w:hAnsi="Times New Roman" w:cs="Times New Roman"/>
          <w:color w:val="000000" w:themeColor="text1"/>
          <w:szCs w:val="21"/>
          <w14:textFill>
            <w14:solidFill>
              <w14:schemeClr w14:val="tx1"/>
            </w14:solidFill>
          </w14:textFill>
        </w:rPr>
        <w:t>宜定期开路采用置换、沉淀等方法进行除杂，去除</w:t>
      </w:r>
      <w:r>
        <w:rPr>
          <w:rFonts w:ascii="Times New Roman" w:hAnsi="Times New Roman" w:cs="Times New Roman"/>
          <w:color w:val="000000" w:themeColor="text1"/>
          <w:szCs w:val="21"/>
          <w14:textFill>
            <w14:solidFill>
              <w14:schemeClr w14:val="tx1"/>
            </w14:solidFill>
          </w14:textFill>
        </w:rPr>
        <w:t>铜、铁、钡、铋等杂质</w:t>
      </w:r>
      <w:r>
        <w:rPr>
          <w:rFonts w:hint="eastAsia" w:ascii="Times New Roman" w:hAnsi="Times New Roman" w:cs="Times New Roman"/>
          <w:color w:val="000000" w:themeColor="text1"/>
          <w:szCs w:val="21"/>
          <w14:textFill>
            <w14:solidFill>
              <w14:schemeClr w14:val="tx1"/>
            </w14:solidFill>
          </w14:textFill>
        </w:rPr>
        <w:t>后</w:t>
      </w:r>
      <w:r>
        <w:rPr>
          <w:rFonts w:ascii="Times New Roman" w:hAnsi="Times New Roman" w:cs="Times New Roman"/>
          <w:color w:val="000000" w:themeColor="text1"/>
          <w:szCs w:val="21"/>
          <w14:textFill>
            <w14:solidFill>
              <w14:schemeClr w14:val="tx1"/>
            </w14:solidFill>
          </w14:textFill>
        </w:rPr>
        <w:t>进行再生。</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5.4.2 </w:t>
      </w:r>
      <w:r>
        <w:rPr>
          <w:rFonts w:ascii="Times New Roman" w:hAnsi="Times New Roman" w:cs="Times New Roman"/>
          <w:color w:val="000000" w:themeColor="text1"/>
          <w:szCs w:val="21"/>
          <w14:textFill>
            <w14:solidFill>
              <w14:schemeClr w14:val="tx1"/>
            </w14:solidFill>
          </w14:textFill>
        </w:rPr>
        <w:t>除杂后的电解液宜通过压滤、离心过滤等设备进行固液分离。洗涤用水的回用水技术要求满足</w:t>
      </w:r>
      <w:r>
        <w:rPr>
          <w:rFonts w:ascii="Times New Roman" w:hAnsi="Times New Roman" w:eastAsia="宋体" w:cs="Times New Roman"/>
          <w:color w:val="000000" w:themeColor="text1"/>
          <w:szCs w:val="21"/>
          <w14:textFill>
            <w14:solidFill>
              <w14:schemeClr w14:val="tx1"/>
            </w14:solidFill>
          </w14:textFill>
        </w:rPr>
        <w:t>YS/T 1169。</w:t>
      </w:r>
      <w:r>
        <w:rPr>
          <w:rFonts w:ascii="Times New Roman" w:hAnsi="Times New Roman" w:cs="Times New Roman"/>
          <w:color w:val="000000" w:themeColor="text1"/>
          <w:szCs w:val="21"/>
          <w14:textFill>
            <w14:solidFill>
              <w14:schemeClr w14:val="tx1"/>
            </w14:solidFill>
          </w14:textFill>
        </w:rPr>
        <w:t>分离后的残渣应定期收集，转运至危险废物贮存库。</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5.4.3 </w:t>
      </w:r>
      <w:r>
        <w:rPr>
          <w:rFonts w:ascii="Times New Roman" w:hAnsi="Times New Roman" w:cs="Times New Roman"/>
          <w:color w:val="000000" w:themeColor="text1"/>
          <w:szCs w:val="21"/>
          <w14:textFill>
            <w14:solidFill>
              <w14:schemeClr w14:val="tx1"/>
            </w14:solidFill>
          </w14:textFill>
        </w:rPr>
        <w:t>电解液再生过程应在负压封闭条件下进行，避免有害气体和粉尘逸出，收集的气体应进行集中处理，废气污染防治技术应满足</w:t>
      </w:r>
      <w:r>
        <w:rPr>
          <w:rFonts w:ascii="Times New Roman" w:hAnsi="Times New Roman" w:eastAsia="宋体" w:cs="Times New Roman"/>
          <w:color w:val="000000" w:themeColor="text1"/>
          <w:szCs w:val="21"/>
          <w14:textFill>
            <w14:solidFill>
              <w14:schemeClr w14:val="tx1"/>
            </w14:solidFill>
          </w14:textFill>
        </w:rPr>
        <w:t>YS/T 1170要求。</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5.4.4 </w:t>
      </w:r>
      <w:r>
        <w:rPr>
          <w:rFonts w:ascii="Times New Roman" w:hAnsi="Times New Roman" w:eastAsia="宋体" w:cs="Times New Roman"/>
          <w:color w:val="000000" w:themeColor="text1"/>
          <w:szCs w:val="21"/>
          <w14:textFill>
            <w14:solidFill>
              <w14:schemeClr w14:val="tx1"/>
            </w14:solidFill>
          </w14:textFill>
        </w:rPr>
        <w:t>电解液的循环利用率大于95%。</w:t>
      </w:r>
    </w:p>
    <w:p>
      <w:pPr>
        <w:pStyle w:val="3"/>
        <w:spacing w:after="312" w:afterLines="100" w:line="360" w:lineRule="auto"/>
        <w:rPr>
          <w:rFonts w:ascii="Times New Roman" w:hAnsi="Times New Roman" w:cs="Times New Roman"/>
          <w:color w:val="000000" w:themeColor="text1"/>
          <w:sz w:val="21"/>
          <w14:textFill>
            <w14:solidFill>
              <w14:schemeClr w14:val="tx1"/>
            </w14:solidFill>
          </w14:textFill>
        </w:rPr>
      </w:pPr>
      <w:bookmarkStart w:id="5" w:name="_Toc84978276"/>
      <w:r>
        <w:rPr>
          <w:rFonts w:ascii="Times New Roman" w:hAnsi="Times New Roman" w:cs="Times New Roman"/>
          <w:color w:val="000000" w:themeColor="text1"/>
          <w:sz w:val="21"/>
          <w14:textFill>
            <w14:solidFill>
              <w14:schemeClr w14:val="tx1"/>
            </w14:solidFill>
          </w14:textFill>
        </w:rPr>
        <w:t xml:space="preserve">6 </w:t>
      </w:r>
      <w:bookmarkEnd w:id="5"/>
      <w:r>
        <w:rPr>
          <w:rFonts w:ascii="Times New Roman" w:hAnsi="Times New Roman" w:cs="Times New Roman"/>
          <w:color w:val="000000" w:themeColor="text1"/>
          <w:sz w:val="21"/>
          <w14:textFill>
            <w14:solidFill>
              <w14:schemeClr w14:val="tx1"/>
            </w14:solidFill>
          </w14:textFill>
        </w:rPr>
        <w:t>污染排放控制要求</w:t>
      </w:r>
    </w:p>
    <w:p>
      <w:pPr>
        <w:spacing w:line="360" w:lineRule="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6.1 大气污染控制</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6.1.1 </w:t>
      </w:r>
      <w:r>
        <w:rPr>
          <w:rFonts w:ascii="Times New Roman" w:hAnsi="Times New Roman" w:eastAsia="宋体" w:cs="Times New Roman"/>
          <w:color w:val="000000" w:themeColor="text1"/>
          <w:szCs w:val="21"/>
          <w14:textFill>
            <w14:solidFill>
              <w14:schemeClr w14:val="tx1"/>
            </w14:solidFill>
          </w14:textFill>
        </w:rPr>
        <w:t>废铅膏制备精铅过程废气应经过收集和处理后排放，废气治理工艺应根据生产规模和工艺产生的废气量、废气成分和污染物浓度的实际情况确定。</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6.1.2 </w:t>
      </w:r>
      <w:r>
        <w:rPr>
          <w:rFonts w:ascii="Times New Roman" w:hAnsi="Times New Roman" w:eastAsia="宋体" w:cs="Times New Roman"/>
          <w:color w:val="000000" w:themeColor="text1"/>
          <w:szCs w:val="21"/>
          <w14:textFill>
            <w14:solidFill>
              <w14:schemeClr w14:val="tx1"/>
            </w14:solidFill>
          </w14:textFill>
        </w:rPr>
        <w:t>废气中铅及其化合物应采用两级以上处理工艺，要防止二次污染的产生，满足GB 31574及地方排放标准的要求，还应满足主要污染物总量控制要求。</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6.1.3 </w:t>
      </w:r>
      <w:r>
        <w:rPr>
          <w:rFonts w:ascii="Times New Roman" w:hAnsi="Times New Roman" w:eastAsia="宋体" w:cs="Times New Roman"/>
          <w:color w:val="000000" w:themeColor="text1"/>
          <w:szCs w:val="21"/>
          <w14:textFill>
            <w14:solidFill>
              <w14:schemeClr w14:val="tx1"/>
            </w14:solidFill>
          </w14:textFill>
        </w:rPr>
        <w:t>废气收集过程产生的含铅粉尘处理处置满足GB 18597规定。</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6.1.4 </w:t>
      </w:r>
      <w:r>
        <w:rPr>
          <w:rFonts w:ascii="Times New Roman" w:hAnsi="Times New Roman" w:eastAsia="宋体" w:cs="Times New Roman"/>
          <w:color w:val="000000" w:themeColor="text1"/>
          <w:szCs w:val="21"/>
          <w14:textFill>
            <w14:solidFill>
              <w14:schemeClr w14:val="tx1"/>
            </w14:solidFill>
          </w14:textFill>
        </w:rPr>
        <w:t>废铅膏制备精铅企业在工艺设计、工程设计时，应控制无组织排放。有无组织排放场所，采取有效措施，尽量将有害排放物纳入有组织排放系统。</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6.1.5 </w:t>
      </w:r>
      <w:r>
        <w:rPr>
          <w:rFonts w:ascii="Times New Roman" w:hAnsi="Times New Roman" w:eastAsia="宋体" w:cs="Times New Roman"/>
          <w:color w:val="000000" w:themeColor="text1"/>
          <w:szCs w:val="21"/>
          <w14:textFill>
            <w14:solidFill>
              <w14:schemeClr w14:val="tx1"/>
            </w14:solidFill>
          </w14:textFill>
        </w:rPr>
        <w:t>废气排放应设置污染物排放在线监测设备、监测报警系统和应急处理系统，在线监测设备应按照要求与当地生态环境部门联网。</w:t>
      </w:r>
    </w:p>
    <w:p>
      <w:pPr>
        <w:spacing w:line="360" w:lineRule="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6.2 废水污染控制</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6.2.1 </w:t>
      </w:r>
      <w:r>
        <w:rPr>
          <w:rFonts w:ascii="Times New Roman" w:hAnsi="Times New Roman" w:eastAsia="宋体" w:cs="Times New Roman"/>
          <w:color w:val="000000" w:themeColor="text1"/>
          <w:szCs w:val="21"/>
          <w14:textFill>
            <w14:solidFill>
              <w14:schemeClr w14:val="tx1"/>
            </w14:solidFill>
          </w14:textFill>
        </w:rPr>
        <w:t>优先采用清洁生产技术，减少污染物的产生。</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6.2.2 </w:t>
      </w:r>
      <w:r>
        <w:rPr>
          <w:rFonts w:ascii="Times New Roman" w:hAnsi="Times New Roman" w:eastAsia="宋体" w:cs="Times New Roman"/>
          <w:color w:val="000000" w:themeColor="text1"/>
          <w:szCs w:val="21"/>
          <w14:textFill>
            <w14:solidFill>
              <w14:schemeClr w14:val="tx1"/>
            </w14:solidFill>
          </w14:textFill>
        </w:rPr>
        <w:t>废水处理工艺的选择应根据废水量、水质、药剂来源、处理后水质要求、污泥处置方法等因素，进行技术经济方案比较后确定，优先选用技术成熟、稳定、达标、污泥产率低、节能的处理工艺。</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6.2.3 </w:t>
      </w:r>
      <w:r>
        <w:rPr>
          <w:rFonts w:ascii="Times New Roman" w:hAnsi="Times New Roman" w:eastAsia="宋体" w:cs="Times New Roman"/>
          <w:color w:val="000000" w:themeColor="text1"/>
          <w:szCs w:val="21"/>
          <w14:textFill>
            <w14:solidFill>
              <w14:schemeClr w14:val="tx1"/>
            </w14:solidFill>
          </w14:textFill>
        </w:rPr>
        <w:t>污酸废水和酸性废水处理应优先采用回收有价金属或综合利用处理工艺。污染严重的装置区内初期雨水应单独收集，宜与生产废水合并处理。厂区内生活污水应独立管网收集，单独处理。</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6.2.4 </w:t>
      </w:r>
      <w:r>
        <w:rPr>
          <w:rFonts w:ascii="Times New Roman" w:hAnsi="Times New Roman" w:eastAsia="宋体" w:cs="Times New Roman"/>
          <w:color w:val="000000" w:themeColor="text1"/>
          <w:szCs w:val="21"/>
          <w14:textFill>
            <w14:solidFill>
              <w14:schemeClr w14:val="tx1"/>
            </w14:solidFill>
          </w14:textFill>
        </w:rPr>
        <w:t>含重金属（铅、镉、砷等）生产废水，应在其生产车间或设施内进行分质处理或回用，经处理后达到GB 31574的要求后排放；其他污染物在厂区总排放口应当满足GB 31574的要求；生产废水需全部循环利用。</w:t>
      </w:r>
    </w:p>
    <w:p>
      <w:pPr>
        <w:spacing w:line="360" w:lineRule="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6.3</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黑体" w:cs="Times New Roman"/>
          <w:color w:val="000000" w:themeColor="text1"/>
          <w:szCs w:val="21"/>
          <w14:textFill>
            <w14:solidFill>
              <w14:schemeClr w14:val="tx1"/>
            </w14:solidFill>
          </w14:textFill>
        </w:rPr>
        <w:t xml:space="preserve">固体废物污染控制 </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6.3.1</w:t>
      </w:r>
      <w:r>
        <w:rPr>
          <w:rFonts w:ascii="Times New Roman" w:hAnsi="Times New Roman" w:eastAsia="宋体" w:cs="Times New Roman"/>
          <w:color w:val="000000" w:themeColor="text1"/>
          <w:szCs w:val="21"/>
          <w14:textFill>
            <w14:solidFill>
              <w14:schemeClr w14:val="tx1"/>
            </w14:solidFill>
          </w14:textFill>
        </w:rPr>
        <w:t xml:space="preserve"> 废铅膏制备精铅企业应按照GB 15562.2、GB 18597和GB 18599设置危险废物贮存区和一般工业固体废物贮存区等，不应露天贮存废铅膏及其处理产物。</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6.3.2 </w:t>
      </w:r>
      <w:r>
        <w:rPr>
          <w:rFonts w:ascii="Times New Roman" w:hAnsi="Times New Roman" w:eastAsia="宋体" w:cs="Times New Roman"/>
          <w:color w:val="000000" w:themeColor="text1"/>
          <w:szCs w:val="21"/>
          <w14:textFill>
            <w14:solidFill>
              <w14:schemeClr w14:val="tx1"/>
            </w14:solidFill>
          </w14:textFill>
        </w:rPr>
        <w:t>废铅膏制备精铅过程中产生的电解残渣、中和渣、电渗析纯化废液、废活性炭、生产废水处理污泥等固体废物，应分类收集、贮存、利用处置；属于危险废物且需要委托外单位利用处置的，应交由具有相应资质的企业利用处置。</w:t>
      </w:r>
    </w:p>
    <w:p>
      <w:pPr>
        <w:spacing w:line="360" w:lineRule="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6.4 噪声污染控制</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6.4.1 </w:t>
      </w:r>
      <w:r>
        <w:rPr>
          <w:rFonts w:ascii="Times New Roman" w:hAnsi="Times New Roman" w:eastAsia="宋体" w:cs="Times New Roman"/>
          <w:color w:val="000000" w:themeColor="text1"/>
          <w:szCs w:val="21"/>
          <w14:textFill>
            <w14:solidFill>
              <w14:schemeClr w14:val="tx1"/>
            </w14:solidFill>
          </w14:textFill>
        </w:rPr>
        <w:t>主要噪声设备，如破碎机、泵、风机等应采取基础减震和消声及隔声措施。</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6.4.2 </w:t>
      </w:r>
      <w:r>
        <w:rPr>
          <w:rFonts w:ascii="Times New Roman" w:hAnsi="Times New Roman" w:eastAsia="宋体" w:cs="Times New Roman"/>
          <w:color w:val="000000" w:themeColor="text1"/>
          <w:szCs w:val="21"/>
          <w14:textFill>
            <w14:solidFill>
              <w14:schemeClr w14:val="tx1"/>
            </w14:solidFill>
          </w14:textFill>
        </w:rPr>
        <w:t>厂界噪声应符合GB 12348的要求。</w:t>
      </w:r>
    </w:p>
    <w:p>
      <w:pPr>
        <w:pStyle w:val="3"/>
        <w:spacing w:after="312" w:afterLines="100" w:line="360" w:lineRule="auto"/>
        <w:rPr>
          <w:rFonts w:ascii="Times New Roman" w:hAnsi="Times New Roman" w:cs="Times New Roman"/>
          <w:color w:val="000000" w:themeColor="text1"/>
          <w:sz w:val="21"/>
          <w14:textFill>
            <w14:solidFill>
              <w14:schemeClr w14:val="tx1"/>
            </w14:solidFill>
          </w14:textFill>
        </w:rPr>
      </w:pPr>
      <w:bookmarkStart w:id="6" w:name="_Toc84978075"/>
      <w:r>
        <w:rPr>
          <w:rFonts w:ascii="Times New Roman" w:hAnsi="Times New Roman" w:cs="Times New Roman"/>
          <w:color w:val="000000" w:themeColor="text1"/>
          <w:sz w:val="21"/>
          <w14:textFill>
            <w14:solidFill>
              <w14:schemeClr w14:val="tx1"/>
            </w14:solidFill>
          </w14:textFill>
        </w:rPr>
        <w:t>7 环境管理要求</w:t>
      </w:r>
      <w:bookmarkEnd w:id="6"/>
    </w:p>
    <w:p>
      <w:pPr>
        <w:spacing w:line="360" w:lineRule="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7.1 </w:t>
      </w:r>
      <w:r>
        <w:rPr>
          <w:rFonts w:hint="eastAsia" w:ascii="Times New Roman" w:hAnsi="Times New Roman" w:eastAsia="黑体" w:cs="Times New Roman"/>
          <w:color w:val="000000" w:themeColor="text1"/>
          <w:szCs w:val="21"/>
          <w14:textFill>
            <w14:solidFill>
              <w14:schemeClr w14:val="tx1"/>
            </w14:solidFill>
          </w14:textFill>
        </w:rPr>
        <w:t>工艺</w:t>
      </w:r>
      <w:r>
        <w:rPr>
          <w:rFonts w:ascii="Times New Roman" w:hAnsi="Times New Roman" w:eastAsia="黑体" w:cs="Times New Roman"/>
          <w:color w:val="000000" w:themeColor="text1"/>
          <w:szCs w:val="21"/>
          <w14:textFill>
            <w14:solidFill>
              <w14:schemeClr w14:val="tx1"/>
            </w14:solidFill>
          </w14:textFill>
        </w:rPr>
        <w:t>运行</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7.1.1 </w:t>
      </w:r>
      <w:r>
        <w:rPr>
          <w:rFonts w:ascii="Times New Roman" w:hAnsi="Times New Roman" w:eastAsia="宋体" w:cs="Times New Roman"/>
          <w:color w:val="000000" w:themeColor="text1"/>
          <w:szCs w:val="21"/>
          <w14:textFill>
            <w14:solidFill>
              <w14:schemeClr w14:val="tx1"/>
            </w14:solidFill>
          </w14:textFill>
        </w:rPr>
        <w:t>基本条件</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a） </w:t>
      </w:r>
      <w:r>
        <w:rPr>
          <w:rFonts w:ascii="Times New Roman" w:hAnsi="Times New Roman" w:eastAsia="宋体" w:cs="Times New Roman"/>
          <w:color w:val="000000" w:themeColor="text1"/>
          <w:szCs w:val="21"/>
          <w14:textFill>
            <w14:solidFill>
              <w14:schemeClr w14:val="tx1"/>
            </w14:solidFill>
          </w14:textFill>
        </w:rPr>
        <w:t>废铅膏制备精铅企业按照危险废物经营许可证规定从事经营活动，按照危险废物转移有关规定如实填写、运行转移联单，并向所在地生态环境主管部门如实申报废铅膏接收、贮存、利用处置等有关资料。</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依法进行环境影响评价，完成“三同时”验收；依法取得排污许可证并按证排污。</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b） </w:t>
      </w:r>
      <w:r>
        <w:rPr>
          <w:rFonts w:ascii="Times New Roman" w:hAnsi="Times New Roman" w:eastAsia="宋体" w:cs="Times New Roman"/>
          <w:color w:val="000000" w:themeColor="text1"/>
          <w:szCs w:val="21"/>
          <w14:textFill>
            <w14:solidFill>
              <w14:schemeClr w14:val="tx1"/>
            </w14:solidFill>
          </w14:textFill>
        </w:rPr>
        <w:t>废铅膏制备精铅设施所有者应设置专门的部门或者专职人员，负责废铅膏利用处置过程的相关环境管理工作。</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c） </w:t>
      </w:r>
      <w:r>
        <w:rPr>
          <w:rFonts w:ascii="Times New Roman" w:hAnsi="Times New Roman" w:eastAsia="宋体" w:cs="Times New Roman"/>
          <w:color w:val="000000" w:themeColor="text1"/>
          <w:szCs w:val="21"/>
          <w14:textFill>
            <w14:solidFill>
              <w14:schemeClr w14:val="tx1"/>
            </w14:solidFill>
          </w14:textFill>
        </w:rPr>
        <w:t>应当依法及时公开固体废物污染环境防治信息，主动接受社会监督。</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7.1.2 </w:t>
      </w:r>
      <w:r>
        <w:rPr>
          <w:rFonts w:ascii="Times New Roman" w:hAnsi="Times New Roman" w:eastAsia="宋体" w:cs="Times New Roman"/>
          <w:color w:val="000000" w:themeColor="text1"/>
          <w:szCs w:val="21"/>
          <w14:textFill>
            <w14:solidFill>
              <w14:schemeClr w14:val="tx1"/>
            </w14:solidFill>
          </w14:textFill>
        </w:rPr>
        <w:t>设施管理</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a） </w:t>
      </w:r>
      <w:r>
        <w:rPr>
          <w:rFonts w:ascii="Times New Roman" w:hAnsi="Times New Roman" w:eastAsia="宋体" w:cs="Times New Roman"/>
          <w:color w:val="000000" w:themeColor="text1"/>
          <w:szCs w:val="21"/>
          <w14:textFill>
            <w14:solidFill>
              <w14:schemeClr w14:val="tx1"/>
            </w14:solidFill>
          </w14:textFill>
        </w:rPr>
        <w:t>应对废铅膏制备精铅企业环境污染防治设施建立维护、巡检等管理制度。确保污染防治设施连续、稳定、可靠运行。</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b） </w:t>
      </w:r>
      <w:r>
        <w:rPr>
          <w:rFonts w:ascii="Times New Roman" w:hAnsi="Times New Roman" w:eastAsia="宋体" w:cs="Times New Roman"/>
          <w:color w:val="000000" w:themeColor="text1"/>
          <w:szCs w:val="21"/>
          <w14:textFill>
            <w14:solidFill>
              <w14:schemeClr w14:val="tx1"/>
            </w14:solidFill>
          </w14:textFill>
        </w:rPr>
        <w:t>应对废铅膏收集、贮存、利用处置过程中相关设备或设施进行检修、维护排查及、漏、渗漏等情况的土壤污染隐患排查。</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7.1.3 </w:t>
      </w:r>
      <w:r>
        <w:rPr>
          <w:rFonts w:ascii="Times New Roman" w:hAnsi="Times New Roman" w:eastAsia="宋体" w:cs="Times New Roman"/>
          <w:color w:val="000000" w:themeColor="text1"/>
          <w:szCs w:val="21"/>
          <w14:textFill>
            <w14:solidFill>
              <w14:schemeClr w14:val="tx1"/>
            </w14:solidFill>
          </w14:textFill>
        </w:rPr>
        <w:t>化验分析</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制定入场接收标准，对废铅膏入厂进行化验分析，符合接收标准的方可入厂。</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b）</w:t>
      </w:r>
      <w:r>
        <w:rPr>
          <w:rFonts w:ascii="Times New Roman" w:hAnsi="Times New Roman" w:eastAsia="宋体" w:cs="Times New Roman"/>
          <w:color w:val="000000" w:themeColor="text1"/>
          <w:szCs w:val="21"/>
          <w14:textFill>
            <w14:solidFill>
              <w14:schemeClr w14:val="tx1"/>
            </w14:solidFill>
          </w14:textFill>
        </w:rPr>
        <w:t>应对精铅产品、副产物等铅及杂质进行化验分析，产品满足相关产品标准要求的方可出厂。</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7.1.4 </w:t>
      </w:r>
      <w:r>
        <w:rPr>
          <w:rFonts w:ascii="Times New Roman" w:hAnsi="Times New Roman" w:eastAsia="宋体" w:cs="Times New Roman"/>
          <w:color w:val="000000" w:themeColor="text1"/>
          <w:szCs w:val="21"/>
          <w14:textFill>
            <w14:solidFill>
              <w14:schemeClr w14:val="tx1"/>
            </w14:solidFill>
          </w14:textFill>
        </w:rPr>
        <w:t>人员培训</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应对废铅膏制备精铅过程的所有作业人员进行培训，培训内容应包括以下几个方面：</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a） </w:t>
      </w:r>
      <w:r>
        <w:rPr>
          <w:rFonts w:ascii="Times New Roman" w:hAnsi="Times New Roman" w:eastAsia="宋体" w:cs="Times New Roman"/>
          <w:color w:val="000000" w:themeColor="text1"/>
          <w:szCs w:val="21"/>
          <w14:textFill>
            <w14:solidFill>
              <w14:schemeClr w14:val="tx1"/>
            </w14:solidFill>
          </w14:textFill>
        </w:rPr>
        <w:t>相关法律法规、规章和有关规范性文件的规定；</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b） </w:t>
      </w:r>
      <w:r>
        <w:rPr>
          <w:rFonts w:ascii="Times New Roman" w:hAnsi="Times New Roman" w:eastAsia="宋体" w:cs="Times New Roman"/>
          <w:color w:val="000000" w:themeColor="text1"/>
          <w:szCs w:val="21"/>
          <w14:textFill>
            <w14:solidFill>
              <w14:schemeClr w14:val="tx1"/>
            </w14:solidFill>
          </w14:textFill>
        </w:rPr>
        <w:t>废铅膏的环境危害特性；</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c） </w:t>
      </w:r>
      <w:r>
        <w:rPr>
          <w:rFonts w:ascii="Times New Roman" w:hAnsi="Times New Roman" w:eastAsia="宋体" w:cs="Times New Roman"/>
          <w:color w:val="000000" w:themeColor="text1"/>
          <w:szCs w:val="21"/>
          <w14:textFill>
            <w14:solidFill>
              <w14:schemeClr w14:val="tx1"/>
            </w14:solidFill>
          </w14:textFill>
        </w:rPr>
        <w:t>企业制定的危险废物管理规章制度、工作流程和应急预案等各项要求；</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d） </w:t>
      </w:r>
      <w:r>
        <w:rPr>
          <w:rFonts w:ascii="Times New Roman" w:hAnsi="Times New Roman" w:eastAsia="宋体" w:cs="Times New Roman"/>
          <w:color w:val="000000" w:themeColor="text1"/>
          <w:szCs w:val="21"/>
          <w14:textFill>
            <w14:solidFill>
              <w14:schemeClr w14:val="tx1"/>
            </w14:solidFill>
          </w14:textFill>
        </w:rPr>
        <w:t>危险废物分类收集、运输、暂存、利用和处置的正确方法和操作程序；</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e） </w:t>
      </w:r>
      <w:r>
        <w:rPr>
          <w:rFonts w:ascii="Times New Roman" w:hAnsi="Times New Roman" w:eastAsia="宋体" w:cs="Times New Roman"/>
          <w:color w:val="000000" w:themeColor="text1"/>
          <w:szCs w:val="21"/>
          <w14:textFill>
            <w14:solidFill>
              <w14:schemeClr w14:val="tx1"/>
            </w14:solidFill>
          </w14:textFill>
        </w:rPr>
        <w:t>生产过程所排放环境污染物的排放限值以及污染防治设施设备的运行维护要求。</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7.1.5 </w:t>
      </w:r>
      <w:r>
        <w:rPr>
          <w:rFonts w:ascii="Times New Roman" w:hAnsi="Times New Roman" w:eastAsia="宋体" w:cs="Times New Roman"/>
          <w:color w:val="000000" w:themeColor="text1"/>
          <w:szCs w:val="21"/>
          <w14:textFill>
            <w14:solidFill>
              <w14:schemeClr w14:val="tx1"/>
            </w14:solidFill>
          </w14:textFill>
        </w:rPr>
        <w:t>监测</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a） </w:t>
      </w:r>
      <w:r>
        <w:rPr>
          <w:rFonts w:ascii="Times New Roman" w:hAnsi="Times New Roman" w:eastAsia="宋体" w:cs="Times New Roman"/>
          <w:color w:val="000000" w:themeColor="text1"/>
          <w:szCs w:val="21"/>
          <w14:textFill>
            <w14:solidFill>
              <w14:schemeClr w14:val="tx1"/>
            </w14:solidFill>
          </w14:textFill>
        </w:rPr>
        <w:t>废铅膏制备精铅企业应按照有关法律法规和HJ 819的要求，建立企业监测制度，制定监测方案，对主要污染物排放状况开展自行监测，保存原始监测记录，并公布监测结果；行业自行监测管理要求发布前，主要污染物排放监测要求参见附录A，环境监测要求参见附录B。</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b）</w:t>
      </w:r>
      <w:r>
        <w:rPr>
          <w:rFonts w:ascii="Times New Roman" w:hAnsi="Times New Roman" w:eastAsia="宋体" w:cs="Times New Roman"/>
          <w:color w:val="000000" w:themeColor="text1"/>
          <w:szCs w:val="21"/>
          <w14:textFill>
            <w14:solidFill>
              <w14:schemeClr w14:val="tx1"/>
            </w14:solidFill>
          </w14:textFill>
        </w:rPr>
        <w:t xml:space="preserve"> 应定期对废铅膏制备精铅工艺污染物排放情况进行监测和评估，必要时应采取改进措施。</w:t>
      </w:r>
    </w:p>
    <w:p>
      <w:pP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7.2 环境应急</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7.2.</w:t>
      </w:r>
      <w:r>
        <w:rPr>
          <w:rFonts w:hint="eastAsia" w:ascii="Times New Roman" w:hAnsi="Times New Roman" w:eastAsia="黑体" w:cs="Times New Roman"/>
          <w:color w:val="000000" w:themeColor="text1"/>
          <w:szCs w:val="21"/>
          <w14:textFill>
            <w14:solidFill>
              <w14:schemeClr w14:val="tx1"/>
            </w14:solidFill>
          </w14:textFill>
        </w:rPr>
        <w:t>1</w:t>
      </w:r>
      <w:r>
        <w:rPr>
          <w:rFonts w:ascii="Times New Roman" w:hAnsi="Times New Roman" w:eastAsia="黑体" w:cs="Times New Roman"/>
          <w:color w:val="000000" w:themeColor="text1"/>
          <w:szCs w:val="21"/>
          <w14:textFill>
            <w14:solidFill>
              <w14:schemeClr w14:val="tx1"/>
            </w14:solidFill>
          </w14:textFill>
        </w:rPr>
        <w:t xml:space="preserve"> </w:t>
      </w:r>
      <w:bookmarkStart w:id="7" w:name="_Hlk108423951"/>
      <w:r>
        <w:rPr>
          <w:rFonts w:ascii="Times New Roman" w:hAnsi="Times New Roman" w:eastAsia="宋体" w:cs="Times New Roman"/>
          <w:color w:val="000000" w:themeColor="text1"/>
          <w:szCs w:val="21"/>
          <w14:textFill>
            <w14:solidFill>
              <w14:schemeClr w14:val="tx1"/>
            </w14:solidFill>
          </w14:textFill>
        </w:rPr>
        <w:t>废铅膏制备精铅企业</w:t>
      </w:r>
      <w:bookmarkEnd w:id="7"/>
      <w:r>
        <w:rPr>
          <w:rFonts w:ascii="Times New Roman" w:hAnsi="Times New Roman" w:eastAsia="宋体" w:cs="Times New Roman"/>
          <w:color w:val="000000" w:themeColor="text1"/>
          <w:szCs w:val="21"/>
          <w14:textFill>
            <w14:solidFill>
              <w14:schemeClr w14:val="tx1"/>
            </w14:solidFill>
          </w14:textFill>
        </w:rPr>
        <w:t>按照</w:t>
      </w:r>
      <w:r>
        <w:rPr>
          <w:rFonts w:hint="eastAsia" w:ascii="Times New Roman" w:hAnsi="Times New Roman" w:eastAsia="宋体" w:cs="Times New Roman"/>
          <w:color w:val="000000" w:themeColor="text1"/>
          <w:szCs w:val="21"/>
          <w14:textFill>
            <w14:solidFill>
              <w14:schemeClr w14:val="tx1"/>
            </w14:solidFill>
          </w14:textFill>
        </w:rPr>
        <w:t>《突发环境事件应急管理办法》《危险废物经营单位编制应急预案指南》等</w:t>
      </w:r>
      <w:r>
        <w:rPr>
          <w:rFonts w:ascii="Times New Roman" w:hAnsi="Times New Roman" w:eastAsia="宋体" w:cs="Times New Roman"/>
          <w:color w:val="000000" w:themeColor="text1"/>
          <w:szCs w:val="21"/>
          <w14:textFill>
            <w14:solidFill>
              <w14:schemeClr w14:val="tx1"/>
            </w14:solidFill>
          </w14:textFill>
        </w:rPr>
        <w:t>相关要求，依法制定意外事故的环境污染防范措施和应急预案。</w:t>
      </w:r>
    </w:p>
    <w:p>
      <w:pPr>
        <w:spacing w:line="36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7.</w:t>
      </w:r>
      <w:r>
        <w:rPr>
          <w:rFonts w:hint="eastAsia" w:ascii="Times New Roman" w:hAnsi="Times New Roman" w:eastAsia="黑体" w:cs="Times New Roman"/>
          <w:color w:val="000000" w:themeColor="text1"/>
          <w:szCs w:val="21"/>
          <w14:textFill>
            <w14:solidFill>
              <w14:schemeClr w14:val="tx1"/>
            </w14:solidFill>
          </w14:textFill>
        </w:rPr>
        <w:t>3</w:t>
      </w:r>
      <w:r>
        <w:rPr>
          <w:rFonts w:ascii="Times New Roman" w:hAnsi="Times New Roman" w:eastAsia="黑体" w:cs="Times New Roman"/>
          <w:color w:val="000000" w:themeColor="text1"/>
          <w:szCs w:val="21"/>
          <w14:textFill>
            <w14:solidFill>
              <w14:schemeClr w14:val="tx1"/>
            </w14:solidFill>
          </w14:textFill>
        </w:rPr>
        <w:t>.</w:t>
      </w:r>
      <w:r>
        <w:rPr>
          <w:rFonts w:hint="eastAsia" w:ascii="Times New Roman" w:hAnsi="Times New Roman" w:eastAsia="黑体" w:cs="Times New Roman"/>
          <w:color w:val="000000" w:themeColor="text1"/>
          <w:szCs w:val="21"/>
          <w14:textFill>
            <w14:solidFill>
              <w14:schemeClr w14:val="tx1"/>
            </w14:solidFill>
          </w14:textFill>
        </w:rPr>
        <w:t>2</w:t>
      </w:r>
      <w:r>
        <w:rPr>
          <w:rFonts w:ascii="Times New Roman" w:hAnsi="Times New Roman" w:eastAsia="黑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环境应急预案应向所在地生态环境主管部门和其他负有固体废物污染环境防治监督管理职责的部门备案。</w:t>
      </w:r>
    </w:p>
    <w:p>
      <w:pPr>
        <w:spacing w:line="360" w:lineRule="auto"/>
        <w:rPr>
          <w:rFonts w:ascii="黑体" w:hAnsi="黑体" w:eastAsia="黑体" w:cs="黑体"/>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7.2.3 </w:t>
      </w:r>
      <w:r>
        <w:rPr>
          <w:rFonts w:ascii="Times New Roman" w:hAnsi="Times New Roman" w:eastAsia="宋体" w:cs="Times New Roman"/>
          <w:color w:val="000000" w:themeColor="text1"/>
          <w:szCs w:val="21"/>
          <w14:textFill>
            <w14:solidFill>
              <w14:schemeClr w14:val="tx1"/>
            </w14:solidFill>
          </w14:textFill>
        </w:rPr>
        <w:t>应按照预案要求每年组织应急演练。</w:t>
      </w:r>
    </w:p>
    <w:p>
      <w:pPr>
        <w:rPr>
          <w:rFonts w:ascii="仿宋_GB2312" w:hAnsi="Times New Roman" w:eastAsia="仿宋_GB2312" w:cs="Times New Roman"/>
          <w:color w:val="000000" w:themeColor="text1"/>
          <w14:textFill>
            <w14:solidFill>
              <w14:schemeClr w14:val="tx1"/>
            </w14:solidFill>
          </w14:textFill>
        </w:rPr>
      </w:pPr>
      <w:r>
        <w:rPr>
          <w:rFonts w:ascii="仿宋_GB2312" w:hAnsi="Times New Roman" w:eastAsia="仿宋_GB2312" w:cs="Times New Roman"/>
          <w:color w:val="000000" w:themeColor="text1"/>
          <w14:textFill>
            <w14:solidFill>
              <w14:schemeClr w14:val="tx1"/>
            </w14:solidFill>
          </w14:textFill>
        </w:rPr>
        <w:br w:type="page"/>
      </w:r>
    </w:p>
    <w:p>
      <w:pPr>
        <w:pStyle w:val="14"/>
        <w:spacing w:before="156" w:after="156"/>
        <w:jc w:val="center"/>
        <w:rPr>
          <w:rFonts w:ascii="黑体" w:hAnsi="黑体" w:eastAsia="黑体" w:cs="黑体"/>
          <w:b w:val="0"/>
          <w:bCs w:val="0"/>
          <w:color w:val="000000" w:themeColor="text1"/>
          <w:sz w:val="21"/>
          <w:szCs w:val="21"/>
          <w14:textFill>
            <w14:solidFill>
              <w14:schemeClr w14:val="tx1"/>
            </w14:solidFill>
          </w14:textFill>
        </w:rPr>
      </w:pPr>
      <w:bookmarkStart w:id="8" w:name="_Toc84978077"/>
      <w:r>
        <w:rPr>
          <w:rFonts w:hint="eastAsia" w:ascii="黑体" w:hAnsi="黑体" w:eastAsia="黑体" w:cs="黑体"/>
          <w:b w:val="0"/>
          <w:bCs w:val="0"/>
          <w:color w:val="000000" w:themeColor="text1"/>
          <w:sz w:val="21"/>
          <w:szCs w:val="21"/>
          <w14:textFill>
            <w14:solidFill>
              <w14:schemeClr w14:val="tx1"/>
            </w14:solidFill>
          </w14:textFill>
        </w:rPr>
        <w:t>附录A</w:t>
      </w:r>
    </w:p>
    <w:p>
      <w:pPr>
        <w:pStyle w:val="14"/>
        <w:spacing w:before="156" w:after="156"/>
        <w:jc w:val="center"/>
        <w:rPr>
          <w:rFonts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（资料性附录）</w:t>
      </w:r>
    </w:p>
    <w:p>
      <w:pPr>
        <w:pStyle w:val="14"/>
        <w:spacing w:before="156" w:after="156"/>
        <w:jc w:val="center"/>
        <w:rPr>
          <w:rFonts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废铅膏制备精铅（选择性浸出-旋转电积工艺）主要污染物排放监测要求</w:t>
      </w:r>
      <w:bookmarkEnd w:id="8"/>
    </w:p>
    <w:p>
      <w:pPr>
        <w:pStyle w:val="14"/>
        <w:spacing w:before="156" w:after="156"/>
        <w:jc w:val="center"/>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表A.1 废铅膏制备精铅（选择性浸出-旋转电积工艺）</w:t>
      </w:r>
      <w:r>
        <w:rPr>
          <w:rFonts w:ascii="宋体" w:hAnsi="宋体" w:eastAsia="宋体" w:cs="宋体"/>
          <w:b w:val="0"/>
          <w:bCs w:val="0"/>
          <w:color w:val="000000" w:themeColor="text1"/>
          <w:sz w:val="21"/>
          <w:szCs w:val="21"/>
          <w14:textFill>
            <w14:solidFill>
              <w14:schemeClr w14:val="tx1"/>
            </w14:solidFill>
          </w14:textFill>
        </w:rPr>
        <w:t>主要污染物排放监测要求</w:t>
      </w:r>
    </w:p>
    <w:tbl>
      <w:tblPr>
        <w:tblStyle w:val="1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1276"/>
        <w:gridCol w:w="2552"/>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产排污节点</w:t>
            </w:r>
          </w:p>
        </w:tc>
        <w:tc>
          <w:tcPr>
            <w:tcW w:w="170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监测点位</w:t>
            </w:r>
          </w:p>
        </w:tc>
        <w:tc>
          <w:tcPr>
            <w:tcW w:w="127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排放口类型</w:t>
            </w: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监测因子</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最低监测频次</w:t>
            </w:r>
          </w:p>
        </w:tc>
        <w:tc>
          <w:tcPr>
            <w:tcW w:w="113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6"/>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废气有组织排放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废铅膏预处理</w:t>
            </w:r>
          </w:p>
        </w:tc>
        <w:tc>
          <w:tcPr>
            <w:tcW w:w="170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预处理排气筒</w:t>
            </w:r>
          </w:p>
        </w:tc>
        <w:tc>
          <w:tcPr>
            <w:tcW w:w="127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一般排放口</w:t>
            </w: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颗粒物</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季度</w:t>
            </w:r>
          </w:p>
        </w:tc>
        <w:tc>
          <w:tcPr>
            <w:tcW w:w="1134"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选择性浸出</w:t>
            </w:r>
          </w:p>
        </w:tc>
        <w:tc>
          <w:tcPr>
            <w:tcW w:w="170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浸出车间排气筒</w:t>
            </w:r>
          </w:p>
        </w:tc>
        <w:tc>
          <w:tcPr>
            <w:tcW w:w="127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一般排放口</w:t>
            </w: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磺酸雾、铅及其化合物</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半年</w:t>
            </w:r>
          </w:p>
        </w:tc>
        <w:tc>
          <w:tcPr>
            <w:tcW w:w="1134"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旋转电积</w:t>
            </w:r>
          </w:p>
        </w:tc>
        <w:tc>
          <w:tcPr>
            <w:tcW w:w="170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电积车间排气筒</w:t>
            </w:r>
          </w:p>
        </w:tc>
        <w:tc>
          <w:tcPr>
            <w:tcW w:w="127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一般排放口</w:t>
            </w: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磺酸雾、铅及其化合物</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半年</w:t>
            </w:r>
          </w:p>
        </w:tc>
        <w:tc>
          <w:tcPr>
            <w:tcW w:w="1134"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电解液再生</w:t>
            </w:r>
          </w:p>
        </w:tc>
        <w:tc>
          <w:tcPr>
            <w:tcW w:w="170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再生</w:t>
            </w:r>
            <w:r>
              <w:rPr>
                <w:rFonts w:ascii="Times New Roman" w:hAnsi="Times New Roman" w:eastAsia="宋体" w:cs="Times New Roman"/>
                <w:color w:val="000000" w:themeColor="text1"/>
                <w:szCs w:val="21"/>
                <w14:textFill>
                  <w14:solidFill>
                    <w14:schemeClr w14:val="tx1"/>
                  </w14:solidFill>
                </w14:textFill>
              </w:rPr>
              <w:t>车间排气筒</w:t>
            </w:r>
          </w:p>
        </w:tc>
        <w:tc>
          <w:tcPr>
            <w:tcW w:w="1276"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一般排放口</w:t>
            </w: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磺酸雾、铅及其化合物</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半年</w:t>
            </w:r>
          </w:p>
        </w:tc>
        <w:tc>
          <w:tcPr>
            <w:tcW w:w="1134"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6"/>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废气无组织排放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gridSpan w:val="3"/>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排污单位边界</w:t>
            </w: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磺酸雾、铅及其化合物</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季度</w:t>
            </w:r>
          </w:p>
        </w:tc>
        <w:tc>
          <w:tcPr>
            <w:tcW w:w="1134"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6"/>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废水排放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废水</w:t>
            </w:r>
          </w:p>
        </w:tc>
        <w:tc>
          <w:tcPr>
            <w:tcW w:w="1701"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废水总排放口</w:t>
            </w:r>
          </w:p>
        </w:tc>
        <w:tc>
          <w:tcPr>
            <w:tcW w:w="127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主要排放口</w:t>
            </w: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单位产品基准排水量、pH 值、化学需氧量、氨氮、总氮、总磷</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自动监测</w:t>
            </w:r>
          </w:p>
        </w:tc>
        <w:tc>
          <w:tcPr>
            <w:tcW w:w="1134"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GB 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0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7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总铜、总锌</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月</w:t>
            </w:r>
          </w:p>
        </w:tc>
        <w:tc>
          <w:tcPr>
            <w:tcW w:w="1134"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0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7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悬浮物、石油类、硫化物</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季度</w:t>
            </w:r>
          </w:p>
        </w:tc>
        <w:tc>
          <w:tcPr>
            <w:tcW w:w="1134"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01"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车间或生产设施废水排放口</w:t>
            </w:r>
          </w:p>
        </w:tc>
        <w:tc>
          <w:tcPr>
            <w:tcW w:w="1276"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主要排放口</w:t>
            </w: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总铅、总砷、总镉、总汞</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日</w:t>
            </w:r>
          </w:p>
        </w:tc>
        <w:tc>
          <w:tcPr>
            <w:tcW w:w="1134"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701"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276"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2552"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总镍、总锑、总铬</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月</w:t>
            </w:r>
          </w:p>
        </w:tc>
        <w:tc>
          <w:tcPr>
            <w:tcW w:w="1134"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6"/>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注1：单独排入地表水、海水的生活污水排放口污染物（pH值、化学需氧量、五日生化需氧量、悬浮物、氨氮、总氮、总磷）每月至少开展一次监测。</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注2：车间或生产设施排放口指含第一类污染物废水（主要包括废酸处理废水、浸出和电解质净化废水等）处理的特定处理单元出水口。</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 3：雨水排口污染物（化学需氧量、氨氮、悬浮物、总铅）排放期间每日至少开展一次监测。</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4"/>
        <w:spacing w:before="156" w:after="156"/>
        <w:jc w:val="center"/>
        <w:rPr>
          <w:rFonts w:ascii="黑体" w:hAnsi="黑体" w:eastAsia="黑体" w:cs="黑体"/>
          <w:b w:val="0"/>
          <w:bCs w:val="0"/>
          <w:color w:val="000000" w:themeColor="text1"/>
          <w:sz w:val="21"/>
          <w:szCs w:val="21"/>
          <w14:textFill>
            <w14:solidFill>
              <w14:schemeClr w14:val="tx1"/>
            </w14:solidFill>
          </w14:textFill>
        </w:rPr>
      </w:pPr>
      <w:bookmarkStart w:id="9" w:name="_Toc84978078"/>
      <w:r>
        <w:rPr>
          <w:rFonts w:hint="eastAsia" w:ascii="黑体" w:hAnsi="黑体" w:eastAsia="黑体" w:cs="黑体"/>
          <w:b w:val="0"/>
          <w:bCs w:val="0"/>
          <w:color w:val="000000" w:themeColor="text1"/>
          <w:sz w:val="21"/>
          <w:szCs w:val="21"/>
          <w14:textFill>
            <w14:solidFill>
              <w14:schemeClr w14:val="tx1"/>
            </w14:solidFill>
          </w14:textFill>
        </w:rPr>
        <w:t>附录</w:t>
      </w:r>
      <w:r>
        <w:rPr>
          <w:rFonts w:ascii="黑体" w:hAnsi="黑体" w:eastAsia="黑体" w:cs="黑体"/>
          <w:b w:val="0"/>
          <w:bCs w:val="0"/>
          <w:color w:val="000000" w:themeColor="text1"/>
          <w:sz w:val="21"/>
          <w:szCs w:val="21"/>
          <w14:textFill>
            <w14:solidFill>
              <w14:schemeClr w14:val="tx1"/>
            </w14:solidFill>
          </w14:textFill>
        </w:rPr>
        <w:t>B</w:t>
      </w:r>
    </w:p>
    <w:p>
      <w:pPr>
        <w:pStyle w:val="14"/>
        <w:spacing w:before="156" w:after="156"/>
        <w:jc w:val="center"/>
        <w:rPr>
          <w:rFonts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（资料性附录）</w:t>
      </w:r>
    </w:p>
    <w:p>
      <w:pPr>
        <w:pStyle w:val="14"/>
        <w:spacing w:before="156" w:after="156"/>
        <w:jc w:val="center"/>
        <w:rPr>
          <w:rFonts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废铅膏制备精铅企业环境监测要求</w:t>
      </w:r>
      <w:bookmarkEnd w:id="9"/>
    </w:p>
    <w:p>
      <w:pPr>
        <w:pStyle w:val="14"/>
        <w:spacing w:before="156" w:after="156" w:line="240" w:lineRule="auto"/>
        <w:jc w:val="center"/>
        <w:rPr>
          <w:rFonts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color w:val="000000" w:themeColor="text1"/>
          <w:sz w:val="21"/>
          <w:szCs w:val="21"/>
          <w14:textFill>
            <w14:solidFill>
              <w14:schemeClr w14:val="tx1"/>
            </w14:solidFill>
          </w14:textFill>
        </w:rPr>
        <w:t>表B.1 废铅膏制备精铅企业环境监测要求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3" w:type="dxa"/>
            <w:gridSpan w:val="3"/>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指标</w:t>
            </w: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监测点位</w:t>
            </w: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监测频率</w:t>
            </w: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空气质量</w:t>
            </w:r>
          </w:p>
        </w:tc>
        <w:tc>
          <w:tcPr>
            <w:tcW w:w="1604"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日均值</w:t>
            </w: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总悬浮颗粒物</w:t>
            </w:r>
          </w:p>
        </w:tc>
        <w:tc>
          <w:tcPr>
            <w:tcW w:w="16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厂界</w:t>
            </w:r>
          </w:p>
        </w:tc>
        <w:tc>
          <w:tcPr>
            <w:tcW w:w="16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 期/年</w:t>
            </w:r>
          </w:p>
        </w:tc>
        <w:tc>
          <w:tcPr>
            <w:tcW w:w="16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GB 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二氧化硫</w:t>
            </w: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小时均值</w:t>
            </w: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二氧化硫</w:t>
            </w: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季平均</w:t>
            </w: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铅</w:t>
            </w: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年平均</w:t>
            </w: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铅</w:t>
            </w: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土壤</w:t>
            </w:r>
          </w:p>
        </w:tc>
        <w:tc>
          <w:tcPr>
            <w:tcW w:w="1604"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浓度</w:t>
            </w: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pH值</w:t>
            </w:r>
          </w:p>
        </w:tc>
        <w:tc>
          <w:tcPr>
            <w:tcW w:w="16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厂界周围土壤</w:t>
            </w:r>
          </w:p>
        </w:tc>
        <w:tc>
          <w:tcPr>
            <w:tcW w:w="16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2期/年</w:t>
            </w:r>
          </w:p>
        </w:tc>
        <w:tc>
          <w:tcPr>
            <w:tcW w:w="16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GB 15618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铅</w:t>
            </w: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铅</w:t>
            </w: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镉</w:t>
            </w: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镍</w:t>
            </w: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地下水</w:t>
            </w:r>
          </w:p>
        </w:tc>
        <w:tc>
          <w:tcPr>
            <w:tcW w:w="1604"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浓度</w:t>
            </w: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pH值</w:t>
            </w:r>
          </w:p>
        </w:tc>
        <w:tc>
          <w:tcPr>
            <w:tcW w:w="16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地下水</w:t>
            </w:r>
          </w:p>
        </w:tc>
        <w:tc>
          <w:tcPr>
            <w:tcW w:w="16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2期/年</w:t>
            </w:r>
          </w:p>
        </w:tc>
        <w:tc>
          <w:tcPr>
            <w:tcW w:w="16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GB/T 14848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铅</w:t>
            </w:r>
          </w:p>
        </w:tc>
        <w:tc>
          <w:tcPr>
            <w:tcW w:w="1605" w:type="dxa"/>
            <w:vMerge w:val="continue"/>
            <w:vAlign w:val="center"/>
          </w:tcPr>
          <w:p>
            <w:pPr>
              <w:jc w:val="center"/>
              <w:rPr>
                <w:rFonts w:ascii="Times New Roman" w:hAnsi="Times New Roman" w:eastAsia="华文楷体" w:cs="Times New Roman"/>
                <w:color w:val="000000" w:themeColor="text1"/>
                <w:szCs w:val="21"/>
                <w14:textFill>
                  <w14:solidFill>
                    <w14:schemeClr w14:val="tx1"/>
                  </w14:solidFill>
                </w14:textFill>
              </w:rPr>
            </w:pPr>
          </w:p>
        </w:tc>
        <w:tc>
          <w:tcPr>
            <w:tcW w:w="1605" w:type="dxa"/>
            <w:vMerge w:val="continue"/>
            <w:vAlign w:val="center"/>
          </w:tcPr>
          <w:p>
            <w:pPr>
              <w:jc w:val="center"/>
              <w:rPr>
                <w:rFonts w:ascii="Times New Roman" w:hAnsi="Times New Roman" w:eastAsia="华文楷体" w:cs="Times New Roman"/>
                <w:color w:val="000000" w:themeColor="text1"/>
                <w:szCs w:val="21"/>
                <w14:textFill>
                  <w14:solidFill>
                    <w14:schemeClr w14:val="tx1"/>
                  </w14:solidFill>
                </w14:textFill>
              </w:rPr>
            </w:pPr>
          </w:p>
        </w:tc>
        <w:tc>
          <w:tcPr>
            <w:tcW w:w="1605" w:type="dxa"/>
            <w:vMerge w:val="continue"/>
            <w:vAlign w:val="center"/>
          </w:tcPr>
          <w:p>
            <w:pPr>
              <w:jc w:val="center"/>
              <w:rPr>
                <w:rFonts w:ascii="Times New Roman" w:hAnsi="Times New Roman" w:eastAsia="华文楷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4"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60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硫酸盐</w:t>
            </w:r>
          </w:p>
        </w:tc>
        <w:tc>
          <w:tcPr>
            <w:tcW w:w="1605" w:type="dxa"/>
            <w:vMerge w:val="continue"/>
            <w:vAlign w:val="center"/>
          </w:tcPr>
          <w:p>
            <w:pPr>
              <w:jc w:val="center"/>
              <w:rPr>
                <w:rFonts w:ascii="Times New Roman" w:hAnsi="Times New Roman" w:eastAsia="华文楷体" w:cs="Times New Roman"/>
                <w:color w:val="000000" w:themeColor="text1"/>
                <w:szCs w:val="21"/>
                <w14:textFill>
                  <w14:solidFill>
                    <w14:schemeClr w14:val="tx1"/>
                  </w14:solidFill>
                </w14:textFill>
              </w:rPr>
            </w:pPr>
          </w:p>
        </w:tc>
        <w:tc>
          <w:tcPr>
            <w:tcW w:w="1605" w:type="dxa"/>
            <w:vMerge w:val="continue"/>
            <w:vAlign w:val="center"/>
          </w:tcPr>
          <w:p>
            <w:pPr>
              <w:jc w:val="center"/>
              <w:rPr>
                <w:rFonts w:ascii="Times New Roman" w:hAnsi="Times New Roman" w:eastAsia="华文楷体" w:cs="Times New Roman"/>
                <w:color w:val="000000" w:themeColor="text1"/>
                <w:szCs w:val="21"/>
                <w14:textFill>
                  <w14:solidFill>
                    <w14:schemeClr w14:val="tx1"/>
                  </w14:solidFill>
                </w14:textFill>
              </w:rPr>
            </w:pPr>
          </w:p>
        </w:tc>
        <w:tc>
          <w:tcPr>
            <w:tcW w:w="1605" w:type="dxa"/>
            <w:vMerge w:val="continue"/>
            <w:vAlign w:val="center"/>
          </w:tcPr>
          <w:p>
            <w:pPr>
              <w:jc w:val="center"/>
              <w:rPr>
                <w:rFonts w:ascii="Times New Roman" w:hAnsi="Times New Roman" w:eastAsia="华文楷体" w:cs="Times New Roman"/>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4"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8"/>
        <w:szCs w:val="28"/>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805805"/>
    </w:sdtPr>
    <w:sdtEndPr>
      <w:rPr>
        <w:rFonts w:ascii="Times New Roman" w:hAnsi="Times New Roman" w:cs="Times New Roman"/>
        <w:sz w:val="28"/>
        <w:szCs w:val="28"/>
      </w:rPr>
    </w:sdtEndPr>
    <w:sdtContent>
      <w:p>
        <w:pPr>
          <w:pStyle w:val="9"/>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YTU2ZjRkNjZjZjQ5ZGU2ZTYzNGEzOGRhZjhkZDYifQ=="/>
    <w:docVar w:name="KSO_WPS_MARK_KEY" w:val="378c700a-d3a9-4ce7-a8e4-5f823d488289"/>
  </w:docVars>
  <w:rsids>
    <w:rsidRoot w:val="000D0904"/>
    <w:rsid w:val="000000ED"/>
    <w:rsid w:val="00006182"/>
    <w:rsid w:val="000129CE"/>
    <w:rsid w:val="00013C5C"/>
    <w:rsid w:val="000330AF"/>
    <w:rsid w:val="00046EB1"/>
    <w:rsid w:val="00056534"/>
    <w:rsid w:val="00061F91"/>
    <w:rsid w:val="000634CE"/>
    <w:rsid w:val="00067FE0"/>
    <w:rsid w:val="00073EF5"/>
    <w:rsid w:val="00074FF9"/>
    <w:rsid w:val="00093503"/>
    <w:rsid w:val="000958D8"/>
    <w:rsid w:val="000971BC"/>
    <w:rsid w:val="000A2B9B"/>
    <w:rsid w:val="000A4533"/>
    <w:rsid w:val="000B4247"/>
    <w:rsid w:val="000C13FF"/>
    <w:rsid w:val="000D0864"/>
    <w:rsid w:val="000D0904"/>
    <w:rsid w:val="000D6E1A"/>
    <w:rsid w:val="000F379D"/>
    <w:rsid w:val="000F7060"/>
    <w:rsid w:val="000F77B0"/>
    <w:rsid w:val="000F7ECF"/>
    <w:rsid w:val="00104939"/>
    <w:rsid w:val="00120014"/>
    <w:rsid w:val="00121ABD"/>
    <w:rsid w:val="001227F4"/>
    <w:rsid w:val="001324C1"/>
    <w:rsid w:val="00140B6A"/>
    <w:rsid w:val="0014405C"/>
    <w:rsid w:val="001452EA"/>
    <w:rsid w:val="001516B9"/>
    <w:rsid w:val="00155F56"/>
    <w:rsid w:val="00163A18"/>
    <w:rsid w:val="0017108E"/>
    <w:rsid w:val="00171B1A"/>
    <w:rsid w:val="00181392"/>
    <w:rsid w:val="001821AC"/>
    <w:rsid w:val="001856B5"/>
    <w:rsid w:val="0019717A"/>
    <w:rsid w:val="001B29C2"/>
    <w:rsid w:val="001C45D3"/>
    <w:rsid w:val="001C4875"/>
    <w:rsid w:val="001D54E5"/>
    <w:rsid w:val="001D5BBE"/>
    <w:rsid w:val="001E088F"/>
    <w:rsid w:val="001E5115"/>
    <w:rsid w:val="001F3D7C"/>
    <w:rsid w:val="00201D67"/>
    <w:rsid w:val="002127E3"/>
    <w:rsid w:val="002330D3"/>
    <w:rsid w:val="00233764"/>
    <w:rsid w:val="002367E1"/>
    <w:rsid w:val="00236F49"/>
    <w:rsid w:val="00242686"/>
    <w:rsid w:val="00252B9C"/>
    <w:rsid w:val="00253B17"/>
    <w:rsid w:val="00256A1C"/>
    <w:rsid w:val="00262C1C"/>
    <w:rsid w:val="002638A8"/>
    <w:rsid w:val="0026610B"/>
    <w:rsid w:val="0027060C"/>
    <w:rsid w:val="0027098D"/>
    <w:rsid w:val="00270CCF"/>
    <w:rsid w:val="00276C03"/>
    <w:rsid w:val="00282AAA"/>
    <w:rsid w:val="00282B4A"/>
    <w:rsid w:val="00285B62"/>
    <w:rsid w:val="00287076"/>
    <w:rsid w:val="00291F34"/>
    <w:rsid w:val="00292AF2"/>
    <w:rsid w:val="00292C86"/>
    <w:rsid w:val="00294D4E"/>
    <w:rsid w:val="0029675E"/>
    <w:rsid w:val="002A1619"/>
    <w:rsid w:val="002A6284"/>
    <w:rsid w:val="002B050C"/>
    <w:rsid w:val="002B75B2"/>
    <w:rsid w:val="002C59CF"/>
    <w:rsid w:val="002C6CFF"/>
    <w:rsid w:val="002C798B"/>
    <w:rsid w:val="002D1321"/>
    <w:rsid w:val="002D5F6F"/>
    <w:rsid w:val="002E3027"/>
    <w:rsid w:val="002F23E9"/>
    <w:rsid w:val="002F4D38"/>
    <w:rsid w:val="0031736F"/>
    <w:rsid w:val="00321B02"/>
    <w:rsid w:val="00327F4A"/>
    <w:rsid w:val="003515C5"/>
    <w:rsid w:val="00352E4B"/>
    <w:rsid w:val="0035692C"/>
    <w:rsid w:val="00357083"/>
    <w:rsid w:val="00367750"/>
    <w:rsid w:val="003924CF"/>
    <w:rsid w:val="003B41E2"/>
    <w:rsid w:val="003D2BE3"/>
    <w:rsid w:val="003D3723"/>
    <w:rsid w:val="003F20AE"/>
    <w:rsid w:val="003F33CE"/>
    <w:rsid w:val="004004C0"/>
    <w:rsid w:val="004016E8"/>
    <w:rsid w:val="00406ED5"/>
    <w:rsid w:val="00411427"/>
    <w:rsid w:val="00412BF4"/>
    <w:rsid w:val="004303DA"/>
    <w:rsid w:val="00434ACB"/>
    <w:rsid w:val="00435067"/>
    <w:rsid w:val="004417C3"/>
    <w:rsid w:val="00442236"/>
    <w:rsid w:val="00445486"/>
    <w:rsid w:val="00451606"/>
    <w:rsid w:val="0045652E"/>
    <w:rsid w:val="00456E70"/>
    <w:rsid w:val="00457976"/>
    <w:rsid w:val="00462FE6"/>
    <w:rsid w:val="00467D70"/>
    <w:rsid w:val="004869FB"/>
    <w:rsid w:val="00491396"/>
    <w:rsid w:val="004913C4"/>
    <w:rsid w:val="004A4B7B"/>
    <w:rsid w:val="004C3ADA"/>
    <w:rsid w:val="004E4F4C"/>
    <w:rsid w:val="004F06C4"/>
    <w:rsid w:val="004F60BB"/>
    <w:rsid w:val="004F6914"/>
    <w:rsid w:val="00506CB8"/>
    <w:rsid w:val="00516495"/>
    <w:rsid w:val="00521BAE"/>
    <w:rsid w:val="00522A4D"/>
    <w:rsid w:val="0052567B"/>
    <w:rsid w:val="00540395"/>
    <w:rsid w:val="00542BFA"/>
    <w:rsid w:val="00551835"/>
    <w:rsid w:val="00553220"/>
    <w:rsid w:val="0055769B"/>
    <w:rsid w:val="00560424"/>
    <w:rsid w:val="00566A0E"/>
    <w:rsid w:val="0057305B"/>
    <w:rsid w:val="005741D6"/>
    <w:rsid w:val="005836E0"/>
    <w:rsid w:val="00592B2C"/>
    <w:rsid w:val="00597CA0"/>
    <w:rsid w:val="005A0A39"/>
    <w:rsid w:val="005D0263"/>
    <w:rsid w:val="005D0EFB"/>
    <w:rsid w:val="005D5962"/>
    <w:rsid w:val="005D6838"/>
    <w:rsid w:val="005E3DC3"/>
    <w:rsid w:val="005F2182"/>
    <w:rsid w:val="00604866"/>
    <w:rsid w:val="006062F8"/>
    <w:rsid w:val="006102DA"/>
    <w:rsid w:val="006131C0"/>
    <w:rsid w:val="0062044D"/>
    <w:rsid w:val="00627BF3"/>
    <w:rsid w:val="00640447"/>
    <w:rsid w:val="00643ECE"/>
    <w:rsid w:val="00651DC8"/>
    <w:rsid w:val="00656862"/>
    <w:rsid w:val="0066676C"/>
    <w:rsid w:val="0068057B"/>
    <w:rsid w:val="00681C29"/>
    <w:rsid w:val="0068294E"/>
    <w:rsid w:val="00691747"/>
    <w:rsid w:val="0069638B"/>
    <w:rsid w:val="006978A3"/>
    <w:rsid w:val="006A098B"/>
    <w:rsid w:val="006A23D9"/>
    <w:rsid w:val="006B45F9"/>
    <w:rsid w:val="006B46B8"/>
    <w:rsid w:val="006C6557"/>
    <w:rsid w:val="006D465F"/>
    <w:rsid w:val="006D6D3B"/>
    <w:rsid w:val="006E01C9"/>
    <w:rsid w:val="006E1FEA"/>
    <w:rsid w:val="006F2CDB"/>
    <w:rsid w:val="006F3858"/>
    <w:rsid w:val="006F3AF2"/>
    <w:rsid w:val="006F4A78"/>
    <w:rsid w:val="006F58A8"/>
    <w:rsid w:val="006F7EFE"/>
    <w:rsid w:val="00703DE5"/>
    <w:rsid w:val="00711F40"/>
    <w:rsid w:val="00714B67"/>
    <w:rsid w:val="0073640F"/>
    <w:rsid w:val="00745676"/>
    <w:rsid w:val="00754088"/>
    <w:rsid w:val="00754833"/>
    <w:rsid w:val="00762013"/>
    <w:rsid w:val="00763F8F"/>
    <w:rsid w:val="00765D8C"/>
    <w:rsid w:val="00766E03"/>
    <w:rsid w:val="00770152"/>
    <w:rsid w:val="0077378B"/>
    <w:rsid w:val="00780C91"/>
    <w:rsid w:val="007853BA"/>
    <w:rsid w:val="0078546D"/>
    <w:rsid w:val="007857F9"/>
    <w:rsid w:val="007902AA"/>
    <w:rsid w:val="007931CB"/>
    <w:rsid w:val="007A2F41"/>
    <w:rsid w:val="007A7344"/>
    <w:rsid w:val="007B0C0F"/>
    <w:rsid w:val="007C373C"/>
    <w:rsid w:val="007D2366"/>
    <w:rsid w:val="007F542C"/>
    <w:rsid w:val="00802E73"/>
    <w:rsid w:val="00821747"/>
    <w:rsid w:val="00837062"/>
    <w:rsid w:val="00840AC0"/>
    <w:rsid w:val="00840F77"/>
    <w:rsid w:val="00841AF0"/>
    <w:rsid w:val="00854EB2"/>
    <w:rsid w:val="00857EFA"/>
    <w:rsid w:val="00861B28"/>
    <w:rsid w:val="008667AE"/>
    <w:rsid w:val="00867A45"/>
    <w:rsid w:val="00870411"/>
    <w:rsid w:val="0088760B"/>
    <w:rsid w:val="008A00FE"/>
    <w:rsid w:val="008A13BC"/>
    <w:rsid w:val="008A1919"/>
    <w:rsid w:val="008A1B3B"/>
    <w:rsid w:val="008A62E6"/>
    <w:rsid w:val="008B19AA"/>
    <w:rsid w:val="008C01C2"/>
    <w:rsid w:val="008E4122"/>
    <w:rsid w:val="008F4781"/>
    <w:rsid w:val="008F5F3D"/>
    <w:rsid w:val="0090216D"/>
    <w:rsid w:val="0090236E"/>
    <w:rsid w:val="009072AD"/>
    <w:rsid w:val="009169E7"/>
    <w:rsid w:val="00940151"/>
    <w:rsid w:val="00961A33"/>
    <w:rsid w:val="00964713"/>
    <w:rsid w:val="00971052"/>
    <w:rsid w:val="0097106D"/>
    <w:rsid w:val="00975D12"/>
    <w:rsid w:val="00976B2A"/>
    <w:rsid w:val="00982FD0"/>
    <w:rsid w:val="00986C05"/>
    <w:rsid w:val="00991C49"/>
    <w:rsid w:val="009927F4"/>
    <w:rsid w:val="009A0E3A"/>
    <w:rsid w:val="009A3FDE"/>
    <w:rsid w:val="009A5FA6"/>
    <w:rsid w:val="009A6729"/>
    <w:rsid w:val="009B17F1"/>
    <w:rsid w:val="009B41FF"/>
    <w:rsid w:val="009B77B1"/>
    <w:rsid w:val="009C171D"/>
    <w:rsid w:val="009C4C71"/>
    <w:rsid w:val="009D20F2"/>
    <w:rsid w:val="009E5F04"/>
    <w:rsid w:val="009F3B34"/>
    <w:rsid w:val="009F4CB4"/>
    <w:rsid w:val="00A0280B"/>
    <w:rsid w:val="00A06A64"/>
    <w:rsid w:val="00A11EA7"/>
    <w:rsid w:val="00A13CF7"/>
    <w:rsid w:val="00A36282"/>
    <w:rsid w:val="00A4134A"/>
    <w:rsid w:val="00A41B73"/>
    <w:rsid w:val="00A432F1"/>
    <w:rsid w:val="00A43FD6"/>
    <w:rsid w:val="00A537AB"/>
    <w:rsid w:val="00A54EE9"/>
    <w:rsid w:val="00A55ED9"/>
    <w:rsid w:val="00A67725"/>
    <w:rsid w:val="00A70EE1"/>
    <w:rsid w:val="00A83018"/>
    <w:rsid w:val="00A84302"/>
    <w:rsid w:val="00A84BCC"/>
    <w:rsid w:val="00A8601E"/>
    <w:rsid w:val="00A87685"/>
    <w:rsid w:val="00A90F8A"/>
    <w:rsid w:val="00A93D6F"/>
    <w:rsid w:val="00A9505F"/>
    <w:rsid w:val="00A9559B"/>
    <w:rsid w:val="00AA122F"/>
    <w:rsid w:val="00AC503C"/>
    <w:rsid w:val="00AC5F9C"/>
    <w:rsid w:val="00AD3043"/>
    <w:rsid w:val="00AD5284"/>
    <w:rsid w:val="00AF64CD"/>
    <w:rsid w:val="00B00B89"/>
    <w:rsid w:val="00B02421"/>
    <w:rsid w:val="00B07E8E"/>
    <w:rsid w:val="00B11104"/>
    <w:rsid w:val="00B13F15"/>
    <w:rsid w:val="00B15FD5"/>
    <w:rsid w:val="00B207A5"/>
    <w:rsid w:val="00B3357B"/>
    <w:rsid w:val="00B339EF"/>
    <w:rsid w:val="00B348F8"/>
    <w:rsid w:val="00B3666E"/>
    <w:rsid w:val="00B443C3"/>
    <w:rsid w:val="00B54111"/>
    <w:rsid w:val="00B62082"/>
    <w:rsid w:val="00B62E5A"/>
    <w:rsid w:val="00B6389F"/>
    <w:rsid w:val="00B73670"/>
    <w:rsid w:val="00B7459D"/>
    <w:rsid w:val="00B74C54"/>
    <w:rsid w:val="00B9019D"/>
    <w:rsid w:val="00B91AE3"/>
    <w:rsid w:val="00B9472D"/>
    <w:rsid w:val="00BB0BA2"/>
    <w:rsid w:val="00BB4E3A"/>
    <w:rsid w:val="00BC0738"/>
    <w:rsid w:val="00BC0837"/>
    <w:rsid w:val="00BC088C"/>
    <w:rsid w:val="00BC40E6"/>
    <w:rsid w:val="00BD0D30"/>
    <w:rsid w:val="00BD7680"/>
    <w:rsid w:val="00BD7F23"/>
    <w:rsid w:val="00BE0E13"/>
    <w:rsid w:val="00BE57B8"/>
    <w:rsid w:val="00BF5572"/>
    <w:rsid w:val="00C026F4"/>
    <w:rsid w:val="00C033C0"/>
    <w:rsid w:val="00C04DD3"/>
    <w:rsid w:val="00C10AEC"/>
    <w:rsid w:val="00C12E72"/>
    <w:rsid w:val="00C12EAE"/>
    <w:rsid w:val="00C1642B"/>
    <w:rsid w:val="00C1643E"/>
    <w:rsid w:val="00C30493"/>
    <w:rsid w:val="00C33BBE"/>
    <w:rsid w:val="00C34CF1"/>
    <w:rsid w:val="00C364D7"/>
    <w:rsid w:val="00C44BB6"/>
    <w:rsid w:val="00C55541"/>
    <w:rsid w:val="00C62475"/>
    <w:rsid w:val="00C625BD"/>
    <w:rsid w:val="00C71587"/>
    <w:rsid w:val="00C75B9A"/>
    <w:rsid w:val="00C840E3"/>
    <w:rsid w:val="00C84FE2"/>
    <w:rsid w:val="00C930BC"/>
    <w:rsid w:val="00C948A0"/>
    <w:rsid w:val="00CB7444"/>
    <w:rsid w:val="00CD0BA4"/>
    <w:rsid w:val="00CD30B0"/>
    <w:rsid w:val="00CD5FBA"/>
    <w:rsid w:val="00CE6860"/>
    <w:rsid w:val="00CF3FD5"/>
    <w:rsid w:val="00D01680"/>
    <w:rsid w:val="00D02687"/>
    <w:rsid w:val="00D04F03"/>
    <w:rsid w:val="00D07E9C"/>
    <w:rsid w:val="00D1210E"/>
    <w:rsid w:val="00D17107"/>
    <w:rsid w:val="00D23BF9"/>
    <w:rsid w:val="00D2518C"/>
    <w:rsid w:val="00D25D78"/>
    <w:rsid w:val="00D26EC2"/>
    <w:rsid w:val="00D26EE5"/>
    <w:rsid w:val="00D2756F"/>
    <w:rsid w:val="00D343C2"/>
    <w:rsid w:val="00D350F0"/>
    <w:rsid w:val="00D43CC5"/>
    <w:rsid w:val="00D517B6"/>
    <w:rsid w:val="00D5431A"/>
    <w:rsid w:val="00D63E2D"/>
    <w:rsid w:val="00D67208"/>
    <w:rsid w:val="00D701AD"/>
    <w:rsid w:val="00D717CB"/>
    <w:rsid w:val="00D71C4E"/>
    <w:rsid w:val="00D73E8E"/>
    <w:rsid w:val="00D76E23"/>
    <w:rsid w:val="00D85299"/>
    <w:rsid w:val="00D8752C"/>
    <w:rsid w:val="00D9039F"/>
    <w:rsid w:val="00D93F90"/>
    <w:rsid w:val="00D95628"/>
    <w:rsid w:val="00DA5B80"/>
    <w:rsid w:val="00DA7B5E"/>
    <w:rsid w:val="00DA7E4F"/>
    <w:rsid w:val="00DD0244"/>
    <w:rsid w:val="00DD33DA"/>
    <w:rsid w:val="00DD453D"/>
    <w:rsid w:val="00DE1537"/>
    <w:rsid w:val="00DE23EF"/>
    <w:rsid w:val="00DE7642"/>
    <w:rsid w:val="00E0496F"/>
    <w:rsid w:val="00E07330"/>
    <w:rsid w:val="00E218AD"/>
    <w:rsid w:val="00E23C7E"/>
    <w:rsid w:val="00E27E26"/>
    <w:rsid w:val="00E3383C"/>
    <w:rsid w:val="00E34BA7"/>
    <w:rsid w:val="00E35532"/>
    <w:rsid w:val="00E441F7"/>
    <w:rsid w:val="00E52503"/>
    <w:rsid w:val="00E553CD"/>
    <w:rsid w:val="00E56C24"/>
    <w:rsid w:val="00E612F5"/>
    <w:rsid w:val="00E64F7E"/>
    <w:rsid w:val="00E70E52"/>
    <w:rsid w:val="00E71BBF"/>
    <w:rsid w:val="00E74C5A"/>
    <w:rsid w:val="00E82312"/>
    <w:rsid w:val="00E8256D"/>
    <w:rsid w:val="00E85741"/>
    <w:rsid w:val="00E9587D"/>
    <w:rsid w:val="00EA484B"/>
    <w:rsid w:val="00EB2B7A"/>
    <w:rsid w:val="00EB4E8F"/>
    <w:rsid w:val="00EB5607"/>
    <w:rsid w:val="00EB73C5"/>
    <w:rsid w:val="00EC0641"/>
    <w:rsid w:val="00EC7E67"/>
    <w:rsid w:val="00ED46F0"/>
    <w:rsid w:val="00EE45F2"/>
    <w:rsid w:val="00EF20DB"/>
    <w:rsid w:val="00EF3E38"/>
    <w:rsid w:val="00EF48AC"/>
    <w:rsid w:val="00EF63DF"/>
    <w:rsid w:val="00F001A4"/>
    <w:rsid w:val="00F03F8D"/>
    <w:rsid w:val="00F0786F"/>
    <w:rsid w:val="00F352CF"/>
    <w:rsid w:val="00F37F3E"/>
    <w:rsid w:val="00F41177"/>
    <w:rsid w:val="00F42010"/>
    <w:rsid w:val="00F514AC"/>
    <w:rsid w:val="00F55B94"/>
    <w:rsid w:val="00F82F05"/>
    <w:rsid w:val="00F8795E"/>
    <w:rsid w:val="00F90888"/>
    <w:rsid w:val="00F90ABF"/>
    <w:rsid w:val="00FA262D"/>
    <w:rsid w:val="00FB111C"/>
    <w:rsid w:val="00FB2479"/>
    <w:rsid w:val="00FB6D8A"/>
    <w:rsid w:val="00FC03C7"/>
    <w:rsid w:val="00FC326C"/>
    <w:rsid w:val="00FC33C1"/>
    <w:rsid w:val="00FD3F10"/>
    <w:rsid w:val="00FD617D"/>
    <w:rsid w:val="00FE1D74"/>
    <w:rsid w:val="00FE36C3"/>
    <w:rsid w:val="00FE3F57"/>
    <w:rsid w:val="00FE6723"/>
    <w:rsid w:val="02CC3D79"/>
    <w:rsid w:val="0489363A"/>
    <w:rsid w:val="150F0BE1"/>
    <w:rsid w:val="1C9D42E8"/>
    <w:rsid w:val="1FF0127D"/>
    <w:rsid w:val="20B06CDC"/>
    <w:rsid w:val="254B0687"/>
    <w:rsid w:val="266A4997"/>
    <w:rsid w:val="268E4D4B"/>
    <w:rsid w:val="2BE25495"/>
    <w:rsid w:val="33A8380B"/>
    <w:rsid w:val="38415ABB"/>
    <w:rsid w:val="39037CF3"/>
    <w:rsid w:val="3AD27142"/>
    <w:rsid w:val="3CF4148F"/>
    <w:rsid w:val="3D005E4E"/>
    <w:rsid w:val="3D7A1281"/>
    <w:rsid w:val="410C1578"/>
    <w:rsid w:val="41E43F4F"/>
    <w:rsid w:val="46623CEE"/>
    <w:rsid w:val="46921832"/>
    <w:rsid w:val="47B10694"/>
    <w:rsid w:val="47B798B3"/>
    <w:rsid w:val="50114E8B"/>
    <w:rsid w:val="554F24FC"/>
    <w:rsid w:val="56554CD5"/>
    <w:rsid w:val="5A606122"/>
    <w:rsid w:val="5AE067DB"/>
    <w:rsid w:val="63C25DDD"/>
    <w:rsid w:val="65AD6DCF"/>
    <w:rsid w:val="68D80D39"/>
    <w:rsid w:val="697119CE"/>
    <w:rsid w:val="70467B14"/>
    <w:rsid w:val="769A206F"/>
    <w:rsid w:val="7CD55087"/>
    <w:rsid w:val="7D4858FC"/>
    <w:rsid w:val="7EBE2821"/>
    <w:rsid w:val="FA7B5F0A"/>
    <w:rsid w:val="FABD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line="415" w:lineRule="auto"/>
      <w:outlineLvl w:val="1"/>
    </w:pPr>
    <w:rPr>
      <w:rFonts w:eastAsia="黑体" w:asciiTheme="majorHAnsi" w:hAnsiTheme="majorHAnsi"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semiHidden/>
    <w:unhideWhenUsed/>
    <w:qFormat/>
    <w:uiPriority w:val="99"/>
    <w:pPr>
      <w:jc w:val="left"/>
    </w:pPr>
  </w:style>
  <w:style w:type="paragraph" w:styleId="6">
    <w:name w:val="Body Text"/>
    <w:basedOn w:val="1"/>
    <w:link w:val="33"/>
    <w:semiHidden/>
    <w:unhideWhenUsed/>
    <w:qFormat/>
    <w:uiPriority w:val="99"/>
    <w:pPr>
      <w:spacing w:after="120"/>
    </w:p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Times New Roman" w:hAnsi="Times New Roman" w:eastAsia="仿宋_GB2312"/>
      <w:sz w:val="28"/>
    </w:rPr>
  </w:style>
  <w:style w:type="paragraph" w:styleId="12">
    <w:name w:val="Subtitle"/>
    <w:basedOn w:val="1"/>
    <w:next w:val="1"/>
    <w:link w:val="2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toc 2"/>
    <w:basedOn w:val="1"/>
    <w:next w:val="1"/>
    <w:unhideWhenUsed/>
    <w:qFormat/>
    <w:uiPriority w:val="39"/>
    <w:pPr>
      <w:ind w:left="420" w:leftChars="200"/>
    </w:pPr>
  </w:style>
  <w:style w:type="paragraph" w:styleId="14">
    <w:name w:val="Title"/>
    <w:basedOn w:val="1"/>
    <w:next w:val="1"/>
    <w:link w:val="29"/>
    <w:qFormat/>
    <w:uiPriority w:val="10"/>
    <w:pPr>
      <w:spacing w:before="50" w:beforeLines="50" w:after="50" w:afterLines="50" w:line="360" w:lineRule="auto"/>
      <w:outlineLvl w:val="0"/>
    </w:pPr>
    <w:rPr>
      <w:rFonts w:ascii="Times New Roman" w:hAnsi="Times New Roman" w:eastAsia="仿宋_GB2312" w:cstheme="majorBidi"/>
      <w:b/>
      <w:bCs/>
      <w:sz w:val="32"/>
      <w:szCs w:val="32"/>
    </w:rPr>
  </w:style>
  <w:style w:type="paragraph" w:styleId="15">
    <w:name w:val="annotation subject"/>
    <w:basedOn w:val="5"/>
    <w:next w:val="5"/>
    <w:link w:val="41"/>
    <w:semiHidden/>
    <w:unhideWhenUsed/>
    <w:qFormat/>
    <w:uiPriority w:val="99"/>
    <w:rPr>
      <w:b/>
      <w:bCs/>
    </w:rPr>
  </w:style>
  <w:style w:type="paragraph" w:styleId="16">
    <w:name w:val="Body Text First Indent"/>
    <w:basedOn w:val="6"/>
    <w:link w:val="34"/>
    <w:unhideWhenUsed/>
    <w:qFormat/>
    <w:uiPriority w:val="99"/>
    <w:pPr>
      <w:ind w:firstLine="420" w:firstLineChars="1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0"/>
    <w:qFormat/>
    <w:uiPriority w:val="99"/>
    <w:rPr>
      <w:sz w:val="18"/>
      <w:szCs w:val="18"/>
    </w:rPr>
  </w:style>
  <w:style w:type="character" w:customStyle="1" w:styleId="23">
    <w:name w:val="页脚 字符"/>
    <w:basedOn w:val="19"/>
    <w:link w:val="9"/>
    <w:qFormat/>
    <w:uiPriority w:val="99"/>
    <w:rPr>
      <w:sz w:val="18"/>
      <w:szCs w:val="18"/>
    </w:rPr>
  </w:style>
  <w:style w:type="character" w:customStyle="1" w:styleId="24">
    <w:name w:val="批注框文本 字符"/>
    <w:basedOn w:val="19"/>
    <w:link w:val="8"/>
    <w:semiHidden/>
    <w:qFormat/>
    <w:uiPriority w:val="99"/>
    <w:rPr>
      <w:sz w:val="18"/>
      <w:szCs w:val="18"/>
    </w:rPr>
  </w:style>
  <w:style w:type="character" w:customStyle="1" w:styleId="25">
    <w:name w:val="副标题 字符"/>
    <w:basedOn w:val="19"/>
    <w:link w:val="12"/>
    <w:qFormat/>
    <w:uiPriority w:val="11"/>
    <w:rPr>
      <w:rFonts w:eastAsia="宋体" w:asciiTheme="majorHAnsi" w:hAnsiTheme="majorHAnsi" w:cstheme="majorBidi"/>
      <w:b/>
      <w:bCs/>
      <w:kern w:val="28"/>
      <w:sz w:val="32"/>
      <w:szCs w:val="32"/>
    </w:rPr>
  </w:style>
  <w:style w:type="character" w:customStyle="1" w:styleId="26">
    <w:name w:val="标题 1 字符"/>
    <w:basedOn w:val="19"/>
    <w:link w:val="2"/>
    <w:qFormat/>
    <w:uiPriority w:val="9"/>
    <w:rPr>
      <w:b/>
      <w:bCs/>
      <w:kern w:val="44"/>
      <w:sz w:val="44"/>
      <w:szCs w:val="44"/>
    </w:rPr>
  </w:style>
  <w:style w:type="character" w:customStyle="1" w:styleId="27">
    <w:name w:val="标题 2 字符"/>
    <w:basedOn w:val="19"/>
    <w:link w:val="3"/>
    <w:qFormat/>
    <w:uiPriority w:val="9"/>
    <w:rPr>
      <w:rFonts w:eastAsia="黑体" w:asciiTheme="majorHAnsi" w:hAnsiTheme="majorHAnsi" w:cstheme="majorBidi"/>
      <w:b/>
      <w:bCs/>
      <w:sz w:val="32"/>
      <w:szCs w:val="32"/>
    </w:rPr>
  </w:style>
  <w:style w:type="character" w:customStyle="1" w:styleId="28">
    <w:name w:val="标题 3 字符"/>
    <w:basedOn w:val="19"/>
    <w:link w:val="4"/>
    <w:semiHidden/>
    <w:qFormat/>
    <w:uiPriority w:val="9"/>
    <w:rPr>
      <w:b/>
      <w:bCs/>
      <w:sz w:val="32"/>
      <w:szCs w:val="32"/>
    </w:rPr>
  </w:style>
  <w:style w:type="character" w:customStyle="1" w:styleId="29">
    <w:name w:val="标题 字符"/>
    <w:basedOn w:val="19"/>
    <w:link w:val="14"/>
    <w:qFormat/>
    <w:uiPriority w:val="10"/>
    <w:rPr>
      <w:rFonts w:ascii="Times New Roman" w:hAnsi="Times New Roman" w:eastAsia="仿宋_GB2312" w:cstheme="majorBidi"/>
      <w:b/>
      <w:bCs/>
      <w:sz w:val="32"/>
      <w:szCs w:val="32"/>
    </w:r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1">
    <w:name w:val="日期 字符"/>
    <w:basedOn w:val="19"/>
    <w:link w:val="7"/>
    <w:semiHidden/>
    <w:qFormat/>
    <w:uiPriority w:val="99"/>
  </w:style>
  <w:style w:type="character" w:customStyle="1" w:styleId="32">
    <w:name w:val="批注文字 字符"/>
    <w:basedOn w:val="19"/>
    <w:link w:val="5"/>
    <w:semiHidden/>
    <w:qFormat/>
    <w:uiPriority w:val="99"/>
  </w:style>
  <w:style w:type="character" w:customStyle="1" w:styleId="33">
    <w:name w:val="正文文本 字符"/>
    <w:basedOn w:val="19"/>
    <w:link w:val="6"/>
    <w:semiHidden/>
    <w:qFormat/>
    <w:uiPriority w:val="99"/>
  </w:style>
  <w:style w:type="character" w:customStyle="1" w:styleId="34">
    <w:name w:val="正文首行缩进 字符"/>
    <w:basedOn w:val="33"/>
    <w:link w:val="16"/>
    <w:qFormat/>
    <w:uiPriority w:val="99"/>
  </w:style>
  <w:style w:type="paragraph" w:customStyle="1" w:styleId="35">
    <w:name w:val="发布日期"/>
    <w:qFormat/>
    <w:uiPriority w:val="0"/>
    <w:rPr>
      <w:rFonts w:ascii="Times New Roman" w:hAnsi="Times New Roman" w:eastAsia="黑体" w:cs="Times New Roman"/>
      <w:sz w:val="28"/>
      <w:lang w:val="en-US" w:eastAsia="zh-CN" w:bidi="ar-SA"/>
    </w:rPr>
  </w:style>
  <w:style w:type="paragraph" w:customStyle="1" w:styleId="36">
    <w:name w:val="实施日期"/>
    <w:basedOn w:val="35"/>
    <w:qFormat/>
    <w:uiPriority w:val="0"/>
    <w:pPr>
      <w:jc w:val="right"/>
    </w:pPr>
  </w:style>
  <w:style w:type="paragraph" w:customStyle="1" w:styleId="3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8">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3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character" w:customStyle="1" w:styleId="41">
    <w:name w:val="批注主题 字符"/>
    <w:basedOn w:val="32"/>
    <w:link w:val="15"/>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5146</Words>
  <Characters>5946</Characters>
  <Lines>47</Lines>
  <Paragraphs>13</Paragraphs>
  <TotalTime>2</TotalTime>
  <ScaleCrop>false</ScaleCrop>
  <LinksUpToDate>false</LinksUpToDate>
  <CharactersWithSpaces>6179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2022-11-15T15:18:00Z</dcterms:created>
  <dc:creator>Windows User</dc:creator>
  <cp:lastModifiedBy>林若虚</cp:lastModifiedBy>
  <dcterms:modified xsi:type="dcterms:W3CDTF">2022-11-16T07:03:00Z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027BCD6FB1264BE78AD7F1BDEE5D3FF7</vt:lpwstr>
  </property>
</Properties>
</file>