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新宋体" w:eastAsia="仿宋_GB2312" w:cs="Times New Roman"/>
          <w:b/>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48260</wp:posOffset>
                </wp:positionV>
                <wp:extent cx="1612900" cy="530860"/>
                <wp:effectExtent l="0" t="0" r="2540" b="2540"/>
                <wp:wrapNone/>
                <wp:docPr id="3" name="文本框 3"/>
                <wp:cNvGraphicFramePr/>
                <a:graphic xmlns:a="http://schemas.openxmlformats.org/drawingml/2006/main">
                  <a:graphicData uri="http://schemas.microsoft.com/office/word/2010/wordprocessingShape">
                    <wps:wsp>
                      <wps:cNvSpPr txBox="1"/>
                      <wps:spPr>
                        <a:xfrm>
                          <a:off x="814705" y="768350"/>
                          <a:ext cx="1612900" cy="530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ICS 77.120.60</w:t>
                            </w:r>
                          </w:p>
                          <w:p>
                            <w:r>
                              <w:rPr>
                                <w:rFonts w:hint="eastAsia"/>
                              </w:rPr>
                              <w:t>CCS H62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3.8pt;height:41.8pt;width:127pt;z-index:251660288;mso-width-relative:page;mso-height-relative:page;" fillcolor="#FFFFFF [3201]" filled="t" stroked="f" coordsize="21600,21600" o:gfxdata="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k7roS0gAAAAcB&#10;AAAPAAAAAAAAAAEAIAAAACIAAABkcnMvZG93bnJldi54bWxQSwECFAAUAAAACACHTuJAC8YLg1oC&#10;AACZBAAADgAAAAAAAAABACAAAAAhAQAAZHJzL2Uyb0RvYy54bWxQSwUGAAAAAAYABgBZAQAA7QUA&#10;AAAA&#10;">
                <v:fill on="t" focussize="0,0"/>
                <v:stroke on="f" weight="0.5pt"/>
                <v:imagedata o:title=""/>
                <o:lock v:ext="edit" aspectratio="f"/>
                <v:textbox>
                  <w:txbxContent>
                    <w:p>
                      <w:r>
                        <w:rPr>
                          <w:rFonts w:hint="eastAsia"/>
                        </w:rPr>
                        <w:t>ICS 77.120.60</w:t>
                      </w:r>
                    </w:p>
                    <w:p>
                      <w:r>
                        <w:rPr>
                          <w:rFonts w:hint="eastAsia"/>
                        </w:rPr>
                        <w:t>CCS H62</w:t>
                      </w:r>
                    </w:p>
                  </w:txbxContent>
                </v:textbox>
              </v:shape>
            </w:pict>
          </mc:Fallback>
        </mc:AlternateContent>
      </w: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r>
        <mc:AlternateContent>
          <mc:Choice Requires="wps">
            <w:drawing>
              <wp:anchor distT="0" distB="0" distL="114300" distR="114300" simplePos="0" relativeHeight="251659264" behindDoc="0" locked="1" layoutInCell="1" allowOverlap="1">
                <wp:simplePos x="0" y="0"/>
                <wp:positionH relativeFrom="margin">
                  <wp:posOffset>210820</wp:posOffset>
                </wp:positionH>
                <wp:positionV relativeFrom="margin">
                  <wp:posOffset>741045</wp:posOffset>
                </wp:positionV>
                <wp:extent cx="6120130" cy="666750"/>
                <wp:effectExtent l="0" t="0" r="6350" b="3810"/>
                <wp:wrapNone/>
                <wp:docPr id="4" name="文本框 4"/>
                <wp:cNvGraphicFramePr/>
                <a:graphic xmlns:a="http://schemas.openxmlformats.org/drawingml/2006/main">
                  <a:graphicData uri="http://schemas.microsoft.com/office/word/2010/wordprocessingShape">
                    <wps:wsp>
                      <wps:cNvSpPr txBox="1"/>
                      <wps:spPr>
                        <a:xfrm>
                          <a:off x="0" y="0"/>
                          <a:ext cx="6120130" cy="666750"/>
                        </a:xfrm>
                        <a:prstGeom prst="rect">
                          <a:avLst/>
                        </a:prstGeom>
                        <a:solidFill>
                          <a:srgbClr val="FFFFFF"/>
                        </a:solidFill>
                        <a:ln>
                          <a:noFill/>
                        </a:ln>
                      </wps:spPr>
                      <wps:txbx>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wps:txbx>
                      <wps:bodyPr lIns="0" tIns="0" rIns="0" bIns="0" upright="1"/>
                    </wps:wsp>
                  </a:graphicData>
                </a:graphic>
              </wp:anchor>
            </w:drawing>
          </mc:Choice>
          <mc:Fallback>
            <w:pict>
              <v:shape id="_x0000_s1026" o:spid="_x0000_s1026" o:spt="202" type="#_x0000_t202" style="position:absolute;left:0pt;margin-left:16.6pt;margin-top:58.35pt;height:52.5pt;width:481.9pt;mso-position-horizontal-relative:margin;mso-position-vertical-relative:margin;z-index:251659264;mso-width-relative:page;mso-height-relative:page;" fillcolor="#FFFFFF" filled="t" stroked="f" coordsize="21600,21600" o:gfxdata="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OTLG2QAAAAoBAAAPAAAAAAAAAAEAIAAAACIA&#10;AABkcnMvZG93bnJldi54bWxQSwECFAAUAAAACACHTuJAIIWCPM8BAACbAwAADgAAAAAAAAABACAA&#10;AAAoAQAAZHJzL2Uyb0RvYy54bWxQSwUGAAAAAAYABgBZAQAAaQUAAAAA&#10;">
                <v:fill on="t" focussize="0,0"/>
                <v:stroke on="f"/>
                <v:imagedata o:title=""/>
                <o:lock v:ext="edit" aspectratio="f"/>
                <v:textbox inset="0mm,0mm,0mm,0mm">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v:textbox>
                <w10:anchorlock/>
              </v:shape>
            </w:pict>
          </mc:Fallback>
        </mc:AlternateContent>
      </w:r>
    </w:p>
    <w:p>
      <w:pPr>
        <w:jc w:val="center"/>
        <w:rPr>
          <w:rFonts w:ascii="黑体" w:hAnsi="黑体" w:eastAsia="黑体" w:cs="黑体"/>
          <w:bCs/>
          <w:color w:val="000000"/>
          <w:sz w:val="52"/>
          <w:szCs w:val="52"/>
        </w:rPr>
      </w:pPr>
      <w:r>
        <w:rPr>
          <w:sz w:val="52"/>
        </w:rPr>
        <mc:AlternateContent>
          <mc:Choice Requires="wps">
            <w:drawing>
              <wp:anchor distT="0" distB="0" distL="114300" distR="114300" simplePos="0" relativeHeight="251661312" behindDoc="0" locked="0" layoutInCell="1" allowOverlap="1">
                <wp:simplePos x="0" y="0"/>
                <wp:positionH relativeFrom="column">
                  <wp:posOffset>4606925</wp:posOffset>
                </wp:positionH>
                <wp:positionV relativeFrom="paragraph">
                  <wp:posOffset>102870</wp:posOffset>
                </wp:positionV>
                <wp:extent cx="1558290" cy="381000"/>
                <wp:effectExtent l="0" t="0" r="3810" b="0"/>
                <wp:wrapNone/>
                <wp:docPr id="6" name="文本框 6"/>
                <wp:cNvGraphicFramePr/>
                <a:graphic xmlns:a="http://schemas.openxmlformats.org/drawingml/2006/main">
                  <a:graphicData uri="http://schemas.microsoft.com/office/word/2010/wordprocessingShape">
                    <wps:wsp>
                      <wps:cNvSpPr txBox="1"/>
                      <wps:spPr>
                        <a:xfrm>
                          <a:off x="0" y="0"/>
                          <a:ext cx="1558456"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T/CNIA XXXX-2023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75pt;margin-top:8.1pt;height:30pt;width:122.7pt;z-index:251661312;mso-width-relative:page;mso-height-relative:page;" fillcolor="#FFFFFF [3201]" filled="t" stroked="f" coordsize="21600,21600" o:gfxdata="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F9X7tQAAAAJAQAADwAAAAAA&#10;AAABACAAAAAiAAAAZHJzL2Rvd25yZXYueG1sUEsBAhQAFAAAAAgAh07iQKgUjqZQAgAAjwQAAA4A&#10;AAAAAAAAAQAgAAAAIwEAAGRycy9lMm9Eb2MueG1sUEsFBgAAAAAGAAYAWQEAAOUFAAAAAA==&#10;">
                <v:fill on="t" focussize="0,0"/>
                <v:stroke on="f" weight="0.5pt"/>
                <v:imagedata o:title=""/>
                <o:lock v:ext="edit" aspectratio="f"/>
                <v:textbox>
                  <w:txbxContent>
                    <w:p>
                      <w:pPr>
                        <w:rPr>
                          <w:sz w:val="28"/>
                          <w:szCs w:val="28"/>
                        </w:rPr>
                      </w:pPr>
                      <w:r>
                        <w:rPr>
                          <w:sz w:val="28"/>
                          <w:szCs w:val="28"/>
                        </w:rPr>
                        <w:t>T/CNIA XXXX-2023</w:t>
                      </w:r>
                    </w:p>
                  </w:txbxContent>
                </v:textbox>
              </v:shape>
            </w:pict>
          </mc:Fallback>
        </mc:AlternateContent>
      </w:r>
    </w:p>
    <w:p>
      <w:pPr>
        <w:jc w:val="center"/>
        <w:rPr>
          <w:rFonts w:ascii="黑体" w:hAnsi="黑体" w:eastAsia="黑体" w:cs="黑体"/>
          <w:bCs/>
          <w:color w:val="000000"/>
          <w:sz w:val="52"/>
          <w:szCs w:val="52"/>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35560</wp:posOffset>
                </wp:positionV>
                <wp:extent cx="61214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2.8pt;height:0pt;width:482pt;mso-position-horizontal:right;mso-position-horizontal-relative:margin;mso-wrap-distance-bottom:0pt;mso-wrap-distance-top:0pt;z-index:251662336;mso-width-relative:page;mso-height-relative:page;" filled="f" stroked="t" coordsize="21600,21600" o:gfxdata="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4q9rDT&#10;AAAABAEAAA8AAAAAAAAAAQAgAAAAIgAAAGRycy9kb3ducmV2LnhtbFBLAQIUABQAAAAIAIdO4kBc&#10;lu/g7AEAANkDAAAOAAAAAAAAAAEAIAAAACIBAABkcnMvZTJvRG9jLnhtbFBLBQYAAAAABgAGAFkB&#10;AACABQAAAAA=&#10;">
                <v:fill on="f" focussize="0,0"/>
                <v:stroke weight="1pt" color="#000000" joinstyle="round"/>
                <v:imagedata o:title=""/>
                <o:lock v:ext="edit" aspectratio="f"/>
                <w10:wrap type="topAndBottom"/>
              </v:line>
            </w:pict>
          </mc:Fallback>
        </mc:AlternateContent>
      </w:r>
    </w:p>
    <w:p>
      <w:pPr>
        <w:jc w:val="center"/>
        <w:rPr>
          <w:rFonts w:ascii="黑体" w:hAnsi="黑体" w:eastAsia="黑体" w:cs="黑体"/>
          <w:bCs/>
          <w:color w:val="000000"/>
          <w:sz w:val="52"/>
          <w:szCs w:val="52"/>
        </w:rPr>
      </w:pPr>
    </w:p>
    <w:p>
      <w:pPr>
        <w:pStyle w:val="39"/>
        <w:framePr w:w="0" w:hRule="auto" w:wrap="auto" w:vAnchor="margin" w:hAnchor="text" w:xAlign="left" w:yAlign="inline"/>
        <w:spacing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废铅膏制备电池级氧化铅（定向络合和转化工艺）污染控制技术规范</w:t>
      </w:r>
    </w:p>
    <w:p>
      <w:pPr>
        <w:jc w:val="center"/>
        <w:rPr>
          <w:rFonts w:ascii="Times New Roman" w:hAnsi="Times New Roman" w:eastAsia="仿宋_GB2312" w:cs="Times New Roman"/>
          <w:b/>
          <w:color w:val="000000"/>
          <w:sz w:val="32"/>
          <w:szCs w:val="32"/>
        </w:rPr>
      </w:pPr>
      <w:r>
        <w:rPr>
          <w:rFonts w:ascii="黑体" w:hAnsi="黑体" w:eastAsia="黑体" w:cs="黑体"/>
          <w:color w:val="000000" w:themeColor="text1"/>
          <w:sz w:val="28"/>
          <w:szCs w:val="30"/>
          <w14:textFill>
            <w14:solidFill>
              <w14:schemeClr w14:val="tx1"/>
            </w14:solidFill>
          </w14:textFill>
        </w:rPr>
        <w:t>Technical specification of pollution control for battery-grade lead oxide production by using directional coordination and transformation from waste lead paste</w:t>
      </w: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color w:val="000000"/>
          <w:sz w:val="28"/>
          <w:szCs w:val="28"/>
        </w:rPr>
      </w:pPr>
      <w:r>
        <w:rPr>
          <w:rFonts w:hint="eastAsia" w:ascii="黑体" w:hAnsi="黑体" w:eastAsia="黑体" w:cs="Times New Roman"/>
          <w:color w:val="000000"/>
          <w:sz w:val="28"/>
          <w:szCs w:val="28"/>
        </w:rPr>
        <w:t>（</w:t>
      </w:r>
      <w:r>
        <w:rPr>
          <w:rFonts w:hint="eastAsia" w:ascii="黑体" w:hAnsi="黑体" w:eastAsia="黑体" w:cs="Times New Roman"/>
          <w:color w:val="000000"/>
          <w:sz w:val="28"/>
          <w:szCs w:val="28"/>
          <w:lang w:val="en-US" w:eastAsia="zh-CN"/>
        </w:rPr>
        <w:t>送审</w:t>
      </w:r>
      <w:bookmarkStart w:id="12" w:name="_GoBack"/>
      <w:bookmarkEnd w:id="12"/>
      <w:r>
        <w:rPr>
          <w:rFonts w:hint="eastAsia" w:ascii="黑体" w:hAnsi="黑体" w:eastAsia="黑体" w:cs="Times New Roman"/>
          <w:color w:val="000000"/>
          <w:sz w:val="28"/>
          <w:szCs w:val="28"/>
        </w:rPr>
        <w:t>稿）</w:t>
      </w: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p>
    <w:p>
      <w:pPr>
        <w:jc w:val="center"/>
        <w:rPr>
          <w:rFonts w:ascii="仿宋_GB2312" w:hAnsi="新宋体" w:eastAsia="仿宋_GB2312" w:cs="Times New Roman"/>
          <w:b/>
          <w:color w:val="000000"/>
          <w:sz w:val="32"/>
          <w:szCs w:val="32"/>
        </w:rPr>
      </w:pPr>
      <w:r>
        <mc:AlternateContent>
          <mc:Choice Requires="wps">
            <w:drawing>
              <wp:anchor distT="0" distB="0" distL="114300" distR="114300" simplePos="0" relativeHeight="251665408" behindDoc="0" locked="1" layoutInCell="1" allowOverlap="1">
                <wp:simplePos x="0" y="0"/>
                <wp:positionH relativeFrom="margin">
                  <wp:align>right</wp:align>
                </wp:positionH>
                <wp:positionV relativeFrom="margin">
                  <wp:posOffset>7545070</wp:posOffset>
                </wp:positionV>
                <wp:extent cx="2019300" cy="3124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top:594.1pt;height:24.6pt;width:159pt;mso-position-horizontal:right;mso-position-horizontal-relative:margin;mso-position-vertical-relative:margin;z-index:251665408;mso-width-relative:page;mso-height-relative:page;" fillcolor="#FFFFFF" filled="t" stroked="f" coordsize="21600,21600" o:gfxdata="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1IBRNgAAAAKAQAADwAAAAAAAAABACAAAAAiAAAA&#10;ZHJzL2Rvd25yZXYueG1sUEsBAhQAFAAAAAgAh07iQH+AtVfOAQAAnQMAAA4AAAAAAAAAAQAgAAAA&#10;JwEAAGRycy9lMm9Eb2MueG1sUEsFBgAAAAAGAAYAWQEAAGcFAAAAAA==&#10;">
                <v:fill on="t" focussize="0,0"/>
                <v:stroke on="f"/>
                <v:imagedata o:title=""/>
                <o:lock v:ext="edit" aspectratio="f"/>
                <v:textbox inset="0mm,0mm,0mm,0mm">
                  <w:txbxContent>
                    <w:p>
                      <w:pPr>
                        <w:pStyle w:val="36"/>
                      </w:pP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-635</wp:posOffset>
                </wp:positionH>
                <wp:positionV relativeFrom="margin">
                  <wp:posOffset>7534910</wp:posOffset>
                </wp:positionV>
                <wp:extent cx="2019300" cy="312420"/>
                <wp:effectExtent l="0" t="0" r="7620" b="7620"/>
                <wp:wrapNone/>
                <wp:docPr id="13" name="文本框 13"/>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5"/>
                              <w:ind w:firstLine="210"/>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05pt;margin-top:593.3pt;height:24.6pt;width:159pt;mso-position-horizontal-relative:margin;mso-position-vertical-relative:margin;z-index:251664384;mso-width-relative:page;mso-height-relative:page;" fillcolor="#FFFFFF" filled="t" stroked="f" coordsize="21600,21600" o:gfxdata="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aKj5doAAAALAQAADwAAAAAAAAABACAAAAAi&#10;AAAAZHJzL2Rvd25yZXYueG1sUEsBAhQAFAAAAAgAh07iQLlX0OXPAQAAnQMAAA4AAAAAAAAAAQAg&#10;AAAAKQEAAGRycy9lMm9Eb2MueG1sUEsFBgAAAAAGAAYAWQEAAGoFAAAAAA==&#10;">
                <v:fill on="t" focussize="0,0"/>
                <v:stroke on="f"/>
                <v:imagedata o:title=""/>
                <o:lock v:ext="edit" aspectratio="f"/>
                <v:textbox inset="0mm,0mm,0mm,0mm">
                  <w:txbxContent>
                    <w:p>
                      <w:pPr>
                        <w:pStyle w:val="35"/>
                        <w:ind w:firstLine="210"/>
                      </w:pPr>
                      <w:r>
                        <w:rPr>
                          <w:rFonts w:hint="eastAsia"/>
                        </w:rPr>
                        <w:t>××××-××-××发布</w:t>
                      </w:r>
                    </w:p>
                  </w:txbxContent>
                </v:textbox>
                <w10:anchorlock/>
              </v:shape>
            </w:pict>
          </mc:Fallback>
        </mc:AlternateContent>
      </w:r>
    </w:p>
    <w:p>
      <w:pPr>
        <w:jc w:val="center"/>
        <w:rPr>
          <w:rFonts w:ascii="仿宋_GB2312" w:hAnsi="新宋体" w:eastAsia="仿宋_GB2312" w:cs="Times New Roman"/>
          <w:b/>
          <w:color w:val="000000"/>
          <w:sz w:val="32"/>
          <w:szCs w:val="32"/>
        </w:rPr>
      </w:pPr>
    </w:p>
    <w:p>
      <w:pPr>
        <w:jc w:val="center"/>
        <w:rPr>
          <w:rFonts w:ascii="仿宋_GB2312" w:hAnsi="Times New Roman" w:eastAsia="仿宋_GB2312" w:cs="Times New Roman"/>
          <w:color w:val="000000"/>
          <w:sz w:val="32"/>
          <w:szCs w:val="32"/>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205740</wp:posOffset>
                </wp:positionV>
                <wp:extent cx="6121400" cy="0"/>
                <wp:effectExtent l="0" t="0" r="0" b="0"/>
                <wp:wrapTopAndBottom/>
                <wp:docPr id="14" name="直接连接符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16.2pt;height:0pt;width:482pt;mso-position-horizontal:right;mso-position-horizontal-relative:margin;mso-wrap-distance-bottom:0pt;mso-wrap-distance-top:0pt;z-index:251663360;mso-width-relative:page;mso-height-relative:page;" filled="f" stroked="t" coordsize="21600,21600" o:gfxdata="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zTz&#10;2dUAAAAGAQAADwAAAAAAAAABACAAAAAiAAAAZHJzL2Rvd25yZXYueG1sUEsBAhQAFAAAAAgAh07i&#10;QIRB3dTsAQAA2wMAAA4AAAAAAAAAAQAgAAAAJAEAAGRycy9lMm9Eb2MueG1sUEsFBgAAAAAGAAYA&#10;WQEAAIIFAAAAAA==&#10;">
                <v:fill on="f" focussize="0,0"/>
                <v:stroke weight="1pt" color="#000000" joinstyle="round"/>
                <v:imagedata o:title=""/>
                <o:lock v:ext="edit" aspectratio="f"/>
                <w10:wrap type="topAndBottom"/>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5154295</wp:posOffset>
                </wp:positionH>
                <wp:positionV relativeFrom="paragraph">
                  <wp:posOffset>429895</wp:posOffset>
                </wp:positionV>
                <wp:extent cx="832485" cy="487045"/>
                <wp:effectExtent l="0" t="0" r="5715" b="635"/>
                <wp:wrapNone/>
                <wp:docPr id="15" name="文本框 15"/>
                <wp:cNvGraphicFramePr/>
                <a:graphic xmlns:a="http://schemas.openxmlformats.org/drawingml/2006/main">
                  <a:graphicData uri="http://schemas.microsoft.com/office/word/2010/wordprocessingShape">
                    <wps:wsp>
                      <wps:cNvSpPr txBox="1"/>
                      <wps:spPr>
                        <a:xfrm>
                          <a:off x="5909945" y="8960485"/>
                          <a:ext cx="832485" cy="487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z w:val="28"/>
                                <w:szCs w:val="28"/>
                              </w:rPr>
                            </w:pPr>
                            <w:r>
                              <w:rPr>
                                <w:rFonts w:hint="eastAsia" w:ascii="黑体" w:hAnsi="黑体" w:eastAsia="黑体" w:cs="黑体"/>
                                <w:sz w:val="28"/>
                                <w:szCs w:val="28"/>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5pt;margin-top:33.85pt;height:38.35pt;width:65.55pt;z-index:251668480;mso-width-relative:page;mso-height-relative:page;" fillcolor="#FFFFFF [3201]" filled="t" stroked="f" coordsize="21600,21600" o:gfxdata="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fnHdUA&#10;AAAKAQAADwAAAAAAAAABACAAAAAiAAAAZHJzL2Rvd25yZXYueG1sUEsBAhQAFAAAAAgAh07iQHuE&#10;iOtbAgAAnAQAAA4AAAAAAAAAAQAgAAAAJAEAAGRycy9lMm9Eb2MueG1sUEsFBgAAAAAGAAYAWQEA&#10;APEFA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发布</w:t>
                      </w:r>
                    </w:p>
                  </w:txbxContent>
                </v:textbox>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211455</wp:posOffset>
                </wp:positionH>
                <wp:positionV relativeFrom="margin">
                  <wp:posOffset>8029575</wp:posOffset>
                </wp:positionV>
                <wp:extent cx="4638040" cy="829310"/>
                <wp:effectExtent l="0" t="0" r="10160" b="8890"/>
                <wp:wrapNone/>
                <wp:docPr id="16" name="文本框 16"/>
                <wp:cNvGraphicFramePr/>
                <a:graphic xmlns:a="http://schemas.openxmlformats.org/drawingml/2006/main">
                  <a:graphicData uri="http://schemas.microsoft.com/office/word/2010/wordprocessingShape">
                    <wps:wsp>
                      <wps:cNvSpPr txBox="1"/>
                      <wps:spPr>
                        <a:xfrm>
                          <a:off x="0" y="0"/>
                          <a:ext cx="4638040" cy="829310"/>
                        </a:xfrm>
                        <a:prstGeom prst="rect">
                          <a:avLst/>
                        </a:prstGeom>
                        <a:solidFill>
                          <a:srgbClr val="FFFFFF"/>
                        </a:solidFill>
                        <a:ln>
                          <a:noFill/>
                        </a:ln>
                      </wps:spPr>
                      <wps:txbx>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wps:txbx>
                      <wps:bodyPr lIns="0" tIns="0" rIns="0" bIns="0" upright="1"/>
                    </wps:wsp>
                  </a:graphicData>
                </a:graphic>
              </wp:anchor>
            </w:drawing>
          </mc:Choice>
          <mc:Fallback>
            <w:pict>
              <v:shape id="_x0000_s1026" o:spid="_x0000_s1026" o:spt="202" type="#_x0000_t202" style="position:absolute;left:0pt;margin-left:16.65pt;margin-top:632.25pt;height:65.3pt;width:365.2pt;mso-position-horizontal-relative:margin;mso-position-vertical-relative:margin;z-index:251666432;mso-width-relative:page;mso-height-relative:page;" fillcolor="#FFFFFF" filled="t" stroked="f" coordsize="21600,21600" o:gfxdata="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6hLTNsAAAAMAQAADwAAAAAAAAABACAA&#10;AAAiAAAAZHJzL2Rvd25yZXYueG1sUEsBAhQAFAAAAAgAh07iQMQVnUfRAQAAnQMAAA4AAAAAAAAA&#10;AQAgAAAAKgEAAGRycy9lMm9Eb2MueG1sUEsFBgAAAAAGAAYAWQEAAG0FAAAAAA==&#10;">
                <v:fill on="t" focussize="0,0"/>
                <v:stroke on="f"/>
                <v:imagedata o:title=""/>
                <o:lock v:ext="edit" aspectratio="f"/>
                <v:textbox inset="0mm,0mm,0mm,0mm">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v:textbox>
                <w10:anchorlock/>
              </v:shape>
            </w:pict>
          </mc:Fallback>
        </mc:AlternateContent>
      </w:r>
      <w:r>
        <w:rPr>
          <w:rFonts w:hint="eastAsia" w:ascii="仿宋_GB2312" w:hAnsi="Times New Roman" w:eastAsia="仿宋_GB2312" w:cs="Times New Roman"/>
          <w:color w:val="000000"/>
          <w:sz w:val="32"/>
          <w:szCs w:val="32"/>
        </w:rPr>
        <w:br w:type="page"/>
      </w:r>
      <w:r>
        <mc:AlternateContent>
          <mc:Choice Requires="wps">
            <w:drawing>
              <wp:anchor distT="0" distB="0" distL="114300" distR="114300" simplePos="0" relativeHeight="251669504" behindDoc="0" locked="0" layoutInCell="1" allowOverlap="1">
                <wp:simplePos x="0" y="0"/>
                <wp:positionH relativeFrom="column">
                  <wp:posOffset>6367145</wp:posOffset>
                </wp:positionH>
                <wp:positionV relativeFrom="paragraph">
                  <wp:posOffset>9596120</wp:posOffset>
                </wp:positionV>
                <wp:extent cx="608330" cy="305435"/>
                <wp:effectExtent l="4445" t="4445" r="12065" b="10160"/>
                <wp:wrapNone/>
                <wp:docPr id="17" name="矩形 17"/>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501.35pt;margin-top:755.6pt;height:24.05pt;width:47.9pt;z-index:251669504;mso-width-relative:page;mso-height-relative:page;" fillcolor="#FFFFFF" filled="t" stroked="t" coordsize="21600,21600" o:gfxdata="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UY6Z2gAAAA8BAAAPAAAAAAAAAAEAIAAAACIAAABkcnMvZG93&#10;bnJldi54bWxQSwECFAAUAAAACACHTuJAw1RVWP4BAAAqBAAADgAAAAAAAAABACAAAAApAQAAZHJz&#10;L2Uyb0RvYy54bWxQSwUGAAAAAAYABgBZAQAAmQU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6214745</wp:posOffset>
                </wp:positionH>
                <wp:positionV relativeFrom="paragraph">
                  <wp:posOffset>9443720</wp:posOffset>
                </wp:positionV>
                <wp:extent cx="608330" cy="305435"/>
                <wp:effectExtent l="4445" t="4445" r="12065" b="10160"/>
                <wp:wrapNone/>
                <wp:docPr id="18" name="矩形 18"/>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489.35pt;margin-top:743.6pt;height:24.05pt;width:47.9pt;z-index:251667456;mso-width-relative:page;mso-height-relative:page;" fillcolor="#FFFFFF" filled="t" stroked="t" coordsize="21600,21600" o:gfxdata="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o3BB2wAAAA4BAAAPAAAAAAAAAAEAIAAAACIAAABkcnMvZG93&#10;bnJldi54bWxQSwECFAAUAAAACACHTuJA6zjsXP0BAAAqBAAADgAAAAAAAAABACAAAAAqAQAAZHJz&#10;L2Uyb0RvYy54bWxQSwUGAAAAAAYABgBZAQAAmQU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p>
    <w:p>
      <w:pPr>
        <w:pStyle w:val="14"/>
        <w:spacing w:before="156" w:after="156"/>
        <w:jc w:val="center"/>
        <w:rPr>
          <w:rFonts w:ascii="宋体" w:hAnsi="宋体" w:eastAsia="宋体" w:cs="宋体"/>
          <w:sz w:val="28"/>
          <w:szCs w:val="28"/>
        </w:rPr>
      </w:pPr>
      <w:r>
        <w:rPr>
          <w:rFonts w:ascii="宋体" w:hAnsi="宋体" w:eastAsia="宋体" w:cs="宋体"/>
          <w:sz w:val="28"/>
          <w:szCs w:val="28"/>
        </w:rPr>
        <w:t>前  言</w:t>
      </w:r>
    </w:p>
    <w:p>
      <w:pPr>
        <w:spacing w:line="360" w:lineRule="auto"/>
        <w:ind w:firstLine="420"/>
        <w:rPr>
          <w:rFonts w:ascii="Times New Roman" w:hAnsi="Times New Roman" w:cs="Times New Roman"/>
        </w:rPr>
      </w:pPr>
      <w:r>
        <w:rPr>
          <w:rFonts w:ascii="Times New Roman" w:hAnsi="Times New Roman" w:cs="Times New Roman"/>
        </w:rPr>
        <w:t>本文件按照GB/T 1.1-2020《标准化工作导则 第1部分：标准化文件的结构和起草规则》的规定起草。</w:t>
      </w:r>
    </w:p>
    <w:p>
      <w:pPr>
        <w:spacing w:line="360" w:lineRule="auto"/>
        <w:ind w:firstLine="420" w:firstLineChars="200"/>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本文件由全国有色金属标准化技术委员会</w:t>
      </w:r>
      <w:r>
        <w:rPr>
          <w:rFonts w:hint="eastAsia" w:ascii="Times New Roman" w:hAnsi="Times New Roman" w:cs="Times New Roman"/>
          <w:color w:val="000000"/>
          <w:szCs w:val="21"/>
        </w:rPr>
        <w:t>（</w:t>
      </w:r>
      <w:r>
        <w:rPr>
          <w:rFonts w:ascii="Times New Roman" w:hAnsi="Times New Roman" w:cs="Times New Roman"/>
          <w:color w:val="000000"/>
          <w:szCs w:val="21"/>
        </w:rPr>
        <w:t>SAC/TC 243</w:t>
      </w:r>
      <w:r>
        <w:rPr>
          <w:rFonts w:hint="eastAsia" w:ascii="Times New Roman" w:hAnsi="Times New Roman" w:cs="Times New Roman"/>
          <w:color w:val="000000"/>
          <w:szCs w:val="21"/>
        </w:rPr>
        <w:t>）</w:t>
      </w:r>
      <w:r>
        <w:rPr>
          <w:rFonts w:ascii="Times New Roman" w:hAnsi="Times New Roman" w:cs="Times New Roman"/>
          <w:color w:val="000000"/>
          <w:szCs w:val="21"/>
        </w:rPr>
        <w:t>提出并归口。</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本文件起草单位：</w:t>
      </w:r>
      <w:r>
        <w:rPr>
          <w:rFonts w:hint="eastAsia" w:ascii="Times New Roman" w:hAnsi="Times New Roman" w:cs="Times New Roman"/>
          <w:color w:val="000000" w:themeColor="text1"/>
          <w:szCs w:val="21"/>
          <w14:textFill>
            <w14:solidFill>
              <w14:schemeClr w14:val="tx1"/>
            </w14:solidFill>
          </w14:textFill>
        </w:rPr>
        <w:t>生态环境部固体废物与化学品管理技术中心、生态环境部华南环境科学研究所、北京化工大学、超威集团、矿冶科技集团有限公司、天津理工大学、东北大学、华南农业大学、浙江天能电源材料有限公司、北京中再联盟技术有限公司</w:t>
      </w:r>
      <w:r>
        <w:rPr>
          <w:rFonts w:hint="eastAsia" w:ascii="Times New Roman" w:hAnsi="Times New Roman" w:cs="Times New Roman"/>
          <w:szCs w:val="21"/>
        </w:rPr>
        <w:t>、郑州金泉矿冶设备有限公司</w:t>
      </w:r>
      <w:r>
        <w:rPr>
          <w:rFonts w:hint="eastAsia"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本文件主要起草人：</w:t>
      </w: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jc w:val="center"/>
        <w:rPr>
          <w:rFonts w:ascii="仿宋_GB2312" w:hAnsi="新宋体" w:eastAsia="仿宋_GB2312" w:cs="Times New Roman"/>
          <w:b/>
          <w:color w:val="000000"/>
          <w:sz w:val="32"/>
          <w:szCs w:val="32"/>
        </w:rPr>
        <w:sectPr>
          <w:footerReference r:id="rId3" w:type="default"/>
          <w:pgSz w:w="11906" w:h="16838"/>
          <w:pgMar w:top="1134" w:right="1134" w:bottom="1134" w:left="1134" w:header="851" w:footer="992" w:gutter="0"/>
          <w:cols w:space="425" w:num="1"/>
          <w:docGrid w:type="lines" w:linePitch="312" w:charSpace="0"/>
        </w:sectPr>
      </w:pP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废铅膏制备电池级氧化铅（定向络合和转化工艺）</w:t>
      </w: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污染控制技术规范</w:t>
      </w:r>
    </w:p>
    <w:p>
      <w:pPr>
        <w:pStyle w:val="3"/>
        <w:spacing w:before="0" w:after="312" w:afterLines="100" w:line="360" w:lineRule="auto"/>
        <w:rPr>
          <w:rFonts w:ascii="Times New Roman" w:hAnsi="Times New Roman" w:eastAsia="黑体" w:cs="Times New Roman"/>
          <w:sz w:val="21"/>
        </w:rPr>
      </w:pPr>
      <w:bookmarkStart w:id="0" w:name="_Toc84978271"/>
      <w:r>
        <w:rPr>
          <w:rFonts w:ascii="Times New Roman" w:hAnsi="Times New Roman" w:eastAsia="黑体" w:cs="Times New Roman"/>
          <w:sz w:val="21"/>
        </w:rPr>
        <w:t>1 范围</w:t>
      </w:r>
      <w:bookmarkEnd w:id="0"/>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本文件规定了废铅膏利用处置的总体要求、定向络合和转化工艺制备电池级氧化铅过程污染</w:t>
      </w:r>
      <w:r>
        <w:rPr>
          <w:rFonts w:hint="eastAsia" w:ascii="Times New Roman" w:hAnsi="Times New Roman" w:cs="Times New Roman"/>
          <w:color w:val="000000" w:themeColor="text1"/>
          <w14:textFill>
            <w14:solidFill>
              <w14:schemeClr w14:val="tx1"/>
            </w14:solidFill>
          </w14:textFill>
        </w:rPr>
        <w:t>防治技术</w:t>
      </w:r>
      <w:r>
        <w:rPr>
          <w:rFonts w:hint="eastAsia" w:ascii="Times New Roman" w:hAnsi="Times New Roman" w:eastAsia="宋体" w:cs="Times New Roman"/>
          <w:szCs w:val="21"/>
        </w:rPr>
        <w:t>要求、</w:t>
      </w:r>
      <w:r>
        <w:rPr>
          <w:rFonts w:hint="eastAsia" w:ascii="Times New Roman" w:hAnsi="Times New Roman" w:cs="Times New Roman"/>
          <w:color w:val="000000" w:themeColor="text1"/>
          <w14:textFill>
            <w14:solidFill>
              <w14:schemeClr w14:val="tx1"/>
            </w14:solidFill>
          </w14:textFill>
        </w:rPr>
        <w:t>污染排放控制</w:t>
      </w:r>
      <w:r>
        <w:rPr>
          <w:rFonts w:hint="eastAsia" w:ascii="Times New Roman" w:hAnsi="Times New Roman" w:eastAsia="宋体" w:cs="Times New Roman"/>
          <w:szCs w:val="21"/>
        </w:rPr>
        <w:t>要求、环境管理要求。</w:t>
      </w:r>
    </w:p>
    <w:p>
      <w:pPr>
        <w:spacing w:line="360" w:lineRule="auto"/>
        <w:ind w:firstLine="420" w:firstLineChars="200"/>
        <w:rPr>
          <w:rFonts w:ascii="Times New Roman" w:hAnsi="Times New Roman" w:eastAsia="仿宋_GB2312" w:cs="Times New Roman"/>
          <w:sz w:val="28"/>
          <w:szCs w:val="28"/>
        </w:rPr>
      </w:pPr>
      <w:r>
        <w:rPr>
          <w:rFonts w:hint="eastAsia" w:ascii="Times New Roman" w:hAnsi="Times New Roman" w:eastAsia="宋体" w:cs="Times New Roman"/>
          <w:szCs w:val="21"/>
        </w:rPr>
        <w:t>本文件适用于废铅膏采用定向络合和转化工艺制备电池级氧化铅过程的污染控制，可用于指导废铅膏制备</w:t>
      </w:r>
      <w:r>
        <w:rPr>
          <w:rFonts w:ascii="Times New Roman" w:hAnsi="Times New Roman" w:eastAsia="宋体" w:cs="Times New Roman"/>
          <w:szCs w:val="21"/>
        </w:rPr>
        <w:t>电池级氧化铅生产线或生产企业的污染控制管理工作</w:t>
      </w:r>
      <w:r>
        <w:rPr>
          <w:rFonts w:hint="eastAsia" w:ascii="Times New Roman" w:hAnsi="Times New Roman" w:eastAsia="宋体" w:cs="Times New Roman"/>
          <w:szCs w:val="21"/>
        </w:rPr>
        <w:t>。</w:t>
      </w:r>
    </w:p>
    <w:p>
      <w:pPr>
        <w:pStyle w:val="3"/>
        <w:spacing w:before="0" w:after="312" w:afterLines="100" w:line="360" w:lineRule="auto"/>
        <w:rPr>
          <w:rFonts w:ascii="Times New Roman" w:hAnsi="Times New Roman" w:eastAsia="黑体" w:cs="Times New Roman"/>
          <w:sz w:val="21"/>
        </w:rPr>
      </w:pPr>
      <w:bookmarkStart w:id="1" w:name="_Toc84978272"/>
      <w:r>
        <w:rPr>
          <w:rFonts w:ascii="Times New Roman" w:hAnsi="Times New Roman" w:eastAsia="黑体" w:cs="Times New Roman"/>
          <w:sz w:val="21"/>
        </w:rPr>
        <w:t>2 规范性引用文件</w:t>
      </w:r>
      <w:bookmarkEnd w:id="1"/>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3095  </w:t>
      </w:r>
      <w:r>
        <w:rPr>
          <w:rFonts w:hint="eastAsia" w:ascii="Times New Roman" w:hAnsi="Times New Roman" w:eastAsia="宋体" w:cs="Times New Roman"/>
          <w:szCs w:val="21"/>
        </w:rPr>
        <w:t>环境空气质量标准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12348  </w:t>
      </w:r>
      <w:r>
        <w:rPr>
          <w:rFonts w:hint="eastAsia" w:ascii="Times New Roman" w:hAnsi="Times New Roman" w:eastAsia="宋体" w:cs="Times New Roman"/>
          <w:szCs w:val="21"/>
        </w:rPr>
        <w:t>工业企业厂界环境噪声排放标准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15562.2  </w:t>
      </w:r>
      <w:r>
        <w:rPr>
          <w:rFonts w:hint="eastAsia" w:ascii="Times New Roman" w:hAnsi="Times New Roman" w:eastAsia="宋体" w:cs="Times New Roman"/>
          <w:szCs w:val="21"/>
        </w:rPr>
        <w:t>环境保护图形标志</w:t>
      </w:r>
      <w:r>
        <w:rPr>
          <w:rFonts w:ascii="Times New Roman" w:hAnsi="Times New Roman" w:eastAsia="宋体" w:cs="Times New Roman"/>
          <w:szCs w:val="21"/>
        </w:rPr>
        <w:t xml:space="preserve"> </w:t>
      </w:r>
      <w:r>
        <w:rPr>
          <w:rFonts w:hint="eastAsia" w:ascii="Times New Roman" w:hAnsi="Times New Roman" w:eastAsia="宋体" w:cs="Times New Roman"/>
          <w:szCs w:val="21"/>
        </w:rPr>
        <w:t>固体废物贮存（处置）场</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15618  </w:t>
      </w:r>
      <w:r>
        <w:rPr>
          <w:rFonts w:hint="eastAsia" w:ascii="Times New Roman" w:hAnsi="Times New Roman" w:eastAsia="宋体" w:cs="Times New Roman"/>
          <w:szCs w:val="21"/>
        </w:rPr>
        <w:t>土壤环境质量</w:t>
      </w:r>
      <w:r>
        <w:rPr>
          <w:rFonts w:ascii="Times New Roman" w:hAnsi="Times New Roman" w:eastAsia="宋体" w:cs="Times New Roman"/>
          <w:szCs w:val="21"/>
        </w:rPr>
        <w:t xml:space="preserve"> </w:t>
      </w:r>
      <w:r>
        <w:rPr>
          <w:rFonts w:hint="eastAsia" w:ascii="Times New Roman" w:hAnsi="Times New Roman" w:eastAsia="宋体" w:cs="Times New Roman"/>
          <w:szCs w:val="21"/>
        </w:rPr>
        <w:t>农用地土壤污染风险管控标准（试行）</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18597  </w:t>
      </w:r>
      <w:r>
        <w:rPr>
          <w:rFonts w:hint="eastAsia" w:ascii="Times New Roman" w:hAnsi="Times New Roman" w:eastAsia="宋体" w:cs="Times New Roman"/>
          <w:szCs w:val="21"/>
        </w:rPr>
        <w:t>危险废物贮存污染控制标准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18599  </w:t>
      </w:r>
      <w:r>
        <w:rPr>
          <w:rFonts w:hint="eastAsia" w:ascii="Times New Roman" w:hAnsi="Times New Roman" w:eastAsia="宋体" w:cs="Times New Roman"/>
          <w:szCs w:val="21"/>
        </w:rPr>
        <w:t>一般工业固体废物贮存和填埋污染控制标准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 31574  </w:t>
      </w:r>
      <w:r>
        <w:rPr>
          <w:rFonts w:hint="eastAsia" w:ascii="Times New Roman" w:hAnsi="Times New Roman" w:eastAsia="宋体" w:cs="Times New Roman"/>
          <w:szCs w:val="21"/>
        </w:rPr>
        <w:t>再生铜、铝、铅、锌工业污染物排放标准</w:t>
      </w:r>
    </w:p>
    <w:p>
      <w:pPr>
        <w:tabs>
          <w:tab w:val="left" w:pos="1843"/>
        </w:tabs>
        <w:spacing w:line="360" w:lineRule="auto"/>
        <w:ind w:firstLine="420" w:firstLineChars="200"/>
        <w:rPr>
          <w:rFonts w:ascii="Times New Roman" w:hAnsi="Times New Roman" w:eastAsia="宋体" w:cs="Times New Roman"/>
          <w:szCs w:val="21"/>
        </w:rPr>
      </w:pPr>
      <w:bookmarkStart w:id="2" w:name="_Hlk108421003"/>
      <w:r>
        <w:rPr>
          <w:rFonts w:ascii="Times New Roman" w:hAnsi="Times New Roman" w:eastAsia="宋体" w:cs="Times New Roman"/>
          <w:szCs w:val="21"/>
        </w:rPr>
        <w:t xml:space="preserve">GB34330  </w:t>
      </w:r>
      <w:r>
        <w:rPr>
          <w:rFonts w:hint="eastAsia" w:ascii="Times New Roman" w:hAnsi="Times New Roman" w:eastAsia="宋体" w:cs="Times New Roman"/>
          <w:szCs w:val="21"/>
        </w:rPr>
        <w:t>固体废物鉴别标准通则</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GB/T21181-2017  </w:t>
      </w:r>
      <w:r>
        <w:rPr>
          <w:rFonts w:hint="eastAsia" w:ascii="Times New Roman" w:hAnsi="Times New Roman" w:eastAsia="宋体" w:cs="Times New Roman"/>
          <w:szCs w:val="21"/>
        </w:rPr>
        <w:t>国家标准再生铅及铅合金锭</w:t>
      </w:r>
    </w:p>
    <w:bookmarkEnd w:id="2"/>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GB/T 14848  </w:t>
      </w:r>
      <w:r>
        <w:rPr>
          <w:rFonts w:hint="eastAsia" w:ascii="Times New Roman" w:hAnsi="Times New Roman" w:eastAsia="宋体" w:cs="Times New Roman"/>
          <w:szCs w:val="21"/>
        </w:rPr>
        <w:t>地下水质量标准</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519  </w:t>
      </w:r>
      <w:r>
        <w:rPr>
          <w:rFonts w:hint="eastAsia" w:ascii="Times New Roman" w:hAnsi="Times New Roman" w:eastAsia="宋体" w:cs="Times New Roman"/>
          <w:szCs w:val="21"/>
        </w:rPr>
        <w:t>废铅蓄电池处理污染控制技术规范</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863.1  </w:t>
      </w:r>
      <w:r>
        <w:rPr>
          <w:rFonts w:hint="eastAsia" w:ascii="Times New Roman" w:hAnsi="Times New Roman" w:eastAsia="宋体" w:cs="Times New Roman"/>
          <w:szCs w:val="21"/>
        </w:rPr>
        <w:t>排污许可证申请与核发技术规范</w:t>
      </w:r>
      <w:r>
        <w:rPr>
          <w:rFonts w:ascii="Times New Roman" w:hAnsi="Times New Roman" w:eastAsia="宋体" w:cs="Times New Roman"/>
          <w:szCs w:val="21"/>
        </w:rPr>
        <w:t xml:space="preserve"> </w:t>
      </w:r>
      <w:r>
        <w:rPr>
          <w:rFonts w:hint="eastAsia" w:ascii="Times New Roman" w:hAnsi="Times New Roman" w:eastAsia="宋体" w:cs="Times New Roman"/>
          <w:szCs w:val="21"/>
        </w:rPr>
        <w:t>有色金属工业</w:t>
      </w:r>
      <w:r>
        <w:rPr>
          <w:rFonts w:ascii="Times New Roman" w:hAnsi="Times New Roman" w:eastAsia="宋体" w:cs="Times New Roman"/>
          <w:szCs w:val="21"/>
        </w:rPr>
        <w:t>—</w:t>
      </w:r>
      <w:r>
        <w:rPr>
          <w:rFonts w:hint="eastAsia" w:ascii="Times New Roman" w:hAnsi="Times New Roman" w:eastAsia="宋体" w:cs="Times New Roman"/>
          <w:szCs w:val="21"/>
        </w:rPr>
        <w:t>铅锌冶炼</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863.4  </w:t>
      </w:r>
      <w:r>
        <w:rPr>
          <w:rFonts w:hint="eastAsia" w:ascii="Times New Roman" w:hAnsi="Times New Roman" w:eastAsia="宋体" w:cs="Times New Roman"/>
          <w:szCs w:val="21"/>
        </w:rPr>
        <w:t>排污许可证申请与核发技术规范</w:t>
      </w:r>
      <w:r>
        <w:rPr>
          <w:rFonts w:ascii="Times New Roman" w:hAnsi="Times New Roman" w:eastAsia="宋体" w:cs="Times New Roman"/>
          <w:szCs w:val="21"/>
        </w:rPr>
        <w:t xml:space="preserve"> </w:t>
      </w:r>
      <w:r>
        <w:rPr>
          <w:rFonts w:hint="eastAsia" w:ascii="Times New Roman" w:hAnsi="Times New Roman" w:eastAsia="宋体" w:cs="Times New Roman"/>
          <w:szCs w:val="21"/>
        </w:rPr>
        <w:t>有色金属工业—再生金属</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1091  </w:t>
      </w:r>
      <w:r>
        <w:rPr>
          <w:rFonts w:hint="eastAsia" w:ascii="Times New Roman" w:hAnsi="Times New Roman" w:eastAsia="宋体" w:cs="Times New Roman"/>
          <w:szCs w:val="21"/>
        </w:rPr>
        <w:t>固体废物再生利用污染防治技术导则</w:t>
      </w:r>
    </w:p>
    <w:p>
      <w:pPr>
        <w:tabs>
          <w:tab w:val="left" w:pos="1843"/>
        </w:tabs>
        <w:spacing w:line="360" w:lineRule="auto"/>
        <w:ind w:firstLine="420" w:firstLineChars="200"/>
        <w:rPr>
          <w:rFonts w:ascii="Times New Roman" w:hAnsi="Times New Roman" w:eastAsia="宋体" w:cs="Times New Roman"/>
          <w:szCs w:val="21"/>
        </w:rPr>
      </w:pPr>
      <w:bookmarkStart w:id="3" w:name="_Hlk108420661"/>
      <w:r>
        <w:rPr>
          <w:rFonts w:ascii="Times New Roman" w:hAnsi="Times New Roman" w:eastAsia="宋体" w:cs="Times New Roman"/>
          <w:szCs w:val="21"/>
        </w:rPr>
        <w:t xml:space="preserve">HJ 2025  </w:t>
      </w:r>
      <w:r>
        <w:rPr>
          <w:rFonts w:hint="eastAsia" w:ascii="Times New Roman" w:hAnsi="Times New Roman" w:eastAsia="宋体" w:cs="Times New Roman"/>
          <w:szCs w:val="21"/>
        </w:rPr>
        <w:t>危险废物收集</w:t>
      </w:r>
      <w:r>
        <w:rPr>
          <w:rFonts w:ascii="Times New Roman" w:hAnsi="Times New Roman" w:eastAsia="宋体" w:cs="Times New Roman"/>
          <w:szCs w:val="21"/>
        </w:rPr>
        <w:t xml:space="preserve"> </w:t>
      </w:r>
      <w:r>
        <w:rPr>
          <w:rFonts w:hint="eastAsia" w:ascii="Times New Roman" w:hAnsi="Times New Roman" w:eastAsia="宋体" w:cs="Times New Roman"/>
          <w:szCs w:val="21"/>
        </w:rPr>
        <w:t>贮存</w:t>
      </w:r>
      <w:r>
        <w:rPr>
          <w:rFonts w:ascii="Times New Roman" w:hAnsi="Times New Roman" w:eastAsia="宋体" w:cs="Times New Roman"/>
          <w:szCs w:val="21"/>
        </w:rPr>
        <w:t xml:space="preserve"> </w:t>
      </w:r>
      <w:r>
        <w:rPr>
          <w:rFonts w:hint="eastAsia" w:ascii="Times New Roman" w:hAnsi="Times New Roman" w:eastAsia="宋体" w:cs="Times New Roman"/>
          <w:szCs w:val="21"/>
        </w:rPr>
        <w:t>运输技术规范</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HJ 2042  </w:t>
      </w:r>
      <w:r>
        <w:rPr>
          <w:rFonts w:hint="eastAsia" w:ascii="Times New Roman" w:hAnsi="Times New Roman" w:eastAsia="宋体" w:cs="Times New Roman"/>
          <w:szCs w:val="21"/>
        </w:rPr>
        <w:t>危险废物处置工程技术导则</w:t>
      </w:r>
    </w:p>
    <w:bookmarkEnd w:id="3"/>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YS/T 1169  </w:t>
      </w:r>
      <w:r>
        <w:rPr>
          <w:rFonts w:hint="eastAsia" w:ascii="Times New Roman" w:hAnsi="Times New Roman" w:eastAsia="宋体" w:cs="Times New Roman"/>
          <w:szCs w:val="21"/>
        </w:rPr>
        <w:t>再生铅生产废水处理回用技术规范</w:t>
      </w:r>
    </w:p>
    <w:p>
      <w:pPr>
        <w:tabs>
          <w:tab w:val="left" w:pos="1843"/>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YS/T 1170  </w:t>
      </w:r>
      <w:r>
        <w:rPr>
          <w:rFonts w:hint="eastAsia" w:ascii="Times New Roman" w:hAnsi="Times New Roman" w:eastAsia="宋体" w:cs="Times New Roman"/>
          <w:szCs w:val="21"/>
        </w:rPr>
        <w:t>再生铅生产废气处理技术规范</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中华人民共和国环境保护部令</w:t>
      </w:r>
      <w:r>
        <w:rPr>
          <w:rFonts w:ascii="Times New Roman" w:hAnsi="Times New Roman" w:eastAsia="宋体" w:cs="Times New Roman"/>
          <w:szCs w:val="21"/>
        </w:rPr>
        <w:t xml:space="preserve"> </w:t>
      </w:r>
      <w:r>
        <w:rPr>
          <w:rFonts w:hint="eastAsia" w:ascii="Times New Roman" w:hAnsi="Times New Roman" w:eastAsia="宋体" w:cs="Times New Roman"/>
          <w:szCs w:val="21"/>
        </w:rPr>
        <w:t>第</w:t>
      </w:r>
      <w:r>
        <w:rPr>
          <w:rFonts w:ascii="Times New Roman" w:hAnsi="Times New Roman" w:eastAsia="宋体" w:cs="Times New Roman"/>
          <w:szCs w:val="21"/>
        </w:rPr>
        <w:t>34</w:t>
      </w:r>
      <w:r>
        <w:rPr>
          <w:rFonts w:hint="eastAsia" w:ascii="Times New Roman" w:hAnsi="Times New Roman" w:eastAsia="宋体" w:cs="Times New Roman"/>
          <w:szCs w:val="21"/>
        </w:rPr>
        <w:t>号</w:t>
      </w:r>
      <w:r>
        <w:rPr>
          <w:rFonts w:ascii="Times New Roman" w:hAnsi="Times New Roman" w:eastAsia="宋体" w:cs="Times New Roman"/>
          <w:szCs w:val="21"/>
        </w:rPr>
        <w:t xml:space="preserve">  </w:t>
      </w:r>
      <w:r>
        <w:rPr>
          <w:rFonts w:hint="eastAsia" w:ascii="Times New Roman" w:hAnsi="Times New Roman" w:eastAsia="宋体" w:cs="Times New Roman"/>
          <w:szCs w:val="21"/>
        </w:rPr>
        <w:t>突发环境事件应急管理办法</w:t>
      </w:r>
    </w:p>
    <w:p>
      <w:pPr>
        <w:tabs>
          <w:tab w:val="left" w:pos="1843"/>
        </w:tabs>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公告</w:t>
      </w:r>
      <w:r>
        <w:rPr>
          <w:rFonts w:ascii="Times New Roman" w:hAnsi="Times New Roman" w:eastAsia="宋体" w:cs="Times New Roman"/>
          <w:szCs w:val="21"/>
        </w:rPr>
        <w:t>2007</w:t>
      </w:r>
      <w:r>
        <w:rPr>
          <w:rFonts w:hint="eastAsia" w:ascii="Times New Roman" w:hAnsi="Times New Roman" w:eastAsia="宋体" w:cs="Times New Roman"/>
          <w:szCs w:val="21"/>
        </w:rPr>
        <w:t>年第</w:t>
      </w:r>
      <w:r>
        <w:rPr>
          <w:rFonts w:ascii="Times New Roman" w:hAnsi="Times New Roman" w:eastAsia="宋体" w:cs="Times New Roman"/>
          <w:szCs w:val="21"/>
        </w:rPr>
        <w:t>48</w:t>
      </w:r>
      <w:r>
        <w:rPr>
          <w:rFonts w:hint="eastAsia" w:ascii="Times New Roman" w:hAnsi="Times New Roman" w:eastAsia="宋体" w:cs="Times New Roman"/>
          <w:szCs w:val="21"/>
        </w:rPr>
        <w:t>号</w:t>
      </w:r>
      <w:r>
        <w:rPr>
          <w:rFonts w:ascii="Times New Roman" w:hAnsi="Times New Roman" w:eastAsia="宋体" w:cs="Times New Roman"/>
          <w:szCs w:val="21"/>
        </w:rPr>
        <w:t xml:space="preserve">  </w:t>
      </w:r>
      <w:r>
        <w:rPr>
          <w:rFonts w:hint="eastAsia" w:ascii="Times New Roman" w:hAnsi="Times New Roman" w:eastAsia="宋体" w:cs="Times New Roman"/>
          <w:szCs w:val="21"/>
        </w:rPr>
        <w:t>危险废物经营单位编制应急预案指南</w:t>
      </w:r>
    </w:p>
    <w:p>
      <w:pPr>
        <w:pStyle w:val="3"/>
        <w:spacing w:before="0" w:after="312" w:afterLines="100" w:line="360" w:lineRule="auto"/>
        <w:rPr>
          <w:rFonts w:ascii="Times New Roman" w:hAnsi="Times New Roman" w:eastAsia="黑体" w:cs="Times New Roman"/>
          <w:sz w:val="21"/>
        </w:rPr>
      </w:pPr>
      <w:bookmarkStart w:id="4" w:name="_Toc84978273"/>
      <w:r>
        <w:rPr>
          <w:rFonts w:ascii="Times New Roman" w:hAnsi="Times New Roman" w:eastAsia="黑体" w:cs="Times New Roman"/>
          <w:sz w:val="21"/>
        </w:rPr>
        <w:t>3 术语与定义</w:t>
      </w:r>
      <w:bookmarkEnd w:id="4"/>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下列术语和定义适用于技术规范。</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3.1 </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黑体" w:cs="Times New Roman"/>
          <w:szCs w:val="21"/>
        </w:rPr>
        <w:t>废铅膏</w:t>
      </w:r>
      <w:r>
        <w:rPr>
          <w:rFonts w:ascii="Times New Roman" w:hAnsi="Times New Roman" w:eastAsia="黑体" w:cs="Times New Roman"/>
          <w:szCs w:val="21"/>
        </w:rPr>
        <w:t xml:space="preserve"> waste lead paste</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指废铅蓄电池回收、铅蓄电池生产等过程分离出含</w:t>
      </w:r>
      <w:r>
        <w:rPr>
          <w:rFonts w:ascii="Times New Roman" w:hAnsi="Times New Roman" w:eastAsia="宋体" w:cs="Times New Roman"/>
          <w:szCs w:val="21"/>
        </w:rPr>
        <w:t>PbSO4</w:t>
      </w:r>
      <w:r>
        <w:rPr>
          <w:rFonts w:hint="eastAsia" w:ascii="Times New Roman" w:hAnsi="Times New Roman" w:eastAsia="宋体" w:cs="Times New Roman"/>
          <w:szCs w:val="21"/>
        </w:rPr>
        <w:t>、</w:t>
      </w:r>
      <w:r>
        <w:rPr>
          <w:rFonts w:ascii="Times New Roman" w:hAnsi="Times New Roman" w:eastAsia="宋体" w:cs="Times New Roman"/>
          <w:szCs w:val="21"/>
        </w:rPr>
        <w:t>PbO2</w:t>
      </w:r>
      <w:r>
        <w:rPr>
          <w:rFonts w:hint="eastAsia" w:ascii="Times New Roman" w:hAnsi="Times New Roman" w:eastAsia="宋体" w:cs="Times New Roman"/>
          <w:szCs w:val="21"/>
        </w:rPr>
        <w:t>、</w:t>
      </w:r>
      <w:r>
        <w:rPr>
          <w:rFonts w:ascii="Times New Roman" w:hAnsi="Times New Roman" w:eastAsia="宋体" w:cs="Times New Roman"/>
          <w:szCs w:val="21"/>
        </w:rPr>
        <w:t>PbO</w:t>
      </w:r>
      <w:r>
        <w:rPr>
          <w:rFonts w:hint="eastAsia" w:ascii="Times New Roman" w:hAnsi="Times New Roman" w:eastAsia="宋体" w:cs="Times New Roman"/>
          <w:szCs w:val="21"/>
        </w:rPr>
        <w:t>和</w:t>
      </w:r>
      <w:r>
        <w:rPr>
          <w:rFonts w:ascii="Times New Roman" w:hAnsi="Times New Roman" w:eastAsia="宋体" w:cs="Times New Roman"/>
          <w:szCs w:val="21"/>
        </w:rPr>
        <w:t>Pb</w:t>
      </w:r>
      <w:r>
        <w:rPr>
          <w:rFonts w:hint="eastAsia" w:ascii="Times New Roman" w:hAnsi="Times New Roman" w:eastAsia="宋体" w:cs="Times New Roman"/>
          <w:szCs w:val="21"/>
        </w:rPr>
        <w:t>的可塑性膏状混合物。</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3.2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络合浸出</w:t>
      </w:r>
      <w:r>
        <w:rPr>
          <w:rFonts w:ascii="Times New Roman" w:hAnsi="Times New Roman" w:eastAsia="黑体" w:cs="Times New Roman"/>
          <w:szCs w:val="21"/>
        </w:rPr>
        <w:t xml:space="preserve"> coordinated leaching</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指在溶液体系中采用络合方式，将金属组分定向分离的提取技术。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3.3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碳酸化沉淀</w:t>
      </w:r>
      <w:r>
        <w:rPr>
          <w:rFonts w:ascii="Times New Roman" w:hAnsi="Times New Roman" w:eastAsia="黑体" w:cs="Times New Roman"/>
          <w:szCs w:val="21"/>
        </w:rPr>
        <w:t xml:space="preserve"> carbonization</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指在溶液体系中采用二氧化碳沉积方式，将金属分离和富集的提取技术。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3.4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定向转化</w:t>
      </w:r>
      <w:r>
        <w:rPr>
          <w:rFonts w:ascii="Times New Roman" w:hAnsi="Times New Roman" w:eastAsia="黑体" w:cs="Times New Roman"/>
          <w:szCs w:val="21"/>
        </w:rPr>
        <w:t xml:space="preserve"> directional transformation</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指采用可控焙烧方式，将碳酸盐转化为目标金属氧化物的制备技术。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3.5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净化</w:t>
      </w:r>
      <w:r>
        <w:rPr>
          <w:rFonts w:ascii="Times New Roman" w:hAnsi="Times New Roman" w:eastAsia="黑体" w:cs="Times New Roman"/>
          <w:szCs w:val="21"/>
        </w:rPr>
        <w:t xml:space="preserve"> purification</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指采用物理、化学法将溶液或气体中杂质去除的净化技术。</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3.6 </w:t>
      </w: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贮存</w:t>
      </w:r>
      <w:r>
        <w:rPr>
          <w:rFonts w:ascii="Times New Roman" w:hAnsi="Times New Roman" w:eastAsia="黑体" w:cs="Times New Roman"/>
          <w:szCs w:val="21"/>
        </w:rPr>
        <w:t xml:space="preserve"> storage</w:t>
      </w:r>
    </w:p>
    <w:p>
      <w:pPr>
        <w:spacing w:line="360" w:lineRule="auto"/>
        <w:ind w:firstLine="420" w:firstLineChars="200"/>
        <w:rPr>
          <w:rFonts w:ascii="Times New Roman" w:hAnsi="Times New Roman" w:cs="Times New Roman"/>
          <w:szCs w:val="21"/>
        </w:rPr>
      </w:pPr>
      <w:r>
        <w:rPr>
          <w:rFonts w:hint="eastAsia" w:ascii="Times New Roman" w:hAnsi="Times New Roman" w:eastAsia="宋体" w:cs="Times New Roman"/>
          <w:szCs w:val="21"/>
        </w:rPr>
        <w:t>指将收集的废铅膏置于转运点和废铅膏利用处置企业的活动。</w:t>
      </w:r>
    </w:p>
    <w:p>
      <w:pPr>
        <w:pStyle w:val="3"/>
        <w:spacing w:before="0" w:after="312" w:afterLines="100" w:line="360" w:lineRule="auto"/>
        <w:rPr>
          <w:rFonts w:ascii="Times New Roman" w:hAnsi="Times New Roman" w:eastAsia="黑体" w:cs="Times New Roman"/>
          <w:sz w:val="21"/>
        </w:rPr>
      </w:pPr>
      <w:bookmarkStart w:id="5" w:name="_Toc84978274"/>
      <w:r>
        <w:rPr>
          <w:rFonts w:ascii="Times New Roman" w:hAnsi="Times New Roman" w:eastAsia="黑体" w:cs="Times New Roman"/>
          <w:sz w:val="21"/>
        </w:rPr>
        <w:t xml:space="preserve">4 </w:t>
      </w:r>
      <w:r>
        <w:rPr>
          <w:rFonts w:hint="eastAsia" w:ascii="Times New Roman" w:hAnsi="Times New Roman" w:eastAsia="黑体" w:cs="Times New Roman"/>
          <w:sz w:val="21"/>
        </w:rPr>
        <w:t>总体要求</w:t>
      </w:r>
      <w:bookmarkEnd w:id="5"/>
    </w:p>
    <w:p>
      <w:pPr>
        <w:spacing w:line="360" w:lineRule="auto"/>
        <w:rPr>
          <w:rFonts w:ascii="Times New Roman" w:hAnsi="Times New Roman" w:cs="Times New Roman"/>
          <w:szCs w:val="21"/>
        </w:rPr>
      </w:pPr>
      <w:bookmarkStart w:id="6" w:name="_Toc84978275"/>
      <w:r>
        <w:rPr>
          <w:rFonts w:ascii="Times New Roman" w:hAnsi="Times New Roman" w:eastAsia="黑体" w:cs="Times New Roman"/>
          <w:szCs w:val="21"/>
        </w:rPr>
        <w:t xml:space="preserve">4.1 </w:t>
      </w:r>
      <w:r>
        <w:rPr>
          <w:rFonts w:hint="eastAsia" w:ascii="Times New Roman" w:hAnsi="Times New Roman" w:eastAsia="宋体" w:cs="Times New Roman"/>
          <w:szCs w:val="21"/>
        </w:rPr>
        <w:t>废铅膏接收、运输、贮存过程污染防治应满足</w:t>
      </w:r>
      <w:r>
        <w:rPr>
          <w:rFonts w:ascii="Times New Roman" w:hAnsi="Times New Roman" w:eastAsia="宋体" w:cs="Times New Roman"/>
          <w:szCs w:val="21"/>
        </w:rPr>
        <w:t>HJ 519</w:t>
      </w:r>
      <w:r>
        <w:rPr>
          <w:rFonts w:hint="eastAsia" w:ascii="Times New Roman" w:hAnsi="Times New Roman" w:eastAsia="宋体" w:cs="Times New Roman"/>
          <w:szCs w:val="21"/>
        </w:rPr>
        <w:t>、</w:t>
      </w:r>
      <w:r>
        <w:rPr>
          <w:rFonts w:ascii="Times New Roman" w:hAnsi="Times New Roman" w:eastAsia="宋体" w:cs="Times New Roman"/>
          <w:szCs w:val="21"/>
        </w:rPr>
        <w:t>HJ 2025</w:t>
      </w:r>
      <w:r>
        <w:rPr>
          <w:rFonts w:hint="eastAsia" w:ascii="Times New Roman" w:hAnsi="Times New Roman" w:eastAsia="宋体" w:cs="Times New Roman"/>
          <w:szCs w:val="21"/>
        </w:rPr>
        <w:t>、</w:t>
      </w:r>
      <w:r>
        <w:rPr>
          <w:rFonts w:ascii="Times New Roman" w:hAnsi="Times New Roman" w:eastAsia="宋体" w:cs="Times New Roman"/>
          <w:szCs w:val="21"/>
        </w:rPr>
        <w:t xml:space="preserve">GB 18597 </w:t>
      </w:r>
      <w:r>
        <w:rPr>
          <w:rFonts w:hint="eastAsia" w:ascii="Times New Roman" w:hAnsi="Times New Roman" w:eastAsia="宋体" w:cs="Times New Roman"/>
          <w:szCs w:val="21"/>
        </w:rPr>
        <w:t>要求。</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4.2 </w:t>
      </w:r>
      <w:r>
        <w:rPr>
          <w:rFonts w:hint="eastAsia" w:ascii="Times New Roman" w:hAnsi="Times New Roman" w:eastAsia="宋体" w:cs="Times New Roman"/>
          <w:szCs w:val="21"/>
        </w:rPr>
        <w:t>废铅膏倒料、转运宜采取密闭、机械输送，宜配置防粉尘溢撒设施。</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4.3 </w:t>
      </w:r>
      <w:r>
        <w:rPr>
          <w:rFonts w:hint="eastAsia" w:ascii="Times New Roman" w:hAnsi="Times New Roman" w:eastAsia="宋体" w:cs="Times New Roman"/>
          <w:szCs w:val="21"/>
        </w:rPr>
        <w:t>应优先选用环境风险低、自动化程度高、连续化运行、能效高、能耗低、污染少的技术及装备。</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4.4 </w:t>
      </w:r>
      <w:r>
        <w:rPr>
          <w:rFonts w:hint="eastAsia" w:ascii="Times New Roman" w:hAnsi="Times New Roman" w:eastAsia="宋体" w:cs="Times New Roman"/>
          <w:szCs w:val="21"/>
        </w:rPr>
        <w:t>应配套完善的环境治理设施，环境治理技术及装备应成熟、可靠、高效、安全，优先选用废水循环利用技术、二氧化碳循环利用技术。</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4.5 </w:t>
      </w:r>
      <w:r>
        <w:rPr>
          <w:rFonts w:hint="eastAsia" w:ascii="Times New Roman" w:hAnsi="Times New Roman" w:eastAsia="黑体" w:cs="Times New Roman"/>
          <w:szCs w:val="21"/>
        </w:rPr>
        <w:t>污</w:t>
      </w:r>
      <w:r>
        <w:rPr>
          <w:rFonts w:hint="eastAsia" w:ascii="Times New Roman" w:hAnsi="Times New Roman" w:cs="Times New Roman"/>
          <w:szCs w:val="21"/>
        </w:rPr>
        <w:t>染物排放应满足国家或地方、行业的污染物排放（控制）标准，排放标准应从严选择执行。</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4.6 </w:t>
      </w:r>
      <w:r>
        <w:rPr>
          <w:rFonts w:hint="eastAsia" w:ascii="Times New Roman" w:hAnsi="Times New Roman" w:cs="Times New Roman"/>
          <w:szCs w:val="21"/>
        </w:rPr>
        <w:t>废铅膏利用处置企业应建立涵盖接收、贮存、利用、处置、出厂等环节的电子台账等信息化管理系统和视频监控系统。宜建立危险废物物联网管理系统，具有电子磅秤自动关联电子台账、管理计划、申报登记等功能；具备与生态环境管理部门固体废物管理系统对接的端口；具备独立</w:t>
      </w:r>
      <w:r>
        <w:rPr>
          <w:rFonts w:ascii="Times New Roman" w:hAnsi="Times New Roman" w:cs="Times New Roman"/>
          <w:szCs w:val="21"/>
        </w:rPr>
        <w:t xml:space="preserve"> DCS </w:t>
      </w:r>
      <w:r>
        <w:rPr>
          <w:rFonts w:hint="eastAsia" w:ascii="Times New Roman" w:hAnsi="Times New Roman" w:cs="Times New Roman"/>
          <w:szCs w:val="21"/>
        </w:rPr>
        <w:t>或</w:t>
      </w:r>
      <w:r>
        <w:rPr>
          <w:rFonts w:ascii="Times New Roman" w:hAnsi="Times New Roman" w:cs="Times New Roman"/>
          <w:szCs w:val="21"/>
        </w:rPr>
        <w:t xml:space="preserve"> PLC </w:t>
      </w:r>
      <w:r>
        <w:rPr>
          <w:rFonts w:hint="eastAsia" w:ascii="Times New Roman" w:hAnsi="Times New Roman" w:cs="Times New Roman"/>
          <w:szCs w:val="21"/>
        </w:rPr>
        <w:t>等中控系统。</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4.7 </w:t>
      </w:r>
      <w:r>
        <w:rPr>
          <w:rFonts w:hint="eastAsia" w:ascii="Times New Roman" w:hAnsi="Times New Roman" w:cs="Times New Roman"/>
          <w:szCs w:val="21"/>
        </w:rPr>
        <w:t>配备与废铅膏利用处置相匹配的化验分析能力设施。包括分析化验场所、分析化验仪器、人员及实验室废物收集系统。</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4.8 </w:t>
      </w:r>
      <w:r>
        <w:rPr>
          <w:rFonts w:hint="eastAsia" w:ascii="Times New Roman" w:hAnsi="Times New Roman" w:cs="Times New Roman"/>
          <w:szCs w:val="21"/>
        </w:rPr>
        <w:t>废铅膏综合利用后产生的副产物管理应当符合</w:t>
      </w:r>
      <w:r>
        <w:rPr>
          <w:rFonts w:ascii="Times New Roman" w:hAnsi="Times New Roman" w:cs="Times New Roman"/>
          <w:szCs w:val="21"/>
        </w:rPr>
        <w:t>GB 34330</w:t>
      </w:r>
      <w:r>
        <w:rPr>
          <w:rFonts w:hint="eastAsia" w:ascii="Times New Roman" w:hAnsi="Times New Roman" w:cs="Times New Roman"/>
          <w:szCs w:val="21"/>
        </w:rPr>
        <w:t>、</w:t>
      </w:r>
      <w:r>
        <w:rPr>
          <w:rFonts w:ascii="Times New Roman" w:hAnsi="Times New Roman" w:cs="Times New Roman"/>
          <w:szCs w:val="21"/>
        </w:rPr>
        <w:t>HJ 1091</w:t>
      </w:r>
      <w:r>
        <w:rPr>
          <w:rFonts w:hint="eastAsia" w:ascii="Times New Roman" w:hAnsi="Times New Roman" w:cs="Times New Roman"/>
          <w:szCs w:val="21"/>
        </w:rPr>
        <w:t>等国家标准或专项标准要求。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4.9 </w:t>
      </w:r>
      <w:r>
        <w:rPr>
          <w:rFonts w:hint="eastAsia" w:ascii="Times New Roman" w:hAnsi="Times New Roman" w:cs="Times New Roman"/>
          <w:szCs w:val="21"/>
        </w:rPr>
        <w:t>应具健全的人员管理、生产管理、质量管理、安全生产管理、环境管理和事故应急等管理制度或</w:t>
      </w:r>
      <w:r>
        <w:rPr>
          <w:rFonts w:ascii="Times New Roman" w:hAnsi="Times New Roman" w:eastAsia="宋体" w:cs="Times New Roman"/>
          <w:szCs w:val="21"/>
        </w:rPr>
        <w:t>ISO 9001</w:t>
      </w:r>
      <w:r>
        <w:rPr>
          <w:rFonts w:hint="eastAsia" w:ascii="Times New Roman" w:hAnsi="Times New Roman" w:eastAsia="宋体" w:cs="Times New Roman"/>
          <w:szCs w:val="21"/>
        </w:rPr>
        <w:t>环境</w:t>
      </w:r>
      <w:r>
        <w:rPr>
          <w:rFonts w:hint="eastAsia" w:ascii="Times New Roman" w:hAnsi="Times New Roman" w:cs="Times New Roman"/>
          <w:szCs w:val="21"/>
        </w:rPr>
        <w:t>管理体系。</w:t>
      </w:r>
    </w:p>
    <w:p>
      <w:pPr>
        <w:pStyle w:val="3"/>
        <w:spacing w:before="0" w:after="312" w:afterLines="100" w:line="360" w:lineRule="auto"/>
        <w:rPr>
          <w:rFonts w:ascii="Times New Roman" w:hAnsi="Times New Roman" w:eastAsia="黑体" w:cs="Times New Roman"/>
          <w:sz w:val="21"/>
        </w:rPr>
      </w:pPr>
      <w:r>
        <w:rPr>
          <w:rFonts w:ascii="Times New Roman" w:hAnsi="Times New Roman" w:eastAsia="黑体" w:cs="Times New Roman"/>
          <w:sz w:val="21"/>
        </w:rPr>
        <w:t xml:space="preserve">5 </w:t>
      </w:r>
      <w:r>
        <w:rPr>
          <w:rFonts w:hint="eastAsia" w:ascii="Times New Roman" w:hAnsi="Times New Roman" w:eastAsia="黑体" w:cs="Times New Roman"/>
          <w:sz w:val="21"/>
        </w:rPr>
        <w:t>电池级氧化铅制备过程</w:t>
      </w:r>
      <w:bookmarkEnd w:id="6"/>
      <w:r>
        <w:rPr>
          <w:rFonts w:hint="eastAsia" w:ascii="Times New Roman" w:hAnsi="Times New Roman" w:eastAsia="黑体" w:cs="Times New Roman"/>
          <w:sz w:val="21"/>
        </w:rPr>
        <w:t>污染防治技术要求</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5.1 </w:t>
      </w:r>
      <w:r>
        <w:rPr>
          <w:rFonts w:hint="eastAsia" w:ascii="Times New Roman" w:hAnsi="Times New Roman" w:eastAsia="黑体" w:cs="Times New Roman"/>
          <w:szCs w:val="21"/>
        </w:rPr>
        <w:t>废铅膏预处理</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5.1.1 </w:t>
      </w:r>
      <w:r>
        <w:rPr>
          <w:rFonts w:hint="eastAsia" w:ascii="Times New Roman" w:hAnsi="Times New Roman" w:cs="Times New Roman"/>
          <w:szCs w:val="21"/>
        </w:rPr>
        <w:t>废铅膏包装宜采用内衬复合塑料包装袋，不易破损，材料能有效地防止渗漏、扩散，并耐酸腐蚀。</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5.1.2 </w:t>
      </w:r>
      <w:r>
        <w:rPr>
          <w:rFonts w:hint="eastAsia" w:ascii="Times New Roman" w:hAnsi="Times New Roman" w:cs="Times New Roman"/>
          <w:szCs w:val="21"/>
        </w:rPr>
        <w:t>废铅膏宜设置专用的贮存设施，宜通过设置有给料称的固定料仓进行加料，固定料仓宜配置仓顶除尘器，收集的废气、废水及固体废物应进行集中处理，废气污染防治技术应满足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要求，清洗水及渗滤液</w:t>
      </w:r>
      <w:r>
        <w:rPr>
          <w:rFonts w:hint="eastAsia" w:ascii="Times New Roman" w:hAnsi="Times New Roman" w:cs="Times New Roman"/>
          <w:szCs w:val="21"/>
        </w:rPr>
        <w:t>污染防治技术应满足</w:t>
      </w:r>
      <w:r>
        <w:rPr>
          <w:rFonts w:ascii="Times New Roman" w:hAnsi="Times New Roman" w:eastAsia="宋体" w:cs="Times New Roman"/>
          <w:szCs w:val="21"/>
        </w:rPr>
        <w:t>YS/T 1169</w:t>
      </w:r>
      <w:r>
        <w:rPr>
          <w:rFonts w:hint="eastAsia" w:ascii="Times New Roman" w:hAnsi="Times New Roman" w:eastAsia="宋体" w:cs="Times New Roman"/>
          <w:szCs w:val="21"/>
        </w:rPr>
        <w:t>要求，废弃包装物及残渣</w:t>
      </w:r>
      <w:r>
        <w:rPr>
          <w:rFonts w:hint="eastAsia" w:ascii="Times New Roman" w:hAnsi="Times New Roman" w:cs="Times New Roman"/>
          <w:szCs w:val="21"/>
        </w:rPr>
        <w:t>污染防治技术应满足</w:t>
      </w:r>
      <w:r>
        <w:rPr>
          <w:rFonts w:ascii="Times New Roman" w:hAnsi="Times New Roman" w:eastAsia="宋体" w:cs="Times New Roman"/>
          <w:szCs w:val="21"/>
        </w:rPr>
        <w:t>GB 18597</w:t>
      </w:r>
      <w:r>
        <w:rPr>
          <w:rFonts w:hint="eastAsia" w:ascii="Times New Roman" w:hAnsi="Times New Roman" w:eastAsia="宋体" w:cs="Times New Roman"/>
          <w:szCs w:val="21"/>
        </w:rPr>
        <w:t>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5.1.3 </w:t>
      </w:r>
      <w:r>
        <w:rPr>
          <w:rFonts w:hint="eastAsia" w:ascii="Times New Roman" w:hAnsi="Times New Roman" w:eastAsia="宋体" w:cs="Times New Roman"/>
          <w:szCs w:val="21"/>
        </w:rPr>
        <w:t>废弃、破损包装袋应分类收集后打捆存放。</w:t>
      </w:r>
    </w:p>
    <w:p>
      <w:pPr>
        <w:spacing w:line="360" w:lineRule="auto"/>
        <w:rPr>
          <w:rFonts w:ascii="Times New Roman" w:hAnsi="Times New Roman" w:eastAsia="黑体" w:cs="Times New Roman"/>
          <w:szCs w:val="32"/>
        </w:rPr>
      </w:pPr>
      <w:r>
        <w:rPr>
          <w:rFonts w:ascii="Times New Roman" w:hAnsi="Times New Roman" w:eastAsia="黑体" w:cs="Times New Roman"/>
          <w:szCs w:val="32"/>
        </w:rPr>
        <w:t>5.2络合溶解</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5.2.1 </w:t>
      </w:r>
      <w:r>
        <w:rPr>
          <w:rFonts w:hint="eastAsia" w:ascii="Times New Roman" w:hAnsi="Times New Roman" w:cs="Times New Roman"/>
          <w:szCs w:val="21"/>
        </w:rPr>
        <w:t>废铅膏络合剂选取应遵循绿色、可循环使用原则。</w:t>
      </w:r>
      <w:r>
        <w:rPr>
          <w:rFonts w:hint="eastAsia" w:ascii="Times New Roman" w:hAnsi="Times New Roman" w:eastAsia="宋体" w:cs="Times New Roman"/>
          <w:szCs w:val="21"/>
        </w:rPr>
        <w:t>络合剂参数宜参考指标：浓度</w:t>
      </w:r>
      <w:r>
        <w:rPr>
          <w:rFonts w:ascii="Times New Roman" w:hAnsi="Times New Roman" w:eastAsia="宋体" w:cs="Times New Roman"/>
          <w:szCs w:val="21"/>
        </w:rPr>
        <w:t>100~160g/L</w:t>
      </w:r>
      <w:r>
        <w:rPr>
          <w:rFonts w:hint="eastAsia" w:ascii="Times New Roman" w:hAnsi="Times New Roman" w:eastAsia="宋体" w:cs="Times New Roman"/>
          <w:szCs w:val="21"/>
        </w:rPr>
        <w:t>；铅总量</w:t>
      </w:r>
      <w:r>
        <w:rPr>
          <w:rFonts w:ascii="Times New Roman" w:hAnsi="Times New Roman" w:eastAsia="宋体" w:cs="Times New Roman"/>
          <w:szCs w:val="21"/>
        </w:rPr>
        <w:t>50~100g/L</w:t>
      </w:r>
      <w:r>
        <w:rPr>
          <w:rFonts w:hint="eastAsia" w:ascii="Times New Roman" w:hAnsi="Times New Roman" w:eastAsia="宋体" w:cs="Times New Roman"/>
          <w:szCs w:val="21"/>
        </w:rPr>
        <w:t>；</w:t>
      </w:r>
      <w:r>
        <w:rPr>
          <w:rFonts w:hint="eastAsia" w:ascii="Times New Roman" w:hAnsi="Times New Roman" w:cs="Times New Roman"/>
          <w:szCs w:val="21"/>
        </w:rPr>
        <w:t>络合温度</w:t>
      </w:r>
      <w:r>
        <w:rPr>
          <w:rFonts w:ascii="Times New Roman" w:hAnsi="Times New Roman" w:cs="Times New Roman"/>
          <w:szCs w:val="21"/>
        </w:rPr>
        <w:t>70~100</w:t>
      </w:r>
      <w:r>
        <w:rPr>
          <w:rFonts w:hint="eastAsia" w:ascii="宋体" w:hAnsi="宋体" w:eastAsia="宋体" w:cs="宋体"/>
          <w:szCs w:val="21"/>
        </w:rPr>
        <w:t>℃</w:t>
      </w:r>
      <w:r>
        <w:rPr>
          <w:rFonts w:hint="eastAsia" w:ascii="Times New Roman" w:hAnsi="Times New Roman" w:cs="Times New Roman"/>
          <w:szCs w:val="21"/>
        </w:rPr>
        <w:t>；投料固液比约</w:t>
      </w:r>
      <w:r>
        <w:rPr>
          <w:rFonts w:ascii="Times New Roman" w:hAnsi="Times New Roman" w:cs="Times New Roman"/>
          <w:szCs w:val="21"/>
        </w:rPr>
        <w:t>100</w:t>
      </w:r>
      <w:r>
        <w:rPr>
          <w:rFonts w:hint="eastAsia" w:ascii="Times New Roman" w:hAnsi="Times New Roman" w:cs="Times New Roman"/>
          <w:szCs w:val="21"/>
        </w:rPr>
        <w:t>±</w:t>
      </w:r>
      <w:r>
        <w:rPr>
          <w:rFonts w:ascii="Times New Roman" w:hAnsi="Times New Roman" w:cs="Times New Roman"/>
          <w:szCs w:val="21"/>
        </w:rPr>
        <w:t>10g/L</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5.2.2</w:t>
      </w:r>
      <w:r>
        <w:rPr>
          <w:rFonts w:hint="eastAsia" w:ascii="Times New Roman" w:hAnsi="Times New Roman" w:cs="Times New Roman"/>
          <w:szCs w:val="21"/>
        </w:rPr>
        <w:t>络合剂应设置固定暂存罐，其材质应与络合剂化学特性相匹配，配置定量给料计量设施。</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5.2.3 </w:t>
      </w:r>
      <w:r>
        <w:rPr>
          <w:rFonts w:hint="eastAsia" w:ascii="Times New Roman" w:hAnsi="Times New Roman" w:cs="Times New Roman"/>
          <w:szCs w:val="21"/>
        </w:rPr>
        <w:t>络合浸出罐残渣应定期收集，收集口应有电动、手动阀门，易于操作和转运。残渣应转运至危险废物贮存库。</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5.2.4 </w:t>
      </w:r>
      <w:r>
        <w:rPr>
          <w:rFonts w:hint="eastAsia" w:ascii="Times New Roman" w:hAnsi="Times New Roman" w:cs="Times New Roman"/>
          <w:szCs w:val="21"/>
        </w:rPr>
        <w:t>浸出液宜通过压滤、离心过滤等设备进行固液分离，</w:t>
      </w:r>
      <w:r>
        <w:rPr>
          <w:rFonts w:hint="eastAsia" w:ascii="Times New Roman" w:hAnsi="Times New Roman" w:eastAsia="宋体" w:cs="Times New Roman"/>
          <w:szCs w:val="21"/>
        </w:rPr>
        <w:t>板框过滤孔径为</w:t>
      </w:r>
      <w:r>
        <w:rPr>
          <w:rFonts w:ascii="Times New Roman" w:hAnsi="Times New Roman" w:eastAsia="宋体" w:cs="Times New Roman"/>
          <w:szCs w:val="21"/>
        </w:rPr>
        <w:t>1~5</w:t>
      </w:r>
      <w:r>
        <w:rPr>
          <w:rFonts w:hint="eastAsia" w:ascii="Times New Roman" w:hAnsi="Times New Roman" w:eastAsia="宋体" w:cs="Times New Roman"/>
          <w:szCs w:val="21"/>
        </w:rPr>
        <w:t>μ</w:t>
      </w:r>
      <w:r>
        <w:rPr>
          <w:rFonts w:ascii="Times New Roman" w:hAnsi="Times New Roman" w:eastAsia="宋体" w:cs="Times New Roman"/>
          <w:szCs w:val="21"/>
        </w:rPr>
        <w:t>m</w:t>
      </w:r>
      <w:r>
        <w:rPr>
          <w:rFonts w:hint="eastAsia" w:ascii="Times New Roman" w:hAnsi="Times New Roman" w:eastAsia="宋体" w:cs="Times New Roman"/>
          <w:szCs w:val="21"/>
        </w:rPr>
        <w:t>。</w:t>
      </w:r>
      <w:r>
        <w:rPr>
          <w:rFonts w:hint="eastAsia" w:ascii="Times New Roman" w:hAnsi="Times New Roman" w:cs="Times New Roman"/>
          <w:szCs w:val="21"/>
        </w:rPr>
        <w:t>未溶解渣洗涤水宜通过泵送入洗涤喷淋装置。</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5.2.5 </w:t>
      </w:r>
      <w:r>
        <w:rPr>
          <w:rFonts w:hint="eastAsia" w:ascii="Times New Roman" w:hAnsi="Times New Roman" w:cs="Times New Roman"/>
          <w:szCs w:val="21"/>
        </w:rPr>
        <w:t>络合母液宜通过压滤、膜分离等技术回收后循环利用。回用水技术要求满足</w:t>
      </w:r>
      <w:r>
        <w:rPr>
          <w:rFonts w:ascii="Times New Roman" w:hAnsi="Times New Roman" w:eastAsia="宋体" w:cs="Times New Roman"/>
          <w:szCs w:val="21"/>
        </w:rPr>
        <w:t>YS/T 1169</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5.2.6 </w:t>
      </w:r>
      <w:r>
        <w:rPr>
          <w:rFonts w:hint="eastAsia" w:ascii="Times New Roman" w:hAnsi="Times New Roman" w:cs="Times New Roman"/>
          <w:szCs w:val="21"/>
        </w:rPr>
        <w:t>络合浸出工序应在负压封闭条件下进行，避免有害气体和粉尘逸出，收集的气体应进行集中处理，废气污染防治技术应满足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w:t>
      </w:r>
    </w:p>
    <w:p>
      <w:pPr>
        <w:spacing w:line="360" w:lineRule="auto"/>
        <w:rPr>
          <w:rFonts w:ascii="Times New Roman" w:hAnsi="Times New Roman" w:eastAsia="黑体" w:cs="Times New Roman"/>
          <w:szCs w:val="32"/>
        </w:rPr>
      </w:pPr>
      <w:r>
        <w:rPr>
          <w:rFonts w:ascii="Times New Roman" w:hAnsi="Times New Roman" w:eastAsia="黑体" w:cs="Times New Roman"/>
          <w:szCs w:val="32"/>
        </w:rPr>
        <w:t>5.3碳</w:t>
      </w:r>
      <w:r>
        <w:rPr>
          <w:rFonts w:hint="eastAsia" w:ascii="Times New Roman" w:hAnsi="Times New Roman" w:eastAsia="黑体" w:cs="Times New Roman"/>
          <w:szCs w:val="32"/>
        </w:rPr>
        <w:t>酸化沉淀</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5.3.1 </w:t>
      </w:r>
      <w:r>
        <w:rPr>
          <w:rFonts w:hint="eastAsia" w:ascii="Times New Roman" w:hAnsi="Times New Roman" w:cs="Times New Roman"/>
          <w:szCs w:val="21"/>
        </w:rPr>
        <w:t>碳化温度宜控制在</w:t>
      </w:r>
      <w:r>
        <w:rPr>
          <w:rFonts w:ascii="Times New Roman" w:hAnsi="Times New Roman" w:cs="Times New Roman"/>
          <w:szCs w:val="21"/>
        </w:rPr>
        <w:t>60~70</w:t>
      </w:r>
      <w:r>
        <w:rPr>
          <w:rFonts w:hint="eastAsia" w:ascii="宋体" w:hAnsi="宋体" w:eastAsia="宋体" w:cs="宋体"/>
          <w:szCs w:val="21"/>
        </w:rPr>
        <w:t>℃</w:t>
      </w:r>
      <w:r>
        <w:rPr>
          <w:rFonts w:hint="eastAsia" w:ascii="Times New Roman" w:hAnsi="Times New Roman" w:cs="Times New Roman"/>
          <w:szCs w:val="21"/>
        </w:rPr>
        <w:t>，碳化时间宜选择约</w:t>
      </w:r>
      <w:r>
        <w:rPr>
          <w:rFonts w:ascii="Times New Roman" w:hAnsi="Times New Roman" w:cs="Times New Roman"/>
          <w:szCs w:val="21"/>
        </w:rPr>
        <w:t>2h</w:t>
      </w:r>
      <w:r>
        <w:rPr>
          <w:rFonts w:hint="eastAsia" w:ascii="Times New Roman" w:hAnsi="Times New Roman" w:cs="Times New Roman"/>
          <w:szCs w:val="21"/>
        </w:rPr>
        <w:t>，碳化后碳酸铅宜进行压滤，压滤后碳酸铅的含水率宜在</w:t>
      </w:r>
      <w:r>
        <w:rPr>
          <w:rFonts w:ascii="Times New Roman" w:hAnsi="Times New Roman" w:cs="Times New Roman"/>
          <w:szCs w:val="21"/>
        </w:rPr>
        <w:t>20~30%</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5.3.2</w:t>
      </w:r>
      <w:r>
        <w:rPr>
          <w:rFonts w:hint="eastAsia" w:ascii="Times New Roman" w:hAnsi="Times New Roman" w:cs="Times New Roman"/>
          <w:szCs w:val="21"/>
        </w:rPr>
        <w:t>碳化沉淀池宜应采用半密闭措施。应在负压条件下进行，避免有害气体和粉尘逸出，收集的气体应进行集中处理。废气污染防治技术应满足</w:t>
      </w:r>
      <w:r>
        <w:rPr>
          <w:rFonts w:ascii="Times New Roman" w:hAnsi="Times New Roman" w:eastAsia="宋体" w:cs="Times New Roman"/>
          <w:szCs w:val="21"/>
        </w:rPr>
        <w:t>YS/T 1170</w:t>
      </w:r>
      <w:r>
        <w:rPr>
          <w:rFonts w:hint="eastAsia" w:ascii="Times New Roman" w:hAnsi="Times New Roman" w:eastAsia="宋体" w:cs="Times New Roman"/>
          <w:szCs w:val="21"/>
        </w:rPr>
        <w:t>要求。</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5.3.3 </w:t>
      </w:r>
      <w:r>
        <w:rPr>
          <w:rFonts w:hint="eastAsia" w:ascii="Times New Roman" w:hAnsi="Times New Roman" w:cs="Times New Roman"/>
          <w:szCs w:val="21"/>
        </w:rPr>
        <w:t>澄清液宜通过压滤、离心过滤等设备进行固液分离。络合母液应净化后循环利用。回用水满足</w:t>
      </w:r>
      <w:r>
        <w:rPr>
          <w:rFonts w:ascii="Times New Roman" w:hAnsi="Times New Roman" w:eastAsia="宋体" w:cs="Times New Roman"/>
          <w:szCs w:val="21"/>
        </w:rPr>
        <w:t>YS/T 1169</w:t>
      </w:r>
      <w:r>
        <w:rPr>
          <w:rFonts w:hint="eastAsia" w:ascii="Times New Roman" w:hAnsi="Times New Roman" w:cs="Times New Roman"/>
          <w:szCs w:val="21"/>
        </w:rPr>
        <w:t>技术要求</w:t>
      </w:r>
      <w:r>
        <w:rPr>
          <w:rFonts w:hint="eastAsia" w:ascii="Times New Roman" w:hAnsi="Times New Roman" w:eastAsia="宋体"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5.3.4 </w:t>
      </w:r>
      <w:r>
        <w:rPr>
          <w:rFonts w:hint="eastAsia" w:ascii="Times New Roman" w:hAnsi="Times New Roman" w:cs="Times New Roman"/>
          <w:szCs w:val="21"/>
        </w:rPr>
        <w:t>添加剂应设置固定加料罐，配置均匀给料计量装置。</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5.3.5 </w:t>
      </w:r>
      <w:r>
        <w:rPr>
          <w:rFonts w:hint="eastAsia" w:ascii="Times New Roman" w:hAnsi="Times New Roman" w:cs="Times New Roman"/>
          <w:szCs w:val="21"/>
        </w:rPr>
        <w:t>二氧化碳气体应收集后回收利用。</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5.3.6 </w:t>
      </w:r>
      <w:r>
        <w:rPr>
          <w:rFonts w:hint="eastAsia" w:ascii="Times New Roman" w:hAnsi="Times New Roman" w:cs="Times New Roman"/>
          <w:szCs w:val="21"/>
        </w:rPr>
        <w:t>废铅膏的络合浸出应实现非硫含铅组分转化率大于</w:t>
      </w:r>
      <w:r>
        <w:rPr>
          <w:rFonts w:ascii="Times New Roman" w:hAnsi="Times New Roman" w:cs="Times New Roman"/>
          <w:szCs w:val="21"/>
        </w:rPr>
        <w:t>90%</w:t>
      </w:r>
      <w:r>
        <w:rPr>
          <w:rFonts w:hint="eastAsia" w:ascii="Times New Roman" w:hAnsi="Times New Roman" w:cs="Times New Roman"/>
          <w:szCs w:val="21"/>
        </w:rPr>
        <w:t>。</w:t>
      </w:r>
    </w:p>
    <w:p>
      <w:pPr>
        <w:spacing w:line="360" w:lineRule="auto"/>
        <w:rPr>
          <w:rFonts w:ascii="Times New Roman" w:hAnsi="Times New Roman" w:eastAsia="黑体" w:cs="Times New Roman"/>
          <w:szCs w:val="32"/>
        </w:rPr>
      </w:pPr>
      <w:r>
        <w:rPr>
          <w:rFonts w:ascii="Times New Roman" w:hAnsi="Times New Roman" w:eastAsia="黑体" w:cs="Times New Roman"/>
          <w:szCs w:val="32"/>
        </w:rPr>
        <w:t>5.4电池级氧化铅制备</w:t>
      </w:r>
    </w:p>
    <w:p>
      <w:pPr>
        <w:spacing w:line="360" w:lineRule="auto"/>
        <w:rPr>
          <w:rFonts w:ascii="Times New Roman" w:hAnsi="Times New Roman" w:cs="Times New Roman"/>
          <w:szCs w:val="21"/>
        </w:rPr>
      </w:pPr>
      <w:r>
        <w:rPr>
          <w:rFonts w:ascii="Times New Roman" w:hAnsi="Times New Roman" w:eastAsia="黑体" w:cs="Times New Roman"/>
          <w:szCs w:val="21"/>
        </w:rPr>
        <w:t>5.4.1</w:t>
      </w:r>
      <w:r>
        <w:rPr>
          <w:rFonts w:ascii="Times New Roman" w:hAnsi="Times New Roman" w:cs="Times New Roman"/>
          <w:szCs w:val="21"/>
        </w:rPr>
        <w:t xml:space="preserve"> </w:t>
      </w:r>
      <w:r>
        <w:rPr>
          <w:rFonts w:hint="eastAsia" w:ascii="Times New Roman" w:hAnsi="Times New Roman" w:cs="Times New Roman"/>
          <w:szCs w:val="21"/>
        </w:rPr>
        <w:t>碳酸铅沉淀物宜采用真空烘干、回转式烘干、焙烧等方式。真空烘干温度宜在</w:t>
      </w:r>
      <w:r>
        <w:rPr>
          <w:rFonts w:ascii="Times New Roman" w:hAnsi="Times New Roman" w:cs="Times New Roman"/>
          <w:szCs w:val="21"/>
        </w:rPr>
        <w:t>100~130</w:t>
      </w:r>
      <w:r>
        <w:rPr>
          <w:rFonts w:hint="eastAsia" w:ascii="宋体" w:hAnsi="宋体" w:eastAsia="宋体" w:cs="宋体"/>
          <w:szCs w:val="21"/>
        </w:rPr>
        <w:t>℃</w:t>
      </w:r>
      <w:r>
        <w:rPr>
          <w:rFonts w:hint="eastAsia" w:ascii="Times New Roman" w:hAnsi="Times New Roman" w:cs="Times New Roman"/>
          <w:szCs w:val="21"/>
        </w:rPr>
        <w:t>，真空度约</w:t>
      </w:r>
      <w:r>
        <w:rPr>
          <w:rFonts w:ascii="Times New Roman" w:hAnsi="Times New Roman" w:cs="Times New Roman"/>
          <w:szCs w:val="21"/>
        </w:rPr>
        <w:t>0.7~0.9</w:t>
      </w:r>
      <w:r>
        <w:rPr>
          <w:rFonts w:hint="eastAsia" w:ascii="Times New Roman" w:hAnsi="Times New Roman" w:cs="Times New Roman"/>
          <w:szCs w:val="21"/>
        </w:rPr>
        <w:t>个大气压（</w:t>
      </w:r>
      <w:r>
        <w:rPr>
          <w:rFonts w:ascii="Times New Roman" w:hAnsi="Times New Roman" w:cs="Times New Roman"/>
          <w:szCs w:val="21"/>
        </w:rPr>
        <w:t>-0.06Mpa~-0.09Mpa</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5.4.2 </w:t>
      </w:r>
      <w:r>
        <w:rPr>
          <w:rFonts w:hint="eastAsia" w:ascii="Times New Roman" w:hAnsi="Times New Roman" w:cs="Times New Roman"/>
          <w:szCs w:val="21"/>
        </w:rPr>
        <w:t>焙烧、煅烧、研磨过程二氧化碳宜通过捕集、后进入碳化工序循环利用。煅烧温度宜在</w:t>
      </w:r>
      <w:r>
        <w:rPr>
          <w:rFonts w:ascii="Times New Roman" w:hAnsi="Times New Roman" w:cs="Times New Roman"/>
          <w:szCs w:val="21"/>
        </w:rPr>
        <w:t>440~460</w:t>
      </w:r>
      <w:r>
        <w:rPr>
          <w:rFonts w:hint="eastAsia" w:ascii="宋体" w:hAnsi="宋体" w:eastAsia="宋体" w:cs="宋体"/>
          <w:szCs w:val="21"/>
        </w:rPr>
        <w:t>℃</w:t>
      </w:r>
      <w:r>
        <w:rPr>
          <w:rFonts w:hint="eastAsia" w:ascii="Times New Roman" w:hAnsi="Times New Roman" w:cs="Times New Roman"/>
          <w:szCs w:val="21"/>
        </w:rPr>
        <w:t>，时间</w:t>
      </w:r>
      <w:r>
        <w:rPr>
          <w:rFonts w:ascii="Times New Roman" w:hAnsi="Times New Roman" w:cs="Times New Roman"/>
          <w:szCs w:val="21"/>
        </w:rPr>
        <w:t>3~5h</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5.4.3 </w:t>
      </w:r>
      <w:r>
        <w:rPr>
          <w:rFonts w:hint="eastAsia" w:ascii="Times New Roman" w:hAnsi="Times New Roman" w:cs="Times New Roman"/>
          <w:szCs w:val="21"/>
        </w:rPr>
        <w:t>定向转化应采用负压半密闭措施，避免有害气体和粉尘逸出，气体应集中收集处理。</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5.4.4 </w:t>
      </w:r>
      <w:r>
        <w:rPr>
          <w:rFonts w:hint="eastAsia" w:ascii="Times New Roman" w:hAnsi="Times New Roman" w:eastAsia="宋体" w:cs="Times New Roman"/>
          <w:szCs w:val="21"/>
        </w:rPr>
        <w:t>废气中铅及其化合物应采用两级以上处理工艺，废气污染防治技术满足</w:t>
      </w:r>
      <w:r>
        <w:rPr>
          <w:rFonts w:ascii="Times New Roman" w:hAnsi="Times New Roman" w:eastAsia="宋体" w:cs="Times New Roman"/>
          <w:szCs w:val="21"/>
        </w:rPr>
        <w:t>YS/T 1170</w:t>
      </w:r>
      <w:r>
        <w:rPr>
          <w:rFonts w:hint="eastAsia" w:ascii="Times New Roman" w:hAnsi="Times New Roman" w:eastAsia="宋体" w:cs="Times New Roman"/>
          <w:szCs w:val="21"/>
        </w:rPr>
        <w:t>要求。含铅废物贮存满足</w:t>
      </w:r>
      <w:r>
        <w:rPr>
          <w:rFonts w:ascii="Times New Roman" w:hAnsi="Times New Roman" w:eastAsia="宋体" w:cs="Times New Roman"/>
          <w:szCs w:val="21"/>
        </w:rPr>
        <w:t>GB 18597</w:t>
      </w:r>
      <w:r>
        <w:rPr>
          <w:rFonts w:hint="eastAsia" w:ascii="Times New Roman" w:hAnsi="Times New Roman" w:eastAsia="宋体" w:cs="Times New Roman"/>
          <w:szCs w:val="21"/>
        </w:rPr>
        <w:t>要求。</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5.4.5 </w:t>
      </w:r>
      <w:r>
        <w:rPr>
          <w:rFonts w:hint="eastAsia" w:ascii="Times New Roman" w:hAnsi="Times New Roman" w:cs="Times New Roman"/>
          <w:szCs w:val="21"/>
        </w:rPr>
        <w:t>废铅膏的定向转化应实现氧化铅纯度达到</w:t>
      </w:r>
      <w:r>
        <w:rPr>
          <w:rFonts w:ascii="Times New Roman" w:hAnsi="Times New Roman" w:cs="Times New Roman"/>
          <w:szCs w:val="21"/>
        </w:rPr>
        <w:t>99.9%</w:t>
      </w:r>
      <w:r>
        <w:rPr>
          <w:rFonts w:hint="eastAsia" w:ascii="Times New Roman" w:hAnsi="Times New Roman" w:cs="Times New Roman"/>
          <w:szCs w:val="21"/>
        </w:rPr>
        <w:t>以上，其中</w:t>
      </w:r>
      <w:r>
        <w:rPr>
          <w:rFonts w:ascii="Times New Roman" w:hAnsi="Times New Roman" w:cs="Times New Roman"/>
          <w:szCs w:val="21"/>
        </w:rPr>
        <w:t>α-</w:t>
      </w:r>
      <w:r>
        <w:rPr>
          <w:rFonts w:hint="eastAsia" w:ascii="Times New Roman" w:hAnsi="Times New Roman" w:cs="Times New Roman"/>
          <w:szCs w:val="21"/>
        </w:rPr>
        <w:t>氧化铅含量大于</w:t>
      </w:r>
      <w:r>
        <w:rPr>
          <w:rFonts w:ascii="Times New Roman" w:hAnsi="Times New Roman" w:cs="Times New Roman"/>
          <w:szCs w:val="21"/>
        </w:rPr>
        <w:t>85%</w:t>
      </w:r>
      <w:r>
        <w:rPr>
          <w:rFonts w:hint="eastAsia" w:ascii="Times New Roman" w:hAnsi="Times New Roman" w:cs="Times New Roman"/>
          <w:szCs w:val="21"/>
        </w:rPr>
        <w:t>。</w:t>
      </w:r>
    </w:p>
    <w:p>
      <w:pPr>
        <w:spacing w:line="360" w:lineRule="auto"/>
        <w:rPr>
          <w:rFonts w:ascii="Times New Roman" w:hAnsi="Times New Roman" w:eastAsia="黑体" w:cs="Times New Roman"/>
          <w:szCs w:val="32"/>
        </w:rPr>
      </w:pPr>
      <w:r>
        <w:rPr>
          <w:rFonts w:ascii="Times New Roman" w:hAnsi="Times New Roman" w:eastAsia="黑体" w:cs="Times New Roman"/>
          <w:szCs w:val="32"/>
        </w:rPr>
        <w:t>5.5母液循环</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5.5.1 </w:t>
      </w:r>
      <w:r>
        <w:rPr>
          <w:rFonts w:hint="eastAsia" w:ascii="Times New Roman" w:hAnsi="Times New Roman" w:cs="Times New Roman"/>
          <w:szCs w:val="21"/>
        </w:rPr>
        <w:t>络合母液和二氧化碳的净化设备应采用密闭措施。</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5.5.2 </w:t>
      </w:r>
      <w:r>
        <w:rPr>
          <w:rFonts w:hint="eastAsia" w:ascii="Times New Roman" w:hAnsi="Times New Roman" w:cs="Times New Roman"/>
          <w:szCs w:val="21"/>
        </w:rPr>
        <w:t>络合母液和二氧化碳的净化工序应在负压条件下进行，避免有害气体逸出，收集的气体应进行集中处理。废气污染防治技术满足</w:t>
      </w:r>
      <w:r>
        <w:rPr>
          <w:rFonts w:ascii="Times New Roman" w:hAnsi="Times New Roman" w:cs="Times New Roman"/>
          <w:szCs w:val="21"/>
        </w:rPr>
        <w:t>YS/T1170</w:t>
      </w:r>
      <w:r>
        <w:rPr>
          <w:rFonts w:hint="eastAsia" w:ascii="Times New Roman" w:hAnsi="Times New Roman" w:cs="Times New Roman"/>
          <w:szCs w:val="21"/>
        </w:rPr>
        <w:t>要求。</w:t>
      </w:r>
    </w:p>
    <w:p>
      <w:pPr>
        <w:spacing w:line="360" w:lineRule="auto"/>
        <w:rPr>
          <w:rFonts w:ascii="Times New Roman" w:hAnsi="Times New Roman" w:cs="Times New Roman"/>
          <w:szCs w:val="21"/>
        </w:rPr>
      </w:pPr>
      <w:r>
        <w:rPr>
          <w:rFonts w:ascii="Times New Roman" w:hAnsi="Times New Roman" w:eastAsia="黑体" w:cs="Times New Roman"/>
          <w:szCs w:val="21"/>
        </w:rPr>
        <w:t xml:space="preserve">5.5.3 </w:t>
      </w:r>
      <w:r>
        <w:rPr>
          <w:rFonts w:hint="eastAsia" w:ascii="Times New Roman" w:hAnsi="Times New Roman" w:cs="Times New Roman"/>
          <w:szCs w:val="21"/>
        </w:rPr>
        <w:t>络合母液和二氧化碳的循环利用率大于</w:t>
      </w:r>
      <w:r>
        <w:rPr>
          <w:rFonts w:ascii="Times New Roman" w:hAnsi="Times New Roman" w:cs="Times New Roman"/>
          <w:szCs w:val="21"/>
        </w:rPr>
        <w:t>90%</w:t>
      </w:r>
      <w:r>
        <w:rPr>
          <w:rFonts w:hint="eastAsia" w:ascii="Times New Roman" w:hAnsi="Times New Roman" w:cs="Times New Roman"/>
          <w:szCs w:val="21"/>
        </w:rPr>
        <w:t>。</w:t>
      </w:r>
    </w:p>
    <w:p>
      <w:pPr>
        <w:pStyle w:val="3"/>
        <w:spacing w:before="0" w:after="312" w:afterLines="100" w:line="360" w:lineRule="auto"/>
        <w:rPr>
          <w:rFonts w:ascii="Times New Roman" w:hAnsi="Times New Roman" w:eastAsia="黑体" w:cs="Times New Roman"/>
          <w:sz w:val="21"/>
        </w:rPr>
      </w:pPr>
      <w:bookmarkStart w:id="7" w:name="_Toc84978276"/>
      <w:r>
        <w:rPr>
          <w:rFonts w:ascii="Times New Roman" w:hAnsi="Times New Roman" w:eastAsia="黑体" w:cs="Times New Roman"/>
          <w:sz w:val="21"/>
        </w:rPr>
        <w:t xml:space="preserve">6 </w:t>
      </w:r>
      <w:bookmarkEnd w:id="7"/>
      <w:r>
        <w:rPr>
          <w:rFonts w:hint="eastAsia" w:ascii="Times New Roman" w:hAnsi="Times New Roman" w:eastAsia="黑体" w:cs="Times New Roman"/>
          <w:sz w:val="21"/>
        </w:rPr>
        <w:t>污染排放控制要求</w:t>
      </w:r>
    </w:p>
    <w:p>
      <w:pPr>
        <w:spacing w:line="360" w:lineRule="auto"/>
        <w:rPr>
          <w:rFonts w:ascii="Times New Roman" w:hAnsi="Times New Roman" w:eastAsia="黑体" w:cs="Times New Roman"/>
          <w:szCs w:val="32"/>
        </w:rPr>
      </w:pPr>
      <w:r>
        <w:rPr>
          <w:rFonts w:ascii="Times New Roman" w:hAnsi="Times New Roman" w:eastAsia="黑体" w:cs="Times New Roman"/>
          <w:szCs w:val="32"/>
        </w:rPr>
        <w:t>6.1 大气污染控制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6.1.1 </w:t>
      </w:r>
      <w:r>
        <w:rPr>
          <w:rFonts w:hint="eastAsia" w:ascii="Times New Roman" w:hAnsi="Times New Roman" w:eastAsia="宋体" w:cs="Times New Roman"/>
          <w:szCs w:val="21"/>
        </w:rPr>
        <w:t>废铅膏</w:t>
      </w:r>
      <w:r>
        <w:rPr>
          <w:rFonts w:ascii="Times New Roman" w:hAnsi="Times New Roman" w:eastAsia="宋体" w:cs="Times New Roman"/>
          <w:szCs w:val="21"/>
        </w:rPr>
        <w:t>制</w:t>
      </w:r>
      <w:r>
        <w:rPr>
          <w:rFonts w:hint="eastAsia" w:ascii="Times New Roman" w:hAnsi="Times New Roman" w:eastAsia="宋体" w:cs="Times New Roman"/>
          <w:szCs w:val="21"/>
        </w:rPr>
        <w:t>备电池级氧化铅过程废气应经过收集和处理后排放，废气治理工艺应根据生产规模和工艺产生的废气量、废气成分和污染物浓度的实际情况确定。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6.1.2</w:t>
      </w:r>
      <w:r>
        <w:rPr>
          <w:rFonts w:ascii="Times New Roman" w:hAnsi="Times New Roman" w:eastAsia="宋体" w:cs="Times New Roman"/>
          <w:szCs w:val="21"/>
        </w:rPr>
        <w:t xml:space="preserve"> </w:t>
      </w:r>
      <w:r>
        <w:rPr>
          <w:rFonts w:hint="eastAsia" w:ascii="Times New Roman" w:hAnsi="Times New Roman" w:eastAsia="宋体" w:cs="Times New Roman"/>
          <w:szCs w:val="21"/>
        </w:rPr>
        <w:t>废气中铅及其化合物应采用两级以上处理工艺，要防止二次污染的产生，满足</w:t>
      </w:r>
      <w:r>
        <w:rPr>
          <w:rFonts w:ascii="Times New Roman" w:hAnsi="Times New Roman" w:eastAsia="宋体" w:cs="Times New Roman"/>
          <w:szCs w:val="21"/>
        </w:rPr>
        <w:t>GB 31574</w:t>
      </w:r>
      <w:r>
        <w:rPr>
          <w:rFonts w:hint="eastAsia" w:ascii="Times New Roman" w:hAnsi="Times New Roman" w:eastAsia="宋体" w:cs="Times New Roman"/>
          <w:szCs w:val="21"/>
        </w:rPr>
        <w:t>及地方排放标准的要求，还应满足主要污染物总量控制要求。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6.1.3 </w:t>
      </w:r>
      <w:r>
        <w:rPr>
          <w:rFonts w:hint="eastAsia" w:ascii="Times New Roman" w:hAnsi="Times New Roman" w:eastAsia="宋体" w:cs="Times New Roman"/>
          <w:szCs w:val="21"/>
        </w:rPr>
        <w:t>废气收集过程产生的含铅粉尘处理处置满足</w:t>
      </w:r>
      <w:r>
        <w:rPr>
          <w:rFonts w:ascii="Times New Roman" w:hAnsi="Times New Roman" w:eastAsia="宋体" w:cs="Times New Roman"/>
          <w:szCs w:val="21"/>
        </w:rPr>
        <w:t>GB 18597</w:t>
      </w:r>
      <w:r>
        <w:rPr>
          <w:rFonts w:hint="eastAsia" w:ascii="Times New Roman" w:hAnsi="Times New Roman" w:eastAsia="宋体" w:cs="Times New Roman"/>
          <w:szCs w:val="21"/>
        </w:rPr>
        <w:t>规定。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6.1.4 </w:t>
      </w:r>
      <w:r>
        <w:rPr>
          <w:rFonts w:hint="eastAsia" w:ascii="Times New Roman" w:hAnsi="Times New Roman" w:eastAsia="宋体" w:cs="Times New Roman"/>
          <w:szCs w:val="21"/>
        </w:rPr>
        <w:t>废铅膏制备电池级氧化铅企业应控制无组织排放。有无组织排放场所，采取有效措施，宜将有害排放物纳入有组织排放系统。</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6.1.5 </w:t>
      </w:r>
      <w:r>
        <w:rPr>
          <w:rFonts w:hint="eastAsia" w:ascii="Times New Roman" w:hAnsi="Times New Roman" w:eastAsia="宋体" w:cs="Times New Roman"/>
          <w:szCs w:val="21"/>
        </w:rPr>
        <w:t>废气排放应设置污染物排放在线监测设备、监测报警系统和应急处理系统，在线监测设备应按照要求与当地生态环境部门联网。</w:t>
      </w:r>
    </w:p>
    <w:p>
      <w:pPr>
        <w:spacing w:line="360" w:lineRule="auto"/>
        <w:rPr>
          <w:rFonts w:ascii="Times New Roman" w:hAnsi="Times New Roman" w:eastAsia="黑体" w:cs="Times New Roman"/>
          <w:szCs w:val="32"/>
        </w:rPr>
      </w:pPr>
      <w:r>
        <w:rPr>
          <w:rFonts w:ascii="Times New Roman" w:hAnsi="Times New Roman" w:eastAsia="黑体" w:cs="Times New Roman"/>
          <w:szCs w:val="32"/>
        </w:rPr>
        <w:t>6.2 废水污染控制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6.2.1 </w:t>
      </w:r>
      <w:r>
        <w:rPr>
          <w:rFonts w:hint="eastAsia" w:ascii="Times New Roman" w:hAnsi="Times New Roman" w:eastAsia="宋体" w:cs="Times New Roman"/>
          <w:szCs w:val="21"/>
        </w:rPr>
        <w:t>优先采用清洁生产技术，减少污染物的产生。</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6.2.2 </w:t>
      </w:r>
      <w:r>
        <w:rPr>
          <w:rFonts w:hint="eastAsia" w:ascii="Times New Roman" w:hAnsi="Times New Roman" w:eastAsia="宋体" w:cs="Times New Roman"/>
          <w:szCs w:val="21"/>
        </w:rPr>
        <w:t>废水处理工艺的选择应根据废水量、水质、药剂来源、处理后水质要求、污泥处置方法等因素，进行技术经济方案比较后确定，优先选用技术成熟、稳定、达标、污泥产率低、节能的处理工艺。</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6.2.3 </w:t>
      </w:r>
      <w:r>
        <w:rPr>
          <w:rFonts w:hint="eastAsia" w:ascii="Times New Roman" w:hAnsi="Times New Roman" w:eastAsia="宋体" w:cs="Times New Roman"/>
          <w:szCs w:val="21"/>
        </w:rPr>
        <w:t>污酸废水和酸性废水处理应优先采用回收有价金属或综合利用处理工艺。污染严重的装置区内初期雨水应单独收集，宜与生产废水合并处理。厂区内生活污水应独立管网收集，单独处理。</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6.2.4 </w:t>
      </w:r>
      <w:r>
        <w:rPr>
          <w:rFonts w:hint="eastAsia" w:ascii="Times New Roman" w:hAnsi="Times New Roman" w:eastAsia="宋体" w:cs="Times New Roman"/>
          <w:szCs w:val="21"/>
        </w:rPr>
        <w:t>含重金属（铅、镉、砷等）生产废水，应在其生产车间或设施内进行分质处理或回用，经处理后达到</w:t>
      </w:r>
      <w:r>
        <w:rPr>
          <w:rFonts w:ascii="Times New Roman" w:hAnsi="Times New Roman" w:eastAsia="宋体" w:cs="Times New Roman"/>
          <w:szCs w:val="21"/>
        </w:rPr>
        <w:t>GB 31574</w:t>
      </w:r>
      <w:r>
        <w:rPr>
          <w:rFonts w:hint="eastAsia" w:ascii="Times New Roman" w:hAnsi="Times New Roman" w:eastAsia="宋体" w:cs="Times New Roman"/>
          <w:szCs w:val="21"/>
        </w:rPr>
        <w:t>的要求后排放；其他污染物在厂区总排放口应当满足</w:t>
      </w:r>
      <w:r>
        <w:rPr>
          <w:rFonts w:ascii="Times New Roman" w:hAnsi="Times New Roman" w:eastAsia="宋体" w:cs="Times New Roman"/>
          <w:szCs w:val="21"/>
        </w:rPr>
        <w:t>GB 31574</w:t>
      </w:r>
      <w:r>
        <w:rPr>
          <w:rFonts w:hint="eastAsia" w:ascii="Times New Roman" w:hAnsi="Times New Roman" w:eastAsia="宋体" w:cs="Times New Roman"/>
          <w:szCs w:val="21"/>
        </w:rPr>
        <w:t>的要求；生产废水需全部循环利用。</w:t>
      </w:r>
    </w:p>
    <w:p>
      <w:pPr>
        <w:spacing w:line="360" w:lineRule="auto"/>
        <w:rPr>
          <w:rFonts w:ascii="Times New Roman" w:hAnsi="Times New Roman" w:eastAsia="黑体" w:cs="Times New Roman"/>
          <w:szCs w:val="32"/>
        </w:rPr>
      </w:pPr>
      <w:r>
        <w:rPr>
          <w:rFonts w:ascii="Times New Roman" w:hAnsi="Times New Roman" w:eastAsia="黑体" w:cs="Times New Roman"/>
          <w:szCs w:val="32"/>
        </w:rPr>
        <w:t xml:space="preserve">6.3 固体废物污染控制 </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6.3.1 </w:t>
      </w:r>
      <w:r>
        <w:rPr>
          <w:rFonts w:hint="eastAsia" w:ascii="Times New Roman" w:hAnsi="Times New Roman" w:eastAsia="宋体" w:cs="Times New Roman"/>
          <w:szCs w:val="21"/>
        </w:rPr>
        <w:t>废铅膏制备电池级氧化铅企业应按照</w:t>
      </w:r>
      <w:r>
        <w:rPr>
          <w:rFonts w:ascii="Times New Roman" w:hAnsi="Times New Roman" w:eastAsia="宋体" w:cs="Times New Roman"/>
          <w:szCs w:val="21"/>
        </w:rPr>
        <w:t>GB 15562.2</w:t>
      </w:r>
      <w:r>
        <w:rPr>
          <w:rFonts w:hint="eastAsia" w:ascii="Times New Roman" w:hAnsi="Times New Roman" w:eastAsia="宋体" w:cs="Times New Roman"/>
          <w:szCs w:val="21"/>
        </w:rPr>
        <w:t>、</w:t>
      </w:r>
      <w:r>
        <w:rPr>
          <w:rFonts w:ascii="Times New Roman" w:hAnsi="Times New Roman" w:eastAsia="宋体" w:cs="Times New Roman"/>
          <w:szCs w:val="21"/>
        </w:rPr>
        <w:t>GB 18597</w:t>
      </w:r>
      <w:r>
        <w:rPr>
          <w:rFonts w:hint="eastAsia" w:ascii="Times New Roman" w:hAnsi="Times New Roman" w:eastAsia="宋体" w:cs="Times New Roman"/>
          <w:szCs w:val="21"/>
        </w:rPr>
        <w:t>和</w:t>
      </w:r>
      <w:r>
        <w:rPr>
          <w:rFonts w:ascii="Times New Roman" w:hAnsi="Times New Roman" w:eastAsia="宋体" w:cs="Times New Roman"/>
          <w:szCs w:val="21"/>
        </w:rPr>
        <w:t>GB 18599</w:t>
      </w:r>
      <w:r>
        <w:rPr>
          <w:rFonts w:hint="eastAsia" w:ascii="Times New Roman" w:hAnsi="Times New Roman" w:eastAsia="宋体" w:cs="Times New Roman"/>
          <w:szCs w:val="21"/>
        </w:rPr>
        <w:t>设置危险废物贮存区和一般工业固体废物贮存区等，不应露天贮存废铅膏及其处理产物。</w:t>
      </w:r>
    </w:p>
    <w:p>
      <w:pPr>
        <w:spacing w:line="360" w:lineRule="auto"/>
        <w:rPr>
          <w:rFonts w:ascii="Times New Roman" w:hAnsi="Times New Roman" w:eastAsia="宋体" w:cs="Times New Roman"/>
          <w:szCs w:val="21"/>
        </w:rPr>
      </w:pPr>
      <w:r>
        <w:rPr>
          <w:rFonts w:ascii="Times New Roman" w:hAnsi="Times New Roman" w:eastAsia="黑体" w:cs="Times New Roman"/>
          <w:szCs w:val="21"/>
        </w:rPr>
        <w:t>6.3.2</w:t>
      </w:r>
      <w:r>
        <w:rPr>
          <w:rFonts w:ascii="Times New Roman" w:hAnsi="Times New Roman" w:eastAsia="宋体" w:cs="Times New Roman"/>
          <w:szCs w:val="21"/>
        </w:rPr>
        <w:t xml:space="preserve"> </w:t>
      </w:r>
      <w:r>
        <w:rPr>
          <w:rFonts w:hint="eastAsia" w:ascii="Times New Roman" w:hAnsi="Times New Roman" w:eastAsia="宋体" w:cs="Times New Roman"/>
          <w:szCs w:val="21"/>
        </w:rPr>
        <w:t>废铅膏</w:t>
      </w:r>
      <w:r>
        <w:rPr>
          <w:rFonts w:ascii="Times New Roman" w:hAnsi="Times New Roman" w:eastAsia="宋体" w:cs="Times New Roman"/>
          <w:szCs w:val="21"/>
        </w:rPr>
        <w:t>制</w:t>
      </w:r>
      <w:r>
        <w:rPr>
          <w:rFonts w:hint="eastAsia" w:ascii="Times New Roman" w:hAnsi="Times New Roman" w:eastAsia="宋体" w:cs="Times New Roman"/>
          <w:szCs w:val="21"/>
        </w:rPr>
        <w:t>备电池级氧化铅过程中产生的电解残渣、中和渣、电渗析纯化废液、废活性炭、生产废水处理污泥等固体废物，应分类收集、贮存、利用处置；属于危险废物且需要委托外单位利用处置的，应交由具有相应资质的企业利用处置。</w:t>
      </w:r>
    </w:p>
    <w:p>
      <w:pPr>
        <w:spacing w:line="360" w:lineRule="auto"/>
        <w:rPr>
          <w:rFonts w:ascii="Times New Roman" w:hAnsi="Times New Roman" w:eastAsia="黑体" w:cs="Times New Roman"/>
          <w:szCs w:val="32"/>
        </w:rPr>
      </w:pPr>
      <w:r>
        <w:rPr>
          <w:rFonts w:ascii="Times New Roman" w:hAnsi="Times New Roman" w:eastAsia="黑体" w:cs="Times New Roman"/>
          <w:szCs w:val="32"/>
        </w:rPr>
        <w:t>6.4 噪声污染控制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6.4.1 </w:t>
      </w:r>
      <w:r>
        <w:rPr>
          <w:rFonts w:hint="eastAsia" w:ascii="Times New Roman" w:hAnsi="Times New Roman" w:eastAsia="宋体" w:cs="Times New Roman"/>
          <w:szCs w:val="21"/>
        </w:rPr>
        <w:t>主要噪声设备，如破碎机、泵、风机等应采取基础减震和消声及隔声措施。</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6.4.2 </w:t>
      </w:r>
      <w:r>
        <w:rPr>
          <w:rFonts w:hint="eastAsia" w:ascii="Times New Roman" w:hAnsi="Times New Roman" w:eastAsia="宋体" w:cs="Times New Roman"/>
          <w:szCs w:val="21"/>
        </w:rPr>
        <w:t>厂界噪声应符合</w:t>
      </w:r>
      <w:r>
        <w:rPr>
          <w:rFonts w:ascii="Times New Roman" w:hAnsi="Times New Roman" w:eastAsia="宋体" w:cs="Times New Roman"/>
          <w:szCs w:val="21"/>
        </w:rPr>
        <w:t>GB 12348</w:t>
      </w:r>
      <w:r>
        <w:rPr>
          <w:rFonts w:hint="eastAsia" w:ascii="Times New Roman" w:hAnsi="Times New Roman" w:eastAsia="宋体" w:cs="Times New Roman"/>
          <w:szCs w:val="21"/>
        </w:rPr>
        <w:t>的要求。</w:t>
      </w:r>
    </w:p>
    <w:p>
      <w:pPr>
        <w:pStyle w:val="3"/>
        <w:spacing w:after="312" w:afterLines="100" w:line="360" w:lineRule="auto"/>
        <w:rPr>
          <w:rFonts w:ascii="Times New Roman" w:hAnsi="Times New Roman" w:eastAsia="黑体" w:cs="Times New Roman"/>
          <w:sz w:val="21"/>
          <w:szCs w:val="21"/>
        </w:rPr>
      </w:pPr>
      <w:bookmarkStart w:id="8" w:name="_Toc84978075"/>
      <w:r>
        <w:rPr>
          <w:rFonts w:ascii="Times New Roman" w:hAnsi="Times New Roman" w:eastAsia="黑体" w:cs="Times New Roman"/>
          <w:sz w:val="21"/>
          <w:szCs w:val="21"/>
        </w:rPr>
        <w:t xml:space="preserve">7 </w:t>
      </w:r>
      <w:r>
        <w:rPr>
          <w:rFonts w:hint="eastAsia" w:ascii="Times New Roman" w:hAnsi="Times New Roman" w:eastAsia="黑体" w:cs="Times New Roman"/>
          <w:sz w:val="21"/>
          <w:szCs w:val="21"/>
        </w:rPr>
        <w:t>环境管理要求</w:t>
      </w:r>
      <w:bookmarkEnd w:id="8"/>
    </w:p>
    <w:p>
      <w:pPr>
        <w:spacing w:line="360" w:lineRule="auto"/>
        <w:rPr>
          <w:rFonts w:ascii="Times New Roman" w:hAnsi="Times New Roman" w:eastAsia="黑体" w:cs="Times New Roman"/>
          <w:szCs w:val="32"/>
        </w:rPr>
      </w:pPr>
      <w:r>
        <w:rPr>
          <w:rFonts w:ascii="Times New Roman" w:hAnsi="Times New Roman" w:eastAsia="黑体" w:cs="Times New Roman"/>
          <w:szCs w:val="32"/>
        </w:rPr>
        <w:t>7.1</w:t>
      </w:r>
      <w:r>
        <w:rPr>
          <w:rFonts w:hint="eastAsia" w:ascii="Times New Roman" w:hAnsi="Times New Roman" w:eastAsia="黑体" w:cs="Times New Roman"/>
          <w:szCs w:val="32"/>
        </w:rPr>
        <w:t>工艺</w:t>
      </w:r>
      <w:r>
        <w:rPr>
          <w:rFonts w:ascii="Times New Roman" w:hAnsi="Times New Roman" w:eastAsia="黑体" w:cs="Times New Roman"/>
          <w:szCs w:val="32"/>
        </w:rPr>
        <w:t>运行</w:t>
      </w:r>
    </w:p>
    <w:p>
      <w:pPr>
        <w:spacing w:line="360" w:lineRule="auto"/>
        <w:rPr>
          <w:rFonts w:ascii="Times New Roman" w:hAnsi="Times New Roman" w:eastAsia="宋体" w:cs="Times New Roman"/>
          <w:szCs w:val="21"/>
        </w:rPr>
      </w:pPr>
      <w:r>
        <w:rPr>
          <w:rFonts w:ascii="Times New Roman" w:hAnsi="Times New Roman" w:eastAsia="黑体" w:cs="Times New Roman"/>
          <w:szCs w:val="21"/>
        </w:rPr>
        <w:t>7.1.1</w:t>
      </w:r>
      <w:r>
        <w:rPr>
          <w:rFonts w:ascii="Times New Roman" w:hAnsi="Times New Roman" w:eastAsia="宋体" w:cs="Times New Roman"/>
          <w:szCs w:val="21"/>
        </w:rPr>
        <w:t xml:space="preserve"> </w:t>
      </w:r>
      <w:r>
        <w:rPr>
          <w:rFonts w:hint="eastAsia" w:ascii="Times New Roman" w:hAnsi="Times New Roman" w:eastAsia="宋体" w:cs="Times New Roman"/>
          <w:szCs w:val="21"/>
        </w:rPr>
        <w:t>基本条件</w:t>
      </w:r>
    </w:p>
    <w:p>
      <w:pPr>
        <w:spacing w:line="360" w:lineRule="auto"/>
        <w:rPr>
          <w:rFonts w:ascii="Times New Roman" w:hAnsi="Times New Roman" w:eastAsia="宋体" w:cs="Times New Roman"/>
          <w:szCs w:val="21"/>
        </w:rPr>
      </w:pPr>
      <w:r>
        <w:rPr>
          <w:rFonts w:ascii="Times New Roman" w:hAnsi="Times New Roman" w:eastAsia="黑体" w:cs="Times New Roman"/>
          <w:szCs w:val="21"/>
        </w:rPr>
        <w:t>a</w:t>
      </w:r>
      <w:r>
        <w:rPr>
          <w:rFonts w:hint="eastAsia" w:ascii="Times New Roman" w:hAnsi="Times New Roman" w:eastAsia="黑体" w:cs="Times New Roman"/>
          <w:szCs w:val="21"/>
        </w:rPr>
        <w:t>）</w:t>
      </w:r>
      <w:r>
        <w:rPr>
          <w:rFonts w:ascii="Times New Roman" w:hAnsi="Times New Roman" w:eastAsia="黑体" w:cs="Times New Roman"/>
          <w:szCs w:val="21"/>
        </w:rPr>
        <w:t xml:space="preserve"> </w:t>
      </w:r>
      <w:r>
        <w:rPr>
          <w:rFonts w:hint="eastAsia" w:ascii="Times New Roman" w:hAnsi="Times New Roman" w:eastAsia="宋体" w:cs="Times New Roman"/>
          <w:szCs w:val="21"/>
        </w:rPr>
        <w:t>废铅膏利用处置企业按照危险废物经营许可证规定从事经营活动，按照危险废物转移有关规定如实填写、运行转移联单，并向所在地生态环境主管部门如实申报废铅膏接收、贮存、利用处置等有关资料。依法进行环境影响评价，</w:t>
      </w:r>
      <w:r>
        <w:rPr>
          <w:rFonts w:ascii="Times New Roman" w:hAnsi="Times New Roman" w:eastAsia="宋体" w:cs="Times New Roman"/>
          <w:szCs w:val="21"/>
        </w:rPr>
        <w:t>完成“三同时”验</w:t>
      </w:r>
      <w:r>
        <w:rPr>
          <w:rFonts w:hint="eastAsia" w:ascii="Times New Roman" w:hAnsi="Times New Roman" w:eastAsia="宋体" w:cs="Times New Roman"/>
          <w:szCs w:val="21"/>
        </w:rPr>
        <w:t>收；依法取得排污许可证并按证排污。</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废铅膏利用处置设施所有者应设置专门的部门或者专职人员，负责废铅膏利用处置过程的相关环境管理工作。</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应当依法及时公开固体废物污染环境防治信息，主动接受社会监督。</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7.1.2 </w:t>
      </w:r>
      <w:r>
        <w:rPr>
          <w:rFonts w:hint="eastAsia" w:ascii="Times New Roman" w:hAnsi="Times New Roman" w:eastAsia="宋体" w:cs="Times New Roman"/>
          <w:szCs w:val="21"/>
        </w:rPr>
        <w:t>设施管理</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a） </w:t>
      </w:r>
      <w:r>
        <w:rPr>
          <w:rFonts w:hint="eastAsia" w:ascii="Times New Roman" w:hAnsi="Times New Roman" w:eastAsia="宋体" w:cs="Times New Roman"/>
          <w:szCs w:val="21"/>
        </w:rPr>
        <w:t>应对废铅膏利用处置企业环境污染防治设施建立维护、巡检等管理制度。确保污染防治设施连续、稳定、可靠运行。</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应对废铅膏收集、贮存、利用处置过程中相关设备或设施进行检修、维护排查及、漏、渗漏等情况的土壤污染隐患排查。</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7.13 </w:t>
      </w:r>
      <w:r>
        <w:rPr>
          <w:rFonts w:hint="eastAsia" w:ascii="Times New Roman" w:hAnsi="Times New Roman" w:eastAsia="宋体" w:cs="Times New Roman"/>
          <w:szCs w:val="21"/>
        </w:rPr>
        <w:t>化验分析</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a） </w:t>
      </w:r>
      <w:r>
        <w:rPr>
          <w:rFonts w:hint="eastAsia" w:ascii="Times New Roman" w:hAnsi="Times New Roman" w:eastAsia="宋体" w:cs="Times New Roman"/>
          <w:szCs w:val="21"/>
        </w:rPr>
        <w:t>制定入场接收标准，对废铅膏入厂进行化验分析，符合接收标准的方可入厂。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应对氧化铅产品、副产物等铅及杂质进行化验分析，产品满足相关产品标准要求的方可出厂。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7.1.4 </w:t>
      </w:r>
      <w:r>
        <w:rPr>
          <w:rFonts w:hint="eastAsia" w:ascii="Times New Roman" w:hAnsi="Times New Roman" w:eastAsia="宋体" w:cs="Times New Roman"/>
          <w:szCs w:val="21"/>
        </w:rPr>
        <w:t>人员培训</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应对废铅膏利用处置过程的所有作业人员进行培训，培训内容应包括以下几个方面：</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a） </w:t>
      </w:r>
      <w:r>
        <w:rPr>
          <w:rFonts w:hint="eastAsia" w:ascii="Times New Roman" w:hAnsi="Times New Roman" w:eastAsia="宋体" w:cs="Times New Roman"/>
          <w:szCs w:val="21"/>
        </w:rPr>
        <w:t>相关法律法规、规章和有关规范性文件的规定；</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废铅膏的环境危害特性；</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c） </w:t>
      </w:r>
      <w:r>
        <w:rPr>
          <w:rFonts w:hint="eastAsia" w:ascii="Times New Roman" w:hAnsi="Times New Roman" w:eastAsia="宋体" w:cs="Times New Roman"/>
          <w:szCs w:val="21"/>
        </w:rPr>
        <w:t>企业制定的危险废物管理规章制度、工作流程和应急预案等各项要求；</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d） </w:t>
      </w:r>
      <w:r>
        <w:rPr>
          <w:rFonts w:hint="eastAsia" w:ascii="Times New Roman" w:hAnsi="Times New Roman" w:eastAsia="宋体" w:cs="Times New Roman"/>
          <w:szCs w:val="21"/>
        </w:rPr>
        <w:t>危险废物分类收集、运输、暂存、利用和处置的正确方法和操作程序；</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e） </w:t>
      </w:r>
      <w:r>
        <w:rPr>
          <w:rFonts w:hint="eastAsia" w:ascii="Times New Roman" w:hAnsi="Times New Roman" w:eastAsia="宋体" w:cs="Times New Roman"/>
          <w:szCs w:val="21"/>
        </w:rPr>
        <w:t>生产过程所排放环境污染物的排放限值以及污染防治设施设备的运行维护要求。</w:t>
      </w:r>
    </w:p>
    <w:p>
      <w:pPr>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7.15 </w:t>
      </w:r>
      <w:r>
        <w:rPr>
          <w:rFonts w:hint="eastAsia" w:ascii="Times New Roman" w:hAnsi="Times New Roman" w:eastAsia="宋体" w:cs="Times New Roman"/>
          <w:szCs w:val="21"/>
        </w:rPr>
        <w:t>监测</w:t>
      </w:r>
    </w:p>
    <w:p>
      <w:pPr>
        <w:spacing w:line="360" w:lineRule="auto"/>
        <w:rPr>
          <w:rFonts w:ascii="Times New Roman" w:hAnsi="Times New Roman" w:eastAsia="宋体" w:cs="Times New Roman"/>
          <w:szCs w:val="21"/>
        </w:rPr>
      </w:pPr>
      <w:r>
        <w:rPr>
          <w:rFonts w:ascii="Times New Roman" w:hAnsi="Times New Roman" w:eastAsia="黑体" w:cs="Times New Roman"/>
          <w:szCs w:val="21"/>
        </w:rPr>
        <w:t>a</w:t>
      </w:r>
      <w:r>
        <w:rPr>
          <w:rFonts w:hint="eastAsia" w:ascii="Times New Roman" w:hAnsi="Times New Roman" w:eastAsia="黑体" w:cs="Times New Roman"/>
          <w:szCs w:val="21"/>
        </w:rPr>
        <w:t>）</w:t>
      </w:r>
      <w:r>
        <w:rPr>
          <w:rFonts w:ascii="Times New Roman" w:hAnsi="Times New Roman" w:eastAsia="黑体" w:cs="Times New Roman"/>
          <w:szCs w:val="21"/>
        </w:rPr>
        <w:t xml:space="preserve"> </w:t>
      </w:r>
      <w:r>
        <w:rPr>
          <w:rFonts w:hint="eastAsia" w:ascii="Times New Roman" w:hAnsi="Times New Roman" w:eastAsia="宋体" w:cs="Times New Roman"/>
          <w:szCs w:val="21"/>
        </w:rPr>
        <w:t>废铅膏利用处置企业应按照有关法律法规和</w:t>
      </w:r>
      <w:r>
        <w:rPr>
          <w:rFonts w:ascii="Times New Roman" w:hAnsi="Times New Roman" w:eastAsia="宋体" w:cs="Times New Roman"/>
          <w:szCs w:val="21"/>
        </w:rPr>
        <w:t>HJ 819</w:t>
      </w:r>
      <w:r>
        <w:rPr>
          <w:rFonts w:hint="eastAsia" w:ascii="Times New Roman" w:hAnsi="Times New Roman" w:eastAsia="宋体" w:cs="Times New Roman"/>
          <w:szCs w:val="21"/>
        </w:rPr>
        <w:t>的要求，建立企业监测制度，制定监测方案，对主要污染物排放状况开展自行监测，保存原始监测记录，并公布监测结果；行业自行监测管理要求发布前，主要污染物排放监测要求参见附录</w:t>
      </w:r>
      <w:r>
        <w:rPr>
          <w:rFonts w:ascii="Times New Roman" w:hAnsi="Times New Roman" w:eastAsia="宋体" w:cs="Times New Roman"/>
          <w:szCs w:val="21"/>
        </w:rPr>
        <w:t>A</w:t>
      </w:r>
      <w:r>
        <w:rPr>
          <w:rFonts w:hint="eastAsia" w:ascii="Times New Roman" w:hAnsi="Times New Roman" w:eastAsia="宋体" w:cs="Times New Roman"/>
          <w:szCs w:val="21"/>
        </w:rPr>
        <w:t>，环境监测要求参见附录</w:t>
      </w:r>
      <w:r>
        <w:rPr>
          <w:rFonts w:ascii="Times New Roman" w:hAnsi="Times New Roman" w:eastAsia="宋体" w:cs="Times New Roman"/>
          <w:szCs w:val="21"/>
        </w:rPr>
        <w:t>B</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b） </w:t>
      </w:r>
      <w:r>
        <w:rPr>
          <w:rFonts w:hint="eastAsia" w:ascii="Times New Roman" w:hAnsi="Times New Roman" w:eastAsia="宋体" w:cs="Times New Roman"/>
          <w:szCs w:val="21"/>
        </w:rPr>
        <w:t>应定期对废铅</w:t>
      </w:r>
      <w:r>
        <w:rPr>
          <w:rFonts w:ascii="Times New Roman" w:hAnsi="Times New Roman" w:eastAsia="宋体" w:cs="Times New Roman"/>
          <w:szCs w:val="21"/>
        </w:rPr>
        <w:t>膏“定向络合-转化”制</w:t>
      </w:r>
      <w:r>
        <w:rPr>
          <w:rFonts w:hint="eastAsia" w:ascii="Times New Roman" w:hAnsi="Times New Roman" w:eastAsia="宋体" w:cs="Times New Roman"/>
          <w:szCs w:val="21"/>
        </w:rPr>
        <w:t>备电池级氧化铅工艺污染物排放情况进行监测和评估，必要时应采取改进措施。</w:t>
      </w:r>
    </w:p>
    <w:p>
      <w:pPr>
        <w:spacing w:after="312" w:afterLines="100" w:line="360" w:lineRule="auto"/>
        <w:rPr>
          <w:rFonts w:ascii="Times New Roman" w:hAnsi="Times New Roman" w:eastAsia="黑体" w:cs="Times New Roman"/>
        </w:rPr>
      </w:pPr>
      <w:r>
        <w:rPr>
          <w:rFonts w:ascii="Times New Roman" w:hAnsi="Times New Roman" w:eastAsia="黑体" w:cs="Times New Roman"/>
          <w:szCs w:val="32"/>
        </w:rPr>
        <w:t xml:space="preserve">7.2 </w:t>
      </w:r>
      <w:r>
        <w:rPr>
          <w:rFonts w:hint="eastAsia" w:ascii="Times New Roman" w:hAnsi="Times New Roman" w:eastAsia="黑体" w:cs="Times New Roman"/>
          <w:szCs w:val="32"/>
        </w:rPr>
        <w:t>环境应急</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7.2.1 </w:t>
      </w:r>
      <w:r>
        <w:rPr>
          <w:rFonts w:hint="eastAsia" w:ascii="Times New Roman" w:hAnsi="Times New Roman" w:eastAsia="宋体" w:cs="Times New Roman"/>
          <w:szCs w:val="21"/>
        </w:rPr>
        <w:t>废铅膏利用处置企业按照危险废物经营单位编制环境应急预案相关标准规范要求，依法制定意外事故的环境污染防范措施和应急预案。</w:t>
      </w:r>
    </w:p>
    <w:p>
      <w:pPr>
        <w:spacing w:line="360" w:lineRule="auto"/>
        <w:rPr>
          <w:rFonts w:ascii="Times New Roman" w:hAnsi="Times New Roman" w:eastAsia="宋体" w:cs="Times New Roman"/>
          <w:szCs w:val="21"/>
        </w:rPr>
      </w:pPr>
      <w:r>
        <w:rPr>
          <w:rFonts w:ascii="Times New Roman" w:hAnsi="Times New Roman" w:eastAsia="黑体" w:cs="Times New Roman"/>
          <w:szCs w:val="21"/>
        </w:rPr>
        <w:t xml:space="preserve">7.2.2 </w:t>
      </w:r>
      <w:r>
        <w:rPr>
          <w:rFonts w:hint="eastAsia" w:ascii="Times New Roman" w:hAnsi="Times New Roman" w:eastAsia="宋体" w:cs="Times New Roman"/>
          <w:szCs w:val="21"/>
        </w:rPr>
        <w:t>环境应急预案应向所在地生态环境主管部门和其他负有固体废物污染环境防治监督管理职责的部门备案。</w:t>
      </w:r>
    </w:p>
    <w:p>
      <w:pPr>
        <w:rPr>
          <w:rFonts w:ascii="Times New Roman" w:hAnsi="Times New Roman" w:eastAsia="宋体" w:cs="Times New Roman"/>
          <w:bCs/>
          <w:szCs w:val="21"/>
        </w:rPr>
      </w:pPr>
      <w:r>
        <w:rPr>
          <w:rFonts w:ascii="Times New Roman" w:hAnsi="Times New Roman" w:eastAsia="黑体" w:cs="Times New Roman"/>
          <w:szCs w:val="21"/>
        </w:rPr>
        <w:t xml:space="preserve">7.2.3 </w:t>
      </w:r>
      <w:r>
        <w:rPr>
          <w:rFonts w:hint="eastAsia" w:ascii="Times New Roman" w:hAnsi="Times New Roman" w:eastAsia="宋体" w:cs="Times New Roman"/>
          <w:szCs w:val="21"/>
        </w:rPr>
        <w:t>应按照预案要求每年组织应急演练。</w:t>
      </w:r>
    </w:p>
    <w:p>
      <w:pPr>
        <w:rPr>
          <w:rFonts w:ascii="Times New Roman" w:hAnsi="Times New Roman" w:eastAsia="仿宋_GB2312" w:cs="Times New Roman"/>
        </w:rPr>
      </w:pPr>
      <w:r>
        <w:rPr>
          <w:rFonts w:ascii="Times New Roman" w:hAnsi="Times New Roman" w:eastAsia="仿宋_GB2312" w:cs="Times New Roman"/>
        </w:rPr>
        <w:br w:type="page"/>
      </w:r>
    </w:p>
    <w:p>
      <w:pPr>
        <w:pStyle w:val="14"/>
        <w:spacing w:before="156" w:after="156"/>
        <w:jc w:val="center"/>
        <w:rPr>
          <w:rFonts w:ascii="黑体" w:hAnsi="黑体" w:eastAsia="黑体" w:cs="黑体"/>
          <w:b w:val="0"/>
          <w:bCs w:val="0"/>
          <w:sz w:val="21"/>
          <w:szCs w:val="21"/>
        </w:rPr>
      </w:pPr>
      <w:bookmarkStart w:id="9" w:name="_Toc84978077"/>
      <w:r>
        <w:rPr>
          <w:rFonts w:hint="eastAsia" w:ascii="黑体" w:hAnsi="黑体" w:eastAsia="黑体" w:cs="黑体"/>
          <w:b w:val="0"/>
          <w:bCs w:val="0"/>
          <w:sz w:val="21"/>
          <w:szCs w:val="21"/>
        </w:rPr>
        <w:t>附录A</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（资料性附录）</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废铅膏制备电池级氧化铅（定向络合-转化工艺）主要污染物排放监测要求</w:t>
      </w:r>
      <w:bookmarkEnd w:id="9"/>
    </w:p>
    <w:p>
      <w:pPr>
        <w:pStyle w:val="14"/>
        <w:spacing w:before="156" w:after="156"/>
        <w:jc w:val="center"/>
        <w:rPr>
          <w:rFonts w:ascii="宋体" w:hAnsi="宋体" w:eastAsia="宋体" w:cs="宋体"/>
          <w:b w:val="0"/>
          <w:bCs w:val="0"/>
          <w:sz w:val="21"/>
          <w:szCs w:val="21"/>
        </w:rPr>
      </w:pPr>
      <w:r>
        <w:rPr>
          <w:rFonts w:hint="eastAsia" w:ascii="宋体" w:hAnsi="宋体" w:eastAsia="宋体" w:cs="宋体"/>
          <w:b w:val="0"/>
          <w:bCs w:val="0"/>
          <w:sz w:val="21"/>
          <w:szCs w:val="21"/>
        </w:rPr>
        <w:t>表A.1 废铅膏制备电池级氧化铅（定向络合-转化工艺）</w:t>
      </w:r>
      <w:r>
        <w:rPr>
          <w:rFonts w:ascii="宋体" w:hAnsi="宋体" w:eastAsia="宋体" w:cs="宋体"/>
          <w:b w:val="0"/>
          <w:bCs w:val="0"/>
          <w:sz w:val="21"/>
          <w:szCs w:val="21"/>
        </w:rPr>
        <w:t>主要污染物排放监测要求</w:t>
      </w:r>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276"/>
        <w:gridCol w:w="2552"/>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产排污节点</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监测点位</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排放口类型</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监测因子</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最低监测频次</w:t>
            </w:r>
          </w:p>
        </w:tc>
        <w:tc>
          <w:tcPr>
            <w:tcW w:w="113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废气有组织排放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原料预处理系统</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预处理排气筒</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一般排放口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颗粒物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季度</w:t>
            </w:r>
          </w:p>
        </w:tc>
        <w:tc>
          <w:tcPr>
            <w:tcW w:w="1134"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浸出系统</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浸出车间排气筒</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一般排放口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铅及其化合物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碳化系统</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碳化车间排气筒</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一般排放口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铅及其化合物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转化系统</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转化车间排气筒</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一般排放口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铅及其化合物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净化系统</w:t>
            </w:r>
          </w:p>
        </w:tc>
        <w:tc>
          <w:tcPr>
            <w:tcW w:w="170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净化车间排气筒</w:t>
            </w:r>
          </w:p>
        </w:tc>
        <w:tc>
          <w:tcPr>
            <w:tcW w:w="127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一般排放口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铅及其化合物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半年</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废气无组织排放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3"/>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排污单位边界</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铅及其化合物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季度</w:t>
            </w:r>
          </w:p>
        </w:tc>
        <w:tc>
          <w:tcPr>
            <w:tcW w:w="113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废水</w:t>
            </w:r>
          </w:p>
        </w:tc>
        <w:tc>
          <w:tcPr>
            <w:tcW w:w="170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废水总排放口</w:t>
            </w:r>
          </w:p>
        </w:tc>
        <w:tc>
          <w:tcPr>
            <w:tcW w:w="1276"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主要排放口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单位产品基准排水量、pH 值、化学需氧量、氨氮、总氮、总磷</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自动监测</w:t>
            </w:r>
          </w:p>
        </w:tc>
        <w:tc>
          <w:tcPr>
            <w:tcW w:w="1134"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sz w:val="18"/>
                <w:szCs w:val="18"/>
              </w:rPr>
            </w:pPr>
          </w:p>
        </w:tc>
        <w:tc>
          <w:tcPr>
            <w:tcW w:w="1701" w:type="dxa"/>
            <w:vMerge w:val="continue"/>
            <w:vAlign w:val="center"/>
          </w:tcPr>
          <w:p>
            <w:pPr>
              <w:jc w:val="center"/>
              <w:rPr>
                <w:rFonts w:ascii="Times New Roman" w:hAnsi="Times New Roman" w:eastAsia="宋体" w:cs="Times New Roman"/>
                <w:sz w:val="18"/>
                <w:szCs w:val="18"/>
              </w:rPr>
            </w:pPr>
          </w:p>
        </w:tc>
        <w:tc>
          <w:tcPr>
            <w:tcW w:w="1276" w:type="dxa"/>
            <w:vMerge w:val="continue"/>
            <w:vAlign w:val="center"/>
          </w:tcPr>
          <w:p>
            <w:pPr>
              <w:jc w:val="center"/>
              <w:rPr>
                <w:rFonts w:ascii="Times New Roman" w:hAnsi="Times New Roman" w:eastAsia="宋体" w:cs="Times New Roman"/>
                <w:sz w:val="18"/>
                <w:szCs w:val="18"/>
              </w:rPr>
            </w:pP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总铜、总锌</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月</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sz w:val="18"/>
                <w:szCs w:val="18"/>
              </w:rPr>
            </w:pPr>
          </w:p>
        </w:tc>
        <w:tc>
          <w:tcPr>
            <w:tcW w:w="1701" w:type="dxa"/>
            <w:vMerge w:val="continue"/>
            <w:vAlign w:val="center"/>
          </w:tcPr>
          <w:p>
            <w:pPr>
              <w:jc w:val="center"/>
              <w:rPr>
                <w:rFonts w:ascii="Times New Roman" w:hAnsi="Times New Roman" w:eastAsia="宋体" w:cs="Times New Roman"/>
                <w:sz w:val="18"/>
                <w:szCs w:val="18"/>
              </w:rPr>
            </w:pPr>
          </w:p>
        </w:tc>
        <w:tc>
          <w:tcPr>
            <w:tcW w:w="1276" w:type="dxa"/>
            <w:vMerge w:val="continue"/>
            <w:vAlign w:val="center"/>
          </w:tcPr>
          <w:p>
            <w:pPr>
              <w:jc w:val="center"/>
              <w:rPr>
                <w:rFonts w:ascii="Times New Roman" w:hAnsi="Times New Roman" w:eastAsia="宋体" w:cs="Times New Roman"/>
                <w:sz w:val="18"/>
                <w:szCs w:val="18"/>
              </w:rPr>
            </w:pP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悬浮物、石油类、硫化物</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季度</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sz w:val="18"/>
                <w:szCs w:val="18"/>
              </w:rPr>
            </w:pPr>
          </w:p>
        </w:tc>
        <w:tc>
          <w:tcPr>
            <w:tcW w:w="170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车间或生产设施废水排放口</w:t>
            </w:r>
          </w:p>
        </w:tc>
        <w:tc>
          <w:tcPr>
            <w:tcW w:w="1276"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主要排放口</w:t>
            </w: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总铅、总砷、总镉、总汞</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日</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sz w:val="18"/>
                <w:szCs w:val="18"/>
              </w:rPr>
            </w:pPr>
          </w:p>
        </w:tc>
        <w:tc>
          <w:tcPr>
            <w:tcW w:w="1701" w:type="dxa"/>
            <w:vMerge w:val="continue"/>
            <w:vAlign w:val="center"/>
          </w:tcPr>
          <w:p>
            <w:pPr>
              <w:jc w:val="center"/>
              <w:rPr>
                <w:rFonts w:ascii="Times New Roman" w:hAnsi="Times New Roman" w:eastAsia="宋体" w:cs="Times New Roman"/>
                <w:sz w:val="18"/>
                <w:szCs w:val="18"/>
              </w:rPr>
            </w:pPr>
          </w:p>
        </w:tc>
        <w:tc>
          <w:tcPr>
            <w:tcW w:w="1276" w:type="dxa"/>
            <w:vMerge w:val="continue"/>
            <w:vAlign w:val="center"/>
          </w:tcPr>
          <w:p>
            <w:pPr>
              <w:jc w:val="center"/>
              <w:rPr>
                <w:rFonts w:ascii="Times New Roman" w:hAnsi="Times New Roman" w:eastAsia="宋体" w:cs="Times New Roman"/>
                <w:sz w:val="18"/>
                <w:szCs w:val="18"/>
              </w:rPr>
            </w:pPr>
          </w:p>
        </w:tc>
        <w:tc>
          <w:tcPr>
            <w:tcW w:w="255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总镍、总锑、总铬</w:t>
            </w:r>
          </w:p>
        </w:tc>
        <w:tc>
          <w:tcPr>
            <w:tcW w:w="155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月</w:t>
            </w:r>
          </w:p>
        </w:tc>
        <w:tc>
          <w:tcPr>
            <w:tcW w:w="1134"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注1：单独排入地表水、海水的生活污水排放口污染物（pH值、化学需氧量、五日生化需氧量、悬浮物、氨氮、总氮、总磷）每月至少开展一次监测。</w:t>
            </w:r>
          </w:p>
          <w:p>
            <w:pPr>
              <w:rPr>
                <w:rFonts w:ascii="Times New Roman" w:hAnsi="Times New Roman" w:eastAsia="宋体" w:cs="Times New Roman"/>
                <w:sz w:val="18"/>
                <w:szCs w:val="18"/>
              </w:rPr>
            </w:pPr>
            <w:r>
              <w:rPr>
                <w:rFonts w:ascii="Times New Roman" w:hAnsi="Times New Roman" w:eastAsia="宋体" w:cs="Times New Roman"/>
                <w:sz w:val="18"/>
                <w:szCs w:val="18"/>
              </w:rPr>
              <w:t>注2：车间或生产设施排放口指含第一类污染物废水（主要包括废酸处理废水、浸出和电解质净化废水等）处理的特定处理单元出水口。</w:t>
            </w:r>
          </w:p>
          <w:p>
            <w:pPr>
              <w:rPr>
                <w:rFonts w:ascii="Times New Roman" w:hAnsi="Times New Roman" w:eastAsia="宋体" w:cs="Times New Roman"/>
                <w:sz w:val="18"/>
                <w:szCs w:val="18"/>
              </w:rPr>
            </w:pPr>
            <w:r>
              <w:rPr>
                <w:rFonts w:ascii="Times New Roman" w:hAnsi="Times New Roman" w:eastAsia="宋体" w:cs="Times New Roman"/>
                <w:sz w:val="18"/>
                <w:szCs w:val="18"/>
              </w:rPr>
              <w:t>注 3：雨水排口污染物（化学需氧量、氨氮、悬浮物、总铅）排放期间每日至少开展一次监测。</w:t>
            </w:r>
          </w:p>
        </w:tc>
      </w:tr>
    </w:tbl>
    <w:p>
      <w:r>
        <w:br w:type="page"/>
      </w:r>
    </w:p>
    <w:p>
      <w:pPr>
        <w:pStyle w:val="14"/>
        <w:spacing w:before="156" w:after="156"/>
        <w:jc w:val="center"/>
        <w:rPr>
          <w:rFonts w:ascii="黑体" w:hAnsi="黑体" w:eastAsia="黑体" w:cs="黑体"/>
          <w:b w:val="0"/>
          <w:bCs w:val="0"/>
          <w:sz w:val="21"/>
          <w:szCs w:val="21"/>
        </w:rPr>
      </w:pPr>
      <w:bookmarkStart w:id="10" w:name="_Toc84978078"/>
      <w:r>
        <w:rPr>
          <w:rFonts w:hint="eastAsia" w:ascii="黑体" w:hAnsi="黑体" w:eastAsia="黑体" w:cs="黑体"/>
          <w:b w:val="0"/>
          <w:bCs w:val="0"/>
          <w:sz w:val="21"/>
          <w:szCs w:val="21"/>
        </w:rPr>
        <w:t>附录</w:t>
      </w:r>
      <w:r>
        <w:rPr>
          <w:rFonts w:ascii="黑体" w:hAnsi="黑体" w:eastAsia="黑体" w:cs="黑体"/>
          <w:b w:val="0"/>
          <w:bCs w:val="0"/>
          <w:sz w:val="21"/>
          <w:szCs w:val="21"/>
        </w:rPr>
        <w:t>B</w:t>
      </w:r>
    </w:p>
    <w:p>
      <w:pPr>
        <w:pStyle w:val="14"/>
        <w:spacing w:before="156" w:after="156"/>
        <w:jc w:val="center"/>
        <w:rPr>
          <w:rFonts w:ascii="黑体" w:hAnsi="黑体" w:eastAsia="黑体" w:cs="黑体"/>
          <w:b w:val="0"/>
          <w:bCs w:val="0"/>
          <w:sz w:val="21"/>
          <w:szCs w:val="21"/>
        </w:rPr>
      </w:pPr>
      <w:r>
        <w:rPr>
          <w:rFonts w:hint="eastAsia" w:ascii="黑体" w:hAnsi="黑体" w:eastAsia="黑体" w:cs="黑体"/>
          <w:b w:val="0"/>
          <w:bCs w:val="0"/>
          <w:sz w:val="21"/>
          <w:szCs w:val="21"/>
        </w:rPr>
        <w:t>（资料性附录）</w:t>
      </w:r>
    </w:p>
    <w:p>
      <w:pPr>
        <w:pStyle w:val="14"/>
        <w:spacing w:before="156" w:after="156"/>
        <w:jc w:val="center"/>
        <w:rPr>
          <w:rFonts w:ascii="黑体" w:hAnsi="黑体" w:eastAsia="黑体" w:cs="黑体"/>
          <w:b w:val="0"/>
          <w:bCs w:val="0"/>
          <w:sz w:val="21"/>
          <w:szCs w:val="21"/>
        </w:rPr>
      </w:pPr>
      <w:bookmarkStart w:id="11" w:name="_Hlk108422844"/>
      <w:r>
        <w:rPr>
          <w:rFonts w:hint="eastAsia" w:ascii="黑体" w:hAnsi="黑体" w:eastAsia="黑体" w:cs="黑体"/>
          <w:b w:val="0"/>
          <w:bCs w:val="0"/>
          <w:sz w:val="21"/>
          <w:szCs w:val="21"/>
        </w:rPr>
        <w:t>废铅膏利用处置企业环境监测要求</w:t>
      </w:r>
      <w:bookmarkEnd w:id="10"/>
      <w:bookmarkEnd w:id="11"/>
    </w:p>
    <w:p>
      <w:pPr>
        <w:pStyle w:val="14"/>
        <w:spacing w:before="156" w:after="156" w:line="240" w:lineRule="auto"/>
        <w:jc w:val="center"/>
        <w:rPr>
          <w:rFonts w:ascii="黑体" w:hAnsi="黑体" w:eastAsia="黑体" w:cs="黑体"/>
          <w:b w:val="0"/>
          <w:bCs w:val="0"/>
          <w:sz w:val="21"/>
          <w:szCs w:val="21"/>
        </w:rPr>
      </w:pPr>
      <w:r>
        <w:rPr>
          <w:rFonts w:hint="eastAsia" w:ascii="黑体" w:hAnsi="黑体" w:eastAsia="黑体" w:cs="黑体"/>
          <w:b w:val="0"/>
          <w:bCs w:val="0"/>
          <w:sz w:val="21"/>
          <w:szCs w:val="21"/>
        </w:rPr>
        <w:t>表B.1 废铅膏利用处置企业环境监测要求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3" w:type="dxa"/>
            <w:gridSpan w:val="3"/>
            <w:vAlign w:val="center"/>
          </w:tcPr>
          <w:p>
            <w:pPr>
              <w:jc w:val="center"/>
              <w:rPr>
                <w:rFonts w:ascii="宋体" w:hAnsi="宋体" w:eastAsia="宋体" w:cs="宋体"/>
                <w:sz w:val="18"/>
                <w:szCs w:val="18"/>
              </w:rPr>
            </w:pPr>
            <w:r>
              <w:rPr>
                <w:rFonts w:hint="eastAsia" w:ascii="宋体" w:hAnsi="宋体" w:eastAsia="宋体" w:cs="宋体"/>
                <w:sz w:val="18"/>
                <w:szCs w:val="18"/>
              </w:rPr>
              <w:t>指标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监测点位</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监测频率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空气质量</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日均值</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总悬浮颗粒物</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厂界</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二氧化硫</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小时均值</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二氧化硫</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季平均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Align w:val="center"/>
          </w:tcPr>
          <w:p>
            <w:pPr>
              <w:jc w:val="center"/>
              <w:rPr>
                <w:rFonts w:ascii="宋体" w:hAnsi="宋体" w:eastAsia="宋体" w:cs="宋体"/>
                <w:sz w:val="18"/>
                <w:szCs w:val="18"/>
              </w:rPr>
            </w:pPr>
            <w:r>
              <w:rPr>
                <w:rFonts w:hint="eastAsia" w:ascii="宋体" w:hAnsi="宋体" w:eastAsia="宋体" w:cs="宋体"/>
                <w:sz w:val="18"/>
                <w:szCs w:val="18"/>
              </w:rPr>
              <w:t>年平均</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土壤</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浓度</w:t>
            </w:r>
          </w:p>
        </w:tc>
        <w:tc>
          <w:tcPr>
            <w:tcW w:w="160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pH值</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厂界周围土壤</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15618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镉</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镍</w:t>
            </w:r>
          </w:p>
        </w:tc>
        <w:tc>
          <w:tcPr>
            <w:tcW w:w="1605" w:type="dxa"/>
            <w:vMerge w:val="continue"/>
            <w:vAlign w:val="center"/>
          </w:tcPr>
          <w:p>
            <w:pPr>
              <w:jc w:val="center"/>
              <w:rPr>
                <w:rFonts w:ascii="宋体" w:hAnsi="宋体" w:eastAsia="宋体" w:cs="宋体"/>
                <w:sz w:val="18"/>
                <w:szCs w:val="18"/>
              </w:rPr>
            </w:pPr>
          </w:p>
        </w:tc>
        <w:tc>
          <w:tcPr>
            <w:tcW w:w="1605" w:type="dxa"/>
            <w:vMerge w:val="continue"/>
            <w:vAlign w:val="center"/>
          </w:tcPr>
          <w:p>
            <w:pPr>
              <w:jc w:val="center"/>
              <w:rPr>
                <w:rFonts w:ascii="Times New Roman" w:hAnsi="Times New Roman" w:eastAsia="宋体" w:cs="Times New Roman"/>
                <w:sz w:val="18"/>
                <w:szCs w:val="18"/>
              </w:rPr>
            </w:pPr>
          </w:p>
        </w:tc>
        <w:tc>
          <w:tcPr>
            <w:tcW w:w="1605"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地下水</w:t>
            </w:r>
          </w:p>
        </w:tc>
        <w:tc>
          <w:tcPr>
            <w:tcW w:w="160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浓度</w:t>
            </w: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pH值</w:t>
            </w:r>
          </w:p>
        </w:tc>
        <w:tc>
          <w:tcPr>
            <w:tcW w:w="1605"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地下水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 期/年</w:t>
            </w:r>
          </w:p>
        </w:tc>
        <w:tc>
          <w:tcPr>
            <w:tcW w:w="160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GB/T 14848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铅</w:t>
            </w: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宋体" w:hAnsi="宋体" w:eastAsia="宋体" w:cs="宋体"/>
                <w:sz w:val="18"/>
                <w:szCs w:val="18"/>
              </w:rPr>
            </w:pPr>
          </w:p>
        </w:tc>
        <w:tc>
          <w:tcPr>
            <w:tcW w:w="1604" w:type="dxa"/>
            <w:vMerge w:val="continue"/>
            <w:vAlign w:val="center"/>
          </w:tcPr>
          <w:p>
            <w:pPr>
              <w:jc w:val="center"/>
              <w:rPr>
                <w:rFonts w:ascii="宋体" w:hAnsi="宋体" w:eastAsia="宋体" w:cs="宋体"/>
                <w:sz w:val="18"/>
                <w:szCs w:val="18"/>
              </w:rPr>
            </w:pPr>
          </w:p>
        </w:tc>
        <w:tc>
          <w:tcPr>
            <w:tcW w:w="1605" w:type="dxa"/>
            <w:vAlign w:val="center"/>
          </w:tcPr>
          <w:p>
            <w:pPr>
              <w:jc w:val="center"/>
              <w:rPr>
                <w:rFonts w:ascii="宋体" w:hAnsi="宋体" w:eastAsia="宋体" w:cs="宋体"/>
                <w:sz w:val="18"/>
                <w:szCs w:val="18"/>
              </w:rPr>
            </w:pPr>
            <w:r>
              <w:rPr>
                <w:rFonts w:hint="eastAsia" w:ascii="宋体" w:hAnsi="宋体" w:eastAsia="宋体" w:cs="宋体"/>
                <w:sz w:val="18"/>
                <w:szCs w:val="18"/>
              </w:rPr>
              <w:t>硫酸盐</w:t>
            </w: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c>
          <w:tcPr>
            <w:tcW w:w="1605" w:type="dxa"/>
            <w:vMerge w:val="continue"/>
            <w:vAlign w:val="center"/>
          </w:tcPr>
          <w:p>
            <w:pPr>
              <w:jc w:val="center"/>
              <w:rPr>
                <w:rFonts w:ascii="Times New Roman" w:hAnsi="Times New Roman" w:eastAsia="华文楷体" w:cs="Times New Roman"/>
                <w:szCs w:val="21"/>
              </w:rPr>
            </w:pPr>
          </w:p>
        </w:tc>
      </w:tr>
    </w:tbl>
    <w:p/>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805805"/>
    </w:sdtPr>
    <w:sdtEndPr>
      <w:rPr>
        <w:rFonts w:ascii="Times New Roman" w:hAnsi="Times New Roman" w:cs="Times New Roman"/>
        <w:sz w:val="28"/>
        <w:szCs w:val="28"/>
      </w:rPr>
    </w:sdtEndPr>
    <w:sdtContent>
      <w:p>
        <w:pPr>
          <w:pStyle w:val="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2"/>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41"/>
      <w:suff w:val="nothing"/>
      <w:lvlText w:val="%1%2.%3　"/>
      <w:lvlJc w:val="left"/>
      <w:pPr>
        <w:ind w:left="1276"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U2ZjRkNjZjZjQ5ZGU2ZTYzNGEzOGRhZjhkZDYifQ=="/>
    <w:docVar w:name="KSO_WPS_MARK_KEY" w:val="b6841b99-576f-44bb-8328-300e22cb29f4"/>
  </w:docVars>
  <w:rsids>
    <w:rsidRoot w:val="000D0904"/>
    <w:rsid w:val="000000ED"/>
    <w:rsid w:val="00006182"/>
    <w:rsid w:val="000129CE"/>
    <w:rsid w:val="00013C5C"/>
    <w:rsid w:val="000141B0"/>
    <w:rsid w:val="000244D2"/>
    <w:rsid w:val="00025114"/>
    <w:rsid w:val="000330AF"/>
    <w:rsid w:val="00033A4E"/>
    <w:rsid w:val="00042B47"/>
    <w:rsid w:val="00046A2C"/>
    <w:rsid w:val="00055F79"/>
    <w:rsid w:val="00056534"/>
    <w:rsid w:val="00061F91"/>
    <w:rsid w:val="00073EF5"/>
    <w:rsid w:val="00093503"/>
    <w:rsid w:val="000958D8"/>
    <w:rsid w:val="000A4533"/>
    <w:rsid w:val="000B5620"/>
    <w:rsid w:val="000D0904"/>
    <w:rsid w:val="000D6E1A"/>
    <w:rsid w:val="000E32ED"/>
    <w:rsid w:val="000E7408"/>
    <w:rsid w:val="000F2004"/>
    <w:rsid w:val="000F7060"/>
    <w:rsid w:val="000F77B0"/>
    <w:rsid w:val="000F7ECF"/>
    <w:rsid w:val="00113994"/>
    <w:rsid w:val="00120014"/>
    <w:rsid w:val="00121ABD"/>
    <w:rsid w:val="001227F4"/>
    <w:rsid w:val="00140B6A"/>
    <w:rsid w:val="0014405C"/>
    <w:rsid w:val="001452EA"/>
    <w:rsid w:val="001455B0"/>
    <w:rsid w:val="00150D29"/>
    <w:rsid w:val="001516B9"/>
    <w:rsid w:val="001706AA"/>
    <w:rsid w:val="0017108E"/>
    <w:rsid w:val="00171B1A"/>
    <w:rsid w:val="00175CA9"/>
    <w:rsid w:val="00182090"/>
    <w:rsid w:val="001821AC"/>
    <w:rsid w:val="001856B5"/>
    <w:rsid w:val="001872EC"/>
    <w:rsid w:val="0019717A"/>
    <w:rsid w:val="001B29C2"/>
    <w:rsid w:val="001B5E0C"/>
    <w:rsid w:val="001C37C0"/>
    <w:rsid w:val="001C45D3"/>
    <w:rsid w:val="001C4875"/>
    <w:rsid w:val="001D0E74"/>
    <w:rsid w:val="001D0F25"/>
    <w:rsid w:val="001D2925"/>
    <w:rsid w:val="001D5BBE"/>
    <w:rsid w:val="001E088F"/>
    <w:rsid w:val="001F3D7C"/>
    <w:rsid w:val="00201D67"/>
    <w:rsid w:val="002127E3"/>
    <w:rsid w:val="00231C4B"/>
    <w:rsid w:val="00233764"/>
    <w:rsid w:val="002367E1"/>
    <w:rsid w:val="002368AA"/>
    <w:rsid w:val="00236F49"/>
    <w:rsid w:val="00242686"/>
    <w:rsid w:val="00247207"/>
    <w:rsid w:val="002506F5"/>
    <w:rsid w:val="0025152E"/>
    <w:rsid w:val="00253B17"/>
    <w:rsid w:val="00262C1C"/>
    <w:rsid w:val="002638A8"/>
    <w:rsid w:val="0026610B"/>
    <w:rsid w:val="00266A62"/>
    <w:rsid w:val="0027060C"/>
    <w:rsid w:val="0027098D"/>
    <w:rsid w:val="00270CCF"/>
    <w:rsid w:val="00276C03"/>
    <w:rsid w:val="00282B4A"/>
    <w:rsid w:val="00285B62"/>
    <w:rsid w:val="0028641F"/>
    <w:rsid w:val="00287076"/>
    <w:rsid w:val="00291F34"/>
    <w:rsid w:val="00292AF2"/>
    <w:rsid w:val="00294D4E"/>
    <w:rsid w:val="002A1346"/>
    <w:rsid w:val="002A1619"/>
    <w:rsid w:val="002A6284"/>
    <w:rsid w:val="002B57D0"/>
    <w:rsid w:val="002B75B2"/>
    <w:rsid w:val="002C59CF"/>
    <w:rsid w:val="002C6CFF"/>
    <w:rsid w:val="002C798B"/>
    <w:rsid w:val="002D0C2A"/>
    <w:rsid w:val="002D1321"/>
    <w:rsid w:val="002D32BC"/>
    <w:rsid w:val="002D5F6F"/>
    <w:rsid w:val="002E44AF"/>
    <w:rsid w:val="002F4D38"/>
    <w:rsid w:val="0031736F"/>
    <w:rsid w:val="00321B02"/>
    <w:rsid w:val="00327F4A"/>
    <w:rsid w:val="00330EE5"/>
    <w:rsid w:val="0035692C"/>
    <w:rsid w:val="00357083"/>
    <w:rsid w:val="00367750"/>
    <w:rsid w:val="003D2BE3"/>
    <w:rsid w:val="003F20AE"/>
    <w:rsid w:val="003F33CE"/>
    <w:rsid w:val="00406ED5"/>
    <w:rsid w:val="00412BF4"/>
    <w:rsid w:val="00420FA0"/>
    <w:rsid w:val="004303DA"/>
    <w:rsid w:val="00434ACB"/>
    <w:rsid w:val="00435067"/>
    <w:rsid w:val="004417C3"/>
    <w:rsid w:val="00442236"/>
    <w:rsid w:val="00443700"/>
    <w:rsid w:val="0045652E"/>
    <w:rsid w:val="00456E70"/>
    <w:rsid w:val="00457976"/>
    <w:rsid w:val="00457C91"/>
    <w:rsid w:val="00462FE6"/>
    <w:rsid w:val="0046674F"/>
    <w:rsid w:val="00467D70"/>
    <w:rsid w:val="004742BD"/>
    <w:rsid w:val="00476746"/>
    <w:rsid w:val="00477125"/>
    <w:rsid w:val="004828FB"/>
    <w:rsid w:val="00485C66"/>
    <w:rsid w:val="004869FB"/>
    <w:rsid w:val="00491396"/>
    <w:rsid w:val="004913C4"/>
    <w:rsid w:val="004A4B7B"/>
    <w:rsid w:val="004B2E33"/>
    <w:rsid w:val="004C2018"/>
    <w:rsid w:val="004C3ADA"/>
    <w:rsid w:val="004C509F"/>
    <w:rsid w:val="004C5A79"/>
    <w:rsid w:val="004C6759"/>
    <w:rsid w:val="004D65EA"/>
    <w:rsid w:val="004F06C4"/>
    <w:rsid w:val="004F60BB"/>
    <w:rsid w:val="004F6914"/>
    <w:rsid w:val="00506CB8"/>
    <w:rsid w:val="00516495"/>
    <w:rsid w:val="00521BAE"/>
    <w:rsid w:val="00522A4D"/>
    <w:rsid w:val="0052567B"/>
    <w:rsid w:val="00540395"/>
    <w:rsid w:val="00542BFA"/>
    <w:rsid w:val="00551835"/>
    <w:rsid w:val="0055769B"/>
    <w:rsid w:val="0057305B"/>
    <w:rsid w:val="00597CA0"/>
    <w:rsid w:val="005A0A39"/>
    <w:rsid w:val="005D0263"/>
    <w:rsid w:val="005D5962"/>
    <w:rsid w:val="005D6838"/>
    <w:rsid w:val="005E103B"/>
    <w:rsid w:val="005E3ACB"/>
    <w:rsid w:val="005E6626"/>
    <w:rsid w:val="005F2182"/>
    <w:rsid w:val="005F7343"/>
    <w:rsid w:val="006023D8"/>
    <w:rsid w:val="00604866"/>
    <w:rsid w:val="006062F8"/>
    <w:rsid w:val="006131C0"/>
    <w:rsid w:val="00613F77"/>
    <w:rsid w:val="006165C7"/>
    <w:rsid w:val="0062044D"/>
    <w:rsid w:val="006221A9"/>
    <w:rsid w:val="00627BF3"/>
    <w:rsid w:val="00640447"/>
    <w:rsid w:val="00643ECE"/>
    <w:rsid w:val="00644337"/>
    <w:rsid w:val="00646A33"/>
    <w:rsid w:val="00647FAB"/>
    <w:rsid w:val="0066676C"/>
    <w:rsid w:val="006802F0"/>
    <w:rsid w:val="0068057B"/>
    <w:rsid w:val="0068294E"/>
    <w:rsid w:val="00690D7A"/>
    <w:rsid w:val="00691747"/>
    <w:rsid w:val="006A098B"/>
    <w:rsid w:val="006A23D9"/>
    <w:rsid w:val="006A5D04"/>
    <w:rsid w:val="006B45F9"/>
    <w:rsid w:val="006B46B8"/>
    <w:rsid w:val="006C6557"/>
    <w:rsid w:val="006D465F"/>
    <w:rsid w:val="006D6D3B"/>
    <w:rsid w:val="006D709D"/>
    <w:rsid w:val="006E01C9"/>
    <w:rsid w:val="006E1FEA"/>
    <w:rsid w:val="006F2CDB"/>
    <w:rsid w:val="006F3AF2"/>
    <w:rsid w:val="006F58A8"/>
    <w:rsid w:val="006F7EFE"/>
    <w:rsid w:val="00701BF1"/>
    <w:rsid w:val="00702EF5"/>
    <w:rsid w:val="00703DE5"/>
    <w:rsid w:val="00711F40"/>
    <w:rsid w:val="00727A5A"/>
    <w:rsid w:val="0073640F"/>
    <w:rsid w:val="00736793"/>
    <w:rsid w:val="00745676"/>
    <w:rsid w:val="00754088"/>
    <w:rsid w:val="00755EEF"/>
    <w:rsid w:val="00761D0A"/>
    <w:rsid w:val="00762013"/>
    <w:rsid w:val="00763F8F"/>
    <w:rsid w:val="007722AC"/>
    <w:rsid w:val="0077378B"/>
    <w:rsid w:val="0078546D"/>
    <w:rsid w:val="007857F9"/>
    <w:rsid w:val="007902AA"/>
    <w:rsid w:val="007931CB"/>
    <w:rsid w:val="007A22E2"/>
    <w:rsid w:val="007A2F41"/>
    <w:rsid w:val="007B5091"/>
    <w:rsid w:val="007C373C"/>
    <w:rsid w:val="00801577"/>
    <w:rsid w:val="00802E73"/>
    <w:rsid w:val="008040DE"/>
    <w:rsid w:val="0080651E"/>
    <w:rsid w:val="00817F3B"/>
    <w:rsid w:val="0082107E"/>
    <w:rsid w:val="00825D3E"/>
    <w:rsid w:val="0082640C"/>
    <w:rsid w:val="00837062"/>
    <w:rsid w:val="0083743A"/>
    <w:rsid w:val="00837515"/>
    <w:rsid w:val="00840F77"/>
    <w:rsid w:val="00841AF0"/>
    <w:rsid w:val="0085377A"/>
    <w:rsid w:val="00854EB2"/>
    <w:rsid w:val="00855BEC"/>
    <w:rsid w:val="00857EFA"/>
    <w:rsid w:val="00861B28"/>
    <w:rsid w:val="00867A45"/>
    <w:rsid w:val="00870411"/>
    <w:rsid w:val="0088383A"/>
    <w:rsid w:val="008855C8"/>
    <w:rsid w:val="0088760B"/>
    <w:rsid w:val="008A00FE"/>
    <w:rsid w:val="008A13BC"/>
    <w:rsid w:val="008A1B3B"/>
    <w:rsid w:val="008A62E6"/>
    <w:rsid w:val="008A658C"/>
    <w:rsid w:val="008A7225"/>
    <w:rsid w:val="008B19AA"/>
    <w:rsid w:val="008C01C2"/>
    <w:rsid w:val="008D7052"/>
    <w:rsid w:val="008E4122"/>
    <w:rsid w:val="008E7434"/>
    <w:rsid w:val="008F4781"/>
    <w:rsid w:val="009037E5"/>
    <w:rsid w:val="009072AD"/>
    <w:rsid w:val="009169E7"/>
    <w:rsid w:val="00923D6D"/>
    <w:rsid w:val="00930219"/>
    <w:rsid w:val="00940151"/>
    <w:rsid w:val="00952CAA"/>
    <w:rsid w:val="00961A33"/>
    <w:rsid w:val="0097106D"/>
    <w:rsid w:val="00975D12"/>
    <w:rsid w:val="00976408"/>
    <w:rsid w:val="00976B2A"/>
    <w:rsid w:val="00980F41"/>
    <w:rsid w:val="00982FD0"/>
    <w:rsid w:val="00991C49"/>
    <w:rsid w:val="009927F4"/>
    <w:rsid w:val="009A0E3A"/>
    <w:rsid w:val="009A3735"/>
    <w:rsid w:val="009A6729"/>
    <w:rsid w:val="009A6C39"/>
    <w:rsid w:val="009A7801"/>
    <w:rsid w:val="009B1243"/>
    <w:rsid w:val="009B17F1"/>
    <w:rsid w:val="009B77B1"/>
    <w:rsid w:val="009C082C"/>
    <w:rsid w:val="009C171D"/>
    <w:rsid w:val="009C4C71"/>
    <w:rsid w:val="009C5C4E"/>
    <w:rsid w:val="009D20F2"/>
    <w:rsid w:val="009E5F04"/>
    <w:rsid w:val="009E6316"/>
    <w:rsid w:val="009F3B34"/>
    <w:rsid w:val="00A01DF9"/>
    <w:rsid w:val="00A0280B"/>
    <w:rsid w:val="00A11EA7"/>
    <w:rsid w:val="00A36282"/>
    <w:rsid w:val="00A41B73"/>
    <w:rsid w:val="00A432F1"/>
    <w:rsid w:val="00A43FD6"/>
    <w:rsid w:val="00A54EE9"/>
    <w:rsid w:val="00A55ED9"/>
    <w:rsid w:val="00A61417"/>
    <w:rsid w:val="00A67725"/>
    <w:rsid w:val="00A700CE"/>
    <w:rsid w:val="00A773E6"/>
    <w:rsid w:val="00A83018"/>
    <w:rsid w:val="00A84302"/>
    <w:rsid w:val="00A84BCC"/>
    <w:rsid w:val="00A87685"/>
    <w:rsid w:val="00A90F8A"/>
    <w:rsid w:val="00A9505F"/>
    <w:rsid w:val="00AA550F"/>
    <w:rsid w:val="00AB739C"/>
    <w:rsid w:val="00AD3043"/>
    <w:rsid w:val="00AD5284"/>
    <w:rsid w:val="00AE00F8"/>
    <w:rsid w:val="00AF59FA"/>
    <w:rsid w:val="00AF64CD"/>
    <w:rsid w:val="00B02421"/>
    <w:rsid w:val="00B07E8E"/>
    <w:rsid w:val="00B15FD5"/>
    <w:rsid w:val="00B205E3"/>
    <w:rsid w:val="00B25754"/>
    <w:rsid w:val="00B339EF"/>
    <w:rsid w:val="00B3666E"/>
    <w:rsid w:val="00B36B6D"/>
    <w:rsid w:val="00B443C3"/>
    <w:rsid w:val="00B44B56"/>
    <w:rsid w:val="00B62082"/>
    <w:rsid w:val="00B62E5A"/>
    <w:rsid w:val="00B73670"/>
    <w:rsid w:val="00B74C54"/>
    <w:rsid w:val="00B76801"/>
    <w:rsid w:val="00B83CB5"/>
    <w:rsid w:val="00B91AE3"/>
    <w:rsid w:val="00B9472D"/>
    <w:rsid w:val="00BB4E3A"/>
    <w:rsid w:val="00BC0738"/>
    <w:rsid w:val="00BC0837"/>
    <w:rsid w:val="00BC088C"/>
    <w:rsid w:val="00BD7680"/>
    <w:rsid w:val="00BE3F46"/>
    <w:rsid w:val="00C033C0"/>
    <w:rsid w:val="00C04DD3"/>
    <w:rsid w:val="00C10AEC"/>
    <w:rsid w:val="00C11EF2"/>
    <w:rsid w:val="00C12E72"/>
    <w:rsid w:val="00C12EAE"/>
    <w:rsid w:val="00C1643E"/>
    <w:rsid w:val="00C33BBE"/>
    <w:rsid w:val="00C34CF1"/>
    <w:rsid w:val="00C52583"/>
    <w:rsid w:val="00C55541"/>
    <w:rsid w:val="00C625BD"/>
    <w:rsid w:val="00C71587"/>
    <w:rsid w:val="00C840E3"/>
    <w:rsid w:val="00C84FE2"/>
    <w:rsid w:val="00C920BB"/>
    <w:rsid w:val="00C930BC"/>
    <w:rsid w:val="00C948A0"/>
    <w:rsid w:val="00CB7444"/>
    <w:rsid w:val="00CC0A0A"/>
    <w:rsid w:val="00CD30B0"/>
    <w:rsid w:val="00CD361A"/>
    <w:rsid w:val="00CD5FBA"/>
    <w:rsid w:val="00D01680"/>
    <w:rsid w:val="00D07E9C"/>
    <w:rsid w:val="00D1210E"/>
    <w:rsid w:val="00D17107"/>
    <w:rsid w:val="00D25D78"/>
    <w:rsid w:val="00D26EC2"/>
    <w:rsid w:val="00D26EE5"/>
    <w:rsid w:val="00D343C2"/>
    <w:rsid w:val="00D350F0"/>
    <w:rsid w:val="00D43CC5"/>
    <w:rsid w:val="00D517B6"/>
    <w:rsid w:val="00D5431A"/>
    <w:rsid w:val="00D67208"/>
    <w:rsid w:val="00D701AD"/>
    <w:rsid w:val="00D717CB"/>
    <w:rsid w:val="00D71C4E"/>
    <w:rsid w:val="00D71EE6"/>
    <w:rsid w:val="00D73E8E"/>
    <w:rsid w:val="00D76E23"/>
    <w:rsid w:val="00D85299"/>
    <w:rsid w:val="00D93F90"/>
    <w:rsid w:val="00D95628"/>
    <w:rsid w:val="00DA5B80"/>
    <w:rsid w:val="00DA7B5E"/>
    <w:rsid w:val="00DB1F97"/>
    <w:rsid w:val="00DD0244"/>
    <w:rsid w:val="00DD33DA"/>
    <w:rsid w:val="00DD453D"/>
    <w:rsid w:val="00DE139C"/>
    <w:rsid w:val="00DE1537"/>
    <w:rsid w:val="00DE7642"/>
    <w:rsid w:val="00DF78B9"/>
    <w:rsid w:val="00E07330"/>
    <w:rsid w:val="00E07ACE"/>
    <w:rsid w:val="00E218AD"/>
    <w:rsid w:val="00E23C7E"/>
    <w:rsid w:val="00E3383C"/>
    <w:rsid w:val="00E40E9E"/>
    <w:rsid w:val="00E431E2"/>
    <w:rsid w:val="00E441F7"/>
    <w:rsid w:val="00E52503"/>
    <w:rsid w:val="00E553CD"/>
    <w:rsid w:val="00E56C24"/>
    <w:rsid w:val="00E612F5"/>
    <w:rsid w:val="00E64F7E"/>
    <w:rsid w:val="00E71BBF"/>
    <w:rsid w:val="00E8256D"/>
    <w:rsid w:val="00E85741"/>
    <w:rsid w:val="00E86E5F"/>
    <w:rsid w:val="00E8702D"/>
    <w:rsid w:val="00E92031"/>
    <w:rsid w:val="00EA1A0C"/>
    <w:rsid w:val="00EA484B"/>
    <w:rsid w:val="00EB2B7A"/>
    <w:rsid w:val="00EB4E8F"/>
    <w:rsid w:val="00EB5607"/>
    <w:rsid w:val="00EB73C5"/>
    <w:rsid w:val="00EC0641"/>
    <w:rsid w:val="00EC499B"/>
    <w:rsid w:val="00ED46F0"/>
    <w:rsid w:val="00EE45F2"/>
    <w:rsid w:val="00EE5686"/>
    <w:rsid w:val="00EE63EF"/>
    <w:rsid w:val="00EF1ABF"/>
    <w:rsid w:val="00EF20DB"/>
    <w:rsid w:val="00EF3E38"/>
    <w:rsid w:val="00EF48AC"/>
    <w:rsid w:val="00EF63DF"/>
    <w:rsid w:val="00F03F8D"/>
    <w:rsid w:val="00F1643B"/>
    <w:rsid w:val="00F32654"/>
    <w:rsid w:val="00F352CF"/>
    <w:rsid w:val="00F37F3E"/>
    <w:rsid w:val="00F41177"/>
    <w:rsid w:val="00F42010"/>
    <w:rsid w:val="00F514AC"/>
    <w:rsid w:val="00F52C5A"/>
    <w:rsid w:val="00F55B94"/>
    <w:rsid w:val="00F772AD"/>
    <w:rsid w:val="00F82F05"/>
    <w:rsid w:val="00F8795E"/>
    <w:rsid w:val="00F90888"/>
    <w:rsid w:val="00F90ABF"/>
    <w:rsid w:val="00FA262D"/>
    <w:rsid w:val="00FB2479"/>
    <w:rsid w:val="00FB5A33"/>
    <w:rsid w:val="00FB6D8A"/>
    <w:rsid w:val="00FC326C"/>
    <w:rsid w:val="00FC33C1"/>
    <w:rsid w:val="00FE1D74"/>
    <w:rsid w:val="00FE36C3"/>
    <w:rsid w:val="00FE3F57"/>
    <w:rsid w:val="00FE6723"/>
    <w:rsid w:val="019B427A"/>
    <w:rsid w:val="0337738D"/>
    <w:rsid w:val="035A307B"/>
    <w:rsid w:val="03C958BB"/>
    <w:rsid w:val="042E0790"/>
    <w:rsid w:val="04501002"/>
    <w:rsid w:val="04966335"/>
    <w:rsid w:val="07734881"/>
    <w:rsid w:val="081E0B1B"/>
    <w:rsid w:val="08652544"/>
    <w:rsid w:val="08C43153"/>
    <w:rsid w:val="08C94F2B"/>
    <w:rsid w:val="09255BD1"/>
    <w:rsid w:val="09E87435"/>
    <w:rsid w:val="0BE8391A"/>
    <w:rsid w:val="0CCD5433"/>
    <w:rsid w:val="0CEC6CA3"/>
    <w:rsid w:val="0D861D30"/>
    <w:rsid w:val="0EEC5B0F"/>
    <w:rsid w:val="104430E9"/>
    <w:rsid w:val="10954D67"/>
    <w:rsid w:val="12771554"/>
    <w:rsid w:val="13390EFF"/>
    <w:rsid w:val="13DD5D2E"/>
    <w:rsid w:val="14A329AA"/>
    <w:rsid w:val="15CE49A8"/>
    <w:rsid w:val="167C5752"/>
    <w:rsid w:val="184D38AB"/>
    <w:rsid w:val="189F1263"/>
    <w:rsid w:val="18BC3B77"/>
    <w:rsid w:val="191915B7"/>
    <w:rsid w:val="19EA2F53"/>
    <w:rsid w:val="1A0E7F7B"/>
    <w:rsid w:val="1B6034CD"/>
    <w:rsid w:val="1B7840C9"/>
    <w:rsid w:val="1BF27E9D"/>
    <w:rsid w:val="1D976F4E"/>
    <w:rsid w:val="1F53626C"/>
    <w:rsid w:val="2120725A"/>
    <w:rsid w:val="219043E0"/>
    <w:rsid w:val="223E3E3C"/>
    <w:rsid w:val="230E7CB2"/>
    <w:rsid w:val="23176536"/>
    <w:rsid w:val="23267F95"/>
    <w:rsid w:val="232C0139"/>
    <w:rsid w:val="24CC6D56"/>
    <w:rsid w:val="2505032D"/>
    <w:rsid w:val="25FD7B6A"/>
    <w:rsid w:val="271A1244"/>
    <w:rsid w:val="276F4A98"/>
    <w:rsid w:val="288A1B89"/>
    <w:rsid w:val="29C4731D"/>
    <w:rsid w:val="2A157B78"/>
    <w:rsid w:val="2A820E02"/>
    <w:rsid w:val="2AB66632"/>
    <w:rsid w:val="2B5A7F12"/>
    <w:rsid w:val="2BB138D1"/>
    <w:rsid w:val="2BDC52C4"/>
    <w:rsid w:val="2D263E4A"/>
    <w:rsid w:val="30801AC4"/>
    <w:rsid w:val="30AB6B41"/>
    <w:rsid w:val="312E3626"/>
    <w:rsid w:val="3228076F"/>
    <w:rsid w:val="32F66BC3"/>
    <w:rsid w:val="359C2EFC"/>
    <w:rsid w:val="35DE1766"/>
    <w:rsid w:val="36E36908"/>
    <w:rsid w:val="36E96615"/>
    <w:rsid w:val="372D650A"/>
    <w:rsid w:val="38E30E42"/>
    <w:rsid w:val="39DB56B0"/>
    <w:rsid w:val="3A2F2590"/>
    <w:rsid w:val="3AA92677"/>
    <w:rsid w:val="3AA96F09"/>
    <w:rsid w:val="3C926E07"/>
    <w:rsid w:val="3CE37662"/>
    <w:rsid w:val="3D296FF8"/>
    <w:rsid w:val="3D566086"/>
    <w:rsid w:val="3E1C68A5"/>
    <w:rsid w:val="3F80388E"/>
    <w:rsid w:val="3F8E1B07"/>
    <w:rsid w:val="404D4678"/>
    <w:rsid w:val="418403B8"/>
    <w:rsid w:val="41986C6D"/>
    <w:rsid w:val="443B7D84"/>
    <w:rsid w:val="452659DD"/>
    <w:rsid w:val="45CA6282"/>
    <w:rsid w:val="478F3C2F"/>
    <w:rsid w:val="47B70069"/>
    <w:rsid w:val="483D40CA"/>
    <w:rsid w:val="4856518C"/>
    <w:rsid w:val="4AB71385"/>
    <w:rsid w:val="4AD56621"/>
    <w:rsid w:val="4D0D146C"/>
    <w:rsid w:val="4E0E0960"/>
    <w:rsid w:val="4E830CA5"/>
    <w:rsid w:val="4EB250E6"/>
    <w:rsid w:val="4ED91919"/>
    <w:rsid w:val="4EF507C6"/>
    <w:rsid w:val="50526B81"/>
    <w:rsid w:val="540A0005"/>
    <w:rsid w:val="55A02B7E"/>
    <w:rsid w:val="561214A4"/>
    <w:rsid w:val="56A364EF"/>
    <w:rsid w:val="56B35DDA"/>
    <w:rsid w:val="581B0C80"/>
    <w:rsid w:val="5963595B"/>
    <w:rsid w:val="5A494B51"/>
    <w:rsid w:val="5B4F29FB"/>
    <w:rsid w:val="5B6D2AC1"/>
    <w:rsid w:val="5CE13766"/>
    <w:rsid w:val="5DB36BC1"/>
    <w:rsid w:val="5F0B071F"/>
    <w:rsid w:val="60591866"/>
    <w:rsid w:val="60B30F76"/>
    <w:rsid w:val="60C26958"/>
    <w:rsid w:val="611539DF"/>
    <w:rsid w:val="617A3B70"/>
    <w:rsid w:val="619A2136"/>
    <w:rsid w:val="61F23D20"/>
    <w:rsid w:val="62FD472A"/>
    <w:rsid w:val="63C67212"/>
    <w:rsid w:val="646A01DB"/>
    <w:rsid w:val="65864EAB"/>
    <w:rsid w:val="65DC0F6F"/>
    <w:rsid w:val="6691032E"/>
    <w:rsid w:val="672C1A82"/>
    <w:rsid w:val="67947F3D"/>
    <w:rsid w:val="699D0A15"/>
    <w:rsid w:val="6A2C3B47"/>
    <w:rsid w:val="6A9811DC"/>
    <w:rsid w:val="6B3A2EF3"/>
    <w:rsid w:val="6C7F08A6"/>
    <w:rsid w:val="6CF03A24"/>
    <w:rsid w:val="70BD199D"/>
    <w:rsid w:val="71537C6E"/>
    <w:rsid w:val="72B62EA6"/>
    <w:rsid w:val="733F2B3D"/>
    <w:rsid w:val="73756254"/>
    <w:rsid w:val="752C5F57"/>
    <w:rsid w:val="77FC0FFD"/>
    <w:rsid w:val="78E40E4C"/>
    <w:rsid w:val="78EF1227"/>
    <w:rsid w:val="78F37996"/>
    <w:rsid w:val="7A5D252C"/>
    <w:rsid w:val="7ADC2B45"/>
    <w:rsid w:val="7B8A3296"/>
    <w:rsid w:val="7D5947FB"/>
    <w:rsid w:val="7EFC18E2"/>
    <w:rsid w:val="7F3F1588"/>
    <w:rsid w:val="7FC2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Body Text"/>
    <w:basedOn w:val="1"/>
    <w:link w:val="33"/>
    <w:semiHidden/>
    <w:unhideWhenUsed/>
    <w:qFormat/>
    <w:uiPriority w:val="99"/>
    <w:pPr>
      <w:spacing w:after="120"/>
    </w:p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imes New Roman" w:hAnsi="Times New Roman" w:eastAsia="仿宋_GB2312"/>
      <w:sz w:val="28"/>
    </w:rPr>
  </w:style>
  <w:style w:type="paragraph" w:styleId="12">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paragraph" w:styleId="14">
    <w:name w:val="Title"/>
    <w:basedOn w:val="1"/>
    <w:next w:val="1"/>
    <w:link w:val="29"/>
    <w:qFormat/>
    <w:uiPriority w:val="10"/>
    <w:pPr>
      <w:spacing w:before="50" w:beforeLines="50" w:after="50" w:afterLines="50" w:line="360" w:lineRule="auto"/>
      <w:outlineLvl w:val="0"/>
    </w:pPr>
    <w:rPr>
      <w:rFonts w:ascii="Times New Roman" w:hAnsi="Times New Roman" w:eastAsia="仿宋_GB2312" w:cstheme="majorBidi"/>
      <w:b/>
      <w:bCs/>
      <w:sz w:val="32"/>
      <w:szCs w:val="32"/>
    </w:rPr>
  </w:style>
  <w:style w:type="paragraph" w:styleId="15">
    <w:name w:val="annotation subject"/>
    <w:basedOn w:val="5"/>
    <w:next w:val="5"/>
    <w:link w:val="44"/>
    <w:semiHidden/>
    <w:unhideWhenUsed/>
    <w:qFormat/>
    <w:uiPriority w:val="99"/>
    <w:rPr>
      <w:b/>
      <w:bCs/>
    </w:rPr>
  </w:style>
  <w:style w:type="paragraph" w:styleId="16">
    <w:name w:val="Body Text First Indent"/>
    <w:basedOn w:val="6"/>
    <w:link w:val="34"/>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character" w:customStyle="1" w:styleId="24">
    <w:name w:val="批注框文本 字符"/>
    <w:basedOn w:val="19"/>
    <w:link w:val="8"/>
    <w:semiHidden/>
    <w:qFormat/>
    <w:uiPriority w:val="99"/>
    <w:rPr>
      <w:sz w:val="18"/>
      <w:szCs w:val="18"/>
    </w:rPr>
  </w:style>
  <w:style w:type="character" w:customStyle="1" w:styleId="25">
    <w:name w:val="副标题 字符"/>
    <w:basedOn w:val="19"/>
    <w:link w:val="12"/>
    <w:qFormat/>
    <w:uiPriority w:val="11"/>
    <w:rPr>
      <w:rFonts w:eastAsia="宋体" w:asciiTheme="majorHAnsi" w:hAnsiTheme="majorHAnsi" w:cstheme="majorBidi"/>
      <w:b/>
      <w:bCs/>
      <w:kern w:val="28"/>
      <w:sz w:val="32"/>
      <w:szCs w:val="32"/>
    </w:rPr>
  </w:style>
  <w:style w:type="character" w:customStyle="1" w:styleId="26">
    <w:name w:val="标题 1 字符"/>
    <w:basedOn w:val="19"/>
    <w:link w:val="2"/>
    <w:qFormat/>
    <w:uiPriority w:val="9"/>
    <w:rPr>
      <w:b/>
      <w:bCs/>
      <w:kern w:val="44"/>
      <w:sz w:val="44"/>
      <w:szCs w:val="44"/>
    </w:rPr>
  </w:style>
  <w:style w:type="character" w:customStyle="1" w:styleId="27">
    <w:name w:val="标题 2 字符"/>
    <w:basedOn w:val="19"/>
    <w:link w:val="3"/>
    <w:qFormat/>
    <w:uiPriority w:val="9"/>
    <w:rPr>
      <w:rFonts w:asciiTheme="majorHAnsi" w:hAnsiTheme="majorHAnsi" w:eastAsiaTheme="majorEastAsia" w:cstheme="majorBidi"/>
      <w:b/>
      <w:bCs/>
      <w:sz w:val="32"/>
      <w:szCs w:val="32"/>
    </w:rPr>
  </w:style>
  <w:style w:type="character" w:customStyle="1" w:styleId="28">
    <w:name w:val="标题 3 字符"/>
    <w:basedOn w:val="19"/>
    <w:link w:val="4"/>
    <w:semiHidden/>
    <w:qFormat/>
    <w:uiPriority w:val="9"/>
    <w:rPr>
      <w:b/>
      <w:bCs/>
      <w:sz w:val="32"/>
      <w:szCs w:val="32"/>
    </w:rPr>
  </w:style>
  <w:style w:type="character" w:customStyle="1" w:styleId="29">
    <w:name w:val="标题 字符"/>
    <w:basedOn w:val="19"/>
    <w:link w:val="14"/>
    <w:qFormat/>
    <w:uiPriority w:val="10"/>
    <w:rPr>
      <w:rFonts w:ascii="Times New Roman" w:hAnsi="Times New Roman" w:eastAsia="仿宋_GB2312" w:cstheme="majorBidi"/>
      <w:b/>
      <w:bCs/>
      <w:sz w:val="32"/>
      <w:szCs w:val="32"/>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1">
    <w:name w:val="日期 字符"/>
    <w:basedOn w:val="19"/>
    <w:link w:val="7"/>
    <w:semiHidden/>
    <w:qFormat/>
    <w:uiPriority w:val="99"/>
  </w:style>
  <w:style w:type="character" w:customStyle="1" w:styleId="32">
    <w:name w:val="批注文字 字符"/>
    <w:basedOn w:val="19"/>
    <w:link w:val="5"/>
    <w:semiHidden/>
    <w:qFormat/>
    <w:uiPriority w:val="99"/>
  </w:style>
  <w:style w:type="character" w:customStyle="1" w:styleId="33">
    <w:name w:val="正文文本 字符"/>
    <w:basedOn w:val="19"/>
    <w:link w:val="6"/>
    <w:semiHidden/>
    <w:qFormat/>
    <w:uiPriority w:val="99"/>
    <w:rPr>
      <w:kern w:val="2"/>
      <w:sz w:val="21"/>
      <w:szCs w:val="22"/>
    </w:rPr>
  </w:style>
  <w:style w:type="character" w:customStyle="1" w:styleId="34">
    <w:name w:val="正文首行缩进 字符"/>
    <w:basedOn w:val="33"/>
    <w:link w:val="16"/>
    <w:qFormat/>
    <w:uiPriority w:val="99"/>
    <w:rPr>
      <w:kern w:val="2"/>
      <w:sz w:val="21"/>
      <w:szCs w:val="22"/>
    </w:rPr>
  </w:style>
  <w:style w:type="paragraph" w:customStyle="1" w:styleId="35">
    <w:name w:val="发布日期"/>
    <w:qFormat/>
    <w:uiPriority w:val="0"/>
    <w:rPr>
      <w:rFonts w:ascii="Times New Roman" w:hAnsi="Times New Roman" w:eastAsia="黑体" w:cs="Times New Roman"/>
      <w:sz w:val="28"/>
      <w:lang w:val="en-US" w:eastAsia="zh-CN" w:bidi="ar-SA"/>
    </w:rPr>
  </w:style>
  <w:style w:type="paragraph" w:customStyle="1" w:styleId="36">
    <w:name w:val="实施日期"/>
    <w:basedOn w:val="35"/>
    <w:qFormat/>
    <w:uiPriority w:val="0"/>
    <w:pPr>
      <w:jc w:val="right"/>
    </w:pPr>
  </w:style>
  <w:style w:type="paragraph" w:customStyle="1" w:styleId="3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8">
    <w:name w:val="发布部门"/>
    <w:next w:val="1"/>
    <w:qFormat/>
    <w:uiPriority w:val="99"/>
    <w:pPr>
      <w:jc w:val="center"/>
    </w:pPr>
    <w:rPr>
      <w:rFonts w:ascii="宋体" w:hAnsi="Times New Roman" w:eastAsia="宋体" w:cs="Times New Roman"/>
      <w:b/>
      <w:spacing w:val="20"/>
      <w:w w:val="135"/>
      <w:sz w:val="36"/>
      <w:lang w:val="en-US" w:eastAsia="zh-CN" w:bidi="ar-SA"/>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1">
    <w:name w:val="标准文件_一级条标题"/>
    <w:basedOn w:val="42"/>
    <w:next w:val="43"/>
    <w:qFormat/>
    <w:uiPriority w:val="0"/>
    <w:pPr>
      <w:numPr>
        <w:ilvl w:val="2"/>
      </w:numPr>
      <w:spacing w:before="50" w:beforeLines="50" w:after="50" w:afterLines="50"/>
      <w:ind w:left="0"/>
      <w:outlineLvl w:val="1"/>
    </w:pPr>
  </w:style>
  <w:style w:type="paragraph" w:customStyle="1" w:styleId="42">
    <w:name w:val="标准文件_章标题"/>
    <w:next w:val="4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批注主题 字符"/>
    <w:basedOn w:val="32"/>
    <w:link w:val="15"/>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32585-6598-473E-B3AC-69296184862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5134</Words>
  <Characters>5956</Characters>
  <Lines>47</Lines>
  <Paragraphs>13</Paragraphs>
  <TotalTime>38</TotalTime>
  <ScaleCrop>false</ScaleCrop>
  <LinksUpToDate>false</LinksUpToDate>
  <CharactersWithSpaces>6180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2022-07-23T01:44:00Z</dcterms:created>
  <dc:creator>Windows User</dc:creator>
  <cp:lastModifiedBy>林若虚</cp:lastModifiedBy>
  <dcterms:modified xsi:type="dcterms:W3CDTF">2022-11-16T07:02:39Z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2BEB0276AD8E463581F323467414D3AC</vt:lpwstr>
  </property>
</Properties>
</file>