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291" w:firstLineChars="1147"/>
        <w:rPr>
          <w:rFonts w:asciiTheme="minorEastAsia" w:hAnsiTheme="minorEastAsia"/>
          <w:b/>
          <w:sz w:val="72"/>
          <w:szCs w:val="72"/>
        </w:rPr>
      </w:pPr>
      <w:r>
        <w:rPr>
          <w:rFonts w:hint="eastAsia" w:asciiTheme="minorEastAsia" w:hAnsiTheme="minorEastAsia"/>
          <w:b/>
          <w:sz w:val="72"/>
          <w:szCs w:val="72"/>
        </w:rPr>
        <w:t>YS</w:t>
      </w:r>
    </w:p>
    <w:p>
      <w:pPr>
        <w:jc w:val="distribute"/>
        <w:rPr>
          <w:rFonts w:ascii="黑体" w:hAnsi="黑体" w:eastAsia="黑体"/>
          <w:b/>
          <w:sz w:val="52"/>
          <w:szCs w:val="52"/>
        </w:rPr>
      </w:pPr>
      <w:r>
        <w:rPr>
          <w:rFonts w:hint="eastAsia" w:ascii="黑体" w:hAnsi="黑体" w:eastAsia="黑体"/>
          <w:b/>
          <w:sz w:val="52"/>
          <w:szCs w:val="52"/>
        </w:rPr>
        <w:t>中华人民共和国有色金属行业标准</w:t>
      </w:r>
    </w:p>
    <w:p>
      <w:pPr>
        <w:ind w:right="700"/>
        <w:jc w:val="right"/>
        <w:rPr>
          <w:sz w:val="28"/>
          <w:szCs w:val="28"/>
        </w:rPr>
      </w:pPr>
      <w:r>
        <w:rPr>
          <w:rFonts w:hint="eastAsia"/>
          <w:sz w:val="28"/>
          <w:szCs w:val="28"/>
        </w:rPr>
        <w:t>YS</w:t>
      </w:r>
      <w:r>
        <w:rPr>
          <w:sz w:val="28"/>
          <w:szCs w:val="28"/>
        </w:rPr>
        <w:t>/</w:t>
      </w:r>
      <w:r>
        <w:rPr>
          <w:rFonts w:hint="eastAsia"/>
          <w:sz w:val="28"/>
          <w:szCs w:val="28"/>
        </w:rPr>
        <w:t>T</w:t>
      </w:r>
      <w:r>
        <w:rPr>
          <w:sz w:val="28"/>
          <w:szCs w:val="28"/>
        </w:rPr>
        <w:t xml:space="preserve">  </w:t>
      </w:r>
    </w:p>
    <w:p>
      <w:r>
        <w:rPr>
          <w:highlight w:val="black"/>
        </w:rPr>
        <w:pict>
          <v:line id="直接连接符 1" o:spid="_x0000_s1026" o:spt="20" style="position:absolute;left:0pt;flip:y;margin-left:6pt;margin-top:6.45pt;height:0pt;width:447.75pt;z-index:251659264;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">
            <v:path arrowok="t"/>
            <v:fill focussize="0,0"/>
            <v:stroke weight="0.5pt" color="#5B9BD5" joinstyle="miter"/>
            <v:imagedata o:title=""/>
            <o:lock v:ext="edit"/>
          </v:line>
        </w:pict>
      </w:r>
    </w:p>
    <w:p/>
    <w:p/>
    <w:p/>
    <w:p/>
    <w:p/>
    <w:p>
      <w:pPr>
        <w:jc w:val="center"/>
        <w:rPr>
          <w:rFonts w:ascii="黑体" w:hAnsi="黑体" w:eastAsia="黑体"/>
          <w:b/>
          <w:sz w:val="52"/>
          <w:szCs w:val="52"/>
        </w:rPr>
      </w:pPr>
      <w:r>
        <w:rPr>
          <w:rFonts w:hint="eastAsia" w:ascii="黑体" w:hAnsi="黑体" w:eastAsia="黑体"/>
          <w:b/>
          <w:sz w:val="52"/>
          <w:szCs w:val="52"/>
        </w:rPr>
        <w:t>回转式</w:t>
      </w:r>
      <w:r>
        <w:rPr>
          <w:rFonts w:ascii="黑体" w:hAnsi="黑体" w:eastAsia="黑体"/>
          <w:b/>
          <w:sz w:val="52"/>
          <w:szCs w:val="52"/>
        </w:rPr>
        <w:t>铜精炼炉</w:t>
      </w:r>
      <w:r>
        <w:rPr>
          <w:rFonts w:hint="eastAsia" w:ascii="黑体" w:hAnsi="黑体" w:eastAsia="黑体"/>
          <w:b/>
          <w:sz w:val="52"/>
          <w:szCs w:val="52"/>
        </w:rPr>
        <w:t>技术条件</w:t>
      </w:r>
    </w:p>
    <w:p/>
    <w:p/>
    <w:p/>
    <w:p/>
    <w:p/>
    <w:p/>
    <w:p/>
    <w:p/>
    <w:p/>
    <w:p/>
    <w:p/>
    <w:p/>
    <w:p/>
    <w:p/>
    <w:p/>
    <w:p/>
    <w:p/>
    <w:p/>
    <w:p/>
    <w:p/>
    <w:p/>
    <w:p/>
    <w:p>
      <w:pPr>
        <w:ind w:firstLine="1050" w:firstLineChars="500"/>
        <w:rPr>
          <w:rFonts w:ascii="黑体" w:hAnsi="黑体" w:eastAsia="黑体"/>
        </w:rPr>
      </w:pPr>
      <w:r>
        <w:rPr>
          <w:rFonts w:hint="eastAsia" w:ascii="黑体" w:hAnsi="黑体" w:eastAsia="黑体"/>
        </w:rPr>
        <w:t>发布                                                             实施</w:t>
      </w:r>
    </w:p>
    <w:p>
      <w:pPr>
        <w:rPr>
          <w:shd w:val="pct10" w:color="auto" w:fill="FFFFFF"/>
        </w:rPr>
      </w:pPr>
      <w:r>
        <w:rPr>
          <w:shd w:val="pct10" w:color="auto" w:fill="FFFFFF"/>
        </w:rPr>
        <w:pict>
          <v:line id="直接连接符 2" o:spid="_x0000_s1028" o:spt="20" style="position:absolute;left:0pt;flip:y;margin-left:1.1pt;margin-top:4.2pt;height:2.25pt;width:424.5pt;mso-position-horizontal-relative:margin;z-index:251660288;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">
            <v:path arrowok="t"/>
            <v:fill focussize="0,0"/>
            <v:stroke weight="0.5pt" color="#5B9BD5" joinstyle="miter"/>
            <v:imagedata o:title=""/>
            <o:lock v:ext="edit"/>
          </v:line>
        </w:pict>
      </w:r>
    </w:p>
    <w:p>
      <w:pPr>
        <w:jc w:val="center"/>
        <w:rPr>
          <w:b/>
          <w:sz w:val="32"/>
          <w:szCs w:val="32"/>
        </w:rPr>
      </w:pPr>
      <w:r>
        <w:rPr>
          <w:rFonts w:hint="eastAsia"/>
          <w:b/>
          <w:sz w:val="32"/>
          <w:szCs w:val="32"/>
        </w:rPr>
        <w:t>XXX发布</w:t>
      </w:r>
    </w:p>
    <w:p>
      <w:pPr>
        <w:tabs>
          <w:tab w:val="right" w:pos="8306"/>
        </w:tabs>
        <w:jc w:val="left"/>
        <w:rPr>
          <w:sz w:val="28"/>
          <w:szCs w:val="28"/>
        </w:rPr>
      </w:pPr>
    </w:p>
    <w:p>
      <w:pPr>
        <w:rPr>
          <w:rFonts w:ascii="黑体" w:hAnsi="黑体" w:eastAsia="黑体" w:cs="宋体"/>
          <w:b/>
          <w:sz w:val="32"/>
        </w:rPr>
      </w:pPr>
      <w:r>
        <w:rPr>
          <w:rFonts w:hint="eastAsia" w:ascii="黑体" w:hAnsi="黑体" w:eastAsia="黑体" w:cs="宋体"/>
          <w:b/>
          <w:sz w:val="32"/>
        </w:rPr>
        <w:t>回转式铜精炼炉技术条件</w:t>
      </w:r>
    </w:p>
    <w:p>
      <w:pPr>
        <w:pStyle w:val="27"/>
        <w:ind w:left="0" w:right="-2"/>
        <w:rPr>
          <w:i w:val="0"/>
        </w:rPr>
      </w:pPr>
    </w:p>
    <w:p>
      <w:pPr>
        <w:pStyle w:val="13"/>
        <w:numPr>
          <w:ilvl w:val="0"/>
          <w:numId w:val="3"/>
        </w:numPr>
        <w:adjustRightInd w:val="0"/>
        <w:snapToGrid w:val="0"/>
        <w:spacing w:beforeLines="50" w:afterLines="50" w:line="360" w:lineRule="auto"/>
        <w:ind w:left="357" w:hanging="357" w:firstLineChars="0"/>
        <w:rPr>
          <w:rFonts w:asciiTheme="minorEastAsia" w:hAnsiTheme="minorEastAsia"/>
          <w:b/>
          <w:szCs w:val="21"/>
        </w:rPr>
      </w:pPr>
      <w:r>
        <w:rPr>
          <w:rFonts w:hint="eastAsia" w:asciiTheme="minorEastAsia" w:hAnsiTheme="minorEastAsia"/>
          <w:b/>
          <w:szCs w:val="21"/>
        </w:rPr>
        <w:t>范围</w:t>
      </w:r>
    </w:p>
    <w:p>
      <w:pPr>
        <w:pStyle w:val="15"/>
        <w:numPr>
          <w:ilvl w:val="0"/>
          <w:numId w:val="0"/>
        </w:numPr>
        <w:spacing w:beforeLines="0" w:afterLines="0" w:line="360" w:lineRule="auto"/>
        <w:ind w:firstLine="420" w:firstLineChars="200"/>
        <w:rPr>
          <w:rFonts w:ascii="宋体" w:hAnsi="宋体" w:eastAsia="宋体"/>
          <w:szCs w:val="21"/>
        </w:rPr>
      </w:pPr>
      <w:r>
        <w:rPr>
          <w:rFonts w:hint="eastAsia" w:ascii="宋体" w:hAnsi="宋体" w:eastAsia="宋体"/>
          <w:szCs w:val="21"/>
        </w:rPr>
        <w:t>本标准规定了回转式铜精炼炉的技术要求、试验方法、检验规则</w:t>
      </w:r>
      <w:r>
        <w:rPr>
          <w:rFonts w:hint="eastAsia" w:ascii="宋体" w:hAnsi="宋体" w:eastAsia="宋体"/>
          <w:szCs w:val="21"/>
          <w:lang w:val="en-US" w:eastAsia="zh-CN"/>
        </w:rPr>
        <w:t>等</w:t>
      </w:r>
      <w:r>
        <w:rPr>
          <w:rFonts w:hint="eastAsia" w:ascii="宋体" w:hAnsi="宋体" w:eastAsia="宋体"/>
          <w:szCs w:val="21"/>
        </w:rPr>
        <w:t>。</w:t>
      </w:r>
    </w:p>
    <w:p>
      <w:pPr>
        <w:spacing w:line="360" w:lineRule="auto"/>
        <w:ind w:firstLine="420" w:firstLineChars="200"/>
      </w:pPr>
      <w:r>
        <w:rPr>
          <w:rFonts w:hint="eastAsia" w:ascii="宋体" w:hAnsi="宋体" w:eastAsia="宋体"/>
          <w:szCs w:val="21"/>
        </w:rPr>
        <w:t>本标准适用于铜溶液精炼且炉体为卧式的回转式精炼炉（以下简称精炼炉），精炼炉用于把</w:t>
      </w:r>
      <w:r>
        <w:rPr>
          <w:rFonts w:ascii="宋体" w:hAnsi="宋体" w:eastAsia="宋体"/>
          <w:szCs w:val="21"/>
        </w:rPr>
        <w:t>从</w:t>
      </w:r>
      <w:r>
        <w:rPr>
          <w:rFonts w:hint="eastAsia" w:ascii="宋体" w:hAnsi="宋体" w:eastAsia="宋体"/>
          <w:szCs w:val="21"/>
        </w:rPr>
        <w:t>吹炼</w:t>
      </w:r>
      <w:r>
        <w:rPr>
          <w:rFonts w:ascii="宋体" w:hAnsi="宋体" w:eastAsia="宋体"/>
          <w:szCs w:val="21"/>
        </w:rPr>
        <w:t>炉产出的液态粗铜</w:t>
      </w:r>
      <w:r>
        <w:rPr>
          <w:rFonts w:hint="eastAsia" w:ascii="宋体" w:hAnsi="宋体" w:eastAsia="宋体"/>
          <w:szCs w:val="21"/>
        </w:rPr>
        <w:t>精炼成阳极铜。卧式铜吹炼转炉也可参照使用。</w:t>
      </w:r>
    </w:p>
    <w:p>
      <w:pPr>
        <w:spacing w:line="360" w:lineRule="auto"/>
        <w:ind w:firstLine="420" w:firstLineChars="200"/>
        <w:rPr>
          <w:rFonts w:ascii="宋体" w:hAnsi="宋体" w:eastAsia="宋体"/>
          <w:szCs w:val="21"/>
        </w:rPr>
      </w:pPr>
      <w:r>
        <w:rPr>
          <w:rFonts w:hint="eastAsia" w:ascii="宋体" w:hAnsi="宋体" w:eastAsia="宋体"/>
          <w:szCs w:val="21"/>
        </w:rPr>
        <w:t>本标准不包括对筒体内衬砌体的要求。</w:t>
      </w:r>
    </w:p>
    <w:p>
      <w:pPr>
        <w:pStyle w:val="13"/>
        <w:numPr>
          <w:ilvl w:val="0"/>
          <w:numId w:val="3"/>
        </w:numPr>
        <w:adjustRightInd w:val="0"/>
        <w:snapToGrid w:val="0"/>
        <w:spacing w:beforeLines="50" w:afterLines="50" w:line="360" w:lineRule="auto"/>
        <w:ind w:left="357" w:hanging="357" w:firstLineChars="0"/>
        <w:rPr>
          <w:rFonts w:asciiTheme="minorEastAsia" w:hAnsiTheme="minorEastAsia"/>
          <w:b/>
          <w:szCs w:val="21"/>
        </w:rPr>
      </w:pPr>
      <w:r>
        <w:rPr>
          <w:rFonts w:hint="eastAsia" w:asciiTheme="minorEastAsia" w:hAnsiTheme="minorEastAsia"/>
          <w:b/>
          <w:szCs w:val="21"/>
        </w:rPr>
        <w:t>引用标准</w:t>
      </w:r>
    </w:p>
    <w:p>
      <w:pPr>
        <w:spacing w:line="360" w:lineRule="auto"/>
        <w:ind w:firstLine="405"/>
        <w:rPr>
          <w:rFonts w:hint="eastAsia" w:ascii="宋体" w:hAnsi="宋体" w:eastAsia="宋体"/>
          <w:szCs w:val="21"/>
        </w:rPr>
      </w:pPr>
      <w:r>
        <w:rPr>
          <w:rFonts w:hint="eastAsia" w:ascii="宋体" w:hAnsi="宋体" w:eastAsia="宋体"/>
          <w:szCs w:val="21"/>
        </w:rPr>
        <w:t>GB/T 13306</w:t>
      </w:r>
      <w:r>
        <w:rPr>
          <w:rFonts w:hint="eastAsia" w:ascii="宋体" w:hAnsi="宋体" w:eastAsia="宋体"/>
          <w:szCs w:val="21"/>
          <w:lang w:val="en-US" w:eastAsia="zh-CN"/>
        </w:rPr>
        <w:t>-2011</w:t>
      </w:r>
      <w:r>
        <w:rPr>
          <w:rFonts w:hint="eastAsia" w:ascii="宋体" w:hAnsi="宋体" w:eastAsia="宋体"/>
          <w:szCs w:val="21"/>
        </w:rPr>
        <w:t xml:space="preserve"> 标牌</w:t>
      </w:r>
    </w:p>
    <w:p>
      <w:pPr>
        <w:spacing w:line="360" w:lineRule="auto"/>
        <w:ind w:firstLine="405"/>
        <w:rPr>
          <w:rFonts w:hint="eastAsia" w:ascii="宋体" w:hAnsi="宋体" w:eastAsia="宋体"/>
          <w:szCs w:val="21"/>
        </w:rPr>
      </w:pPr>
      <w:r>
        <w:rPr>
          <w:rFonts w:hint="eastAsia" w:ascii="宋体" w:hAnsi="宋体" w:eastAsia="宋体"/>
          <w:szCs w:val="21"/>
        </w:rPr>
        <w:t>GB/T 8923</w:t>
      </w:r>
      <w:r>
        <w:rPr>
          <w:rFonts w:hint="eastAsia" w:ascii="宋体" w:hAnsi="宋体" w:eastAsia="宋体"/>
          <w:szCs w:val="21"/>
          <w:lang w:val="en-US" w:eastAsia="zh-CN"/>
        </w:rPr>
        <w:t>.1-2011</w:t>
      </w:r>
      <w:r>
        <w:rPr>
          <w:rFonts w:hint="eastAsia" w:ascii="宋体" w:hAnsi="宋体" w:eastAsia="宋体"/>
          <w:szCs w:val="21"/>
        </w:rPr>
        <w:t xml:space="preserve"> 涂覆涂料前钢材表面处理 表面清洁度的目视评定 第1部分：未涂覆过的钢材表面和全面清除原有涂层后的钢材表面的锈蚀等级和处理等级</w:t>
      </w:r>
    </w:p>
    <w:p>
      <w:pPr>
        <w:spacing w:line="360" w:lineRule="auto"/>
        <w:ind w:firstLine="405"/>
        <w:rPr>
          <w:rFonts w:hint="eastAsia" w:ascii="宋体" w:hAnsi="宋体" w:eastAsia="宋体"/>
          <w:szCs w:val="21"/>
        </w:rPr>
      </w:pPr>
      <w:r>
        <w:rPr>
          <w:rFonts w:hint="eastAsia" w:ascii="宋体" w:hAnsi="宋体" w:eastAsia="宋体"/>
          <w:szCs w:val="21"/>
        </w:rPr>
        <w:t>GB/T 13384</w:t>
      </w:r>
      <w:r>
        <w:rPr>
          <w:rFonts w:hint="eastAsia" w:ascii="宋体" w:hAnsi="宋体" w:eastAsia="宋体"/>
          <w:szCs w:val="21"/>
          <w:lang w:val="en-US" w:eastAsia="zh-CN"/>
        </w:rPr>
        <w:t>-2008</w:t>
      </w:r>
      <w:r>
        <w:rPr>
          <w:rFonts w:hint="eastAsia" w:ascii="宋体" w:hAnsi="宋体" w:eastAsia="宋体"/>
          <w:szCs w:val="21"/>
        </w:rPr>
        <w:t xml:space="preserve"> 机电产品包装通用技术条件</w:t>
      </w:r>
    </w:p>
    <w:p>
      <w:pPr>
        <w:spacing w:line="360" w:lineRule="auto"/>
        <w:ind w:firstLine="403"/>
        <w:rPr>
          <w:rFonts w:ascii="宋体" w:hAnsi="宋体" w:eastAsia="宋体"/>
          <w:szCs w:val="21"/>
        </w:rPr>
      </w:pPr>
      <w:r>
        <w:rPr>
          <w:rFonts w:hint="eastAsia" w:ascii="宋体" w:hAnsi="宋体" w:eastAsia="宋体"/>
          <w:szCs w:val="21"/>
        </w:rPr>
        <w:t>GB/T 191</w:t>
      </w:r>
      <w:r>
        <w:rPr>
          <w:rFonts w:hint="eastAsia" w:ascii="宋体" w:hAnsi="宋体" w:eastAsia="宋体"/>
          <w:szCs w:val="21"/>
          <w:lang w:val="en-US" w:eastAsia="zh-CN"/>
        </w:rPr>
        <w:t>-2008</w:t>
      </w:r>
      <w:r>
        <w:rPr>
          <w:rFonts w:hint="eastAsia" w:ascii="宋体" w:hAnsi="宋体" w:eastAsia="宋体"/>
          <w:szCs w:val="21"/>
        </w:rPr>
        <w:t xml:space="preserve">  包装储运图示标志</w:t>
      </w:r>
    </w:p>
    <w:p>
      <w:pPr>
        <w:spacing w:line="360" w:lineRule="auto"/>
        <w:ind w:firstLine="405"/>
        <w:rPr>
          <w:rFonts w:ascii="宋体" w:hAnsi="宋体" w:eastAsia="宋体"/>
          <w:szCs w:val="21"/>
        </w:rPr>
      </w:pPr>
      <w:r>
        <w:rPr>
          <w:rFonts w:hint="eastAsia" w:ascii="宋体" w:hAnsi="宋体" w:eastAsia="宋体"/>
          <w:szCs w:val="21"/>
        </w:rPr>
        <w:t>GB/T 3274</w:t>
      </w:r>
      <w:r>
        <w:rPr>
          <w:rFonts w:hint="eastAsia" w:ascii="宋体" w:hAnsi="宋体" w:eastAsia="宋体"/>
          <w:szCs w:val="21"/>
          <w:lang w:val="en-US" w:eastAsia="zh-CN"/>
        </w:rPr>
        <w:t>-2017</w:t>
      </w:r>
      <w:r>
        <w:rPr>
          <w:rFonts w:hint="eastAsia" w:ascii="宋体" w:hAnsi="宋体" w:eastAsia="宋体"/>
          <w:szCs w:val="21"/>
        </w:rPr>
        <w:t xml:space="preserve"> 碳素结构钢和低合金结构钢热轧钢板和钢带</w:t>
      </w:r>
    </w:p>
    <w:p>
      <w:pPr>
        <w:spacing w:line="360" w:lineRule="auto"/>
        <w:ind w:firstLine="405"/>
        <w:rPr>
          <w:rFonts w:ascii="宋体" w:hAnsi="宋体" w:eastAsia="宋体"/>
          <w:szCs w:val="21"/>
        </w:rPr>
      </w:pPr>
      <w:r>
        <w:rPr>
          <w:rFonts w:hint="eastAsia" w:ascii="宋体" w:hAnsi="宋体" w:eastAsia="宋体"/>
          <w:szCs w:val="21"/>
        </w:rPr>
        <w:t>GB/T 3323</w:t>
      </w:r>
      <w:r>
        <w:rPr>
          <w:rFonts w:hint="eastAsia" w:ascii="宋体" w:hAnsi="宋体" w:eastAsia="宋体"/>
          <w:szCs w:val="21"/>
          <w:lang w:val="en-US" w:eastAsia="zh-CN"/>
        </w:rPr>
        <w:t>-2005</w:t>
      </w:r>
      <w:r>
        <w:rPr>
          <w:rFonts w:hint="eastAsia" w:ascii="宋体" w:hAnsi="宋体" w:eastAsia="宋体"/>
          <w:szCs w:val="21"/>
        </w:rPr>
        <w:t xml:space="preserve"> 金属熔化焊焊接接头射线照相</w:t>
      </w:r>
    </w:p>
    <w:p>
      <w:pPr>
        <w:spacing w:line="360" w:lineRule="auto"/>
        <w:ind w:firstLine="405"/>
        <w:rPr>
          <w:rFonts w:ascii="宋体" w:hAnsi="宋体" w:eastAsia="宋体"/>
          <w:szCs w:val="21"/>
        </w:rPr>
      </w:pPr>
      <w:r>
        <w:rPr>
          <w:rFonts w:hint="eastAsia" w:ascii="宋体" w:hAnsi="宋体" w:eastAsia="宋体"/>
          <w:szCs w:val="21"/>
        </w:rPr>
        <w:t>GB/T 4879</w:t>
      </w:r>
      <w:r>
        <w:rPr>
          <w:rFonts w:hint="eastAsia" w:ascii="宋体" w:hAnsi="宋体" w:eastAsia="宋体"/>
          <w:szCs w:val="21"/>
          <w:lang w:val="en-US" w:eastAsia="zh-CN"/>
        </w:rPr>
        <w:t>-2016</w:t>
      </w:r>
      <w:r>
        <w:rPr>
          <w:rFonts w:hint="eastAsia" w:ascii="宋体" w:hAnsi="宋体" w:eastAsia="宋体"/>
          <w:szCs w:val="21"/>
        </w:rPr>
        <w:t xml:space="preserve"> 防锈包装</w:t>
      </w:r>
    </w:p>
    <w:p>
      <w:pPr>
        <w:spacing w:line="360" w:lineRule="auto"/>
        <w:ind w:firstLine="405"/>
        <w:rPr>
          <w:rFonts w:ascii="宋体" w:hAnsi="宋体" w:eastAsia="宋体"/>
          <w:szCs w:val="21"/>
        </w:rPr>
      </w:pPr>
      <w:r>
        <w:rPr>
          <w:rFonts w:hint="eastAsia" w:ascii="宋体" w:hAnsi="宋体" w:eastAsia="宋体"/>
          <w:szCs w:val="21"/>
        </w:rPr>
        <w:t>GB/T 7233.1</w:t>
      </w:r>
      <w:r>
        <w:rPr>
          <w:rFonts w:hint="eastAsia" w:ascii="宋体" w:hAnsi="宋体" w:eastAsia="宋体"/>
          <w:szCs w:val="21"/>
          <w:lang w:val="en-US" w:eastAsia="zh-CN"/>
        </w:rPr>
        <w:t>-2009</w:t>
      </w:r>
      <w:r>
        <w:rPr>
          <w:rFonts w:hint="eastAsia" w:ascii="宋体" w:hAnsi="宋体" w:eastAsia="宋体"/>
          <w:szCs w:val="21"/>
        </w:rPr>
        <w:t xml:space="preserve"> 铸钢件 超声检测  第一部分：一般用途铸钢件</w:t>
      </w:r>
    </w:p>
    <w:p>
      <w:pPr>
        <w:spacing w:line="360" w:lineRule="auto"/>
        <w:ind w:firstLine="405"/>
        <w:rPr>
          <w:rFonts w:ascii="宋体" w:hAnsi="宋体" w:eastAsia="宋体"/>
          <w:szCs w:val="21"/>
        </w:rPr>
      </w:pPr>
      <w:r>
        <w:rPr>
          <w:rFonts w:hint="eastAsia" w:ascii="宋体" w:hAnsi="宋体" w:eastAsia="宋体"/>
          <w:szCs w:val="21"/>
        </w:rPr>
        <w:t>GB/T 10095.1</w:t>
      </w:r>
      <w:r>
        <w:rPr>
          <w:rFonts w:hint="eastAsia" w:ascii="宋体" w:hAnsi="宋体" w:eastAsia="宋体"/>
          <w:szCs w:val="21"/>
          <w:lang w:val="en-US" w:eastAsia="zh-CN"/>
        </w:rPr>
        <w:t>-2022</w:t>
      </w:r>
      <w:r>
        <w:rPr>
          <w:rFonts w:hint="eastAsia" w:ascii="宋体" w:hAnsi="宋体" w:eastAsia="宋体"/>
          <w:szCs w:val="21"/>
        </w:rPr>
        <w:t xml:space="preserve"> 圆柱齿轮 </w:t>
      </w:r>
      <w:r>
        <w:rPr>
          <w:rFonts w:hint="eastAsia" w:ascii="宋体" w:hAnsi="宋体" w:eastAsia="宋体"/>
          <w:szCs w:val="21"/>
          <w:lang w:val="en-US" w:eastAsia="zh-CN"/>
        </w:rPr>
        <w:t>ISO齿面公差分级制</w:t>
      </w:r>
      <w:r>
        <w:rPr>
          <w:rFonts w:hint="eastAsia" w:ascii="宋体" w:hAnsi="宋体" w:eastAsia="宋体"/>
          <w:szCs w:val="21"/>
        </w:rPr>
        <w:t xml:space="preserve"> 第1部分：齿面偏差的定义和允许值</w:t>
      </w:r>
    </w:p>
    <w:p>
      <w:pPr>
        <w:spacing w:line="360" w:lineRule="auto"/>
        <w:ind w:firstLine="405"/>
        <w:rPr>
          <w:rFonts w:ascii="宋体" w:hAnsi="宋体" w:eastAsia="宋体"/>
          <w:szCs w:val="21"/>
        </w:rPr>
      </w:pPr>
      <w:r>
        <w:rPr>
          <w:rFonts w:hint="eastAsia" w:ascii="宋体" w:hAnsi="宋体" w:eastAsia="宋体"/>
          <w:szCs w:val="21"/>
        </w:rPr>
        <w:t>GB/T 10095.2</w:t>
      </w:r>
      <w:r>
        <w:rPr>
          <w:rFonts w:hint="eastAsia" w:ascii="宋体" w:hAnsi="宋体" w:eastAsia="宋体"/>
          <w:szCs w:val="21"/>
          <w:lang w:val="en-US" w:eastAsia="zh-CN"/>
        </w:rPr>
        <w:t>-2008</w:t>
      </w:r>
      <w:r>
        <w:rPr>
          <w:rFonts w:hint="eastAsia" w:ascii="宋体" w:hAnsi="宋体" w:eastAsia="宋体"/>
          <w:szCs w:val="21"/>
        </w:rPr>
        <w:t xml:space="preserve"> 圆柱齿轮 精度制 第2部分：径向综合偏差与径向跳动的定义和允许值</w:t>
      </w:r>
    </w:p>
    <w:p>
      <w:pPr>
        <w:spacing w:line="360" w:lineRule="auto"/>
        <w:ind w:firstLine="405"/>
        <w:rPr>
          <w:rFonts w:ascii="宋体" w:hAnsi="宋体" w:eastAsia="宋体"/>
          <w:szCs w:val="21"/>
        </w:rPr>
      </w:pPr>
      <w:r>
        <w:rPr>
          <w:rFonts w:hint="eastAsia" w:ascii="宋体" w:hAnsi="宋体" w:eastAsia="宋体"/>
          <w:szCs w:val="21"/>
        </w:rPr>
        <w:t>GB/T 9443</w:t>
      </w:r>
      <w:r>
        <w:rPr>
          <w:rFonts w:hint="eastAsia" w:ascii="宋体" w:hAnsi="宋体" w:eastAsia="宋体"/>
          <w:szCs w:val="21"/>
          <w:lang w:val="en-US" w:eastAsia="zh-CN"/>
        </w:rPr>
        <w:t>-2019</w:t>
      </w:r>
      <w:r>
        <w:rPr>
          <w:rFonts w:hint="eastAsia" w:ascii="宋体" w:hAnsi="宋体" w:eastAsia="宋体"/>
          <w:szCs w:val="21"/>
        </w:rPr>
        <w:t xml:space="preserve"> 铸钢铸铁件 渗透检测</w:t>
      </w:r>
    </w:p>
    <w:p>
      <w:pPr>
        <w:spacing w:line="360" w:lineRule="auto"/>
        <w:ind w:firstLine="405"/>
        <w:rPr>
          <w:rFonts w:ascii="宋体" w:hAnsi="宋体" w:eastAsia="宋体"/>
          <w:szCs w:val="21"/>
        </w:rPr>
      </w:pPr>
      <w:r>
        <w:rPr>
          <w:rFonts w:hint="eastAsia" w:ascii="宋体" w:hAnsi="宋体" w:eastAsia="宋体"/>
          <w:szCs w:val="21"/>
        </w:rPr>
        <w:t>GB/T 9444</w:t>
      </w:r>
      <w:r>
        <w:rPr>
          <w:rFonts w:hint="eastAsia" w:ascii="宋体" w:hAnsi="宋体" w:eastAsia="宋体"/>
          <w:szCs w:val="21"/>
          <w:lang w:val="en-US" w:eastAsia="zh-CN"/>
        </w:rPr>
        <w:t>-2019</w:t>
      </w:r>
      <w:r>
        <w:rPr>
          <w:rFonts w:hint="eastAsia" w:ascii="宋体" w:hAnsi="宋体" w:eastAsia="宋体"/>
          <w:szCs w:val="21"/>
        </w:rPr>
        <w:t xml:space="preserve"> 铸钢铸铁件 磁粉检测</w:t>
      </w:r>
    </w:p>
    <w:p>
      <w:pPr>
        <w:spacing w:line="360" w:lineRule="auto"/>
        <w:ind w:firstLine="405"/>
        <w:rPr>
          <w:rFonts w:hint="eastAsia" w:ascii="宋体" w:hAnsi="宋体" w:eastAsia="宋体"/>
          <w:szCs w:val="21"/>
        </w:rPr>
      </w:pPr>
      <w:r>
        <w:rPr>
          <w:rFonts w:hint="eastAsia" w:ascii="宋体" w:hAnsi="宋体" w:eastAsia="宋体"/>
          <w:szCs w:val="21"/>
        </w:rPr>
        <w:t>GB/T 5677</w:t>
      </w:r>
      <w:r>
        <w:rPr>
          <w:rFonts w:hint="eastAsia" w:ascii="宋体" w:hAnsi="宋体" w:eastAsia="宋体"/>
          <w:szCs w:val="21"/>
          <w:lang w:val="en-US" w:eastAsia="zh-CN"/>
        </w:rPr>
        <w:t>-2018</w:t>
      </w:r>
      <w:r>
        <w:rPr>
          <w:rFonts w:hint="eastAsia" w:ascii="宋体" w:hAnsi="宋体" w:eastAsia="宋体"/>
          <w:szCs w:val="21"/>
        </w:rPr>
        <w:t xml:space="preserve"> 铸件 射线照相检测</w:t>
      </w:r>
    </w:p>
    <w:p>
      <w:pPr>
        <w:spacing w:line="360" w:lineRule="auto"/>
        <w:ind w:firstLine="405"/>
        <w:rPr>
          <w:rFonts w:hint="eastAsia" w:ascii="宋体" w:hAnsi="宋体" w:eastAsia="宋体"/>
          <w:szCs w:val="21"/>
        </w:rPr>
      </w:pPr>
      <w:r>
        <w:rPr>
          <w:rFonts w:hint="eastAsia" w:ascii="宋体" w:hAnsi="宋体" w:eastAsia="宋体"/>
          <w:szCs w:val="21"/>
        </w:rPr>
        <w:t>GB/T 7932-2017  气动 对系统及其元件的一般规则和安全要求</w:t>
      </w:r>
    </w:p>
    <w:p>
      <w:pPr>
        <w:spacing w:line="360" w:lineRule="auto"/>
        <w:ind w:firstLine="405"/>
        <w:rPr>
          <w:rFonts w:ascii="宋体" w:hAnsi="宋体" w:eastAsia="宋体"/>
          <w:szCs w:val="21"/>
        </w:rPr>
      </w:pPr>
      <w:r>
        <w:rPr>
          <w:rFonts w:hint="eastAsia" w:ascii="宋体" w:hAnsi="宋体" w:eastAsia="宋体"/>
          <w:szCs w:val="21"/>
        </w:rPr>
        <w:t>JB/T 9217</w:t>
      </w:r>
      <w:r>
        <w:rPr>
          <w:rFonts w:hint="eastAsia" w:ascii="宋体" w:hAnsi="宋体" w:eastAsia="宋体"/>
          <w:szCs w:val="21"/>
          <w:lang w:val="en-US" w:eastAsia="zh-CN"/>
        </w:rPr>
        <w:t>-1999</w:t>
      </w:r>
      <w:r>
        <w:rPr>
          <w:rFonts w:hint="eastAsia" w:ascii="宋体" w:hAnsi="宋体" w:eastAsia="宋体"/>
          <w:szCs w:val="21"/>
        </w:rPr>
        <w:t xml:space="preserve"> 射线照相探伤方法</w:t>
      </w:r>
    </w:p>
    <w:p>
      <w:pPr>
        <w:spacing w:line="360" w:lineRule="auto"/>
        <w:ind w:firstLine="405"/>
        <w:rPr>
          <w:rFonts w:hint="eastAsia" w:ascii="宋体" w:hAnsi="宋体" w:eastAsia="宋体"/>
          <w:szCs w:val="21"/>
          <w:lang w:val="en-US" w:eastAsia="zh-CN"/>
        </w:rPr>
      </w:pPr>
      <w:r>
        <w:rPr>
          <w:rFonts w:hint="eastAsia" w:ascii="宋体" w:hAnsi="宋体" w:eastAsia="宋体"/>
          <w:szCs w:val="21"/>
        </w:rPr>
        <w:t>JB/T 9218</w:t>
      </w:r>
      <w:r>
        <w:rPr>
          <w:rFonts w:hint="eastAsia" w:ascii="宋体" w:hAnsi="宋体" w:eastAsia="宋体"/>
          <w:szCs w:val="21"/>
          <w:lang w:val="en-US" w:eastAsia="zh-CN"/>
        </w:rPr>
        <w:t>-2015</w:t>
      </w:r>
      <w:r>
        <w:rPr>
          <w:rFonts w:hint="eastAsia" w:ascii="宋体" w:hAnsi="宋体" w:eastAsia="宋体"/>
          <w:szCs w:val="21"/>
        </w:rPr>
        <w:t xml:space="preserve"> 无损检测 渗透检测</w:t>
      </w:r>
      <w:r>
        <w:rPr>
          <w:rFonts w:hint="eastAsia" w:ascii="宋体" w:hAnsi="宋体" w:eastAsia="宋体"/>
          <w:szCs w:val="21"/>
          <w:lang w:val="en-US" w:eastAsia="zh-CN"/>
        </w:rPr>
        <w:t>方法</w:t>
      </w:r>
    </w:p>
    <w:p>
      <w:pPr>
        <w:spacing w:line="360" w:lineRule="auto"/>
        <w:ind w:firstLine="405"/>
        <w:rPr>
          <w:rFonts w:ascii="宋体" w:hAnsi="宋体" w:eastAsia="宋体"/>
          <w:szCs w:val="21"/>
        </w:rPr>
      </w:pPr>
      <w:r>
        <w:rPr>
          <w:rFonts w:hint="eastAsia" w:ascii="宋体" w:hAnsi="宋体" w:eastAsia="宋体"/>
          <w:szCs w:val="21"/>
        </w:rPr>
        <w:t>JB/T 5000.1</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第1部分：产品检验</w:t>
      </w:r>
    </w:p>
    <w:p>
      <w:pPr>
        <w:spacing w:line="360" w:lineRule="auto"/>
        <w:ind w:firstLine="405"/>
        <w:rPr>
          <w:rFonts w:ascii="宋体" w:hAnsi="宋体" w:eastAsia="宋体"/>
          <w:szCs w:val="21"/>
        </w:rPr>
      </w:pPr>
      <w:r>
        <w:rPr>
          <w:rFonts w:hint="eastAsia" w:ascii="宋体" w:hAnsi="宋体" w:eastAsia="宋体"/>
          <w:szCs w:val="21"/>
        </w:rPr>
        <w:t>JB/T 5000.2</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第2部分：火焰切割件</w:t>
      </w:r>
    </w:p>
    <w:p>
      <w:pPr>
        <w:spacing w:line="360" w:lineRule="auto"/>
        <w:ind w:firstLine="405"/>
        <w:rPr>
          <w:rFonts w:ascii="宋体" w:hAnsi="宋体" w:eastAsia="宋体"/>
          <w:szCs w:val="21"/>
        </w:rPr>
      </w:pPr>
      <w:r>
        <w:rPr>
          <w:rFonts w:hint="eastAsia" w:ascii="宋体" w:hAnsi="宋体" w:eastAsia="宋体"/>
          <w:szCs w:val="21"/>
        </w:rPr>
        <w:t>JB/T 5000.3</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第3部分：焊接件</w:t>
      </w:r>
    </w:p>
    <w:p>
      <w:pPr>
        <w:spacing w:line="360" w:lineRule="auto"/>
        <w:ind w:firstLine="405"/>
        <w:rPr>
          <w:rFonts w:ascii="宋体" w:hAnsi="宋体" w:eastAsia="宋体"/>
          <w:szCs w:val="21"/>
        </w:rPr>
      </w:pPr>
      <w:r>
        <w:rPr>
          <w:rFonts w:hint="eastAsia" w:ascii="宋体" w:hAnsi="宋体" w:eastAsia="宋体"/>
          <w:szCs w:val="21"/>
        </w:rPr>
        <w:t>JB/T 5000.4</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第4部分：铸铁件</w:t>
      </w:r>
    </w:p>
    <w:p>
      <w:pPr>
        <w:spacing w:line="360" w:lineRule="auto"/>
        <w:ind w:firstLine="405"/>
        <w:rPr>
          <w:rFonts w:ascii="宋体" w:hAnsi="宋体" w:eastAsia="宋体"/>
          <w:szCs w:val="21"/>
        </w:rPr>
      </w:pPr>
      <w:r>
        <w:rPr>
          <w:rFonts w:hint="eastAsia" w:ascii="宋体" w:hAnsi="宋体" w:eastAsia="宋体"/>
          <w:szCs w:val="21"/>
        </w:rPr>
        <w:t>JB/T 5000.6</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第6部分：铸钢件</w:t>
      </w:r>
    </w:p>
    <w:p>
      <w:pPr>
        <w:spacing w:line="360" w:lineRule="auto"/>
        <w:ind w:firstLine="405"/>
        <w:rPr>
          <w:rFonts w:ascii="宋体" w:hAnsi="宋体" w:eastAsia="宋体"/>
          <w:szCs w:val="21"/>
        </w:rPr>
      </w:pPr>
      <w:r>
        <w:rPr>
          <w:rFonts w:hint="eastAsia" w:ascii="宋体" w:hAnsi="宋体" w:eastAsia="宋体"/>
          <w:szCs w:val="21"/>
        </w:rPr>
        <w:t>JB/T 5000.7</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第7部分：铸钢件补焊</w:t>
      </w:r>
    </w:p>
    <w:p>
      <w:pPr>
        <w:spacing w:line="360" w:lineRule="auto"/>
        <w:ind w:firstLine="405"/>
        <w:rPr>
          <w:rFonts w:ascii="宋体" w:hAnsi="宋体" w:eastAsia="宋体"/>
          <w:szCs w:val="21"/>
        </w:rPr>
      </w:pPr>
      <w:r>
        <w:rPr>
          <w:rFonts w:hint="eastAsia" w:ascii="宋体" w:hAnsi="宋体" w:eastAsia="宋体"/>
          <w:szCs w:val="21"/>
        </w:rPr>
        <w:t>JB/T 5000.8</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第8部分：锻件</w:t>
      </w:r>
    </w:p>
    <w:p>
      <w:pPr>
        <w:spacing w:line="360" w:lineRule="auto"/>
        <w:ind w:firstLine="405"/>
        <w:rPr>
          <w:rFonts w:ascii="宋体" w:hAnsi="宋体" w:eastAsia="宋体"/>
          <w:szCs w:val="21"/>
        </w:rPr>
      </w:pPr>
      <w:r>
        <w:rPr>
          <w:rFonts w:hint="eastAsia" w:ascii="宋体" w:hAnsi="宋体" w:eastAsia="宋体"/>
          <w:szCs w:val="21"/>
        </w:rPr>
        <w:t>JB/T 5000.9</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第9部分：切削加工件</w:t>
      </w:r>
    </w:p>
    <w:p>
      <w:pPr>
        <w:spacing w:line="360" w:lineRule="auto"/>
        <w:ind w:firstLine="405"/>
        <w:rPr>
          <w:rFonts w:ascii="宋体" w:hAnsi="宋体" w:eastAsia="宋体"/>
          <w:szCs w:val="21"/>
        </w:rPr>
      </w:pPr>
      <w:r>
        <w:rPr>
          <w:rFonts w:hint="eastAsia" w:ascii="宋体" w:hAnsi="宋体" w:eastAsia="宋体"/>
          <w:szCs w:val="21"/>
        </w:rPr>
        <w:t>JB/T 5000.10</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第10部分：装配</w:t>
      </w:r>
    </w:p>
    <w:p>
      <w:pPr>
        <w:spacing w:line="360" w:lineRule="auto"/>
        <w:ind w:firstLine="405"/>
        <w:rPr>
          <w:rFonts w:ascii="宋体" w:hAnsi="宋体" w:eastAsia="宋体"/>
          <w:szCs w:val="21"/>
        </w:rPr>
      </w:pPr>
      <w:r>
        <w:rPr>
          <w:rFonts w:hint="eastAsia" w:ascii="宋体" w:hAnsi="宋体" w:eastAsia="宋体"/>
          <w:szCs w:val="21"/>
        </w:rPr>
        <w:t>JB/T 5000.11</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第11部分：配管</w:t>
      </w:r>
    </w:p>
    <w:p>
      <w:pPr>
        <w:spacing w:line="360" w:lineRule="auto"/>
        <w:ind w:firstLine="405"/>
        <w:rPr>
          <w:rFonts w:ascii="宋体" w:hAnsi="宋体" w:eastAsia="宋体"/>
          <w:szCs w:val="21"/>
        </w:rPr>
      </w:pPr>
      <w:r>
        <w:rPr>
          <w:rFonts w:hint="eastAsia" w:ascii="宋体" w:hAnsi="宋体" w:eastAsia="宋体"/>
          <w:szCs w:val="21"/>
        </w:rPr>
        <w:t>JB/T 5000.12</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第12部分：涂装</w:t>
      </w:r>
    </w:p>
    <w:p>
      <w:pPr>
        <w:spacing w:line="360" w:lineRule="auto"/>
        <w:ind w:firstLine="405"/>
        <w:rPr>
          <w:rFonts w:ascii="宋体" w:hAnsi="宋体" w:eastAsia="宋体"/>
          <w:szCs w:val="21"/>
        </w:rPr>
      </w:pPr>
      <w:r>
        <w:rPr>
          <w:rFonts w:hint="eastAsia" w:ascii="宋体" w:hAnsi="宋体" w:eastAsia="宋体"/>
          <w:szCs w:val="21"/>
        </w:rPr>
        <w:t>JB/T 5000.13</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第13部分：包装</w:t>
      </w:r>
    </w:p>
    <w:p>
      <w:pPr>
        <w:spacing w:line="360" w:lineRule="auto"/>
        <w:ind w:firstLine="405"/>
        <w:rPr>
          <w:rFonts w:ascii="宋体" w:hAnsi="宋体" w:eastAsia="宋体"/>
          <w:szCs w:val="21"/>
        </w:rPr>
      </w:pPr>
      <w:r>
        <w:rPr>
          <w:rFonts w:hint="eastAsia" w:ascii="宋体" w:hAnsi="宋体" w:eastAsia="宋体"/>
          <w:szCs w:val="21"/>
        </w:rPr>
        <w:t>JB/T 5000.14</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第14部分：铸钢件无损检测</w:t>
      </w:r>
    </w:p>
    <w:p>
      <w:pPr>
        <w:spacing w:line="360" w:lineRule="auto"/>
        <w:ind w:firstLine="405"/>
        <w:rPr>
          <w:rFonts w:hint="eastAsia" w:ascii="宋体" w:hAnsi="宋体" w:eastAsia="宋体"/>
          <w:szCs w:val="21"/>
        </w:rPr>
      </w:pPr>
      <w:r>
        <w:rPr>
          <w:rFonts w:hint="eastAsia" w:ascii="宋体" w:hAnsi="宋体" w:eastAsia="宋体"/>
          <w:szCs w:val="21"/>
        </w:rPr>
        <w:t>JB/T 5000.15</w:t>
      </w:r>
      <w:r>
        <w:rPr>
          <w:rFonts w:hint="eastAsia" w:ascii="宋体" w:hAnsi="宋体" w:eastAsia="宋体"/>
          <w:szCs w:val="21"/>
          <w:lang w:val="en-US" w:eastAsia="zh-CN"/>
        </w:rPr>
        <w:t>-2007</w:t>
      </w:r>
      <w:r>
        <w:rPr>
          <w:rFonts w:hint="eastAsia" w:ascii="宋体" w:hAnsi="宋体" w:eastAsia="宋体"/>
          <w:szCs w:val="21"/>
        </w:rPr>
        <w:t xml:space="preserve"> 重型机械通用技术条件 第15部分：锻钢件无损检测</w:t>
      </w:r>
    </w:p>
    <w:p>
      <w:pPr>
        <w:spacing w:line="360" w:lineRule="auto"/>
        <w:ind w:firstLine="405"/>
        <w:rPr>
          <w:rFonts w:hint="eastAsia" w:ascii="宋体" w:hAnsi="宋体" w:eastAsia="宋体"/>
          <w:szCs w:val="21"/>
        </w:rPr>
      </w:pPr>
      <w:r>
        <w:rPr>
          <w:rFonts w:hint="eastAsia" w:ascii="宋体" w:hAnsi="宋体" w:eastAsia="宋体"/>
          <w:szCs w:val="21"/>
        </w:rPr>
        <w:t>GBZ 1-2010工业企业设计卫生标准</w:t>
      </w:r>
    </w:p>
    <w:p>
      <w:pPr>
        <w:spacing w:line="360" w:lineRule="auto"/>
        <w:ind w:firstLine="405"/>
        <w:rPr>
          <w:rFonts w:ascii="宋体" w:hAnsi="宋体" w:eastAsia="宋体"/>
          <w:szCs w:val="21"/>
        </w:rPr>
      </w:pPr>
      <w:r>
        <w:rPr>
          <w:rFonts w:hint="eastAsia" w:ascii="宋体" w:hAnsi="宋体" w:eastAsia="宋体"/>
          <w:szCs w:val="21"/>
        </w:rPr>
        <w:t>GB 50231</w:t>
      </w:r>
      <w:r>
        <w:rPr>
          <w:rFonts w:hint="eastAsia" w:ascii="宋体" w:hAnsi="宋体" w:eastAsia="宋体"/>
          <w:szCs w:val="21"/>
          <w:lang w:val="en-US" w:eastAsia="zh-CN"/>
        </w:rPr>
        <w:t xml:space="preserve">-2009 </w:t>
      </w:r>
      <w:r>
        <w:rPr>
          <w:rFonts w:hint="eastAsia" w:ascii="宋体" w:hAnsi="宋体" w:eastAsia="宋体"/>
          <w:szCs w:val="21"/>
        </w:rPr>
        <w:t>机械设备安装工程施工及验收通用规范</w:t>
      </w:r>
    </w:p>
    <w:p>
      <w:pPr>
        <w:spacing w:line="360" w:lineRule="auto"/>
        <w:ind w:firstLine="405"/>
        <w:rPr>
          <w:rFonts w:ascii="宋体" w:hAnsi="宋体" w:eastAsia="宋体"/>
          <w:szCs w:val="21"/>
        </w:rPr>
      </w:pPr>
      <w:r>
        <w:rPr>
          <w:rFonts w:hint="eastAsia" w:ascii="宋体" w:hAnsi="宋体" w:eastAsia="宋体"/>
          <w:szCs w:val="21"/>
        </w:rPr>
        <w:t>GB 50717</w:t>
      </w:r>
      <w:r>
        <w:rPr>
          <w:rFonts w:hint="eastAsia" w:ascii="宋体" w:hAnsi="宋体" w:eastAsia="宋体"/>
          <w:szCs w:val="21"/>
          <w:lang w:val="en-US" w:eastAsia="zh-CN"/>
        </w:rPr>
        <w:t xml:space="preserve">-2011 </w:t>
      </w:r>
      <w:r>
        <w:rPr>
          <w:rFonts w:hint="eastAsia" w:ascii="宋体" w:hAnsi="宋体" w:eastAsia="宋体"/>
          <w:szCs w:val="21"/>
        </w:rPr>
        <w:t>重有色金属冶炼设备安装工程质量验收规范</w:t>
      </w:r>
    </w:p>
    <w:p>
      <w:pPr>
        <w:pStyle w:val="13"/>
        <w:numPr>
          <w:ilvl w:val="0"/>
          <w:numId w:val="3"/>
        </w:numPr>
        <w:adjustRightInd w:val="0"/>
        <w:snapToGrid w:val="0"/>
        <w:spacing w:beforeLines="50" w:afterLines="50" w:line="360" w:lineRule="auto"/>
        <w:ind w:left="357" w:hanging="357" w:firstLineChars="0"/>
        <w:rPr>
          <w:rFonts w:asciiTheme="minorEastAsia" w:hAnsiTheme="minorEastAsia"/>
          <w:b/>
          <w:szCs w:val="21"/>
        </w:rPr>
      </w:pPr>
      <w:r>
        <w:rPr>
          <w:rFonts w:hint="eastAsia" w:asciiTheme="minorEastAsia" w:hAnsiTheme="minorEastAsia"/>
          <w:b/>
          <w:szCs w:val="21"/>
        </w:rPr>
        <w:t>技术要求</w:t>
      </w:r>
    </w:p>
    <w:p>
      <w:pPr>
        <w:adjustRightInd w:val="0"/>
        <w:snapToGrid w:val="0"/>
        <w:spacing w:line="360" w:lineRule="auto"/>
        <w:rPr>
          <w:rFonts w:asciiTheme="minorEastAsia" w:hAnsiTheme="minorEastAsia"/>
          <w:szCs w:val="21"/>
        </w:rPr>
      </w:pPr>
      <w:r>
        <w:rPr>
          <w:rFonts w:hint="eastAsia" w:asciiTheme="minorEastAsia" w:hAnsiTheme="minorEastAsia"/>
          <w:szCs w:val="21"/>
        </w:rPr>
        <w:t>3.1 精炼炉应符合本标准的要求，并按照经规定程序批准的图样及技术文件制造。</w:t>
      </w:r>
    </w:p>
    <w:p>
      <w:pPr>
        <w:adjustRightInd w:val="0"/>
        <w:snapToGrid w:val="0"/>
        <w:spacing w:line="360" w:lineRule="auto"/>
        <w:rPr>
          <w:rFonts w:asciiTheme="minorEastAsia" w:hAnsiTheme="minorEastAsia"/>
          <w:szCs w:val="21"/>
        </w:rPr>
      </w:pPr>
      <w:r>
        <w:rPr>
          <w:rFonts w:hint="eastAsia" w:asciiTheme="minorEastAsia" w:hAnsiTheme="minorEastAsia"/>
          <w:szCs w:val="21"/>
        </w:rPr>
        <w:t>3.2 精炼炉外表面的工作温度不得超过300 ℃。</w:t>
      </w:r>
    </w:p>
    <w:p>
      <w:pPr>
        <w:adjustRightInd w:val="0"/>
        <w:snapToGrid w:val="0"/>
        <w:spacing w:line="360" w:lineRule="auto"/>
        <w:rPr>
          <w:rFonts w:hint="eastAsia"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3</w:t>
      </w:r>
      <w:r>
        <w:rPr>
          <w:rFonts w:hint="eastAsia" w:asciiTheme="minorEastAsia" w:hAnsiTheme="minorEastAsia"/>
          <w:szCs w:val="21"/>
        </w:rPr>
        <w:t xml:space="preserve"> 炉体运转的基本要求：</w:t>
      </w:r>
    </w:p>
    <w:p>
      <w:pPr>
        <w:pStyle w:val="13"/>
        <w:numPr>
          <w:ilvl w:val="0"/>
          <w:numId w:val="4"/>
        </w:numPr>
        <w:adjustRightInd w:val="0"/>
        <w:snapToGrid w:val="0"/>
        <w:spacing w:line="360" w:lineRule="auto"/>
        <w:ind w:firstLine="6" w:firstLineChars="0"/>
        <w:rPr>
          <w:rFonts w:hint="eastAsia" w:asciiTheme="minorEastAsia" w:hAnsiTheme="minorEastAsia"/>
          <w:szCs w:val="21"/>
        </w:rPr>
      </w:pPr>
      <w:r>
        <w:rPr>
          <w:rFonts w:hint="eastAsia" w:ascii="宋体" w:hAnsi="宋体" w:eastAsia="宋体" w:cs="Times New Roman"/>
          <w:kern w:val="0"/>
          <w:szCs w:val="21"/>
        </w:rPr>
        <w:t>回转式铜精炼炉操作</w:t>
      </w:r>
      <w:r>
        <w:rPr>
          <w:rFonts w:hint="eastAsia" w:ascii="宋体" w:hAnsi="宋体" w:eastAsia="宋体" w:cs="Times New Roman"/>
          <w:kern w:val="0"/>
          <w:szCs w:val="21"/>
          <w:lang w:val="en-US" w:eastAsia="zh-CN"/>
        </w:rPr>
        <w:t>应具备</w:t>
      </w:r>
      <w:r>
        <w:rPr>
          <w:rFonts w:hint="eastAsia" w:ascii="宋体" w:hAnsi="宋体" w:eastAsia="宋体" w:cs="Times New Roman"/>
          <w:kern w:val="0"/>
          <w:szCs w:val="21"/>
        </w:rPr>
        <w:t>采用手动和自动操作两种方式。</w:t>
      </w:r>
    </w:p>
    <w:p>
      <w:pPr>
        <w:pStyle w:val="13"/>
        <w:numPr>
          <w:ilvl w:val="0"/>
          <w:numId w:val="4"/>
        </w:numPr>
        <w:adjustRightInd w:val="0"/>
        <w:snapToGrid w:val="0"/>
        <w:spacing w:line="360" w:lineRule="auto"/>
        <w:ind w:firstLine="6" w:firstLineChars="0"/>
        <w:rPr>
          <w:rFonts w:asciiTheme="minorEastAsia" w:hAnsiTheme="minorEastAsia"/>
          <w:szCs w:val="21"/>
        </w:rPr>
      </w:pPr>
      <w:r>
        <w:rPr>
          <w:rFonts w:hint="eastAsia" w:ascii="宋体" w:hAnsi="宋体" w:eastAsia="宋体" w:cs="Times New Roman"/>
          <w:kern w:val="0"/>
          <w:szCs w:val="21"/>
        </w:rPr>
        <w:t>炉体运转时具有快速和慢速两种操作运行速度，慢速操作还可实现无极变速</w:t>
      </w:r>
      <w:r>
        <w:rPr>
          <w:rFonts w:ascii="宋体" w:hAnsi="宋体" w:eastAsia="宋体" w:cs="Times New Roman"/>
          <w:kern w:val="0"/>
          <w:szCs w:val="21"/>
        </w:rPr>
        <w:t>。</w:t>
      </w:r>
    </w:p>
    <w:p>
      <w:pPr>
        <w:pStyle w:val="13"/>
        <w:numPr>
          <w:ilvl w:val="0"/>
          <w:numId w:val="4"/>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炉体的快速运转转速应控制在0.45~0.65r/min；</w:t>
      </w:r>
    </w:p>
    <w:p>
      <w:pPr>
        <w:pStyle w:val="13"/>
        <w:numPr>
          <w:ilvl w:val="0"/>
          <w:numId w:val="4"/>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炉体的慢速运转转速应控制在0.045~0.0</w:t>
      </w:r>
      <w:r>
        <w:rPr>
          <w:rFonts w:hint="eastAsia" w:asciiTheme="minorEastAsia" w:hAnsiTheme="minorEastAsia"/>
          <w:szCs w:val="21"/>
          <w:lang w:val="en-US" w:eastAsia="zh-CN"/>
        </w:rPr>
        <w:t>5</w:t>
      </w:r>
      <w:r>
        <w:rPr>
          <w:rFonts w:hint="eastAsia" w:asciiTheme="minorEastAsia" w:hAnsiTheme="minorEastAsia"/>
          <w:szCs w:val="21"/>
        </w:rPr>
        <w:t>5r/min；</w:t>
      </w:r>
    </w:p>
    <w:p>
      <w:pPr>
        <w:pStyle w:val="13"/>
        <w:numPr>
          <w:ilvl w:val="0"/>
          <w:numId w:val="4"/>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炉体应有事故复位装置及能源，当出现事故停电时，炉体复位速度不低于0.05r/min；</w:t>
      </w:r>
    </w:p>
    <w:p>
      <w:pPr>
        <w:pStyle w:val="13"/>
        <w:numPr>
          <w:ilvl w:val="0"/>
          <w:numId w:val="4"/>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炉体运转的各极限位置应设置限位开关。</w:t>
      </w:r>
    </w:p>
    <w:p>
      <w:pPr>
        <w:adjustRightInd w:val="0"/>
        <w:snapToGrid w:val="0"/>
        <w:spacing w:line="360" w:lineRule="auto"/>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4</w:t>
      </w:r>
      <w:r>
        <w:rPr>
          <w:rFonts w:hint="eastAsia" w:asciiTheme="minorEastAsia" w:hAnsiTheme="minorEastAsia"/>
          <w:szCs w:val="21"/>
        </w:rPr>
        <w:t xml:space="preserve"> 炉口的结构推荐</w:t>
      </w:r>
      <w:r>
        <w:rPr>
          <w:rFonts w:hint="eastAsia" w:asciiTheme="minorEastAsia" w:hAnsiTheme="minorEastAsia"/>
          <w:szCs w:val="21"/>
          <w:lang w:val="en-US" w:eastAsia="zh-CN"/>
        </w:rPr>
        <w:t>采用</w:t>
      </w:r>
      <w:r>
        <w:rPr>
          <w:rFonts w:hint="eastAsia" w:asciiTheme="minorEastAsia" w:hAnsiTheme="minorEastAsia"/>
          <w:szCs w:val="21"/>
        </w:rPr>
        <w:t>水冷结构，</w:t>
      </w:r>
      <w:r>
        <w:rPr>
          <w:rFonts w:hint="eastAsia" w:ascii="宋体" w:hAnsi="宋体" w:eastAsia="宋体" w:cs="Times New Roman"/>
          <w:kern w:val="0"/>
          <w:szCs w:val="21"/>
        </w:rPr>
        <w:t>水冷炉口的使用寿命应大于6个月。</w:t>
      </w:r>
    </w:p>
    <w:p>
      <w:pPr>
        <w:adjustRightInd w:val="0"/>
        <w:snapToGrid w:val="0"/>
        <w:spacing w:line="360" w:lineRule="auto"/>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5</w:t>
      </w:r>
      <w:r>
        <w:rPr>
          <w:rFonts w:hint="eastAsia" w:asciiTheme="minorEastAsia" w:hAnsiTheme="minorEastAsia"/>
          <w:szCs w:val="21"/>
        </w:rPr>
        <w:t xml:space="preserve"> 炉口盖的启闭装置推荐采用气动装置，气动系统应符合GB/T 7932的规定。</w:t>
      </w:r>
    </w:p>
    <w:p>
      <w:pPr>
        <w:adjustRightInd w:val="0"/>
        <w:snapToGrid w:val="0"/>
        <w:spacing w:line="360" w:lineRule="auto"/>
        <w:rPr>
          <w:rFonts w:asciiTheme="minorEastAsia" w:hAnsiTheme="minorEastAsia"/>
          <w:szCs w:val="21"/>
        </w:rPr>
      </w:pPr>
      <w:r>
        <w:rPr>
          <w:rFonts w:hint="eastAsia" w:ascii="宋体" w:hAnsi="宋体" w:eastAsia="宋体" w:cs="Times New Roman"/>
          <w:kern w:val="0"/>
          <w:szCs w:val="21"/>
        </w:rPr>
        <w:t>3.</w:t>
      </w:r>
      <w:r>
        <w:rPr>
          <w:rFonts w:hint="eastAsia" w:ascii="宋体" w:hAnsi="宋体" w:eastAsia="宋体" w:cs="Times New Roman"/>
          <w:kern w:val="0"/>
          <w:szCs w:val="21"/>
          <w:lang w:val="en-US" w:eastAsia="zh-CN"/>
        </w:rPr>
        <w:t>6</w:t>
      </w:r>
      <w:r>
        <w:rPr>
          <w:rFonts w:hint="eastAsia" w:asciiTheme="minorEastAsia" w:hAnsiTheme="minorEastAsia"/>
          <w:szCs w:val="21"/>
        </w:rPr>
        <w:t>滚圈与托轮的接触宽度要求：</w:t>
      </w:r>
    </w:p>
    <w:p>
      <w:pPr>
        <w:pStyle w:val="13"/>
        <w:numPr>
          <w:ilvl w:val="0"/>
          <w:numId w:val="5"/>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滚圈在托轮宽度范围内接触；</w:t>
      </w:r>
    </w:p>
    <w:p>
      <w:pPr>
        <w:pStyle w:val="13"/>
        <w:numPr>
          <w:ilvl w:val="0"/>
          <w:numId w:val="5"/>
        </w:numPr>
        <w:adjustRightInd w:val="0"/>
        <w:snapToGrid w:val="0"/>
        <w:spacing w:line="360" w:lineRule="auto"/>
        <w:ind w:firstLine="6" w:firstLineChars="0"/>
        <w:rPr>
          <w:rFonts w:ascii="宋体" w:hAnsi="宋体" w:eastAsia="宋体" w:cs="Times New Roman"/>
          <w:kern w:val="0"/>
          <w:szCs w:val="21"/>
        </w:rPr>
      </w:pPr>
      <w:r>
        <w:rPr>
          <w:rFonts w:hint="eastAsia" w:ascii="宋体" w:hAnsi="宋体" w:eastAsia="宋体" w:cs="Times New Roman"/>
          <w:kern w:val="0"/>
          <w:szCs w:val="21"/>
        </w:rPr>
        <w:t>空负荷试车时，炉体正反运转时滚圈与托轮的接触宽度在空负荷（砌砖前）时应不少于</w:t>
      </w:r>
      <w:r>
        <w:rPr>
          <w:rFonts w:ascii="宋体" w:hAnsi="宋体" w:eastAsia="宋体" w:cs="Times New Roman"/>
          <w:kern w:val="0"/>
          <w:szCs w:val="21"/>
        </w:rPr>
        <w:t>80%</w:t>
      </w:r>
      <w:r>
        <w:rPr>
          <w:rFonts w:hint="eastAsia" w:ascii="宋体" w:hAnsi="宋体" w:eastAsia="宋体" w:cs="Times New Roman"/>
          <w:kern w:val="0"/>
          <w:szCs w:val="21"/>
        </w:rPr>
        <w:t>；</w:t>
      </w:r>
    </w:p>
    <w:p>
      <w:pPr>
        <w:pStyle w:val="13"/>
        <w:widowControl/>
        <w:numPr>
          <w:ilvl w:val="0"/>
          <w:numId w:val="5"/>
        </w:numPr>
        <w:shd w:val="clear" w:color="auto" w:fill="FFFFFF"/>
        <w:adjustRightInd w:val="0"/>
        <w:snapToGrid w:val="0"/>
        <w:spacing w:line="360" w:lineRule="auto"/>
        <w:ind w:firstLine="6" w:firstLineChars="0"/>
        <w:jc w:val="left"/>
        <w:rPr>
          <w:rFonts w:ascii="宋体" w:hAnsi="宋体" w:eastAsia="宋体" w:cs="Times New Roman"/>
          <w:kern w:val="0"/>
          <w:szCs w:val="21"/>
        </w:rPr>
      </w:pPr>
      <w:r>
        <w:rPr>
          <w:rFonts w:hint="eastAsia" w:ascii="宋体" w:hAnsi="宋体" w:eastAsia="宋体" w:cs="Times New Roman"/>
          <w:kern w:val="0"/>
          <w:szCs w:val="21"/>
        </w:rPr>
        <w:t>在热态运转时滚圈与托轮的接触宽度应不小于70%。</w:t>
      </w:r>
    </w:p>
    <w:p>
      <w:pPr>
        <w:adjustRightInd w:val="0"/>
        <w:snapToGrid w:val="0"/>
        <w:spacing w:line="360" w:lineRule="auto"/>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7</w:t>
      </w:r>
      <w:r>
        <w:rPr>
          <w:rFonts w:ascii="宋体" w:hAnsi="宋体" w:eastAsia="宋体" w:cs="Times New Roman"/>
          <w:kern w:val="0"/>
          <w:szCs w:val="21"/>
        </w:rPr>
        <w:t>支撑部件推荐</w:t>
      </w:r>
      <w:r>
        <w:rPr>
          <w:rFonts w:hint="eastAsia" w:ascii="宋体" w:hAnsi="宋体" w:eastAsia="宋体" w:cs="Times New Roman"/>
          <w:kern w:val="0"/>
          <w:szCs w:val="21"/>
        </w:rPr>
        <w:t>采用</w:t>
      </w:r>
      <w:r>
        <w:rPr>
          <w:rFonts w:ascii="宋体" w:hAnsi="宋体" w:eastAsia="宋体" w:cs="Times New Roman"/>
          <w:kern w:val="0"/>
          <w:szCs w:val="21"/>
        </w:rPr>
        <w:t>四组双托轮式支撑部件形式，其中两组在炉体的游动侧，另外两组在炉体的固定侧</w:t>
      </w:r>
      <w:r>
        <w:rPr>
          <w:rFonts w:hint="eastAsia" w:ascii="宋体" w:hAnsi="宋体" w:eastAsia="宋体" w:cs="Times New Roman"/>
          <w:kern w:val="0"/>
          <w:szCs w:val="21"/>
        </w:rPr>
        <w:t>，可以调整炉体的高度尺寸和</w:t>
      </w:r>
      <w:r>
        <w:rPr>
          <w:rFonts w:ascii="宋体" w:hAnsi="宋体" w:eastAsia="宋体" w:cs="Times New Roman"/>
          <w:kern w:val="0"/>
          <w:szCs w:val="21"/>
        </w:rPr>
        <w:t>滚圈</w:t>
      </w:r>
      <w:r>
        <w:rPr>
          <w:rFonts w:hint="eastAsia" w:ascii="宋体" w:hAnsi="宋体" w:eastAsia="宋体" w:cs="Times New Roman"/>
          <w:kern w:val="0"/>
          <w:szCs w:val="21"/>
        </w:rPr>
        <w:t>与</w:t>
      </w:r>
      <w:r>
        <w:rPr>
          <w:rFonts w:ascii="宋体" w:hAnsi="宋体" w:eastAsia="宋体" w:cs="Times New Roman"/>
          <w:kern w:val="0"/>
          <w:szCs w:val="21"/>
        </w:rPr>
        <w:t>托轮</w:t>
      </w:r>
      <w:r>
        <w:rPr>
          <w:rFonts w:hint="eastAsia" w:ascii="宋体" w:hAnsi="宋体" w:eastAsia="宋体" w:cs="Times New Roman"/>
          <w:kern w:val="0"/>
          <w:szCs w:val="21"/>
        </w:rPr>
        <w:t>接触状态</w:t>
      </w:r>
      <w:r>
        <w:rPr>
          <w:rFonts w:ascii="宋体" w:hAnsi="宋体" w:eastAsia="宋体" w:cs="Times New Roman"/>
          <w:kern w:val="0"/>
          <w:szCs w:val="21"/>
        </w:rPr>
        <w:t>。</w:t>
      </w:r>
      <w:r>
        <w:rPr>
          <w:rFonts w:hint="eastAsia" w:asciiTheme="minorEastAsia" w:hAnsiTheme="minorEastAsia"/>
          <w:szCs w:val="21"/>
        </w:rPr>
        <w:t>支承托轮的轴承推荐采用调心滚动轴承。</w:t>
      </w:r>
    </w:p>
    <w:p>
      <w:pPr>
        <w:adjustRightInd w:val="0"/>
        <w:snapToGrid w:val="0"/>
        <w:spacing w:line="360" w:lineRule="auto"/>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8</w:t>
      </w:r>
      <w:r>
        <w:rPr>
          <w:rFonts w:hint="eastAsia" w:asciiTheme="minorEastAsia" w:hAnsiTheme="minorEastAsia"/>
          <w:szCs w:val="21"/>
        </w:rPr>
        <w:t>两侧的托轮轴承（其中一侧包括支承小齿轮轴用滚动轴承）应设有润滑</w:t>
      </w:r>
      <w:r>
        <w:rPr>
          <w:rFonts w:hint="eastAsia" w:asciiTheme="minorEastAsia" w:hAnsiTheme="minorEastAsia"/>
          <w:szCs w:val="21"/>
          <w:lang w:val="en-US" w:eastAsia="zh-CN"/>
        </w:rPr>
        <w:t>用</w:t>
      </w:r>
      <w:r>
        <w:rPr>
          <w:rFonts w:hint="eastAsia" w:asciiTheme="minorEastAsia" w:hAnsiTheme="minorEastAsia"/>
          <w:szCs w:val="21"/>
        </w:rPr>
        <w:t>供油装置。</w:t>
      </w:r>
    </w:p>
    <w:p>
      <w:pPr>
        <w:adjustRightInd w:val="0"/>
        <w:snapToGrid w:val="0"/>
        <w:spacing w:line="360" w:lineRule="auto"/>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9</w:t>
      </w:r>
      <w:r>
        <w:rPr>
          <w:rFonts w:hint="eastAsia" w:asciiTheme="minorEastAsia" w:hAnsiTheme="minorEastAsia"/>
          <w:szCs w:val="21"/>
        </w:rPr>
        <w:t>卫生与安全的基本要求</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    a.精炼炉的周围环境应满足</w:t>
      </w:r>
      <w:r>
        <w:rPr>
          <w:rFonts w:hint="eastAsia" w:ascii="宋体" w:hAnsi="宋体" w:eastAsia="宋体"/>
          <w:szCs w:val="21"/>
        </w:rPr>
        <w:t>GBZ 1</w:t>
      </w:r>
      <w:r>
        <w:rPr>
          <w:rFonts w:hint="eastAsia" w:asciiTheme="minorEastAsia" w:hAnsiTheme="minorEastAsia"/>
          <w:szCs w:val="21"/>
        </w:rPr>
        <w:t>的要求；</w:t>
      </w:r>
    </w:p>
    <w:p>
      <w:pPr>
        <w:adjustRightInd w:val="0"/>
        <w:snapToGrid w:val="0"/>
        <w:spacing w:line="360" w:lineRule="auto"/>
        <w:ind w:firstLine="420"/>
        <w:rPr>
          <w:rFonts w:hint="eastAsia" w:asciiTheme="minorEastAsia" w:hAnsiTheme="minorEastAsia"/>
          <w:szCs w:val="21"/>
        </w:rPr>
      </w:pPr>
      <w:r>
        <w:rPr>
          <w:rFonts w:hint="eastAsia" w:asciiTheme="minorEastAsia" w:hAnsiTheme="minorEastAsia"/>
          <w:szCs w:val="21"/>
        </w:rPr>
        <w:t>b.精炼炉的驱动装置，除应装有性能可靠的制动器外，还应设置检修用手动制动器；</w:t>
      </w:r>
    </w:p>
    <w:p>
      <w:pPr>
        <w:adjustRightInd w:val="0"/>
        <w:snapToGrid w:val="0"/>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c</w:t>
      </w:r>
      <w:r>
        <w:rPr>
          <w:rFonts w:hint="eastAsia" w:asciiTheme="minorEastAsia" w:hAnsiTheme="minorEastAsia"/>
          <w:szCs w:val="21"/>
        </w:rPr>
        <w:t>.</w:t>
      </w:r>
      <w:r>
        <w:rPr>
          <w:rFonts w:hint="eastAsia" w:asciiTheme="minorEastAsia" w:hAnsiTheme="minorEastAsia"/>
          <w:szCs w:val="21"/>
          <w:lang w:val="en-US" w:eastAsia="zh-CN"/>
        </w:rPr>
        <w:t>传动装置中的联轴器应有安全防护罩。</w:t>
      </w:r>
    </w:p>
    <w:p>
      <w:pPr>
        <w:adjustRightInd w:val="0"/>
        <w:snapToGrid w:val="0"/>
        <w:spacing w:line="360" w:lineRule="auto"/>
        <w:rPr>
          <w:rFonts w:asciiTheme="minorEastAsia" w:hAnsiTheme="minorEastAsia"/>
          <w:szCs w:val="21"/>
        </w:rPr>
      </w:pPr>
      <w:r>
        <w:rPr>
          <w:rFonts w:hint="eastAsia" w:asciiTheme="minorEastAsia" w:hAnsiTheme="minorEastAsia"/>
          <w:szCs w:val="21"/>
        </w:rPr>
        <w:t>3.1</w:t>
      </w:r>
      <w:r>
        <w:rPr>
          <w:rFonts w:hint="eastAsia" w:asciiTheme="minorEastAsia" w:hAnsiTheme="minorEastAsia"/>
          <w:szCs w:val="21"/>
          <w:lang w:val="en-US" w:eastAsia="zh-CN"/>
        </w:rPr>
        <w:t>0</w:t>
      </w:r>
      <w:r>
        <w:rPr>
          <w:rFonts w:hint="eastAsia" w:asciiTheme="minorEastAsia" w:hAnsiTheme="minorEastAsia"/>
          <w:szCs w:val="21"/>
        </w:rPr>
        <w:t>主要零部件的技术要求</w:t>
      </w:r>
    </w:p>
    <w:p>
      <w:pPr>
        <w:adjustRightInd w:val="0"/>
        <w:snapToGrid w:val="0"/>
        <w:spacing w:line="360" w:lineRule="auto"/>
        <w:rPr>
          <w:rFonts w:asciiTheme="minorEastAsia" w:hAnsiTheme="minorEastAsia"/>
          <w:szCs w:val="21"/>
        </w:rPr>
      </w:pPr>
      <w:r>
        <w:rPr>
          <w:rFonts w:hint="eastAsia" w:asciiTheme="minorEastAsia" w:hAnsiTheme="minorEastAsia"/>
          <w:szCs w:val="21"/>
        </w:rPr>
        <w:t>3.1</w:t>
      </w:r>
      <w:r>
        <w:rPr>
          <w:rFonts w:hint="eastAsia" w:asciiTheme="minorEastAsia" w:hAnsiTheme="minorEastAsia"/>
          <w:szCs w:val="21"/>
          <w:lang w:val="en-US" w:eastAsia="zh-CN"/>
        </w:rPr>
        <w:t>0</w:t>
      </w:r>
      <w:r>
        <w:rPr>
          <w:rFonts w:hint="eastAsia" w:asciiTheme="minorEastAsia" w:hAnsiTheme="minorEastAsia"/>
          <w:szCs w:val="21"/>
        </w:rPr>
        <w:t>.1大</w:t>
      </w:r>
      <w:r>
        <w:rPr>
          <w:rFonts w:hint="eastAsia" w:asciiTheme="minorEastAsia" w:hAnsiTheme="minorEastAsia"/>
          <w:szCs w:val="21"/>
          <w:lang w:val="en-US" w:eastAsia="zh-CN"/>
        </w:rPr>
        <w:t>齿轮与</w:t>
      </w:r>
      <w:r>
        <w:rPr>
          <w:rFonts w:hint="eastAsia" w:asciiTheme="minorEastAsia" w:hAnsiTheme="minorEastAsia"/>
          <w:szCs w:val="21"/>
        </w:rPr>
        <w:t>小齿轮：</w:t>
      </w:r>
    </w:p>
    <w:p>
      <w:pPr>
        <w:pStyle w:val="13"/>
        <w:numPr>
          <w:ilvl w:val="0"/>
          <w:numId w:val="6"/>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铸件毛坯尺寸公差不得低于CT11；</w:t>
      </w:r>
    </w:p>
    <w:p>
      <w:pPr>
        <w:pStyle w:val="13"/>
        <w:numPr>
          <w:ilvl w:val="0"/>
          <w:numId w:val="6"/>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大</w:t>
      </w:r>
      <w:r>
        <w:rPr>
          <w:rFonts w:hint="eastAsia" w:asciiTheme="minorEastAsia" w:hAnsiTheme="minorEastAsia"/>
          <w:szCs w:val="21"/>
          <w:lang w:val="en-US" w:eastAsia="zh-CN"/>
        </w:rPr>
        <w:t>齿轮推荐</w:t>
      </w:r>
      <w:r>
        <w:rPr>
          <w:rFonts w:hint="eastAsia" w:asciiTheme="minorEastAsia" w:hAnsiTheme="minorEastAsia"/>
          <w:szCs w:val="21"/>
        </w:rPr>
        <w:t>采用铸钢件，小齿轮</w:t>
      </w:r>
      <w:r>
        <w:rPr>
          <w:rFonts w:hint="eastAsia" w:asciiTheme="minorEastAsia" w:hAnsiTheme="minorEastAsia"/>
          <w:szCs w:val="21"/>
          <w:lang w:val="en-US" w:eastAsia="zh-CN"/>
        </w:rPr>
        <w:t>推荐</w:t>
      </w:r>
      <w:r>
        <w:rPr>
          <w:rFonts w:hint="eastAsia" w:asciiTheme="minorEastAsia" w:hAnsiTheme="minorEastAsia"/>
          <w:szCs w:val="21"/>
        </w:rPr>
        <w:t>采用锻钢件；</w:t>
      </w:r>
    </w:p>
    <w:p>
      <w:pPr>
        <w:pStyle w:val="13"/>
        <w:numPr>
          <w:ilvl w:val="0"/>
          <w:numId w:val="6"/>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齿轮加工应符合GB10095的有关规定，且不低于9级精度；</w:t>
      </w:r>
    </w:p>
    <w:p>
      <w:pPr>
        <w:pStyle w:val="13"/>
        <w:numPr>
          <w:ilvl w:val="0"/>
          <w:numId w:val="6"/>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lang w:val="en-US" w:eastAsia="zh-CN"/>
        </w:rPr>
        <w:t>大齿轮</w:t>
      </w:r>
      <w:r>
        <w:rPr>
          <w:rFonts w:hint="eastAsia" w:asciiTheme="minorEastAsia" w:hAnsiTheme="minorEastAsia"/>
          <w:szCs w:val="21"/>
        </w:rPr>
        <w:t>不得有影响使用性能的铸造缺陷，齿轮外圆周应按GB7233的规定作无损探伤检查，质量等级不低于2级；</w:t>
      </w:r>
    </w:p>
    <w:p>
      <w:pPr>
        <w:pStyle w:val="13"/>
        <w:numPr>
          <w:ilvl w:val="0"/>
          <w:numId w:val="6"/>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大</w:t>
      </w:r>
      <w:r>
        <w:rPr>
          <w:rFonts w:hint="eastAsia" w:asciiTheme="minorEastAsia" w:hAnsiTheme="minorEastAsia"/>
          <w:szCs w:val="21"/>
          <w:lang w:val="en-US" w:eastAsia="zh-CN"/>
        </w:rPr>
        <w:t>齿轮</w:t>
      </w:r>
      <w:r>
        <w:rPr>
          <w:rFonts w:hint="eastAsia" w:asciiTheme="minorEastAsia" w:hAnsiTheme="minorEastAsia"/>
          <w:szCs w:val="21"/>
        </w:rPr>
        <w:t>不得采用多于两半组合的剖分式结构；</w:t>
      </w:r>
    </w:p>
    <w:p>
      <w:pPr>
        <w:adjustRightInd w:val="0"/>
        <w:snapToGrid w:val="0"/>
        <w:spacing w:line="360" w:lineRule="auto"/>
        <w:rPr>
          <w:rFonts w:asciiTheme="minorEastAsia" w:hAnsiTheme="minorEastAsia"/>
          <w:szCs w:val="21"/>
        </w:rPr>
      </w:pPr>
      <w:r>
        <w:rPr>
          <w:rFonts w:hint="eastAsia" w:asciiTheme="minorEastAsia" w:hAnsiTheme="minorEastAsia"/>
          <w:szCs w:val="21"/>
        </w:rPr>
        <w:t>3.1</w:t>
      </w:r>
      <w:r>
        <w:rPr>
          <w:rFonts w:hint="eastAsia" w:asciiTheme="minorEastAsia" w:hAnsiTheme="minorEastAsia"/>
          <w:szCs w:val="21"/>
          <w:lang w:val="en-US" w:eastAsia="zh-CN"/>
        </w:rPr>
        <w:t>0</w:t>
      </w:r>
      <w:r>
        <w:rPr>
          <w:rFonts w:hint="eastAsia" w:asciiTheme="minorEastAsia" w:hAnsiTheme="minorEastAsia"/>
          <w:szCs w:val="21"/>
        </w:rPr>
        <w:t>.</w:t>
      </w:r>
      <w:r>
        <w:rPr>
          <w:rFonts w:hint="eastAsia" w:asciiTheme="minorEastAsia" w:hAnsiTheme="minorEastAsia"/>
          <w:szCs w:val="21"/>
          <w:lang w:val="en-US" w:eastAsia="zh-CN"/>
        </w:rPr>
        <w:t>2</w:t>
      </w:r>
      <w:r>
        <w:rPr>
          <w:rFonts w:hint="eastAsia" w:asciiTheme="minorEastAsia" w:hAnsiTheme="minorEastAsia"/>
          <w:szCs w:val="21"/>
        </w:rPr>
        <w:t>滚圈</w:t>
      </w:r>
      <w:r>
        <w:rPr>
          <w:rFonts w:hint="eastAsia" w:asciiTheme="minorEastAsia" w:hAnsiTheme="minorEastAsia"/>
          <w:szCs w:val="21"/>
          <w:lang w:val="en-US" w:eastAsia="zh-CN"/>
        </w:rPr>
        <w:t>与</w:t>
      </w:r>
      <w:r>
        <w:rPr>
          <w:rFonts w:hint="eastAsia" w:asciiTheme="minorEastAsia" w:hAnsiTheme="minorEastAsia"/>
          <w:szCs w:val="21"/>
        </w:rPr>
        <w:t>托轮：</w:t>
      </w:r>
    </w:p>
    <w:p>
      <w:pPr>
        <w:pStyle w:val="13"/>
        <w:numPr>
          <w:ilvl w:val="0"/>
          <w:numId w:val="7"/>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铸件毛坯尺寸公差不得低于CT11；</w:t>
      </w:r>
    </w:p>
    <w:p>
      <w:pPr>
        <w:pStyle w:val="13"/>
        <w:numPr>
          <w:ilvl w:val="0"/>
          <w:numId w:val="7"/>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滚圈</w:t>
      </w:r>
      <w:r>
        <w:rPr>
          <w:rFonts w:hint="eastAsia" w:asciiTheme="minorEastAsia" w:hAnsiTheme="minorEastAsia"/>
          <w:szCs w:val="21"/>
          <w:lang w:val="en-US" w:eastAsia="zh-CN"/>
        </w:rPr>
        <w:t>推荐</w:t>
      </w:r>
      <w:r>
        <w:rPr>
          <w:rFonts w:hint="eastAsia" w:asciiTheme="minorEastAsia" w:hAnsiTheme="minorEastAsia"/>
          <w:szCs w:val="21"/>
        </w:rPr>
        <w:t>采用铸钢件，</w:t>
      </w:r>
      <w:r>
        <w:rPr>
          <w:rFonts w:hint="eastAsia" w:asciiTheme="minorEastAsia" w:hAnsiTheme="minorEastAsia"/>
          <w:szCs w:val="21"/>
          <w:lang w:val="en-US" w:eastAsia="zh-CN"/>
        </w:rPr>
        <w:t>托轮可</w:t>
      </w:r>
      <w:r>
        <w:rPr>
          <w:rFonts w:hint="eastAsia" w:asciiTheme="minorEastAsia" w:hAnsiTheme="minorEastAsia"/>
          <w:szCs w:val="21"/>
        </w:rPr>
        <w:t>采用</w:t>
      </w:r>
      <w:r>
        <w:rPr>
          <w:rFonts w:hint="eastAsia" w:asciiTheme="minorEastAsia" w:hAnsiTheme="minorEastAsia"/>
          <w:szCs w:val="21"/>
          <w:lang w:val="en-US" w:eastAsia="zh-CN"/>
        </w:rPr>
        <w:t>铸钢</w:t>
      </w:r>
      <w:r>
        <w:rPr>
          <w:rFonts w:hint="eastAsia" w:asciiTheme="minorEastAsia" w:hAnsiTheme="minorEastAsia"/>
          <w:szCs w:val="21"/>
        </w:rPr>
        <w:t>件</w:t>
      </w:r>
      <w:r>
        <w:rPr>
          <w:rFonts w:hint="eastAsia" w:asciiTheme="minorEastAsia" w:hAnsiTheme="minorEastAsia"/>
          <w:szCs w:val="21"/>
          <w:lang w:val="en-US" w:eastAsia="zh-CN"/>
        </w:rPr>
        <w:t>也可采用锻钢件</w:t>
      </w:r>
      <w:r>
        <w:rPr>
          <w:rFonts w:hint="eastAsia" w:asciiTheme="minorEastAsia" w:hAnsiTheme="minorEastAsia"/>
          <w:szCs w:val="21"/>
        </w:rPr>
        <w:t>；</w:t>
      </w:r>
    </w:p>
    <w:p>
      <w:pPr>
        <w:pStyle w:val="13"/>
        <w:numPr>
          <w:ilvl w:val="0"/>
          <w:numId w:val="7"/>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lang w:val="en-US" w:eastAsia="zh-CN"/>
        </w:rPr>
        <w:t>滚圈和托轮</w:t>
      </w:r>
      <w:r>
        <w:rPr>
          <w:rFonts w:hint="eastAsia" w:asciiTheme="minorEastAsia" w:hAnsiTheme="minorEastAsia"/>
          <w:szCs w:val="21"/>
        </w:rPr>
        <w:t>不得有影响使用性能的铸造缺陷，</w:t>
      </w:r>
      <w:r>
        <w:rPr>
          <w:rFonts w:hint="eastAsia" w:asciiTheme="minorEastAsia" w:hAnsiTheme="minorEastAsia"/>
          <w:szCs w:val="21"/>
          <w:lang w:val="en-US" w:eastAsia="zh-CN"/>
        </w:rPr>
        <w:t>其</w:t>
      </w:r>
      <w:r>
        <w:rPr>
          <w:rFonts w:hint="eastAsia" w:asciiTheme="minorEastAsia" w:hAnsiTheme="minorEastAsia"/>
          <w:szCs w:val="21"/>
        </w:rPr>
        <w:t>外圆周应按GB7233的规定作无损探伤检查，质量等级不低于2级；</w:t>
      </w:r>
    </w:p>
    <w:p>
      <w:pPr>
        <w:pStyle w:val="13"/>
        <w:numPr>
          <w:ilvl w:val="0"/>
          <w:numId w:val="7"/>
        </w:numPr>
        <w:adjustRightInd w:val="0"/>
        <w:snapToGrid w:val="0"/>
        <w:spacing w:line="360" w:lineRule="auto"/>
        <w:ind w:firstLine="6" w:firstLineChars="0"/>
        <w:rPr>
          <w:rFonts w:hint="eastAsia" w:ascii="宋体" w:hAnsi="宋体" w:eastAsia="宋体" w:cs="Times New Roman"/>
          <w:kern w:val="0"/>
          <w:szCs w:val="21"/>
        </w:rPr>
      </w:pPr>
      <w:r>
        <w:rPr>
          <w:rFonts w:hint="eastAsia" w:asciiTheme="minorEastAsia" w:hAnsiTheme="minorEastAsia"/>
          <w:szCs w:val="21"/>
        </w:rPr>
        <w:t>滚圈不得采用多于两半组合的剖分式结构；</w:t>
      </w:r>
    </w:p>
    <w:p>
      <w:pPr>
        <w:adjustRightInd w:val="0"/>
        <w:snapToGrid w:val="0"/>
        <w:spacing w:line="360" w:lineRule="auto"/>
        <w:rPr>
          <w:rFonts w:asciiTheme="minorEastAsia" w:hAnsiTheme="minorEastAsia"/>
          <w:szCs w:val="21"/>
        </w:rPr>
      </w:pPr>
      <w:r>
        <w:rPr>
          <w:rFonts w:hint="eastAsia" w:asciiTheme="minorEastAsia" w:hAnsiTheme="minorEastAsia"/>
          <w:szCs w:val="21"/>
        </w:rPr>
        <w:t>3.1</w:t>
      </w:r>
      <w:r>
        <w:rPr>
          <w:rFonts w:hint="eastAsia" w:asciiTheme="minorEastAsia" w:hAnsiTheme="minorEastAsia"/>
          <w:szCs w:val="21"/>
          <w:lang w:val="en-US" w:eastAsia="zh-CN"/>
        </w:rPr>
        <w:t>0</w:t>
      </w:r>
      <w:r>
        <w:rPr>
          <w:rFonts w:hint="eastAsia" w:asciiTheme="minorEastAsia" w:hAnsiTheme="minorEastAsia"/>
          <w:szCs w:val="21"/>
        </w:rPr>
        <w:t>.</w:t>
      </w:r>
      <w:r>
        <w:rPr>
          <w:rFonts w:hint="eastAsia" w:asciiTheme="minorEastAsia" w:hAnsiTheme="minorEastAsia"/>
          <w:szCs w:val="21"/>
          <w:lang w:val="en-US" w:eastAsia="zh-CN"/>
        </w:rPr>
        <w:t>3</w:t>
      </w:r>
      <w:r>
        <w:rPr>
          <w:rFonts w:hint="eastAsia" w:asciiTheme="minorEastAsia" w:hAnsiTheme="minorEastAsia"/>
          <w:szCs w:val="21"/>
        </w:rPr>
        <w:t>筒体</w:t>
      </w:r>
    </w:p>
    <w:p>
      <w:pPr>
        <w:pStyle w:val="13"/>
        <w:numPr>
          <w:ilvl w:val="0"/>
          <w:numId w:val="8"/>
        </w:numPr>
        <w:adjustRightInd w:val="0"/>
        <w:snapToGrid w:val="0"/>
        <w:spacing w:line="360" w:lineRule="auto"/>
        <w:ind w:firstLine="6" w:firstLineChars="0"/>
        <w:rPr>
          <w:rFonts w:ascii="宋体" w:hAnsi="宋体" w:eastAsia="宋体" w:cs="Times New Roman"/>
          <w:kern w:val="0"/>
          <w:szCs w:val="21"/>
        </w:rPr>
      </w:pPr>
      <w:r>
        <w:rPr>
          <w:rFonts w:hint="eastAsia" w:ascii="宋体" w:hAnsi="宋体" w:eastAsia="宋体" w:cs="Times New Roman"/>
          <w:kern w:val="0"/>
          <w:szCs w:val="21"/>
        </w:rPr>
        <w:t>炉口段的钢板宽度应大于炉口长度；</w:t>
      </w:r>
    </w:p>
    <w:p>
      <w:pPr>
        <w:pStyle w:val="13"/>
        <w:numPr>
          <w:ilvl w:val="0"/>
          <w:numId w:val="8"/>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筒体由各筒体段对焊而成，每段纵向焊缝不应多于3条，各条焊缝间距不低于外圆周长的1/5；</w:t>
      </w:r>
    </w:p>
    <w:p>
      <w:pPr>
        <w:pStyle w:val="13"/>
        <w:numPr>
          <w:ilvl w:val="0"/>
          <w:numId w:val="8"/>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筒体段各焊缝处钢板错边量不得大于2mm；</w:t>
      </w:r>
    </w:p>
    <w:p>
      <w:pPr>
        <w:pStyle w:val="13"/>
        <w:numPr>
          <w:ilvl w:val="0"/>
          <w:numId w:val="8"/>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筒体对焊时，相邻筒体段的纵向焊缝应错开，错开弧长不得小于</w:t>
      </w:r>
      <w:r>
        <w:rPr>
          <w:rFonts w:hint="eastAsia" w:asciiTheme="minorEastAsia" w:hAnsiTheme="minorEastAsia"/>
          <w:szCs w:val="21"/>
          <w:lang w:val="en-US" w:eastAsia="zh-CN"/>
        </w:rPr>
        <w:t>5</w:t>
      </w:r>
      <w:r>
        <w:rPr>
          <w:rFonts w:hint="eastAsia" w:asciiTheme="minorEastAsia" w:hAnsiTheme="minorEastAsia"/>
          <w:szCs w:val="21"/>
        </w:rPr>
        <w:t>00mm；</w:t>
      </w:r>
    </w:p>
    <w:p>
      <w:pPr>
        <w:pStyle w:val="13"/>
        <w:numPr>
          <w:ilvl w:val="0"/>
          <w:numId w:val="8"/>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筒体内表面的圆柱度为筒体长度的0.15%，且不大于10mm；</w:t>
      </w:r>
    </w:p>
    <w:p>
      <w:pPr>
        <w:pStyle w:val="13"/>
        <w:numPr>
          <w:ilvl w:val="0"/>
          <w:numId w:val="8"/>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筒体的</w:t>
      </w:r>
      <w:r>
        <w:rPr>
          <w:rFonts w:hint="eastAsia" w:asciiTheme="minorEastAsia" w:hAnsiTheme="minorEastAsia"/>
          <w:szCs w:val="21"/>
          <w:lang w:val="en-US" w:eastAsia="zh-CN"/>
        </w:rPr>
        <w:t>焊缝</w:t>
      </w:r>
      <w:r>
        <w:rPr>
          <w:rFonts w:hint="eastAsia" w:asciiTheme="minorEastAsia" w:hAnsiTheme="minorEastAsia"/>
          <w:szCs w:val="21"/>
        </w:rPr>
        <w:t>表面应平整，且所有焊缝应按GB3323的规定进行无损探伤检查，质量等级不低于2级；</w:t>
      </w:r>
    </w:p>
    <w:p>
      <w:pPr>
        <w:pStyle w:val="13"/>
        <w:numPr>
          <w:ilvl w:val="0"/>
          <w:numId w:val="8"/>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筒体的焊缝应进行消除应力处理；</w:t>
      </w:r>
    </w:p>
    <w:p>
      <w:pPr>
        <w:pStyle w:val="13"/>
        <w:numPr>
          <w:ilvl w:val="0"/>
          <w:numId w:val="8"/>
        </w:numPr>
        <w:adjustRightInd w:val="0"/>
        <w:snapToGrid w:val="0"/>
        <w:spacing w:line="360" w:lineRule="auto"/>
        <w:ind w:firstLine="6" w:firstLineChars="0"/>
        <w:rPr>
          <w:rFonts w:asciiTheme="minorEastAsia" w:hAnsiTheme="minorEastAsia"/>
          <w:szCs w:val="21"/>
        </w:rPr>
      </w:pPr>
      <w:r>
        <w:rPr>
          <w:rFonts w:hint="eastAsia" w:asciiTheme="minorEastAsia" w:hAnsiTheme="minorEastAsia"/>
          <w:szCs w:val="21"/>
        </w:rPr>
        <w:t>筒体材料的机械性能不得低于GB713中Q345R钢的规定。</w:t>
      </w:r>
    </w:p>
    <w:p>
      <w:pPr>
        <w:adjustRightInd w:val="0"/>
        <w:snapToGrid w:val="0"/>
        <w:spacing w:line="360" w:lineRule="auto"/>
        <w:rPr>
          <w:rFonts w:asciiTheme="minorEastAsia" w:hAnsiTheme="minorEastAsia"/>
          <w:szCs w:val="21"/>
        </w:rPr>
      </w:pPr>
      <w:r>
        <w:rPr>
          <w:rFonts w:hint="eastAsia" w:asciiTheme="minorEastAsia" w:hAnsiTheme="minorEastAsia"/>
          <w:szCs w:val="21"/>
        </w:rPr>
        <w:t>3.1</w:t>
      </w:r>
      <w:r>
        <w:rPr>
          <w:rFonts w:hint="eastAsia" w:asciiTheme="minorEastAsia" w:hAnsiTheme="minorEastAsia"/>
          <w:szCs w:val="21"/>
          <w:lang w:val="en-US" w:eastAsia="zh-CN"/>
        </w:rPr>
        <w:t>1</w:t>
      </w:r>
      <w:r>
        <w:rPr>
          <w:rFonts w:hint="eastAsia" w:asciiTheme="minorEastAsia" w:hAnsiTheme="minorEastAsia"/>
          <w:szCs w:val="21"/>
        </w:rPr>
        <w:t>精炼炉推荐使用氮气搅拌系统。</w:t>
      </w:r>
    </w:p>
    <w:p>
      <w:pPr>
        <w:adjustRightInd w:val="0"/>
        <w:snapToGrid w:val="0"/>
        <w:spacing w:line="360" w:lineRule="auto"/>
        <w:ind w:firstLine="420" w:firstLineChars="200"/>
        <w:rPr>
          <w:rFonts w:hint="eastAsia"/>
        </w:rPr>
      </w:pPr>
      <w:r>
        <w:rPr>
          <w:rFonts w:hint="eastAsia"/>
        </w:rPr>
        <w:t>氮气搅拌系统由氮气气源收集单元、气源调节控制单元、透气砖、管路等组成。</w:t>
      </w:r>
    </w:p>
    <w:p>
      <w:pPr>
        <w:adjustRightInd w:val="0"/>
        <w:snapToGrid w:val="0"/>
        <w:spacing w:line="360" w:lineRule="auto"/>
        <w:ind w:firstLine="420" w:firstLineChars="200"/>
        <w:rPr>
          <w:rFonts w:hint="eastAsia"/>
          <w:lang w:val="en-US" w:eastAsia="zh-CN"/>
        </w:rPr>
      </w:pPr>
      <w:r>
        <w:rPr>
          <w:rFonts w:hint="eastAsia"/>
          <w:lang w:val="en-US" w:eastAsia="zh-CN"/>
        </w:rPr>
        <w:t>氮气纯度：＞98%；</w:t>
      </w:r>
    </w:p>
    <w:p>
      <w:pPr>
        <w:adjustRightInd w:val="0"/>
        <w:snapToGrid w:val="0"/>
        <w:spacing w:line="360" w:lineRule="auto"/>
        <w:ind w:firstLine="420" w:firstLineChars="200"/>
        <w:rPr>
          <w:rFonts w:hint="eastAsia"/>
        </w:rPr>
      </w:pPr>
      <w:r>
        <w:rPr>
          <w:rFonts w:hint="eastAsia"/>
          <w:lang w:val="en-US" w:eastAsia="zh-CN"/>
        </w:rPr>
        <w:t>供气压力：≥0.6Mpa。</w:t>
      </w:r>
    </w:p>
    <w:p>
      <w:pPr>
        <w:adjustRightInd w:val="0"/>
        <w:snapToGrid w:val="0"/>
        <w:spacing w:line="360" w:lineRule="auto"/>
        <w:ind w:firstLine="420" w:firstLineChars="200"/>
        <w:rPr>
          <w:rFonts w:hint="default"/>
          <w:lang w:val="en-US" w:eastAsia="zh-CN"/>
        </w:rPr>
      </w:pPr>
      <w:r>
        <w:rPr>
          <w:rFonts w:hint="eastAsia"/>
        </w:rPr>
        <w:t>透气砖</w:t>
      </w:r>
      <w:r>
        <w:rPr>
          <w:rFonts w:hint="eastAsia"/>
          <w:lang w:val="en-US" w:eastAsia="zh-CN"/>
        </w:rPr>
        <w:t>材质为铝铬质，由透气芯、套砖及座砖等组成，高抗（侵蚀、冲击、热震、高温等）耐用，透气芯气体通道形式推荐采用弥散式，气体通道设计合理，无堵塞。透气芯应具有测温装置，可通过插入热电偶，判断透气芯的残余高度。</w:t>
      </w:r>
    </w:p>
    <w:p>
      <w:pPr>
        <w:adjustRightInd w:val="0"/>
        <w:snapToGrid w:val="0"/>
        <w:spacing w:line="360" w:lineRule="auto"/>
        <w:rPr>
          <w:rFonts w:asciiTheme="minorEastAsia" w:hAnsiTheme="minorEastAsia"/>
          <w:szCs w:val="21"/>
        </w:rPr>
      </w:pPr>
      <w:r>
        <w:rPr>
          <w:rFonts w:hint="eastAsia" w:asciiTheme="minorEastAsia" w:hAnsiTheme="minorEastAsia"/>
          <w:szCs w:val="21"/>
        </w:rPr>
        <w:t>3.1</w:t>
      </w:r>
      <w:r>
        <w:rPr>
          <w:rFonts w:hint="eastAsia" w:asciiTheme="minorEastAsia" w:hAnsiTheme="minorEastAsia"/>
          <w:szCs w:val="21"/>
          <w:lang w:val="en-US" w:eastAsia="zh-CN"/>
        </w:rPr>
        <w:t>2</w:t>
      </w:r>
      <w:r>
        <w:rPr>
          <w:rFonts w:hint="eastAsia" w:asciiTheme="minorEastAsia" w:hAnsiTheme="minorEastAsia"/>
          <w:szCs w:val="21"/>
        </w:rPr>
        <w:t>精炼炉推荐采用稀氧燃烧系统</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稀氧燃烧装置以纯氧作为助燃剂，最大幅度提高燃烧效率，节省燃料，并大量减少烟气量，减少了烟气处理设备方面的设备投资及运行成本。同时，燃烧过程中由于没有氮气，减少了氮氧化物的形成与排放。</w:t>
      </w:r>
    </w:p>
    <w:p>
      <w:pPr>
        <w:adjustRightInd w:val="0"/>
        <w:snapToGrid w:val="0"/>
        <w:spacing w:line="360" w:lineRule="auto"/>
        <w:rPr>
          <w:rFonts w:hint="eastAsia" w:cs="Calibri" w:asciiTheme="minorEastAsia" w:hAnsiTheme="minorEastAsia" w:eastAsiaTheme="minorEastAsia"/>
          <w:kern w:val="2"/>
          <w:sz w:val="21"/>
          <w:szCs w:val="21"/>
          <w:lang w:val="en-US" w:eastAsia="zh-CN" w:bidi="ar-SA"/>
        </w:rPr>
      </w:pPr>
      <w:r>
        <w:rPr>
          <w:rFonts w:asciiTheme="minorEastAsia" w:hAnsiTheme="minorEastAsia"/>
          <w:szCs w:val="21"/>
        </w:rPr>
        <w:t>3.</w:t>
      </w:r>
      <w:r>
        <w:rPr>
          <w:rFonts w:hint="eastAsia" w:asciiTheme="minorEastAsia" w:hAnsiTheme="minorEastAsia"/>
          <w:szCs w:val="21"/>
        </w:rPr>
        <w:t>1</w:t>
      </w:r>
      <w:r>
        <w:rPr>
          <w:rFonts w:hint="eastAsia" w:asciiTheme="minorEastAsia" w:hAnsiTheme="minorEastAsia"/>
          <w:szCs w:val="21"/>
          <w:lang w:val="en-US" w:eastAsia="zh-CN"/>
        </w:rPr>
        <w:t>3</w:t>
      </w:r>
      <w:r>
        <w:rPr>
          <w:rFonts w:asciiTheme="minorEastAsia" w:hAnsiTheme="minorEastAsia"/>
          <w:szCs w:val="21"/>
        </w:rPr>
        <w:t>技术规格及性能</w:t>
      </w:r>
    </w:p>
    <w:p>
      <w:pPr>
        <w:pStyle w:val="13"/>
        <w:numPr>
          <w:ilvl w:val="0"/>
          <w:numId w:val="9"/>
        </w:numPr>
        <w:adjustRightInd w:val="0"/>
        <w:snapToGrid w:val="0"/>
        <w:spacing w:line="360" w:lineRule="auto"/>
        <w:ind w:firstLine="6" w:firstLineChars="0"/>
        <w:rPr>
          <w:rFonts w:hint="eastAsia" w:cs="Calibri" w:asciiTheme="minorEastAsia" w:hAnsiTheme="minorEastAsia" w:eastAsiaTheme="minorEastAsia"/>
          <w:kern w:val="2"/>
          <w:sz w:val="21"/>
          <w:szCs w:val="21"/>
          <w:lang w:val="en-US" w:eastAsia="zh-CN" w:bidi="ar-SA"/>
        </w:rPr>
      </w:pPr>
      <w:r>
        <w:rPr>
          <w:rFonts w:hint="eastAsia" w:cs="Calibri" w:asciiTheme="minorEastAsia" w:hAnsiTheme="minorEastAsia"/>
          <w:kern w:val="2"/>
          <w:sz w:val="21"/>
          <w:szCs w:val="21"/>
          <w:lang w:val="en-US" w:eastAsia="zh-CN" w:bidi="ar-SA"/>
        </w:rPr>
        <w:t>精炼</w:t>
      </w:r>
      <w:r>
        <w:rPr>
          <w:rFonts w:hint="eastAsia" w:cs="Calibri" w:asciiTheme="minorEastAsia" w:hAnsiTheme="minorEastAsia" w:eastAsiaTheme="minorEastAsia"/>
          <w:kern w:val="2"/>
          <w:sz w:val="21"/>
          <w:szCs w:val="21"/>
          <w:lang w:val="en-US" w:eastAsia="zh-CN" w:bidi="ar-SA"/>
        </w:rPr>
        <w:t>炉规格尺寸：是筒体内径×筒体内长度，例如：Φ4300×12000；</w:t>
      </w:r>
    </w:p>
    <w:p>
      <w:pPr>
        <w:pStyle w:val="13"/>
        <w:numPr>
          <w:ilvl w:val="0"/>
          <w:numId w:val="9"/>
        </w:numPr>
        <w:adjustRightInd w:val="0"/>
        <w:snapToGrid w:val="0"/>
        <w:spacing w:line="360" w:lineRule="auto"/>
        <w:ind w:firstLine="6" w:firstLineChars="0"/>
        <w:rPr>
          <w:rFonts w:cs="Calibri" w:asciiTheme="minorEastAsia" w:hAnsiTheme="minorEastAsia"/>
          <w:szCs w:val="21"/>
        </w:rPr>
      </w:pPr>
      <w:r>
        <w:rPr>
          <w:rFonts w:hint="eastAsia" w:cs="宋体" w:asciiTheme="minorEastAsia" w:hAnsiTheme="minorEastAsia"/>
          <w:szCs w:val="21"/>
          <w:lang w:val="en-US" w:eastAsia="zh-CN"/>
        </w:rPr>
        <w:t>精炼</w:t>
      </w:r>
      <w:r>
        <w:rPr>
          <w:rFonts w:hint="eastAsia" w:cs="宋体" w:asciiTheme="minorEastAsia" w:hAnsiTheme="minorEastAsia"/>
          <w:szCs w:val="21"/>
        </w:rPr>
        <w:t>炉产能</w:t>
      </w:r>
      <w:r>
        <w:rPr>
          <w:rFonts w:cs="宋体" w:asciiTheme="minorEastAsia" w:hAnsiTheme="minorEastAsia"/>
          <w:szCs w:val="21"/>
        </w:rPr>
        <w:t>：</w:t>
      </w:r>
      <w:r>
        <w:rPr>
          <w:rFonts w:hint="eastAsia" w:cs="宋体" w:asciiTheme="minorEastAsia" w:hAnsiTheme="minorEastAsia"/>
          <w:szCs w:val="21"/>
        </w:rPr>
        <w:t>为每炉产出阳极铜的吨数，单位为：</w:t>
      </w:r>
      <w:r>
        <w:rPr>
          <w:rFonts w:hint="eastAsia" w:cs="Calibri" w:asciiTheme="minorEastAsia" w:hAnsiTheme="minorEastAsia"/>
          <w:szCs w:val="21"/>
        </w:rPr>
        <w:t>t</w:t>
      </w:r>
      <w:r>
        <w:rPr>
          <w:rFonts w:cs="Calibri" w:asciiTheme="minorEastAsia" w:hAnsiTheme="minorEastAsia"/>
          <w:szCs w:val="21"/>
        </w:rPr>
        <w:t>/</w:t>
      </w:r>
      <w:r>
        <w:rPr>
          <w:rFonts w:hint="eastAsia" w:cs="宋体" w:asciiTheme="minorEastAsia" w:hAnsiTheme="minorEastAsia"/>
          <w:szCs w:val="21"/>
        </w:rPr>
        <w:t>炉。例如：350</w:t>
      </w:r>
      <w:r>
        <w:rPr>
          <w:rFonts w:hint="eastAsia" w:cs="Calibri" w:asciiTheme="minorEastAsia" w:hAnsiTheme="minorEastAsia"/>
          <w:szCs w:val="21"/>
        </w:rPr>
        <w:t>t</w:t>
      </w:r>
      <w:r>
        <w:rPr>
          <w:rFonts w:cs="Calibri" w:asciiTheme="minorEastAsia" w:hAnsiTheme="minorEastAsia"/>
          <w:szCs w:val="21"/>
        </w:rPr>
        <w:t>/</w:t>
      </w:r>
      <w:r>
        <w:rPr>
          <w:rFonts w:hint="eastAsia" w:cs="宋体" w:asciiTheme="minorEastAsia" w:hAnsiTheme="minorEastAsia"/>
          <w:szCs w:val="21"/>
        </w:rPr>
        <w:t>炉；</w:t>
      </w:r>
    </w:p>
    <w:p>
      <w:pPr>
        <w:pStyle w:val="13"/>
        <w:numPr>
          <w:ilvl w:val="0"/>
          <w:numId w:val="9"/>
        </w:numPr>
        <w:adjustRightInd w:val="0"/>
        <w:snapToGrid w:val="0"/>
        <w:spacing w:line="360" w:lineRule="auto"/>
        <w:ind w:firstLine="6" w:firstLineChars="0"/>
        <w:rPr>
          <w:rFonts w:cs="Calibri" w:asciiTheme="minorEastAsia" w:hAnsiTheme="minorEastAsia"/>
          <w:szCs w:val="21"/>
        </w:rPr>
      </w:pPr>
      <w:r>
        <w:rPr>
          <w:rFonts w:hint="eastAsia" w:cs="Calibri" w:asciiTheme="minorEastAsia" w:hAnsiTheme="minorEastAsia"/>
          <w:szCs w:val="21"/>
          <w:lang w:val="en-US" w:eastAsia="zh-CN"/>
        </w:rPr>
        <w:t>精炼</w:t>
      </w:r>
      <w:r>
        <w:rPr>
          <w:rFonts w:hint="eastAsia" w:cs="Calibri" w:asciiTheme="minorEastAsia" w:hAnsiTheme="minorEastAsia"/>
          <w:szCs w:val="21"/>
        </w:rPr>
        <w:t>铜出铜品质：含铜量大于99.2%以上；</w:t>
      </w:r>
    </w:p>
    <w:p>
      <w:pPr>
        <w:pStyle w:val="13"/>
        <w:numPr>
          <w:ilvl w:val="0"/>
          <w:numId w:val="9"/>
        </w:numPr>
        <w:adjustRightInd w:val="0"/>
        <w:snapToGrid w:val="0"/>
        <w:spacing w:line="360" w:lineRule="auto"/>
        <w:ind w:firstLine="6" w:firstLineChars="0"/>
        <w:rPr>
          <w:rFonts w:cs="宋体" w:asciiTheme="minorEastAsia" w:hAnsiTheme="minorEastAsia"/>
          <w:szCs w:val="21"/>
        </w:rPr>
      </w:pPr>
      <w:r>
        <w:rPr>
          <w:rFonts w:hint="eastAsia" w:cs="宋体" w:asciiTheme="minorEastAsia" w:hAnsiTheme="minorEastAsia"/>
          <w:szCs w:val="21"/>
          <w:lang w:val="en-US" w:eastAsia="zh-CN"/>
        </w:rPr>
        <w:t>精炼</w:t>
      </w:r>
      <w:r>
        <w:rPr>
          <w:rFonts w:hint="eastAsia" w:cs="宋体" w:asciiTheme="minorEastAsia" w:hAnsiTheme="minorEastAsia"/>
          <w:szCs w:val="21"/>
        </w:rPr>
        <w:t>铜的出铜温度：</w:t>
      </w:r>
      <w:r>
        <w:rPr>
          <w:rFonts w:hint="eastAsia" w:ascii="宋体" w:hAnsi="宋体" w:eastAsia="宋体" w:cs="宋体"/>
        </w:rPr>
        <w:t>1200-1250</w:t>
      </w:r>
      <w:r>
        <w:rPr>
          <w:rFonts w:ascii="宋体" w:hAnsi="宋体" w:eastAsia="宋体" w:cs="宋体"/>
        </w:rPr>
        <w:t>℃</w:t>
      </w:r>
      <w:r>
        <w:rPr>
          <w:rFonts w:hint="eastAsia" w:ascii="宋体" w:hAnsi="宋体" w:eastAsia="宋体" w:cs="宋体"/>
        </w:rPr>
        <w:t>。</w:t>
      </w:r>
    </w:p>
    <w:p>
      <w:pPr>
        <w:adjustRightInd w:val="0"/>
        <w:snapToGrid w:val="0"/>
        <w:spacing w:line="360" w:lineRule="auto"/>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1</w:t>
      </w:r>
      <w:r>
        <w:rPr>
          <w:rFonts w:hint="eastAsia" w:asciiTheme="minorEastAsia" w:hAnsiTheme="minorEastAsia"/>
          <w:szCs w:val="21"/>
          <w:lang w:val="en-US" w:eastAsia="zh-CN"/>
        </w:rPr>
        <w:t>4</w:t>
      </w:r>
      <w:r>
        <w:rPr>
          <w:rFonts w:asciiTheme="minorEastAsia" w:hAnsiTheme="minorEastAsia"/>
          <w:szCs w:val="21"/>
        </w:rPr>
        <w:t>环境、供电</w:t>
      </w:r>
      <w:r>
        <w:rPr>
          <w:rFonts w:hint="eastAsia" w:asciiTheme="minorEastAsia" w:hAnsiTheme="minorEastAsia"/>
          <w:szCs w:val="21"/>
        </w:rPr>
        <w:t>、供水、供气、供燃料</w:t>
      </w:r>
      <w:r>
        <w:rPr>
          <w:rFonts w:asciiTheme="minorEastAsia" w:hAnsiTheme="minorEastAsia"/>
          <w:szCs w:val="21"/>
        </w:rPr>
        <w:t>要求</w:t>
      </w:r>
    </w:p>
    <w:p>
      <w:pPr>
        <w:pStyle w:val="13"/>
        <w:numPr>
          <w:ilvl w:val="0"/>
          <w:numId w:val="10"/>
        </w:numPr>
        <w:adjustRightInd w:val="0"/>
        <w:snapToGrid w:val="0"/>
        <w:spacing w:line="360" w:lineRule="auto"/>
        <w:ind w:firstLine="6" w:firstLineChars="0"/>
        <w:rPr>
          <w:rFonts w:asciiTheme="minorEastAsia" w:hAnsiTheme="minorEastAsia"/>
          <w:szCs w:val="21"/>
        </w:rPr>
      </w:pPr>
      <w:r>
        <w:rPr>
          <w:rFonts w:asciiTheme="minorEastAsia" w:hAnsiTheme="minorEastAsia"/>
          <w:szCs w:val="21"/>
        </w:rPr>
        <w:t>适用环境：</w:t>
      </w:r>
      <w:r>
        <w:rPr>
          <w:rFonts w:cs="Times New Roman" w:asciiTheme="minorEastAsia" w:hAnsiTheme="minorEastAsia"/>
          <w:szCs w:val="21"/>
        </w:rPr>
        <w:t>室内</w:t>
      </w:r>
      <w:r>
        <w:rPr>
          <w:rFonts w:hint="eastAsia" w:cs="Times New Roman" w:asciiTheme="minorEastAsia" w:hAnsiTheme="minorEastAsia"/>
          <w:szCs w:val="21"/>
        </w:rPr>
        <w:t>，环境温度-10℃-60℃</w:t>
      </w:r>
      <w:r>
        <w:rPr>
          <w:rFonts w:hint="eastAsia" w:cs="Times New Roman" w:asciiTheme="minorEastAsia" w:hAnsiTheme="minorEastAsia"/>
          <w:szCs w:val="21"/>
          <w:lang w:eastAsia="zh-CN"/>
        </w:rPr>
        <w:t>；</w:t>
      </w:r>
    </w:p>
    <w:p>
      <w:pPr>
        <w:pStyle w:val="13"/>
        <w:numPr>
          <w:ilvl w:val="0"/>
          <w:numId w:val="10"/>
        </w:numPr>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驱动电源</w:t>
      </w:r>
      <w:r>
        <w:rPr>
          <w:rFonts w:hint="eastAsia" w:asciiTheme="minorEastAsia" w:hAnsiTheme="minorEastAsia"/>
          <w:szCs w:val="21"/>
        </w:rPr>
        <w:t>：交流电，</w:t>
      </w:r>
      <w:r>
        <w:rPr>
          <w:rFonts w:cs="Times New Roman" w:asciiTheme="minorEastAsia" w:hAnsiTheme="minorEastAsia"/>
          <w:szCs w:val="21"/>
        </w:rPr>
        <w:t>三相交流 380V</w:t>
      </w:r>
      <w:r>
        <w:rPr>
          <w:rFonts w:hint="eastAsia" w:cs="Times New Roman" w:asciiTheme="minorEastAsia" w:hAnsiTheme="minorEastAsia"/>
          <w:szCs w:val="21"/>
        </w:rPr>
        <w:t>，</w:t>
      </w:r>
      <w:r>
        <w:rPr>
          <w:rFonts w:cs="Times New Roman" w:asciiTheme="minorEastAsia" w:hAnsiTheme="minorEastAsia"/>
          <w:szCs w:val="21"/>
        </w:rPr>
        <w:t>50Hz</w:t>
      </w:r>
      <w:r>
        <w:rPr>
          <w:rFonts w:hint="eastAsia" w:cs="Times New Roman" w:asciiTheme="minorEastAsia" w:hAnsiTheme="minorEastAsia"/>
          <w:szCs w:val="21"/>
        </w:rPr>
        <w:t>。直流电，220V</w:t>
      </w:r>
      <w:r>
        <w:rPr>
          <w:rFonts w:hint="eastAsia" w:cs="Times New Roman" w:asciiTheme="minorEastAsia" w:hAnsiTheme="minorEastAsia"/>
          <w:szCs w:val="21"/>
          <w:lang w:eastAsia="zh-CN"/>
        </w:rPr>
        <w:t>；</w:t>
      </w:r>
    </w:p>
    <w:p>
      <w:pPr>
        <w:pStyle w:val="13"/>
        <w:numPr>
          <w:ilvl w:val="0"/>
          <w:numId w:val="10"/>
        </w:numPr>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控制</w:t>
      </w:r>
      <w:r>
        <w:rPr>
          <w:rFonts w:cs="Times New Roman" w:asciiTheme="minorEastAsia" w:hAnsiTheme="minorEastAsia"/>
          <w:szCs w:val="21"/>
        </w:rPr>
        <w:t>电源：</w:t>
      </w:r>
      <w:r>
        <w:rPr>
          <w:rFonts w:hint="eastAsia" w:cs="Times New Roman" w:asciiTheme="minorEastAsia" w:hAnsiTheme="minorEastAsia"/>
          <w:szCs w:val="21"/>
        </w:rPr>
        <w:t>直流24V</w:t>
      </w:r>
      <w:r>
        <w:rPr>
          <w:rFonts w:hint="eastAsia" w:cs="Times New Roman" w:asciiTheme="minorEastAsia" w:hAnsiTheme="minorEastAsia"/>
          <w:szCs w:val="21"/>
          <w:lang w:eastAsia="zh-CN"/>
        </w:rPr>
        <w:t>；</w:t>
      </w:r>
    </w:p>
    <w:p>
      <w:pPr>
        <w:pStyle w:val="13"/>
        <w:numPr>
          <w:ilvl w:val="0"/>
          <w:numId w:val="10"/>
        </w:numPr>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水冷炉口供水：软化水</w:t>
      </w:r>
      <w:r>
        <w:rPr>
          <w:rFonts w:hint="eastAsia" w:cs="Times New Roman" w:asciiTheme="minorEastAsia" w:hAnsiTheme="minorEastAsia"/>
          <w:szCs w:val="21"/>
          <w:lang w:eastAsia="zh-CN"/>
        </w:rPr>
        <w:t>；</w:t>
      </w:r>
    </w:p>
    <w:p>
      <w:pPr>
        <w:pStyle w:val="13"/>
        <w:numPr>
          <w:ilvl w:val="0"/>
          <w:numId w:val="10"/>
        </w:numPr>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压缩空气：冶炼氧化用气为工业压缩空气；气动元件用气为净化干燥压缩空气。</w:t>
      </w:r>
    </w:p>
    <w:p>
      <w:pPr>
        <w:pStyle w:val="13"/>
        <w:numPr>
          <w:ilvl w:val="0"/>
          <w:numId w:val="10"/>
        </w:numPr>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燃料供应：冶炼还原剂可用天然气、柴油、LPG或煤粉与炭粉的混合物等；燃烧加热可用天然气、重油、LPG或煤粉等。</w:t>
      </w:r>
    </w:p>
    <w:p>
      <w:pPr>
        <w:pStyle w:val="13"/>
        <w:numPr>
          <w:ilvl w:val="0"/>
          <w:numId w:val="3"/>
        </w:numPr>
        <w:adjustRightInd w:val="0"/>
        <w:snapToGrid w:val="0"/>
        <w:spacing w:beforeLines="50" w:afterLines="50" w:line="360" w:lineRule="auto"/>
        <w:ind w:left="357" w:hanging="357" w:firstLineChars="0"/>
        <w:rPr>
          <w:rFonts w:asciiTheme="minorEastAsia" w:hAnsiTheme="minorEastAsia"/>
          <w:b/>
          <w:szCs w:val="21"/>
        </w:rPr>
      </w:pPr>
      <w:r>
        <w:rPr>
          <w:rFonts w:hint="eastAsia" w:asciiTheme="minorEastAsia" w:hAnsiTheme="minorEastAsia"/>
          <w:b/>
          <w:szCs w:val="21"/>
        </w:rPr>
        <w:t>试验方法与检验规则</w:t>
      </w:r>
    </w:p>
    <w:p>
      <w:pPr>
        <w:adjustRightInd w:val="0"/>
        <w:snapToGrid w:val="0"/>
        <w:spacing w:line="360" w:lineRule="auto"/>
        <w:rPr>
          <w:rFonts w:ascii="宋体" w:hAnsi="宋体" w:eastAsia="宋体" w:cs="Calibri"/>
        </w:rPr>
      </w:pPr>
      <w:r>
        <w:rPr>
          <w:rFonts w:hint="eastAsia" w:ascii="宋体" w:hAnsi="宋体" w:eastAsia="宋体" w:cs="Calibri"/>
        </w:rPr>
        <w:t>4.1  在设备制造厂内的试验</w:t>
      </w:r>
    </w:p>
    <w:p>
      <w:pPr>
        <w:adjustRightInd w:val="0"/>
        <w:snapToGrid w:val="0"/>
        <w:spacing w:line="360" w:lineRule="auto"/>
        <w:rPr>
          <w:rFonts w:ascii="宋体" w:hAnsi="宋体" w:eastAsia="宋体" w:cs="Calibri"/>
        </w:rPr>
      </w:pPr>
      <w:r>
        <w:rPr>
          <w:rFonts w:hint="eastAsia" w:ascii="宋体" w:hAnsi="宋体" w:eastAsia="宋体" w:cs="Calibri"/>
        </w:rPr>
        <w:t>4.1.1大齿轮、滚圈、托轮和筒体的探伤检查应符合3.1</w:t>
      </w:r>
      <w:r>
        <w:rPr>
          <w:rFonts w:hint="eastAsia" w:ascii="宋体" w:hAnsi="宋体" w:eastAsia="宋体" w:cs="Calibri"/>
          <w:lang w:val="en-US" w:eastAsia="zh-CN"/>
        </w:rPr>
        <w:t>0</w:t>
      </w:r>
      <w:r>
        <w:rPr>
          <w:rFonts w:hint="eastAsia" w:ascii="宋体" w:hAnsi="宋体" w:eastAsia="宋体" w:cs="Calibri"/>
        </w:rPr>
        <w:t>条的要求。</w:t>
      </w:r>
    </w:p>
    <w:p>
      <w:pPr>
        <w:adjustRightInd w:val="0"/>
        <w:snapToGrid w:val="0"/>
        <w:spacing w:line="360" w:lineRule="auto"/>
        <w:rPr>
          <w:rFonts w:ascii="宋体" w:hAnsi="宋体" w:eastAsia="宋体" w:cs="Calibri"/>
        </w:rPr>
      </w:pPr>
      <w:r>
        <w:rPr>
          <w:rFonts w:hint="eastAsia" w:ascii="宋体" w:hAnsi="宋体" w:eastAsia="宋体" w:cs="Calibri"/>
        </w:rPr>
        <w:t>4.1.2各回转部件单独进行手动盘车、转动应灵活。</w:t>
      </w:r>
    </w:p>
    <w:p>
      <w:pPr>
        <w:adjustRightInd w:val="0"/>
        <w:snapToGrid w:val="0"/>
        <w:spacing w:line="360" w:lineRule="auto"/>
        <w:rPr>
          <w:rFonts w:ascii="宋体" w:hAnsi="宋体" w:eastAsia="宋体" w:cs="Calibri"/>
        </w:rPr>
      </w:pPr>
      <w:r>
        <w:rPr>
          <w:rFonts w:hint="eastAsia" w:ascii="宋体" w:hAnsi="宋体" w:eastAsia="宋体" w:cs="Calibri"/>
        </w:rPr>
        <w:t>4.1.3传动装置组装后（开式齿轮及其联轴器除外）应进行下列项目试验：</w:t>
      </w:r>
    </w:p>
    <w:p>
      <w:pPr>
        <w:pStyle w:val="13"/>
        <w:numPr>
          <w:ilvl w:val="0"/>
          <w:numId w:val="11"/>
        </w:numPr>
        <w:adjustRightInd w:val="0"/>
        <w:snapToGrid w:val="0"/>
        <w:spacing w:line="360" w:lineRule="auto"/>
        <w:ind w:firstLine="6" w:firstLineChars="0"/>
        <w:rPr>
          <w:rFonts w:cs="Times New Roman" w:asciiTheme="minorEastAsia" w:hAnsiTheme="minorEastAsia"/>
          <w:szCs w:val="21"/>
        </w:rPr>
      </w:pPr>
      <w:r>
        <w:rPr>
          <w:rFonts w:hint="eastAsia" w:ascii="宋体" w:hAnsi="宋体" w:eastAsia="宋体" w:cs="Calibri"/>
        </w:rPr>
        <w:t>分别做快速和慢速空负荷时的起点、制动和运转试验。正、反方向连续运转时间各不少于2h，运转应灵活平稳，噪声应满足3.</w:t>
      </w:r>
      <w:r>
        <w:rPr>
          <w:rFonts w:hint="eastAsia" w:ascii="宋体" w:hAnsi="宋体" w:eastAsia="宋体" w:cs="Calibri"/>
          <w:lang w:val="en-US" w:eastAsia="zh-CN"/>
        </w:rPr>
        <w:t>9</w:t>
      </w:r>
      <w:r>
        <w:rPr>
          <w:rFonts w:hint="eastAsia" w:ascii="宋体" w:hAnsi="宋体" w:eastAsia="宋体" w:cs="Calibri"/>
        </w:rPr>
        <w:t>条中a的规定，转速符合要求，滚动轴承温升不大于30</w:t>
      </w:r>
      <w:r>
        <w:rPr>
          <w:rFonts w:hint="eastAsia" w:cs="Times New Roman" w:asciiTheme="minorEastAsia" w:hAnsiTheme="minorEastAsia"/>
          <w:szCs w:val="21"/>
        </w:rPr>
        <w:t>℃；</w:t>
      </w:r>
    </w:p>
    <w:p>
      <w:pPr>
        <w:pStyle w:val="13"/>
        <w:numPr>
          <w:ilvl w:val="0"/>
          <w:numId w:val="11"/>
        </w:numPr>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做事故时的起动、制动、运转试验，动作应灵活可靠。</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4.1.4对水冷炉口进行水压试验，其试验压力为0.</w:t>
      </w:r>
      <w:r>
        <w:rPr>
          <w:rFonts w:hint="eastAsia" w:cs="Times New Roman" w:asciiTheme="minorEastAsia" w:hAnsiTheme="minorEastAsia"/>
          <w:szCs w:val="21"/>
          <w:lang w:val="en-US" w:eastAsia="zh-CN"/>
        </w:rPr>
        <w:t>5</w:t>
      </w:r>
      <w:r>
        <w:rPr>
          <w:rFonts w:hint="eastAsia" w:cs="Times New Roman" w:asciiTheme="minorEastAsia" w:hAnsiTheme="minorEastAsia"/>
          <w:szCs w:val="21"/>
        </w:rPr>
        <w:t>MPa，保压20min不得泄漏。</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4.1.5用着色法检查滚圈与托轮的接触宽度，应满足3.</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条中对b的要求。</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  在用户现场的空负荷试验</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4.2.1重复4.1.2条和4.1.3条中a的试验</w:t>
      </w:r>
      <w:r>
        <w:rPr>
          <w:rFonts w:hint="eastAsia" w:cs="Times New Roman" w:asciiTheme="minorEastAsia" w:hAnsiTheme="minorEastAsia"/>
          <w:szCs w:val="21"/>
          <w:lang w:eastAsia="zh-CN"/>
        </w:rPr>
        <w:t>，</w:t>
      </w:r>
      <w:r>
        <w:rPr>
          <w:rFonts w:hint="eastAsia" w:cs="Times New Roman" w:asciiTheme="minorEastAsia" w:hAnsiTheme="minorEastAsia"/>
          <w:szCs w:val="21"/>
        </w:rPr>
        <w:t>并满足要求。</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4.2.2做快速、慢速和事故复位的起动、制动和速度转换的联锁试验，各联锁部件的动作应灵敏可靠，不得相互干扰。</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4.2.3对供油系统进行试验，管路应畅通，检查润滑脂应到达各润滑点。</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4.2.4检查气动系统，其应符合GB/T 7932的规定。</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4.2.5对炉口水冷系统进行通水试验，管路应畅通，且水压为0.</w:t>
      </w:r>
      <w:r>
        <w:rPr>
          <w:rFonts w:hint="eastAsia" w:cs="Times New Roman" w:asciiTheme="minorEastAsia" w:hAnsiTheme="minorEastAsia"/>
          <w:szCs w:val="21"/>
          <w:lang w:val="en-US" w:eastAsia="zh-CN"/>
        </w:rPr>
        <w:t>5</w:t>
      </w:r>
      <w:r>
        <w:rPr>
          <w:rFonts w:hint="eastAsia" w:cs="Times New Roman" w:asciiTheme="minorEastAsia" w:hAnsiTheme="minorEastAsia"/>
          <w:szCs w:val="21"/>
        </w:rPr>
        <w:t>MPa，保压20min不得泄漏。</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4.2.6用铅丝（或塞尺）和着色法检查开式齿轮副的齿侧隙和接触斑点，应满足3.1</w:t>
      </w:r>
      <w:r>
        <w:rPr>
          <w:rFonts w:hint="eastAsia" w:cs="Times New Roman" w:asciiTheme="minorEastAsia" w:hAnsiTheme="minorEastAsia"/>
          <w:szCs w:val="21"/>
          <w:lang w:val="en-US" w:eastAsia="zh-CN"/>
        </w:rPr>
        <w:t>0</w:t>
      </w:r>
      <w:r>
        <w:rPr>
          <w:rFonts w:hint="eastAsia" w:cs="Times New Roman" w:asciiTheme="minorEastAsia" w:hAnsiTheme="minorEastAsia"/>
          <w:szCs w:val="21"/>
        </w:rPr>
        <w:t>.1条中c的要求。</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4.2.7用着色法检查滚圈与托轮的接触宽度</w:t>
      </w:r>
      <w:r>
        <w:rPr>
          <w:rFonts w:hint="eastAsia" w:cs="Times New Roman" w:asciiTheme="minorEastAsia" w:hAnsiTheme="minorEastAsia"/>
          <w:szCs w:val="21"/>
          <w:lang w:eastAsia="zh-CN"/>
        </w:rPr>
        <w:t>，</w:t>
      </w:r>
      <w:r>
        <w:rPr>
          <w:rFonts w:hint="eastAsia" w:cs="Times New Roman" w:asciiTheme="minorEastAsia" w:hAnsiTheme="minorEastAsia"/>
          <w:szCs w:val="21"/>
        </w:rPr>
        <w:t>应满足3.</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条的要求。</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4.2.8将炉口置于水平位置，进行手动制动试验，当松开主制动器后，炉体应制动可靠。</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4.2.9筒体运转试验</w:t>
      </w:r>
    </w:p>
    <w:p>
      <w:pPr>
        <w:pStyle w:val="13"/>
        <w:numPr>
          <w:ilvl w:val="0"/>
          <w:numId w:val="12"/>
        </w:numPr>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将炉口置于上部操作规定的位置上，炉体在操作区域作快速、慢速及速度转换的正、反向交替转动，筒体停止位置应准确。制动器、电磁离合器和限位开关动作应灵活，电气联锁应可靠；</w:t>
      </w:r>
    </w:p>
    <w:p>
      <w:pPr>
        <w:pStyle w:val="13"/>
        <w:numPr>
          <w:ilvl w:val="0"/>
          <w:numId w:val="12"/>
        </w:numPr>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将筒体分别置于出铜完了和出渣完了的极限位置上作事故复位试验，出铜口和氧化还原口应能达到规定的位置。</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4.2.10作炉口盖的启闭试验，动作应灵活可靠，启闭行程符合要求。</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4.3在用户现场的热负荷试验</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 xml:space="preserve">    热负荷试验在炉内升温达到1200</w:t>
      </w:r>
      <w:r>
        <w:rPr>
          <w:rFonts w:ascii="Arial" w:hAnsi="Arial" w:cs="Arial"/>
          <w:szCs w:val="21"/>
        </w:rPr>
        <w:t>~</w:t>
      </w:r>
      <w:r>
        <w:rPr>
          <w:rFonts w:hint="eastAsia" w:cs="Times New Roman" w:asciiTheme="minorEastAsia" w:hAnsiTheme="minorEastAsia"/>
          <w:szCs w:val="21"/>
        </w:rPr>
        <w:t>1300℃时进行：</w:t>
      </w:r>
    </w:p>
    <w:p>
      <w:pPr>
        <w:pStyle w:val="13"/>
        <w:numPr>
          <w:ilvl w:val="0"/>
          <w:numId w:val="13"/>
        </w:numPr>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重复4.2.4、4.2.9和4.2.10条的检查和试验，并满足要求；</w:t>
      </w:r>
    </w:p>
    <w:p>
      <w:pPr>
        <w:pStyle w:val="13"/>
        <w:numPr>
          <w:ilvl w:val="0"/>
          <w:numId w:val="13"/>
        </w:numPr>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检查炉口冷却水出水温度不得高于42℃。</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4．4检测规则</w:t>
      </w:r>
    </w:p>
    <w:p>
      <w:pPr>
        <w:adjustRightInd w:val="0"/>
        <w:snapToGrid w:val="0"/>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制造厂质量检查部门均应按本标准的要求对精炼炉进行检验，并签发产品合格证。</w:t>
      </w:r>
    </w:p>
    <w:p>
      <w:pPr>
        <w:pStyle w:val="13"/>
        <w:numPr>
          <w:ilvl w:val="0"/>
          <w:numId w:val="3"/>
        </w:numPr>
        <w:adjustRightInd w:val="0"/>
        <w:snapToGrid w:val="0"/>
        <w:spacing w:beforeLines="50" w:afterLines="50" w:line="360" w:lineRule="auto"/>
        <w:ind w:left="357" w:hanging="357" w:firstLineChars="0"/>
        <w:rPr>
          <w:rFonts w:asciiTheme="minorEastAsia" w:hAnsiTheme="minorEastAsia"/>
          <w:b/>
          <w:szCs w:val="21"/>
        </w:rPr>
      </w:pPr>
      <w:r>
        <w:rPr>
          <w:rFonts w:hint="eastAsia" w:asciiTheme="minorEastAsia" w:hAnsiTheme="minorEastAsia"/>
          <w:b/>
          <w:szCs w:val="21"/>
        </w:rPr>
        <w:t>标志、包装、运输、贮存</w:t>
      </w:r>
    </w:p>
    <w:p>
      <w:pPr>
        <w:pStyle w:val="14"/>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5.1 每台精炼炉均应在明显位置上固定产品铭牌，铭牌</w:t>
      </w:r>
      <w:r>
        <w:rPr>
          <w:rFonts w:hint="eastAsia" w:asciiTheme="minorEastAsia" w:hAnsiTheme="minorEastAsia" w:eastAsiaTheme="minorEastAsia"/>
          <w:lang w:val="en-US" w:eastAsia="zh-CN"/>
        </w:rPr>
        <w:t>形式和尺寸</w:t>
      </w:r>
      <w:r>
        <w:rPr>
          <w:rFonts w:hint="eastAsia" w:asciiTheme="minorEastAsia" w:hAnsiTheme="minorEastAsia" w:eastAsiaTheme="minorEastAsia"/>
        </w:rPr>
        <w:t>应符合GB/T 13306的规定，</w:t>
      </w:r>
      <w:r>
        <w:rPr>
          <w:rFonts w:hint="eastAsia" w:asciiTheme="minorEastAsia" w:hAnsiTheme="minorEastAsia" w:eastAsiaTheme="minorEastAsia"/>
          <w:lang w:val="en-US" w:eastAsia="zh-CN"/>
        </w:rPr>
        <w:t>标牌</w:t>
      </w:r>
      <w:r>
        <w:rPr>
          <w:rFonts w:hint="eastAsia" w:asciiTheme="minorEastAsia" w:hAnsiTheme="minorEastAsia" w:eastAsiaTheme="minorEastAsia"/>
        </w:rPr>
        <w:t>内容包括：</w:t>
      </w:r>
    </w:p>
    <w:p>
      <w:pPr>
        <w:pStyle w:val="25"/>
        <w:numPr>
          <w:ilvl w:val="0"/>
          <w:numId w:val="14"/>
        </w:numPr>
        <w:adjustRightInd w:val="0"/>
        <w:snapToGrid w:val="0"/>
        <w:spacing w:line="360" w:lineRule="auto"/>
        <w:ind w:firstLine="6"/>
        <w:rPr>
          <w:rFonts w:asciiTheme="minorEastAsia" w:hAnsiTheme="minorEastAsia" w:eastAsiaTheme="minorEastAsia"/>
          <w:szCs w:val="21"/>
        </w:rPr>
      </w:pPr>
      <w:r>
        <w:rPr>
          <w:rFonts w:hint="eastAsia" w:asciiTheme="minorEastAsia" w:hAnsiTheme="minorEastAsia" w:eastAsiaTheme="minorEastAsia"/>
          <w:szCs w:val="21"/>
        </w:rPr>
        <w:t>产品名称；</w:t>
      </w:r>
    </w:p>
    <w:p>
      <w:pPr>
        <w:pStyle w:val="25"/>
        <w:numPr>
          <w:ilvl w:val="0"/>
          <w:numId w:val="14"/>
        </w:numPr>
        <w:adjustRightInd w:val="0"/>
        <w:snapToGrid w:val="0"/>
        <w:spacing w:line="360" w:lineRule="auto"/>
        <w:ind w:firstLine="6"/>
        <w:rPr>
          <w:rFonts w:asciiTheme="minorEastAsia" w:hAnsiTheme="minorEastAsia" w:eastAsiaTheme="minorEastAsia"/>
          <w:szCs w:val="21"/>
        </w:rPr>
      </w:pPr>
      <w:r>
        <w:rPr>
          <w:rFonts w:hint="eastAsia" w:asciiTheme="minorEastAsia" w:hAnsiTheme="minorEastAsia" w:eastAsiaTheme="minorEastAsia"/>
          <w:szCs w:val="21"/>
        </w:rPr>
        <w:t>型号规格： [筒体</w:t>
      </w:r>
      <w:r>
        <w:rPr>
          <w:rFonts w:asciiTheme="minorEastAsia" w:hAnsiTheme="minorEastAsia" w:eastAsiaTheme="minorEastAsia"/>
          <w:szCs w:val="21"/>
        </w:rPr>
        <w:t>内径</w:t>
      </w:r>
      <w:r>
        <w:rPr>
          <w:rFonts w:hint="eastAsia" w:asciiTheme="minorEastAsia" w:hAnsiTheme="minorEastAsia" w:eastAsiaTheme="minorEastAsia"/>
          <w:szCs w:val="21"/>
        </w:rPr>
        <w:t>（m）×长度</w:t>
      </w:r>
      <w:r>
        <w:rPr>
          <w:rFonts w:asciiTheme="minorEastAsia" w:hAnsiTheme="minorEastAsia" w:eastAsiaTheme="minorEastAsia"/>
          <w:szCs w:val="21"/>
        </w:rPr>
        <w:t>（</w:t>
      </w:r>
      <w:r>
        <w:rPr>
          <w:rFonts w:hint="eastAsia" w:asciiTheme="minorEastAsia" w:hAnsiTheme="minorEastAsia" w:eastAsiaTheme="minorEastAsia"/>
          <w:szCs w:val="21"/>
        </w:rPr>
        <w:t>m</w:t>
      </w:r>
      <w:r>
        <w:rPr>
          <w:rFonts w:asciiTheme="minorEastAsia" w:hAnsiTheme="minorEastAsia" w:eastAsiaTheme="minorEastAsia"/>
          <w:szCs w:val="21"/>
        </w:rPr>
        <w:t>）</w:t>
      </w:r>
      <w:r>
        <w:rPr>
          <w:rFonts w:hint="eastAsia" w:asciiTheme="minorEastAsia" w:hAnsiTheme="minorEastAsia" w:eastAsiaTheme="minorEastAsia"/>
          <w:szCs w:val="21"/>
        </w:rPr>
        <w:t>]；</w:t>
      </w:r>
    </w:p>
    <w:p>
      <w:pPr>
        <w:pStyle w:val="25"/>
        <w:numPr>
          <w:ilvl w:val="0"/>
          <w:numId w:val="14"/>
        </w:numPr>
        <w:adjustRightInd w:val="0"/>
        <w:snapToGrid w:val="0"/>
        <w:spacing w:line="360" w:lineRule="auto"/>
        <w:ind w:firstLine="6"/>
        <w:rPr>
          <w:rFonts w:asciiTheme="minorEastAsia" w:hAnsiTheme="minorEastAsia" w:eastAsiaTheme="minorEastAsia"/>
          <w:szCs w:val="21"/>
        </w:rPr>
      </w:pPr>
      <w:r>
        <w:rPr>
          <w:rFonts w:hint="eastAsia" w:asciiTheme="minorEastAsia" w:hAnsiTheme="minorEastAsia" w:eastAsiaTheme="minorEastAsia"/>
          <w:szCs w:val="21"/>
        </w:rPr>
        <w:t>制造厂名；</w:t>
      </w:r>
    </w:p>
    <w:p>
      <w:pPr>
        <w:pStyle w:val="25"/>
        <w:numPr>
          <w:ilvl w:val="0"/>
          <w:numId w:val="14"/>
        </w:numPr>
        <w:adjustRightInd w:val="0"/>
        <w:snapToGrid w:val="0"/>
        <w:spacing w:line="360" w:lineRule="auto"/>
        <w:ind w:firstLine="6"/>
        <w:rPr>
          <w:rFonts w:asciiTheme="minorEastAsia" w:hAnsiTheme="minorEastAsia" w:eastAsiaTheme="minorEastAsia"/>
          <w:szCs w:val="21"/>
        </w:rPr>
      </w:pPr>
      <w:r>
        <w:rPr>
          <w:rFonts w:hint="eastAsia" w:asciiTheme="minorEastAsia" w:hAnsiTheme="minorEastAsia" w:eastAsiaTheme="minorEastAsia"/>
          <w:szCs w:val="21"/>
        </w:rPr>
        <w:t>制造日期、编号。</w:t>
      </w:r>
    </w:p>
    <w:p>
      <w:pPr>
        <w:rPr>
          <w:rFonts w:hint="eastAsia" w:cs="Times New Roman" w:asciiTheme="minorEastAsia" w:hAnsiTheme="minorEastAsia"/>
          <w:szCs w:val="21"/>
          <w:lang w:eastAsia="zh-CN"/>
        </w:rPr>
      </w:pPr>
      <w:r>
        <w:rPr>
          <w:rFonts w:hint="eastAsia" w:cs="Times New Roman" w:asciiTheme="minorEastAsia" w:hAnsiTheme="minorEastAsia"/>
          <w:szCs w:val="21"/>
        </w:rPr>
        <w:t>5.2</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产品</w:t>
      </w:r>
      <w:r>
        <w:rPr>
          <w:rFonts w:cs="Times New Roman" w:asciiTheme="minorEastAsia" w:hAnsiTheme="minorEastAsia"/>
          <w:szCs w:val="21"/>
        </w:rPr>
        <w:t>包装应符合</w:t>
      </w:r>
      <w:r>
        <w:rPr>
          <w:rFonts w:hint="eastAsia" w:cs="Times New Roman" w:asciiTheme="minorEastAsia" w:hAnsiTheme="minorEastAsia"/>
          <w:szCs w:val="21"/>
        </w:rPr>
        <w:t>GB/T4879</w:t>
      </w:r>
      <w:r>
        <w:rPr>
          <w:rFonts w:cs="Times New Roman" w:asciiTheme="minorEastAsia" w:hAnsiTheme="minorEastAsia"/>
          <w:szCs w:val="21"/>
        </w:rPr>
        <w:t xml:space="preserve"> </w:t>
      </w:r>
      <w:r>
        <w:rPr>
          <w:rFonts w:hint="eastAsia" w:cs="Times New Roman" w:asciiTheme="minorEastAsia" w:hAnsiTheme="minorEastAsia"/>
          <w:szCs w:val="21"/>
        </w:rPr>
        <w:t>和GB/T 13384的</w:t>
      </w:r>
      <w:r>
        <w:rPr>
          <w:rFonts w:cs="Times New Roman" w:asciiTheme="minorEastAsia" w:hAnsiTheme="minorEastAsia"/>
          <w:szCs w:val="21"/>
        </w:rPr>
        <w:t>规定</w:t>
      </w:r>
      <w:r>
        <w:rPr>
          <w:rFonts w:hint="eastAsia" w:cs="Times New Roman" w:asciiTheme="minorEastAsia" w:hAnsiTheme="minorEastAsia"/>
          <w:szCs w:val="21"/>
          <w:lang w:eastAsia="zh-CN"/>
        </w:rPr>
        <w:t>。</w:t>
      </w:r>
    </w:p>
    <w:p>
      <w:pPr>
        <w:spacing w:line="360" w:lineRule="auto"/>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lang w:val="en-US" w:eastAsia="zh-CN"/>
        </w:rPr>
        <w:t xml:space="preserve">3 </w:t>
      </w:r>
      <w:r>
        <w:rPr>
          <w:rFonts w:hint="eastAsia" w:cs="Times New Roman" w:asciiTheme="minorEastAsia" w:hAnsiTheme="minorEastAsia"/>
          <w:szCs w:val="21"/>
        </w:rPr>
        <w:t>应根据</w:t>
      </w:r>
      <w:r>
        <w:rPr>
          <w:rFonts w:cs="Times New Roman" w:asciiTheme="minorEastAsia" w:hAnsiTheme="minorEastAsia"/>
          <w:szCs w:val="21"/>
        </w:rPr>
        <w:t>产品零</w:t>
      </w:r>
      <w:r>
        <w:rPr>
          <w:rFonts w:hint="eastAsia" w:cs="Times New Roman" w:asciiTheme="minorEastAsia" w:hAnsiTheme="minorEastAsia"/>
          <w:szCs w:val="21"/>
        </w:rPr>
        <w:t>部</w:t>
      </w:r>
      <w:r>
        <w:rPr>
          <w:rFonts w:cs="Times New Roman" w:asciiTheme="minorEastAsia" w:hAnsiTheme="minorEastAsia"/>
          <w:szCs w:val="21"/>
        </w:rPr>
        <w:t>件</w:t>
      </w:r>
      <w:r>
        <w:rPr>
          <w:rFonts w:hint="eastAsia" w:cs="Times New Roman" w:asciiTheme="minorEastAsia" w:hAnsiTheme="minorEastAsia"/>
          <w:szCs w:val="21"/>
        </w:rPr>
        <w:t>的</w:t>
      </w:r>
      <w:r>
        <w:rPr>
          <w:rFonts w:cs="Times New Roman" w:asciiTheme="minorEastAsia" w:hAnsiTheme="minorEastAsia"/>
          <w:szCs w:val="21"/>
        </w:rPr>
        <w:t>类别分类包装，并满足水路运输的要求，在运输和</w:t>
      </w:r>
      <w:r>
        <w:rPr>
          <w:rFonts w:hint="eastAsia" w:cs="Times New Roman" w:asciiTheme="minorEastAsia" w:hAnsiTheme="minorEastAsia"/>
          <w:szCs w:val="21"/>
          <w:lang w:val="en-US" w:eastAsia="zh-CN"/>
        </w:rPr>
        <w:t>贮存</w:t>
      </w:r>
      <w:r>
        <w:rPr>
          <w:rFonts w:cs="Times New Roman" w:asciiTheme="minorEastAsia" w:hAnsiTheme="minorEastAsia"/>
          <w:szCs w:val="21"/>
        </w:rPr>
        <w:t>过程中，不得使开式齿轮的齿顶接触地面或其他硬物。</w:t>
      </w:r>
    </w:p>
    <w:p>
      <w:pPr>
        <w:rPr>
          <w:rFonts w:hint="eastAsia" w:cs="Times New Roman" w:asciiTheme="minorEastAsia" w:hAnsiTheme="minorEastAsia"/>
          <w:szCs w:val="21"/>
          <w:lang w:eastAsia="zh-CN"/>
        </w:rPr>
      </w:pPr>
    </w:p>
    <w:p>
      <w:pPr>
        <w:spacing w:line="360" w:lineRule="auto"/>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lang w:val="en-US" w:eastAsia="zh-CN"/>
        </w:rPr>
        <w:t>4</w:t>
      </w:r>
      <w:r>
        <w:rPr>
          <w:rFonts w:hint="eastAsia" w:cs="Times New Roman" w:asciiTheme="minorEastAsia" w:hAnsiTheme="minorEastAsia"/>
          <w:szCs w:val="21"/>
        </w:rPr>
        <w:t>包装</w:t>
      </w:r>
      <w:r>
        <w:rPr>
          <w:rFonts w:cs="Times New Roman" w:asciiTheme="minorEastAsia" w:hAnsiTheme="minorEastAsia"/>
          <w:szCs w:val="21"/>
        </w:rPr>
        <w:t>箱外壁应有明显的储运图示和标记，图示标记按</w:t>
      </w:r>
      <w:r>
        <w:rPr>
          <w:rFonts w:hint="eastAsia" w:cs="Times New Roman" w:asciiTheme="minorEastAsia" w:hAnsiTheme="minorEastAsia"/>
          <w:szCs w:val="21"/>
        </w:rPr>
        <w:t>GB4879的</w:t>
      </w:r>
      <w:r>
        <w:rPr>
          <w:rFonts w:cs="Times New Roman" w:asciiTheme="minorEastAsia" w:hAnsiTheme="minorEastAsia"/>
          <w:szCs w:val="21"/>
        </w:rPr>
        <w:t>规定，文字标记应标明以下内容：</w:t>
      </w:r>
    </w:p>
    <w:p>
      <w:pPr>
        <w:pStyle w:val="13"/>
        <w:numPr>
          <w:ilvl w:val="0"/>
          <w:numId w:val="1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收货</w:t>
      </w:r>
      <w:r>
        <w:rPr>
          <w:rFonts w:cs="Times New Roman" w:asciiTheme="minorEastAsia" w:hAnsiTheme="minorEastAsia"/>
          <w:szCs w:val="21"/>
        </w:rPr>
        <w:t>单位和地址；</w:t>
      </w:r>
    </w:p>
    <w:p>
      <w:pPr>
        <w:pStyle w:val="13"/>
        <w:numPr>
          <w:ilvl w:val="0"/>
          <w:numId w:val="1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w:t>
      </w:r>
      <w:r>
        <w:rPr>
          <w:rFonts w:cs="Times New Roman" w:asciiTheme="minorEastAsia" w:hAnsiTheme="minorEastAsia"/>
          <w:szCs w:val="21"/>
        </w:rPr>
        <w:t>名称、规格；</w:t>
      </w:r>
    </w:p>
    <w:p>
      <w:pPr>
        <w:pStyle w:val="13"/>
        <w:numPr>
          <w:ilvl w:val="0"/>
          <w:numId w:val="1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箱体</w:t>
      </w:r>
      <w:r>
        <w:rPr>
          <w:rFonts w:cs="Times New Roman" w:asciiTheme="minorEastAsia" w:hAnsiTheme="minorEastAsia"/>
          <w:szCs w:val="21"/>
        </w:rPr>
        <w:t>尺寸（</w:t>
      </w:r>
      <w:r>
        <w:rPr>
          <w:rFonts w:hint="eastAsia" w:cs="Times New Roman" w:asciiTheme="minorEastAsia" w:hAnsiTheme="minorEastAsia"/>
          <w:szCs w:val="21"/>
        </w:rPr>
        <w:t>长×高×宽</w:t>
      </w:r>
      <w:r>
        <w:rPr>
          <w:rFonts w:cs="Times New Roman" w:asciiTheme="minorEastAsia" w:hAnsiTheme="minorEastAsia"/>
          <w:szCs w:val="21"/>
        </w:rPr>
        <w:t>）</w:t>
      </w:r>
      <w:r>
        <w:rPr>
          <w:rFonts w:hint="eastAsia" w:cs="Times New Roman" w:asciiTheme="minorEastAsia" w:hAnsiTheme="minorEastAsia"/>
          <w:szCs w:val="21"/>
        </w:rPr>
        <w:t>；</w:t>
      </w:r>
    </w:p>
    <w:p>
      <w:pPr>
        <w:pStyle w:val="13"/>
        <w:numPr>
          <w:ilvl w:val="0"/>
          <w:numId w:val="1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毛重</w:t>
      </w:r>
      <w:r>
        <w:rPr>
          <w:rFonts w:cs="Times New Roman" w:asciiTheme="minorEastAsia" w:hAnsiTheme="minorEastAsia"/>
          <w:szCs w:val="21"/>
        </w:rPr>
        <w:t>；</w:t>
      </w:r>
    </w:p>
    <w:p>
      <w:pPr>
        <w:pStyle w:val="13"/>
        <w:numPr>
          <w:ilvl w:val="0"/>
          <w:numId w:val="1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制造</w:t>
      </w:r>
      <w:r>
        <w:rPr>
          <w:rFonts w:cs="Times New Roman" w:asciiTheme="minorEastAsia" w:hAnsiTheme="minorEastAsia"/>
          <w:szCs w:val="21"/>
        </w:rPr>
        <w:t>厂名；</w:t>
      </w:r>
    </w:p>
    <w:p>
      <w:pPr>
        <w:pStyle w:val="13"/>
        <w:numPr>
          <w:ilvl w:val="0"/>
          <w:numId w:val="1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w:t>
      </w:r>
      <w:r>
        <w:rPr>
          <w:rFonts w:cs="Times New Roman" w:asciiTheme="minorEastAsia" w:hAnsiTheme="minorEastAsia"/>
          <w:szCs w:val="21"/>
        </w:rPr>
        <w:t>出厂日期和编号。</w:t>
      </w:r>
    </w:p>
    <w:p>
      <w:pPr>
        <w:spacing w:line="360" w:lineRule="auto"/>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lang w:val="en-US" w:eastAsia="zh-CN"/>
        </w:rPr>
        <w:t>5</w:t>
      </w:r>
      <w:r>
        <w:rPr>
          <w:rFonts w:hint="eastAsia" w:cs="Times New Roman" w:asciiTheme="minorEastAsia" w:hAnsiTheme="minorEastAsia"/>
          <w:szCs w:val="21"/>
        </w:rPr>
        <w:t>包装箱</w:t>
      </w:r>
      <w:r>
        <w:rPr>
          <w:rFonts w:cs="Times New Roman" w:asciiTheme="minorEastAsia" w:hAnsiTheme="minorEastAsia"/>
          <w:szCs w:val="21"/>
        </w:rPr>
        <w:t>内应随机附带下列技术文件：</w:t>
      </w:r>
    </w:p>
    <w:p>
      <w:pPr>
        <w:pStyle w:val="13"/>
        <w:numPr>
          <w:ilvl w:val="0"/>
          <w:numId w:val="16"/>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装箱单</w:t>
      </w:r>
      <w:r>
        <w:rPr>
          <w:rFonts w:cs="Times New Roman" w:asciiTheme="minorEastAsia" w:hAnsiTheme="minorEastAsia"/>
          <w:szCs w:val="21"/>
        </w:rPr>
        <w:t>；</w:t>
      </w:r>
    </w:p>
    <w:p>
      <w:pPr>
        <w:pStyle w:val="13"/>
        <w:numPr>
          <w:ilvl w:val="0"/>
          <w:numId w:val="16"/>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w:t>
      </w:r>
      <w:r>
        <w:rPr>
          <w:rFonts w:cs="Times New Roman" w:asciiTheme="minorEastAsia" w:hAnsiTheme="minorEastAsia"/>
          <w:szCs w:val="21"/>
        </w:rPr>
        <w:t>合格证；</w:t>
      </w:r>
    </w:p>
    <w:p>
      <w:pPr>
        <w:pStyle w:val="13"/>
        <w:numPr>
          <w:ilvl w:val="0"/>
          <w:numId w:val="16"/>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w:t>
      </w:r>
      <w:r>
        <w:rPr>
          <w:rFonts w:cs="Times New Roman" w:asciiTheme="minorEastAsia" w:hAnsiTheme="minorEastAsia"/>
          <w:szCs w:val="21"/>
        </w:rPr>
        <w:t>使用、维护和安装说明书；</w:t>
      </w:r>
    </w:p>
    <w:p>
      <w:pPr>
        <w:pStyle w:val="13"/>
        <w:numPr>
          <w:ilvl w:val="0"/>
          <w:numId w:val="16"/>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安装图</w:t>
      </w:r>
      <w:r>
        <w:rPr>
          <w:rFonts w:cs="Times New Roman" w:asciiTheme="minorEastAsia" w:hAnsiTheme="minorEastAsia"/>
          <w:szCs w:val="21"/>
        </w:rPr>
        <w:t>、易损件图。</w:t>
      </w:r>
    </w:p>
    <w:p>
      <w:pPr>
        <w:pStyle w:val="14"/>
        <w:numPr>
          <w:ilvl w:val="0"/>
          <w:numId w:val="0"/>
        </w:numPr>
        <w:adjustRightInd w:val="0"/>
        <w:snapToGrid w:val="0"/>
        <w:spacing w:beforeLines="0" w:afterLines="0" w:line="360" w:lineRule="auto"/>
        <w:rPr>
          <w:rFonts w:asciiTheme="minorEastAsia" w:hAnsiTheme="minorEastAsia" w:eastAsiaTheme="minorEastAsia"/>
          <w:szCs w:val="21"/>
        </w:rPr>
      </w:pPr>
      <w:r>
        <w:rPr>
          <w:rFonts w:hint="eastAsia" w:asciiTheme="minorEastAsia" w:hAnsiTheme="minorEastAsia" w:eastAsiaTheme="minorEastAsia"/>
        </w:rPr>
        <w:t>5.</w:t>
      </w:r>
      <w:r>
        <w:rPr>
          <w:rFonts w:hint="eastAsia" w:asciiTheme="minorEastAsia" w:hAnsiTheme="minorEastAsia" w:eastAsiaTheme="minorEastAsia"/>
          <w:lang w:val="en-US" w:eastAsia="zh-CN"/>
        </w:rPr>
        <w:t>6</w:t>
      </w:r>
      <w:r>
        <w:rPr>
          <w:rFonts w:hint="eastAsia" w:asciiTheme="minorEastAsia" w:hAnsiTheme="minorEastAsia" w:eastAsiaTheme="minorEastAsia"/>
          <w:szCs w:val="21"/>
        </w:rPr>
        <w:t>当采用铁路、公路、水上运输时应符合有关的运输规定。运输中保持干燥、清洁，不得与有毒、有害有腐蚀性物品及其它危险品混装、混运，避免日晒和雨淋，应保证产品及所有备件、附件不受损坏。装卸时不得野蛮操作造成被装卸设备的损坏。</w:t>
      </w:r>
    </w:p>
    <w:p>
      <w:pPr>
        <w:pStyle w:val="14"/>
        <w:numPr>
          <w:ilvl w:val="0"/>
          <w:numId w:val="0"/>
        </w:numPr>
        <w:adjustRightInd w:val="0"/>
        <w:snapToGrid w:val="0"/>
        <w:spacing w:beforeLines="0" w:afterLines="0" w:line="360" w:lineRule="auto"/>
        <w:rPr>
          <w:rFonts w:asciiTheme="minorEastAsia" w:hAnsiTheme="minorEastAsia" w:eastAsiaTheme="minorEastAsia"/>
          <w:szCs w:val="21"/>
        </w:rPr>
      </w:pPr>
      <w:r>
        <w:rPr>
          <w:rFonts w:hint="eastAsia" w:asciiTheme="minorEastAsia" w:hAnsiTheme="minorEastAsia" w:eastAsiaTheme="minorEastAsia"/>
        </w:rPr>
        <w:t>5.</w:t>
      </w:r>
      <w:r>
        <w:rPr>
          <w:rFonts w:hint="eastAsia" w:asciiTheme="minorEastAsia" w:hAnsiTheme="minorEastAsia" w:eastAsiaTheme="minorEastAsia"/>
          <w:lang w:val="en-US" w:eastAsia="zh-CN"/>
        </w:rPr>
        <w:t xml:space="preserve">7 </w:t>
      </w:r>
      <w:r>
        <w:rPr>
          <w:rFonts w:hint="eastAsia" w:asciiTheme="minorEastAsia" w:hAnsiTheme="minorEastAsia" w:eastAsiaTheme="minorEastAsia"/>
          <w:szCs w:val="21"/>
        </w:rPr>
        <w:t>产品存储地点应保持清洁、通风干燥、阴凉，严防日晒、雨淋，不得与有毒、有害、有爆炸物、有腐蚀性的物品堆放在一起。推荐采用室内仓库储存。贮存期超过六个月，应进行检查并重新涂油防锈。</w:t>
      </w:r>
    </w:p>
    <w:p>
      <w:pPr>
        <w:pStyle w:val="13"/>
        <w:numPr>
          <w:ilvl w:val="0"/>
          <w:numId w:val="3"/>
        </w:numPr>
        <w:adjustRightInd w:val="0"/>
        <w:snapToGrid w:val="0"/>
        <w:spacing w:beforeLines="50" w:afterLines="50" w:line="360" w:lineRule="auto"/>
        <w:ind w:left="357" w:hanging="357" w:firstLineChars="0"/>
        <w:rPr>
          <w:rFonts w:asciiTheme="minorEastAsia" w:hAnsiTheme="minorEastAsia"/>
          <w:b/>
          <w:szCs w:val="21"/>
        </w:rPr>
      </w:pPr>
      <w:r>
        <w:rPr>
          <w:rFonts w:hint="eastAsia" w:asciiTheme="minorEastAsia" w:hAnsiTheme="minorEastAsia"/>
          <w:b/>
          <w:szCs w:val="21"/>
        </w:rPr>
        <w:t>质量</w:t>
      </w:r>
      <w:r>
        <w:rPr>
          <w:rFonts w:asciiTheme="minorEastAsia" w:hAnsiTheme="minorEastAsia"/>
          <w:b/>
          <w:szCs w:val="21"/>
        </w:rPr>
        <w:t>保证期</w:t>
      </w:r>
    </w:p>
    <w:p>
      <w:pPr>
        <w:widowControl/>
        <w:shd w:val="clear" w:color="auto" w:fill="FFFFFF"/>
        <w:adjustRightInd w:val="0"/>
        <w:snapToGrid w:val="0"/>
        <w:spacing w:line="360" w:lineRule="auto"/>
        <w:ind w:firstLine="420" w:firstLineChars="200"/>
        <w:jc w:val="left"/>
        <w:rPr>
          <w:rFonts w:cs="Times New Roman" w:asciiTheme="minorEastAsia" w:hAnsiTheme="minorEastAsia"/>
          <w:kern w:val="0"/>
          <w:szCs w:val="21"/>
        </w:rPr>
      </w:pPr>
      <w:r>
        <w:rPr>
          <w:rFonts w:hint="eastAsia" w:cs="Times New Roman" w:asciiTheme="minorEastAsia" w:hAnsiTheme="minorEastAsia"/>
          <w:kern w:val="0"/>
          <w:szCs w:val="21"/>
        </w:rPr>
        <w:t>在</w:t>
      </w:r>
      <w:r>
        <w:rPr>
          <w:rFonts w:cs="Times New Roman" w:asciiTheme="minorEastAsia" w:hAnsiTheme="minorEastAsia"/>
          <w:kern w:val="0"/>
          <w:szCs w:val="21"/>
        </w:rPr>
        <w:t>用户遵守产品的安装和使用规则条件下。产品</w:t>
      </w:r>
      <w:r>
        <w:rPr>
          <w:rFonts w:hint="eastAsia" w:cs="Times New Roman" w:asciiTheme="minorEastAsia" w:hAnsiTheme="minorEastAsia"/>
          <w:kern w:val="0"/>
          <w:szCs w:val="21"/>
        </w:rPr>
        <w:t>自</w:t>
      </w:r>
      <w:r>
        <w:rPr>
          <w:rFonts w:cs="Times New Roman" w:asciiTheme="minorEastAsia" w:hAnsiTheme="minorEastAsia"/>
          <w:kern w:val="0"/>
          <w:szCs w:val="21"/>
        </w:rPr>
        <w:t>制造厂发货之日起</w:t>
      </w:r>
      <w:r>
        <w:rPr>
          <w:rFonts w:hint="eastAsia" w:cs="Times New Roman" w:asciiTheme="minorEastAsia" w:hAnsiTheme="minorEastAsia"/>
          <w:kern w:val="0"/>
          <w:szCs w:val="21"/>
        </w:rPr>
        <w:t>3年</w:t>
      </w:r>
      <w:r>
        <w:rPr>
          <w:rFonts w:cs="Times New Roman" w:asciiTheme="minorEastAsia" w:hAnsiTheme="minorEastAsia"/>
          <w:kern w:val="0"/>
          <w:szCs w:val="21"/>
        </w:rPr>
        <w:t>内，其中使用日期不超过半年，确因制造质量不良而发生损坏或者不能正常工作时，制造厂应</w:t>
      </w:r>
      <w:r>
        <w:rPr>
          <w:rFonts w:hint="eastAsia" w:cs="Times New Roman" w:asciiTheme="minorEastAsia" w:hAnsiTheme="minorEastAsia"/>
          <w:kern w:val="0"/>
          <w:szCs w:val="21"/>
        </w:rPr>
        <w:t>无偿</w:t>
      </w:r>
      <w:r>
        <w:rPr>
          <w:rFonts w:cs="Times New Roman" w:asciiTheme="minorEastAsia" w:hAnsiTheme="minorEastAsia"/>
          <w:kern w:val="0"/>
          <w:szCs w:val="21"/>
        </w:rPr>
        <w:t>为用户修理产品或更换零件。</w:t>
      </w:r>
      <w:bookmarkStart w:id="0" w:name="_GoBack"/>
      <w:bookmarkEnd w:id="0"/>
    </w:p>
    <w:sectPr>
      <w:footerReference r:id="rId3" w:type="default"/>
      <w:type w:val="continuous"/>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024"/>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8031B"/>
    <w:multiLevelType w:val="multilevel"/>
    <w:tmpl w:val="D598031B"/>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0258E3"/>
    <w:multiLevelType w:val="multilevel"/>
    <w:tmpl w:val="080258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EF351A"/>
    <w:multiLevelType w:val="multilevel"/>
    <w:tmpl w:val="11EF351A"/>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F95E1F"/>
    <w:multiLevelType w:val="multilevel"/>
    <w:tmpl w:val="13F95E1F"/>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C91163"/>
    <w:multiLevelType w:val="multilevel"/>
    <w:tmpl w:val="1FC91163"/>
    <w:lvl w:ilvl="0" w:tentative="0">
      <w:start w:val="1"/>
      <w:numFmt w:val="decimal"/>
      <w:pStyle w:val="15"/>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156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993" w:firstLine="0"/>
      </w:pPr>
      <w:rPr>
        <w:rFonts w:hint="eastAsia" w:ascii="黑体" w:hAnsi="Times New Roman" w:eastAsia="黑体"/>
        <w:b w:val="0"/>
        <w:i w:val="0"/>
        <w:color w:val="auto"/>
        <w:sz w:val="21"/>
      </w:rPr>
    </w:lvl>
    <w:lvl w:ilvl="3" w:tentative="0">
      <w:start w:val="1"/>
      <w:numFmt w:val="decimal"/>
      <w:pStyle w:val="17"/>
      <w:suff w:val="nothing"/>
      <w:lvlText w:val="%1.%2.%3.%4　"/>
      <w:lvlJc w:val="left"/>
      <w:pPr>
        <w:ind w:left="2978" w:firstLine="0"/>
      </w:pPr>
      <w:rPr>
        <w:rFonts w:hint="eastAsia" w:ascii="黑体" w:hAnsi="Times New Roman" w:eastAsia="黑体"/>
        <w:b w:val="0"/>
        <w:i w:val="0"/>
        <w:sz w:val="21"/>
      </w:rPr>
    </w:lvl>
    <w:lvl w:ilvl="4" w:tentative="0">
      <w:start w:val="1"/>
      <w:numFmt w:val="decimal"/>
      <w:pStyle w:val="18"/>
      <w:suff w:val="nothing"/>
      <w:lvlText w:val="%1.%2.%3.%4.%5　"/>
      <w:lvlJc w:val="left"/>
      <w:pPr>
        <w:ind w:left="0" w:firstLine="0"/>
      </w:pPr>
      <w:rPr>
        <w:rFonts w:hint="eastAsia" w:ascii="黑体" w:hAnsi="Times New Roman" w:eastAsia="黑体"/>
        <w:b w:val="0"/>
        <w:i w:val="0"/>
        <w:sz w:val="21"/>
      </w:rPr>
    </w:lvl>
    <w:lvl w:ilvl="5" w:tentative="0">
      <w:start w:val="1"/>
      <w:numFmt w:val="decimal"/>
      <w:pStyle w:val="1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5DB6924"/>
    <w:multiLevelType w:val="multilevel"/>
    <w:tmpl w:val="25DB6924"/>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930F48"/>
    <w:multiLevelType w:val="multilevel"/>
    <w:tmpl w:val="26930F48"/>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45304B"/>
    <w:multiLevelType w:val="multilevel"/>
    <w:tmpl w:val="2745304B"/>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C50F90"/>
    <w:multiLevelType w:val="multilevel"/>
    <w:tmpl w:val="44C50F90"/>
    <w:lvl w:ilvl="0" w:tentative="0">
      <w:start w:val="1"/>
      <w:numFmt w:val="decimal"/>
      <w:pStyle w:val="25"/>
      <w:lvlText w:val="（%1）"/>
      <w:lvlJc w:val="left"/>
      <w:pPr>
        <w:tabs>
          <w:tab w:val="left" w:pos="846"/>
        </w:tabs>
        <w:ind w:left="845" w:hanging="419"/>
      </w:pPr>
      <w:rPr>
        <w:rFonts w:cs="Times New Roman" w:asciiTheme="minorEastAsia" w:hAnsiTheme="minorEastAsia" w:eastAsiaTheme="minorEastAsia"/>
        <w:b w:val="0"/>
        <w:i w:val="0"/>
        <w:sz w:val="21"/>
        <w:szCs w:val="21"/>
      </w:rPr>
    </w:lvl>
    <w:lvl w:ilvl="1" w:tentative="0">
      <w:start w:val="1"/>
      <w:numFmt w:val="decimal"/>
      <w:pStyle w:val="24"/>
      <w:lvlText w:val="%2)"/>
      <w:lvlJc w:val="left"/>
      <w:pPr>
        <w:tabs>
          <w:tab w:val="left" w:pos="1266"/>
        </w:tabs>
        <w:ind w:left="1265" w:hanging="419"/>
      </w:pPr>
      <w:rPr>
        <w:rFonts w:hint="eastAsia"/>
      </w:rPr>
    </w:lvl>
    <w:lvl w:ilvl="2" w:tentative="0">
      <w:start w:val="1"/>
      <w:numFmt w:val="decimal"/>
      <w:pStyle w:val="26"/>
      <w:lvlText w:val="(%3)"/>
      <w:lvlJc w:val="left"/>
      <w:pPr>
        <w:tabs>
          <w:tab w:val="left" w:pos="6"/>
        </w:tabs>
        <w:ind w:left="1685" w:hanging="420"/>
      </w:pPr>
      <w:rPr>
        <w:rFonts w:hint="eastAsia" w:ascii="宋体" w:eastAsia="宋体"/>
        <w:b w:val="0"/>
        <w:i w:val="0"/>
        <w:sz w:val="21"/>
        <w:szCs w:val="21"/>
      </w:rPr>
    </w:lvl>
    <w:lvl w:ilvl="3" w:tentative="0">
      <w:start w:val="1"/>
      <w:numFmt w:val="decimal"/>
      <w:lvlText w:val="%4."/>
      <w:lvlJc w:val="left"/>
      <w:pPr>
        <w:tabs>
          <w:tab w:val="left" w:pos="2106"/>
        </w:tabs>
        <w:ind w:left="2105" w:hanging="419"/>
      </w:pPr>
      <w:rPr>
        <w:rFonts w:hint="eastAsia"/>
      </w:rPr>
    </w:lvl>
    <w:lvl w:ilvl="4" w:tentative="0">
      <w:start w:val="1"/>
      <w:numFmt w:val="lowerLetter"/>
      <w:lvlText w:val="%5)"/>
      <w:lvlJc w:val="left"/>
      <w:pPr>
        <w:tabs>
          <w:tab w:val="left" w:pos="2526"/>
        </w:tabs>
        <w:ind w:left="2525" w:hanging="419"/>
      </w:pPr>
      <w:rPr>
        <w:rFonts w:hint="eastAsia"/>
      </w:rPr>
    </w:lvl>
    <w:lvl w:ilvl="5" w:tentative="0">
      <w:start w:val="1"/>
      <w:numFmt w:val="lowerRoman"/>
      <w:lvlText w:val="%6."/>
      <w:lvlJc w:val="right"/>
      <w:pPr>
        <w:tabs>
          <w:tab w:val="left" w:pos="2946"/>
        </w:tabs>
        <w:ind w:left="2945" w:hanging="419"/>
      </w:pPr>
      <w:rPr>
        <w:rFonts w:hint="eastAsia"/>
      </w:rPr>
    </w:lvl>
    <w:lvl w:ilvl="6" w:tentative="0">
      <w:start w:val="1"/>
      <w:numFmt w:val="decimal"/>
      <w:lvlText w:val="%7."/>
      <w:lvlJc w:val="left"/>
      <w:pPr>
        <w:tabs>
          <w:tab w:val="left" w:pos="3366"/>
        </w:tabs>
        <w:ind w:left="3365" w:hanging="419"/>
      </w:pPr>
      <w:rPr>
        <w:rFonts w:hint="eastAsia"/>
      </w:rPr>
    </w:lvl>
    <w:lvl w:ilvl="7" w:tentative="0">
      <w:start w:val="1"/>
      <w:numFmt w:val="lowerLetter"/>
      <w:lvlText w:val="%8)"/>
      <w:lvlJc w:val="left"/>
      <w:pPr>
        <w:tabs>
          <w:tab w:val="left" w:pos="3786"/>
        </w:tabs>
        <w:ind w:left="3785" w:hanging="419"/>
      </w:pPr>
      <w:rPr>
        <w:rFonts w:hint="eastAsia"/>
      </w:rPr>
    </w:lvl>
    <w:lvl w:ilvl="8" w:tentative="0">
      <w:start w:val="1"/>
      <w:numFmt w:val="lowerRoman"/>
      <w:lvlText w:val="%9."/>
      <w:lvlJc w:val="right"/>
      <w:pPr>
        <w:tabs>
          <w:tab w:val="left" w:pos="4206"/>
        </w:tabs>
        <w:ind w:left="4205" w:hanging="419"/>
      </w:pPr>
      <w:rPr>
        <w:rFonts w:hint="eastAsia"/>
      </w:rPr>
    </w:lvl>
  </w:abstractNum>
  <w:abstractNum w:abstractNumId="9">
    <w:nsid w:val="52C21734"/>
    <w:multiLevelType w:val="multilevel"/>
    <w:tmpl w:val="52C21734"/>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1D1992"/>
    <w:multiLevelType w:val="multilevel"/>
    <w:tmpl w:val="541D1992"/>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5424D1"/>
    <w:multiLevelType w:val="multilevel"/>
    <w:tmpl w:val="595424D1"/>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1890156"/>
    <w:multiLevelType w:val="multilevel"/>
    <w:tmpl w:val="61890156"/>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37B2919"/>
    <w:multiLevelType w:val="multilevel"/>
    <w:tmpl w:val="637B2919"/>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18127F"/>
    <w:multiLevelType w:val="multilevel"/>
    <w:tmpl w:val="6918127F"/>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A17F14"/>
    <w:multiLevelType w:val="multilevel"/>
    <w:tmpl w:val="78A17F14"/>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8"/>
  </w:num>
  <w:num w:numId="3">
    <w:abstractNumId w:val="1"/>
  </w:num>
  <w:num w:numId="4">
    <w:abstractNumId w:val="7"/>
  </w:num>
  <w:num w:numId="5">
    <w:abstractNumId w:val="12"/>
  </w:num>
  <w:num w:numId="6">
    <w:abstractNumId w:val="6"/>
  </w:num>
  <w:num w:numId="7">
    <w:abstractNumId w:val="0"/>
  </w:num>
  <w:num w:numId="8">
    <w:abstractNumId w:val="14"/>
  </w:num>
  <w:num w:numId="9">
    <w:abstractNumId w:val="3"/>
  </w:num>
  <w:num w:numId="10">
    <w:abstractNumId w:val="5"/>
  </w:num>
  <w:num w:numId="11">
    <w:abstractNumId w:val="15"/>
  </w:num>
  <w:num w:numId="12">
    <w:abstractNumId w:val="10"/>
  </w:num>
  <w:num w:numId="13">
    <w:abstractNumId w:val="2"/>
  </w:num>
  <w:num w:numId="14">
    <w:abstractNumId w:val="9"/>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k4M2NiZmFhNWI1MDJkZDVjNmIxMTc0MDQ1M2FmZjIifQ=="/>
  </w:docVars>
  <w:rsids>
    <w:rsidRoot w:val="007A40B8"/>
    <w:rsid w:val="00004769"/>
    <w:rsid w:val="00013867"/>
    <w:rsid w:val="000276D6"/>
    <w:rsid w:val="00054D89"/>
    <w:rsid w:val="00085BE2"/>
    <w:rsid w:val="00093FFB"/>
    <w:rsid w:val="000A0E82"/>
    <w:rsid w:val="000A3E86"/>
    <w:rsid w:val="000A7A97"/>
    <w:rsid w:val="000B305D"/>
    <w:rsid w:val="000C15C7"/>
    <w:rsid w:val="000E6441"/>
    <w:rsid w:val="00111BBE"/>
    <w:rsid w:val="001142FD"/>
    <w:rsid w:val="001173DC"/>
    <w:rsid w:val="00127B6E"/>
    <w:rsid w:val="001310B3"/>
    <w:rsid w:val="00141C90"/>
    <w:rsid w:val="001458EC"/>
    <w:rsid w:val="00152A75"/>
    <w:rsid w:val="001669CB"/>
    <w:rsid w:val="0018228A"/>
    <w:rsid w:val="00184D62"/>
    <w:rsid w:val="001916AA"/>
    <w:rsid w:val="00195DD4"/>
    <w:rsid w:val="001A52EA"/>
    <w:rsid w:val="001C15AC"/>
    <w:rsid w:val="0020437C"/>
    <w:rsid w:val="00224FC9"/>
    <w:rsid w:val="00225496"/>
    <w:rsid w:val="00251864"/>
    <w:rsid w:val="002703F7"/>
    <w:rsid w:val="00281C7D"/>
    <w:rsid w:val="002C2000"/>
    <w:rsid w:val="002D0B31"/>
    <w:rsid w:val="002E5D5B"/>
    <w:rsid w:val="002F24DF"/>
    <w:rsid w:val="00313B35"/>
    <w:rsid w:val="00334AC4"/>
    <w:rsid w:val="00357447"/>
    <w:rsid w:val="00363004"/>
    <w:rsid w:val="003711CB"/>
    <w:rsid w:val="003A7907"/>
    <w:rsid w:val="003A7D88"/>
    <w:rsid w:val="003B3F77"/>
    <w:rsid w:val="003C4F29"/>
    <w:rsid w:val="003D5779"/>
    <w:rsid w:val="003F034D"/>
    <w:rsid w:val="0040191F"/>
    <w:rsid w:val="004148FF"/>
    <w:rsid w:val="00423871"/>
    <w:rsid w:val="00443B76"/>
    <w:rsid w:val="00445CC3"/>
    <w:rsid w:val="00472273"/>
    <w:rsid w:val="00486383"/>
    <w:rsid w:val="004C2312"/>
    <w:rsid w:val="004C678B"/>
    <w:rsid w:val="004C6F44"/>
    <w:rsid w:val="004E112D"/>
    <w:rsid w:val="004E4FAF"/>
    <w:rsid w:val="004E5560"/>
    <w:rsid w:val="00535FE0"/>
    <w:rsid w:val="00547BFE"/>
    <w:rsid w:val="005700D5"/>
    <w:rsid w:val="0057275B"/>
    <w:rsid w:val="0057614A"/>
    <w:rsid w:val="005C536E"/>
    <w:rsid w:val="005F2004"/>
    <w:rsid w:val="006059FE"/>
    <w:rsid w:val="0062565D"/>
    <w:rsid w:val="006511BB"/>
    <w:rsid w:val="00674B37"/>
    <w:rsid w:val="00692B33"/>
    <w:rsid w:val="006A017E"/>
    <w:rsid w:val="006E0ADD"/>
    <w:rsid w:val="00705F33"/>
    <w:rsid w:val="007102CB"/>
    <w:rsid w:val="0072727E"/>
    <w:rsid w:val="00732489"/>
    <w:rsid w:val="00765DB8"/>
    <w:rsid w:val="0076636C"/>
    <w:rsid w:val="007746B2"/>
    <w:rsid w:val="007871EA"/>
    <w:rsid w:val="007A1515"/>
    <w:rsid w:val="007A40B8"/>
    <w:rsid w:val="007A569E"/>
    <w:rsid w:val="007A7D79"/>
    <w:rsid w:val="007B3FCE"/>
    <w:rsid w:val="007D4C60"/>
    <w:rsid w:val="00807127"/>
    <w:rsid w:val="008170E6"/>
    <w:rsid w:val="00817D02"/>
    <w:rsid w:val="00825249"/>
    <w:rsid w:val="008453B5"/>
    <w:rsid w:val="00860EC9"/>
    <w:rsid w:val="00864604"/>
    <w:rsid w:val="008768A4"/>
    <w:rsid w:val="00893D5F"/>
    <w:rsid w:val="008B0B56"/>
    <w:rsid w:val="008B3764"/>
    <w:rsid w:val="008C1B18"/>
    <w:rsid w:val="008F2243"/>
    <w:rsid w:val="0092257B"/>
    <w:rsid w:val="00932AAF"/>
    <w:rsid w:val="00942924"/>
    <w:rsid w:val="00975E12"/>
    <w:rsid w:val="00993A69"/>
    <w:rsid w:val="009A4F18"/>
    <w:rsid w:val="009A6128"/>
    <w:rsid w:val="009B0727"/>
    <w:rsid w:val="009C2C86"/>
    <w:rsid w:val="009E12A8"/>
    <w:rsid w:val="009E43F0"/>
    <w:rsid w:val="00A46A50"/>
    <w:rsid w:val="00A56D7D"/>
    <w:rsid w:val="00A74CC5"/>
    <w:rsid w:val="00AA1E9D"/>
    <w:rsid w:val="00AB3BA9"/>
    <w:rsid w:val="00AB76D6"/>
    <w:rsid w:val="00AC47E9"/>
    <w:rsid w:val="00AD44A5"/>
    <w:rsid w:val="00AE6AF6"/>
    <w:rsid w:val="00AF480A"/>
    <w:rsid w:val="00B269A3"/>
    <w:rsid w:val="00B277CC"/>
    <w:rsid w:val="00B34F19"/>
    <w:rsid w:val="00BD2D17"/>
    <w:rsid w:val="00BF05CB"/>
    <w:rsid w:val="00C00024"/>
    <w:rsid w:val="00C17BFA"/>
    <w:rsid w:val="00C42E11"/>
    <w:rsid w:val="00C8561E"/>
    <w:rsid w:val="00CF6247"/>
    <w:rsid w:val="00D06910"/>
    <w:rsid w:val="00D10820"/>
    <w:rsid w:val="00D15C13"/>
    <w:rsid w:val="00D36B55"/>
    <w:rsid w:val="00D4023C"/>
    <w:rsid w:val="00D426AD"/>
    <w:rsid w:val="00D538B5"/>
    <w:rsid w:val="00DD3BDF"/>
    <w:rsid w:val="00DF0FB7"/>
    <w:rsid w:val="00DF2C01"/>
    <w:rsid w:val="00DF4568"/>
    <w:rsid w:val="00DF7467"/>
    <w:rsid w:val="00E1783E"/>
    <w:rsid w:val="00E22463"/>
    <w:rsid w:val="00E30B52"/>
    <w:rsid w:val="00E330E3"/>
    <w:rsid w:val="00E74971"/>
    <w:rsid w:val="00EA2A7A"/>
    <w:rsid w:val="00EC1E32"/>
    <w:rsid w:val="00EC2752"/>
    <w:rsid w:val="00EC4CBE"/>
    <w:rsid w:val="00F15881"/>
    <w:rsid w:val="00F227DF"/>
    <w:rsid w:val="00F41DDE"/>
    <w:rsid w:val="00F47E00"/>
    <w:rsid w:val="00F71E47"/>
    <w:rsid w:val="00FA2BAB"/>
    <w:rsid w:val="00FA770C"/>
    <w:rsid w:val="00FB2BD3"/>
    <w:rsid w:val="00FD133F"/>
    <w:rsid w:val="00FD207D"/>
    <w:rsid w:val="00FE617E"/>
    <w:rsid w:val="00FE6D3F"/>
    <w:rsid w:val="017240DE"/>
    <w:rsid w:val="0191513C"/>
    <w:rsid w:val="05BE5B43"/>
    <w:rsid w:val="07746E01"/>
    <w:rsid w:val="08955281"/>
    <w:rsid w:val="08DD7C14"/>
    <w:rsid w:val="0A486323"/>
    <w:rsid w:val="0A5E78F5"/>
    <w:rsid w:val="0A604C07"/>
    <w:rsid w:val="0B27735E"/>
    <w:rsid w:val="0C9561C7"/>
    <w:rsid w:val="0EA94A2F"/>
    <w:rsid w:val="10E135FD"/>
    <w:rsid w:val="113A211D"/>
    <w:rsid w:val="11641C95"/>
    <w:rsid w:val="16AD2CA7"/>
    <w:rsid w:val="19C86B39"/>
    <w:rsid w:val="1E4A0464"/>
    <w:rsid w:val="1F5644EA"/>
    <w:rsid w:val="20E80E42"/>
    <w:rsid w:val="214632B3"/>
    <w:rsid w:val="21686EEC"/>
    <w:rsid w:val="21EB3652"/>
    <w:rsid w:val="23A7088D"/>
    <w:rsid w:val="24EA2F01"/>
    <w:rsid w:val="25002B53"/>
    <w:rsid w:val="25224873"/>
    <w:rsid w:val="257537F7"/>
    <w:rsid w:val="26CE395A"/>
    <w:rsid w:val="2705575E"/>
    <w:rsid w:val="2A587A65"/>
    <w:rsid w:val="2AA81E79"/>
    <w:rsid w:val="2C4E6568"/>
    <w:rsid w:val="2E962069"/>
    <w:rsid w:val="32666042"/>
    <w:rsid w:val="339F4601"/>
    <w:rsid w:val="34575D6E"/>
    <w:rsid w:val="35523A2F"/>
    <w:rsid w:val="364E4CE2"/>
    <w:rsid w:val="39875C71"/>
    <w:rsid w:val="3D0F4669"/>
    <w:rsid w:val="3EA50F15"/>
    <w:rsid w:val="3F477C26"/>
    <w:rsid w:val="406D05E8"/>
    <w:rsid w:val="434D3A87"/>
    <w:rsid w:val="44BF0EFD"/>
    <w:rsid w:val="49490E9D"/>
    <w:rsid w:val="4B3043BA"/>
    <w:rsid w:val="4C8954A2"/>
    <w:rsid w:val="4D9B6E34"/>
    <w:rsid w:val="52D87FE4"/>
    <w:rsid w:val="532F2D81"/>
    <w:rsid w:val="539A4AC7"/>
    <w:rsid w:val="54691A69"/>
    <w:rsid w:val="547219D3"/>
    <w:rsid w:val="59CD0866"/>
    <w:rsid w:val="5B931564"/>
    <w:rsid w:val="5E375CCA"/>
    <w:rsid w:val="5E7F0DAA"/>
    <w:rsid w:val="62593D9F"/>
    <w:rsid w:val="68404807"/>
    <w:rsid w:val="68BD1716"/>
    <w:rsid w:val="69185888"/>
    <w:rsid w:val="69325893"/>
    <w:rsid w:val="6F1C12E5"/>
    <w:rsid w:val="6F355BB9"/>
    <w:rsid w:val="712F1DB0"/>
    <w:rsid w:val="722A7366"/>
    <w:rsid w:val="730E74C1"/>
    <w:rsid w:val="73651F85"/>
    <w:rsid w:val="73DA1A37"/>
    <w:rsid w:val="73EA0CFB"/>
    <w:rsid w:val="74AB56FD"/>
    <w:rsid w:val="78C22097"/>
    <w:rsid w:val="7ADA5778"/>
    <w:rsid w:val="7C5733F0"/>
    <w:rsid w:val="7D6D0E4E"/>
    <w:rsid w:val="7D7A7F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uiPriority w:val="99"/>
    <w:rPr>
      <w:sz w:val="18"/>
      <w:szCs w:val="18"/>
    </w:rPr>
  </w:style>
  <w:style w:type="character" w:customStyle="1" w:styleId="12">
    <w:name w:val="日期 Char"/>
    <w:basedOn w:val="7"/>
    <w:link w:val="3"/>
    <w:semiHidden/>
    <w:qFormat/>
    <w:uiPriority w:val="99"/>
  </w:style>
  <w:style w:type="paragraph" w:styleId="13">
    <w:name w:val="List Paragraph"/>
    <w:basedOn w:val="1"/>
    <w:qFormat/>
    <w:uiPriority w:val="34"/>
    <w:pPr>
      <w:ind w:firstLine="420" w:firstLineChars="200"/>
    </w:pPr>
  </w:style>
  <w:style w:type="paragraph" w:customStyle="1" w:styleId="14">
    <w:name w:val="一级条标题"/>
    <w:next w:val="1"/>
    <w:link w:val="23"/>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5">
    <w:name w:val="章标题"/>
    <w:next w:val="1"/>
    <w:link w:val="20"/>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6">
    <w:name w:val="二级条标题"/>
    <w:basedOn w:val="14"/>
    <w:next w:val="1"/>
    <w:uiPriority w:val="0"/>
    <w:pPr>
      <w:numPr>
        <w:ilvl w:val="2"/>
      </w:numPr>
      <w:spacing w:before="50" w:after="50"/>
      <w:outlineLvl w:val="3"/>
    </w:pPr>
  </w:style>
  <w:style w:type="paragraph" w:customStyle="1" w:styleId="17">
    <w:name w:val="三级条标题"/>
    <w:basedOn w:val="16"/>
    <w:next w:val="1"/>
    <w:uiPriority w:val="0"/>
    <w:pPr>
      <w:numPr>
        <w:ilvl w:val="3"/>
      </w:numPr>
      <w:tabs>
        <w:tab w:val="left" w:pos="360"/>
      </w:tabs>
      <w:outlineLvl w:val="4"/>
    </w:pPr>
  </w:style>
  <w:style w:type="paragraph" w:customStyle="1" w:styleId="18">
    <w:name w:val="四级条标题"/>
    <w:basedOn w:val="17"/>
    <w:next w:val="1"/>
    <w:uiPriority w:val="0"/>
    <w:pPr>
      <w:numPr>
        <w:ilvl w:val="4"/>
      </w:numPr>
      <w:outlineLvl w:val="5"/>
    </w:pPr>
  </w:style>
  <w:style w:type="paragraph" w:customStyle="1" w:styleId="19">
    <w:name w:val="五级条标题"/>
    <w:basedOn w:val="18"/>
    <w:next w:val="1"/>
    <w:uiPriority w:val="0"/>
    <w:pPr>
      <w:numPr>
        <w:ilvl w:val="5"/>
      </w:numPr>
      <w:outlineLvl w:val="6"/>
    </w:pPr>
  </w:style>
  <w:style w:type="character" w:customStyle="1" w:styleId="20">
    <w:name w:val="章标题 Char"/>
    <w:basedOn w:val="7"/>
    <w:link w:val="15"/>
    <w:uiPriority w:val="0"/>
    <w:rPr>
      <w:rFonts w:ascii="黑体" w:hAnsi="Times New Roman" w:eastAsia="黑体" w:cs="Times New Roman"/>
      <w:kern w:val="0"/>
      <w:szCs w:val="20"/>
    </w:rPr>
  </w:style>
  <w:style w:type="paragraph" w:customStyle="1" w:styleId="21">
    <w:name w:val="段"/>
    <w:link w:val="22"/>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2">
    <w:name w:val="段 Char"/>
    <w:basedOn w:val="7"/>
    <w:link w:val="21"/>
    <w:qFormat/>
    <w:uiPriority w:val="0"/>
    <w:rPr>
      <w:rFonts w:ascii="宋体" w:hAnsi="Times New Roman" w:eastAsia="宋体" w:cs="Times New Roman"/>
      <w:kern w:val="0"/>
      <w:szCs w:val="20"/>
    </w:rPr>
  </w:style>
  <w:style w:type="character" w:customStyle="1" w:styleId="23">
    <w:name w:val="一级条标题 Char"/>
    <w:basedOn w:val="7"/>
    <w:link w:val="14"/>
    <w:uiPriority w:val="0"/>
    <w:rPr>
      <w:rFonts w:ascii="黑体" w:hAnsi="Times New Roman" w:eastAsia="黑体" w:cs="Times New Roman"/>
      <w:kern w:val="0"/>
      <w:szCs w:val="21"/>
    </w:rPr>
  </w:style>
  <w:style w:type="paragraph" w:customStyle="1" w:styleId="24">
    <w:name w:val="数字编号列项（二级）"/>
    <w:uiPriority w:val="0"/>
    <w:pPr>
      <w:numPr>
        <w:ilvl w:val="1"/>
        <w:numId w:val="2"/>
      </w:numPr>
      <w:jc w:val="both"/>
    </w:pPr>
    <w:rPr>
      <w:rFonts w:ascii="宋体" w:hAnsi="Times New Roman" w:eastAsia="宋体" w:cs="Times New Roman"/>
      <w:kern w:val="0"/>
      <w:sz w:val="21"/>
      <w:szCs w:val="20"/>
      <w:lang w:val="en-US" w:eastAsia="zh-CN" w:bidi="ar-SA"/>
    </w:rPr>
  </w:style>
  <w:style w:type="paragraph" w:customStyle="1" w:styleId="25">
    <w:name w:val="字母编号列项（一级）"/>
    <w:uiPriority w:val="0"/>
    <w:pPr>
      <w:numPr>
        <w:ilvl w:val="0"/>
        <w:numId w:val="2"/>
      </w:numPr>
      <w:jc w:val="both"/>
    </w:pPr>
    <w:rPr>
      <w:rFonts w:ascii="宋体" w:hAnsi="Times New Roman" w:eastAsia="宋体" w:cs="Times New Roman"/>
      <w:kern w:val="0"/>
      <w:sz w:val="21"/>
      <w:szCs w:val="20"/>
      <w:lang w:val="en-US" w:eastAsia="zh-CN" w:bidi="ar-SA"/>
    </w:rPr>
  </w:style>
  <w:style w:type="paragraph" w:customStyle="1" w:styleId="26">
    <w:name w:val="编号列项（三级）"/>
    <w:qFormat/>
    <w:uiPriority w:val="0"/>
    <w:pPr>
      <w:numPr>
        <w:ilvl w:val="2"/>
        <w:numId w:val="2"/>
      </w:numPr>
    </w:pPr>
    <w:rPr>
      <w:rFonts w:ascii="宋体" w:hAnsi="Times New Roman" w:eastAsia="宋体" w:cs="Times New Roman"/>
      <w:kern w:val="0"/>
      <w:sz w:val="21"/>
      <w:szCs w:val="20"/>
      <w:lang w:val="en-US" w:eastAsia="zh-CN" w:bidi="ar-SA"/>
    </w:rPr>
  </w:style>
  <w:style w:type="paragraph" w:styleId="27">
    <w:name w:val="Intense Quote"/>
    <w:basedOn w:val="1"/>
    <w:next w:val="1"/>
    <w:link w:val="28"/>
    <w:qFormat/>
    <w:uiPriority w:val="30"/>
    <w:pPr>
      <w:pBdr>
        <w:bottom w:val="single" w:color="5B9BD5" w:themeColor="accent1" w:sz="4" w:space="4"/>
      </w:pBdr>
      <w:spacing w:before="200" w:after="280"/>
      <w:ind w:left="936" w:right="936"/>
    </w:pPr>
    <w:rPr>
      <w:b/>
      <w:bCs/>
      <w:i/>
      <w:iCs/>
      <w:color w:val="5B9BD5" w:themeColor="accent1"/>
    </w:rPr>
  </w:style>
  <w:style w:type="character" w:customStyle="1" w:styleId="28">
    <w:name w:val="明显引用 Char"/>
    <w:basedOn w:val="7"/>
    <w:link w:val="27"/>
    <w:uiPriority w:val="30"/>
    <w:rPr>
      <w:b/>
      <w:bCs/>
      <w:i/>
      <w:iCs/>
      <w:color w:val="5B9BD5" w:themeColor="accent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CC56F-A529-4871-856F-FBE2F03293B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3784</Words>
  <Characters>4579</Characters>
  <Lines>32</Lines>
  <Paragraphs>9</Paragraphs>
  <TotalTime>2</TotalTime>
  <ScaleCrop>false</ScaleCrop>
  <LinksUpToDate>false</LinksUpToDate>
  <CharactersWithSpaces>4766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2020-10-24T05:04:00Z</dcterms:created>
  <dc:creator>魏振</dc:creator>
  <cp:lastModifiedBy>玉米</cp:lastModifiedBy>
  <dcterms:modified xsi:type="dcterms:W3CDTF">2022-11-09T10:52:31Z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4EB6117ACC254F9484DCD521DCAC36AA</vt:lpwstr>
  </property>
</Properties>
</file>