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spacing w:line="240" w:lineRule="auto"/>
        <w:rPr>
          <w:rFonts w:eastAsia="黑体"/>
          <w:bCs/>
          <w:sz w:val="21"/>
        </w:rPr>
      </w:pPr>
      <w:bookmarkStart w:id="0" w:name="封面"/>
      <w:r>
        <w:rPr>
          <w:rFonts w:hint="eastAsia" w:eastAsia="黑体"/>
          <w:bCs/>
          <w:sz w:val="21"/>
          <w:lang w:val="en-US" w:eastAsia="zh-CN"/>
        </w:rPr>
        <w:t>ICS 77.150.30</w:t>
      </w:r>
      <w:bookmarkEnd w:id="0"/>
    </w:p>
    <w:p>
      <w:pPr>
        <w:spacing w:line="240" w:lineRule="auto"/>
      </w:pPr>
    </w:p>
    <w:p>
      <w:pPr>
        <w:spacing w:line="240" w:lineRule="auto"/>
      </w:pPr>
      <w:r>
        <w:pict>
          <v:rect id="_x0000_s1027" o:spid="_x0000_s1027" o:spt="1" style="position:absolute;left:0pt;margin-left:63pt;margin-top:112pt;height:48.05pt;width:499.1pt;mso-position-horizontal-relative:page;mso-position-vertical-relative:page;z-index:251659264;mso-width-relative:page;mso-height-relative:page;" filled="f" stroked="f" coordsize="21600,21600" o:allowincell="f">
            <v:path/>
            <v:fill on="f" focussize="0,0"/>
            <v:stroke on="f" weight="0pt"/>
            <v:imagedata o:title=""/>
            <o:lock v:ext="edit"/>
            <v:textbox inset="0mm,0mm,0mm,0mm">
              <w:txbxContent>
                <w:p>
                  <w:r>
                    <w:rPr>
                      <w:rFonts w:ascii="宋体" w:hAnsi="Symbol"/>
                      <w:sz w:val="56"/>
                    </w:rPr>
                    <w:object>
                      <v:shape id="_x0000_i1025" o:spt="75" type="#_x0000_t75" style="height:48pt;width:498.75pt;" o:ole="t" fillcolor="#6D6D6D" filled="f" o:preferrelative="t" stroked="f" coordsize="21600,21600">
                        <v:path/>
                        <v:fill on="f" focussize="0,0"/>
                        <v:stroke on="f" joinstyle="miter"/>
                        <v:imagedata r:id="rId15" o:title=""/>
                        <o:lock v:ext="edit" aspectratio="t"/>
                        <w10:wrap type="none"/>
                        <w10:anchorlock/>
                      </v:shape>
                      <o:OLEObject Type="Embed" ProgID="Word.Picture.8" ShapeID="_x0000_i1025" DrawAspect="Content" ObjectID="_1468075725" r:id="rId14">
                        <o:LockedField>false</o:LockedField>
                      </o:OLEObject>
                    </w:object>
                  </w:r>
                </w:p>
              </w:txbxContent>
            </v:textbox>
            <w10:anchorlock/>
          </v:rect>
        </w:pict>
      </w:r>
      <w:r>
        <w:pict>
          <v:line id="_x0000_s1030" o:spid="_x0000_s1030" o:spt="20" style="position:absolute;left:0pt;margin-left:70.9pt;margin-top:217.95pt;height:0.05pt;width:481.95pt;mso-position-horizontal-relative:page;mso-position-vertical-relative:page;z-index:251661312;mso-width-relative:page;mso-height-relative:page;" coordsize="21600,21600">
            <v:path arrowok="t"/>
            <v:fill focussize="0,0"/>
            <v:stroke startarrowwidth="narrow" startarrowlength="short" endarrowwidth="narrow" endarrowlength="short"/>
            <v:imagedata o:title=""/>
            <o:lock v:ext="edit"/>
            <w10:anchorlock/>
          </v:line>
        </w:pict>
      </w:r>
      <w:r>
        <w:pict>
          <v:rect id="_x0000_s1029" o:spid="_x0000_s1029" o:spt="1" style="position:absolute;left:0pt;margin-left:396pt;margin-top:23.6pt;height:73.05pt;width:129.95pt;mso-position-horizontal-relative:page;mso-position-vertical-relative:page;z-index:251660288;mso-width-relative:page;mso-height-relative:page;" filled="f" stroked="f" coordsize="21600,21600" o:allowincell="f">
            <v:path/>
            <v:fill on="f" focussize="0,0"/>
            <v:stroke on="f" weight="0pt"/>
            <v:imagedata o:title=""/>
            <o:lock v:ext="edit"/>
            <v:textbox inset="0mm,0mm,0mm,0mm">
              <w:txbxContent>
                <w:p>
                  <w:r>
                    <w:object>
                      <v:shape id="_x0000_i1026" o:spt="75" type="#_x0000_t75" style="height:74.25pt;width:132pt;" o:ole="t" filled="f" o:preferrelative="t" stroked="f" coordsize="21600,21600">
                        <v:path/>
                        <v:fill on="f" focussize="0,0"/>
                        <v:stroke on="f" joinstyle="miter"/>
                        <v:imagedata o:title=""/>
                        <o:lock v:ext="edit" aspectratio="t"/>
                        <w10:wrap type="none"/>
                        <w10:anchorlock/>
                      </v:shape>
                      <o:OLEObject Type="Embed" ProgID="Word.Document.8" ShapeID="_x0000_i1026" DrawAspect="Content" ObjectID="_1468075726" r:id="rId16">
                        <o:LockedField>false</o:LockedField>
                      </o:OLEObject>
                    </w:object>
                  </w:r>
                </w:p>
              </w:txbxContent>
            </v:textbox>
            <w10:anchorlock/>
          </v:rect>
        </w:pict>
      </w:r>
    </w:p>
    <w:p>
      <w:pPr>
        <w:framePr w:w="4383" w:hSpace="181" w:wrap="around" w:vAnchor="page" w:hAnchor="page" w:x="1441" w:y="844" w:anchorLock="1"/>
        <w:spacing w:line="240" w:lineRule="auto"/>
        <w:rPr>
          <w:rFonts w:eastAsia="黑体"/>
          <w:bCs/>
          <w:color w:val="FF0000"/>
          <w:sz w:val="21"/>
        </w:rPr>
      </w:pPr>
      <w:r>
        <w:rPr>
          <w:rFonts w:hint="eastAsia" w:eastAsia="黑体"/>
          <w:bCs/>
          <w:color w:val="FF0000"/>
          <w:sz w:val="21"/>
        </w:rPr>
        <w:t>CCS H62</w:t>
      </w:r>
    </w:p>
    <w:p>
      <w:pPr>
        <w:spacing w:line="240" w:lineRule="auto"/>
        <w:rPr>
          <w:sz w:val="21"/>
        </w:rPr>
      </w:pPr>
    </w:p>
    <w:p>
      <w:pPr>
        <w:pStyle w:val="19"/>
      </w:pPr>
    </w:p>
    <w:p>
      <w:pPr>
        <w:spacing w:line="240" w:lineRule="auto"/>
      </w:pPr>
    </w:p>
    <w:p>
      <w:pPr>
        <w:spacing w:line="240" w:lineRule="auto"/>
      </w:pPr>
    </w:p>
    <w:p>
      <w:pPr>
        <w:spacing w:line="240" w:lineRule="auto"/>
      </w:pPr>
    </w:p>
    <w:p>
      <w:pPr>
        <w:spacing w:line="240" w:lineRule="auto"/>
      </w:pPr>
    </w:p>
    <w:p>
      <w:pPr>
        <w:framePr w:w="5268" w:hSpace="181" w:wrap="around" w:vAnchor="page" w:hAnchor="page" w:x="5640" w:y="3452" w:anchorLock="1"/>
        <w:spacing w:line="240" w:lineRule="auto"/>
        <w:jc w:val="right"/>
        <w:rPr>
          <w:rFonts w:ascii="宋体" w:hAnsi="宋体"/>
          <w:bCs/>
        </w:rPr>
      </w:pPr>
      <w:bookmarkStart w:id="1" w:name="OLE_LINK1"/>
      <w:r>
        <w:rPr>
          <w:rFonts w:ascii="宋体" w:hAnsi="宋体"/>
          <w:bCs/>
          <w:sz w:val="28"/>
        </w:rPr>
        <w:t>GB/T</w:t>
      </w:r>
      <w:r>
        <w:rPr>
          <w:rFonts w:hint="eastAsia" w:ascii="宋体" w:hAnsi="宋体"/>
          <w:bCs/>
          <w:sz w:val="28"/>
        </w:rPr>
        <w:t xml:space="preserve"> </w:t>
      </w:r>
      <w:r>
        <w:rPr>
          <w:rFonts w:ascii="宋体" w:hAnsi="宋体"/>
          <w:bCs/>
          <w:sz w:val="28"/>
        </w:rPr>
        <w:t>11091</w:t>
      </w:r>
      <w:r>
        <w:rPr>
          <w:rFonts w:hint="eastAsia" w:ascii="宋体" w:hAnsi="宋体"/>
          <w:bCs/>
          <w:sz w:val="28"/>
        </w:rPr>
        <w:t>－</w:t>
      </w:r>
      <w:bookmarkEnd w:id="1"/>
      <w:r>
        <w:rPr>
          <w:rFonts w:ascii="宋体" w:hAnsi="宋体"/>
          <w:bCs/>
          <w:sz w:val="28"/>
        </w:rPr>
        <w:t>202x</w:t>
      </w:r>
    </w:p>
    <w:p>
      <w:pPr>
        <w:spacing w:line="240" w:lineRule="auto"/>
        <w:rPr>
          <w:rFonts w:ascii="宋体" w:hAnsi="宋体"/>
        </w:rPr>
      </w:pPr>
    </w:p>
    <w:p>
      <w:pPr>
        <w:spacing w:line="240" w:lineRule="auto"/>
        <w:rPr>
          <w:rFonts w:ascii="宋体" w:hAnsi="宋体"/>
        </w:rPr>
      </w:pPr>
      <w:r>
        <w:rPr>
          <w:rFonts w:hint="eastAsia" w:ascii="宋体" w:hAnsi="宋体"/>
        </w:rPr>
        <w:t>　　　　</w:t>
      </w:r>
    </w:p>
    <w:p>
      <w:pPr>
        <w:framePr w:w="5883" w:hSpace="181" w:wrap="around" w:vAnchor="text" w:hAnchor="page" w:x="5160" w:y="92"/>
        <w:spacing w:line="240" w:lineRule="auto"/>
        <w:jc w:val="center"/>
        <w:rPr>
          <w:rFonts w:ascii="宋体" w:hAnsi="宋体"/>
          <w:bCs/>
          <w:sz w:val="21"/>
        </w:rPr>
      </w:pPr>
      <w:r>
        <w:rPr>
          <w:rFonts w:ascii="宋体" w:hAnsi="宋体"/>
          <w:bCs/>
          <w:sz w:val="21"/>
        </w:rPr>
        <w:t xml:space="preserve">                                 </w:t>
      </w:r>
      <w:r>
        <w:rPr>
          <w:rFonts w:hint="eastAsia" w:ascii="宋体" w:hAnsi="宋体"/>
          <w:bCs/>
          <w:sz w:val="21"/>
        </w:rPr>
        <w:t>代替GB</w:t>
      </w:r>
      <w:r>
        <w:rPr>
          <w:rFonts w:ascii="宋体" w:hAnsi="宋体"/>
          <w:bCs/>
          <w:sz w:val="21"/>
        </w:rPr>
        <w:t>/T</w:t>
      </w:r>
      <w:r>
        <w:rPr>
          <w:rFonts w:hint="eastAsia" w:ascii="宋体" w:hAnsi="宋体"/>
          <w:bCs/>
          <w:sz w:val="21"/>
        </w:rPr>
        <w:t xml:space="preserve"> </w:t>
      </w:r>
      <w:r>
        <w:rPr>
          <w:rFonts w:ascii="宋体" w:hAnsi="宋体"/>
          <w:bCs/>
          <w:sz w:val="21"/>
        </w:rPr>
        <w:t>11091</w:t>
      </w:r>
      <w:r>
        <w:rPr>
          <w:rFonts w:hint="eastAsia" w:ascii="宋体" w:hAnsi="宋体"/>
          <w:bCs/>
          <w:sz w:val="21"/>
        </w:rPr>
        <w:t>－20</w:t>
      </w:r>
      <w:r>
        <w:rPr>
          <w:rFonts w:ascii="宋体" w:hAnsi="宋体"/>
          <w:bCs/>
          <w:sz w:val="21"/>
        </w:rPr>
        <w:t>1</w:t>
      </w:r>
      <w:r>
        <w:rPr>
          <w:rFonts w:hint="eastAsia" w:ascii="宋体" w:hAnsi="宋体"/>
          <w:bCs/>
          <w:color w:val="FF0000"/>
          <w:sz w:val="21"/>
          <w:lang w:val="en-US" w:eastAsia="zh-CN"/>
        </w:rPr>
        <w:t>4</w:t>
      </w:r>
    </w:p>
    <w:p>
      <w:pPr>
        <w:pStyle w:val="19"/>
      </w:pPr>
    </w:p>
    <w:p>
      <w:pPr>
        <w:spacing w:line="240" w:lineRule="auto"/>
      </w:pPr>
    </w:p>
    <w:p>
      <w:pPr>
        <w:spacing w:line="240" w:lineRule="auto"/>
      </w:pPr>
    </w:p>
    <w:p>
      <w:pPr>
        <w:spacing w:line="240" w:lineRule="auto"/>
        <w:jc w:val="center"/>
        <w:rPr>
          <w:rFonts w:eastAsia="黑体"/>
          <w:sz w:val="52"/>
        </w:rPr>
      </w:pPr>
    </w:p>
    <w:p>
      <w:pPr>
        <w:spacing w:line="240" w:lineRule="auto"/>
        <w:jc w:val="center"/>
        <w:rPr>
          <w:rFonts w:eastAsia="黑体"/>
          <w:sz w:val="52"/>
        </w:rPr>
      </w:pPr>
    </w:p>
    <w:p>
      <w:pPr>
        <w:tabs>
          <w:tab w:val="center" w:pos="4584"/>
          <w:tab w:val="left" w:pos="7834"/>
        </w:tabs>
        <w:spacing w:line="240" w:lineRule="auto"/>
        <w:rPr>
          <w:rFonts w:ascii="宋体" w:eastAsia="黑体"/>
          <w:sz w:val="48"/>
        </w:rPr>
      </w:pPr>
      <w:r>
        <w:rPr>
          <w:rFonts w:hint="eastAsia" w:eastAsia="黑体"/>
          <w:sz w:val="52"/>
        </w:rPr>
        <w:tab/>
      </w:r>
      <w:r>
        <w:rPr>
          <w:rFonts w:hint="eastAsia" w:eastAsia="黑体"/>
          <w:sz w:val="52"/>
        </w:rPr>
        <w:t>电缆用铜带</w:t>
      </w:r>
      <w:r>
        <w:rPr>
          <w:rFonts w:hint="eastAsia" w:eastAsia="黑体"/>
          <w:sz w:val="52"/>
        </w:rPr>
        <w:tab/>
      </w:r>
    </w:p>
    <w:p>
      <w:pPr>
        <w:spacing w:line="240" w:lineRule="auto"/>
      </w:pPr>
    </w:p>
    <w:p>
      <w:pPr>
        <w:spacing w:line="240" w:lineRule="auto"/>
        <w:jc w:val="center"/>
      </w:pPr>
      <w:r>
        <w:rPr>
          <w:b/>
          <w:sz w:val="28"/>
        </w:rPr>
        <w:t>Copper  strips  for  cables</w:t>
      </w:r>
    </w:p>
    <w:p>
      <w:pPr>
        <w:spacing w:line="240" w:lineRule="auto"/>
      </w:pPr>
    </w:p>
    <w:p>
      <w:pPr>
        <w:pStyle w:val="33"/>
        <w:spacing w:line="240" w:lineRule="auto"/>
        <w:rPr>
          <w:rFonts w:eastAsia="宋体"/>
        </w:rPr>
      </w:pPr>
      <w:r>
        <w:rPr>
          <w:rFonts w:hint="eastAsia" w:eastAsia="宋体"/>
        </w:rPr>
        <w:t>（讨论稿）</w:t>
      </w:r>
    </w:p>
    <w:p>
      <w:pPr>
        <w:spacing w:line="240" w:lineRule="auto"/>
      </w:pPr>
    </w:p>
    <w:p>
      <w:pPr>
        <w:framePr w:w="8883" w:hSpace="181" w:wrap="notBeside" w:vAnchor="text" w:hAnchor="page" w:x="1920" w:y="408"/>
        <w:spacing w:line="240" w:lineRule="auto"/>
        <w:jc w:val="center"/>
        <w:rPr>
          <w:rFonts w:eastAsia="黑体"/>
          <w:sz w:val="44"/>
        </w:rPr>
      </w:pPr>
    </w:p>
    <w:p>
      <w:pPr>
        <w:spacing w:line="240" w:lineRule="auto"/>
      </w:pPr>
    </w:p>
    <w:p>
      <w:pPr>
        <w:spacing w:line="240" w:lineRule="auto"/>
      </w:pPr>
    </w:p>
    <w:p>
      <w:pPr>
        <w:framePr w:w="3243" w:h="312" w:hRule="exact" w:hSpace="181" w:wrap="around" w:vAnchor="page" w:hAnchor="page" w:x="1441" w:y="14080" w:anchorLock="1"/>
        <w:spacing w:line="240" w:lineRule="auto"/>
        <w:rPr>
          <w:rFonts w:ascii="黑体" w:eastAsia="黑体"/>
          <w:sz w:val="10"/>
        </w:rPr>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jc w:val="both"/>
      </w:pPr>
      <w:r>
        <w:pict>
          <v:line id="_x0000_s1031" o:spid="_x0000_s1031" o:spt="20" style="position:absolute;left:0pt;margin-left:72pt;margin-top:719.95pt;height:0.05pt;width:481.9pt;mso-position-horizontal-relative:page;mso-position-vertical-relative:page;z-index:251662336;mso-width-relative:page;mso-height-relative:page;" coordsize="21600,21600" o:allowincell="f">
            <v:path arrowok="t"/>
            <v:fill focussize="0,0"/>
            <v:stroke startarrowwidth="narrow" startarrowlength="short" endarrowwidth="narrow" endarrowlength="short"/>
            <v:imagedata o:title=""/>
            <o:lock v:ext="edit"/>
            <w10:anchorlock/>
          </v:line>
        </w:pict>
      </w:r>
    </w:p>
    <w:p>
      <w:pPr>
        <w:spacing w:line="240" w:lineRule="auto"/>
        <w:jc w:val="both"/>
      </w:pPr>
    </w:p>
    <w:p>
      <w:pPr>
        <w:framePr w:w="3243" w:h="312" w:hRule="exact" w:hSpace="181" w:wrap="around" w:vAnchor="page" w:hAnchor="page" w:x="1500" w:y="13906" w:anchorLock="1"/>
        <w:spacing w:line="320" w:lineRule="atLeast"/>
        <w:rPr>
          <w:rFonts w:ascii="黑体" w:eastAsia="黑体"/>
          <w:sz w:val="10"/>
          <w:lang w:val="de-DE"/>
        </w:rPr>
      </w:pPr>
      <w:r>
        <w:rPr>
          <w:rFonts w:ascii="黑体" w:eastAsia="黑体"/>
          <w:sz w:val="28"/>
        </w:rPr>
        <w:fldChar w:fldCharType="begin">
          <w:ffData>
            <w:name w:val="FB"/>
            <w:enabled/>
            <w:calcOnExit w:val="0"/>
            <w:textInput>
              <w:default w:val="20xx-xx-xx 发布"/>
            </w:textInput>
          </w:ffData>
        </w:fldChar>
      </w:r>
      <w:bookmarkStart w:id="2" w:name="FB"/>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发布</w:t>
      </w:r>
      <w:r>
        <w:rPr>
          <w:rFonts w:ascii="黑体" w:eastAsia="黑体"/>
          <w:sz w:val="28"/>
        </w:rPr>
        <w:fldChar w:fldCharType="end"/>
      </w:r>
      <w:bookmarkEnd w:id="2"/>
    </w:p>
    <w:p>
      <w:pPr>
        <w:framePr w:w="2971" w:h="318" w:hRule="exact" w:hSpace="181" w:wrap="around" w:vAnchor="page" w:hAnchor="page" w:x="8044" w:y="13876" w:anchorLock="1"/>
        <w:spacing w:line="320" w:lineRule="atLeast"/>
        <w:jc w:val="right"/>
        <w:rPr>
          <w:b/>
          <w:sz w:val="10"/>
          <w:lang w:val="de-DE"/>
        </w:rPr>
      </w:pPr>
      <w:r>
        <w:rPr>
          <w:rFonts w:ascii="黑体" w:eastAsia="黑体"/>
          <w:sz w:val="28"/>
        </w:rPr>
        <w:fldChar w:fldCharType="begin">
          <w:ffData>
            <w:name w:val="SS"/>
            <w:enabled/>
            <w:calcOnExit w:val="0"/>
            <w:textInput>
              <w:default w:val="20xx-xx-xx 实施"/>
            </w:textInput>
          </w:ffData>
        </w:fldChar>
      </w:r>
      <w:bookmarkStart w:id="3" w:name="SS"/>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实施</w:t>
      </w:r>
      <w:r>
        <w:rPr>
          <w:rFonts w:ascii="黑体" w:eastAsia="黑体"/>
          <w:sz w:val="28"/>
        </w:rPr>
        <w:fldChar w:fldCharType="end"/>
      </w:r>
      <w:bookmarkEnd w:id="3"/>
    </w:p>
    <w:p>
      <w:pPr>
        <w:spacing w:line="240" w:lineRule="auto"/>
        <w:jc w:val="both"/>
        <w:sectPr>
          <w:footerReference r:id="rId4" w:type="default"/>
          <w:headerReference r:id="rId3" w:type="even"/>
          <w:footerReference r:id="rId5" w:type="even"/>
          <w:type w:val="continuous"/>
          <w:pgSz w:w="11907" w:h="16840"/>
          <w:pgMar w:top="680" w:right="1418" w:bottom="1361" w:left="1440" w:header="720" w:footer="720" w:gutter="0"/>
          <w:cols w:space="720" w:num="1"/>
        </w:sectPr>
      </w:pPr>
      <w:r>
        <w:pict>
          <v:shape id="fmFrame7" o:spid="_x0000_s1131" o:spt="202" type="#_x0000_t202" style="position:absolute;left:0pt;margin-left:0pt;margin-top:689.4pt;height:46.6pt;width:447.7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39"/>
                    <w:spacing w:before="156" w:after="156" w:line="340" w:lineRule="exact"/>
                    <w:ind w:left="960" w:leftChars="400"/>
                    <w:jc w:val="both"/>
                    <w:rPr>
                      <w:spacing w:val="30"/>
                      <w:sz w:val="30"/>
                      <w:szCs w:val="30"/>
                    </w:rPr>
                  </w:pPr>
                  <w:r>
                    <w:rPr>
                      <w:rFonts w:hint="eastAsia"/>
                      <w:spacing w:val="30"/>
                      <w:sz w:val="30"/>
                      <w:szCs w:val="30"/>
                    </w:rPr>
                    <w:t>国 家 市 场 监 督 管 理 总 局</w:t>
                  </w:r>
                </w:p>
                <w:p>
                  <w:pPr>
                    <w:pStyle w:val="39"/>
                    <w:spacing w:line="340" w:lineRule="exact"/>
                    <w:ind w:left="960" w:leftChars="400"/>
                    <w:jc w:val="both"/>
                    <w:rPr>
                      <w:sz w:val="21"/>
                      <w:szCs w:val="21"/>
                    </w:rPr>
                  </w:pPr>
                  <w:r>
                    <w:rPr>
                      <w:rFonts w:hint="eastAsia"/>
                      <w:spacing w:val="160"/>
                      <w:sz w:val="30"/>
                      <w:szCs w:val="30"/>
                    </w:rPr>
                    <w:t>国家标准化管理委员会</w:t>
                  </w:r>
                  <w:r>
                    <w:rPr>
                      <w:rStyle w:val="38"/>
                      <w:rFonts w:hint="eastAsia"/>
                      <w:sz w:val="21"/>
                      <w:szCs w:val="21"/>
                    </w:rPr>
                    <w:t>发布</w:t>
                  </w:r>
                </w:p>
              </w:txbxContent>
            </v:textbox>
            <w10:anchorlock/>
          </v:shape>
        </w:pict>
      </w:r>
    </w:p>
    <w:p>
      <w:pPr>
        <w:keepNext/>
        <w:framePr w:w="4437" w:h="318" w:hRule="exact" w:hSpace="181" w:wrap="around" w:vAnchor="page" w:hAnchor="page" w:x="9023" w:y="1439"/>
        <w:spacing w:line="240" w:lineRule="auto"/>
        <w:rPr>
          <w:rFonts w:ascii="黑体" w:eastAsia="黑体"/>
          <w:b/>
          <w:bCs/>
          <w:sz w:val="21"/>
        </w:rPr>
      </w:pPr>
      <w:bookmarkStart w:id="4" w:name="前言1"/>
      <w:bookmarkEnd w:id="4"/>
      <w:bookmarkStart w:id="5" w:name="目次1"/>
      <w:bookmarkEnd w:id="5"/>
      <w:r>
        <w:rPr>
          <w:rFonts w:hint="eastAsia" w:ascii="黑体" w:eastAsia="黑体"/>
          <w:bCs/>
          <w:sz w:val="21"/>
        </w:rPr>
        <w:t>GB</w:t>
      </w:r>
      <w:r>
        <w:rPr>
          <w:rFonts w:ascii="黑体" w:eastAsia="黑体"/>
          <w:bCs/>
          <w:sz w:val="21"/>
        </w:rPr>
        <w:t>/T11091</w:t>
      </w:r>
      <w:r>
        <w:rPr>
          <w:rFonts w:hint="eastAsia" w:ascii="黑体" w:eastAsia="黑体"/>
          <w:bCs/>
          <w:sz w:val="21"/>
        </w:rPr>
        <w:t>－</w:t>
      </w:r>
      <w:r>
        <w:rPr>
          <w:rFonts w:ascii="黑体" w:eastAsia="黑体"/>
          <w:sz w:val="21"/>
        </w:rPr>
        <w:t>20XX</w:t>
      </w:r>
    </w:p>
    <w:p>
      <w:pPr>
        <w:spacing w:line="240" w:lineRule="auto"/>
      </w:pPr>
    </w:p>
    <w:p>
      <w:pPr>
        <w:jc w:val="center"/>
        <w:rPr>
          <w:rFonts w:ascii="标宋体" w:eastAsia="标宋体"/>
          <w:sz w:val="32"/>
        </w:rPr>
      </w:pPr>
      <w:r>
        <w:rPr>
          <w:rFonts w:hint="eastAsia" w:ascii="标宋体" w:eastAsia="标宋体"/>
          <w:sz w:val="32"/>
        </w:rPr>
        <w:t>前</w:t>
      </w:r>
      <w:r>
        <w:rPr>
          <w:rFonts w:ascii="标宋体" w:eastAsia="标宋体"/>
          <w:sz w:val="32"/>
        </w:rPr>
        <w:t xml:space="preserve">  </w:t>
      </w:r>
      <w:r>
        <w:rPr>
          <w:rFonts w:hint="eastAsia" w:ascii="标宋体" w:eastAsia="标宋体"/>
          <w:sz w:val="32"/>
        </w:rPr>
        <w:t xml:space="preserve">  言</w:t>
      </w:r>
    </w:p>
    <w:p>
      <w:pPr>
        <w:spacing w:line="240" w:lineRule="auto"/>
        <w:rPr>
          <w:rFonts w:ascii="宋体"/>
        </w:rPr>
      </w:pPr>
    </w:p>
    <w:p>
      <w:pPr>
        <w:pStyle w:val="3"/>
        <w:ind w:firstLine="420" w:firstLineChars="200"/>
      </w:pPr>
      <w:bookmarkStart w:id="6" w:name="前言2"/>
      <w:bookmarkEnd w:id="6"/>
      <w:r>
        <w:rPr>
          <w:rFonts w:hint="eastAsia"/>
        </w:rPr>
        <w:t>本文件按照GB/T 1.1-2020《标准化工作导则 第1部分：标准化文件的结构和起草规则》的规定起草。</w:t>
      </w:r>
    </w:p>
    <w:p>
      <w:pPr>
        <w:pStyle w:val="3"/>
        <w:ind w:firstLine="420" w:firstLineChars="200"/>
      </w:pPr>
      <w:r>
        <w:rPr>
          <w:rFonts w:hint="eastAsia"/>
        </w:rPr>
        <w:t>本文件代替GB</w:t>
      </w:r>
      <w:r>
        <w:t>/T</w:t>
      </w:r>
      <w:r>
        <w:rPr>
          <w:rFonts w:hint="eastAsia"/>
        </w:rPr>
        <w:t xml:space="preserve"> 11091-20</w:t>
      </w:r>
      <w:r>
        <w:t>15</w:t>
      </w:r>
      <w:r>
        <w:rPr>
          <w:rFonts w:hint="eastAsia"/>
        </w:rPr>
        <w:t>《电缆用铜带》。与GB/T 11091-2014相比，除结构调整和编辑性改动外，主要技术变化如下：</w:t>
      </w:r>
    </w:p>
    <w:p>
      <w:pPr>
        <w:pStyle w:val="3"/>
        <w:ind w:firstLine="420" w:firstLineChars="200"/>
      </w:pPr>
      <w:r>
        <w:rPr>
          <w:rFonts w:hint="eastAsia"/>
        </w:rPr>
        <w:t>a)</w:t>
      </w:r>
      <w:r>
        <w:t xml:space="preserve"> </w:t>
      </w:r>
      <w:r>
        <w:rPr>
          <w:rFonts w:hint="eastAsia"/>
          <w:lang w:val="en-US" w:eastAsia="zh-CN"/>
        </w:rPr>
        <w:t>更改了标准的适用范围，</w:t>
      </w:r>
      <w:r>
        <w:rPr>
          <w:rFonts w:hint="eastAsia"/>
        </w:rPr>
        <w:t>由“适用于制作通讯电缆产品用铜带”更改为“适用于制作通讯电缆、电力电缆、防火电缆产品用铜带”</w:t>
      </w:r>
      <w:r>
        <w:rPr>
          <w:rFonts w:hint="eastAsia"/>
          <w:lang w:eastAsia="zh-CN"/>
        </w:rPr>
        <w:t>（</w:t>
      </w:r>
      <w:r>
        <w:rPr>
          <w:rFonts w:hint="eastAsia"/>
          <w:lang w:val="en-US" w:eastAsia="zh-CN"/>
        </w:rPr>
        <w:t>见第1章，201</w:t>
      </w:r>
      <w:r>
        <w:rPr>
          <w:rFonts w:hint="eastAsia"/>
          <w:color w:val="FF0000"/>
          <w:lang w:val="en-US" w:eastAsia="zh-CN"/>
        </w:rPr>
        <w:t>4</w:t>
      </w:r>
      <w:r>
        <w:rPr>
          <w:rFonts w:hint="eastAsia"/>
          <w:lang w:val="en-US" w:eastAsia="zh-CN"/>
        </w:rPr>
        <w:t>年版的第1章</w:t>
      </w:r>
      <w:r>
        <w:rPr>
          <w:rFonts w:hint="eastAsia"/>
          <w:lang w:eastAsia="zh-CN"/>
        </w:rPr>
        <w:t>）</w:t>
      </w:r>
      <w:r>
        <w:rPr>
          <w:rFonts w:hint="eastAsia"/>
        </w:rPr>
        <w:t>。</w:t>
      </w:r>
    </w:p>
    <w:p>
      <w:pPr>
        <w:spacing w:line="240" w:lineRule="auto"/>
        <w:ind w:firstLine="420" w:firstLineChars="200"/>
        <w:rPr>
          <w:rFonts w:ascii="宋体" w:hAnsi="宋体" w:cs="宋体"/>
          <w:sz w:val="21"/>
          <w:szCs w:val="21"/>
        </w:rPr>
      </w:pPr>
      <w:r>
        <w:rPr>
          <w:rFonts w:hint="eastAsia" w:ascii="宋体" w:hAnsi="宋体" w:cs="宋体"/>
          <w:sz w:val="21"/>
          <w:szCs w:val="21"/>
        </w:rPr>
        <w:t>b）增加</w:t>
      </w:r>
      <w:r>
        <w:rPr>
          <w:rFonts w:hint="eastAsia" w:ascii="宋体" w:hAnsi="宋体" w:cs="宋体"/>
          <w:sz w:val="21"/>
          <w:szCs w:val="21"/>
          <w:lang w:val="en-US" w:eastAsia="zh-CN"/>
        </w:rPr>
        <w:t>了</w:t>
      </w:r>
      <w:r>
        <w:rPr>
          <w:rFonts w:hint="eastAsia" w:ascii="宋体" w:hAnsi="宋体" w:cs="宋体"/>
          <w:sz w:val="21"/>
          <w:szCs w:val="21"/>
        </w:rPr>
        <w:t>“TP2”牌号及其代号“C12200”</w:t>
      </w:r>
      <w:r>
        <w:rPr>
          <w:rFonts w:hint="eastAsia" w:ascii="宋体" w:hAnsi="宋体" w:cs="宋体"/>
          <w:color w:val="FF0000"/>
          <w:sz w:val="21"/>
          <w:szCs w:val="21"/>
          <w:lang w:eastAsia="zh-CN"/>
        </w:rPr>
        <w:t>（</w:t>
      </w:r>
      <w:r>
        <w:rPr>
          <w:rFonts w:hint="eastAsia" w:ascii="宋体" w:hAnsi="宋体" w:cs="宋体"/>
          <w:color w:val="FF0000"/>
          <w:sz w:val="21"/>
          <w:szCs w:val="21"/>
          <w:lang w:val="en-US" w:eastAsia="zh-CN"/>
        </w:rPr>
        <w:t>见4.1</w:t>
      </w:r>
      <w:r>
        <w:rPr>
          <w:rFonts w:hint="eastAsia" w:ascii="宋体" w:hAnsi="宋体" w:cs="宋体"/>
          <w:color w:val="FF0000"/>
          <w:sz w:val="21"/>
          <w:szCs w:val="21"/>
          <w:lang w:eastAsia="zh-CN"/>
        </w:rPr>
        <w:t>）</w:t>
      </w:r>
      <w:r>
        <w:rPr>
          <w:rFonts w:hint="eastAsia" w:ascii="宋体" w:hAnsi="宋体" w:cs="宋体"/>
          <w:sz w:val="21"/>
          <w:szCs w:val="21"/>
        </w:rPr>
        <w:t>；</w:t>
      </w:r>
    </w:p>
    <w:p>
      <w:pPr>
        <w:pStyle w:val="3"/>
        <w:ind w:firstLine="420" w:firstLineChars="200"/>
      </w:pPr>
      <w:r>
        <w:rPr>
          <w:rFonts w:hint="eastAsia"/>
        </w:rPr>
        <w:t xml:space="preserve">c) </w:t>
      </w:r>
      <w:r>
        <w:rPr>
          <w:rFonts w:hint="eastAsia"/>
          <w:lang w:val="en-US" w:eastAsia="zh-CN"/>
        </w:rPr>
        <w:t>增加了牌号为</w:t>
      </w:r>
      <w:r>
        <w:rPr>
          <w:rFonts w:hint="eastAsia"/>
        </w:rPr>
        <w:t>T2、TP2“1/2硬、1/4硬”</w:t>
      </w:r>
      <w:r>
        <w:rPr>
          <w:rFonts w:hint="eastAsia"/>
          <w:lang w:val="en-US" w:eastAsia="zh-CN"/>
        </w:rPr>
        <w:t>两个状态</w:t>
      </w:r>
      <w:r>
        <w:rPr>
          <w:rFonts w:hint="eastAsia" w:ascii="宋体" w:hAnsi="宋体" w:cs="宋体"/>
          <w:sz w:val="21"/>
          <w:szCs w:val="21"/>
          <w:lang w:eastAsia="zh-CN"/>
        </w:rPr>
        <w:t>（</w:t>
      </w:r>
      <w:r>
        <w:rPr>
          <w:rFonts w:hint="eastAsia" w:ascii="宋体" w:hAnsi="宋体" w:cs="宋体"/>
          <w:color w:val="FF0000"/>
          <w:sz w:val="21"/>
          <w:szCs w:val="21"/>
          <w:lang w:val="en-US" w:eastAsia="zh-CN"/>
        </w:rPr>
        <w:t>见4.1</w:t>
      </w:r>
      <w:r>
        <w:rPr>
          <w:rFonts w:hint="eastAsia" w:ascii="宋体" w:hAnsi="宋体" w:cs="宋体"/>
          <w:sz w:val="21"/>
          <w:szCs w:val="21"/>
          <w:lang w:eastAsia="zh-CN"/>
        </w:rPr>
        <w:t>）</w:t>
      </w:r>
      <w:r>
        <w:rPr>
          <w:rFonts w:hint="eastAsia"/>
        </w:rPr>
        <w:t>；</w:t>
      </w:r>
    </w:p>
    <w:p>
      <w:pPr>
        <w:spacing w:line="240" w:lineRule="auto"/>
        <w:ind w:firstLine="420" w:firstLineChars="200"/>
        <w:rPr>
          <w:rFonts w:ascii="宋体" w:hAnsi="宋体" w:cs="宋体"/>
          <w:sz w:val="21"/>
          <w:szCs w:val="21"/>
        </w:rPr>
      </w:pPr>
      <w:r>
        <w:rPr>
          <w:rFonts w:hint="eastAsia" w:ascii="宋体" w:hAnsi="宋体" w:cs="宋体"/>
          <w:sz w:val="21"/>
          <w:szCs w:val="21"/>
        </w:rPr>
        <w:t>d）增加</w:t>
      </w:r>
      <w:r>
        <w:rPr>
          <w:rFonts w:ascii="宋体" w:hAnsi="宋体" w:cs="宋体"/>
          <w:sz w:val="21"/>
          <w:szCs w:val="21"/>
        </w:rPr>
        <w:t>了</w:t>
      </w:r>
      <w:r>
        <w:rPr>
          <w:rFonts w:hint="eastAsia" w:ascii="宋体" w:hAnsi="宋体" w:cs="宋体"/>
          <w:sz w:val="21"/>
          <w:szCs w:val="21"/>
        </w:rPr>
        <w:t>厚度范围，由“0.07mm～0.8mm</w:t>
      </w:r>
      <w:r>
        <w:rPr>
          <w:rFonts w:ascii="宋体" w:hAnsi="宋体" w:cs="宋体"/>
          <w:sz w:val="21"/>
          <w:szCs w:val="21"/>
        </w:rPr>
        <w:t>”</w:t>
      </w:r>
      <w:r>
        <w:rPr>
          <w:rFonts w:hint="eastAsia" w:ascii="宋体" w:hAnsi="宋体" w:cs="宋体"/>
          <w:sz w:val="21"/>
          <w:szCs w:val="21"/>
        </w:rPr>
        <w:t>更改为“0.07mm～1.5mm”</w:t>
      </w:r>
      <w:r>
        <w:rPr>
          <w:rFonts w:hint="eastAsia" w:ascii="宋体" w:hAnsi="宋体" w:cs="宋体"/>
          <w:sz w:val="21"/>
          <w:szCs w:val="21"/>
          <w:lang w:eastAsia="zh-CN"/>
        </w:rPr>
        <w:t>（</w:t>
      </w:r>
      <w:r>
        <w:rPr>
          <w:rFonts w:hint="eastAsia" w:ascii="宋体" w:hAnsi="宋体" w:cs="宋体"/>
          <w:color w:val="FF0000"/>
          <w:sz w:val="21"/>
          <w:szCs w:val="21"/>
          <w:lang w:val="en-US" w:eastAsia="zh-CN"/>
        </w:rPr>
        <w:t>见4.1</w:t>
      </w:r>
      <w:r>
        <w:rPr>
          <w:rFonts w:hint="eastAsia" w:ascii="宋体" w:hAnsi="宋体" w:cs="宋体"/>
          <w:sz w:val="21"/>
          <w:szCs w:val="21"/>
          <w:lang w:eastAsia="zh-CN"/>
        </w:rPr>
        <w:t>）</w:t>
      </w:r>
      <w:r>
        <w:rPr>
          <w:rFonts w:hint="eastAsia" w:ascii="宋体" w:hAnsi="宋体" w:cs="宋体"/>
          <w:sz w:val="21"/>
          <w:szCs w:val="21"/>
        </w:rPr>
        <w:t>；</w:t>
      </w:r>
    </w:p>
    <w:p>
      <w:pPr>
        <w:spacing w:line="240" w:lineRule="auto"/>
        <w:ind w:firstLine="420" w:firstLineChars="200"/>
        <w:rPr>
          <w:rFonts w:hint="eastAsia" w:ascii="宋体" w:hAnsi="宋体" w:cs="宋体"/>
          <w:sz w:val="21"/>
          <w:szCs w:val="21"/>
        </w:rPr>
      </w:pPr>
      <w:r>
        <w:rPr>
          <w:rFonts w:hint="eastAsia" w:ascii="宋体" w:hAnsi="宋体" w:cs="宋体"/>
          <w:sz w:val="21"/>
          <w:szCs w:val="21"/>
        </w:rPr>
        <w:t>e）增加</w:t>
      </w:r>
      <w:r>
        <w:rPr>
          <w:rFonts w:hint="eastAsia" w:ascii="宋体" w:hAnsi="宋体" w:cs="宋体"/>
          <w:sz w:val="21"/>
          <w:szCs w:val="21"/>
          <w:lang w:val="en-US" w:eastAsia="zh-CN"/>
        </w:rPr>
        <w:t>了厚度为</w:t>
      </w:r>
      <w:r>
        <w:rPr>
          <w:rFonts w:hint="eastAsia" w:ascii="宋体" w:hAnsi="宋体" w:cs="宋体"/>
          <w:sz w:val="21"/>
          <w:szCs w:val="21"/>
        </w:rPr>
        <w:t>＞0.8mm～1.5mm的允许偏差</w:t>
      </w:r>
      <w:r>
        <w:rPr>
          <w:rFonts w:hint="eastAsia" w:ascii="宋体" w:hAnsi="宋体" w:cs="宋体"/>
          <w:sz w:val="21"/>
          <w:szCs w:val="21"/>
          <w:lang w:eastAsia="zh-CN"/>
        </w:rPr>
        <w:t>（</w:t>
      </w:r>
      <w:r>
        <w:rPr>
          <w:rFonts w:hint="eastAsia" w:ascii="宋体" w:hAnsi="宋体" w:cs="宋体"/>
          <w:color w:val="FF0000"/>
          <w:sz w:val="21"/>
          <w:szCs w:val="21"/>
          <w:lang w:val="en-US" w:eastAsia="zh-CN"/>
        </w:rPr>
        <w:t>见5.2.1</w:t>
      </w:r>
      <w:r>
        <w:rPr>
          <w:rFonts w:hint="eastAsia" w:ascii="宋体" w:hAnsi="宋体" w:cs="宋体"/>
          <w:sz w:val="21"/>
          <w:szCs w:val="21"/>
          <w:lang w:eastAsia="zh-CN"/>
        </w:rPr>
        <w:t>）</w:t>
      </w:r>
      <w:r>
        <w:rPr>
          <w:rFonts w:hint="eastAsia" w:ascii="宋体" w:hAnsi="宋体" w:cs="宋体"/>
          <w:sz w:val="21"/>
          <w:szCs w:val="21"/>
        </w:rPr>
        <w:t>；</w:t>
      </w:r>
    </w:p>
    <w:p>
      <w:pPr>
        <w:spacing w:line="240" w:lineRule="auto"/>
        <w:ind w:firstLine="420" w:firstLineChars="200"/>
        <w:rPr>
          <w:rFonts w:hint="eastAsia" w:ascii="宋体" w:hAnsi="宋体" w:cs="宋体"/>
          <w:sz w:val="21"/>
          <w:szCs w:val="21"/>
        </w:rPr>
      </w:pPr>
      <w:r>
        <w:rPr>
          <w:rFonts w:hint="eastAsia" w:ascii="宋体" w:hAnsi="宋体" w:cs="宋体"/>
          <w:sz w:val="21"/>
          <w:szCs w:val="21"/>
        </w:rPr>
        <w:t>f）</w:t>
      </w:r>
      <w:r>
        <w:rPr>
          <w:rFonts w:hint="eastAsia" w:ascii="宋体" w:hAnsi="宋体" w:cs="宋体"/>
          <w:color w:val="FF0000"/>
          <w:sz w:val="21"/>
          <w:szCs w:val="21"/>
          <w:lang w:eastAsia="zh-CN"/>
        </w:rPr>
        <w:t>更改</w:t>
      </w:r>
      <w:r>
        <w:rPr>
          <w:rFonts w:ascii="宋体" w:hAnsi="宋体" w:cs="宋体"/>
          <w:color w:val="FF0000"/>
          <w:sz w:val="21"/>
          <w:szCs w:val="21"/>
        </w:rPr>
        <w:t>了</w:t>
      </w:r>
      <w:r>
        <w:rPr>
          <w:rFonts w:hint="eastAsia" w:ascii="宋体" w:hAnsi="宋体" w:cs="宋体"/>
          <w:sz w:val="21"/>
          <w:szCs w:val="21"/>
        </w:rPr>
        <w:t>宽度范围，由“15mm～305mm” 更改为“10mm～305mm”</w:t>
      </w:r>
      <w:r>
        <w:rPr>
          <w:rFonts w:hint="eastAsia" w:ascii="宋体" w:hAnsi="宋体" w:cs="宋体"/>
          <w:color w:val="FF0000"/>
          <w:sz w:val="21"/>
          <w:szCs w:val="21"/>
          <w:lang w:eastAsia="zh-CN"/>
        </w:rPr>
        <w:t>（</w:t>
      </w:r>
      <w:r>
        <w:rPr>
          <w:rFonts w:hint="eastAsia" w:ascii="宋体" w:hAnsi="宋体" w:cs="宋体"/>
          <w:color w:val="FF0000"/>
          <w:sz w:val="21"/>
          <w:szCs w:val="21"/>
          <w:lang w:val="en-US" w:eastAsia="zh-CN"/>
        </w:rPr>
        <w:t>见4.1，2014年版的3.1.1</w:t>
      </w:r>
      <w:r>
        <w:rPr>
          <w:rFonts w:hint="eastAsia" w:ascii="宋体" w:hAnsi="宋体" w:cs="宋体"/>
          <w:color w:val="FF0000"/>
          <w:sz w:val="21"/>
          <w:szCs w:val="21"/>
          <w:lang w:eastAsia="zh-CN"/>
        </w:rPr>
        <w:t>）</w:t>
      </w:r>
      <w:r>
        <w:rPr>
          <w:rFonts w:hint="eastAsia" w:ascii="宋体" w:hAnsi="宋体" w:cs="宋体"/>
          <w:sz w:val="21"/>
          <w:szCs w:val="21"/>
        </w:rPr>
        <w:t>；</w:t>
      </w:r>
    </w:p>
    <w:p>
      <w:pPr>
        <w:spacing w:line="240" w:lineRule="auto"/>
        <w:ind w:firstLine="420" w:firstLineChars="200"/>
        <w:rPr>
          <w:rFonts w:ascii="宋体" w:hAnsi="宋体" w:cs="宋体"/>
          <w:sz w:val="21"/>
          <w:szCs w:val="21"/>
        </w:rPr>
      </w:pPr>
      <w:r>
        <w:rPr>
          <w:rFonts w:hint="eastAsia" w:ascii="宋体" w:hAnsi="宋体" w:cs="宋体"/>
          <w:sz w:val="21"/>
          <w:szCs w:val="21"/>
        </w:rPr>
        <w:t>g）</w:t>
      </w:r>
      <w:r>
        <w:rPr>
          <w:rFonts w:hint="eastAsia" w:ascii="宋体" w:hAnsi="宋体" w:cs="宋体"/>
          <w:sz w:val="21"/>
          <w:szCs w:val="21"/>
          <w:lang w:val="en-US" w:eastAsia="zh-CN"/>
        </w:rPr>
        <w:t>更改了</w:t>
      </w:r>
      <w:r>
        <w:rPr>
          <w:rFonts w:hint="eastAsia" w:ascii="宋体" w:hAnsi="宋体" w:cs="宋体"/>
          <w:sz w:val="21"/>
          <w:szCs w:val="21"/>
        </w:rPr>
        <w:t>带材的侧边弯曲度，宽度≤100mm由“不超过1.5mm”更改为“不超过1.0mm/m”，宽度＞100mm由“不超过,2.0mm”更改为“不超过1.5mm/m”；</w:t>
      </w:r>
    </w:p>
    <w:p>
      <w:pPr>
        <w:pStyle w:val="3"/>
        <w:ind w:firstLine="420" w:firstLineChars="200"/>
      </w:pPr>
      <w:r>
        <w:rPr>
          <w:rFonts w:hint="eastAsia" w:cs="宋体"/>
        </w:rPr>
        <w:t>h）增加</w:t>
      </w:r>
      <w:r>
        <w:rPr>
          <w:rFonts w:hint="eastAsia" w:cs="宋体"/>
          <w:color w:val="FF0000"/>
          <w:lang w:val="en-US" w:eastAsia="zh-CN"/>
        </w:rPr>
        <w:t>了牌号为</w:t>
      </w:r>
      <w:r>
        <w:rPr>
          <w:rFonts w:hint="eastAsia" w:cs="宋体"/>
        </w:rPr>
        <w:t>T2、TP2</w:t>
      </w:r>
      <w:r>
        <w:rPr>
          <w:rFonts w:hint="eastAsia" w:cs="宋体"/>
          <w:color w:val="FF0000"/>
          <w:lang w:val="en-US" w:eastAsia="zh-CN"/>
        </w:rPr>
        <w:t>状态为</w:t>
      </w:r>
      <w:r>
        <w:rPr>
          <w:rFonts w:hint="eastAsia" w:cs="宋体"/>
        </w:rPr>
        <w:t>“1/2硬、1/4硬”的力学性能和电性能指标。</w:t>
      </w:r>
    </w:p>
    <w:p>
      <w:pPr>
        <w:pStyle w:val="3"/>
        <w:ind w:firstLine="420" w:firstLineChars="200"/>
      </w:pPr>
      <w:r>
        <w:t>请注意本文件的</w:t>
      </w:r>
      <w:r>
        <w:rPr>
          <w:rFonts w:hint="eastAsia"/>
        </w:rPr>
        <w:t>某些</w:t>
      </w:r>
      <w:r>
        <w:t>内容可能涉及专利。本文件的发布机构不承担识别专利的责任。</w:t>
      </w:r>
    </w:p>
    <w:p>
      <w:pPr>
        <w:pStyle w:val="3"/>
        <w:ind w:firstLine="420" w:firstLineChars="200"/>
      </w:pPr>
      <w:r>
        <w:rPr>
          <w:rFonts w:hint="eastAsia"/>
        </w:rPr>
        <w:t>本文件由中国有色金属工业协会提出。</w:t>
      </w:r>
    </w:p>
    <w:p>
      <w:pPr>
        <w:pStyle w:val="3"/>
        <w:ind w:firstLine="420" w:firstLineChars="200"/>
      </w:pPr>
      <w:r>
        <w:rPr>
          <w:rFonts w:hint="eastAsia"/>
        </w:rPr>
        <w:t>本文件由全国有色金属标准化技术委员会（SAC/TC243）归口。</w:t>
      </w:r>
    </w:p>
    <w:p>
      <w:pPr>
        <w:pStyle w:val="3"/>
        <w:ind w:firstLine="420" w:firstLineChars="200"/>
      </w:pPr>
      <w:r>
        <w:rPr>
          <w:rFonts w:hint="eastAsia"/>
        </w:rPr>
        <w:t>本文件起草单位：</w:t>
      </w:r>
    </w:p>
    <w:p>
      <w:pPr>
        <w:pStyle w:val="3"/>
        <w:ind w:firstLine="420" w:firstLineChars="200"/>
      </w:pPr>
      <w:r>
        <w:rPr>
          <w:rFonts w:hint="eastAsia"/>
        </w:rPr>
        <w:t>本文件主要起草人 ：</w:t>
      </w:r>
    </w:p>
    <w:p>
      <w:pPr>
        <w:pStyle w:val="3"/>
        <w:ind w:firstLine="420" w:firstLineChars="200"/>
      </w:pPr>
      <w:r>
        <w:rPr>
          <w:rFonts w:hint="eastAsia"/>
        </w:rPr>
        <w:t>本文件所代替标准的历次版本发布情况为：</w:t>
      </w:r>
    </w:p>
    <w:p>
      <w:pPr>
        <w:pStyle w:val="3"/>
        <w:ind w:firstLine="420" w:firstLineChars="200"/>
      </w:pPr>
      <w:r>
        <w:rPr>
          <w:rFonts w:hint="eastAsia"/>
        </w:rPr>
        <w:t>——1989年首次发布GB/T 11091－1989；</w:t>
      </w:r>
    </w:p>
    <w:p>
      <w:pPr>
        <w:pStyle w:val="3"/>
        <w:ind w:firstLine="420" w:firstLineChars="200"/>
      </w:pPr>
      <w:r>
        <w:rPr>
          <w:rFonts w:hint="eastAsia"/>
        </w:rPr>
        <w:t>——2005年第一次修订；</w:t>
      </w:r>
    </w:p>
    <w:p>
      <w:pPr>
        <w:pStyle w:val="3"/>
        <w:ind w:firstLine="420" w:firstLineChars="200"/>
      </w:pPr>
      <w:r>
        <w:rPr>
          <w:rFonts w:hint="eastAsia"/>
        </w:rPr>
        <w:t>——2014年第二次修订</w:t>
      </w:r>
    </w:p>
    <w:p>
      <w:pPr>
        <w:pStyle w:val="3"/>
        <w:ind w:firstLine="420" w:firstLineChars="200"/>
        <w:rPr>
          <w:rFonts w:cs="宋体"/>
        </w:rPr>
      </w:pPr>
      <w:r>
        <w:rPr>
          <w:rFonts w:hint="eastAsia"/>
        </w:rPr>
        <w:t>——本次为第三次修订。</w:t>
      </w:r>
    </w:p>
    <w:p>
      <w:pPr>
        <w:spacing w:line="240" w:lineRule="auto"/>
        <w:ind w:right="28"/>
        <w:rPr>
          <w:rFonts w:ascii="宋体"/>
          <w:b/>
          <w:sz w:val="21"/>
        </w:rPr>
        <w:sectPr>
          <w:headerReference r:id="rId7" w:type="first"/>
          <w:footerReference r:id="rId9" w:type="first"/>
          <w:headerReference r:id="rId6" w:type="default"/>
          <w:footerReference r:id="rId8" w:type="default"/>
          <w:pgSz w:w="11907" w:h="16840"/>
          <w:pgMar w:top="1418" w:right="1134" w:bottom="1361" w:left="1418" w:header="1588" w:footer="720" w:gutter="0"/>
          <w:pgNumType w:start="1"/>
          <w:cols w:space="720" w:num="1"/>
          <w:titlePg/>
        </w:sectPr>
      </w:pPr>
      <w:bookmarkStart w:id="7" w:name="XX前言1"/>
      <w:bookmarkEnd w:id="7"/>
    </w:p>
    <w:p>
      <w:pPr>
        <w:spacing w:line="240" w:lineRule="auto"/>
        <w:jc w:val="center"/>
        <w:rPr>
          <w:b/>
          <w:sz w:val="30"/>
        </w:rPr>
      </w:pPr>
      <w:r>
        <w:rPr>
          <w:rFonts w:hint="eastAsia" w:eastAsia="黑体"/>
          <w:b/>
          <w:sz w:val="32"/>
        </w:rPr>
        <w:t>电 缆 用 铜 带</w:t>
      </w:r>
    </w:p>
    <w:p>
      <w:pPr>
        <w:adjustRightInd/>
        <w:spacing w:before="240" w:beforeLines="100" w:after="240" w:afterLines="100" w:line="240" w:lineRule="auto"/>
        <w:rPr>
          <w:rFonts w:ascii="黑体" w:eastAsia="黑体"/>
          <w:sz w:val="21"/>
          <w:szCs w:val="21"/>
        </w:rPr>
      </w:pPr>
      <w:bookmarkStart w:id="8" w:name="正文"/>
      <w:bookmarkEnd w:id="8"/>
      <w:bookmarkStart w:id="9" w:name="_Toc430680185"/>
      <w:bookmarkStart w:id="10" w:name="_Toc431105881"/>
      <w:r>
        <w:rPr>
          <w:rFonts w:hint="eastAsia" w:ascii="黑体" w:eastAsia="黑体"/>
          <w:sz w:val="21"/>
          <w:szCs w:val="21"/>
        </w:rPr>
        <w:t>1  范围</w:t>
      </w:r>
      <w:bookmarkEnd w:id="9"/>
      <w:bookmarkEnd w:id="10"/>
    </w:p>
    <w:p>
      <w:pPr>
        <w:pStyle w:val="3"/>
        <w:ind w:firstLine="420" w:firstLineChars="200"/>
      </w:pPr>
      <w:r>
        <w:rPr>
          <w:rFonts w:hint="eastAsia"/>
        </w:rPr>
        <w:t>本文件规定了电缆用铜带的分类和标记、技术要求、试验方法、检验规则、标志、包装、运输、贮存及随行文件和订货单内容等。</w:t>
      </w:r>
    </w:p>
    <w:p>
      <w:pPr>
        <w:spacing w:line="360" w:lineRule="auto"/>
        <w:ind w:firstLine="420" w:firstLineChars="200"/>
        <w:rPr>
          <w:rFonts w:ascii="宋体" w:hAnsi="宋体"/>
          <w:sz w:val="21"/>
          <w:szCs w:val="21"/>
        </w:rPr>
      </w:pPr>
      <w:r>
        <w:rPr>
          <w:rFonts w:hint="eastAsia" w:ascii="宋体"/>
          <w:sz w:val="21"/>
          <w:szCs w:val="21"/>
        </w:rPr>
        <w:t>本</w:t>
      </w:r>
      <w:r>
        <w:rPr>
          <w:rFonts w:hint="eastAsia"/>
          <w:sz w:val="21"/>
          <w:szCs w:val="21"/>
        </w:rPr>
        <w:t>文件</w:t>
      </w:r>
      <w:r>
        <w:rPr>
          <w:rFonts w:hint="eastAsia" w:ascii="宋体"/>
          <w:sz w:val="21"/>
          <w:szCs w:val="21"/>
        </w:rPr>
        <w:t>适用于</w:t>
      </w:r>
      <w:r>
        <w:rPr>
          <w:rFonts w:hint="eastAsia"/>
          <w:sz w:val="21"/>
          <w:szCs w:val="21"/>
        </w:rPr>
        <w:t>制作通讯电缆</w:t>
      </w:r>
      <w:r>
        <w:rPr>
          <w:rFonts w:hint="eastAsia" w:ascii="宋体" w:hAnsi="宋体" w:cs="宋体"/>
          <w:sz w:val="21"/>
          <w:szCs w:val="21"/>
        </w:rPr>
        <w:t>、电力电缆、防火电缆</w:t>
      </w:r>
      <w:r>
        <w:rPr>
          <w:rFonts w:hint="eastAsia"/>
          <w:sz w:val="21"/>
          <w:szCs w:val="21"/>
        </w:rPr>
        <w:t>产品用铜</w:t>
      </w:r>
      <w:r>
        <w:rPr>
          <w:rFonts w:hint="eastAsia" w:ascii="宋体" w:hAnsi="宋体"/>
          <w:sz w:val="21"/>
          <w:szCs w:val="21"/>
        </w:rPr>
        <w:t>带（以下简称带材）。</w:t>
      </w:r>
    </w:p>
    <w:p>
      <w:pPr>
        <w:spacing w:line="360" w:lineRule="auto"/>
        <w:rPr>
          <w:rFonts w:ascii="黑体" w:hAnsi="宋体" w:eastAsia="黑体"/>
          <w:sz w:val="21"/>
          <w:szCs w:val="21"/>
        </w:rPr>
      </w:pPr>
      <w:r>
        <w:rPr>
          <w:rFonts w:hint="eastAsia" w:ascii="黑体" w:eastAsia="黑体"/>
          <w:sz w:val="21"/>
          <w:szCs w:val="21"/>
        </w:rPr>
        <w:t xml:space="preserve">2 </w:t>
      </w:r>
      <w:bookmarkStart w:id="11" w:name="_Toc430680186"/>
      <w:bookmarkStart w:id="12" w:name="_Toc431105882"/>
      <w:r>
        <w:rPr>
          <w:rFonts w:hint="eastAsia" w:ascii="黑体" w:eastAsia="黑体"/>
          <w:sz w:val="21"/>
          <w:szCs w:val="21"/>
        </w:rPr>
        <w:t xml:space="preserve"> 规范性引用文件</w:t>
      </w:r>
      <w:bookmarkEnd w:id="11"/>
      <w:bookmarkEnd w:id="12"/>
    </w:p>
    <w:p>
      <w:pPr>
        <w:spacing w:line="240" w:lineRule="auto"/>
        <w:ind w:firstLine="420" w:firstLineChars="200"/>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
        <w:ind w:firstLine="420" w:firstLineChars="200"/>
      </w:pPr>
      <w:r>
        <w:rPr>
          <w:rFonts w:hint="eastAsia"/>
        </w:rPr>
        <w:t>GB/T 3</w:t>
      </w:r>
      <w:r>
        <w:t>51</w:t>
      </w:r>
      <w:r>
        <w:rPr>
          <w:rFonts w:hint="eastAsia"/>
        </w:rPr>
        <w:t xml:space="preserve">  金属材料电阻系数测量方法</w:t>
      </w:r>
    </w:p>
    <w:p>
      <w:pPr>
        <w:pStyle w:val="3"/>
        <w:ind w:firstLine="420" w:firstLineChars="200"/>
      </w:pPr>
      <w:r>
        <w:rPr>
          <w:rFonts w:hint="eastAsia"/>
        </w:rPr>
        <w:t>GB/T 4340.1  金属材料 维氏硬度试验  第1部分：试验方法(ISO 6507-1:2005,MOD)</w:t>
      </w:r>
    </w:p>
    <w:p>
      <w:pPr>
        <w:pStyle w:val="3"/>
        <w:ind w:firstLine="420" w:firstLineChars="200"/>
      </w:pPr>
      <w:r>
        <w:rPr>
          <w:rFonts w:hint="eastAsia"/>
        </w:rPr>
        <w:t>GB/T 5121（所有部分）  铜及铜合金化学分析方法</w:t>
      </w:r>
    </w:p>
    <w:p>
      <w:pPr>
        <w:pStyle w:val="3"/>
        <w:ind w:firstLine="420" w:firstLineChars="200"/>
      </w:pPr>
      <w:r>
        <w:rPr>
          <w:rFonts w:hint="eastAsia"/>
        </w:rPr>
        <w:t>GB/T 5231</w:t>
      </w:r>
      <w:r>
        <w:t xml:space="preserve">  </w:t>
      </w:r>
      <w:r>
        <w:rPr>
          <w:rFonts w:hint="eastAsia"/>
        </w:rPr>
        <w:t>加工铜及铜合金牌号和化学成分</w:t>
      </w:r>
    </w:p>
    <w:p>
      <w:pPr>
        <w:pStyle w:val="3"/>
        <w:ind w:firstLine="420" w:firstLineChars="200"/>
      </w:pPr>
      <w:r>
        <w:rPr>
          <w:rFonts w:hint="eastAsia"/>
        </w:rPr>
        <w:t>GB/T 8170   数值修约规则与极限数值的表示和判定</w:t>
      </w:r>
    </w:p>
    <w:p>
      <w:pPr>
        <w:pStyle w:val="3"/>
        <w:ind w:firstLine="420" w:firstLineChars="200"/>
        <w:rPr>
          <w:rFonts w:hint="default" w:eastAsia="宋体"/>
          <w:lang w:val="en-US" w:eastAsia="zh-CN"/>
        </w:rPr>
      </w:pPr>
      <w:r>
        <w:rPr>
          <w:rFonts w:hint="eastAsia"/>
        </w:rPr>
        <w:t>GB/T 8888  重有色金属加工产品的包装、标志、运输</w:t>
      </w:r>
      <w:r>
        <w:rPr>
          <w:rFonts w:hint="eastAsia"/>
          <w:lang w:eastAsia="zh-CN"/>
        </w:rPr>
        <w:t>、</w:t>
      </w:r>
      <w:r>
        <w:rPr>
          <w:rFonts w:hint="eastAsia"/>
        </w:rPr>
        <w:t>贮存</w:t>
      </w:r>
      <w:r>
        <w:rPr>
          <w:rFonts w:hint="eastAsia"/>
          <w:color w:val="FF0000"/>
          <w:lang w:val="en-US" w:eastAsia="zh-CN"/>
        </w:rPr>
        <w:t>和质量证明书</w:t>
      </w:r>
    </w:p>
    <w:p>
      <w:pPr>
        <w:pStyle w:val="3"/>
        <w:ind w:firstLine="420" w:firstLineChars="200"/>
      </w:pPr>
      <w:r>
        <w:rPr>
          <w:rFonts w:hint="eastAsia"/>
        </w:rPr>
        <w:t>GB/T 26303.3  铜及铜合金加工材外形尺寸检测方法  第3部分：板带材</w:t>
      </w:r>
    </w:p>
    <w:p>
      <w:pPr>
        <w:pStyle w:val="3"/>
        <w:ind w:firstLine="420" w:firstLineChars="200"/>
      </w:pPr>
      <w:r>
        <w:rPr>
          <w:rFonts w:hint="eastAsia"/>
        </w:rPr>
        <w:t>GB/T 32791  铜及铜合金导电率涡流检验法</w:t>
      </w:r>
    </w:p>
    <w:p>
      <w:pPr>
        <w:pStyle w:val="3"/>
        <w:ind w:firstLine="420" w:firstLineChars="200"/>
      </w:pPr>
      <w:r>
        <w:rPr>
          <w:rFonts w:hint="eastAsia" w:cs="宋体"/>
        </w:rPr>
        <w:t>GB/T 34505</w:t>
      </w:r>
      <w:r>
        <w:rPr>
          <w:rFonts w:hint="eastAsia"/>
        </w:rPr>
        <w:t>-2017</w:t>
      </w:r>
      <w:r>
        <w:rPr>
          <w:rFonts w:hint="eastAsia" w:cs="宋体"/>
        </w:rPr>
        <w:t xml:space="preserve">  铜及铜合金材料 室温拉伸试验方法</w:t>
      </w:r>
    </w:p>
    <w:p>
      <w:pPr>
        <w:pStyle w:val="3"/>
        <w:ind w:firstLine="420" w:firstLineChars="200"/>
      </w:pPr>
      <w:r>
        <w:rPr>
          <w:rFonts w:hint="eastAsia"/>
        </w:rPr>
        <w:t>YS</w:t>
      </w:r>
      <w:r>
        <w:t>/T</w:t>
      </w:r>
      <w:r>
        <w:rPr>
          <w:rFonts w:hint="eastAsia"/>
        </w:rPr>
        <w:t xml:space="preserve"> 347  铜及铜合金平均晶粒度测定方法</w:t>
      </w:r>
    </w:p>
    <w:p>
      <w:pPr>
        <w:pStyle w:val="3"/>
        <w:ind w:firstLine="420" w:firstLineChars="200"/>
      </w:pPr>
      <w:r>
        <w:rPr>
          <w:rFonts w:hint="eastAsia"/>
        </w:rPr>
        <w:t xml:space="preserve">YS/T 482  </w:t>
      </w:r>
      <w:r>
        <w:t>铜及铜合金分析方法 光电发射光谱法</w:t>
      </w:r>
    </w:p>
    <w:p>
      <w:pPr>
        <w:pStyle w:val="3"/>
        <w:ind w:firstLine="420" w:firstLineChars="200"/>
      </w:pPr>
      <w:r>
        <w:rPr>
          <w:rFonts w:hint="eastAsia" w:cs="宋体"/>
        </w:rPr>
        <w:t>YS/T 483  铜及铜合金分析方法 X射线荧光光谱法（波长色散型）</w:t>
      </w:r>
    </w:p>
    <w:p>
      <w:pPr>
        <w:pStyle w:val="3"/>
        <w:ind w:firstLine="420" w:firstLineChars="200"/>
      </w:pPr>
      <w:r>
        <w:rPr>
          <w:rFonts w:hint="eastAsia"/>
        </w:rPr>
        <w:t>YS</w:t>
      </w:r>
      <w:r>
        <w:t>/</w:t>
      </w:r>
      <w:r>
        <w:rPr>
          <w:rFonts w:hint="eastAsia"/>
        </w:rPr>
        <w:t>T 668  铜及铜合金理化检测取样方法</w:t>
      </w:r>
    </w:p>
    <w:p>
      <w:pPr>
        <w:adjustRightInd/>
        <w:spacing w:before="240" w:beforeLines="100" w:after="240" w:afterLines="100" w:line="240" w:lineRule="auto"/>
        <w:rPr>
          <w:rFonts w:ascii="黑体" w:eastAsia="黑体"/>
          <w:sz w:val="21"/>
          <w:szCs w:val="21"/>
        </w:rPr>
      </w:pPr>
      <w:r>
        <w:rPr>
          <w:rFonts w:hint="eastAsia" w:ascii="黑体" w:eastAsia="黑体"/>
          <w:sz w:val="21"/>
          <w:szCs w:val="21"/>
        </w:rPr>
        <w:t>3  术语和定义</w:t>
      </w:r>
    </w:p>
    <w:p>
      <w:pPr>
        <w:pStyle w:val="3"/>
        <w:ind w:firstLine="420" w:firstLineChars="200"/>
      </w:pPr>
      <w:r>
        <w:rPr>
          <w:rFonts w:hint="eastAsia"/>
        </w:rPr>
        <w:t>本文件没有需要界定的术语和定义。</w:t>
      </w:r>
    </w:p>
    <w:p>
      <w:pPr>
        <w:adjustRightInd/>
        <w:spacing w:before="240" w:beforeLines="100" w:after="240" w:afterLines="100" w:line="240" w:lineRule="auto"/>
        <w:rPr>
          <w:rFonts w:ascii="黑体" w:eastAsia="黑体"/>
        </w:rPr>
      </w:pPr>
      <w:r>
        <w:rPr>
          <w:rFonts w:hint="eastAsia" w:ascii="黑体" w:eastAsia="黑体"/>
          <w:sz w:val="21"/>
          <w:szCs w:val="21"/>
        </w:rPr>
        <w:t>4  分类和标记</w:t>
      </w:r>
    </w:p>
    <w:p>
      <w:pPr>
        <w:pStyle w:val="3"/>
        <w:spacing w:line="360" w:lineRule="auto"/>
        <w:rPr>
          <w:rFonts w:ascii="黑体" w:eastAsia="黑体"/>
        </w:rPr>
      </w:pPr>
      <w:r>
        <w:rPr>
          <w:rFonts w:hint="eastAsia" w:ascii="黑体" w:eastAsia="黑体"/>
        </w:rPr>
        <w:t>4</w:t>
      </w:r>
      <w:r>
        <w:rPr>
          <w:rFonts w:hint="eastAsia"/>
        </w:rPr>
        <w:t>.</w:t>
      </w:r>
      <w:r>
        <w:rPr>
          <w:rFonts w:hint="eastAsia" w:ascii="黑体" w:eastAsia="黑体"/>
        </w:rPr>
        <w:t>1  产品分类</w:t>
      </w:r>
    </w:p>
    <w:p>
      <w:pPr>
        <w:pStyle w:val="3"/>
        <w:ind w:firstLine="420" w:firstLineChars="200"/>
      </w:pPr>
      <w:r>
        <w:rPr>
          <w:rFonts w:hint="eastAsia"/>
        </w:rPr>
        <w:t>带材的牌号、代号、状态和规格应符合表1 的规定。</w:t>
      </w:r>
    </w:p>
    <w:p>
      <w:pPr>
        <w:spacing w:before="120" w:beforeLines="50" w:after="120" w:afterLines="50" w:line="240" w:lineRule="auto"/>
        <w:jc w:val="center"/>
        <w:rPr>
          <w:rFonts w:ascii="黑体" w:hAnsi="宋体" w:eastAsia="黑体"/>
          <w:sz w:val="21"/>
          <w:szCs w:val="21"/>
        </w:rPr>
      </w:pPr>
      <w:r>
        <w:rPr>
          <w:rFonts w:hint="eastAsia" w:ascii="黑体" w:hAnsi="宋体" w:eastAsia="黑体"/>
          <w:sz w:val="21"/>
          <w:szCs w:val="21"/>
        </w:rPr>
        <w:t>表1  牌号、状态和规格</w:t>
      </w:r>
    </w:p>
    <w:tbl>
      <w:tblPr>
        <w:tblStyle w:val="2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2815"/>
        <w:gridCol w:w="22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vMerge w:val="restart"/>
            <w:vAlign w:val="center"/>
          </w:tcPr>
          <w:p>
            <w:pPr>
              <w:spacing w:line="240" w:lineRule="auto"/>
              <w:jc w:val="center"/>
              <w:rPr>
                <w:rFonts w:ascii="宋体" w:hAnsi="宋体"/>
                <w:sz w:val="18"/>
                <w:szCs w:val="18"/>
              </w:rPr>
            </w:pPr>
            <w:r>
              <w:rPr>
                <w:rFonts w:hint="eastAsia" w:ascii="宋体" w:hAnsi="宋体"/>
                <w:sz w:val="18"/>
                <w:szCs w:val="18"/>
              </w:rPr>
              <w:t>牌号</w:t>
            </w:r>
          </w:p>
        </w:tc>
        <w:tc>
          <w:tcPr>
            <w:tcW w:w="674" w:type="pct"/>
            <w:vMerge w:val="restart"/>
            <w:vAlign w:val="center"/>
          </w:tcPr>
          <w:p>
            <w:pPr>
              <w:spacing w:line="240" w:lineRule="auto"/>
              <w:jc w:val="center"/>
              <w:rPr>
                <w:rFonts w:ascii="宋体" w:hAnsi="宋体"/>
                <w:sz w:val="18"/>
                <w:szCs w:val="18"/>
              </w:rPr>
            </w:pPr>
            <w:r>
              <w:rPr>
                <w:rFonts w:hint="eastAsia" w:ascii="宋体" w:hAnsi="宋体"/>
                <w:sz w:val="18"/>
                <w:szCs w:val="18"/>
              </w:rPr>
              <w:t>代号</w:t>
            </w:r>
          </w:p>
        </w:tc>
        <w:tc>
          <w:tcPr>
            <w:tcW w:w="1473" w:type="pct"/>
            <w:vMerge w:val="restart"/>
            <w:vAlign w:val="center"/>
          </w:tcPr>
          <w:p>
            <w:pPr>
              <w:spacing w:line="240" w:lineRule="auto"/>
              <w:jc w:val="center"/>
              <w:rPr>
                <w:rFonts w:ascii="宋体" w:hAnsi="宋体"/>
                <w:sz w:val="18"/>
                <w:szCs w:val="18"/>
              </w:rPr>
            </w:pPr>
            <w:r>
              <w:rPr>
                <w:rFonts w:hint="eastAsia" w:ascii="宋体" w:hAnsi="宋体"/>
                <w:sz w:val="18"/>
                <w:szCs w:val="18"/>
              </w:rPr>
              <w:t>供应状态</w:t>
            </w:r>
          </w:p>
        </w:tc>
        <w:tc>
          <w:tcPr>
            <w:tcW w:w="2179" w:type="pct"/>
            <w:gridSpan w:val="2"/>
            <w:vAlign w:val="center"/>
          </w:tcPr>
          <w:p>
            <w:pPr>
              <w:spacing w:line="240" w:lineRule="auto"/>
              <w:jc w:val="center"/>
              <w:rPr>
                <w:rFonts w:hint="eastAsia" w:ascii="宋体" w:hAnsi="宋体"/>
                <w:sz w:val="18"/>
                <w:szCs w:val="18"/>
              </w:rPr>
            </w:pPr>
            <w:r>
              <w:rPr>
                <w:rFonts w:hint="eastAsia" w:ascii="宋体" w:hAnsi="宋体"/>
                <w:sz w:val="18"/>
                <w:szCs w:val="18"/>
              </w:rPr>
              <w:t>规  格</w:t>
            </w:r>
          </w:p>
          <w:p>
            <w:pPr>
              <w:spacing w:line="240" w:lineRule="auto"/>
              <w:jc w:val="center"/>
              <w:rPr>
                <w:rFonts w:ascii="宋体" w:hAnsi="宋体"/>
                <w:sz w:val="18"/>
                <w:szCs w:val="18"/>
              </w:rPr>
            </w:pPr>
            <w:r>
              <w:rPr>
                <w:rFonts w:ascii="宋体" w:hAnsi="宋体"/>
                <w:color w:val="FF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vMerge w:val="continue"/>
            <w:vAlign w:val="center"/>
          </w:tcPr>
          <w:p>
            <w:pPr>
              <w:spacing w:line="240" w:lineRule="auto"/>
              <w:jc w:val="center"/>
              <w:rPr>
                <w:rFonts w:ascii="宋体" w:hAnsi="宋体"/>
                <w:sz w:val="18"/>
                <w:szCs w:val="18"/>
              </w:rPr>
            </w:pPr>
          </w:p>
        </w:tc>
        <w:tc>
          <w:tcPr>
            <w:tcW w:w="674" w:type="pct"/>
            <w:vMerge w:val="continue"/>
            <w:vAlign w:val="center"/>
          </w:tcPr>
          <w:p>
            <w:pPr>
              <w:spacing w:line="240" w:lineRule="auto"/>
              <w:jc w:val="center"/>
              <w:rPr>
                <w:rFonts w:ascii="宋体" w:hAnsi="宋体"/>
                <w:sz w:val="18"/>
                <w:szCs w:val="18"/>
              </w:rPr>
            </w:pPr>
          </w:p>
        </w:tc>
        <w:tc>
          <w:tcPr>
            <w:tcW w:w="1473" w:type="pct"/>
            <w:vMerge w:val="continue"/>
            <w:vAlign w:val="center"/>
          </w:tcPr>
          <w:p>
            <w:pPr>
              <w:spacing w:line="240" w:lineRule="auto"/>
              <w:jc w:val="center"/>
              <w:rPr>
                <w:rFonts w:ascii="宋体" w:hAnsi="宋体"/>
                <w:sz w:val="18"/>
                <w:szCs w:val="18"/>
              </w:rPr>
            </w:pPr>
          </w:p>
        </w:tc>
        <w:tc>
          <w:tcPr>
            <w:tcW w:w="1173" w:type="pct"/>
            <w:vAlign w:val="center"/>
          </w:tcPr>
          <w:p>
            <w:pPr>
              <w:spacing w:line="240" w:lineRule="auto"/>
              <w:jc w:val="center"/>
              <w:rPr>
                <w:rFonts w:ascii="宋体" w:hAnsi="宋体"/>
                <w:sz w:val="18"/>
                <w:szCs w:val="18"/>
              </w:rPr>
            </w:pPr>
            <w:r>
              <w:rPr>
                <w:rFonts w:hint="eastAsia" w:ascii="宋体" w:hAnsi="宋体"/>
                <w:sz w:val="18"/>
                <w:szCs w:val="18"/>
              </w:rPr>
              <w:t>厚度</w:t>
            </w:r>
          </w:p>
        </w:tc>
        <w:tc>
          <w:tcPr>
            <w:tcW w:w="1006" w:type="pct"/>
            <w:vAlign w:val="center"/>
          </w:tcPr>
          <w:p>
            <w:pPr>
              <w:spacing w:line="240" w:lineRule="auto"/>
              <w:jc w:val="center"/>
              <w:rPr>
                <w:rFonts w:ascii="宋体" w:hAnsi="宋体"/>
                <w:sz w:val="18"/>
                <w:szCs w:val="18"/>
              </w:rPr>
            </w:pPr>
            <w:r>
              <w:rPr>
                <w:rFonts w:hint="eastAsia" w:ascii="宋体" w:hAnsi="宋体"/>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TU1</w:t>
            </w:r>
          </w:p>
        </w:tc>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T10150</w:t>
            </w:r>
          </w:p>
        </w:tc>
        <w:tc>
          <w:tcPr>
            <w:tcW w:w="1473" w:type="pct"/>
            <w:vMerge w:val="restart"/>
            <w:vAlign w:val="center"/>
          </w:tcPr>
          <w:p>
            <w:pPr>
              <w:spacing w:line="240" w:lineRule="auto"/>
              <w:jc w:val="center"/>
              <w:rPr>
                <w:rFonts w:ascii="宋体" w:hAnsi="宋体"/>
                <w:sz w:val="18"/>
                <w:szCs w:val="18"/>
              </w:rPr>
            </w:pPr>
            <w:r>
              <w:rPr>
                <w:rFonts w:hint="eastAsia" w:ascii="宋体" w:hAnsi="宋体"/>
                <w:sz w:val="18"/>
                <w:szCs w:val="18"/>
              </w:rPr>
              <w:t>软化退火（</w:t>
            </w:r>
            <w:r>
              <w:rPr>
                <w:sz w:val="18"/>
                <w:szCs w:val="18"/>
              </w:rPr>
              <w:t>O</w:t>
            </w:r>
            <w:r>
              <w:rPr>
                <w:rFonts w:hint="eastAsia" w:ascii="宋体" w:hAnsi="宋体"/>
                <w:sz w:val="18"/>
                <w:szCs w:val="18"/>
              </w:rPr>
              <w:t>60）</w:t>
            </w:r>
          </w:p>
          <w:p>
            <w:pPr>
              <w:spacing w:line="240" w:lineRule="auto"/>
              <w:jc w:val="center"/>
              <w:rPr>
                <w:rFonts w:ascii="宋体" w:hAnsi="宋体"/>
                <w:sz w:val="18"/>
                <w:szCs w:val="18"/>
              </w:rPr>
            </w:pPr>
            <w:r>
              <w:rPr>
                <w:rFonts w:hint="eastAsia" w:ascii="宋体" w:hAnsi="宋体"/>
                <w:sz w:val="18"/>
                <w:szCs w:val="18"/>
              </w:rPr>
              <w:t>退火到1/8硬（</w:t>
            </w:r>
            <w:r>
              <w:rPr>
                <w:rFonts w:hint="eastAsia"/>
                <w:sz w:val="18"/>
                <w:szCs w:val="18"/>
              </w:rPr>
              <w:t>O</w:t>
            </w:r>
            <w:r>
              <w:rPr>
                <w:rFonts w:hint="eastAsia" w:ascii="宋体" w:hAnsi="宋体" w:cs="宋体"/>
                <w:sz w:val="18"/>
                <w:szCs w:val="18"/>
              </w:rPr>
              <w:t>80</w:t>
            </w:r>
            <w:r>
              <w:rPr>
                <w:rFonts w:hint="eastAsia" w:ascii="宋体" w:hAnsi="宋体"/>
                <w:sz w:val="18"/>
                <w:szCs w:val="18"/>
              </w:rPr>
              <w:t>）</w:t>
            </w:r>
          </w:p>
          <w:p>
            <w:pPr>
              <w:spacing w:line="240" w:lineRule="auto"/>
              <w:jc w:val="center"/>
              <w:rPr>
                <w:rFonts w:ascii="宋体" w:hAnsi="宋体"/>
                <w:sz w:val="18"/>
                <w:szCs w:val="18"/>
              </w:rPr>
            </w:pPr>
            <w:r>
              <w:rPr>
                <w:rFonts w:hint="eastAsia" w:ascii="宋体" w:hAnsi="宋体"/>
                <w:sz w:val="18"/>
                <w:szCs w:val="18"/>
              </w:rPr>
              <w:t>退火到1/4硬（</w:t>
            </w:r>
            <w:r>
              <w:rPr>
                <w:sz w:val="18"/>
                <w:szCs w:val="18"/>
              </w:rPr>
              <w:t>O</w:t>
            </w:r>
            <w:r>
              <w:rPr>
                <w:rFonts w:hint="eastAsia" w:ascii="宋体" w:hAnsi="宋体"/>
                <w:sz w:val="18"/>
                <w:szCs w:val="18"/>
              </w:rPr>
              <w:t>81）</w:t>
            </w:r>
          </w:p>
        </w:tc>
        <w:tc>
          <w:tcPr>
            <w:tcW w:w="1173" w:type="pct"/>
            <w:vMerge w:val="restart"/>
            <w:vAlign w:val="center"/>
          </w:tcPr>
          <w:p>
            <w:pPr>
              <w:spacing w:line="240" w:lineRule="auto"/>
              <w:jc w:val="center"/>
              <w:rPr>
                <w:rFonts w:ascii="宋体" w:hAnsi="宋体"/>
                <w:sz w:val="18"/>
                <w:szCs w:val="18"/>
              </w:rPr>
            </w:pPr>
            <w:r>
              <w:rPr>
                <w:rFonts w:hint="eastAsia" w:ascii="宋体" w:hAnsi="宋体"/>
                <w:sz w:val="18"/>
                <w:szCs w:val="18"/>
              </w:rPr>
              <w:t>0.07～0.80</w:t>
            </w:r>
          </w:p>
        </w:tc>
        <w:tc>
          <w:tcPr>
            <w:tcW w:w="1006" w:type="pct"/>
            <w:vMerge w:val="restart"/>
            <w:vAlign w:val="center"/>
          </w:tcPr>
          <w:p>
            <w:pPr>
              <w:spacing w:line="240" w:lineRule="auto"/>
              <w:jc w:val="center"/>
              <w:rPr>
                <w:rFonts w:ascii="宋体" w:hAnsi="宋体"/>
                <w:sz w:val="18"/>
                <w:szCs w:val="18"/>
              </w:rPr>
            </w:pPr>
            <w:r>
              <w:rPr>
                <w:rFonts w:hint="eastAsia" w:ascii="宋体" w:hAnsi="宋体"/>
                <w:sz w:val="18"/>
                <w:szCs w:val="18"/>
              </w:rPr>
              <w:t>10～305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TU2</w:t>
            </w:r>
          </w:p>
        </w:tc>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T10180</w:t>
            </w:r>
          </w:p>
        </w:tc>
        <w:tc>
          <w:tcPr>
            <w:tcW w:w="1473" w:type="pct"/>
            <w:vMerge w:val="continue"/>
            <w:vAlign w:val="center"/>
          </w:tcPr>
          <w:p>
            <w:pPr>
              <w:spacing w:line="240" w:lineRule="auto"/>
              <w:jc w:val="center"/>
              <w:rPr>
                <w:rFonts w:ascii="宋体" w:hAnsi="宋体"/>
                <w:sz w:val="18"/>
                <w:szCs w:val="18"/>
              </w:rPr>
            </w:pPr>
          </w:p>
        </w:tc>
        <w:tc>
          <w:tcPr>
            <w:tcW w:w="1173" w:type="pct"/>
            <w:vMerge w:val="continue"/>
            <w:vAlign w:val="center"/>
          </w:tcPr>
          <w:p>
            <w:pPr>
              <w:spacing w:line="240" w:lineRule="auto"/>
              <w:jc w:val="center"/>
              <w:rPr>
                <w:rFonts w:ascii="宋体" w:hAnsi="宋体"/>
                <w:sz w:val="18"/>
                <w:szCs w:val="18"/>
              </w:rPr>
            </w:pPr>
          </w:p>
        </w:tc>
        <w:tc>
          <w:tcPr>
            <w:tcW w:w="1006"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TU3</w:t>
            </w:r>
          </w:p>
        </w:tc>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C10200</w:t>
            </w:r>
          </w:p>
        </w:tc>
        <w:tc>
          <w:tcPr>
            <w:tcW w:w="1473" w:type="pct"/>
            <w:vMerge w:val="continue"/>
            <w:vAlign w:val="center"/>
          </w:tcPr>
          <w:p>
            <w:pPr>
              <w:spacing w:line="240" w:lineRule="auto"/>
              <w:jc w:val="center"/>
              <w:rPr>
                <w:rFonts w:ascii="宋体" w:hAnsi="宋体"/>
                <w:sz w:val="18"/>
                <w:szCs w:val="18"/>
              </w:rPr>
            </w:pPr>
          </w:p>
        </w:tc>
        <w:tc>
          <w:tcPr>
            <w:tcW w:w="1173" w:type="pct"/>
            <w:vMerge w:val="continue"/>
            <w:vAlign w:val="center"/>
          </w:tcPr>
          <w:p>
            <w:pPr>
              <w:spacing w:line="240" w:lineRule="auto"/>
              <w:jc w:val="center"/>
              <w:rPr>
                <w:rFonts w:ascii="宋体" w:hAnsi="宋体"/>
                <w:sz w:val="18"/>
                <w:szCs w:val="18"/>
              </w:rPr>
            </w:pPr>
          </w:p>
        </w:tc>
        <w:tc>
          <w:tcPr>
            <w:tcW w:w="1006"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TUP0.003</w:t>
            </w:r>
          </w:p>
        </w:tc>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C10300</w:t>
            </w:r>
          </w:p>
        </w:tc>
        <w:tc>
          <w:tcPr>
            <w:tcW w:w="1473" w:type="pct"/>
            <w:vMerge w:val="continue"/>
            <w:vAlign w:val="center"/>
          </w:tcPr>
          <w:p>
            <w:pPr>
              <w:spacing w:line="240" w:lineRule="auto"/>
              <w:jc w:val="center"/>
              <w:rPr>
                <w:rFonts w:ascii="宋体" w:hAnsi="宋体"/>
                <w:sz w:val="18"/>
                <w:szCs w:val="18"/>
              </w:rPr>
            </w:pPr>
          </w:p>
        </w:tc>
        <w:tc>
          <w:tcPr>
            <w:tcW w:w="1173" w:type="pct"/>
            <w:vMerge w:val="continue"/>
            <w:vAlign w:val="center"/>
          </w:tcPr>
          <w:p>
            <w:pPr>
              <w:spacing w:line="240" w:lineRule="auto"/>
              <w:jc w:val="center"/>
              <w:rPr>
                <w:rFonts w:ascii="宋体" w:hAnsi="宋体"/>
                <w:sz w:val="18"/>
                <w:szCs w:val="18"/>
              </w:rPr>
            </w:pPr>
          </w:p>
        </w:tc>
        <w:tc>
          <w:tcPr>
            <w:tcW w:w="1006"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T2</w:t>
            </w:r>
          </w:p>
        </w:tc>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T11050</w:t>
            </w:r>
          </w:p>
        </w:tc>
        <w:tc>
          <w:tcPr>
            <w:tcW w:w="1473" w:type="pct"/>
            <w:vMerge w:val="continue"/>
            <w:vAlign w:val="center"/>
          </w:tcPr>
          <w:p>
            <w:pPr>
              <w:spacing w:line="240" w:lineRule="auto"/>
              <w:jc w:val="center"/>
              <w:rPr>
                <w:rFonts w:ascii="宋体" w:hAnsi="宋体"/>
                <w:color w:val="FF0000"/>
                <w:sz w:val="18"/>
                <w:szCs w:val="18"/>
              </w:rPr>
            </w:pPr>
          </w:p>
        </w:tc>
        <w:tc>
          <w:tcPr>
            <w:tcW w:w="1173" w:type="pct"/>
            <w:vMerge w:val="continue"/>
            <w:vAlign w:val="center"/>
          </w:tcPr>
          <w:p>
            <w:pPr>
              <w:spacing w:line="240" w:lineRule="auto"/>
              <w:jc w:val="center"/>
              <w:rPr>
                <w:rFonts w:ascii="宋体" w:hAnsi="宋体"/>
                <w:color w:val="FF0000"/>
                <w:sz w:val="18"/>
                <w:szCs w:val="18"/>
              </w:rPr>
            </w:pPr>
          </w:p>
        </w:tc>
        <w:tc>
          <w:tcPr>
            <w:tcW w:w="1006"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TP1</w:t>
            </w:r>
          </w:p>
        </w:tc>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C12000</w:t>
            </w:r>
          </w:p>
        </w:tc>
        <w:tc>
          <w:tcPr>
            <w:tcW w:w="1473" w:type="pct"/>
            <w:vMerge w:val="continue"/>
            <w:tcBorders>
              <w:bottom w:val="single" w:color="auto" w:sz="4" w:space="0"/>
            </w:tcBorders>
            <w:vAlign w:val="center"/>
          </w:tcPr>
          <w:p>
            <w:pPr>
              <w:spacing w:line="240" w:lineRule="auto"/>
              <w:jc w:val="center"/>
              <w:rPr>
                <w:rFonts w:ascii="宋体" w:hAnsi="宋体"/>
                <w:color w:val="FF0000"/>
                <w:sz w:val="18"/>
                <w:szCs w:val="18"/>
              </w:rPr>
            </w:pPr>
          </w:p>
        </w:tc>
        <w:tc>
          <w:tcPr>
            <w:tcW w:w="1173" w:type="pct"/>
            <w:vMerge w:val="continue"/>
            <w:tcBorders>
              <w:bottom w:val="single" w:color="auto" w:sz="4" w:space="0"/>
            </w:tcBorders>
            <w:vAlign w:val="center"/>
          </w:tcPr>
          <w:p>
            <w:pPr>
              <w:spacing w:line="240" w:lineRule="auto"/>
              <w:jc w:val="center"/>
              <w:rPr>
                <w:rFonts w:ascii="宋体" w:hAnsi="宋体"/>
                <w:color w:val="FF0000"/>
                <w:sz w:val="18"/>
                <w:szCs w:val="18"/>
              </w:rPr>
            </w:pPr>
          </w:p>
        </w:tc>
        <w:tc>
          <w:tcPr>
            <w:tcW w:w="1006"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T2</w:t>
            </w:r>
          </w:p>
          <w:p>
            <w:pPr>
              <w:spacing w:line="240" w:lineRule="auto"/>
              <w:jc w:val="center"/>
              <w:rPr>
                <w:rFonts w:ascii="宋体" w:hAnsi="宋体"/>
                <w:sz w:val="18"/>
                <w:szCs w:val="18"/>
              </w:rPr>
            </w:pPr>
            <w:r>
              <w:rPr>
                <w:rFonts w:hint="eastAsia" w:ascii="宋体" w:hAnsi="宋体"/>
                <w:sz w:val="18"/>
                <w:szCs w:val="18"/>
              </w:rPr>
              <w:t>TP2</w:t>
            </w:r>
          </w:p>
        </w:tc>
        <w:tc>
          <w:tcPr>
            <w:tcW w:w="674" w:type="pct"/>
            <w:tcBorders>
              <w:bottom w:val="single" w:color="auto" w:sz="4" w:space="0"/>
            </w:tcBorders>
            <w:vAlign w:val="center"/>
          </w:tcPr>
          <w:p>
            <w:pPr>
              <w:spacing w:line="240" w:lineRule="auto"/>
              <w:jc w:val="center"/>
              <w:rPr>
                <w:rFonts w:hint="eastAsia" w:ascii="宋体" w:hAnsi="宋体"/>
                <w:color w:val="FF0000"/>
                <w:sz w:val="18"/>
                <w:szCs w:val="18"/>
              </w:rPr>
            </w:pPr>
            <w:r>
              <w:rPr>
                <w:rFonts w:hint="eastAsia" w:ascii="宋体" w:hAnsi="宋体"/>
                <w:color w:val="FF0000"/>
                <w:sz w:val="18"/>
                <w:szCs w:val="18"/>
              </w:rPr>
              <w:t>T11050</w:t>
            </w:r>
          </w:p>
          <w:p>
            <w:pPr>
              <w:spacing w:line="240" w:lineRule="auto"/>
              <w:jc w:val="center"/>
              <w:rPr>
                <w:rFonts w:ascii="宋体" w:hAnsi="宋体"/>
                <w:sz w:val="18"/>
                <w:szCs w:val="18"/>
              </w:rPr>
            </w:pPr>
            <w:r>
              <w:rPr>
                <w:rFonts w:hint="eastAsia" w:ascii="宋体" w:hAnsi="宋体"/>
                <w:sz w:val="18"/>
                <w:szCs w:val="18"/>
              </w:rPr>
              <w:t>C12200</w:t>
            </w:r>
          </w:p>
        </w:tc>
        <w:tc>
          <w:tcPr>
            <w:tcW w:w="1473"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1/2硬（</w:t>
            </w:r>
            <w:r>
              <w:rPr>
                <w:rFonts w:hint="eastAsia"/>
                <w:sz w:val="18"/>
                <w:szCs w:val="18"/>
              </w:rPr>
              <w:t>H</w:t>
            </w:r>
            <w:r>
              <w:rPr>
                <w:rFonts w:hint="eastAsia" w:ascii="宋体" w:hAnsi="宋体" w:cs="宋体"/>
                <w:sz w:val="18"/>
                <w:szCs w:val="18"/>
              </w:rPr>
              <w:t>02</w:t>
            </w:r>
            <w:r>
              <w:rPr>
                <w:rFonts w:hint="eastAsia" w:ascii="宋体" w:hAnsi="宋体"/>
                <w:sz w:val="18"/>
                <w:szCs w:val="18"/>
              </w:rPr>
              <w:t>）</w:t>
            </w:r>
          </w:p>
          <w:p>
            <w:pPr>
              <w:spacing w:line="240" w:lineRule="auto"/>
              <w:jc w:val="center"/>
              <w:rPr>
                <w:rFonts w:ascii="宋体" w:hAnsi="宋体"/>
                <w:sz w:val="18"/>
                <w:szCs w:val="18"/>
              </w:rPr>
            </w:pPr>
            <w:r>
              <w:rPr>
                <w:rFonts w:hint="eastAsia" w:ascii="宋体" w:hAnsi="宋体"/>
                <w:sz w:val="18"/>
                <w:szCs w:val="18"/>
              </w:rPr>
              <w:t>1/4硬（</w:t>
            </w:r>
            <w:r>
              <w:rPr>
                <w:rFonts w:hint="eastAsia"/>
                <w:sz w:val="18"/>
                <w:szCs w:val="18"/>
              </w:rPr>
              <w:t>H</w:t>
            </w:r>
            <w:r>
              <w:rPr>
                <w:rFonts w:hint="eastAsia" w:ascii="宋体" w:hAnsi="宋体" w:cs="宋体"/>
                <w:sz w:val="18"/>
                <w:szCs w:val="18"/>
              </w:rPr>
              <w:t>01</w:t>
            </w:r>
            <w:r>
              <w:rPr>
                <w:rFonts w:hint="eastAsia" w:ascii="宋体" w:hAnsi="宋体"/>
                <w:sz w:val="18"/>
                <w:szCs w:val="18"/>
              </w:rPr>
              <w:t>）</w:t>
            </w:r>
          </w:p>
        </w:tc>
        <w:tc>
          <w:tcPr>
            <w:tcW w:w="1173"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0.5～1.5</w:t>
            </w:r>
          </w:p>
        </w:tc>
        <w:tc>
          <w:tcPr>
            <w:tcW w:w="1006" w:type="pct"/>
            <w:vMerge w:val="continue"/>
            <w:tcBorders>
              <w:bottom w:val="single" w:color="auto" w:sz="4" w:space="0"/>
            </w:tcBorders>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000" w:type="pct"/>
            <w:gridSpan w:val="5"/>
            <w:vAlign w:val="center"/>
          </w:tcPr>
          <w:p>
            <w:pPr>
              <w:spacing w:line="240" w:lineRule="auto"/>
              <w:rPr>
                <w:rFonts w:ascii="宋体" w:hAnsi="宋体"/>
                <w:sz w:val="18"/>
                <w:szCs w:val="18"/>
              </w:rPr>
            </w:pPr>
            <w:r>
              <w:rPr>
                <w:rFonts w:hint="eastAsia" w:ascii="宋体" w:hAnsi="宋体"/>
                <w:sz w:val="18"/>
                <w:szCs w:val="18"/>
              </w:rPr>
              <w:t>注1：经供需双方协商，也可供应其它牌号、状态和规格的带材。</w:t>
            </w:r>
          </w:p>
          <w:p>
            <w:pPr>
              <w:spacing w:line="240" w:lineRule="auto"/>
              <w:rPr>
                <w:rFonts w:ascii="宋体" w:hAnsi="宋体"/>
                <w:sz w:val="18"/>
                <w:szCs w:val="18"/>
              </w:rPr>
            </w:pPr>
            <w:r>
              <w:rPr>
                <w:rFonts w:hint="eastAsia" w:ascii="宋体" w:hAnsi="宋体"/>
                <w:sz w:val="18"/>
                <w:szCs w:val="18"/>
              </w:rPr>
              <w:t>注2：产品的长度由供需双方商定。</w:t>
            </w:r>
          </w:p>
        </w:tc>
      </w:tr>
    </w:tbl>
    <w:p>
      <w:pPr>
        <w:pStyle w:val="3"/>
        <w:spacing w:before="120" w:beforeLines="50" w:after="120" w:afterLines="50"/>
        <w:rPr>
          <w:rFonts w:ascii="黑体" w:eastAsia="黑体"/>
        </w:rPr>
      </w:pPr>
      <w:r>
        <w:rPr>
          <w:rFonts w:hint="eastAsia" w:ascii="黑体" w:eastAsia="黑体"/>
        </w:rPr>
        <w:t>4.2  标记示例</w:t>
      </w:r>
    </w:p>
    <w:p>
      <w:pPr>
        <w:pStyle w:val="3"/>
        <w:ind w:firstLine="420" w:firstLineChars="200"/>
      </w:pPr>
      <w:r>
        <w:rPr>
          <w:rFonts w:hint="eastAsia"/>
        </w:rPr>
        <w:t>产品标记按产品名称、标准编号、牌号（或代号）、状态和规格的顺序表示。标记示例如下：</w:t>
      </w:r>
    </w:p>
    <w:p>
      <w:pPr>
        <w:pStyle w:val="3"/>
        <w:ind w:firstLine="361" w:firstLineChars="200"/>
        <w:rPr>
          <w:b/>
          <w:sz w:val="18"/>
          <w:szCs w:val="18"/>
        </w:rPr>
      </w:pPr>
      <w:r>
        <w:rPr>
          <w:rFonts w:hint="eastAsia"/>
          <w:b/>
          <w:color w:val="FF0000"/>
          <w:sz w:val="18"/>
          <w:szCs w:val="18"/>
        </w:rPr>
        <w:t>示例：</w:t>
      </w:r>
      <w:r>
        <w:rPr>
          <w:rFonts w:hint="eastAsia"/>
          <w:b/>
          <w:sz w:val="18"/>
          <w:szCs w:val="18"/>
        </w:rPr>
        <w:t xml:space="preserve"> </w:t>
      </w:r>
    </w:p>
    <w:p>
      <w:pPr>
        <w:pStyle w:val="3"/>
        <w:ind w:firstLine="420" w:firstLineChars="200"/>
      </w:pPr>
      <w:r>
        <w:pict>
          <v:shape id="_x0000_s1132" o:spid="_x0000_s1132" o:spt="202" type="#_x0000_t202" style="position:absolute;left:0pt;margin-left:-0.4pt;margin-top:4.65pt;height:54.6pt;width:473.95pt;z-index:251664384;mso-width-relative:margin;mso-height-relative:margin;mso-height-percent:200;" coordsize="21600,21600">
            <v:path/>
            <v:fill focussize="0,0"/>
            <v:stroke joinstyle="miter"/>
            <v:imagedata o:title=""/>
            <o:lock v:ext="edit"/>
            <v:textbox style="mso-fit-shape-to-text:t;">
              <w:txbxContent>
                <w:p>
                  <w:pPr>
                    <w:ind w:firstLine="180" w:firstLineChars="100"/>
                    <w:rPr>
                      <w:rFonts w:ascii="宋体" w:hAnsi="宋体"/>
                      <w:sz w:val="18"/>
                      <w:szCs w:val="18"/>
                    </w:rPr>
                  </w:pPr>
                  <w:r>
                    <w:rPr>
                      <w:rFonts w:hint="eastAsia" w:ascii="宋体" w:hAnsi="宋体"/>
                      <w:sz w:val="18"/>
                      <w:szCs w:val="18"/>
                    </w:rPr>
                    <w:t>用T2 （T11050）制造的、软化退火（</w:t>
                  </w:r>
                  <w:r>
                    <w:rPr>
                      <w:rFonts w:ascii="宋体" w:hAnsi="宋体"/>
                      <w:sz w:val="18"/>
                      <w:szCs w:val="18"/>
                    </w:rPr>
                    <w:t>O</w:t>
                  </w:r>
                  <w:r>
                    <w:rPr>
                      <w:rFonts w:hint="eastAsia" w:ascii="宋体" w:hAnsi="宋体"/>
                      <w:sz w:val="18"/>
                      <w:szCs w:val="18"/>
                    </w:rPr>
                    <w:t>60）状态、厚度为</w:t>
                  </w:r>
                  <w:r>
                    <w:rPr>
                      <w:rFonts w:ascii="宋体" w:hAnsi="宋体"/>
                      <w:sz w:val="18"/>
                      <w:szCs w:val="18"/>
                    </w:rPr>
                    <w:t>0.</w:t>
                  </w:r>
                  <w:r>
                    <w:rPr>
                      <w:rFonts w:hint="eastAsia" w:ascii="宋体" w:hAnsi="宋体"/>
                      <w:sz w:val="18"/>
                      <w:szCs w:val="18"/>
                    </w:rPr>
                    <w:t>25</w:t>
                  </w:r>
                  <w:r>
                    <w:rPr>
                      <w:rFonts w:ascii="宋体" w:hAnsi="宋体"/>
                      <w:sz w:val="18"/>
                      <w:szCs w:val="18"/>
                    </w:rPr>
                    <w:t>mm</w:t>
                  </w:r>
                  <w:r>
                    <w:rPr>
                      <w:rFonts w:hint="eastAsia" w:ascii="宋体" w:hAnsi="宋体"/>
                      <w:sz w:val="18"/>
                      <w:szCs w:val="18"/>
                    </w:rPr>
                    <w:t>、宽度为86</w:t>
                  </w:r>
                  <w:r>
                    <w:rPr>
                      <w:rFonts w:ascii="宋体" w:hAnsi="宋体"/>
                      <w:sz w:val="18"/>
                      <w:szCs w:val="18"/>
                    </w:rPr>
                    <w:t>mm</w:t>
                  </w:r>
                  <w:r>
                    <w:rPr>
                      <w:rFonts w:hint="eastAsia" w:ascii="宋体" w:hAnsi="宋体"/>
                      <w:sz w:val="18"/>
                      <w:szCs w:val="18"/>
                    </w:rPr>
                    <w:t>的带材标记为：</w:t>
                  </w:r>
                </w:p>
                <w:p>
                  <w:pPr>
                    <w:spacing w:line="340" w:lineRule="exact"/>
                    <w:jc w:val="center"/>
                    <w:rPr>
                      <w:rFonts w:ascii="宋体" w:hAnsi="宋体"/>
                      <w:sz w:val="18"/>
                      <w:szCs w:val="18"/>
                      <w:lang w:val="de-DE"/>
                    </w:rPr>
                  </w:pPr>
                  <w:r>
                    <w:rPr>
                      <w:rFonts w:hint="eastAsia" w:ascii="宋体" w:hAnsi="宋体"/>
                      <w:sz w:val="18"/>
                      <w:szCs w:val="18"/>
                    </w:rPr>
                    <w:t>电缆带</w:t>
                  </w:r>
                  <w:r>
                    <w:rPr>
                      <w:rFonts w:hint="eastAsia" w:ascii="宋体" w:hAnsi="宋体"/>
                      <w:bCs/>
                      <w:sz w:val="18"/>
                      <w:szCs w:val="18"/>
                      <w:lang w:val="de-DE"/>
                    </w:rPr>
                    <w:t>GB/T 11091-</w:t>
                  </w:r>
                  <w:r>
                    <w:rPr>
                      <w:rFonts w:hint="eastAsia" w:ascii="宋体" w:hAnsi="宋体"/>
                      <w:sz w:val="18"/>
                      <w:szCs w:val="18"/>
                      <w:lang w:val="de-DE"/>
                    </w:rPr>
                    <w:t>T2</w:t>
                  </w:r>
                  <w:r>
                    <w:rPr>
                      <w:sz w:val="18"/>
                      <w:szCs w:val="18"/>
                      <w:lang w:val="de-DE"/>
                    </w:rPr>
                    <w:t>O</w:t>
                  </w:r>
                  <w:r>
                    <w:rPr>
                      <w:rFonts w:hint="eastAsia" w:ascii="宋体" w:hAnsi="宋体"/>
                      <w:sz w:val="18"/>
                      <w:szCs w:val="18"/>
                      <w:lang w:val="de-DE"/>
                    </w:rPr>
                    <w:t>60</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color w:val="FF0000"/>
                      <w:sz w:val="18"/>
                      <w:szCs w:val="18"/>
                    </w:rPr>
                    <w:t>,</w:t>
                  </w:r>
                  <w:r>
                    <w:rPr>
                      <w:rFonts w:hint="eastAsia" w:ascii="宋体" w:hAnsi="宋体"/>
                      <w:sz w:val="18"/>
                      <w:szCs w:val="18"/>
                      <w:lang w:val="de-DE"/>
                    </w:rPr>
                    <w:t>25×86</w:t>
                  </w:r>
                </w:p>
                <w:p>
                  <w:pPr>
                    <w:pStyle w:val="6"/>
                    <w:jc w:val="center"/>
                    <w:rPr>
                      <w:sz w:val="18"/>
                      <w:szCs w:val="18"/>
                      <w:lang w:val="de-DE"/>
                    </w:rPr>
                  </w:pPr>
                  <w:r>
                    <w:rPr>
                      <w:rFonts w:hint="eastAsia" w:ascii="宋体" w:hAnsi="宋体"/>
                      <w:sz w:val="18"/>
                      <w:szCs w:val="18"/>
                    </w:rPr>
                    <w:t xml:space="preserve"> 或</w:t>
                  </w:r>
                  <w:r>
                    <w:rPr>
                      <w:rFonts w:hint="eastAsia" w:ascii="宋体" w:hAnsi="宋体"/>
                      <w:sz w:val="18"/>
                      <w:szCs w:val="18"/>
                      <w:lang w:val="de-DE"/>
                    </w:rPr>
                    <w:t xml:space="preserve">  电缆带</w:t>
                  </w:r>
                  <w:r>
                    <w:rPr>
                      <w:rFonts w:hint="eastAsia" w:ascii="宋体" w:hAnsi="宋体"/>
                      <w:bCs/>
                      <w:sz w:val="18"/>
                      <w:szCs w:val="18"/>
                      <w:lang w:val="de-DE"/>
                    </w:rPr>
                    <w:t>GB/T 11091-</w:t>
                  </w:r>
                  <w:r>
                    <w:rPr>
                      <w:rFonts w:ascii="宋体" w:hAnsi="宋体"/>
                      <w:sz w:val="18"/>
                      <w:szCs w:val="18"/>
                      <w:lang w:val="de-DE"/>
                    </w:rPr>
                    <w:t>T11050</w:t>
                  </w:r>
                  <w:r>
                    <w:rPr>
                      <w:sz w:val="18"/>
                      <w:szCs w:val="18"/>
                      <w:lang w:val="de-DE"/>
                    </w:rPr>
                    <w:t>O</w:t>
                  </w:r>
                  <w:r>
                    <w:rPr>
                      <w:rFonts w:hint="eastAsia" w:ascii="宋体" w:hAnsi="宋体"/>
                      <w:sz w:val="18"/>
                      <w:szCs w:val="18"/>
                      <w:lang w:val="de-DE"/>
                    </w:rPr>
                    <w:t>60</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color w:val="FF0000"/>
                      <w:sz w:val="18"/>
                      <w:szCs w:val="18"/>
                    </w:rPr>
                    <w:t>,</w:t>
                  </w:r>
                  <w:r>
                    <w:rPr>
                      <w:rFonts w:hint="eastAsia" w:ascii="宋体" w:hAnsi="宋体"/>
                      <w:sz w:val="18"/>
                      <w:szCs w:val="18"/>
                      <w:lang w:val="de-DE"/>
                    </w:rPr>
                    <w:t>25×86</w:t>
                  </w:r>
                </w:p>
              </w:txbxContent>
            </v:textbox>
          </v:shape>
        </w:pict>
      </w:r>
    </w:p>
    <w:p>
      <w:pPr>
        <w:pStyle w:val="3"/>
        <w:ind w:firstLine="420" w:firstLineChars="200"/>
      </w:pPr>
    </w:p>
    <w:p>
      <w:pPr>
        <w:pStyle w:val="3"/>
        <w:ind w:firstLine="420" w:firstLineChars="200"/>
      </w:pPr>
    </w:p>
    <w:p>
      <w:pPr>
        <w:pStyle w:val="3"/>
        <w:ind w:firstLine="420" w:firstLineChars="200"/>
      </w:pPr>
    </w:p>
    <w:p>
      <w:pPr>
        <w:pStyle w:val="3"/>
        <w:spacing w:before="240" w:beforeLines="100" w:after="240" w:afterLines="100"/>
      </w:pPr>
      <w:r>
        <w:rPr>
          <w:rFonts w:hint="eastAsia" w:ascii="黑体" w:eastAsia="黑体"/>
        </w:rPr>
        <w:t>5  技术要求</w:t>
      </w:r>
    </w:p>
    <w:p>
      <w:pPr>
        <w:spacing w:after="120" w:afterLines="50" w:line="340" w:lineRule="exact"/>
        <w:rPr>
          <w:rFonts w:ascii="黑体" w:hAnsi="宋体" w:eastAsia="黑体"/>
          <w:sz w:val="21"/>
        </w:rPr>
      </w:pPr>
      <w:r>
        <w:rPr>
          <w:rFonts w:hint="eastAsia" w:ascii="黑体" w:hAnsi="宋体" w:eastAsia="黑体"/>
          <w:sz w:val="21"/>
        </w:rPr>
        <w:t>5.1  化学成分</w:t>
      </w:r>
    </w:p>
    <w:p>
      <w:pPr>
        <w:pStyle w:val="3"/>
        <w:ind w:firstLine="420" w:firstLineChars="200"/>
      </w:pPr>
      <w:r>
        <w:rPr>
          <w:rFonts w:hint="eastAsia"/>
        </w:rPr>
        <w:t>带材化学成分应符合GB/T 5231中相应牌号的规定。</w:t>
      </w:r>
    </w:p>
    <w:p>
      <w:pPr>
        <w:spacing w:before="120" w:beforeLines="50" w:after="120" w:afterLines="50" w:line="340" w:lineRule="exact"/>
        <w:rPr>
          <w:rFonts w:ascii="黑体" w:hAnsi="宋体" w:eastAsia="黑体"/>
          <w:sz w:val="21"/>
        </w:rPr>
      </w:pPr>
      <w:r>
        <w:rPr>
          <w:rFonts w:hint="eastAsia" w:ascii="黑体" w:hAnsi="宋体" w:eastAsia="黑体"/>
          <w:sz w:val="21"/>
        </w:rPr>
        <w:t>5.2   外形尺寸及其允许偏差</w:t>
      </w:r>
    </w:p>
    <w:p>
      <w:pPr>
        <w:pStyle w:val="3"/>
      </w:pPr>
      <w:r>
        <w:rPr>
          <w:rFonts w:hint="eastAsia" w:ascii="黑体" w:eastAsia="黑体"/>
        </w:rPr>
        <w:t>5.2.1</w:t>
      </w:r>
      <w:r>
        <w:rPr>
          <w:rFonts w:hint="eastAsia"/>
        </w:rPr>
        <w:t xml:space="preserve"> 带材的厚度及其允许偏差应符合表2的规定</w:t>
      </w:r>
    </w:p>
    <w:p>
      <w:pPr>
        <w:wordWrap w:val="0"/>
        <w:spacing w:before="120" w:beforeLines="50" w:after="120" w:afterLines="50" w:line="240" w:lineRule="auto"/>
        <w:jc w:val="right"/>
        <w:rPr>
          <w:rFonts w:ascii="宋体" w:hAnsi="宋体"/>
          <w:sz w:val="21"/>
        </w:rPr>
      </w:pPr>
      <w:r>
        <w:rPr>
          <w:rFonts w:hint="eastAsia" w:ascii="黑体" w:hAnsi="宋体" w:eastAsia="黑体"/>
          <w:sz w:val="21"/>
        </w:rPr>
        <w:t xml:space="preserve">表2   厚度及其允许偏差  </w:t>
      </w:r>
      <w:r>
        <w:rPr>
          <w:rFonts w:ascii="黑体" w:hAnsi="宋体" w:eastAsia="黑体"/>
          <w:sz w:val="21"/>
        </w:rPr>
        <w:t xml:space="preserve"> </w:t>
      </w:r>
      <w:r>
        <w:rPr>
          <w:rFonts w:hint="eastAsia" w:ascii="宋体" w:hAnsi="宋体"/>
          <w:sz w:val="21"/>
        </w:rPr>
        <w:t xml:space="preserve">    </w:t>
      </w:r>
      <w:r>
        <w:rPr>
          <w:rFonts w:hint="eastAsia" w:ascii="宋体" w:hAnsi="宋体"/>
        </w:rPr>
        <w:t xml:space="preserve">              </w:t>
      </w:r>
      <w:r>
        <w:rPr>
          <w:rFonts w:hint="eastAsia" w:ascii="宋体" w:hAnsi="宋体"/>
          <w:sz w:val="18"/>
          <w:szCs w:val="18"/>
        </w:rPr>
        <w:t>单位为毫米</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3034"/>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84" w:type="pct"/>
            <w:vMerge w:val="restart"/>
            <w:vAlign w:val="center"/>
          </w:tcPr>
          <w:p>
            <w:pPr>
              <w:spacing w:line="240" w:lineRule="auto"/>
              <w:jc w:val="center"/>
              <w:rPr>
                <w:rFonts w:ascii="宋体" w:hAnsi="宋体"/>
                <w:sz w:val="18"/>
                <w:szCs w:val="18"/>
              </w:rPr>
            </w:pPr>
            <w:r>
              <w:rPr>
                <w:rFonts w:hint="eastAsia" w:ascii="宋体" w:hAnsi="宋体"/>
                <w:sz w:val="18"/>
                <w:szCs w:val="18"/>
              </w:rPr>
              <w:t>厚度</w:t>
            </w:r>
          </w:p>
        </w:tc>
        <w:tc>
          <w:tcPr>
            <w:tcW w:w="3416" w:type="pct"/>
            <w:gridSpan w:val="2"/>
            <w:vAlign w:val="center"/>
          </w:tcPr>
          <w:p>
            <w:pPr>
              <w:spacing w:line="240" w:lineRule="auto"/>
              <w:jc w:val="center"/>
              <w:rPr>
                <w:rFonts w:ascii="宋体" w:hAnsi="宋体"/>
                <w:sz w:val="18"/>
                <w:szCs w:val="18"/>
              </w:rPr>
            </w:pPr>
            <w:r>
              <w:rPr>
                <w:rFonts w:hint="eastAsia" w:ascii="宋体" w:hAnsi="宋体"/>
                <w:sz w:val="18"/>
                <w:szCs w:val="18"/>
              </w:rPr>
              <w:t>厚度允许偏差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84" w:type="pct"/>
            <w:vMerge w:val="continue"/>
          </w:tcPr>
          <w:p>
            <w:pPr>
              <w:spacing w:line="240" w:lineRule="auto"/>
              <w:jc w:val="center"/>
              <w:rPr>
                <w:rFonts w:ascii="宋体" w:hAnsi="宋体"/>
                <w:sz w:val="18"/>
                <w:szCs w:val="18"/>
              </w:rPr>
            </w:pPr>
          </w:p>
        </w:tc>
        <w:tc>
          <w:tcPr>
            <w:tcW w:w="1585" w:type="pct"/>
            <w:vAlign w:val="center"/>
          </w:tcPr>
          <w:p>
            <w:pPr>
              <w:spacing w:line="240" w:lineRule="auto"/>
              <w:jc w:val="center"/>
              <w:rPr>
                <w:rFonts w:ascii="宋体" w:hAnsi="宋体"/>
                <w:sz w:val="18"/>
                <w:szCs w:val="18"/>
              </w:rPr>
            </w:pPr>
            <w:r>
              <w:rPr>
                <w:rFonts w:hint="eastAsia" w:ascii="宋体" w:hAnsi="宋体"/>
                <w:sz w:val="18"/>
                <w:szCs w:val="18"/>
              </w:rPr>
              <w:t>普通级</w:t>
            </w:r>
          </w:p>
        </w:tc>
        <w:tc>
          <w:tcPr>
            <w:tcW w:w="1830" w:type="pct"/>
            <w:vAlign w:val="center"/>
          </w:tcPr>
          <w:p>
            <w:pPr>
              <w:spacing w:line="240" w:lineRule="auto"/>
              <w:jc w:val="center"/>
              <w:rPr>
                <w:rFonts w:ascii="宋体" w:hAnsi="宋体"/>
                <w:sz w:val="18"/>
                <w:szCs w:val="18"/>
              </w:rPr>
            </w:pPr>
            <w:r>
              <w:rPr>
                <w:rFonts w:hint="eastAsia" w:ascii="宋体" w:hAnsi="宋体"/>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84" w:type="pct"/>
            <w:vAlign w:val="center"/>
          </w:tcPr>
          <w:p>
            <w:pPr>
              <w:spacing w:line="240" w:lineRule="auto"/>
              <w:jc w:val="center"/>
              <w:rPr>
                <w:rFonts w:ascii="宋体" w:hAnsi="宋体"/>
                <w:sz w:val="18"/>
                <w:szCs w:val="18"/>
              </w:rPr>
            </w:pPr>
            <w:r>
              <w:rPr>
                <w:rFonts w:ascii="宋体" w:hAnsi="宋体"/>
                <w:sz w:val="18"/>
                <w:szCs w:val="18"/>
              </w:rPr>
              <w:t>0.</w:t>
            </w:r>
            <w:r>
              <w:rPr>
                <w:rFonts w:hint="eastAsia" w:ascii="宋体" w:hAnsi="宋体"/>
                <w:sz w:val="18"/>
                <w:szCs w:val="18"/>
              </w:rPr>
              <w:t>07</w:t>
            </w:r>
            <w:r>
              <w:rPr>
                <w:rFonts w:ascii="宋体" w:hAnsi="宋体"/>
                <w:sz w:val="18"/>
                <w:szCs w:val="18"/>
              </w:rPr>
              <w:t>～0.</w:t>
            </w:r>
            <w:r>
              <w:rPr>
                <w:rFonts w:hint="eastAsia" w:ascii="宋体" w:hAnsi="宋体"/>
                <w:sz w:val="18"/>
                <w:szCs w:val="18"/>
              </w:rPr>
              <w:t>30</w:t>
            </w:r>
          </w:p>
        </w:tc>
        <w:tc>
          <w:tcPr>
            <w:tcW w:w="1585" w:type="pct"/>
            <w:vAlign w:val="center"/>
          </w:tcPr>
          <w:p>
            <w:pPr>
              <w:spacing w:line="240" w:lineRule="auto"/>
              <w:jc w:val="center"/>
              <w:rPr>
                <w:rFonts w:ascii="宋体" w:hAnsi="宋体"/>
                <w:sz w:val="18"/>
                <w:szCs w:val="18"/>
              </w:rPr>
            </w:pPr>
            <w:r>
              <w:rPr>
                <w:rFonts w:hint="eastAsia" w:ascii="宋体" w:hAnsi="宋体"/>
                <w:sz w:val="18"/>
                <w:szCs w:val="18"/>
              </w:rPr>
              <w:t>±0.008</w:t>
            </w:r>
          </w:p>
        </w:tc>
        <w:tc>
          <w:tcPr>
            <w:tcW w:w="1830"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0.00</w:t>
            </w: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84"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w:t>
            </w:r>
            <w:r>
              <w:rPr>
                <w:rFonts w:hint="eastAsia" w:ascii="宋体" w:hAnsi="宋体"/>
                <w:sz w:val="18"/>
                <w:szCs w:val="18"/>
              </w:rPr>
              <w:t>30</w:t>
            </w:r>
            <w:r>
              <w:rPr>
                <w:rFonts w:ascii="宋体" w:hAnsi="宋体"/>
                <w:sz w:val="18"/>
                <w:szCs w:val="18"/>
              </w:rPr>
              <w:t>～0.</w:t>
            </w:r>
            <w:r>
              <w:rPr>
                <w:rFonts w:hint="eastAsia" w:ascii="宋体" w:hAnsi="宋体"/>
                <w:sz w:val="18"/>
                <w:szCs w:val="18"/>
              </w:rPr>
              <w:t>50</w:t>
            </w:r>
          </w:p>
        </w:tc>
        <w:tc>
          <w:tcPr>
            <w:tcW w:w="1585"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0.01</w:t>
            </w:r>
            <w:r>
              <w:rPr>
                <w:rFonts w:hint="eastAsia" w:ascii="宋体" w:hAnsi="宋体"/>
                <w:sz w:val="18"/>
                <w:szCs w:val="18"/>
              </w:rPr>
              <w:t>2</w:t>
            </w:r>
          </w:p>
        </w:tc>
        <w:tc>
          <w:tcPr>
            <w:tcW w:w="1830" w:type="pct"/>
            <w:vAlign w:val="center"/>
          </w:tcPr>
          <w:p>
            <w:pPr>
              <w:spacing w:line="240" w:lineRule="auto"/>
              <w:jc w:val="center"/>
              <w:rPr>
                <w:rFonts w:ascii="宋体" w:hAnsi="宋体"/>
                <w:sz w:val="18"/>
                <w:szCs w:val="18"/>
              </w:rPr>
            </w:pPr>
            <w:r>
              <w:rPr>
                <w:rFonts w:hint="eastAsia" w:ascii="宋体" w:hAnsi="宋体"/>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84"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w:t>
            </w:r>
            <w:r>
              <w:rPr>
                <w:rFonts w:hint="eastAsia" w:ascii="宋体" w:hAnsi="宋体"/>
                <w:sz w:val="18"/>
                <w:szCs w:val="18"/>
              </w:rPr>
              <w:t>50</w:t>
            </w:r>
            <w:r>
              <w:rPr>
                <w:rFonts w:ascii="宋体" w:hAnsi="宋体"/>
                <w:sz w:val="18"/>
                <w:szCs w:val="18"/>
              </w:rPr>
              <w:t>～</w:t>
            </w:r>
            <w:r>
              <w:rPr>
                <w:rFonts w:hint="eastAsia" w:ascii="宋体" w:hAnsi="宋体"/>
                <w:sz w:val="18"/>
                <w:szCs w:val="18"/>
              </w:rPr>
              <w:t>0.80</w:t>
            </w:r>
          </w:p>
        </w:tc>
        <w:tc>
          <w:tcPr>
            <w:tcW w:w="1585"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w:t>
            </w:r>
            <w:r>
              <w:rPr>
                <w:rFonts w:hint="eastAsia" w:ascii="宋体" w:hAnsi="宋体"/>
                <w:sz w:val="18"/>
                <w:szCs w:val="18"/>
              </w:rPr>
              <w:t>20</w:t>
            </w:r>
          </w:p>
        </w:tc>
        <w:tc>
          <w:tcPr>
            <w:tcW w:w="1830"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w:t>
            </w:r>
            <w:r>
              <w:rPr>
                <w:rFonts w:hint="eastAsia"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584"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w:t>
            </w:r>
            <w:r>
              <w:rPr>
                <w:rFonts w:hint="eastAsia" w:ascii="宋体" w:hAnsi="宋体"/>
                <w:sz w:val="18"/>
                <w:szCs w:val="18"/>
              </w:rPr>
              <w:t>80</w:t>
            </w:r>
            <w:r>
              <w:rPr>
                <w:rFonts w:ascii="宋体" w:hAnsi="宋体"/>
                <w:sz w:val="18"/>
                <w:szCs w:val="18"/>
              </w:rPr>
              <w:t>～</w:t>
            </w:r>
            <w:r>
              <w:rPr>
                <w:rFonts w:hint="eastAsia" w:ascii="宋体" w:hAnsi="宋体"/>
                <w:sz w:val="18"/>
                <w:szCs w:val="18"/>
              </w:rPr>
              <w:t>1.50</w:t>
            </w:r>
          </w:p>
        </w:tc>
        <w:tc>
          <w:tcPr>
            <w:tcW w:w="1585"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w:t>
            </w:r>
            <w:r>
              <w:rPr>
                <w:rFonts w:hint="eastAsia" w:ascii="宋体" w:hAnsi="宋体"/>
                <w:sz w:val="18"/>
                <w:szCs w:val="18"/>
              </w:rPr>
              <w:t>25</w:t>
            </w:r>
          </w:p>
        </w:tc>
        <w:tc>
          <w:tcPr>
            <w:tcW w:w="1830"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w:t>
            </w:r>
            <w:r>
              <w:rPr>
                <w:rFonts w:hint="eastAsia"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000" w:type="pct"/>
            <w:gridSpan w:val="3"/>
            <w:vAlign w:val="center"/>
          </w:tcPr>
          <w:p>
            <w:pPr>
              <w:spacing w:line="240" w:lineRule="auto"/>
              <w:jc w:val="both"/>
              <w:rPr>
                <w:rFonts w:ascii="宋体" w:hAnsi="宋体"/>
                <w:sz w:val="18"/>
                <w:szCs w:val="18"/>
              </w:rPr>
            </w:pPr>
            <w:r>
              <w:rPr>
                <w:rFonts w:hint="eastAsia" w:ascii="宋体" w:hAnsi="宋体"/>
                <w:sz w:val="18"/>
                <w:szCs w:val="18"/>
              </w:rPr>
              <w:t>注：需方要求单向偏差时，其值为表中数值的二倍。</w:t>
            </w:r>
          </w:p>
        </w:tc>
      </w:tr>
    </w:tbl>
    <w:p>
      <w:pPr>
        <w:spacing w:before="120" w:beforeLines="50" w:line="240" w:lineRule="auto"/>
        <w:rPr>
          <w:rFonts w:ascii="宋体" w:hAnsi="宋体"/>
        </w:rPr>
      </w:pPr>
      <w:r>
        <w:rPr>
          <w:rFonts w:hint="eastAsia" w:ascii="黑体" w:hAnsi="宋体" w:eastAsia="黑体"/>
          <w:sz w:val="21"/>
        </w:rPr>
        <w:t xml:space="preserve">5.2.2 </w:t>
      </w:r>
      <w:r>
        <w:rPr>
          <w:rFonts w:hint="eastAsia" w:ascii="宋体" w:hAnsi="宋体"/>
          <w:sz w:val="21"/>
        </w:rPr>
        <w:t>带材的宽度及其允许偏差应符合表3的规定</w:t>
      </w:r>
    </w:p>
    <w:p>
      <w:pPr>
        <w:spacing w:before="120" w:beforeLines="50" w:after="120" w:afterLines="50" w:line="240" w:lineRule="auto"/>
        <w:jc w:val="right"/>
        <w:rPr>
          <w:rFonts w:ascii="宋体" w:hAnsi="宋体"/>
          <w:sz w:val="21"/>
        </w:rPr>
      </w:pPr>
      <w:r>
        <w:rPr>
          <w:rFonts w:hint="eastAsia" w:ascii="黑体" w:hAnsi="宋体" w:eastAsia="黑体"/>
          <w:sz w:val="21"/>
        </w:rPr>
        <w:t xml:space="preserve">表3   宽度及其允许偏差 </w:t>
      </w:r>
      <w:r>
        <w:rPr>
          <w:rFonts w:hint="eastAsia" w:ascii="宋体" w:hAnsi="宋体"/>
          <w:sz w:val="21"/>
        </w:rPr>
        <w:t xml:space="preserve">   </w:t>
      </w:r>
      <w:r>
        <w:rPr>
          <w:rFonts w:hint="eastAsia" w:ascii="宋体" w:hAnsi="宋体"/>
        </w:rPr>
        <w:t xml:space="preserve">            </w:t>
      </w:r>
      <w:r>
        <w:rPr>
          <w:rFonts w:hint="eastAsia" w:ascii="宋体" w:hAnsi="宋体"/>
          <w:sz w:val="18"/>
          <w:szCs w:val="18"/>
        </w:rPr>
        <w:t xml:space="preserve">  单位为毫米</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3905"/>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1" w:type="pct"/>
            <w:vMerge w:val="restart"/>
            <w:vAlign w:val="center"/>
          </w:tcPr>
          <w:p>
            <w:pPr>
              <w:spacing w:line="240" w:lineRule="auto"/>
              <w:jc w:val="center"/>
              <w:rPr>
                <w:rFonts w:ascii="宋体" w:hAnsi="宋体"/>
                <w:sz w:val="18"/>
                <w:szCs w:val="18"/>
              </w:rPr>
            </w:pPr>
            <w:r>
              <w:rPr>
                <w:rFonts w:hint="eastAsia" w:ascii="宋体" w:hAnsi="宋体"/>
                <w:sz w:val="18"/>
                <w:szCs w:val="18"/>
              </w:rPr>
              <w:t>宽度</w:t>
            </w:r>
          </w:p>
        </w:tc>
        <w:tc>
          <w:tcPr>
            <w:tcW w:w="4079" w:type="pct"/>
            <w:gridSpan w:val="2"/>
            <w:vAlign w:val="center"/>
          </w:tcPr>
          <w:p>
            <w:pPr>
              <w:spacing w:line="240" w:lineRule="auto"/>
              <w:jc w:val="center"/>
              <w:rPr>
                <w:rFonts w:ascii="宋体" w:hAnsi="宋体"/>
                <w:sz w:val="18"/>
                <w:szCs w:val="18"/>
              </w:rPr>
            </w:pPr>
            <w:r>
              <w:rPr>
                <w:rFonts w:hint="eastAsia" w:ascii="宋体" w:hAnsi="宋体"/>
                <w:sz w:val="18"/>
                <w:szCs w:val="18"/>
              </w:rPr>
              <w:t>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1" w:type="pct"/>
            <w:vMerge w:val="continue"/>
            <w:vAlign w:val="center"/>
          </w:tcPr>
          <w:p>
            <w:pPr>
              <w:spacing w:line="240" w:lineRule="auto"/>
              <w:jc w:val="center"/>
              <w:rPr>
                <w:rFonts w:ascii="宋体" w:hAnsi="宋体"/>
                <w:sz w:val="18"/>
                <w:szCs w:val="18"/>
              </w:rPr>
            </w:pPr>
          </w:p>
        </w:tc>
        <w:tc>
          <w:tcPr>
            <w:tcW w:w="2040" w:type="pct"/>
            <w:vAlign w:val="center"/>
          </w:tcPr>
          <w:p>
            <w:pPr>
              <w:spacing w:line="240" w:lineRule="auto"/>
              <w:jc w:val="center"/>
              <w:rPr>
                <w:rFonts w:ascii="宋体" w:hAnsi="宋体"/>
                <w:sz w:val="18"/>
                <w:szCs w:val="18"/>
              </w:rPr>
            </w:pPr>
            <w:r>
              <w:rPr>
                <w:rFonts w:hint="eastAsia" w:ascii="宋体" w:hAnsi="宋体"/>
                <w:sz w:val="18"/>
                <w:szCs w:val="18"/>
              </w:rPr>
              <w:t>普通级</w:t>
            </w:r>
          </w:p>
        </w:tc>
        <w:tc>
          <w:tcPr>
            <w:tcW w:w="2039" w:type="pct"/>
            <w:vAlign w:val="center"/>
          </w:tcPr>
          <w:p>
            <w:pPr>
              <w:spacing w:line="240" w:lineRule="auto"/>
              <w:jc w:val="center"/>
              <w:rPr>
                <w:rFonts w:ascii="宋体" w:hAnsi="宋体"/>
                <w:sz w:val="18"/>
                <w:szCs w:val="18"/>
              </w:rPr>
            </w:pPr>
            <w:r>
              <w:rPr>
                <w:rFonts w:hint="eastAsia" w:ascii="宋体" w:hAnsi="宋体"/>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1"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10～100</w:t>
            </w:r>
          </w:p>
        </w:tc>
        <w:tc>
          <w:tcPr>
            <w:tcW w:w="2040"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±0.10</w:t>
            </w:r>
          </w:p>
        </w:tc>
        <w:tc>
          <w:tcPr>
            <w:tcW w:w="2039"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21"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＞100～305</w:t>
            </w:r>
          </w:p>
        </w:tc>
        <w:tc>
          <w:tcPr>
            <w:tcW w:w="2040"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±0.15</w:t>
            </w:r>
          </w:p>
        </w:tc>
        <w:tc>
          <w:tcPr>
            <w:tcW w:w="2039"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000" w:type="pct"/>
            <w:gridSpan w:val="3"/>
            <w:vAlign w:val="center"/>
          </w:tcPr>
          <w:p>
            <w:pPr>
              <w:spacing w:line="240" w:lineRule="auto"/>
              <w:jc w:val="both"/>
              <w:rPr>
                <w:rFonts w:ascii="宋体" w:hAnsi="宋体"/>
                <w:sz w:val="18"/>
                <w:szCs w:val="18"/>
              </w:rPr>
            </w:pPr>
            <w:r>
              <w:rPr>
                <w:rFonts w:hint="eastAsia" w:ascii="宋体" w:hAnsi="宋体"/>
                <w:sz w:val="18"/>
                <w:szCs w:val="18"/>
              </w:rPr>
              <w:t>注：需方要求单向偏差时，其值为表中数值的二倍。</w:t>
            </w:r>
          </w:p>
        </w:tc>
      </w:tr>
    </w:tbl>
    <w:p>
      <w:pPr>
        <w:tabs>
          <w:tab w:val="left" w:pos="3600"/>
        </w:tabs>
        <w:spacing w:before="120" w:beforeLines="50" w:line="240" w:lineRule="auto"/>
        <w:rPr>
          <w:rFonts w:hint="eastAsia" w:ascii="宋体" w:hAnsi="宋体"/>
          <w:sz w:val="21"/>
        </w:rPr>
      </w:pPr>
      <w:r>
        <w:rPr>
          <w:rFonts w:hint="eastAsia" w:ascii="黑体" w:hAnsi="宋体" w:eastAsia="黑体"/>
          <w:sz w:val="21"/>
        </w:rPr>
        <w:t xml:space="preserve">5.2.3 </w:t>
      </w:r>
      <w:r>
        <w:rPr>
          <w:rFonts w:hint="eastAsia" w:ascii="宋体" w:hAnsi="宋体"/>
          <w:sz w:val="21"/>
        </w:rPr>
        <w:t>带材的外形应平直</w:t>
      </w:r>
      <w:r>
        <w:rPr>
          <w:rFonts w:hint="eastAsia" w:ascii="宋体" w:hAnsi="宋体"/>
          <w:sz w:val="21"/>
          <w:lang w:eastAsia="zh-CN"/>
        </w:rPr>
        <w:t>，</w:t>
      </w:r>
      <w:r>
        <w:rPr>
          <w:rFonts w:hint="eastAsia" w:ascii="宋体" w:hAnsi="宋体"/>
          <w:sz w:val="21"/>
        </w:rPr>
        <w:t>侧边弯曲度应</w:t>
      </w:r>
      <w:r>
        <w:rPr>
          <w:rFonts w:hint="eastAsia" w:ascii="宋体" w:hAnsi="宋体"/>
          <w:sz w:val="21"/>
          <w:lang w:eastAsia="zh-CN"/>
        </w:rPr>
        <w:t>符合表</w:t>
      </w:r>
      <w:r>
        <w:rPr>
          <w:rFonts w:hint="eastAsia" w:ascii="宋体" w:hAnsi="宋体"/>
          <w:sz w:val="21"/>
          <w:lang w:val="en-US" w:eastAsia="zh-CN"/>
        </w:rPr>
        <w:t>4的规定</w:t>
      </w:r>
      <w:r>
        <w:rPr>
          <w:rFonts w:hint="eastAsia" w:ascii="宋体" w:hAnsi="宋体"/>
          <w:sz w:val="21"/>
        </w:rPr>
        <w:t>。</w:t>
      </w:r>
    </w:p>
    <w:p>
      <w:pPr>
        <w:spacing w:before="120" w:beforeLines="50" w:after="120" w:afterLines="50" w:line="240" w:lineRule="auto"/>
        <w:jc w:val="center"/>
        <w:rPr>
          <w:rFonts w:hint="eastAsia" w:ascii="黑体" w:hAnsi="宋体" w:eastAsia="黑体"/>
          <w:color w:val="FF0000"/>
          <w:sz w:val="21"/>
          <w:lang w:eastAsia="zh-CN"/>
        </w:rPr>
      </w:pPr>
      <w:bookmarkStart w:id="13" w:name="_GoBack"/>
      <w:r>
        <w:rPr>
          <w:rFonts w:hint="eastAsia" w:ascii="黑体" w:hAnsi="宋体" w:eastAsia="黑体"/>
          <w:color w:val="FF0000"/>
          <w:sz w:val="21"/>
        </w:rPr>
        <w:t xml:space="preserve">表4  </w:t>
      </w:r>
      <w:r>
        <w:rPr>
          <w:rFonts w:hint="eastAsia" w:ascii="黑体" w:hAnsi="宋体" w:eastAsia="黑体"/>
          <w:color w:val="FF0000"/>
          <w:sz w:val="21"/>
          <w:lang w:eastAsia="zh-CN"/>
        </w:rPr>
        <w:t>侧边弯曲度</w:t>
      </w:r>
    </w:p>
    <w:bookmarkEnd w:id="13"/>
    <w:tbl>
      <w:tblPr>
        <w:tblStyle w:val="25"/>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8"/>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820" w:type="pct"/>
            <w:vAlign w:val="center"/>
          </w:tcPr>
          <w:p>
            <w:pPr>
              <w:spacing w:line="240" w:lineRule="auto"/>
              <w:jc w:val="center"/>
              <w:rPr>
                <w:rFonts w:hint="eastAsia" w:ascii="宋体" w:hAnsi="宋体"/>
                <w:sz w:val="18"/>
                <w:szCs w:val="18"/>
              </w:rPr>
            </w:pPr>
            <w:r>
              <w:rPr>
                <w:rFonts w:hint="eastAsia" w:ascii="宋体" w:hAnsi="宋体"/>
                <w:sz w:val="18"/>
                <w:szCs w:val="18"/>
              </w:rPr>
              <w:t>宽度</w:t>
            </w:r>
          </w:p>
          <w:p>
            <w:pPr>
              <w:spacing w:line="240" w:lineRule="auto"/>
              <w:jc w:val="center"/>
              <w:rPr>
                <w:rFonts w:hint="default" w:ascii="宋体" w:hAnsi="宋体" w:eastAsia="宋体"/>
                <w:sz w:val="18"/>
                <w:szCs w:val="18"/>
                <w:lang w:val="en-US" w:eastAsia="zh-CN"/>
              </w:rPr>
            </w:pPr>
            <w:r>
              <w:rPr>
                <w:rFonts w:hint="eastAsia" w:ascii="宋体" w:hAnsi="宋体"/>
                <w:sz w:val="18"/>
                <w:szCs w:val="18"/>
                <w:lang w:val="en-US" w:eastAsia="zh-CN"/>
              </w:rPr>
              <w:t>mm</w:t>
            </w:r>
          </w:p>
        </w:tc>
        <w:tc>
          <w:tcPr>
            <w:tcW w:w="3179" w:type="pct"/>
            <w:vAlign w:val="center"/>
          </w:tcPr>
          <w:p>
            <w:pPr>
              <w:spacing w:line="240" w:lineRule="auto"/>
              <w:jc w:val="center"/>
              <w:rPr>
                <w:rFonts w:hint="eastAsia" w:ascii="宋体" w:hAnsi="宋体"/>
                <w:sz w:val="18"/>
                <w:szCs w:val="18"/>
                <w:lang w:eastAsia="zh-CN"/>
              </w:rPr>
            </w:pPr>
            <w:r>
              <w:rPr>
                <w:rFonts w:hint="eastAsia" w:ascii="宋体" w:hAnsi="宋体"/>
                <w:sz w:val="18"/>
                <w:szCs w:val="18"/>
                <w:lang w:eastAsia="zh-CN"/>
              </w:rPr>
              <w:t>侧边弯曲度</w:t>
            </w:r>
          </w:p>
          <w:p>
            <w:pPr>
              <w:spacing w:line="240" w:lineRule="auto"/>
              <w:jc w:val="center"/>
              <w:rPr>
                <w:rFonts w:hint="eastAsia" w:ascii="宋体" w:hAnsi="宋体"/>
                <w:sz w:val="18"/>
                <w:szCs w:val="18"/>
                <w:lang w:eastAsia="zh-CN"/>
              </w:rPr>
            </w:pPr>
            <w:r>
              <w:rPr>
                <w:rFonts w:ascii="宋体" w:hAnsi="宋体"/>
                <w:sz w:val="21"/>
              </w:rPr>
              <w:t>mm</w:t>
            </w:r>
            <w:r>
              <w:rPr>
                <w:rFonts w:hint="eastAsia" w:ascii="宋体" w:hAnsi="宋体"/>
                <w:sz w:val="21"/>
              </w:rPr>
              <w:t>/</w:t>
            </w:r>
            <w:r>
              <w:rPr>
                <w:rFonts w:ascii="宋体" w:hAnsi="宋体"/>
                <w:sz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820"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lang w:eastAsia="zh-CN"/>
              </w:rPr>
              <w:t>≤</w:t>
            </w:r>
            <w:r>
              <w:rPr>
                <w:rFonts w:hint="eastAsia" w:ascii="宋体" w:hAnsi="宋体"/>
                <w:sz w:val="18"/>
                <w:szCs w:val="18"/>
              </w:rPr>
              <w:t>100</w:t>
            </w:r>
          </w:p>
        </w:tc>
        <w:tc>
          <w:tcPr>
            <w:tcW w:w="3179" w:type="pct"/>
            <w:tcBorders>
              <w:bottom w:val="single" w:color="auto" w:sz="4" w:space="0"/>
            </w:tcBorders>
            <w:vAlign w:val="center"/>
          </w:tcPr>
          <w:p>
            <w:pPr>
              <w:spacing w:line="240" w:lineRule="auto"/>
              <w:jc w:val="center"/>
              <w:rPr>
                <w:rFonts w:hint="default" w:ascii="宋体" w:hAnsi="宋体" w:eastAsia="宋体"/>
                <w:sz w:val="18"/>
                <w:szCs w:val="18"/>
                <w:lang w:val="en-US" w:eastAsia="zh-CN"/>
              </w:rPr>
            </w:pPr>
            <w:r>
              <w:rPr>
                <w:rFonts w:hint="eastAsia" w:ascii="宋体" w:hAnsi="宋体"/>
                <w:sz w:val="18"/>
                <w:szCs w:val="18"/>
                <w:lang w:eastAsia="zh-CN"/>
              </w:rPr>
              <w:t>≤</w:t>
            </w:r>
            <w:r>
              <w:rPr>
                <w:rFonts w:hint="eastAsia" w:ascii="宋体" w:hAnsi="宋体"/>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820"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＞100</w:t>
            </w:r>
          </w:p>
        </w:tc>
        <w:tc>
          <w:tcPr>
            <w:tcW w:w="3179" w:type="pct"/>
            <w:tcBorders>
              <w:bottom w:val="single" w:color="auto" w:sz="4" w:space="0"/>
            </w:tcBorders>
            <w:vAlign w:val="center"/>
          </w:tcPr>
          <w:p>
            <w:pPr>
              <w:spacing w:line="240" w:lineRule="auto"/>
              <w:jc w:val="center"/>
              <w:rPr>
                <w:rFonts w:hint="default" w:ascii="宋体" w:hAnsi="宋体" w:eastAsia="宋体"/>
                <w:sz w:val="18"/>
                <w:szCs w:val="18"/>
                <w:lang w:val="en-US" w:eastAsia="zh-CN"/>
              </w:rPr>
            </w:pPr>
            <w:r>
              <w:rPr>
                <w:rFonts w:hint="eastAsia" w:ascii="宋体" w:hAnsi="宋体"/>
                <w:sz w:val="18"/>
                <w:szCs w:val="18"/>
                <w:lang w:eastAsia="zh-CN"/>
              </w:rPr>
              <w:t>≤</w:t>
            </w:r>
            <w:r>
              <w:rPr>
                <w:rFonts w:hint="eastAsia" w:ascii="宋体" w:hAnsi="宋体"/>
                <w:sz w:val="18"/>
                <w:szCs w:val="18"/>
                <w:lang w:val="en-US" w:eastAsia="zh-CN"/>
              </w:rPr>
              <w:t>1.5</w:t>
            </w:r>
          </w:p>
        </w:tc>
      </w:tr>
    </w:tbl>
    <w:p>
      <w:pPr>
        <w:tabs>
          <w:tab w:val="left" w:pos="3600"/>
        </w:tabs>
        <w:spacing w:before="120" w:beforeLines="50" w:line="240" w:lineRule="auto"/>
        <w:rPr>
          <w:rFonts w:ascii="宋体" w:hAnsi="宋体"/>
          <w:sz w:val="21"/>
        </w:rPr>
      </w:pPr>
      <w:r>
        <w:rPr>
          <w:rFonts w:hint="eastAsia" w:ascii="黑体" w:hAnsi="宋体" w:eastAsia="黑体"/>
          <w:sz w:val="21"/>
        </w:rPr>
        <w:t xml:space="preserve">5.2.4 </w:t>
      </w:r>
      <w:r>
        <w:rPr>
          <w:rFonts w:hint="eastAsia" w:ascii="宋体" w:hAnsi="宋体"/>
          <w:sz w:val="21"/>
        </w:rPr>
        <w:t>带材的两边应切齐，无毛刺、裂边和卷边。带卷任意相邻两层的不齐度应不超过1</w:t>
      </w:r>
      <w:r>
        <w:rPr>
          <w:rFonts w:ascii="宋体" w:hAnsi="宋体"/>
          <w:sz w:val="21"/>
        </w:rPr>
        <w:t>mm</w:t>
      </w:r>
      <w:r>
        <w:rPr>
          <w:rFonts w:hint="eastAsia" w:ascii="宋体" w:hAnsi="宋体"/>
          <w:sz w:val="21"/>
        </w:rPr>
        <w:t>，任意两层的不齐度应不超过5mm。</w:t>
      </w:r>
    </w:p>
    <w:p>
      <w:pPr>
        <w:spacing w:before="120" w:beforeLines="50" w:after="120" w:afterLines="50" w:line="240" w:lineRule="auto"/>
        <w:rPr>
          <w:rFonts w:ascii="黑体" w:hAnsi="宋体" w:eastAsia="黑体"/>
          <w:sz w:val="21"/>
        </w:rPr>
      </w:pPr>
      <w:r>
        <w:rPr>
          <w:rFonts w:hint="eastAsia" w:ascii="黑体" w:eastAsia="黑体"/>
          <w:sz w:val="21"/>
        </w:rPr>
        <w:t>5.3</w:t>
      </w:r>
      <w:r>
        <w:rPr>
          <w:rFonts w:hint="eastAsia" w:ascii="黑体" w:hAnsi="宋体" w:eastAsia="黑体"/>
          <w:sz w:val="21"/>
        </w:rPr>
        <w:t xml:space="preserve">  力学性能</w:t>
      </w:r>
    </w:p>
    <w:p>
      <w:pPr>
        <w:pStyle w:val="3"/>
        <w:ind w:firstLine="420" w:firstLineChars="200"/>
      </w:pPr>
      <w:r>
        <w:rPr>
          <w:rFonts w:hint="eastAsia"/>
        </w:rPr>
        <w:t>带材的力学性能应符合表</w:t>
      </w:r>
      <w:r>
        <w:rPr>
          <w:rFonts w:hint="eastAsia"/>
          <w:lang w:val="en-US" w:eastAsia="zh-CN"/>
        </w:rPr>
        <w:t>5</w:t>
      </w:r>
      <w:r>
        <w:rPr>
          <w:rFonts w:hint="eastAsia"/>
        </w:rPr>
        <w:t>的规定。规定塑性延伸强度、维氏硬度试验结果仅供参考。</w:t>
      </w:r>
    </w:p>
    <w:p>
      <w:pPr>
        <w:spacing w:before="120" w:beforeLines="50" w:after="120" w:afterLines="50" w:line="240" w:lineRule="auto"/>
        <w:jc w:val="center"/>
        <w:rPr>
          <w:rFonts w:ascii="黑体" w:hAnsi="宋体" w:eastAsia="黑体"/>
          <w:sz w:val="21"/>
        </w:rPr>
      </w:pPr>
      <w:r>
        <w:rPr>
          <w:rFonts w:hint="eastAsia" w:ascii="黑体" w:hAnsi="宋体" w:eastAsia="黑体"/>
          <w:sz w:val="21"/>
        </w:rPr>
        <w:t>表</w:t>
      </w:r>
      <w:r>
        <w:rPr>
          <w:rFonts w:hint="eastAsia" w:ascii="黑体" w:hAnsi="宋体" w:eastAsia="黑体"/>
          <w:sz w:val="21"/>
          <w:lang w:val="en-US" w:eastAsia="zh-CN"/>
        </w:rPr>
        <w:t xml:space="preserve">5 </w:t>
      </w:r>
      <w:r>
        <w:rPr>
          <w:rFonts w:hint="eastAsia" w:ascii="黑体" w:hAnsi="宋体" w:eastAsia="黑体"/>
          <w:sz w:val="21"/>
        </w:rPr>
        <w:t xml:space="preserve"> 力学性能</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722"/>
        <w:gridCol w:w="1478"/>
        <w:gridCol w:w="2389"/>
        <w:gridCol w:w="179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Align w:val="center"/>
          </w:tcPr>
          <w:p>
            <w:pPr>
              <w:spacing w:line="240" w:lineRule="auto"/>
              <w:jc w:val="center"/>
              <w:rPr>
                <w:rFonts w:ascii="宋体" w:hAnsi="宋体"/>
                <w:sz w:val="18"/>
                <w:szCs w:val="18"/>
              </w:rPr>
            </w:pPr>
            <w:r>
              <w:rPr>
                <w:rFonts w:hint="eastAsia" w:ascii="宋体" w:hAnsi="宋体"/>
                <w:sz w:val="18"/>
                <w:szCs w:val="18"/>
              </w:rPr>
              <w:t>牌号</w:t>
            </w:r>
          </w:p>
        </w:tc>
        <w:tc>
          <w:tcPr>
            <w:tcW w:w="377" w:type="pct"/>
            <w:vAlign w:val="center"/>
          </w:tcPr>
          <w:p>
            <w:pPr>
              <w:spacing w:line="240" w:lineRule="auto"/>
              <w:jc w:val="center"/>
              <w:rPr>
                <w:rFonts w:ascii="宋体" w:hAnsi="宋体"/>
                <w:sz w:val="18"/>
                <w:szCs w:val="18"/>
              </w:rPr>
            </w:pPr>
            <w:r>
              <w:rPr>
                <w:rFonts w:hint="eastAsia" w:ascii="宋体" w:hAnsi="宋体"/>
                <w:sz w:val="18"/>
                <w:szCs w:val="18"/>
              </w:rPr>
              <w:t>状态</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抗拉强度</w:t>
            </w:r>
            <w:r>
              <w:rPr>
                <w:rFonts w:hint="eastAsia" w:ascii="宋体" w:hAnsi="宋体"/>
                <w:i/>
                <w:sz w:val="18"/>
                <w:szCs w:val="18"/>
              </w:rPr>
              <w:t>R</w:t>
            </w:r>
            <w:r>
              <w:rPr>
                <w:rFonts w:hint="eastAsia" w:ascii="宋体" w:hAnsi="宋体"/>
                <w:sz w:val="18"/>
                <w:szCs w:val="18"/>
                <w:vertAlign w:val="subscript"/>
              </w:rPr>
              <w:t>m</w:t>
            </w:r>
          </w:p>
          <w:p>
            <w:pPr>
              <w:spacing w:line="240" w:lineRule="auto"/>
              <w:jc w:val="center"/>
              <w:rPr>
                <w:rFonts w:ascii="宋体" w:hAnsi="宋体"/>
                <w:sz w:val="18"/>
                <w:szCs w:val="18"/>
              </w:rPr>
            </w:pPr>
            <w:r>
              <w:rPr>
                <w:rFonts w:ascii="宋体" w:hAnsi="宋体"/>
                <w:sz w:val="18"/>
                <w:szCs w:val="18"/>
              </w:rPr>
              <w:t>M</w:t>
            </w:r>
            <w:r>
              <w:rPr>
                <w:rFonts w:hint="eastAsia" w:ascii="宋体" w:hAnsi="宋体"/>
                <w:sz w:val="18"/>
                <w:szCs w:val="18"/>
              </w:rPr>
              <w:t>P</w:t>
            </w:r>
            <w:r>
              <w:rPr>
                <w:rFonts w:ascii="宋体" w:hAnsi="宋体"/>
                <w:sz w:val="18"/>
                <w:szCs w:val="18"/>
              </w:rPr>
              <w:t>a</w:t>
            </w:r>
          </w:p>
        </w:tc>
        <w:tc>
          <w:tcPr>
            <w:tcW w:w="1248" w:type="pct"/>
            <w:vAlign w:val="center"/>
          </w:tcPr>
          <w:p>
            <w:pPr>
              <w:pStyle w:val="24"/>
              <w:rPr>
                <w:rFonts w:ascii="宋体" w:hAnsi="宋体"/>
                <w:sz w:val="18"/>
                <w:szCs w:val="18"/>
              </w:rPr>
            </w:pPr>
            <w:r>
              <w:rPr>
                <w:rFonts w:hint="eastAsia" w:ascii="宋体" w:hAnsi="宋体"/>
                <w:sz w:val="18"/>
                <w:szCs w:val="18"/>
              </w:rPr>
              <w:t>规定塑性延伸强度</w:t>
            </w:r>
            <w:r>
              <w:rPr>
                <w:rFonts w:hint="eastAsia" w:ascii="宋体" w:hAnsi="宋体"/>
                <w:i/>
                <w:sz w:val="18"/>
                <w:szCs w:val="18"/>
              </w:rPr>
              <w:t>R</w:t>
            </w:r>
            <w:r>
              <w:rPr>
                <w:rFonts w:hint="eastAsia" w:ascii="宋体" w:hAnsi="宋体"/>
                <w:sz w:val="18"/>
                <w:szCs w:val="18"/>
                <w:vertAlign w:val="subscript"/>
              </w:rPr>
              <w:t>p0.2</w:t>
            </w:r>
          </w:p>
          <w:p>
            <w:pPr>
              <w:pStyle w:val="24"/>
              <w:rPr>
                <w:rFonts w:ascii="宋体" w:hAnsi="宋体"/>
                <w:sz w:val="18"/>
                <w:szCs w:val="18"/>
              </w:rPr>
            </w:pPr>
            <w:r>
              <w:rPr>
                <w:rFonts w:ascii="宋体" w:hAnsi="宋体"/>
                <w:sz w:val="18"/>
                <w:szCs w:val="18"/>
              </w:rPr>
              <w:t>M</w:t>
            </w:r>
            <w:r>
              <w:rPr>
                <w:rFonts w:hint="eastAsia" w:ascii="宋体" w:hAnsi="宋体"/>
                <w:sz w:val="18"/>
                <w:szCs w:val="18"/>
              </w:rPr>
              <w:t>P</w:t>
            </w:r>
            <w:r>
              <w:rPr>
                <w:rFonts w:ascii="宋体" w:hAnsi="宋体"/>
                <w:sz w:val="18"/>
                <w:szCs w:val="18"/>
              </w:rPr>
              <w:t>a</w:t>
            </w:r>
          </w:p>
        </w:tc>
        <w:tc>
          <w:tcPr>
            <w:tcW w:w="936" w:type="pct"/>
            <w:vAlign w:val="center"/>
          </w:tcPr>
          <w:p>
            <w:pPr>
              <w:pStyle w:val="3"/>
              <w:jc w:val="center"/>
              <w:rPr>
                <w:sz w:val="18"/>
                <w:szCs w:val="18"/>
              </w:rPr>
            </w:pPr>
            <w:r>
              <w:rPr>
                <w:rFonts w:hint="eastAsia"/>
                <w:sz w:val="18"/>
                <w:szCs w:val="18"/>
              </w:rPr>
              <w:t>断后伸长率</w:t>
            </w:r>
            <w:r>
              <w:rPr>
                <w:rFonts w:hint="eastAsia"/>
                <w:i/>
                <w:sz w:val="18"/>
                <w:szCs w:val="18"/>
              </w:rPr>
              <w:t>A</w:t>
            </w:r>
            <w:r>
              <w:rPr>
                <w:rFonts w:hint="eastAsia"/>
                <w:sz w:val="18"/>
                <w:szCs w:val="18"/>
                <w:vertAlign w:val="subscript"/>
              </w:rPr>
              <w:t>11.3</w:t>
            </w:r>
          </w:p>
          <w:p>
            <w:pPr>
              <w:pStyle w:val="3"/>
              <w:jc w:val="center"/>
              <w:rPr>
                <w:sz w:val="18"/>
                <w:szCs w:val="18"/>
              </w:rPr>
            </w:pPr>
            <w:r>
              <w:rPr>
                <w:rFonts w:hint="eastAsia"/>
                <w:sz w:val="18"/>
                <w:szCs w:val="18"/>
              </w:rPr>
              <w:t>％</w:t>
            </w:r>
          </w:p>
        </w:tc>
        <w:tc>
          <w:tcPr>
            <w:tcW w:w="760" w:type="pct"/>
            <w:vAlign w:val="center"/>
          </w:tcPr>
          <w:p>
            <w:pPr>
              <w:pStyle w:val="3"/>
              <w:jc w:val="center"/>
              <w:rPr>
                <w:sz w:val="18"/>
                <w:szCs w:val="18"/>
              </w:rPr>
            </w:pPr>
            <w:r>
              <w:rPr>
                <w:rFonts w:hint="eastAsia"/>
                <w:sz w:val="18"/>
                <w:szCs w:val="18"/>
              </w:rPr>
              <w:t>维氏硬度</w:t>
            </w:r>
            <w:r>
              <w:rPr>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restart"/>
            <w:vAlign w:val="center"/>
          </w:tcPr>
          <w:p>
            <w:pPr>
              <w:spacing w:line="240" w:lineRule="auto"/>
              <w:ind w:firstLine="111" w:firstLineChars="62"/>
              <w:jc w:val="center"/>
              <w:rPr>
                <w:rFonts w:ascii="宋体" w:hAnsi="宋体"/>
                <w:sz w:val="18"/>
                <w:szCs w:val="18"/>
              </w:rPr>
            </w:pPr>
            <w:r>
              <w:rPr>
                <w:rFonts w:hint="eastAsia" w:ascii="宋体" w:hAnsi="宋体"/>
                <w:sz w:val="18"/>
                <w:szCs w:val="18"/>
              </w:rPr>
              <w:t>TU1、TU2、</w:t>
            </w:r>
          </w:p>
          <w:p>
            <w:pPr>
              <w:spacing w:line="240" w:lineRule="auto"/>
              <w:ind w:firstLine="111" w:firstLineChars="62"/>
              <w:jc w:val="center"/>
              <w:rPr>
                <w:rFonts w:ascii="宋体" w:hAnsi="宋体"/>
                <w:sz w:val="18"/>
                <w:szCs w:val="18"/>
              </w:rPr>
            </w:pPr>
            <w:r>
              <w:rPr>
                <w:rFonts w:hint="eastAsia" w:ascii="宋体" w:hAnsi="宋体"/>
                <w:sz w:val="18"/>
                <w:szCs w:val="18"/>
              </w:rPr>
              <w:t xml:space="preserve">TU3、TUP0.003  </w:t>
            </w:r>
          </w:p>
        </w:tc>
        <w:tc>
          <w:tcPr>
            <w:tcW w:w="377"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60</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200～260</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65～100</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≥35</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continue"/>
            <w:vAlign w:val="center"/>
          </w:tcPr>
          <w:p>
            <w:pPr>
              <w:spacing w:line="240" w:lineRule="auto"/>
              <w:jc w:val="center"/>
              <w:rPr>
                <w:rFonts w:ascii="宋体" w:hAnsi="宋体"/>
                <w:sz w:val="18"/>
                <w:szCs w:val="18"/>
              </w:rPr>
            </w:pPr>
          </w:p>
        </w:tc>
        <w:tc>
          <w:tcPr>
            <w:tcW w:w="377"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80</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220～275</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70～105</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≥32</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continue"/>
            <w:vAlign w:val="center"/>
          </w:tcPr>
          <w:p>
            <w:pPr>
              <w:spacing w:line="240" w:lineRule="auto"/>
              <w:jc w:val="center"/>
              <w:rPr>
                <w:rFonts w:ascii="宋体" w:hAnsi="宋体"/>
                <w:sz w:val="18"/>
                <w:szCs w:val="18"/>
              </w:rPr>
            </w:pPr>
          </w:p>
        </w:tc>
        <w:tc>
          <w:tcPr>
            <w:tcW w:w="377"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81</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235～290</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≥30</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restart"/>
            <w:vAlign w:val="center"/>
          </w:tcPr>
          <w:p>
            <w:pPr>
              <w:pStyle w:val="6"/>
              <w:jc w:val="center"/>
              <w:rPr>
                <w:rFonts w:ascii="宋体" w:hAnsi="宋体"/>
                <w:sz w:val="18"/>
                <w:szCs w:val="18"/>
              </w:rPr>
            </w:pPr>
            <w:r>
              <w:rPr>
                <w:rFonts w:hint="eastAsia" w:ascii="宋体" w:hAnsi="宋体"/>
                <w:sz w:val="18"/>
                <w:szCs w:val="18"/>
              </w:rPr>
              <w:t>T2、TP1</w:t>
            </w:r>
          </w:p>
        </w:tc>
        <w:tc>
          <w:tcPr>
            <w:tcW w:w="377"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60</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220～270</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70～110</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≥30</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continue"/>
            <w:vAlign w:val="center"/>
          </w:tcPr>
          <w:p>
            <w:pPr>
              <w:spacing w:line="240" w:lineRule="auto"/>
              <w:jc w:val="center"/>
              <w:rPr>
                <w:rFonts w:ascii="宋体" w:hAnsi="宋体"/>
                <w:sz w:val="18"/>
                <w:szCs w:val="18"/>
              </w:rPr>
            </w:pPr>
          </w:p>
        </w:tc>
        <w:tc>
          <w:tcPr>
            <w:tcW w:w="377"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80</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230～285</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75～120</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≥28</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continue"/>
            <w:vAlign w:val="center"/>
          </w:tcPr>
          <w:p>
            <w:pPr>
              <w:spacing w:line="240" w:lineRule="auto"/>
              <w:jc w:val="center"/>
              <w:rPr>
                <w:rFonts w:ascii="宋体" w:hAnsi="宋体"/>
                <w:sz w:val="18"/>
                <w:szCs w:val="18"/>
              </w:rPr>
            </w:pPr>
          </w:p>
        </w:tc>
        <w:tc>
          <w:tcPr>
            <w:tcW w:w="377"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81</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245～300</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≥25</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restart"/>
            <w:vAlign w:val="center"/>
          </w:tcPr>
          <w:p>
            <w:pPr>
              <w:spacing w:line="240" w:lineRule="auto"/>
              <w:jc w:val="center"/>
              <w:rPr>
                <w:rFonts w:ascii="宋体" w:hAnsi="宋体"/>
                <w:sz w:val="18"/>
                <w:szCs w:val="18"/>
              </w:rPr>
            </w:pPr>
            <w:r>
              <w:rPr>
                <w:rFonts w:hint="eastAsia" w:ascii="宋体" w:hAnsi="宋体"/>
                <w:sz w:val="18"/>
                <w:szCs w:val="18"/>
              </w:rPr>
              <w:t>T2、TP2</w:t>
            </w:r>
          </w:p>
        </w:tc>
        <w:tc>
          <w:tcPr>
            <w:tcW w:w="377"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01</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215～2</w:t>
            </w:r>
            <w:r>
              <w:rPr>
                <w:rFonts w:ascii="宋体" w:hAnsi="宋体"/>
                <w:sz w:val="18"/>
                <w:szCs w:val="18"/>
              </w:rPr>
              <w:t>75</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≥2</w:t>
            </w:r>
            <w:r>
              <w:rPr>
                <w:rFonts w:ascii="宋体" w:hAnsi="宋体"/>
                <w:sz w:val="18"/>
                <w:szCs w:val="18"/>
              </w:rPr>
              <w:t>5</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 w:type="pct"/>
            <w:vMerge w:val="continue"/>
            <w:vAlign w:val="center"/>
          </w:tcPr>
          <w:p>
            <w:pPr>
              <w:spacing w:line="240" w:lineRule="auto"/>
              <w:jc w:val="center"/>
              <w:rPr>
                <w:rFonts w:ascii="宋体" w:hAnsi="宋体"/>
                <w:sz w:val="18"/>
                <w:szCs w:val="18"/>
              </w:rPr>
            </w:pPr>
          </w:p>
        </w:tc>
        <w:tc>
          <w:tcPr>
            <w:tcW w:w="377"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02</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245～345</w:t>
            </w:r>
          </w:p>
        </w:tc>
        <w:tc>
          <w:tcPr>
            <w:tcW w:w="1248" w:type="pct"/>
            <w:vAlign w:val="center"/>
          </w:tcPr>
          <w:p>
            <w:pPr>
              <w:spacing w:line="240" w:lineRule="auto"/>
              <w:jc w:val="center"/>
              <w:rPr>
                <w:rFonts w:ascii="宋体" w:hAnsi="宋体"/>
                <w:sz w:val="18"/>
                <w:szCs w:val="18"/>
              </w:rPr>
            </w:pPr>
            <w:r>
              <w:rPr>
                <w:rFonts w:hint="eastAsia" w:ascii="宋体" w:hAnsi="宋体"/>
                <w:sz w:val="18"/>
                <w:szCs w:val="18"/>
              </w:rPr>
              <w:t>—</w:t>
            </w:r>
          </w:p>
        </w:tc>
        <w:tc>
          <w:tcPr>
            <w:tcW w:w="936"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760" w:type="pct"/>
            <w:vAlign w:val="center"/>
          </w:tcPr>
          <w:p>
            <w:pPr>
              <w:spacing w:line="240" w:lineRule="auto"/>
              <w:jc w:val="center"/>
              <w:rPr>
                <w:rFonts w:ascii="宋体" w:hAnsi="宋体"/>
                <w:sz w:val="18"/>
                <w:szCs w:val="18"/>
              </w:rPr>
            </w:pPr>
            <w:r>
              <w:rPr>
                <w:rFonts w:hint="eastAsia" w:ascii="宋体" w:hAnsi="宋体"/>
                <w:sz w:val="18"/>
                <w:szCs w:val="18"/>
              </w:rPr>
              <w:t>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pPr>
              <w:spacing w:line="240" w:lineRule="auto"/>
              <w:jc w:val="both"/>
              <w:rPr>
                <w:rFonts w:ascii="宋体" w:hAnsi="宋体"/>
                <w:sz w:val="18"/>
                <w:szCs w:val="18"/>
              </w:rPr>
            </w:pPr>
            <w:r>
              <w:rPr>
                <w:rFonts w:hint="eastAsia" w:ascii="宋体" w:hAnsi="宋体"/>
                <w:sz w:val="18"/>
                <w:szCs w:val="18"/>
              </w:rPr>
              <w:t>注： 厚度小于0.2 mm的带材，其试验结果仅供参考或由供需双方商定。</w:t>
            </w:r>
          </w:p>
        </w:tc>
      </w:tr>
    </w:tbl>
    <w:p>
      <w:pPr>
        <w:spacing w:before="120" w:beforeLines="50" w:after="120" w:afterLines="50" w:line="240" w:lineRule="auto"/>
        <w:rPr>
          <w:rFonts w:ascii="黑体" w:eastAsia="黑体"/>
          <w:sz w:val="21"/>
        </w:rPr>
      </w:pPr>
      <w:r>
        <w:rPr>
          <w:rFonts w:hint="eastAsia" w:ascii="黑体" w:eastAsia="黑体"/>
          <w:sz w:val="21"/>
        </w:rPr>
        <w:t xml:space="preserve">5.4 </w:t>
      </w:r>
      <w:r>
        <w:rPr>
          <w:rFonts w:hint="eastAsia" w:ascii="黑体" w:hAnsi="宋体" w:eastAsia="黑体"/>
          <w:sz w:val="21"/>
        </w:rPr>
        <w:t xml:space="preserve"> 晶粒度</w:t>
      </w:r>
    </w:p>
    <w:p>
      <w:pPr>
        <w:spacing w:line="240" w:lineRule="auto"/>
        <w:ind w:firstLine="360" w:firstLineChars="200"/>
        <w:rPr>
          <w:rFonts w:ascii="黑体" w:eastAsia="黑体"/>
          <w:sz w:val="21"/>
        </w:rPr>
      </w:pPr>
      <w:r>
        <w:rPr>
          <w:sz w:val="18"/>
          <w:szCs w:val="18"/>
        </w:rPr>
        <w:t>O</w:t>
      </w:r>
      <w:r>
        <w:rPr>
          <w:rFonts w:hint="eastAsia" w:ascii="宋体" w:hAnsi="宋体"/>
          <w:sz w:val="18"/>
          <w:szCs w:val="18"/>
        </w:rPr>
        <w:t>60、</w:t>
      </w:r>
      <w:r>
        <w:rPr>
          <w:sz w:val="18"/>
          <w:szCs w:val="18"/>
        </w:rPr>
        <w:t>O</w:t>
      </w:r>
      <w:r>
        <w:rPr>
          <w:rFonts w:hint="eastAsia" w:ascii="宋体" w:hAnsi="宋体"/>
          <w:sz w:val="18"/>
          <w:szCs w:val="18"/>
        </w:rPr>
        <w:t>80</w:t>
      </w:r>
      <w:r>
        <w:rPr>
          <w:rFonts w:hint="eastAsia" w:ascii="宋体" w:hAnsi="宋体"/>
          <w:sz w:val="21"/>
        </w:rPr>
        <w:t>带材的晶粒度应符合表</w:t>
      </w:r>
      <w:r>
        <w:rPr>
          <w:rFonts w:hint="eastAsia" w:ascii="宋体" w:hAnsi="宋体"/>
          <w:sz w:val="21"/>
          <w:lang w:val="en-US" w:eastAsia="zh-CN"/>
        </w:rPr>
        <w:t>6</w:t>
      </w:r>
      <w:r>
        <w:rPr>
          <w:rFonts w:hint="eastAsia" w:ascii="宋体" w:hAnsi="宋体"/>
          <w:sz w:val="21"/>
        </w:rPr>
        <w:t>的规定。</w:t>
      </w:r>
    </w:p>
    <w:p>
      <w:pPr>
        <w:spacing w:before="120" w:beforeLines="50" w:after="120" w:afterLines="50" w:line="240" w:lineRule="auto"/>
        <w:jc w:val="center"/>
        <w:rPr>
          <w:rFonts w:ascii="黑体" w:hAnsi="宋体" w:eastAsia="黑体"/>
          <w:sz w:val="21"/>
        </w:rPr>
      </w:pPr>
      <w:r>
        <w:rPr>
          <w:rFonts w:hint="eastAsia" w:ascii="黑体" w:hAnsi="宋体" w:eastAsia="黑体"/>
          <w:sz w:val="21"/>
        </w:rPr>
        <w:t>表</w:t>
      </w:r>
      <w:r>
        <w:rPr>
          <w:rFonts w:hint="eastAsia" w:ascii="黑体" w:hAnsi="宋体" w:eastAsia="黑体"/>
          <w:sz w:val="21"/>
          <w:lang w:val="en-US" w:eastAsia="zh-CN"/>
        </w:rPr>
        <w:t>6</w:t>
      </w:r>
      <w:r>
        <w:rPr>
          <w:rFonts w:hint="eastAsia" w:ascii="黑体" w:hAnsi="宋体" w:eastAsia="黑体"/>
          <w:sz w:val="21"/>
        </w:rPr>
        <w:t xml:space="preserve">  晶粒度</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2954"/>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749" w:type="pct"/>
            <w:vAlign w:val="center"/>
          </w:tcPr>
          <w:p>
            <w:pPr>
              <w:spacing w:line="240" w:lineRule="auto"/>
              <w:jc w:val="center"/>
              <w:rPr>
                <w:rFonts w:ascii="宋体" w:hAnsi="宋体"/>
                <w:sz w:val="18"/>
                <w:szCs w:val="18"/>
              </w:rPr>
            </w:pPr>
            <w:r>
              <w:rPr>
                <w:rFonts w:hint="eastAsia" w:ascii="宋体" w:hAnsi="宋体"/>
                <w:sz w:val="18"/>
                <w:szCs w:val="18"/>
              </w:rPr>
              <w:t>牌号</w:t>
            </w:r>
          </w:p>
        </w:tc>
        <w:tc>
          <w:tcPr>
            <w:tcW w:w="1543" w:type="pct"/>
            <w:vAlign w:val="center"/>
          </w:tcPr>
          <w:p>
            <w:pPr>
              <w:spacing w:line="240" w:lineRule="auto"/>
              <w:jc w:val="center"/>
              <w:rPr>
                <w:rFonts w:ascii="宋体" w:hAnsi="宋体"/>
                <w:sz w:val="18"/>
                <w:szCs w:val="18"/>
              </w:rPr>
            </w:pPr>
            <w:r>
              <w:rPr>
                <w:rFonts w:hint="eastAsia" w:ascii="宋体" w:hAnsi="宋体"/>
                <w:sz w:val="18"/>
                <w:szCs w:val="18"/>
              </w:rPr>
              <w:t>状态</w:t>
            </w:r>
          </w:p>
        </w:tc>
        <w:tc>
          <w:tcPr>
            <w:tcW w:w="1708" w:type="pct"/>
            <w:vAlign w:val="center"/>
          </w:tcPr>
          <w:p>
            <w:pPr>
              <w:spacing w:line="240" w:lineRule="auto"/>
              <w:jc w:val="center"/>
              <w:rPr>
                <w:rFonts w:ascii="宋体" w:hAnsi="宋体"/>
                <w:sz w:val="18"/>
                <w:szCs w:val="18"/>
              </w:rPr>
            </w:pPr>
            <w:r>
              <w:rPr>
                <w:rFonts w:hint="eastAsia" w:ascii="宋体" w:hAnsi="宋体"/>
                <w:sz w:val="18"/>
                <w:szCs w:val="18"/>
              </w:rPr>
              <w:t>平均晶粒度</w:t>
            </w:r>
          </w:p>
          <w:p>
            <w:pPr>
              <w:spacing w:line="240" w:lineRule="auto"/>
              <w:jc w:val="center"/>
              <w:rPr>
                <w:rFonts w:ascii="宋体" w:hAnsi="宋体"/>
                <w:sz w:val="18"/>
                <w:szCs w:val="18"/>
              </w:rPr>
            </w:pPr>
            <w:r>
              <w:rPr>
                <w:rFonts w:ascii="宋体"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49" w:type="pct"/>
            <w:vMerge w:val="restart"/>
            <w:vAlign w:val="center"/>
          </w:tcPr>
          <w:p>
            <w:pPr>
              <w:spacing w:line="240" w:lineRule="auto"/>
              <w:ind w:firstLine="180" w:firstLineChars="100"/>
              <w:jc w:val="center"/>
              <w:rPr>
                <w:rFonts w:ascii="宋体" w:hAnsi="宋体"/>
                <w:sz w:val="18"/>
                <w:szCs w:val="18"/>
              </w:rPr>
            </w:pPr>
            <w:r>
              <w:rPr>
                <w:rFonts w:hint="eastAsia" w:ascii="宋体" w:hAnsi="宋体"/>
                <w:sz w:val="18"/>
                <w:szCs w:val="18"/>
              </w:rPr>
              <w:t>TU1、TU2、TU3、</w:t>
            </w:r>
          </w:p>
          <w:p>
            <w:pPr>
              <w:spacing w:line="240" w:lineRule="auto"/>
              <w:ind w:firstLine="180" w:firstLineChars="100"/>
              <w:jc w:val="center"/>
              <w:rPr>
                <w:rFonts w:ascii="宋体" w:hAnsi="宋体"/>
                <w:sz w:val="18"/>
                <w:szCs w:val="18"/>
              </w:rPr>
            </w:pPr>
            <w:r>
              <w:rPr>
                <w:rFonts w:hint="eastAsia" w:ascii="宋体" w:hAnsi="宋体"/>
                <w:sz w:val="18"/>
                <w:szCs w:val="18"/>
              </w:rPr>
              <w:t>TUP0.003、T2、TP1</w:t>
            </w:r>
          </w:p>
        </w:tc>
        <w:tc>
          <w:tcPr>
            <w:tcW w:w="1543"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60</w:t>
            </w:r>
          </w:p>
        </w:tc>
        <w:tc>
          <w:tcPr>
            <w:tcW w:w="1708" w:type="pct"/>
            <w:vAlign w:val="center"/>
          </w:tcPr>
          <w:p>
            <w:pPr>
              <w:spacing w:line="240" w:lineRule="auto"/>
              <w:jc w:val="center"/>
              <w:rPr>
                <w:rFonts w:ascii="宋体" w:hAnsi="宋体"/>
                <w:sz w:val="18"/>
                <w:szCs w:val="18"/>
              </w:rPr>
            </w:pPr>
            <w:r>
              <w:rPr>
                <w:rFonts w:hint="eastAsia" w:ascii="宋体" w:hAnsi="宋体"/>
                <w:sz w:val="18"/>
                <w:szCs w:val="18"/>
              </w:rPr>
              <w:t>0.015～0.035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49" w:type="pct"/>
            <w:vMerge w:val="continue"/>
            <w:vAlign w:val="center"/>
          </w:tcPr>
          <w:p>
            <w:pPr>
              <w:spacing w:line="240" w:lineRule="auto"/>
              <w:ind w:firstLine="523" w:firstLineChars="291"/>
              <w:rPr>
                <w:rFonts w:ascii="宋体" w:hAnsi="宋体"/>
                <w:sz w:val="18"/>
                <w:szCs w:val="18"/>
              </w:rPr>
            </w:pPr>
          </w:p>
        </w:tc>
        <w:tc>
          <w:tcPr>
            <w:tcW w:w="1543"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80</w:t>
            </w:r>
          </w:p>
        </w:tc>
        <w:tc>
          <w:tcPr>
            <w:tcW w:w="1708" w:type="pct"/>
            <w:vAlign w:val="center"/>
          </w:tcPr>
          <w:p>
            <w:pPr>
              <w:spacing w:line="240" w:lineRule="auto"/>
              <w:jc w:val="center"/>
              <w:rPr>
                <w:rFonts w:ascii="宋体" w:hAnsi="宋体"/>
                <w:sz w:val="18"/>
                <w:szCs w:val="18"/>
              </w:rPr>
            </w:pPr>
            <w:r>
              <w:rPr>
                <w:rFonts w:hint="eastAsia" w:ascii="宋体" w:hAnsi="宋体"/>
                <w:sz w:val="18"/>
                <w:szCs w:val="18"/>
              </w:rPr>
              <w:t>a～0.030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3"/>
            <w:vAlign w:val="center"/>
          </w:tcPr>
          <w:p>
            <w:pPr>
              <w:spacing w:line="240" w:lineRule="auto"/>
              <w:jc w:val="both"/>
              <w:rPr>
                <w:rFonts w:ascii="宋体" w:hAnsi="宋体"/>
                <w:sz w:val="18"/>
                <w:szCs w:val="18"/>
              </w:rPr>
            </w:pPr>
            <w:r>
              <w:rPr>
                <w:rFonts w:hint="eastAsia" w:ascii="宋体" w:hAnsi="宋体"/>
                <w:sz w:val="18"/>
                <w:szCs w:val="18"/>
              </w:rPr>
              <w:t>注：a是指完全再结晶后的最小颗粒。</w:t>
            </w:r>
          </w:p>
        </w:tc>
      </w:tr>
    </w:tbl>
    <w:p>
      <w:pPr>
        <w:spacing w:before="120" w:beforeLines="50" w:after="120" w:afterLines="50" w:line="240" w:lineRule="auto"/>
        <w:rPr>
          <w:rFonts w:ascii="黑体" w:hAnsi="宋体" w:eastAsia="黑体"/>
          <w:sz w:val="21"/>
        </w:rPr>
      </w:pPr>
      <w:r>
        <w:rPr>
          <w:rFonts w:hint="eastAsia" w:ascii="黑体" w:eastAsia="黑体"/>
          <w:sz w:val="21"/>
        </w:rPr>
        <w:t xml:space="preserve">5.5 </w:t>
      </w:r>
      <w:r>
        <w:rPr>
          <w:rFonts w:hint="eastAsia" w:ascii="黑体" w:hAnsi="宋体" w:eastAsia="黑体"/>
          <w:sz w:val="21"/>
        </w:rPr>
        <w:t xml:space="preserve"> 电性能</w:t>
      </w:r>
    </w:p>
    <w:p>
      <w:pPr>
        <w:pStyle w:val="3"/>
        <w:ind w:firstLine="420" w:firstLineChars="200"/>
      </w:pPr>
      <w:r>
        <w:rPr>
          <w:rFonts w:hint="eastAsia"/>
        </w:rPr>
        <w:t>在20℃的温度下测试</w:t>
      </w:r>
      <w:r>
        <w:t>，</w:t>
      </w:r>
      <w:r>
        <w:rPr>
          <w:rFonts w:hint="eastAsia"/>
        </w:rPr>
        <w:t>带材的电性能应符合表</w:t>
      </w:r>
      <w:r>
        <w:rPr>
          <w:rFonts w:hint="eastAsia"/>
          <w:lang w:val="en-US" w:eastAsia="zh-CN"/>
        </w:rPr>
        <w:t>7</w:t>
      </w:r>
      <w:r>
        <w:rPr>
          <w:rFonts w:hint="eastAsia"/>
        </w:rPr>
        <w:t>的规定。</w:t>
      </w:r>
    </w:p>
    <w:p>
      <w:pPr>
        <w:spacing w:before="120" w:beforeLines="50" w:after="120" w:afterLines="50" w:line="240" w:lineRule="auto"/>
        <w:jc w:val="center"/>
        <w:rPr>
          <w:rFonts w:ascii="宋体" w:hAnsi="宋体"/>
          <w:sz w:val="21"/>
        </w:rPr>
      </w:pPr>
      <w:r>
        <w:rPr>
          <w:rFonts w:hint="eastAsia" w:ascii="宋体" w:hAnsi="宋体"/>
          <w:sz w:val="21"/>
        </w:rPr>
        <w:t>表</w:t>
      </w:r>
      <w:r>
        <w:rPr>
          <w:rFonts w:hint="eastAsia" w:ascii="黑体" w:hAnsi="宋体" w:eastAsia="黑体"/>
          <w:sz w:val="21"/>
          <w:lang w:val="en-US" w:eastAsia="zh-CN"/>
        </w:rPr>
        <w:t>7</w:t>
      </w:r>
      <w:r>
        <w:rPr>
          <w:rFonts w:hint="eastAsia" w:ascii="宋体" w:hAnsi="宋体"/>
          <w:sz w:val="21"/>
        </w:rPr>
        <w:t xml:space="preserve">  电</w:t>
      </w:r>
      <w:r>
        <w:rPr>
          <w:rFonts w:hint="eastAsia" w:ascii="黑体" w:hAnsi="宋体" w:eastAsia="黑体"/>
          <w:sz w:val="21"/>
        </w:rPr>
        <w:t>性能</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304"/>
        <w:gridCol w:w="2996"/>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182" w:type="pct"/>
            <w:vAlign w:val="center"/>
          </w:tcPr>
          <w:p>
            <w:pPr>
              <w:spacing w:line="240" w:lineRule="auto"/>
              <w:jc w:val="center"/>
              <w:rPr>
                <w:rFonts w:ascii="宋体" w:hAnsi="宋体"/>
                <w:sz w:val="18"/>
                <w:szCs w:val="18"/>
              </w:rPr>
            </w:pPr>
            <w:r>
              <w:rPr>
                <w:rFonts w:hint="eastAsia" w:ascii="宋体" w:hAnsi="宋体"/>
                <w:color w:val="FF0000"/>
                <w:sz w:val="18"/>
                <w:szCs w:val="18"/>
              </w:rPr>
              <w:t>牌号</w:t>
            </w:r>
          </w:p>
        </w:tc>
        <w:tc>
          <w:tcPr>
            <w:tcW w:w="681" w:type="pct"/>
            <w:vAlign w:val="center"/>
          </w:tcPr>
          <w:p>
            <w:pPr>
              <w:spacing w:line="240" w:lineRule="auto"/>
              <w:jc w:val="center"/>
              <w:rPr>
                <w:rFonts w:ascii="宋体" w:hAnsi="宋体"/>
                <w:sz w:val="18"/>
                <w:szCs w:val="18"/>
              </w:rPr>
            </w:pPr>
            <w:r>
              <w:rPr>
                <w:rFonts w:hint="eastAsia" w:ascii="宋体" w:hAnsi="宋体"/>
                <w:sz w:val="18"/>
                <w:szCs w:val="18"/>
              </w:rPr>
              <w:t>状态</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导电率</w:t>
            </w:r>
            <w:r>
              <w:rPr>
                <w:rFonts w:hint="eastAsia" w:ascii="宋体" w:hAnsi="宋体"/>
                <w:sz w:val="18"/>
                <w:szCs w:val="18"/>
                <w:vertAlign w:val="superscript"/>
              </w:rPr>
              <w:t>a</w:t>
            </w:r>
          </w:p>
          <w:p>
            <w:pPr>
              <w:spacing w:line="240" w:lineRule="auto"/>
              <w:jc w:val="center"/>
              <w:rPr>
                <w:rFonts w:ascii="宋体" w:hAnsi="宋体"/>
                <w:sz w:val="18"/>
                <w:szCs w:val="18"/>
              </w:rPr>
            </w:pPr>
            <w:r>
              <w:rPr>
                <w:rFonts w:hint="eastAsia" w:ascii="宋体" w:hAnsi="宋体"/>
                <w:sz w:val="18"/>
                <w:szCs w:val="18"/>
              </w:rPr>
              <w:t>%IACS</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电阻系数</w:t>
            </w:r>
          </w:p>
          <w:p>
            <w:pPr>
              <w:spacing w:line="240" w:lineRule="auto"/>
              <w:jc w:val="center"/>
              <w:rPr>
                <w:rFonts w:ascii="宋体" w:hAnsi="宋体"/>
                <w:sz w:val="18"/>
                <w:szCs w:val="18"/>
              </w:rPr>
            </w:pPr>
            <w:r>
              <w:rPr>
                <w:rFonts w:hint="eastAsia" w:ascii="宋体" w:hAnsi="宋体"/>
                <w:sz w:val="18"/>
                <w:szCs w:val="18"/>
              </w:rPr>
              <w:t>Ω·</w:t>
            </w:r>
            <w:r>
              <w:rPr>
                <w:rFonts w:ascii="宋体" w:hAnsi="宋体"/>
                <w:sz w:val="18"/>
                <w:szCs w:val="18"/>
              </w:rPr>
              <w:t>mm</w:t>
            </w:r>
            <w:r>
              <w:rPr>
                <w:rFonts w:hint="eastAsia" w:ascii="宋体" w:hAnsi="宋体"/>
                <w:sz w:val="18"/>
                <w:szCs w:val="18"/>
                <w:vertAlign w:val="superscript"/>
              </w:rPr>
              <w:t>2</w:t>
            </w:r>
            <w:r>
              <w:rPr>
                <w:rFonts w:hint="eastAsia" w:ascii="宋体" w:hAnsi="宋体"/>
                <w:sz w:val="18"/>
                <w:szCs w:val="18"/>
              </w:rPr>
              <w:t>/</w:t>
            </w: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rFonts w:ascii="宋体" w:hAnsi="宋体"/>
                <w:sz w:val="18"/>
                <w:szCs w:val="18"/>
              </w:rPr>
            </w:pPr>
            <w:r>
              <w:rPr>
                <w:rFonts w:hint="eastAsia" w:ascii="宋体" w:hAnsi="宋体"/>
                <w:sz w:val="18"/>
                <w:szCs w:val="18"/>
              </w:rPr>
              <w:t>TU1、TU3</w:t>
            </w: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60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≥100</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0.017241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rFonts w:ascii="宋体" w:hAnsi="宋体"/>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≥99</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rFonts w:ascii="宋体" w:hAnsi="宋体"/>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≥98</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rFonts w:ascii="宋体" w:hAnsi="宋体"/>
                <w:sz w:val="18"/>
                <w:szCs w:val="18"/>
              </w:rPr>
            </w:pPr>
            <w:r>
              <w:rPr>
                <w:rFonts w:hint="eastAsia" w:ascii="宋体" w:hAnsi="宋体"/>
                <w:sz w:val="18"/>
                <w:szCs w:val="18"/>
              </w:rPr>
              <w:t>TU2</w:t>
            </w: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60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≥99</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rFonts w:ascii="宋体" w:hAnsi="宋体"/>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≥98</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rFonts w:ascii="宋体" w:hAnsi="宋体"/>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≥97</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rFonts w:ascii="宋体" w:hAnsi="宋体"/>
                <w:sz w:val="18"/>
                <w:szCs w:val="18"/>
              </w:rPr>
            </w:pPr>
            <w:r>
              <w:rPr>
                <w:rFonts w:hint="eastAsia" w:ascii="宋体" w:hAnsi="宋体"/>
                <w:sz w:val="18"/>
                <w:szCs w:val="18"/>
              </w:rPr>
              <w:t>T2、TUP0.003</w:t>
            </w: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60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≥98</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rFonts w:ascii="宋体" w:hAnsi="宋体"/>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≥97</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rFonts w:ascii="宋体" w:hAnsi="宋体"/>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≥96</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rFonts w:ascii="宋体" w:hAnsi="宋体"/>
                <w:sz w:val="18"/>
                <w:szCs w:val="18"/>
              </w:rPr>
            </w:pPr>
            <w:r>
              <w:rPr>
                <w:rFonts w:hint="eastAsia" w:ascii="宋体" w:hAnsi="宋体"/>
                <w:sz w:val="18"/>
                <w:szCs w:val="18"/>
              </w:rPr>
              <w:t>TP1</w:t>
            </w: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60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≥90</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≤0.019156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rFonts w:ascii="宋体" w:hAnsi="宋体"/>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80</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≥89</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sz w:val="18"/>
                <w:szCs w:val="18"/>
              </w:rPr>
            </w:pPr>
          </w:p>
        </w:tc>
        <w:tc>
          <w:tcPr>
            <w:tcW w:w="681" w:type="pct"/>
            <w:vAlign w:val="center"/>
          </w:tcPr>
          <w:p>
            <w:pPr>
              <w:spacing w:line="240" w:lineRule="auto"/>
              <w:jc w:val="center"/>
              <w:rPr>
                <w:rFonts w:ascii="宋体" w:hAnsi="宋体"/>
                <w:sz w:val="18"/>
                <w:szCs w:val="18"/>
              </w:rPr>
            </w:pPr>
            <w:r>
              <w:rPr>
                <w:sz w:val="18"/>
                <w:szCs w:val="18"/>
              </w:rPr>
              <w:t>O</w:t>
            </w:r>
            <w:r>
              <w:rPr>
                <w:rFonts w:hint="eastAsia" w:ascii="宋体" w:hAnsi="宋体"/>
                <w:sz w:val="18"/>
                <w:szCs w:val="18"/>
              </w:rPr>
              <w:t>81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≥88</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≤0.019592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sz w:val="18"/>
                <w:szCs w:val="18"/>
              </w:rPr>
            </w:pPr>
            <w:r>
              <w:rPr>
                <w:rFonts w:hint="eastAsia" w:ascii="宋体" w:hAnsi="宋体"/>
                <w:sz w:val="18"/>
                <w:szCs w:val="18"/>
              </w:rPr>
              <w:t>T2</w:t>
            </w: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≥96</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sz w:val="18"/>
                <w:szCs w:val="18"/>
              </w:rPr>
            </w:pP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02</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≥95</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≤0.018148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sz w:val="18"/>
                <w:szCs w:val="18"/>
              </w:rPr>
            </w:pPr>
            <w:r>
              <w:rPr>
                <w:rFonts w:hint="eastAsia" w:ascii="宋体" w:hAnsi="宋体" w:cs="宋体"/>
                <w:sz w:val="18"/>
                <w:szCs w:val="18"/>
              </w:rPr>
              <w:t>TP2</w:t>
            </w: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≥80</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≤0.021551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sz w:val="18"/>
                <w:szCs w:val="18"/>
              </w:rPr>
            </w:pP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02</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≥80</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≤0.021551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5000" w:type="pct"/>
            <w:gridSpan w:val="4"/>
            <w:vAlign w:val="center"/>
          </w:tcPr>
          <w:p>
            <w:pPr>
              <w:spacing w:line="240" w:lineRule="auto"/>
              <w:ind w:firstLine="360" w:firstLineChars="200"/>
              <w:jc w:val="both"/>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 xml:space="preserve"> 导电率=100%×0.017241/电阻系数。</w:t>
            </w:r>
          </w:p>
        </w:tc>
      </w:tr>
    </w:tbl>
    <w:p>
      <w:pPr>
        <w:spacing w:before="120" w:beforeLines="50" w:after="120" w:afterLines="50" w:line="240" w:lineRule="auto"/>
        <w:rPr>
          <w:sz w:val="21"/>
          <w:szCs w:val="21"/>
        </w:rPr>
      </w:pPr>
      <w:r>
        <w:rPr>
          <w:rFonts w:hint="eastAsia" w:ascii="黑体" w:eastAsia="黑体"/>
          <w:sz w:val="21"/>
          <w:szCs w:val="21"/>
        </w:rPr>
        <w:t xml:space="preserve">5.6  </w:t>
      </w:r>
      <w:r>
        <w:rPr>
          <w:rFonts w:hint="eastAsia" w:ascii="黑体" w:hAnsi="宋体" w:eastAsia="黑体"/>
          <w:sz w:val="21"/>
          <w:szCs w:val="21"/>
        </w:rPr>
        <w:t>表面质量</w:t>
      </w:r>
    </w:p>
    <w:p>
      <w:pPr>
        <w:pStyle w:val="3"/>
      </w:pPr>
      <w:r>
        <w:rPr>
          <w:rFonts w:hint="eastAsia" w:ascii="黑体" w:eastAsia="黑体"/>
        </w:rPr>
        <w:t>5.6.1</w:t>
      </w:r>
      <w:r>
        <w:rPr>
          <w:rFonts w:hint="eastAsia"/>
        </w:rPr>
        <w:t xml:space="preserve"> 带材的表面应光滑、清洁，端面不应有氧化变色，同时不允许有任何影响使用的缺陷。</w:t>
      </w:r>
    </w:p>
    <w:p>
      <w:pPr>
        <w:spacing w:line="360" w:lineRule="auto"/>
        <w:rPr>
          <w:rFonts w:ascii="宋体" w:hAnsi="宋体"/>
          <w:sz w:val="21"/>
          <w:szCs w:val="21"/>
        </w:rPr>
      </w:pPr>
      <w:r>
        <w:rPr>
          <w:rFonts w:hint="eastAsia" w:ascii="黑体" w:hAnsi="宋体" w:eastAsia="黑体"/>
          <w:sz w:val="21"/>
          <w:szCs w:val="21"/>
        </w:rPr>
        <w:t>5.6.2</w:t>
      </w:r>
      <w:r>
        <w:rPr>
          <w:rFonts w:hint="eastAsia" w:ascii="宋体" w:hAnsi="宋体"/>
          <w:sz w:val="21"/>
          <w:szCs w:val="21"/>
        </w:rPr>
        <w:t xml:space="preserve"> 每卷带材应有内衬，且应卷紧，卷齐。</w:t>
      </w:r>
    </w:p>
    <w:p>
      <w:pPr>
        <w:pStyle w:val="2"/>
        <w:spacing w:before="240" w:beforeLines="100" w:after="240" w:afterLines="100"/>
      </w:pPr>
      <w:r>
        <w:rPr>
          <w:rFonts w:hint="eastAsia"/>
        </w:rPr>
        <w:t>6  试验方法</w:t>
      </w:r>
    </w:p>
    <w:p>
      <w:pPr>
        <w:spacing w:before="120" w:beforeLines="50" w:after="120" w:afterLines="50" w:line="240" w:lineRule="auto"/>
        <w:rPr>
          <w:rFonts w:ascii="黑体" w:eastAsia="黑体"/>
          <w:sz w:val="21"/>
          <w:szCs w:val="21"/>
        </w:rPr>
      </w:pPr>
      <w:r>
        <w:rPr>
          <w:rFonts w:hint="eastAsia" w:ascii="黑体" w:eastAsia="黑体"/>
          <w:sz w:val="21"/>
          <w:szCs w:val="21"/>
        </w:rPr>
        <w:t xml:space="preserve">6.1  </w:t>
      </w:r>
      <w:r>
        <w:rPr>
          <w:rFonts w:hint="eastAsia" w:ascii="黑体" w:hAnsi="宋体" w:eastAsia="黑体"/>
          <w:sz w:val="21"/>
          <w:szCs w:val="21"/>
        </w:rPr>
        <w:t>化学成分</w:t>
      </w:r>
    </w:p>
    <w:p>
      <w:pPr>
        <w:pStyle w:val="3"/>
        <w:ind w:firstLine="420" w:firstLineChars="200"/>
      </w:pPr>
      <w:r>
        <w:rPr>
          <w:rFonts w:hint="eastAsia"/>
        </w:rPr>
        <w:t>带材的化学成分分析按GB/T 5121或YS/T 482的规定进行，仲裁时按GB/T 5121的规定进行。</w:t>
      </w:r>
    </w:p>
    <w:p>
      <w:pPr>
        <w:spacing w:before="120" w:beforeLines="50" w:after="120" w:afterLines="50" w:line="240" w:lineRule="auto"/>
        <w:rPr>
          <w:rFonts w:ascii="黑体" w:eastAsia="黑体"/>
          <w:sz w:val="21"/>
          <w:szCs w:val="21"/>
        </w:rPr>
      </w:pPr>
      <w:r>
        <w:rPr>
          <w:rFonts w:hint="eastAsia" w:ascii="黑体" w:eastAsia="黑体"/>
          <w:sz w:val="21"/>
          <w:szCs w:val="21"/>
        </w:rPr>
        <w:t xml:space="preserve">6.2  </w:t>
      </w:r>
      <w:r>
        <w:rPr>
          <w:rFonts w:hint="eastAsia" w:ascii="黑体" w:hAnsi="宋体" w:eastAsia="黑体"/>
          <w:sz w:val="21"/>
          <w:szCs w:val="21"/>
        </w:rPr>
        <w:t>外形尺寸</w:t>
      </w:r>
    </w:p>
    <w:p>
      <w:pPr>
        <w:pStyle w:val="3"/>
        <w:ind w:firstLine="420" w:firstLineChars="200"/>
      </w:pPr>
      <w:r>
        <w:rPr>
          <w:rFonts w:hint="eastAsia"/>
        </w:rPr>
        <w:t>带材的外形尺寸检测按GB/T 26303.3的规定进行。</w:t>
      </w:r>
    </w:p>
    <w:p>
      <w:pPr>
        <w:spacing w:before="120" w:beforeLines="50" w:after="120" w:afterLines="50" w:line="240" w:lineRule="auto"/>
        <w:rPr>
          <w:rFonts w:ascii="黑体" w:eastAsia="黑体"/>
          <w:sz w:val="21"/>
          <w:szCs w:val="21"/>
        </w:rPr>
      </w:pPr>
      <w:r>
        <w:rPr>
          <w:rFonts w:hint="eastAsia" w:ascii="黑体" w:eastAsia="黑体"/>
          <w:sz w:val="21"/>
          <w:szCs w:val="21"/>
        </w:rPr>
        <w:t>6.3  力学性能</w:t>
      </w:r>
    </w:p>
    <w:p>
      <w:pPr>
        <w:pStyle w:val="3"/>
        <w:ind w:firstLine="420" w:firstLineChars="200"/>
      </w:pPr>
      <w:r>
        <w:rPr>
          <w:rFonts w:hint="eastAsia"/>
        </w:rPr>
        <w:t>带材的拉伸试验按GB/T 34505-2017的规定进行。试样号为GB/T 34505-2017表3中的P01。维氏硬度试验按GB/T 4340.1的规定进行。</w:t>
      </w:r>
    </w:p>
    <w:p>
      <w:pPr>
        <w:spacing w:before="120" w:beforeLines="50" w:after="120" w:afterLines="50" w:line="240" w:lineRule="auto"/>
        <w:rPr>
          <w:rFonts w:ascii="黑体" w:eastAsia="黑体"/>
          <w:sz w:val="21"/>
          <w:szCs w:val="21"/>
        </w:rPr>
      </w:pPr>
      <w:r>
        <w:rPr>
          <w:rFonts w:hint="eastAsia" w:ascii="黑体" w:eastAsia="黑体"/>
          <w:sz w:val="21"/>
          <w:szCs w:val="21"/>
        </w:rPr>
        <w:t>6.4  晶粒度</w:t>
      </w:r>
    </w:p>
    <w:p>
      <w:pPr>
        <w:pStyle w:val="3"/>
      </w:pPr>
      <w:r>
        <w:rPr>
          <w:rFonts w:hint="eastAsia"/>
        </w:rPr>
        <w:t xml:space="preserve">    带材的晶粒度检验按YS</w:t>
      </w:r>
      <w:r>
        <w:t>/T</w:t>
      </w:r>
      <w:r>
        <w:rPr>
          <w:rFonts w:hint="eastAsia"/>
        </w:rPr>
        <w:t xml:space="preserve"> 347的规定进行。</w:t>
      </w:r>
    </w:p>
    <w:p>
      <w:pPr>
        <w:spacing w:before="120" w:beforeLines="50" w:after="120" w:afterLines="50" w:line="240" w:lineRule="auto"/>
      </w:pPr>
      <w:r>
        <w:rPr>
          <w:rFonts w:hint="eastAsia" w:ascii="黑体" w:eastAsia="黑体"/>
          <w:sz w:val="21"/>
          <w:szCs w:val="21"/>
        </w:rPr>
        <w:t>6.5   电性能</w:t>
      </w:r>
    </w:p>
    <w:p>
      <w:pPr>
        <w:pStyle w:val="3"/>
        <w:ind w:firstLine="420" w:firstLineChars="200"/>
      </w:pPr>
      <w:r>
        <w:rPr>
          <w:rFonts w:hint="eastAsia"/>
        </w:rPr>
        <w:t>带材的电性能试验按</w:t>
      </w:r>
      <w:r>
        <w:t>GB/T</w:t>
      </w:r>
      <w:r>
        <w:rPr>
          <w:rFonts w:hint="eastAsia"/>
        </w:rPr>
        <w:t xml:space="preserve"> </w:t>
      </w:r>
      <w:r>
        <w:t>351</w:t>
      </w:r>
      <w:r>
        <w:rPr>
          <w:rFonts w:hint="eastAsia"/>
        </w:rPr>
        <w:t>或GB/T 32791的规定进行。仲裁试验按</w:t>
      </w:r>
      <w:r>
        <w:t>GB/T</w:t>
      </w:r>
      <w:r>
        <w:rPr>
          <w:rFonts w:hint="eastAsia"/>
        </w:rPr>
        <w:t xml:space="preserve"> </w:t>
      </w:r>
      <w:r>
        <w:t>351</w:t>
      </w:r>
      <w:r>
        <w:rPr>
          <w:rFonts w:hint="eastAsia"/>
        </w:rPr>
        <w:t>的规定进行。</w:t>
      </w:r>
    </w:p>
    <w:p>
      <w:pPr>
        <w:spacing w:before="120" w:beforeLines="50" w:after="120" w:afterLines="50" w:line="240" w:lineRule="auto"/>
        <w:rPr>
          <w:rFonts w:ascii="黑体" w:eastAsia="黑体"/>
          <w:sz w:val="21"/>
          <w:szCs w:val="21"/>
        </w:rPr>
      </w:pPr>
      <w:r>
        <w:rPr>
          <w:rFonts w:hint="eastAsia" w:ascii="黑体" w:eastAsia="黑体"/>
          <w:sz w:val="21"/>
          <w:szCs w:val="21"/>
        </w:rPr>
        <w:t>6.6  表面质量</w:t>
      </w:r>
    </w:p>
    <w:p>
      <w:pPr>
        <w:pStyle w:val="3"/>
        <w:ind w:firstLine="420" w:firstLineChars="200"/>
      </w:pPr>
      <w:r>
        <w:rPr>
          <w:rFonts w:hint="eastAsia"/>
        </w:rPr>
        <w:t>带材的表面质量应用目视进行检验。</w:t>
      </w:r>
    </w:p>
    <w:p>
      <w:pPr>
        <w:pStyle w:val="2"/>
        <w:spacing w:before="240" w:beforeLines="100" w:after="240" w:afterLines="100"/>
      </w:pPr>
      <w:r>
        <w:rPr>
          <w:rFonts w:hint="eastAsia"/>
        </w:rPr>
        <w:t>7  检验规则</w:t>
      </w:r>
    </w:p>
    <w:p>
      <w:pPr>
        <w:spacing w:before="120" w:beforeLines="50" w:after="120" w:afterLines="50" w:line="240" w:lineRule="auto"/>
        <w:rPr>
          <w:rFonts w:ascii="黑体" w:eastAsia="黑体"/>
          <w:sz w:val="21"/>
          <w:szCs w:val="21"/>
        </w:rPr>
      </w:pPr>
      <w:r>
        <w:rPr>
          <w:rFonts w:hint="eastAsia" w:ascii="黑体" w:eastAsia="黑体"/>
          <w:sz w:val="21"/>
          <w:szCs w:val="21"/>
        </w:rPr>
        <w:t>7.1  检查和验收</w:t>
      </w:r>
    </w:p>
    <w:p>
      <w:pPr>
        <w:pStyle w:val="3"/>
      </w:pPr>
      <w:r>
        <w:rPr>
          <w:rFonts w:hint="eastAsia" w:ascii="黑体" w:hAnsi="黑体" w:eastAsia="黑体" w:cs="黑体"/>
        </w:rPr>
        <w:t>7.1.1</w:t>
      </w:r>
      <w:r>
        <w:rPr>
          <w:rFonts w:hint="eastAsia"/>
        </w:rPr>
        <w:t xml:space="preserve"> </w:t>
      </w:r>
      <w:r>
        <w:t>产品由供方或第三方进行检验，保证产品质量符合本文件及订货单的规定。</w:t>
      </w:r>
    </w:p>
    <w:p>
      <w:pPr>
        <w:pStyle w:val="3"/>
      </w:pPr>
      <w:r>
        <w:rPr>
          <w:rFonts w:hint="eastAsia" w:ascii="黑体" w:hAnsi="黑体" w:eastAsia="黑体" w:cs="黑体"/>
        </w:rPr>
        <w:t xml:space="preserve">7.1.2 </w:t>
      </w:r>
      <w:r>
        <w:t>需方可对收到的产品按本文件的规定进行检验。如检验结果与本文件及订货单的规定不符时，应以书面形式向供方提出，由供需双方协商解决。属于</w:t>
      </w:r>
      <w:r>
        <w:rPr>
          <w:rFonts w:hint="eastAsia"/>
        </w:rPr>
        <w:t>外观</w:t>
      </w:r>
      <w:r>
        <w:t>质量或外形尺寸的异议，应在收到产品之日起</w:t>
      </w:r>
      <w:r>
        <w:rPr>
          <w:rFonts w:hint="eastAsia"/>
        </w:rPr>
        <w:t>一个月</w:t>
      </w:r>
      <w:r>
        <w:t>内提出；属于</w:t>
      </w:r>
      <w:r>
        <w:rPr>
          <w:rFonts w:hint="eastAsia"/>
        </w:rPr>
        <w:t>其他性能</w:t>
      </w:r>
      <w:r>
        <w:t>的异议，应在收到产品之日起</w:t>
      </w:r>
      <w:r>
        <w:rPr>
          <w:rFonts w:hint="eastAsia"/>
        </w:rPr>
        <w:t>三个月</w:t>
      </w:r>
      <w:r>
        <w:t>内提出。如需仲裁，应由供需双方在需方共同取样或协商确定。</w:t>
      </w:r>
    </w:p>
    <w:p>
      <w:pPr>
        <w:spacing w:before="120" w:beforeLines="50" w:after="120" w:afterLines="50" w:line="240" w:lineRule="auto"/>
        <w:rPr>
          <w:rFonts w:hint="eastAsia" w:ascii="黑体" w:eastAsia="黑体"/>
          <w:sz w:val="21"/>
          <w:szCs w:val="21"/>
        </w:rPr>
      </w:pPr>
      <w:r>
        <w:rPr>
          <w:rFonts w:hint="eastAsia" w:ascii="黑体" w:eastAsia="黑体"/>
          <w:sz w:val="21"/>
          <w:szCs w:val="21"/>
        </w:rPr>
        <w:t>7.2  组批</w:t>
      </w:r>
    </w:p>
    <w:p>
      <w:pPr>
        <w:pStyle w:val="3"/>
        <w:ind w:firstLine="420" w:firstLineChars="200"/>
      </w:pPr>
      <w:r>
        <w:rPr>
          <w:rFonts w:hint="eastAsia"/>
        </w:rPr>
        <w:t>带材应成批提交验收，每批应由同一牌号、状态和规格组成。每批重量应不大于4500</w:t>
      </w:r>
      <w:r>
        <w:rPr>
          <w:rFonts w:hint="eastAsia"/>
          <w:lang w:val="en-US" w:eastAsia="zh-CN"/>
        </w:rPr>
        <w:t xml:space="preserve"> </w:t>
      </w:r>
      <w:r>
        <w:t>kg（</w:t>
      </w:r>
      <w:r>
        <w:rPr>
          <w:rFonts w:hint="eastAsia"/>
        </w:rPr>
        <w:t>如为同一熔次</w:t>
      </w:r>
      <w:r>
        <w:t>，</w:t>
      </w:r>
      <w:r>
        <w:rPr>
          <w:rFonts w:hint="eastAsia"/>
        </w:rPr>
        <w:t>可不限定组批量</w:t>
      </w:r>
      <w:r>
        <w:t>）</w:t>
      </w:r>
      <w:r>
        <w:rPr>
          <w:rFonts w:hint="eastAsia"/>
        </w:rPr>
        <w:t>。</w:t>
      </w:r>
    </w:p>
    <w:p>
      <w:pPr>
        <w:spacing w:before="120" w:beforeLines="50" w:after="120" w:afterLines="50" w:line="240" w:lineRule="auto"/>
        <w:rPr>
          <w:rFonts w:ascii="黑体" w:eastAsia="黑体"/>
          <w:sz w:val="21"/>
          <w:szCs w:val="21"/>
        </w:rPr>
      </w:pPr>
      <w:r>
        <w:rPr>
          <w:rFonts w:hint="eastAsia" w:ascii="黑体" w:eastAsia="黑体"/>
          <w:sz w:val="21"/>
          <w:szCs w:val="21"/>
        </w:rPr>
        <w:t>7.3  检验项目</w:t>
      </w:r>
    </w:p>
    <w:p>
      <w:pPr>
        <w:adjustRightInd/>
        <w:spacing w:after="120" w:afterLines="50"/>
        <w:textAlignment w:val="auto"/>
        <w:rPr>
          <w:rFonts w:ascii="黑体" w:hAnsi="黑体" w:eastAsia="黑体" w:cs="黑体"/>
          <w:sz w:val="21"/>
          <w:szCs w:val="21"/>
        </w:rPr>
      </w:pPr>
      <w:r>
        <w:rPr>
          <w:rFonts w:hint="eastAsia" w:ascii="黑体" w:hAnsi="黑体" w:eastAsia="黑体" w:cs="黑体"/>
          <w:sz w:val="21"/>
          <w:szCs w:val="21"/>
        </w:rPr>
        <w:t>7.3.1检验项目类别</w:t>
      </w:r>
    </w:p>
    <w:p>
      <w:pPr>
        <w:ind w:left="420"/>
        <w:rPr>
          <w:rFonts w:ascii="宋体" w:hAnsi="宋体" w:cs="宋体"/>
          <w:sz w:val="21"/>
          <w:szCs w:val="21"/>
        </w:rPr>
      </w:pPr>
      <w:r>
        <w:rPr>
          <w:rFonts w:hint="eastAsia"/>
          <w:sz w:val="21"/>
          <w:szCs w:val="21"/>
        </w:rPr>
        <w:t>带材</w:t>
      </w:r>
      <w:r>
        <w:rPr>
          <w:rFonts w:hint="eastAsia" w:ascii="宋体" w:hAnsi="宋体" w:cs="宋体"/>
          <w:sz w:val="21"/>
          <w:szCs w:val="21"/>
        </w:rPr>
        <w:t>的检验项目分为出厂检验项目和型式检验项目，见表7。</w:t>
      </w:r>
    </w:p>
    <w:p>
      <w:pPr>
        <w:spacing w:before="120" w:beforeLines="50" w:after="120" w:afterLines="50" w:line="340" w:lineRule="exact"/>
        <w:jc w:val="center"/>
        <w:rPr>
          <w:rFonts w:ascii="黑体" w:hAnsi="宋体" w:eastAsia="黑体"/>
          <w:sz w:val="21"/>
          <w:szCs w:val="21"/>
        </w:rPr>
      </w:pPr>
      <w:r>
        <w:rPr>
          <w:rFonts w:hint="eastAsia" w:ascii="黑体" w:hAnsi="宋体" w:eastAsia="黑体"/>
          <w:sz w:val="21"/>
          <w:szCs w:val="21"/>
        </w:rPr>
        <w:t>表</w:t>
      </w:r>
      <w:r>
        <w:rPr>
          <w:rFonts w:hint="eastAsia" w:ascii="黑体" w:hAnsi="宋体" w:eastAsia="黑体"/>
          <w:sz w:val="21"/>
          <w:szCs w:val="21"/>
          <w:lang w:val="en-US" w:eastAsia="zh-CN"/>
        </w:rPr>
        <w:t>8</w:t>
      </w:r>
      <w:r>
        <w:rPr>
          <w:rFonts w:hint="eastAsia" w:ascii="黑体" w:hAnsi="宋体" w:eastAsia="黑体"/>
          <w:sz w:val="21"/>
          <w:szCs w:val="21"/>
        </w:rPr>
        <w:t xml:space="preserve">  检验项目</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211"/>
        <w:gridCol w:w="3190"/>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检验项目</w:t>
            </w:r>
          </w:p>
        </w:tc>
        <w:tc>
          <w:tcPr>
            <w:tcW w:w="3190"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出厂检验项目</w:t>
            </w:r>
          </w:p>
        </w:tc>
        <w:tc>
          <w:tcPr>
            <w:tcW w:w="3191"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型式检验项目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op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化学成分</w:t>
            </w:r>
          </w:p>
        </w:tc>
        <w:tc>
          <w:tcPr>
            <w:tcW w:w="3190" w:type="dxa"/>
            <w:tcBorders>
              <w:top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3191" w:type="dxa"/>
            <w:tcBorders>
              <w:top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vAlign w:val="center"/>
          </w:tcPr>
          <w:p>
            <w:pPr>
              <w:spacing w:line="240" w:lineRule="auto"/>
              <w:jc w:val="center"/>
              <w:rPr>
                <w:rFonts w:ascii="宋体" w:hAnsi="宋体"/>
                <w:sz w:val="18"/>
                <w:szCs w:val="18"/>
              </w:rPr>
            </w:pPr>
            <w:r>
              <w:rPr>
                <w:rFonts w:hint="eastAsia" w:ascii="宋体" w:hAnsi="宋体"/>
                <w:sz w:val="18"/>
                <w:szCs w:val="18"/>
              </w:rPr>
              <w:t>外形尺寸及其允许偏差</w:t>
            </w:r>
          </w:p>
        </w:tc>
        <w:tc>
          <w:tcPr>
            <w:tcW w:w="3190" w:type="dxa"/>
            <w:vAlign w:val="center"/>
          </w:tcPr>
          <w:p>
            <w:pPr>
              <w:spacing w:line="240" w:lineRule="auto"/>
              <w:jc w:val="center"/>
              <w:rPr>
                <w:rFonts w:ascii="宋体" w:hAnsi="宋体"/>
                <w:sz w:val="18"/>
                <w:szCs w:val="18"/>
              </w:rPr>
            </w:pPr>
            <w:r>
              <w:rPr>
                <w:rFonts w:hint="eastAsia" w:ascii="宋体" w:hAnsi="宋体"/>
                <w:sz w:val="18"/>
                <w:szCs w:val="18"/>
              </w:rPr>
              <w:t>√</w:t>
            </w:r>
          </w:p>
        </w:tc>
        <w:tc>
          <w:tcPr>
            <w:tcW w:w="3191" w:type="dxa"/>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 w:type="dxa"/>
            <w:vMerge w:val="restart"/>
            <w:vAlign w:val="center"/>
          </w:tcPr>
          <w:p>
            <w:pPr>
              <w:spacing w:line="240" w:lineRule="auto"/>
              <w:jc w:val="center"/>
              <w:rPr>
                <w:rFonts w:ascii="宋体" w:hAnsi="宋体"/>
                <w:sz w:val="18"/>
                <w:szCs w:val="18"/>
                <w:vertAlign w:val="superscript"/>
              </w:rPr>
            </w:pPr>
            <w:r>
              <w:rPr>
                <w:rFonts w:hint="eastAsia" w:ascii="宋体" w:hAnsi="宋体"/>
                <w:sz w:val="18"/>
                <w:szCs w:val="18"/>
              </w:rPr>
              <w:t>力学性能</w:t>
            </w:r>
          </w:p>
        </w:tc>
        <w:tc>
          <w:tcPr>
            <w:tcW w:w="2211" w:type="dxa"/>
            <w:vAlign w:val="center"/>
          </w:tcPr>
          <w:p>
            <w:pPr>
              <w:spacing w:line="240" w:lineRule="auto"/>
              <w:jc w:val="center"/>
              <w:rPr>
                <w:rFonts w:ascii="宋体" w:hAnsi="宋体"/>
                <w:sz w:val="18"/>
                <w:szCs w:val="18"/>
              </w:rPr>
            </w:pPr>
            <w:r>
              <w:rPr>
                <w:rFonts w:hint="eastAsia" w:ascii="宋体" w:hAnsi="宋体"/>
                <w:sz w:val="18"/>
                <w:szCs w:val="18"/>
              </w:rPr>
              <w:t>拉伸试验</w:t>
            </w:r>
          </w:p>
        </w:tc>
        <w:tc>
          <w:tcPr>
            <w:tcW w:w="3190" w:type="dxa"/>
            <w:vAlign w:val="center"/>
          </w:tcPr>
          <w:p>
            <w:pPr>
              <w:spacing w:line="240" w:lineRule="auto"/>
              <w:jc w:val="center"/>
              <w:rPr>
                <w:rFonts w:ascii="宋体" w:hAnsi="宋体"/>
                <w:sz w:val="18"/>
                <w:szCs w:val="18"/>
              </w:rPr>
            </w:pPr>
            <w:r>
              <w:rPr>
                <w:rFonts w:hint="eastAsia" w:ascii="宋体" w:hAnsi="宋体"/>
                <w:sz w:val="18"/>
                <w:szCs w:val="18"/>
              </w:rPr>
              <w:t>√</w:t>
            </w:r>
          </w:p>
        </w:tc>
        <w:tc>
          <w:tcPr>
            <w:tcW w:w="3191" w:type="dxa"/>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 w:type="dxa"/>
            <w:vMerge w:val="continue"/>
            <w:vAlign w:val="center"/>
          </w:tcPr>
          <w:p>
            <w:pPr>
              <w:spacing w:line="240" w:lineRule="auto"/>
              <w:jc w:val="center"/>
              <w:rPr>
                <w:rFonts w:ascii="宋体" w:hAnsi="宋体"/>
                <w:sz w:val="18"/>
                <w:szCs w:val="18"/>
                <w:highlight w:val="yellow"/>
                <w:vertAlign w:val="superscript"/>
              </w:rPr>
            </w:pPr>
          </w:p>
        </w:tc>
        <w:tc>
          <w:tcPr>
            <w:tcW w:w="2211" w:type="dxa"/>
            <w:vAlign w:val="center"/>
          </w:tcPr>
          <w:p>
            <w:pPr>
              <w:spacing w:line="240" w:lineRule="auto"/>
              <w:jc w:val="center"/>
              <w:rPr>
                <w:rFonts w:ascii="宋体" w:hAnsi="宋体"/>
                <w:sz w:val="18"/>
                <w:szCs w:val="18"/>
              </w:rPr>
            </w:pPr>
            <w:r>
              <w:rPr>
                <w:rFonts w:hint="eastAsia" w:ascii="宋体" w:hAnsi="宋体"/>
                <w:sz w:val="18"/>
                <w:szCs w:val="18"/>
              </w:rPr>
              <w:t>维氏硬度</w:t>
            </w:r>
          </w:p>
        </w:tc>
        <w:tc>
          <w:tcPr>
            <w:tcW w:w="3190" w:type="dxa"/>
            <w:vAlign w:val="center"/>
          </w:tcPr>
          <w:p>
            <w:pPr>
              <w:spacing w:line="240" w:lineRule="auto"/>
              <w:jc w:val="center"/>
              <w:rPr>
                <w:rFonts w:ascii="宋体" w:hAnsi="宋体"/>
                <w:sz w:val="18"/>
                <w:szCs w:val="18"/>
                <w:highlight w:val="yellow"/>
              </w:rPr>
            </w:pPr>
            <w:r>
              <w:rPr>
                <w:rFonts w:hint="eastAsia" w:ascii="宋体" w:hAnsi="宋体"/>
                <w:sz w:val="18"/>
                <w:szCs w:val="18"/>
              </w:rPr>
              <w:t>×</w:t>
            </w:r>
          </w:p>
        </w:tc>
        <w:tc>
          <w:tcPr>
            <w:tcW w:w="3191" w:type="dxa"/>
            <w:vAlign w:val="center"/>
          </w:tcPr>
          <w:p>
            <w:pPr>
              <w:spacing w:line="240" w:lineRule="auto"/>
              <w:jc w:val="center"/>
              <w:rPr>
                <w:rFonts w:ascii="宋体" w:hAnsi="宋体"/>
                <w:sz w:val="18"/>
                <w:szCs w:val="18"/>
                <w:highlight w:val="yellow"/>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vAlign w:val="center"/>
          </w:tcPr>
          <w:p>
            <w:pPr>
              <w:pStyle w:val="3"/>
              <w:jc w:val="center"/>
              <w:rPr>
                <w:sz w:val="18"/>
                <w:szCs w:val="18"/>
              </w:rPr>
            </w:pPr>
            <w:r>
              <w:rPr>
                <w:rFonts w:hint="eastAsia"/>
                <w:sz w:val="18"/>
                <w:szCs w:val="18"/>
              </w:rPr>
              <w:t>晶粒度</w:t>
            </w:r>
          </w:p>
        </w:tc>
        <w:tc>
          <w:tcPr>
            <w:tcW w:w="3190" w:type="dxa"/>
            <w:vAlign w:val="center"/>
          </w:tcPr>
          <w:p>
            <w:pPr>
              <w:spacing w:line="240" w:lineRule="auto"/>
              <w:jc w:val="center"/>
              <w:rPr>
                <w:rFonts w:ascii="宋体" w:hAnsi="宋体"/>
                <w:sz w:val="18"/>
                <w:szCs w:val="18"/>
              </w:rPr>
            </w:pPr>
            <w:r>
              <w:rPr>
                <w:rFonts w:hint="eastAsia" w:ascii="宋体" w:hAnsi="宋体"/>
                <w:sz w:val="18"/>
                <w:szCs w:val="18"/>
              </w:rPr>
              <w:t>×</w:t>
            </w:r>
          </w:p>
        </w:tc>
        <w:tc>
          <w:tcPr>
            <w:tcW w:w="3191" w:type="dxa"/>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vAlign w:val="center"/>
          </w:tcPr>
          <w:p>
            <w:pPr>
              <w:pStyle w:val="3"/>
              <w:jc w:val="center"/>
              <w:rPr>
                <w:sz w:val="18"/>
                <w:szCs w:val="18"/>
              </w:rPr>
            </w:pPr>
            <w:r>
              <w:rPr>
                <w:rFonts w:hint="eastAsia"/>
                <w:sz w:val="18"/>
                <w:szCs w:val="18"/>
              </w:rPr>
              <w:t>电性能</w:t>
            </w:r>
          </w:p>
        </w:tc>
        <w:tc>
          <w:tcPr>
            <w:tcW w:w="3190" w:type="dxa"/>
            <w:vAlign w:val="center"/>
          </w:tcPr>
          <w:p>
            <w:pPr>
              <w:spacing w:line="240" w:lineRule="auto"/>
              <w:jc w:val="center"/>
              <w:rPr>
                <w:rFonts w:ascii="宋体" w:hAnsi="宋体"/>
                <w:sz w:val="18"/>
                <w:szCs w:val="18"/>
              </w:rPr>
            </w:pPr>
            <w:r>
              <w:rPr>
                <w:rFonts w:hint="eastAsia" w:ascii="宋体" w:hAnsi="宋体"/>
                <w:sz w:val="18"/>
                <w:szCs w:val="18"/>
              </w:rPr>
              <w:t>√</w:t>
            </w:r>
          </w:p>
        </w:tc>
        <w:tc>
          <w:tcPr>
            <w:tcW w:w="3191" w:type="dxa"/>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表面质量</w:t>
            </w:r>
          </w:p>
        </w:tc>
        <w:tc>
          <w:tcPr>
            <w:tcW w:w="3190"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3191"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1" w:type="dxa"/>
            <w:gridSpan w:val="4"/>
            <w:tcBorders>
              <w:top w:val="single" w:color="auto" w:sz="8" w:space="0"/>
            </w:tcBorders>
            <w:vAlign w:val="center"/>
          </w:tcPr>
          <w:p>
            <w:pPr>
              <w:spacing w:line="240" w:lineRule="auto"/>
              <w:ind w:firstLine="360" w:firstLineChars="200"/>
              <w:rPr>
                <w:rFonts w:ascii="宋体" w:hAnsi="宋体"/>
                <w:sz w:val="18"/>
                <w:szCs w:val="18"/>
              </w:rPr>
            </w:pPr>
            <w:r>
              <w:rPr>
                <w:rFonts w:hint="eastAsia" w:ascii="宋体" w:hAnsi="宋体" w:cs="黑体"/>
                <w:sz w:val="18"/>
                <w:szCs w:val="18"/>
              </w:rPr>
              <w:t>注</w:t>
            </w:r>
            <w:r>
              <w:rPr>
                <w:rFonts w:ascii="宋体" w:hAnsi="宋体"/>
                <w:sz w:val="18"/>
                <w:szCs w:val="18"/>
              </w:rPr>
              <w:t>：表中“√”表示“</w:t>
            </w:r>
            <w:r>
              <w:rPr>
                <w:rFonts w:hint="eastAsia" w:ascii="宋体" w:hAnsi="宋体"/>
                <w:sz w:val="18"/>
                <w:szCs w:val="18"/>
              </w:rPr>
              <w:t>必</w:t>
            </w:r>
            <w:r>
              <w:rPr>
                <w:rFonts w:ascii="宋体" w:hAnsi="宋体"/>
                <w:sz w:val="18"/>
                <w:szCs w:val="18"/>
              </w:rPr>
              <w:t>验项目”；“</w:t>
            </w:r>
            <w:r>
              <w:rPr>
                <w:rFonts w:hint="eastAsia" w:ascii="宋体" w:hAnsi="宋体"/>
                <w:sz w:val="18"/>
                <w:szCs w:val="18"/>
              </w:rPr>
              <w:t>×</w:t>
            </w:r>
            <w:r>
              <w:rPr>
                <w:rFonts w:ascii="宋体" w:hAnsi="宋体"/>
                <w:sz w:val="18"/>
                <w:szCs w:val="18"/>
              </w:rPr>
              <w:t>” 表示“</w:t>
            </w:r>
            <w:r>
              <w:rPr>
                <w:rFonts w:hint="eastAsia" w:ascii="宋体" w:hAnsi="宋体"/>
                <w:sz w:val="18"/>
                <w:szCs w:val="18"/>
              </w:rPr>
              <w:t>非必</w:t>
            </w:r>
            <w:r>
              <w:rPr>
                <w:rFonts w:ascii="宋体" w:hAnsi="宋体"/>
                <w:sz w:val="18"/>
                <w:szCs w:val="18"/>
              </w:rPr>
              <w:t>验项目”。</w:t>
            </w:r>
          </w:p>
        </w:tc>
      </w:tr>
    </w:tbl>
    <w:p>
      <w:pPr>
        <w:adjustRightInd/>
        <w:spacing w:before="120" w:beforeLines="50" w:after="120" w:afterLines="50"/>
        <w:textAlignment w:val="auto"/>
        <w:rPr>
          <w:rFonts w:ascii="黑体" w:hAnsi="黑体" w:eastAsia="黑体" w:cs="黑体"/>
          <w:sz w:val="21"/>
          <w:szCs w:val="21"/>
        </w:rPr>
      </w:pPr>
      <w:r>
        <w:rPr>
          <w:rFonts w:hint="eastAsia" w:ascii="黑体" w:hAnsi="黑体" w:eastAsia="黑体" w:cs="黑体"/>
          <w:sz w:val="21"/>
          <w:szCs w:val="21"/>
        </w:rPr>
        <w:t>7.3.2 出厂检验</w:t>
      </w:r>
    </w:p>
    <w:p>
      <w:pPr>
        <w:pStyle w:val="3"/>
        <w:ind w:firstLine="420" w:firstLineChars="200"/>
      </w:pPr>
      <w:r>
        <w:rPr>
          <w:rFonts w:hint="eastAsia"/>
        </w:rPr>
        <w:t>每批带材应进行化学成分、外形尺寸及其允许偏差、力学性能（除规定延伸强度）、电性能（导电率或电阻系数）和表面质量的检验。需方对导电率、电阻系数任选其一，未作特别说明时，进行导电率检验</w:t>
      </w:r>
      <w:r>
        <w:t>。</w:t>
      </w:r>
    </w:p>
    <w:p>
      <w:pPr>
        <w:spacing w:line="240" w:lineRule="auto"/>
        <w:ind w:firstLine="420" w:firstLineChars="200"/>
        <w:rPr>
          <w:sz w:val="21"/>
          <w:szCs w:val="21"/>
        </w:rPr>
      </w:pPr>
      <w:r>
        <w:rPr>
          <w:rFonts w:hint="eastAsia"/>
          <w:sz w:val="21"/>
          <w:szCs w:val="21"/>
        </w:rPr>
        <w:t>如需方有要求并在订货单中注明时</w:t>
      </w:r>
      <w:r>
        <w:rPr>
          <w:sz w:val="21"/>
          <w:szCs w:val="21"/>
        </w:rPr>
        <w:t>，</w:t>
      </w:r>
      <w:r>
        <w:rPr>
          <w:rFonts w:hint="eastAsia"/>
          <w:sz w:val="21"/>
          <w:szCs w:val="21"/>
        </w:rPr>
        <w:t>还应进行维氏硬度、晶粒度和规定塑性延伸强度试验，但规定塑性延伸强度和维氏硬度试验结果仅供参考。</w:t>
      </w:r>
    </w:p>
    <w:p>
      <w:pPr>
        <w:adjustRightInd/>
        <w:spacing w:before="120" w:beforeLines="50" w:after="120" w:afterLines="50"/>
        <w:textAlignment w:val="auto"/>
        <w:rPr>
          <w:rFonts w:ascii="黑体" w:hAnsi="黑体" w:eastAsia="黑体" w:cs="黑体"/>
          <w:sz w:val="21"/>
          <w:szCs w:val="21"/>
        </w:rPr>
      </w:pPr>
      <w:r>
        <w:rPr>
          <w:rFonts w:hint="eastAsia" w:ascii="黑体" w:hAnsi="黑体" w:eastAsia="黑体" w:cs="黑体"/>
          <w:sz w:val="21"/>
          <w:szCs w:val="21"/>
        </w:rPr>
        <w:t>7.3.3 型式检验</w:t>
      </w:r>
    </w:p>
    <w:p>
      <w:pPr>
        <w:spacing w:line="240" w:lineRule="auto"/>
        <w:ind w:firstLine="420"/>
        <w:rPr>
          <w:sz w:val="21"/>
          <w:szCs w:val="21"/>
        </w:rPr>
      </w:pPr>
      <w:r>
        <w:rPr>
          <w:rFonts w:hint="eastAsia"/>
          <w:sz w:val="21"/>
          <w:szCs w:val="21"/>
        </w:rPr>
        <w:t>出现下列任一情况时，应进行型式检验：</w:t>
      </w:r>
    </w:p>
    <w:p>
      <w:pPr>
        <w:pStyle w:val="41"/>
        <w:numPr>
          <w:ilvl w:val="1"/>
          <w:numId w:val="1"/>
        </w:numPr>
        <w:ind w:firstLineChars="0"/>
        <w:rPr>
          <w:sz w:val="21"/>
          <w:szCs w:val="21"/>
        </w:rPr>
      </w:pPr>
      <w:r>
        <w:rPr>
          <w:rFonts w:hint="eastAsia"/>
          <w:sz w:val="21"/>
          <w:szCs w:val="21"/>
        </w:rPr>
        <w:t>新产品或老产品转厂的试制定型鉴定；</w:t>
      </w:r>
    </w:p>
    <w:p>
      <w:pPr>
        <w:pStyle w:val="41"/>
        <w:numPr>
          <w:ilvl w:val="1"/>
          <w:numId w:val="1"/>
        </w:numPr>
        <w:ind w:firstLineChars="0"/>
        <w:rPr>
          <w:sz w:val="21"/>
          <w:szCs w:val="21"/>
        </w:rPr>
      </w:pPr>
      <w:r>
        <w:rPr>
          <w:rFonts w:hint="eastAsia"/>
          <w:sz w:val="21"/>
          <w:szCs w:val="21"/>
        </w:rPr>
        <w:t>产品的原料、工艺有较大改变，可能影响产品性能时；</w:t>
      </w:r>
    </w:p>
    <w:p>
      <w:pPr>
        <w:pStyle w:val="41"/>
        <w:numPr>
          <w:ilvl w:val="1"/>
          <w:numId w:val="1"/>
        </w:numPr>
        <w:ind w:firstLineChars="0"/>
        <w:rPr>
          <w:sz w:val="21"/>
          <w:szCs w:val="21"/>
        </w:rPr>
      </w:pPr>
      <w:r>
        <w:rPr>
          <w:rFonts w:hint="eastAsia"/>
          <w:sz w:val="21"/>
          <w:szCs w:val="21"/>
        </w:rPr>
        <w:t>产品停产后，恢复生产时；</w:t>
      </w:r>
    </w:p>
    <w:p>
      <w:pPr>
        <w:pStyle w:val="41"/>
        <w:numPr>
          <w:ilvl w:val="1"/>
          <w:numId w:val="1"/>
        </w:numPr>
        <w:ind w:firstLineChars="0"/>
        <w:rPr>
          <w:sz w:val="21"/>
          <w:szCs w:val="21"/>
        </w:rPr>
      </w:pPr>
      <w:r>
        <w:rPr>
          <w:rFonts w:hint="eastAsia"/>
          <w:sz w:val="21"/>
          <w:szCs w:val="21"/>
        </w:rPr>
        <w:t>出厂检验结果与上次型式检验有较大差异时；</w:t>
      </w:r>
    </w:p>
    <w:p>
      <w:pPr>
        <w:pStyle w:val="41"/>
        <w:numPr>
          <w:ilvl w:val="1"/>
          <w:numId w:val="1"/>
        </w:numPr>
        <w:ind w:firstLineChars="0"/>
        <w:rPr>
          <w:sz w:val="21"/>
          <w:szCs w:val="21"/>
        </w:rPr>
      </w:pPr>
      <w:r>
        <w:rPr>
          <w:rFonts w:hint="eastAsia"/>
          <w:sz w:val="21"/>
          <w:szCs w:val="21"/>
        </w:rPr>
        <w:t>连续二年未进行型式检验时；</w:t>
      </w:r>
    </w:p>
    <w:p>
      <w:pPr>
        <w:pStyle w:val="41"/>
        <w:numPr>
          <w:ilvl w:val="1"/>
          <w:numId w:val="1"/>
        </w:numPr>
        <w:ind w:firstLineChars="0"/>
        <w:rPr>
          <w:sz w:val="21"/>
          <w:szCs w:val="21"/>
        </w:rPr>
      </w:pPr>
      <w:r>
        <w:rPr>
          <w:rFonts w:hint="eastAsia"/>
          <w:sz w:val="21"/>
          <w:szCs w:val="21"/>
        </w:rPr>
        <w:t>需方要求时（在订货单中注明）；</w:t>
      </w:r>
    </w:p>
    <w:p>
      <w:pPr>
        <w:pStyle w:val="41"/>
        <w:numPr>
          <w:ilvl w:val="1"/>
          <w:numId w:val="1"/>
        </w:numPr>
        <w:ind w:firstLineChars="0"/>
        <w:rPr>
          <w:sz w:val="21"/>
          <w:szCs w:val="21"/>
        </w:rPr>
      </w:pPr>
      <w:r>
        <w:rPr>
          <w:rFonts w:hint="eastAsia"/>
          <w:sz w:val="21"/>
          <w:szCs w:val="21"/>
        </w:rPr>
        <w:t>国家质量监督机构提出进行型式检验的要求时。</w:t>
      </w:r>
    </w:p>
    <w:p>
      <w:pPr>
        <w:spacing w:before="120" w:beforeLines="50" w:after="120" w:afterLines="50" w:line="240" w:lineRule="auto"/>
        <w:rPr>
          <w:rFonts w:ascii="黑体" w:eastAsia="黑体"/>
          <w:sz w:val="21"/>
          <w:szCs w:val="21"/>
        </w:rPr>
      </w:pPr>
      <w:r>
        <w:rPr>
          <w:rFonts w:hint="eastAsia" w:ascii="黑体" w:eastAsia="黑体"/>
          <w:sz w:val="21"/>
          <w:szCs w:val="21"/>
        </w:rPr>
        <w:t>7.4  取样</w:t>
      </w:r>
    </w:p>
    <w:p>
      <w:pPr>
        <w:pStyle w:val="3"/>
        <w:ind w:firstLine="420" w:firstLineChars="200"/>
      </w:pPr>
      <w:r>
        <w:rPr>
          <w:rFonts w:hint="eastAsia"/>
        </w:rPr>
        <w:t>带材取样应符合表</w:t>
      </w:r>
      <w:r>
        <w:rPr>
          <w:rFonts w:hint="eastAsia"/>
          <w:lang w:val="en-US" w:eastAsia="zh-CN"/>
        </w:rPr>
        <w:t>9</w:t>
      </w:r>
      <w:r>
        <w:rPr>
          <w:rFonts w:hint="eastAsia"/>
        </w:rPr>
        <w:t>的规定。取样方法按</w:t>
      </w:r>
      <w:r>
        <w:t xml:space="preserve">YS/T </w:t>
      </w:r>
      <w:r>
        <w:rPr>
          <w:rFonts w:hint="eastAsia"/>
        </w:rPr>
        <w:t>668的规定进行。</w:t>
      </w:r>
    </w:p>
    <w:p>
      <w:pPr>
        <w:spacing w:before="120" w:beforeLines="50" w:after="120" w:afterLines="50" w:line="340" w:lineRule="exact"/>
        <w:jc w:val="center"/>
        <w:rPr>
          <w:rFonts w:ascii="黑体" w:hAnsi="宋体" w:eastAsia="黑体"/>
          <w:sz w:val="21"/>
          <w:szCs w:val="21"/>
        </w:rPr>
      </w:pPr>
      <w:r>
        <w:rPr>
          <w:rFonts w:hint="eastAsia" w:ascii="黑体" w:hAnsi="宋体" w:eastAsia="黑体"/>
          <w:sz w:val="21"/>
          <w:szCs w:val="21"/>
        </w:rPr>
        <w:t>表</w:t>
      </w:r>
      <w:r>
        <w:rPr>
          <w:rFonts w:hint="eastAsia" w:ascii="黑体" w:hAnsi="宋体" w:eastAsia="黑体"/>
          <w:sz w:val="21"/>
          <w:szCs w:val="21"/>
          <w:lang w:val="en-US" w:eastAsia="zh-CN"/>
        </w:rPr>
        <w:t>9</w:t>
      </w:r>
      <w:r>
        <w:rPr>
          <w:rFonts w:hint="eastAsia" w:ascii="黑体" w:hAnsi="宋体" w:eastAsia="黑体"/>
          <w:sz w:val="21"/>
          <w:szCs w:val="21"/>
        </w:rPr>
        <w:t xml:space="preserve">  取样</w:t>
      </w:r>
    </w:p>
    <w:tbl>
      <w:tblPr>
        <w:tblStyle w:val="25"/>
        <w:tblW w:w="93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98"/>
        <w:gridCol w:w="3845"/>
        <w:gridCol w:w="1688"/>
        <w:gridCol w:w="17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7" w:type="dxa"/>
            <w:gridSpan w:val="2"/>
            <w:tcBorders>
              <w:bottom w:val="single" w:color="auto" w:sz="8" w:space="0"/>
            </w:tcBorders>
            <w:vAlign w:val="center"/>
          </w:tcPr>
          <w:p>
            <w:pPr>
              <w:spacing w:line="240" w:lineRule="auto"/>
              <w:jc w:val="center"/>
              <w:rPr>
                <w:rFonts w:ascii="宋体" w:hAnsi="宋体"/>
                <w:sz w:val="18"/>
                <w:szCs w:val="21"/>
              </w:rPr>
            </w:pPr>
            <w:r>
              <w:rPr>
                <w:rFonts w:hint="eastAsia" w:ascii="宋体" w:hAnsi="宋体"/>
                <w:sz w:val="18"/>
                <w:szCs w:val="21"/>
              </w:rPr>
              <w:t>检验项目</w:t>
            </w:r>
          </w:p>
        </w:tc>
        <w:tc>
          <w:tcPr>
            <w:tcW w:w="3845" w:type="dxa"/>
            <w:tcBorders>
              <w:bottom w:val="single" w:color="auto" w:sz="8" w:space="0"/>
            </w:tcBorders>
            <w:vAlign w:val="center"/>
          </w:tcPr>
          <w:p>
            <w:pPr>
              <w:spacing w:line="240" w:lineRule="auto"/>
              <w:jc w:val="center"/>
              <w:rPr>
                <w:rFonts w:ascii="宋体" w:hAnsi="宋体"/>
                <w:sz w:val="18"/>
                <w:szCs w:val="21"/>
              </w:rPr>
            </w:pPr>
            <w:r>
              <w:rPr>
                <w:rFonts w:hint="eastAsia" w:ascii="宋体" w:hAnsi="宋体"/>
                <w:sz w:val="18"/>
                <w:szCs w:val="21"/>
              </w:rPr>
              <w:t>取样规定</w:t>
            </w:r>
          </w:p>
        </w:tc>
        <w:tc>
          <w:tcPr>
            <w:tcW w:w="1688" w:type="dxa"/>
            <w:tcBorders>
              <w:bottom w:val="single" w:color="auto" w:sz="8" w:space="0"/>
            </w:tcBorders>
            <w:vAlign w:val="center"/>
          </w:tcPr>
          <w:p>
            <w:pPr>
              <w:spacing w:line="240" w:lineRule="auto"/>
              <w:jc w:val="center"/>
              <w:rPr>
                <w:rFonts w:ascii="宋体" w:hAnsi="宋体"/>
                <w:sz w:val="18"/>
                <w:szCs w:val="21"/>
              </w:rPr>
            </w:pPr>
            <w:r>
              <w:rPr>
                <w:rFonts w:hint="eastAsia" w:ascii="宋体" w:hAnsi="宋体"/>
                <w:sz w:val="18"/>
                <w:szCs w:val="21"/>
              </w:rPr>
              <w:t>要求的章条号</w:t>
            </w:r>
          </w:p>
        </w:tc>
        <w:tc>
          <w:tcPr>
            <w:tcW w:w="1702" w:type="dxa"/>
            <w:tcBorders>
              <w:bottom w:val="single" w:color="auto" w:sz="8" w:space="0"/>
            </w:tcBorders>
            <w:vAlign w:val="center"/>
          </w:tcPr>
          <w:p>
            <w:pPr>
              <w:spacing w:line="240" w:lineRule="auto"/>
              <w:jc w:val="center"/>
              <w:rPr>
                <w:rFonts w:ascii="宋体" w:hAnsi="宋体"/>
                <w:sz w:val="18"/>
                <w:szCs w:val="21"/>
              </w:rPr>
            </w:pPr>
            <w:r>
              <w:rPr>
                <w:rFonts w:hint="eastAsia" w:ascii="宋体" w:hAnsi="宋体"/>
                <w:sz w:val="18"/>
                <w:szCs w:val="21"/>
              </w:rPr>
              <w:t>试验方法的章条号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7" w:type="dxa"/>
            <w:gridSpan w:val="2"/>
            <w:tcBorders>
              <w:top w:val="single" w:color="auto" w:sz="8" w:space="0"/>
            </w:tcBorders>
            <w:vAlign w:val="center"/>
          </w:tcPr>
          <w:p>
            <w:pPr>
              <w:spacing w:line="240" w:lineRule="auto"/>
              <w:jc w:val="center"/>
              <w:rPr>
                <w:rFonts w:ascii="宋体" w:hAnsi="宋体"/>
                <w:sz w:val="18"/>
                <w:szCs w:val="21"/>
              </w:rPr>
            </w:pPr>
            <w:r>
              <w:rPr>
                <w:rFonts w:hint="eastAsia" w:ascii="宋体" w:hAnsi="宋体"/>
                <w:sz w:val="18"/>
                <w:szCs w:val="21"/>
              </w:rPr>
              <w:t>化学成分</w:t>
            </w:r>
          </w:p>
        </w:tc>
        <w:tc>
          <w:tcPr>
            <w:tcW w:w="3845" w:type="dxa"/>
            <w:tcBorders>
              <w:top w:val="single" w:color="auto" w:sz="8" w:space="0"/>
            </w:tcBorders>
            <w:vAlign w:val="center"/>
          </w:tcPr>
          <w:p>
            <w:pPr>
              <w:spacing w:line="240" w:lineRule="auto"/>
              <w:rPr>
                <w:rFonts w:ascii="宋体" w:hAnsi="宋体"/>
                <w:sz w:val="18"/>
                <w:szCs w:val="21"/>
              </w:rPr>
            </w:pPr>
            <w:r>
              <w:rPr>
                <w:rFonts w:hint="eastAsia" w:ascii="宋体" w:hAnsi="宋体"/>
                <w:sz w:val="18"/>
                <w:szCs w:val="21"/>
              </w:rPr>
              <w:t>供方每熔次取1个试样，需方每批取1个试样</w:t>
            </w:r>
          </w:p>
        </w:tc>
        <w:tc>
          <w:tcPr>
            <w:tcW w:w="1688" w:type="dxa"/>
            <w:tcBorders>
              <w:top w:val="single" w:color="auto" w:sz="8" w:space="0"/>
            </w:tcBorders>
            <w:vAlign w:val="center"/>
          </w:tcPr>
          <w:p>
            <w:pPr>
              <w:spacing w:line="240" w:lineRule="auto"/>
              <w:jc w:val="center"/>
              <w:rPr>
                <w:rFonts w:ascii="宋体" w:hAnsi="宋体"/>
                <w:sz w:val="18"/>
                <w:szCs w:val="21"/>
              </w:rPr>
            </w:pPr>
            <w:r>
              <w:rPr>
                <w:rFonts w:hint="eastAsia" w:ascii="宋体" w:hAnsi="宋体"/>
                <w:sz w:val="18"/>
                <w:szCs w:val="21"/>
              </w:rPr>
              <w:t>5.1</w:t>
            </w:r>
          </w:p>
        </w:tc>
        <w:tc>
          <w:tcPr>
            <w:tcW w:w="1702" w:type="dxa"/>
            <w:tcBorders>
              <w:top w:val="single" w:color="auto" w:sz="8" w:space="0"/>
            </w:tcBorders>
            <w:vAlign w:val="center"/>
          </w:tcPr>
          <w:p>
            <w:pPr>
              <w:spacing w:line="240" w:lineRule="auto"/>
              <w:jc w:val="center"/>
              <w:rPr>
                <w:rFonts w:ascii="宋体" w:hAnsi="宋体"/>
                <w:sz w:val="18"/>
                <w:szCs w:val="21"/>
              </w:rPr>
            </w:pPr>
            <w:r>
              <w:rPr>
                <w:rFonts w:hint="eastAsia" w:ascii="宋体" w:hAnsi="宋体"/>
                <w:sz w:val="18"/>
                <w:szCs w:val="21"/>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外形尺寸及其允许偏差</w:t>
            </w:r>
          </w:p>
        </w:tc>
        <w:tc>
          <w:tcPr>
            <w:tcW w:w="3845" w:type="dxa"/>
            <w:vAlign w:val="center"/>
          </w:tcPr>
          <w:p>
            <w:pPr>
              <w:spacing w:line="240" w:lineRule="auto"/>
              <w:rPr>
                <w:rFonts w:ascii="宋体" w:hAnsi="宋体"/>
                <w:sz w:val="18"/>
                <w:szCs w:val="21"/>
              </w:rPr>
            </w:pPr>
            <w:r>
              <w:rPr>
                <w:rFonts w:hint="eastAsia" w:ascii="宋体" w:hAnsi="宋体"/>
                <w:sz w:val="18"/>
              </w:rPr>
              <w:t>逐卷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5.2</w:t>
            </w:r>
          </w:p>
        </w:tc>
        <w:tc>
          <w:tcPr>
            <w:tcW w:w="1702" w:type="dxa"/>
            <w:vAlign w:val="center"/>
          </w:tcPr>
          <w:p>
            <w:pPr>
              <w:spacing w:line="240" w:lineRule="auto"/>
              <w:jc w:val="center"/>
              <w:rPr>
                <w:rFonts w:ascii="宋体" w:hAnsi="宋体"/>
                <w:sz w:val="18"/>
                <w:szCs w:val="21"/>
              </w:rPr>
            </w:pPr>
            <w:r>
              <w:rPr>
                <w:rFonts w:hint="eastAsia" w:ascii="宋体" w:hAnsi="宋体"/>
                <w:sz w:val="18"/>
                <w:szCs w:val="21"/>
              </w:rPr>
              <w:t>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restart"/>
            <w:vAlign w:val="center"/>
          </w:tcPr>
          <w:p>
            <w:pPr>
              <w:spacing w:line="240" w:lineRule="auto"/>
              <w:jc w:val="center"/>
              <w:rPr>
                <w:rFonts w:ascii="宋体" w:hAnsi="宋体"/>
                <w:sz w:val="18"/>
                <w:szCs w:val="21"/>
              </w:rPr>
            </w:pPr>
            <w:r>
              <w:rPr>
                <w:rFonts w:hint="eastAsia" w:ascii="宋体" w:hAnsi="宋体"/>
                <w:sz w:val="18"/>
                <w:szCs w:val="21"/>
              </w:rPr>
              <w:t>力学性能</w:t>
            </w:r>
          </w:p>
        </w:tc>
        <w:tc>
          <w:tcPr>
            <w:tcW w:w="1198" w:type="dxa"/>
            <w:vAlign w:val="center"/>
          </w:tcPr>
          <w:p>
            <w:pPr>
              <w:spacing w:line="240" w:lineRule="auto"/>
              <w:jc w:val="center"/>
              <w:rPr>
                <w:rFonts w:ascii="宋体" w:hAnsi="宋体"/>
                <w:sz w:val="18"/>
                <w:szCs w:val="21"/>
              </w:rPr>
            </w:pPr>
            <w:r>
              <w:rPr>
                <w:rFonts w:hint="eastAsia" w:ascii="宋体" w:hAnsi="宋体"/>
                <w:sz w:val="18"/>
                <w:szCs w:val="21"/>
              </w:rPr>
              <w:t>拉伸</w:t>
            </w:r>
            <w:r>
              <w:rPr>
                <w:rFonts w:hint="eastAsia" w:ascii="宋体" w:hAnsi="宋体"/>
                <w:sz w:val="18"/>
                <w:szCs w:val="18"/>
              </w:rPr>
              <w:t>试验</w:t>
            </w:r>
          </w:p>
        </w:tc>
        <w:tc>
          <w:tcPr>
            <w:tcW w:w="3845" w:type="dxa"/>
            <w:vAlign w:val="center"/>
          </w:tcPr>
          <w:p>
            <w:pPr>
              <w:spacing w:line="240" w:lineRule="auto"/>
              <w:rPr>
                <w:rFonts w:ascii="宋体" w:hAnsi="宋体"/>
                <w:sz w:val="18"/>
                <w:szCs w:val="21"/>
              </w:rPr>
            </w:pPr>
            <w:r>
              <w:rPr>
                <w:rFonts w:hint="eastAsia" w:ascii="宋体" w:hAnsi="宋体"/>
                <w:sz w:val="18"/>
                <w:szCs w:val="21"/>
              </w:rPr>
              <w:t>每批任取2卷，每卷沿轧制方向任取1个试样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5.3</w:t>
            </w:r>
          </w:p>
        </w:tc>
        <w:tc>
          <w:tcPr>
            <w:tcW w:w="1702" w:type="dxa"/>
            <w:vAlign w:val="center"/>
          </w:tcPr>
          <w:p>
            <w:pPr>
              <w:spacing w:line="240" w:lineRule="auto"/>
              <w:jc w:val="center"/>
              <w:rPr>
                <w:rFonts w:ascii="宋体" w:hAnsi="宋体"/>
                <w:sz w:val="18"/>
                <w:szCs w:val="21"/>
              </w:rPr>
            </w:pPr>
            <w:r>
              <w:rPr>
                <w:rFonts w:hint="eastAsia" w:ascii="宋体" w:hAnsi="宋体"/>
                <w:sz w:val="18"/>
                <w:szCs w:val="21"/>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vAlign w:val="center"/>
          </w:tcPr>
          <w:p>
            <w:pPr>
              <w:spacing w:line="240" w:lineRule="auto"/>
              <w:jc w:val="center"/>
              <w:rPr>
                <w:rFonts w:ascii="宋体" w:hAnsi="宋体"/>
                <w:sz w:val="18"/>
                <w:szCs w:val="21"/>
              </w:rPr>
            </w:pPr>
          </w:p>
        </w:tc>
        <w:tc>
          <w:tcPr>
            <w:tcW w:w="1198" w:type="dxa"/>
            <w:vAlign w:val="center"/>
          </w:tcPr>
          <w:p>
            <w:pPr>
              <w:spacing w:line="240" w:lineRule="auto"/>
              <w:jc w:val="center"/>
              <w:rPr>
                <w:rFonts w:ascii="宋体" w:hAnsi="宋体"/>
                <w:sz w:val="18"/>
                <w:szCs w:val="21"/>
              </w:rPr>
            </w:pPr>
            <w:r>
              <w:rPr>
                <w:rFonts w:hint="eastAsia" w:ascii="宋体" w:hAnsi="宋体"/>
                <w:sz w:val="18"/>
                <w:szCs w:val="18"/>
              </w:rPr>
              <w:t>硬度试验</w:t>
            </w:r>
          </w:p>
        </w:tc>
        <w:tc>
          <w:tcPr>
            <w:tcW w:w="3845" w:type="dxa"/>
            <w:vAlign w:val="center"/>
          </w:tcPr>
          <w:p>
            <w:pPr>
              <w:spacing w:line="240" w:lineRule="auto"/>
              <w:rPr>
                <w:rFonts w:ascii="宋体" w:hAnsi="宋体"/>
                <w:sz w:val="18"/>
                <w:szCs w:val="21"/>
              </w:rPr>
            </w:pPr>
            <w:r>
              <w:rPr>
                <w:rFonts w:hint="eastAsia" w:ascii="宋体" w:hAnsi="宋体"/>
                <w:sz w:val="18"/>
                <w:szCs w:val="21"/>
              </w:rPr>
              <w:t>每批任取2卷，每卷取1个试样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5.3</w:t>
            </w:r>
          </w:p>
        </w:tc>
        <w:tc>
          <w:tcPr>
            <w:tcW w:w="1702" w:type="dxa"/>
            <w:vAlign w:val="center"/>
          </w:tcPr>
          <w:p>
            <w:pPr>
              <w:spacing w:line="240" w:lineRule="auto"/>
              <w:jc w:val="center"/>
              <w:rPr>
                <w:rFonts w:ascii="宋体" w:hAnsi="宋体"/>
                <w:sz w:val="18"/>
                <w:szCs w:val="21"/>
              </w:rPr>
            </w:pPr>
            <w:r>
              <w:rPr>
                <w:rFonts w:hint="eastAsia" w:ascii="宋体" w:hAnsi="宋体"/>
                <w:sz w:val="18"/>
                <w:szCs w:val="21"/>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7" w:type="dxa"/>
            <w:gridSpan w:val="2"/>
            <w:vAlign w:val="center"/>
          </w:tcPr>
          <w:p>
            <w:pPr>
              <w:pStyle w:val="3"/>
              <w:jc w:val="center"/>
              <w:rPr>
                <w:sz w:val="18"/>
                <w:szCs w:val="18"/>
              </w:rPr>
            </w:pPr>
            <w:r>
              <w:rPr>
                <w:rFonts w:hint="eastAsia"/>
                <w:sz w:val="18"/>
                <w:szCs w:val="18"/>
              </w:rPr>
              <w:t>晶粒度</w:t>
            </w:r>
          </w:p>
        </w:tc>
        <w:tc>
          <w:tcPr>
            <w:tcW w:w="3845" w:type="dxa"/>
            <w:vAlign w:val="center"/>
          </w:tcPr>
          <w:p>
            <w:pPr>
              <w:spacing w:line="240" w:lineRule="auto"/>
              <w:rPr>
                <w:rFonts w:ascii="宋体" w:hAnsi="宋体"/>
                <w:sz w:val="18"/>
                <w:szCs w:val="21"/>
              </w:rPr>
            </w:pPr>
            <w:r>
              <w:rPr>
                <w:rFonts w:hint="eastAsia" w:ascii="宋体" w:hAnsi="宋体"/>
                <w:sz w:val="18"/>
                <w:szCs w:val="21"/>
              </w:rPr>
              <w:t>每批任取2卷，每卷取1个试样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5.4</w:t>
            </w:r>
          </w:p>
        </w:tc>
        <w:tc>
          <w:tcPr>
            <w:tcW w:w="1702" w:type="dxa"/>
            <w:vAlign w:val="center"/>
          </w:tcPr>
          <w:p>
            <w:pPr>
              <w:spacing w:line="240" w:lineRule="auto"/>
              <w:jc w:val="center"/>
              <w:rPr>
                <w:rFonts w:ascii="宋体" w:hAnsi="宋体"/>
                <w:sz w:val="18"/>
                <w:szCs w:val="21"/>
              </w:rPr>
            </w:pPr>
            <w:r>
              <w:rPr>
                <w:rFonts w:hint="eastAsia" w:ascii="宋体" w:hAnsi="宋体"/>
                <w:sz w:val="18"/>
                <w:szCs w:val="21"/>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7" w:type="dxa"/>
            <w:gridSpan w:val="2"/>
            <w:vAlign w:val="center"/>
          </w:tcPr>
          <w:p>
            <w:pPr>
              <w:pStyle w:val="3"/>
              <w:jc w:val="center"/>
              <w:rPr>
                <w:sz w:val="18"/>
                <w:szCs w:val="18"/>
              </w:rPr>
            </w:pPr>
            <w:r>
              <w:rPr>
                <w:rFonts w:hint="eastAsia"/>
                <w:sz w:val="18"/>
                <w:szCs w:val="18"/>
              </w:rPr>
              <w:t>电性能</w:t>
            </w:r>
          </w:p>
        </w:tc>
        <w:tc>
          <w:tcPr>
            <w:tcW w:w="3845" w:type="dxa"/>
            <w:vAlign w:val="center"/>
          </w:tcPr>
          <w:p>
            <w:pPr>
              <w:spacing w:line="240" w:lineRule="auto"/>
              <w:jc w:val="both"/>
              <w:rPr>
                <w:rFonts w:ascii="宋体" w:hAnsi="宋体"/>
                <w:sz w:val="18"/>
                <w:szCs w:val="21"/>
              </w:rPr>
            </w:pPr>
            <w:r>
              <w:rPr>
                <w:rFonts w:hint="eastAsia" w:ascii="宋体" w:hAnsi="宋体"/>
                <w:sz w:val="18"/>
                <w:szCs w:val="21"/>
              </w:rPr>
              <w:t>每批任取2卷，每卷取1个试样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5.4</w:t>
            </w:r>
          </w:p>
        </w:tc>
        <w:tc>
          <w:tcPr>
            <w:tcW w:w="1702" w:type="dxa"/>
            <w:vAlign w:val="center"/>
          </w:tcPr>
          <w:p>
            <w:pPr>
              <w:spacing w:line="240" w:lineRule="auto"/>
              <w:jc w:val="center"/>
              <w:rPr>
                <w:rFonts w:ascii="宋体" w:hAnsi="宋体"/>
                <w:sz w:val="18"/>
                <w:szCs w:val="21"/>
              </w:rPr>
            </w:pPr>
            <w:r>
              <w:rPr>
                <w:rFonts w:hint="eastAsia" w:ascii="宋体" w:hAnsi="宋体"/>
                <w:sz w:val="18"/>
                <w:szCs w:val="21"/>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表面质量</w:t>
            </w:r>
          </w:p>
        </w:tc>
        <w:tc>
          <w:tcPr>
            <w:tcW w:w="3845" w:type="dxa"/>
            <w:vAlign w:val="center"/>
          </w:tcPr>
          <w:p>
            <w:pPr>
              <w:spacing w:line="240" w:lineRule="auto"/>
              <w:rPr>
                <w:rFonts w:ascii="宋体" w:hAnsi="宋体"/>
                <w:sz w:val="18"/>
                <w:szCs w:val="21"/>
              </w:rPr>
            </w:pPr>
            <w:r>
              <w:rPr>
                <w:rFonts w:hint="eastAsia" w:ascii="宋体" w:hAnsi="宋体"/>
                <w:sz w:val="18"/>
                <w:szCs w:val="21"/>
              </w:rPr>
              <w:t>逐卷</w:t>
            </w:r>
          </w:p>
        </w:tc>
        <w:tc>
          <w:tcPr>
            <w:tcW w:w="1688" w:type="dxa"/>
            <w:vAlign w:val="center"/>
          </w:tcPr>
          <w:p>
            <w:pPr>
              <w:spacing w:line="240" w:lineRule="auto"/>
              <w:jc w:val="center"/>
              <w:rPr>
                <w:rFonts w:ascii="宋体" w:hAnsi="宋体"/>
                <w:sz w:val="18"/>
              </w:rPr>
            </w:pPr>
            <w:r>
              <w:rPr>
                <w:rFonts w:hint="eastAsia" w:ascii="宋体" w:hAnsi="宋体"/>
                <w:sz w:val="18"/>
              </w:rPr>
              <w:t>5.6</w:t>
            </w:r>
          </w:p>
        </w:tc>
        <w:tc>
          <w:tcPr>
            <w:tcW w:w="1702" w:type="dxa"/>
            <w:vAlign w:val="center"/>
          </w:tcPr>
          <w:p>
            <w:pPr>
              <w:spacing w:line="240" w:lineRule="auto"/>
              <w:jc w:val="center"/>
              <w:rPr>
                <w:rFonts w:ascii="宋体" w:hAnsi="宋体"/>
                <w:sz w:val="18"/>
              </w:rPr>
            </w:pPr>
            <w:r>
              <w:rPr>
                <w:rFonts w:hint="eastAsia" w:ascii="宋体" w:hAnsi="宋体"/>
                <w:sz w:val="18"/>
              </w:rPr>
              <w:t>6.6</w:t>
            </w:r>
          </w:p>
        </w:tc>
      </w:tr>
    </w:tbl>
    <w:p>
      <w:pPr>
        <w:spacing w:before="120" w:beforeLines="50" w:after="120" w:afterLines="50" w:line="240" w:lineRule="auto"/>
        <w:rPr>
          <w:rFonts w:ascii="黑体" w:eastAsia="黑体"/>
          <w:sz w:val="21"/>
          <w:szCs w:val="21"/>
        </w:rPr>
      </w:pPr>
      <w:r>
        <w:rPr>
          <w:rFonts w:hint="eastAsia" w:ascii="黑体" w:eastAsia="黑体"/>
          <w:sz w:val="21"/>
          <w:szCs w:val="21"/>
        </w:rPr>
        <w:t>7.5  检验结果的判定</w:t>
      </w:r>
    </w:p>
    <w:p>
      <w:pPr>
        <w:spacing w:line="340" w:lineRule="exact"/>
        <w:rPr>
          <w:sz w:val="21"/>
          <w:szCs w:val="21"/>
        </w:rPr>
      </w:pPr>
      <w:r>
        <w:rPr>
          <w:rFonts w:hint="eastAsia" w:ascii="黑体" w:eastAsia="黑体"/>
          <w:sz w:val="21"/>
          <w:szCs w:val="21"/>
        </w:rPr>
        <w:t xml:space="preserve">7.5.1 </w:t>
      </w:r>
      <w:r>
        <w:rPr>
          <w:rFonts w:hint="eastAsia" w:ascii="宋体" w:hAnsi="宋体"/>
          <w:sz w:val="21"/>
          <w:szCs w:val="21"/>
        </w:rPr>
        <w:t>检验结果的数值按GB/T 8170规定进行修约，并采用修约值比较法判定。</w:t>
      </w:r>
    </w:p>
    <w:p>
      <w:pPr>
        <w:pStyle w:val="3"/>
      </w:pPr>
      <w:r>
        <w:rPr>
          <w:rFonts w:hint="eastAsia" w:ascii="黑体" w:eastAsia="黑体"/>
        </w:rPr>
        <w:t>7.5.2</w:t>
      </w:r>
      <w:r>
        <w:rPr>
          <w:rFonts w:hint="eastAsia"/>
        </w:rPr>
        <w:t xml:space="preserve"> 化学成分不合格时，判该批带材不合格。</w:t>
      </w:r>
    </w:p>
    <w:p>
      <w:pPr>
        <w:pStyle w:val="3"/>
      </w:pPr>
      <w:r>
        <w:rPr>
          <w:rFonts w:hint="eastAsia" w:ascii="黑体" w:eastAsia="黑体"/>
        </w:rPr>
        <w:t>7.5.3</w:t>
      </w:r>
      <w:r>
        <w:rPr>
          <w:rFonts w:hint="eastAsia"/>
        </w:rPr>
        <w:t xml:space="preserve"> 外形尺寸和表面质量不合格时，判该卷带材不合格。</w:t>
      </w:r>
    </w:p>
    <w:p>
      <w:pPr>
        <w:pStyle w:val="3"/>
      </w:pPr>
      <w:r>
        <w:rPr>
          <w:rFonts w:hint="eastAsia" w:ascii="黑体" w:eastAsia="黑体"/>
        </w:rPr>
        <w:t xml:space="preserve">7.5.4 </w:t>
      </w:r>
      <w:r>
        <w:rPr>
          <w:rFonts w:hint="eastAsia"/>
        </w:rPr>
        <w:t>当拉伸试验、维氏硬度、晶粒度和电性能的试验结果中有试样不合格时，应从该批带材（包括原检验不合格的那卷带材）中另取双倍数量的试样进行重复试验，重复试验结果全部合格，则判整批带材合格。若重复试验结果仍有试样不合格，则判该批带材不合格，或由供方逐卷检验，逐卷判定。</w:t>
      </w:r>
    </w:p>
    <w:p>
      <w:pPr>
        <w:pStyle w:val="2"/>
        <w:spacing w:before="240" w:beforeLines="100" w:after="240" w:afterLines="100"/>
      </w:pPr>
      <w:r>
        <w:rPr>
          <w:rFonts w:hint="eastAsia"/>
        </w:rPr>
        <w:t>8  标志、包装、运输、贮存及随行文件</w:t>
      </w:r>
    </w:p>
    <w:p>
      <w:pPr>
        <w:pStyle w:val="3"/>
        <w:spacing w:after="120" w:afterLines="50"/>
        <w:rPr>
          <w:rFonts w:ascii="黑体" w:eastAsia="黑体"/>
        </w:rPr>
      </w:pPr>
      <w:r>
        <w:rPr>
          <w:rFonts w:hint="eastAsia" w:ascii="黑体" w:eastAsia="黑体"/>
        </w:rPr>
        <w:t>8.1 标志、包装、运输、贮存</w:t>
      </w:r>
    </w:p>
    <w:p>
      <w:pPr>
        <w:spacing w:line="240" w:lineRule="auto"/>
        <w:ind w:firstLine="420" w:firstLineChars="200"/>
        <w:rPr>
          <w:sz w:val="21"/>
          <w:szCs w:val="21"/>
        </w:rPr>
      </w:pPr>
      <w:r>
        <w:rPr>
          <w:rFonts w:hint="eastAsia"/>
          <w:sz w:val="21"/>
          <w:szCs w:val="21"/>
        </w:rPr>
        <w:t>产品的标志、包装、运输、贮存应符合GB/T8888的规定。</w:t>
      </w:r>
    </w:p>
    <w:p>
      <w:pPr>
        <w:adjustRightInd/>
        <w:spacing w:before="120" w:beforeLines="50" w:after="120" w:afterLines="50" w:line="380" w:lineRule="exact"/>
        <w:textAlignment w:val="auto"/>
        <w:rPr>
          <w:rFonts w:eastAsia="黑体"/>
          <w:sz w:val="21"/>
          <w:szCs w:val="21"/>
        </w:rPr>
      </w:pPr>
      <w:r>
        <w:rPr>
          <w:rFonts w:eastAsia="黑体"/>
          <w:sz w:val="21"/>
          <w:szCs w:val="21"/>
        </w:rPr>
        <w:t>8.</w:t>
      </w:r>
      <w:r>
        <w:rPr>
          <w:rFonts w:hint="eastAsia" w:eastAsia="黑体"/>
          <w:sz w:val="21"/>
          <w:szCs w:val="21"/>
        </w:rPr>
        <w:t>2</w:t>
      </w:r>
      <w:r>
        <w:rPr>
          <w:rFonts w:eastAsia="黑体"/>
          <w:sz w:val="21"/>
          <w:szCs w:val="21"/>
        </w:rPr>
        <w:t xml:space="preserve">  随行文件</w:t>
      </w:r>
    </w:p>
    <w:p>
      <w:pPr>
        <w:widowControl/>
        <w:autoSpaceDE w:val="0"/>
        <w:autoSpaceDN w:val="0"/>
        <w:adjustRightInd/>
        <w:spacing w:line="240" w:lineRule="auto"/>
        <w:ind w:firstLine="420" w:firstLineChars="200"/>
        <w:textAlignment w:val="auto"/>
        <w:rPr>
          <w:sz w:val="21"/>
          <w:szCs w:val="21"/>
        </w:rPr>
      </w:pPr>
      <w:r>
        <w:rPr>
          <w:sz w:val="21"/>
          <w:szCs w:val="21"/>
        </w:rPr>
        <w:t>每批产品应附有随行文件</w:t>
      </w:r>
      <w:r>
        <w:rPr>
          <w:sz w:val="21"/>
          <w:szCs w:val="21"/>
          <w:shd w:val="clear" w:color="auto" w:fill="FFFFFF"/>
        </w:rPr>
        <w:t>，其中</w:t>
      </w:r>
      <w:r>
        <w:rPr>
          <w:sz w:val="21"/>
          <w:szCs w:val="21"/>
        </w:rPr>
        <w:t>除应包括供方信息、产品信息、本文件编号、出厂日期或包装日期外，还宜包括：</w:t>
      </w:r>
    </w:p>
    <w:p>
      <w:pPr>
        <w:numPr>
          <w:ilvl w:val="0"/>
          <w:numId w:val="2"/>
        </w:numPr>
        <w:tabs>
          <w:tab w:val="left" w:pos="780"/>
        </w:tabs>
        <w:adjustRightInd/>
        <w:spacing w:line="240" w:lineRule="auto"/>
        <w:ind w:left="420"/>
        <w:textAlignment w:val="auto"/>
        <w:rPr>
          <w:sz w:val="21"/>
          <w:szCs w:val="21"/>
        </w:rPr>
      </w:pPr>
      <w:r>
        <w:rPr>
          <w:sz w:val="21"/>
          <w:szCs w:val="21"/>
          <w:shd w:val="clear" w:color="auto" w:fill="FFFFFF"/>
        </w:rPr>
        <w:t>产品质量保证书，内容如下</w:t>
      </w:r>
      <w:r>
        <w:rPr>
          <w:sz w:val="21"/>
          <w:szCs w:val="21"/>
        </w:rPr>
        <w:t>：</w:t>
      </w:r>
    </w:p>
    <w:p>
      <w:pPr>
        <w:tabs>
          <w:tab w:val="left" w:pos="780"/>
        </w:tabs>
        <w:adjustRightInd/>
        <w:spacing w:line="240" w:lineRule="auto"/>
        <w:ind w:firstLine="840" w:firstLineChars="400"/>
        <w:textAlignment w:val="auto"/>
        <w:rPr>
          <w:sz w:val="21"/>
          <w:szCs w:val="21"/>
        </w:rPr>
      </w:pPr>
      <w:r>
        <w:rPr>
          <w:rFonts w:hint="eastAsia" w:ascii="宋体" w:hAnsi="宋体" w:cs="宋体"/>
          <w:sz w:val="21"/>
          <w:szCs w:val="21"/>
        </w:rPr>
        <w:t>·</w:t>
      </w:r>
      <w:r>
        <w:rPr>
          <w:sz w:val="21"/>
          <w:szCs w:val="21"/>
        </w:rPr>
        <w:t xml:space="preserve"> 产品的主要性能及技术参数；</w:t>
      </w:r>
    </w:p>
    <w:p>
      <w:pPr>
        <w:tabs>
          <w:tab w:val="left" w:pos="780"/>
        </w:tabs>
        <w:adjustRightInd/>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产品特点（包括制造工艺及原材料的特点）；</w:t>
      </w:r>
    </w:p>
    <w:p>
      <w:pPr>
        <w:tabs>
          <w:tab w:val="left" w:pos="780"/>
        </w:tabs>
        <w:adjustRightInd/>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对产品质量所负的责任；</w:t>
      </w:r>
    </w:p>
    <w:p>
      <w:pPr>
        <w:tabs>
          <w:tab w:val="left" w:pos="780"/>
        </w:tabs>
        <w:adjustRightInd/>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产品获得的质量认证及</w:t>
      </w:r>
      <w:r>
        <w:rPr>
          <w:sz w:val="21"/>
          <w:szCs w:val="21"/>
          <w:shd w:val="clear" w:color="auto" w:fill="FFFFFF"/>
        </w:rPr>
        <w:t>带</w:t>
      </w:r>
      <w:r>
        <w:rPr>
          <w:sz w:val="21"/>
          <w:szCs w:val="21"/>
        </w:rPr>
        <w:t>供方技术监督部门检印的各项分析检验结果。</w:t>
      </w:r>
    </w:p>
    <w:p>
      <w:pPr>
        <w:numPr>
          <w:ilvl w:val="0"/>
          <w:numId w:val="2"/>
        </w:numPr>
        <w:tabs>
          <w:tab w:val="left" w:pos="780"/>
        </w:tabs>
        <w:adjustRightInd/>
        <w:spacing w:line="240" w:lineRule="auto"/>
        <w:ind w:left="420"/>
        <w:textAlignment w:val="auto"/>
        <w:rPr>
          <w:sz w:val="21"/>
          <w:szCs w:val="21"/>
        </w:rPr>
      </w:pPr>
      <w:r>
        <w:rPr>
          <w:sz w:val="21"/>
          <w:szCs w:val="21"/>
          <w:shd w:val="clear" w:color="auto" w:fill="FFFFFF"/>
        </w:rPr>
        <w:t>产品合格证，内容如下：</w:t>
      </w:r>
    </w:p>
    <w:p>
      <w:pPr>
        <w:tabs>
          <w:tab w:val="left" w:pos="780"/>
        </w:tabs>
        <w:adjustRightInd/>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检验项目及其结果或检验结论；</w:t>
      </w:r>
    </w:p>
    <w:p>
      <w:pPr>
        <w:tabs>
          <w:tab w:val="left" w:pos="780"/>
        </w:tabs>
        <w:adjustRightInd/>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批量或批号；</w:t>
      </w:r>
    </w:p>
    <w:p>
      <w:pPr>
        <w:tabs>
          <w:tab w:val="left" w:pos="780"/>
        </w:tabs>
        <w:adjustRightInd/>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检验日期；</w:t>
      </w:r>
    </w:p>
    <w:p>
      <w:pPr>
        <w:tabs>
          <w:tab w:val="left" w:pos="780"/>
        </w:tabs>
        <w:adjustRightInd/>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检验员签名或盖章。</w:t>
      </w:r>
    </w:p>
    <w:p>
      <w:pPr>
        <w:numPr>
          <w:ilvl w:val="0"/>
          <w:numId w:val="2"/>
        </w:numPr>
        <w:tabs>
          <w:tab w:val="left" w:pos="780"/>
        </w:tabs>
        <w:adjustRightInd/>
        <w:spacing w:line="240" w:lineRule="auto"/>
        <w:ind w:left="420"/>
        <w:textAlignment w:val="auto"/>
        <w:rPr>
          <w:sz w:val="21"/>
          <w:szCs w:val="21"/>
        </w:rPr>
      </w:pPr>
      <w:r>
        <w:rPr>
          <w:sz w:val="21"/>
          <w:szCs w:val="21"/>
          <w:shd w:val="clear" w:color="auto" w:fill="FFFFFF"/>
        </w:rPr>
        <w:t>产品</w:t>
      </w:r>
      <w:r>
        <w:rPr>
          <w:sz w:val="21"/>
          <w:szCs w:val="21"/>
        </w:rPr>
        <w:t>质量控制过程中的检验报告及成品检验报告</w:t>
      </w:r>
      <w:r>
        <w:rPr>
          <w:sz w:val="21"/>
          <w:szCs w:val="21"/>
          <w:shd w:val="clear" w:color="auto" w:fill="FFFFFF"/>
        </w:rPr>
        <w:t>；</w:t>
      </w:r>
    </w:p>
    <w:p>
      <w:pPr>
        <w:numPr>
          <w:ilvl w:val="0"/>
          <w:numId w:val="2"/>
        </w:numPr>
        <w:tabs>
          <w:tab w:val="left" w:pos="780"/>
        </w:tabs>
        <w:adjustRightInd/>
        <w:spacing w:line="240" w:lineRule="auto"/>
        <w:ind w:left="420"/>
        <w:textAlignment w:val="auto"/>
        <w:rPr>
          <w:sz w:val="21"/>
          <w:szCs w:val="21"/>
        </w:rPr>
      </w:pPr>
      <w:r>
        <w:rPr>
          <w:sz w:val="21"/>
          <w:szCs w:val="21"/>
          <w:shd w:val="clear" w:color="auto" w:fill="FFFFFF"/>
        </w:rPr>
        <w:t>产品使用说明：正确搬运、使用、贮存方法等；</w:t>
      </w:r>
    </w:p>
    <w:p>
      <w:pPr>
        <w:numPr>
          <w:ilvl w:val="0"/>
          <w:numId w:val="2"/>
        </w:numPr>
        <w:tabs>
          <w:tab w:val="left" w:pos="780"/>
        </w:tabs>
        <w:adjustRightInd/>
        <w:spacing w:line="240" w:lineRule="auto"/>
        <w:ind w:left="420"/>
        <w:textAlignment w:val="auto"/>
        <w:rPr>
          <w:sz w:val="21"/>
          <w:szCs w:val="21"/>
        </w:rPr>
      </w:pPr>
      <w:r>
        <w:rPr>
          <w:sz w:val="21"/>
          <w:szCs w:val="21"/>
        </w:rPr>
        <w:t>其他。</w:t>
      </w:r>
    </w:p>
    <w:p>
      <w:pPr>
        <w:pStyle w:val="2"/>
        <w:spacing w:before="240" w:beforeLines="100" w:after="240" w:afterLines="100"/>
      </w:pPr>
      <w:r>
        <w:rPr>
          <w:rFonts w:hint="eastAsia"/>
        </w:rPr>
        <w:t>9  订货单内容</w:t>
      </w:r>
    </w:p>
    <w:p>
      <w:pPr>
        <w:snapToGrid w:val="0"/>
        <w:ind w:firstLine="450"/>
        <w:rPr>
          <w:rFonts w:ascii="宋体" w:hAnsi="宋体"/>
          <w:sz w:val="21"/>
          <w:szCs w:val="21"/>
        </w:rPr>
      </w:pPr>
      <w:r>
        <w:rPr>
          <w:rFonts w:hint="eastAsia" w:ascii="宋体" w:hAnsi="宋体"/>
          <w:sz w:val="21"/>
          <w:szCs w:val="21"/>
        </w:rPr>
        <w:t>订购本文件所列产品的合同（或订货单）应包括下列内容：</w:t>
      </w:r>
    </w:p>
    <w:p>
      <w:pPr>
        <w:numPr>
          <w:ilvl w:val="0"/>
          <w:numId w:val="3"/>
        </w:numPr>
        <w:snapToGrid w:val="0"/>
        <w:spacing w:line="240" w:lineRule="auto"/>
        <w:rPr>
          <w:rFonts w:ascii="宋体" w:hAnsi="宋体"/>
          <w:sz w:val="21"/>
          <w:szCs w:val="21"/>
        </w:rPr>
      </w:pPr>
      <w:r>
        <w:rPr>
          <w:rFonts w:hint="eastAsia" w:ascii="宋体" w:hAnsi="宋体"/>
          <w:sz w:val="21"/>
          <w:szCs w:val="21"/>
        </w:rPr>
        <w:t>产品名称；</w:t>
      </w:r>
    </w:p>
    <w:p>
      <w:pPr>
        <w:numPr>
          <w:ilvl w:val="0"/>
          <w:numId w:val="3"/>
        </w:numPr>
        <w:snapToGrid w:val="0"/>
        <w:spacing w:line="240" w:lineRule="auto"/>
        <w:rPr>
          <w:rFonts w:ascii="宋体" w:hAnsi="宋体"/>
          <w:sz w:val="21"/>
          <w:szCs w:val="21"/>
        </w:rPr>
      </w:pPr>
      <w:r>
        <w:rPr>
          <w:rFonts w:hint="eastAsia" w:ascii="宋体" w:hAnsi="宋体"/>
          <w:sz w:val="21"/>
          <w:szCs w:val="21"/>
        </w:rPr>
        <w:t>牌号；</w:t>
      </w:r>
    </w:p>
    <w:p>
      <w:pPr>
        <w:numPr>
          <w:ilvl w:val="0"/>
          <w:numId w:val="3"/>
        </w:numPr>
        <w:snapToGrid w:val="0"/>
        <w:spacing w:line="240" w:lineRule="auto"/>
        <w:rPr>
          <w:rFonts w:ascii="宋体" w:hAnsi="宋体"/>
          <w:sz w:val="21"/>
          <w:szCs w:val="21"/>
        </w:rPr>
      </w:pPr>
      <w:r>
        <w:rPr>
          <w:rFonts w:hint="eastAsia" w:ascii="宋体" w:hAnsi="宋体"/>
          <w:sz w:val="21"/>
          <w:szCs w:val="21"/>
        </w:rPr>
        <w:t>状态；</w:t>
      </w:r>
    </w:p>
    <w:p>
      <w:pPr>
        <w:numPr>
          <w:ilvl w:val="0"/>
          <w:numId w:val="3"/>
        </w:numPr>
        <w:snapToGrid w:val="0"/>
        <w:spacing w:line="240" w:lineRule="auto"/>
        <w:rPr>
          <w:rFonts w:ascii="宋体" w:hAnsi="宋体"/>
          <w:sz w:val="21"/>
          <w:szCs w:val="21"/>
        </w:rPr>
      </w:pPr>
      <w:r>
        <w:rPr>
          <w:rFonts w:hint="eastAsia" w:ascii="宋体" w:hAnsi="宋体"/>
          <w:sz w:val="21"/>
          <w:szCs w:val="21"/>
        </w:rPr>
        <w:t>尺寸规格；</w:t>
      </w:r>
    </w:p>
    <w:p>
      <w:pPr>
        <w:numPr>
          <w:ilvl w:val="0"/>
          <w:numId w:val="3"/>
        </w:numPr>
        <w:snapToGrid w:val="0"/>
        <w:spacing w:line="240" w:lineRule="auto"/>
        <w:rPr>
          <w:rFonts w:ascii="宋体" w:hAnsi="宋体"/>
          <w:sz w:val="21"/>
          <w:szCs w:val="21"/>
        </w:rPr>
      </w:pPr>
      <w:r>
        <w:rPr>
          <w:rFonts w:hint="eastAsia" w:ascii="宋体" w:hAnsi="宋体"/>
          <w:sz w:val="21"/>
          <w:szCs w:val="21"/>
        </w:rPr>
        <w:t>重量（或卷数）；</w:t>
      </w:r>
    </w:p>
    <w:p>
      <w:pPr>
        <w:numPr>
          <w:ilvl w:val="0"/>
          <w:numId w:val="3"/>
        </w:numPr>
        <w:snapToGrid w:val="0"/>
        <w:spacing w:line="240" w:lineRule="auto"/>
        <w:rPr>
          <w:rFonts w:ascii="宋体" w:hAnsi="宋体"/>
          <w:sz w:val="21"/>
          <w:szCs w:val="21"/>
        </w:rPr>
      </w:pPr>
      <w:r>
        <w:rPr>
          <w:rFonts w:hint="eastAsia" w:ascii="宋体" w:hAnsi="宋体"/>
          <w:sz w:val="21"/>
          <w:szCs w:val="21"/>
        </w:rPr>
        <w:t>规定塑性延伸强度（有要求时）；</w:t>
      </w:r>
    </w:p>
    <w:p>
      <w:pPr>
        <w:numPr>
          <w:ilvl w:val="0"/>
          <w:numId w:val="3"/>
        </w:numPr>
        <w:snapToGrid w:val="0"/>
        <w:spacing w:line="240" w:lineRule="auto"/>
        <w:rPr>
          <w:rFonts w:ascii="宋体" w:hAnsi="宋体"/>
          <w:sz w:val="21"/>
          <w:szCs w:val="21"/>
        </w:rPr>
      </w:pPr>
      <w:r>
        <w:rPr>
          <w:rFonts w:hint="eastAsia" w:ascii="宋体" w:hAnsi="宋体"/>
          <w:sz w:val="21"/>
          <w:szCs w:val="21"/>
        </w:rPr>
        <w:t>维氏硬度（有要求时）；</w:t>
      </w:r>
    </w:p>
    <w:p>
      <w:pPr>
        <w:numPr>
          <w:ilvl w:val="0"/>
          <w:numId w:val="3"/>
        </w:numPr>
        <w:snapToGrid w:val="0"/>
        <w:spacing w:line="240" w:lineRule="auto"/>
        <w:rPr>
          <w:rFonts w:ascii="宋体" w:hAnsi="宋体"/>
          <w:sz w:val="21"/>
          <w:szCs w:val="21"/>
        </w:rPr>
      </w:pPr>
      <w:r>
        <w:rPr>
          <w:rFonts w:hint="eastAsia" w:ascii="宋体" w:hAnsi="宋体"/>
          <w:sz w:val="21"/>
          <w:szCs w:val="21"/>
        </w:rPr>
        <w:t>晶粒度（有要求时）；</w:t>
      </w:r>
    </w:p>
    <w:p>
      <w:pPr>
        <w:numPr>
          <w:ilvl w:val="0"/>
          <w:numId w:val="3"/>
        </w:numPr>
        <w:snapToGrid w:val="0"/>
        <w:spacing w:line="240" w:lineRule="auto"/>
        <w:rPr>
          <w:rFonts w:ascii="宋体" w:hAnsi="宋体"/>
          <w:sz w:val="21"/>
          <w:szCs w:val="21"/>
        </w:rPr>
      </w:pPr>
      <w:r>
        <w:rPr>
          <w:rFonts w:hint="eastAsia" w:ascii="宋体" w:hAnsi="宋体"/>
          <w:sz w:val="21"/>
          <w:szCs w:val="21"/>
        </w:rPr>
        <w:t>本文件编号；</w:t>
      </w:r>
    </w:p>
    <w:p>
      <w:pPr>
        <w:numPr>
          <w:ilvl w:val="0"/>
          <w:numId w:val="3"/>
        </w:numPr>
        <w:snapToGrid w:val="0"/>
        <w:spacing w:line="240" w:lineRule="auto"/>
        <w:rPr>
          <w:sz w:val="21"/>
          <w:szCs w:val="21"/>
        </w:rPr>
      </w:pPr>
      <w:r>
        <w:rPr>
          <w:rFonts w:hint="eastAsia" w:ascii="宋体" w:hAnsi="宋体"/>
          <w:sz w:val="21"/>
          <w:szCs w:val="21"/>
        </w:rPr>
        <w:t>其他。</w:t>
      </w:r>
    </w:p>
    <w:p>
      <w:pPr>
        <w:tabs>
          <w:tab w:val="left" w:pos="2133"/>
        </w:tabs>
        <w:jc w:val="center"/>
        <w:rPr>
          <w:sz w:val="21"/>
          <w:szCs w:val="21"/>
        </w:rPr>
      </w:pPr>
      <w:r>
        <w:rPr>
          <w:sz w:val="21"/>
          <w:szCs w:val="21"/>
        </w:rPr>
        <w:pict>
          <v:line id="_x0000_s1130" o:spid="_x0000_s1130" o:spt="20" style="position:absolute;left:0pt;margin-left:177.05pt;margin-top:12.05pt;height:0pt;width:119.9pt;z-index:251662336;mso-width-relative:page;mso-height-relative:page;" coordsize="21600,21600">
            <v:path arrowok="t"/>
            <v:fill focussize="0,0"/>
            <v:stroke/>
            <v:imagedata o:title=""/>
            <o:lock v:ext="edit"/>
          </v:line>
        </w:pict>
      </w:r>
    </w:p>
    <w:p>
      <w:pPr>
        <w:tabs>
          <w:tab w:val="left" w:pos="2133"/>
        </w:tabs>
        <w:rPr>
          <w:sz w:val="21"/>
          <w:szCs w:val="21"/>
        </w:rPr>
      </w:pPr>
    </w:p>
    <w:sectPr>
      <w:headerReference r:id="rId11" w:type="first"/>
      <w:footerReference r:id="rId12" w:type="first"/>
      <w:headerReference r:id="rId10" w:type="default"/>
      <w:pgSz w:w="11907" w:h="16840"/>
      <w:pgMar w:top="1440" w:right="1134" w:bottom="1440" w:left="1418" w:header="1588"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标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4</w:t>
    </w:r>
    <w:r>
      <w:rPr>
        <w:rStyle w:val="28"/>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3</w:t>
    </w:r>
    <w:r>
      <w:rPr>
        <w:rStyle w:val="28"/>
      </w:rPr>
      <w:fldChar w:fldCharType="end"/>
    </w:r>
  </w:p>
  <w:p>
    <w:pPr>
      <w:pStyle w:val="17"/>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20"/>
      </w:rPr>
      <w:pict>
        <v:shape id="_x0000_s2049" o:spid="_x0000_s2049" o:spt="202" type="#_x0000_t202" style="position:absolute;left:0pt;margin-left:0pt;margin-top:-12.75pt;height:24.45pt;width:96pt;mso-wrap-distance-bottom:0pt;mso-wrap-distance-left:9pt;mso-wrap-distance-right:9pt;mso-wrap-distance-top:0pt;z-index:251662336;mso-width-relative:page;mso-height-relative:page;" stroked="f" coordsize="21600,21600">
          <v:path/>
          <v:fill focussize="0,0"/>
          <v:stroke on="f" joinstyle="miter"/>
          <v:imagedata o:title=""/>
          <o:lock v:ext="edit"/>
          <v:textbox>
            <w:txbxContent>
              <w:p>
                <w:pPr>
                  <w:rPr>
                    <w:sz w:val="18"/>
                  </w:rPr>
                </w:pPr>
                <w:r>
                  <w:rPr>
                    <w:rFonts w:hint="eastAsia"/>
                    <w:sz w:val="18"/>
                  </w:rPr>
                  <w:t>GB/T 8888－2002</w:t>
                </w:r>
              </w:p>
            </w:txbxContent>
          </v:textbox>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44826CF9"/>
    <w:multiLevelType w:val="multilevel"/>
    <w:tmpl w:val="44826CF9"/>
    <w:lvl w:ilvl="0" w:tentative="0">
      <w:start w:val="1"/>
      <w:numFmt w:val="lowerLetter"/>
      <w:lvlText w:val="%1）"/>
      <w:lvlJc w:val="left"/>
      <w:pPr>
        <w:tabs>
          <w:tab w:val="left" w:pos="840"/>
        </w:tabs>
        <w:ind w:left="840" w:hanging="36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1ZGZhM2IyYWRkMzA0MDQ5MWUwYzQwZDY5MmE4ZWEifQ=="/>
    <w:docVar w:name="DrawingValume" w:val="隐藏"/>
    <w:docVar w:name="GotoValume" w:val="隐藏"/>
    <w:docVar w:name="SXValume" w:val="隐藏"/>
  </w:docVars>
  <w:rsids>
    <w:rsidRoot w:val="006B4844"/>
    <w:rsid w:val="00000C00"/>
    <w:rsid w:val="000166A1"/>
    <w:rsid w:val="000227C1"/>
    <w:rsid w:val="00036A50"/>
    <w:rsid w:val="0003717A"/>
    <w:rsid w:val="00040E7A"/>
    <w:rsid w:val="00051C47"/>
    <w:rsid w:val="000624C4"/>
    <w:rsid w:val="0007496D"/>
    <w:rsid w:val="0008672F"/>
    <w:rsid w:val="000A2580"/>
    <w:rsid w:val="000A7F36"/>
    <w:rsid w:val="000B1328"/>
    <w:rsid w:val="000B36DB"/>
    <w:rsid w:val="000B44E5"/>
    <w:rsid w:val="000B577E"/>
    <w:rsid w:val="000B5FBF"/>
    <w:rsid w:val="000B76AA"/>
    <w:rsid w:val="000C1C75"/>
    <w:rsid w:val="000C49F5"/>
    <w:rsid w:val="000E3860"/>
    <w:rsid w:val="00100C0B"/>
    <w:rsid w:val="0010128B"/>
    <w:rsid w:val="001101C9"/>
    <w:rsid w:val="00121A6E"/>
    <w:rsid w:val="00122E71"/>
    <w:rsid w:val="00141906"/>
    <w:rsid w:val="00147BDA"/>
    <w:rsid w:val="00153B57"/>
    <w:rsid w:val="001576A1"/>
    <w:rsid w:val="00167592"/>
    <w:rsid w:val="00185888"/>
    <w:rsid w:val="001A0AF5"/>
    <w:rsid w:val="001B1173"/>
    <w:rsid w:val="001C2FC2"/>
    <w:rsid w:val="001D53E4"/>
    <w:rsid w:val="001F16DA"/>
    <w:rsid w:val="001F670E"/>
    <w:rsid w:val="00203961"/>
    <w:rsid w:val="00213765"/>
    <w:rsid w:val="00214CE8"/>
    <w:rsid w:val="00222EF8"/>
    <w:rsid w:val="002548EE"/>
    <w:rsid w:val="00267597"/>
    <w:rsid w:val="00272AEB"/>
    <w:rsid w:val="002768EB"/>
    <w:rsid w:val="00280D1E"/>
    <w:rsid w:val="00283521"/>
    <w:rsid w:val="00283842"/>
    <w:rsid w:val="00284541"/>
    <w:rsid w:val="002905CA"/>
    <w:rsid w:val="002A4513"/>
    <w:rsid w:val="002B3B2C"/>
    <w:rsid w:val="002B7790"/>
    <w:rsid w:val="002B7EFA"/>
    <w:rsid w:val="00301D53"/>
    <w:rsid w:val="00310B9C"/>
    <w:rsid w:val="003145FF"/>
    <w:rsid w:val="00325204"/>
    <w:rsid w:val="00334371"/>
    <w:rsid w:val="00336BD7"/>
    <w:rsid w:val="00343CEB"/>
    <w:rsid w:val="00346040"/>
    <w:rsid w:val="003647B4"/>
    <w:rsid w:val="00373F99"/>
    <w:rsid w:val="00375C07"/>
    <w:rsid w:val="00375FC1"/>
    <w:rsid w:val="003764F0"/>
    <w:rsid w:val="00382E5A"/>
    <w:rsid w:val="00395AC5"/>
    <w:rsid w:val="00396433"/>
    <w:rsid w:val="003B5310"/>
    <w:rsid w:val="003F0549"/>
    <w:rsid w:val="00400DCC"/>
    <w:rsid w:val="00421DE2"/>
    <w:rsid w:val="00432D5D"/>
    <w:rsid w:val="00435EFD"/>
    <w:rsid w:val="00445112"/>
    <w:rsid w:val="0046035F"/>
    <w:rsid w:val="00462474"/>
    <w:rsid w:val="00474F0D"/>
    <w:rsid w:val="004764F4"/>
    <w:rsid w:val="00477BDA"/>
    <w:rsid w:val="00497D3D"/>
    <w:rsid w:val="004A1A12"/>
    <w:rsid w:val="004B1F1C"/>
    <w:rsid w:val="004B3DB9"/>
    <w:rsid w:val="004D1C11"/>
    <w:rsid w:val="004D34AD"/>
    <w:rsid w:val="004D5408"/>
    <w:rsid w:val="004E3C1D"/>
    <w:rsid w:val="004E7173"/>
    <w:rsid w:val="00502EBB"/>
    <w:rsid w:val="005254CC"/>
    <w:rsid w:val="00565818"/>
    <w:rsid w:val="00571BBA"/>
    <w:rsid w:val="00572149"/>
    <w:rsid w:val="00575A70"/>
    <w:rsid w:val="005907DF"/>
    <w:rsid w:val="005B1919"/>
    <w:rsid w:val="005B577F"/>
    <w:rsid w:val="005C4C57"/>
    <w:rsid w:val="005C745F"/>
    <w:rsid w:val="005D3168"/>
    <w:rsid w:val="00601793"/>
    <w:rsid w:val="00624090"/>
    <w:rsid w:val="00624784"/>
    <w:rsid w:val="00630C61"/>
    <w:rsid w:val="00637B18"/>
    <w:rsid w:val="00643BA3"/>
    <w:rsid w:val="00644F17"/>
    <w:rsid w:val="00660771"/>
    <w:rsid w:val="00675C0C"/>
    <w:rsid w:val="006779D7"/>
    <w:rsid w:val="006807B7"/>
    <w:rsid w:val="00687114"/>
    <w:rsid w:val="006B1CBE"/>
    <w:rsid w:val="006B4844"/>
    <w:rsid w:val="006B6D23"/>
    <w:rsid w:val="006E3889"/>
    <w:rsid w:val="006E5B8C"/>
    <w:rsid w:val="006F31CD"/>
    <w:rsid w:val="006F4C07"/>
    <w:rsid w:val="00704F2A"/>
    <w:rsid w:val="00707E2C"/>
    <w:rsid w:val="00710CE1"/>
    <w:rsid w:val="00713300"/>
    <w:rsid w:val="0072777D"/>
    <w:rsid w:val="007301CD"/>
    <w:rsid w:val="00734A2D"/>
    <w:rsid w:val="00764615"/>
    <w:rsid w:val="007646FF"/>
    <w:rsid w:val="007660E4"/>
    <w:rsid w:val="00766287"/>
    <w:rsid w:val="007662D1"/>
    <w:rsid w:val="00767BDC"/>
    <w:rsid w:val="007C23D3"/>
    <w:rsid w:val="007C5844"/>
    <w:rsid w:val="007D01DE"/>
    <w:rsid w:val="007D08DE"/>
    <w:rsid w:val="007E57F6"/>
    <w:rsid w:val="00804FE6"/>
    <w:rsid w:val="00814CAF"/>
    <w:rsid w:val="00825821"/>
    <w:rsid w:val="00825EBC"/>
    <w:rsid w:val="0083728D"/>
    <w:rsid w:val="0085269B"/>
    <w:rsid w:val="008C782E"/>
    <w:rsid w:val="008D1054"/>
    <w:rsid w:val="008E13AB"/>
    <w:rsid w:val="008F2EE2"/>
    <w:rsid w:val="008F7E96"/>
    <w:rsid w:val="00900C6B"/>
    <w:rsid w:val="0091009F"/>
    <w:rsid w:val="00933B4F"/>
    <w:rsid w:val="00933E54"/>
    <w:rsid w:val="00952C45"/>
    <w:rsid w:val="00957EA5"/>
    <w:rsid w:val="00961285"/>
    <w:rsid w:val="009716BF"/>
    <w:rsid w:val="009907DB"/>
    <w:rsid w:val="009952FD"/>
    <w:rsid w:val="009A657F"/>
    <w:rsid w:val="009B4F1C"/>
    <w:rsid w:val="009B72FA"/>
    <w:rsid w:val="009C1EFC"/>
    <w:rsid w:val="009D5010"/>
    <w:rsid w:val="00A02B56"/>
    <w:rsid w:val="00A04FAF"/>
    <w:rsid w:val="00A050B0"/>
    <w:rsid w:val="00A0687E"/>
    <w:rsid w:val="00A07329"/>
    <w:rsid w:val="00A12FF4"/>
    <w:rsid w:val="00A24C58"/>
    <w:rsid w:val="00A34FAB"/>
    <w:rsid w:val="00A353EC"/>
    <w:rsid w:val="00A51139"/>
    <w:rsid w:val="00A63F41"/>
    <w:rsid w:val="00A76FFE"/>
    <w:rsid w:val="00A775C0"/>
    <w:rsid w:val="00A81AB1"/>
    <w:rsid w:val="00A86A9E"/>
    <w:rsid w:val="00AA4295"/>
    <w:rsid w:val="00AA7A25"/>
    <w:rsid w:val="00AB7D43"/>
    <w:rsid w:val="00AE2740"/>
    <w:rsid w:val="00AF16B3"/>
    <w:rsid w:val="00AF5F33"/>
    <w:rsid w:val="00AF60F5"/>
    <w:rsid w:val="00AF7382"/>
    <w:rsid w:val="00B11A37"/>
    <w:rsid w:val="00B2269B"/>
    <w:rsid w:val="00B247AC"/>
    <w:rsid w:val="00B4233C"/>
    <w:rsid w:val="00B52986"/>
    <w:rsid w:val="00B635B6"/>
    <w:rsid w:val="00B636FA"/>
    <w:rsid w:val="00B66F72"/>
    <w:rsid w:val="00B71BE8"/>
    <w:rsid w:val="00B8011C"/>
    <w:rsid w:val="00B937D9"/>
    <w:rsid w:val="00B949D7"/>
    <w:rsid w:val="00BD3955"/>
    <w:rsid w:val="00BD586A"/>
    <w:rsid w:val="00BD65F7"/>
    <w:rsid w:val="00BD7D2A"/>
    <w:rsid w:val="00BE5315"/>
    <w:rsid w:val="00BF413F"/>
    <w:rsid w:val="00C0417C"/>
    <w:rsid w:val="00C062E6"/>
    <w:rsid w:val="00C17E34"/>
    <w:rsid w:val="00C36F3B"/>
    <w:rsid w:val="00C45152"/>
    <w:rsid w:val="00C52C9B"/>
    <w:rsid w:val="00C613D1"/>
    <w:rsid w:val="00C6499D"/>
    <w:rsid w:val="00C72398"/>
    <w:rsid w:val="00C754A6"/>
    <w:rsid w:val="00C75E95"/>
    <w:rsid w:val="00C90AF1"/>
    <w:rsid w:val="00C91B5C"/>
    <w:rsid w:val="00CA2771"/>
    <w:rsid w:val="00CA6949"/>
    <w:rsid w:val="00CC2E00"/>
    <w:rsid w:val="00CC2EB2"/>
    <w:rsid w:val="00CD575C"/>
    <w:rsid w:val="00CF3EEF"/>
    <w:rsid w:val="00D03978"/>
    <w:rsid w:val="00D2403C"/>
    <w:rsid w:val="00D40024"/>
    <w:rsid w:val="00D57456"/>
    <w:rsid w:val="00D656F6"/>
    <w:rsid w:val="00D743D7"/>
    <w:rsid w:val="00D745CB"/>
    <w:rsid w:val="00D773B1"/>
    <w:rsid w:val="00D81C14"/>
    <w:rsid w:val="00D826FE"/>
    <w:rsid w:val="00D904D1"/>
    <w:rsid w:val="00D9480D"/>
    <w:rsid w:val="00D949E7"/>
    <w:rsid w:val="00DC2B51"/>
    <w:rsid w:val="00DC76A8"/>
    <w:rsid w:val="00E069F6"/>
    <w:rsid w:val="00E112A2"/>
    <w:rsid w:val="00E53D10"/>
    <w:rsid w:val="00E62F66"/>
    <w:rsid w:val="00E8032C"/>
    <w:rsid w:val="00EB51F1"/>
    <w:rsid w:val="00EC5383"/>
    <w:rsid w:val="00EC72ED"/>
    <w:rsid w:val="00ED0CAD"/>
    <w:rsid w:val="00ED6A9A"/>
    <w:rsid w:val="00ED7417"/>
    <w:rsid w:val="00F80ABA"/>
    <w:rsid w:val="00F97AE7"/>
    <w:rsid w:val="00FA3AA2"/>
    <w:rsid w:val="00FA479B"/>
    <w:rsid w:val="00FE770F"/>
    <w:rsid w:val="00FF41FD"/>
    <w:rsid w:val="065602CF"/>
    <w:rsid w:val="0A282776"/>
    <w:rsid w:val="0C2312B7"/>
    <w:rsid w:val="1086000E"/>
    <w:rsid w:val="12D32707"/>
    <w:rsid w:val="18EE37D2"/>
    <w:rsid w:val="19B36CFE"/>
    <w:rsid w:val="27B501E1"/>
    <w:rsid w:val="27FF49EF"/>
    <w:rsid w:val="28636BAD"/>
    <w:rsid w:val="2B0C38FD"/>
    <w:rsid w:val="2B5E6C36"/>
    <w:rsid w:val="2BB726C8"/>
    <w:rsid w:val="305464CB"/>
    <w:rsid w:val="327445B4"/>
    <w:rsid w:val="372366B3"/>
    <w:rsid w:val="385E46DA"/>
    <w:rsid w:val="4C6B0108"/>
    <w:rsid w:val="4CCF3438"/>
    <w:rsid w:val="4EBF7E40"/>
    <w:rsid w:val="51B04FAC"/>
    <w:rsid w:val="53610E6E"/>
    <w:rsid w:val="54836753"/>
    <w:rsid w:val="573316AB"/>
    <w:rsid w:val="5E1F5886"/>
    <w:rsid w:val="63987F15"/>
    <w:rsid w:val="67780C55"/>
    <w:rsid w:val="69AD46FE"/>
    <w:rsid w:val="6FB23CC0"/>
    <w:rsid w:val="759E2889"/>
    <w:rsid w:val="797B7334"/>
    <w:rsid w:val="7BF65A00"/>
    <w:rsid w:val="7D43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qFormat/>
    <w:uiPriority w:val="0"/>
    <w:pPr>
      <w:keepLines/>
      <w:spacing w:before="120" w:after="120" w:line="240" w:lineRule="auto"/>
      <w:outlineLvl w:val="0"/>
    </w:pPr>
    <w:rPr>
      <w:rFonts w:ascii="黑体" w:hAnsi="Verdana" w:eastAsia="黑体"/>
      <w:sz w:val="21"/>
    </w:rPr>
  </w:style>
  <w:style w:type="paragraph" w:styleId="5">
    <w:name w:val="heading 2"/>
    <w:basedOn w:val="2"/>
    <w:next w:val="6"/>
    <w:qFormat/>
    <w:uiPriority w:val="0"/>
    <w:pPr>
      <w:spacing w:before="0" w:after="0"/>
      <w:outlineLvl w:val="1"/>
    </w:pPr>
    <w:rPr>
      <w:rFonts w:ascii="宋体" w:hAnsi="Times New Roman" w:eastAsia="宋体"/>
    </w:rPr>
  </w:style>
  <w:style w:type="paragraph" w:styleId="7">
    <w:name w:val="heading 3"/>
    <w:basedOn w:val="2"/>
    <w:next w:val="1"/>
    <w:qFormat/>
    <w:uiPriority w:val="0"/>
    <w:pPr>
      <w:keepLines w:val="0"/>
      <w:spacing w:before="0" w:after="0"/>
      <w:outlineLvl w:val="2"/>
    </w:pPr>
    <w:rPr>
      <w:rFonts w:ascii="宋体" w:hAnsi="Tahoma" w:eastAsia="宋体"/>
    </w:rPr>
  </w:style>
  <w:style w:type="paragraph" w:styleId="8">
    <w:name w:val="heading 4"/>
    <w:basedOn w:val="2"/>
    <w:next w:val="6"/>
    <w:qFormat/>
    <w:uiPriority w:val="0"/>
    <w:pPr>
      <w:keepNext/>
      <w:outlineLvl w:val="3"/>
    </w:pPr>
    <w:rPr>
      <w:rFonts w:ascii="宋体" w:hAnsi="Tahoma" w:eastAsia="宋体"/>
    </w:rPr>
  </w:style>
  <w:style w:type="paragraph" w:styleId="9">
    <w:name w:val="heading 5"/>
    <w:basedOn w:val="7"/>
    <w:next w:val="6"/>
    <w:qFormat/>
    <w:uiPriority w:val="0"/>
    <w:pPr>
      <w:outlineLvl w:val="4"/>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3">
    <w:name w:val="Body Text First Indent"/>
    <w:basedOn w:val="4"/>
    <w:qFormat/>
    <w:uiPriority w:val="0"/>
    <w:pPr>
      <w:spacing w:after="0" w:line="240" w:lineRule="auto"/>
    </w:pPr>
    <w:rPr>
      <w:rFonts w:ascii="宋体" w:hAnsi="宋体"/>
      <w:sz w:val="21"/>
      <w:szCs w:val="21"/>
    </w:rPr>
  </w:style>
  <w:style w:type="paragraph" w:styleId="4">
    <w:name w:val="Body Text"/>
    <w:basedOn w:val="1"/>
    <w:qFormat/>
    <w:uiPriority w:val="0"/>
    <w:pPr>
      <w:spacing w:after="120"/>
    </w:pPr>
  </w:style>
  <w:style w:type="paragraph" w:styleId="6">
    <w:name w:val="Normal Indent"/>
    <w:basedOn w:val="1"/>
    <w:qFormat/>
    <w:uiPriority w:val="0"/>
    <w:pPr>
      <w:spacing w:line="240" w:lineRule="auto"/>
      <w:jc w:val="both"/>
    </w:pPr>
    <w:rPr>
      <w:sz w:val="21"/>
      <w:szCs w:val="21"/>
    </w:rPr>
  </w:style>
  <w:style w:type="paragraph" w:styleId="10">
    <w:name w:val="toc 7"/>
    <w:basedOn w:val="1"/>
    <w:next w:val="1"/>
    <w:semiHidden/>
    <w:qFormat/>
    <w:uiPriority w:val="0"/>
    <w:pPr>
      <w:ind w:left="1440"/>
    </w:pPr>
    <w:rPr>
      <w:szCs w:val="21"/>
    </w:rPr>
  </w:style>
  <w:style w:type="paragraph" w:styleId="11">
    <w:name w:val="caption"/>
    <w:basedOn w:val="1"/>
    <w:next w:val="1"/>
    <w:qFormat/>
    <w:uiPriority w:val="0"/>
    <w:pPr>
      <w:spacing w:before="152" w:after="160"/>
      <w:jc w:val="center"/>
    </w:pPr>
    <w:rPr>
      <w:rFonts w:ascii="Arial" w:hAnsi="Arial" w:eastAsia="黑体"/>
      <w:sz w:val="21"/>
    </w:rPr>
  </w:style>
  <w:style w:type="paragraph" w:styleId="12">
    <w:name w:val="Body Text Indent"/>
    <w:basedOn w:val="1"/>
    <w:link w:val="40"/>
    <w:qFormat/>
    <w:uiPriority w:val="0"/>
    <w:pPr>
      <w:spacing w:after="120"/>
      <w:ind w:left="420" w:leftChars="200"/>
    </w:pPr>
  </w:style>
  <w:style w:type="paragraph" w:styleId="13">
    <w:name w:val="toc 5"/>
    <w:basedOn w:val="1"/>
    <w:next w:val="1"/>
    <w:semiHidden/>
    <w:qFormat/>
    <w:uiPriority w:val="0"/>
    <w:pPr>
      <w:ind w:left="960"/>
    </w:pPr>
    <w:rPr>
      <w:szCs w:val="21"/>
    </w:rPr>
  </w:style>
  <w:style w:type="paragraph" w:styleId="14">
    <w:name w:val="toc 3"/>
    <w:basedOn w:val="1"/>
    <w:next w:val="1"/>
    <w:semiHidden/>
    <w:uiPriority w:val="0"/>
    <w:pPr>
      <w:ind w:left="480"/>
    </w:pPr>
    <w:rPr>
      <w:i/>
      <w:iCs/>
      <w:szCs w:val="24"/>
    </w:rPr>
  </w:style>
  <w:style w:type="paragraph" w:styleId="15">
    <w:name w:val="toc 8"/>
    <w:basedOn w:val="1"/>
    <w:next w:val="1"/>
    <w:semiHidden/>
    <w:uiPriority w:val="0"/>
    <w:pPr>
      <w:ind w:left="1680"/>
    </w:pPr>
    <w:rPr>
      <w:szCs w:val="21"/>
    </w:rPr>
  </w:style>
  <w:style w:type="paragraph" w:styleId="16">
    <w:name w:val="Date"/>
    <w:basedOn w:val="1"/>
    <w:next w:val="1"/>
    <w:link w:val="42"/>
    <w:uiPriority w:val="0"/>
    <w:pPr>
      <w:ind w:left="100" w:leftChars="2500"/>
    </w:pPr>
  </w:style>
  <w:style w:type="paragraph" w:styleId="17">
    <w:name w:val="footer"/>
    <w:basedOn w:val="1"/>
    <w:qFormat/>
    <w:uiPriority w:val="0"/>
    <w:pPr>
      <w:tabs>
        <w:tab w:val="center" w:pos="4153"/>
        <w:tab w:val="right" w:pos="8306"/>
      </w:tabs>
      <w:spacing w:line="240" w:lineRule="atLeast"/>
    </w:pPr>
    <w:rPr>
      <w:sz w:val="18"/>
    </w:rPr>
  </w:style>
  <w:style w:type="paragraph" w:styleId="18">
    <w:name w:val="header"/>
    <w:basedOn w:val="1"/>
    <w:qFormat/>
    <w:uiPriority w:val="0"/>
    <w:pPr>
      <w:tabs>
        <w:tab w:val="center" w:pos="4153"/>
        <w:tab w:val="right" w:pos="8306"/>
      </w:tabs>
      <w:spacing w:line="240" w:lineRule="atLeast"/>
      <w:jc w:val="center"/>
    </w:pPr>
    <w:rPr>
      <w:sz w:val="18"/>
    </w:rPr>
  </w:style>
  <w:style w:type="paragraph" w:styleId="19">
    <w:name w:val="toc 1"/>
    <w:basedOn w:val="1"/>
    <w:next w:val="1"/>
    <w:semiHidden/>
    <w:qFormat/>
    <w:uiPriority w:val="0"/>
    <w:pPr>
      <w:spacing w:before="120" w:after="120" w:line="240" w:lineRule="auto"/>
      <w:ind w:firstLine="105" w:firstLineChars="50"/>
    </w:pPr>
    <w:rPr>
      <w:bCs/>
      <w:caps/>
      <w:sz w:val="21"/>
      <w:szCs w:val="24"/>
    </w:rPr>
  </w:style>
  <w:style w:type="paragraph" w:styleId="20">
    <w:name w:val="toc 4"/>
    <w:basedOn w:val="1"/>
    <w:next w:val="1"/>
    <w:semiHidden/>
    <w:qFormat/>
    <w:uiPriority w:val="0"/>
    <w:pPr>
      <w:ind w:left="720"/>
    </w:pPr>
    <w:rPr>
      <w:szCs w:val="21"/>
    </w:rPr>
  </w:style>
  <w:style w:type="paragraph" w:styleId="21">
    <w:name w:val="toc 6"/>
    <w:basedOn w:val="1"/>
    <w:next w:val="1"/>
    <w:semiHidden/>
    <w:qFormat/>
    <w:uiPriority w:val="0"/>
    <w:pPr>
      <w:ind w:left="1200"/>
    </w:pPr>
    <w:rPr>
      <w:szCs w:val="21"/>
    </w:rPr>
  </w:style>
  <w:style w:type="paragraph" w:styleId="22">
    <w:name w:val="toc 2"/>
    <w:basedOn w:val="1"/>
    <w:next w:val="1"/>
    <w:semiHidden/>
    <w:qFormat/>
    <w:uiPriority w:val="0"/>
    <w:pPr>
      <w:ind w:left="240"/>
    </w:pPr>
    <w:rPr>
      <w:smallCaps/>
      <w:szCs w:val="24"/>
    </w:rPr>
  </w:style>
  <w:style w:type="paragraph" w:styleId="23">
    <w:name w:val="toc 9"/>
    <w:basedOn w:val="1"/>
    <w:next w:val="1"/>
    <w:semiHidden/>
    <w:qFormat/>
    <w:uiPriority w:val="0"/>
    <w:pPr>
      <w:ind w:left="1920"/>
    </w:pPr>
    <w:rPr>
      <w:szCs w:val="21"/>
    </w:rPr>
  </w:style>
  <w:style w:type="paragraph" w:styleId="24">
    <w:name w:val="Body Text 2"/>
    <w:basedOn w:val="1"/>
    <w:qFormat/>
    <w:uiPriority w:val="0"/>
    <w:pPr>
      <w:spacing w:line="240" w:lineRule="auto"/>
      <w:jc w:val="center"/>
    </w:pPr>
    <w:rPr>
      <w:sz w:val="21"/>
    </w:rPr>
  </w:style>
  <w:style w:type="table" w:styleId="26">
    <w:name w:val="Table Grid"/>
    <w:basedOn w:val="25"/>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customStyle="1" w:styleId="31">
    <w:name w:val="注释"/>
    <w:qFormat/>
    <w:uiPriority w:val="0"/>
    <w:rPr>
      <w:rFonts w:ascii="Times New Roman" w:eastAsia="宋体"/>
      <w:sz w:val="18"/>
    </w:rPr>
  </w:style>
  <w:style w:type="character" w:customStyle="1" w:styleId="32">
    <w:name w:val="图中文字"/>
    <w:qFormat/>
    <w:uiPriority w:val="0"/>
    <w:rPr>
      <w:rFonts w:ascii="Times New Roman" w:eastAsia="宋体"/>
      <w:sz w:val="15"/>
    </w:rPr>
  </w:style>
  <w:style w:type="paragraph" w:customStyle="1" w:styleId="33">
    <w:name w:val="篇"/>
    <w:basedOn w:val="1"/>
    <w:next w:val="1"/>
    <w:qFormat/>
    <w:uiPriority w:val="0"/>
    <w:pPr>
      <w:jc w:val="center"/>
    </w:pPr>
    <w:rPr>
      <w:rFonts w:eastAsia="黑体"/>
    </w:rPr>
  </w:style>
  <w:style w:type="paragraph" w:customStyle="1" w:styleId="34">
    <w:name w:val="编号文字"/>
    <w:basedOn w:val="4"/>
    <w:qFormat/>
    <w:uiPriority w:val="0"/>
    <w:pPr>
      <w:tabs>
        <w:tab w:val="left" w:pos="890"/>
      </w:tabs>
      <w:spacing w:after="0" w:line="240" w:lineRule="auto"/>
      <w:ind w:left="890" w:hanging="420"/>
    </w:pPr>
    <w:rPr>
      <w:sz w:val="21"/>
    </w:rPr>
  </w:style>
  <w:style w:type="paragraph" w:customStyle="1" w:styleId="35">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段 Char"/>
    <w:link w:val="35"/>
    <w:qFormat/>
    <w:uiPriority w:val="0"/>
    <w:rPr>
      <w:rFonts w:ascii="宋体"/>
      <w:sz w:val="21"/>
      <w:lang w:val="en-US" w:eastAsia="zh-CN" w:bidi="ar-SA"/>
    </w:rPr>
  </w:style>
  <w:style w:type="paragraph" w:customStyle="1" w:styleId="37">
    <w:name w:val="Char"/>
    <w:basedOn w:val="1"/>
    <w:qFormat/>
    <w:uiPriority w:val="0"/>
    <w:pPr>
      <w:widowControl/>
      <w:adjustRightInd/>
      <w:spacing w:after="160" w:line="240" w:lineRule="exact"/>
      <w:textAlignment w:val="auto"/>
    </w:pPr>
    <w:rPr>
      <w:rFonts w:ascii="Verdana" w:hAnsi="Verdana"/>
      <w:sz w:val="20"/>
      <w:lang w:eastAsia="en-US"/>
    </w:rPr>
  </w:style>
  <w:style w:type="character" w:customStyle="1" w:styleId="38">
    <w:name w:val="发布"/>
    <w:qFormat/>
    <w:uiPriority w:val="0"/>
    <w:rPr>
      <w:rFonts w:ascii="黑体" w:eastAsia="黑体"/>
      <w:spacing w:val="22"/>
      <w:w w:val="100"/>
      <w:position w:val="3"/>
      <w:sz w:val="28"/>
    </w:rPr>
  </w:style>
  <w:style w:type="paragraph" w:customStyle="1" w:styleId="3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40">
    <w:name w:val="正文文本缩进 字符"/>
    <w:link w:val="12"/>
    <w:uiPriority w:val="0"/>
    <w:rPr>
      <w:sz w:val="24"/>
    </w:rPr>
  </w:style>
  <w:style w:type="paragraph" w:styleId="41">
    <w:name w:val="List Paragraph"/>
    <w:basedOn w:val="1"/>
    <w:unhideWhenUsed/>
    <w:qFormat/>
    <w:uiPriority w:val="99"/>
    <w:pPr>
      <w:widowControl/>
      <w:adjustRightInd/>
      <w:spacing w:line="240" w:lineRule="auto"/>
      <w:ind w:firstLine="420" w:firstLineChars="200"/>
      <w:textAlignment w:val="auto"/>
    </w:pPr>
    <w:rPr>
      <w:sz w:val="20"/>
    </w:rPr>
  </w:style>
  <w:style w:type="character" w:customStyle="1" w:styleId="42">
    <w:name w:val="日期 字符"/>
    <w:link w:val="16"/>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30"/>
    <customShpInfo spid="_x0000_s1029"/>
    <customShpInfo spid="_x0000_s1031"/>
    <customShpInfo spid="_x0000_s1131"/>
    <customShpInfo spid="_x0000_s1132"/>
    <customShpInfo spid="_x0000_s11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0ABF-678E-40EF-B73B-7EB218FB8A43}">
  <ds:schemaRefs/>
</ds:datastoreItem>
</file>

<file path=docProps/app.xml><?xml version="1.0" encoding="utf-8"?>
<Properties xmlns="http://schemas.openxmlformats.org/officeDocument/2006/extended-properties" xmlns:vt="http://schemas.openxmlformats.org/officeDocument/2006/docPropsVTypes">
  <Template>gba4</Template>
  <Company> </Company>
  <Pages>9</Pages>
  <Words>3698</Words>
  <Characters>4808</Characters>
  <Lines>40</Lines>
  <Paragraphs>11</Paragraphs>
  <TotalTime>1</TotalTime>
  <ScaleCrop>false</ScaleCrop>
  <LinksUpToDate>false</LinksUpToDate>
  <CharactersWithSpaces>5102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2021-10-12T07:41:00Z</dcterms:created>
  <dc:creator>wsvsts</dc:creator>
  <cp:lastModifiedBy>Administrator</cp:lastModifiedBy>
  <cp:lastPrinted>2003-12-22T08:30:00Z</cp:lastPrinted>
  <dcterms:modified xsi:type="dcterms:W3CDTF">2022-11-10T07:40:43Z</dcterms:modified>
  <dc:title>UDC XXX</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934A8A1586554801951B8C3C3D51D7FF</vt:lpwstr>
  </property>
</Properties>
</file>