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sz w:val="44"/>
          <w:szCs w:val="44"/>
        </w:rPr>
      </w:pPr>
    </w:p>
    <w:p>
      <w:pPr>
        <w:spacing w:line="360" w:lineRule="auto"/>
        <w:rPr>
          <w:sz w:val="44"/>
          <w:szCs w:val="44"/>
        </w:rPr>
      </w:pPr>
    </w:p>
    <w:p>
      <w:pPr>
        <w:spacing w:line="360" w:lineRule="auto"/>
        <w:jc w:val="center"/>
        <w:rPr>
          <w:b/>
          <w:sz w:val="52"/>
          <w:szCs w:val="52"/>
        </w:rPr>
      </w:pPr>
      <w:r>
        <w:rPr>
          <w:b/>
          <w:sz w:val="52"/>
          <w:szCs w:val="52"/>
        </w:rPr>
        <w:t>《</w:t>
      </w:r>
      <w:r>
        <w:rPr>
          <w:rFonts w:hint="eastAsia" w:eastAsiaTheme="minorEastAsia"/>
          <w:b/>
          <w:sz w:val="52"/>
          <w:szCs w:val="52"/>
        </w:rPr>
        <w:t>铜基精密电阻合金牌号及化学成分</w:t>
      </w:r>
      <w:r>
        <w:rPr>
          <w:b/>
          <w:sz w:val="52"/>
          <w:szCs w:val="52"/>
        </w:rPr>
        <w:t>》</w:t>
      </w:r>
    </w:p>
    <w:p>
      <w:pPr>
        <w:spacing w:line="360" w:lineRule="auto"/>
        <w:jc w:val="center"/>
        <w:rPr>
          <w:b/>
          <w:sz w:val="52"/>
          <w:szCs w:val="52"/>
        </w:rPr>
      </w:pPr>
      <w:r>
        <w:rPr>
          <w:b/>
          <w:sz w:val="52"/>
          <w:szCs w:val="52"/>
        </w:rPr>
        <w:t>编制说明</w:t>
      </w:r>
    </w:p>
    <w:p>
      <w:pPr>
        <w:spacing w:line="360" w:lineRule="auto"/>
        <w:jc w:val="center"/>
        <w:rPr>
          <w:b/>
          <w:sz w:val="52"/>
          <w:szCs w:val="52"/>
        </w:rPr>
      </w:pPr>
    </w:p>
    <w:p>
      <w:pPr>
        <w:spacing w:line="360" w:lineRule="auto"/>
        <w:jc w:val="center"/>
        <w:rPr>
          <w:b/>
          <w:sz w:val="32"/>
        </w:rPr>
      </w:pPr>
      <w:r>
        <w:rPr>
          <w:b/>
          <w:sz w:val="32"/>
        </w:rPr>
        <w:t>（</w:t>
      </w:r>
      <w:r>
        <w:rPr>
          <w:rFonts w:hint="eastAsia"/>
          <w:b/>
          <w:sz w:val="32"/>
          <w:lang w:val="en-US" w:eastAsia="zh-CN"/>
        </w:rPr>
        <w:t>讨论</w:t>
      </w:r>
      <w:r>
        <w:rPr>
          <w:rFonts w:hint="eastAsia"/>
          <w:b/>
          <w:sz w:val="32"/>
        </w:rPr>
        <w:t>稿</w:t>
      </w:r>
      <w:r>
        <w:rPr>
          <w:b/>
          <w:sz w:val="32"/>
        </w:rPr>
        <w:t>）</w:t>
      </w: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32"/>
        </w:rPr>
      </w:pPr>
    </w:p>
    <w:p>
      <w:pPr>
        <w:spacing w:line="360" w:lineRule="auto"/>
        <w:jc w:val="center"/>
        <w:rPr>
          <w:b/>
          <w:sz w:val="44"/>
          <w:szCs w:val="44"/>
        </w:rPr>
      </w:pPr>
      <w:r>
        <w:rPr>
          <w:rFonts w:hint="eastAsia"/>
          <w:b/>
          <w:sz w:val="44"/>
          <w:szCs w:val="44"/>
        </w:rPr>
        <w:t>厦门</w:t>
      </w:r>
      <w:r>
        <w:rPr>
          <w:b/>
          <w:sz w:val="44"/>
          <w:szCs w:val="44"/>
        </w:rPr>
        <w:t>火炬特种金属材料有限公司</w:t>
      </w:r>
    </w:p>
    <w:p>
      <w:pPr>
        <w:spacing w:line="360" w:lineRule="auto"/>
        <w:jc w:val="center"/>
        <w:rPr>
          <w:b/>
          <w:sz w:val="32"/>
        </w:rPr>
      </w:pPr>
      <w:r>
        <w:rPr>
          <w:b/>
          <w:sz w:val="44"/>
          <w:szCs w:val="44"/>
        </w:rPr>
        <w:t>20</w:t>
      </w:r>
      <w:r>
        <w:rPr>
          <w:rFonts w:hint="eastAsia"/>
          <w:b/>
          <w:sz w:val="44"/>
          <w:szCs w:val="44"/>
        </w:rPr>
        <w:t>22</w:t>
      </w:r>
      <w:r>
        <w:rPr>
          <w:b/>
          <w:sz w:val="44"/>
          <w:szCs w:val="44"/>
        </w:rPr>
        <w:t>年</w:t>
      </w:r>
      <w:r>
        <w:rPr>
          <w:rFonts w:hint="eastAsia"/>
          <w:b/>
          <w:sz w:val="44"/>
          <w:szCs w:val="44"/>
          <w:lang w:val="en-US" w:eastAsia="zh-CN"/>
        </w:rPr>
        <w:t>11</w:t>
      </w:r>
      <w:r>
        <w:rPr>
          <w:b/>
          <w:sz w:val="44"/>
          <w:szCs w:val="44"/>
        </w:rPr>
        <w:t>月</w:t>
      </w:r>
    </w:p>
    <w:p>
      <w:pPr>
        <w:spacing w:line="360" w:lineRule="auto"/>
        <w:jc w:val="center"/>
        <w:rPr>
          <w:b/>
          <w:sz w:val="32"/>
        </w:rPr>
      </w:pPr>
    </w:p>
    <w:p>
      <w:pPr>
        <w:spacing w:line="360" w:lineRule="auto"/>
        <w:rPr>
          <w:sz w:val="32"/>
        </w:rPr>
      </w:pPr>
    </w:p>
    <w:p>
      <w:pPr>
        <w:spacing w:line="360" w:lineRule="auto"/>
        <w:rPr>
          <w:sz w:val="32"/>
        </w:rPr>
      </w:pPr>
    </w:p>
    <w:p>
      <w:pPr>
        <w:spacing w:after="240" w:line="360" w:lineRule="auto"/>
        <w:rPr>
          <w:b/>
          <w:bCs/>
          <w:szCs w:val="28"/>
        </w:rPr>
      </w:pPr>
      <w:r>
        <w:rPr>
          <w:rFonts w:hint="eastAsia"/>
          <w:b/>
          <w:bCs/>
          <w:szCs w:val="28"/>
        </w:rPr>
        <w:t>一、工作简况</w:t>
      </w:r>
    </w:p>
    <w:p>
      <w:pPr>
        <w:spacing w:before="240" w:line="360" w:lineRule="auto"/>
        <w:rPr>
          <w:b/>
          <w:bCs/>
          <w:szCs w:val="28"/>
        </w:rPr>
      </w:pPr>
      <w:r>
        <w:rPr>
          <w:rFonts w:hint="eastAsia"/>
          <w:b/>
          <w:bCs/>
          <w:szCs w:val="28"/>
        </w:rPr>
        <w:t xml:space="preserve">1.1 </w:t>
      </w:r>
      <w:r>
        <w:rPr>
          <w:b/>
          <w:bCs/>
          <w:szCs w:val="28"/>
        </w:rPr>
        <w:t>任务来源</w:t>
      </w:r>
    </w:p>
    <w:p>
      <w:pPr>
        <w:spacing w:before="240" w:line="360" w:lineRule="auto"/>
        <w:ind w:firstLine="420" w:firstLineChars="200"/>
        <w:rPr>
          <w:rFonts w:hint="eastAsia"/>
          <w:kern w:val="0"/>
          <w:szCs w:val="21"/>
        </w:rPr>
      </w:pPr>
      <w:r>
        <w:rPr>
          <w:rFonts w:hint="eastAsia"/>
          <w:kern w:val="0"/>
          <w:szCs w:val="21"/>
        </w:rPr>
        <w:t>信息技术产业是关乎国民经济安全和发展的战略性、基础性、先导性产业，也是世界主要国家高度重视、全力布局的竞争高地。电子元器件是支撑信息技术产业发展的基石，也是保障产业链供应链安全稳定的关键。精密电阻为控制传感电路不可或缺检流元件，在众多工业领域发挥着关键作用，如消费电子、汽车、5G通讯、轨道交通（高铁、地铁）及新能源等领域。当今世界工业进程中呈现的自动化、信息化与智能化潮流，使精密电阻产品得到更加广泛应用；在国防军工应用方面，超高精度贴片电阻器（SMD）已在运载火箭及战略、各型战术导弹惯性测量系统、通讯卫星及全球定位系统，甚至在神舟飞船上得到重要的应用。</w:t>
      </w:r>
    </w:p>
    <w:p>
      <w:pPr>
        <w:spacing w:before="240" w:line="360" w:lineRule="auto"/>
        <w:ind w:firstLine="420" w:firstLineChars="200"/>
        <w:rPr>
          <w:rFonts w:hint="eastAsia"/>
          <w:kern w:val="0"/>
          <w:szCs w:val="21"/>
        </w:rPr>
      </w:pPr>
      <w:r>
        <w:rPr>
          <w:rFonts w:hint="eastAsia"/>
          <w:kern w:val="0"/>
          <w:szCs w:val="21"/>
        </w:rPr>
        <w:t>时值国际政治形势发生深刻变化之际，国内精密电阻生产企业存在龙头企业匮乏、高端加工能力不强、创新能力不足及产业链不完整等问题，不仅严重制约着我国信息技术产业发展，而且导致我国新兴产业的发展受制于人，严重威胁着我国新兴产业生态及产业链安全。鉴于精密电阻产品对我国新兴产业及国防工业的重要性，高端精密电阻在工信部最新发布的《基础电子元器件产业发展行动计划（2021—2023年）》中被列为“重点产品高端提升之电路类元器件”。</w:t>
      </w:r>
    </w:p>
    <w:p>
      <w:pPr>
        <w:spacing w:before="240" w:line="360" w:lineRule="auto"/>
        <w:ind w:firstLine="420" w:firstLineChars="200"/>
        <w:rPr>
          <w:kern w:val="0"/>
          <w:szCs w:val="21"/>
        </w:rPr>
      </w:pPr>
      <w:r>
        <w:rPr>
          <w:kern w:val="0"/>
          <w:szCs w:val="21"/>
        </w:rPr>
        <w:t>根据</w:t>
      </w:r>
      <w:r>
        <w:rPr>
          <w:rFonts w:hint="eastAsia"/>
          <w:kern w:val="0"/>
          <w:szCs w:val="21"/>
        </w:rPr>
        <w:t>国家</w:t>
      </w:r>
      <w:r>
        <w:rPr>
          <w:kern w:val="0"/>
          <w:szCs w:val="21"/>
        </w:rPr>
        <w:t>标准化管理委员会《</w:t>
      </w:r>
      <w:r>
        <w:rPr>
          <w:rFonts w:hint="eastAsia"/>
          <w:kern w:val="0"/>
          <w:szCs w:val="21"/>
        </w:rPr>
        <w:t>国家</w:t>
      </w:r>
      <w:r>
        <w:rPr>
          <w:kern w:val="0"/>
          <w:szCs w:val="21"/>
        </w:rPr>
        <w:t>标准化管理委员会关于</w:t>
      </w:r>
      <w:r>
        <w:rPr>
          <w:rFonts w:hint="eastAsia"/>
          <w:kern w:val="0"/>
          <w:szCs w:val="21"/>
        </w:rPr>
        <w:t>下达</w:t>
      </w:r>
      <w:r>
        <w:rPr>
          <w:kern w:val="0"/>
          <w:szCs w:val="21"/>
        </w:rPr>
        <w:t>20</w:t>
      </w:r>
      <w:r>
        <w:rPr>
          <w:rFonts w:hint="eastAsia"/>
          <w:kern w:val="0"/>
          <w:szCs w:val="21"/>
        </w:rPr>
        <w:t>2</w:t>
      </w:r>
      <w:r>
        <w:rPr>
          <w:rFonts w:hint="eastAsia"/>
          <w:kern w:val="0"/>
          <w:szCs w:val="21"/>
          <w:lang w:val="en-US" w:eastAsia="zh-CN"/>
        </w:rPr>
        <w:t>1</w:t>
      </w:r>
      <w:r>
        <w:rPr>
          <w:kern w:val="0"/>
          <w:szCs w:val="21"/>
        </w:rPr>
        <w:t>年第四批推荐</w:t>
      </w:r>
      <w:r>
        <w:rPr>
          <w:rFonts w:hint="eastAsia"/>
          <w:kern w:val="0"/>
          <w:szCs w:val="21"/>
        </w:rPr>
        <w:t>国家</w:t>
      </w:r>
      <w:r>
        <w:rPr>
          <w:kern w:val="0"/>
          <w:szCs w:val="21"/>
        </w:rPr>
        <w:t>标准计划的通知》（</w:t>
      </w:r>
      <w:r>
        <w:rPr>
          <w:rFonts w:hint="eastAsia"/>
          <w:kern w:val="0"/>
          <w:szCs w:val="21"/>
        </w:rPr>
        <w:t>国标委</w:t>
      </w:r>
      <w:r>
        <w:rPr>
          <w:kern w:val="0"/>
          <w:szCs w:val="21"/>
        </w:rPr>
        <w:t>发[</w:t>
      </w:r>
      <w:r>
        <w:rPr>
          <w:rFonts w:hint="eastAsia"/>
          <w:kern w:val="0"/>
          <w:szCs w:val="21"/>
        </w:rPr>
        <w:t>202</w:t>
      </w:r>
      <w:r>
        <w:rPr>
          <w:rFonts w:hint="eastAsia"/>
          <w:kern w:val="0"/>
          <w:szCs w:val="21"/>
          <w:lang w:val="en-US" w:eastAsia="zh-CN"/>
        </w:rPr>
        <w:t>1</w:t>
      </w:r>
      <w:r>
        <w:rPr>
          <w:kern w:val="0"/>
          <w:szCs w:val="21"/>
        </w:rPr>
        <w:t>]</w:t>
      </w:r>
      <w:r>
        <w:rPr>
          <w:rFonts w:hint="eastAsia"/>
          <w:kern w:val="0"/>
          <w:szCs w:val="21"/>
          <w:lang w:val="en-US" w:eastAsia="zh-CN"/>
        </w:rPr>
        <w:t>41</w:t>
      </w:r>
      <w:r>
        <w:rPr>
          <w:kern w:val="0"/>
          <w:szCs w:val="21"/>
        </w:rPr>
        <w:t>号）的要求</w:t>
      </w:r>
      <w:r>
        <w:rPr>
          <w:rFonts w:hint="eastAsia"/>
          <w:kern w:val="0"/>
          <w:szCs w:val="21"/>
        </w:rPr>
        <w:t>，</w:t>
      </w:r>
      <w:r>
        <w:rPr>
          <w:kern w:val="0"/>
          <w:szCs w:val="21"/>
        </w:rPr>
        <w:t>及全国有色金属标准化技术委员会《关于转发20</w:t>
      </w:r>
      <w:r>
        <w:rPr>
          <w:rFonts w:hint="eastAsia"/>
          <w:kern w:val="0"/>
          <w:szCs w:val="21"/>
        </w:rPr>
        <w:t>2</w:t>
      </w:r>
      <w:r>
        <w:rPr>
          <w:rFonts w:hint="eastAsia"/>
          <w:kern w:val="0"/>
          <w:szCs w:val="21"/>
          <w:lang w:val="en-US" w:eastAsia="zh-CN"/>
        </w:rPr>
        <w:t>2</w:t>
      </w:r>
      <w:r>
        <w:rPr>
          <w:kern w:val="0"/>
          <w:szCs w:val="21"/>
        </w:rPr>
        <w:t>年第一批有色金属国家</w:t>
      </w:r>
      <w:r>
        <w:rPr>
          <w:rFonts w:hint="eastAsia"/>
          <w:kern w:val="0"/>
          <w:szCs w:val="21"/>
        </w:rPr>
        <w:t>、</w:t>
      </w:r>
      <w:r>
        <w:rPr>
          <w:kern w:val="0"/>
          <w:szCs w:val="21"/>
        </w:rPr>
        <w:t>行业标准、协会标准制（修）订项目计划的通知》</w:t>
      </w:r>
      <w:r>
        <w:rPr>
          <w:rFonts w:hint="eastAsia"/>
          <w:kern w:val="0"/>
          <w:szCs w:val="21"/>
        </w:rPr>
        <w:t>（</w:t>
      </w:r>
      <w:r>
        <w:rPr>
          <w:kern w:val="0"/>
          <w:szCs w:val="21"/>
        </w:rPr>
        <w:t>有色标委[20</w:t>
      </w:r>
      <w:r>
        <w:rPr>
          <w:rFonts w:hint="eastAsia"/>
          <w:kern w:val="0"/>
          <w:szCs w:val="21"/>
        </w:rPr>
        <w:t>2</w:t>
      </w:r>
      <w:r>
        <w:rPr>
          <w:rFonts w:hint="eastAsia"/>
          <w:kern w:val="0"/>
          <w:szCs w:val="21"/>
          <w:lang w:val="en-US" w:eastAsia="zh-CN"/>
        </w:rPr>
        <w:t>2</w:t>
      </w:r>
      <w:r>
        <w:rPr>
          <w:kern w:val="0"/>
          <w:szCs w:val="21"/>
        </w:rPr>
        <w:t>]</w:t>
      </w:r>
      <w:r>
        <w:rPr>
          <w:rFonts w:hint="eastAsia"/>
          <w:kern w:val="0"/>
          <w:szCs w:val="21"/>
          <w:lang w:val="en-US" w:eastAsia="zh-CN"/>
        </w:rPr>
        <w:t>10</w:t>
      </w:r>
      <w:r>
        <w:rPr>
          <w:rFonts w:hint="eastAsia"/>
          <w:kern w:val="0"/>
          <w:szCs w:val="21"/>
        </w:rPr>
        <w:t>2</w:t>
      </w:r>
      <w:r>
        <w:rPr>
          <w:kern w:val="0"/>
          <w:szCs w:val="21"/>
        </w:rPr>
        <w:t>号</w:t>
      </w:r>
      <w:r>
        <w:rPr>
          <w:rFonts w:hint="eastAsia"/>
          <w:kern w:val="0"/>
          <w:szCs w:val="21"/>
        </w:rPr>
        <w:t>）</w:t>
      </w:r>
      <w:r>
        <w:rPr>
          <w:kern w:val="0"/>
          <w:szCs w:val="21"/>
        </w:rPr>
        <w:t>的文件精神，</w:t>
      </w:r>
      <w:r>
        <w:rPr>
          <w:rFonts w:hint="eastAsia"/>
          <w:kern w:val="0"/>
          <w:szCs w:val="21"/>
        </w:rPr>
        <w:t xml:space="preserve"> YS/T XXXX—20XX</w:t>
      </w:r>
      <w:r>
        <w:rPr>
          <w:kern w:val="0"/>
          <w:szCs w:val="21"/>
        </w:rPr>
        <w:t>《</w:t>
      </w:r>
      <w:r>
        <w:rPr>
          <w:rFonts w:hint="eastAsia"/>
          <w:kern w:val="0"/>
          <w:szCs w:val="21"/>
        </w:rPr>
        <w:t>铜基精密电阻合金牌号及化学成分</w:t>
      </w:r>
      <w:r>
        <w:rPr>
          <w:kern w:val="0"/>
          <w:szCs w:val="21"/>
        </w:rPr>
        <w:t>》，计划编号</w:t>
      </w:r>
      <w:r>
        <w:rPr>
          <w:rFonts w:hint="eastAsia"/>
          <w:kern w:val="0"/>
          <w:szCs w:val="21"/>
          <w:lang w:eastAsia="zh-CN"/>
        </w:rPr>
        <w:t>2022-0451T-YS</w:t>
      </w:r>
      <w:r>
        <w:rPr>
          <w:rFonts w:hint="eastAsia"/>
          <w:kern w:val="0"/>
          <w:szCs w:val="21"/>
        </w:rPr>
        <w:t>，完成年限为202</w:t>
      </w:r>
      <w:r>
        <w:rPr>
          <w:rFonts w:hint="eastAsia"/>
          <w:kern w:val="0"/>
          <w:szCs w:val="21"/>
          <w:lang w:val="en-US" w:eastAsia="zh-CN"/>
        </w:rPr>
        <w:t>4年4月</w:t>
      </w:r>
      <w:r>
        <w:rPr>
          <w:rFonts w:hint="eastAsia"/>
          <w:kern w:val="0"/>
          <w:szCs w:val="21"/>
        </w:rPr>
        <w:t>，技术归口单位为全国有色金属标准化技术委员会。标准</w:t>
      </w:r>
      <w:r>
        <w:rPr>
          <w:rFonts w:hint="eastAsia"/>
          <w:kern w:val="0"/>
          <w:szCs w:val="21"/>
          <w:lang w:val="en-US" w:eastAsia="zh-CN"/>
        </w:rPr>
        <w:t>制订</w:t>
      </w:r>
      <w:r>
        <w:rPr>
          <w:rFonts w:hint="eastAsia"/>
          <w:kern w:val="0"/>
          <w:szCs w:val="21"/>
        </w:rPr>
        <w:t>单位为：厦门火炬特种金属材料有限公司、北京有研特材科技有限公</w:t>
      </w:r>
      <w:r>
        <w:rPr>
          <w:rFonts w:hint="eastAsia" w:ascii="Times New Roman" w:hAnsi="Times New Roman" w:cs="Times New Roman"/>
          <w:kern w:val="0"/>
          <w:szCs w:val="21"/>
          <w:lang w:val="en-US" w:eastAsia="zh-CN"/>
        </w:rPr>
        <w:t>司、深圳毫欧电子有限公司。各企业将生产情</w:t>
      </w:r>
      <w:r>
        <w:rPr>
          <w:rFonts w:hint="eastAsia"/>
          <w:kern w:val="0"/>
          <w:szCs w:val="21"/>
        </w:rPr>
        <w:t>况、产品质量情况以及国内外市场、技术发展情况与标准内容相结合，为标准的修订提供了大量的数据和资料，并给标准的修订提供真实有效的证明，实现客户“监督”标准的技术水平的要求，提升标准的实用性。</w:t>
      </w:r>
    </w:p>
    <w:p>
      <w:pPr>
        <w:spacing w:before="240" w:line="360" w:lineRule="auto"/>
        <w:rPr>
          <w:b/>
          <w:bCs/>
          <w:szCs w:val="28"/>
        </w:rPr>
      </w:pPr>
      <w:r>
        <w:rPr>
          <w:rFonts w:hint="eastAsia"/>
          <w:b/>
          <w:bCs/>
          <w:szCs w:val="28"/>
        </w:rPr>
        <w:t>1.2 主要参加</w:t>
      </w:r>
      <w:r>
        <w:rPr>
          <w:b/>
          <w:bCs/>
          <w:szCs w:val="28"/>
        </w:rPr>
        <w:t>单位和工作成员及其所做工作</w:t>
      </w:r>
    </w:p>
    <w:p>
      <w:pPr>
        <w:spacing w:before="240" w:line="360" w:lineRule="auto"/>
        <w:rPr>
          <w:b/>
          <w:kern w:val="0"/>
          <w:szCs w:val="21"/>
        </w:rPr>
      </w:pPr>
      <w:r>
        <w:rPr>
          <w:rFonts w:hint="eastAsia"/>
          <w:b/>
          <w:kern w:val="0"/>
          <w:szCs w:val="21"/>
        </w:rPr>
        <w:t>1.2.1 主要参加单位情况及所做工作</w:t>
      </w:r>
    </w:p>
    <w:p>
      <w:pPr>
        <w:spacing w:line="360" w:lineRule="auto"/>
        <w:ind w:firstLine="420" w:firstLineChars="200"/>
        <w:rPr>
          <w:szCs w:val="28"/>
        </w:rPr>
      </w:pPr>
      <w:r>
        <w:rPr>
          <w:rFonts w:hint="eastAsia"/>
          <w:szCs w:val="28"/>
        </w:rPr>
        <w:t>厦门火炬特种金属材料有限公司</w:t>
      </w:r>
      <w:r>
        <w:rPr>
          <w:rFonts w:hint="eastAsia"/>
          <w:kern w:val="0"/>
          <w:szCs w:val="21"/>
        </w:rPr>
        <w:t>（简称“厦门火炬特材”）</w:t>
      </w:r>
      <w:r>
        <w:rPr>
          <w:rFonts w:hint="eastAsia"/>
          <w:szCs w:val="28"/>
        </w:rPr>
        <w:t>成立于1992年，属有研科技集团有限公司控股公司。专业从事</w:t>
      </w:r>
      <w:r>
        <w:rPr>
          <w:rFonts w:hint="eastAsia"/>
          <w:szCs w:val="28"/>
          <w:lang w:val="en-US" w:eastAsia="zh-CN"/>
        </w:rPr>
        <w:t>铜基材料</w:t>
      </w:r>
      <w:r>
        <w:rPr>
          <w:rFonts w:hint="eastAsia"/>
          <w:szCs w:val="28"/>
        </w:rPr>
        <w:t>的研发、生产、销售和技术服务，</w:t>
      </w:r>
      <w:r>
        <w:rPr>
          <w:rFonts w:hint="eastAsia"/>
          <w:szCs w:val="28"/>
          <w:lang w:val="en-US" w:eastAsia="zh-CN"/>
        </w:rPr>
        <w:t>开发出</w:t>
      </w:r>
      <w:r>
        <w:rPr>
          <w:rFonts w:hint="eastAsia"/>
          <w:szCs w:val="28"/>
        </w:rPr>
        <w:t>铜锰镍系精密电阻合金并形成板、带、线、型材的批量化生产能力。在标准编制过程中，能积极主动收集国内外的</w:t>
      </w:r>
      <w:r>
        <w:rPr>
          <w:rFonts w:hint="eastAsia"/>
          <w:szCs w:val="28"/>
          <w:lang w:val="en-US" w:eastAsia="zh-CN"/>
        </w:rPr>
        <w:t>铜基精密电阻合金</w:t>
      </w:r>
      <w:r>
        <w:rPr>
          <w:rFonts w:hint="eastAsia"/>
          <w:szCs w:val="28"/>
        </w:rPr>
        <w:t>标准，了解</w:t>
      </w:r>
      <w:r>
        <w:rPr>
          <w:rFonts w:hint="eastAsia"/>
          <w:szCs w:val="28"/>
          <w:lang w:val="en-US" w:eastAsia="zh-CN"/>
        </w:rPr>
        <w:t>铜基精密电阻合金</w:t>
      </w:r>
      <w:r>
        <w:rPr>
          <w:rFonts w:hint="eastAsia"/>
          <w:szCs w:val="28"/>
        </w:rPr>
        <w:t>市场动态，到相关用户单位跟踪、调研实际使用情况，编制试验方案，统计测试数据。公司能</w:t>
      </w:r>
      <w:r>
        <w:rPr>
          <w:rFonts w:hint="eastAsia"/>
          <w:szCs w:val="28"/>
          <w:lang w:val="en-US" w:eastAsia="zh-CN"/>
        </w:rPr>
        <w:t>牵头及组建</w:t>
      </w:r>
      <w:r>
        <w:rPr>
          <w:rFonts w:hint="eastAsia"/>
          <w:szCs w:val="28"/>
        </w:rPr>
        <w:t>编制组标准的</w:t>
      </w:r>
      <w:r>
        <w:rPr>
          <w:rFonts w:hint="eastAsia"/>
          <w:szCs w:val="28"/>
          <w:lang w:val="en-US" w:eastAsia="zh-CN"/>
        </w:rPr>
        <w:t>制订</w:t>
      </w:r>
      <w:r>
        <w:rPr>
          <w:rFonts w:hint="eastAsia"/>
          <w:szCs w:val="28"/>
        </w:rPr>
        <w:t>工作。</w:t>
      </w:r>
    </w:p>
    <w:p>
      <w:pPr>
        <w:spacing w:line="360" w:lineRule="auto"/>
        <w:ind w:firstLine="420" w:firstLineChars="200"/>
      </w:pPr>
      <w:r>
        <w:t>北京有研特材科技有限公司</w:t>
      </w:r>
      <w:r>
        <w:rPr>
          <w:rFonts w:hint="eastAsia"/>
          <w:kern w:val="0"/>
          <w:szCs w:val="21"/>
        </w:rPr>
        <w:t>（简称“北京有研特材”）</w:t>
      </w:r>
      <w:r>
        <w:t>是一家专业从事</w:t>
      </w:r>
      <w:r>
        <w:rPr>
          <w:rFonts w:hint="eastAsia"/>
          <w:lang w:val="en-US" w:eastAsia="zh-CN"/>
        </w:rPr>
        <w:t>金属</w:t>
      </w:r>
      <w:r>
        <w:t>产品销售的公司，在</w:t>
      </w:r>
      <w:r>
        <w:rPr>
          <w:rFonts w:hint="eastAsia"/>
          <w:lang w:val="en-US" w:eastAsia="zh-CN"/>
        </w:rPr>
        <w:t>铜基精密电阻合金</w:t>
      </w:r>
      <w:r>
        <w:t>设计和销售方面拥有丰富的经验。在此次</w:t>
      </w:r>
      <w:r>
        <w:rPr>
          <w:rFonts w:hint="eastAsia"/>
          <w:lang w:val="en-US" w:eastAsia="zh-CN"/>
        </w:rPr>
        <w:t>标准编制</w:t>
      </w:r>
      <w:r>
        <w:t>工作中，北京有研特材积极配合编制组向其</w:t>
      </w:r>
      <w:r>
        <w:rPr>
          <w:rFonts w:hint="eastAsia"/>
        </w:rPr>
        <w:t>使用</w:t>
      </w:r>
      <w:r>
        <w:t>客户广泛搜集</w:t>
      </w:r>
      <w:r>
        <w:rPr>
          <w:rFonts w:hint="eastAsia"/>
          <w:szCs w:val="28"/>
          <w:lang w:val="en-US" w:eastAsia="zh-CN"/>
        </w:rPr>
        <w:t>铜基精密电阻合金</w:t>
      </w:r>
      <w:r>
        <w:t>的样品、性能数据和使用情况。同时配合编制组调研</w:t>
      </w:r>
      <w:r>
        <w:rPr>
          <w:rFonts w:hint="eastAsia"/>
          <w:szCs w:val="28"/>
          <w:lang w:val="en-US" w:eastAsia="zh-CN"/>
        </w:rPr>
        <w:t>铜基精密电阻合金</w:t>
      </w:r>
      <w:r>
        <w:t>在国内外市场的需求及发展情况，积极参与到</w:t>
      </w:r>
      <w:r>
        <w:rPr>
          <w:rFonts w:hint="eastAsia"/>
          <w:lang w:val="en-US" w:eastAsia="zh-CN"/>
        </w:rPr>
        <w:t>制订</w:t>
      </w:r>
      <w:r>
        <w:t>内容的编制工作中。</w:t>
      </w:r>
    </w:p>
    <w:p>
      <w:pPr>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eastAsia="zh-CN"/>
        </w:rPr>
        <w:t>深圳毫欧电子</w:t>
      </w:r>
      <w:r>
        <w:rPr>
          <w:rFonts w:hint="eastAsia" w:ascii="Times New Roman" w:hAnsi="Times New Roman" w:cs="Times New Roman"/>
        </w:rPr>
        <w:t>有限公司</w:t>
      </w:r>
      <w:r>
        <w:rPr>
          <w:rFonts w:hint="eastAsia"/>
          <w:kern w:val="0"/>
          <w:szCs w:val="21"/>
        </w:rPr>
        <w:t>（简称“</w:t>
      </w:r>
      <w:r>
        <w:rPr>
          <w:rFonts w:hint="eastAsia"/>
          <w:kern w:val="0"/>
          <w:szCs w:val="21"/>
          <w:lang w:val="en-US" w:eastAsia="zh-CN"/>
        </w:rPr>
        <w:t>毫欧电子</w:t>
      </w:r>
      <w:r>
        <w:rPr>
          <w:rFonts w:hint="eastAsia"/>
          <w:kern w:val="0"/>
          <w:szCs w:val="21"/>
        </w:rPr>
        <w:t>”）</w:t>
      </w:r>
      <w:r>
        <w:rPr>
          <w:rFonts w:hint="eastAsia" w:ascii="Times New Roman" w:hAnsi="Times New Roman" w:cs="Times New Roman"/>
          <w:lang w:val="en-US" w:eastAsia="zh-CN"/>
        </w:rPr>
        <w:t>成立于2009年，致力于毫欧级电子采样取样电阻的研发与设计，专业生产高精密合金电阻，产品主要包括汽车分流器、贴片电阻、插件电阻等精密电阻元器件，2015年采用新工艺生产1-15W大功率贴片合金电阻、高精密电流采样电阻，共获得20余件国家专利。在此次标准编制工作中，毫欧电子负责铜基精密电阻合金元器件使用客户信息采集，提供铜基精密电阻合金元器件</w:t>
      </w:r>
      <w:r>
        <w:rPr>
          <w:rFonts w:ascii="Times New Roman" w:hAnsi="Times New Roman"/>
          <w:sz w:val="21"/>
          <w:szCs w:val="21"/>
        </w:rPr>
        <w:t>特性</w:t>
      </w:r>
      <w:r>
        <w:rPr>
          <w:rFonts w:hint="eastAsia" w:ascii="Times New Roman" w:hAnsi="Times New Roman"/>
          <w:sz w:val="21"/>
          <w:szCs w:val="21"/>
          <w:lang w:eastAsia="zh-CN"/>
        </w:rPr>
        <w:t>、</w:t>
      </w:r>
      <w:r>
        <w:rPr>
          <w:rFonts w:ascii="Times New Roman" w:hAnsi="Times New Roman"/>
          <w:sz w:val="21"/>
          <w:szCs w:val="21"/>
        </w:rPr>
        <w:t>用途</w:t>
      </w:r>
      <w:r>
        <w:rPr>
          <w:rFonts w:hint="eastAsia" w:ascii="Times New Roman" w:hAnsi="Times New Roman"/>
          <w:sz w:val="21"/>
          <w:szCs w:val="21"/>
          <w:lang w:val="en-US" w:eastAsia="zh-CN"/>
        </w:rPr>
        <w:t>及</w:t>
      </w:r>
      <w:r>
        <w:rPr>
          <w:rFonts w:ascii="Times New Roman" w:hAnsi="Times New Roman"/>
          <w:sz w:val="21"/>
          <w:szCs w:val="21"/>
        </w:rPr>
        <w:t>适用</w:t>
      </w:r>
      <w:r>
        <w:rPr>
          <w:rFonts w:hint="eastAsia" w:ascii="Times New Roman" w:hAnsi="Times New Roman"/>
          <w:sz w:val="21"/>
          <w:szCs w:val="21"/>
          <w:lang w:val="en-US" w:eastAsia="zh-CN"/>
        </w:rPr>
        <w:t>等</w:t>
      </w:r>
      <w:r>
        <w:rPr>
          <w:rFonts w:hint="eastAsia" w:ascii="Times New Roman" w:hAnsi="Times New Roman" w:cs="Times New Roman"/>
          <w:lang w:val="en-US" w:eastAsia="zh-CN"/>
        </w:rPr>
        <w:t>分析数据，积极参与讨论本标准制订内容的编制工作。</w:t>
      </w:r>
    </w:p>
    <w:p>
      <w:pPr>
        <w:spacing w:line="360" w:lineRule="auto"/>
        <w:ind w:firstLine="480"/>
        <w:rPr>
          <w:szCs w:val="28"/>
        </w:rPr>
      </w:pPr>
      <w:r>
        <w:rPr>
          <w:szCs w:val="28"/>
        </w:rPr>
        <w:t>国标（北京）检验认证有限公司前身是北京有色金属研究总院分析测试技术研究所，是国家有色金属行业最知名的第三方检验机构。国标（北京）检验认证有限公司运营管理着国家有色金属及电子材料分析测试中心和国家有色金属质量监督检验中心，拥有一支基础理论扎实、实践经验丰富的研究和服务队伍，自2004年至今共承担了国家科技支撑计划、国家863计划、国家自然科学基金、军工配套等省部级科技项目40余项；曾获国家科技进步奖6项，国家发明奖3项，省部级科技进步一等奖10项，二、三等奖107项；近5年获得国家发明专利20余项；负责和参加起草制订分析方法国家标准、行业标准300余项；国家标准物质/标准样品120个，在国内外科技期刊上发表论文800余篇，撰写论著22部。</w:t>
      </w:r>
    </w:p>
    <w:p>
      <w:pPr>
        <w:spacing w:line="360" w:lineRule="auto"/>
        <w:ind w:firstLine="420" w:firstLineChars="200"/>
        <w:rPr>
          <w:rFonts w:hint="default" w:ascii="Times New Roman" w:hAnsi="Times New Roman" w:cs="Times New Roman"/>
          <w:lang w:val="en-US" w:eastAsia="zh-CN"/>
        </w:rPr>
      </w:pPr>
    </w:p>
    <w:p>
      <w:pPr>
        <w:spacing w:line="360" w:lineRule="auto"/>
        <w:rPr>
          <w:b/>
          <w:szCs w:val="28"/>
        </w:rPr>
      </w:pPr>
      <w:r>
        <w:rPr>
          <w:rFonts w:hint="eastAsia"/>
          <w:b/>
          <w:szCs w:val="28"/>
        </w:rPr>
        <w:t>1.2.2 主要工作成员所负责的工作情况</w:t>
      </w:r>
    </w:p>
    <w:p>
      <w:pPr>
        <w:spacing w:line="360" w:lineRule="auto"/>
        <w:ind w:firstLine="420"/>
        <w:rPr>
          <w:szCs w:val="28"/>
        </w:rPr>
      </w:pPr>
      <w:r>
        <w:rPr>
          <w:rFonts w:hint="eastAsia"/>
          <w:szCs w:val="28"/>
        </w:rPr>
        <w:t>本标准主要起草人及工作职责见表1。</w:t>
      </w:r>
    </w:p>
    <w:p>
      <w:pPr>
        <w:spacing w:line="360" w:lineRule="auto"/>
        <w:ind w:firstLine="420"/>
        <w:jc w:val="center"/>
        <w:rPr>
          <w:rFonts w:ascii="黑体" w:hAnsi="黑体" w:eastAsia="黑体"/>
          <w:szCs w:val="28"/>
        </w:rPr>
      </w:pPr>
      <w:r>
        <w:rPr>
          <w:rFonts w:hint="eastAsia" w:ascii="黑体" w:hAnsi="黑体" w:eastAsia="黑体"/>
          <w:szCs w:val="28"/>
        </w:rPr>
        <w:t>表1 主要起草人及工作职责</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7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12" w:space="0"/>
              <w:left w:val="single" w:color="auto" w:sz="12" w:space="0"/>
              <w:bottom w:val="single" w:color="auto" w:sz="12" w:space="0"/>
            </w:tcBorders>
            <w:vAlign w:val="center"/>
          </w:tcPr>
          <w:p>
            <w:pPr>
              <w:spacing w:line="360" w:lineRule="auto"/>
              <w:jc w:val="center"/>
              <w:rPr>
                <w:kern w:val="0"/>
                <w:sz w:val="18"/>
                <w:szCs w:val="18"/>
              </w:rPr>
            </w:pPr>
            <w:r>
              <w:rPr>
                <w:rFonts w:hint="eastAsia"/>
                <w:kern w:val="0"/>
                <w:sz w:val="18"/>
                <w:szCs w:val="18"/>
              </w:rPr>
              <w:t>起草人</w:t>
            </w:r>
          </w:p>
        </w:tc>
        <w:tc>
          <w:tcPr>
            <w:tcW w:w="7563" w:type="dxa"/>
            <w:tcBorders>
              <w:top w:val="single" w:color="auto" w:sz="12" w:space="0"/>
              <w:bottom w:val="single" w:color="auto" w:sz="12" w:space="0"/>
              <w:right w:val="single" w:color="auto" w:sz="12" w:space="0"/>
            </w:tcBorders>
            <w:vAlign w:val="center"/>
          </w:tcPr>
          <w:p>
            <w:pPr>
              <w:spacing w:line="360" w:lineRule="auto"/>
              <w:jc w:val="center"/>
              <w:rPr>
                <w:kern w:val="0"/>
                <w:sz w:val="18"/>
                <w:szCs w:val="18"/>
              </w:rPr>
            </w:pPr>
            <w:r>
              <w:rPr>
                <w:rFonts w:hint="eastAsia"/>
                <w:kern w:val="0"/>
                <w:sz w:val="18"/>
                <w:szCs w:val="18"/>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12" w:space="0"/>
              <w:left w:val="single" w:color="auto" w:sz="12" w:space="0"/>
              <w:bottom w:val="single" w:color="auto" w:sz="8" w:space="0"/>
            </w:tcBorders>
            <w:vAlign w:val="center"/>
          </w:tcPr>
          <w:p>
            <w:pPr>
              <w:jc w:val="center"/>
              <w:rPr>
                <w:rFonts w:hint="eastAsia" w:ascii="宋体" w:hAnsi="宋体" w:cs="宋体"/>
                <w:sz w:val="18"/>
                <w:szCs w:val="18"/>
                <w:lang w:val="en-US" w:eastAsia="zh-CN"/>
              </w:rPr>
            </w:pPr>
            <w:r>
              <w:rPr>
                <w:rFonts w:hint="eastAsia" w:ascii="宋体" w:hAnsi="宋体" w:cs="宋体"/>
                <w:sz w:val="18"/>
                <w:szCs w:val="18"/>
                <w:lang w:eastAsia="zh-CN"/>
              </w:rPr>
              <w:t>温军国</w:t>
            </w:r>
          </w:p>
        </w:tc>
        <w:tc>
          <w:tcPr>
            <w:tcW w:w="7563" w:type="dxa"/>
            <w:tcBorders>
              <w:top w:val="single" w:color="auto" w:sz="12" w:space="0"/>
              <w:right w:val="single" w:color="auto" w:sz="12" w:space="0"/>
            </w:tcBorders>
            <w:vAlign w:val="center"/>
          </w:tcPr>
          <w:p>
            <w:pPr>
              <w:jc w:val="left"/>
              <w:rPr>
                <w:rFonts w:hint="eastAsia" w:ascii="宋体" w:hAnsi="宋体" w:cs="宋体"/>
                <w:sz w:val="18"/>
                <w:szCs w:val="18"/>
                <w:lang w:val="en-US" w:eastAsia="zh-CN"/>
              </w:rPr>
            </w:pPr>
            <w:r>
              <w:rPr>
                <w:rFonts w:hint="eastAsia" w:ascii="宋体" w:hAnsi="宋体" w:cs="宋体"/>
                <w:sz w:val="18"/>
                <w:szCs w:val="18"/>
                <w:lang w:eastAsia="zh-CN"/>
              </w:rPr>
              <w:t>负责</w:t>
            </w:r>
            <w:r>
              <w:rPr>
                <w:rFonts w:hint="eastAsia" w:ascii="宋体" w:hAnsi="宋体" w:cs="宋体"/>
                <w:sz w:val="18"/>
                <w:szCs w:val="18"/>
                <w:lang w:val="en-US" w:eastAsia="zh-CN"/>
              </w:rPr>
              <w:t>铜基精密电阻合金</w:t>
            </w:r>
            <w:r>
              <w:rPr>
                <w:rFonts w:hint="eastAsia" w:ascii="宋体" w:hAnsi="宋体" w:cs="宋体"/>
                <w:sz w:val="18"/>
                <w:szCs w:val="18"/>
                <w:lang w:eastAsia="zh-CN"/>
              </w:rPr>
              <w:t>标准方案制定、产品情况调研、资料搜集、标准技术内容的理论指导和审核等。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12" w:space="0"/>
              <w:left w:val="single" w:color="auto" w:sz="12" w:space="0"/>
              <w:bottom w:val="single" w:color="auto" w:sz="8" w:space="0"/>
            </w:tcBorders>
            <w:vAlign w:val="center"/>
          </w:tcPr>
          <w:p>
            <w:pPr>
              <w:jc w:val="center"/>
              <w:rPr>
                <w:rFonts w:hint="eastAsia" w:ascii="宋体" w:hAnsi="宋体" w:cs="宋体"/>
                <w:sz w:val="18"/>
                <w:szCs w:val="18"/>
                <w:lang w:eastAsia="zh-CN"/>
              </w:rPr>
            </w:pPr>
            <w:r>
              <w:rPr>
                <w:rFonts w:hint="eastAsia" w:ascii="宋体" w:hAnsi="宋体" w:cs="宋体"/>
                <w:sz w:val="18"/>
                <w:szCs w:val="18"/>
                <w:lang w:val="en-US" w:eastAsia="zh-CN"/>
              </w:rPr>
              <w:t>李晨阳</w:t>
            </w:r>
          </w:p>
        </w:tc>
        <w:tc>
          <w:tcPr>
            <w:tcW w:w="7563" w:type="dxa"/>
            <w:tcBorders>
              <w:top w:val="single" w:color="auto" w:sz="12" w:space="0"/>
              <w:right w:val="single" w:color="auto" w:sz="12" w:space="0"/>
            </w:tcBorders>
            <w:vAlign w:val="center"/>
          </w:tcPr>
          <w:p>
            <w:pPr>
              <w:jc w:val="left"/>
              <w:rPr>
                <w:rFonts w:hint="eastAsia" w:ascii="宋体" w:hAnsi="宋体" w:cs="宋体"/>
                <w:sz w:val="18"/>
                <w:szCs w:val="18"/>
                <w:lang w:eastAsia="zh-CN"/>
              </w:rPr>
            </w:pPr>
            <w:r>
              <w:rPr>
                <w:rFonts w:hint="eastAsia" w:ascii="宋体" w:hAnsi="宋体" w:cs="宋体"/>
                <w:sz w:val="18"/>
                <w:szCs w:val="18"/>
                <w:lang w:eastAsia="zh-CN"/>
              </w:rPr>
              <w:t>负责</w:t>
            </w:r>
            <w:r>
              <w:rPr>
                <w:rFonts w:hint="eastAsia" w:ascii="宋体" w:hAnsi="宋体" w:cs="宋体"/>
                <w:sz w:val="18"/>
                <w:szCs w:val="18"/>
                <w:lang w:val="en-US" w:eastAsia="zh-CN"/>
              </w:rPr>
              <w:t>铜基精密电阻合金</w:t>
            </w:r>
            <w:r>
              <w:rPr>
                <w:rFonts w:hint="eastAsia" w:ascii="宋体" w:hAnsi="宋体" w:cs="宋体"/>
                <w:sz w:val="18"/>
                <w:szCs w:val="18"/>
                <w:lang w:eastAsia="zh-CN"/>
              </w:rPr>
              <w:t>标准方案产品情况调研、资料搜集，</w:t>
            </w:r>
            <w:r>
              <w:rPr>
                <w:rFonts w:hint="eastAsia" w:ascii="宋体" w:hAnsi="宋体" w:cs="宋体"/>
                <w:sz w:val="18"/>
                <w:szCs w:val="18"/>
                <w:lang w:val="en-US" w:eastAsia="zh-CN"/>
              </w:rPr>
              <w:t>编写</w:t>
            </w:r>
            <w:r>
              <w:rPr>
                <w:rFonts w:hint="eastAsia" w:ascii="宋体" w:hAnsi="宋体" w:cs="宋体"/>
                <w:sz w:val="18"/>
                <w:szCs w:val="18"/>
                <w:lang w:eastAsia="zh-CN"/>
              </w:rPr>
              <w:t>标准技术内容等。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jc w:val="center"/>
              <w:rPr>
                <w:rFonts w:hint="eastAsia" w:ascii="宋体" w:hAnsi="宋体" w:cs="宋体"/>
                <w:sz w:val="18"/>
                <w:szCs w:val="18"/>
                <w:lang w:eastAsia="zh-CN"/>
              </w:rPr>
            </w:pPr>
            <w:r>
              <w:rPr>
                <w:rFonts w:hint="eastAsia" w:ascii="宋体" w:hAnsi="宋体" w:cs="宋体"/>
                <w:sz w:val="18"/>
                <w:szCs w:val="18"/>
                <w:lang w:val="en-US" w:eastAsia="zh-CN"/>
              </w:rPr>
              <w:t>李祥</w:t>
            </w:r>
          </w:p>
        </w:tc>
        <w:tc>
          <w:tcPr>
            <w:tcW w:w="7563" w:type="dxa"/>
            <w:tcBorders>
              <w:right w:val="single" w:color="auto" w:sz="12" w:space="0"/>
            </w:tcBorders>
            <w:vAlign w:val="center"/>
          </w:tcPr>
          <w:p>
            <w:pPr>
              <w:jc w:val="left"/>
              <w:rPr>
                <w:rFonts w:hint="eastAsia" w:ascii="宋体" w:hAnsi="宋体" w:cs="宋体"/>
                <w:sz w:val="18"/>
                <w:szCs w:val="18"/>
                <w:lang w:eastAsia="zh-CN"/>
              </w:rPr>
            </w:pPr>
            <w:r>
              <w:rPr>
                <w:rFonts w:hint="eastAsia" w:ascii="宋体" w:hAnsi="宋体" w:cs="宋体"/>
                <w:sz w:val="18"/>
                <w:szCs w:val="18"/>
                <w:lang w:val="en-US" w:eastAsia="zh-CN"/>
              </w:rPr>
              <w:t>负责</w:t>
            </w:r>
            <w:r>
              <w:rPr>
                <w:rFonts w:hint="eastAsia" w:ascii="宋体" w:hAnsi="宋体" w:cs="宋体"/>
                <w:sz w:val="18"/>
                <w:szCs w:val="18"/>
                <w:lang w:eastAsia="zh-CN"/>
              </w:rPr>
              <w:t>方案</w:t>
            </w:r>
            <w:r>
              <w:rPr>
                <w:rFonts w:hint="eastAsia" w:ascii="宋体" w:hAnsi="宋体" w:cs="宋体"/>
                <w:sz w:val="18"/>
                <w:szCs w:val="18"/>
                <w:lang w:val="en-US" w:eastAsia="zh-CN"/>
              </w:rPr>
              <w:t>制订</w:t>
            </w:r>
            <w:r>
              <w:rPr>
                <w:rFonts w:hint="eastAsia" w:ascii="宋体" w:hAnsi="宋体" w:cs="宋体"/>
                <w:sz w:val="18"/>
                <w:szCs w:val="18"/>
                <w:lang w:eastAsia="zh-CN"/>
              </w:rPr>
              <w:t>、组织协调产品的调研、技术参数的确定、为项目提供保障等。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jc w:val="center"/>
              <w:rPr>
                <w:rFonts w:hint="eastAsia" w:ascii="宋体" w:hAnsi="宋体" w:cs="宋体"/>
                <w:sz w:val="18"/>
                <w:szCs w:val="18"/>
                <w:lang w:val="en-US" w:eastAsia="zh-CN"/>
              </w:rPr>
            </w:pPr>
            <w:r>
              <w:rPr>
                <w:rFonts w:hint="eastAsia" w:ascii="宋体" w:hAnsi="宋体" w:cs="宋体"/>
                <w:sz w:val="18"/>
                <w:szCs w:val="18"/>
                <w:lang w:eastAsia="zh-CN"/>
              </w:rPr>
              <w:t>马志新</w:t>
            </w:r>
          </w:p>
        </w:tc>
        <w:tc>
          <w:tcPr>
            <w:tcW w:w="7563" w:type="dxa"/>
            <w:tcBorders>
              <w:right w:val="single" w:color="auto" w:sz="12" w:space="0"/>
            </w:tcBorders>
            <w:vAlign w:val="center"/>
          </w:tcPr>
          <w:p>
            <w:pPr>
              <w:jc w:val="left"/>
              <w:rPr>
                <w:rFonts w:hint="eastAsia" w:ascii="宋体" w:hAnsi="宋体" w:cs="宋体"/>
                <w:sz w:val="18"/>
                <w:szCs w:val="18"/>
                <w:lang w:val="en-US" w:eastAsia="zh-CN"/>
              </w:rPr>
            </w:pPr>
            <w:r>
              <w:rPr>
                <w:rFonts w:hint="eastAsia" w:ascii="宋体" w:hAnsi="宋体" w:cs="宋体"/>
                <w:sz w:val="18"/>
                <w:szCs w:val="18"/>
                <w:lang w:eastAsia="zh-CN"/>
              </w:rPr>
              <w:t>参与方案</w:t>
            </w:r>
            <w:r>
              <w:rPr>
                <w:rFonts w:hint="eastAsia" w:ascii="宋体" w:hAnsi="宋体" w:cs="宋体"/>
                <w:sz w:val="18"/>
                <w:szCs w:val="18"/>
                <w:lang w:val="en-US" w:eastAsia="zh-CN"/>
              </w:rPr>
              <w:t>制订</w:t>
            </w:r>
            <w:r>
              <w:rPr>
                <w:rFonts w:hint="eastAsia" w:ascii="宋体" w:hAnsi="宋体" w:cs="宋体"/>
                <w:sz w:val="18"/>
                <w:szCs w:val="18"/>
                <w:lang w:eastAsia="zh-CN"/>
              </w:rPr>
              <w:t>、组织协调产品的调研、技术参数的确定、为项目提供保障等。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jc w:val="center"/>
              <w:rPr>
                <w:rFonts w:hint="eastAsia" w:ascii="宋体" w:hAnsi="宋体" w:cs="宋体"/>
                <w:sz w:val="18"/>
                <w:szCs w:val="18"/>
                <w:lang w:val="en-US" w:eastAsia="zh-CN"/>
              </w:rPr>
            </w:pPr>
            <w:r>
              <w:rPr>
                <w:rFonts w:hint="eastAsia" w:ascii="宋体" w:hAnsi="宋体" w:cs="宋体"/>
                <w:sz w:val="18"/>
                <w:szCs w:val="18"/>
                <w:lang w:val="en-US" w:eastAsia="zh-CN"/>
              </w:rPr>
              <w:fldChar w:fldCharType="begin"/>
            </w:r>
            <w:r>
              <w:rPr>
                <w:rFonts w:hint="eastAsia" w:ascii="宋体" w:hAnsi="宋体" w:cs="宋体"/>
                <w:sz w:val="18"/>
                <w:szCs w:val="18"/>
                <w:lang w:val="en-US" w:eastAsia="zh-CN"/>
              </w:rPr>
              <w:instrText xml:space="preserve"> HYPERLINK "https://aiqicha.baidu.com/person?personId=18d6bc1a95fa944fdf97091f4805964e&amp;entry=2115" \t "https://aiqicha.baidu.com/_blank" </w:instrText>
            </w:r>
            <w:r>
              <w:rPr>
                <w:rFonts w:hint="eastAsia" w:ascii="宋体" w:hAnsi="宋体" w:cs="宋体"/>
                <w:sz w:val="18"/>
                <w:szCs w:val="18"/>
                <w:lang w:val="en-US" w:eastAsia="zh-CN"/>
              </w:rPr>
              <w:fldChar w:fldCharType="separate"/>
            </w:r>
            <w:r>
              <w:rPr>
                <w:rFonts w:hint="default" w:ascii="宋体" w:hAnsi="宋体" w:cs="宋体"/>
                <w:sz w:val="18"/>
                <w:szCs w:val="18"/>
                <w:lang w:val="en-US" w:eastAsia="zh-CN"/>
              </w:rPr>
              <w:t>郑志敏</w:t>
            </w:r>
            <w:r>
              <w:rPr>
                <w:rFonts w:hint="default" w:ascii="宋体" w:hAnsi="宋体" w:cs="宋体"/>
                <w:sz w:val="18"/>
                <w:szCs w:val="18"/>
                <w:lang w:val="en-US" w:eastAsia="zh-CN"/>
              </w:rPr>
              <w:fldChar w:fldCharType="end"/>
            </w:r>
          </w:p>
        </w:tc>
        <w:tc>
          <w:tcPr>
            <w:tcW w:w="7563" w:type="dxa"/>
            <w:tcBorders>
              <w:right w:val="single" w:color="auto" w:sz="12" w:space="0"/>
            </w:tcBorders>
            <w:vAlign w:val="center"/>
          </w:tcPr>
          <w:p>
            <w:pPr>
              <w:jc w:val="left"/>
              <w:rPr>
                <w:rFonts w:hint="default" w:ascii="宋体" w:hAnsi="宋体" w:cs="宋体"/>
                <w:sz w:val="18"/>
                <w:szCs w:val="18"/>
                <w:lang w:val="en-US" w:eastAsia="zh-CN"/>
              </w:rPr>
            </w:pPr>
            <w:r>
              <w:rPr>
                <w:rFonts w:hint="eastAsia" w:ascii="宋体" w:hAnsi="宋体" w:cs="宋体"/>
                <w:sz w:val="18"/>
                <w:szCs w:val="18"/>
                <w:lang w:eastAsia="zh-CN"/>
              </w:rPr>
              <w:t>参与方案</w:t>
            </w:r>
            <w:r>
              <w:rPr>
                <w:rFonts w:hint="eastAsia" w:ascii="宋体" w:hAnsi="宋体" w:cs="宋体"/>
                <w:sz w:val="18"/>
                <w:szCs w:val="18"/>
                <w:lang w:val="en-US" w:eastAsia="zh-CN"/>
              </w:rPr>
              <w:t>制订</w:t>
            </w:r>
            <w:r>
              <w:rPr>
                <w:rFonts w:hint="eastAsia" w:ascii="宋体" w:hAnsi="宋体" w:cs="宋体"/>
                <w:sz w:val="18"/>
                <w:szCs w:val="18"/>
                <w:lang w:eastAsia="zh-CN"/>
              </w:rPr>
              <w:t>，</w:t>
            </w:r>
            <w:r>
              <w:rPr>
                <w:rFonts w:hint="eastAsia" w:ascii="宋体" w:hAnsi="宋体" w:cs="宋体"/>
                <w:sz w:val="18"/>
                <w:szCs w:val="18"/>
                <w:lang w:val="en-US" w:eastAsia="zh-CN"/>
              </w:rPr>
              <w:t>负责提供铜基精密电阻合金元器件</w:t>
            </w:r>
            <w:r>
              <w:rPr>
                <w:rFonts w:hint="eastAsia" w:ascii="宋体" w:hAnsi="宋体" w:cs="宋体"/>
                <w:sz w:val="18"/>
                <w:szCs w:val="18"/>
                <w:lang w:eastAsia="zh-CN"/>
              </w:rPr>
              <w:t>特性、用途、适用</w:t>
            </w:r>
            <w:r>
              <w:rPr>
                <w:rFonts w:hint="eastAsia" w:ascii="宋体" w:hAnsi="宋体" w:cs="宋体"/>
                <w:sz w:val="18"/>
                <w:szCs w:val="18"/>
                <w:lang w:val="en-US" w:eastAsia="zh-CN"/>
              </w:rPr>
              <w:t>及市场等数据搜集工作。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陈松</w:t>
            </w:r>
          </w:p>
        </w:tc>
        <w:tc>
          <w:tcPr>
            <w:tcW w:w="7563" w:type="dxa"/>
            <w:tcBorders>
              <w:right w:val="single" w:color="auto" w:sz="12" w:space="0"/>
            </w:tcBorders>
            <w:vAlign w:val="center"/>
          </w:tcPr>
          <w:p>
            <w:pPr>
              <w:jc w:val="left"/>
              <w:rPr>
                <w:rFonts w:hint="default" w:ascii="宋体" w:hAnsi="宋体" w:cs="宋体"/>
                <w:sz w:val="18"/>
                <w:szCs w:val="18"/>
                <w:lang w:val="en-US" w:eastAsia="zh-CN"/>
              </w:rPr>
            </w:pPr>
            <w:r>
              <w:rPr>
                <w:rFonts w:hint="eastAsia" w:ascii="宋体" w:hAnsi="宋体" w:cs="宋体"/>
                <w:sz w:val="18"/>
                <w:szCs w:val="18"/>
                <w:lang w:eastAsia="zh-CN"/>
              </w:rPr>
              <w:t>参与方案</w:t>
            </w:r>
            <w:r>
              <w:rPr>
                <w:rFonts w:hint="eastAsia" w:ascii="宋体" w:hAnsi="宋体" w:cs="宋体"/>
                <w:sz w:val="18"/>
                <w:szCs w:val="18"/>
                <w:lang w:val="en-US" w:eastAsia="zh-CN"/>
              </w:rPr>
              <w:t>制订，负责检测样品的收集与制备等。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959" w:type="dxa"/>
            <w:tcBorders>
              <w:left w:val="single" w:color="auto" w:sz="12"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val="en-US" w:eastAsia="zh-CN"/>
              </w:rPr>
              <w:t>邹宏辉</w:t>
            </w:r>
          </w:p>
        </w:tc>
        <w:tc>
          <w:tcPr>
            <w:tcW w:w="7563" w:type="dxa"/>
            <w:tcBorders>
              <w:right w:val="single" w:color="auto" w:sz="12" w:space="0"/>
            </w:tcBorders>
            <w:vAlign w:val="center"/>
          </w:tcPr>
          <w:p>
            <w:pPr>
              <w:jc w:val="left"/>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参与方案</w:t>
            </w:r>
            <w:r>
              <w:rPr>
                <w:rFonts w:hint="eastAsia" w:ascii="宋体" w:hAnsi="宋体" w:cs="宋体"/>
                <w:sz w:val="18"/>
                <w:szCs w:val="18"/>
                <w:lang w:val="en-US" w:eastAsia="zh-CN"/>
              </w:rPr>
              <w:t>制订</w:t>
            </w:r>
            <w:r>
              <w:rPr>
                <w:rFonts w:hint="eastAsia" w:ascii="宋体" w:hAnsi="宋体" w:cs="宋体"/>
                <w:sz w:val="18"/>
                <w:szCs w:val="18"/>
                <w:lang w:eastAsia="zh-CN"/>
              </w:rPr>
              <w:t>，</w:t>
            </w:r>
            <w:r>
              <w:rPr>
                <w:rFonts w:hint="eastAsia" w:ascii="宋体" w:hAnsi="宋体" w:cs="宋体"/>
                <w:sz w:val="18"/>
                <w:szCs w:val="18"/>
                <w:lang w:val="en-US" w:eastAsia="zh-CN"/>
              </w:rPr>
              <w:t>参与</w:t>
            </w:r>
            <w:r>
              <w:rPr>
                <w:rFonts w:hint="eastAsia" w:ascii="宋体" w:hAnsi="宋体" w:cs="宋体"/>
                <w:sz w:val="18"/>
                <w:szCs w:val="18"/>
                <w:lang w:eastAsia="zh-CN"/>
              </w:rPr>
              <w:t>产品的调研、技术参数的确定等。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史学栋</w:t>
            </w:r>
          </w:p>
        </w:tc>
        <w:tc>
          <w:tcPr>
            <w:tcW w:w="7563" w:type="dxa"/>
            <w:tcBorders>
              <w:right w:val="single" w:color="auto" w:sz="12" w:space="0"/>
            </w:tcBorders>
            <w:vAlign w:val="center"/>
          </w:tcPr>
          <w:p>
            <w:pPr>
              <w:jc w:val="left"/>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参与方案</w:t>
            </w:r>
            <w:r>
              <w:rPr>
                <w:rFonts w:hint="eastAsia" w:ascii="宋体" w:hAnsi="宋体" w:cs="宋体"/>
                <w:sz w:val="18"/>
                <w:szCs w:val="18"/>
                <w:lang w:val="en-US" w:eastAsia="zh-CN"/>
              </w:rPr>
              <w:t>制订</w:t>
            </w:r>
            <w:r>
              <w:rPr>
                <w:rFonts w:hint="eastAsia" w:ascii="宋体" w:hAnsi="宋体" w:cs="宋体"/>
                <w:sz w:val="18"/>
                <w:szCs w:val="18"/>
                <w:lang w:eastAsia="zh-CN"/>
              </w:rPr>
              <w:t>，</w:t>
            </w:r>
            <w:r>
              <w:rPr>
                <w:rFonts w:hint="eastAsia" w:ascii="宋体" w:hAnsi="宋体" w:cs="宋体"/>
                <w:sz w:val="18"/>
                <w:szCs w:val="18"/>
                <w:lang w:val="en-US" w:eastAsia="zh-CN"/>
              </w:rPr>
              <w:t>参与</w:t>
            </w:r>
            <w:r>
              <w:rPr>
                <w:rFonts w:hint="eastAsia" w:ascii="宋体" w:hAnsi="宋体" w:cs="宋体"/>
                <w:sz w:val="18"/>
                <w:szCs w:val="18"/>
                <w:lang w:eastAsia="zh-CN"/>
              </w:rPr>
              <w:t>产品的调研、技术参数的确定等。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韩莉</w:t>
            </w:r>
          </w:p>
        </w:tc>
        <w:tc>
          <w:tcPr>
            <w:tcW w:w="7563" w:type="dxa"/>
            <w:tcBorders>
              <w:right w:val="single" w:color="auto" w:sz="12" w:space="0"/>
            </w:tcBorders>
            <w:vAlign w:val="center"/>
          </w:tcPr>
          <w:p>
            <w:pPr>
              <w:jc w:val="left"/>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参与方案</w:t>
            </w:r>
            <w:r>
              <w:rPr>
                <w:rFonts w:hint="eastAsia" w:ascii="宋体" w:hAnsi="宋体" w:cs="宋体"/>
                <w:sz w:val="18"/>
                <w:szCs w:val="18"/>
                <w:lang w:val="en-US" w:eastAsia="zh-CN"/>
              </w:rPr>
              <w:t>制订</w:t>
            </w:r>
            <w:r>
              <w:rPr>
                <w:rFonts w:hint="eastAsia" w:ascii="宋体" w:hAnsi="宋体" w:cs="宋体"/>
                <w:sz w:val="18"/>
                <w:szCs w:val="18"/>
                <w:lang w:eastAsia="zh-CN"/>
              </w:rPr>
              <w:t>，</w:t>
            </w:r>
            <w:r>
              <w:rPr>
                <w:rFonts w:hint="eastAsia" w:ascii="宋体" w:hAnsi="宋体" w:cs="宋体"/>
                <w:sz w:val="18"/>
                <w:szCs w:val="18"/>
                <w:lang w:val="en-US" w:eastAsia="zh-CN"/>
              </w:rPr>
              <w:t>参与</w:t>
            </w:r>
            <w:r>
              <w:rPr>
                <w:rFonts w:hint="eastAsia" w:ascii="宋体" w:hAnsi="宋体" w:cs="宋体"/>
                <w:sz w:val="18"/>
                <w:szCs w:val="18"/>
                <w:lang w:eastAsia="zh-CN"/>
              </w:rPr>
              <w:t>产品的调研、</w:t>
            </w:r>
            <w:r>
              <w:rPr>
                <w:rFonts w:hint="eastAsia" w:ascii="宋体" w:hAnsi="宋体" w:cs="宋体"/>
                <w:sz w:val="18"/>
                <w:szCs w:val="18"/>
                <w:lang w:val="en-US" w:eastAsia="zh-CN"/>
              </w:rPr>
              <w:t>标准编制、校准、定稿等工作</w:t>
            </w:r>
            <w:r>
              <w:rPr>
                <w:rFonts w:hint="eastAsia" w:ascii="宋体"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left w:val="single" w:color="auto" w:sz="12" w:space="0"/>
            </w:tcBorders>
            <w:vAlign w:val="center"/>
          </w:tcPr>
          <w:p>
            <w:pPr>
              <w:jc w:val="center"/>
              <w:rPr>
                <w:rFonts w:hint="default" w:ascii="宋体" w:hAnsi="宋体" w:cs="宋体"/>
                <w:sz w:val="18"/>
                <w:szCs w:val="18"/>
                <w:lang w:val="en-US" w:eastAsia="zh-CN"/>
              </w:rPr>
            </w:pPr>
            <w:r>
              <w:rPr>
                <w:rFonts w:hint="eastAsia" w:ascii="宋体" w:hAnsi="宋体" w:cs="宋体"/>
                <w:sz w:val="18"/>
                <w:szCs w:val="18"/>
                <w:lang w:val="en-US" w:eastAsia="zh-CN"/>
              </w:rPr>
              <w:t>陈雄飞</w:t>
            </w:r>
          </w:p>
        </w:tc>
        <w:tc>
          <w:tcPr>
            <w:tcW w:w="7563" w:type="dxa"/>
            <w:tcBorders>
              <w:right w:val="single" w:color="auto" w:sz="12" w:space="0"/>
            </w:tcBorders>
            <w:vAlign w:val="center"/>
          </w:tcPr>
          <w:p>
            <w:pPr>
              <w:jc w:val="left"/>
              <w:rPr>
                <w:rFonts w:hint="default" w:ascii="宋体" w:hAnsi="宋体" w:cs="宋体"/>
                <w:sz w:val="18"/>
                <w:szCs w:val="18"/>
                <w:lang w:val="en-US" w:eastAsia="zh-CN"/>
              </w:rPr>
            </w:pPr>
            <w:r>
              <w:rPr>
                <w:rFonts w:hint="eastAsia" w:ascii="宋体" w:hAnsi="宋体" w:cs="宋体"/>
                <w:sz w:val="18"/>
                <w:szCs w:val="18"/>
                <w:lang w:eastAsia="zh-CN"/>
              </w:rPr>
              <w:t>参与方案</w:t>
            </w:r>
            <w:r>
              <w:rPr>
                <w:rFonts w:hint="eastAsia" w:ascii="宋体" w:hAnsi="宋体" w:cs="宋体"/>
                <w:sz w:val="18"/>
                <w:szCs w:val="18"/>
                <w:lang w:val="en-US" w:eastAsia="zh-CN"/>
              </w:rPr>
              <w:t>制订</w:t>
            </w:r>
            <w:r>
              <w:rPr>
                <w:rFonts w:hint="eastAsia" w:ascii="宋体" w:hAnsi="宋体" w:cs="宋体"/>
                <w:sz w:val="18"/>
                <w:szCs w:val="18"/>
                <w:lang w:eastAsia="zh-CN"/>
              </w:rPr>
              <w:t>，</w:t>
            </w:r>
            <w:r>
              <w:rPr>
                <w:rFonts w:hint="eastAsia" w:ascii="宋体" w:hAnsi="宋体" w:cs="宋体"/>
                <w:sz w:val="18"/>
                <w:szCs w:val="18"/>
                <w:lang w:val="en-US" w:eastAsia="zh-CN"/>
              </w:rPr>
              <w:t>负责产品的分析、测试等工作。</w:t>
            </w:r>
            <w:bookmarkStart w:id="0" w:name="_GoBack"/>
            <w:bookmarkEnd w:id="0"/>
          </w:p>
        </w:tc>
      </w:tr>
    </w:tbl>
    <w:p>
      <w:pPr>
        <w:spacing w:before="240" w:line="360" w:lineRule="auto"/>
        <w:rPr>
          <w:b/>
          <w:kern w:val="0"/>
          <w:szCs w:val="21"/>
        </w:rPr>
      </w:pPr>
      <w:r>
        <w:rPr>
          <w:rFonts w:hint="eastAsia"/>
          <w:b/>
          <w:kern w:val="0"/>
          <w:szCs w:val="21"/>
        </w:rPr>
        <w:t>1.3 工作过程</w:t>
      </w:r>
    </w:p>
    <w:p>
      <w:pPr>
        <w:spacing w:before="240" w:line="360" w:lineRule="auto"/>
        <w:rPr>
          <w:b/>
          <w:kern w:val="0"/>
          <w:szCs w:val="21"/>
        </w:rPr>
      </w:pPr>
      <w:r>
        <w:rPr>
          <w:rFonts w:hint="eastAsia"/>
          <w:b/>
          <w:kern w:val="0"/>
          <w:szCs w:val="21"/>
        </w:rPr>
        <w:t>1.3.1 申报阶段</w:t>
      </w:r>
    </w:p>
    <w:p>
      <w:pPr>
        <w:spacing w:line="360" w:lineRule="auto"/>
        <w:rPr>
          <w:b/>
          <w:kern w:val="0"/>
          <w:szCs w:val="21"/>
        </w:rPr>
      </w:pPr>
      <w:r>
        <w:rPr>
          <w:rFonts w:hint="eastAsia"/>
          <w:b/>
          <w:kern w:val="0"/>
          <w:szCs w:val="21"/>
        </w:rPr>
        <w:t>（1）标准调研</w:t>
      </w:r>
    </w:p>
    <w:p>
      <w:pPr>
        <w:pStyle w:val="44"/>
        <w:spacing w:line="360" w:lineRule="auto"/>
        <w:ind w:firstLine="409" w:firstLineChars="195"/>
        <w:jc w:val="left"/>
        <w:rPr>
          <w:kern w:val="0"/>
          <w:szCs w:val="21"/>
        </w:rPr>
      </w:pPr>
      <w:r>
        <w:rPr>
          <w:rFonts w:hint="eastAsia"/>
          <w:kern w:val="0"/>
          <w:szCs w:val="21"/>
        </w:rPr>
        <w:t>厦门火炬特材相关技术人员</w:t>
      </w:r>
      <w:r>
        <w:rPr>
          <w:rFonts w:hint="eastAsia"/>
          <w:kern w:val="0"/>
          <w:szCs w:val="21"/>
          <w:lang w:val="en-US" w:eastAsia="zh-CN"/>
        </w:rPr>
        <w:t>调研了</w:t>
      </w:r>
      <w:r>
        <w:rPr>
          <w:rFonts w:hint="eastAsia"/>
          <w:kern w:val="0"/>
          <w:szCs w:val="21"/>
        </w:rPr>
        <w:t>国内</w:t>
      </w:r>
      <w:r>
        <w:rPr>
          <w:rFonts w:hint="eastAsia"/>
          <w:kern w:val="0"/>
          <w:szCs w:val="21"/>
          <w:lang w:val="en-US" w:eastAsia="zh-CN"/>
        </w:rPr>
        <w:t>外铜基精密电阻合金牌号及化学成分</w:t>
      </w:r>
      <w:r>
        <w:rPr>
          <w:rFonts w:hint="eastAsia"/>
          <w:kern w:val="0"/>
          <w:szCs w:val="21"/>
        </w:rPr>
        <w:t>，对目前铜基精密电阻合金</w:t>
      </w:r>
      <w:r>
        <w:rPr>
          <w:rFonts w:hint="eastAsia"/>
          <w:kern w:val="0"/>
          <w:szCs w:val="21"/>
          <w:lang w:val="en-US" w:eastAsia="zh-CN"/>
        </w:rPr>
        <w:t>化学成分、</w:t>
      </w:r>
      <w:r>
        <w:rPr>
          <w:rFonts w:hint="eastAsia"/>
          <w:kern w:val="0"/>
          <w:szCs w:val="21"/>
        </w:rPr>
        <w:t>使用状况、性能指标等进行了调研。</w:t>
      </w:r>
      <w:r>
        <w:rPr>
          <w:rFonts w:hint="eastAsia"/>
          <w:kern w:val="0"/>
          <w:szCs w:val="21"/>
          <w:lang w:val="en-US" w:eastAsia="zh-CN"/>
        </w:rPr>
        <w:t>制定多种铜基精密电阻合金</w:t>
      </w:r>
      <w:r>
        <w:rPr>
          <w:rFonts w:hint="eastAsia"/>
          <w:kern w:val="0"/>
          <w:szCs w:val="21"/>
        </w:rPr>
        <w:t>牌号，</w:t>
      </w:r>
      <w:r>
        <w:rPr>
          <w:rFonts w:hint="eastAsia"/>
          <w:kern w:val="0"/>
          <w:szCs w:val="21"/>
          <w:lang w:val="en-US" w:eastAsia="zh-CN"/>
        </w:rPr>
        <w:t>使铜基精密电阻合金</w:t>
      </w:r>
      <w:r>
        <w:rPr>
          <w:rFonts w:hint="eastAsia"/>
          <w:kern w:val="0"/>
          <w:szCs w:val="21"/>
        </w:rPr>
        <w:t>应用范围更加广泛。</w:t>
      </w:r>
    </w:p>
    <w:p>
      <w:pPr>
        <w:spacing w:line="360" w:lineRule="auto"/>
        <w:rPr>
          <w:rFonts w:hint="eastAsia" w:eastAsia="宋体"/>
          <w:b/>
          <w:kern w:val="0"/>
          <w:szCs w:val="21"/>
          <w:lang w:eastAsia="zh-CN"/>
        </w:rPr>
      </w:pPr>
      <w:r>
        <w:rPr>
          <w:rFonts w:hint="eastAsia"/>
          <w:b/>
          <w:kern w:val="0"/>
          <w:szCs w:val="21"/>
        </w:rPr>
        <w:t>（</w:t>
      </w:r>
      <w:r>
        <w:rPr>
          <w:b/>
          <w:kern w:val="0"/>
          <w:szCs w:val="21"/>
        </w:rPr>
        <w:t>2</w:t>
      </w:r>
      <w:r>
        <w:rPr>
          <w:rFonts w:hint="eastAsia"/>
          <w:b/>
          <w:kern w:val="0"/>
          <w:szCs w:val="21"/>
        </w:rPr>
        <w:t>）标准</w:t>
      </w:r>
      <w:r>
        <w:rPr>
          <w:rFonts w:hint="eastAsia"/>
          <w:b/>
          <w:kern w:val="0"/>
          <w:szCs w:val="21"/>
          <w:lang w:val="en-US" w:eastAsia="zh-CN"/>
        </w:rPr>
        <w:t>预审</w:t>
      </w:r>
    </w:p>
    <w:p>
      <w:pPr>
        <w:spacing w:line="360" w:lineRule="auto"/>
        <w:ind w:firstLine="435"/>
        <w:rPr>
          <w:kern w:val="0"/>
          <w:szCs w:val="21"/>
        </w:rPr>
      </w:pPr>
      <w:r>
        <w:rPr>
          <w:rFonts w:hint="eastAsia"/>
          <w:kern w:val="0"/>
          <w:szCs w:val="21"/>
        </w:rPr>
        <w:t>全国有色金属标准化技术委员会发文（</w:t>
      </w:r>
      <w:r>
        <w:rPr>
          <w:kern w:val="0"/>
          <w:szCs w:val="21"/>
        </w:rPr>
        <w:t>20</w:t>
      </w:r>
      <w:r>
        <w:rPr>
          <w:rFonts w:hint="eastAsia"/>
          <w:kern w:val="0"/>
          <w:szCs w:val="21"/>
          <w:lang w:val="en-US" w:eastAsia="zh-CN"/>
        </w:rPr>
        <w:t>21</w:t>
      </w:r>
      <w:r>
        <w:rPr>
          <w:rFonts w:hint="eastAsia"/>
          <w:kern w:val="0"/>
          <w:szCs w:val="21"/>
        </w:rPr>
        <w:t>）第</w:t>
      </w:r>
      <w:r>
        <w:rPr>
          <w:rFonts w:hint="eastAsia"/>
          <w:kern w:val="0"/>
          <w:szCs w:val="21"/>
          <w:lang w:val="en-US" w:eastAsia="zh-CN"/>
        </w:rPr>
        <w:t>28</w:t>
      </w:r>
      <w:r>
        <w:rPr>
          <w:rFonts w:hint="eastAsia"/>
          <w:kern w:val="0"/>
          <w:szCs w:val="21"/>
        </w:rPr>
        <w:t>号文，于20</w:t>
      </w:r>
      <w:r>
        <w:rPr>
          <w:rFonts w:hint="eastAsia"/>
          <w:kern w:val="0"/>
          <w:szCs w:val="21"/>
          <w:lang w:val="en-US" w:eastAsia="zh-CN"/>
        </w:rPr>
        <w:t>21</w:t>
      </w:r>
      <w:r>
        <w:rPr>
          <w:rFonts w:hint="eastAsia"/>
          <w:kern w:val="0"/>
          <w:szCs w:val="21"/>
        </w:rPr>
        <w:t>年4月</w:t>
      </w:r>
      <w:r>
        <w:rPr>
          <w:rFonts w:hint="eastAsia"/>
          <w:kern w:val="0"/>
          <w:szCs w:val="21"/>
          <w:lang w:val="en-US" w:eastAsia="zh-CN"/>
        </w:rPr>
        <w:t>21</w:t>
      </w:r>
      <w:r>
        <w:rPr>
          <w:rFonts w:hint="eastAsia"/>
          <w:kern w:val="0"/>
          <w:szCs w:val="21"/>
        </w:rPr>
        <w:t>日-</w:t>
      </w:r>
      <w:r>
        <w:rPr>
          <w:rFonts w:hint="eastAsia"/>
          <w:kern w:val="0"/>
          <w:szCs w:val="21"/>
          <w:lang w:val="en-US" w:eastAsia="zh-CN"/>
        </w:rPr>
        <w:t>22</w:t>
      </w:r>
      <w:r>
        <w:rPr>
          <w:rFonts w:hint="eastAsia"/>
          <w:kern w:val="0"/>
          <w:szCs w:val="21"/>
        </w:rPr>
        <w:t>日在</w:t>
      </w:r>
      <w:r>
        <w:rPr>
          <w:rFonts w:hint="eastAsia"/>
          <w:kern w:val="0"/>
          <w:szCs w:val="21"/>
          <w:lang w:val="en-US" w:eastAsia="zh-CN"/>
        </w:rPr>
        <w:t>贵州贵阳市</w:t>
      </w:r>
      <w:r>
        <w:rPr>
          <w:rFonts w:hint="eastAsia"/>
          <w:kern w:val="0"/>
          <w:szCs w:val="21"/>
        </w:rPr>
        <w:t>召开有色金属标准项目论证会暨标准制修订工作会议。在此次会上，厦门火炬特种金属材料有限公司</w:t>
      </w:r>
      <w:r>
        <w:rPr>
          <w:rFonts w:hint="eastAsia"/>
          <w:kern w:val="0"/>
          <w:szCs w:val="21"/>
          <w:lang w:val="en-US" w:eastAsia="zh-CN"/>
        </w:rPr>
        <w:t>及北京有研特材科技有限公司</w:t>
      </w:r>
      <w:r>
        <w:rPr>
          <w:rFonts w:hint="eastAsia"/>
          <w:kern w:val="0"/>
          <w:szCs w:val="21"/>
        </w:rPr>
        <w:t>根据调研情况，将收集的资料进行汇总，提出了《铜基精密电阻合金牌号及化学成分》</w:t>
      </w:r>
      <w:r>
        <w:rPr>
          <w:rFonts w:hint="eastAsia"/>
          <w:kern w:val="0"/>
          <w:szCs w:val="21"/>
          <w:lang w:val="en-US" w:eastAsia="zh-CN"/>
        </w:rPr>
        <w:t>制订</w:t>
      </w:r>
      <w:r>
        <w:rPr>
          <w:rFonts w:hint="eastAsia"/>
          <w:kern w:val="0"/>
          <w:szCs w:val="21"/>
        </w:rPr>
        <w:t>计划、立项报告稿（</w:t>
      </w:r>
      <w:r>
        <w:rPr>
          <w:kern w:val="0"/>
          <w:szCs w:val="21"/>
        </w:rPr>
        <w:t>1</w:t>
      </w:r>
      <w:r>
        <w:rPr>
          <w:rFonts w:hint="eastAsia"/>
          <w:kern w:val="0"/>
          <w:szCs w:val="21"/>
        </w:rPr>
        <w:t>）和草案稿（</w:t>
      </w:r>
      <w:r>
        <w:rPr>
          <w:kern w:val="0"/>
          <w:szCs w:val="21"/>
        </w:rPr>
        <w:t>1</w:t>
      </w:r>
      <w:r>
        <w:rPr>
          <w:rFonts w:hint="eastAsia"/>
          <w:kern w:val="0"/>
          <w:szCs w:val="21"/>
        </w:rPr>
        <w:t>）。与会专家和企业代表认真研究和讨论，提出组建涵盖研发、生产、用户这样的一个团队共同对该项目进行</w:t>
      </w:r>
      <w:r>
        <w:rPr>
          <w:rFonts w:hint="eastAsia"/>
          <w:kern w:val="0"/>
          <w:szCs w:val="21"/>
          <w:lang w:val="en-US" w:eastAsia="zh-CN"/>
        </w:rPr>
        <w:t>制订</w:t>
      </w:r>
      <w:r>
        <w:rPr>
          <w:rFonts w:hint="eastAsia"/>
          <w:kern w:val="0"/>
          <w:szCs w:val="21"/>
          <w:lang w:eastAsia="zh-CN"/>
        </w:rPr>
        <w:t>。</w:t>
      </w:r>
      <w:r>
        <w:rPr>
          <w:rFonts w:hint="eastAsia"/>
          <w:kern w:val="0"/>
          <w:szCs w:val="21"/>
        </w:rPr>
        <w:t>会后，编制组根据收集到的信息，汇总整理后，形成了草案（</w:t>
      </w:r>
      <w:r>
        <w:rPr>
          <w:kern w:val="0"/>
          <w:szCs w:val="21"/>
        </w:rPr>
        <w:t>2</w:t>
      </w:r>
      <w:r>
        <w:rPr>
          <w:rFonts w:hint="eastAsia"/>
          <w:kern w:val="0"/>
          <w:szCs w:val="21"/>
        </w:rPr>
        <w:t>）和立项报告（</w:t>
      </w:r>
      <w:r>
        <w:rPr>
          <w:kern w:val="0"/>
          <w:szCs w:val="21"/>
        </w:rPr>
        <w:t>2</w:t>
      </w:r>
      <w:r>
        <w:rPr>
          <w:rFonts w:hint="eastAsia"/>
          <w:kern w:val="0"/>
          <w:szCs w:val="21"/>
        </w:rPr>
        <w:t>）。</w:t>
      </w:r>
    </w:p>
    <w:p>
      <w:pPr>
        <w:spacing w:before="240" w:line="360" w:lineRule="auto"/>
        <w:rPr>
          <w:b/>
          <w:kern w:val="0"/>
          <w:szCs w:val="21"/>
        </w:rPr>
      </w:pPr>
      <w:r>
        <w:rPr>
          <w:rFonts w:hint="eastAsia"/>
          <w:b/>
          <w:kern w:val="0"/>
          <w:szCs w:val="21"/>
        </w:rPr>
        <w:t>二、</w:t>
      </w:r>
      <w:r>
        <w:rPr>
          <w:b/>
          <w:kern w:val="0"/>
          <w:szCs w:val="21"/>
        </w:rPr>
        <w:t xml:space="preserve"> </w:t>
      </w:r>
      <w:r>
        <w:rPr>
          <w:rFonts w:hint="eastAsia"/>
          <w:b/>
          <w:kern w:val="0"/>
          <w:szCs w:val="21"/>
        </w:rPr>
        <w:t>标准编制原则</w:t>
      </w:r>
    </w:p>
    <w:p>
      <w:pPr>
        <w:pStyle w:val="49"/>
        <w:spacing w:before="240" w:line="360" w:lineRule="auto"/>
        <w:rPr>
          <w:rFonts w:ascii="宋体" w:hAnsi="宋体"/>
          <w:kern w:val="0"/>
        </w:rPr>
      </w:pPr>
      <w:r>
        <w:rPr>
          <w:rFonts w:hint="eastAsia" w:ascii="宋体" w:hAnsi="宋体"/>
          <w:kern w:val="0"/>
        </w:rPr>
        <w:t>本标准制定单位自接受起草任务后，成立了本标准编制工作组，负责收集生产、检验数据、市场需求及客户要求等信息。初步确定了《</w:t>
      </w:r>
      <w:r>
        <w:rPr>
          <w:rFonts w:hint="eastAsia"/>
          <w:kern w:val="0"/>
          <w:szCs w:val="21"/>
        </w:rPr>
        <w:t>铜基精密电阻合金牌号及化学成分</w:t>
      </w:r>
      <w:r>
        <w:rPr>
          <w:rFonts w:hint="eastAsia" w:ascii="宋体" w:hAnsi="宋体"/>
          <w:kern w:val="0"/>
        </w:rPr>
        <w:t>》标准起草所遵循的基本原则和编制依据：：</w:t>
      </w:r>
    </w:p>
    <w:p>
      <w:pPr>
        <w:numPr>
          <w:ilvl w:val="0"/>
          <w:numId w:val="1"/>
        </w:numPr>
        <w:spacing w:line="360" w:lineRule="auto"/>
        <w:ind w:firstLine="424" w:firstLineChars="202"/>
        <w:rPr>
          <w:szCs w:val="28"/>
        </w:rPr>
      </w:pPr>
      <w:r>
        <w:rPr>
          <w:rFonts w:hint="eastAsia"/>
          <w:szCs w:val="28"/>
        </w:rPr>
        <w:t>查阅相关标准和国内外客户的相关技术要求。</w:t>
      </w:r>
    </w:p>
    <w:p>
      <w:pPr>
        <w:numPr>
          <w:ilvl w:val="0"/>
          <w:numId w:val="1"/>
        </w:numPr>
        <w:spacing w:line="360" w:lineRule="auto"/>
        <w:ind w:firstLine="424" w:firstLineChars="202"/>
        <w:rPr>
          <w:szCs w:val="28"/>
        </w:rPr>
      </w:pPr>
      <w:r>
        <w:rPr>
          <w:rFonts w:hint="eastAsia"/>
          <w:szCs w:val="28"/>
        </w:rPr>
        <w:t>根据国内外铜基精密电阻合金企业具体情况，力求做到标准修订科学、先进，满足市场需要。</w:t>
      </w:r>
    </w:p>
    <w:p>
      <w:pPr>
        <w:numPr>
          <w:ilvl w:val="0"/>
          <w:numId w:val="1"/>
        </w:numPr>
        <w:spacing w:line="360" w:lineRule="auto"/>
        <w:ind w:firstLine="420"/>
        <w:rPr>
          <w:szCs w:val="28"/>
        </w:rPr>
      </w:pPr>
      <w:r>
        <w:rPr>
          <w:rFonts w:hint="eastAsia"/>
          <w:szCs w:val="28"/>
        </w:rPr>
        <w:t>根据技术发展水平及测试数据确定技术指标取值范围，力求做到标准修订经济合理、实用</w:t>
      </w:r>
      <w:r>
        <w:rPr>
          <w:rFonts w:hint="eastAsia"/>
          <w:szCs w:val="21"/>
        </w:rPr>
        <w:t>。</w:t>
      </w:r>
    </w:p>
    <w:p>
      <w:pPr>
        <w:numPr>
          <w:ilvl w:val="0"/>
          <w:numId w:val="1"/>
        </w:numPr>
        <w:spacing w:line="360" w:lineRule="auto"/>
        <w:ind w:firstLine="420"/>
        <w:rPr>
          <w:szCs w:val="28"/>
        </w:rPr>
      </w:pPr>
      <w:r>
        <w:rPr>
          <w:rFonts w:hint="eastAsia"/>
          <w:szCs w:val="28"/>
        </w:rPr>
        <w:t>完全按照</w:t>
      </w:r>
      <w:r>
        <w:rPr>
          <w:szCs w:val="28"/>
        </w:rPr>
        <w:t>GB/T1.1-2020</w:t>
      </w:r>
      <w:r>
        <w:rPr>
          <w:rFonts w:hint="eastAsia"/>
          <w:szCs w:val="28"/>
        </w:rPr>
        <w:t>《标准化工作导则</w:t>
      </w:r>
      <w:r>
        <w:rPr>
          <w:szCs w:val="28"/>
        </w:rPr>
        <w:t xml:space="preserve"> </w:t>
      </w:r>
      <w:r>
        <w:rPr>
          <w:rFonts w:hint="eastAsia"/>
          <w:szCs w:val="28"/>
        </w:rPr>
        <w:t>第一部分：标准结构和编写》的要求编写。</w:t>
      </w:r>
    </w:p>
    <w:p>
      <w:pPr>
        <w:spacing w:before="240" w:line="360" w:lineRule="auto"/>
        <w:rPr>
          <w:b/>
          <w:kern w:val="0"/>
          <w:szCs w:val="21"/>
        </w:rPr>
      </w:pPr>
      <w:r>
        <w:rPr>
          <w:rFonts w:hint="eastAsia"/>
          <w:b/>
          <w:kern w:val="0"/>
          <w:szCs w:val="21"/>
        </w:rPr>
        <w:t>三、</w:t>
      </w:r>
      <w:r>
        <w:rPr>
          <w:b/>
          <w:kern w:val="0"/>
          <w:szCs w:val="21"/>
        </w:rPr>
        <w:t xml:space="preserve"> </w:t>
      </w:r>
      <w:r>
        <w:rPr>
          <w:rFonts w:hint="eastAsia"/>
          <w:b/>
          <w:kern w:val="0"/>
          <w:szCs w:val="21"/>
        </w:rPr>
        <w:t>标准的主要内容的确定依据和主要试验和验证情况分析</w:t>
      </w:r>
    </w:p>
    <w:p>
      <w:pPr>
        <w:spacing w:before="240" w:line="360" w:lineRule="auto"/>
        <w:rPr>
          <w:b/>
          <w:kern w:val="0"/>
          <w:szCs w:val="21"/>
        </w:rPr>
      </w:pPr>
      <w:r>
        <w:rPr>
          <w:b/>
          <w:kern w:val="0"/>
          <w:szCs w:val="21"/>
        </w:rPr>
        <w:t xml:space="preserve">3.1 </w:t>
      </w:r>
      <w:r>
        <w:rPr>
          <w:rFonts w:hint="eastAsia"/>
          <w:b/>
          <w:kern w:val="0"/>
          <w:szCs w:val="21"/>
        </w:rPr>
        <w:t>适用范围</w:t>
      </w:r>
    </w:p>
    <w:p>
      <w:pPr>
        <w:spacing w:line="360" w:lineRule="auto"/>
        <w:ind w:firstLine="420" w:firstLineChars="200"/>
        <w:rPr>
          <w:rFonts w:hint="eastAsia"/>
          <w:szCs w:val="21"/>
        </w:rPr>
      </w:pPr>
      <w:r>
        <w:rPr>
          <w:rFonts w:hint="eastAsia"/>
          <w:szCs w:val="21"/>
        </w:rPr>
        <w:t>本标准规定了铜基精密电阻合金的牌号和化学成分。</w:t>
      </w:r>
    </w:p>
    <w:p>
      <w:pPr>
        <w:spacing w:line="360" w:lineRule="auto"/>
        <w:ind w:firstLine="420" w:firstLineChars="200"/>
        <w:rPr>
          <w:szCs w:val="21"/>
        </w:rPr>
      </w:pPr>
      <w:r>
        <w:rPr>
          <w:rFonts w:hint="eastAsia"/>
          <w:szCs w:val="21"/>
        </w:rPr>
        <w:t>本标准适用于铜基精密电阻合金牌号的命名及各牌号化学成分的一般规定。</w:t>
      </w:r>
    </w:p>
    <w:p>
      <w:pPr>
        <w:spacing w:before="240" w:line="360" w:lineRule="auto"/>
        <w:rPr>
          <w:b/>
          <w:kern w:val="0"/>
          <w:szCs w:val="21"/>
        </w:rPr>
      </w:pPr>
      <w:r>
        <w:rPr>
          <w:b/>
          <w:kern w:val="0"/>
          <w:szCs w:val="21"/>
        </w:rPr>
        <w:t xml:space="preserve">3.2 </w:t>
      </w:r>
      <w:r>
        <w:rPr>
          <w:rFonts w:hint="eastAsia"/>
          <w:b/>
          <w:kern w:val="0"/>
          <w:szCs w:val="21"/>
        </w:rPr>
        <w:t>规范性引用文件</w:t>
      </w:r>
    </w:p>
    <w:p>
      <w:pPr>
        <w:spacing w:line="36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下列文件对于本文件的应用是必不可少的。凡是注日期的引用文件，仅注日期的版本适用于本文件。凡是不注日期的引用文件，其最新版本（包括所有的修改单）适用于本文件。</w:t>
      </w:r>
    </w:p>
    <w:p>
      <w:pPr>
        <w:spacing w:line="360" w:lineRule="auto"/>
        <w:ind w:firstLine="420" w:firstLineChars="200"/>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GB/T 37797-2019  精密合金 牌号</w:t>
      </w:r>
    </w:p>
    <w:p>
      <w:pPr>
        <w:spacing w:line="360" w:lineRule="auto"/>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GB/T 8170—2008  数值修约规则与极限数值的表示和判定</w:t>
      </w:r>
    </w:p>
    <w:p>
      <w:pPr>
        <w:spacing w:before="240" w:line="360" w:lineRule="auto"/>
        <w:rPr>
          <w:b/>
          <w:kern w:val="0"/>
          <w:szCs w:val="21"/>
        </w:rPr>
      </w:pPr>
      <w:r>
        <w:rPr>
          <w:b/>
          <w:kern w:val="0"/>
          <w:szCs w:val="21"/>
        </w:rPr>
        <w:t xml:space="preserve">3.3 </w:t>
      </w:r>
      <w:r>
        <w:rPr>
          <w:rFonts w:hint="eastAsia"/>
          <w:b/>
          <w:kern w:val="0"/>
          <w:szCs w:val="21"/>
        </w:rPr>
        <w:t>术语和定义</w:t>
      </w:r>
    </w:p>
    <w:p>
      <w:pPr>
        <w:spacing w:line="360" w:lineRule="auto"/>
        <w:rPr>
          <w:rFonts w:hint="eastAsia" w:asciiTheme="minorEastAsia" w:hAnsiTheme="minorEastAsia" w:eastAsiaTheme="minorEastAsia"/>
          <w:kern w:val="0"/>
          <w:szCs w:val="21"/>
        </w:rPr>
      </w:pPr>
      <w:r>
        <w:rPr>
          <w:rFonts w:asciiTheme="minorEastAsia" w:hAnsiTheme="minorEastAsia" w:eastAsiaTheme="minorEastAsia"/>
          <w:kern w:val="0"/>
          <w:szCs w:val="21"/>
        </w:rPr>
        <w:t xml:space="preserve">   </w:t>
      </w:r>
      <w:r>
        <w:rPr>
          <w:rFonts w:hint="eastAsia" w:asciiTheme="minorEastAsia" w:hAnsiTheme="minorEastAsia" w:eastAsiaTheme="minorEastAsia"/>
          <w:kern w:val="0"/>
          <w:szCs w:val="21"/>
        </w:rPr>
        <w:t>下列术语和定义适用于本标准。</w:t>
      </w:r>
    </w:p>
    <w:p>
      <w:pPr>
        <w:spacing w:before="240" w:line="360" w:lineRule="auto"/>
        <w:rPr>
          <w:rFonts w:hint="eastAsia" w:asciiTheme="minorEastAsia" w:hAnsiTheme="minorEastAsia" w:eastAsiaTheme="minorEastAsia"/>
          <w:kern w:val="0"/>
          <w:szCs w:val="21"/>
        </w:rPr>
      </w:pPr>
      <w:r>
        <w:rPr>
          <w:rFonts w:hint="eastAsia"/>
          <w:b/>
          <w:kern w:val="0"/>
          <w:szCs w:val="21"/>
        </w:rPr>
        <w:t>3.</w:t>
      </w:r>
      <w:r>
        <w:rPr>
          <w:rFonts w:hint="eastAsia"/>
          <w:b/>
          <w:kern w:val="0"/>
          <w:szCs w:val="21"/>
          <w:lang w:val="en-US" w:eastAsia="zh-CN"/>
        </w:rPr>
        <w:t>3.</w:t>
      </w:r>
      <w:r>
        <w:rPr>
          <w:rFonts w:hint="eastAsia"/>
          <w:b/>
          <w:kern w:val="0"/>
          <w:szCs w:val="21"/>
        </w:rPr>
        <w:t>1</w:t>
      </w:r>
      <w:r>
        <w:rPr>
          <w:rFonts w:hint="eastAsia" w:asciiTheme="minorEastAsia" w:hAnsiTheme="minorEastAsia" w:eastAsiaTheme="minorEastAsia"/>
          <w:kern w:val="0"/>
          <w:szCs w:val="21"/>
        </w:rPr>
        <w:t>精密电阻合金 precision resistance alloy</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kern w:val="0"/>
          <w:szCs w:val="21"/>
        </w:rPr>
      </w:pPr>
      <w:r>
        <w:rPr>
          <w:rFonts w:hint="eastAsia" w:asciiTheme="minorEastAsia" w:hAnsiTheme="minorEastAsia" w:eastAsiaTheme="minorEastAsia"/>
          <w:kern w:val="0"/>
          <w:szCs w:val="21"/>
        </w:rPr>
        <w:t>电阻温度系数绝对值和对铜热电动势绝对值均小，并且稳定性好的电阻合金。</w:t>
      </w:r>
    </w:p>
    <w:p>
      <w:pPr>
        <w:spacing w:before="240" w:line="360" w:lineRule="auto"/>
        <w:rPr>
          <w:rFonts w:hint="eastAsia" w:asciiTheme="minorEastAsia" w:hAnsiTheme="minorEastAsia" w:eastAsiaTheme="minorEastAsia"/>
          <w:kern w:val="0"/>
          <w:szCs w:val="21"/>
        </w:rPr>
      </w:pPr>
      <w:r>
        <w:rPr>
          <w:rFonts w:hint="eastAsia"/>
          <w:b/>
          <w:kern w:val="0"/>
          <w:szCs w:val="21"/>
        </w:rPr>
        <w:t>3.</w:t>
      </w:r>
      <w:r>
        <w:rPr>
          <w:rFonts w:hint="eastAsia"/>
          <w:b/>
          <w:kern w:val="0"/>
          <w:szCs w:val="21"/>
          <w:lang w:val="en-US" w:eastAsia="zh-CN"/>
        </w:rPr>
        <w:t>3.</w:t>
      </w:r>
      <w:r>
        <w:rPr>
          <w:rFonts w:hint="eastAsia"/>
          <w:b/>
          <w:kern w:val="0"/>
          <w:szCs w:val="21"/>
        </w:rPr>
        <w:t>2</w:t>
      </w:r>
      <w:r>
        <w:rPr>
          <w:rFonts w:hint="eastAsia" w:asciiTheme="minorEastAsia" w:hAnsiTheme="minorEastAsia" w:eastAsiaTheme="minorEastAsia"/>
          <w:kern w:val="0"/>
          <w:szCs w:val="21"/>
        </w:rPr>
        <w:t>铜基精密电阻合金 copper based precision resistance alloy</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kern w:val="0"/>
          <w:szCs w:val="21"/>
        </w:rPr>
      </w:pPr>
      <w:r>
        <w:rPr>
          <w:rFonts w:hint="eastAsia" w:asciiTheme="minorEastAsia" w:hAnsiTheme="minorEastAsia" w:eastAsiaTheme="minorEastAsia"/>
          <w:kern w:val="0"/>
          <w:szCs w:val="21"/>
        </w:rPr>
        <w:t>铜元素为主要基体元素的精密电阻合金材料。</w:t>
      </w:r>
    </w:p>
    <w:p>
      <w:pPr>
        <w:spacing w:before="240" w:line="360" w:lineRule="auto"/>
        <w:rPr>
          <w:b/>
          <w:kern w:val="0"/>
          <w:szCs w:val="21"/>
        </w:rPr>
      </w:pPr>
      <w:r>
        <w:rPr>
          <w:b/>
          <w:kern w:val="0"/>
          <w:szCs w:val="21"/>
        </w:rPr>
        <w:t xml:space="preserve">3.4 </w:t>
      </w:r>
      <w:r>
        <w:rPr>
          <w:rFonts w:hint="eastAsia"/>
          <w:b/>
          <w:kern w:val="0"/>
          <w:szCs w:val="21"/>
        </w:rPr>
        <w:t>牌号表示方法</w:t>
      </w:r>
    </w:p>
    <w:p>
      <w:pPr>
        <w:spacing w:line="360" w:lineRule="auto"/>
        <w:ind w:left="0" w:leftChars="0" w:firstLine="0" w:firstLineChars="0"/>
        <w:rPr>
          <w:rFonts w:hint="eastAsia" w:asciiTheme="minorEastAsia" w:hAnsiTheme="minorEastAsia" w:eastAsiaTheme="minorEastAsia"/>
          <w:kern w:val="0"/>
          <w:szCs w:val="21"/>
        </w:rPr>
      </w:pPr>
      <w:r>
        <w:rPr>
          <w:b/>
          <w:kern w:val="0"/>
          <w:szCs w:val="21"/>
        </w:rPr>
        <w:t xml:space="preserve">3.4.1 </w:t>
      </w:r>
      <w:r>
        <w:rPr>
          <w:rFonts w:hint="eastAsia" w:asciiTheme="minorEastAsia" w:hAnsiTheme="minorEastAsia" w:eastAsiaTheme="minorEastAsia"/>
          <w:kern w:val="0"/>
          <w:szCs w:val="21"/>
        </w:rPr>
        <w:t>铜基精密合金牌号命名，采用阿拉伯数字与汉语拼音字母“J”（“精”字汉语拼音“jing”的首位字母）相结合的方法表示，其表示方法如下：</w:t>
      </w:r>
    </w:p>
    <w:p>
      <w:pPr>
        <w:spacing w:line="360" w:lineRule="auto"/>
        <w:ind w:firstLine="420" w:firstLineChars="200"/>
        <w:rPr>
          <w:rFonts w:asciiTheme="minorEastAsia" w:hAnsiTheme="minorEastAsia" w:eastAsiaTheme="minorEastAsia"/>
          <w:kern w:val="0"/>
          <w:szCs w:val="21"/>
        </w:rPr>
      </w:pPr>
      <w:r>
        <w:drawing>
          <wp:inline distT="0" distB="0" distL="114300" distR="114300">
            <wp:extent cx="4603750" cy="1746250"/>
            <wp:effectExtent l="0" t="0" r="6350" b="635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8"/>
                    <a:stretch>
                      <a:fillRect/>
                    </a:stretch>
                  </pic:blipFill>
                  <pic:spPr>
                    <a:xfrm>
                      <a:off x="0" y="0"/>
                      <a:ext cx="4603750" cy="1746250"/>
                    </a:xfrm>
                    <a:prstGeom prst="rect">
                      <a:avLst/>
                    </a:prstGeom>
                    <a:noFill/>
                    <a:ln>
                      <a:noFill/>
                    </a:ln>
                  </pic:spPr>
                </pic:pic>
              </a:graphicData>
            </a:graphic>
          </wp:inline>
        </w:drawing>
      </w:r>
    </w:p>
    <w:p>
      <w:pPr>
        <w:spacing w:before="240" w:line="360" w:lineRule="auto"/>
        <w:rPr>
          <w:rFonts w:hint="eastAsia" w:ascii="宋体" w:hAnsi="宋体"/>
          <w:szCs w:val="21"/>
        </w:rPr>
      </w:pPr>
      <w:r>
        <w:rPr>
          <w:b/>
          <w:kern w:val="0"/>
          <w:szCs w:val="21"/>
        </w:rPr>
        <w:t xml:space="preserve">3.4.2 </w:t>
      </w:r>
      <w:r>
        <w:rPr>
          <w:rFonts w:hint="eastAsia" w:ascii="宋体" w:hAnsi="宋体"/>
          <w:szCs w:val="21"/>
        </w:rPr>
        <w:t>第一位数字6表示精密合金的类别，具体指精密电阻合金。</w:t>
      </w:r>
    </w:p>
    <w:p>
      <w:pPr>
        <w:spacing w:before="240" w:line="360" w:lineRule="auto"/>
        <w:rPr>
          <w:rFonts w:hint="eastAsia" w:ascii="宋体" w:hAnsi="宋体"/>
          <w:szCs w:val="21"/>
        </w:rPr>
      </w:pPr>
      <w:r>
        <w:rPr>
          <w:b/>
          <w:kern w:val="0"/>
          <w:szCs w:val="21"/>
        </w:rPr>
        <w:t>3.4.</w:t>
      </w:r>
      <w:r>
        <w:rPr>
          <w:rFonts w:hint="eastAsia"/>
          <w:b/>
          <w:kern w:val="0"/>
          <w:szCs w:val="21"/>
          <w:lang w:val="en-US" w:eastAsia="zh-CN"/>
        </w:rPr>
        <w:t>3</w:t>
      </w:r>
      <w:r>
        <w:rPr>
          <w:b/>
          <w:kern w:val="0"/>
          <w:szCs w:val="21"/>
        </w:rPr>
        <w:t xml:space="preserve"> </w:t>
      </w:r>
      <w:r>
        <w:rPr>
          <w:rFonts w:hint="eastAsia" w:ascii="宋体" w:hAnsi="宋体"/>
          <w:szCs w:val="21"/>
        </w:rPr>
        <w:t>第二位数字6表示按合金基本组成细分类为铜基（铜含量大于50%，如铜锰、铜镍等合金），以区别于其他基体的精密电阻合金。</w:t>
      </w:r>
    </w:p>
    <w:p>
      <w:pPr>
        <w:spacing w:before="240" w:line="360" w:lineRule="auto"/>
        <w:rPr>
          <w:rFonts w:hint="eastAsia" w:ascii="宋体" w:hAnsi="宋体"/>
          <w:szCs w:val="21"/>
        </w:rPr>
      </w:pPr>
      <w:r>
        <w:rPr>
          <w:b/>
          <w:kern w:val="0"/>
          <w:szCs w:val="21"/>
        </w:rPr>
        <w:t>3.4.</w:t>
      </w:r>
      <w:r>
        <w:rPr>
          <w:rFonts w:hint="eastAsia"/>
          <w:b/>
          <w:kern w:val="0"/>
          <w:szCs w:val="21"/>
          <w:lang w:val="en-US" w:eastAsia="zh-CN"/>
        </w:rPr>
        <w:t>4</w:t>
      </w:r>
      <w:r>
        <w:rPr>
          <w:b/>
          <w:kern w:val="0"/>
          <w:szCs w:val="21"/>
        </w:rPr>
        <w:t xml:space="preserve"> </w:t>
      </w:r>
      <w:r>
        <w:rPr>
          <w:rFonts w:hint="eastAsia" w:ascii="宋体" w:hAnsi="宋体"/>
          <w:szCs w:val="21"/>
        </w:rPr>
        <w:t>第三、四位数字表示不同合金牌号的顺序号（01~99），原则上以参照现有标准进行牌号命名更新，如标准 JB/T 5327-2014中牌号为6J6的铜基精密电阻合金命名为6J606，标准 GB/T 6145-2010中牌号为6J12的铜基精密电阻合金命名为6J612。无标准的铜基精密电阻合金牌号命名，按照主元素（铜除外）百分含量中值（近似值）表示，若主元素（铜除外）百分含量接近。若合金的顺序号重复，其中某合金顺序号则可采用主元素含量与另一合金元素含量之和的中值（近似值）表示，或以主元素百分含量的上（或下）限表示，以示区别。</w:t>
      </w:r>
    </w:p>
    <w:p>
      <w:pPr>
        <w:keepNext w:val="0"/>
        <w:keepLines w:val="0"/>
        <w:pageBreakBefore w:val="0"/>
        <w:widowControl w:val="0"/>
        <w:kinsoku/>
        <w:wordWrap/>
        <w:overflowPunct/>
        <w:topLinePunct w:val="0"/>
        <w:autoSpaceDE/>
        <w:autoSpaceDN/>
        <w:bidi w:val="0"/>
        <w:adjustRightInd/>
        <w:snapToGrid/>
        <w:spacing w:before="240" w:line="360" w:lineRule="auto"/>
        <w:ind w:firstLine="420" w:firstLineChars="200"/>
        <w:textAlignment w:val="auto"/>
        <w:rPr>
          <w:rFonts w:hint="eastAsia" w:ascii="宋体" w:hAnsi="宋体"/>
          <w:szCs w:val="21"/>
        </w:rPr>
      </w:pPr>
      <w:r>
        <w:rPr>
          <w:rFonts w:hint="eastAsia" w:ascii="宋体" w:hAnsi="宋体"/>
          <w:szCs w:val="21"/>
        </w:rPr>
        <w:t>示例：</w:t>
      </w:r>
    </w:p>
    <w:p>
      <w:pPr>
        <w:keepNext w:val="0"/>
        <w:keepLines w:val="0"/>
        <w:pageBreakBefore w:val="0"/>
        <w:widowControl w:val="0"/>
        <w:kinsoku/>
        <w:wordWrap/>
        <w:overflowPunct/>
        <w:topLinePunct w:val="0"/>
        <w:autoSpaceDE/>
        <w:autoSpaceDN/>
        <w:bidi w:val="0"/>
        <w:adjustRightInd/>
        <w:snapToGrid/>
        <w:spacing w:before="240" w:line="360" w:lineRule="auto"/>
        <w:ind w:firstLine="420" w:firstLineChars="200"/>
        <w:textAlignment w:val="auto"/>
        <w:rPr>
          <w:rFonts w:hint="eastAsia" w:ascii="宋体" w:hAnsi="宋体"/>
          <w:szCs w:val="21"/>
        </w:rPr>
      </w:pPr>
      <w:r>
        <w:rPr>
          <w:rFonts w:hint="eastAsia" w:ascii="宋体" w:hAnsi="宋体"/>
          <w:szCs w:val="21"/>
        </w:rPr>
        <w:t>6J607表示锰含量为6.50%~7.50%、锗元素含量在5.0%~6.0%的铜基精密电阻合金。</w:t>
      </w:r>
    </w:p>
    <w:p>
      <w:pPr>
        <w:keepNext w:val="0"/>
        <w:keepLines w:val="0"/>
        <w:pageBreakBefore w:val="0"/>
        <w:widowControl w:val="0"/>
        <w:kinsoku/>
        <w:wordWrap/>
        <w:overflowPunct/>
        <w:topLinePunct w:val="0"/>
        <w:autoSpaceDE/>
        <w:autoSpaceDN/>
        <w:bidi w:val="0"/>
        <w:adjustRightInd/>
        <w:snapToGrid/>
        <w:spacing w:before="240" w:line="360" w:lineRule="auto"/>
        <w:ind w:firstLine="420" w:firstLineChars="200"/>
        <w:textAlignment w:val="auto"/>
        <w:rPr>
          <w:rFonts w:hint="eastAsia" w:ascii="宋体" w:hAnsi="宋体"/>
          <w:szCs w:val="21"/>
        </w:rPr>
      </w:pPr>
      <w:r>
        <w:rPr>
          <w:rFonts w:hint="eastAsia" w:ascii="宋体" w:hAnsi="宋体"/>
          <w:szCs w:val="21"/>
        </w:rPr>
        <w:t>6J615表示锰含量为11.5%~12.5%、铝含量为3%的铜基精密电阻合金。</w:t>
      </w:r>
    </w:p>
    <w:p>
      <w:pPr>
        <w:spacing w:before="240" w:line="360" w:lineRule="auto"/>
        <w:rPr>
          <w:rFonts w:hint="eastAsia"/>
          <w:b/>
          <w:kern w:val="0"/>
          <w:szCs w:val="21"/>
        </w:rPr>
      </w:pPr>
      <w:r>
        <w:rPr>
          <w:b/>
          <w:kern w:val="0"/>
          <w:szCs w:val="21"/>
        </w:rPr>
        <w:t xml:space="preserve">3.5 </w:t>
      </w:r>
      <w:r>
        <w:rPr>
          <w:rFonts w:hint="eastAsia"/>
          <w:b/>
          <w:kern w:val="0"/>
          <w:szCs w:val="21"/>
        </w:rPr>
        <w:t>牌号的命名规则及使用</w:t>
      </w:r>
    </w:p>
    <w:p>
      <w:pPr>
        <w:keepNext w:val="0"/>
        <w:keepLines w:val="0"/>
        <w:pageBreakBefore w:val="0"/>
        <w:widowControl w:val="0"/>
        <w:kinsoku/>
        <w:wordWrap/>
        <w:overflowPunct/>
        <w:topLinePunct w:val="0"/>
        <w:autoSpaceDE/>
        <w:autoSpaceDN/>
        <w:bidi w:val="0"/>
        <w:adjustRightInd/>
        <w:snapToGrid/>
        <w:spacing w:before="240" w:line="360" w:lineRule="auto"/>
        <w:ind w:firstLine="420" w:firstLineChars="200"/>
        <w:textAlignment w:val="auto"/>
        <w:rPr>
          <w:rFonts w:hint="eastAsia" w:ascii="宋体" w:hAnsi="宋体"/>
          <w:szCs w:val="21"/>
        </w:rPr>
      </w:pPr>
      <w:r>
        <w:rPr>
          <w:rFonts w:hint="eastAsia" w:ascii="宋体" w:hAnsi="宋体"/>
          <w:szCs w:val="21"/>
        </w:rPr>
        <w:t>在科研、试制阶段的铜基精密合金，应依据本标准的牌号表示方法命名。</w:t>
      </w:r>
    </w:p>
    <w:p>
      <w:pPr>
        <w:spacing w:line="360" w:lineRule="auto"/>
        <w:rPr>
          <w:rFonts w:asciiTheme="minorEastAsia" w:hAnsiTheme="minorEastAsia" w:eastAsiaTheme="minorEastAsia"/>
          <w:b/>
          <w:kern w:val="0"/>
          <w:szCs w:val="21"/>
        </w:rPr>
      </w:pPr>
      <w:r>
        <w:rPr>
          <w:rFonts w:asciiTheme="minorEastAsia" w:hAnsiTheme="minorEastAsia" w:eastAsiaTheme="minorEastAsia"/>
          <w:b/>
          <w:kern w:val="0"/>
          <w:szCs w:val="21"/>
        </w:rPr>
        <w:t>3.6</w:t>
      </w:r>
      <w:r>
        <w:rPr>
          <w:rFonts w:hint="eastAsia" w:asciiTheme="minorEastAsia" w:hAnsiTheme="minorEastAsia" w:eastAsiaTheme="minorEastAsia"/>
          <w:b/>
          <w:kern w:val="0"/>
          <w:szCs w:val="21"/>
          <w:lang w:val="en-US" w:eastAsia="zh-CN"/>
        </w:rPr>
        <w:t xml:space="preserve"> </w:t>
      </w:r>
      <w:r>
        <w:rPr>
          <w:rFonts w:hint="eastAsia" w:asciiTheme="minorEastAsia" w:hAnsiTheme="minorEastAsia" w:eastAsiaTheme="minorEastAsia"/>
          <w:b/>
          <w:kern w:val="0"/>
          <w:szCs w:val="21"/>
        </w:rPr>
        <w:t>牌号及其化学成分</w:t>
      </w:r>
    </w:p>
    <w:p>
      <w:pPr>
        <w:spacing w:line="360" w:lineRule="auto"/>
        <w:rPr>
          <w:rFonts w:asciiTheme="minorEastAsia" w:hAnsiTheme="minorEastAsia" w:eastAsiaTheme="minorEastAsia"/>
          <w:kern w:val="0"/>
          <w:szCs w:val="21"/>
        </w:rPr>
      </w:pPr>
      <w:r>
        <w:rPr>
          <w:rFonts w:asciiTheme="minorEastAsia" w:hAnsiTheme="minorEastAsia" w:eastAsiaTheme="minorEastAsia"/>
          <w:b/>
          <w:kern w:val="0"/>
          <w:szCs w:val="21"/>
        </w:rPr>
        <w:t xml:space="preserve">3.6.1 </w:t>
      </w:r>
      <w:r>
        <w:rPr>
          <w:rFonts w:hint="eastAsia" w:asciiTheme="minorEastAsia" w:hAnsiTheme="minorEastAsia" w:eastAsiaTheme="minorEastAsia"/>
          <w:kern w:val="0"/>
          <w:szCs w:val="21"/>
        </w:rPr>
        <w:t>本标准规定的各合金牌号的化学成分只作为代表该合金牌号的一般化学成分范围，允许在产品标准或合同、协议中规定较严的化学成分范围，或对残余元素、有害杂质元素含量作特殊限制规定。</w:t>
      </w:r>
    </w:p>
    <w:p>
      <w:pPr>
        <w:spacing w:line="360" w:lineRule="auto"/>
        <w:rPr>
          <w:rFonts w:hint="eastAsia" w:asciiTheme="minorEastAsia" w:hAnsiTheme="minorEastAsia" w:eastAsiaTheme="minorEastAsia"/>
          <w:kern w:val="0"/>
          <w:szCs w:val="21"/>
        </w:rPr>
      </w:pPr>
      <w:r>
        <w:rPr>
          <w:rFonts w:asciiTheme="minorEastAsia" w:hAnsiTheme="minorEastAsia" w:eastAsiaTheme="minorEastAsia"/>
          <w:b/>
          <w:kern w:val="0"/>
          <w:szCs w:val="21"/>
        </w:rPr>
        <w:t xml:space="preserve">3.6.2 </w:t>
      </w:r>
      <w:r>
        <w:rPr>
          <w:rFonts w:hint="eastAsia" w:asciiTheme="minorEastAsia" w:hAnsiTheme="minorEastAsia" w:eastAsiaTheme="minorEastAsia"/>
          <w:kern w:val="0"/>
          <w:szCs w:val="21"/>
        </w:rPr>
        <w:t>铜基精密电阻合金牌号及其化学成分见表1。各牌号的主要特性及用途、使用标准及产品形状参见表2。</w:t>
      </w:r>
    </w:p>
    <w:p>
      <w:pPr>
        <w:spacing w:line="360" w:lineRule="auto"/>
        <w:rPr>
          <w:rFonts w:hint="eastAsia" w:asciiTheme="minorEastAsia" w:hAnsiTheme="minorEastAsia" w:eastAsiaTheme="minorEastAsia"/>
          <w:kern w:val="0"/>
          <w:szCs w:val="21"/>
        </w:rPr>
        <w:sectPr>
          <w:headerReference r:id="rId3" w:type="default"/>
          <w:footerReference r:id="rId5" w:type="default"/>
          <w:headerReference r:id="rId4" w:type="even"/>
          <w:footerReference r:id="rId6" w:type="even"/>
          <w:pgSz w:w="11906" w:h="16838"/>
          <w:pgMar w:top="1440" w:right="1797" w:bottom="1440" w:left="1797" w:header="851" w:footer="992" w:gutter="0"/>
          <w:cols w:space="720" w:num="1"/>
          <w:titlePg/>
          <w:docGrid w:type="linesAndChars" w:linePitch="312" w:charSpace="0"/>
        </w:sectPr>
      </w:pPr>
    </w:p>
    <w:p>
      <w:pPr>
        <w:pStyle w:val="29"/>
        <w:numPr>
          <w:ilvl w:val="0"/>
          <w:numId w:val="0"/>
        </w:numPr>
        <w:jc w:val="center"/>
        <w:rPr>
          <w:rFonts w:ascii="Times New Roman" w:eastAsia="宋体"/>
          <w:color w:val="000000"/>
          <w:szCs w:val="22"/>
        </w:rPr>
      </w:pPr>
      <w:r>
        <w:rPr>
          <w:rFonts w:ascii="Times New Roman"/>
        </w:rPr>
        <w:t xml:space="preserve">表 </w:t>
      </w:r>
      <w:r>
        <w:rPr>
          <w:rFonts w:ascii="Times New Roman"/>
        </w:rPr>
        <w:fldChar w:fldCharType="begin"/>
      </w:r>
      <w:r>
        <w:rPr>
          <w:rFonts w:ascii="Times New Roman"/>
        </w:rPr>
        <w:instrText xml:space="preserve"> SEQ 表 \* ARABIC </w:instrText>
      </w:r>
      <w:r>
        <w:rPr>
          <w:rFonts w:ascii="Times New Roman"/>
        </w:rPr>
        <w:fldChar w:fldCharType="separate"/>
      </w:r>
      <w:r>
        <w:rPr>
          <w:rFonts w:ascii="Times New Roman"/>
        </w:rPr>
        <w:t>1</w:t>
      </w:r>
      <w:r>
        <w:rPr>
          <w:rFonts w:ascii="Times New Roman"/>
        </w:rPr>
        <w:fldChar w:fldCharType="end"/>
      </w:r>
      <w:r>
        <w:rPr>
          <w:rFonts w:ascii="Times New Roman"/>
        </w:rPr>
        <w:t xml:space="preserve"> 铜基精密电阻合金牌号及化学成分</w:t>
      </w:r>
    </w:p>
    <w:p>
      <w:pPr>
        <w:pStyle w:val="2"/>
        <w:keepNext/>
        <w:rPr>
          <w:rFonts w:ascii="Times New Roman" w:hAnsi="Times New Roman"/>
        </w:rPr>
      </w:pPr>
    </w:p>
    <w:tbl>
      <w:tblPr>
        <w:tblStyle w:val="12"/>
        <w:tblpPr w:leftFromText="180" w:rightFromText="180" w:vertAnchor="page" w:horzAnchor="margin" w:tblpY="2102"/>
        <w:tblW w:w="459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46"/>
        <w:gridCol w:w="846"/>
        <w:gridCol w:w="1111"/>
        <w:gridCol w:w="1111"/>
        <w:gridCol w:w="1111"/>
        <w:gridCol w:w="1111"/>
        <w:gridCol w:w="1111"/>
        <w:gridCol w:w="1111"/>
        <w:gridCol w:w="1112"/>
        <w:gridCol w:w="1112"/>
        <w:gridCol w:w="11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57" w:type="pct"/>
            <w:vMerge w:val="restart"/>
            <w:noWrap/>
            <w:vAlign w:val="center"/>
          </w:tcPr>
          <w:p>
            <w:pPr>
              <w:widowControl/>
              <w:jc w:val="center"/>
              <w:rPr>
                <w:color w:val="000000"/>
                <w:kern w:val="0"/>
                <w:szCs w:val="21"/>
              </w:rPr>
            </w:pPr>
            <w:r>
              <w:rPr>
                <w:color w:val="000000"/>
                <w:kern w:val="0"/>
                <w:szCs w:val="21"/>
              </w:rPr>
              <w:t>序号</w:t>
            </w:r>
          </w:p>
        </w:tc>
        <w:tc>
          <w:tcPr>
            <w:tcW w:w="342" w:type="pct"/>
            <w:vMerge w:val="restart"/>
            <w:noWrap/>
            <w:vAlign w:val="center"/>
          </w:tcPr>
          <w:p>
            <w:pPr>
              <w:widowControl/>
              <w:jc w:val="center"/>
              <w:rPr>
                <w:color w:val="000000"/>
                <w:kern w:val="0"/>
                <w:szCs w:val="21"/>
              </w:rPr>
            </w:pPr>
            <w:r>
              <w:rPr>
                <w:rFonts w:hint="eastAsia"/>
                <w:color w:val="000000"/>
                <w:kern w:val="0"/>
                <w:szCs w:val="21"/>
              </w:rPr>
              <w:t>新</w:t>
            </w:r>
            <w:r>
              <w:rPr>
                <w:color w:val="000000"/>
                <w:kern w:val="0"/>
                <w:szCs w:val="21"/>
              </w:rPr>
              <w:t>牌号</w:t>
            </w:r>
          </w:p>
        </w:tc>
        <w:tc>
          <w:tcPr>
            <w:tcW w:w="342" w:type="pct"/>
            <w:vMerge w:val="restart"/>
            <w:noWrap/>
            <w:vAlign w:val="center"/>
          </w:tcPr>
          <w:p>
            <w:pPr>
              <w:widowControl/>
              <w:jc w:val="center"/>
              <w:rPr>
                <w:kern w:val="0"/>
                <w:szCs w:val="21"/>
              </w:rPr>
            </w:pPr>
            <w:r>
              <w:rPr>
                <w:rFonts w:hint="eastAsia"/>
                <w:kern w:val="0"/>
                <w:szCs w:val="21"/>
              </w:rPr>
              <w:t>旧</w:t>
            </w:r>
            <w:r>
              <w:rPr>
                <w:kern w:val="0"/>
                <w:szCs w:val="21"/>
              </w:rPr>
              <w:t>牌号</w:t>
            </w:r>
          </w:p>
        </w:tc>
        <w:tc>
          <w:tcPr>
            <w:tcW w:w="4057" w:type="pct"/>
            <w:gridSpan w:val="9"/>
            <w:noWrap/>
            <w:vAlign w:val="center"/>
          </w:tcPr>
          <w:p>
            <w:pPr>
              <w:widowControl/>
              <w:jc w:val="center"/>
              <w:rPr>
                <w:color w:val="000000"/>
                <w:kern w:val="0"/>
                <w:szCs w:val="21"/>
              </w:rPr>
            </w:pPr>
            <w:r>
              <w:rPr>
                <w:color w:val="000000"/>
                <w:kern w:val="0"/>
                <w:szCs w:val="21"/>
              </w:rPr>
              <w:t>化学成分（质量分数）/%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57" w:type="pct"/>
            <w:vMerge w:val="continue"/>
            <w:noWrap w:val="0"/>
            <w:vAlign w:val="center"/>
          </w:tcPr>
          <w:p>
            <w:pPr>
              <w:widowControl/>
              <w:jc w:val="center"/>
              <w:rPr>
                <w:color w:val="000000"/>
                <w:kern w:val="0"/>
                <w:szCs w:val="21"/>
              </w:rPr>
            </w:pPr>
          </w:p>
        </w:tc>
        <w:tc>
          <w:tcPr>
            <w:tcW w:w="342" w:type="pct"/>
            <w:vMerge w:val="continue"/>
            <w:noWrap w:val="0"/>
            <w:vAlign w:val="center"/>
          </w:tcPr>
          <w:p>
            <w:pPr>
              <w:widowControl/>
              <w:jc w:val="center"/>
              <w:rPr>
                <w:color w:val="000000"/>
                <w:kern w:val="0"/>
                <w:szCs w:val="21"/>
              </w:rPr>
            </w:pPr>
          </w:p>
        </w:tc>
        <w:tc>
          <w:tcPr>
            <w:tcW w:w="342" w:type="pct"/>
            <w:vMerge w:val="continue"/>
            <w:noWrap w:val="0"/>
            <w:vAlign w:val="center"/>
          </w:tcPr>
          <w:p>
            <w:pPr>
              <w:widowControl/>
              <w:jc w:val="center"/>
              <w:rPr>
                <w:color w:val="FF0000"/>
                <w:kern w:val="0"/>
                <w:szCs w:val="21"/>
              </w:rPr>
            </w:pPr>
          </w:p>
        </w:tc>
        <w:tc>
          <w:tcPr>
            <w:tcW w:w="450" w:type="pct"/>
            <w:noWrap/>
            <w:vAlign w:val="center"/>
          </w:tcPr>
          <w:p>
            <w:pPr>
              <w:widowControl/>
              <w:jc w:val="center"/>
              <w:rPr>
                <w:color w:val="000000"/>
                <w:kern w:val="0"/>
                <w:sz w:val="21"/>
                <w:szCs w:val="21"/>
                <w:lang w:val="en-US" w:eastAsia="zh-CN" w:bidi="ar-SA"/>
              </w:rPr>
            </w:pPr>
            <w:r>
              <w:rPr>
                <w:color w:val="000000"/>
                <w:kern w:val="0"/>
                <w:szCs w:val="21"/>
              </w:rPr>
              <w:t>Cu</w:t>
            </w:r>
          </w:p>
        </w:tc>
        <w:tc>
          <w:tcPr>
            <w:tcW w:w="450" w:type="pct"/>
            <w:noWrap/>
            <w:vAlign w:val="center"/>
          </w:tcPr>
          <w:p>
            <w:pPr>
              <w:widowControl/>
              <w:jc w:val="center"/>
              <w:rPr>
                <w:color w:val="000000"/>
                <w:kern w:val="0"/>
                <w:sz w:val="21"/>
                <w:szCs w:val="21"/>
                <w:lang w:val="en-US" w:eastAsia="zh-CN" w:bidi="ar-SA"/>
              </w:rPr>
            </w:pPr>
            <w:r>
              <w:rPr>
                <w:color w:val="000000"/>
                <w:kern w:val="0"/>
                <w:szCs w:val="21"/>
              </w:rPr>
              <w:t>Mn</w:t>
            </w:r>
          </w:p>
        </w:tc>
        <w:tc>
          <w:tcPr>
            <w:tcW w:w="450" w:type="pct"/>
            <w:noWrap/>
            <w:vAlign w:val="center"/>
          </w:tcPr>
          <w:p>
            <w:pPr>
              <w:widowControl/>
              <w:jc w:val="center"/>
              <w:rPr>
                <w:color w:val="000000"/>
                <w:kern w:val="0"/>
                <w:sz w:val="21"/>
                <w:szCs w:val="21"/>
                <w:lang w:val="en-US" w:eastAsia="zh-CN" w:bidi="ar-SA"/>
              </w:rPr>
            </w:pPr>
            <w:r>
              <w:rPr>
                <w:color w:val="auto"/>
                <w:kern w:val="0"/>
                <w:szCs w:val="21"/>
              </w:rPr>
              <w:t>Ni</w:t>
            </w:r>
          </w:p>
        </w:tc>
        <w:tc>
          <w:tcPr>
            <w:tcW w:w="450" w:type="pct"/>
            <w:noWrap/>
            <w:vAlign w:val="center"/>
          </w:tcPr>
          <w:p>
            <w:pPr>
              <w:widowControl/>
              <w:jc w:val="center"/>
              <w:rPr>
                <w:color w:val="000000"/>
                <w:kern w:val="0"/>
                <w:szCs w:val="21"/>
              </w:rPr>
            </w:pPr>
            <w:r>
              <w:rPr>
                <w:color w:val="000000"/>
                <w:kern w:val="0"/>
                <w:szCs w:val="21"/>
              </w:rPr>
              <w:t>Si</w:t>
            </w:r>
          </w:p>
        </w:tc>
        <w:tc>
          <w:tcPr>
            <w:tcW w:w="450" w:type="pct"/>
            <w:noWrap/>
            <w:vAlign w:val="center"/>
          </w:tcPr>
          <w:p>
            <w:pPr>
              <w:widowControl/>
              <w:jc w:val="center"/>
              <w:rPr>
                <w:color w:val="000000"/>
                <w:kern w:val="0"/>
                <w:szCs w:val="21"/>
              </w:rPr>
            </w:pPr>
            <w:r>
              <w:rPr>
                <w:color w:val="000000"/>
                <w:kern w:val="0"/>
                <w:szCs w:val="21"/>
              </w:rPr>
              <w:t>Ge</w:t>
            </w:r>
          </w:p>
        </w:tc>
        <w:tc>
          <w:tcPr>
            <w:tcW w:w="450" w:type="pct"/>
            <w:noWrap/>
            <w:vAlign w:val="center"/>
          </w:tcPr>
          <w:p>
            <w:pPr>
              <w:widowControl/>
              <w:jc w:val="center"/>
              <w:rPr>
                <w:color w:val="000000"/>
                <w:kern w:val="0"/>
                <w:szCs w:val="21"/>
              </w:rPr>
            </w:pPr>
            <w:r>
              <w:rPr>
                <w:color w:val="000000"/>
                <w:kern w:val="0"/>
                <w:szCs w:val="21"/>
              </w:rPr>
              <w:t>Al</w:t>
            </w:r>
          </w:p>
        </w:tc>
        <w:tc>
          <w:tcPr>
            <w:tcW w:w="450" w:type="pct"/>
            <w:noWrap/>
            <w:vAlign w:val="center"/>
          </w:tcPr>
          <w:p>
            <w:pPr>
              <w:widowControl/>
              <w:jc w:val="center"/>
              <w:rPr>
                <w:color w:val="000000"/>
                <w:kern w:val="0"/>
                <w:szCs w:val="21"/>
              </w:rPr>
            </w:pPr>
            <w:r>
              <w:rPr>
                <w:color w:val="000000"/>
                <w:kern w:val="0"/>
                <w:szCs w:val="21"/>
              </w:rPr>
              <w:t>Fe</w:t>
            </w:r>
          </w:p>
        </w:tc>
        <w:tc>
          <w:tcPr>
            <w:tcW w:w="450" w:type="pct"/>
            <w:noWrap/>
            <w:vAlign w:val="center"/>
          </w:tcPr>
          <w:p>
            <w:pPr>
              <w:widowControl/>
              <w:jc w:val="center"/>
              <w:rPr>
                <w:color w:val="000000"/>
                <w:kern w:val="0"/>
                <w:szCs w:val="21"/>
              </w:rPr>
            </w:pPr>
            <w:r>
              <w:rPr>
                <w:color w:val="000000"/>
                <w:kern w:val="0"/>
                <w:szCs w:val="21"/>
              </w:rPr>
              <w:t>Sn</w:t>
            </w:r>
          </w:p>
        </w:tc>
        <w:tc>
          <w:tcPr>
            <w:tcW w:w="453" w:type="pct"/>
            <w:noWrap/>
            <w:vAlign w:val="center"/>
          </w:tcPr>
          <w:p>
            <w:pPr>
              <w:widowControl/>
              <w:jc w:val="center"/>
              <w:rPr>
                <w:color w:val="000000"/>
                <w:kern w:val="0"/>
                <w:szCs w:val="21"/>
              </w:rPr>
            </w:pPr>
            <w:r>
              <w:rPr>
                <w:color w:val="000000"/>
                <w:kern w:val="0"/>
                <w:szCs w:val="21"/>
              </w:rPr>
              <w:t>其他元素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11" w:hRule="atLeast"/>
        </w:trPr>
        <w:tc>
          <w:tcPr>
            <w:tcW w:w="257" w:type="pct"/>
            <w:noWrap/>
            <w:vAlign w:val="center"/>
          </w:tcPr>
          <w:p>
            <w:pPr>
              <w:widowControl/>
              <w:jc w:val="center"/>
              <w:rPr>
                <w:color w:val="000000"/>
                <w:kern w:val="0"/>
                <w:szCs w:val="21"/>
              </w:rPr>
            </w:pPr>
            <w:r>
              <w:rPr>
                <w:color w:val="000000"/>
                <w:kern w:val="0"/>
                <w:szCs w:val="21"/>
              </w:rPr>
              <w:t>1</w:t>
            </w:r>
          </w:p>
        </w:tc>
        <w:tc>
          <w:tcPr>
            <w:tcW w:w="342" w:type="pct"/>
            <w:noWrap/>
            <w:vAlign w:val="center"/>
          </w:tcPr>
          <w:p>
            <w:pPr>
              <w:widowControl/>
              <w:jc w:val="center"/>
              <w:rPr>
                <w:color w:val="000000"/>
                <w:kern w:val="0"/>
                <w:szCs w:val="21"/>
              </w:rPr>
            </w:pPr>
            <w:r>
              <w:rPr>
                <w:color w:val="000000"/>
                <w:kern w:val="0"/>
                <w:szCs w:val="21"/>
              </w:rPr>
              <w:t>6J606</w:t>
            </w:r>
          </w:p>
        </w:tc>
        <w:tc>
          <w:tcPr>
            <w:tcW w:w="342" w:type="pct"/>
            <w:noWrap/>
            <w:vAlign w:val="center"/>
          </w:tcPr>
          <w:p>
            <w:pPr>
              <w:widowControl/>
              <w:jc w:val="center"/>
              <w:rPr>
                <w:color w:val="000000"/>
                <w:kern w:val="0"/>
                <w:szCs w:val="21"/>
              </w:rPr>
            </w:pPr>
            <w:r>
              <w:rPr>
                <w:color w:val="000000"/>
                <w:kern w:val="0"/>
                <w:szCs w:val="21"/>
              </w:rPr>
              <w:t>6J6</w:t>
            </w:r>
          </w:p>
        </w:tc>
        <w:tc>
          <w:tcPr>
            <w:tcW w:w="450" w:type="pct"/>
            <w:noWrap/>
            <w:vAlign w:val="center"/>
          </w:tcPr>
          <w:p>
            <w:pPr>
              <w:widowControl/>
              <w:jc w:val="center"/>
              <w:rPr>
                <w:color w:val="000000"/>
                <w:kern w:val="0"/>
                <w:sz w:val="21"/>
                <w:szCs w:val="21"/>
                <w:lang w:val="en-US" w:eastAsia="zh-CN" w:bidi="ar-SA"/>
              </w:rPr>
            </w:pPr>
            <w:r>
              <w:rPr>
                <w:color w:val="000000"/>
                <w:kern w:val="0"/>
                <w:szCs w:val="21"/>
              </w:rPr>
              <w:t>余</w:t>
            </w:r>
          </w:p>
        </w:tc>
        <w:tc>
          <w:tcPr>
            <w:tcW w:w="450" w:type="pct"/>
            <w:noWrap/>
            <w:vAlign w:val="center"/>
          </w:tcPr>
          <w:p>
            <w:pPr>
              <w:widowControl/>
              <w:jc w:val="center"/>
              <w:rPr>
                <w:color w:val="000000"/>
                <w:kern w:val="0"/>
                <w:sz w:val="21"/>
                <w:szCs w:val="21"/>
                <w:lang w:val="en-US" w:eastAsia="zh-CN" w:bidi="ar-SA"/>
              </w:rPr>
            </w:pPr>
            <w:r>
              <w:rPr>
                <w:color w:val="000000"/>
                <w:kern w:val="0"/>
                <w:szCs w:val="21"/>
              </w:rPr>
              <w:t>6.0~7.0</w:t>
            </w:r>
          </w:p>
        </w:tc>
        <w:tc>
          <w:tcPr>
            <w:tcW w:w="450" w:type="pct"/>
            <w:noWrap/>
            <w:vAlign w:val="center"/>
          </w:tcPr>
          <w:p>
            <w:pPr>
              <w:widowControl/>
              <w:jc w:val="center"/>
              <w:rPr>
                <w:color w:val="000000"/>
                <w:kern w:val="0"/>
                <w:sz w:val="21"/>
                <w:szCs w:val="21"/>
                <w:lang w:val="en-US" w:eastAsia="zh-CN" w:bidi="ar-SA"/>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5.0~6.0</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w:t>
            </w:r>
          </w:p>
        </w:tc>
        <w:tc>
          <w:tcPr>
            <w:tcW w:w="453" w:type="pct"/>
            <w:noWrap/>
            <w:vAlign w:val="center"/>
          </w:tcPr>
          <w:p>
            <w:pPr>
              <w:widowControl/>
              <w:jc w:val="center"/>
              <w:rPr>
                <w:color w:val="000000"/>
                <w:kern w:val="0"/>
                <w:szCs w:val="21"/>
              </w:rPr>
            </w:pPr>
            <w:r>
              <w:rPr>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57" w:type="pct"/>
            <w:noWrap/>
            <w:vAlign w:val="center"/>
          </w:tcPr>
          <w:p>
            <w:pPr>
              <w:widowControl/>
              <w:jc w:val="center"/>
              <w:rPr>
                <w:color w:val="000000"/>
                <w:kern w:val="0"/>
                <w:szCs w:val="21"/>
              </w:rPr>
            </w:pPr>
            <w:r>
              <w:rPr>
                <w:rFonts w:hint="eastAsia"/>
                <w:color w:val="000000"/>
                <w:kern w:val="0"/>
                <w:szCs w:val="21"/>
              </w:rPr>
              <w:t>2</w:t>
            </w:r>
          </w:p>
        </w:tc>
        <w:tc>
          <w:tcPr>
            <w:tcW w:w="342" w:type="pct"/>
            <w:noWrap/>
            <w:vAlign w:val="center"/>
          </w:tcPr>
          <w:p>
            <w:pPr>
              <w:widowControl/>
              <w:jc w:val="center"/>
              <w:rPr>
                <w:color w:val="000000"/>
                <w:kern w:val="0"/>
                <w:szCs w:val="21"/>
              </w:rPr>
            </w:pPr>
            <w:r>
              <w:rPr>
                <w:color w:val="333333"/>
                <w:kern w:val="0"/>
                <w:szCs w:val="21"/>
              </w:rPr>
              <w:t>6J607</w:t>
            </w:r>
          </w:p>
        </w:tc>
        <w:tc>
          <w:tcPr>
            <w:tcW w:w="342"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 w:val="21"/>
                <w:szCs w:val="21"/>
                <w:lang w:val="en-US" w:eastAsia="zh-CN" w:bidi="ar-SA"/>
              </w:rPr>
            </w:pPr>
            <w:r>
              <w:rPr>
                <w:color w:val="000000"/>
                <w:kern w:val="0"/>
                <w:szCs w:val="21"/>
              </w:rPr>
              <w:t>余</w:t>
            </w:r>
          </w:p>
        </w:tc>
        <w:tc>
          <w:tcPr>
            <w:tcW w:w="450" w:type="pct"/>
            <w:noWrap/>
            <w:vAlign w:val="center"/>
          </w:tcPr>
          <w:p>
            <w:pPr>
              <w:widowControl/>
              <w:jc w:val="center"/>
              <w:rPr>
                <w:color w:val="000000"/>
                <w:kern w:val="0"/>
                <w:sz w:val="21"/>
                <w:szCs w:val="21"/>
                <w:lang w:val="en-US" w:eastAsia="zh-CN" w:bidi="ar-SA"/>
              </w:rPr>
            </w:pPr>
            <w:r>
              <w:rPr>
                <w:rFonts w:hint="eastAsia"/>
                <w:color w:val="000000"/>
                <w:kern w:val="0"/>
                <w:szCs w:val="21"/>
              </w:rPr>
              <w:t>6.5~7.5</w:t>
            </w:r>
          </w:p>
        </w:tc>
        <w:tc>
          <w:tcPr>
            <w:tcW w:w="450" w:type="pct"/>
            <w:noWrap/>
            <w:vAlign w:val="center"/>
          </w:tcPr>
          <w:p>
            <w:pPr>
              <w:widowControl/>
              <w:jc w:val="center"/>
              <w:rPr>
                <w:color w:val="000000"/>
                <w:kern w:val="0"/>
                <w:sz w:val="21"/>
                <w:szCs w:val="21"/>
                <w:lang w:val="en-US" w:eastAsia="zh-CN" w:bidi="ar-SA"/>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rFonts w:hint="default" w:eastAsia="宋体"/>
                <w:color w:val="000000"/>
                <w:kern w:val="0"/>
                <w:szCs w:val="21"/>
                <w:lang w:val="en-US" w:eastAsia="zh-CN"/>
              </w:rPr>
            </w:pPr>
            <w:r>
              <w:rPr>
                <w:color w:val="000000"/>
                <w:kern w:val="0"/>
                <w:szCs w:val="21"/>
              </w:rPr>
              <w:t>2</w:t>
            </w:r>
            <w:r>
              <w:rPr>
                <w:rFonts w:hint="eastAsia"/>
                <w:color w:val="000000"/>
                <w:kern w:val="0"/>
                <w:szCs w:val="21"/>
                <w:lang w:eastAsia="zh-CN"/>
              </w:rPr>
              <w:t>.</w:t>
            </w:r>
            <w:r>
              <w:rPr>
                <w:rFonts w:hint="eastAsia"/>
                <w:color w:val="000000"/>
                <w:kern w:val="0"/>
                <w:szCs w:val="21"/>
                <w:lang w:val="en-US" w:eastAsia="zh-CN"/>
              </w:rPr>
              <w:t>0-</w:t>
            </w:r>
            <w:r>
              <w:rPr>
                <w:color w:val="000000"/>
                <w:kern w:val="0"/>
                <w:szCs w:val="21"/>
              </w:rPr>
              <w:t>3</w:t>
            </w:r>
            <w:r>
              <w:rPr>
                <w:rFonts w:hint="eastAsia"/>
                <w:color w:val="000000"/>
                <w:kern w:val="0"/>
                <w:szCs w:val="21"/>
                <w:lang w:val="en-US" w:eastAsia="zh-CN"/>
              </w:rPr>
              <w:t>.0</w:t>
            </w:r>
          </w:p>
        </w:tc>
        <w:tc>
          <w:tcPr>
            <w:tcW w:w="453" w:type="pct"/>
            <w:noWrap/>
            <w:vAlign w:val="center"/>
          </w:tcPr>
          <w:p>
            <w:pPr>
              <w:widowControl/>
              <w:jc w:val="center"/>
              <w:rPr>
                <w:color w:val="000000"/>
                <w:kern w:val="0"/>
                <w:szCs w:val="21"/>
              </w:rPr>
            </w:pPr>
            <w:r>
              <w:rPr>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57" w:type="pct"/>
            <w:noWrap/>
            <w:vAlign w:val="center"/>
          </w:tcPr>
          <w:p>
            <w:pPr>
              <w:widowControl/>
              <w:jc w:val="center"/>
              <w:rPr>
                <w:color w:val="000000"/>
                <w:kern w:val="0"/>
                <w:szCs w:val="21"/>
              </w:rPr>
            </w:pPr>
            <w:r>
              <w:rPr>
                <w:rFonts w:hint="eastAsia"/>
                <w:color w:val="000000"/>
                <w:kern w:val="0"/>
                <w:szCs w:val="21"/>
              </w:rPr>
              <w:t>3</w:t>
            </w:r>
          </w:p>
        </w:tc>
        <w:tc>
          <w:tcPr>
            <w:tcW w:w="342" w:type="pct"/>
            <w:noWrap/>
            <w:vAlign w:val="center"/>
          </w:tcPr>
          <w:p>
            <w:pPr>
              <w:widowControl/>
              <w:jc w:val="center"/>
              <w:rPr>
                <w:color w:val="000000"/>
                <w:kern w:val="0"/>
                <w:szCs w:val="21"/>
              </w:rPr>
            </w:pPr>
            <w:r>
              <w:rPr>
                <w:color w:val="000000"/>
                <w:kern w:val="0"/>
                <w:szCs w:val="21"/>
              </w:rPr>
              <w:t>6J608</w:t>
            </w:r>
          </w:p>
        </w:tc>
        <w:tc>
          <w:tcPr>
            <w:tcW w:w="342" w:type="pct"/>
            <w:noWrap/>
            <w:vAlign w:val="center"/>
          </w:tcPr>
          <w:p>
            <w:pPr>
              <w:widowControl/>
              <w:jc w:val="center"/>
              <w:rPr>
                <w:color w:val="000000"/>
                <w:kern w:val="0"/>
                <w:szCs w:val="21"/>
              </w:rPr>
            </w:pPr>
            <w:r>
              <w:rPr>
                <w:color w:val="000000"/>
                <w:kern w:val="0"/>
                <w:szCs w:val="21"/>
              </w:rPr>
              <w:t>6J8</w:t>
            </w:r>
          </w:p>
        </w:tc>
        <w:tc>
          <w:tcPr>
            <w:tcW w:w="450" w:type="pct"/>
            <w:noWrap/>
            <w:vAlign w:val="center"/>
          </w:tcPr>
          <w:p>
            <w:pPr>
              <w:widowControl/>
              <w:jc w:val="center"/>
              <w:rPr>
                <w:color w:val="000000"/>
                <w:kern w:val="0"/>
                <w:sz w:val="21"/>
                <w:szCs w:val="21"/>
                <w:lang w:val="en-US" w:eastAsia="zh-CN" w:bidi="ar-SA"/>
              </w:rPr>
            </w:pPr>
            <w:r>
              <w:rPr>
                <w:color w:val="000000"/>
                <w:kern w:val="0"/>
                <w:szCs w:val="21"/>
              </w:rPr>
              <w:t>余</w:t>
            </w:r>
          </w:p>
        </w:tc>
        <w:tc>
          <w:tcPr>
            <w:tcW w:w="450" w:type="pct"/>
            <w:noWrap/>
            <w:vAlign w:val="center"/>
          </w:tcPr>
          <w:p>
            <w:pPr>
              <w:widowControl/>
              <w:jc w:val="center"/>
              <w:rPr>
                <w:color w:val="000000"/>
                <w:kern w:val="0"/>
                <w:sz w:val="21"/>
                <w:szCs w:val="21"/>
                <w:lang w:val="en-US" w:eastAsia="zh-CN" w:bidi="ar-SA"/>
              </w:rPr>
            </w:pPr>
            <w:r>
              <w:rPr>
                <w:color w:val="000000"/>
                <w:kern w:val="0"/>
                <w:szCs w:val="21"/>
              </w:rPr>
              <w:t>8.0~10.0</w:t>
            </w:r>
          </w:p>
        </w:tc>
        <w:tc>
          <w:tcPr>
            <w:tcW w:w="450" w:type="pct"/>
            <w:noWrap/>
            <w:vAlign w:val="center"/>
          </w:tcPr>
          <w:p>
            <w:pPr>
              <w:widowControl/>
              <w:jc w:val="center"/>
              <w:rPr>
                <w:color w:val="000000"/>
                <w:kern w:val="0"/>
                <w:sz w:val="21"/>
                <w:szCs w:val="21"/>
                <w:lang w:val="en-US" w:eastAsia="zh-CN" w:bidi="ar-SA"/>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1.0~2.0</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w:t>
            </w:r>
          </w:p>
        </w:tc>
        <w:tc>
          <w:tcPr>
            <w:tcW w:w="453" w:type="pct"/>
            <w:noWrap/>
            <w:vAlign w:val="center"/>
          </w:tcPr>
          <w:p>
            <w:pPr>
              <w:widowControl/>
              <w:jc w:val="center"/>
              <w:rPr>
                <w:color w:val="000000"/>
                <w:kern w:val="0"/>
                <w:szCs w:val="21"/>
              </w:rPr>
            </w:pPr>
            <w:r>
              <w:rPr>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57" w:type="pct"/>
            <w:noWrap/>
            <w:vAlign w:val="center"/>
          </w:tcPr>
          <w:p>
            <w:pPr>
              <w:widowControl/>
              <w:jc w:val="center"/>
              <w:rPr>
                <w:color w:val="000000"/>
                <w:kern w:val="0"/>
                <w:szCs w:val="21"/>
              </w:rPr>
            </w:pPr>
            <w:r>
              <w:rPr>
                <w:rFonts w:hint="eastAsia"/>
                <w:color w:val="000000"/>
                <w:kern w:val="0"/>
                <w:szCs w:val="21"/>
              </w:rPr>
              <w:t>4</w:t>
            </w:r>
          </w:p>
        </w:tc>
        <w:tc>
          <w:tcPr>
            <w:tcW w:w="342" w:type="pct"/>
            <w:noWrap/>
            <w:vAlign w:val="center"/>
          </w:tcPr>
          <w:p>
            <w:pPr>
              <w:widowControl/>
              <w:jc w:val="center"/>
              <w:rPr>
                <w:color w:val="000000"/>
                <w:kern w:val="0"/>
                <w:szCs w:val="21"/>
              </w:rPr>
            </w:pPr>
            <w:r>
              <w:rPr>
                <w:color w:val="000000"/>
                <w:kern w:val="0"/>
                <w:szCs w:val="21"/>
              </w:rPr>
              <w:t>6J611</w:t>
            </w:r>
          </w:p>
        </w:tc>
        <w:tc>
          <w:tcPr>
            <w:tcW w:w="342" w:type="pct"/>
            <w:noWrap/>
            <w:vAlign w:val="center"/>
          </w:tcPr>
          <w:p>
            <w:pPr>
              <w:widowControl/>
              <w:jc w:val="center"/>
              <w:rPr>
                <w:color w:val="000000"/>
                <w:kern w:val="0"/>
                <w:szCs w:val="21"/>
              </w:rPr>
            </w:pPr>
            <w:r>
              <w:rPr>
                <w:color w:val="000000"/>
                <w:kern w:val="0"/>
                <w:szCs w:val="21"/>
              </w:rPr>
              <w:t>6J11</w:t>
            </w:r>
          </w:p>
        </w:tc>
        <w:tc>
          <w:tcPr>
            <w:tcW w:w="450" w:type="pct"/>
            <w:noWrap/>
            <w:vAlign w:val="center"/>
          </w:tcPr>
          <w:p>
            <w:pPr>
              <w:widowControl/>
              <w:jc w:val="center"/>
              <w:rPr>
                <w:color w:val="000000"/>
                <w:kern w:val="0"/>
                <w:sz w:val="21"/>
                <w:szCs w:val="21"/>
                <w:lang w:val="en-US" w:eastAsia="zh-CN" w:bidi="ar-SA"/>
              </w:rPr>
            </w:pPr>
            <w:r>
              <w:rPr>
                <w:color w:val="000000"/>
                <w:kern w:val="0"/>
                <w:szCs w:val="21"/>
              </w:rPr>
              <w:t>余</w:t>
            </w:r>
          </w:p>
        </w:tc>
        <w:tc>
          <w:tcPr>
            <w:tcW w:w="450" w:type="pct"/>
            <w:noWrap/>
            <w:vAlign w:val="center"/>
          </w:tcPr>
          <w:p>
            <w:pPr>
              <w:widowControl/>
              <w:jc w:val="center"/>
              <w:rPr>
                <w:color w:val="000000"/>
                <w:kern w:val="0"/>
                <w:sz w:val="21"/>
                <w:szCs w:val="21"/>
                <w:lang w:val="en-US" w:eastAsia="zh-CN" w:bidi="ar-SA"/>
              </w:rPr>
            </w:pPr>
            <w:r>
              <w:rPr>
                <w:color w:val="000000"/>
                <w:kern w:val="0"/>
                <w:szCs w:val="21"/>
              </w:rPr>
              <w:t>11.5~12.5</w:t>
            </w:r>
          </w:p>
        </w:tc>
        <w:tc>
          <w:tcPr>
            <w:tcW w:w="450" w:type="pct"/>
            <w:noWrap/>
            <w:vAlign w:val="center"/>
          </w:tcPr>
          <w:p>
            <w:pPr>
              <w:widowControl/>
              <w:jc w:val="center"/>
              <w:rPr>
                <w:color w:val="000000"/>
                <w:kern w:val="0"/>
                <w:sz w:val="21"/>
                <w:szCs w:val="21"/>
                <w:lang w:val="en-US" w:eastAsia="zh-CN" w:bidi="ar-SA"/>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2.5~4.5</w:t>
            </w:r>
          </w:p>
        </w:tc>
        <w:tc>
          <w:tcPr>
            <w:tcW w:w="450" w:type="pct"/>
            <w:noWrap/>
            <w:vAlign w:val="center"/>
          </w:tcPr>
          <w:p>
            <w:pPr>
              <w:widowControl/>
              <w:jc w:val="center"/>
              <w:rPr>
                <w:color w:val="000000"/>
                <w:kern w:val="0"/>
                <w:szCs w:val="21"/>
              </w:rPr>
            </w:pPr>
            <w:r>
              <w:rPr>
                <w:color w:val="000000"/>
                <w:kern w:val="0"/>
                <w:szCs w:val="21"/>
              </w:rPr>
              <w:t>1.0~1.6</w:t>
            </w:r>
          </w:p>
        </w:tc>
        <w:tc>
          <w:tcPr>
            <w:tcW w:w="450" w:type="pct"/>
            <w:noWrap/>
            <w:vAlign w:val="center"/>
          </w:tcPr>
          <w:p>
            <w:pPr>
              <w:widowControl/>
              <w:jc w:val="center"/>
              <w:rPr>
                <w:color w:val="000000"/>
                <w:kern w:val="0"/>
                <w:szCs w:val="21"/>
              </w:rPr>
            </w:pPr>
            <w:r>
              <w:rPr>
                <w:color w:val="000000"/>
                <w:kern w:val="0"/>
                <w:szCs w:val="21"/>
              </w:rPr>
              <w:t>-</w:t>
            </w:r>
          </w:p>
        </w:tc>
        <w:tc>
          <w:tcPr>
            <w:tcW w:w="453" w:type="pct"/>
            <w:noWrap/>
            <w:vAlign w:val="center"/>
          </w:tcPr>
          <w:p>
            <w:pPr>
              <w:widowControl/>
              <w:jc w:val="center"/>
              <w:rPr>
                <w:color w:val="000000"/>
                <w:kern w:val="0"/>
                <w:szCs w:val="21"/>
              </w:rPr>
            </w:pPr>
            <w:r>
              <w:rPr>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57" w:type="pct"/>
            <w:noWrap/>
            <w:vAlign w:val="center"/>
          </w:tcPr>
          <w:p>
            <w:pPr>
              <w:widowControl/>
              <w:jc w:val="center"/>
              <w:rPr>
                <w:color w:val="000000"/>
                <w:kern w:val="0"/>
                <w:szCs w:val="21"/>
              </w:rPr>
            </w:pPr>
            <w:r>
              <w:rPr>
                <w:rFonts w:hint="eastAsia"/>
                <w:color w:val="000000"/>
                <w:kern w:val="0"/>
                <w:szCs w:val="21"/>
              </w:rPr>
              <w:t>5</w:t>
            </w:r>
          </w:p>
        </w:tc>
        <w:tc>
          <w:tcPr>
            <w:tcW w:w="342" w:type="pct"/>
            <w:noWrap/>
            <w:vAlign w:val="center"/>
          </w:tcPr>
          <w:p>
            <w:pPr>
              <w:widowControl/>
              <w:jc w:val="center"/>
              <w:rPr>
                <w:color w:val="000000"/>
                <w:kern w:val="0"/>
                <w:szCs w:val="21"/>
              </w:rPr>
            </w:pPr>
            <w:r>
              <w:rPr>
                <w:color w:val="000000"/>
                <w:kern w:val="0"/>
                <w:szCs w:val="21"/>
              </w:rPr>
              <w:t>6J612</w:t>
            </w:r>
          </w:p>
        </w:tc>
        <w:tc>
          <w:tcPr>
            <w:tcW w:w="342" w:type="pct"/>
            <w:noWrap/>
            <w:vAlign w:val="center"/>
          </w:tcPr>
          <w:p>
            <w:pPr>
              <w:widowControl/>
              <w:jc w:val="center"/>
              <w:rPr>
                <w:color w:val="000000"/>
                <w:kern w:val="0"/>
                <w:szCs w:val="21"/>
              </w:rPr>
            </w:pPr>
            <w:r>
              <w:rPr>
                <w:color w:val="000000"/>
                <w:kern w:val="0"/>
                <w:szCs w:val="21"/>
              </w:rPr>
              <w:t>6J12</w:t>
            </w:r>
          </w:p>
        </w:tc>
        <w:tc>
          <w:tcPr>
            <w:tcW w:w="450" w:type="pct"/>
            <w:noWrap/>
            <w:vAlign w:val="center"/>
          </w:tcPr>
          <w:p>
            <w:pPr>
              <w:widowControl/>
              <w:jc w:val="center"/>
              <w:rPr>
                <w:color w:val="000000"/>
                <w:kern w:val="0"/>
                <w:sz w:val="21"/>
                <w:szCs w:val="21"/>
                <w:lang w:val="en-US" w:eastAsia="zh-CN" w:bidi="ar-SA"/>
              </w:rPr>
            </w:pPr>
            <w:r>
              <w:rPr>
                <w:color w:val="000000"/>
                <w:kern w:val="0"/>
                <w:szCs w:val="21"/>
              </w:rPr>
              <w:t>余</w:t>
            </w:r>
          </w:p>
        </w:tc>
        <w:tc>
          <w:tcPr>
            <w:tcW w:w="450" w:type="pct"/>
            <w:noWrap/>
            <w:vAlign w:val="center"/>
          </w:tcPr>
          <w:p>
            <w:pPr>
              <w:widowControl/>
              <w:jc w:val="center"/>
              <w:rPr>
                <w:color w:val="000000"/>
                <w:kern w:val="0"/>
                <w:sz w:val="21"/>
                <w:szCs w:val="21"/>
                <w:lang w:val="en-US" w:eastAsia="zh-CN" w:bidi="ar-SA"/>
              </w:rPr>
            </w:pPr>
            <w:r>
              <w:rPr>
                <w:color w:val="000000"/>
                <w:kern w:val="0"/>
                <w:szCs w:val="21"/>
              </w:rPr>
              <w:t>11.0~13.0</w:t>
            </w:r>
          </w:p>
        </w:tc>
        <w:tc>
          <w:tcPr>
            <w:tcW w:w="450" w:type="pct"/>
            <w:noWrap/>
            <w:vAlign w:val="center"/>
          </w:tcPr>
          <w:p>
            <w:pPr>
              <w:widowControl/>
              <w:jc w:val="center"/>
              <w:rPr>
                <w:color w:val="000000"/>
                <w:kern w:val="0"/>
                <w:sz w:val="21"/>
                <w:szCs w:val="21"/>
                <w:lang w:val="en-US" w:eastAsia="zh-CN" w:bidi="ar-SA"/>
              </w:rPr>
            </w:pPr>
            <w:r>
              <w:rPr>
                <w:color w:val="000000"/>
                <w:kern w:val="0"/>
                <w:szCs w:val="21"/>
              </w:rPr>
              <w:t>2.0~3.0</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w:t>
            </w:r>
          </w:p>
        </w:tc>
        <w:tc>
          <w:tcPr>
            <w:tcW w:w="453" w:type="pct"/>
            <w:noWrap/>
            <w:vAlign w:val="center"/>
          </w:tcPr>
          <w:p>
            <w:pPr>
              <w:widowControl/>
              <w:jc w:val="center"/>
              <w:rPr>
                <w:color w:val="000000"/>
                <w:kern w:val="0"/>
                <w:szCs w:val="21"/>
              </w:rPr>
            </w:pPr>
            <w:r>
              <w:rPr>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57" w:type="pct"/>
            <w:noWrap/>
            <w:vAlign w:val="center"/>
          </w:tcPr>
          <w:p>
            <w:pPr>
              <w:widowControl/>
              <w:jc w:val="center"/>
              <w:rPr>
                <w:color w:val="000000"/>
                <w:kern w:val="0"/>
                <w:szCs w:val="21"/>
              </w:rPr>
            </w:pPr>
            <w:r>
              <w:rPr>
                <w:rFonts w:hint="eastAsia"/>
                <w:color w:val="000000"/>
                <w:kern w:val="0"/>
                <w:szCs w:val="21"/>
              </w:rPr>
              <w:t>6</w:t>
            </w:r>
          </w:p>
        </w:tc>
        <w:tc>
          <w:tcPr>
            <w:tcW w:w="342" w:type="pct"/>
            <w:noWrap/>
            <w:vAlign w:val="center"/>
          </w:tcPr>
          <w:p>
            <w:pPr>
              <w:widowControl/>
              <w:jc w:val="center"/>
              <w:rPr>
                <w:color w:val="000000"/>
                <w:kern w:val="0"/>
                <w:szCs w:val="21"/>
              </w:rPr>
            </w:pPr>
            <w:r>
              <w:rPr>
                <w:color w:val="000000"/>
                <w:kern w:val="0"/>
                <w:szCs w:val="21"/>
              </w:rPr>
              <w:t>6J613</w:t>
            </w:r>
          </w:p>
        </w:tc>
        <w:tc>
          <w:tcPr>
            <w:tcW w:w="342" w:type="pct"/>
            <w:noWrap/>
            <w:vAlign w:val="center"/>
          </w:tcPr>
          <w:p>
            <w:pPr>
              <w:widowControl/>
              <w:jc w:val="center"/>
              <w:rPr>
                <w:color w:val="000000"/>
                <w:kern w:val="0"/>
                <w:szCs w:val="21"/>
              </w:rPr>
            </w:pPr>
            <w:r>
              <w:rPr>
                <w:color w:val="000000"/>
                <w:kern w:val="0"/>
                <w:szCs w:val="21"/>
              </w:rPr>
              <w:t>6J13</w:t>
            </w:r>
          </w:p>
        </w:tc>
        <w:tc>
          <w:tcPr>
            <w:tcW w:w="450" w:type="pct"/>
            <w:noWrap/>
            <w:vAlign w:val="center"/>
          </w:tcPr>
          <w:p>
            <w:pPr>
              <w:widowControl/>
              <w:jc w:val="center"/>
              <w:rPr>
                <w:color w:val="000000"/>
                <w:kern w:val="0"/>
                <w:sz w:val="21"/>
                <w:szCs w:val="21"/>
                <w:lang w:val="en-US" w:eastAsia="zh-CN" w:bidi="ar-SA"/>
              </w:rPr>
            </w:pPr>
            <w:r>
              <w:rPr>
                <w:color w:val="000000"/>
                <w:kern w:val="0"/>
                <w:szCs w:val="21"/>
              </w:rPr>
              <w:t>余</w:t>
            </w:r>
          </w:p>
        </w:tc>
        <w:tc>
          <w:tcPr>
            <w:tcW w:w="450" w:type="pct"/>
            <w:noWrap/>
            <w:vAlign w:val="center"/>
          </w:tcPr>
          <w:p>
            <w:pPr>
              <w:widowControl/>
              <w:jc w:val="center"/>
              <w:rPr>
                <w:color w:val="000000"/>
                <w:kern w:val="0"/>
                <w:sz w:val="21"/>
                <w:szCs w:val="21"/>
                <w:lang w:val="en-US" w:eastAsia="zh-CN" w:bidi="ar-SA"/>
              </w:rPr>
            </w:pPr>
            <w:r>
              <w:rPr>
                <w:color w:val="000000"/>
                <w:kern w:val="0"/>
                <w:szCs w:val="21"/>
              </w:rPr>
              <w:t>11.0~13.0</w:t>
            </w:r>
          </w:p>
        </w:tc>
        <w:tc>
          <w:tcPr>
            <w:tcW w:w="450" w:type="pct"/>
            <w:noWrap/>
            <w:vAlign w:val="center"/>
          </w:tcPr>
          <w:p>
            <w:pPr>
              <w:widowControl/>
              <w:jc w:val="center"/>
              <w:rPr>
                <w:color w:val="000000"/>
                <w:kern w:val="0"/>
                <w:sz w:val="21"/>
                <w:szCs w:val="21"/>
                <w:lang w:val="en-US" w:eastAsia="zh-CN" w:bidi="ar-SA"/>
              </w:rPr>
            </w:pPr>
            <w:r>
              <w:rPr>
                <w:color w:val="000000"/>
                <w:kern w:val="0"/>
                <w:szCs w:val="21"/>
              </w:rPr>
              <w:t>2.0~5.0</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w:t>
            </w:r>
          </w:p>
        </w:tc>
        <w:tc>
          <w:tcPr>
            <w:tcW w:w="453" w:type="pct"/>
            <w:noWrap/>
            <w:vAlign w:val="center"/>
          </w:tcPr>
          <w:p>
            <w:pPr>
              <w:widowControl/>
              <w:jc w:val="center"/>
              <w:rPr>
                <w:color w:val="000000"/>
                <w:kern w:val="0"/>
                <w:szCs w:val="21"/>
              </w:rPr>
            </w:pPr>
            <w:r>
              <w:rPr>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57" w:type="pct"/>
            <w:noWrap/>
            <w:vAlign w:val="center"/>
          </w:tcPr>
          <w:p>
            <w:pPr>
              <w:widowControl/>
              <w:jc w:val="center"/>
              <w:rPr>
                <w:color w:val="000000"/>
                <w:kern w:val="0"/>
                <w:szCs w:val="21"/>
              </w:rPr>
            </w:pPr>
            <w:r>
              <w:rPr>
                <w:rFonts w:hint="eastAsia"/>
                <w:color w:val="000000"/>
                <w:kern w:val="0"/>
                <w:szCs w:val="21"/>
              </w:rPr>
              <w:t>7</w:t>
            </w:r>
          </w:p>
        </w:tc>
        <w:tc>
          <w:tcPr>
            <w:tcW w:w="342" w:type="pct"/>
            <w:noWrap/>
            <w:vAlign w:val="center"/>
          </w:tcPr>
          <w:p>
            <w:pPr>
              <w:widowControl/>
              <w:jc w:val="center"/>
              <w:rPr>
                <w:color w:val="000000"/>
                <w:kern w:val="0"/>
                <w:szCs w:val="21"/>
              </w:rPr>
            </w:pPr>
            <w:r>
              <w:rPr>
                <w:color w:val="000000"/>
                <w:kern w:val="0"/>
                <w:szCs w:val="21"/>
              </w:rPr>
              <w:t>6J615</w:t>
            </w:r>
          </w:p>
        </w:tc>
        <w:tc>
          <w:tcPr>
            <w:tcW w:w="342"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 w:val="21"/>
                <w:szCs w:val="21"/>
                <w:lang w:val="en-US" w:eastAsia="zh-CN" w:bidi="ar-SA"/>
              </w:rPr>
            </w:pPr>
            <w:r>
              <w:rPr>
                <w:color w:val="000000"/>
                <w:kern w:val="0"/>
                <w:szCs w:val="21"/>
              </w:rPr>
              <w:t>余</w:t>
            </w:r>
          </w:p>
        </w:tc>
        <w:tc>
          <w:tcPr>
            <w:tcW w:w="450" w:type="pct"/>
            <w:noWrap/>
            <w:vAlign w:val="center"/>
          </w:tcPr>
          <w:p>
            <w:pPr>
              <w:widowControl/>
              <w:jc w:val="center"/>
              <w:rPr>
                <w:color w:val="000000"/>
                <w:kern w:val="0"/>
                <w:sz w:val="21"/>
                <w:szCs w:val="21"/>
                <w:lang w:val="en-US" w:eastAsia="zh-CN" w:bidi="ar-SA"/>
              </w:rPr>
            </w:pPr>
            <w:r>
              <w:rPr>
                <w:color w:val="000000"/>
                <w:kern w:val="0"/>
                <w:szCs w:val="21"/>
              </w:rPr>
              <w:t>1</w:t>
            </w:r>
            <w:r>
              <w:rPr>
                <w:rFonts w:hint="eastAsia"/>
                <w:color w:val="000000"/>
                <w:kern w:val="0"/>
                <w:szCs w:val="21"/>
              </w:rPr>
              <w:t>1</w:t>
            </w:r>
            <w:r>
              <w:rPr>
                <w:color w:val="000000"/>
                <w:kern w:val="0"/>
                <w:szCs w:val="21"/>
              </w:rPr>
              <w:t>.</w:t>
            </w:r>
            <w:r>
              <w:rPr>
                <w:rFonts w:hint="eastAsia"/>
                <w:color w:val="000000"/>
                <w:kern w:val="0"/>
                <w:szCs w:val="21"/>
              </w:rPr>
              <w:t>5~12.5</w:t>
            </w:r>
          </w:p>
        </w:tc>
        <w:tc>
          <w:tcPr>
            <w:tcW w:w="450" w:type="pct"/>
            <w:noWrap/>
            <w:vAlign w:val="center"/>
          </w:tcPr>
          <w:p>
            <w:pPr>
              <w:widowControl/>
              <w:jc w:val="center"/>
              <w:rPr>
                <w:color w:val="000000"/>
                <w:kern w:val="0"/>
                <w:sz w:val="21"/>
                <w:szCs w:val="21"/>
                <w:lang w:val="en-US" w:eastAsia="zh-CN" w:bidi="ar-SA"/>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Cs w:val="21"/>
              </w:rPr>
            </w:pPr>
            <w:r>
              <w:rPr>
                <w:rFonts w:hint="eastAsia"/>
                <w:color w:val="000000"/>
                <w:kern w:val="0"/>
                <w:szCs w:val="21"/>
                <w:lang w:val="en-US" w:eastAsia="zh-CN"/>
              </w:rPr>
              <w:t>2.0-4.0</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w:t>
            </w:r>
          </w:p>
        </w:tc>
        <w:tc>
          <w:tcPr>
            <w:tcW w:w="453" w:type="pct"/>
            <w:noWrap/>
            <w:vAlign w:val="center"/>
          </w:tcPr>
          <w:p>
            <w:pPr>
              <w:widowControl/>
              <w:jc w:val="center"/>
              <w:rPr>
                <w:color w:val="000000"/>
                <w:kern w:val="0"/>
                <w:szCs w:val="21"/>
              </w:rPr>
            </w:pPr>
            <w:r>
              <w:rPr>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11" w:hRule="atLeast"/>
        </w:trPr>
        <w:tc>
          <w:tcPr>
            <w:tcW w:w="257" w:type="pct"/>
            <w:noWrap/>
            <w:vAlign w:val="center"/>
          </w:tcPr>
          <w:p>
            <w:pPr>
              <w:widowControl/>
              <w:jc w:val="center"/>
              <w:rPr>
                <w:color w:val="000000"/>
                <w:kern w:val="0"/>
                <w:szCs w:val="21"/>
              </w:rPr>
            </w:pPr>
            <w:r>
              <w:rPr>
                <w:rFonts w:hint="eastAsia"/>
                <w:color w:val="000000"/>
                <w:kern w:val="0"/>
                <w:szCs w:val="21"/>
              </w:rPr>
              <w:t>8</w:t>
            </w:r>
          </w:p>
        </w:tc>
        <w:tc>
          <w:tcPr>
            <w:tcW w:w="342" w:type="pct"/>
            <w:noWrap/>
            <w:vAlign w:val="center"/>
          </w:tcPr>
          <w:p>
            <w:pPr>
              <w:widowControl/>
              <w:jc w:val="center"/>
              <w:rPr>
                <w:color w:val="000000"/>
                <w:kern w:val="0"/>
                <w:szCs w:val="21"/>
              </w:rPr>
            </w:pPr>
            <w:r>
              <w:rPr>
                <w:color w:val="000000"/>
                <w:kern w:val="0"/>
                <w:szCs w:val="21"/>
              </w:rPr>
              <w:t>6J625</w:t>
            </w:r>
          </w:p>
        </w:tc>
        <w:tc>
          <w:tcPr>
            <w:tcW w:w="342"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 w:val="21"/>
                <w:szCs w:val="21"/>
                <w:lang w:val="en-US" w:eastAsia="zh-CN" w:bidi="ar-SA"/>
              </w:rPr>
            </w:pPr>
            <w:r>
              <w:rPr>
                <w:color w:val="000000"/>
                <w:kern w:val="0"/>
                <w:szCs w:val="21"/>
              </w:rPr>
              <w:t>余</w:t>
            </w:r>
          </w:p>
        </w:tc>
        <w:tc>
          <w:tcPr>
            <w:tcW w:w="450" w:type="pct"/>
            <w:noWrap/>
            <w:vAlign w:val="center"/>
          </w:tcPr>
          <w:p>
            <w:pPr>
              <w:widowControl/>
              <w:jc w:val="center"/>
              <w:rPr>
                <w:rFonts w:hint="default" w:eastAsia="宋体"/>
                <w:color w:val="000000"/>
                <w:kern w:val="0"/>
                <w:sz w:val="21"/>
                <w:szCs w:val="21"/>
                <w:lang w:val="en-US" w:eastAsia="zh-CN" w:bidi="ar-SA"/>
              </w:rPr>
            </w:pPr>
            <w:r>
              <w:rPr>
                <w:color w:val="000000"/>
                <w:kern w:val="0"/>
                <w:szCs w:val="21"/>
              </w:rPr>
              <w:t>2</w:t>
            </w:r>
            <w:r>
              <w:rPr>
                <w:rFonts w:hint="eastAsia"/>
                <w:color w:val="000000"/>
                <w:kern w:val="0"/>
                <w:szCs w:val="21"/>
                <w:lang w:val="en-US" w:eastAsia="zh-CN"/>
              </w:rPr>
              <w:t>4.0-26.0</w:t>
            </w:r>
          </w:p>
        </w:tc>
        <w:tc>
          <w:tcPr>
            <w:tcW w:w="450" w:type="pct"/>
            <w:noWrap/>
            <w:vAlign w:val="center"/>
          </w:tcPr>
          <w:p>
            <w:pPr>
              <w:widowControl/>
              <w:jc w:val="center"/>
              <w:rPr>
                <w:rFonts w:hint="default"/>
                <w:color w:val="000000"/>
                <w:kern w:val="0"/>
                <w:sz w:val="21"/>
                <w:szCs w:val="21"/>
                <w:lang w:val="en-US" w:eastAsia="zh-CN" w:bidi="ar-SA"/>
              </w:rPr>
            </w:pPr>
            <w:r>
              <w:rPr>
                <w:rFonts w:hint="eastAsia"/>
                <w:color w:val="000000"/>
                <w:kern w:val="0"/>
                <w:sz w:val="21"/>
                <w:szCs w:val="21"/>
                <w:lang w:val="en-US" w:eastAsia="zh-CN" w:bidi="ar-SA"/>
              </w:rPr>
              <w:t>9.0-11.0</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w:t>
            </w:r>
          </w:p>
        </w:tc>
        <w:tc>
          <w:tcPr>
            <w:tcW w:w="453" w:type="pct"/>
            <w:noWrap/>
            <w:vAlign w:val="center"/>
          </w:tcPr>
          <w:p>
            <w:pPr>
              <w:widowControl/>
              <w:jc w:val="center"/>
              <w:rPr>
                <w:color w:val="000000"/>
                <w:kern w:val="0"/>
                <w:szCs w:val="21"/>
              </w:rPr>
            </w:pPr>
            <w:r>
              <w:rPr>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11" w:hRule="atLeast"/>
        </w:trPr>
        <w:tc>
          <w:tcPr>
            <w:tcW w:w="257" w:type="pct"/>
            <w:noWrap/>
            <w:vAlign w:val="center"/>
          </w:tcPr>
          <w:p>
            <w:pPr>
              <w:widowControl/>
              <w:jc w:val="center"/>
              <w:rPr>
                <w:color w:val="000000"/>
                <w:kern w:val="0"/>
                <w:szCs w:val="21"/>
              </w:rPr>
            </w:pPr>
            <w:r>
              <w:rPr>
                <w:rFonts w:hint="eastAsia"/>
                <w:color w:val="000000"/>
                <w:kern w:val="0"/>
                <w:szCs w:val="21"/>
              </w:rPr>
              <w:t>9</w:t>
            </w:r>
          </w:p>
        </w:tc>
        <w:tc>
          <w:tcPr>
            <w:tcW w:w="342" w:type="pct"/>
            <w:noWrap/>
            <w:vAlign w:val="center"/>
          </w:tcPr>
          <w:p>
            <w:pPr>
              <w:widowControl/>
              <w:jc w:val="center"/>
              <w:rPr>
                <w:color w:val="000000"/>
                <w:kern w:val="0"/>
                <w:szCs w:val="21"/>
              </w:rPr>
            </w:pPr>
            <w:r>
              <w:rPr>
                <w:color w:val="000000"/>
                <w:kern w:val="0"/>
                <w:szCs w:val="21"/>
              </w:rPr>
              <w:t>6J640</w:t>
            </w:r>
          </w:p>
        </w:tc>
        <w:tc>
          <w:tcPr>
            <w:tcW w:w="342" w:type="pct"/>
            <w:noWrap/>
            <w:vAlign w:val="center"/>
          </w:tcPr>
          <w:p>
            <w:pPr>
              <w:widowControl/>
              <w:jc w:val="center"/>
              <w:rPr>
                <w:color w:val="000000"/>
                <w:kern w:val="0"/>
                <w:szCs w:val="21"/>
              </w:rPr>
            </w:pPr>
            <w:r>
              <w:rPr>
                <w:color w:val="000000"/>
                <w:kern w:val="0"/>
                <w:szCs w:val="21"/>
              </w:rPr>
              <w:t>6J40</w:t>
            </w:r>
          </w:p>
        </w:tc>
        <w:tc>
          <w:tcPr>
            <w:tcW w:w="450" w:type="pct"/>
            <w:noWrap/>
            <w:vAlign w:val="center"/>
          </w:tcPr>
          <w:p>
            <w:pPr>
              <w:widowControl/>
              <w:jc w:val="center"/>
              <w:rPr>
                <w:color w:val="000000"/>
                <w:kern w:val="0"/>
                <w:sz w:val="21"/>
                <w:szCs w:val="21"/>
                <w:lang w:val="en-US" w:eastAsia="zh-CN" w:bidi="ar-SA"/>
              </w:rPr>
            </w:pPr>
            <w:r>
              <w:rPr>
                <w:color w:val="000000"/>
                <w:kern w:val="0"/>
                <w:szCs w:val="21"/>
              </w:rPr>
              <w:t>余</w:t>
            </w:r>
          </w:p>
        </w:tc>
        <w:tc>
          <w:tcPr>
            <w:tcW w:w="450" w:type="pct"/>
            <w:noWrap/>
            <w:vAlign w:val="center"/>
          </w:tcPr>
          <w:p>
            <w:pPr>
              <w:widowControl/>
              <w:jc w:val="center"/>
              <w:rPr>
                <w:rFonts w:hint="default" w:eastAsia="宋体"/>
                <w:color w:val="000000"/>
                <w:kern w:val="0"/>
                <w:sz w:val="21"/>
                <w:szCs w:val="21"/>
                <w:lang w:val="en-US" w:eastAsia="zh-CN" w:bidi="ar-SA"/>
              </w:rPr>
            </w:pPr>
            <w:r>
              <w:rPr>
                <w:color w:val="000000"/>
                <w:kern w:val="0"/>
                <w:szCs w:val="21"/>
              </w:rPr>
              <w:t>1</w:t>
            </w:r>
            <w:r>
              <w:rPr>
                <w:rFonts w:hint="eastAsia"/>
                <w:color w:val="000000"/>
                <w:kern w:val="0"/>
                <w:szCs w:val="21"/>
                <w:lang w:val="en-US" w:eastAsia="zh-CN"/>
              </w:rPr>
              <w:t>.0</w:t>
            </w:r>
            <w:r>
              <w:rPr>
                <w:color w:val="000000"/>
                <w:kern w:val="0"/>
                <w:szCs w:val="21"/>
              </w:rPr>
              <w:t>~2</w:t>
            </w:r>
            <w:r>
              <w:rPr>
                <w:rFonts w:hint="eastAsia"/>
                <w:color w:val="000000"/>
                <w:kern w:val="0"/>
                <w:szCs w:val="21"/>
                <w:lang w:val="en-US" w:eastAsia="zh-CN"/>
              </w:rPr>
              <w:t>.0</w:t>
            </w:r>
          </w:p>
        </w:tc>
        <w:tc>
          <w:tcPr>
            <w:tcW w:w="450" w:type="pct"/>
            <w:noWrap/>
            <w:vAlign w:val="center"/>
          </w:tcPr>
          <w:p>
            <w:pPr>
              <w:widowControl/>
              <w:jc w:val="center"/>
              <w:rPr>
                <w:color w:val="000000"/>
                <w:kern w:val="0"/>
                <w:sz w:val="21"/>
                <w:szCs w:val="21"/>
                <w:lang w:val="en-US" w:eastAsia="zh-CN" w:bidi="ar-SA"/>
              </w:rPr>
            </w:pPr>
            <w:r>
              <w:rPr>
                <w:color w:val="000000"/>
                <w:kern w:val="0"/>
                <w:szCs w:val="21"/>
              </w:rPr>
              <w:t>39.0~41.0</w:t>
            </w:r>
          </w:p>
        </w:tc>
        <w:tc>
          <w:tcPr>
            <w:tcW w:w="450" w:type="pct"/>
            <w:noWrap/>
            <w:vAlign w:val="center"/>
          </w:tcPr>
          <w:p>
            <w:pPr>
              <w:widowControl/>
              <w:jc w:val="center"/>
              <w:rPr>
                <w:color w:val="000000"/>
                <w:kern w:val="0"/>
                <w:szCs w:val="21"/>
              </w:rPr>
            </w:pPr>
            <w:r>
              <w:rPr>
                <w:color w:val="000000"/>
                <w:kern w:val="0"/>
                <w:szCs w:val="21"/>
              </w:rPr>
              <w:t>0.10</w:t>
            </w:r>
          </w:p>
        </w:tc>
        <w:tc>
          <w:tcPr>
            <w:tcW w:w="450" w:type="pct"/>
            <w:noWrap/>
            <w:vAlign w:val="center"/>
          </w:tcPr>
          <w:p>
            <w:pPr>
              <w:widowControl/>
              <w:jc w:val="center"/>
              <w:rPr>
                <w:color w:val="000000"/>
                <w:kern w:val="0"/>
                <w:szCs w:val="21"/>
              </w:rPr>
            </w:pPr>
            <w:r>
              <w:rPr>
                <w:color w:val="000000"/>
                <w:kern w:val="0"/>
                <w:szCs w:val="21"/>
              </w:rPr>
              <w:t>-</w:t>
            </w:r>
          </w:p>
        </w:tc>
        <w:tc>
          <w:tcPr>
            <w:tcW w:w="450" w:type="pct"/>
            <w:noWrap/>
            <w:vAlign w:val="center"/>
          </w:tcPr>
          <w:p>
            <w:pPr>
              <w:widowControl/>
              <w:jc w:val="center"/>
              <w:rPr>
                <w:color w:val="000000"/>
                <w:kern w:val="0"/>
                <w:szCs w:val="21"/>
              </w:rPr>
            </w:pPr>
            <w:r>
              <w:rPr>
                <w:color w:val="000000"/>
                <w:kern w:val="0"/>
                <w:szCs w:val="21"/>
              </w:rPr>
              <w:t>0.01</w:t>
            </w:r>
          </w:p>
        </w:tc>
        <w:tc>
          <w:tcPr>
            <w:tcW w:w="450" w:type="pct"/>
            <w:noWrap/>
            <w:vAlign w:val="center"/>
          </w:tcPr>
          <w:p>
            <w:pPr>
              <w:widowControl/>
              <w:jc w:val="center"/>
              <w:rPr>
                <w:color w:val="000000"/>
                <w:kern w:val="0"/>
                <w:szCs w:val="21"/>
              </w:rPr>
            </w:pPr>
            <w:r>
              <w:rPr>
                <w:color w:val="000000"/>
                <w:kern w:val="0"/>
                <w:szCs w:val="21"/>
              </w:rPr>
              <w:t>0.5</w:t>
            </w:r>
          </w:p>
        </w:tc>
        <w:tc>
          <w:tcPr>
            <w:tcW w:w="450" w:type="pct"/>
            <w:noWrap/>
            <w:vAlign w:val="center"/>
          </w:tcPr>
          <w:p>
            <w:pPr>
              <w:widowControl/>
              <w:jc w:val="center"/>
              <w:rPr>
                <w:color w:val="000000"/>
                <w:kern w:val="0"/>
                <w:szCs w:val="21"/>
              </w:rPr>
            </w:pPr>
            <w:r>
              <w:rPr>
                <w:color w:val="000000"/>
                <w:kern w:val="0"/>
                <w:szCs w:val="21"/>
              </w:rPr>
              <w:t>-</w:t>
            </w:r>
          </w:p>
        </w:tc>
        <w:tc>
          <w:tcPr>
            <w:tcW w:w="453" w:type="pct"/>
            <w:noWrap/>
            <w:vAlign w:val="center"/>
          </w:tcPr>
          <w:p>
            <w:pPr>
              <w:widowControl/>
              <w:jc w:val="center"/>
              <w:rPr>
                <w:color w:val="000000"/>
                <w:kern w:val="0"/>
                <w:szCs w:val="21"/>
              </w:rPr>
            </w:pPr>
            <w:r>
              <w:rPr>
                <w:color w:val="000000"/>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000" w:type="pct"/>
            <w:gridSpan w:val="12"/>
            <w:noWrap/>
            <w:vAlign w:val="center"/>
          </w:tcPr>
          <w:p>
            <w:pPr>
              <w:widowControl/>
              <w:rPr>
                <w:color w:val="000000"/>
                <w:kern w:val="0"/>
                <w:szCs w:val="21"/>
              </w:rPr>
            </w:pPr>
            <w:r>
              <w:rPr>
                <w:rFonts w:hint="eastAsia"/>
                <w:color w:val="000000"/>
                <w:kern w:val="0"/>
                <w:szCs w:val="21"/>
              </w:rPr>
              <w:t>注1：所列成分除表明范围或最小值外，其余均为最大值。</w:t>
            </w:r>
          </w:p>
        </w:tc>
      </w:tr>
    </w:tbl>
    <w:p>
      <w:pPr>
        <w:pStyle w:val="2"/>
        <w:keepNext/>
        <w:jc w:val="center"/>
        <w:rPr>
          <w:rFonts w:ascii="Times New Roman" w:hAnsi="Times New Roman"/>
          <w:sz w:val="21"/>
          <w:szCs w:val="21"/>
        </w:rPr>
      </w:pPr>
      <w:r>
        <w:rPr>
          <w:rFonts w:ascii="Times New Roman" w:hAnsi="Times New Roman"/>
          <w:sz w:val="21"/>
          <w:szCs w:val="21"/>
        </w:rPr>
        <w:t xml:space="preserve">表 </w:t>
      </w:r>
      <w:r>
        <w:rPr>
          <w:rFonts w:ascii="Times New Roman" w:hAnsi="Times New Roman"/>
          <w:sz w:val="21"/>
          <w:szCs w:val="21"/>
        </w:rPr>
        <w:fldChar w:fldCharType="begin"/>
      </w:r>
      <w:r>
        <w:rPr>
          <w:rFonts w:ascii="Times New Roman" w:hAnsi="Times New Roman"/>
          <w:sz w:val="21"/>
          <w:szCs w:val="21"/>
        </w:rPr>
        <w:instrText xml:space="preserve"> SEQ 表 \* ARABIC </w:instrText>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铜基精密电阻合金的主要特性及用途、适用标准</w:t>
      </w:r>
    </w:p>
    <w:tbl>
      <w:tblPr>
        <w:tblStyle w:val="12"/>
        <w:tblW w:w="134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788"/>
        <w:gridCol w:w="6085"/>
        <w:gridCol w:w="3907"/>
        <w:gridCol w:w="18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788" w:type="dxa"/>
            <w:noWrap w:val="0"/>
            <w:vAlign w:val="center"/>
          </w:tcPr>
          <w:p>
            <w:pPr>
              <w:widowControl/>
              <w:jc w:val="center"/>
              <w:rPr>
                <w:color w:val="000000"/>
                <w:kern w:val="0"/>
                <w:szCs w:val="21"/>
              </w:rPr>
            </w:pPr>
            <w:r>
              <w:rPr>
                <w:color w:val="000000"/>
                <w:kern w:val="0"/>
                <w:szCs w:val="21"/>
              </w:rPr>
              <w:t>表1</w:t>
            </w:r>
          </w:p>
          <w:p>
            <w:pPr>
              <w:widowControl/>
              <w:jc w:val="center"/>
              <w:rPr>
                <w:color w:val="000000"/>
                <w:kern w:val="0"/>
                <w:szCs w:val="21"/>
              </w:rPr>
            </w:pPr>
            <w:r>
              <w:rPr>
                <w:color w:val="000000"/>
                <w:kern w:val="0"/>
                <w:szCs w:val="21"/>
              </w:rPr>
              <w:t>中的序号</w:t>
            </w:r>
          </w:p>
        </w:tc>
        <w:tc>
          <w:tcPr>
            <w:tcW w:w="788" w:type="dxa"/>
            <w:noWrap/>
            <w:vAlign w:val="center"/>
          </w:tcPr>
          <w:p>
            <w:pPr>
              <w:widowControl/>
              <w:jc w:val="center"/>
              <w:rPr>
                <w:kern w:val="0"/>
                <w:szCs w:val="21"/>
              </w:rPr>
            </w:pPr>
            <w:r>
              <w:rPr>
                <w:kern w:val="0"/>
                <w:szCs w:val="21"/>
              </w:rPr>
              <w:t>新牌号</w:t>
            </w:r>
          </w:p>
        </w:tc>
        <w:tc>
          <w:tcPr>
            <w:tcW w:w="6085" w:type="dxa"/>
            <w:noWrap/>
            <w:vAlign w:val="center"/>
          </w:tcPr>
          <w:p>
            <w:pPr>
              <w:widowControl/>
              <w:jc w:val="center"/>
              <w:rPr>
                <w:color w:val="000000"/>
                <w:kern w:val="0"/>
                <w:szCs w:val="21"/>
              </w:rPr>
            </w:pPr>
            <w:r>
              <w:rPr>
                <w:color w:val="000000"/>
                <w:kern w:val="0"/>
                <w:szCs w:val="21"/>
              </w:rPr>
              <w:t>特性</w:t>
            </w:r>
          </w:p>
        </w:tc>
        <w:tc>
          <w:tcPr>
            <w:tcW w:w="3907" w:type="dxa"/>
            <w:noWrap/>
            <w:vAlign w:val="center"/>
          </w:tcPr>
          <w:p>
            <w:pPr>
              <w:widowControl/>
              <w:jc w:val="center"/>
              <w:rPr>
                <w:color w:val="000000"/>
                <w:kern w:val="0"/>
                <w:szCs w:val="21"/>
              </w:rPr>
            </w:pPr>
            <w:r>
              <w:rPr>
                <w:color w:val="000000"/>
                <w:kern w:val="0"/>
                <w:szCs w:val="21"/>
              </w:rPr>
              <w:t>用途</w:t>
            </w:r>
          </w:p>
        </w:tc>
        <w:tc>
          <w:tcPr>
            <w:tcW w:w="1879" w:type="dxa"/>
            <w:noWrap w:val="0"/>
            <w:vAlign w:val="center"/>
          </w:tcPr>
          <w:p>
            <w:pPr>
              <w:widowControl/>
              <w:jc w:val="center"/>
              <w:rPr>
                <w:color w:val="000000"/>
                <w:kern w:val="0"/>
                <w:szCs w:val="21"/>
              </w:rPr>
            </w:pPr>
            <w:r>
              <w:rPr>
                <w:color w:val="000000"/>
                <w:kern w:val="0"/>
                <w:szCs w:val="21"/>
              </w:rPr>
              <w:t>适用标准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88" w:type="dxa"/>
            <w:noWrap w:val="0"/>
            <w:vAlign w:val="center"/>
          </w:tcPr>
          <w:p>
            <w:pPr>
              <w:widowControl/>
              <w:jc w:val="center"/>
              <w:rPr>
                <w:color w:val="000000"/>
                <w:kern w:val="0"/>
                <w:szCs w:val="21"/>
              </w:rPr>
            </w:pPr>
            <w:r>
              <w:rPr>
                <w:color w:val="000000"/>
                <w:kern w:val="0"/>
                <w:szCs w:val="21"/>
              </w:rPr>
              <w:t>1</w:t>
            </w:r>
          </w:p>
        </w:tc>
        <w:tc>
          <w:tcPr>
            <w:tcW w:w="788" w:type="dxa"/>
            <w:noWrap/>
            <w:vAlign w:val="center"/>
          </w:tcPr>
          <w:p>
            <w:pPr>
              <w:widowControl/>
              <w:jc w:val="center"/>
              <w:rPr>
                <w:color w:val="000000"/>
                <w:kern w:val="0"/>
                <w:szCs w:val="21"/>
              </w:rPr>
            </w:pPr>
            <w:r>
              <w:rPr>
                <w:color w:val="000000"/>
                <w:kern w:val="0"/>
                <w:szCs w:val="21"/>
              </w:rPr>
              <w:t>6J606</w:t>
            </w:r>
          </w:p>
        </w:tc>
        <w:tc>
          <w:tcPr>
            <w:tcW w:w="6085" w:type="dxa"/>
            <w:noWrap/>
            <w:vAlign w:val="center"/>
          </w:tcPr>
          <w:p>
            <w:pPr>
              <w:widowControl/>
              <w:jc w:val="center"/>
              <w:rPr>
                <w:color w:val="000000"/>
                <w:kern w:val="0"/>
                <w:szCs w:val="21"/>
              </w:rPr>
            </w:pPr>
            <w:r>
              <w:rPr>
                <w:color w:val="000000"/>
                <w:kern w:val="0"/>
                <w:szCs w:val="21"/>
              </w:rPr>
              <w:t>具有较低的电阻率，较低的电阻温度系数</w:t>
            </w:r>
          </w:p>
        </w:tc>
        <w:tc>
          <w:tcPr>
            <w:tcW w:w="3907" w:type="dxa"/>
            <w:noWrap/>
            <w:vAlign w:val="center"/>
          </w:tcPr>
          <w:p>
            <w:pPr>
              <w:widowControl/>
              <w:jc w:val="center"/>
              <w:rPr>
                <w:color w:val="000000"/>
                <w:kern w:val="0"/>
                <w:szCs w:val="21"/>
              </w:rPr>
            </w:pPr>
            <w:r>
              <w:rPr>
                <w:color w:val="000000"/>
                <w:kern w:val="0"/>
                <w:szCs w:val="21"/>
              </w:rPr>
              <w:t>制作各种测量仪器、仪表等电阻元件</w:t>
            </w:r>
          </w:p>
        </w:tc>
        <w:tc>
          <w:tcPr>
            <w:tcW w:w="1879" w:type="dxa"/>
            <w:noWrap w:val="0"/>
            <w:vAlign w:val="center"/>
          </w:tcPr>
          <w:p>
            <w:pPr>
              <w:widowControl/>
              <w:jc w:val="center"/>
              <w:rPr>
                <w:color w:val="000000"/>
                <w:kern w:val="0"/>
                <w:szCs w:val="21"/>
              </w:rPr>
            </w:pPr>
            <w:r>
              <w:rPr>
                <w:rFonts w:eastAsia="微软雅黑 Light"/>
                <w:color w:val="000000"/>
                <w:sz w:val="22"/>
                <w:szCs w:val="22"/>
              </w:rPr>
              <w:t>JB/T 5327-2014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88" w:type="dxa"/>
            <w:noWrap w:val="0"/>
            <w:vAlign w:val="center"/>
          </w:tcPr>
          <w:p>
            <w:pPr>
              <w:widowControl/>
              <w:jc w:val="center"/>
              <w:rPr>
                <w:color w:val="000000"/>
                <w:kern w:val="0"/>
                <w:szCs w:val="21"/>
              </w:rPr>
            </w:pPr>
            <w:r>
              <w:rPr>
                <w:rFonts w:hint="eastAsia"/>
                <w:color w:val="000000"/>
                <w:kern w:val="0"/>
                <w:szCs w:val="21"/>
              </w:rPr>
              <w:t>2</w:t>
            </w:r>
          </w:p>
        </w:tc>
        <w:tc>
          <w:tcPr>
            <w:tcW w:w="788" w:type="dxa"/>
            <w:noWrap/>
            <w:vAlign w:val="center"/>
          </w:tcPr>
          <w:p>
            <w:pPr>
              <w:widowControl/>
              <w:jc w:val="center"/>
              <w:rPr>
                <w:color w:val="000000"/>
                <w:kern w:val="0"/>
                <w:szCs w:val="21"/>
              </w:rPr>
            </w:pPr>
            <w:r>
              <w:rPr>
                <w:color w:val="333333"/>
                <w:kern w:val="0"/>
                <w:szCs w:val="21"/>
              </w:rPr>
              <w:t>6J607</w:t>
            </w:r>
          </w:p>
        </w:tc>
        <w:tc>
          <w:tcPr>
            <w:tcW w:w="6085" w:type="dxa"/>
            <w:noWrap/>
            <w:vAlign w:val="center"/>
          </w:tcPr>
          <w:p>
            <w:pPr>
              <w:widowControl/>
              <w:jc w:val="center"/>
              <w:rPr>
                <w:rFonts w:hint="eastAsia"/>
                <w:color w:val="000000"/>
                <w:kern w:val="0"/>
                <w:szCs w:val="21"/>
              </w:rPr>
            </w:pPr>
            <w:r>
              <w:rPr>
                <w:color w:val="000000"/>
                <w:kern w:val="0"/>
                <w:szCs w:val="21"/>
              </w:rPr>
              <w:t>在较大温度范围内有低的电阻温度系数，稳定且低的电阻率，低的对铜热电动势</w:t>
            </w:r>
          </w:p>
        </w:tc>
        <w:tc>
          <w:tcPr>
            <w:tcW w:w="3907" w:type="dxa"/>
            <w:noWrap/>
            <w:vAlign w:val="center"/>
          </w:tcPr>
          <w:p>
            <w:pPr>
              <w:widowControl/>
              <w:jc w:val="center"/>
              <w:rPr>
                <w:color w:val="000000"/>
                <w:kern w:val="0"/>
                <w:szCs w:val="21"/>
              </w:rPr>
            </w:pPr>
            <w:r>
              <w:rPr>
                <w:color w:val="000000"/>
                <w:kern w:val="0"/>
                <w:szCs w:val="21"/>
              </w:rPr>
              <w:t>精密电阻器</w:t>
            </w:r>
          </w:p>
        </w:tc>
        <w:tc>
          <w:tcPr>
            <w:tcW w:w="1879" w:type="dxa"/>
            <w:noWrap w:val="0"/>
            <w:vAlign w:val="center"/>
          </w:tcPr>
          <w:p>
            <w:pPr>
              <w:widowControl/>
              <w:jc w:val="center"/>
              <w:rPr>
                <w:color w:val="000000"/>
                <w:kern w:val="0"/>
                <w:szCs w:val="21"/>
              </w:rPr>
            </w:pPr>
            <w:r>
              <w:rPr>
                <w:rFonts w:eastAsia="微软雅黑 Light"/>
                <w:color w:val="000000"/>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88" w:type="dxa"/>
            <w:noWrap w:val="0"/>
            <w:vAlign w:val="center"/>
          </w:tcPr>
          <w:p>
            <w:pPr>
              <w:widowControl/>
              <w:jc w:val="center"/>
              <w:rPr>
                <w:color w:val="000000"/>
                <w:kern w:val="0"/>
                <w:szCs w:val="21"/>
              </w:rPr>
            </w:pPr>
            <w:r>
              <w:rPr>
                <w:rFonts w:hint="eastAsia"/>
                <w:color w:val="000000"/>
                <w:kern w:val="0"/>
                <w:szCs w:val="21"/>
              </w:rPr>
              <w:t>3</w:t>
            </w:r>
          </w:p>
        </w:tc>
        <w:tc>
          <w:tcPr>
            <w:tcW w:w="788" w:type="dxa"/>
            <w:noWrap/>
            <w:vAlign w:val="center"/>
          </w:tcPr>
          <w:p>
            <w:pPr>
              <w:widowControl/>
              <w:jc w:val="center"/>
              <w:rPr>
                <w:color w:val="000000"/>
                <w:kern w:val="0"/>
                <w:szCs w:val="21"/>
              </w:rPr>
            </w:pPr>
            <w:r>
              <w:rPr>
                <w:color w:val="000000"/>
                <w:kern w:val="0"/>
                <w:szCs w:val="21"/>
              </w:rPr>
              <w:t>6J608</w:t>
            </w:r>
          </w:p>
        </w:tc>
        <w:tc>
          <w:tcPr>
            <w:tcW w:w="6085" w:type="dxa"/>
            <w:noWrap/>
            <w:vAlign w:val="center"/>
          </w:tcPr>
          <w:p>
            <w:pPr>
              <w:widowControl/>
              <w:jc w:val="center"/>
              <w:rPr>
                <w:color w:val="000000"/>
                <w:kern w:val="0"/>
                <w:szCs w:val="21"/>
              </w:rPr>
            </w:pPr>
            <w:r>
              <w:rPr>
                <w:rFonts w:hint="eastAsia"/>
                <w:color w:val="000000"/>
                <w:kern w:val="0"/>
                <w:szCs w:val="21"/>
              </w:rPr>
              <w:t>电阻率、电阻温度系数与对铜热电动势均较低，电阻温度系数对热处理工艺参数较敏感、加工性能较差、组织稳定性不高。</w:t>
            </w:r>
          </w:p>
        </w:tc>
        <w:tc>
          <w:tcPr>
            <w:tcW w:w="3907" w:type="dxa"/>
            <w:noWrap/>
            <w:vAlign w:val="center"/>
          </w:tcPr>
          <w:p>
            <w:pPr>
              <w:widowControl/>
              <w:jc w:val="center"/>
              <w:rPr>
                <w:color w:val="000000"/>
                <w:kern w:val="0"/>
                <w:szCs w:val="21"/>
              </w:rPr>
            </w:pPr>
            <w:r>
              <w:rPr>
                <w:color w:val="000000"/>
                <w:kern w:val="0"/>
                <w:szCs w:val="21"/>
              </w:rPr>
              <w:t>可用作准确度较高的分流器</w:t>
            </w:r>
          </w:p>
        </w:tc>
        <w:tc>
          <w:tcPr>
            <w:tcW w:w="1879" w:type="dxa"/>
            <w:noWrap w:val="0"/>
            <w:vAlign w:val="center"/>
          </w:tcPr>
          <w:p>
            <w:pPr>
              <w:widowControl/>
              <w:jc w:val="center"/>
              <w:rPr>
                <w:color w:val="000000"/>
                <w:kern w:val="0"/>
                <w:szCs w:val="21"/>
              </w:rPr>
            </w:pPr>
            <w:r>
              <w:rPr>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88" w:type="dxa"/>
            <w:noWrap w:val="0"/>
            <w:vAlign w:val="center"/>
          </w:tcPr>
          <w:p>
            <w:pPr>
              <w:widowControl/>
              <w:jc w:val="center"/>
              <w:rPr>
                <w:color w:val="000000"/>
                <w:kern w:val="0"/>
                <w:szCs w:val="21"/>
              </w:rPr>
            </w:pPr>
            <w:r>
              <w:rPr>
                <w:rFonts w:hint="eastAsia"/>
                <w:color w:val="000000"/>
                <w:kern w:val="0"/>
                <w:szCs w:val="21"/>
              </w:rPr>
              <w:t>4</w:t>
            </w:r>
          </w:p>
        </w:tc>
        <w:tc>
          <w:tcPr>
            <w:tcW w:w="788" w:type="dxa"/>
            <w:noWrap/>
            <w:vAlign w:val="center"/>
          </w:tcPr>
          <w:p>
            <w:pPr>
              <w:widowControl/>
              <w:jc w:val="center"/>
              <w:rPr>
                <w:color w:val="000000"/>
                <w:kern w:val="0"/>
                <w:szCs w:val="21"/>
              </w:rPr>
            </w:pPr>
            <w:r>
              <w:rPr>
                <w:color w:val="000000"/>
                <w:kern w:val="0"/>
                <w:szCs w:val="21"/>
              </w:rPr>
              <w:t>6J611</w:t>
            </w:r>
          </w:p>
        </w:tc>
        <w:tc>
          <w:tcPr>
            <w:tcW w:w="6085" w:type="dxa"/>
            <w:noWrap/>
            <w:vAlign w:val="center"/>
          </w:tcPr>
          <w:p>
            <w:pPr>
              <w:widowControl/>
              <w:jc w:val="center"/>
              <w:rPr>
                <w:color w:val="000000"/>
                <w:kern w:val="0"/>
                <w:szCs w:val="21"/>
              </w:rPr>
            </w:pPr>
            <w:r>
              <w:rPr>
                <w:color w:val="000000"/>
                <w:kern w:val="0"/>
                <w:szCs w:val="21"/>
              </w:rPr>
              <w:t>电阻温度系数较低，电阻系 数较高，抗氧化性能和机械加工性能良好，耐腐蚀，易钎焊</w:t>
            </w:r>
          </w:p>
        </w:tc>
        <w:tc>
          <w:tcPr>
            <w:tcW w:w="3907" w:type="dxa"/>
            <w:noWrap/>
            <w:vAlign w:val="center"/>
          </w:tcPr>
          <w:p>
            <w:pPr>
              <w:widowControl/>
              <w:jc w:val="center"/>
              <w:rPr>
                <w:color w:val="000000"/>
                <w:kern w:val="0"/>
                <w:szCs w:val="21"/>
              </w:rPr>
            </w:pPr>
            <w:r>
              <w:rPr>
                <w:color w:val="000000"/>
                <w:kern w:val="0"/>
                <w:szCs w:val="21"/>
              </w:rPr>
              <w:t>制造各种电器变阻器和电阻元件</w:t>
            </w:r>
          </w:p>
        </w:tc>
        <w:tc>
          <w:tcPr>
            <w:tcW w:w="1879" w:type="dxa"/>
            <w:noWrap w:val="0"/>
            <w:vAlign w:val="center"/>
          </w:tcPr>
          <w:p>
            <w:pPr>
              <w:widowControl/>
              <w:jc w:val="center"/>
              <w:rPr>
                <w:color w:val="000000"/>
                <w:kern w:val="0"/>
                <w:szCs w:val="21"/>
              </w:rPr>
            </w:pPr>
            <w:r>
              <w:rPr>
                <w:rFonts w:eastAsia="微软雅黑 Light"/>
                <w:color w:val="000000"/>
                <w:sz w:val="22"/>
                <w:szCs w:val="22"/>
              </w:rPr>
              <w:t>GB/T 6149-2010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88" w:type="dxa"/>
            <w:noWrap w:val="0"/>
            <w:vAlign w:val="center"/>
          </w:tcPr>
          <w:p>
            <w:pPr>
              <w:widowControl/>
              <w:jc w:val="center"/>
              <w:rPr>
                <w:color w:val="000000"/>
                <w:kern w:val="0"/>
                <w:szCs w:val="21"/>
              </w:rPr>
            </w:pPr>
            <w:r>
              <w:rPr>
                <w:rFonts w:hint="eastAsia"/>
                <w:color w:val="000000"/>
                <w:kern w:val="0"/>
                <w:szCs w:val="21"/>
              </w:rPr>
              <w:t>5</w:t>
            </w:r>
          </w:p>
        </w:tc>
        <w:tc>
          <w:tcPr>
            <w:tcW w:w="788" w:type="dxa"/>
            <w:noWrap/>
            <w:vAlign w:val="center"/>
          </w:tcPr>
          <w:p>
            <w:pPr>
              <w:widowControl/>
              <w:jc w:val="center"/>
              <w:rPr>
                <w:color w:val="000000"/>
                <w:kern w:val="0"/>
                <w:szCs w:val="21"/>
              </w:rPr>
            </w:pPr>
            <w:r>
              <w:rPr>
                <w:color w:val="000000"/>
                <w:kern w:val="0"/>
                <w:szCs w:val="21"/>
              </w:rPr>
              <w:t>6J612</w:t>
            </w:r>
          </w:p>
        </w:tc>
        <w:tc>
          <w:tcPr>
            <w:tcW w:w="6085" w:type="dxa"/>
            <w:noWrap/>
            <w:vAlign w:val="center"/>
          </w:tcPr>
          <w:p>
            <w:pPr>
              <w:widowControl/>
              <w:jc w:val="center"/>
              <w:rPr>
                <w:color w:val="000000"/>
                <w:kern w:val="0"/>
                <w:szCs w:val="21"/>
              </w:rPr>
            </w:pPr>
            <w:r>
              <w:rPr>
                <w:color w:val="000000"/>
                <w:kern w:val="0"/>
                <w:szCs w:val="21"/>
              </w:rPr>
              <w:t>电阻温度系数很低，对铜热电动势低，良好的电阻长期稳定性</w:t>
            </w:r>
          </w:p>
        </w:tc>
        <w:tc>
          <w:tcPr>
            <w:tcW w:w="3907" w:type="dxa"/>
            <w:noWrap/>
            <w:vAlign w:val="center"/>
          </w:tcPr>
          <w:p>
            <w:pPr>
              <w:widowControl/>
              <w:jc w:val="center"/>
              <w:rPr>
                <w:color w:val="000000"/>
                <w:kern w:val="0"/>
                <w:szCs w:val="21"/>
              </w:rPr>
            </w:pPr>
            <w:r>
              <w:rPr>
                <w:color w:val="000000"/>
                <w:kern w:val="0"/>
                <w:szCs w:val="21"/>
              </w:rPr>
              <w:t>电工仪器电阻元件</w:t>
            </w:r>
          </w:p>
        </w:tc>
        <w:tc>
          <w:tcPr>
            <w:tcW w:w="1879" w:type="dxa"/>
            <w:noWrap w:val="0"/>
            <w:vAlign w:val="center"/>
          </w:tcPr>
          <w:p>
            <w:pPr>
              <w:widowControl/>
              <w:jc w:val="center"/>
              <w:rPr>
                <w:color w:val="000000"/>
                <w:kern w:val="0"/>
                <w:szCs w:val="21"/>
              </w:rPr>
            </w:pPr>
            <w:r>
              <w:rPr>
                <w:rFonts w:eastAsia="微软雅黑 Light"/>
                <w:color w:val="000000"/>
                <w:sz w:val="22"/>
                <w:szCs w:val="22"/>
              </w:rPr>
              <w:t>GB/T 6145-2010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88" w:type="dxa"/>
            <w:noWrap w:val="0"/>
            <w:vAlign w:val="center"/>
          </w:tcPr>
          <w:p>
            <w:pPr>
              <w:widowControl/>
              <w:jc w:val="center"/>
              <w:rPr>
                <w:color w:val="000000"/>
                <w:kern w:val="0"/>
                <w:szCs w:val="21"/>
              </w:rPr>
            </w:pPr>
            <w:r>
              <w:rPr>
                <w:rFonts w:hint="eastAsia"/>
                <w:color w:val="000000"/>
                <w:kern w:val="0"/>
                <w:szCs w:val="21"/>
              </w:rPr>
              <w:t>6</w:t>
            </w:r>
          </w:p>
        </w:tc>
        <w:tc>
          <w:tcPr>
            <w:tcW w:w="788" w:type="dxa"/>
            <w:noWrap/>
            <w:vAlign w:val="center"/>
          </w:tcPr>
          <w:p>
            <w:pPr>
              <w:widowControl/>
              <w:jc w:val="center"/>
              <w:rPr>
                <w:color w:val="000000"/>
                <w:kern w:val="0"/>
                <w:szCs w:val="21"/>
              </w:rPr>
            </w:pPr>
            <w:r>
              <w:rPr>
                <w:color w:val="000000"/>
                <w:kern w:val="0"/>
                <w:szCs w:val="21"/>
              </w:rPr>
              <w:t>6J613</w:t>
            </w:r>
          </w:p>
        </w:tc>
        <w:tc>
          <w:tcPr>
            <w:tcW w:w="6085" w:type="dxa"/>
            <w:noWrap/>
            <w:vAlign w:val="center"/>
          </w:tcPr>
          <w:p>
            <w:pPr>
              <w:widowControl/>
              <w:jc w:val="center"/>
              <w:rPr>
                <w:color w:val="000000"/>
                <w:kern w:val="0"/>
                <w:szCs w:val="21"/>
              </w:rPr>
            </w:pPr>
            <w:r>
              <w:rPr>
                <w:rFonts w:hint="eastAsia"/>
                <w:color w:val="000000"/>
                <w:kern w:val="0"/>
                <w:szCs w:val="21"/>
              </w:rPr>
              <w:t>电阻峰值温度</w:t>
            </w:r>
            <w:r>
              <w:rPr>
                <w:color w:val="000000"/>
                <w:kern w:val="0"/>
                <w:szCs w:val="21"/>
              </w:rPr>
              <w:t>在30℃~50℃范围内</w:t>
            </w:r>
          </w:p>
        </w:tc>
        <w:tc>
          <w:tcPr>
            <w:tcW w:w="3907" w:type="dxa"/>
            <w:noWrap/>
            <w:vAlign w:val="center"/>
          </w:tcPr>
          <w:p>
            <w:pPr>
              <w:widowControl/>
              <w:jc w:val="center"/>
              <w:rPr>
                <w:color w:val="000000"/>
                <w:kern w:val="0"/>
                <w:szCs w:val="21"/>
              </w:rPr>
            </w:pPr>
            <w:r>
              <w:rPr>
                <w:color w:val="000000"/>
                <w:kern w:val="0"/>
                <w:szCs w:val="21"/>
              </w:rPr>
              <w:t>可用作精密电阻器、分流器和一般电阻器</w:t>
            </w:r>
          </w:p>
        </w:tc>
        <w:tc>
          <w:tcPr>
            <w:tcW w:w="1879" w:type="dxa"/>
            <w:noWrap w:val="0"/>
            <w:vAlign w:val="center"/>
          </w:tcPr>
          <w:p>
            <w:pPr>
              <w:widowControl/>
              <w:jc w:val="center"/>
              <w:rPr>
                <w:color w:val="000000"/>
                <w:kern w:val="0"/>
                <w:szCs w:val="21"/>
              </w:rPr>
            </w:pPr>
            <w:r>
              <w:rPr>
                <w:rFonts w:eastAsia="微软雅黑 Light"/>
                <w:color w:val="000000"/>
                <w:sz w:val="22"/>
                <w:szCs w:val="22"/>
              </w:rPr>
              <w:t>GB/T 6145-2010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88" w:type="dxa"/>
            <w:noWrap w:val="0"/>
            <w:vAlign w:val="center"/>
          </w:tcPr>
          <w:p>
            <w:pPr>
              <w:widowControl/>
              <w:jc w:val="center"/>
              <w:rPr>
                <w:color w:val="000000"/>
                <w:kern w:val="0"/>
                <w:szCs w:val="21"/>
              </w:rPr>
            </w:pPr>
            <w:r>
              <w:rPr>
                <w:rFonts w:hint="eastAsia"/>
                <w:color w:val="000000"/>
                <w:kern w:val="0"/>
                <w:szCs w:val="21"/>
              </w:rPr>
              <w:t>7</w:t>
            </w:r>
          </w:p>
        </w:tc>
        <w:tc>
          <w:tcPr>
            <w:tcW w:w="788" w:type="dxa"/>
            <w:noWrap/>
            <w:vAlign w:val="center"/>
          </w:tcPr>
          <w:p>
            <w:pPr>
              <w:widowControl/>
              <w:jc w:val="center"/>
              <w:rPr>
                <w:color w:val="000000"/>
                <w:kern w:val="0"/>
                <w:szCs w:val="21"/>
              </w:rPr>
            </w:pPr>
            <w:r>
              <w:rPr>
                <w:color w:val="000000"/>
                <w:kern w:val="0"/>
                <w:szCs w:val="21"/>
              </w:rPr>
              <w:t>6J615</w:t>
            </w:r>
          </w:p>
        </w:tc>
        <w:tc>
          <w:tcPr>
            <w:tcW w:w="6085" w:type="dxa"/>
            <w:noWrap/>
            <w:vAlign w:val="center"/>
          </w:tcPr>
          <w:p>
            <w:pPr>
              <w:widowControl/>
              <w:jc w:val="center"/>
              <w:rPr>
                <w:color w:val="000000"/>
                <w:kern w:val="0"/>
                <w:szCs w:val="21"/>
              </w:rPr>
            </w:pPr>
            <w:r>
              <w:rPr>
                <w:color w:val="000000"/>
                <w:kern w:val="0"/>
                <w:szCs w:val="21"/>
              </w:rPr>
              <w:t>较高的电阻率，较低的电阻温度系数，在20~60℃内电阻温度系数呈抛物线状</w:t>
            </w:r>
          </w:p>
        </w:tc>
        <w:tc>
          <w:tcPr>
            <w:tcW w:w="3907" w:type="dxa"/>
            <w:noWrap/>
            <w:vAlign w:val="center"/>
          </w:tcPr>
          <w:p>
            <w:pPr>
              <w:widowControl/>
              <w:jc w:val="center"/>
              <w:rPr>
                <w:color w:val="000000"/>
                <w:kern w:val="0"/>
                <w:szCs w:val="21"/>
              </w:rPr>
            </w:pPr>
            <w:r>
              <w:rPr>
                <w:color w:val="000000"/>
                <w:kern w:val="0"/>
                <w:szCs w:val="21"/>
              </w:rPr>
              <w:t>标准电阻器</w:t>
            </w:r>
          </w:p>
        </w:tc>
        <w:tc>
          <w:tcPr>
            <w:tcW w:w="1879" w:type="dxa"/>
            <w:noWrap w:val="0"/>
            <w:vAlign w:val="center"/>
          </w:tcPr>
          <w:p>
            <w:pPr>
              <w:widowControl/>
              <w:jc w:val="center"/>
              <w:rPr>
                <w:rFonts w:eastAsia="微软雅黑 Light"/>
                <w:color w:val="000000"/>
                <w:sz w:val="22"/>
                <w:szCs w:val="22"/>
              </w:rPr>
            </w:pPr>
            <w:r>
              <w:rPr>
                <w:rFonts w:eastAsia="微软雅黑 Light"/>
                <w:color w:val="000000"/>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88" w:type="dxa"/>
            <w:noWrap w:val="0"/>
            <w:vAlign w:val="center"/>
          </w:tcPr>
          <w:p>
            <w:pPr>
              <w:widowControl/>
              <w:jc w:val="center"/>
              <w:rPr>
                <w:color w:val="000000"/>
                <w:kern w:val="0"/>
                <w:szCs w:val="21"/>
              </w:rPr>
            </w:pPr>
            <w:r>
              <w:rPr>
                <w:rFonts w:hint="eastAsia"/>
                <w:color w:val="000000"/>
                <w:kern w:val="0"/>
                <w:szCs w:val="21"/>
              </w:rPr>
              <w:t>8</w:t>
            </w:r>
          </w:p>
        </w:tc>
        <w:tc>
          <w:tcPr>
            <w:tcW w:w="788" w:type="dxa"/>
            <w:noWrap/>
            <w:vAlign w:val="center"/>
          </w:tcPr>
          <w:p>
            <w:pPr>
              <w:widowControl/>
              <w:jc w:val="center"/>
              <w:rPr>
                <w:color w:val="000000"/>
                <w:kern w:val="0"/>
                <w:szCs w:val="21"/>
              </w:rPr>
            </w:pPr>
            <w:r>
              <w:rPr>
                <w:color w:val="000000"/>
                <w:kern w:val="0"/>
                <w:szCs w:val="21"/>
              </w:rPr>
              <w:t>6J625</w:t>
            </w:r>
          </w:p>
        </w:tc>
        <w:tc>
          <w:tcPr>
            <w:tcW w:w="6085" w:type="dxa"/>
            <w:noWrap/>
            <w:vAlign w:val="center"/>
          </w:tcPr>
          <w:p>
            <w:pPr>
              <w:widowControl/>
              <w:jc w:val="center"/>
              <w:rPr>
                <w:color w:val="000000"/>
                <w:kern w:val="0"/>
                <w:szCs w:val="21"/>
              </w:rPr>
            </w:pPr>
            <w:r>
              <w:rPr>
                <w:color w:val="000000"/>
                <w:kern w:val="0"/>
                <w:szCs w:val="21"/>
              </w:rPr>
              <w:t>电阻值长期稳定，极低的对铜热电动势，低的电阻温度系数</w:t>
            </w:r>
          </w:p>
        </w:tc>
        <w:tc>
          <w:tcPr>
            <w:tcW w:w="3907" w:type="dxa"/>
            <w:noWrap/>
            <w:vAlign w:val="center"/>
          </w:tcPr>
          <w:p>
            <w:pPr>
              <w:widowControl/>
              <w:jc w:val="center"/>
              <w:rPr>
                <w:color w:val="000000"/>
                <w:kern w:val="0"/>
                <w:szCs w:val="21"/>
              </w:rPr>
            </w:pPr>
            <w:r>
              <w:rPr>
                <w:color w:val="000000"/>
                <w:kern w:val="0"/>
                <w:szCs w:val="21"/>
              </w:rPr>
              <w:t>精密电阻元器件</w:t>
            </w:r>
          </w:p>
        </w:tc>
        <w:tc>
          <w:tcPr>
            <w:tcW w:w="1879" w:type="dxa"/>
            <w:noWrap w:val="0"/>
            <w:vAlign w:val="center"/>
          </w:tcPr>
          <w:p>
            <w:pPr>
              <w:widowControl/>
              <w:jc w:val="center"/>
              <w:rPr>
                <w:rFonts w:eastAsia="微软雅黑 Light"/>
                <w:color w:val="000000"/>
                <w:sz w:val="22"/>
                <w:szCs w:val="22"/>
              </w:rPr>
            </w:pPr>
            <w:r>
              <w:rPr>
                <w:color w:val="00000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88" w:type="dxa"/>
            <w:noWrap w:val="0"/>
            <w:vAlign w:val="center"/>
          </w:tcPr>
          <w:p>
            <w:pPr>
              <w:widowControl/>
              <w:jc w:val="center"/>
              <w:rPr>
                <w:color w:val="000000"/>
                <w:kern w:val="0"/>
                <w:szCs w:val="21"/>
              </w:rPr>
            </w:pPr>
            <w:r>
              <w:rPr>
                <w:rFonts w:hint="eastAsia"/>
                <w:color w:val="000000"/>
                <w:kern w:val="0"/>
                <w:szCs w:val="21"/>
              </w:rPr>
              <w:t>9</w:t>
            </w:r>
          </w:p>
        </w:tc>
        <w:tc>
          <w:tcPr>
            <w:tcW w:w="788" w:type="dxa"/>
            <w:noWrap/>
            <w:vAlign w:val="center"/>
          </w:tcPr>
          <w:p>
            <w:pPr>
              <w:widowControl/>
              <w:jc w:val="center"/>
              <w:rPr>
                <w:color w:val="000000"/>
                <w:kern w:val="0"/>
                <w:szCs w:val="21"/>
              </w:rPr>
            </w:pPr>
            <w:r>
              <w:rPr>
                <w:color w:val="000000"/>
                <w:kern w:val="0"/>
                <w:szCs w:val="21"/>
              </w:rPr>
              <w:t>6J640</w:t>
            </w:r>
          </w:p>
        </w:tc>
        <w:tc>
          <w:tcPr>
            <w:tcW w:w="6085" w:type="dxa"/>
            <w:noWrap/>
            <w:vAlign w:val="center"/>
          </w:tcPr>
          <w:p>
            <w:pPr>
              <w:widowControl/>
              <w:jc w:val="center"/>
              <w:rPr>
                <w:color w:val="000000"/>
                <w:kern w:val="0"/>
                <w:szCs w:val="21"/>
              </w:rPr>
            </w:pPr>
            <w:r>
              <w:rPr>
                <w:color w:val="000000"/>
                <w:kern w:val="0"/>
                <w:szCs w:val="21"/>
              </w:rPr>
              <w:t>电阻温度系数较</w:t>
            </w:r>
            <w:r>
              <w:rPr>
                <w:rFonts w:hint="eastAsia"/>
                <w:color w:val="000000"/>
                <w:kern w:val="0"/>
                <w:szCs w:val="21"/>
              </w:rPr>
              <w:t>高</w:t>
            </w:r>
            <w:r>
              <w:rPr>
                <w:color w:val="000000"/>
                <w:kern w:val="0"/>
                <w:szCs w:val="21"/>
              </w:rPr>
              <w:t>，电阻</w:t>
            </w:r>
            <w:r>
              <w:rPr>
                <w:rFonts w:hint="eastAsia"/>
                <w:color w:val="000000"/>
                <w:kern w:val="0"/>
                <w:szCs w:val="21"/>
              </w:rPr>
              <w:t>率适中</w:t>
            </w:r>
            <w:r>
              <w:rPr>
                <w:color w:val="000000"/>
                <w:kern w:val="0"/>
                <w:szCs w:val="21"/>
              </w:rPr>
              <w:t>，</w:t>
            </w:r>
            <w:r>
              <w:rPr>
                <w:rFonts w:hint="eastAsia"/>
                <w:color w:val="000000"/>
                <w:kern w:val="0"/>
                <w:szCs w:val="21"/>
              </w:rPr>
              <w:t>对铜热电动势较高，一般应用于交变电流信号的检测</w:t>
            </w:r>
          </w:p>
        </w:tc>
        <w:tc>
          <w:tcPr>
            <w:tcW w:w="3907" w:type="dxa"/>
            <w:noWrap/>
            <w:vAlign w:val="center"/>
          </w:tcPr>
          <w:p>
            <w:pPr>
              <w:widowControl/>
              <w:jc w:val="center"/>
              <w:rPr>
                <w:color w:val="000000"/>
                <w:kern w:val="0"/>
                <w:szCs w:val="21"/>
              </w:rPr>
            </w:pPr>
            <w:r>
              <w:rPr>
                <w:color w:val="000000"/>
                <w:kern w:val="0"/>
                <w:szCs w:val="21"/>
              </w:rPr>
              <w:t>制作各种测量仪器、仪表等电阻元件</w:t>
            </w:r>
          </w:p>
        </w:tc>
        <w:tc>
          <w:tcPr>
            <w:tcW w:w="1879" w:type="dxa"/>
            <w:noWrap w:val="0"/>
            <w:vAlign w:val="center"/>
          </w:tcPr>
          <w:p>
            <w:pPr>
              <w:widowControl/>
              <w:jc w:val="center"/>
              <w:rPr>
                <w:color w:val="000000"/>
                <w:kern w:val="0"/>
                <w:szCs w:val="21"/>
              </w:rPr>
            </w:pPr>
            <w:r>
              <w:rPr>
                <w:rFonts w:eastAsia="微软雅黑 Light"/>
                <w:color w:val="000000"/>
                <w:sz w:val="22"/>
                <w:szCs w:val="22"/>
              </w:rPr>
              <w:t>GB/T 6145-2010</w:t>
            </w:r>
          </w:p>
        </w:tc>
      </w:tr>
    </w:tbl>
    <w:p>
      <w:pPr>
        <w:pStyle w:val="2"/>
        <w:rPr>
          <w:rFonts w:ascii="Times New Roman" w:hAnsi="Times New Roman"/>
        </w:rPr>
        <w:sectPr>
          <w:pgSz w:w="16839" w:h="11907" w:orient="landscape"/>
          <w:pgMar w:top="1440" w:right="1800" w:bottom="1440" w:left="1800" w:header="567" w:footer="567" w:gutter="0"/>
          <w:pgNumType w:start="1"/>
          <w:cols w:space="720" w:num="1"/>
          <w:docGrid w:type="linesAndChars" w:linePitch="310" w:charSpace="0"/>
        </w:sectPr>
      </w:pPr>
    </w:p>
    <w:p>
      <w:pPr>
        <w:spacing w:before="240" w:line="360" w:lineRule="auto"/>
        <w:rPr>
          <w:rFonts w:asciiTheme="minorEastAsia" w:hAnsiTheme="minorEastAsia" w:eastAsiaTheme="minorEastAsia"/>
          <w:b/>
          <w:szCs w:val="28"/>
        </w:rPr>
      </w:pPr>
      <w:r>
        <w:rPr>
          <w:rFonts w:asciiTheme="minorEastAsia" w:hAnsiTheme="minorEastAsia" w:eastAsiaTheme="minorEastAsia"/>
          <w:b/>
          <w:szCs w:val="28"/>
        </w:rPr>
        <w:t>四</w:t>
      </w:r>
      <w:r>
        <w:rPr>
          <w:rFonts w:hint="eastAsia" w:asciiTheme="minorEastAsia" w:hAnsiTheme="minorEastAsia" w:eastAsiaTheme="minorEastAsia"/>
          <w:b/>
          <w:szCs w:val="28"/>
        </w:rPr>
        <w:t>、标准水平分析</w:t>
      </w:r>
    </w:p>
    <w:p>
      <w:pPr>
        <w:spacing w:line="360" w:lineRule="auto"/>
        <w:ind w:firstLine="420" w:firstLineChars="200"/>
        <w:rPr>
          <w:rFonts w:ascii="宋体" w:hAnsi="宋体"/>
          <w:szCs w:val="21"/>
        </w:rPr>
      </w:pPr>
      <w:r>
        <w:rPr>
          <w:rFonts w:hint="eastAsia" w:ascii="宋体" w:hAnsi="宋体" w:cs="宋体"/>
          <w:szCs w:val="21"/>
        </w:rPr>
        <w:t>通过文献检索和网上查询，</w:t>
      </w:r>
      <w:r>
        <w:rPr>
          <w:rFonts w:hint="eastAsia" w:ascii="宋体" w:hAnsi="宋体"/>
          <w:szCs w:val="21"/>
        </w:rPr>
        <w:t>对本标准与国内外其他标准的具体指标进行了对比分析。</w:t>
      </w:r>
      <w:r>
        <w:rPr>
          <w:rFonts w:hint="eastAsia"/>
          <w:szCs w:val="21"/>
        </w:rPr>
        <w:t>具体对比分析情况</w:t>
      </w:r>
      <w:r>
        <w:rPr>
          <w:rFonts w:hint="eastAsia" w:ascii="宋体" w:hAnsi="宋体"/>
          <w:szCs w:val="21"/>
        </w:rPr>
        <w:t>详见表</w:t>
      </w:r>
      <w:r>
        <w:rPr>
          <w:rFonts w:hint="eastAsia" w:ascii="宋体" w:hAnsi="宋体"/>
          <w:szCs w:val="21"/>
          <w:lang w:val="en-US" w:eastAsia="zh-CN"/>
        </w:rPr>
        <w:t>3</w:t>
      </w:r>
      <w:r>
        <w:rPr>
          <w:rFonts w:hint="eastAsia" w:ascii="宋体" w:hAnsi="宋体"/>
          <w:szCs w:val="21"/>
        </w:rPr>
        <w:t>。</w:t>
      </w:r>
    </w:p>
    <w:p>
      <w:pPr>
        <w:spacing w:line="360" w:lineRule="auto"/>
        <w:jc w:val="center"/>
        <w:rPr>
          <w:rFonts w:ascii="黑体" w:hAnsi="黑体" w:eastAsia="黑体"/>
          <w:kern w:val="0"/>
          <w:szCs w:val="21"/>
        </w:rPr>
      </w:pPr>
      <w:r>
        <w:rPr>
          <w:rFonts w:hint="eastAsia" w:ascii="黑体" w:hAnsi="黑体" w:eastAsia="黑体"/>
          <w:kern w:val="0"/>
          <w:szCs w:val="21"/>
        </w:rPr>
        <w:t>表</w:t>
      </w:r>
      <w:r>
        <w:rPr>
          <w:rFonts w:hint="eastAsia" w:ascii="黑体" w:hAnsi="黑体" w:eastAsia="黑体"/>
          <w:kern w:val="0"/>
          <w:szCs w:val="21"/>
          <w:lang w:val="en-US" w:eastAsia="zh-CN"/>
        </w:rPr>
        <w:t>3</w:t>
      </w:r>
      <w:r>
        <w:rPr>
          <w:rFonts w:ascii="黑体" w:hAnsi="黑体" w:eastAsia="黑体"/>
          <w:kern w:val="0"/>
          <w:szCs w:val="21"/>
        </w:rPr>
        <w:t xml:space="preserve">  </w:t>
      </w:r>
      <w:r>
        <w:rPr>
          <w:rFonts w:hint="eastAsia" w:ascii="黑体" w:hAnsi="黑体" w:eastAsia="黑体"/>
          <w:kern w:val="0"/>
          <w:szCs w:val="21"/>
        </w:rPr>
        <w:t>国内外</w:t>
      </w:r>
      <w:r>
        <w:rPr>
          <w:rFonts w:hint="eastAsia" w:ascii="黑体" w:hAnsi="黑体" w:eastAsia="黑体"/>
          <w:kern w:val="0"/>
        </w:rPr>
        <w:t>标准水平分析</w:t>
      </w:r>
    </w:p>
    <w:tbl>
      <w:tblPr>
        <w:tblStyle w:val="12"/>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2093"/>
        <w:gridCol w:w="2093"/>
        <w:gridCol w:w="1424"/>
        <w:gridCol w:w="19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586" w:type="pct"/>
            <w:tcBorders>
              <w:top w:val="single" w:color="auto" w:sz="12" w:space="0"/>
              <w:bottom w:val="single" w:color="auto" w:sz="12" w:space="0"/>
            </w:tcBorders>
            <w:shd w:val="clear" w:color="auto" w:fill="auto"/>
            <w:vAlign w:val="center"/>
          </w:tcPr>
          <w:p>
            <w:pPr>
              <w:pStyle w:val="31"/>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项</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目</w:t>
            </w:r>
          </w:p>
        </w:tc>
        <w:tc>
          <w:tcPr>
            <w:tcW w:w="1227" w:type="pct"/>
            <w:tcBorders>
              <w:top w:val="single" w:color="auto" w:sz="12" w:space="0"/>
              <w:bottom w:val="single" w:color="auto" w:sz="12" w:space="0"/>
            </w:tcBorders>
            <w:vAlign w:val="center"/>
          </w:tcPr>
          <w:p>
            <w:pPr>
              <w:pStyle w:val="31"/>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GB/T 37797-2019</w:t>
            </w:r>
          </w:p>
        </w:tc>
        <w:tc>
          <w:tcPr>
            <w:tcW w:w="1227" w:type="pct"/>
            <w:tcBorders>
              <w:top w:val="single" w:color="auto" w:sz="12" w:space="0"/>
              <w:bottom w:val="single" w:color="auto" w:sz="12" w:space="0"/>
            </w:tcBorders>
            <w:shd w:val="clear" w:color="auto" w:fill="auto"/>
            <w:vAlign w:val="center"/>
          </w:tcPr>
          <w:p>
            <w:pPr>
              <w:pStyle w:val="31"/>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本标准</w:t>
            </w:r>
          </w:p>
        </w:tc>
        <w:tc>
          <w:tcPr>
            <w:tcW w:w="835" w:type="pct"/>
            <w:tcBorders>
              <w:top w:val="single" w:color="auto" w:sz="12" w:space="0"/>
              <w:bottom w:val="single" w:color="auto" w:sz="12" w:space="0"/>
            </w:tcBorders>
            <w:shd w:val="clear" w:color="auto" w:fill="auto"/>
            <w:vAlign w:val="center"/>
          </w:tcPr>
          <w:p>
            <w:pPr>
              <w:pStyle w:val="31"/>
              <w:ind w:firstLine="0" w:firstLineChars="0"/>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DIN 17471</w:t>
            </w:r>
          </w:p>
        </w:tc>
        <w:tc>
          <w:tcPr>
            <w:tcW w:w="1123" w:type="pct"/>
            <w:tcBorders>
              <w:top w:val="single" w:color="auto" w:sz="12" w:space="0"/>
              <w:bottom w:val="single" w:color="auto" w:sz="12" w:space="0"/>
            </w:tcBorders>
            <w:shd w:val="clear" w:color="auto" w:fill="auto"/>
            <w:vAlign w:val="center"/>
          </w:tcPr>
          <w:p>
            <w:pPr>
              <w:pStyle w:val="31"/>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标准水平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86" w:type="pct"/>
            <w:tcBorders>
              <w:top w:val="single" w:color="auto" w:sz="12" w:space="0"/>
            </w:tcBorders>
            <w:shd w:val="clear" w:color="auto" w:fill="auto"/>
            <w:vAlign w:val="center"/>
          </w:tcPr>
          <w:p>
            <w:pPr>
              <w:pStyle w:val="31"/>
              <w:ind w:firstLine="0" w:firstLineChars="0"/>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范围</w:t>
            </w:r>
          </w:p>
        </w:tc>
        <w:tc>
          <w:tcPr>
            <w:tcW w:w="1227" w:type="pct"/>
            <w:tcBorders>
              <w:top w:val="single" w:color="auto" w:sz="12" w:space="0"/>
            </w:tcBorders>
            <w:vAlign w:val="center"/>
          </w:tcPr>
          <w:p>
            <w:pPr>
              <w:pStyle w:val="31"/>
              <w:ind w:firstLine="0" w:firstLineChars="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确立精密合金体系分类和牌号命名的规范的一般原则</w:t>
            </w:r>
          </w:p>
        </w:tc>
        <w:tc>
          <w:tcPr>
            <w:tcW w:w="1227" w:type="pct"/>
            <w:tcBorders>
              <w:top w:val="single" w:color="auto" w:sz="12" w:space="0"/>
            </w:tcBorders>
            <w:shd w:val="clear" w:color="auto" w:fill="auto"/>
            <w:vAlign w:val="center"/>
          </w:tcPr>
          <w:p>
            <w:pPr>
              <w:pStyle w:val="31"/>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确立铜</w:t>
            </w:r>
            <w:r>
              <w:rPr>
                <w:rFonts w:hint="eastAsia" w:asciiTheme="minorEastAsia" w:hAnsiTheme="minorEastAsia" w:eastAsiaTheme="minorEastAsia"/>
                <w:sz w:val="18"/>
                <w:szCs w:val="18"/>
              </w:rPr>
              <w:t>基精密电阻合金的牌号和化学成分</w:t>
            </w:r>
          </w:p>
        </w:tc>
        <w:tc>
          <w:tcPr>
            <w:tcW w:w="835" w:type="pct"/>
            <w:tcBorders>
              <w:top w:val="single" w:color="auto" w:sz="12" w:space="0"/>
            </w:tcBorders>
            <w:shd w:val="clear" w:color="auto" w:fill="auto"/>
            <w:vAlign w:val="center"/>
          </w:tcPr>
          <w:p>
            <w:pPr>
              <w:pStyle w:val="31"/>
              <w:ind w:firstLine="0" w:firstLineChars="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确立铜镍精密电阻合金牌号</w:t>
            </w:r>
          </w:p>
        </w:tc>
        <w:tc>
          <w:tcPr>
            <w:tcW w:w="1123" w:type="pct"/>
            <w:tcBorders>
              <w:top w:val="single" w:color="auto" w:sz="12" w:space="0"/>
            </w:tcBorders>
            <w:shd w:val="clear" w:color="auto" w:fill="auto"/>
            <w:vAlign w:val="center"/>
          </w:tcPr>
          <w:p>
            <w:pPr>
              <w:pStyle w:val="31"/>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国际先进水平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86" w:type="pct"/>
            <w:shd w:val="clear" w:color="auto" w:fill="auto"/>
            <w:vAlign w:val="center"/>
          </w:tcPr>
          <w:p>
            <w:pPr>
              <w:pStyle w:val="31"/>
              <w:ind w:firstLine="0" w:firstLineChars="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铜基精密电阻合金牌号的命名</w:t>
            </w:r>
          </w:p>
        </w:tc>
        <w:tc>
          <w:tcPr>
            <w:tcW w:w="1227" w:type="pct"/>
            <w:vAlign w:val="center"/>
          </w:tcPr>
          <w:p>
            <w:pPr>
              <w:pStyle w:val="31"/>
              <w:ind w:firstLine="0" w:firstLineChars="0"/>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无</w:t>
            </w:r>
          </w:p>
        </w:tc>
        <w:tc>
          <w:tcPr>
            <w:tcW w:w="1227" w:type="pct"/>
            <w:shd w:val="clear" w:color="auto" w:fill="auto"/>
            <w:vAlign w:val="center"/>
          </w:tcPr>
          <w:p>
            <w:pPr>
              <w:pStyle w:val="31"/>
              <w:ind w:firstLine="0" w:firstLineChars="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有</w:t>
            </w:r>
          </w:p>
        </w:tc>
        <w:tc>
          <w:tcPr>
            <w:tcW w:w="835" w:type="pct"/>
            <w:shd w:val="clear" w:color="auto" w:fill="auto"/>
            <w:vAlign w:val="center"/>
          </w:tcPr>
          <w:p>
            <w:pPr>
              <w:pStyle w:val="31"/>
              <w:ind w:firstLine="0" w:firstLineChars="0"/>
              <w:jc w:val="center"/>
              <w:rPr>
                <w:rFonts w:hint="eastAsia"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val="en-US" w:eastAsia="zh-CN"/>
              </w:rPr>
              <w:t>部分</w:t>
            </w:r>
          </w:p>
        </w:tc>
        <w:tc>
          <w:tcPr>
            <w:tcW w:w="1123" w:type="pct"/>
            <w:shd w:val="clear" w:color="auto" w:fill="auto"/>
            <w:vAlign w:val="center"/>
          </w:tcPr>
          <w:p>
            <w:pPr>
              <w:pStyle w:val="31"/>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国际先进水平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586" w:type="pct"/>
            <w:shd w:val="clear" w:color="auto" w:fill="auto"/>
            <w:vAlign w:val="center"/>
          </w:tcPr>
          <w:p>
            <w:pPr>
              <w:pStyle w:val="31"/>
              <w:ind w:firstLine="0" w:firstLineChars="0"/>
              <w:jc w:val="center"/>
              <w:rPr>
                <w:rFonts w:hint="default" w:asciiTheme="minorEastAsia" w:hAnsiTheme="minorEastAsia" w:eastAsiaTheme="minorEastAsia"/>
                <w:sz w:val="18"/>
                <w:szCs w:val="18"/>
                <w:lang w:val="en-US"/>
              </w:rPr>
            </w:pPr>
            <w:r>
              <w:rPr>
                <w:rFonts w:hint="eastAsia" w:asciiTheme="minorEastAsia" w:hAnsiTheme="minorEastAsia" w:eastAsiaTheme="minorEastAsia"/>
                <w:sz w:val="18"/>
                <w:szCs w:val="18"/>
                <w:lang w:val="en-US" w:eastAsia="zh-CN"/>
              </w:rPr>
              <w:t>铜基精密电阻合金的化学成分</w:t>
            </w:r>
          </w:p>
        </w:tc>
        <w:tc>
          <w:tcPr>
            <w:tcW w:w="1227" w:type="pct"/>
            <w:vAlign w:val="center"/>
          </w:tcPr>
          <w:p>
            <w:pPr>
              <w:pStyle w:val="31"/>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无</w:t>
            </w:r>
          </w:p>
        </w:tc>
        <w:tc>
          <w:tcPr>
            <w:tcW w:w="1227" w:type="pct"/>
            <w:shd w:val="clear" w:color="auto" w:fill="auto"/>
            <w:vAlign w:val="center"/>
          </w:tcPr>
          <w:p>
            <w:pPr>
              <w:pStyle w:val="31"/>
              <w:ind w:firstLine="0" w:firstLineChars="0"/>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有</w:t>
            </w:r>
          </w:p>
        </w:tc>
        <w:tc>
          <w:tcPr>
            <w:tcW w:w="835" w:type="pct"/>
            <w:shd w:val="clear" w:color="auto" w:fill="auto"/>
            <w:vAlign w:val="center"/>
          </w:tcPr>
          <w:p>
            <w:pPr>
              <w:pStyle w:val="31"/>
              <w:ind w:firstLine="0" w:firstLineChars="0"/>
              <w:jc w:val="center"/>
              <w:rPr>
                <w:rFonts w:hint="eastAsia" w:asciiTheme="minorEastAsia" w:hAnsiTheme="minorEastAsia" w:eastAsiaTheme="minorEastAsia"/>
                <w:sz w:val="18"/>
                <w:szCs w:val="18"/>
                <w:lang w:eastAsia="zh-CN"/>
              </w:rPr>
            </w:pPr>
            <w:r>
              <w:rPr>
                <w:rFonts w:hint="eastAsia" w:cs="宋体" w:asciiTheme="minorEastAsia" w:hAnsiTheme="minorEastAsia" w:eastAsiaTheme="minorEastAsia"/>
                <w:sz w:val="18"/>
                <w:szCs w:val="18"/>
                <w:lang w:val="en-US" w:eastAsia="zh-CN"/>
              </w:rPr>
              <w:t>部分</w:t>
            </w:r>
          </w:p>
        </w:tc>
        <w:tc>
          <w:tcPr>
            <w:tcW w:w="1123" w:type="pct"/>
            <w:shd w:val="clear" w:color="auto" w:fill="auto"/>
            <w:vAlign w:val="center"/>
          </w:tcPr>
          <w:p>
            <w:pPr>
              <w:pStyle w:val="31"/>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国际先进水平</w:t>
            </w:r>
          </w:p>
        </w:tc>
      </w:tr>
    </w:tbl>
    <w:p>
      <w:pPr>
        <w:spacing w:line="360" w:lineRule="auto"/>
        <w:ind w:firstLine="420" w:firstLineChars="200"/>
        <w:rPr>
          <w:rFonts w:asciiTheme="minorEastAsia" w:hAnsiTheme="minorEastAsia" w:eastAsiaTheme="minorEastAsia"/>
          <w:b/>
          <w:szCs w:val="21"/>
        </w:rPr>
      </w:pPr>
      <w:r>
        <w:rPr>
          <w:rFonts w:hint="eastAsia" w:ascii="宋体" w:hAnsi="宋体"/>
          <w:szCs w:val="21"/>
        </w:rPr>
        <w:t>目前国外没有针对</w:t>
      </w:r>
      <w:r>
        <w:rPr>
          <w:rFonts w:hint="eastAsia" w:ascii="宋体" w:hAnsi="宋体"/>
          <w:szCs w:val="21"/>
          <w:lang w:val="en-US" w:eastAsia="zh-CN"/>
        </w:rPr>
        <w:t>铜基精密电阻合金</w:t>
      </w:r>
      <w:r>
        <w:rPr>
          <w:rFonts w:hint="eastAsia" w:ascii="宋体" w:hAnsi="宋体"/>
          <w:szCs w:val="21"/>
        </w:rPr>
        <w:t>多个牌号在化学成分等各项指标覆盖比较完整的参考标准。本标准结合</w:t>
      </w:r>
      <w:r>
        <w:rPr>
          <w:rFonts w:hint="eastAsia" w:ascii="宋体" w:hAnsi="宋体"/>
          <w:szCs w:val="21"/>
          <w:lang w:val="en-US" w:eastAsia="zh-CN"/>
        </w:rPr>
        <w:t>铜基精密电阻合金</w:t>
      </w:r>
      <w:r>
        <w:rPr>
          <w:rFonts w:ascii="宋体" w:hAnsi="宋体"/>
          <w:szCs w:val="21"/>
        </w:rPr>
        <w:t>的</w:t>
      </w:r>
      <w:r>
        <w:rPr>
          <w:rFonts w:hint="eastAsia" w:ascii="宋体" w:hAnsi="宋体"/>
          <w:szCs w:val="21"/>
        </w:rPr>
        <w:t>生产情况和市场应用</w:t>
      </w:r>
      <w:r>
        <w:rPr>
          <w:rFonts w:ascii="宋体" w:hAnsi="宋体"/>
          <w:szCs w:val="21"/>
        </w:rPr>
        <w:t>情况，将目前国内外</w:t>
      </w:r>
      <w:r>
        <w:rPr>
          <w:rFonts w:hint="eastAsia" w:ascii="宋体" w:hAnsi="宋体"/>
          <w:szCs w:val="21"/>
          <w:lang w:val="en-US" w:eastAsia="zh-CN"/>
        </w:rPr>
        <w:t>铜基精密电阻合金</w:t>
      </w:r>
      <w:r>
        <w:rPr>
          <w:rFonts w:ascii="宋体" w:hAnsi="宋体"/>
          <w:szCs w:val="21"/>
        </w:rPr>
        <w:t>产品进行了梳理、补充和整合，在</w:t>
      </w:r>
      <w:r>
        <w:rPr>
          <w:rFonts w:hint="eastAsia" w:ascii="宋体" w:hAnsi="宋体"/>
          <w:szCs w:val="21"/>
        </w:rPr>
        <w:t>GB/T 6145-2010</w:t>
      </w:r>
      <w:r>
        <w:rPr>
          <w:rFonts w:hint="eastAsia" w:ascii="宋体" w:hAnsi="宋体"/>
          <w:szCs w:val="21"/>
          <w:lang w:eastAsia="zh-CN"/>
        </w:rPr>
        <w:t>、</w:t>
      </w:r>
      <w:r>
        <w:rPr>
          <w:rFonts w:hint="eastAsia" w:ascii="宋体" w:hAnsi="宋体"/>
          <w:szCs w:val="21"/>
        </w:rPr>
        <w:t>GB/T 6149-2010</w:t>
      </w:r>
      <w:r>
        <w:rPr>
          <w:rFonts w:hint="eastAsia" w:ascii="宋体" w:hAnsi="宋体"/>
          <w:szCs w:val="21"/>
          <w:lang w:eastAsia="zh-CN"/>
        </w:rPr>
        <w:t>、</w:t>
      </w:r>
      <w:r>
        <w:rPr>
          <w:rFonts w:hint="eastAsia" w:ascii="宋体" w:hAnsi="宋体"/>
          <w:szCs w:val="21"/>
        </w:rPr>
        <w:t>JB/T 5327-2014</w:t>
      </w:r>
      <w:r>
        <w:rPr>
          <w:rFonts w:hint="eastAsia" w:ascii="宋体" w:hAnsi="宋体"/>
          <w:szCs w:val="21"/>
          <w:lang w:eastAsia="zh-CN"/>
        </w:rPr>
        <w:t>、</w:t>
      </w:r>
      <w:r>
        <w:rPr>
          <w:rFonts w:hint="eastAsia" w:ascii="宋体" w:hAnsi="宋体"/>
          <w:szCs w:val="21"/>
        </w:rPr>
        <w:t>JB/T 12513-2015</w:t>
      </w:r>
      <w:r>
        <w:rPr>
          <w:rFonts w:hint="eastAsia" w:ascii="宋体" w:hAnsi="宋体"/>
          <w:szCs w:val="21"/>
          <w:lang w:eastAsia="zh-CN"/>
        </w:rPr>
        <w:t>、</w:t>
      </w:r>
      <w:r>
        <w:rPr>
          <w:rFonts w:hint="eastAsia" w:ascii="宋体" w:hAnsi="宋体"/>
          <w:szCs w:val="21"/>
        </w:rPr>
        <w:t>JB/T 9502-1999</w:t>
      </w:r>
      <w:r>
        <w:rPr>
          <w:rFonts w:hint="eastAsia" w:ascii="宋体" w:hAnsi="宋体"/>
          <w:szCs w:val="21"/>
          <w:lang w:val="en-US" w:eastAsia="zh-CN"/>
        </w:rPr>
        <w:t>等标准</w:t>
      </w:r>
      <w:r>
        <w:rPr>
          <w:rFonts w:hint="eastAsia" w:ascii="宋体" w:hAnsi="宋体"/>
          <w:szCs w:val="21"/>
        </w:rPr>
        <w:t>的基础上，</w:t>
      </w:r>
      <w:r>
        <w:rPr>
          <w:rFonts w:ascii="宋体" w:hAnsi="宋体"/>
          <w:szCs w:val="21"/>
        </w:rPr>
        <w:t>增加了</w:t>
      </w:r>
      <w:r>
        <w:rPr>
          <w:rFonts w:hint="eastAsia" w:ascii="宋体" w:hAnsi="宋体"/>
          <w:szCs w:val="21"/>
          <w:lang w:val="en-US" w:eastAsia="zh-CN"/>
        </w:rPr>
        <w:t>3</w:t>
      </w:r>
      <w:r>
        <w:rPr>
          <w:rFonts w:ascii="宋体" w:hAnsi="宋体"/>
          <w:szCs w:val="21"/>
        </w:rPr>
        <w:t>个</w:t>
      </w:r>
      <w:r>
        <w:rPr>
          <w:rFonts w:hint="eastAsia" w:ascii="宋体" w:hAnsi="宋体"/>
          <w:szCs w:val="21"/>
          <w:lang w:val="en-US" w:eastAsia="zh-CN"/>
        </w:rPr>
        <w:t>铜基精密电阻合金</w:t>
      </w:r>
      <w:r>
        <w:rPr>
          <w:rFonts w:ascii="宋体" w:hAnsi="宋体"/>
          <w:szCs w:val="21"/>
        </w:rPr>
        <w:t>牌号，扩大了</w:t>
      </w:r>
      <w:r>
        <w:rPr>
          <w:rFonts w:hint="eastAsia" w:hAnsi="宋体"/>
          <w:szCs w:val="21"/>
        </w:rPr>
        <w:t>产品规格，并</w:t>
      </w:r>
      <w:r>
        <w:rPr>
          <w:rFonts w:ascii="宋体" w:hAnsi="宋体"/>
          <w:szCs w:val="21"/>
        </w:rPr>
        <w:t>细化、完善了各项技术指标，形成一项系统且完整的</w:t>
      </w:r>
      <w:r>
        <w:rPr>
          <w:rFonts w:hint="eastAsia" w:ascii="宋体" w:hAnsi="宋体"/>
          <w:szCs w:val="21"/>
          <w:lang w:val="en-US" w:eastAsia="zh-CN"/>
        </w:rPr>
        <w:t>铜基精密电阻合金</w:t>
      </w:r>
      <w:r>
        <w:rPr>
          <w:rFonts w:ascii="宋体" w:hAnsi="宋体"/>
          <w:szCs w:val="21"/>
        </w:rPr>
        <w:t>产品新标准</w:t>
      </w:r>
      <w:r>
        <w:rPr>
          <w:rFonts w:hint="eastAsia" w:ascii="宋体" w:hAnsi="宋体"/>
          <w:szCs w:val="21"/>
        </w:rPr>
        <w:t>。</w:t>
      </w:r>
      <w:r>
        <w:rPr>
          <w:rFonts w:hint="eastAsia"/>
          <w:szCs w:val="21"/>
        </w:rPr>
        <w:t>确定本标准的总体标准水平达到了国际先进水平。</w:t>
      </w:r>
    </w:p>
    <w:p>
      <w:pPr>
        <w:spacing w:before="240" w:line="360" w:lineRule="auto"/>
        <w:rPr>
          <w:b/>
          <w:szCs w:val="21"/>
        </w:rPr>
      </w:pPr>
      <w:r>
        <w:rPr>
          <w:rFonts w:hint="eastAsia" w:asciiTheme="minorEastAsia" w:hAnsiTheme="minorEastAsia" w:eastAsiaTheme="minorEastAsia"/>
          <w:b/>
          <w:szCs w:val="21"/>
        </w:rPr>
        <w:t>五、</w:t>
      </w:r>
      <w:r>
        <w:rPr>
          <w:rFonts w:hint="eastAsia"/>
          <w:b/>
          <w:szCs w:val="21"/>
        </w:rPr>
        <w:t>与现行相关法律、法规、规章及相关标准，特别是强制性标准的协调性</w:t>
      </w:r>
    </w:p>
    <w:p>
      <w:pPr>
        <w:spacing w:line="360" w:lineRule="auto"/>
        <w:ind w:firstLine="420" w:firstLineChars="200"/>
        <w:rPr>
          <w:kern w:val="0"/>
          <w:szCs w:val="21"/>
        </w:rPr>
      </w:pPr>
      <w:r>
        <w:rPr>
          <w:rFonts w:hint="eastAsia"/>
          <w:kern w:val="0"/>
          <w:szCs w:val="21"/>
        </w:rPr>
        <w:t>本标准的制定与现行的相关法律、法规、规章及相关标准的关系不矛盾、不冲突，其相互关系协调。是我国</w:t>
      </w:r>
      <w:r>
        <w:rPr>
          <w:rFonts w:hint="eastAsia"/>
          <w:kern w:val="0"/>
          <w:szCs w:val="21"/>
          <w:lang w:val="en-US" w:eastAsia="zh-CN"/>
        </w:rPr>
        <w:t>铜</w:t>
      </w:r>
      <w:r>
        <w:rPr>
          <w:rFonts w:hint="eastAsia"/>
          <w:kern w:val="0"/>
          <w:szCs w:val="21"/>
        </w:rPr>
        <w:t>加工行业国家标准体系的补充和发展。</w:t>
      </w:r>
    </w:p>
    <w:p>
      <w:pPr>
        <w:spacing w:before="240" w:line="360" w:lineRule="auto"/>
        <w:rPr>
          <w:rFonts w:asciiTheme="minorEastAsia" w:hAnsiTheme="minorEastAsia" w:eastAsiaTheme="minorEastAsia"/>
          <w:b/>
          <w:szCs w:val="21"/>
        </w:rPr>
      </w:pPr>
      <w:r>
        <w:rPr>
          <w:rFonts w:hint="eastAsia"/>
          <w:b/>
          <w:szCs w:val="21"/>
        </w:rPr>
        <w:t>六、</w:t>
      </w:r>
      <w:r>
        <w:rPr>
          <w:rFonts w:hint="eastAsia" w:asciiTheme="minorEastAsia" w:hAnsiTheme="minorEastAsia" w:eastAsiaTheme="minorEastAsia"/>
          <w:b/>
          <w:szCs w:val="21"/>
        </w:rPr>
        <w:t>标准中涉及专利的情况</w:t>
      </w:r>
    </w:p>
    <w:p>
      <w:pPr>
        <w:spacing w:line="360" w:lineRule="auto"/>
        <w:ind w:firstLine="420" w:firstLineChars="200"/>
        <w:rPr>
          <w:szCs w:val="21"/>
        </w:rPr>
      </w:pPr>
      <w:r>
        <w:rPr>
          <w:rFonts w:hint="eastAsia"/>
          <w:szCs w:val="21"/>
        </w:rPr>
        <w:t>本文件起草过程中没有检索到专利和知识产权问题，如果涉及到专利和知识产权时请使用单位与专利和知识产权方协商，本文件的发布机构不承担识别这些专利的责任。</w:t>
      </w:r>
    </w:p>
    <w:p>
      <w:pPr>
        <w:spacing w:before="240" w:line="360" w:lineRule="auto"/>
        <w:rPr>
          <w:kern w:val="0"/>
          <w:szCs w:val="21"/>
        </w:rPr>
      </w:pPr>
      <w:r>
        <w:rPr>
          <w:rFonts w:hint="eastAsia"/>
          <w:b/>
          <w:szCs w:val="21"/>
        </w:rPr>
        <w:t>七、重大分歧意见的处理经过和依据</w:t>
      </w:r>
    </w:p>
    <w:p>
      <w:pPr>
        <w:spacing w:before="240" w:line="360" w:lineRule="auto"/>
        <w:ind w:firstLine="420" w:firstLineChars="200"/>
        <w:rPr>
          <w:rFonts w:ascii="宋体" w:hAnsi="宋体"/>
          <w:szCs w:val="21"/>
        </w:rPr>
      </w:pPr>
      <w:r>
        <w:rPr>
          <w:rFonts w:hint="eastAsia" w:ascii="宋体" w:hAnsi="宋体"/>
          <w:szCs w:val="21"/>
        </w:rPr>
        <w:t>本标准属于</w:t>
      </w:r>
      <w:r>
        <w:rPr>
          <w:rFonts w:hint="eastAsia" w:ascii="宋体" w:hAnsi="宋体"/>
          <w:szCs w:val="21"/>
          <w:lang w:val="en-US" w:eastAsia="zh-CN"/>
        </w:rPr>
        <w:t>铜基</w:t>
      </w:r>
      <w:r>
        <w:rPr>
          <w:rFonts w:hint="eastAsia"/>
          <w:szCs w:val="21"/>
          <w:lang w:val="en-US" w:eastAsia="zh-CN"/>
        </w:rPr>
        <w:t>精密电阻合金</w:t>
      </w:r>
      <w:r>
        <w:rPr>
          <w:rFonts w:hint="eastAsia" w:ascii="宋体" w:hAnsi="宋体"/>
          <w:szCs w:val="21"/>
        </w:rPr>
        <w:t>的基础标准，编制组根据修订前确定的编制原则进行了标准修订，标准修订过程中未发生重大分歧意见。</w:t>
      </w:r>
    </w:p>
    <w:p>
      <w:pPr>
        <w:spacing w:before="240" w:line="360" w:lineRule="auto"/>
        <w:rPr>
          <w:b/>
          <w:szCs w:val="21"/>
        </w:rPr>
      </w:pPr>
      <w:r>
        <w:rPr>
          <w:rFonts w:hint="eastAsia"/>
          <w:b/>
          <w:szCs w:val="21"/>
        </w:rPr>
        <w:t>八、</w:t>
      </w:r>
      <w:r>
        <w:rPr>
          <w:b/>
          <w:szCs w:val="21"/>
        </w:rPr>
        <w:t xml:space="preserve"> </w:t>
      </w:r>
      <w:r>
        <w:rPr>
          <w:rFonts w:hint="eastAsia"/>
          <w:b/>
          <w:szCs w:val="21"/>
        </w:rPr>
        <w:t>标准性质的建议说明</w:t>
      </w:r>
    </w:p>
    <w:p>
      <w:pPr>
        <w:spacing w:before="240" w:line="360" w:lineRule="auto"/>
        <w:rPr>
          <w:bCs/>
          <w:szCs w:val="21"/>
        </w:rPr>
      </w:pPr>
      <w:r>
        <w:rPr>
          <w:bCs/>
          <w:szCs w:val="21"/>
        </w:rPr>
        <w:t xml:space="preserve">  </w:t>
      </w:r>
      <w:r>
        <w:rPr>
          <w:rFonts w:hint="eastAsia"/>
          <w:bCs/>
          <w:szCs w:val="21"/>
        </w:rPr>
        <w:t xml:space="preserve">  鉴于本标准属产品标准，不是通用性的安全规范或标准，根据标准化法和有关规定，建议本标准的性质为推荐性国家标准。</w:t>
      </w:r>
    </w:p>
    <w:p>
      <w:pPr>
        <w:spacing w:before="240" w:line="360" w:lineRule="auto"/>
        <w:rPr>
          <w:b/>
          <w:szCs w:val="21"/>
        </w:rPr>
      </w:pPr>
      <w:r>
        <w:rPr>
          <w:rFonts w:hint="eastAsia"/>
          <w:b/>
          <w:szCs w:val="21"/>
        </w:rPr>
        <w:t>九、</w:t>
      </w:r>
      <w:r>
        <w:rPr>
          <w:b/>
          <w:szCs w:val="21"/>
        </w:rPr>
        <w:t xml:space="preserve"> </w:t>
      </w:r>
      <w:r>
        <w:rPr>
          <w:rFonts w:hint="eastAsia"/>
          <w:b/>
          <w:szCs w:val="21"/>
        </w:rPr>
        <w:t>贯彻标准的要求和措施建议</w:t>
      </w:r>
    </w:p>
    <w:p>
      <w:pPr>
        <w:spacing w:line="360" w:lineRule="auto"/>
        <w:ind w:firstLine="420" w:firstLineChars="200"/>
        <w:rPr>
          <w:szCs w:val="21"/>
        </w:rPr>
      </w:pPr>
      <w:r>
        <w:rPr>
          <w:rFonts w:hint="eastAsia"/>
          <w:bCs/>
          <w:szCs w:val="21"/>
        </w:rPr>
        <w:t>本标准</w:t>
      </w:r>
      <w:r>
        <w:rPr>
          <w:rFonts w:hint="eastAsia"/>
          <w:bCs/>
          <w:szCs w:val="21"/>
          <w:lang w:val="en-US" w:eastAsia="zh-CN"/>
        </w:rPr>
        <w:t>确立了铜基精密电阻合金的牌号和化学成分</w:t>
      </w:r>
      <w:r>
        <w:rPr>
          <w:rFonts w:hint="eastAsia"/>
          <w:bCs/>
          <w:szCs w:val="21"/>
        </w:rPr>
        <w:t>，</w:t>
      </w:r>
      <w:r>
        <w:rPr>
          <w:rFonts w:hint="eastAsia"/>
          <w:szCs w:val="21"/>
        </w:rPr>
        <w:t>全面覆盖了</w:t>
      </w:r>
      <w:r>
        <w:rPr>
          <w:rFonts w:hint="eastAsia"/>
          <w:szCs w:val="21"/>
          <w:lang w:val="en-US" w:eastAsia="zh-CN"/>
        </w:rPr>
        <w:t>铜基精密电阻合金</w:t>
      </w:r>
      <w:r>
        <w:rPr>
          <w:rFonts w:hint="eastAsia"/>
          <w:szCs w:val="21"/>
        </w:rPr>
        <w:t>的一般要求，建议相关单位组织专项标准宣贯会进行系统的学习与贯彻实施。</w:t>
      </w:r>
    </w:p>
    <w:p>
      <w:pPr>
        <w:spacing w:line="360" w:lineRule="auto"/>
        <w:ind w:firstLine="420" w:firstLineChars="200"/>
        <w:rPr>
          <w:bCs/>
          <w:szCs w:val="21"/>
        </w:rPr>
      </w:pPr>
      <w:r>
        <w:rPr>
          <w:rFonts w:hint="eastAsia"/>
          <w:szCs w:val="21"/>
        </w:rPr>
        <w:t>本标准所涉及的</w:t>
      </w:r>
      <w:r>
        <w:rPr>
          <w:rFonts w:hint="eastAsia"/>
          <w:szCs w:val="21"/>
          <w:lang w:val="en-US" w:eastAsia="zh-CN"/>
        </w:rPr>
        <w:t>铜基精密电阻合金</w:t>
      </w:r>
      <w:r>
        <w:rPr>
          <w:rFonts w:hint="eastAsia"/>
          <w:szCs w:val="21"/>
        </w:rPr>
        <w:t>，生产企业宜根据本标准技术要求选用合适的生产工艺组织生产，提供合格的产品，并不断研发新工艺和设备改造，生产高品质产品，推动企业优化升级。客户宜根据本标准内容订购标准产品，规避因产品不规范带来的风险。</w:t>
      </w:r>
      <w:r>
        <w:rPr>
          <w:rFonts w:hint="eastAsia"/>
          <w:bCs/>
          <w:szCs w:val="21"/>
        </w:rPr>
        <w:t>因此可积极向厂家及国内外用户采用本标准。</w:t>
      </w:r>
    </w:p>
    <w:p>
      <w:pPr>
        <w:spacing w:line="360" w:lineRule="auto"/>
        <w:ind w:firstLine="420" w:firstLineChars="200"/>
        <w:rPr>
          <w:szCs w:val="21"/>
        </w:rPr>
      </w:pPr>
      <w:r>
        <w:rPr>
          <w:rFonts w:hint="eastAsia"/>
          <w:szCs w:val="21"/>
        </w:rPr>
        <w:t>本标准发布后，各企业应积极宣传和贯彻，并立即采用新标准订货，以保证产品质量，满足国内、外市场及用户的需要。</w:t>
      </w:r>
    </w:p>
    <w:p>
      <w:pPr>
        <w:spacing w:before="240" w:line="360" w:lineRule="auto"/>
        <w:rPr>
          <w:b/>
          <w:szCs w:val="21"/>
        </w:rPr>
      </w:pPr>
      <w:r>
        <w:rPr>
          <w:rFonts w:hint="eastAsia"/>
          <w:b/>
          <w:szCs w:val="21"/>
        </w:rPr>
        <w:t>十、</w:t>
      </w:r>
      <w:r>
        <w:rPr>
          <w:b/>
          <w:szCs w:val="21"/>
        </w:rPr>
        <w:t xml:space="preserve"> </w:t>
      </w:r>
      <w:r>
        <w:rPr>
          <w:rFonts w:hint="eastAsia"/>
          <w:b/>
          <w:szCs w:val="21"/>
        </w:rPr>
        <w:t>其他予以说明的事项</w:t>
      </w:r>
    </w:p>
    <w:p>
      <w:pPr>
        <w:spacing w:before="240" w:line="360" w:lineRule="auto"/>
        <w:ind w:firstLine="420" w:firstLineChars="200"/>
        <w:rPr>
          <w:kern w:val="0"/>
          <w:szCs w:val="21"/>
        </w:rPr>
      </w:pPr>
      <w:r>
        <w:rPr>
          <w:rFonts w:hint="eastAsia"/>
          <w:kern w:val="0"/>
          <w:szCs w:val="21"/>
        </w:rPr>
        <w:t>无</w:t>
      </w:r>
    </w:p>
    <w:p>
      <w:pPr>
        <w:spacing w:before="240" w:line="360" w:lineRule="auto"/>
        <w:rPr>
          <w:b/>
          <w:szCs w:val="21"/>
        </w:rPr>
      </w:pPr>
      <w:r>
        <w:rPr>
          <w:rFonts w:hint="eastAsia"/>
          <w:b/>
          <w:szCs w:val="21"/>
        </w:rPr>
        <w:t>十</w:t>
      </w:r>
      <w:r>
        <w:rPr>
          <w:rFonts w:hint="eastAsia"/>
          <w:b/>
          <w:szCs w:val="21"/>
          <w:lang w:val="en-US" w:eastAsia="zh-CN"/>
        </w:rPr>
        <w:t>一</w:t>
      </w:r>
      <w:r>
        <w:rPr>
          <w:rFonts w:hint="eastAsia"/>
          <w:b/>
          <w:szCs w:val="21"/>
        </w:rPr>
        <w:t>、</w:t>
      </w:r>
      <w:r>
        <w:rPr>
          <w:rFonts w:hint="eastAsia" w:asciiTheme="minorEastAsia" w:hAnsiTheme="minorEastAsia" w:eastAsiaTheme="minorEastAsia"/>
          <w:b/>
          <w:szCs w:val="21"/>
        </w:rPr>
        <w:t>推广应用的预期效果</w:t>
      </w:r>
    </w:p>
    <w:p>
      <w:pPr>
        <w:spacing w:line="360" w:lineRule="auto"/>
        <w:ind w:firstLine="420" w:firstLineChars="200"/>
        <w:rPr>
          <w:sz w:val="24"/>
        </w:rPr>
      </w:pPr>
      <w:r>
        <w:rPr>
          <w:rFonts w:hint="eastAsia"/>
          <w:kern w:val="0"/>
          <w:szCs w:val="21"/>
        </w:rPr>
        <w:t>精密电阻</w:t>
      </w:r>
      <w:r>
        <w:rPr>
          <w:rFonts w:hint="eastAsia"/>
          <w:kern w:val="0"/>
          <w:szCs w:val="21"/>
          <w:lang w:val="en-US" w:eastAsia="zh-CN"/>
        </w:rPr>
        <w:t>作为</w:t>
      </w:r>
      <w:r>
        <w:rPr>
          <w:rFonts w:hint="eastAsia"/>
          <w:kern w:val="0"/>
          <w:szCs w:val="21"/>
        </w:rPr>
        <w:t>控制传感电路不可或缺检流元件，随着</w:t>
      </w:r>
      <w:r>
        <w:rPr>
          <w:rFonts w:hint="eastAsia"/>
          <w:kern w:val="0"/>
          <w:szCs w:val="21"/>
          <w:lang w:val="en-US" w:eastAsia="zh-CN"/>
        </w:rPr>
        <w:t>人们</w:t>
      </w:r>
      <w:r>
        <w:rPr>
          <w:rFonts w:hint="eastAsia"/>
          <w:kern w:val="0"/>
          <w:szCs w:val="21"/>
        </w:rPr>
        <w:t>生活水平的提高和生活方式的改变，在众多工业领域发挥</w:t>
      </w:r>
      <w:r>
        <w:rPr>
          <w:rFonts w:hint="eastAsia"/>
          <w:kern w:val="0"/>
          <w:szCs w:val="21"/>
          <w:lang w:val="en-US" w:eastAsia="zh-CN"/>
        </w:rPr>
        <w:t>更加</w:t>
      </w:r>
      <w:r>
        <w:rPr>
          <w:rFonts w:hint="eastAsia"/>
          <w:kern w:val="0"/>
          <w:szCs w:val="21"/>
        </w:rPr>
        <w:t>关键</w:t>
      </w:r>
      <w:r>
        <w:rPr>
          <w:rFonts w:hint="eastAsia"/>
          <w:kern w:val="0"/>
          <w:szCs w:val="21"/>
          <w:lang w:val="en-US" w:eastAsia="zh-CN"/>
        </w:rPr>
        <w:t>的</w:t>
      </w:r>
      <w:r>
        <w:rPr>
          <w:rFonts w:hint="eastAsia"/>
          <w:kern w:val="0"/>
          <w:szCs w:val="21"/>
        </w:rPr>
        <w:t>作用，消费电子、汽车、5G通讯、轨道交通（高铁、地铁）及新能源等领域</w:t>
      </w:r>
      <w:r>
        <w:rPr>
          <w:rFonts w:hint="eastAsia"/>
          <w:kern w:val="0"/>
          <w:szCs w:val="21"/>
          <w:lang w:val="en-US" w:eastAsia="zh-CN"/>
        </w:rPr>
        <w:t>中对</w:t>
      </w:r>
      <w:r>
        <w:rPr>
          <w:rFonts w:hint="eastAsia"/>
          <w:kern w:val="0"/>
          <w:szCs w:val="21"/>
        </w:rPr>
        <w:t>精密电阻</w:t>
      </w:r>
      <w:r>
        <w:rPr>
          <w:rFonts w:hint="eastAsia"/>
          <w:kern w:val="0"/>
          <w:szCs w:val="21"/>
          <w:lang w:val="en-US" w:eastAsia="zh-CN"/>
        </w:rPr>
        <w:t>的使用也日益增长</w:t>
      </w:r>
      <w:r>
        <w:rPr>
          <w:rFonts w:hint="eastAsia"/>
          <w:kern w:val="0"/>
          <w:szCs w:val="21"/>
        </w:rPr>
        <w:t>。</w:t>
      </w:r>
    </w:p>
    <w:p>
      <w:pPr>
        <w:spacing w:line="360" w:lineRule="auto"/>
        <w:ind w:firstLine="420" w:firstLineChars="200"/>
        <w:rPr>
          <w:rFonts w:ascii="宋体" w:hAnsi="宋体" w:cs="宋体"/>
          <w:sz w:val="24"/>
        </w:rPr>
      </w:pPr>
      <w:r>
        <w:rPr>
          <w:rFonts w:hint="eastAsia" w:ascii="宋体" w:hAnsi="宋体" w:cs="宋体"/>
          <w:szCs w:val="21"/>
        </w:rPr>
        <w:t>本版标准是</w:t>
      </w:r>
      <w:r>
        <w:rPr>
          <w:rFonts w:hint="eastAsia"/>
          <w:szCs w:val="21"/>
          <w:lang w:val="en-US" w:eastAsia="zh-CN"/>
        </w:rPr>
        <w:t>铜基精密电阻合金</w:t>
      </w:r>
      <w:r>
        <w:rPr>
          <w:rFonts w:hint="eastAsia" w:ascii="宋体" w:hAnsi="宋体"/>
          <w:szCs w:val="21"/>
        </w:rPr>
        <w:t>的基础标准</w:t>
      </w:r>
      <w:r>
        <w:rPr>
          <w:rFonts w:hint="eastAsia" w:ascii="宋体" w:hAnsi="宋体" w:cs="宋体"/>
          <w:szCs w:val="21"/>
        </w:rPr>
        <w:t>，</w:t>
      </w:r>
      <w:r>
        <w:rPr>
          <w:rFonts w:hint="eastAsia"/>
          <w:szCs w:val="21"/>
        </w:rPr>
        <w:t>其</w:t>
      </w:r>
      <w:r>
        <w:rPr>
          <w:rFonts w:hint="eastAsia" w:ascii="宋体" w:hAnsi="宋体" w:cs="宋体"/>
          <w:szCs w:val="21"/>
        </w:rPr>
        <w:t>质量的好坏直接关系</w:t>
      </w:r>
      <w:r>
        <w:rPr>
          <w:rFonts w:hint="eastAsia" w:ascii="宋体" w:hAnsi="宋体" w:cs="宋体"/>
          <w:szCs w:val="21"/>
          <w:lang w:val="en-US" w:eastAsia="zh-CN"/>
        </w:rPr>
        <w:t>铜基精密电阻合金</w:t>
      </w:r>
      <w:r>
        <w:rPr>
          <w:rFonts w:hint="eastAsia" w:ascii="宋体" w:hAnsi="宋体" w:cs="宋体"/>
          <w:szCs w:val="21"/>
        </w:rPr>
        <w:t>产品的质量情况。本标准在编制过程中，在</w:t>
      </w:r>
      <w:r>
        <w:rPr>
          <w:rFonts w:hint="eastAsia" w:ascii="宋体" w:hAnsi="宋体" w:cs="宋体"/>
          <w:szCs w:val="21"/>
          <w:lang w:val="en-US" w:eastAsia="zh-CN"/>
        </w:rPr>
        <w:t>现有</w:t>
      </w:r>
      <w:r>
        <w:rPr>
          <w:rFonts w:hint="eastAsia" w:ascii="宋体" w:hAnsi="宋体" w:cs="宋体"/>
          <w:szCs w:val="21"/>
        </w:rPr>
        <w:t>标准基础上对国内</w:t>
      </w:r>
      <w:r>
        <w:rPr>
          <w:rFonts w:hint="eastAsia" w:ascii="宋体" w:hAnsi="宋体" w:cs="宋体"/>
          <w:szCs w:val="21"/>
          <w:lang w:val="en-US" w:eastAsia="zh-CN"/>
        </w:rPr>
        <w:t>外</w:t>
      </w:r>
      <w:r>
        <w:rPr>
          <w:rFonts w:hint="eastAsia" w:ascii="宋体" w:hAnsi="宋体" w:cs="宋体"/>
          <w:szCs w:val="21"/>
        </w:rPr>
        <w:t>相关企业进行了充分的调研，对各项指标的确定进行了充分的论证，保证了本标准的可执行性与对产品质量控制的指导意义</w:t>
      </w:r>
      <w:r>
        <w:rPr>
          <w:rFonts w:hint="eastAsia" w:ascii="宋体" w:hAnsi="宋体" w:cs="宋体"/>
          <w:sz w:val="24"/>
        </w:rPr>
        <w:t>。</w:t>
      </w:r>
    </w:p>
    <w:p>
      <w:pPr>
        <w:spacing w:line="360" w:lineRule="auto"/>
        <w:ind w:firstLine="420" w:firstLineChars="200"/>
        <w:rPr>
          <w:szCs w:val="21"/>
        </w:rPr>
      </w:pPr>
      <w:r>
        <w:rPr>
          <w:rFonts w:hint="eastAsia" w:ascii="宋体" w:hAnsi="宋体" w:cs="宋体"/>
          <w:szCs w:val="21"/>
        </w:rPr>
        <w:t>本标准的发布和实施</w:t>
      </w:r>
      <w:r>
        <w:rPr>
          <w:rFonts w:hint="eastAsia" w:ascii="宋体" w:hAnsi="宋体"/>
          <w:szCs w:val="21"/>
        </w:rPr>
        <w:t>不仅</w:t>
      </w:r>
      <w:r>
        <w:rPr>
          <w:rFonts w:hint="eastAsia"/>
          <w:szCs w:val="21"/>
        </w:rPr>
        <w:t>会规范和引导</w:t>
      </w:r>
      <w:r>
        <w:rPr>
          <w:rFonts w:hint="eastAsia"/>
          <w:szCs w:val="21"/>
          <w:lang w:val="en-US" w:eastAsia="zh-CN"/>
        </w:rPr>
        <w:t>铜基精密电阻合金的</w:t>
      </w:r>
      <w:r>
        <w:rPr>
          <w:rFonts w:hint="eastAsia"/>
          <w:szCs w:val="21"/>
        </w:rPr>
        <w:t>质量控制，更好地引导</w:t>
      </w:r>
      <w:r>
        <w:rPr>
          <w:rFonts w:hint="eastAsia"/>
          <w:szCs w:val="21"/>
          <w:lang w:val="en-US" w:eastAsia="zh-CN"/>
        </w:rPr>
        <w:t>铜基精密电阻合金</w:t>
      </w:r>
      <w:r>
        <w:rPr>
          <w:rFonts w:hint="eastAsia"/>
          <w:szCs w:val="21"/>
        </w:rPr>
        <w:t>的开发、应用、和生产，同时也能够满足国内外贸易的需求，它将为生产商、用户、供应商三方提供最基本的技术依据。对我国</w:t>
      </w:r>
      <w:r>
        <w:rPr>
          <w:rFonts w:hint="eastAsia"/>
          <w:szCs w:val="21"/>
          <w:lang w:val="en-US" w:eastAsia="zh-CN"/>
        </w:rPr>
        <w:t>铜基精密电阻合金</w:t>
      </w:r>
      <w:r>
        <w:rPr>
          <w:rFonts w:hint="eastAsia"/>
          <w:szCs w:val="21"/>
        </w:rPr>
        <w:t>产品质量整体提高起到保障和推动作用。同时，本标准符合国家关于倡导环保节能、低碳生活及可持续发展的政策，具有充分的先进性、科学性、普遍性、广泛性和适用性。</w:t>
      </w:r>
    </w:p>
    <w:p>
      <w:pPr>
        <w:spacing w:line="360" w:lineRule="auto"/>
        <w:ind w:firstLine="420" w:firstLineChars="200"/>
        <w:rPr>
          <w:szCs w:val="28"/>
        </w:rPr>
      </w:pPr>
      <w:r>
        <w:rPr>
          <w:rFonts w:hint="eastAsia" w:ascii="宋体" w:hAnsi="宋体" w:cs="宋体"/>
          <w:szCs w:val="21"/>
        </w:rPr>
        <w:t>本标准在起草过程得到了全国有色金属标准化技术委员会</w:t>
      </w:r>
      <w:r>
        <w:rPr>
          <w:rFonts w:hint="eastAsia" w:ascii="宋体" w:hAnsi="宋体" w:cs="宋体"/>
          <w:szCs w:val="21"/>
          <w:lang w:val="en-US" w:eastAsia="zh-CN"/>
        </w:rPr>
        <w:t>重</w:t>
      </w:r>
      <w:r>
        <w:rPr>
          <w:rFonts w:hint="eastAsia" w:ascii="宋体" w:hAnsi="宋体" w:cs="宋体"/>
          <w:szCs w:val="21"/>
        </w:rPr>
        <w:t>标委秘书处的指导与帮助，同时也得到了来自国内</w:t>
      </w:r>
      <w:r>
        <w:rPr>
          <w:rFonts w:hint="eastAsia"/>
          <w:szCs w:val="21"/>
          <w:lang w:val="en-US" w:eastAsia="zh-CN"/>
        </w:rPr>
        <w:t>铜基精密电阻合金</w:t>
      </w:r>
      <w:r>
        <w:rPr>
          <w:rFonts w:hint="eastAsia" w:ascii="宋体" w:hAnsi="宋体" w:cs="宋体"/>
          <w:szCs w:val="21"/>
        </w:rPr>
        <w:t>生产企业及下游用户的大力支持，在此深表感谢。</w:t>
      </w:r>
    </w:p>
    <w:p>
      <w:pPr>
        <w:spacing w:line="360" w:lineRule="auto"/>
        <w:rPr>
          <w:szCs w:val="28"/>
        </w:rPr>
      </w:pPr>
    </w:p>
    <w:p>
      <w:pPr>
        <w:spacing w:line="360" w:lineRule="auto"/>
        <w:jc w:val="right"/>
        <w:rPr>
          <w:szCs w:val="21"/>
        </w:rPr>
      </w:pPr>
      <w:r>
        <w:rPr>
          <w:rFonts w:hint="eastAsia"/>
          <w:szCs w:val="21"/>
        </w:rPr>
        <w:t>《铜基精密电阻合金牌号及化学成分》标准编制组</w:t>
      </w:r>
    </w:p>
    <w:p>
      <w:pPr>
        <w:spacing w:line="360" w:lineRule="auto"/>
        <w:ind w:firstLine="5670" w:firstLineChars="2700"/>
        <w:rPr>
          <w:szCs w:val="21"/>
        </w:rPr>
      </w:pPr>
      <w:r>
        <w:rPr>
          <w:rFonts w:hint="eastAsia"/>
          <w:szCs w:val="21"/>
        </w:rPr>
        <w:t>二〇二二年</w:t>
      </w:r>
      <w:r>
        <w:rPr>
          <w:rFonts w:hint="eastAsia"/>
          <w:szCs w:val="21"/>
          <w:lang w:val="en-US" w:eastAsia="zh-CN"/>
        </w:rPr>
        <w:t>九</w:t>
      </w:r>
      <w:r>
        <w:rPr>
          <w:rFonts w:hint="eastAsia"/>
          <w:szCs w:val="21"/>
        </w:rPr>
        <w:t>月</w:t>
      </w:r>
    </w:p>
    <w:sectPr>
      <w:pgSz w:w="11906" w:h="16838"/>
      <w:pgMar w:top="1440" w:right="1797" w:bottom="1440" w:left="1797"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6"/>
      </w:rPr>
    </w:pPr>
    <w:r>
      <w:rPr>
        <w:rStyle w:val="16"/>
      </w:rPr>
      <w:fldChar w:fldCharType="begin"/>
    </w:r>
    <w:r>
      <w:rPr>
        <w:rStyle w:val="16"/>
      </w:rPr>
      <w:instrText xml:space="preserve">PAGE  </w:instrText>
    </w:r>
    <w:r>
      <w:rPr>
        <w:rStyle w:val="16"/>
      </w:rPr>
      <w:fldChar w:fldCharType="separate"/>
    </w:r>
    <w:r>
      <w:rPr>
        <w:rStyle w:val="16"/>
      </w:rPr>
      <w:t>32</w:t>
    </w:r>
    <w:r>
      <w:rPr>
        <w:rStyle w:val="16"/>
      </w:rP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1F6B5D"/>
    <w:multiLevelType w:val="singleLevel"/>
    <w:tmpl w:val="AE1F6B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MDkyMTA3Yzg2ZGE4YTNjZjdiYTA0Yzk3NjI0ZjYifQ=="/>
  </w:docVars>
  <w:rsids>
    <w:rsidRoot w:val="00172A27"/>
    <w:rsid w:val="0000024C"/>
    <w:rsid w:val="00000A44"/>
    <w:rsid w:val="00000B28"/>
    <w:rsid w:val="00000BDE"/>
    <w:rsid w:val="000035F9"/>
    <w:rsid w:val="00004104"/>
    <w:rsid w:val="000127A5"/>
    <w:rsid w:val="00014039"/>
    <w:rsid w:val="000150EC"/>
    <w:rsid w:val="00015695"/>
    <w:rsid w:val="00016462"/>
    <w:rsid w:val="000217C0"/>
    <w:rsid w:val="00021D7A"/>
    <w:rsid w:val="00023FB1"/>
    <w:rsid w:val="00024B35"/>
    <w:rsid w:val="00027AFB"/>
    <w:rsid w:val="00027EDF"/>
    <w:rsid w:val="00030D98"/>
    <w:rsid w:val="000318BF"/>
    <w:rsid w:val="00033F0B"/>
    <w:rsid w:val="000342D1"/>
    <w:rsid w:val="00035C87"/>
    <w:rsid w:val="0003626C"/>
    <w:rsid w:val="00037FB3"/>
    <w:rsid w:val="00041C6C"/>
    <w:rsid w:val="00044191"/>
    <w:rsid w:val="00044529"/>
    <w:rsid w:val="000465FE"/>
    <w:rsid w:val="00047915"/>
    <w:rsid w:val="00053A0C"/>
    <w:rsid w:val="00054331"/>
    <w:rsid w:val="00055CA5"/>
    <w:rsid w:val="00055F27"/>
    <w:rsid w:val="00057CE8"/>
    <w:rsid w:val="00061F1E"/>
    <w:rsid w:val="00062E51"/>
    <w:rsid w:val="00064DA1"/>
    <w:rsid w:val="00065236"/>
    <w:rsid w:val="00065DB0"/>
    <w:rsid w:val="000660EE"/>
    <w:rsid w:val="000709DE"/>
    <w:rsid w:val="00072E70"/>
    <w:rsid w:val="00073134"/>
    <w:rsid w:val="0007577F"/>
    <w:rsid w:val="00076C83"/>
    <w:rsid w:val="00077722"/>
    <w:rsid w:val="0007788B"/>
    <w:rsid w:val="00081668"/>
    <w:rsid w:val="00081999"/>
    <w:rsid w:val="00082DE7"/>
    <w:rsid w:val="000848FD"/>
    <w:rsid w:val="000849B9"/>
    <w:rsid w:val="00084EB7"/>
    <w:rsid w:val="000853C3"/>
    <w:rsid w:val="00087F2F"/>
    <w:rsid w:val="00090E40"/>
    <w:rsid w:val="000929AD"/>
    <w:rsid w:val="000954A1"/>
    <w:rsid w:val="000A0CB9"/>
    <w:rsid w:val="000A73AD"/>
    <w:rsid w:val="000B3974"/>
    <w:rsid w:val="000B71D9"/>
    <w:rsid w:val="000B76D4"/>
    <w:rsid w:val="000C0B7A"/>
    <w:rsid w:val="000C0C28"/>
    <w:rsid w:val="000C1753"/>
    <w:rsid w:val="000C3470"/>
    <w:rsid w:val="000C5080"/>
    <w:rsid w:val="000C6283"/>
    <w:rsid w:val="000D0C6F"/>
    <w:rsid w:val="000D12B4"/>
    <w:rsid w:val="000D1D47"/>
    <w:rsid w:val="000D2E07"/>
    <w:rsid w:val="000D37C3"/>
    <w:rsid w:val="000D7122"/>
    <w:rsid w:val="000D743C"/>
    <w:rsid w:val="000D78B0"/>
    <w:rsid w:val="000E0418"/>
    <w:rsid w:val="000E04C5"/>
    <w:rsid w:val="000E2D2D"/>
    <w:rsid w:val="000E527A"/>
    <w:rsid w:val="000E5707"/>
    <w:rsid w:val="000F0793"/>
    <w:rsid w:val="000F0E3D"/>
    <w:rsid w:val="000F3292"/>
    <w:rsid w:val="0010107C"/>
    <w:rsid w:val="00102836"/>
    <w:rsid w:val="00105535"/>
    <w:rsid w:val="0010639D"/>
    <w:rsid w:val="00112F7D"/>
    <w:rsid w:val="0011378C"/>
    <w:rsid w:val="00114BCD"/>
    <w:rsid w:val="0011641C"/>
    <w:rsid w:val="00120A2E"/>
    <w:rsid w:val="00122EF9"/>
    <w:rsid w:val="00130186"/>
    <w:rsid w:val="00131AEA"/>
    <w:rsid w:val="00136F4D"/>
    <w:rsid w:val="00140BC8"/>
    <w:rsid w:val="00141C75"/>
    <w:rsid w:val="001420E0"/>
    <w:rsid w:val="001502BF"/>
    <w:rsid w:val="00150864"/>
    <w:rsid w:val="00151860"/>
    <w:rsid w:val="001551CD"/>
    <w:rsid w:val="0015585D"/>
    <w:rsid w:val="00155FB8"/>
    <w:rsid w:val="00156D9B"/>
    <w:rsid w:val="00157289"/>
    <w:rsid w:val="00160C7A"/>
    <w:rsid w:val="0016144A"/>
    <w:rsid w:val="00162B52"/>
    <w:rsid w:val="00162B8E"/>
    <w:rsid w:val="00162CFB"/>
    <w:rsid w:val="001646B3"/>
    <w:rsid w:val="00164CDE"/>
    <w:rsid w:val="00165317"/>
    <w:rsid w:val="001714F5"/>
    <w:rsid w:val="00172863"/>
    <w:rsid w:val="00172A27"/>
    <w:rsid w:val="00172DF3"/>
    <w:rsid w:val="00172FFC"/>
    <w:rsid w:val="001731C5"/>
    <w:rsid w:val="0017444A"/>
    <w:rsid w:val="00174929"/>
    <w:rsid w:val="0017494E"/>
    <w:rsid w:val="00174A7E"/>
    <w:rsid w:val="00174B9C"/>
    <w:rsid w:val="00175BFB"/>
    <w:rsid w:val="00175C69"/>
    <w:rsid w:val="0017762D"/>
    <w:rsid w:val="00177D70"/>
    <w:rsid w:val="00177DDF"/>
    <w:rsid w:val="00177E62"/>
    <w:rsid w:val="00180365"/>
    <w:rsid w:val="0018170D"/>
    <w:rsid w:val="001818BF"/>
    <w:rsid w:val="001819D2"/>
    <w:rsid w:val="00181D1A"/>
    <w:rsid w:val="00181FEF"/>
    <w:rsid w:val="0018203F"/>
    <w:rsid w:val="00182347"/>
    <w:rsid w:val="0018310C"/>
    <w:rsid w:val="00183A3F"/>
    <w:rsid w:val="00183B36"/>
    <w:rsid w:val="001847CC"/>
    <w:rsid w:val="00184D27"/>
    <w:rsid w:val="001907DC"/>
    <w:rsid w:val="00190D43"/>
    <w:rsid w:val="00191B4F"/>
    <w:rsid w:val="00191D1A"/>
    <w:rsid w:val="00192567"/>
    <w:rsid w:val="00192F7E"/>
    <w:rsid w:val="001937D8"/>
    <w:rsid w:val="001967D9"/>
    <w:rsid w:val="00197C53"/>
    <w:rsid w:val="001A0302"/>
    <w:rsid w:val="001A3B5D"/>
    <w:rsid w:val="001A4198"/>
    <w:rsid w:val="001A52F3"/>
    <w:rsid w:val="001A56D4"/>
    <w:rsid w:val="001A5D0C"/>
    <w:rsid w:val="001A6649"/>
    <w:rsid w:val="001B1440"/>
    <w:rsid w:val="001B46E9"/>
    <w:rsid w:val="001B4FB9"/>
    <w:rsid w:val="001B7598"/>
    <w:rsid w:val="001B7BA8"/>
    <w:rsid w:val="001C068D"/>
    <w:rsid w:val="001C087F"/>
    <w:rsid w:val="001C0AC4"/>
    <w:rsid w:val="001C2D1F"/>
    <w:rsid w:val="001C39C7"/>
    <w:rsid w:val="001C6C09"/>
    <w:rsid w:val="001C6EB6"/>
    <w:rsid w:val="001C76DB"/>
    <w:rsid w:val="001C7A22"/>
    <w:rsid w:val="001D3CF4"/>
    <w:rsid w:val="001D4B5D"/>
    <w:rsid w:val="001D5DA8"/>
    <w:rsid w:val="001E1484"/>
    <w:rsid w:val="001E3792"/>
    <w:rsid w:val="001E46CF"/>
    <w:rsid w:val="001E4BD5"/>
    <w:rsid w:val="001E75BD"/>
    <w:rsid w:val="001F08FB"/>
    <w:rsid w:val="001F0F7D"/>
    <w:rsid w:val="001F235B"/>
    <w:rsid w:val="001F2F98"/>
    <w:rsid w:val="001F5118"/>
    <w:rsid w:val="00202145"/>
    <w:rsid w:val="00202DBA"/>
    <w:rsid w:val="00210D2D"/>
    <w:rsid w:val="0021103E"/>
    <w:rsid w:val="00211530"/>
    <w:rsid w:val="00211B7A"/>
    <w:rsid w:val="0021341D"/>
    <w:rsid w:val="00216452"/>
    <w:rsid w:val="002203CE"/>
    <w:rsid w:val="00222766"/>
    <w:rsid w:val="00224462"/>
    <w:rsid w:val="00224677"/>
    <w:rsid w:val="0022524E"/>
    <w:rsid w:val="002271A1"/>
    <w:rsid w:val="0022725C"/>
    <w:rsid w:val="00234C11"/>
    <w:rsid w:val="00237F5F"/>
    <w:rsid w:val="002405CE"/>
    <w:rsid w:val="0024239B"/>
    <w:rsid w:val="00246F87"/>
    <w:rsid w:val="002510B6"/>
    <w:rsid w:val="002529D5"/>
    <w:rsid w:val="00253BF5"/>
    <w:rsid w:val="00255233"/>
    <w:rsid w:val="002572A6"/>
    <w:rsid w:val="00261659"/>
    <w:rsid w:val="00263014"/>
    <w:rsid w:val="0026376D"/>
    <w:rsid w:val="00263C2B"/>
    <w:rsid w:val="00264895"/>
    <w:rsid w:val="00265F9B"/>
    <w:rsid w:val="00266707"/>
    <w:rsid w:val="00267061"/>
    <w:rsid w:val="00270478"/>
    <w:rsid w:val="0027254E"/>
    <w:rsid w:val="00272DDD"/>
    <w:rsid w:val="00272EB8"/>
    <w:rsid w:val="00274004"/>
    <w:rsid w:val="00277DF1"/>
    <w:rsid w:val="00281F44"/>
    <w:rsid w:val="00282976"/>
    <w:rsid w:val="00283F26"/>
    <w:rsid w:val="00284FB7"/>
    <w:rsid w:val="00285E7A"/>
    <w:rsid w:val="00287719"/>
    <w:rsid w:val="00287831"/>
    <w:rsid w:val="00290043"/>
    <w:rsid w:val="00291751"/>
    <w:rsid w:val="0029175F"/>
    <w:rsid w:val="002920EA"/>
    <w:rsid w:val="0029227F"/>
    <w:rsid w:val="0029344E"/>
    <w:rsid w:val="002945E5"/>
    <w:rsid w:val="00297713"/>
    <w:rsid w:val="00297B1A"/>
    <w:rsid w:val="002A18FD"/>
    <w:rsid w:val="002A36DD"/>
    <w:rsid w:val="002A6398"/>
    <w:rsid w:val="002B1A0F"/>
    <w:rsid w:val="002B299A"/>
    <w:rsid w:val="002B5550"/>
    <w:rsid w:val="002B593A"/>
    <w:rsid w:val="002B61FF"/>
    <w:rsid w:val="002B69C3"/>
    <w:rsid w:val="002C0CAC"/>
    <w:rsid w:val="002C1492"/>
    <w:rsid w:val="002C750C"/>
    <w:rsid w:val="002D30BB"/>
    <w:rsid w:val="002D3C26"/>
    <w:rsid w:val="002D3E14"/>
    <w:rsid w:val="002D4C6D"/>
    <w:rsid w:val="002D6D14"/>
    <w:rsid w:val="002E2350"/>
    <w:rsid w:val="002E32E7"/>
    <w:rsid w:val="002E6F74"/>
    <w:rsid w:val="002E7B4F"/>
    <w:rsid w:val="002F6FA8"/>
    <w:rsid w:val="003008B9"/>
    <w:rsid w:val="0030115F"/>
    <w:rsid w:val="003026C2"/>
    <w:rsid w:val="00302CF9"/>
    <w:rsid w:val="00303661"/>
    <w:rsid w:val="0030672E"/>
    <w:rsid w:val="00306D13"/>
    <w:rsid w:val="00314E84"/>
    <w:rsid w:val="00316FC0"/>
    <w:rsid w:val="00323E5D"/>
    <w:rsid w:val="00325A39"/>
    <w:rsid w:val="00330404"/>
    <w:rsid w:val="00330E59"/>
    <w:rsid w:val="00334C0E"/>
    <w:rsid w:val="00335830"/>
    <w:rsid w:val="00336021"/>
    <w:rsid w:val="00336E86"/>
    <w:rsid w:val="0034258D"/>
    <w:rsid w:val="00345C1C"/>
    <w:rsid w:val="00345D83"/>
    <w:rsid w:val="0034752C"/>
    <w:rsid w:val="00347A7D"/>
    <w:rsid w:val="00347C7B"/>
    <w:rsid w:val="00350027"/>
    <w:rsid w:val="003514C0"/>
    <w:rsid w:val="00354714"/>
    <w:rsid w:val="00355F24"/>
    <w:rsid w:val="00360DD5"/>
    <w:rsid w:val="0036103B"/>
    <w:rsid w:val="00363186"/>
    <w:rsid w:val="00363AA8"/>
    <w:rsid w:val="003649A6"/>
    <w:rsid w:val="00366FE1"/>
    <w:rsid w:val="00367048"/>
    <w:rsid w:val="00367386"/>
    <w:rsid w:val="003705B3"/>
    <w:rsid w:val="00370B1F"/>
    <w:rsid w:val="00373D8A"/>
    <w:rsid w:val="0037445B"/>
    <w:rsid w:val="003748B0"/>
    <w:rsid w:val="003752C3"/>
    <w:rsid w:val="00377002"/>
    <w:rsid w:val="00377063"/>
    <w:rsid w:val="003771CA"/>
    <w:rsid w:val="0037781A"/>
    <w:rsid w:val="0038242D"/>
    <w:rsid w:val="00382855"/>
    <w:rsid w:val="0039050E"/>
    <w:rsid w:val="00392A92"/>
    <w:rsid w:val="003930E1"/>
    <w:rsid w:val="00393844"/>
    <w:rsid w:val="00395AF6"/>
    <w:rsid w:val="003A01A4"/>
    <w:rsid w:val="003A124F"/>
    <w:rsid w:val="003A23B7"/>
    <w:rsid w:val="003A2A0A"/>
    <w:rsid w:val="003A30DC"/>
    <w:rsid w:val="003A5213"/>
    <w:rsid w:val="003C25F7"/>
    <w:rsid w:val="003C2BF5"/>
    <w:rsid w:val="003C2C2E"/>
    <w:rsid w:val="003C5666"/>
    <w:rsid w:val="003D13BD"/>
    <w:rsid w:val="003D18DA"/>
    <w:rsid w:val="003D33A6"/>
    <w:rsid w:val="003D37EF"/>
    <w:rsid w:val="003D3BED"/>
    <w:rsid w:val="003D51CE"/>
    <w:rsid w:val="003E0BE1"/>
    <w:rsid w:val="003E0E6A"/>
    <w:rsid w:val="003E179B"/>
    <w:rsid w:val="003E218F"/>
    <w:rsid w:val="003E2415"/>
    <w:rsid w:val="003E599A"/>
    <w:rsid w:val="003E5A3D"/>
    <w:rsid w:val="003E66FE"/>
    <w:rsid w:val="003F1489"/>
    <w:rsid w:val="003F3515"/>
    <w:rsid w:val="003F52BB"/>
    <w:rsid w:val="003F60C4"/>
    <w:rsid w:val="003F6E96"/>
    <w:rsid w:val="00400243"/>
    <w:rsid w:val="004003B9"/>
    <w:rsid w:val="00404D9A"/>
    <w:rsid w:val="004150A3"/>
    <w:rsid w:val="004152E6"/>
    <w:rsid w:val="00415790"/>
    <w:rsid w:val="00416E07"/>
    <w:rsid w:val="004179D3"/>
    <w:rsid w:val="00421743"/>
    <w:rsid w:val="004222EB"/>
    <w:rsid w:val="00425412"/>
    <w:rsid w:val="004270B6"/>
    <w:rsid w:val="00427BF7"/>
    <w:rsid w:val="00430C0B"/>
    <w:rsid w:val="00432DA0"/>
    <w:rsid w:val="00434431"/>
    <w:rsid w:val="00434484"/>
    <w:rsid w:val="004402B8"/>
    <w:rsid w:val="004404E2"/>
    <w:rsid w:val="0044343B"/>
    <w:rsid w:val="0044345F"/>
    <w:rsid w:val="00446041"/>
    <w:rsid w:val="00446205"/>
    <w:rsid w:val="00446FFD"/>
    <w:rsid w:val="004514E8"/>
    <w:rsid w:val="00453942"/>
    <w:rsid w:val="00454163"/>
    <w:rsid w:val="00454F59"/>
    <w:rsid w:val="00455BC4"/>
    <w:rsid w:val="0045774C"/>
    <w:rsid w:val="00461004"/>
    <w:rsid w:val="00463B06"/>
    <w:rsid w:val="00463C1C"/>
    <w:rsid w:val="004643BF"/>
    <w:rsid w:val="0047069E"/>
    <w:rsid w:val="00472715"/>
    <w:rsid w:val="00473331"/>
    <w:rsid w:val="00474EBD"/>
    <w:rsid w:val="0048108D"/>
    <w:rsid w:val="00481D35"/>
    <w:rsid w:val="00482620"/>
    <w:rsid w:val="00483646"/>
    <w:rsid w:val="00484E57"/>
    <w:rsid w:val="004852AA"/>
    <w:rsid w:val="004876C7"/>
    <w:rsid w:val="00492BB6"/>
    <w:rsid w:val="00495C05"/>
    <w:rsid w:val="00497C69"/>
    <w:rsid w:val="004A258D"/>
    <w:rsid w:val="004A309C"/>
    <w:rsid w:val="004A3BDF"/>
    <w:rsid w:val="004A3F5D"/>
    <w:rsid w:val="004A42A9"/>
    <w:rsid w:val="004A48A0"/>
    <w:rsid w:val="004A5C20"/>
    <w:rsid w:val="004A780C"/>
    <w:rsid w:val="004B0326"/>
    <w:rsid w:val="004B118F"/>
    <w:rsid w:val="004B1633"/>
    <w:rsid w:val="004B1A61"/>
    <w:rsid w:val="004B2094"/>
    <w:rsid w:val="004B3FE0"/>
    <w:rsid w:val="004B527B"/>
    <w:rsid w:val="004B7E1A"/>
    <w:rsid w:val="004C005A"/>
    <w:rsid w:val="004C1653"/>
    <w:rsid w:val="004C2809"/>
    <w:rsid w:val="004C2D1E"/>
    <w:rsid w:val="004C4EE6"/>
    <w:rsid w:val="004C5283"/>
    <w:rsid w:val="004C571F"/>
    <w:rsid w:val="004C5B55"/>
    <w:rsid w:val="004C6E5E"/>
    <w:rsid w:val="004C7EE2"/>
    <w:rsid w:val="004D019B"/>
    <w:rsid w:val="004D14EB"/>
    <w:rsid w:val="004D1F6B"/>
    <w:rsid w:val="004D1FB1"/>
    <w:rsid w:val="004D2378"/>
    <w:rsid w:val="004D3572"/>
    <w:rsid w:val="004D44CA"/>
    <w:rsid w:val="004D5613"/>
    <w:rsid w:val="004D6067"/>
    <w:rsid w:val="004D7D68"/>
    <w:rsid w:val="004E0E59"/>
    <w:rsid w:val="004E1395"/>
    <w:rsid w:val="004E1854"/>
    <w:rsid w:val="004E20F2"/>
    <w:rsid w:val="004E22C0"/>
    <w:rsid w:val="004E266F"/>
    <w:rsid w:val="004E2A5B"/>
    <w:rsid w:val="004E4083"/>
    <w:rsid w:val="004E41AF"/>
    <w:rsid w:val="004E5EFD"/>
    <w:rsid w:val="004E5FF4"/>
    <w:rsid w:val="004E60FA"/>
    <w:rsid w:val="004F04F4"/>
    <w:rsid w:val="004F137B"/>
    <w:rsid w:val="004F14C9"/>
    <w:rsid w:val="004F4E22"/>
    <w:rsid w:val="004F70B8"/>
    <w:rsid w:val="004F7A72"/>
    <w:rsid w:val="004F7FDF"/>
    <w:rsid w:val="0050003C"/>
    <w:rsid w:val="00500D84"/>
    <w:rsid w:val="005010AF"/>
    <w:rsid w:val="0050115E"/>
    <w:rsid w:val="00502DA6"/>
    <w:rsid w:val="00503915"/>
    <w:rsid w:val="00503B0E"/>
    <w:rsid w:val="00505F9C"/>
    <w:rsid w:val="00506206"/>
    <w:rsid w:val="005063A6"/>
    <w:rsid w:val="00507E01"/>
    <w:rsid w:val="00511A0D"/>
    <w:rsid w:val="005134AB"/>
    <w:rsid w:val="0051363A"/>
    <w:rsid w:val="00513F06"/>
    <w:rsid w:val="005151B6"/>
    <w:rsid w:val="00515FCD"/>
    <w:rsid w:val="0051633E"/>
    <w:rsid w:val="0052148B"/>
    <w:rsid w:val="00521783"/>
    <w:rsid w:val="00522373"/>
    <w:rsid w:val="00522F1F"/>
    <w:rsid w:val="00523D99"/>
    <w:rsid w:val="00524725"/>
    <w:rsid w:val="005249FD"/>
    <w:rsid w:val="00524A12"/>
    <w:rsid w:val="00527AF3"/>
    <w:rsid w:val="00531AE5"/>
    <w:rsid w:val="00532044"/>
    <w:rsid w:val="005323AC"/>
    <w:rsid w:val="00532C8D"/>
    <w:rsid w:val="005345BD"/>
    <w:rsid w:val="00534A61"/>
    <w:rsid w:val="00535096"/>
    <w:rsid w:val="0053510C"/>
    <w:rsid w:val="0053759C"/>
    <w:rsid w:val="00540BD5"/>
    <w:rsid w:val="00544399"/>
    <w:rsid w:val="00545F35"/>
    <w:rsid w:val="005465BA"/>
    <w:rsid w:val="00547281"/>
    <w:rsid w:val="00550908"/>
    <w:rsid w:val="00550ECD"/>
    <w:rsid w:val="005521B1"/>
    <w:rsid w:val="005536CA"/>
    <w:rsid w:val="0055511B"/>
    <w:rsid w:val="005557B9"/>
    <w:rsid w:val="00560F8C"/>
    <w:rsid w:val="005631D5"/>
    <w:rsid w:val="00563551"/>
    <w:rsid w:val="00564649"/>
    <w:rsid w:val="00565F45"/>
    <w:rsid w:val="00566A4D"/>
    <w:rsid w:val="00566AB4"/>
    <w:rsid w:val="005720D7"/>
    <w:rsid w:val="00574917"/>
    <w:rsid w:val="00576153"/>
    <w:rsid w:val="005771FD"/>
    <w:rsid w:val="0058061A"/>
    <w:rsid w:val="00585C4D"/>
    <w:rsid w:val="00590A33"/>
    <w:rsid w:val="00591B54"/>
    <w:rsid w:val="00592ECF"/>
    <w:rsid w:val="00593ACC"/>
    <w:rsid w:val="00594553"/>
    <w:rsid w:val="0059545A"/>
    <w:rsid w:val="00595D64"/>
    <w:rsid w:val="005A1E60"/>
    <w:rsid w:val="005A4C02"/>
    <w:rsid w:val="005A5556"/>
    <w:rsid w:val="005B4260"/>
    <w:rsid w:val="005B651D"/>
    <w:rsid w:val="005B6C51"/>
    <w:rsid w:val="005C07C1"/>
    <w:rsid w:val="005C266B"/>
    <w:rsid w:val="005C363B"/>
    <w:rsid w:val="005C74C7"/>
    <w:rsid w:val="005D64FD"/>
    <w:rsid w:val="005D6A1D"/>
    <w:rsid w:val="005E2CCE"/>
    <w:rsid w:val="005E2EFF"/>
    <w:rsid w:val="005F0656"/>
    <w:rsid w:val="005F6CEA"/>
    <w:rsid w:val="005F7BF7"/>
    <w:rsid w:val="006008F9"/>
    <w:rsid w:val="006039B7"/>
    <w:rsid w:val="006057A8"/>
    <w:rsid w:val="0060661A"/>
    <w:rsid w:val="00607AD6"/>
    <w:rsid w:val="0061105D"/>
    <w:rsid w:val="00611414"/>
    <w:rsid w:val="006118D1"/>
    <w:rsid w:val="0061237B"/>
    <w:rsid w:val="00613DF8"/>
    <w:rsid w:val="006150F6"/>
    <w:rsid w:val="00615B32"/>
    <w:rsid w:val="00617575"/>
    <w:rsid w:val="00621CAC"/>
    <w:rsid w:val="00622024"/>
    <w:rsid w:val="0062696B"/>
    <w:rsid w:val="0063147B"/>
    <w:rsid w:val="006324E9"/>
    <w:rsid w:val="00632F3E"/>
    <w:rsid w:val="00637521"/>
    <w:rsid w:val="00637A9F"/>
    <w:rsid w:val="00640053"/>
    <w:rsid w:val="00641893"/>
    <w:rsid w:val="006425D9"/>
    <w:rsid w:val="00642EC3"/>
    <w:rsid w:val="006432AB"/>
    <w:rsid w:val="00650316"/>
    <w:rsid w:val="00651759"/>
    <w:rsid w:val="00660E6B"/>
    <w:rsid w:val="00661D93"/>
    <w:rsid w:val="00665690"/>
    <w:rsid w:val="0066667A"/>
    <w:rsid w:val="006666A5"/>
    <w:rsid w:val="00666B1F"/>
    <w:rsid w:val="00666DC8"/>
    <w:rsid w:val="00671DB7"/>
    <w:rsid w:val="006726D1"/>
    <w:rsid w:val="00673A8B"/>
    <w:rsid w:val="00673FFC"/>
    <w:rsid w:val="00674519"/>
    <w:rsid w:val="00674534"/>
    <w:rsid w:val="006800A6"/>
    <w:rsid w:val="006804E6"/>
    <w:rsid w:val="006806D8"/>
    <w:rsid w:val="0068108A"/>
    <w:rsid w:val="00683217"/>
    <w:rsid w:val="00684A1B"/>
    <w:rsid w:val="00687BFC"/>
    <w:rsid w:val="00691715"/>
    <w:rsid w:val="00694AC0"/>
    <w:rsid w:val="006951DC"/>
    <w:rsid w:val="00697234"/>
    <w:rsid w:val="00697D14"/>
    <w:rsid w:val="006A166A"/>
    <w:rsid w:val="006A271B"/>
    <w:rsid w:val="006A44B5"/>
    <w:rsid w:val="006A5A58"/>
    <w:rsid w:val="006A5AE6"/>
    <w:rsid w:val="006A66CF"/>
    <w:rsid w:val="006A6F97"/>
    <w:rsid w:val="006B09E9"/>
    <w:rsid w:val="006B0C72"/>
    <w:rsid w:val="006B13D1"/>
    <w:rsid w:val="006B1A73"/>
    <w:rsid w:val="006B2772"/>
    <w:rsid w:val="006B36DE"/>
    <w:rsid w:val="006B43D9"/>
    <w:rsid w:val="006B46CE"/>
    <w:rsid w:val="006B75C6"/>
    <w:rsid w:val="006C102B"/>
    <w:rsid w:val="006C2782"/>
    <w:rsid w:val="006C4CB6"/>
    <w:rsid w:val="006C4D79"/>
    <w:rsid w:val="006D06DE"/>
    <w:rsid w:val="006D0A42"/>
    <w:rsid w:val="006D1AA1"/>
    <w:rsid w:val="006D2B53"/>
    <w:rsid w:val="006D3608"/>
    <w:rsid w:val="006D4FF4"/>
    <w:rsid w:val="006D54BB"/>
    <w:rsid w:val="006E0028"/>
    <w:rsid w:val="006E25D9"/>
    <w:rsid w:val="006E343A"/>
    <w:rsid w:val="006F0DC6"/>
    <w:rsid w:val="006F1F12"/>
    <w:rsid w:val="006F2BE6"/>
    <w:rsid w:val="006F2DA2"/>
    <w:rsid w:val="006F32B3"/>
    <w:rsid w:val="006F4BFF"/>
    <w:rsid w:val="006F5DC2"/>
    <w:rsid w:val="006F729A"/>
    <w:rsid w:val="006F763B"/>
    <w:rsid w:val="006F7903"/>
    <w:rsid w:val="0071045E"/>
    <w:rsid w:val="00710B01"/>
    <w:rsid w:val="007120B3"/>
    <w:rsid w:val="0071262B"/>
    <w:rsid w:val="00712F17"/>
    <w:rsid w:val="007159D2"/>
    <w:rsid w:val="00715E04"/>
    <w:rsid w:val="007212DF"/>
    <w:rsid w:val="007239A6"/>
    <w:rsid w:val="0072458B"/>
    <w:rsid w:val="00725290"/>
    <w:rsid w:val="00725BCA"/>
    <w:rsid w:val="0073182C"/>
    <w:rsid w:val="00734513"/>
    <w:rsid w:val="007364E3"/>
    <w:rsid w:val="00740F5A"/>
    <w:rsid w:val="00744A01"/>
    <w:rsid w:val="007455AA"/>
    <w:rsid w:val="00746F09"/>
    <w:rsid w:val="00752636"/>
    <w:rsid w:val="00752F42"/>
    <w:rsid w:val="0075507F"/>
    <w:rsid w:val="00755401"/>
    <w:rsid w:val="007629F7"/>
    <w:rsid w:val="00764C5B"/>
    <w:rsid w:val="007653DE"/>
    <w:rsid w:val="00765CFC"/>
    <w:rsid w:val="007703C4"/>
    <w:rsid w:val="00771B68"/>
    <w:rsid w:val="007728BC"/>
    <w:rsid w:val="00772C7F"/>
    <w:rsid w:val="007742BC"/>
    <w:rsid w:val="007747B4"/>
    <w:rsid w:val="007771B7"/>
    <w:rsid w:val="00780F46"/>
    <w:rsid w:val="007833FC"/>
    <w:rsid w:val="00784AB7"/>
    <w:rsid w:val="00785C50"/>
    <w:rsid w:val="007861AA"/>
    <w:rsid w:val="00790DE7"/>
    <w:rsid w:val="00793AA4"/>
    <w:rsid w:val="00795D73"/>
    <w:rsid w:val="0079741D"/>
    <w:rsid w:val="007A0D51"/>
    <w:rsid w:val="007A27C4"/>
    <w:rsid w:val="007A6167"/>
    <w:rsid w:val="007A6EF0"/>
    <w:rsid w:val="007B101A"/>
    <w:rsid w:val="007B1046"/>
    <w:rsid w:val="007B18E2"/>
    <w:rsid w:val="007B22CC"/>
    <w:rsid w:val="007B2C7D"/>
    <w:rsid w:val="007B2CBE"/>
    <w:rsid w:val="007B62C9"/>
    <w:rsid w:val="007C15C4"/>
    <w:rsid w:val="007C2CAA"/>
    <w:rsid w:val="007C48E4"/>
    <w:rsid w:val="007C5A07"/>
    <w:rsid w:val="007C7AE3"/>
    <w:rsid w:val="007C7DE0"/>
    <w:rsid w:val="007D084B"/>
    <w:rsid w:val="007D73AA"/>
    <w:rsid w:val="007E177C"/>
    <w:rsid w:val="007E34CB"/>
    <w:rsid w:val="007E5316"/>
    <w:rsid w:val="007E682B"/>
    <w:rsid w:val="007F197A"/>
    <w:rsid w:val="007F3B4B"/>
    <w:rsid w:val="007F4827"/>
    <w:rsid w:val="007F52F9"/>
    <w:rsid w:val="0080003F"/>
    <w:rsid w:val="008012D6"/>
    <w:rsid w:val="0080265F"/>
    <w:rsid w:val="008038C1"/>
    <w:rsid w:val="008040FC"/>
    <w:rsid w:val="00805301"/>
    <w:rsid w:val="008067AA"/>
    <w:rsid w:val="008067B1"/>
    <w:rsid w:val="0080798F"/>
    <w:rsid w:val="008103FE"/>
    <w:rsid w:val="0081208B"/>
    <w:rsid w:val="00814956"/>
    <w:rsid w:val="00816219"/>
    <w:rsid w:val="00817A14"/>
    <w:rsid w:val="00821D8C"/>
    <w:rsid w:val="0082389E"/>
    <w:rsid w:val="0082458E"/>
    <w:rsid w:val="008259A6"/>
    <w:rsid w:val="00827195"/>
    <w:rsid w:val="00827BDF"/>
    <w:rsid w:val="00830920"/>
    <w:rsid w:val="0083591D"/>
    <w:rsid w:val="008365D8"/>
    <w:rsid w:val="00837C52"/>
    <w:rsid w:val="008432AA"/>
    <w:rsid w:val="00843651"/>
    <w:rsid w:val="008457CD"/>
    <w:rsid w:val="00845CD5"/>
    <w:rsid w:val="00850B7D"/>
    <w:rsid w:val="008510DC"/>
    <w:rsid w:val="008510F1"/>
    <w:rsid w:val="008528E1"/>
    <w:rsid w:val="008558E3"/>
    <w:rsid w:val="00860CD2"/>
    <w:rsid w:val="00861356"/>
    <w:rsid w:val="00861E56"/>
    <w:rsid w:val="00862C88"/>
    <w:rsid w:val="00863EE2"/>
    <w:rsid w:val="00866CDA"/>
    <w:rsid w:val="00866D35"/>
    <w:rsid w:val="008704DD"/>
    <w:rsid w:val="008723B6"/>
    <w:rsid w:val="008726E0"/>
    <w:rsid w:val="00872BB0"/>
    <w:rsid w:val="0087614A"/>
    <w:rsid w:val="008768B3"/>
    <w:rsid w:val="00876A2F"/>
    <w:rsid w:val="00877071"/>
    <w:rsid w:val="00877175"/>
    <w:rsid w:val="00877792"/>
    <w:rsid w:val="008817F5"/>
    <w:rsid w:val="00881AF2"/>
    <w:rsid w:val="00881D41"/>
    <w:rsid w:val="008841AD"/>
    <w:rsid w:val="00887F1D"/>
    <w:rsid w:val="008913E9"/>
    <w:rsid w:val="008952F7"/>
    <w:rsid w:val="008A187F"/>
    <w:rsid w:val="008A2875"/>
    <w:rsid w:val="008A357B"/>
    <w:rsid w:val="008A5BBC"/>
    <w:rsid w:val="008A5FBB"/>
    <w:rsid w:val="008A677B"/>
    <w:rsid w:val="008B0BCE"/>
    <w:rsid w:val="008B0E73"/>
    <w:rsid w:val="008B130C"/>
    <w:rsid w:val="008B2C29"/>
    <w:rsid w:val="008B5B2B"/>
    <w:rsid w:val="008B5D2C"/>
    <w:rsid w:val="008C02F0"/>
    <w:rsid w:val="008C0E6F"/>
    <w:rsid w:val="008C1D1D"/>
    <w:rsid w:val="008C2F16"/>
    <w:rsid w:val="008C5023"/>
    <w:rsid w:val="008C609C"/>
    <w:rsid w:val="008C74C0"/>
    <w:rsid w:val="008D00AE"/>
    <w:rsid w:val="008D0D65"/>
    <w:rsid w:val="008D34E4"/>
    <w:rsid w:val="008D3FF1"/>
    <w:rsid w:val="008D47EF"/>
    <w:rsid w:val="008D48C7"/>
    <w:rsid w:val="008D5A0C"/>
    <w:rsid w:val="008D68E5"/>
    <w:rsid w:val="008E00A8"/>
    <w:rsid w:val="008E0576"/>
    <w:rsid w:val="008E2D3F"/>
    <w:rsid w:val="008E4BFC"/>
    <w:rsid w:val="008E6F99"/>
    <w:rsid w:val="008F0591"/>
    <w:rsid w:val="008F1884"/>
    <w:rsid w:val="008F19CE"/>
    <w:rsid w:val="008F306E"/>
    <w:rsid w:val="008F34D9"/>
    <w:rsid w:val="008F363F"/>
    <w:rsid w:val="008F39B2"/>
    <w:rsid w:val="008F4017"/>
    <w:rsid w:val="008F4350"/>
    <w:rsid w:val="008F59B6"/>
    <w:rsid w:val="008F67EE"/>
    <w:rsid w:val="008F6A9F"/>
    <w:rsid w:val="009005C3"/>
    <w:rsid w:val="009022DA"/>
    <w:rsid w:val="00902845"/>
    <w:rsid w:val="00907F89"/>
    <w:rsid w:val="0091027E"/>
    <w:rsid w:val="00913F72"/>
    <w:rsid w:val="009149A0"/>
    <w:rsid w:val="00914B0D"/>
    <w:rsid w:val="00915AFF"/>
    <w:rsid w:val="00915DD1"/>
    <w:rsid w:val="00924E0D"/>
    <w:rsid w:val="00925BF5"/>
    <w:rsid w:val="00926035"/>
    <w:rsid w:val="00926304"/>
    <w:rsid w:val="009309C2"/>
    <w:rsid w:val="009320DC"/>
    <w:rsid w:val="009330E7"/>
    <w:rsid w:val="00935014"/>
    <w:rsid w:val="00935376"/>
    <w:rsid w:val="0094026E"/>
    <w:rsid w:val="0094134C"/>
    <w:rsid w:val="009426FC"/>
    <w:rsid w:val="009448B7"/>
    <w:rsid w:val="009463D1"/>
    <w:rsid w:val="00950031"/>
    <w:rsid w:val="00951392"/>
    <w:rsid w:val="0095173E"/>
    <w:rsid w:val="0095478B"/>
    <w:rsid w:val="00956F7B"/>
    <w:rsid w:val="00960F58"/>
    <w:rsid w:val="00963E14"/>
    <w:rsid w:val="009653F8"/>
    <w:rsid w:val="00966E46"/>
    <w:rsid w:val="00967319"/>
    <w:rsid w:val="009674FE"/>
    <w:rsid w:val="00972480"/>
    <w:rsid w:val="009726ED"/>
    <w:rsid w:val="00972C51"/>
    <w:rsid w:val="00980479"/>
    <w:rsid w:val="00983E88"/>
    <w:rsid w:val="00985EA9"/>
    <w:rsid w:val="00986751"/>
    <w:rsid w:val="0099025B"/>
    <w:rsid w:val="0099132D"/>
    <w:rsid w:val="009914CA"/>
    <w:rsid w:val="0099231E"/>
    <w:rsid w:val="009924FF"/>
    <w:rsid w:val="00993783"/>
    <w:rsid w:val="00995D1D"/>
    <w:rsid w:val="00996674"/>
    <w:rsid w:val="00997F7B"/>
    <w:rsid w:val="009A1CC3"/>
    <w:rsid w:val="009A221F"/>
    <w:rsid w:val="009A2E98"/>
    <w:rsid w:val="009A49EA"/>
    <w:rsid w:val="009A5EEE"/>
    <w:rsid w:val="009A76AA"/>
    <w:rsid w:val="009A7846"/>
    <w:rsid w:val="009B1DD7"/>
    <w:rsid w:val="009B2B4E"/>
    <w:rsid w:val="009B37D4"/>
    <w:rsid w:val="009B52B2"/>
    <w:rsid w:val="009B7F94"/>
    <w:rsid w:val="009C0119"/>
    <w:rsid w:val="009C0255"/>
    <w:rsid w:val="009C145B"/>
    <w:rsid w:val="009C38AE"/>
    <w:rsid w:val="009C493E"/>
    <w:rsid w:val="009C4CA7"/>
    <w:rsid w:val="009D2568"/>
    <w:rsid w:val="009D449C"/>
    <w:rsid w:val="009D62DB"/>
    <w:rsid w:val="009D6590"/>
    <w:rsid w:val="009D7E1C"/>
    <w:rsid w:val="009E044B"/>
    <w:rsid w:val="009E0E4C"/>
    <w:rsid w:val="009E0E7E"/>
    <w:rsid w:val="009F06EA"/>
    <w:rsid w:val="009F23E1"/>
    <w:rsid w:val="00A009AB"/>
    <w:rsid w:val="00A019F3"/>
    <w:rsid w:val="00A039D3"/>
    <w:rsid w:val="00A043AB"/>
    <w:rsid w:val="00A05E6C"/>
    <w:rsid w:val="00A07E80"/>
    <w:rsid w:val="00A116E7"/>
    <w:rsid w:val="00A11A07"/>
    <w:rsid w:val="00A13C83"/>
    <w:rsid w:val="00A156A6"/>
    <w:rsid w:val="00A17B2A"/>
    <w:rsid w:val="00A22F0A"/>
    <w:rsid w:val="00A23ECA"/>
    <w:rsid w:val="00A24837"/>
    <w:rsid w:val="00A24D2B"/>
    <w:rsid w:val="00A24E10"/>
    <w:rsid w:val="00A262D6"/>
    <w:rsid w:val="00A306AB"/>
    <w:rsid w:val="00A3108C"/>
    <w:rsid w:val="00A3165E"/>
    <w:rsid w:val="00A31782"/>
    <w:rsid w:val="00A3267A"/>
    <w:rsid w:val="00A35ACA"/>
    <w:rsid w:val="00A35BE2"/>
    <w:rsid w:val="00A40BA5"/>
    <w:rsid w:val="00A41ECF"/>
    <w:rsid w:val="00A433B6"/>
    <w:rsid w:val="00A4476A"/>
    <w:rsid w:val="00A473A9"/>
    <w:rsid w:val="00A479B8"/>
    <w:rsid w:val="00A536BB"/>
    <w:rsid w:val="00A54235"/>
    <w:rsid w:val="00A54B80"/>
    <w:rsid w:val="00A55816"/>
    <w:rsid w:val="00A572A8"/>
    <w:rsid w:val="00A57B74"/>
    <w:rsid w:val="00A61216"/>
    <w:rsid w:val="00A61C74"/>
    <w:rsid w:val="00A62555"/>
    <w:rsid w:val="00A634B4"/>
    <w:rsid w:val="00A634CA"/>
    <w:rsid w:val="00A64D65"/>
    <w:rsid w:val="00A66833"/>
    <w:rsid w:val="00A66C6A"/>
    <w:rsid w:val="00A67D12"/>
    <w:rsid w:val="00A703CC"/>
    <w:rsid w:val="00A70568"/>
    <w:rsid w:val="00A710E7"/>
    <w:rsid w:val="00A71B0C"/>
    <w:rsid w:val="00A72BCB"/>
    <w:rsid w:val="00A8039D"/>
    <w:rsid w:val="00A80478"/>
    <w:rsid w:val="00A80900"/>
    <w:rsid w:val="00A84B3B"/>
    <w:rsid w:val="00A9093A"/>
    <w:rsid w:val="00A9098D"/>
    <w:rsid w:val="00A90E0C"/>
    <w:rsid w:val="00A93298"/>
    <w:rsid w:val="00A95683"/>
    <w:rsid w:val="00A957C8"/>
    <w:rsid w:val="00A96661"/>
    <w:rsid w:val="00A9750D"/>
    <w:rsid w:val="00AA0B6F"/>
    <w:rsid w:val="00AA10C6"/>
    <w:rsid w:val="00AA394A"/>
    <w:rsid w:val="00AA49A8"/>
    <w:rsid w:val="00AA49F1"/>
    <w:rsid w:val="00AA5E2C"/>
    <w:rsid w:val="00AA6B1B"/>
    <w:rsid w:val="00AB0B04"/>
    <w:rsid w:val="00AB0C68"/>
    <w:rsid w:val="00AB2FD1"/>
    <w:rsid w:val="00AB425F"/>
    <w:rsid w:val="00AC0996"/>
    <w:rsid w:val="00AC113E"/>
    <w:rsid w:val="00AC25F4"/>
    <w:rsid w:val="00AC48BB"/>
    <w:rsid w:val="00AC4D8A"/>
    <w:rsid w:val="00AC5CD1"/>
    <w:rsid w:val="00AC76E9"/>
    <w:rsid w:val="00AD224C"/>
    <w:rsid w:val="00AD258E"/>
    <w:rsid w:val="00AD3E2A"/>
    <w:rsid w:val="00AD44BF"/>
    <w:rsid w:val="00AE1A94"/>
    <w:rsid w:val="00AE2C56"/>
    <w:rsid w:val="00AE36DE"/>
    <w:rsid w:val="00AE5E30"/>
    <w:rsid w:val="00AF1EFB"/>
    <w:rsid w:val="00AF52F5"/>
    <w:rsid w:val="00AF5D7C"/>
    <w:rsid w:val="00AF6F40"/>
    <w:rsid w:val="00B0086C"/>
    <w:rsid w:val="00B008BB"/>
    <w:rsid w:val="00B015B3"/>
    <w:rsid w:val="00B027F2"/>
    <w:rsid w:val="00B033CF"/>
    <w:rsid w:val="00B0448E"/>
    <w:rsid w:val="00B04D22"/>
    <w:rsid w:val="00B04EE8"/>
    <w:rsid w:val="00B10DC4"/>
    <w:rsid w:val="00B11218"/>
    <w:rsid w:val="00B14636"/>
    <w:rsid w:val="00B14BF0"/>
    <w:rsid w:val="00B17EB1"/>
    <w:rsid w:val="00B20028"/>
    <w:rsid w:val="00B21B0A"/>
    <w:rsid w:val="00B22718"/>
    <w:rsid w:val="00B22FB7"/>
    <w:rsid w:val="00B2371F"/>
    <w:rsid w:val="00B2511E"/>
    <w:rsid w:val="00B32392"/>
    <w:rsid w:val="00B3268A"/>
    <w:rsid w:val="00B328E3"/>
    <w:rsid w:val="00B32D72"/>
    <w:rsid w:val="00B338AF"/>
    <w:rsid w:val="00B40021"/>
    <w:rsid w:val="00B407C8"/>
    <w:rsid w:val="00B408A3"/>
    <w:rsid w:val="00B41E94"/>
    <w:rsid w:val="00B4256B"/>
    <w:rsid w:val="00B5111E"/>
    <w:rsid w:val="00B53185"/>
    <w:rsid w:val="00B535F7"/>
    <w:rsid w:val="00B558A0"/>
    <w:rsid w:val="00B558BC"/>
    <w:rsid w:val="00B55E84"/>
    <w:rsid w:val="00B56752"/>
    <w:rsid w:val="00B569BD"/>
    <w:rsid w:val="00B57B30"/>
    <w:rsid w:val="00B602AD"/>
    <w:rsid w:val="00B6254B"/>
    <w:rsid w:val="00B63FE8"/>
    <w:rsid w:val="00B64651"/>
    <w:rsid w:val="00B646CB"/>
    <w:rsid w:val="00B64F6F"/>
    <w:rsid w:val="00B65374"/>
    <w:rsid w:val="00B65B32"/>
    <w:rsid w:val="00B70C78"/>
    <w:rsid w:val="00B71573"/>
    <w:rsid w:val="00B72307"/>
    <w:rsid w:val="00B72971"/>
    <w:rsid w:val="00B73896"/>
    <w:rsid w:val="00B73C19"/>
    <w:rsid w:val="00B77554"/>
    <w:rsid w:val="00B77EA7"/>
    <w:rsid w:val="00B8741A"/>
    <w:rsid w:val="00B91053"/>
    <w:rsid w:val="00B911CC"/>
    <w:rsid w:val="00B91598"/>
    <w:rsid w:val="00B91B91"/>
    <w:rsid w:val="00B92916"/>
    <w:rsid w:val="00B92BDE"/>
    <w:rsid w:val="00B92D88"/>
    <w:rsid w:val="00B97A91"/>
    <w:rsid w:val="00BA1FFD"/>
    <w:rsid w:val="00BA299D"/>
    <w:rsid w:val="00BA3CDF"/>
    <w:rsid w:val="00BA7DF3"/>
    <w:rsid w:val="00BB08DA"/>
    <w:rsid w:val="00BB0A09"/>
    <w:rsid w:val="00BB51E2"/>
    <w:rsid w:val="00BB5B45"/>
    <w:rsid w:val="00BB6248"/>
    <w:rsid w:val="00BB78E1"/>
    <w:rsid w:val="00BB7A47"/>
    <w:rsid w:val="00BC055A"/>
    <w:rsid w:val="00BC079C"/>
    <w:rsid w:val="00BC26E4"/>
    <w:rsid w:val="00BC32CB"/>
    <w:rsid w:val="00BC39D7"/>
    <w:rsid w:val="00BC6A2D"/>
    <w:rsid w:val="00BD40D1"/>
    <w:rsid w:val="00BD45D1"/>
    <w:rsid w:val="00BE05D2"/>
    <w:rsid w:val="00BE0D2D"/>
    <w:rsid w:val="00BE2FBE"/>
    <w:rsid w:val="00BE43B5"/>
    <w:rsid w:val="00BE4AB5"/>
    <w:rsid w:val="00BE5387"/>
    <w:rsid w:val="00BE7567"/>
    <w:rsid w:val="00BF4CCF"/>
    <w:rsid w:val="00BF5D99"/>
    <w:rsid w:val="00C02A8B"/>
    <w:rsid w:val="00C05E09"/>
    <w:rsid w:val="00C06638"/>
    <w:rsid w:val="00C0678E"/>
    <w:rsid w:val="00C11915"/>
    <w:rsid w:val="00C12ED3"/>
    <w:rsid w:val="00C135B9"/>
    <w:rsid w:val="00C1415F"/>
    <w:rsid w:val="00C14FEF"/>
    <w:rsid w:val="00C16E3D"/>
    <w:rsid w:val="00C171B3"/>
    <w:rsid w:val="00C17B42"/>
    <w:rsid w:val="00C205AF"/>
    <w:rsid w:val="00C20ACD"/>
    <w:rsid w:val="00C2428F"/>
    <w:rsid w:val="00C2446C"/>
    <w:rsid w:val="00C25B1E"/>
    <w:rsid w:val="00C27520"/>
    <w:rsid w:val="00C27727"/>
    <w:rsid w:val="00C27A8F"/>
    <w:rsid w:val="00C302FD"/>
    <w:rsid w:val="00C310AD"/>
    <w:rsid w:val="00C40ED7"/>
    <w:rsid w:val="00C426F4"/>
    <w:rsid w:val="00C43219"/>
    <w:rsid w:val="00C445F3"/>
    <w:rsid w:val="00C50EE4"/>
    <w:rsid w:val="00C5166F"/>
    <w:rsid w:val="00C611FA"/>
    <w:rsid w:val="00C646E4"/>
    <w:rsid w:val="00C6553C"/>
    <w:rsid w:val="00C665C3"/>
    <w:rsid w:val="00C66D55"/>
    <w:rsid w:val="00C70BD6"/>
    <w:rsid w:val="00C71778"/>
    <w:rsid w:val="00C71A30"/>
    <w:rsid w:val="00C71BB9"/>
    <w:rsid w:val="00C730A0"/>
    <w:rsid w:val="00C73364"/>
    <w:rsid w:val="00C73950"/>
    <w:rsid w:val="00C7395C"/>
    <w:rsid w:val="00C73999"/>
    <w:rsid w:val="00C75FD4"/>
    <w:rsid w:val="00C77920"/>
    <w:rsid w:val="00C828B7"/>
    <w:rsid w:val="00C92885"/>
    <w:rsid w:val="00C94C22"/>
    <w:rsid w:val="00C9521E"/>
    <w:rsid w:val="00C95E57"/>
    <w:rsid w:val="00C971A9"/>
    <w:rsid w:val="00C972A4"/>
    <w:rsid w:val="00CA0CAE"/>
    <w:rsid w:val="00CA2D86"/>
    <w:rsid w:val="00CA5552"/>
    <w:rsid w:val="00CA7158"/>
    <w:rsid w:val="00CB04BE"/>
    <w:rsid w:val="00CB2C42"/>
    <w:rsid w:val="00CB39D4"/>
    <w:rsid w:val="00CB3A1C"/>
    <w:rsid w:val="00CB4071"/>
    <w:rsid w:val="00CB747C"/>
    <w:rsid w:val="00CB7549"/>
    <w:rsid w:val="00CC11A2"/>
    <w:rsid w:val="00CC35F8"/>
    <w:rsid w:val="00CD14D1"/>
    <w:rsid w:val="00CD1D9A"/>
    <w:rsid w:val="00CD248C"/>
    <w:rsid w:val="00CD3C9D"/>
    <w:rsid w:val="00CD616E"/>
    <w:rsid w:val="00CE49F8"/>
    <w:rsid w:val="00CE4E74"/>
    <w:rsid w:val="00CE4F97"/>
    <w:rsid w:val="00CE64DC"/>
    <w:rsid w:val="00CF2E2D"/>
    <w:rsid w:val="00CF3557"/>
    <w:rsid w:val="00CF415D"/>
    <w:rsid w:val="00CF4A0C"/>
    <w:rsid w:val="00CF4C3F"/>
    <w:rsid w:val="00CF53D3"/>
    <w:rsid w:val="00CF585C"/>
    <w:rsid w:val="00D00205"/>
    <w:rsid w:val="00D00A99"/>
    <w:rsid w:val="00D03BA2"/>
    <w:rsid w:val="00D04360"/>
    <w:rsid w:val="00D07ADA"/>
    <w:rsid w:val="00D1005C"/>
    <w:rsid w:val="00D1400C"/>
    <w:rsid w:val="00D14BD1"/>
    <w:rsid w:val="00D15D6C"/>
    <w:rsid w:val="00D16517"/>
    <w:rsid w:val="00D16555"/>
    <w:rsid w:val="00D173EF"/>
    <w:rsid w:val="00D202D6"/>
    <w:rsid w:val="00D218D5"/>
    <w:rsid w:val="00D228C0"/>
    <w:rsid w:val="00D24156"/>
    <w:rsid w:val="00D24EB8"/>
    <w:rsid w:val="00D26298"/>
    <w:rsid w:val="00D276EF"/>
    <w:rsid w:val="00D35622"/>
    <w:rsid w:val="00D35636"/>
    <w:rsid w:val="00D4271A"/>
    <w:rsid w:val="00D44FD3"/>
    <w:rsid w:val="00D4616F"/>
    <w:rsid w:val="00D50065"/>
    <w:rsid w:val="00D52FD0"/>
    <w:rsid w:val="00D547D5"/>
    <w:rsid w:val="00D554AE"/>
    <w:rsid w:val="00D55BF7"/>
    <w:rsid w:val="00D55D69"/>
    <w:rsid w:val="00D56C2F"/>
    <w:rsid w:val="00D60DD4"/>
    <w:rsid w:val="00D645B9"/>
    <w:rsid w:val="00D6473A"/>
    <w:rsid w:val="00D65E29"/>
    <w:rsid w:val="00D664BD"/>
    <w:rsid w:val="00D67330"/>
    <w:rsid w:val="00D705D4"/>
    <w:rsid w:val="00D70AFD"/>
    <w:rsid w:val="00D734E7"/>
    <w:rsid w:val="00D73584"/>
    <w:rsid w:val="00D761A7"/>
    <w:rsid w:val="00D77A43"/>
    <w:rsid w:val="00D77C0C"/>
    <w:rsid w:val="00D820DB"/>
    <w:rsid w:val="00D82146"/>
    <w:rsid w:val="00D83B9F"/>
    <w:rsid w:val="00D90853"/>
    <w:rsid w:val="00D90B2A"/>
    <w:rsid w:val="00D911A3"/>
    <w:rsid w:val="00D93EED"/>
    <w:rsid w:val="00D955BC"/>
    <w:rsid w:val="00DA0505"/>
    <w:rsid w:val="00DA301B"/>
    <w:rsid w:val="00DA34F8"/>
    <w:rsid w:val="00DA49C7"/>
    <w:rsid w:val="00DA586A"/>
    <w:rsid w:val="00DA5A48"/>
    <w:rsid w:val="00DB1855"/>
    <w:rsid w:val="00DB3323"/>
    <w:rsid w:val="00DB3F0A"/>
    <w:rsid w:val="00DB431C"/>
    <w:rsid w:val="00DC082D"/>
    <w:rsid w:val="00DC1020"/>
    <w:rsid w:val="00DC10AD"/>
    <w:rsid w:val="00DC1501"/>
    <w:rsid w:val="00DC1ACE"/>
    <w:rsid w:val="00DC2A74"/>
    <w:rsid w:val="00DC3765"/>
    <w:rsid w:val="00DC58F1"/>
    <w:rsid w:val="00DC6AE9"/>
    <w:rsid w:val="00DD1B4F"/>
    <w:rsid w:val="00DD1C29"/>
    <w:rsid w:val="00DD4578"/>
    <w:rsid w:val="00DD49E0"/>
    <w:rsid w:val="00DD5B53"/>
    <w:rsid w:val="00DE0885"/>
    <w:rsid w:val="00DE15EB"/>
    <w:rsid w:val="00DE1691"/>
    <w:rsid w:val="00DE19BA"/>
    <w:rsid w:val="00DE3FFB"/>
    <w:rsid w:val="00DE4CC0"/>
    <w:rsid w:val="00DE50EA"/>
    <w:rsid w:val="00DE639A"/>
    <w:rsid w:val="00DE7A3D"/>
    <w:rsid w:val="00DE7C8D"/>
    <w:rsid w:val="00DF03F2"/>
    <w:rsid w:val="00DF12FC"/>
    <w:rsid w:val="00DF1EA3"/>
    <w:rsid w:val="00DF1FA2"/>
    <w:rsid w:val="00DF24F3"/>
    <w:rsid w:val="00DF266B"/>
    <w:rsid w:val="00DF2A77"/>
    <w:rsid w:val="00DF2B3E"/>
    <w:rsid w:val="00DF3365"/>
    <w:rsid w:val="00DF7062"/>
    <w:rsid w:val="00E03FD2"/>
    <w:rsid w:val="00E10869"/>
    <w:rsid w:val="00E11BFD"/>
    <w:rsid w:val="00E137D1"/>
    <w:rsid w:val="00E17722"/>
    <w:rsid w:val="00E22D00"/>
    <w:rsid w:val="00E22E8F"/>
    <w:rsid w:val="00E2462F"/>
    <w:rsid w:val="00E246FB"/>
    <w:rsid w:val="00E247B7"/>
    <w:rsid w:val="00E25BA3"/>
    <w:rsid w:val="00E26435"/>
    <w:rsid w:val="00E26BE1"/>
    <w:rsid w:val="00E26EF8"/>
    <w:rsid w:val="00E272B8"/>
    <w:rsid w:val="00E30BD0"/>
    <w:rsid w:val="00E318F1"/>
    <w:rsid w:val="00E32DCF"/>
    <w:rsid w:val="00E34300"/>
    <w:rsid w:val="00E4199E"/>
    <w:rsid w:val="00E427AA"/>
    <w:rsid w:val="00E45C96"/>
    <w:rsid w:val="00E45DD1"/>
    <w:rsid w:val="00E473C8"/>
    <w:rsid w:val="00E47DCB"/>
    <w:rsid w:val="00E51757"/>
    <w:rsid w:val="00E541AF"/>
    <w:rsid w:val="00E54D8C"/>
    <w:rsid w:val="00E54E05"/>
    <w:rsid w:val="00E5770F"/>
    <w:rsid w:val="00E60953"/>
    <w:rsid w:val="00E6330F"/>
    <w:rsid w:val="00E6552D"/>
    <w:rsid w:val="00E65E1B"/>
    <w:rsid w:val="00E71C71"/>
    <w:rsid w:val="00E72744"/>
    <w:rsid w:val="00E801F1"/>
    <w:rsid w:val="00E80F47"/>
    <w:rsid w:val="00E81B14"/>
    <w:rsid w:val="00E8295B"/>
    <w:rsid w:val="00E845D2"/>
    <w:rsid w:val="00E8469D"/>
    <w:rsid w:val="00E848BF"/>
    <w:rsid w:val="00E868CD"/>
    <w:rsid w:val="00E869DC"/>
    <w:rsid w:val="00E91105"/>
    <w:rsid w:val="00E91B15"/>
    <w:rsid w:val="00E91E29"/>
    <w:rsid w:val="00E929E6"/>
    <w:rsid w:val="00E95627"/>
    <w:rsid w:val="00E95B98"/>
    <w:rsid w:val="00E95E90"/>
    <w:rsid w:val="00E97395"/>
    <w:rsid w:val="00E97FA5"/>
    <w:rsid w:val="00EA064E"/>
    <w:rsid w:val="00EA276C"/>
    <w:rsid w:val="00EA6303"/>
    <w:rsid w:val="00EA6595"/>
    <w:rsid w:val="00EA7B54"/>
    <w:rsid w:val="00EA7DE3"/>
    <w:rsid w:val="00EB0A8D"/>
    <w:rsid w:val="00EB0E7A"/>
    <w:rsid w:val="00EB1D10"/>
    <w:rsid w:val="00EB2AA9"/>
    <w:rsid w:val="00EB64AB"/>
    <w:rsid w:val="00EB6B8E"/>
    <w:rsid w:val="00EC00BE"/>
    <w:rsid w:val="00EC3325"/>
    <w:rsid w:val="00EC56B1"/>
    <w:rsid w:val="00EC5800"/>
    <w:rsid w:val="00EC58EC"/>
    <w:rsid w:val="00EC65F9"/>
    <w:rsid w:val="00ED148B"/>
    <w:rsid w:val="00ED6090"/>
    <w:rsid w:val="00ED629D"/>
    <w:rsid w:val="00ED6AF8"/>
    <w:rsid w:val="00ED6B8F"/>
    <w:rsid w:val="00EE40B7"/>
    <w:rsid w:val="00EF5A01"/>
    <w:rsid w:val="00EF5C2E"/>
    <w:rsid w:val="00EF69D5"/>
    <w:rsid w:val="00F04BFE"/>
    <w:rsid w:val="00F07253"/>
    <w:rsid w:val="00F11B7D"/>
    <w:rsid w:val="00F12DC0"/>
    <w:rsid w:val="00F13AF4"/>
    <w:rsid w:val="00F14831"/>
    <w:rsid w:val="00F165F4"/>
    <w:rsid w:val="00F20533"/>
    <w:rsid w:val="00F21272"/>
    <w:rsid w:val="00F2136F"/>
    <w:rsid w:val="00F21B03"/>
    <w:rsid w:val="00F242D0"/>
    <w:rsid w:val="00F27BB5"/>
    <w:rsid w:val="00F30104"/>
    <w:rsid w:val="00F31BE7"/>
    <w:rsid w:val="00F33416"/>
    <w:rsid w:val="00F33B48"/>
    <w:rsid w:val="00F34549"/>
    <w:rsid w:val="00F34E38"/>
    <w:rsid w:val="00F37F39"/>
    <w:rsid w:val="00F4214E"/>
    <w:rsid w:val="00F47D10"/>
    <w:rsid w:val="00F5006B"/>
    <w:rsid w:val="00F510D5"/>
    <w:rsid w:val="00F5128C"/>
    <w:rsid w:val="00F53ABD"/>
    <w:rsid w:val="00F53EC2"/>
    <w:rsid w:val="00F5532E"/>
    <w:rsid w:val="00F55611"/>
    <w:rsid w:val="00F60024"/>
    <w:rsid w:val="00F65EEE"/>
    <w:rsid w:val="00F67768"/>
    <w:rsid w:val="00F67C9F"/>
    <w:rsid w:val="00F67D9A"/>
    <w:rsid w:val="00F67F20"/>
    <w:rsid w:val="00F701E0"/>
    <w:rsid w:val="00F7086C"/>
    <w:rsid w:val="00F71663"/>
    <w:rsid w:val="00F72F38"/>
    <w:rsid w:val="00F73C05"/>
    <w:rsid w:val="00F75334"/>
    <w:rsid w:val="00F80A06"/>
    <w:rsid w:val="00F83740"/>
    <w:rsid w:val="00F83A20"/>
    <w:rsid w:val="00F86A20"/>
    <w:rsid w:val="00F9070E"/>
    <w:rsid w:val="00FA173F"/>
    <w:rsid w:val="00FA4667"/>
    <w:rsid w:val="00FA498A"/>
    <w:rsid w:val="00FA56B6"/>
    <w:rsid w:val="00FA5B3B"/>
    <w:rsid w:val="00FA71A9"/>
    <w:rsid w:val="00FA7EEB"/>
    <w:rsid w:val="00FB5BA9"/>
    <w:rsid w:val="00FB6266"/>
    <w:rsid w:val="00FC1D93"/>
    <w:rsid w:val="00FC203C"/>
    <w:rsid w:val="00FC27D7"/>
    <w:rsid w:val="00FC3261"/>
    <w:rsid w:val="00FC36BF"/>
    <w:rsid w:val="00FC5736"/>
    <w:rsid w:val="00FC71EE"/>
    <w:rsid w:val="00FD2A8A"/>
    <w:rsid w:val="00FD4FF9"/>
    <w:rsid w:val="00FD67C5"/>
    <w:rsid w:val="00FE0A79"/>
    <w:rsid w:val="00FE0FC5"/>
    <w:rsid w:val="00FE121C"/>
    <w:rsid w:val="00FE4E79"/>
    <w:rsid w:val="00FF1449"/>
    <w:rsid w:val="00FF22B5"/>
    <w:rsid w:val="00FF4632"/>
    <w:rsid w:val="00FF4B30"/>
    <w:rsid w:val="00FF4D61"/>
    <w:rsid w:val="00FF58E6"/>
    <w:rsid w:val="00FF63B3"/>
    <w:rsid w:val="00FF6DDC"/>
    <w:rsid w:val="02924A37"/>
    <w:rsid w:val="04286388"/>
    <w:rsid w:val="04FE5A41"/>
    <w:rsid w:val="05F3099C"/>
    <w:rsid w:val="077D3DCB"/>
    <w:rsid w:val="082B3B3A"/>
    <w:rsid w:val="0A870BFA"/>
    <w:rsid w:val="0ABD75E6"/>
    <w:rsid w:val="0ADD6749"/>
    <w:rsid w:val="0B37071D"/>
    <w:rsid w:val="0C1A784C"/>
    <w:rsid w:val="0C45238E"/>
    <w:rsid w:val="0C474AC4"/>
    <w:rsid w:val="0CA25E87"/>
    <w:rsid w:val="0CF170B3"/>
    <w:rsid w:val="0D26429B"/>
    <w:rsid w:val="0D470DBA"/>
    <w:rsid w:val="0D815F89"/>
    <w:rsid w:val="0E990EFC"/>
    <w:rsid w:val="0EEF6ED7"/>
    <w:rsid w:val="1103037B"/>
    <w:rsid w:val="1154511A"/>
    <w:rsid w:val="117D2C61"/>
    <w:rsid w:val="13165009"/>
    <w:rsid w:val="135C2900"/>
    <w:rsid w:val="165E3346"/>
    <w:rsid w:val="167D5421"/>
    <w:rsid w:val="16951449"/>
    <w:rsid w:val="170E10FA"/>
    <w:rsid w:val="17216686"/>
    <w:rsid w:val="172F3C6D"/>
    <w:rsid w:val="193A1D96"/>
    <w:rsid w:val="199B0082"/>
    <w:rsid w:val="1BCC0E9A"/>
    <w:rsid w:val="1C92432A"/>
    <w:rsid w:val="1CED3E46"/>
    <w:rsid w:val="1E2C6139"/>
    <w:rsid w:val="1EBC6B2B"/>
    <w:rsid w:val="1EBD5765"/>
    <w:rsid w:val="1EBD7CE5"/>
    <w:rsid w:val="1F180B67"/>
    <w:rsid w:val="1FEF4D92"/>
    <w:rsid w:val="20F763A1"/>
    <w:rsid w:val="213175BE"/>
    <w:rsid w:val="223B35A2"/>
    <w:rsid w:val="22DB78DD"/>
    <w:rsid w:val="22F56BF1"/>
    <w:rsid w:val="23571C60"/>
    <w:rsid w:val="235E6E72"/>
    <w:rsid w:val="23C325F9"/>
    <w:rsid w:val="246833F2"/>
    <w:rsid w:val="25A41EC1"/>
    <w:rsid w:val="27134164"/>
    <w:rsid w:val="28401066"/>
    <w:rsid w:val="293036D9"/>
    <w:rsid w:val="2C377800"/>
    <w:rsid w:val="2CCC3188"/>
    <w:rsid w:val="2D99484C"/>
    <w:rsid w:val="2DF45CF7"/>
    <w:rsid w:val="2F963509"/>
    <w:rsid w:val="30EE2D83"/>
    <w:rsid w:val="312100E5"/>
    <w:rsid w:val="317E2576"/>
    <w:rsid w:val="319010C0"/>
    <w:rsid w:val="32A02EB6"/>
    <w:rsid w:val="32FD02C4"/>
    <w:rsid w:val="332638F5"/>
    <w:rsid w:val="34A00995"/>
    <w:rsid w:val="35F76A08"/>
    <w:rsid w:val="36B24B95"/>
    <w:rsid w:val="37BD1370"/>
    <w:rsid w:val="389D1441"/>
    <w:rsid w:val="39F104DA"/>
    <w:rsid w:val="39FF3483"/>
    <w:rsid w:val="3B465C21"/>
    <w:rsid w:val="3B745B50"/>
    <w:rsid w:val="3BEA1391"/>
    <w:rsid w:val="3C1609C2"/>
    <w:rsid w:val="3C273CBF"/>
    <w:rsid w:val="3EFF2500"/>
    <w:rsid w:val="40761DB4"/>
    <w:rsid w:val="42B52317"/>
    <w:rsid w:val="43EB1BED"/>
    <w:rsid w:val="454245ED"/>
    <w:rsid w:val="461A0C3A"/>
    <w:rsid w:val="48CF4C5A"/>
    <w:rsid w:val="49101D04"/>
    <w:rsid w:val="4A5B6CE4"/>
    <w:rsid w:val="50541C50"/>
    <w:rsid w:val="50AF5B6C"/>
    <w:rsid w:val="50C72355"/>
    <w:rsid w:val="510A2FB8"/>
    <w:rsid w:val="52544F65"/>
    <w:rsid w:val="52BE39E7"/>
    <w:rsid w:val="52D56CFA"/>
    <w:rsid w:val="53276A80"/>
    <w:rsid w:val="53A10EF0"/>
    <w:rsid w:val="546D6C04"/>
    <w:rsid w:val="550175A0"/>
    <w:rsid w:val="554503BB"/>
    <w:rsid w:val="55F01A8B"/>
    <w:rsid w:val="56677714"/>
    <w:rsid w:val="56A95F32"/>
    <w:rsid w:val="583977B2"/>
    <w:rsid w:val="5AE31BFD"/>
    <w:rsid w:val="5C3561A5"/>
    <w:rsid w:val="5CB965D0"/>
    <w:rsid w:val="5E347E1D"/>
    <w:rsid w:val="5F6C691C"/>
    <w:rsid w:val="5F7B0E74"/>
    <w:rsid w:val="5FBF4E40"/>
    <w:rsid w:val="61321D34"/>
    <w:rsid w:val="62120492"/>
    <w:rsid w:val="621B3CBA"/>
    <w:rsid w:val="62366E85"/>
    <w:rsid w:val="630054C2"/>
    <w:rsid w:val="63F405AC"/>
    <w:rsid w:val="64534627"/>
    <w:rsid w:val="64BD2564"/>
    <w:rsid w:val="64C913FB"/>
    <w:rsid w:val="6B881065"/>
    <w:rsid w:val="6BD07B29"/>
    <w:rsid w:val="6E9D231E"/>
    <w:rsid w:val="6F9157D5"/>
    <w:rsid w:val="70972D2C"/>
    <w:rsid w:val="724F1208"/>
    <w:rsid w:val="72C43122"/>
    <w:rsid w:val="73811026"/>
    <w:rsid w:val="73BC4C8C"/>
    <w:rsid w:val="75312292"/>
    <w:rsid w:val="77563214"/>
    <w:rsid w:val="77D0645A"/>
    <w:rsid w:val="790E5998"/>
    <w:rsid w:val="7B2F6B2C"/>
    <w:rsid w:val="7BA81C4B"/>
    <w:rsid w:val="7BF30969"/>
    <w:rsid w:val="7CCE6BAC"/>
    <w:rsid w:val="7DA7728C"/>
    <w:rsid w:val="7E3D078D"/>
    <w:rsid w:val="7F431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caption"/>
    <w:basedOn w:val="1"/>
    <w:next w:val="1"/>
    <w:qFormat/>
    <w:uiPriority w:val="0"/>
    <w:pPr>
      <w:adjustRightInd w:val="0"/>
      <w:spacing w:before="152" w:after="160" w:line="360" w:lineRule="atLeast"/>
      <w:jc w:val="left"/>
      <w:textAlignment w:val="baseline"/>
    </w:pPr>
    <w:rPr>
      <w:rFonts w:ascii="Arial" w:hAnsi="Arial" w:eastAsia="黑体"/>
      <w:kern w:val="0"/>
      <w:sz w:val="24"/>
      <w:szCs w:val="20"/>
    </w:rPr>
  </w:style>
  <w:style w:type="paragraph" w:styleId="3">
    <w:name w:val="Body Text"/>
    <w:basedOn w:val="1"/>
    <w:qFormat/>
    <w:uiPriority w:val="0"/>
    <w:pPr>
      <w:spacing w:after="120"/>
    </w:pPr>
  </w:style>
  <w:style w:type="paragraph" w:styleId="4">
    <w:name w:val="Plain Text"/>
    <w:basedOn w:val="1"/>
    <w:link w:val="50"/>
    <w:qFormat/>
    <w:uiPriority w:val="0"/>
    <w:rPr>
      <w:rFonts w:ascii="宋体" w:hAnsi="Courier New"/>
    </w:rPr>
  </w:style>
  <w:style w:type="paragraph" w:styleId="5">
    <w:name w:val="Date"/>
    <w:basedOn w:val="1"/>
    <w:next w:val="1"/>
    <w:qFormat/>
    <w:uiPriority w:val="0"/>
    <w:pPr>
      <w:ind w:left="100" w:leftChars="2500"/>
    </w:pPr>
  </w:style>
  <w:style w:type="paragraph" w:styleId="6">
    <w:name w:val="Body Text Indent 2"/>
    <w:basedOn w:val="1"/>
    <w:qFormat/>
    <w:uiPriority w:val="0"/>
    <w:pPr>
      <w:widowControl/>
      <w:ind w:firstLine="471" w:firstLineChars="200"/>
    </w:pPr>
    <w:rPr>
      <w:rFonts w:ascii="宋体"/>
      <w:color w:val="000000"/>
      <w:sz w:val="24"/>
    </w:rPr>
  </w:style>
  <w:style w:type="paragraph" w:styleId="7">
    <w:name w:val="Balloon Text"/>
    <w:basedOn w:val="1"/>
    <w:link w:val="21"/>
    <w:qFormat/>
    <w:uiPriority w:val="0"/>
    <w:rPr>
      <w:sz w:val="18"/>
    </w:rPr>
  </w:style>
  <w:style w:type="paragraph" w:styleId="8">
    <w:name w:val="footer"/>
    <w:basedOn w:val="1"/>
    <w:link w:val="20"/>
    <w:qFormat/>
    <w:uiPriority w:val="0"/>
    <w:pPr>
      <w:tabs>
        <w:tab w:val="center" w:pos="4153"/>
        <w:tab w:val="right" w:pos="8306"/>
      </w:tabs>
      <w:snapToGrid w:val="0"/>
      <w:jc w:val="left"/>
    </w:pPr>
    <w:rPr>
      <w:sz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Body Text First Indent"/>
    <w:basedOn w:val="3"/>
    <w:qFormat/>
    <w:uiPriority w:val="0"/>
    <w:pPr>
      <w:ind w:firstLine="420" w:firstLineChars="100"/>
    </w:p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rPr>
      <w:rFonts w:ascii="Times New Roman" w:hAnsi="Times New Roman" w:eastAsia="宋体"/>
      <w:sz w:val="18"/>
    </w:rPr>
  </w:style>
  <w:style w:type="character" w:styleId="17">
    <w:name w:val="Hyperlink"/>
    <w:basedOn w:val="14"/>
    <w:qFormat/>
    <w:uiPriority w:val="0"/>
    <w:rPr>
      <w:color w:val="0000FF"/>
      <w:u w:val="single"/>
    </w:rPr>
  </w:style>
  <w:style w:type="character" w:customStyle="1" w:styleId="18">
    <w:name w:val="无间隔 Char"/>
    <w:basedOn w:val="14"/>
    <w:link w:val="19"/>
    <w:qFormat/>
    <w:uiPriority w:val="0"/>
    <w:rPr>
      <w:rFonts w:ascii="Calibri" w:hAnsi="Calibri"/>
      <w:sz w:val="22"/>
      <w:lang w:val="en-US" w:eastAsia="zh-CN" w:bidi="ar-SA"/>
    </w:rPr>
  </w:style>
  <w:style w:type="paragraph" w:customStyle="1" w:styleId="19">
    <w:name w:val="无间隔1"/>
    <w:link w:val="18"/>
    <w:qFormat/>
    <w:uiPriority w:val="0"/>
    <w:rPr>
      <w:rFonts w:ascii="Calibri" w:hAnsi="Calibri" w:eastAsia="宋体" w:cs="Times New Roman"/>
      <w:sz w:val="22"/>
      <w:lang w:val="en-US" w:eastAsia="zh-CN" w:bidi="ar-SA"/>
    </w:rPr>
  </w:style>
  <w:style w:type="character" w:customStyle="1" w:styleId="20">
    <w:name w:val="页脚 Char"/>
    <w:basedOn w:val="14"/>
    <w:link w:val="8"/>
    <w:qFormat/>
    <w:uiPriority w:val="0"/>
    <w:rPr>
      <w:kern w:val="2"/>
      <w:sz w:val="18"/>
    </w:rPr>
  </w:style>
  <w:style w:type="character" w:customStyle="1" w:styleId="21">
    <w:name w:val="批注框文本 Char"/>
    <w:basedOn w:val="14"/>
    <w:link w:val="7"/>
    <w:qFormat/>
    <w:uiPriority w:val="0"/>
    <w:rPr>
      <w:kern w:val="2"/>
      <w:sz w:val="18"/>
    </w:rPr>
  </w:style>
  <w:style w:type="character" w:customStyle="1" w:styleId="22">
    <w:name w:val="页眉 Char"/>
    <w:basedOn w:val="14"/>
    <w:link w:val="9"/>
    <w:qFormat/>
    <w:uiPriority w:val="0"/>
    <w:rPr>
      <w:kern w:val="2"/>
      <w:sz w:val="18"/>
    </w:rPr>
  </w:style>
  <w:style w:type="character" w:customStyle="1" w:styleId="23">
    <w:name w:val="yqlink"/>
    <w:basedOn w:val="14"/>
    <w:qFormat/>
    <w:uiPriority w:val="0"/>
  </w:style>
  <w:style w:type="character" w:customStyle="1" w:styleId="24">
    <w:name w:val="标题1"/>
    <w:basedOn w:val="14"/>
    <w:qFormat/>
    <w:uiPriority w:val="0"/>
  </w:style>
  <w:style w:type="character" w:customStyle="1" w:styleId="25">
    <w:name w:val="style21"/>
    <w:basedOn w:val="14"/>
    <w:qFormat/>
    <w:uiPriority w:val="0"/>
    <w:rPr>
      <w:color w:val="0000A0"/>
      <w:sz w:val="33"/>
      <w:szCs w:val="33"/>
    </w:rPr>
  </w:style>
  <w:style w:type="paragraph" w:customStyle="1" w:styleId="26">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7">
    <w:name w:val="三级条标题"/>
    <w:basedOn w:val="28"/>
    <w:next w:val="1"/>
    <w:qFormat/>
    <w:uiPriority w:val="0"/>
    <w:pPr>
      <w:outlineLvl w:val="4"/>
    </w:pPr>
  </w:style>
  <w:style w:type="paragraph" w:customStyle="1" w:styleId="28">
    <w:name w:val="二级条标题"/>
    <w:basedOn w:val="29"/>
    <w:next w:val="1"/>
    <w:link w:val="56"/>
    <w:qFormat/>
    <w:uiPriority w:val="0"/>
    <w:pPr>
      <w:outlineLvl w:val="3"/>
    </w:pPr>
  </w:style>
  <w:style w:type="paragraph" w:customStyle="1" w:styleId="29">
    <w:name w:val="一级条标题"/>
    <w:basedOn w:val="30"/>
    <w:next w:val="31"/>
    <w:qFormat/>
    <w:uiPriority w:val="0"/>
    <w:pPr>
      <w:spacing w:before="0" w:after="0"/>
      <w:outlineLvl w:val="2"/>
    </w:pPr>
  </w:style>
  <w:style w:type="paragraph" w:customStyle="1" w:styleId="30">
    <w:name w:val="章标题"/>
    <w:next w:val="31"/>
    <w:qFormat/>
    <w:uiPriority w:val="0"/>
    <w:pPr>
      <w:spacing w:before="50" w:after="50"/>
      <w:jc w:val="both"/>
      <w:outlineLvl w:val="1"/>
    </w:pPr>
    <w:rPr>
      <w:rFonts w:ascii="黑体" w:hAnsi="Times New Roman" w:eastAsia="黑体" w:cs="Times New Roman"/>
      <w:sz w:val="21"/>
      <w:lang w:val="en-US" w:eastAsia="zh-CN" w:bidi="ar-SA"/>
    </w:rPr>
  </w:style>
  <w:style w:type="paragraph" w:customStyle="1" w:styleId="31">
    <w:name w:val="段"/>
    <w:link w:val="4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
    <w:name w:val="Char"/>
    <w:basedOn w:val="1"/>
    <w:qFormat/>
    <w:uiPriority w:val="0"/>
    <w:pPr>
      <w:widowControl/>
      <w:wordWrap w:val="0"/>
      <w:spacing w:line="440" w:lineRule="exact"/>
      <w:ind w:firstLine="200" w:firstLineChars="200"/>
      <w:jc w:val="left"/>
    </w:pPr>
    <w:rPr>
      <w:sz w:val="24"/>
      <w:szCs w:val="24"/>
    </w:rPr>
  </w:style>
  <w:style w:type="paragraph" w:customStyle="1" w:styleId="33">
    <w:name w:val="默认段落字体 Para Char Char Char Char"/>
    <w:basedOn w:val="1"/>
    <w:qFormat/>
    <w:uiPriority w:val="0"/>
    <w:rPr>
      <w:szCs w:val="24"/>
    </w:rPr>
  </w:style>
  <w:style w:type="paragraph" w:customStyle="1" w:styleId="34">
    <w:name w:val="目次、标准名称标题"/>
    <w:basedOn w:val="1"/>
    <w:next w:val="31"/>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35">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3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7">
    <w:name w:val="五级条标题"/>
    <w:basedOn w:val="38"/>
    <w:next w:val="1"/>
    <w:qFormat/>
    <w:uiPriority w:val="0"/>
    <w:pPr>
      <w:outlineLvl w:val="6"/>
    </w:pPr>
  </w:style>
  <w:style w:type="paragraph" w:customStyle="1" w:styleId="38">
    <w:name w:val="四级条标题"/>
    <w:basedOn w:val="27"/>
    <w:next w:val="1"/>
    <w:qFormat/>
    <w:uiPriority w:val="0"/>
    <w:pPr>
      <w:outlineLvl w:val="5"/>
    </w:pPr>
  </w:style>
  <w:style w:type="paragraph" w:customStyle="1" w:styleId="3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0">
    <w:name w:val="终结线"/>
    <w:basedOn w:val="1"/>
    <w:qFormat/>
    <w:uiPriority w:val="0"/>
  </w:style>
  <w:style w:type="paragraph" w:customStyle="1" w:styleId="41">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2">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43">
    <w:name w:val="封面标准号2"/>
    <w:basedOn w:val="1"/>
    <w:qFormat/>
    <w:uiPriority w:val="0"/>
    <w:pPr>
      <w:kinsoku w:val="0"/>
      <w:overflowPunct w:val="0"/>
      <w:autoSpaceDE w:val="0"/>
      <w:autoSpaceDN w:val="0"/>
      <w:adjustRightInd w:val="0"/>
      <w:spacing w:before="357" w:line="280" w:lineRule="exact"/>
      <w:jc w:val="right"/>
      <w:textAlignment w:val="center"/>
    </w:pPr>
    <w:rPr>
      <w:kern w:val="0"/>
      <w:sz w:val="28"/>
    </w:rPr>
  </w:style>
  <w:style w:type="paragraph" w:customStyle="1" w:styleId="44">
    <w:name w:val="列出段落1"/>
    <w:basedOn w:val="1"/>
    <w:qFormat/>
    <w:uiPriority w:val="34"/>
    <w:pPr>
      <w:ind w:firstLine="420" w:firstLineChars="200"/>
    </w:pPr>
  </w:style>
  <w:style w:type="paragraph" w:customStyle="1" w:styleId="45">
    <w:name w:val="p0"/>
    <w:basedOn w:val="1"/>
    <w:qFormat/>
    <w:uiPriority w:val="0"/>
    <w:pPr>
      <w:widowControl/>
    </w:pPr>
    <w:rPr>
      <w:kern w:val="0"/>
      <w:szCs w:val="21"/>
    </w:rPr>
  </w:style>
  <w:style w:type="paragraph" w:customStyle="1" w:styleId="46">
    <w:name w:val="标准书眉_偶数页"/>
    <w:basedOn w:val="39"/>
    <w:next w:val="1"/>
    <w:qFormat/>
    <w:uiPriority w:val="0"/>
  </w:style>
  <w:style w:type="paragraph" w:customStyle="1" w:styleId="47">
    <w:name w:val="标准书脚_偶数页"/>
    <w:qFormat/>
    <w:uiPriority w:val="0"/>
    <w:pPr>
      <w:spacing w:before="120"/>
    </w:pPr>
    <w:rPr>
      <w:rFonts w:ascii="Times New Roman" w:hAnsi="Times New Roman" w:eastAsia="宋体" w:cs="Times New Roman"/>
      <w:sz w:val="18"/>
      <w:lang w:val="en-US" w:eastAsia="zh-CN" w:bidi="ar-SA"/>
    </w:rPr>
  </w:style>
  <w:style w:type="character" w:customStyle="1" w:styleId="48">
    <w:name w:val="段 Char Char"/>
    <w:link w:val="31"/>
    <w:qFormat/>
    <w:uiPriority w:val="0"/>
    <w:rPr>
      <w:rFonts w:ascii="宋体"/>
      <w:sz w:val="21"/>
    </w:rPr>
  </w:style>
  <w:style w:type="paragraph" w:styleId="49">
    <w:name w:val="List Paragraph"/>
    <w:basedOn w:val="1"/>
    <w:unhideWhenUsed/>
    <w:qFormat/>
    <w:uiPriority w:val="99"/>
    <w:pPr>
      <w:ind w:firstLine="420" w:firstLineChars="200"/>
    </w:pPr>
  </w:style>
  <w:style w:type="character" w:customStyle="1" w:styleId="50">
    <w:name w:val="纯文本 Char"/>
    <w:link w:val="4"/>
    <w:qFormat/>
    <w:uiPriority w:val="0"/>
    <w:rPr>
      <w:rFonts w:ascii="宋体" w:hAnsi="Courier New"/>
      <w:kern w:val="2"/>
      <w:sz w:val="21"/>
    </w:rPr>
  </w:style>
  <w:style w:type="character" w:customStyle="1" w:styleId="51">
    <w:name w:val="纯文本 Char1"/>
    <w:basedOn w:val="14"/>
    <w:qFormat/>
    <w:uiPriority w:val="0"/>
    <w:rPr>
      <w:rFonts w:ascii="宋体" w:hAnsi="Courier New" w:cs="Courier New"/>
      <w:kern w:val="2"/>
      <w:sz w:val="21"/>
      <w:szCs w:val="21"/>
    </w:rPr>
  </w:style>
  <w:style w:type="character" w:customStyle="1" w:styleId="52">
    <w:name w:val="段 Char"/>
    <w:qFormat/>
    <w:uiPriority w:val="0"/>
    <w:rPr>
      <w:rFonts w:ascii="宋体"/>
      <w:sz w:val="21"/>
      <w:lang w:val="en-US" w:eastAsia="zh-CN" w:bidi="ar-SA"/>
    </w:rPr>
  </w:style>
  <w:style w:type="table" w:customStyle="1" w:styleId="53">
    <w:name w:val="网格型1"/>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
    <w:name w:val="网格型2"/>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5">
    <w:name w:val="修订1"/>
    <w:hidden/>
    <w:semiHidden/>
    <w:qFormat/>
    <w:uiPriority w:val="99"/>
    <w:rPr>
      <w:rFonts w:ascii="Times New Roman" w:hAnsi="Times New Roman" w:eastAsia="宋体" w:cs="Times New Roman"/>
      <w:kern w:val="2"/>
      <w:sz w:val="21"/>
      <w:lang w:val="en-US" w:eastAsia="zh-CN" w:bidi="ar-SA"/>
    </w:rPr>
  </w:style>
  <w:style w:type="character" w:customStyle="1" w:styleId="56">
    <w:name w:val="二级条标题 Char"/>
    <w:link w:val="28"/>
    <w:qFormat/>
    <w:uiPriority w:val="0"/>
    <w:rPr>
      <w:rFonts w:ascii="黑体" w:hAnsi="Times New Roman" w:eastAsia="黑体"/>
      <w:sz w:val="21"/>
    </w:rPr>
  </w:style>
  <w:style w:type="table" w:customStyle="1" w:styleId="57">
    <w:name w:val="网格型3"/>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
    <w:name w:val="网格型11"/>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网格型21"/>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0">
    <w:name w:val="修订1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66A71-666A-401E-9396-B41F89BEE516}">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12</Pages>
  <Words>5833</Words>
  <Characters>6532</Characters>
  <Lines>111</Lines>
  <Paragraphs>61</Paragraphs>
  <TotalTime>1</TotalTime>
  <ScaleCrop>false</ScaleCrop>
  <LinksUpToDate>false</LinksUpToDate>
  <CharactersWithSpaces>6606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2022-04-28T01:31:00Z</dcterms:created>
  <dc:creator>鐣寗</dc:creator>
  <cp:lastModifiedBy>尘埃</cp:lastModifiedBy>
  <cp:lastPrinted>2021-07-01T00:46:00Z</cp:lastPrinted>
  <dcterms:modified xsi:type="dcterms:W3CDTF">2022-10-31T06:39:29Z</dcterms:modified>
  <dc:title>鍥藉鏍囧噯銆婄景鍩洪晬绮夈€嬬紪鍒惰鏄庝功</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7AD9704E41694185ADEC7279CCCDE5EA</vt:lpwstr>
  </property>
</Properties>
</file>