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1" w:firstLineChars="1000"/>
        <w:jc w:val="both"/>
        <w:rPr>
          <w:rFonts w:hint="eastAsia" w:ascii="黑体" w:hAnsi="黑体" w:eastAsia="黑体" w:cs="黑体"/>
          <w:b/>
          <w:i w:val="0"/>
          <w:caps w:val="0"/>
          <w:color w:val="000000"/>
          <w:spacing w:val="0"/>
          <w:sz w:val="18"/>
          <w:szCs w:val="18"/>
          <w:shd w:val="clear" w:fill="FFFFFF"/>
        </w:rPr>
      </w:pPr>
      <w:r>
        <w:rPr>
          <w:rFonts w:hint="eastAsia" w:ascii="黑体" w:hAnsi="黑体" w:eastAsia="黑体" w:cs="黑体"/>
          <w:b/>
          <w:i w:val="0"/>
          <w:caps w:val="0"/>
          <w:color w:val="000000"/>
          <w:spacing w:val="0"/>
          <w:sz w:val="28"/>
          <w:szCs w:val="28"/>
          <w:shd w:val="clear" w:fill="FFFFFF"/>
          <w:lang w:eastAsia="zh-CN"/>
        </w:rPr>
        <w:t>《</w:t>
      </w:r>
      <w:r>
        <w:rPr>
          <w:rFonts w:hint="eastAsia" w:ascii="黑体" w:hAnsi="黑体" w:eastAsia="黑体" w:cs="黑体"/>
          <w:b/>
          <w:i w:val="0"/>
          <w:caps w:val="0"/>
          <w:color w:val="000000"/>
          <w:spacing w:val="0"/>
          <w:sz w:val="28"/>
          <w:szCs w:val="28"/>
          <w:shd w:val="clear" w:fill="FFFFFF"/>
        </w:rPr>
        <w:t>电工用镉铜棒》</w:t>
      </w:r>
      <w:r>
        <w:rPr>
          <w:rFonts w:hint="eastAsia" w:ascii="黑体" w:hAnsi="黑体" w:eastAsia="黑体" w:cs="黑体"/>
          <w:b/>
          <w:i w:val="0"/>
          <w:caps w:val="0"/>
          <w:color w:val="000000"/>
          <w:spacing w:val="0"/>
          <w:sz w:val="28"/>
          <w:szCs w:val="28"/>
          <w:shd w:val="clear" w:fill="FFFFFF"/>
        </w:rPr>
        <w:t>编制说明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807" w:firstLineChars="1000"/>
        <w:jc w:val="both"/>
        <w:rPr>
          <w:rFonts w:hint="eastAsia" w:ascii="黑体" w:hAnsi="黑体" w:eastAsia="黑体" w:cs="黑体"/>
          <w:b/>
          <w:i w:val="0"/>
          <w:caps w:val="0"/>
          <w:color w:val="000000"/>
          <w:spacing w:val="0"/>
          <w:sz w:val="18"/>
          <w:szCs w:val="18"/>
          <w:shd w:val="clear" w:fill="FFFFFF"/>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jc w:val="both"/>
        <w:rPr>
          <w:rFonts w:hint="eastAsia" w:ascii="黑体" w:hAnsi="黑体" w:eastAsia="黑体" w:cs="黑体"/>
          <w:b w:val="0"/>
          <w:bCs/>
          <w:i w:val="0"/>
          <w:caps w:val="0"/>
          <w:color w:val="000000"/>
          <w:spacing w:val="0"/>
          <w:sz w:val="21"/>
          <w:szCs w:val="21"/>
          <w:shd w:val="clear" w:fill="FFFFFF"/>
          <w:lang w:eastAsia="zh-CN"/>
        </w:rPr>
      </w:pPr>
      <w:r>
        <w:rPr>
          <w:rFonts w:hint="eastAsia" w:ascii="黑体" w:hAnsi="黑体" w:eastAsia="黑体" w:cs="黑体"/>
          <w:b w:val="0"/>
          <w:bCs/>
          <w:i w:val="0"/>
          <w:caps w:val="0"/>
          <w:color w:val="000000"/>
          <w:spacing w:val="0"/>
          <w:sz w:val="21"/>
          <w:szCs w:val="21"/>
          <w:shd w:val="clear" w:fill="FFFFFF"/>
          <w:lang w:eastAsia="zh-CN"/>
        </w:rPr>
        <w:t>任务来源</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rightChars="0" w:firstLine="42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根据</w:t>
      </w:r>
      <w:r>
        <w:rPr>
          <w:rFonts w:hint="default" w:ascii="Times New Roman" w:hAnsi="Times New Roman" w:cs="Times New Roman"/>
          <w:color w:val="auto"/>
          <w:sz w:val="21"/>
          <w:szCs w:val="21"/>
          <w:lang w:val="en-US" w:eastAsia="zh-CN"/>
        </w:rPr>
        <w:t>工信厅科函（2022）94号</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2022年第一批行业标准制修订和外文版项目计划的通知》</w:t>
      </w:r>
      <w:r>
        <w:rPr>
          <w:rFonts w:hint="default" w:ascii="Times New Roman" w:hAnsi="Times New Roman" w:eastAsia="宋体" w:cs="Times New Roman"/>
          <w:color w:val="auto"/>
          <w:sz w:val="21"/>
          <w:szCs w:val="21"/>
        </w:rPr>
        <w:t>，由</w:t>
      </w:r>
      <w:r>
        <w:rPr>
          <w:rFonts w:hint="default" w:ascii="Times New Roman" w:hAnsi="Times New Roman" w:eastAsia="宋体" w:cs="Times New Roman"/>
          <w:color w:val="auto"/>
          <w:sz w:val="21"/>
          <w:szCs w:val="21"/>
          <w:lang w:eastAsia="zh-CN"/>
        </w:rPr>
        <w:t>沈阳有色金属研究所</w:t>
      </w:r>
      <w:r>
        <w:rPr>
          <w:rFonts w:hint="default" w:ascii="Times New Roman" w:hAnsi="Times New Roman" w:eastAsia="宋体" w:cs="Times New Roman"/>
          <w:color w:val="auto"/>
          <w:sz w:val="21"/>
          <w:szCs w:val="21"/>
        </w:rPr>
        <w:t>有限公司负责起草</w:t>
      </w:r>
      <w:r>
        <w:rPr>
          <w:rFonts w:hint="default" w:ascii="Times New Roman" w:hAnsi="Times New Roman" w:eastAsia="宋体" w:cs="Times New Roman"/>
          <w:color w:val="auto"/>
          <w:sz w:val="21"/>
          <w:szCs w:val="21"/>
          <w:lang w:eastAsia="zh-CN"/>
        </w:rPr>
        <w:t>修订</w:t>
      </w:r>
      <w:r>
        <w:rPr>
          <w:rFonts w:hint="default" w:ascii="Times New Roman" w:hAnsi="Times New Roman" w:cs="Times New Roman"/>
          <w:color w:val="auto"/>
          <w:sz w:val="21"/>
          <w:szCs w:val="21"/>
          <w:lang w:val="en-US" w:eastAsia="zh-CN"/>
        </w:rPr>
        <w:t>行业</w:t>
      </w:r>
      <w:r>
        <w:rPr>
          <w:rFonts w:hint="default" w:ascii="Times New Roman" w:hAnsi="Times New Roman" w:eastAsia="宋体" w:cs="Times New Roman"/>
          <w:color w:val="auto"/>
          <w:sz w:val="21"/>
          <w:szCs w:val="21"/>
        </w:rPr>
        <w:t>标准《</w:t>
      </w:r>
      <w:r>
        <w:rPr>
          <w:rFonts w:hint="default" w:ascii="Times New Roman" w:hAnsi="Times New Roman" w:cs="Times New Roman"/>
          <w:color w:val="auto"/>
          <w:sz w:val="21"/>
          <w:szCs w:val="21"/>
          <w:lang w:val="en-US" w:eastAsia="zh-CN"/>
        </w:rPr>
        <w:t>电工用镉铜棒</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，项目</w:t>
      </w:r>
      <w:r>
        <w:rPr>
          <w:rFonts w:hint="default" w:ascii="Times New Roman" w:hAnsi="Times New Roman" w:eastAsia="宋体" w:cs="Times New Roman"/>
          <w:color w:val="auto"/>
          <w:sz w:val="21"/>
          <w:szCs w:val="21"/>
        </w:rPr>
        <w:t>计划编号</w:t>
      </w:r>
      <w:r>
        <w:rPr>
          <w:rFonts w:hint="default" w:ascii="Times New Roman" w:hAnsi="Times New Roman" w:eastAsia="宋体" w:cs="Times New Roman"/>
          <w:i w:val="0"/>
          <w:caps w:val="0"/>
          <w:color w:val="000000"/>
          <w:spacing w:val="0"/>
          <w:sz w:val="21"/>
          <w:szCs w:val="21"/>
          <w:shd w:val="clear" w:fill="FFFFFF"/>
        </w:rPr>
        <w:t>20</w:t>
      </w:r>
      <w:r>
        <w:rPr>
          <w:rFonts w:hint="default" w:ascii="Times New Roman" w:hAnsi="Times New Roman" w:eastAsia="宋体" w:cs="Times New Roman"/>
          <w:i w:val="0"/>
          <w:caps w:val="0"/>
          <w:color w:val="000000"/>
          <w:spacing w:val="0"/>
          <w:sz w:val="21"/>
          <w:szCs w:val="21"/>
          <w:shd w:val="clear" w:fill="FFFFFF"/>
          <w:lang w:val="en-US" w:eastAsia="zh-CN"/>
        </w:rPr>
        <w:t>22</w:t>
      </w:r>
      <w:r>
        <w:rPr>
          <w:rFonts w:hint="default" w:ascii="Times New Roman" w:hAnsi="Times New Roman" w:eastAsia="宋体" w:cs="Times New Roman"/>
          <w:i w:val="0"/>
          <w:caps w:val="0"/>
          <w:color w:val="000000"/>
          <w:spacing w:val="0"/>
          <w:sz w:val="21"/>
          <w:szCs w:val="21"/>
          <w:shd w:val="clear" w:fill="FFFFFF"/>
        </w:rPr>
        <w:t>-0</w:t>
      </w:r>
      <w:r>
        <w:rPr>
          <w:rFonts w:hint="default" w:ascii="Times New Roman" w:hAnsi="Times New Roman" w:eastAsia="宋体" w:cs="Times New Roman"/>
          <w:i w:val="0"/>
          <w:caps w:val="0"/>
          <w:color w:val="000000"/>
          <w:spacing w:val="0"/>
          <w:sz w:val="21"/>
          <w:szCs w:val="21"/>
          <w:shd w:val="clear" w:fill="FFFFFF"/>
          <w:lang w:val="en-US" w:eastAsia="zh-CN"/>
        </w:rPr>
        <w:t>2</w:t>
      </w:r>
      <w:r>
        <w:rPr>
          <w:rFonts w:hint="default" w:ascii="Times New Roman" w:hAnsi="Times New Roman" w:eastAsia="宋体" w:cs="Times New Roman"/>
          <w:i w:val="0"/>
          <w:caps w:val="0"/>
          <w:color w:val="000000"/>
          <w:spacing w:val="0"/>
          <w:sz w:val="21"/>
          <w:szCs w:val="21"/>
          <w:shd w:val="clear" w:fill="FFFFFF"/>
        </w:rPr>
        <w:t>1</w:t>
      </w:r>
      <w:r>
        <w:rPr>
          <w:rFonts w:hint="default" w:ascii="Times New Roman" w:hAnsi="Times New Roman" w:eastAsia="宋体" w:cs="Times New Roman"/>
          <w:i w:val="0"/>
          <w:caps w:val="0"/>
          <w:color w:val="000000"/>
          <w:spacing w:val="0"/>
          <w:sz w:val="21"/>
          <w:szCs w:val="21"/>
          <w:shd w:val="clear" w:fill="FFFFFF"/>
          <w:lang w:val="en-US" w:eastAsia="zh-CN"/>
        </w:rPr>
        <w:t>0</w:t>
      </w:r>
      <w:r>
        <w:rPr>
          <w:rFonts w:hint="default" w:ascii="Times New Roman" w:hAnsi="Times New Roman" w:eastAsia="宋体" w:cs="Times New Roman"/>
          <w:i w:val="0"/>
          <w:caps w:val="0"/>
          <w:color w:val="000000"/>
          <w:spacing w:val="0"/>
          <w:sz w:val="21"/>
          <w:szCs w:val="21"/>
          <w:shd w:val="clear" w:fill="FFFFFF"/>
        </w:rPr>
        <w:t>T-YS</w:t>
      </w:r>
      <w:r>
        <w:rPr>
          <w:rFonts w:hint="default" w:ascii="Times New Roman" w:hAnsi="Times New Roman" w:eastAsia="宋体" w:cs="Times New Roman"/>
          <w:color w:val="auto"/>
          <w:sz w:val="21"/>
          <w:szCs w:val="21"/>
        </w:rPr>
        <w:t>，完成年限为</w:t>
      </w:r>
      <w:r>
        <w:rPr>
          <w:rFonts w:hint="default" w:ascii="Times New Roman" w:hAnsi="Times New Roman" w:eastAsia="宋体" w:cs="Times New Roman"/>
          <w:bCs/>
          <w:color w:val="auto"/>
          <w:sz w:val="21"/>
          <w:szCs w:val="21"/>
        </w:rPr>
        <w:t>20</w:t>
      </w:r>
      <w:r>
        <w:rPr>
          <w:rFonts w:hint="default" w:ascii="Times New Roman" w:hAnsi="Times New Roman" w:cs="Times New Roman"/>
          <w:bCs/>
          <w:color w:val="auto"/>
          <w:sz w:val="21"/>
          <w:szCs w:val="21"/>
          <w:lang w:val="en-US" w:eastAsia="zh-CN"/>
        </w:rPr>
        <w:t>23</w:t>
      </w:r>
      <w:r>
        <w:rPr>
          <w:rFonts w:hint="default" w:ascii="Times New Roman" w:hAnsi="Times New Roman" w:eastAsia="宋体" w:cs="Times New Roman"/>
          <w:color w:val="auto"/>
          <w:sz w:val="21"/>
          <w:szCs w:val="21"/>
        </w:rPr>
        <w:t>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jc w:val="both"/>
        <w:rPr>
          <w:rFonts w:hint="eastAsia" w:ascii="黑体" w:hAnsi="黑体" w:eastAsia="黑体" w:cs="黑体"/>
          <w:b w:val="0"/>
          <w:bCs/>
          <w:i w:val="0"/>
          <w:caps w:val="0"/>
          <w:color w:val="000000"/>
          <w:spacing w:val="0"/>
          <w:sz w:val="21"/>
          <w:szCs w:val="21"/>
          <w:shd w:val="clear" w:fill="FFFFFF"/>
          <w:lang w:eastAsia="zh-CN"/>
        </w:rPr>
      </w:pPr>
      <w:r>
        <w:rPr>
          <w:rFonts w:hint="eastAsia" w:ascii="黑体" w:hAnsi="黑体" w:eastAsia="黑体" w:cs="黑体"/>
          <w:b w:val="0"/>
          <w:bCs/>
          <w:i w:val="0"/>
          <w:caps w:val="0"/>
          <w:color w:val="000000"/>
          <w:spacing w:val="0"/>
          <w:sz w:val="21"/>
          <w:szCs w:val="21"/>
          <w:shd w:val="clear" w:fill="FFFFFF"/>
          <w:lang w:eastAsia="zh-CN"/>
        </w:rPr>
        <w:t>工作简况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1、</w:t>
      </w:r>
      <w:r>
        <w:rPr>
          <w:rFonts w:hint="eastAsia" w:ascii="黑体" w:hAnsi="黑体" w:eastAsia="黑体" w:cs="黑体"/>
          <w:color w:val="auto"/>
          <w:sz w:val="21"/>
          <w:szCs w:val="21"/>
        </w:rPr>
        <w:t>立项</w:t>
      </w:r>
      <w:r>
        <w:rPr>
          <w:rFonts w:hint="eastAsia" w:ascii="黑体" w:hAnsi="黑体" w:eastAsia="黑体" w:cs="黑体"/>
          <w:color w:val="auto"/>
          <w:sz w:val="21"/>
          <w:szCs w:val="21"/>
          <w:lang w:eastAsia="zh-CN"/>
        </w:rPr>
        <w:t>的目的和意义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镉铜具有高导电性和导热性，良好的耐磨性、减磨性、耐蚀性和加工性，广泛用于制造电工装置的导电，耐热，耐磨零件</w:t>
      </w:r>
      <w:r>
        <w:rPr>
          <w:rFonts w:hint="eastAsia" w:ascii="宋体" w:hAnsi="宋体" w:eastAsia="宋体" w:cs="宋体"/>
          <w:color w:val="auto"/>
          <w:sz w:val="21"/>
          <w:szCs w:val="21"/>
          <w:lang w:eastAsia="zh-CN"/>
        </w:rPr>
        <w:t>，及常用于</w:t>
      </w:r>
      <w:r>
        <w:rPr>
          <w:rFonts w:hint="eastAsia" w:ascii="宋体" w:hAnsi="宋体" w:eastAsia="宋体" w:cs="宋体"/>
          <w:color w:val="auto"/>
          <w:sz w:val="21"/>
          <w:szCs w:val="21"/>
        </w:rPr>
        <w:t>制作常温或高温下工作的高</w:t>
      </w:r>
      <w:r>
        <w:rPr>
          <w:rFonts w:hint="eastAsia" w:ascii="宋体" w:hAnsi="宋体" w:eastAsia="宋体" w:cs="宋体"/>
          <w:color w:val="auto"/>
          <w:sz w:val="21"/>
          <w:szCs w:val="21"/>
          <w:lang w:eastAsia="zh-CN"/>
        </w:rPr>
        <w:t>导</w:t>
      </w:r>
      <w:r>
        <w:rPr>
          <w:rFonts w:hint="eastAsia" w:ascii="宋体" w:hAnsi="宋体" w:eastAsia="宋体" w:cs="宋体"/>
          <w:color w:val="auto"/>
          <w:sz w:val="21"/>
          <w:szCs w:val="21"/>
        </w:rPr>
        <w:t>电、耐磨的零件，主要用途有：</w:t>
      </w:r>
      <w:r>
        <w:rPr>
          <w:rFonts w:hint="eastAsia" w:ascii="宋体" w:hAnsi="宋体" w:eastAsia="宋体" w:cs="宋体"/>
          <w:i w:val="0"/>
          <w:caps w:val="0"/>
          <w:color w:val="000000"/>
          <w:spacing w:val="0"/>
          <w:sz w:val="21"/>
          <w:szCs w:val="21"/>
          <w:shd w:val="clear" w:fill="FFFFFF"/>
        </w:rPr>
        <w:t xml:space="preserve">电机整流子、开关元件，较高强度的传输线，接头及接触焊机电极和滚轮等。是国防军工部门需用的重要有色金属材料之一。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镉铜棒是含有0.7%~1.2%镉质量分数的高铜合金。高温时镉与铜形成a固溶体，随温度的降低，镉在铜中的固溶度急剧下降。由于镉的含量低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析出相质点强化效果很弱，因此，合金不能通过热处理时效硬化，只能采用冷变形</w:t>
      </w:r>
      <w:bookmarkStart w:id="0" w:name="_GoBack"/>
      <w:bookmarkEnd w:id="0"/>
      <w:r>
        <w:rPr>
          <w:rFonts w:hint="eastAsia" w:ascii="宋体" w:hAnsi="宋体" w:eastAsia="宋体" w:cs="宋体"/>
          <w:color w:val="auto"/>
          <w:sz w:val="21"/>
          <w:szCs w:val="21"/>
        </w:rPr>
        <w:t>加工获得强化。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镉的加入，使铜的导电率略有下降，但其强度，再结晶温度和抗高温软化能力明显提高，合金具有良好的冷、热加工性能。能承受热挤、热轧、热弯、锻造和多种形式的冷变形加工，变形率可达90%以上。根据不同应用的需要，可供应锻制大规格棒材， 挤制棒材和高精度拉制棒材</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随着电力、装备制造领域的科技进步，主要装备向高可靠、长寿命、高性能、高功效、节能环保方向迅速发展，对材料的导电、导热、强度、抗软化等综合性能要求越来越高。镉铜棒材是目前综合性能较好的高强高导铜基合金材料，具有其他合金不具备的特殊性能，广泛用于制造大功率、大电流、高温等恶劣工况下的重要导电、导热器件。其应用正不断被开发，产品正在被不同行业所重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沈阳</w:t>
      </w:r>
      <w:r>
        <w:rPr>
          <w:rFonts w:hint="eastAsia" w:ascii="宋体" w:hAnsi="宋体" w:eastAsia="宋体" w:cs="宋体"/>
          <w:color w:val="auto"/>
          <w:sz w:val="21"/>
          <w:szCs w:val="21"/>
          <w:lang w:eastAsia="zh-CN"/>
        </w:rPr>
        <w:t>有色</w:t>
      </w:r>
      <w:r>
        <w:rPr>
          <w:rFonts w:hint="eastAsia" w:ascii="宋体" w:hAnsi="宋体" w:eastAsia="宋体" w:cs="宋体"/>
          <w:color w:val="auto"/>
          <w:sz w:val="21"/>
          <w:szCs w:val="21"/>
        </w:rPr>
        <w:t>金属研究所</w:t>
      </w:r>
      <w:r>
        <w:rPr>
          <w:rFonts w:hint="eastAsia" w:ascii="宋体" w:hAnsi="宋体" w:eastAsia="宋体" w:cs="宋体"/>
          <w:color w:val="auto"/>
          <w:sz w:val="21"/>
          <w:szCs w:val="21"/>
          <w:lang w:eastAsia="zh-CN"/>
        </w:rPr>
        <w:t>有限公司，</w:t>
      </w:r>
      <w:r>
        <w:rPr>
          <w:rFonts w:hint="eastAsia" w:ascii="宋体" w:hAnsi="宋体" w:eastAsia="宋体" w:cs="宋体"/>
          <w:color w:val="auto"/>
          <w:sz w:val="21"/>
          <w:szCs w:val="21"/>
        </w:rPr>
        <w:t>利用真空熔炼方式生产镉铜棒材，有效避免了熔炼过程中镉对环境的污染，产品质量稳定，占有较大的市场份额。</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lang w:eastAsia="zh-CN"/>
        </w:rPr>
        <w:t>申报单位情况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沈阳有色金属研</w:t>
      </w:r>
      <w:r>
        <w:rPr>
          <w:rFonts w:hint="eastAsia" w:ascii="宋体" w:hAnsi="宋体" w:eastAsia="宋体" w:cs="宋体"/>
          <w:color w:val="auto"/>
          <w:sz w:val="21"/>
          <w:szCs w:val="21"/>
        </w:rPr>
        <w:t>究所有限公司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是一家从事有色金属材料研发和生产的高新技术企业，主要产品有铜及铜合金、镍及镍合金、钛及钛合金、贵金属合金和钎焊料等复杂的板、带、箔、管、棒、线、型材及军工制品等。公司</w:t>
      </w:r>
      <w:r>
        <w:rPr>
          <w:rFonts w:hint="eastAsia" w:ascii="宋体" w:hAnsi="宋体" w:eastAsia="宋体" w:cs="宋体"/>
          <w:color w:val="auto"/>
          <w:sz w:val="21"/>
          <w:szCs w:val="21"/>
          <w:lang w:eastAsia="zh-CN"/>
        </w:rPr>
        <w:t>拥有从真空熔炼到板、带、管、棒、线材加工的完整生产线</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主要的生产设备有：真空感应电炉（二台）；</w:t>
      </w:r>
      <w:r>
        <w:rPr>
          <w:rFonts w:hint="eastAsia" w:ascii="宋体" w:hAnsi="宋体" w:eastAsia="宋体" w:cs="宋体"/>
          <w:color w:val="auto"/>
          <w:sz w:val="21"/>
          <w:szCs w:val="21"/>
          <w:lang w:val="en-US" w:eastAsia="zh-CN"/>
        </w:rPr>
        <w:t>现代化板、带材生产线，其具有热轧、中轧、冷轧、自动剪切等先进生产系统；</w:t>
      </w:r>
      <w:r>
        <w:rPr>
          <w:rFonts w:hint="eastAsia" w:ascii="宋体" w:hAnsi="宋体" w:eastAsia="宋体" w:cs="宋体"/>
          <w:color w:val="auto"/>
          <w:sz w:val="21"/>
          <w:szCs w:val="21"/>
          <w:lang w:eastAsia="zh-CN"/>
        </w:rPr>
        <w:t>板材冷热轧机、高精度带材可逆冷轧机；井式真空退火炉、卧式真空退火炉；多台管、棒、线材拉伸机等。拥有最先进的高精度</w:t>
      </w:r>
      <w:r>
        <w:rPr>
          <w:rFonts w:hint="eastAsia" w:ascii="宋体" w:hAnsi="宋体" w:eastAsia="宋体" w:cs="宋体"/>
          <w:color w:val="auto"/>
          <w:sz w:val="21"/>
          <w:szCs w:val="21"/>
        </w:rPr>
        <w:t>试验、</w:t>
      </w:r>
      <w:r>
        <w:rPr>
          <w:rFonts w:hint="eastAsia" w:ascii="宋体" w:hAnsi="宋体" w:eastAsia="宋体" w:cs="宋体"/>
          <w:color w:val="auto"/>
          <w:sz w:val="21"/>
          <w:szCs w:val="21"/>
          <w:lang w:eastAsia="zh-CN"/>
        </w:rPr>
        <w:t>检测设备：电感耦合等离子体原子发射光谱仪（</w:t>
      </w:r>
      <w:r>
        <w:rPr>
          <w:rFonts w:hint="eastAsia" w:ascii="宋体" w:hAnsi="宋体" w:eastAsia="宋体" w:cs="宋体"/>
          <w:color w:val="auto"/>
          <w:sz w:val="21"/>
          <w:szCs w:val="21"/>
          <w:lang w:val="en-US" w:eastAsia="zh-CN"/>
        </w:rPr>
        <w:t>Plasma 2000）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电子万能试验机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岛津SHIMADZU</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高频红外碳硫分析仪（CS-2800）、</w:t>
      </w:r>
      <w:r>
        <w:rPr>
          <w:rFonts w:hint="eastAsia" w:ascii="宋体" w:hAnsi="宋体" w:eastAsia="宋体" w:cs="宋体"/>
          <w:color w:val="auto"/>
          <w:sz w:val="21"/>
          <w:szCs w:val="21"/>
        </w:rPr>
        <w:t>涡流导电仪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Sigma2008B</w:t>
      </w:r>
      <w:r>
        <w:rPr>
          <w:rFonts w:hint="eastAsia" w:ascii="宋体" w:hAnsi="宋体" w:eastAsia="宋体" w:cs="宋体"/>
          <w:color w:val="auto"/>
          <w:sz w:val="21"/>
          <w:szCs w:val="21"/>
          <w:lang w:eastAsia="zh-CN"/>
        </w:rPr>
        <w:t>）、高倍</w:t>
      </w:r>
      <w:r>
        <w:rPr>
          <w:rFonts w:hint="eastAsia" w:ascii="宋体" w:hAnsi="宋体" w:eastAsia="宋体" w:cs="宋体"/>
          <w:color w:val="auto"/>
          <w:sz w:val="21"/>
          <w:szCs w:val="21"/>
        </w:rPr>
        <w:t>金相显微镜</w:t>
      </w:r>
      <w:r>
        <w:rPr>
          <w:rFonts w:hint="eastAsia" w:ascii="宋体" w:hAnsi="宋体" w:eastAsia="宋体" w:cs="宋体"/>
          <w:color w:val="auto"/>
          <w:sz w:val="21"/>
          <w:szCs w:val="21"/>
          <w:lang w:eastAsia="zh-CN"/>
        </w:rPr>
        <w:t>、各种硬度计等，</w:t>
      </w:r>
      <w:r>
        <w:rPr>
          <w:rFonts w:hint="eastAsia" w:ascii="宋体" w:hAnsi="宋体" w:eastAsia="宋体" w:cs="宋体"/>
          <w:color w:val="auto"/>
          <w:sz w:val="21"/>
          <w:szCs w:val="21"/>
        </w:rPr>
        <w:t>可实现从生产到试验</w:t>
      </w:r>
      <w:r>
        <w:rPr>
          <w:rFonts w:hint="eastAsia" w:ascii="宋体" w:hAnsi="宋体" w:eastAsia="宋体" w:cs="宋体"/>
          <w:color w:val="auto"/>
          <w:sz w:val="21"/>
          <w:szCs w:val="21"/>
          <w:lang w:eastAsia="zh-CN"/>
        </w:rPr>
        <w:t>、检测</w:t>
      </w:r>
      <w:r>
        <w:rPr>
          <w:rFonts w:hint="eastAsia" w:ascii="宋体" w:hAnsi="宋体" w:eastAsia="宋体" w:cs="宋体"/>
          <w:color w:val="auto"/>
          <w:sz w:val="21"/>
          <w:szCs w:val="21"/>
        </w:rPr>
        <w:t>的整套流程。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公司建</w:t>
      </w:r>
      <w:r>
        <w:rPr>
          <w:rFonts w:hint="eastAsia" w:ascii="宋体" w:hAnsi="宋体" w:eastAsia="宋体" w:cs="宋体"/>
          <w:color w:val="auto"/>
          <w:sz w:val="21"/>
          <w:szCs w:val="21"/>
          <w:lang w:eastAsia="zh-CN"/>
        </w:rPr>
        <w:t>有</w:t>
      </w:r>
      <w:r>
        <w:rPr>
          <w:rFonts w:hint="eastAsia" w:ascii="宋体" w:hAnsi="宋体" w:eastAsia="宋体" w:cs="宋体"/>
          <w:color w:val="auto"/>
          <w:sz w:val="21"/>
          <w:szCs w:val="21"/>
        </w:rPr>
        <w:t>完善的科研体系、严谨的科研团队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拥有2项科学技术成果，</w:t>
      </w:r>
      <w:r>
        <w:rPr>
          <w:rFonts w:hint="eastAsia" w:ascii="宋体" w:hAnsi="宋体" w:eastAsia="宋体" w:cs="宋体"/>
          <w:color w:val="auto"/>
          <w:sz w:val="21"/>
          <w:szCs w:val="21"/>
          <w:lang w:val="en-US" w:eastAsia="zh-CN"/>
        </w:rPr>
        <w:t>10余</w:t>
      </w:r>
      <w:r>
        <w:rPr>
          <w:rFonts w:hint="eastAsia" w:ascii="宋体" w:hAnsi="宋体" w:eastAsia="宋体" w:cs="宋体"/>
          <w:color w:val="auto"/>
          <w:sz w:val="21"/>
          <w:szCs w:val="21"/>
        </w:rPr>
        <w:t>项国家专利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作为国家标准委员会会员单位，公司还先后起草</w:t>
      </w:r>
      <w:r>
        <w:rPr>
          <w:rFonts w:hint="eastAsia" w:ascii="宋体" w:hAnsi="宋体" w:eastAsia="宋体" w:cs="宋体"/>
          <w:color w:val="auto"/>
          <w:sz w:val="21"/>
          <w:szCs w:val="21"/>
          <w:lang w:eastAsia="zh-CN"/>
        </w:rPr>
        <w:t>和参与了十</w:t>
      </w:r>
      <w:r>
        <w:rPr>
          <w:rFonts w:hint="eastAsia" w:ascii="宋体" w:hAnsi="宋体" w:eastAsia="宋体" w:cs="宋体"/>
          <w:color w:val="auto"/>
          <w:sz w:val="21"/>
          <w:szCs w:val="21"/>
        </w:rPr>
        <w:t>多项国家标准及行业标准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编制</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。近几年公司管理水平逐步提高，先后通过</w:t>
      </w:r>
      <w:r>
        <w:rPr>
          <w:rFonts w:hint="eastAsia" w:ascii="宋体" w:hAnsi="宋体" w:eastAsia="宋体" w:cs="宋体"/>
          <w:color w:val="auto"/>
          <w:sz w:val="21"/>
          <w:szCs w:val="21"/>
          <w:lang w:eastAsia="zh-CN"/>
        </w:rPr>
        <w:t>并拥有各种生产资格及</w:t>
      </w:r>
      <w:r>
        <w:rPr>
          <w:rFonts w:hint="eastAsia" w:ascii="宋体" w:hAnsi="宋体" w:eastAsia="宋体" w:cs="宋体"/>
          <w:color w:val="auto"/>
          <w:sz w:val="21"/>
          <w:szCs w:val="21"/>
        </w:rPr>
        <w:t>资质。</w:t>
      </w:r>
      <w:r>
        <w:rPr>
          <w:rFonts w:hint="eastAsia" w:ascii="宋体" w:hAnsi="宋体" w:eastAsia="宋体" w:cs="宋体"/>
          <w:color w:val="auto"/>
          <w:sz w:val="21"/>
          <w:szCs w:val="21"/>
          <w:lang w:val="en-US" w:eastAsia="zh-CN"/>
        </w:rPr>
        <w:t>2020年，</w:t>
      </w:r>
      <w:r>
        <w:rPr>
          <w:rFonts w:hint="eastAsia" w:ascii="宋体" w:hAnsi="宋体" w:eastAsia="宋体" w:cs="宋体"/>
          <w:color w:val="auto"/>
          <w:sz w:val="21"/>
          <w:szCs w:val="21"/>
          <w:lang w:eastAsia="zh-CN"/>
        </w:rPr>
        <w:t>被评为辽宁省瞪羚企业；</w:t>
      </w:r>
      <w:r>
        <w:rPr>
          <w:rFonts w:hint="eastAsia" w:ascii="宋体" w:hAnsi="宋体" w:eastAsia="宋体" w:cs="宋体"/>
          <w:color w:val="auto"/>
          <w:sz w:val="21"/>
          <w:szCs w:val="21"/>
          <w:lang w:val="en-US" w:eastAsia="zh-CN"/>
        </w:rPr>
        <w:t>2021年，公司被认定为辽宁省有色金属合金材料专业技术创新中心。</w:t>
      </w:r>
      <w:r>
        <w:rPr>
          <w:rFonts w:hint="eastAsia" w:ascii="宋体" w:hAnsi="宋体" w:eastAsia="宋体" w:cs="宋体"/>
          <w:color w:val="auto"/>
          <w:sz w:val="21"/>
          <w:szCs w:val="21"/>
        </w:rPr>
        <w:t>开发出多种有色金属高科技材料，广泛应用在航空航天、船舶制造、微波传输、电子通讯、雷达探测、精密仪器仪表、兵器制造等领域，其中有30多种产品处于独家生产状态,多种材料实现国产化替代进口。目前，公司已被列为兵器、航空、航天、船舶</w:t>
      </w:r>
      <w:r>
        <w:rPr>
          <w:rFonts w:hint="eastAsia" w:ascii="宋体" w:hAnsi="宋体" w:eastAsia="宋体" w:cs="宋体"/>
          <w:color w:val="auto"/>
          <w:sz w:val="21"/>
          <w:szCs w:val="21"/>
          <w:lang w:eastAsia="zh-CN"/>
        </w:rPr>
        <w:t>电子</w:t>
      </w:r>
      <w:r>
        <w:rPr>
          <w:rFonts w:hint="eastAsia" w:ascii="宋体" w:hAnsi="宋体" w:eastAsia="宋体" w:cs="宋体"/>
          <w:color w:val="auto"/>
          <w:sz w:val="21"/>
          <w:szCs w:val="21"/>
        </w:rPr>
        <w:t>集采平台的合格供应商。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sz w:val="21"/>
          <w:szCs w:val="21"/>
        </w:rPr>
      </w:pPr>
      <w:r>
        <w:rPr>
          <w:rFonts w:hint="eastAsia" w:ascii="宋体" w:hAnsi="宋体" w:eastAsia="宋体" w:cs="宋体"/>
          <w:color w:val="auto"/>
          <w:sz w:val="21"/>
          <w:szCs w:val="21"/>
          <w:lang w:eastAsia="zh-CN"/>
        </w:rPr>
        <w:t>由于公司在研发该合金材料产品上投入了大量的技术工作，并取得了显著的成果，</w:t>
      </w:r>
      <w:r>
        <w:rPr>
          <w:rFonts w:hint="eastAsia" w:ascii="宋体" w:hAnsi="宋体" w:eastAsia="宋体" w:cs="宋体"/>
          <w:color w:val="auto"/>
          <w:sz w:val="21"/>
          <w:szCs w:val="21"/>
        </w:rPr>
        <w:t>为</w:t>
      </w:r>
      <w:r>
        <w:rPr>
          <w:rFonts w:hint="eastAsia" w:ascii="宋体" w:hAnsi="宋体" w:eastAsia="宋体" w:cs="宋体"/>
          <w:color w:val="auto"/>
          <w:sz w:val="21"/>
          <w:szCs w:val="21"/>
          <w:lang w:eastAsia="zh-CN"/>
        </w:rPr>
        <w:t>修订</w:t>
      </w:r>
      <w:r>
        <w:rPr>
          <w:rFonts w:hint="eastAsia" w:ascii="宋体" w:hAnsi="宋体" w:eastAsia="宋体" w:cs="宋体"/>
          <w:color w:val="auto"/>
          <w:sz w:val="21"/>
          <w:szCs w:val="21"/>
        </w:rPr>
        <w:t>本标准提供了有力的技术支撑，具备</w:t>
      </w:r>
      <w:r>
        <w:rPr>
          <w:rFonts w:hint="eastAsia" w:ascii="宋体" w:hAnsi="宋体" w:eastAsia="宋体" w:cs="宋体"/>
          <w:color w:val="auto"/>
          <w:sz w:val="21"/>
          <w:szCs w:val="21"/>
          <w:lang w:eastAsia="zh-CN"/>
        </w:rPr>
        <w:t>了修订</w:t>
      </w:r>
      <w:r>
        <w:rPr>
          <w:rFonts w:hint="eastAsia" w:ascii="宋体" w:hAnsi="宋体" w:eastAsia="宋体" w:cs="宋体"/>
          <w:color w:val="auto"/>
          <w:sz w:val="21"/>
          <w:szCs w:val="21"/>
        </w:rPr>
        <w:t>本标准的技术基础。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3、主要工作过程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自20</w:t>
      </w:r>
      <w:r>
        <w:rPr>
          <w:rFonts w:hint="default"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年标准</w:t>
      </w:r>
      <w:r>
        <w:rPr>
          <w:rFonts w:hint="default" w:ascii="Times New Roman" w:hAnsi="Times New Roman" w:eastAsia="宋体" w:cs="Times New Roman"/>
          <w:color w:val="auto"/>
          <w:sz w:val="21"/>
          <w:szCs w:val="21"/>
          <w:lang w:eastAsia="zh-CN"/>
        </w:rPr>
        <w:t>修订</w:t>
      </w:r>
      <w:r>
        <w:rPr>
          <w:rFonts w:hint="default" w:ascii="Times New Roman" w:hAnsi="Times New Roman" w:eastAsia="宋体" w:cs="Times New Roman"/>
          <w:color w:val="auto"/>
          <w:sz w:val="21"/>
          <w:szCs w:val="21"/>
        </w:rPr>
        <w:t>计划下达后，沈阳</w:t>
      </w:r>
      <w:r>
        <w:rPr>
          <w:rFonts w:hint="default" w:ascii="Times New Roman" w:hAnsi="Times New Roman" w:eastAsia="宋体" w:cs="Times New Roman"/>
          <w:color w:val="auto"/>
          <w:sz w:val="21"/>
          <w:szCs w:val="21"/>
          <w:lang w:eastAsia="zh-CN"/>
        </w:rPr>
        <w:t>有色</w:t>
      </w:r>
      <w:r>
        <w:rPr>
          <w:rFonts w:hint="default" w:ascii="Times New Roman" w:hAnsi="Times New Roman" w:eastAsia="宋体" w:cs="Times New Roman"/>
          <w:color w:val="auto"/>
          <w:sz w:val="21"/>
          <w:szCs w:val="21"/>
        </w:rPr>
        <w:t>金属研究所</w:t>
      </w:r>
      <w:r>
        <w:rPr>
          <w:rFonts w:hint="default" w:ascii="Times New Roman" w:hAnsi="Times New Roman" w:eastAsia="宋体" w:cs="Times New Roman"/>
          <w:color w:val="auto"/>
          <w:sz w:val="21"/>
          <w:szCs w:val="21"/>
          <w:lang w:eastAsia="zh-CN"/>
        </w:rPr>
        <w:t>有限公司立</w:t>
      </w:r>
      <w:r>
        <w:rPr>
          <w:rFonts w:hint="default" w:ascii="Times New Roman" w:hAnsi="Times New Roman" w:eastAsia="宋体" w:cs="Times New Roman"/>
          <w:color w:val="auto"/>
          <w:sz w:val="21"/>
          <w:szCs w:val="21"/>
        </w:rPr>
        <w:t>即成立了标准</w:t>
      </w:r>
      <w:r>
        <w:rPr>
          <w:rFonts w:hint="default" w:ascii="Times New Roman" w:hAnsi="Times New Roman" w:eastAsia="宋体" w:cs="Times New Roman"/>
          <w:color w:val="auto"/>
          <w:sz w:val="21"/>
          <w:szCs w:val="21"/>
          <w:lang w:eastAsia="zh-CN"/>
        </w:rPr>
        <w:t>修订</w:t>
      </w:r>
      <w:r>
        <w:rPr>
          <w:rFonts w:hint="default" w:ascii="Times New Roman" w:hAnsi="Times New Roman" w:eastAsia="宋体" w:cs="Times New Roman"/>
          <w:color w:val="auto"/>
          <w:sz w:val="21"/>
          <w:szCs w:val="21"/>
        </w:rPr>
        <w:t>小组，首先整理收集</w:t>
      </w:r>
      <w:r>
        <w:rPr>
          <w:rFonts w:hint="default" w:ascii="Times New Roman" w:hAnsi="Times New Roman" w:eastAsia="宋体" w:cs="Times New Roman"/>
          <w:color w:val="auto"/>
          <w:sz w:val="21"/>
          <w:szCs w:val="21"/>
          <w:lang w:eastAsia="zh-CN"/>
        </w:rPr>
        <w:t>公司</w:t>
      </w:r>
      <w:r>
        <w:rPr>
          <w:rFonts w:hint="default" w:ascii="Times New Roman" w:hAnsi="Times New Roman" w:eastAsia="宋体" w:cs="Times New Roman"/>
          <w:color w:val="auto"/>
          <w:sz w:val="21"/>
          <w:szCs w:val="21"/>
          <w:lang w:val="en-US" w:eastAsia="zh-CN"/>
        </w:rPr>
        <w:t>TCd1棒材</w:t>
      </w:r>
      <w:r>
        <w:rPr>
          <w:rFonts w:hint="default" w:ascii="Times New Roman" w:hAnsi="Times New Roman" w:eastAsia="宋体" w:cs="Times New Roman"/>
          <w:color w:val="auto"/>
          <w:sz w:val="21"/>
          <w:szCs w:val="21"/>
        </w:rPr>
        <w:t>产品</w:t>
      </w:r>
      <w:r>
        <w:rPr>
          <w:rFonts w:hint="default" w:ascii="Times New Roman" w:hAnsi="Times New Roman" w:eastAsia="宋体" w:cs="Times New Roman"/>
          <w:color w:val="auto"/>
          <w:sz w:val="21"/>
          <w:szCs w:val="21"/>
          <w:lang w:eastAsia="zh-CN"/>
        </w:rPr>
        <w:t>多年来生产实际积累的技术数据，进行整理组合分析</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将数据分析结果与原标准比对，确定原标准中部分技术指标已不适合现在用户的使用要求，因此更改部分技术指标值，以满足用户的需求。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default" w:ascii="黑体" w:hAnsi="黑体" w:eastAsia="黑体" w:cs="黑体"/>
          <w:b w:val="0"/>
          <w:bCs/>
          <w:i w:val="0"/>
          <w:caps w:val="0"/>
          <w:color w:val="000000"/>
          <w:spacing w:val="0"/>
          <w:kern w:val="2"/>
          <w:sz w:val="21"/>
          <w:szCs w:val="21"/>
          <w:shd w:val="clear" w:fill="FFFFFF"/>
          <w:lang w:val="en-US" w:eastAsia="zh-CN" w:bidi="ar-SA"/>
        </w:rPr>
      </w:pPr>
      <w:r>
        <w:rPr>
          <w:rFonts w:hint="default" w:ascii="黑体" w:hAnsi="黑体" w:eastAsia="黑体" w:cs="黑体"/>
          <w:b w:val="0"/>
          <w:bCs/>
          <w:i w:val="0"/>
          <w:caps w:val="0"/>
          <w:color w:val="000000"/>
          <w:spacing w:val="0"/>
          <w:kern w:val="2"/>
          <w:sz w:val="21"/>
          <w:szCs w:val="21"/>
          <w:shd w:val="clear" w:fill="FFFFFF"/>
          <w:lang w:val="en-US" w:eastAsia="zh-CN" w:bidi="ar-SA"/>
        </w:rPr>
        <w:t xml:space="preserve">三 、标准编制原则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目前没查阅到相关的国外标准，本标准技术参数主要依据多年</w:t>
      </w:r>
      <w:r>
        <w:rPr>
          <w:rFonts w:hint="default" w:ascii="Times New Roman" w:hAnsi="Times New Roman" w:eastAsia="宋体" w:cs="Times New Roman"/>
          <w:color w:val="auto"/>
          <w:sz w:val="21"/>
          <w:szCs w:val="21"/>
          <w:lang w:eastAsia="zh-CN"/>
        </w:rPr>
        <w:t>来</w:t>
      </w:r>
      <w:r>
        <w:rPr>
          <w:rFonts w:hint="default" w:ascii="Times New Roman" w:hAnsi="Times New Roman" w:eastAsia="宋体" w:cs="Times New Roman"/>
          <w:color w:val="auto"/>
          <w:sz w:val="21"/>
          <w:szCs w:val="21"/>
          <w:lang w:val="en-US" w:eastAsia="zh-CN"/>
        </w:rPr>
        <w:t>TCd1</w:t>
      </w:r>
      <w:r>
        <w:rPr>
          <w:rFonts w:hint="default" w:ascii="Times New Roman" w:hAnsi="Times New Roman" w:eastAsia="宋体" w:cs="Times New Roman"/>
          <w:color w:val="auto"/>
          <w:sz w:val="21"/>
          <w:szCs w:val="21"/>
        </w:rPr>
        <w:t>棒材生产中积累的</w:t>
      </w:r>
      <w:r>
        <w:rPr>
          <w:rFonts w:hint="default" w:ascii="Times New Roman" w:hAnsi="Times New Roman" w:eastAsia="宋体" w:cs="Times New Roman"/>
          <w:color w:val="auto"/>
          <w:sz w:val="21"/>
          <w:szCs w:val="21"/>
          <w:lang w:eastAsia="zh-CN"/>
        </w:rPr>
        <w:t>技术</w:t>
      </w:r>
      <w:r>
        <w:rPr>
          <w:rFonts w:hint="default" w:ascii="Times New Roman" w:hAnsi="Times New Roman" w:eastAsia="宋体" w:cs="Times New Roman"/>
          <w:color w:val="auto"/>
          <w:sz w:val="21"/>
          <w:szCs w:val="21"/>
        </w:rPr>
        <w:t>数据</w:t>
      </w:r>
      <w:r>
        <w:rPr>
          <w:rFonts w:hint="default" w:ascii="Times New Roman" w:hAnsi="Times New Roman" w:eastAsia="宋体" w:cs="Times New Roman"/>
          <w:color w:val="auto"/>
          <w:sz w:val="21"/>
          <w:szCs w:val="21"/>
          <w:lang w:eastAsia="zh-CN"/>
        </w:rPr>
        <w:t>指导确定本标准中的技术数据</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以</w:t>
      </w:r>
      <w:r>
        <w:rPr>
          <w:rFonts w:hint="default" w:ascii="Times New Roman" w:hAnsi="Times New Roman" w:eastAsia="宋体" w:cs="Times New Roman"/>
          <w:color w:val="auto"/>
          <w:sz w:val="21"/>
          <w:szCs w:val="21"/>
        </w:rPr>
        <w:t>及应用领域的对</w:t>
      </w:r>
      <w:r>
        <w:rPr>
          <w:rFonts w:hint="default" w:ascii="Times New Roman" w:hAnsi="Times New Roman" w:eastAsia="宋体" w:cs="Times New Roman"/>
          <w:color w:val="auto"/>
          <w:sz w:val="21"/>
          <w:szCs w:val="21"/>
          <w:lang w:val="en-US" w:eastAsia="zh-CN"/>
        </w:rPr>
        <w:t>TCd1</w:t>
      </w:r>
      <w:r>
        <w:rPr>
          <w:rFonts w:hint="default" w:ascii="Times New Roman" w:hAnsi="Times New Roman" w:eastAsia="宋体" w:cs="Times New Roman"/>
          <w:color w:val="auto"/>
          <w:sz w:val="21"/>
          <w:szCs w:val="21"/>
        </w:rPr>
        <w:t>棒材技术条件的要求，综合上述两方面的技术资料</w:t>
      </w:r>
      <w:r>
        <w:rPr>
          <w:rFonts w:hint="default" w:ascii="Times New Roman" w:hAnsi="Times New Roman" w:eastAsia="宋体" w:cs="Times New Roman"/>
          <w:color w:val="auto"/>
          <w:sz w:val="21"/>
          <w:szCs w:val="21"/>
          <w:lang w:eastAsia="zh-CN"/>
        </w:rPr>
        <w:t>修订</w:t>
      </w:r>
      <w:r>
        <w:rPr>
          <w:rFonts w:hint="default" w:ascii="Times New Roman" w:hAnsi="Times New Roman" w:eastAsia="宋体" w:cs="Times New Roman"/>
          <w:color w:val="auto"/>
          <w:sz w:val="21"/>
          <w:szCs w:val="21"/>
        </w:rPr>
        <w:t>本标准。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同时，按照GB</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T1.1-20</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0《标准化工作导则 第1部分：标准</w:t>
      </w:r>
      <w:r>
        <w:rPr>
          <w:rFonts w:hint="default" w:ascii="Times New Roman" w:hAnsi="Times New Roman" w:eastAsia="宋体" w:cs="Times New Roman"/>
          <w:color w:val="auto"/>
          <w:sz w:val="21"/>
          <w:szCs w:val="21"/>
          <w:lang w:eastAsia="zh-CN"/>
        </w:rPr>
        <w:t>化文件的</w:t>
      </w:r>
      <w:r>
        <w:rPr>
          <w:rFonts w:hint="default" w:ascii="Times New Roman" w:hAnsi="Times New Roman" w:eastAsia="宋体" w:cs="Times New Roman"/>
          <w:color w:val="auto"/>
          <w:sz w:val="21"/>
          <w:szCs w:val="21"/>
        </w:rPr>
        <w:t>结构和</w:t>
      </w:r>
      <w:r>
        <w:rPr>
          <w:rFonts w:hint="default" w:ascii="Times New Roman" w:hAnsi="Times New Roman" w:eastAsia="宋体" w:cs="Times New Roman"/>
          <w:color w:val="auto"/>
          <w:sz w:val="21"/>
          <w:szCs w:val="21"/>
          <w:lang w:eastAsia="zh-CN"/>
        </w:rPr>
        <w:t>起草</w:t>
      </w:r>
      <w:r>
        <w:rPr>
          <w:rFonts w:hint="default" w:ascii="Times New Roman" w:hAnsi="Times New Roman" w:eastAsia="宋体" w:cs="Times New Roman"/>
          <w:color w:val="auto"/>
          <w:sz w:val="21"/>
          <w:szCs w:val="21"/>
        </w:rPr>
        <w:t>规则》的要求对标准进行制定，通过多次讨论，广泛征求各方意见之后，形成了标准讨论稿及编制说明。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四、主要技术指标及其确定依据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sz w:val="21"/>
          <w:szCs w:val="21"/>
          <w:shd w:val="clear" w:fill="FFFFFF"/>
          <w:lang w:val="en-US" w:eastAsia="zh-CN"/>
        </w:rPr>
        <w:t>1、</w:t>
      </w:r>
      <w:r>
        <w:rPr>
          <w:rFonts w:hint="eastAsia" w:ascii="黑体" w:hAnsi="黑体" w:eastAsia="黑体" w:cs="黑体"/>
          <w:i w:val="0"/>
          <w:caps w:val="0"/>
          <w:color w:val="000000"/>
          <w:spacing w:val="0"/>
          <w:sz w:val="21"/>
          <w:szCs w:val="21"/>
          <w:shd w:val="clear" w:fill="FFFFFF"/>
        </w:rPr>
        <w:t>牌号﹑状态﹑规格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根据</w:t>
      </w:r>
      <w:r>
        <w:rPr>
          <w:rFonts w:hint="eastAsia" w:ascii="宋体" w:hAnsi="宋体" w:eastAsia="宋体" w:cs="宋体"/>
          <w:i w:val="0"/>
          <w:caps w:val="0"/>
          <w:color w:val="000000"/>
          <w:spacing w:val="0"/>
          <w:sz w:val="21"/>
          <w:szCs w:val="21"/>
          <w:shd w:val="clear" w:fill="FFFFFF"/>
          <w:lang w:eastAsia="zh-CN"/>
        </w:rPr>
        <w:t>多</w:t>
      </w:r>
      <w:r>
        <w:rPr>
          <w:rFonts w:hint="eastAsia" w:ascii="宋体" w:hAnsi="宋体" w:eastAsia="宋体" w:cs="宋体"/>
          <w:i w:val="0"/>
          <w:caps w:val="0"/>
          <w:color w:val="000000"/>
          <w:spacing w:val="0"/>
          <w:sz w:val="21"/>
          <w:szCs w:val="21"/>
          <w:shd w:val="clear" w:fill="FFFFFF"/>
        </w:rPr>
        <w:t>年</w:t>
      </w:r>
      <w:r>
        <w:rPr>
          <w:rFonts w:hint="eastAsia" w:ascii="宋体" w:hAnsi="宋体" w:eastAsia="宋体" w:cs="宋体"/>
          <w:i w:val="0"/>
          <w:caps w:val="0"/>
          <w:color w:val="000000"/>
          <w:spacing w:val="0"/>
          <w:sz w:val="21"/>
          <w:szCs w:val="21"/>
          <w:shd w:val="clear" w:fill="FFFFFF"/>
          <w:lang w:eastAsia="zh-CN"/>
        </w:rPr>
        <w:t>来</w:t>
      </w:r>
      <w:r>
        <w:rPr>
          <w:rFonts w:hint="eastAsia" w:ascii="宋体" w:hAnsi="宋体" w:eastAsia="宋体" w:cs="宋体"/>
          <w:i w:val="0"/>
          <w:caps w:val="0"/>
          <w:color w:val="000000"/>
          <w:spacing w:val="0"/>
          <w:sz w:val="21"/>
          <w:szCs w:val="21"/>
          <w:shd w:val="clear" w:fill="FFFFFF"/>
        </w:rPr>
        <w:t>棒材生产的数据积累</w:t>
      </w:r>
      <w:r>
        <w:rPr>
          <w:rFonts w:hint="eastAsia" w:ascii="宋体" w:hAnsi="宋体" w:eastAsia="宋体" w:cs="宋体"/>
          <w:i w:val="0"/>
          <w:caps w:val="0"/>
          <w:color w:val="000000"/>
          <w:spacing w:val="0"/>
          <w:sz w:val="21"/>
          <w:szCs w:val="21"/>
          <w:shd w:val="clear" w:fill="FFFFFF"/>
          <w:lang w:eastAsia="zh-CN"/>
        </w:rPr>
        <w:t>、用户需求</w:t>
      </w:r>
      <w:r>
        <w:rPr>
          <w:rFonts w:hint="eastAsia" w:ascii="宋体" w:hAnsi="宋体" w:eastAsia="宋体" w:cs="宋体"/>
          <w:i w:val="0"/>
          <w:caps w:val="0"/>
          <w:color w:val="000000"/>
          <w:spacing w:val="0"/>
          <w:sz w:val="21"/>
          <w:szCs w:val="21"/>
          <w:shd w:val="clear" w:fill="FFFFFF"/>
        </w:rPr>
        <w:t>及市场调研，确定</w:t>
      </w:r>
      <w:r>
        <w:rPr>
          <w:rFonts w:hint="eastAsia" w:ascii="宋体" w:hAnsi="宋体" w:eastAsia="宋体" w:cs="宋体"/>
          <w:i w:val="0"/>
          <w:caps w:val="0"/>
          <w:color w:val="000000"/>
          <w:spacing w:val="0"/>
          <w:sz w:val="21"/>
          <w:szCs w:val="21"/>
          <w:shd w:val="clear" w:fill="FFFFFF"/>
          <w:lang w:eastAsia="zh-CN"/>
        </w:rPr>
        <w:t>产品牌号、状态不变，更改软化退火及硬态棒材长度</w:t>
      </w:r>
      <w:r>
        <w:rPr>
          <w:rFonts w:hint="default" w:ascii="Times New Roman" w:hAnsi="Times New Roman" w:cs="Times New Roman"/>
          <w:i w:val="0"/>
          <w:caps w:val="0"/>
          <w:color w:val="000000"/>
          <w:spacing w:val="0"/>
          <w:sz w:val="21"/>
          <w:szCs w:val="21"/>
          <w:shd w:val="clear" w:fill="FFFFFF"/>
        </w:rPr>
        <w:t>。</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i w:val="0"/>
          <w:caps w:val="0"/>
          <w:color w:val="000000"/>
          <w:spacing w:val="0"/>
          <w:sz w:val="21"/>
          <w:szCs w:val="21"/>
          <w:shd w:val="clear" w:fill="FFFFFF"/>
        </w:rPr>
      </w:pPr>
      <w:r>
        <w:rPr>
          <w:rFonts w:hint="eastAsia" w:ascii="黑体" w:hAnsi="黑体" w:eastAsia="黑体" w:cs="黑体"/>
          <w:i w:val="0"/>
          <w:caps w:val="0"/>
          <w:color w:val="000000"/>
          <w:spacing w:val="0"/>
          <w:sz w:val="21"/>
          <w:szCs w:val="21"/>
          <w:shd w:val="clear" w:fill="FFFFFF"/>
        </w:rPr>
        <w:t>化学成分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default" w:ascii="Times New Roman" w:hAnsi="Times New Roman" w:cs="Times New Roman"/>
          <w:i w:val="0"/>
          <w:caps w:val="0"/>
          <w:color w:val="000000"/>
          <w:spacing w:val="0"/>
          <w:sz w:val="24"/>
          <w:szCs w:val="24"/>
        </w:rPr>
      </w:pPr>
      <w:r>
        <w:rPr>
          <w:rFonts w:hint="eastAsia" w:ascii="宋体" w:hAnsi="宋体" w:eastAsia="宋体" w:cs="宋体"/>
          <w:i w:val="0"/>
          <w:caps w:val="0"/>
          <w:color w:val="000000"/>
          <w:spacing w:val="0"/>
          <w:sz w:val="21"/>
          <w:szCs w:val="21"/>
          <w:shd w:val="clear" w:fill="FFFFFF"/>
        </w:rPr>
        <w:t>根据</w:t>
      </w:r>
      <w:r>
        <w:rPr>
          <w:rFonts w:hint="eastAsia" w:ascii="宋体" w:hAnsi="宋体" w:eastAsia="宋体" w:cs="宋体"/>
          <w:i w:val="0"/>
          <w:caps w:val="0"/>
          <w:color w:val="000000"/>
          <w:spacing w:val="0"/>
          <w:sz w:val="21"/>
          <w:szCs w:val="21"/>
          <w:shd w:val="clear" w:fill="FFFFFF"/>
          <w:lang w:eastAsia="zh-CN"/>
        </w:rPr>
        <w:t>多</w:t>
      </w:r>
      <w:r>
        <w:rPr>
          <w:rFonts w:hint="eastAsia" w:ascii="宋体" w:hAnsi="宋体" w:eastAsia="宋体" w:cs="宋体"/>
          <w:i w:val="0"/>
          <w:caps w:val="0"/>
          <w:color w:val="000000"/>
          <w:spacing w:val="0"/>
          <w:sz w:val="21"/>
          <w:szCs w:val="21"/>
          <w:shd w:val="clear" w:fill="FFFFFF"/>
        </w:rPr>
        <w:t>年</w:t>
      </w:r>
      <w:r>
        <w:rPr>
          <w:rFonts w:hint="eastAsia" w:ascii="宋体" w:hAnsi="宋体" w:eastAsia="宋体" w:cs="宋体"/>
          <w:i w:val="0"/>
          <w:caps w:val="0"/>
          <w:color w:val="000000"/>
          <w:spacing w:val="0"/>
          <w:sz w:val="21"/>
          <w:szCs w:val="21"/>
          <w:shd w:val="clear" w:fill="FFFFFF"/>
          <w:lang w:eastAsia="zh-CN"/>
        </w:rPr>
        <w:t>来</w:t>
      </w:r>
      <w:r>
        <w:rPr>
          <w:rFonts w:hint="eastAsia" w:ascii="宋体" w:hAnsi="宋体" w:eastAsia="宋体" w:cs="宋体"/>
          <w:i w:val="0"/>
          <w:caps w:val="0"/>
          <w:color w:val="000000"/>
          <w:spacing w:val="0"/>
          <w:sz w:val="21"/>
          <w:szCs w:val="21"/>
          <w:shd w:val="clear" w:fill="FFFFFF"/>
        </w:rPr>
        <w:t>棒材</w:t>
      </w:r>
      <w:r>
        <w:rPr>
          <w:rFonts w:hint="eastAsia" w:ascii="宋体" w:hAnsi="宋体" w:eastAsia="宋体" w:cs="宋体"/>
          <w:i w:val="0"/>
          <w:caps w:val="0"/>
          <w:color w:val="000000"/>
          <w:spacing w:val="0"/>
          <w:sz w:val="21"/>
          <w:szCs w:val="21"/>
          <w:shd w:val="clear" w:fill="FFFFFF"/>
          <w:lang w:eastAsia="zh-CN"/>
        </w:rPr>
        <w:t>的</w:t>
      </w:r>
      <w:r>
        <w:rPr>
          <w:rFonts w:hint="eastAsia" w:ascii="宋体" w:hAnsi="宋体" w:eastAsia="宋体" w:cs="宋体"/>
          <w:i w:val="0"/>
          <w:caps w:val="0"/>
          <w:color w:val="000000"/>
          <w:spacing w:val="0"/>
          <w:sz w:val="21"/>
          <w:szCs w:val="21"/>
          <w:shd w:val="clear" w:fill="FFFFFF"/>
        </w:rPr>
        <w:t>生产</w:t>
      </w:r>
      <w:r>
        <w:rPr>
          <w:rFonts w:hint="eastAsia" w:ascii="宋体" w:hAnsi="宋体" w:eastAsia="宋体" w:cs="宋体"/>
          <w:i w:val="0"/>
          <w:caps w:val="0"/>
          <w:color w:val="000000"/>
          <w:spacing w:val="0"/>
          <w:sz w:val="21"/>
          <w:szCs w:val="21"/>
          <w:shd w:val="clear" w:fill="FFFFFF"/>
          <w:lang w:eastAsia="zh-CN"/>
        </w:rPr>
        <w:t>及用户需求，化学成分仍采用原标准的</w:t>
      </w:r>
      <w:r>
        <w:rPr>
          <w:rFonts w:hint="default" w:ascii="Times New Roman" w:hAnsi="Times New Roman" w:cs="Times New Roman"/>
          <w:i w:val="0"/>
          <w:caps w:val="0"/>
          <w:color w:val="000000"/>
          <w:spacing w:val="0"/>
          <w:sz w:val="21"/>
          <w:szCs w:val="21"/>
          <w:shd w:val="clear" w:fill="FFFFFF"/>
        </w:rPr>
        <w:t>国标规定执行。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sz w:val="21"/>
          <w:szCs w:val="21"/>
          <w:shd w:val="clear" w:fill="FFFFFF"/>
          <w:lang w:val="en-US" w:eastAsia="zh-CN"/>
        </w:rPr>
        <w:t>3、尺寸及</w:t>
      </w:r>
      <w:r>
        <w:rPr>
          <w:rFonts w:hint="eastAsia" w:ascii="黑体" w:hAnsi="黑体" w:eastAsia="黑体" w:cs="黑体"/>
          <w:i w:val="0"/>
          <w:caps w:val="0"/>
          <w:color w:val="000000"/>
          <w:spacing w:val="0"/>
          <w:sz w:val="21"/>
          <w:szCs w:val="21"/>
          <w:shd w:val="clear" w:fill="FFFFFF"/>
        </w:rPr>
        <w:t>允许偏差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default"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本标准热加工棒材直径允许偏差分挤制和锻制两种，挤制棒材直径允许偏差与行标《铜及铜合金挤制棒》公差水平基本相当，并根据当前行业锻制工艺及装备发展水平确定了锻制棒材的允许偏差（见表1）。拉制棒材直径（或对边距）及其允许偏差略严于国家《铜及铜合金拉制棒》标准公差水平，这与当前行业发展水平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本标准对棒材长度、扭拧度、圆角半径、直度等外形尺寸指标进行了相应的规定，指标水平与当前行业发展水平及应用领域的需求相适应。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default"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rPr>
        <w:t>根据</w:t>
      </w:r>
      <w:r>
        <w:rPr>
          <w:rFonts w:hint="eastAsia" w:ascii="宋体" w:hAnsi="宋体" w:eastAsia="宋体" w:cs="宋体"/>
          <w:i w:val="0"/>
          <w:caps w:val="0"/>
          <w:color w:val="000000"/>
          <w:spacing w:val="0"/>
          <w:sz w:val="21"/>
          <w:szCs w:val="21"/>
          <w:shd w:val="clear" w:fill="FFFFFF"/>
          <w:lang w:eastAsia="zh-CN"/>
        </w:rPr>
        <w:t>多年</w:t>
      </w:r>
      <w:r>
        <w:rPr>
          <w:rFonts w:hint="eastAsia" w:ascii="宋体" w:hAnsi="宋体" w:eastAsia="宋体" w:cs="宋体"/>
          <w:i w:val="0"/>
          <w:caps w:val="0"/>
          <w:color w:val="000000"/>
          <w:spacing w:val="0"/>
          <w:sz w:val="21"/>
          <w:szCs w:val="21"/>
          <w:shd w:val="clear" w:fill="FFFFFF"/>
        </w:rPr>
        <w:t>生产实际情况</w:t>
      </w:r>
      <w:r>
        <w:rPr>
          <w:rFonts w:hint="eastAsia" w:ascii="宋体" w:hAnsi="宋体" w:eastAsia="宋体" w:cs="宋体"/>
          <w:i w:val="0"/>
          <w:caps w:val="0"/>
          <w:color w:val="000000"/>
          <w:spacing w:val="0"/>
          <w:sz w:val="21"/>
          <w:szCs w:val="21"/>
          <w:shd w:val="clear" w:fill="FFFFFF"/>
          <w:lang w:eastAsia="zh-CN"/>
        </w:rPr>
        <w:t>和用户需求，</w:t>
      </w:r>
      <w:r>
        <w:rPr>
          <w:rFonts w:hint="eastAsia" w:ascii="宋体" w:hAnsi="宋体" w:eastAsia="宋体" w:cs="宋体"/>
          <w:i w:val="0"/>
          <w:caps w:val="0"/>
          <w:color w:val="000000"/>
          <w:spacing w:val="0"/>
          <w:sz w:val="21"/>
          <w:szCs w:val="21"/>
          <w:shd w:val="clear" w:fill="FFFFFF"/>
        </w:rPr>
        <w:t>确定</w:t>
      </w:r>
      <w:r>
        <w:rPr>
          <w:rFonts w:hint="eastAsia" w:ascii="宋体" w:hAnsi="宋体" w:eastAsia="宋体" w:cs="宋体"/>
          <w:i w:val="0"/>
          <w:caps w:val="0"/>
          <w:color w:val="000000"/>
          <w:spacing w:val="0"/>
          <w:sz w:val="21"/>
          <w:szCs w:val="21"/>
          <w:shd w:val="clear" w:fill="FFFFFF"/>
          <w:lang w:eastAsia="zh-CN"/>
        </w:rPr>
        <w:t>对硬态和软化退火棒材的直径或对边距离允许偏差进行了更改，其更改后的数据见表</w:t>
      </w:r>
      <w:r>
        <w:rPr>
          <w:rFonts w:hint="eastAsia" w:ascii="宋体" w:hAnsi="宋体" w:eastAsia="宋体" w:cs="宋体"/>
          <w:i w:val="0"/>
          <w:caps w:val="0"/>
          <w:color w:val="000000"/>
          <w:spacing w:val="0"/>
          <w:sz w:val="21"/>
          <w:szCs w:val="21"/>
          <w:shd w:val="clear" w:fill="FFFFFF"/>
          <w:lang w:val="en-US" w:eastAsia="zh-CN"/>
        </w:rPr>
        <w:t>1。</w:t>
      </w:r>
    </w:p>
    <w:p>
      <w:pPr>
        <w:spacing w:line="320" w:lineRule="exact"/>
        <w:ind w:right="420"/>
        <w:jc w:val="center"/>
        <w:rPr>
          <w:rFonts w:hint="eastAsia" w:ascii="宋体" w:hAnsi="宋体"/>
          <w:color w:val="000000"/>
          <w:szCs w:val="21"/>
        </w:rPr>
      </w:pPr>
      <w:r>
        <w:rPr>
          <w:rFonts w:hint="eastAsia" w:ascii="Times New Roman" w:hAnsi="Times New Roman" w:eastAsia="黑体" w:cs="Times New Roman"/>
          <w:color w:val="auto"/>
          <w:kern w:val="0"/>
          <w:sz w:val="21"/>
          <w:szCs w:val="22"/>
          <w:lang w:val="en-US" w:eastAsia="zh-CN" w:bidi="ar-SA"/>
        </w:rPr>
        <w:t xml:space="preserve">表1   </w:t>
      </w:r>
      <w:r>
        <w:rPr>
          <w:rFonts w:hint="eastAsia" w:eastAsia="黑体" w:cs="Times New Roman"/>
          <w:color w:val="auto"/>
          <w:kern w:val="0"/>
          <w:sz w:val="21"/>
          <w:szCs w:val="22"/>
          <w:lang w:val="en-US" w:eastAsia="zh-CN" w:bidi="ar-SA"/>
        </w:rPr>
        <w:t>硬态和软化退火态棒材</w:t>
      </w:r>
      <w:r>
        <w:rPr>
          <w:rFonts w:hint="eastAsia" w:ascii="Times New Roman" w:hAnsi="Times New Roman" w:eastAsia="黑体" w:cs="Times New Roman"/>
          <w:color w:val="auto"/>
          <w:kern w:val="0"/>
          <w:sz w:val="21"/>
          <w:szCs w:val="22"/>
          <w:lang w:val="en-US" w:eastAsia="zh-CN" w:bidi="ar-SA"/>
        </w:rPr>
        <w:t>直径或对边距</w:t>
      </w:r>
      <w:r>
        <w:rPr>
          <w:rFonts w:hint="eastAsia" w:eastAsia="黑体" w:cs="Times New Roman"/>
          <w:color w:val="auto"/>
          <w:kern w:val="0"/>
          <w:sz w:val="21"/>
          <w:szCs w:val="22"/>
          <w:lang w:val="en-US" w:eastAsia="zh-CN" w:bidi="ar-SA"/>
        </w:rPr>
        <w:t>离</w:t>
      </w:r>
      <w:r>
        <w:rPr>
          <w:rFonts w:hint="eastAsia" w:ascii="Times New Roman" w:hAnsi="Times New Roman" w:eastAsia="黑体" w:cs="Times New Roman"/>
          <w:color w:val="auto"/>
          <w:kern w:val="0"/>
          <w:sz w:val="21"/>
          <w:szCs w:val="22"/>
          <w:lang w:val="en-US" w:eastAsia="zh-CN" w:bidi="ar-SA"/>
        </w:rPr>
        <w:t>允许偏差</w:t>
      </w:r>
    </w:p>
    <w:p>
      <w:pPr>
        <w:pStyle w:val="9"/>
        <w:spacing w:line="264" w:lineRule="auto"/>
        <w:ind w:left="0" w:leftChars="0" w:firstLine="0" w:firstLineChars="0"/>
        <w:jc w:val="center"/>
        <w:rPr>
          <w:rFonts w:hint="eastAsia"/>
          <w:color w:val="auto"/>
          <w:szCs w:val="22"/>
        </w:rPr>
      </w:pPr>
      <w:r>
        <w:rPr>
          <w:rFonts w:hint="eastAsia" w:hAnsi="宋体"/>
          <w:color w:val="000000"/>
          <w:sz w:val="18"/>
          <w:szCs w:val="18"/>
          <w:lang w:val="en-US" w:eastAsia="zh-CN"/>
        </w:rPr>
        <w:t xml:space="preserve">                                                                                  </w:t>
      </w:r>
      <w:r>
        <w:rPr>
          <w:rFonts w:hint="eastAsia" w:ascii="宋体" w:hAnsi="宋体"/>
          <w:color w:val="000000"/>
          <w:sz w:val="18"/>
          <w:szCs w:val="18"/>
        </w:rPr>
        <w:t>单位为毫米</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90"/>
        <w:gridCol w:w="1680"/>
        <w:gridCol w:w="198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10" w:type="dxa"/>
            <w:vMerge w:val="restart"/>
            <w:tcBorders>
              <w:top w:val="single" w:color="auto" w:sz="12" w:space="0"/>
              <w:left w:val="single" w:color="auto" w:sz="12" w:space="0"/>
            </w:tcBorders>
            <w:noWrap w:val="0"/>
            <w:vAlign w:val="center"/>
          </w:tcPr>
          <w:p>
            <w:pPr>
              <w:jc w:val="center"/>
              <w:rPr>
                <w:color w:val="000000"/>
                <w:sz w:val="18"/>
                <w:szCs w:val="18"/>
              </w:rPr>
            </w:pPr>
            <w:r>
              <w:rPr>
                <w:color w:val="000000"/>
                <w:sz w:val="18"/>
                <w:szCs w:val="18"/>
              </w:rPr>
              <w:t>直径或对边距</w:t>
            </w:r>
            <w:r>
              <w:rPr>
                <w:rFonts w:hint="eastAsia"/>
                <w:color w:val="000000"/>
                <w:sz w:val="18"/>
                <w:szCs w:val="18"/>
                <w:lang w:val="en-US" w:eastAsia="zh-CN"/>
              </w:rPr>
              <w:t>离</w:t>
            </w:r>
          </w:p>
        </w:tc>
        <w:tc>
          <w:tcPr>
            <w:tcW w:w="7127" w:type="dxa"/>
            <w:gridSpan w:val="4"/>
            <w:tcBorders>
              <w:top w:val="single" w:color="auto" w:sz="12" w:space="0"/>
              <w:right w:val="single" w:color="auto" w:sz="12" w:space="0"/>
            </w:tcBorders>
            <w:noWrap w:val="0"/>
            <w:vAlign w:val="center"/>
          </w:tcPr>
          <w:p>
            <w:pPr>
              <w:jc w:val="center"/>
              <w:rPr>
                <w:color w:val="000000"/>
                <w:sz w:val="18"/>
                <w:szCs w:val="18"/>
              </w:rPr>
            </w:pPr>
            <w:r>
              <w:rPr>
                <w:color w:val="000000"/>
                <w:sz w:val="18"/>
                <w:szCs w:val="18"/>
              </w:rPr>
              <w:t>允许偏差</w:t>
            </w:r>
            <w:r>
              <w:rPr>
                <w:rFonts w:hint="eastAsia"/>
                <w:color w:val="000000"/>
                <w:sz w:val="18"/>
                <w:szCs w:val="18"/>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10" w:type="dxa"/>
            <w:vMerge w:val="continue"/>
            <w:tcBorders>
              <w:left w:val="single" w:color="auto" w:sz="12" w:space="0"/>
            </w:tcBorders>
            <w:noWrap w:val="0"/>
            <w:vAlign w:val="center"/>
          </w:tcPr>
          <w:p>
            <w:pPr>
              <w:jc w:val="center"/>
              <w:rPr>
                <w:color w:val="000000"/>
                <w:sz w:val="18"/>
                <w:szCs w:val="18"/>
              </w:rPr>
            </w:pPr>
          </w:p>
        </w:tc>
        <w:tc>
          <w:tcPr>
            <w:tcW w:w="3570" w:type="dxa"/>
            <w:gridSpan w:val="2"/>
            <w:noWrap w:val="0"/>
            <w:vAlign w:val="center"/>
          </w:tcPr>
          <w:p>
            <w:pPr>
              <w:jc w:val="center"/>
              <w:rPr>
                <w:color w:val="000000"/>
                <w:sz w:val="18"/>
                <w:szCs w:val="18"/>
              </w:rPr>
            </w:pPr>
            <w:r>
              <w:rPr>
                <w:color w:val="000000"/>
                <w:sz w:val="18"/>
                <w:szCs w:val="18"/>
              </w:rPr>
              <w:t>圆形</w:t>
            </w:r>
          </w:p>
        </w:tc>
        <w:tc>
          <w:tcPr>
            <w:tcW w:w="3557" w:type="dxa"/>
            <w:gridSpan w:val="2"/>
            <w:tcBorders>
              <w:right w:val="single" w:color="auto" w:sz="12" w:space="0"/>
            </w:tcBorders>
            <w:noWrap w:val="0"/>
            <w:vAlign w:val="center"/>
          </w:tcPr>
          <w:p>
            <w:pPr>
              <w:jc w:val="center"/>
              <w:rPr>
                <w:color w:val="000000"/>
                <w:sz w:val="18"/>
                <w:szCs w:val="18"/>
              </w:rPr>
            </w:pPr>
            <w:r>
              <w:rPr>
                <w:color w:val="000000"/>
                <w:sz w:val="18"/>
                <w:szCs w:val="18"/>
              </w:rPr>
              <w:t>六角形、正方形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10" w:type="dxa"/>
            <w:vMerge w:val="continue"/>
            <w:tcBorders>
              <w:left w:val="single" w:color="auto" w:sz="12" w:space="0"/>
              <w:bottom w:val="single" w:color="auto" w:sz="12" w:space="0"/>
            </w:tcBorders>
            <w:noWrap w:val="0"/>
            <w:vAlign w:val="center"/>
          </w:tcPr>
          <w:p>
            <w:pPr>
              <w:jc w:val="center"/>
              <w:rPr>
                <w:color w:val="000000"/>
                <w:sz w:val="18"/>
                <w:szCs w:val="18"/>
              </w:rPr>
            </w:pPr>
          </w:p>
        </w:tc>
        <w:tc>
          <w:tcPr>
            <w:tcW w:w="1890" w:type="dxa"/>
            <w:tcBorders>
              <w:bottom w:val="single" w:color="auto" w:sz="12" w:space="0"/>
            </w:tcBorders>
            <w:noWrap w:val="0"/>
            <w:vAlign w:val="center"/>
          </w:tcPr>
          <w:p>
            <w:pPr>
              <w:jc w:val="center"/>
              <w:rPr>
                <w:color w:val="000000"/>
                <w:sz w:val="18"/>
                <w:szCs w:val="18"/>
              </w:rPr>
            </w:pPr>
            <w:r>
              <w:rPr>
                <w:color w:val="000000"/>
                <w:sz w:val="18"/>
                <w:szCs w:val="18"/>
              </w:rPr>
              <w:t>普通级</w:t>
            </w:r>
          </w:p>
        </w:tc>
        <w:tc>
          <w:tcPr>
            <w:tcW w:w="1680" w:type="dxa"/>
            <w:tcBorders>
              <w:bottom w:val="single" w:color="auto" w:sz="12" w:space="0"/>
            </w:tcBorders>
            <w:noWrap w:val="0"/>
            <w:vAlign w:val="center"/>
          </w:tcPr>
          <w:p>
            <w:pPr>
              <w:jc w:val="center"/>
              <w:rPr>
                <w:color w:val="000000"/>
                <w:sz w:val="18"/>
                <w:szCs w:val="18"/>
              </w:rPr>
            </w:pPr>
            <w:r>
              <w:rPr>
                <w:rFonts w:hint="eastAsia" w:ascii="宋体" w:hAnsi="宋体"/>
                <w:color w:val="000000"/>
                <w:sz w:val="18"/>
                <w:szCs w:val="18"/>
              </w:rPr>
              <w:t>高精级</w:t>
            </w:r>
          </w:p>
        </w:tc>
        <w:tc>
          <w:tcPr>
            <w:tcW w:w="1980" w:type="dxa"/>
            <w:tcBorders>
              <w:bottom w:val="single" w:color="auto" w:sz="12" w:space="0"/>
            </w:tcBorders>
            <w:noWrap w:val="0"/>
            <w:vAlign w:val="center"/>
          </w:tcPr>
          <w:p>
            <w:pPr>
              <w:jc w:val="center"/>
              <w:rPr>
                <w:color w:val="000000"/>
                <w:sz w:val="18"/>
                <w:szCs w:val="18"/>
              </w:rPr>
            </w:pPr>
            <w:r>
              <w:rPr>
                <w:color w:val="000000"/>
                <w:sz w:val="18"/>
                <w:szCs w:val="18"/>
              </w:rPr>
              <w:t>普通级</w:t>
            </w:r>
          </w:p>
        </w:tc>
        <w:tc>
          <w:tcPr>
            <w:tcW w:w="1577" w:type="dxa"/>
            <w:tcBorders>
              <w:bottom w:val="single" w:color="auto" w:sz="12" w:space="0"/>
              <w:right w:val="single" w:color="auto" w:sz="12" w:space="0"/>
            </w:tcBorders>
            <w:noWrap w:val="0"/>
            <w:vAlign w:val="center"/>
          </w:tcPr>
          <w:p>
            <w:pPr>
              <w:jc w:val="center"/>
              <w:rPr>
                <w:color w:val="000000"/>
                <w:sz w:val="18"/>
                <w:szCs w:val="18"/>
              </w:rPr>
            </w:pPr>
            <w:r>
              <w:rPr>
                <w:rFonts w:hint="eastAsia" w:ascii="宋体" w:hAnsi="宋体"/>
                <w:color w:val="000000"/>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10" w:type="dxa"/>
            <w:tcBorders>
              <w:top w:val="single" w:color="auto" w:sz="12" w:space="0"/>
              <w:left w:val="single" w:color="auto" w:sz="12"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5</w:t>
            </w:r>
            <w:r>
              <w:rPr>
                <w:rFonts w:hint="default" w:ascii="Times New Roman" w:hAnsi="Times New Roman" w:cs="Times New Roman"/>
                <w:color w:val="000000"/>
                <w:sz w:val="18"/>
                <w:szCs w:val="18"/>
              </w:rPr>
              <w:t>～10</w:t>
            </w:r>
          </w:p>
        </w:tc>
        <w:tc>
          <w:tcPr>
            <w:tcW w:w="1890" w:type="dxa"/>
            <w:tcBorders>
              <w:top w:val="single" w:color="auto" w:sz="12"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w:t>
            </w:r>
          </w:p>
        </w:tc>
        <w:tc>
          <w:tcPr>
            <w:tcW w:w="1680" w:type="dxa"/>
            <w:tcBorders>
              <w:top w:val="single" w:color="auto" w:sz="12" w:space="0"/>
            </w:tcBorders>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±0.0</w:t>
            </w:r>
            <w:r>
              <w:rPr>
                <w:rFonts w:hint="default" w:ascii="Times New Roman" w:hAnsi="Times New Roman" w:cs="Times New Roman"/>
                <w:color w:val="000000"/>
                <w:sz w:val="18"/>
                <w:szCs w:val="18"/>
                <w:lang w:val="en-US" w:eastAsia="zh-CN"/>
              </w:rPr>
              <w:t>4</w:t>
            </w:r>
          </w:p>
        </w:tc>
        <w:tc>
          <w:tcPr>
            <w:tcW w:w="1980" w:type="dxa"/>
            <w:tcBorders>
              <w:top w:val="single" w:color="auto" w:sz="12"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11</w:t>
            </w:r>
          </w:p>
        </w:tc>
        <w:tc>
          <w:tcPr>
            <w:tcW w:w="1577" w:type="dxa"/>
            <w:tcBorders>
              <w:top w:val="single" w:color="auto" w:sz="12" w:space="0"/>
              <w:right w:val="single" w:color="auto" w:sz="12" w:space="0"/>
            </w:tcBorders>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±0.0</w:t>
            </w:r>
            <w:r>
              <w:rPr>
                <w:rFonts w:hint="default" w:ascii="Times New Roman" w:hAnsi="Times New Roman" w:cs="Times New Roman"/>
                <w:color w:val="00000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10" w:type="dxa"/>
            <w:tcBorders>
              <w:left w:val="single" w:color="auto" w:sz="12" w:space="0"/>
              <w:bottom w:val="single" w:color="auto" w:sz="4" w:space="0"/>
            </w:tcBorders>
            <w:noWrap w:val="0"/>
            <w:vAlign w:val="center"/>
          </w:tcPr>
          <w:p>
            <w:pPr>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&gt;</w:t>
            </w:r>
            <w:r>
              <w:rPr>
                <w:rFonts w:hint="default" w:ascii="Times New Roman" w:hAnsi="Times New Roman" w:cs="Times New Roman"/>
                <w:color w:val="000000"/>
                <w:sz w:val="18"/>
                <w:szCs w:val="18"/>
              </w:rPr>
              <w:t>10～18</w:t>
            </w:r>
          </w:p>
        </w:tc>
        <w:tc>
          <w:tcPr>
            <w:tcW w:w="1890" w:type="dxa"/>
            <w:tcBorders>
              <w:bottom w:val="single" w:color="auto" w:sz="4" w:space="0"/>
            </w:tcBorders>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±0.0</w:t>
            </w:r>
            <w:r>
              <w:rPr>
                <w:rFonts w:hint="default" w:ascii="Times New Roman" w:hAnsi="Times New Roman" w:cs="Times New Roman"/>
                <w:color w:val="000000"/>
                <w:sz w:val="18"/>
                <w:szCs w:val="18"/>
                <w:lang w:val="en-US" w:eastAsia="zh-CN"/>
              </w:rPr>
              <w:t>8</w:t>
            </w:r>
          </w:p>
        </w:tc>
        <w:tc>
          <w:tcPr>
            <w:tcW w:w="1680" w:type="dxa"/>
            <w:tcBorders>
              <w:bottom w:val="single" w:color="auto" w:sz="4" w:space="0"/>
            </w:tcBorders>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±0.0</w:t>
            </w:r>
            <w:r>
              <w:rPr>
                <w:rFonts w:hint="default" w:ascii="Times New Roman" w:hAnsi="Times New Roman" w:cs="Times New Roman"/>
                <w:color w:val="000000"/>
                <w:sz w:val="18"/>
                <w:szCs w:val="18"/>
                <w:lang w:val="en-US" w:eastAsia="zh-CN"/>
              </w:rPr>
              <w:t>5</w:t>
            </w:r>
          </w:p>
        </w:tc>
        <w:tc>
          <w:tcPr>
            <w:tcW w:w="1980" w:type="dxa"/>
            <w:tcBorders>
              <w:bottom w:val="single" w:color="auto" w:sz="4"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3</w:t>
            </w:r>
          </w:p>
        </w:tc>
        <w:tc>
          <w:tcPr>
            <w:tcW w:w="1577" w:type="dxa"/>
            <w:tcBorders>
              <w:bottom w:val="single" w:color="auto" w:sz="4" w:space="0"/>
              <w:right w:val="single" w:color="auto" w:sz="12"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10" w:type="dxa"/>
            <w:tcBorders>
              <w:top w:val="single" w:color="auto" w:sz="4" w:space="0"/>
              <w:left w:val="single" w:color="auto" w:sz="12" w:space="0"/>
            </w:tcBorders>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&gt;</w:t>
            </w:r>
            <w:r>
              <w:rPr>
                <w:rFonts w:hint="default" w:ascii="Times New Roman" w:hAnsi="Times New Roman" w:cs="Times New Roman"/>
                <w:color w:val="000000"/>
                <w:sz w:val="18"/>
                <w:szCs w:val="18"/>
              </w:rPr>
              <w:t>18～30</w:t>
            </w:r>
          </w:p>
        </w:tc>
        <w:tc>
          <w:tcPr>
            <w:tcW w:w="1890" w:type="dxa"/>
            <w:tcBorders>
              <w:top w:val="single" w:color="auto" w:sz="4" w:space="0"/>
            </w:tcBorders>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rPr>
              <w:t>±0.10</w:t>
            </w:r>
          </w:p>
        </w:tc>
        <w:tc>
          <w:tcPr>
            <w:tcW w:w="1680" w:type="dxa"/>
            <w:tcBorders>
              <w:top w:val="single" w:color="auto" w:sz="4" w:space="0"/>
            </w:tcBorders>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rPr>
              <w:t>±0.0</w:t>
            </w:r>
            <w:r>
              <w:rPr>
                <w:rFonts w:hint="default" w:ascii="Times New Roman" w:hAnsi="Times New Roman" w:cs="Times New Roman"/>
                <w:color w:val="000000"/>
                <w:sz w:val="18"/>
                <w:szCs w:val="18"/>
                <w:lang w:val="en-US" w:eastAsia="zh-CN"/>
              </w:rPr>
              <w:t>6</w:t>
            </w:r>
          </w:p>
        </w:tc>
        <w:tc>
          <w:tcPr>
            <w:tcW w:w="1980" w:type="dxa"/>
            <w:tcBorders>
              <w:top w:val="single" w:color="auto" w:sz="4" w:space="0"/>
            </w:tcBorders>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5</w:t>
            </w:r>
          </w:p>
        </w:tc>
        <w:tc>
          <w:tcPr>
            <w:tcW w:w="1577" w:type="dxa"/>
            <w:tcBorders>
              <w:top w:val="single" w:color="auto" w:sz="4" w:space="0"/>
              <w:right w:val="single" w:color="auto" w:sz="12" w:space="0"/>
            </w:tcBorders>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10" w:type="dxa"/>
            <w:tcBorders>
              <w:left w:val="single" w:color="auto" w:sz="12"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&gt;</w:t>
            </w:r>
            <w:r>
              <w:rPr>
                <w:rFonts w:hint="default" w:ascii="Times New Roman" w:hAnsi="Times New Roman" w:cs="Times New Roman"/>
                <w:color w:val="000000"/>
                <w:sz w:val="18"/>
                <w:szCs w:val="18"/>
              </w:rPr>
              <w:t>30～45</w:t>
            </w:r>
          </w:p>
        </w:tc>
        <w:tc>
          <w:tcPr>
            <w:tcW w:w="1890" w:type="dxa"/>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0</w:t>
            </w:r>
          </w:p>
        </w:tc>
        <w:tc>
          <w:tcPr>
            <w:tcW w:w="1680" w:type="dxa"/>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09</w:t>
            </w:r>
          </w:p>
        </w:tc>
        <w:tc>
          <w:tcPr>
            <w:tcW w:w="1980" w:type="dxa"/>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16</w:t>
            </w:r>
          </w:p>
        </w:tc>
        <w:tc>
          <w:tcPr>
            <w:tcW w:w="1577" w:type="dxa"/>
            <w:tcBorders>
              <w:right w:val="single" w:color="auto" w:sz="12" w:space="0"/>
            </w:tcBorders>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10" w:type="dxa"/>
            <w:tcBorders>
              <w:left w:val="single" w:color="auto" w:sz="12"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&gt;</w:t>
            </w:r>
            <w:r>
              <w:rPr>
                <w:rFonts w:hint="default" w:ascii="Times New Roman" w:hAnsi="Times New Roman" w:cs="Times New Roman"/>
                <w:color w:val="000000"/>
                <w:sz w:val="18"/>
                <w:szCs w:val="18"/>
              </w:rPr>
              <w:t>45～55</w:t>
            </w:r>
          </w:p>
        </w:tc>
        <w:tc>
          <w:tcPr>
            <w:tcW w:w="1890" w:type="dxa"/>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2</w:t>
            </w:r>
          </w:p>
        </w:tc>
        <w:tc>
          <w:tcPr>
            <w:tcW w:w="1680" w:type="dxa"/>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0</w:t>
            </w:r>
          </w:p>
        </w:tc>
        <w:tc>
          <w:tcPr>
            <w:tcW w:w="1980" w:type="dxa"/>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18</w:t>
            </w:r>
          </w:p>
        </w:tc>
        <w:tc>
          <w:tcPr>
            <w:tcW w:w="1577" w:type="dxa"/>
            <w:tcBorders>
              <w:right w:val="single" w:color="auto" w:sz="12" w:space="0"/>
            </w:tcBorders>
            <w:noWrap w:val="0"/>
            <w:vAlign w:val="center"/>
          </w:tcPr>
          <w:p>
            <w:pPr>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±0.</w:t>
            </w:r>
            <w:r>
              <w:rPr>
                <w:rFonts w:hint="default" w:ascii="Times New Roman" w:hAnsi="Times New Roman" w:cs="Times New Roman"/>
                <w:color w:val="000000"/>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10" w:type="dxa"/>
            <w:tcBorders>
              <w:left w:val="single" w:color="auto" w:sz="12" w:space="0"/>
              <w:bottom w:val="single" w:color="auto" w:sz="12"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&gt;</w:t>
            </w:r>
            <w:r>
              <w:rPr>
                <w:rFonts w:hint="default" w:ascii="Times New Roman" w:hAnsi="Times New Roman" w:cs="Times New Roman"/>
                <w:color w:val="000000"/>
                <w:sz w:val="18"/>
                <w:szCs w:val="18"/>
              </w:rPr>
              <w:t>55～80</w:t>
            </w:r>
          </w:p>
        </w:tc>
        <w:tc>
          <w:tcPr>
            <w:tcW w:w="1890" w:type="dxa"/>
            <w:tcBorders>
              <w:bottom w:val="single" w:color="auto" w:sz="12" w:space="0"/>
            </w:tcBorders>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5</w:t>
            </w:r>
          </w:p>
        </w:tc>
        <w:tc>
          <w:tcPr>
            <w:tcW w:w="1680" w:type="dxa"/>
            <w:tcBorders>
              <w:bottom w:val="single" w:color="auto" w:sz="12" w:space="0"/>
            </w:tcBorders>
            <w:noWrap w:val="0"/>
            <w:vAlign w:val="center"/>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±0.1</w:t>
            </w:r>
            <w:r>
              <w:rPr>
                <w:rFonts w:hint="default" w:ascii="Times New Roman" w:hAnsi="Times New Roman" w:cs="Times New Roman"/>
                <w:color w:val="000000"/>
                <w:sz w:val="18"/>
                <w:szCs w:val="18"/>
                <w:lang w:val="en-US" w:eastAsia="zh-CN"/>
              </w:rPr>
              <w:t>2</w:t>
            </w:r>
          </w:p>
        </w:tc>
        <w:tc>
          <w:tcPr>
            <w:tcW w:w="1980" w:type="dxa"/>
            <w:tcBorders>
              <w:bottom w:val="single" w:color="auto" w:sz="12" w:space="0"/>
            </w:tcBorders>
            <w:noWrap w:val="0"/>
            <w:vAlign w:val="top"/>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w:t>
            </w:r>
          </w:p>
        </w:tc>
        <w:tc>
          <w:tcPr>
            <w:tcW w:w="1577" w:type="dxa"/>
            <w:tcBorders>
              <w:bottom w:val="single" w:color="auto" w:sz="12" w:space="0"/>
              <w:right w:val="single" w:color="auto" w:sz="12" w:space="0"/>
            </w:tcBorders>
            <w:noWrap w:val="0"/>
            <w:vAlign w:val="top"/>
          </w:tcPr>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37" w:type="dxa"/>
            <w:gridSpan w:val="5"/>
            <w:tcBorders>
              <w:top w:val="single" w:color="auto" w:sz="12" w:space="0"/>
              <w:left w:val="single" w:color="auto" w:sz="12" w:space="0"/>
              <w:bottom w:val="single" w:color="auto" w:sz="12" w:space="0"/>
              <w:right w:val="single" w:color="auto" w:sz="12" w:space="0"/>
            </w:tcBorders>
            <w:noWrap w:val="0"/>
            <w:vAlign w:val="center"/>
          </w:tcPr>
          <w:p>
            <w:pPr>
              <w:ind w:firstLine="360" w:firstLineChars="200"/>
              <w:rPr>
                <w:color w:val="000000"/>
                <w:sz w:val="18"/>
                <w:szCs w:val="18"/>
              </w:rPr>
            </w:pPr>
            <w:r>
              <w:rPr>
                <w:rFonts w:hint="default" w:ascii="Times New Roman" w:hAnsi="Times New Roman" w:cs="Times New Roman"/>
                <w:color w:val="000000"/>
                <w:sz w:val="18"/>
                <w:szCs w:val="18"/>
                <w:vertAlign w:val="superscript"/>
                <w:lang w:val="en-US" w:eastAsia="zh-CN"/>
              </w:rPr>
              <w:t xml:space="preserve">a  </w:t>
            </w:r>
            <w:r>
              <w:rPr>
                <w:rFonts w:hint="default" w:ascii="Times New Roman" w:hAnsi="Times New Roman" w:cs="Times New Roman"/>
                <w:color w:val="000000"/>
                <w:sz w:val="18"/>
                <w:szCs w:val="18"/>
                <w:vertAlign w:val="baseline"/>
                <w:lang w:val="en-US" w:eastAsia="zh-CN"/>
              </w:rPr>
              <w:t>需方要求</w:t>
            </w:r>
            <w:r>
              <w:rPr>
                <w:rFonts w:hint="default" w:ascii="Times New Roman" w:hAnsi="Times New Roman" w:cs="Times New Roman"/>
                <w:color w:val="000000"/>
                <w:sz w:val="18"/>
                <w:szCs w:val="18"/>
              </w:rPr>
              <w:t>允许偏差</w:t>
            </w:r>
            <w:r>
              <w:rPr>
                <w:rFonts w:hint="default" w:ascii="Times New Roman" w:hAnsi="Times New Roman" w:cs="Times New Roman"/>
                <w:color w:val="000000"/>
                <w:sz w:val="18"/>
                <w:szCs w:val="18"/>
                <w:lang w:eastAsia="zh-CN"/>
              </w:rPr>
              <w:t>全</w:t>
            </w:r>
            <w:r>
              <w:rPr>
                <w:rFonts w:hint="default" w:ascii="Times New Roman" w:hAnsi="Times New Roman" w:cs="Times New Roman"/>
                <w:color w:val="000000"/>
                <w:sz w:val="18"/>
                <w:szCs w:val="18"/>
              </w:rPr>
              <w:t>为（</w:t>
            </w:r>
            <w:r>
              <w:rPr>
                <w:rFonts w:hint="eastAsia"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rPr>
              <w:t>）或（</w:t>
            </w:r>
            <w:r>
              <w:rPr>
                <w:rFonts w:hint="eastAsia" w:ascii="Times New Roman" w:hAnsi="Times New Roman" w:cs="Times New Roman"/>
                <w:color w:val="000000"/>
                <w:sz w:val="18"/>
                <w:szCs w:val="18"/>
                <w:lang w:eastAsia="zh-CN"/>
              </w:rPr>
              <w:t>—</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eastAsia="zh-CN"/>
              </w:rPr>
              <w:t>单向偏差时</w:t>
            </w:r>
            <w:r>
              <w:rPr>
                <w:rFonts w:hint="default" w:ascii="Times New Roman" w:hAnsi="Times New Roman" w:cs="Times New Roman"/>
                <w:color w:val="000000"/>
                <w:sz w:val="18"/>
                <w:szCs w:val="18"/>
              </w:rPr>
              <w:t>，其值为</w:t>
            </w:r>
            <w:r>
              <w:rPr>
                <w:rFonts w:hint="default" w:ascii="Times New Roman" w:hAnsi="Times New Roman" w:cs="Times New Roman"/>
                <w:color w:val="000000"/>
                <w:sz w:val="18"/>
                <w:szCs w:val="18"/>
                <w:lang w:eastAsia="zh-CN"/>
              </w:rPr>
              <w:t>表中</w:t>
            </w:r>
            <w:r>
              <w:rPr>
                <w:rFonts w:hint="default" w:ascii="Times New Roman" w:hAnsi="Times New Roman" w:cs="Times New Roman"/>
                <w:color w:val="000000"/>
                <w:sz w:val="18"/>
                <w:szCs w:val="18"/>
              </w:rPr>
              <w:t>数值的</w:t>
            </w:r>
            <w:r>
              <w:rPr>
                <w:rFonts w:hint="default" w:ascii="Times New Roman" w:hAnsi="Times New Roman" w:cs="Times New Roman"/>
                <w:color w:val="000000"/>
                <w:sz w:val="18"/>
                <w:szCs w:val="18"/>
                <w:lang w:val="en-US" w:eastAsia="zh-CN"/>
              </w:rPr>
              <w:t>2</w:t>
            </w:r>
            <w:r>
              <w:rPr>
                <w:rFonts w:hint="default" w:ascii="Times New Roman" w:hAnsi="Times New Roman" w:cs="Times New Roman"/>
                <w:color w:val="000000"/>
                <w:sz w:val="18"/>
                <w:szCs w:val="18"/>
              </w:rPr>
              <w:t>倍。</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right="420" w:firstLine="1050" w:firstLineChars="500"/>
        <w:jc w:val="both"/>
        <w:rPr>
          <w:rFonts w:hint="default" w:ascii="宋体" w:hAnsi="宋体" w:eastAsia="宋体" w:cs="宋体"/>
          <w:i w:val="0"/>
          <w:caps w:val="0"/>
          <w:color w:val="000000"/>
          <w:spacing w:val="0"/>
          <w:sz w:val="21"/>
          <w:szCs w:val="21"/>
          <w:shd w:val="clear" w:fill="FFFFFF"/>
        </w:rPr>
      </w:pP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黑体" w:hAnsi="黑体" w:eastAsia="黑体" w:cs="黑体"/>
          <w:i w:val="0"/>
          <w:caps w:val="0"/>
          <w:color w:val="000000"/>
          <w:spacing w:val="0"/>
          <w:sz w:val="21"/>
          <w:szCs w:val="21"/>
        </w:rPr>
      </w:pPr>
      <w:r>
        <w:rPr>
          <w:rFonts w:hint="eastAsia" w:ascii="黑体" w:hAnsi="黑体" w:eastAsia="黑体" w:cs="黑体"/>
          <w:i w:val="0"/>
          <w:caps w:val="0"/>
          <w:color w:val="000000"/>
          <w:spacing w:val="0"/>
          <w:sz w:val="21"/>
          <w:szCs w:val="21"/>
          <w:shd w:val="clear" w:fill="FFFFFF"/>
          <w:lang w:val="en-US" w:eastAsia="zh-CN"/>
        </w:rPr>
        <w:t>4、</w:t>
      </w:r>
      <w:r>
        <w:rPr>
          <w:rFonts w:hint="eastAsia" w:ascii="黑体" w:hAnsi="黑体" w:eastAsia="黑体" w:cs="黑体"/>
          <w:i w:val="0"/>
          <w:caps w:val="0"/>
          <w:color w:val="000000"/>
          <w:spacing w:val="0"/>
          <w:sz w:val="21"/>
          <w:szCs w:val="21"/>
          <w:shd w:val="clear" w:fill="FFFFFF"/>
        </w:rPr>
        <w:t>力学性能</w:t>
      </w:r>
    </w:p>
    <w:p>
      <w:pPr>
        <w:keepNext w:val="0"/>
        <w:keepLines w:val="0"/>
        <w:pageBreakBefore w:val="0"/>
        <w:kinsoku/>
        <w:wordWrap/>
        <w:overflowPunct/>
        <w:topLinePunct w:val="0"/>
        <w:autoSpaceDE/>
        <w:autoSpaceDN/>
        <w:bidi w:val="0"/>
        <w:adjustRightInd/>
        <w:snapToGrid/>
        <w:spacing w:line="400" w:lineRule="exact"/>
        <w:ind w:firstLine="435"/>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室温</w:t>
      </w:r>
      <w:r>
        <w:rPr>
          <w:rFonts w:hint="default" w:ascii="Times New Roman" w:hAnsi="Times New Roman" w:cs="Times New Roman"/>
          <w:szCs w:val="21"/>
        </w:rPr>
        <w:t>力学性能是</w:t>
      </w:r>
      <w:r>
        <w:rPr>
          <w:rFonts w:hint="eastAsia" w:ascii="Times New Roman" w:hAnsi="Times New Roman" w:cs="Times New Roman"/>
          <w:szCs w:val="21"/>
          <w:lang w:eastAsia="zh-CN"/>
        </w:rPr>
        <w:t>电工用隔铜棒</w:t>
      </w:r>
      <w:r>
        <w:rPr>
          <w:rFonts w:hint="default" w:ascii="Times New Roman" w:hAnsi="Times New Roman" w:cs="Times New Roman"/>
          <w:szCs w:val="21"/>
        </w:rPr>
        <w:t>材的重要技术指标，</w:t>
      </w:r>
      <w:r>
        <w:rPr>
          <w:rFonts w:hint="eastAsia" w:cs="Times New Roman"/>
          <w:szCs w:val="21"/>
          <w:lang w:eastAsia="zh-CN"/>
        </w:rPr>
        <w:t>既</w:t>
      </w:r>
      <w:r>
        <w:rPr>
          <w:rFonts w:hint="default" w:ascii="Times New Roman" w:hAnsi="Times New Roman" w:cs="Times New Roman"/>
          <w:szCs w:val="21"/>
        </w:rPr>
        <w:t>符合实际的使用要求，又便于供需双方的验收，</w:t>
      </w:r>
      <w:r>
        <w:rPr>
          <w:rFonts w:hint="eastAsia" w:ascii="Times New Roman" w:hAnsi="Times New Roman" w:cs="Times New Roman"/>
          <w:szCs w:val="21"/>
          <w:lang w:eastAsia="zh-CN"/>
        </w:rPr>
        <w:t>室温</w:t>
      </w:r>
      <w:r>
        <w:rPr>
          <w:rFonts w:hint="default" w:ascii="Times New Roman" w:hAnsi="Times New Roman" w:cs="Times New Roman"/>
          <w:szCs w:val="21"/>
        </w:rPr>
        <w:t>力学性能包含抗拉强度、断后伸长率及</w:t>
      </w:r>
      <w:r>
        <w:rPr>
          <w:rFonts w:hint="eastAsia" w:ascii="Times New Roman" w:hAnsi="Times New Roman" w:cs="Times New Roman"/>
          <w:szCs w:val="21"/>
          <w:lang w:eastAsia="zh-CN"/>
        </w:rPr>
        <w:t>布</w:t>
      </w:r>
      <w:r>
        <w:rPr>
          <w:rFonts w:hint="default" w:ascii="Times New Roman" w:hAnsi="Times New Roman" w:cs="Times New Roman"/>
          <w:szCs w:val="21"/>
        </w:rPr>
        <w:t>氏硬度</w:t>
      </w:r>
      <w:r>
        <w:rPr>
          <w:rFonts w:hint="eastAsia" w:ascii="Times New Roman" w:hAnsi="Times New Roman" w:cs="Times New Roman"/>
          <w:szCs w:val="21"/>
          <w:lang w:val="en-US" w:eastAsia="zh-CN"/>
        </w:rPr>
        <w:t>。参考多年实际生产数据，将标准的部分</w:t>
      </w:r>
      <w:r>
        <w:rPr>
          <w:rFonts w:hint="eastAsia" w:ascii="Times New Roman" w:hAnsi="Times New Roman" w:cs="Times New Roman"/>
          <w:szCs w:val="21"/>
          <w:lang w:eastAsia="zh-CN"/>
        </w:rPr>
        <w:t>棒</w:t>
      </w:r>
      <w:r>
        <w:rPr>
          <w:rFonts w:hint="default" w:ascii="Times New Roman" w:hAnsi="Times New Roman" w:cs="Times New Roman"/>
          <w:szCs w:val="21"/>
        </w:rPr>
        <w:t>材</w:t>
      </w:r>
      <w:r>
        <w:rPr>
          <w:rFonts w:hint="eastAsia" w:ascii="Times New Roman" w:hAnsi="Times New Roman" w:cs="Times New Roman"/>
          <w:szCs w:val="21"/>
          <w:lang w:eastAsia="zh-CN"/>
        </w:rPr>
        <w:t>室温</w:t>
      </w:r>
      <w:r>
        <w:rPr>
          <w:rFonts w:hint="default" w:ascii="Times New Roman" w:hAnsi="Times New Roman" w:cs="Times New Roman"/>
          <w:szCs w:val="21"/>
        </w:rPr>
        <w:t>力学性能</w:t>
      </w:r>
      <w:r>
        <w:rPr>
          <w:rFonts w:hint="eastAsia" w:ascii="Times New Roman" w:hAnsi="Times New Roman" w:cs="Times New Roman"/>
          <w:szCs w:val="21"/>
          <w:lang w:eastAsia="zh-CN"/>
        </w:rPr>
        <w:t>指标进行了更改，标准的室温力学性能具体指标值见</w:t>
      </w:r>
      <w:r>
        <w:rPr>
          <w:rFonts w:hint="default" w:ascii="Times New Roman" w:hAnsi="Times New Roman" w:cs="Times New Roman"/>
          <w:szCs w:val="21"/>
        </w:rPr>
        <w:t>表</w:t>
      </w:r>
      <w:r>
        <w:rPr>
          <w:rFonts w:hint="eastAsia" w:ascii="Times New Roman" w:hAnsi="Times New Roman" w:cs="Times New Roman"/>
          <w:szCs w:val="21"/>
          <w:lang w:val="en-US" w:eastAsia="zh-CN"/>
        </w:rPr>
        <w:t>2</w:t>
      </w:r>
      <w:r>
        <w:rPr>
          <w:rFonts w:hint="default" w:ascii="Times New Roman" w:hAnsi="Times New Roman" w:cs="Times New Roman"/>
          <w:szCs w:val="21"/>
        </w:rPr>
        <w:t>，</w:t>
      </w:r>
      <w:r>
        <w:rPr>
          <w:rFonts w:hint="eastAsia" w:ascii="Times New Roman" w:hAnsi="Times New Roman" w:cs="Times New Roman"/>
          <w:szCs w:val="21"/>
          <w:lang w:eastAsia="zh-CN"/>
        </w:rPr>
        <w:t>更改的棒</w:t>
      </w:r>
      <w:r>
        <w:rPr>
          <w:rFonts w:hint="default" w:ascii="Times New Roman" w:hAnsi="Times New Roman" w:cs="Times New Roman"/>
          <w:szCs w:val="21"/>
        </w:rPr>
        <w:t>材产品</w:t>
      </w:r>
      <w:r>
        <w:rPr>
          <w:rFonts w:hint="eastAsia" w:ascii="Times New Roman" w:hAnsi="Times New Roman" w:cs="Times New Roman"/>
          <w:szCs w:val="21"/>
          <w:lang w:eastAsia="zh-CN"/>
        </w:rPr>
        <w:t>室温</w:t>
      </w:r>
      <w:r>
        <w:rPr>
          <w:rFonts w:hint="default" w:ascii="Times New Roman" w:hAnsi="Times New Roman" w:cs="Times New Roman"/>
          <w:szCs w:val="21"/>
        </w:rPr>
        <w:t>力学性能实际检测统计数据列于表</w:t>
      </w:r>
      <w:r>
        <w:rPr>
          <w:rFonts w:hint="eastAsia" w:ascii="Times New Roman" w:hAnsi="Times New Roman" w:cs="Times New Roman"/>
          <w:szCs w:val="21"/>
          <w:lang w:val="en-US" w:eastAsia="zh-CN"/>
        </w:rPr>
        <w:t>3</w:t>
      </w:r>
      <w:r>
        <w:rPr>
          <w:rFonts w:hint="default" w:ascii="Times New Roman" w:hAnsi="Times New Roman" w:cs="Times New Roman"/>
          <w:szCs w:val="21"/>
        </w:rPr>
        <w:t>、表</w:t>
      </w:r>
      <w:r>
        <w:rPr>
          <w:rFonts w:hint="eastAsia" w:ascii="Times New Roman" w:hAnsi="Times New Roman" w:cs="Times New Roman"/>
          <w:szCs w:val="21"/>
          <w:lang w:val="en-US" w:eastAsia="zh-CN"/>
        </w:rPr>
        <w:t>4</w:t>
      </w:r>
      <w:r>
        <w:rPr>
          <w:rFonts w:hint="default" w:ascii="Times New Roman" w:hAnsi="Times New Roman" w:cs="Times New Roman"/>
          <w:szCs w:val="21"/>
        </w:rPr>
        <w:t>中，图1是抗拉强度直方图列举图，图2是断后伸长率直方图列举图。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310" w:firstLineChars="1100"/>
        <w:rPr>
          <w:rFonts w:hint="eastAsia" w:ascii="宋体" w:hAnsi="宋体" w:eastAsia="宋体" w:cs="宋体"/>
          <w:i w:val="0"/>
          <w:caps w:val="0"/>
          <w:color w:val="000000"/>
          <w:spacing w:val="0"/>
          <w:sz w:val="21"/>
          <w:szCs w:val="21"/>
          <w:shd w:val="clear" w:fill="FFFFFF"/>
        </w:rPr>
      </w:pPr>
    </w:p>
    <w:p>
      <w:pPr>
        <w:pStyle w:val="9"/>
        <w:spacing w:line="264" w:lineRule="auto"/>
        <w:ind w:left="0" w:leftChars="0" w:firstLine="0" w:firstLineChars="0"/>
        <w:jc w:val="center"/>
        <w:rPr>
          <w:rFonts w:hint="eastAsia" w:ascii="Times New Roman" w:hAnsi="Times New Roman" w:eastAsia="黑体" w:cs="Times New Roman"/>
          <w:color w:val="auto"/>
          <w:kern w:val="0"/>
          <w:sz w:val="21"/>
          <w:szCs w:val="22"/>
          <w:lang w:val="en-US" w:eastAsia="zh-CN" w:bidi="ar-SA"/>
        </w:rPr>
      </w:pPr>
      <w:r>
        <w:rPr>
          <w:rFonts w:hint="eastAsia" w:ascii="Times New Roman" w:hAnsi="Times New Roman" w:eastAsia="黑体" w:cs="Times New Roman"/>
          <w:color w:val="auto"/>
          <w:kern w:val="0"/>
          <w:sz w:val="21"/>
          <w:szCs w:val="22"/>
          <w:lang w:val="en-US" w:eastAsia="zh-CN" w:bidi="ar-SA"/>
        </w:rPr>
        <w:t>表</w:t>
      </w:r>
      <w:r>
        <w:rPr>
          <w:rFonts w:hint="eastAsia" w:ascii="Times New Roman" w:eastAsia="黑体" w:cs="Times New Roman"/>
          <w:color w:val="auto"/>
          <w:kern w:val="0"/>
          <w:sz w:val="21"/>
          <w:szCs w:val="22"/>
          <w:lang w:val="en-US" w:eastAsia="zh-CN" w:bidi="ar-SA"/>
        </w:rPr>
        <w:t>2</w:t>
      </w:r>
      <w:r>
        <w:rPr>
          <w:rFonts w:hint="eastAsia" w:ascii="Times New Roman" w:hAnsi="Times New Roman" w:eastAsia="黑体" w:cs="Times New Roman"/>
          <w:color w:val="auto"/>
          <w:kern w:val="0"/>
          <w:sz w:val="21"/>
          <w:szCs w:val="22"/>
          <w:lang w:val="en-US" w:eastAsia="zh-CN" w:bidi="ar-SA"/>
        </w:rPr>
        <w:t xml:space="preserve">  棒材的室温力学性能</w:t>
      </w:r>
    </w:p>
    <w:tbl>
      <w:tblPr>
        <w:tblStyle w:val="5"/>
        <w:tblW w:w="872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35"/>
        <w:gridCol w:w="2025"/>
        <w:gridCol w:w="1677"/>
        <w:gridCol w:w="151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7" w:type="dxa"/>
            <w:tcBorders>
              <w:top w:val="single" w:color="auto" w:sz="12" w:space="0"/>
              <w:left w:val="single" w:color="auto" w:sz="12" w:space="0"/>
              <w:bottom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18"/>
                <w:szCs w:val="18"/>
              </w:rPr>
            </w:pPr>
            <w:r>
              <w:rPr>
                <w:color w:val="000000"/>
                <w:sz w:val="18"/>
                <w:szCs w:val="18"/>
              </w:rPr>
              <w:t>牌号</w:t>
            </w:r>
          </w:p>
        </w:tc>
        <w:tc>
          <w:tcPr>
            <w:tcW w:w="1035" w:type="dxa"/>
            <w:tcBorders>
              <w:top w:val="single" w:color="auto" w:sz="12" w:space="0"/>
              <w:bottom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18"/>
                <w:szCs w:val="18"/>
              </w:rPr>
            </w:pPr>
            <w:r>
              <w:rPr>
                <w:color w:val="000000"/>
                <w:sz w:val="18"/>
                <w:szCs w:val="18"/>
              </w:rPr>
              <w:t>状态</w:t>
            </w:r>
          </w:p>
        </w:tc>
        <w:tc>
          <w:tcPr>
            <w:tcW w:w="2025" w:type="dxa"/>
            <w:tcBorders>
              <w:top w:val="single" w:color="auto" w:sz="12" w:space="0"/>
              <w:bottom w:val="single" w:color="auto" w:sz="12" w:space="0"/>
            </w:tcBorders>
            <w:noWrap w:val="0"/>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直径或对边距</w:t>
            </w:r>
            <w:r>
              <w:rPr>
                <w:rFonts w:hint="default" w:ascii="Times New Roman" w:hAnsi="Times New Roman" w:cs="Times New Roman"/>
                <w:color w:val="000000"/>
                <w:sz w:val="18"/>
                <w:szCs w:val="18"/>
                <w:lang w:val="en-US" w:eastAsia="zh-CN"/>
              </w:rPr>
              <w:t>/mm</w:t>
            </w:r>
          </w:p>
        </w:tc>
        <w:tc>
          <w:tcPr>
            <w:tcW w:w="1677" w:type="dxa"/>
            <w:tcBorders>
              <w:top w:val="single" w:color="auto" w:sz="12" w:space="0"/>
              <w:bottom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抗拉强度R</w:t>
            </w:r>
            <w:r>
              <w:rPr>
                <w:rFonts w:hint="default" w:ascii="Times New Roman" w:hAnsi="Times New Roman" w:cs="Times New Roman"/>
                <w:color w:val="000000"/>
                <w:sz w:val="18"/>
                <w:szCs w:val="18"/>
                <w:vertAlign w:val="subscript"/>
              </w:rPr>
              <w:t>m</w:t>
            </w:r>
            <w:r>
              <w:rPr>
                <w:rFonts w:hint="default"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rPr>
              <w:t>MPa</w:t>
            </w:r>
          </w:p>
        </w:tc>
        <w:tc>
          <w:tcPr>
            <w:tcW w:w="1515" w:type="dxa"/>
            <w:tcBorders>
              <w:top w:val="single" w:color="auto" w:sz="12" w:space="0"/>
              <w:bottom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断后伸长率A</w:t>
            </w:r>
            <w:r>
              <w:rPr>
                <w:rFonts w:hint="default"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rPr>
              <w:t>%</w:t>
            </w:r>
          </w:p>
        </w:tc>
        <w:tc>
          <w:tcPr>
            <w:tcW w:w="1650" w:type="dxa"/>
            <w:tcBorders>
              <w:top w:val="single" w:color="auto" w:sz="12" w:space="0"/>
              <w:bottom w:val="single" w:color="auto" w:sz="12" w:space="0"/>
              <w:right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布氏硬度</w:t>
            </w:r>
            <w:r>
              <w:rPr>
                <w:rFonts w:hint="default"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rPr>
              <w:t>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restart"/>
            <w:tcBorders>
              <w:top w:val="single" w:color="auto" w:sz="12" w:space="0"/>
              <w:left w:val="single" w:color="auto" w:sz="12" w:space="0"/>
            </w:tcBorders>
            <w:noWrap w:val="0"/>
            <w:vAlign w:val="center"/>
          </w:tcPr>
          <w:p>
            <w:pPr>
              <w:pStyle w:val="4"/>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TCd1</w:t>
            </w:r>
          </w:p>
        </w:tc>
        <w:tc>
          <w:tcPr>
            <w:tcW w:w="1035" w:type="dxa"/>
            <w:vMerge w:val="restart"/>
            <w:tcBorders>
              <w:top w:val="single" w:color="auto" w:sz="12" w:space="0"/>
            </w:tcBorders>
            <w:noWrap w:val="0"/>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M30</w:t>
            </w:r>
          </w:p>
          <w:p>
            <w:pPr>
              <w:pStyle w:val="4"/>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M10</w:t>
            </w:r>
          </w:p>
        </w:tc>
        <w:tc>
          <w:tcPr>
            <w:tcW w:w="2025"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000000"/>
                <w:sz w:val="18"/>
                <w:szCs w:val="18"/>
                <w:lang w:val="en-US" w:eastAsia="zh-CN"/>
              </w:rPr>
            </w:pPr>
            <w:r>
              <w:rPr>
                <w:rFonts w:hint="default" w:ascii="Times New Roman" w:hAnsi="Times New Roman" w:cs="Times New Roman"/>
                <w:color w:val="000000"/>
                <w:sz w:val="18"/>
                <w:szCs w:val="18"/>
                <w:lang w:val="en-US" w:eastAsia="zh-CN"/>
              </w:rPr>
              <w:t>8</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120</w:t>
            </w:r>
          </w:p>
        </w:tc>
        <w:tc>
          <w:tcPr>
            <w:tcW w:w="1677" w:type="dxa"/>
            <w:tcBorders>
              <w:top w:val="single" w:color="auto" w:sz="12" w:space="0"/>
            </w:tcBorders>
            <w:noWrap w:val="0"/>
            <w:vAlign w:val="center"/>
          </w:tcPr>
          <w:p>
            <w:pPr>
              <w:jc w:val="center"/>
              <w:rPr>
                <w:rFonts w:hint="default"/>
                <w:color w:val="000000"/>
                <w:sz w:val="18"/>
                <w:szCs w:val="18"/>
                <w:lang w:val="en-US"/>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215</w:t>
            </w:r>
          </w:p>
        </w:tc>
        <w:tc>
          <w:tcPr>
            <w:tcW w:w="1515" w:type="dxa"/>
            <w:tcBorders>
              <w:top w:val="single" w:color="auto" w:sz="12" w:space="0"/>
            </w:tcBorders>
            <w:noWrap w:val="0"/>
            <w:vAlign w:val="center"/>
          </w:tcPr>
          <w:p>
            <w:pPr>
              <w:jc w:val="center"/>
              <w:rPr>
                <w:rFonts w:hint="default"/>
                <w:color w:val="000000"/>
                <w:sz w:val="18"/>
                <w:szCs w:val="18"/>
                <w:lang w:val="en-US"/>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38</w:t>
            </w:r>
          </w:p>
        </w:tc>
        <w:tc>
          <w:tcPr>
            <w:tcW w:w="1650"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000000"/>
                <w:sz w:val="18"/>
                <w:szCs w:val="18"/>
                <w:lang w:val="en-US"/>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tcBorders>
              <w:left w:val="single" w:color="auto" w:sz="12" w:space="0"/>
            </w:tcBorders>
            <w:noWrap w:val="0"/>
            <w:vAlign w:val="center"/>
          </w:tcPr>
          <w:p>
            <w:pPr>
              <w:pStyle w:val="4"/>
              <w:ind w:firstLine="210"/>
              <w:jc w:val="center"/>
              <w:rPr>
                <w:rFonts w:hint="default" w:ascii="Times New Roman" w:hAnsi="Times New Roman" w:cs="Times New Roman"/>
                <w:color w:val="000000"/>
                <w:sz w:val="18"/>
                <w:szCs w:val="18"/>
              </w:rPr>
            </w:pPr>
          </w:p>
        </w:tc>
        <w:tc>
          <w:tcPr>
            <w:tcW w:w="1035" w:type="dxa"/>
            <w:vMerge w:val="continue"/>
            <w:noWrap w:val="0"/>
            <w:vAlign w:val="center"/>
          </w:tcPr>
          <w:p>
            <w:pPr>
              <w:jc w:val="center"/>
              <w:rPr>
                <w:rFonts w:hint="default" w:ascii="Times New Roman" w:hAnsi="Times New Roman" w:cs="Times New Roman"/>
                <w:color w:val="000000"/>
                <w:sz w:val="18"/>
                <w:szCs w:val="18"/>
              </w:rPr>
            </w:pP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000000"/>
                <w:sz w:val="18"/>
                <w:szCs w:val="18"/>
              </w:rPr>
            </w:pPr>
            <w:r>
              <w:rPr>
                <w:color w:val="000000"/>
                <w:sz w:val="18"/>
                <w:szCs w:val="18"/>
              </w:rPr>
              <w:t>＞</w:t>
            </w:r>
            <w:r>
              <w:rPr>
                <w:rFonts w:hint="default" w:ascii="Times New Roman" w:hAnsi="Times New Roman" w:cs="Times New Roman"/>
                <w:color w:val="000000"/>
                <w:sz w:val="18"/>
                <w:szCs w:val="18"/>
                <w:lang w:val="en-US" w:eastAsia="zh-CN"/>
              </w:rPr>
              <w:t>120</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20</w:t>
            </w:r>
            <w:r>
              <w:rPr>
                <w:rFonts w:hint="default" w:ascii="Times New Roman" w:hAnsi="Times New Roman" w:cs="Times New Roman"/>
                <w:color w:val="000000"/>
                <w:sz w:val="18"/>
                <w:szCs w:val="18"/>
              </w:rPr>
              <w:t>0</w:t>
            </w:r>
          </w:p>
        </w:tc>
        <w:tc>
          <w:tcPr>
            <w:tcW w:w="1677" w:type="dxa"/>
            <w:noWrap w:val="0"/>
            <w:vAlign w:val="center"/>
          </w:tcPr>
          <w:p>
            <w:pPr>
              <w:jc w:val="center"/>
              <w:rPr>
                <w:rFonts w:hint="default"/>
                <w:color w:val="000000"/>
                <w:sz w:val="18"/>
                <w:szCs w:val="18"/>
                <w:lang w:val="en-US"/>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205</w:t>
            </w:r>
          </w:p>
        </w:tc>
        <w:tc>
          <w:tcPr>
            <w:tcW w:w="1515" w:type="dxa"/>
            <w:noWrap w:val="0"/>
            <w:vAlign w:val="center"/>
          </w:tcPr>
          <w:p>
            <w:pPr>
              <w:jc w:val="center"/>
              <w:rPr>
                <w:rFonts w:hint="default"/>
                <w:color w:val="000000"/>
                <w:sz w:val="18"/>
                <w:szCs w:val="18"/>
                <w:lang w:val="en-US"/>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38</w:t>
            </w:r>
          </w:p>
        </w:tc>
        <w:tc>
          <w:tcPr>
            <w:tcW w:w="165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000000"/>
                <w:sz w:val="18"/>
                <w:szCs w:val="18"/>
                <w:lang w:val="en-US"/>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27" w:type="dxa"/>
            <w:vMerge w:val="continue"/>
            <w:tcBorders>
              <w:left w:val="single" w:color="auto" w:sz="12" w:space="0"/>
            </w:tcBorders>
            <w:noWrap w:val="0"/>
            <w:vAlign w:val="center"/>
          </w:tcPr>
          <w:p>
            <w:pPr>
              <w:pStyle w:val="4"/>
              <w:ind w:firstLine="210"/>
              <w:jc w:val="center"/>
              <w:rPr>
                <w:rFonts w:hint="default" w:ascii="Times New Roman" w:hAnsi="Times New Roman" w:cs="Times New Roman"/>
                <w:color w:val="000000"/>
                <w:sz w:val="18"/>
                <w:szCs w:val="18"/>
              </w:rPr>
            </w:pPr>
          </w:p>
        </w:tc>
        <w:tc>
          <w:tcPr>
            <w:tcW w:w="1035" w:type="dxa"/>
            <w:vMerge w:val="restart"/>
            <w:noWrap w:val="0"/>
            <w:vAlign w:val="center"/>
          </w:tcPr>
          <w:p>
            <w:pPr>
              <w:pStyle w:val="4"/>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H04</w:t>
            </w:r>
          </w:p>
        </w:tc>
        <w:tc>
          <w:tcPr>
            <w:tcW w:w="2025"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firstLine="180" w:firstLineChars="100"/>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8</w:t>
            </w:r>
          </w:p>
        </w:tc>
        <w:tc>
          <w:tcPr>
            <w:tcW w:w="1677" w:type="dxa"/>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415</w:t>
            </w:r>
          </w:p>
        </w:tc>
        <w:tc>
          <w:tcPr>
            <w:tcW w:w="1515" w:type="dxa"/>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5</w:t>
            </w:r>
          </w:p>
        </w:tc>
        <w:tc>
          <w:tcPr>
            <w:tcW w:w="1650" w:type="dxa"/>
            <w:tcBorders>
              <w:right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27" w:type="dxa"/>
            <w:vMerge w:val="continue"/>
            <w:tcBorders>
              <w:left w:val="single" w:color="auto" w:sz="12" w:space="0"/>
            </w:tcBorders>
            <w:noWrap w:val="0"/>
            <w:vAlign w:val="center"/>
          </w:tcPr>
          <w:p>
            <w:pPr>
              <w:pStyle w:val="4"/>
              <w:ind w:firstLine="210"/>
              <w:jc w:val="center"/>
              <w:rPr>
                <w:rFonts w:hint="default" w:ascii="Times New Roman" w:hAnsi="Times New Roman" w:cs="Times New Roman"/>
                <w:color w:val="000000"/>
                <w:sz w:val="18"/>
                <w:szCs w:val="18"/>
              </w:rPr>
            </w:pPr>
          </w:p>
        </w:tc>
        <w:tc>
          <w:tcPr>
            <w:tcW w:w="1035" w:type="dxa"/>
            <w:vMerge w:val="continue"/>
            <w:noWrap w:val="0"/>
            <w:vAlign w:val="center"/>
          </w:tcPr>
          <w:p>
            <w:pPr>
              <w:pStyle w:val="4"/>
              <w:ind w:left="0" w:leftChars="0" w:firstLine="0" w:firstLineChars="0"/>
              <w:jc w:val="center"/>
              <w:rPr>
                <w:rFonts w:hint="default" w:ascii="Times New Roman" w:hAnsi="Times New Roman" w:cs="Times New Roman"/>
                <w:color w:val="000000"/>
                <w:sz w:val="18"/>
                <w:szCs w:val="18"/>
              </w:rPr>
            </w:pPr>
          </w:p>
        </w:tc>
        <w:tc>
          <w:tcPr>
            <w:tcW w:w="2025"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firstLine="180" w:firstLineChars="100"/>
              <w:jc w:val="center"/>
              <w:textAlignment w:val="auto"/>
              <w:rPr>
                <w:rFonts w:hint="default" w:ascii="Times New Roman" w:hAnsi="Times New Roman" w:eastAsia="宋体" w:cs="Times New Roman"/>
                <w:color w:val="000000"/>
                <w:kern w:val="2"/>
                <w:sz w:val="18"/>
                <w:szCs w:val="18"/>
                <w:lang w:val="en-US" w:eastAsia="zh-CN" w:bidi="ar-SA"/>
              </w:rPr>
            </w:pPr>
            <w:r>
              <w:rPr>
                <w:color w:val="000000"/>
                <w:sz w:val="18"/>
                <w:szCs w:val="18"/>
              </w:rPr>
              <w:t>＞</w:t>
            </w:r>
            <w:r>
              <w:rPr>
                <w:rFonts w:hint="default" w:ascii="Times New Roman" w:hAnsi="Times New Roman" w:cs="Times New Roman"/>
                <w:color w:val="000000"/>
                <w:sz w:val="18"/>
                <w:szCs w:val="18"/>
                <w:lang w:val="en-US" w:eastAsia="zh-CN"/>
              </w:rPr>
              <w:t>8</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30</w:t>
            </w:r>
          </w:p>
        </w:tc>
        <w:tc>
          <w:tcPr>
            <w:tcW w:w="1677" w:type="dxa"/>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400</w:t>
            </w:r>
          </w:p>
        </w:tc>
        <w:tc>
          <w:tcPr>
            <w:tcW w:w="1515" w:type="dxa"/>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5</w:t>
            </w:r>
          </w:p>
        </w:tc>
        <w:tc>
          <w:tcPr>
            <w:tcW w:w="1650" w:type="dxa"/>
            <w:tcBorders>
              <w:right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continue"/>
            <w:tcBorders>
              <w:left w:val="single" w:color="auto" w:sz="12" w:space="0"/>
            </w:tcBorders>
            <w:noWrap w:val="0"/>
            <w:vAlign w:val="center"/>
          </w:tcPr>
          <w:p>
            <w:pPr>
              <w:pStyle w:val="4"/>
              <w:jc w:val="center"/>
              <w:rPr>
                <w:rFonts w:hint="default" w:ascii="Times New Roman" w:hAnsi="Times New Roman" w:cs="Times New Roman"/>
                <w:color w:val="000000"/>
                <w:sz w:val="18"/>
                <w:szCs w:val="18"/>
              </w:rPr>
            </w:pPr>
          </w:p>
        </w:tc>
        <w:tc>
          <w:tcPr>
            <w:tcW w:w="1035" w:type="dxa"/>
            <w:vMerge w:val="continue"/>
            <w:noWrap w:val="0"/>
            <w:vAlign w:val="center"/>
          </w:tcPr>
          <w:p>
            <w:pPr>
              <w:pStyle w:val="4"/>
              <w:jc w:val="center"/>
              <w:rPr>
                <w:rFonts w:hint="default" w:ascii="Times New Roman" w:hAnsi="Times New Roman" w:cs="Times New Roman"/>
                <w:color w:val="000000"/>
                <w:sz w:val="18"/>
                <w:szCs w:val="18"/>
              </w:rPr>
            </w:pPr>
          </w:p>
        </w:tc>
        <w:tc>
          <w:tcPr>
            <w:tcW w:w="2025"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firstLine="180" w:firstLineChars="100"/>
              <w:jc w:val="center"/>
              <w:textAlignment w:val="auto"/>
              <w:rPr>
                <w:rFonts w:ascii="Times New Roman" w:hAnsi="Times New Roman" w:eastAsia="宋体" w:cs="Times New Roman"/>
                <w:color w:val="000000"/>
                <w:kern w:val="2"/>
                <w:sz w:val="18"/>
                <w:szCs w:val="18"/>
                <w:lang w:val="en-US" w:eastAsia="zh-CN" w:bidi="ar-SA"/>
              </w:rPr>
            </w:pPr>
            <w:r>
              <w:rPr>
                <w:color w:val="000000"/>
                <w:sz w:val="18"/>
                <w:szCs w:val="18"/>
              </w:rPr>
              <w:t>＞</w:t>
            </w:r>
            <w:r>
              <w:rPr>
                <w:rFonts w:hint="default" w:ascii="Times New Roman" w:hAnsi="Times New Roman" w:cs="Times New Roman"/>
                <w:color w:val="000000"/>
                <w:sz w:val="18"/>
                <w:szCs w:val="18"/>
              </w:rPr>
              <w:t>30</w:t>
            </w:r>
          </w:p>
        </w:tc>
        <w:tc>
          <w:tcPr>
            <w:tcW w:w="1677" w:type="dxa"/>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370</w:t>
            </w:r>
          </w:p>
        </w:tc>
        <w:tc>
          <w:tcPr>
            <w:tcW w:w="1515" w:type="dxa"/>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6</w:t>
            </w:r>
          </w:p>
        </w:tc>
        <w:tc>
          <w:tcPr>
            <w:tcW w:w="1650" w:type="dxa"/>
            <w:tcBorders>
              <w:right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tcBorders>
              <w:left w:val="single" w:color="auto" w:sz="12" w:space="0"/>
            </w:tcBorders>
            <w:noWrap w:val="0"/>
            <w:vAlign w:val="center"/>
          </w:tcPr>
          <w:p>
            <w:pPr>
              <w:pStyle w:val="4"/>
              <w:jc w:val="center"/>
              <w:rPr>
                <w:rFonts w:hint="default" w:ascii="Times New Roman" w:hAnsi="Times New Roman" w:cs="Times New Roman"/>
                <w:color w:val="000000"/>
                <w:sz w:val="18"/>
                <w:szCs w:val="18"/>
              </w:rPr>
            </w:pPr>
          </w:p>
        </w:tc>
        <w:tc>
          <w:tcPr>
            <w:tcW w:w="1035" w:type="dxa"/>
            <w:vMerge w:val="restart"/>
            <w:noWrap w:val="0"/>
            <w:vAlign w:val="center"/>
          </w:tcPr>
          <w:p>
            <w:pPr>
              <w:pStyle w:val="4"/>
              <w:ind w:left="0" w:leftChars="0"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O60</w:t>
            </w:r>
          </w:p>
        </w:tc>
        <w:tc>
          <w:tcPr>
            <w:tcW w:w="2025"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firstLine="180" w:firstLineChars="100"/>
              <w:jc w:val="center"/>
              <w:textAlignment w:val="auto"/>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8</w:t>
            </w:r>
          </w:p>
        </w:tc>
        <w:tc>
          <w:tcPr>
            <w:tcW w:w="1677" w:type="dxa"/>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220</w:t>
            </w:r>
          </w:p>
        </w:tc>
        <w:tc>
          <w:tcPr>
            <w:tcW w:w="1515" w:type="dxa"/>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50</w:t>
            </w:r>
          </w:p>
        </w:tc>
        <w:tc>
          <w:tcPr>
            <w:tcW w:w="1650"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continue"/>
            <w:tcBorders>
              <w:left w:val="single" w:color="auto" w:sz="12" w:space="0"/>
              <w:bottom w:val="single" w:color="auto" w:sz="12" w:space="0"/>
            </w:tcBorders>
            <w:noWrap w:val="0"/>
            <w:vAlign w:val="center"/>
          </w:tcPr>
          <w:p>
            <w:pPr>
              <w:pStyle w:val="4"/>
              <w:jc w:val="center"/>
              <w:rPr>
                <w:color w:val="000000"/>
                <w:sz w:val="18"/>
                <w:szCs w:val="18"/>
              </w:rPr>
            </w:pPr>
          </w:p>
        </w:tc>
        <w:tc>
          <w:tcPr>
            <w:tcW w:w="1035" w:type="dxa"/>
            <w:vMerge w:val="continue"/>
            <w:tcBorders>
              <w:bottom w:val="single" w:color="auto" w:sz="12" w:space="0"/>
            </w:tcBorders>
            <w:noWrap w:val="0"/>
            <w:vAlign w:val="center"/>
          </w:tcPr>
          <w:p>
            <w:pPr>
              <w:pStyle w:val="4"/>
              <w:jc w:val="center"/>
              <w:rPr>
                <w:color w:val="000000"/>
                <w:sz w:val="18"/>
                <w:szCs w:val="18"/>
              </w:rPr>
            </w:pPr>
          </w:p>
        </w:tc>
        <w:tc>
          <w:tcPr>
            <w:tcW w:w="2025" w:type="dxa"/>
            <w:tcBorders>
              <w:bottom w:val="single" w:color="auto" w:sz="12"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ind w:firstLine="180" w:firstLineChars="100"/>
              <w:jc w:val="center"/>
              <w:textAlignment w:val="auto"/>
              <w:rPr>
                <w:rFonts w:hint="default" w:ascii="Times New Roman" w:hAnsi="Times New Roman" w:eastAsia="宋体" w:cs="Times New Roman"/>
                <w:color w:val="000000"/>
                <w:kern w:val="2"/>
                <w:sz w:val="18"/>
                <w:szCs w:val="18"/>
                <w:lang w:val="en-US" w:eastAsia="zh-CN" w:bidi="ar-SA"/>
              </w:rPr>
            </w:pPr>
            <w:r>
              <w:rPr>
                <w:color w:val="000000"/>
                <w:sz w:val="18"/>
                <w:szCs w:val="18"/>
              </w:rPr>
              <w:t>＞</w:t>
            </w:r>
            <w:r>
              <w:rPr>
                <w:rFonts w:hint="default" w:ascii="Times New Roman" w:hAnsi="Times New Roman" w:cs="Times New Roman"/>
                <w:color w:val="000000"/>
                <w:sz w:val="18"/>
                <w:szCs w:val="18"/>
                <w:lang w:val="en-US" w:eastAsia="zh-CN"/>
              </w:rPr>
              <w:t>8</w:t>
            </w:r>
            <w:r>
              <w:rPr>
                <w:rFonts w:hint="default" w:ascii="Times New Roman" w:hAnsi="Times New Roman" w:cs="Times New Roman"/>
                <w:color w:val="000000"/>
                <w:sz w:val="18"/>
                <w:szCs w:val="18"/>
              </w:rPr>
              <w:t>～</w:t>
            </w:r>
            <w:r>
              <w:rPr>
                <w:rFonts w:hint="default" w:ascii="Times New Roman" w:hAnsi="Times New Roman" w:cs="Times New Roman"/>
                <w:color w:val="000000"/>
                <w:sz w:val="18"/>
                <w:szCs w:val="18"/>
                <w:lang w:val="en-US" w:eastAsia="zh-CN"/>
              </w:rPr>
              <w:t>8</w:t>
            </w:r>
            <w:r>
              <w:rPr>
                <w:rFonts w:hint="default" w:ascii="Times New Roman" w:hAnsi="Times New Roman" w:cs="Times New Roman"/>
                <w:color w:val="000000"/>
                <w:sz w:val="18"/>
                <w:szCs w:val="18"/>
              </w:rPr>
              <w:t>0</w:t>
            </w:r>
          </w:p>
        </w:tc>
        <w:tc>
          <w:tcPr>
            <w:tcW w:w="1677" w:type="dxa"/>
            <w:tcBorders>
              <w:bottom w:val="single" w:color="auto" w:sz="12" w:space="0"/>
            </w:tcBorders>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220</w:t>
            </w:r>
          </w:p>
        </w:tc>
        <w:tc>
          <w:tcPr>
            <w:tcW w:w="1515" w:type="dxa"/>
            <w:tcBorders>
              <w:bottom w:val="single" w:color="auto" w:sz="12" w:space="0"/>
            </w:tcBorders>
            <w:noWrap w:val="0"/>
            <w:vAlign w:val="center"/>
          </w:tcPr>
          <w:p>
            <w:pPr>
              <w:jc w:val="center"/>
              <w:rPr>
                <w:rFonts w:hint="default"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50</w:t>
            </w:r>
          </w:p>
        </w:tc>
        <w:tc>
          <w:tcPr>
            <w:tcW w:w="1650" w:type="dxa"/>
            <w:tcBorders>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eastAsia="zh-CN"/>
              </w:rPr>
              <w:t>≤</w:t>
            </w:r>
            <w:r>
              <w:rPr>
                <w:rFonts w:hint="default" w:ascii="Times New Roman" w:hAnsi="Times New Roman" w:cs="Times New Roman"/>
                <w:color w:val="000000"/>
                <w:sz w:val="18"/>
                <w:szCs w:val="18"/>
                <w:lang w:val="en-US" w:eastAsia="zh-CN"/>
              </w:rPr>
              <w:t>75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spacing w:val="0"/>
          <w:sz w:val="21"/>
          <w:szCs w:val="21"/>
          <w:shd w:val="clear" w:fill="FFFFFF"/>
          <w:lang w:eastAsia="zh-CN"/>
        </w:rPr>
      </w:pPr>
    </w:p>
    <w:p>
      <w:pPr>
        <w:spacing w:line="360" w:lineRule="auto"/>
        <w:ind w:firstLine="435"/>
        <w:jc w:val="center"/>
        <w:rPr>
          <w:rFonts w:hint="default" w:ascii="Times New Roman" w:hAnsi="Times New Roman" w:eastAsia="黑体" w:cs="Times New Roman"/>
          <w:color w:val="auto"/>
          <w:kern w:val="0"/>
          <w:sz w:val="21"/>
          <w:szCs w:val="22"/>
          <w:lang w:val="en-US" w:eastAsia="zh-CN" w:bidi="ar-SA"/>
        </w:rPr>
      </w:pPr>
      <w:r>
        <w:rPr>
          <w:rFonts w:hint="default" w:ascii="Times New Roman" w:hAnsi="Times New Roman" w:eastAsia="黑体" w:cs="Times New Roman"/>
          <w:color w:val="auto"/>
          <w:kern w:val="0"/>
          <w:sz w:val="21"/>
          <w:szCs w:val="22"/>
          <w:lang w:val="en-US" w:eastAsia="zh-CN" w:bidi="ar-SA"/>
        </w:rPr>
        <w:t>表</w:t>
      </w:r>
      <w:r>
        <w:rPr>
          <w:rFonts w:hint="eastAsia" w:ascii="Times New Roman" w:hAnsi="Times New Roman" w:eastAsia="黑体" w:cs="Times New Roman"/>
          <w:color w:val="auto"/>
          <w:kern w:val="0"/>
          <w:sz w:val="21"/>
          <w:szCs w:val="22"/>
          <w:lang w:val="en-US" w:eastAsia="zh-CN" w:bidi="ar-SA"/>
        </w:rPr>
        <w:t>3</w:t>
      </w:r>
      <w:r>
        <w:rPr>
          <w:rFonts w:hint="default" w:ascii="Times New Roman" w:hAnsi="Times New Roman" w:eastAsia="黑体" w:cs="Times New Roman"/>
          <w:color w:val="auto"/>
          <w:kern w:val="0"/>
          <w:sz w:val="21"/>
          <w:szCs w:val="22"/>
          <w:lang w:val="en-US" w:eastAsia="zh-CN" w:bidi="ar-SA"/>
        </w:rPr>
        <w:t xml:space="preserve"> </w:t>
      </w:r>
      <w:r>
        <w:rPr>
          <w:rFonts w:hint="eastAsia" w:ascii="Times New Roman" w:hAnsi="Times New Roman" w:eastAsia="黑体" w:cs="Times New Roman"/>
          <w:color w:val="auto"/>
          <w:kern w:val="0"/>
          <w:sz w:val="21"/>
          <w:szCs w:val="22"/>
          <w:lang w:val="en-US" w:eastAsia="zh-CN" w:bidi="ar-SA"/>
        </w:rPr>
        <w:t xml:space="preserve"> TCd1棒材</w:t>
      </w:r>
      <w:r>
        <w:rPr>
          <w:rFonts w:hint="default" w:ascii="Times New Roman" w:hAnsi="Times New Roman" w:eastAsia="黑体" w:cs="Times New Roman"/>
          <w:color w:val="auto"/>
          <w:kern w:val="0"/>
          <w:sz w:val="21"/>
          <w:szCs w:val="22"/>
          <w:lang w:val="en-US" w:eastAsia="zh-CN" w:bidi="ar-SA"/>
        </w:rPr>
        <w:t>的室温力学性能检测统计表（抗拉强度）</w:t>
      </w:r>
    </w:p>
    <w:tbl>
      <w:tblPr>
        <w:tblStyle w:val="5"/>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0"/>
        <w:gridCol w:w="910"/>
        <w:gridCol w:w="728"/>
        <w:gridCol w:w="975"/>
        <w:gridCol w:w="809"/>
        <w:gridCol w:w="713"/>
        <w:gridCol w:w="696"/>
        <w:gridCol w:w="793"/>
        <w:gridCol w:w="697"/>
        <w:gridCol w:w="70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12" w:space="0"/>
              <w:left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牌号</w:t>
            </w:r>
          </w:p>
        </w:tc>
        <w:tc>
          <w:tcPr>
            <w:tcW w:w="610"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状态</w:t>
            </w:r>
          </w:p>
        </w:tc>
        <w:tc>
          <w:tcPr>
            <w:tcW w:w="910"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直径或对边距/mm</w:t>
            </w:r>
          </w:p>
        </w:tc>
        <w:tc>
          <w:tcPr>
            <w:tcW w:w="728"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样品数量（个）</w:t>
            </w:r>
          </w:p>
        </w:tc>
        <w:tc>
          <w:tcPr>
            <w:tcW w:w="975"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抗拉强度检测范围MPa</w:t>
            </w:r>
          </w:p>
        </w:tc>
        <w:tc>
          <w:tcPr>
            <w:tcW w:w="809"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抗拉强度</w:t>
            </w:r>
            <w:r>
              <w:rPr>
                <w:rFonts w:hint="eastAsia" w:ascii="宋体" w:hAnsi="宋体" w:eastAsia="宋体" w:cs="宋体"/>
                <w:sz w:val="15"/>
                <w:szCs w:val="15"/>
                <w:lang w:eastAsia="zh-CN"/>
              </w:rPr>
              <w:t>下</w:t>
            </w:r>
            <w:r>
              <w:rPr>
                <w:rFonts w:hint="eastAsia" w:ascii="宋体" w:hAnsi="宋体" w:eastAsia="宋体" w:cs="宋体"/>
                <w:sz w:val="15"/>
                <w:szCs w:val="15"/>
              </w:rPr>
              <w:t>限值U</w:t>
            </w:r>
          </w:p>
        </w:tc>
        <w:tc>
          <w:tcPr>
            <w:tcW w:w="713"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平均值</w:t>
            </w:r>
            <w:r>
              <w:rPr>
                <w:rFonts w:hint="eastAsia" w:ascii="宋体" w:hAnsi="宋体" w:eastAsia="宋体" w:cs="宋体"/>
                <w:position w:val="-10"/>
                <w:sz w:val="15"/>
                <w:szCs w:val="15"/>
              </w:rPr>
              <w:object>
                <v:shape id="_x0000_i1025" o:spt="75" type="#_x0000_t75" style="height:12.55pt;width:11.7pt;" o:ole="t" filled="f" o:preferrelative="t" stroked="f" coordsize="21600,21600">
                  <v:path/>
                  <v:fill on="f" focussize="0,0"/>
                  <v:stroke on="f" joinstyle="miter"/>
                  <v:imagedata r:id="rId5" o:title=""/>
                  <o:lock v:ext="edit" aspectratio="t"/>
                  <w10:wrap type="none"/>
                  <w10:anchorlock/>
                </v:shape>
                <o:OLEObject Type="Embed" ProgID="Equations" ShapeID="_x0000_i1025" DrawAspect="Content" ObjectID="_1468075725" r:id="rId4">
                  <o:LockedField>false</o:LockedField>
                </o:OLEObject>
              </w:object>
            </w:r>
          </w:p>
        </w:tc>
        <w:tc>
          <w:tcPr>
            <w:tcW w:w="696"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标准偏差</w:t>
            </w:r>
            <w:r>
              <w:rPr>
                <w:rFonts w:hint="eastAsia" w:ascii="宋体" w:hAnsi="宋体" w:eastAsia="宋体" w:cs="宋体"/>
                <w:position w:val="-6"/>
                <w:sz w:val="15"/>
                <w:szCs w:val="15"/>
              </w:rPr>
              <w:object>
                <v:shape id="_x0000_i1026" o:spt="75" type="#_x0000_t75" style="height:10.9pt;width:11.7pt;" o:ole="t" filled="f" o:preferrelative="t" stroked="f" coordsize="21600,21600">
                  <v:path/>
                  <v:fill on="f" focussize="0,0"/>
                  <v:stroke on="f" joinstyle="miter"/>
                  <v:imagedata r:id="rId7" o:title=""/>
                  <o:lock v:ext="edit" aspectratio="t"/>
                  <w10:wrap type="none"/>
                  <w10:anchorlock/>
                </v:shape>
                <o:OLEObject Type="Embed" ProgID="Equations" ShapeID="_x0000_i1026" DrawAspect="Content" ObjectID="_1468075726" r:id="rId6">
                  <o:LockedField>false</o:LockedField>
                </o:OLEObject>
              </w:object>
            </w:r>
          </w:p>
        </w:tc>
        <w:tc>
          <w:tcPr>
            <w:tcW w:w="793"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正态分布曲线左边</w:t>
            </w:r>
          </w:p>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接受概率%</w:t>
            </w:r>
          </w:p>
        </w:tc>
        <w:tc>
          <w:tcPr>
            <w:tcW w:w="1404" w:type="dxa"/>
            <w:gridSpan w:val="2"/>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正态分布曲线右边接收概率%</w:t>
            </w:r>
          </w:p>
        </w:tc>
        <w:tc>
          <w:tcPr>
            <w:tcW w:w="782" w:type="dxa"/>
            <w:vMerge w:val="restart"/>
            <w:tcBorders>
              <w:top w:val="single" w:color="auto" w:sz="12" w:space="0"/>
              <w:right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vMerge w:val="continue"/>
            <w:tcBorders>
              <w:left w:val="single" w:color="auto" w:sz="12" w:space="0"/>
              <w:bottom w:val="single" w:color="auto" w:sz="12" w:space="0"/>
            </w:tcBorders>
            <w:vAlign w:val="center"/>
          </w:tcPr>
          <w:p>
            <w:pPr>
              <w:spacing w:line="360" w:lineRule="auto"/>
              <w:jc w:val="center"/>
              <w:rPr>
                <w:rFonts w:hint="eastAsia" w:ascii="宋体" w:hAnsi="宋体" w:eastAsia="宋体" w:cs="宋体"/>
                <w:sz w:val="15"/>
                <w:szCs w:val="15"/>
              </w:rPr>
            </w:pPr>
          </w:p>
        </w:tc>
        <w:tc>
          <w:tcPr>
            <w:tcW w:w="610"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910"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728"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975"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809"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713"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696"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793"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697" w:type="dxa"/>
            <w:tcBorders>
              <w:bottom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标准指标系数u1</w:t>
            </w:r>
          </w:p>
        </w:tc>
        <w:tc>
          <w:tcPr>
            <w:tcW w:w="707" w:type="dxa"/>
            <w:tcBorders>
              <w:bottom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接受概率%</w:t>
            </w:r>
          </w:p>
        </w:tc>
        <w:tc>
          <w:tcPr>
            <w:tcW w:w="782" w:type="dxa"/>
            <w:vMerge w:val="continue"/>
            <w:tcBorders>
              <w:bottom w:val="single" w:color="auto" w:sz="12" w:space="0"/>
              <w:right w:val="single" w:color="auto" w:sz="12" w:space="0"/>
            </w:tcBorders>
            <w:vAlign w:val="center"/>
          </w:tcPr>
          <w:p>
            <w:pPr>
              <w:spacing w:line="360" w:lineRule="auto"/>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vMerge w:val="restart"/>
            <w:tcBorders>
              <w:top w:val="single" w:color="auto" w:sz="12" w:space="0"/>
              <w:left w:val="single" w:color="auto" w:sz="12" w:space="0"/>
              <w:bottom w:val="single" w:color="auto" w:sz="2" w:space="0"/>
            </w:tcBorders>
            <w:vAlign w:val="center"/>
          </w:tcPr>
          <w:p>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TCd1</w:t>
            </w:r>
          </w:p>
        </w:tc>
        <w:tc>
          <w:tcPr>
            <w:tcW w:w="610" w:type="dxa"/>
            <w:vMerge w:val="restart"/>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aps w:val="0"/>
                <w:color w:val="auto"/>
                <w:spacing w:val="0"/>
                <w:sz w:val="18"/>
                <w:szCs w:val="18"/>
              </w:rPr>
              <w:t>O60</w:t>
            </w:r>
          </w:p>
        </w:tc>
        <w:tc>
          <w:tcPr>
            <w:tcW w:w="910" w:type="dxa"/>
            <w:tcBorders>
              <w:top w:val="single" w:color="auto" w:sz="12" w:space="0"/>
              <w:bottom w:val="single" w:color="auto" w:sz="2"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rPr>
                <w:rFonts w:hint="default" w:ascii="Times New Roman" w:hAnsi="Times New Roman" w:eastAsia="宋体" w:cs="Times New Roman"/>
                <w:color w:val="auto"/>
                <w:kern w:val="2"/>
                <w:sz w:val="18"/>
                <w:szCs w:val="18"/>
                <w:lang w:val="en-US" w:eastAsia="zh-CN" w:bidi="ar-SA"/>
              </w:rPr>
            </w:pPr>
            <w:r>
              <w:rPr>
                <w:rFonts w:hint="eastAsia" w:ascii="宋体" w:hAnsi="宋体" w:eastAsia="宋体" w:cs="宋体"/>
                <w:caps w:val="0"/>
                <w:color w:val="auto"/>
                <w:spacing w:val="0"/>
                <w:sz w:val="18"/>
                <w:szCs w:val="18"/>
              </w:rPr>
              <w:t>≤</w:t>
            </w:r>
            <w:r>
              <w:rPr>
                <w:rFonts w:hint="default" w:ascii="Times New Roman" w:hAnsi="Times New Roman" w:eastAsia="宋体" w:cs="Times New Roman"/>
                <w:caps w:val="0"/>
                <w:color w:val="auto"/>
                <w:spacing w:val="0"/>
                <w:sz w:val="18"/>
                <w:szCs w:val="18"/>
                <w:lang w:val="en-US" w:eastAsia="zh-CN"/>
              </w:rPr>
              <w:t>8</w:t>
            </w:r>
          </w:p>
        </w:tc>
        <w:tc>
          <w:tcPr>
            <w:tcW w:w="728" w:type="dxa"/>
            <w:tcBorders>
              <w:top w:val="single" w:color="auto" w:sz="12" w:space="0"/>
              <w:bottom w:val="single" w:color="auto" w:sz="2"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100</w:t>
            </w:r>
          </w:p>
        </w:tc>
        <w:tc>
          <w:tcPr>
            <w:tcW w:w="975"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217</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272</w:t>
            </w:r>
          </w:p>
        </w:tc>
        <w:tc>
          <w:tcPr>
            <w:tcW w:w="809"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217</w:t>
            </w:r>
          </w:p>
        </w:tc>
        <w:tc>
          <w:tcPr>
            <w:tcW w:w="713"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244.5</w:t>
            </w:r>
          </w:p>
        </w:tc>
        <w:tc>
          <w:tcPr>
            <w:tcW w:w="696"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4.89</w:t>
            </w:r>
          </w:p>
        </w:tc>
        <w:tc>
          <w:tcPr>
            <w:tcW w:w="793"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50.00</w:t>
            </w:r>
          </w:p>
        </w:tc>
        <w:tc>
          <w:tcPr>
            <w:tcW w:w="697"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2.71</w:t>
            </w:r>
          </w:p>
        </w:tc>
        <w:tc>
          <w:tcPr>
            <w:tcW w:w="707"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49.66</w:t>
            </w:r>
          </w:p>
        </w:tc>
        <w:tc>
          <w:tcPr>
            <w:tcW w:w="782" w:type="dxa"/>
            <w:tcBorders>
              <w:top w:val="single" w:color="auto" w:sz="12" w:space="0"/>
              <w:bottom w:val="single" w:color="auto" w:sz="2" w:space="0"/>
              <w:right w:val="single" w:color="auto" w:sz="12" w:space="0"/>
            </w:tcBorders>
            <w:vAlign w:val="center"/>
          </w:tcPr>
          <w:p>
            <w:pPr>
              <w:spacing w:line="36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continue"/>
            <w:tcBorders>
              <w:top w:val="single" w:color="auto" w:sz="2" w:space="0"/>
              <w:left w:val="single" w:color="auto" w:sz="12" w:space="0"/>
              <w:bottom w:val="single" w:color="auto" w:sz="12" w:space="0"/>
            </w:tcBorders>
            <w:vAlign w:val="center"/>
          </w:tcPr>
          <w:p>
            <w:pPr>
              <w:spacing w:line="360" w:lineRule="auto"/>
              <w:jc w:val="center"/>
              <w:rPr>
                <w:rFonts w:hint="default" w:ascii="Times New Roman" w:hAnsi="Times New Roman" w:eastAsia="宋体" w:cs="Times New Roman"/>
                <w:sz w:val="18"/>
                <w:szCs w:val="18"/>
                <w:lang w:val="en-US" w:eastAsia="zh-CN"/>
              </w:rPr>
            </w:pPr>
          </w:p>
        </w:tc>
        <w:tc>
          <w:tcPr>
            <w:tcW w:w="610" w:type="dxa"/>
            <w:vMerge w:val="continue"/>
            <w:tcBorders>
              <w:top w:val="single" w:color="auto" w:sz="2" w:space="0"/>
              <w:bottom w:val="single" w:color="auto" w:sz="12" w:space="0"/>
            </w:tcBorders>
            <w:vAlign w:val="center"/>
          </w:tcPr>
          <w:p>
            <w:pPr>
              <w:spacing w:line="360" w:lineRule="auto"/>
              <w:jc w:val="center"/>
              <w:rPr>
                <w:rFonts w:hint="default" w:ascii="Times New Roman" w:hAnsi="Times New Roman" w:eastAsia="宋体" w:cs="Times New Roman"/>
                <w:caps w:val="0"/>
                <w:color w:val="auto"/>
                <w:spacing w:val="0"/>
                <w:sz w:val="18"/>
                <w:szCs w:val="18"/>
              </w:rPr>
            </w:pPr>
          </w:p>
        </w:tc>
        <w:tc>
          <w:tcPr>
            <w:tcW w:w="910" w:type="dxa"/>
            <w:tcBorders>
              <w:top w:val="single" w:color="auto" w:sz="2" w:space="0"/>
              <w:bottom w:val="single" w:color="auto" w:sz="12"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rPr>
                <w:rFonts w:hint="default" w:ascii="Times New Roman" w:hAnsi="Times New Roman" w:eastAsia="宋体" w:cs="Times New Roman"/>
                <w:caps w:val="0"/>
                <w:color w:val="auto"/>
                <w:spacing w:val="0"/>
                <w:sz w:val="18"/>
                <w:szCs w:val="18"/>
              </w:rPr>
            </w:pPr>
            <w:r>
              <w:rPr>
                <w:rFonts w:hint="default" w:ascii="Times New Roman" w:hAnsi="Times New Roman" w:eastAsia="宋体" w:cs="Times New Roman"/>
                <w:caps w:val="0"/>
                <w:color w:val="auto"/>
                <w:spacing w:val="0"/>
                <w:sz w:val="18"/>
                <w:szCs w:val="18"/>
              </w:rPr>
              <w:t>＞</w:t>
            </w:r>
            <w:r>
              <w:rPr>
                <w:rFonts w:hint="default" w:ascii="Times New Roman" w:hAnsi="Times New Roman" w:eastAsia="宋体" w:cs="Times New Roman"/>
                <w:caps w:val="0"/>
                <w:color w:val="auto"/>
                <w:spacing w:val="0"/>
                <w:sz w:val="18"/>
                <w:szCs w:val="18"/>
                <w:lang w:val="en-US" w:eastAsia="zh-CN"/>
              </w:rPr>
              <w:t>8</w:t>
            </w:r>
            <w:r>
              <w:rPr>
                <w:rFonts w:hint="default" w:ascii="Times New Roman" w:hAnsi="Times New Roman" w:eastAsia="宋体" w:cs="Times New Roman"/>
                <w:caps w:val="0"/>
                <w:color w:val="auto"/>
                <w:spacing w:val="0"/>
                <w:sz w:val="18"/>
                <w:szCs w:val="18"/>
              </w:rPr>
              <w:t>～</w:t>
            </w:r>
            <w:r>
              <w:rPr>
                <w:rFonts w:hint="default" w:ascii="Times New Roman" w:hAnsi="Times New Roman" w:eastAsia="宋体" w:cs="Times New Roman"/>
                <w:caps w:val="0"/>
                <w:color w:val="auto"/>
                <w:spacing w:val="0"/>
                <w:sz w:val="18"/>
                <w:szCs w:val="18"/>
                <w:lang w:val="en-US" w:eastAsia="zh-CN"/>
              </w:rPr>
              <w:t>8</w:t>
            </w:r>
            <w:r>
              <w:rPr>
                <w:rFonts w:hint="default" w:ascii="Times New Roman" w:hAnsi="Times New Roman" w:eastAsia="宋体" w:cs="Times New Roman"/>
                <w:caps w:val="0"/>
                <w:color w:val="auto"/>
                <w:spacing w:val="0"/>
                <w:sz w:val="18"/>
                <w:szCs w:val="18"/>
              </w:rPr>
              <w:t>0</w:t>
            </w:r>
          </w:p>
        </w:tc>
        <w:tc>
          <w:tcPr>
            <w:tcW w:w="728" w:type="dxa"/>
            <w:tcBorders>
              <w:top w:val="single" w:color="auto" w:sz="2" w:space="0"/>
              <w:bottom w:val="single" w:color="auto" w:sz="12"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100</w:t>
            </w:r>
          </w:p>
        </w:tc>
        <w:tc>
          <w:tcPr>
            <w:tcW w:w="975" w:type="dxa"/>
            <w:tcBorders>
              <w:top w:val="single" w:color="auto" w:sz="2" w:space="0"/>
              <w:bottom w:val="single" w:color="auto" w:sz="12" w:space="0"/>
            </w:tcBorders>
            <w:vAlign w:val="center"/>
          </w:tcPr>
          <w:p>
            <w:pPr>
              <w:spacing w:line="36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217</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272</w:t>
            </w:r>
          </w:p>
        </w:tc>
        <w:tc>
          <w:tcPr>
            <w:tcW w:w="809" w:type="dxa"/>
            <w:tcBorders>
              <w:top w:val="single" w:color="auto" w:sz="2" w:space="0"/>
              <w:bottom w:val="single" w:color="auto" w:sz="1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217</w:t>
            </w:r>
          </w:p>
        </w:tc>
        <w:tc>
          <w:tcPr>
            <w:tcW w:w="713" w:type="dxa"/>
            <w:tcBorders>
              <w:top w:val="single" w:color="auto" w:sz="2" w:space="0"/>
              <w:bottom w:val="single" w:color="auto" w:sz="1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244.5</w:t>
            </w:r>
          </w:p>
        </w:tc>
        <w:tc>
          <w:tcPr>
            <w:tcW w:w="696" w:type="dxa"/>
            <w:tcBorders>
              <w:top w:val="single" w:color="auto" w:sz="2" w:space="0"/>
              <w:bottom w:val="single" w:color="auto" w:sz="12" w:space="0"/>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5.57</w:t>
            </w:r>
          </w:p>
        </w:tc>
        <w:tc>
          <w:tcPr>
            <w:tcW w:w="793" w:type="dxa"/>
            <w:tcBorders>
              <w:top w:val="single" w:color="auto" w:sz="2" w:space="0"/>
              <w:bottom w:val="single" w:color="auto" w:sz="12" w:space="0"/>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50.00</w:t>
            </w:r>
          </w:p>
        </w:tc>
        <w:tc>
          <w:tcPr>
            <w:tcW w:w="697" w:type="dxa"/>
            <w:tcBorders>
              <w:top w:val="single" w:color="auto" w:sz="2" w:space="0"/>
              <w:bottom w:val="single" w:color="auto" w:sz="12" w:space="0"/>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3.28</w:t>
            </w:r>
          </w:p>
        </w:tc>
        <w:tc>
          <w:tcPr>
            <w:tcW w:w="707" w:type="dxa"/>
            <w:tcBorders>
              <w:top w:val="single" w:color="auto" w:sz="2" w:space="0"/>
              <w:bottom w:val="single" w:color="auto" w:sz="12" w:space="0"/>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49.95</w:t>
            </w:r>
          </w:p>
        </w:tc>
        <w:tc>
          <w:tcPr>
            <w:tcW w:w="782" w:type="dxa"/>
            <w:tcBorders>
              <w:top w:val="single" w:color="auto" w:sz="2" w:space="0"/>
              <w:bottom w:val="single" w:color="auto" w:sz="12" w:space="0"/>
              <w:right w:val="single" w:color="auto" w:sz="12" w:space="0"/>
            </w:tcBorders>
            <w:vAlign w:val="center"/>
          </w:tcPr>
          <w:p>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99.95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spacing w:val="0"/>
          <w:sz w:val="21"/>
          <w:szCs w:val="21"/>
          <w:shd w:val="clear" w:fill="FFFFFF"/>
          <w:lang w:eastAsia="zh-CN"/>
        </w:rPr>
      </w:pPr>
    </w:p>
    <w:p>
      <w:pPr>
        <w:spacing w:line="360" w:lineRule="auto"/>
        <w:ind w:firstLine="435"/>
        <w:jc w:val="center"/>
        <w:rPr>
          <w:rFonts w:hint="default" w:ascii="Times New Roman" w:hAnsi="Times New Roman" w:eastAsia="黑体" w:cs="Times New Roman"/>
          <w:color w:val="auto"/>
          <w:kern w:val="0"/>
          <w:sz w:val="21"/>
          <w:szCs w:val="22"/>
          <w:lang w:val="en-US" w:eastAsia="zh-CN" w:bidi="ar-SA"/>
        </w:rPr>
      </w:pPr>
      <w:r>
        <w:rPr>
          <w:rFonts w:hint="default" w:ascii="Times New Roman" w:hAnsi="Times New Roman" w:eastAsia="黑体" w:cs="Times New Roman"/>
          <w:color w:val="auto"/>
          <w:kern w:val="0"/>
          <w:sz w:val="21"/>
          <w:szCs w:val="22"/>
          <w:lang w:val="en-US" w:eastAsia="zh-CN" w:bidi="ar-SA"/>
        </w:rPr>
        <w:t>表4  TCd1棒材的室温力学性能检测统计表（断后伸长率%）</w:t>
      </w:r>
    </w:p>
    <w:tbl>
      <w:tblPr>
        <w:tblStyle w:val="5"/>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6"/>
        <w:gridCol w:w="901"/>
        <w:gridCol w:w="696"/>
        <w:gridCol w:w="996"/>
        <w:gridCol w:w="825"/>
        <w:gridCol w:w="622"/>
        <w:gridCol w:w="675"/>
        <w:gridCol w:w="878"/>
        <w:gridCol w:w="686"/>
        <w:gridCol w:w="8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Borders>
              <w:top w:val="single" w:color="auto" w:sz="12" w:space="0"/>
              <w:left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牌号</w:t>
            </w:r>
          </w:p>
        </w:tc>
        <w:tc>
          <w:tcPr>
            <w:tcW w:w="566"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状态</w:t>
            </w:r>
          </w:p>
        </w:tc>
        <w:tc>
          <w:tcPr>
            <w:tcW w:w="901"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直径或对边距/mm</w:t>
            </w:r>
          </w:p>
        </w:tc>
        <w:tc>
          <w:tcPr>
            <w:tcW w:w="696"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样品数量（个）</w:t>
            </w:r>
          </w:p>
        </w:tc>
        <w:tc>
          <w:tcPr>
            <w:tcW w:w="996"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断后伸长率检测范围%</w:t>
            </w:r>
          </w:p>
        </w:tc>
        <w:tc>
          <w:tcPr>
            <w:tcW w:w="825"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断后伸长率</w:t>
            </w:r>
            <w:r>
              <w:rPr>
                <w:rFonts w:hint="eastAsia" w:ascii="宋体" w:hAnsi="宋体" w:eastAsia="宋体" w:cs="宋体"/>
                <w:sz w:val="15"/>
                <w:szCs w:val="15"/>
                <w:lang w:eastAsia="zh-CN"/>
              </w:rPr>
              <w:t>下</w:t>
            </w:r>
            <w:r>
              <w:rPr>
                <w:rFonts w:hint="eastAsia" w:ascii="宋体" w:hAnsi="宋体" w:eastAsia="宋体" w:cs="宋体"/>
                <w:sz w:val="15"/>
                <w:szCs w:val="15"/>
              </w:rPr>
              <w:t>限值U</w:t>
            </w:r>
          </w:p>
        </w:tc>
        <w:tc>
          <w:tcPr>
            <w:tcW w:w="622"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平均值</w:t>
            </w:r>
            <w:r>
              <w:rPr>
                <w:rFonts w:hint="eastAsia" w:ascii="宋体" w:hAnsi="宋体" w:eastAsia="宋体" w:cs="宋体"/>
                <w:position w:val="-10"/>
                <w:sz w:val="15"/>
                <w:szCs w:val="15"/>
              </w:rPr>
              <w:object>
                <v:shape id="_x0000_i1027" o:spt="75" type="#_x0000_t75" style="height:12.55pt;width:11.7pt;" o:ole="t" filled="f" o:preferrelative="t" stroked="f" coordsize="21600,21600">
                  <v:path/>
                  <v:fill on="f" focussize="0,0"/>
                  <v:stroke on="f" joinstyle="miter"/>
                  <v:imagedata r:id="rId5" o:title=""/>
                  <o:lock v:ext="edit" aspectratio="t"/>
                  <w10:wrap type="none"/>
                  <w10:anchorlock/>
                </v:shape>
                <o:OLEObject Type="Embed" ProgID="Equations" ShapeID="_x0000_i1027" DrawAspect="Content" ObjectID="_1468075727" r:id="rId8">
                  <o:LockedField>false</o:LockedField>
                </o:OLEObject>
              </w:object>
            </w:r>
          </w:p>
        </w:tc>
        <w:tc>
          <w:tcPr>
            <w:tcW w:w="675"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标准偏差</w:t>
            </w:r>
            <w:r>
              <w:rPr>
                <w:rFonts w:hint="eastAsia" w:ascii="宋体" w:hAnsi="宋体" w:eastAsia="宋体" w:cs="宋体"/>
                <w:position w:val="-6"/>
                <w:sz w:val="15"/>
                <w:szCs w:val="15"/>
              </w:rPr>
              <w:object>
                <v:shape id="_x0000_i1028" o:spt="75" type="#_x0000_t75" style="height:10.9pt;width:11.7pt;" o:ole="t" filled="f" o:preferrelative="t" stroked="f" coordsize="21600,21600">
                  <v:path/>
                  <v:fill on="f" focussize="0,0"/>
                  <v:stroke on="f" joinstyle="miter"/>
                  <v:imagedata r:id="rId7" o:title=""/>
                  <o:lock v:ext="edit" aspectratio="t"/>
                  <w10:wrap type="none"/>
                  <w10:anchorlock/>
                </v:shape>
                <o:OLEObject Type="Embed" ProgID="Equations" ShapeID="_x0000_i1028" DrawAspect="Content" ObjectID="_1468075728" r:id="rId9">
                  <o:LockedField>false</o:LockedField>
                </o:OLEObject>
              </w:object>
            </w:r>
          </w:p>
        </w:tc>
        <w:tc>
          <w:tcPr>
            <w:tcW w:w="1564" w:type="dxa"/>
            <w:gridSpan w:val="2"/>
            <w:tcBorders>
              <w:top w:val="single" w:color="auto" w:sz="12" w:space="0"/>
            </w:tcBorders>
            <w:vAlign w:val="center"/>
          </w:tcPr>
          <w:p>
            <w:pPr>
              <w:spacing w:line="360" w:lineRule="auto"/>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正态分布曲线</w:t>
            </w:r>
            <w:r>
              <w:rPr>
                <w:rFonts w:hint="eastAsia" w:ascii="宋体" w:hAnsi="宋体" w:eastAsia="宋体" w:cs="宋体"/>
                <w:sz w:val="15"/>
                <w:szCs w:val="15"/>
                <w:lang w:eastAsia="zh-CN"/>
              </w:rPr>
              <w:t>左</w:t>
            </w:r>
            <w:r>
              <w:rPr>
                <w:rFonts w:hint="eastAsia" w:ascii="宋体" w:hAnsi="宋体" w:eastAsia="宋体" w:cs="宋体"/>
                <w:sz w:val="15"/>
                <w:szCs w:val="15"/>
              </w:rPr>
              <w:t>边接收概率%</w:t>
            </w:r>
          </w:p>
        </w:tc>
        <w:tc>
          <w:tcPr>
            <w:tcW w:w="836" w:type="dxa"/>
            <w:vMerge w:val="restart"/>
            <w:tcBorders>
              <w:top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正态分布曲线</w:t>
            </w:r>
            <w:r>
              <w:rPr>
                <w:rFonts w:hint="eastAsia" w:ascii="宋体" w:hAnsi="宋体" w:eastAsia="宋体" w:cs="宋体"/>
                <w:sz w:val="15"/>
                <w:szCs w:val="15"/>
                <w:lang w:eastAsia="zh-CN"/>
              </w:rPr>
              <w:t>右</w:t>
            </w:r>
            <w:r>
              <w:rPr>
                <w:rFonts w:hint="eastAsia" w:ascii="宋体" w:hAnsi="宋体" w:eastAsia="宋体" w:cs="宋体"/>
                <w:sz w:val="15"/>
                <w:szCs w:val="15"/>
              </w:rPr>
              <w:t>边</w:t>
            </w:r>
          </w:p>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接受概率%</w:t>
            </w:r>
          </w:p>
        </w:tc>
        <w:tc>
          <w:tcPr>
            <w:tcW w:w="803" w:type="dxa"/>
            <w:vMerge w:val="restart"/>
            <w:tcBorders>
              <w:top w:val="single" w:color="auto" w:sz="12" w:space="0"/>
              <w:right w:val="single" w:color="auto" w:sz="12" w:space="0"/>
            </w:tcBorders>
            <w:vAlign w:val="center"/>
          </w:tcPr>
          <w:p>
            <w:pPr>
              <w:spacing w:line="360" w:lineRule="auto"/>
              <w:jc w:val="center"/>
              <w:rPr>
                <w:rFonts w:hint="eastAsia" w:ascii="宋体" w:hAnsi="宋体" w:eastAsia="宋体" w:cs="宋体"/>
                <w:sz w:val="15"/>
                <w:szCs w:val="15"/>
              </w:rPr>
            </w:pPr>
            <w:r>
              <w:rPr>
                <w:rFonts w:hint="eastAsia" w:ascii="宋体" w:hAnsi="宋体" w:eastAsia="宋体" w:cs="宋体"/>
                <w:sz w:val="15"/>
                <w:szCs w:val="15"/>
              </w:rPr>
              <w:t>标准指标接收概率%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vMerge w:val="continue"/>
            <w:tcBorders>
              <w:left w:val="single" w:color="auto" w:sz="12" w:space="0"/>
              <w:bottom w:val="single" w:color="auto" w:sz="12" w:space="0"/>
            </w:tcBorders>
            <w:vAlign w:val="center"/>
          </w:tcPr>
          <w:p>
            <w:pPr>
              <w:spacing w:line="360" w:lineRule="auto"/>
              <w:jc w:val="center"/>
              <w:rPr>
                <w:rFonts w:hint="eastAsia" w:ascii="宋体" w:hAnsi="宋体" w:eastAsia="宋体" w:cs="宋体"/>
                <w:sz w:val="15"/>
                <w:szCs w:val="15"/>
              </w:rPr>
            </w:pPr>
          </w:p>
        </w:tc>
        <w:tc>
          <w:tcPr>
            <w:tcW w:w="566"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901"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696"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996"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825"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622"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675"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878" w:type="dxa"/>
            <w:tcBorders>
              <w:bottom w:val="single" w:color="auto" w:sz="12" w:space="0"/>
            </w:tcBorders>
            <w:vAlign w:val="center"/>
          </w:tcPr>
          <w:p>
            <w:pPr>
              <w:spacing w:line="360" w:lineRule="auto"/>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标准指标系数u1</w:t>
            </w:r>
          </w:p>
        </w:tc>
        <w:tc>
          <w:tcPr>
            <w:tcW w:w="686" w:type="dxa"/>
            <w:tcBorders>
              <w:bottom w:val="single" w:color="auto" w:sz="12" w:space="0"/>
            </w:tcBorders>
            <w:vAlign w:val="center"/>
          </w:tcPr>
          <w:p>
            <w:pPr>
              <w:spacing w:line="360" w:lineRule="auto"/>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接受概率%</w:t>
            </w:r>
          </w:p>
        </w:tc>
        <w:tc>
          <w:tcPr>
            <w:tcW w:w="836" w:type="dxa"/>
            <w:vMerge w:val="continue"/>
            <w:tcBorders>
              <w:bottom w:val="single" w:color="auto" w:sz="12" w:space="0"/>
            </w:tcBorders>
            <w:vAlign w:val="center"/>
          </w:tcPr>
          <w:p>
            <w:pPr>
              <w:spacing w:line="360" w:lineRule="auto"/>
              <w:jc w:val="center"/>
              <w:rPr>
                <w:rFonts w:hint="eastAsia" w:ascii="宋体" w:hAnsi="宋体" w:eastAsia="宋体" w:cs="宋体"/>
                <w:sz w:val="15"/>
                <w:szCs w:val="15"/>
              </w:rPr>
            </w:pPr>
          </w:p>
        </w:tc>
        <w:tc>
          <w:tcPr>
            <w:tcW w:w="803" w:type="dxa"/>
            <w:vMerge w:val="continue"/>
            <w:tcBorders>
              <w:bottom w:val="single" w:color="auto" w:sz="12" w:space="0"/>
              <w:right w:val="single" w:color="auto" w:sz="12" w:space="0"/>
            </w:tcBorders>
            <w:vAlign w:val="center"/>
          </w:tcPr>
          <w:p>
            <w:pPr>
              <w:spacing w:line="360" w:lineRule="auto"/>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Merge w:val="restart"/>
            <w:tcBorders>
              <w:top w:val="single" w:color="auto" w:sz="12" w:space="0"/>
              <w:left w:val="single" w:color="auto" w:sz="12" w:space="0"/>
              <w:bottom w:val="single" w:color="auto" w:sz="2" w:space="0"/>
            </w:tcBorders>
            <w:vAlign w:val="center"/>
          </w:tcPr>
          <w:p>
            <w:pPr>
              <w:spacing w:line="36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TCd1</w:t>
            </w:r>
          </w:p>
        </w:tc>
        <w:tc>
          <w:tcPr>
            <w:tcW w:w="566" w:type="dxa"/>
            <w:vMerge w:val="restart"/>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aps w:val="0"/>
                <w:color w:val="auto"/>
                <w:spacing w:val="0"/>
                <w:sz w:val="18"/>
                <w:szCs w:val="18"/>
              </w:rPr>
              <w:t>O60</w:t>
            </w:r>
          </w:p>
        </w:tc>
        <w:tc>
          <w:tcPr>
            <w:tcW w:w="901" w:type="dxa"/>
            <w:tcBorders>
              <w:top w:val="single" w:color="auto" w:sz="12" w:space="0"/>
              <w:bottom w:val="single" w:color="auto" w:sz="2"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rPr>
                <w:rFonts w:hint="default" w:ascii="Times New Roman" w:hAnsi="Times New Roman" w:eastAsia="宋体" w:cs="Times New Roman"/>
                <w:color w:val="auto"/>
                <w:kern w:val="2"/>
                <w:sz w:val="18"/>
                <w:szCs w:val="18"/>
                <w:lang w:val="en-US" w:eastAsia="zh-CN" w:bidi="ar-SA"/>
              </w:rPr>
            </w:pPr>
            <w:r>
              <w:rPr>
                <w:rFonts w:hint="eastAsia" w:ascii="宋体" w:hAnsi="宋体" w:eastAsia="宋体" w:cs="宋体"/>
                <w:caps w:val="0"/>
                <w:color w:val="auto"/>
                <w:spacing w:val="0"/>
                <w:sz w:val="18"/>
                <w:szCs w:val="18"/>
              </w:rPr>
              <w:t>≤</w:t>
            </w:r>
            <w:r>
              <w:rPr>
                <w:rFonts w:hint="default" w:ascii="Times New Roman" w:hAnsi="Times New Roman" w:eastAsia="宋体" w:cs="Times New Roman"/>
                <w:caps w:val="0"/>
                <w:color w:val="auto"/>
                <w:spacing w:val="0"/>
                <w:sz w:val="18"/>
                <w:szCs w:val="18"/>
                <w:lang w:val="en-US" w:eastAsia="zh-CN"/>
              </w:rPr>
              <w:t>8</w:t>
            </w:r>
          </w:p>
        </w:tc>
        <w:tc>
          <w:tcPr>
            <w:tcW w:w="696" w:type="dxa"/>
            <w:tcBorders>
              <w:top w:val="single" w:color="auto" w:sz="12" w:space="0"/>
              <w:bottom w:val="single" w:color="auto" w:sz="2"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100</w:t>
            </w:r>
          </w:p>
        </w:tc>
        <w:tc>
          <w:tcPr>
            <w:tcW w:w="996"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48</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73</w:t>
            </w:r>
          </w:p>
        </w:tc>
        <w:tc>
          <w:tcPr>
            <w:tcW w:w="825"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48</w:t>
            </w:r>
          </w:p>
        </w:tc>
        <w:tc>
          <w:tcPr>
            <w:tcW w:w="622" w:type="dxa"/>
            <w:tcBorders>
              <w:top w:val="single" w:color="auto" w:sz="12" w:space="0"/>
              <w:bottom w:val="single" w:color="auto" w:sz="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60.5</w:t>
            </w:r>
          </w:p>
        </w:tc>
        <w:tc>
          <w:tcPr>
            <w:tcW w:w="675" w:type="dxa"/>
            <w:tcBorders>
              <w:top w:val="single" w:color="auto" w:sz="12" w:space="0"/>
              <w:bottom w:val="single" w:color="auto" w:sz="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0.557</w:t>
            </w:r>
          </w:p>
        </w:tc>
        <w:tc>
          <w:tcPr>
            <w:tcW w:w="878" w:type="dxa"/>
            <w:tcBorders>
              <w:top w:val="single" w:color="auto" w:sz="12" w:space="0"/>
              <w:bottom w:val="single" w:color="auto" w:sz="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3.27</w:t>
            </w:r>
          </w:p>
        </w:tc>
        <w:tc>
          <w:tcPr>
            <w:tcW w:w="686" w:type="dxa"/>
            <w:tcBorders>
              <w:top w:val="single" w:color="auto" w:sz="12" w:space="0"/>
              <w:bottom w:val="single" w:color="auto" w:sz="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49.95</w:t>
            </w:r>
          </w:p>
        </w:tc>
        <w:tc>
          <w:tcPr>
            <w:tcW w:w="836" w:type="dxa"/>
            <w:tcBorders>
              <w:top w:val="single" w:color="auto" w:sz="12" w:space="0"/>
              <w:bottom w:val="single" w:color="auto" w:sz="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50.00</w:t>
            </w:r>
          </w:p>
        </w:tc>
        <w:tc>
          <w:tcPr>
            <w:tcW w:w="803" w:type="dxa"/>
            <w:tcBorders>
              <w:top w:val="single" w:color="auto" w:sz="12" w:space="0"/>
              <w:bottom w:val="single" w:color="auto" w:sz="2" w:space="0"/>
              <w:right w:val="single" w:color="auto" w:sz="1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75" w:type="dxa"/>
            <w:vMerge w:val="continue"/>
            <w:tcBorders>
              <w:top w:val="single" w:color="auto" w:sz="2" w:space="0"/>
              <w:left w:val="single" w:color="auto" w:sz="12" w:space="0"/>
              <w:bottom w:val="single" w:color="auto" w:sz="12" w:space="0"/>
            </w:tcBorders>
            <w:vAlign w:val="center"/>
          </w:tcPr>
          <w:p>
            <w:pPr>
              <w:spacing w:line="360" w:lineRule="auto"/>
              <w:jc w:val="center"/>
              <w:rPr>
                <w:rFonts w:hint="default" w:ascii="Times New Roman" w:hAnsi="Times New Roman" w:eastAsia="宋体" w:cs="Times New Roman"/>
                <w:sz w:val="18"/>
                <w:szCs w:val="18"/>
                <w:lang w:val="en-US" w:eastAsia="zh-CN"/>
              </w:rPr>
            </w:pPr>
          </w:p>
        </w:tc>
        <w:tc>
          <w:tcPr>
            <w:tcW w:w="566" w:type="dxa"/>
            <w:vMerge w:val="continue"/>
            <w:tcBorders>
              <w:top w:val="single" w:color="auto" w:sz="2" w:space="0"/>
              <w:bottom w:val="single" w:color="auto" w:sz="12" w:space="0"/>
            </w:tcBorders>
            <w:vAlign w:val="center"/>
          </w:tcPr>
          <w:p>
            <w:pPr>
              <w:spacing w:line="360" w:lineRule="auto"/>
              <w:jc w:val="center"/>
              <w:rPr>
                <w:rFonts w:hint="default" w:ascii="Times New Roman" w:hAnsi="Times New Roman" w:eastAsia="宋体" w:cs="Times New Roman"/>
                <w:caps w:val="0"/>
                <w:color w:val="auto"/>
                <w:spacing w:val="0"/>
                <w:sz w:val="18"/>
                <w:szCs w:val="18"/>
              </w:rPr>
            </w:pPr>
          </w:p>
        </w:tc>
        <w:tc>
          <w:tcPr>
            <w:tcW w:w="901" w:type="dxa"/>
            <w:tcBorders>
              <w:top w:val="single" w:color="auto" w:sz="2" w:space="0"/>
              <w:bottom w:val="single" w:color="auto" w:sz="12"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rPr>
                <w:rFonts w:hint="default" w:ascii="Times New Roman" w:hAnsi="Times New Roman" w:eastAsia="宋体" w:cs="Times New Roman"/>
                <w:caps w:val="0"/>
                <w:color w:val="auto"/>
                <w:spacing w:val="0"/>
                <w:sz w:val="18"/>
                <w:szCs w:val="18"/>
              </w:rPr>
            </w:pPr>
            <w:r>
              <w:rPr>
                <w:rFonts w:hint="default" w:ascii="Times New Roman" w:hAnsi="Times New Roman" w:eastAsia="宋体" w:cs="Times New Roman"/>
                <w:caps w:val="0"/>
                <w:color w:val="auto"/>
                <w:spacing w:val="0"/>
                <w:sz w:val="18"/>
                <w:szCs w:val="18"/>
              </w:rPr>
              <w:t>＞</w:t>
            </w:r>
            <w:r>
              <w:rPr>
                <w:rFonts w:hint="default" w:ascii="Times New Roman" w:hAnsi="Times New Roman" w:eastAsia="宋体" w:cs="Times New Roman"/>
                <w:caps w:val="0"/>
                <w:color w:val="auto"/>
                <w:spacing w:val="0"/>
                <w:sz w:val="18"/>
                <w:szCs w:val="18"/>
                <w:lang w:val="en-US" w:eastAsia="zh-CN"/>
              </w:rPr>
              <w:t>8</w:t>
            </w:r>
            <w:r>
              <w:rPr>
                <w:rFonts w:hint="default" w:ascii="Times New Roman" w:hAnsi="Times New Roman" w:eastAsia="宋体" w:cs="Times New Roman"/>
                <w:caps w:val="0"/>
                <w:color w:val="auto"/>
                <w:spacing w:val="0"/>
                <w:sz w:val="18"/>
                <w:szCs w:val="18"/>
              </w:rPr>
              <w:t>～</w:t>
            </w:r>
            <w:r>
              <w:rPr>
                <w:rFonts w:hint="default" w:ascii="Times New Roman" w:hAnsi="Times New Roman" w:eastAsia="宋体" w:cs="Times New Roman"/>
                <w:caps w:val="0"/>
                <w:color w:val="auto"/>
                <w:spacing w:val="0"/>
                <w:sz w:val="18"/>
                <w:szCs w:val="18"/>
                <w:lang w:val="en-US" w:eastAsia="zh-CN"/>
              </w:rPr>
              <w:t>8</w:t>
            </w:r>
            <w:r>
              <w:rPr>
                <w:rFonts w:hint="default" w:ascii="Times New Roman" w:hAnsi="Times New Roman" w:eastAsia="宋体" w:cs="Times New Roman"/>
                <w:caps w:val="0"/>
                <w:color w:val="auto"/>
                <w:spacing w:val="0"/>
                <w:sz w:val="18"/>
                <w:szCs w:val="18"/>
              </w:rPr>
              <w:t>0</w:t>
            </w:r>
          </w:p>
        </w:tc>
        <w:tc>
          <w:tcPr>
            <w:tcW w:w="696" w:type="dxa"/>
            <w:tcBorders>
              <w:top w:val="single" w:color="auto" w:sz="2" w:space="0"/>
              <w:bottom w:val="single" w:color="auto" w:sz="12"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firstLine="0" w:firstLineChars="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100</w:t>
            </w:r>
          </w:p>
        </w:tc>
        <w:tc>
          <w:tcPr>
            <w:tcW w:w="996" w:type="dxa"/>
            <w:tcBorders>
              <w:top w:val="single" w:color="auto" w:sz="2" w:space="0"/>
              <w:bottom w:val="single" w:color="auto" w:sz="1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46</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71</w:t>
            </w:r>
          </w:p>
        </w:tc>
        <w:tc>
          <w:tcPr>
            <w:tcW w:w="825" w:type="dxa"/>
            <w:tcBorders>
              <w:top w:val="single" w:color="auto" w:sz="2" w:space="0"/>
              <w:bottom w:val="single" w:color="auto" w:sz="1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46</w:t>
            </w:r>
          </w:p>
        </w:tc>
        <w:tc>
          <w:tcPr>
            <w:tcW w:w="622" w:type="dxa"/>
            <w:tcBorders>
              <w:top w:val="single" w:color="auto" w:sz="2" w:space="0"/>
              <w:bottom w:val="single" w:color="auto" w:sz="12" w:space="0"/>
            </w:tcBorders>
            <w:vAlign w:val="center"/>
          </w:tcPr>
          <w:p>
            <w:pPr>
              <w:spacing w:line="36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58.5</w:t>
            </w:r>
          </w:p>
        </w:tc>
        <w:tc>
          <w:tcPr>
            <w:tcW w:w="675" w:type="dxa"/>
            <w:tcBorders>
              <w:top w:val="single" w:color="auto" w:sz="2" w:space="0"/>
              <w:bottom w:val="single" w:color="auto" w:sz="1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0.29</w:t>
            </w:r>
          </w:p>
        </w:tc>
        <w:tc>
          <w:tcPr>
            <w:tcW w:w="878" w:type="dxa"/>
            <w:tcBorders>
              <w:top w:val="single" w:color="auto" w:sz="2" w:space="0"/>
              <w:bottom w:val="single" w:color="auto" w:sz="1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3.72</w:t>
            </w:r>
          </w:p>
        </w:tc>
        <w:tc>
          <w:tcPr>
            <w:tcW w:w="686" w:type="dxa"/>
            <w:tcBorders>
              <w:top w:val="single" w:color="auto" w:sz="2" w:space="0"/>
              <w:bottom w:val="single" w:color="auto" w:sz="1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49.99</w:t>
            </w:r>
          </w:p>
        </w:tc>
        <w:tc>
          <w:tcPr>
            <w:tcW w:w="836" w:type="dxa"/>
            <w:tcBorders>
              <w:top w:val="single" w:color="auto" w:sz="2" w:space="0"/>
              <w:bottom w:val="single" w:color="auto" w:sz="1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50.00</w:t>
            </w:r>
          </w:p>
        </w:tc>
        <w:tc>
          <w:tcPr>
            <w:tcW w:w="803" w:type="dxa"/>
            <w:tcBorders>
              <w:top w:val="single" w:color="auto" w:sz="2" w:space="0"/>
              <w:bottom w:val="single" w:color="auto" w:sz="12" w:space="0"/>
              <w:right w:val="single" w:color="auto" w:sz="12" w:space="0"/>
            </w:tcBorders>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99.99</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cs="Times New Roman"/>
          <w:sz w:val="24"/>
        </w:rPr>
      </w:pPr>
      <w:r>
        <w:drawing>
          <wp:inline distT="0" distB="0" distL="114300" distR="114300">
            <wp:extent cx="4761230" cy="3122930"/>
            <wp:effectExtent l="4445" t="5080" r="15875" b="1524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435"/>
        <w:jc w:val="center"/>
        <w:rPr>
          <w:rFonts w:hint="eastAsia" w:ascii="Times New Roman" w:hAnsi="Times New Roman" w:eastAsia="黑体" w:cs="Times New Roman"/>
          <w:color w:val="auto"/>
          <w:kern w:val="0"/>
          <w:sz w:val="21"/>
          <w:szCs w:val="22"/>
          <w:lang w:val="en-US" w:eastAsia="zh-CN" w:bidi="ar-SA"/>
        </w:rPr>
      </w:pPr>
      <w:r>
        <w:rPr>
          <w:rFonts w:hint="eastAsia" w:ascii="Times New Roman" w:hAnsi="Times New Roman" w:eastAsia="黑体" w:cs="Times New Roman"/>
          <w:color w:val="auto"/>
          <w:kern w:val="0"/>
          <w:sz w:val="21"/>
          <w:szCs w:val="22"/>
          <w:lang w:val="en-US" w:eastAsia="zh-CN" w:bidi="ar-SA"/>
        </w:rPr>
        <w:t>图1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00"/>
          <w:spacing w:val="0"/>
          <w:sz w:val="21"/>
          <w:szCs w:val="21"/>
          <w:shd w:val="clear" w:fill="FFFFFF"/>
          <w:lang w:eastAsia="zh-CN"/>
        </w:rPr>
      </w:pPr>
      <w:r>
        <w:drawing>
          <wp:inline distT="0" distB="0" distL="114300" distR="114300">
            <wp:extent cx="5046980" cy="2923540"/>
            <wp:effectExtent l="4445" t="4445" r="15875"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435"/>
        <w:jc w:val="center"/>
        <w:rPr>
          <w:rFonts w:hint="default" w:ascii="Times New Roman" w:hAnsi="Times New Roman" w:eastAsia="黑体" w:cs="Times New Roman"/>
          <w:color w:val="auto"/>
          <w:kern w:val="0"/>
          <w:sz w:val="21"/>
          <w:szCs w:val="22"/>
          <w:lang w:val="en-US" w:eastAsia="zh-CN" w:bidi="ar-SA"/>
        </w:rPr>
      </w:pPr>
      <w:r>
        <w:rPr>
          <w:rFonts w:hint="eastAsia" w:ascii="Times New Roman" w:hAnsi="Times New Roman" w:eastAsia="黑体" w:cs="Times New Roman"/>
          <w:color w:val="auto"/>
          <w:kern w:val="0"/>
          <w:sz w:val="21"/>
          <w:szCs w:val="22"/>
          <w:lang w:val="en-US" w:eastAsia="zh-CN" w:bidi="ar-SA"/>
        </w:rPr>
        <w:t>图2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000000"/>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65" w:firstLineChars="1650"/>
        <w:rPr>
          <w:rFonts w:hint="eastAsia" w:ascii="宋体" w:hAnsi="宋体" w:eastAsia="宋体" w:cs="宋体"/>
          <w:i w:val="0"/>
          <w:caps w:val="0"/>
          <w:color w:val="000000"/>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szCs w:val="21"/>
          <w:lang w:eastAsia="zh-CN"/>
        </w:rPr>
      </w:pPr>
      <w:r>
        <w:rPr>
          <w:rFonts w:hint="eastAsia" w:ascii="黑体" w:hAnsi="黑体" w:eastAsia="黑体" w:cs="黑体"/>
          <w:szCs w:val="21"/>
          <w:lang w:val="en-US" w:eastAsia="zh-CN"/>
        </w:rPr>
        <w:t>5、</w:t>
      </w:r>
      <w:r>
        <w:rPr>
          <w:rFonts w:hint="eastAsia" w:ascii="黑体" w:hAnsi="黑体" w:eastAsia="黑体" w:cs="黑体"/>
          <w:szCs w:val="21"/>
          <w:lang w:eastAsia="zh-CN"/>
        </w:rPr>
        <w:t xml:space="preserve"> 电性能</w:t>
      </w:r>
    </w:p>
    <w:p>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本标准棒材主要应用于导电导热应用领域，对电性能有较高的要求，本标准根据用户需求及生产中的检测数据对电性能规定如下：</w:t>
      </w:r>
    </w:p>
    <w:p>
      <w:pPr>
        <w:keepNext w:val="0"/>
        <w:keepLines w:val="0"/>
        <w:pageBreakBefore w:val="0"/>
        <w:widowControl w:val="0"/>
        <w:kinsoku/>
        <w:wordWrap/>
        <w:overflowPunct/>
        <w:topLinePunct w:val="0"/>
        <w:autoSpaceDE/>
        <w:autoSpaceDN/>
        <w:bidi w:val="0"/>
        <w:adjustRightInd/>
        <w:snapToGrid/>
        <w:spacing w:line="440" w:lineRule="exact"/>
        <w:ind w:firstLine="435"/>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经供需双方协商，并在合同中注明，棒材可做电性能检验。2</w:t>
      </w:r>
      <w:r>
        <w:rPr>
          <w:rFonts w:hint="default" w:ascii="Times New Roman" w:hAnsi="Times New Roman" w:cs="Times New Roman"/>
          <w:szCs w:val="21"/>
          <w:lang w:eastAsia="zh-CN"/>
        </w:rPr>
        <w:t>0℃</w:t>
      </w:r>
      <w:r>
        <w:rPr>
          <w:rFonts w:hint="eastAsia" w:ascii="Times New Roman" w:hAnsi="Times New Roman" w:cs="Times New Roman"/>
          <w:szCs w:val="21"/>
          <w:lang w:eastAsia="zh-CN"/>
        </w:rPr>
        <w:t>时的导电率应不小于75%IACS(或电阻系数不大于0.022988Ω·mm</w:t>
      </w:r>
      <w:r>
        <w:rPr>
          <w:rFonts w:hint="eastAsia" w:ascii="Times New Roman" w:hAnsi="Times New Roman" w:cs="Times New Roman"/>
          <w:szCs w:val="21"/>
          <w:vertAlign w:val="superscript"/>
          <w:lang w:eastAsia="zh-CN"/>
        </w:rPr>
        <w:t>2</w:t>
      </w:r>
      <w:r>
        <w:rPr>
          <w:rFonts w:hint="eastAsia" w:ascii="Times New Roman" w:hAnsi="Times New Roman" w:cs="Times New Roman"/>
          <w:szCs w:val="21"/>
          <w:lang w:eastAsia="zh-CN"/>
        </w:rPr>
        <w:t>/m)，较高要求时，可供应导电率不小于80%IACS（或电阻系数不大于0.0215513Ω·mm</w:t>
      </w:r>
      <w:r>
        <w:rPr>
          <w:rFonts w:hint="eastAsia" w:ascii="Times New Roman" w:hAnsi="Times New Roman" w:cs="Times New Roman"/>
          <w:szCs w:val="21"/>
          <w:vertAlign w:val="superscript"/>
          <w:lang w:eastAsia="zh-CN"/>
        </w:rPr>
        <w:t>2</w:t>
      </w:r>
      <w:r>
        <w:rPr>
          <w:rFonts w:hint="eastAsia" w:ascii="Times New Roman" w:hAnsi="Times New Roman" w:cs="Times New Roman"/>
          <w:szCs w:val="21"/>
          <w:lang w:eastAsia="zh-CN"/>
        </w:rPr>
        <w:t>/m）的棒材。</w:t>
      </w:r>
    </w:p>
    <w:p>
      <w:pPr>
        <w:keepNext w:val="0"/>
        <w:keepLines w:val="0"/>
        <w:pageBreakBefore w:val="0"/>
        <w:kinsoku/>
        <w:wordWrap/>
        <w:overflowPunct/>
        <w:topLinePunct w:val="0"/>
        <w:bidi w:val="0"/>
        <w:adjustRightInd/>
        <w:snapToGrid/>
        <w:spacing w:line="400" w:lineRule="exact"/>
        <w:ind w:firstLine="435"/>
        <w:jc w:val="left"/>
        <w:textAlignment w:val="auto"/>
        <w:rPr>
          <w:rFonts w:hint="eastAsia" w:ascii="Times New Roman" w:hAnsi="Times New Roman" w:cs="Times New Roman"/>
          <w:szCs w:val="21"/>
          <w:lang w:eastAsia="zh-CN"/>
        </w:rPr>
      </w:pPr>
    </w:p>
    <w:p>
      <w:pPr>
        <w:keepNext w:val="0"/>
        <w:keepLines w:val="0"/>
        <w:pageBreakBefore w:val="0"/>
        <w:kinsoku/>
        <w:wordWrap/>
        <w:overflowPunct/>
        <w:topLinePunct w:val="0"/>
        <w:bidi w:val="0"/>
        <w:adjustRightInd/>
        <w:snapToGrid/>
        <w:spacing w:line="400" w:lineRule="exact"/>
        <w:jc w:val="left"/>
        <w:textAlignment w:val="auto"/>
        <w:rPr>
          <w:rFonts w:hint="eastAsia" w:ascii="黑体" w:hAnsi="黑体" w:eastAsia="黑体" w:cs="黑体"/>
          <w:szCs w:val="21"/>
          <w:lang w:eastAsia="zh-CN"/>
        </w:rPr>
      </w:pPr>
      <w:r>
        <w:rPr>
          <w:rFonts w:hint="eastAsia" w:ascii="黑体" w:hAnsi="黑体" w:eastAsia="黑体" w:cs="黑体"/>
          <w:szCs w:val="21"/>
          <w:lang w:val="en-US" w:eastAsia="zh-CN"/>
        </w:rPr>
        <w:t>6、</w:t>
      </w:r>
      <w:r>
        <w:rPr>
          <w:rFonts w:hint="eastAsia" w:ascii="黑体" w:hAnsi="黑体" w:eastAsia="黑体" w:cs="黑体"/>
          <w:szCs w:val="21"/>
          <w:lang w:eastAsia="zh-CN"/>
        </w:rPr>
        <w:t>内部质量</w:t>
      </w:r>
    </w:p>
    <w:p>
      <w:pPr>
        <w:keepNext w:val="0"/>
        <w:keepLines w:val="0"/>
        <w:pageBreakBefore w:val="0"/>
        <w:widowControl w:val="0"/>
        <w:kinsoku/>
        <w:wordWrap/>
        <w:overflowPunct/>
        <w:topLinePunct w:val="0"/>
        <w:autoSpaceDE/>
        <w:autoSpaceDN/>
        <w:bidi w:val="0"/>
        <w:adjustRightInd/>
        <w:snapToGrid/>
        <w:spacing w:line="440" w:lineRule="exact"/>
        <w:ind w:firstLine="437"/>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 xml:space="preserve">镉铜棒材生产中存在严重“皮下夹层”缺陷，在工艺上必须进行严格控制，产品需作低倍检查合格后才能供货。本标准规定棒材应进行断口和低倍组织检验，内容如下： </w:t>
      </w:r>
    </w:p>
    <w:p>
      <w:pPr>
        <w:keepNext w:val="0"/>
        <w:keepLines w:val="0"/>
        <w:pageBreakBefore w:val="0"/>
        <w:widowControl w:val="0"/>
        <w:kinsoku/>
        <w:wordWrap/>
        <w:overflowPunct/>
        <w:topLinePunct w:val="0"/>
        <w:autoSpaceDE/>
        <w:autoSpaceDN/>
        <w:bidi w:val="0"/>
        <w:adjustRightInd/>
        <w:snapToGrid/>
        <w:spacing w:line="440" w:lineRule="exact"/>
        <w:ind w:firstLine="437"/>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棒材断口应致密，无缩尾。不允许有超出YS/T 336 中规定的气孔、夹杂和分层等缺陷。</w:t>
      </w:r>
    </w:p>
    <w:p>
      <w:pPr>
        <w:keepNext w:val="0"/>
        <w:keepLines w:val="0"/>
        <w:pageBreakBefore w:val="0"/>
        <w:widowControl w:val="0"/>
        <w:kinsoku/>
        <w:wordWrap/>
        <w:overflowPunct/>
        <w:topLinePunct w:val="0"/>
        <w:autoSpaceDE/>
        <w:autoSpaceDN/>
        <w:bidi w:val="0"/>
        <w:adjustRightInd/>
        <w:snapToGrid/>
        <w:spacing w:line="440" w:lineRule="exact"/>
        <w:ind w:firstLine="437"/>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低倍组织检验应无肉眼可见的组织离断，如气孔、缩孔、裂纹、缩尾与夹杂等缺陷。</w:t>
      </w:r>
    </w:p>
    <w:p>
      <w:pPr>
        <w:keepNext w:val="0"/>
        <w:keepLines w:val="0"/>
        <w:pageBreakBefore w:val="0"/>
        <w:widowControl w:val="0"/>
        <w:kinsoku/>
        <w:wordWrap/>
        <w:overflowPunct/>
        <w:topLinePunct w:val="0"/>
        <w:autoSpaceDE/>
        <w:autoSpaceDN/>
        <w:bidi w:val="0"/>
        <w:adjustRightInd/>
        <w:snapToGrid/>
        <w:spacing w:line="440" w:lineRule="exact"/>
        <w:ind w:firstLine="437"/>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由于棒材断口和低倍检验取样量较大，因此本标准规定可用探伤方法代替断口和低倍检验，当需方有要求并在合同中注明时，可对棒材进行超声波探伤试验，不允许有超出GB/T3310规定的缺陷。</w:t>
      </w:r>
    </w:p>
    <w:p>
      <w:pPr>
        <w:keepNext w:val="0"/>
        <w:keepLines w:val="0"/>
        <w:pageBreakBefore w:val="0"/>
        <w:kinsoku/>
        <w:wordWrap/>
        <w:overflowPunct/>
        <w:topLinePunct w:val="0"/>
        <w:bidi w:val="0"/>
        <w:adjustRightInd/>
        <w:snapToGrid/>
        <w:spacing w:line="400" w:lineRule="exact"/>
        <w:ind w:firstLine="435"/>
        <w:jc w:val="left"/>
        <w:textAlignment w:val="auto"/>
        <w:rPr>
          <w:rFonts w:hint="eastAsia" w:ascii="Times New Roman" w:hAnsi="Times New Roman" w:cs="Times New Roman"/>
          <w:szCs w:val="21"/>
          <w:lang w:eastAsia="zh-CN"/>
        </w:rPr>
      </w:pPr>
    </w:p>
    <w:p>
      <w:pPr>
        <w:keepNext w:val="0"/>
        <w:keepLines w:val="0"/>
        <w:pageBreakBefore w:val="0"/>
        <w:kinsoku/>
        <w:wordWrap/>
        <w:overflowPunct/>
        <w:topLinePunct w:val="0"/>
        <w:bidi w:val="0"/>
        <w:adjustRightInd/>
        <w:snapToGrid/>
        <w:spacing w:line="400" w:lineRule="exact"/>
        <w:ind w:firstLine="435"/>
        <w:jc w:val="left"/>
        <w:textAlignment w:val="auto"/>
        <w:rPr>
          <w:rFonts w:hint="eastAsia" w:ascii="Times New Roman" w:hAnsi="Times New Roman" w:cs="Times New Roman"/>
          <w:szCs w:val="21"/>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五、标准水平分析</w:t>
      </w:r>
    </w:p>
    <w:p>
      <w:pPr>
        <w:keepNext w:val="0"/>
        <w:keepLines w:val="0"/>
        <w:pageBreakBefore w:val="0"/>
        <w:kinsoku/>
        <w:wordWrap/>
        <w:overflowPunct/>
        <w:topLinePunct w:val="0"/>
        <w:bidi w:val="0"/>
        <w:adjustRightInd/>
        <w:snapToGrid/>
        <w:spacing w:line="440" w:lineRule="exact"/>
        <w:ind w:firstLine="435"/>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镉铜棒材是目前综合性能较好的高强、高导铜基合金材料，具有其他合金不具备的特殊性能，广泛用于制造大功率、大电流、高温等恶劣工况下的重要导电、导热器件。其应用正不断被开发，产品正在被不同行业所重视，是国防军工部门需用的重要有色金属材料之一。</w:t>
      </w:r>
    </w:p>
    <w:p>
      <w:pPr>
        <w:keepNext w:val="0"/>
        <w:keepLines w:val="0"/>
        <w:pageBreakBefore w:val="0"/>
        <w:kinsoku/>
        <w:wordWrap/>
        <w:overflowPunct/>
        <w:topLinePunct w:val="0"/>
        <w:bidi w:val="0"/>
        <w:adjustRightInd/>
        <w:snapToGrid/>
        <w:spacing w:line="440" w:lineRule="exact"/>
        <w:ind w:firstLine="435"/>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关于</w:t>
      </w:r>
      <w:r>
        <w:rPr>
          <w:rFonts w:hint="default" w:ascii="Times New Roman" w:hAnsi="Times New Roman" w:cs="Times New Roman"/>
          <w:szCs w:val="21"/>
          <w:lang w:eastAsia="zh-CN"/>
        </w:rPr>
        <w:t>电工用镉铜棒</w:t>
      </w:r>
      <w:r>
        <w:rPr>
          <w:rFonts w:hint="eastAsia" w:ascii="Times New Roman" w:hAnsi="Times New Roman" w:cs="Times New Roman"/>
          <w:szCs w:val="21"/>
          <w:lang w:eastAsia="zh-CN"/>
        </w:rPr>
        <w:t>专用</w:t>
      </w:r>
      <w:r>
        <w:rPr>
          <w:rFonts w:hint="default" w:ascii="Times New Roman" w:hAnsi="Times New Roman" w:cs="Times New Roman"/>
          <w:szCs w:val="21"/>
          <w:lang w:eastAsia="zh-CN"/>
        </w:rPr>
        <w:t>材料标准，目前国内外均没有对此类材料做出规定，此标准的</w:t>
      </w:r>
      <w:r>
        <w:rPr>
          <w:rFonts w:hint="default" w:ascii="Times New Roman" w:hAnsi="Times New Roman" w:cs="Times New Roman"/>
          <w:szCs w:val="21"/>
        </w:rPr>
        <w:t>发布，</w:t>
      </w:r>
      <w:r>
        <w:rPr>
          <w:rFonts w:hint="eastAsia" w:ascii="Times New Roman" w:hAnsi="Times New Roman" w:cs="Times New Roman"/>
          <w:szCs w:val="21"/>
          <w:lang w:eastAsia="zh-CN"/>
        </w:rPr>
        <w:t>是对</w:t>
      </w:r>
      <w:r>
        <w:rPr>
          <w:rFonts w:hint="eastAsia" w:ascii="宋体" w:hAnsi="宋体" w:eastAsia="宋体" w:cs="宋体"/>
          <w:i w:val="0"/>
          <w:caps w:val="0"/>
          <w:color w:val="000000"/>
          <w:spacing w:val="0"/>
          <w:sz w:val="21"/>
          <w:szCs w:val="21"/>
          <w:shd w:val="clear" w:fill="FFFFFF"/>
        </w:rPr>
        <w:t>高强</w:t>
      </w:r>
      <w:r>
        <w:rPr>
          <w:rFonts w:hint="eastAsia" w:ascii="宋体" w:hAnsi="宋体" w:eastAsia="宋体" w:cs="宋体"/>
          <w:i w:val="0"/>
          <w:caps w:val="0"/>
          <w:color w:val="000000"/>
          <w:spacing w:val="0"/>
          <w:sz w:val="21"/>
          <w:szCs w:val="21"/>
          <w:shd w:val="clear" w:fill="FFFFFF"/>
          <w:lang w:eastAsia="zh-CN"/>
        </w:rPr>
        <w:t>度、</w:t>
      </w:r>
      <w:r>
        <w:rPr>
          <w:rFonts w:hint="eastAsia" w:ascii="宋体" w:hAnsi="宋体" w:eastAsia="宋体" w:cs="宋体"/>
          <w:i w:val="0"/>
          <w:caps w:val="0"/>
          <w:color w:val="000000"/>
          <w:spacing w:val="0"/>
          <w:sz w:val="21"/>
          <w:szCs w:val="21"/>
          <w:shd w:val="clear" w:fill="FFFFFF"/>
        </w:rPr>
        <w:t>高导</w:t>
      </w:r>
      <w:r>
        <w:rPr>
          <w:rFonts w:hint="eastAsia" w:ascii="宋体" w:hAnsi="宋体" w:eastAsia="宋体" w:cs="宋体"/>
          <w:i w:val="0"/>
          <w:caps w:val="0"/>
          <w:color w:val="000000"/>
          <w:spacing w:val="0"/>
          <w:sz w:val="21"/>
          <w:szCs w:val="21"/>
          <w:shd w:val="clear" w:fill="FFFFFF"/>
          <w:lang w:eastAsia="zh-CN"/>
        </w:rPr>
        <w:t>电</w:t>
      </w:r>
      <w:r>
        <w:rPr>
          <w:rFonts w:hint="eastAsia" w:ascii="宋体" w:hAnsi="宋体" w:eastAsia="宋体" w:cs="宋体"/>
          <w:i w:val="0"/>
          <w:caps w:val="0"/>
          <w:color w:val="000000"/>
          <w:spacing w:val="0"/>
          <w:sz w:val="21"/>
          <w:szCs w:val="21"/>
          <w:shd w:val="clear" w:fill="FFFFFF"/>
        </w:rPr>
        <w:t>铜基合金材料</w:t>
      </w:r>
      <w:r>
        <w:rPr>
          <w:rFonts w:hint="default" w:ascii="Times New Roman" w:hAnsi="Times New Roman" w:cs="Times New Roman"/>
          <w:szCs w:val="21"/>
        </w:rPr>
        <w:t>镉铜棒</w:t>
      </w:r>
      <w:r>
        <w:rPr>
          <w:rFonts w:hint="eastAsia" w:ascii="Times New Roman" w:hAnsi="Times New Roman" w:cs="Times New Roman"/>
          <w:szCs w:val="21"/>
          <w:lang w:eastAsia="zh-CN"/>
        </w:rPr>
        <w:t>综合性能的统一规范和总结，</w:t>
      </w:r>
      <w:r>
        <w:rPr>
          <w:rFonts w:hint="default" w:ascii="Times New Roman" w:hAnsi="Times New Roman" w:cs="Times New Roman"/>
          <w:szCs w:val="21"/>
        </w:rPr>
        <w:t>使标准</w:t>
      </w:r>
      <w:r>
        <w:rPr>
          <w:rFonts w:hint="eastAsia" w:ascii="Times New Roman" w:hAnsi="Times New Roman" w:cs="Times New Roman"/>
          <w:szCs w:val="21"/>
          <w:lang w:eastAsia="zh-CN"/>
        </w:rPr>
        <w:t>在</w:t>
      </w:r>
      <w:r>
        <w:rPr>
          <w:rFonts w:hint="default" w:ascii="Times New Roman" w:hAnsi="Times New Roman" w:cs="Times New Roman"/>
          <w:szCs w:val="21"/>
        </w:rPr>
        <w:t>电工用镉铜棒</w:t>
      </w:r>
      <w:r>
        <w:rPr>
          <w:rFonts w:hint="eastAsia" w:ascii="Times New Roman" w:hAnsi="Times New Roman" w:cs="Times New Roman"/>
          <w:szCs w:val="21"/>
          <w:lang w:eastAsia="zh-CN"/>
        </w:rPr>
        <w:t>产品上更</w:t>
      </w:r>
      <w:r>
        <w:rPr>
          <w:rFonts w:hint="default" w:ascii="Times New Roman" w:hAnsi="Times New Roman" w:cs="Times New Roman"/>
          <w:szCs w:val="21"/>
        </w:rPr>
        <w:t>具</w:t>
      </w:r>
      <w:r>
        <w:rPr>
          <w:rFonts w:hint="eastAsia" w:ascii="Times New Roman" w:hAnsi="Times New Roman" w:cs="Times New Roman"/>
          <w:szCs w:val="21"/>
          <w:lang w:eastAsia="zh-CN"/>
        </w:rPr>
        <w:t>适用</w:t>
      </w:r>
      <w:r>
        <w:rPr>
          <w:rFonts w:hint="default" w:ascii="Times New Roman" w:hAnsi="Times New Roman" w:cs="Times New Roman"/>
          <w:szCs w:val="21"/>
        </w:rPr>
        <w:t>性。</w:t>
      </w:r>
    </w:p>
    <w:p>
      <w:pPr>
        <w:keepNext w:val="0"/>
        <w:keepLines w:val="0"/>
        <w:pageBreakBefore w:val="0"/>
        <w:kinsoku/>
        <w:wordWrap/>
        <w:overflowPunct/>
        <w:topLinePunct w:val="0"/>
        <w:bidi w:val="0"/>
        <w:adjustRightInd/>
        <w:snapToGrid/>
        <w:spacing w:line="440" w:lineRule="exact"/>
        <w:ind w:firstLine="435"/>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该标准</w:t>
      </w:r>
      <w:r>
        <w:rPr>
          <w:rFonts w:hint="default" w:ascii="Times New Roman" w:hAnsi="Times New Roman" w:cs="Times New Roman"/>
          <w:szCs w:val="21"/>
          <w:lang w:eastAsia="zh-CN"/>
        </w:rPr>
        <w:t>属于国内先进水平。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六、与现行相关法律、法规、规章及相关标准，特别是强制性标准的协调性</w:t>
      </w:r>
    </w:p>
    <w:p>
      <w:pPr>
        <w:keepNext w:val="0"/>
        <w:keepLines w:val="0"/>
        <w:pageBreakBefore w:val="0"/>
        <w:kinsoku/>
        <w:wordWrap/>
        <w:overflowPunct/>
        <w:topLinePunct w:val="0"/>
        <w:bidi w:val="0"/>
        <w:adjustRightInd/>
        <w:snapToGrid/>
        <w:spacing w:line="440" w:lineRule="exact"/>
        <w:ind w:firstLine="435"/>
        <w:jc w:val="left"/>
        <w:textAlignment w:val="auto"/>
        <w:rPr>
          <w:rFonts w:hint="eastAsia" w:ascii="Times New Roman" w:hAnsi="Times New Roman" w:cs="Times New Roman"/>
          <w:szCs w:val="21"/>
          <w:lang w:val="en-US" w:eastAsia="zh-CN"/>
        </w:rPr>
      </w:pPr>
      <w:r>
        <w:rPr>
          <w:rFonts w:hint="default" w:ascii="Times New Roman" w:hAnsi="Times New Roman" w:cs="Times New Roman"/>
          <w:szCs w:val="21"/>
          <w:lang w:eastAsia="zh-CN"/>
        </w:rPr>
        <w:t>本标准的制定符合相关的法律、法规和相关规定，与现有的标准不冲突</w:t>
      </w:r>
      <w:r>
        <w:rPr>
          <w:rFonts w:hint="eastAsia" w:ascii="Times New Roman" w:hAnsi="Times New Roman" w:cs="Times New Roman"/>
          <w:szCs w:val="2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七、重大分歧意见的处理经过和依据</w:t>
      </w:r>
    </w:p>
    <w:p>
      <w:pPr>
        <w:keepNext w:val="0"/>
        <w:keepLines w:val="0"/>
        <w:pageBreakBefore w:val="0"/>
        <w:kinsoku/>
        <w:wordWrap/>
        <w:overflowPunct/>
        <w:topLinePunct w:val="0"/>
        <w:bidi w:val="0"/>
        <w:adjustRightInd/>
        <w:snapToGrid/>
        <w:spacing w:line="440" w:lineRule="exact"/>
        <w:ind w:firstLine="435"/>
        <w:jc w:val="left"/>
        <w:textAlignment w:val="auto"/>
        <w:rPr>
          <w:rFonts w:hint="eastAsia" w:ascii="Times New Roman" w:hAnsi="Times New Roman" w:cs="Times New Roman"/>
          <w:szCs w:val="21"/>
          <w:lang w:eastAsia="zh-CN"/>
        </w:rPr>
      </w:pPr>
      <w:r>
        <w:rPr>
          <w:rFonts w:hint="eastAsia" w:ascii="Times New Roman" w:hAnsi="Times New Roman" w:cs="Times New Roman"/>
          <w:szCs w:val="21"/>
          <w:lang w:eastAsia="zh-CN"/>
        </w:rPr>
        <w:t>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八、作为强制性国家标准的建议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jc w:val="both"/>
        <w:textAlignment w:val="auto"/>
        <w:outlineLvl w:val="9"/>
        <w:rPr>
          <w:rFonts w:hint="eastAsia"/>
          <w:szCs w:val="21"/>
        </w:rPr>
      </w:pPr>
      <w:r>
        <w:rPr>
          <w:rFonts w:hint="eastAsia" w:ascii="宋体" w:hAnsi="宋体"/>
          <w:szCs w:val="21"/>
        </w:rPr>
        <w:t xml:space="preserve">    </w:t>
      </w:r>
      <w:r>
        <w:rPr>
          <w:rFonts w:hint="eastAsia"/>
          <w:szCs w:val="21"/>
        </w:rPr>
        <w:t>本标准不建议作为强制性标准，而建议作为推荐性标准</w:t>
      </w:r>
      <w:r>
        <w:rPr>
          <w:rFonts w:hint="eastAsia"/>
          <w:szCs w:val="21"/>
          <w:lang w:eastAsia="zh-CN"/>
        </w:rPr>
        <w:t>推广使用</w:t>
      </w:r>
      <w:r>
        <w:rPr>
          <w:rFonts w:hint="eastAsia"/>
          <w:szCs w:val="21"/>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九、贯彻标准的要求和措施建议</w:t>
      </w:r>
    </w:p>
    <w:p>
      <w:pPr>
        <w:pStyle w:val="9"/>
        <w:keepNext w:val="0"/>
        <w:keepLines w:val="0"/>
        <w:pageBreakBefore w:val="0"/>
        <w:kinsoku/>
        <w:wordWrap/>
        <w:overflowPunct/>
        <w:topLinePunct w:val="0"/>
        <w:bidi w:val="0"/>
        <w:adjustRightInd/>
        <w:snapToGrid/>
        <w:spacing w:line="440" w:lineRule="exact"/>
        <w:ind w:left="0" w:leftChars="0" w:right="0" w:firstLine="420"/>
        <w:textAlignment w:val="auto"/>
        <w:outlineLvl w:val="9"/>
        <w:rPr>
          <w:rFonts w:hint="eastAsia" w:ascii="Times New Roman"/>
          <w:kern w:val="2"/>
          <w:szCs w:val="21"/>
          <w:lang w:val="en-US" w:eastAsia="zh-CN"/>
        </w:rPr>
      </w:pPr>
      <w:r>
        <w:rPr>
          <w:rFonts w:hint="eastAsia" w:ascii="Times New Roman"/>
          <w:kern w:val="2"/>
          <w:szCs w:val="21"/>
          <w:lang w:val="en-US" w:eastAsia="zh-CN"/>
        </w:rPr>
        <w:t>本标准是以</w:t>
      </w:r>
      <w:r>
        <w:rPr>
          <w:rFonts w:hint="default" w:ascii="Times New Roman" w:hAnsi="Times New Roman" w:cs="Times New Roman"/>
          <w:kern w:val="2"/>
          <w:szCs w:val="21"/>
          <w:lang w:val="en-US" w:eastAsia="zh-CN"/>
        </w:rPr>
        <w:t>我国</w:t>
      </w:r>
      <w:r>
        <w:rPr>
          <w:rFonts w:hint="default" w:ascii="Times New Roman" w:hAnsi="Times New Roman" w:cs="Times New Roman"/>
          <w:sz w:val="21"/>
          <w:szCs w:val="21"/>
          <w:lang w:val="en-US" w:eastAsia="zh-CN"/>
        </w:rPr>
        <w:t>TCd1棒材</w:t>
      </w:r>
      <w:r>
        <w:rPr>
          <w:rFonts w:hint="default" w:ascii="Times New Roman" w:hAnsi="Times New Roman" w:eastAsia="宋体" w:cs="Times New Roman"/>
          <w:i w:val="0"/>
          <w:caps w:val="0"/>
          <w:color w:val="000000"/>
          <w:spacing w:val="0"/>
          <w:sz w:val="21"/>
          <w:szCs w:val="21"/>
          <w:shd w:val="clear" w:fill="FFFFFF"/>
        </w:rPr>
        <w:t>产品</w:t>
      </w:r>
      <w:r>
        <w:rPr>
          <w:rFonts w:hint="default" w:ascii="Times New Roman" w:hAnsi="Times New Roman" w:cs="Times New Roman"/>
          <w:kern w:val="2"/>
          <w:szCs w:val="21"/>
          <w:lang w:val="en-US" w:eastAsia="zh-CN"/>
        </w:rPr>
        <w:t>的实际生产现状为基础，结合订货合同要求进行制定的，标准全面覆盖了</w:t>
      </w:r>
      <w:r>
        <w:rPr>
          <w:rFonts w:hint="default" w:ascii="Times New Roman" w:hAnsi="Times New Roman" w:cs="Times New Roman"/>
          <w:sz w:val="21"/>
          <w:szCs w:val="21"/>
          <w:lang w:val="en-US" w:eastAsia="zh-CN"/>
        </w:rPr>
        <w:t>TCd1棒材</w:t>
      </w:r>
      <w:r>
        <w:rPr>
          <w:rFonts w:hint="default" w:ascii="Times New Roman" w:hAnsi="Times New Roman" w:cs="Times New Roman"/>
          <w:kern w:val="2"/>
          <w:szCs w:val="21"/>
          <w:lang w:val="en-US" w:eastAsia="zh-CN"/>
        </w:rPr>
        <w:t>产品的一般要求，建议相关单位组织专项标准宣贯会，进行系统学习。杜绝或减少因无标可循给企业生产与经营造成的麻烦。本标准发布后，各企业应积极宣传和贯彻，并立即采用本标准订</w:t>
      </w:r>
      <w:r>
        <w:rPr>
          <w:rFonts w:hint="eastAsia" w:ascii="Times New Roman"/>
          <w:kern w:val="2"/>
          <w:szCs w:val="21"/>
          <w:lang w:val="en-US" w:eastAsia="zh-CN"/>
        </w:rPr>
        <w:t>货，以使产品质量得到充分保证，满足国内、外市场及用户的需要。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十、废止现行有关标准的建议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outlineLvl w:val="9"/>
        <w:rPr>
          <w:rFonts w:hint="eastAsia"/>
          <w:szCs w:val="21"/>
        </w:rPr>
      </w:pPr>
      <w:r>
        <w:rPr>
          <w:rFonts w:hint="eastAsia" w:ascii="黑体" w:hAnsi="黑体" w:eastAsia="黑体"/>
          <w:szCs w:val="21"/>
        </w:rPr>
        <w:t xml:space="preserve">    </w:t>
      </w:r>
      <w:r>
        <w:rPr>
          <w:rFonts w:hint="eastAsia"/>
          <w:szCs w:val="21"/>
        </w:rPr>
        <w:t xml:space="preserve"> 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十一、其它应予说明的事项</w:t>
      </w:r>
    </w:p>
    <w:p>
      <w:pPr>
        <w:keepNext w:val="0"/>
        <w:keepLines w:val="0"/>
        <w:pageBreakBefore w:val="0"/>
        <w:widowControl w:val="0"/>
        <w:kinsoku/>
        <w:wordWrap/>
        <w:overflowPunct/>
        <w:topLinePunct w:val="0"/>
        <w:autoSpaceDE/>
        <w:autoSpaceDN/>
        <w:bidi w:val="0"/>
        <w:adjustRightInd/>
        <w:snapToGrid/>
        <w:spacing w:line="440" w:lineRule="exact"/>
        <w:ind w:firstLine="437"/>
        <w:jc w:val="left"/>
        <w:textAlignment w:val="auto"/>
        <w:rPr>
          <w:rFonts w:hint="default" w:ascii="Times New Roman" w:hAnsi="Times New Roman" w:cs="Times New Roman"/>
          <w:szCs w:val="21"/>
        </w:rPr>
      </w:pPr>
      <w:r>
        <w:rPr>
          <w:rFonts w:hint="default" w:ascii="Times New Roman" w:hAnsi="Times New Roman" w:cs="Times New Roman"/>
          <w:szCs w:val="21"/>
        </w:rPr>
        <w:t>本标准根据目前</w:t>
      </w:r>
      <w:r>
        <w:rPr>
          <w:rFonts w:hint="default" w:ascii="Times New Roman" w:hAnsi="Times New Roman" w:cs="Times New Roman"/>
          <w:szCs w:val="21"/>
        </w:rPr>
        <w:t>国内</w:t>
      </w:r>
      <w:r>
        <w:rPr>
          <w:rFonts w:hint="default" w:ascii="Times New Roman" w:hAnsi="Times New Roman" w:cs="Times New Roman"/>
          <w:sz w:val="21"/>
          <w:szCs w:val="21"/>
          <w:lang w:val="en-US" w:eastAsia="zh-CN"/>
        </w:rPr>
        <w:t>TCd1棒材</w:t>
      </w:r>
      <w:r>
        <w:rPr>
          <w:rFonts w:hint="default" w:ascii="Times New Roman" w:hAnsi="Times New Roman" w:cs="Times New Roman"/>
          <w:szCs w:val="21"/>
        </w:rPr>
        <w:t>的实际生产现状和订货合同情况确定采用的牌号、规格和性能，考虑随着新材料的开发</w:t>
      </w:r>
      <w:r>
        <w:rPr>
          <w:rFonts w:hint="default" w:ascii="Times New Roman" w:hAnsi="Times New Roman" w:cs="Times New Roman"/>
          <w:szCs w:val="21"/>
          <w:lang w:eastAsia="zh-CN"/>
        </w:rPr>
        <w:t>、</w:t>
      </w:r>
      <w:r>
        <w:rPr>
          <w:rFonts w:hint="default" w:ascii="Times New Roman" w:hAnsi="Times New Roman" w:cs="Times New Roman"/>
          <w:szCs w:val="21"/>
        </w:rPr>
        <w:t>使</w:t>
      </w:r>
      <w:r>
        <w:rPr>
          <w:rFonts w:hint="default" w:ascii="Times New Roman" w:hAnsi="Times New Roman" w:cs="Times New Roman"/>
          <w:szCs w:val="21"/>
        </w:rPr>
        <w:t>用和新的生产装备的更新，如果以后生产或订货合同中有其他牌号、规格及性能等需求可在下一版中进行补充修订。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i w:val="0"/>
          <w:caps w:val="0"/>
          <w:color w:val="000000"/>
          <w:spacing w:val="0"/>
          <w:kern w:val="2"/>
          <w:sz w:val="21"/>
          <w:szCs w:val="21"/>
          <w:shd w:val="clear" w:fill="FFFFFF"/>
          <w:lang w:val="en-US" w:eastAsia="zh-CN" w:bidi="ar-SA"/>
        </w:rPr>
      </w:pPr>
      <w:r>
        <w:rPr>
          <w:rFonts w:hint="eastAsia" w:ascii="黑体" w:hAnsi="黑体" w:eastAsia="黑体" w:cs="黑体"/>
          <w:b w:val="0"/>
          <w:bCs/>
          <w:i w:val="0"/>
          <w:caps w:val="0"/>
          <w:color w:val="000000"/>
          <w:spacing w:val="0"/>
          <w:kern w:val="2"/>
          <w:sz w:val="21"/>
          <w:szCs w:val="21"/>
          <w:shd w:val="clear" w:fill="FFFFFF"/>
          <w:lang w:val="en-US" w:eastAsia="zh-CN" w:bidi="ar-SA"/>
        </w:rPr>
        <w:t>十二、预期效果</w:t>
      </w:r>
    </w:p>
    <w:p>
      <w:pPr>
        <w:keepNext w:val="0"/>
        <w:keepLines w:val="0"/>
        <w:pageBreakBefore w:val="0"/>
        <w:kinsoku/>
        <w:wordWrap/>
        <w:overflowPunct/>
        <w:topLinePunct w:val="0"/>
        <w:bidi w:val="0"/>
        <w:adjustRightInd/>
        <w:snapToGrid/>
        <w:spacing w:line="440" w:lineRule="exact"/>
        <w:ind w:left="0" w:leftChars="0" w:right="0" w:firstLine="420" w:firstLineChars="200"/>
        <w:textAlignment w:val="auto"/>
        <w:outlineLvl w:val="9"/>
        <w:rPr>
          <w:rFonts w:hint="eastAsia"/>
        </w:rPr>
      </w:pPr>
      <w:r>
        <w:rPr>
          <w:rFonts w:hint="eastAsia" w:ascii="宋体" w:hAnsi="宋体"/>
          <w:kern w:val="0"/>
          <w:szCs w:val="21"/>
        </w:rPr>
        <w:t>由于</w:t>
      </w:r>
      <w:r>
        <w:rPr>
          <w:rFonts w:hint="eastAsia" w:ascii="宋体" w:hAnsi="宋体" w:eastAsia="宋体" w:cs="宋体"/>
          <w:i w:val="0"/>
          <w:caps w:val="0"/>
          <w:color w:val="000000"/>
          <w:spacing w:val="0"/>
          <w:sz w:val="21"/>
          <w:szCs w:val="21"/>
          <w:shd w:val="clear" w:fill="FFFFFF"/>
        </w:rPr>
        <w:t>镉铜</w:t>
      </w:r>
      <w:r>
        <w:rPr>
          <w:rFonts w:hint="eastAsia" w:ascii="宋体" w:hAnsi="宋体" w:eastAsia="宋体" w:cs="宋体"/>
          <w:i w:val="0"/>
          <w:caps w:val="0"/>
          <w:color w:val="000000"/>
          <w:spacing w:val="0"/>
          <w:sz w:val="21"/>
          <w:szCs w:val="21"/>
          <w:shd w:val="clear" w:fill="FFFFFF"/>
          <w:lang w:eastAsia="zh-CN"/>
        </w:rPr>
        <w:t>棒</w:t>
      </w:r>
      <w:r>
        <w:rPr>
          <w:rFonts w:hint="eastAsia" w:ascii="宋体" w:hAnsi="宋体"/>
          <w:kern w:val="0"/>
          <w:szCs w:val="21"/>
        </w:rPr>
        <w:t>产品</w:t>
      </w:r>
      <w:r>
        <w:rPr>
          <w:rFonts w:hint="eastAsia" w:ascii="宋体" w:hAnsi="宋体" w:eastAsia="宋体" w:cs="宋体"/>
          <w:i w:val="0"/>
          <w:caps w:val="0"/>
          <w:color w:val="000000"/>
          <w:spacing w:val="0"/>
          <w:sz w:val="21"/>
          <w:szCs w:val="21"/>
          <w:shd w:val="clear" w:fill="FFFFFF"/>
        </w:rPr>
        <w:t>广泛</w:t>
      </w:r>
      <w:r>
        <w:rPr>
          <w:rFonts w:hint="eastAsia" w:ascii="宋体" w:hAnsi="宋体" w:eastAsia="宋体" w:cs="宋体"/>
          <w:i w:val="0"/>
          <w:caps w:val="0"/>
          <w:color w:val="000000"/>
          <w:spacing w:val="0"/>
          <w:sz w:val="21"/>
          <w:szCs w:val="21"/>
          <w:shd w:val="clear" w:fill="FFFFFF"/>
          <w:lang w:eastAsia="zh-CN"/>
        </w:rPr>
        <w:t>应</w:t>
      </w:r>
      <w:r>
        <w:rPr>
          <w:rFonts w:hint="eastAsia" w:ascii="宋体" w:hAnsi="宋体" w:eastAsia="宋体" w:cs="宋体"/>
          <w:i w:val="0"/>
          <w:caps w:val="0"/>
          <w:color w:val="000000"/>
          <w:spacing w:val="0"/>
          <w:sz w:val="21"/>
          <w:szCs w:val="21"/>
          <w:shd w:val="clear" w:fill="FFFFFF"/>
        </w:rPr>
        <w:t>用于制造电工装置的导电，耐热，耐磨零件</w:t>
      </w:r>
      <w:r>
        <w:rPr>
          <w:rFonts w:hint="eastAsia" w:ascii="宋体" w:hAnsi="宋体" w:eastAsia="宋体" w:cs="宋体"/>
          <w:i w:val="0"/>
          <w:caps w:val="0"/>
          <w:color w:val="000000"/>
          <w:spacing w:val="0"/>
          <w:sz w:val="21"/>
          <w:szCs w:val="21"/>
          <w:shd w:val="clear" w:fill="FFFFFF"/>
          <w:lang w:eastAsia="zh-CN"/>
        </w:rPr>
        <w:t>，及常用于</w:t>
      </w:r>
      <w:r>
        <w:rPr>
          <w:rFonts w:hint="eastAsia" w:ascii="宋体" w:hAnsi="宋体" w:eastAsia="宋体" w:cs="宋体"/>
          <w:i w:val="0"/>
          <w:caps w:val="0"/>
          <w:color w:val="000000"/>
          <w:spacing w:val="0"/>
          <w:sz w:val="21"/>
          <w:szCs w:val="21"/>
          <w:shd w:val="clear" w:fill="FFFFFF"/>
        </w:rPr>
        <w:t>制作常温或高温下工作的高</w:t>
      </w:r>
      <w:r>
        <w:rPr>
          <w:rFonts w:hint="eastAsia" w:ascii="宋体" w:hAnsi="宋体" w:eastAsia="宋体" w:cs="宋体"/>
          <w:i w:val="0"/>
          <w:caps w:val="0"/>
          <w:color w:val="000000"/>
          <w:spacing w:val="0"/>
          <w:sz w:val="21"/>
          <w:szCs w:val="21"/>
          <w:shd w:val="clear" w:fill="FFFFFF"/>
          <w:lang w:eastAsia="zh-CN"/>
        </w:rPr>
        <w:t>导</w:t>
      </w:r>
      <w:r>
        <w:rPr>
          <w:rFonts w:hint="eastAsia" w:ascii="宋体" w:hAnsi="宋体" w:eastAsia="宋体" w:cs="宋体"/>
          <w:i w:val="0"/>
          <w:caps w:val="0"/>
          <w:color w:val="000000"/>
          <w:spacing w:val="0"/>
          <w:sz w:val="21"/>
          <w:szCs w:val="21"/>
          <w:shd w:val="clear" w:fill="FFFFFF"/>
        </w:rPr>
        <w:t>电、耐磨的零件，我国近年来对该材料</w:t>
      </w:r>
      <w:r>
        <w:rPr>
          <w:rFonts w:hint="eastAsia" w:ascii="宋体" w:hAnsi="宋体" w:eastAsia="宋体" w:cs="宋体"/>
          <w:i w:val="0"/>
          <w:caps w:val="0"/>
          <w:color w:val="000000"/>
          <w:spacing w:val="0"/>
          <w:sz w:val="21"/>
          <w:szCs w:val="21"/>
          <w:shd w:val="clear" w:fill="FFFFFF"/>
          <w:lang w:val="en-US" w:eastAsia="zh-CN"/>
        </w:rPr>
        <w:t>及产品</w:t>
      </w:r>
      <w:r>
        <w:rPr>
          <w:rFonts w:hint="eastAsia" w:ascii="宋体" w:hAnsi="宋体" w:eastAsia="宋体" w:cs="宋体"/>
          <w:i w:val="0"/>
          <w:caps w:val="0"/>
          <w:color w:val="000000"/>
          <w:spacing w:val="0"/>
          <w:sz w:val="21"/>
          <w:szCs w:val="21"/>
          <w:shd w:val="clear" w:fill="FFFFFF"/>
        </w:rPr>
        <w:t>的研</w:t>
      </w:r>
      <w:r>
        <w:rPr>
          <w:rFonts w:hint="eastAsia" w:ascii="宋体" w:hAnsi="宋体" w:eastAsia="宋体" w:cs="宋体"/>
          <w:i w:val="0"/>
          <w:caps w:val="0"/>
          <w:color w:val="000000"/>
          <w:spacing w:val="0"/>
          <w:sz w:val="21"/>
          <w:szCs w:val="21"/>
          <w:shd w:val="clear" w:fill="FFFFFF"/>
          <w:lang w:val="en-US" w:eastAsia="zh-CN"/>
        </w:rPr>
        <w:t>发</w:t>
      </w:r>
      <w:r>
        <w:rPr>
          <w:rFonts w:hint="eastAsia" w:ascii="宋体" w:hAnsi="宋体"/>
          <w:kern w:val="0"/>
          <w:szCs w:val="21"/>
        </w:rPr>
        <w:t>有了长足的</w:t>
      </w:r>
      <w:r>
        <w:rPr>
          <w:rFonts w:hint="eastAsia" w:ascii="宋体" w:hAnsi="宋体"/>
          <w:kern w:val="0"/>
          <w:szCs w:val="21"/>
          <w:lang w:val="en-US" w:eastAsia="zh-CN"/>
        </w:rPr>
        <w:t>进</w:t>
      </w:r>
      <w:r>
        <w:rPr>
          <w:rFonts w:hint="eastAsia" w:ascii="宋体" w:hAnsi="宋体"/>
          <w:kern w:val="0"/>
          <w:szCs w:val="21"/>
        </w:rPr>
        <w:t>展，应用领域不断扩大，生产</w:t>
      </w:r>
      <w:r>
        <w:rPr>
          <w:rFonts w:hint="eastAsia" w:ascii="宋体" w:hAnsi="宋体"/>
          <w:kern w:val="0"/>
          <w:szCs w:val="21"/>
          <w:lang w:val="en-US" w:eastAsia="zh-CN"/>
        </w:rPr>
        <w:t>制造</w:t>
      </w:r>
      <w:r>
        <w:rPr>
          <w:rFonts w:hint="eastAsia" w:ascii="宋体" w:hAnsi="宋体"/>
          <w:kern w:val="0"/>
          <w:szCs w:val="21"/>
        </w:rPr>
        <w:t>水平在不断研发和创新的基础上持续提高。因而</w:t>
      </w:r>
      <w:r>
        <w:rPr>
          <w:rFonts w:hint="eastAsia" w:ascii="宋体" w:hAnsi="宋体"/>
          <w:kern w:val="0"/>
          <w:szCs w:val="21"/>
          <w:lang w:eastAsia="zh-CN"/>
        </w:rPr>
        <w:t>，</w:t>
      </w:r>
      <w:r>
        <w:rPr>
          <w:rFonts w:hint="eastAsia" w:ascii="宋体" w:hAnsi="宋体"/>
          <w:kern w:val="0"/>
          <w:szCs w:val="21"/>
        </w:rPr>
        <w:t>其</w:t>
      </w:r>
      <w:r>
        <w:rPr>
          <w:rFonts w:hint="eastAsia" w:ascii="宋体" w:hAnsi="宋体"/>
          <w:kern w:val="0"/>
          <w:szCs w:val="21"/>
          <w:lang w:val="en-US" w:eastAsia="zh-CN"/>
        </w:rPr>
        <w:t>产品制造</w:t>
      </w:r>
      <w:r>
        <w:rPr>
          <w:rFonts w:hint="eastAsia" w:ascii="宋体" w:hAnsi="宋体"/>
          <w:kern w:val="0"/>
          <w:szCs w:val="21"/>
        </w:rPr>
        <w:t>水平和技术</w:t>
      </w:r>
      <w:r>
        <w:rPr>
          <w:rFonts w:hint="eastAsia" w:ascii="宋体" w:hAnsi="宋体"/>
          <w:kern w:val="0"/>
          <w:szCs w:val="21"/>
          <w:lang w:val="en-US" w:eastAsia="zh-CN"/>
        </w:rPr>
        <w:t>指标</w:t>
      </w:r>
      <w:r>
        <w:rPr>
          <w:rFonts w:hint="eastAsia" w:ascii="宋体" w:hAnsi="宋体"/>
          <w:kern w:val="0"/>
          <w:szCs w:val="21"/>
        </w:rPr>
        <w:t>还有很大的</w:t>
      </w:r>
      <w:r>
        <w:rPr>
          <w:rFonts w:hint="eastAsia" w:ascii="宋体" w:hAnsi="宋体"/>
          <w:kern w:val="0"/>
          <w:szCs w:val="21"/>
          <w:lang w:val="en-US" w:eastAsia="zh-CN"/>
        </w:rPr>
        <w:t>提升</w:t>
      </w:r>
      <w:r>
        <w:rPr>
          <w:rFonts w:hint="eastAsia" w:ascii="宋体" w:hAnsi="宋体"/>
          <w:kern w:val="0"/>
          <w:szCs w:val="21"/>
        </w:rPr>
        <w:t>空间，相信随着标准的实施和技术不断创新发展，本产品的质量和</w:t>
      </w:r>
      <w:r>
        <w:rPr>
          <w:rFonts w:hint="eastAsia" w:ascii="宋体" w:hAnsi="宋体"/>
          <w:kern w:val="0"/>
          <w:szCs w:val="21"/>
          <w:lang w:val="en-US" w:eastAsia="zh-CN"/>
        </w:rPr>
        <w:t>制造</w:t>
      </w:r>
      <w:r>
        <w:rPr>
          <w:rFonts w:hint="eastAsia" w:ascii="宋体" w:hAnsi="宋体"/>
          <w:kern w:val="0"/>
          <w:szCs w:val="21"/>
        </w:rPr>
        <w:t>水平会有较大的提升。</w:t>
      </w:r>
    </w:p>
    <w:p>
      <w:pPr>
        <w:pStyle w:val="9"/>
        <w:keepNext w:val="0"/>
        <w:keepLines w:val="0"/>
        <w:pageBreakBefore w:val="0"/>
        <w:kinsoku/>
        <w:wordWrap/>
        <w:overflowPunct/>
        <w:topLinePunct w:val="0"/>
        <w:bidi w:val="0"/>
        <w:adjustRightInd/>
        <w:snapToGrid/>
        <w:spacing w:line="440" w:lineRule="exact"/>
        <w:ind w:left="0" w:leftChars="0" w:right="0" w:firstLine="420"/>
        <w:textAlignment w:val="auto"/>
        <w:outlineLvl w:val="9"/>
        <w:rPr>
          <w:rFonts w:hint="eastAsia" w:ascii="Times New Roman"/>
          <w:kern w:val="2"/>
          <w:szCs w:val="21"/>
          <w:lang w:val="en-US" w:eastAsia="zh-CN"/>
        </w:rPr>
      </w:pPr>
      <w:r>
        <w:rPr>
          <w:rFonts w:hint="eastAsia" w:ascii="Times New Roman"/>
          <w:kern w:val="2"/>
          <w:szCs w:val="21"/>
          <w:lang w:val="en-US" w:eastAsia="zh-CN"/>
        </w:rPr>
        <w:t>本标准是在结合生产企业及需求的基础上制定的，技术指标先进，具有普遍性、广泛性、适用性、科学性和先进性。本标准发布后，将规范我</w:t>
      </w:r>
      <w:r>
        <w:rPr>
          <w:rFonts w:hint="default" w:ascii="Times New Roman" w:hAnsi="Times New Roman" w:cs="Times New Roman"/>
          <w:kern w:val="2"/>
          <w:szCs w:val="21"/>
          <w:lang w:val="en-US" w:eastAsia="zh-CN"/>
        </w:rPr>
        <w:t>国</w:t>
      </w:r>
      <w:r>
        <w:rPr>
          <w:rFonts w:hint="default" w:ascii="Times New Roman" w:hAnsi="Times New Roman" w:cs="Times New Roman"/>
          <w:sz w:val="21"/>
          <w:szCs w:val="21"/>
          <w:lang w:val="en-US" w:eastAsia="zh-CN"/>
        </w:rPr>
        <w:t>TCd1棒材</w:t>
      </w:r>
      <w:r>
        <w:rPr>
          <w:rFonts w:hint="eastAsia" w:ascii="Times New Roman"/>
          <w:kern w:val="2"/>
          <w:szCs w:val="21"/>
          <w:lang w:val="en-US" w:eastAsia="zh-CN"/>
        </w:rPr>
        <w:t>的各项技术要求及性能指标，提高产品在国内市场的竞争力，给生产和使用企业带来巨大的经济效益。</w:t>
      </w:r>
    </w:p>
    <w:p>
      <w:pPr>
        <w:pStyle w:val="9"/>
        <w:keepNext w:val="0"/>
        <w:keepLines w:val="0"/>
        <w:pageBreakBefore w:val="0"/>
        <w:kinsoku/>
        <w:wordWrap/>
        <w:overflowPunct/>
        <w:topLinePunct w:val="0"/>
        <w:bidi w:val="0"/>
        <w:adjustRightInd/>
        <w:snapToGrid/>
        <w:spacing w:line="360" w:lineRule="auto"/>
        <w:ind w:left="0" w:leftChars="0" w:right="0" w:firstLine="420"/>
        <w:textAlignment w:val="auto"/>
        <w:outlineLvl w:val="9"/>
        <w:rPr>
          <w:rFonts w:hint="eastAsia" w:ascii="Times New Roman"/>
          <w:kern w:val="2"/>
          <w:szCs w:val="21"/>
          <w:lang w:val="en-US" w:eastAsia="zh-CN"/>
        </w:rPr>
      </w:pPr>
    </w:p>
    <w:p>
      <w:pPr>
        <w:pStyle w:val="9"/>
        <w:keepNext w:val="0"/>
        <w:keepLines w:val="0"/>
        <w:pageBreakBefore w:val="0"/>
        <w:kinsoku/>
        <w:wordWrap/>
        <w:overflowPunct/>
        <w:topLinePunct w:val="0"/>
        <w:bidi w:val="0"/>
        <w:adjustRightInd/>
        <w:snapToGrid/>
        <w:spacing w:line="360" w:lineRule="auto"/>
        <w:ind w:left="0" w:leftChars="0" w:right="0" w:firstLine="420"/>
        <w:textAlignment w:val="auto"/>
        <w:outlineLvl w:val="9"/>
        <w:rPr>
          <w:rFonts w:hint="eastAsia" w:ascii="Times New Roman"/>
          <w:kern w:val="2"/>
          <w:szCs w:val="21"/>
          <w:lang w:val="en-US" w:eastAsia="zh-CN"/>
        </w:rPr>
      </w:pPr>
    </w:p>
    <w:p>
      <w:pPr>
        <w:pStyle w:val="9"/>
        <w:keepNext w:val="0"/>
        <w:keepLines w:val="0"/>
        <w:pageBreakBefore w:val="0"/>
        <w:kinsoku/>
        <w:wordWrap/>
        <w:overflowPunct/>
        <w:topLinePunct w:val="0"/>
        <w:bidi w:val="0"/>
        <w:adjustRightInd/>
        <w:snapToGrid/>
        <w:spacing w:line="360" w:lineRule="auto"/>
        <w:ind w:left="0" w:leftChars="0" w:right="0" w:firstLine="420"/>
        <w:textAlignment w:val="auto"/>
        <w:outlineLvl w:val="9"/>
        <w:rPr>
          <w:rFonts w:hint="eastAsia" w:ascii="Times New Roman"/>
          <w:kern w:val="2"/>
          <w:szCs w:val="21"/>
          <w:lang w:val="en-US" w:eastAsia="zh-CN"/>
        </w:rPr>
      </w:pPr>
    </w:p>
    <w:p>
      <w:pPr>
        <w:pStyle w:val="9"/>
        <w:keepNext w:val="0"/>
        <w:keepLines w:val="0"/>
        <w:pageBreakBefore w:val="0"/>
        <w:kinsoku/>
        <w:wordWrap/>
        <w:overflowPunct/>
        <w:topLinePunct w:val="0"/>
        <w:bidi w:val="0"/>
        <w:adjustRightInd/>
        <w:snapToGrid/>
        <w:spacing w:line="360" w:lineRule="auto"/>
        <w:ind w:left="0" w:leftChars="0" w:right="0" w:firstLine="420"/>
        <w:textAlignment w:val="auto"/>
        <w:outlineLvl w:val="9"/>
        <w:rPr>
          <w:rFonts w:hint="eastAsia" w:ascii="Times New Roman"/>
          <w:kern w:val="2"/>
          <w:szCs w:val="21"/>
          <w:lang w:val="en-US" w:eastAsia="zh-CN"/>
        </w:rPr>
      </w:pPr>
    </w:p>
    <w:p>
      <w:pPr>
        <w:pStyle w:val="9"/>
        <w:keepNext w:val="0"/>
        <w:keepLines w:val="0"/>
        <w:pageBreakBefore w:val="0"/>
        <w:kinsoku/>
        <w:wordWrap/>
        <w:overflowPunct/>
        <w:topLinePunct w:val="0"/>
        <w:bidi w:val="0"/>
        <w:adjustRightInd/>
        <w:snapToGrid/>
        <w:spacing w:line="360" w:lineRule="auto"/>
        <w:ind w:left="0" w:leftChars="0" w:firstLine="420"/>
        <w:jc w:val="right"/>
        <w:textAlignment w:val="auto"/>
        <w:outlineLvl w:val="9"/>
        <w:rPr>
          <w:rFonts w:hint="eastAsia" w:ascii="Times New Roman"/>
          <w:kern w:val="2"/>
          <w:szCs w:val="21"/>
          <w:lang w:val="en-US" w:eastAsia="zh-CN"/>
        </w:rPr>
      </w:pPr>
      <w:r>
        <w:rPr>
          <w:rFonts w:hint="eastAsia" w:ascii="Times New Roman"/>
          <w:kern w:val="2"/>
          <w:szCs w:val="21"/>
          <w:lang w:val="en-US" w:eastAsia="zh-CN"/>
        </w:rPr>
        <w:t xml:space="preserve">               《</w:t>
      </w:r>
      <w:r>
        <w:rPr>
          <w:rFonts w:hint="default" w:ascii="Times New Roman" w:hAnsi="Times New Roman" w:cs="Times New Roman"/>
          <w:kern w:val="2"/>
          <w:szCs w:val="21"/>
          <w:lang w:val="en-US" w:eastAsia="zh-CN"/>
        </w:rPr>
        <w:t>电工用镉铜棒</w:t>
      </w:r>
      <w:r>
        <w:rPr>
          <w:rFonts w:hint="eastAsia" w:ascii="Times New Roman"/>
          <w:kern w:val="2"/>
          <w:szCs w:val="21"/>
          <w:lang w:val="en-US" w:eastAsia="zh-CN"/>
        </w:rPr>
        <w:t>》行业标准编制组</w:t>
      </w:r>
    </w:p>
    <w:p>
      <w:pPr>
        <w:pStyle w:val="9"/>
        <w:keepNext w:val="0"/>
        <w:keepLines w:val="0"/>
        <w:pageBreakBefore w:val="0"/>
        <w:kinsoku/>
        <w:wordWrap/>
        <w:overflowPunct/>
        <w:topLinePunct w:val="0"/>
        <w:bidi w:val="0"/>
        <w:adjustRightInd/>
        <w:snapToGrid/>
        <w:spacing w:line="360" w:lineRule="auto"/>
        <w:ind w:left="0" w:leftChars="0" w:firstLine="420"/>
        <w:jc w:val="right"/>
        <w:textAlignment w:val="auto"/>
        <w:outlineLvl w:val="9"/>
        <w:rPr>
          <w:color w:val="auto"/>
        </w:rPr>
      </w:pPr>
      <w:r>
        <w:rPr>
          <w:rFonts w:hint="eastAsia" w:ascii="Times New Roman"/>
          <w:kern w:val="2"/>
          <w:szCs w:val="21"/>
          <w:lang w:val="en-US" w:eastAsia="zh-CN"/>
        </w:rPr>
        <w:t xml:space="preserve">               </w:t>
      </w:r>
      <w:r>
        <w:rPr>
          <w:rFonts w:hint="default" w:ascii="Times New Roman" w:hAnsi="Times New Roman" w:cs="Times New Roman"/>
          <w:kern w:val="2"/>
          <w:szCs w:val="21"/>
          <w:lang w:val="en-US" w:eastAsia="zh-CN"/>
        </w:rPr>
        <w:t xml:space="preserve"> </w:t>
      </w:r>
      <w:r>
        <w:rPr>
          <w:rFonts w:hint="default" w:ascii="Times New Roman" w:hAnsi="Times New Roman" w:cs="Times New Roman"/>
          <w:color w:val="auto"/>
          <w:kern w:val="2"/>
          <w:szCs w:val="21"/>
          <w:lang w:val="en-US" w:eastAsia="zh-CN"/>
        </w:rPr>
        <w:t>2022年11月6日</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66186"/>
    <w:multiLevelType w:val="singleLevel"/>
    <w:tmpl w:val="ABF66186"/>
    <w:lvl w:ilvl="0" w:tentative="0">
      <w:start w:val="1"/>
      <w:numFmt w:val="chineseCounting"/>
      <w:suff w:val="nothing"/>
      <w:lvlText w:val="%1、"/>
      <w:lvlJc w:val="left"/>
      <w:rPr>
        <w:rFonts w:hint="eastAsia"/>
      </w:rPr>
    </w:lvl>
  </w:abstractNum>
  <w:abstractNum w:abstractNumId="1">
    <w:nsid w:val="2B0CC6FF"/>
    <w:multiLevelType w:val="singleLevel"/>
    <w:tmpl w:val="2B0CC6F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YzcwZmU0MWQxMDJmOGQ0MGUwZjcxMjAxNmFhNjkifQ=="/>
  </w:docVars>
  <w:rsids>
    <w:rsidRoot w:val="67CE45C5"/>
    <w:rsid w:val="01C62387"/>
    <w:rsid w:val="020225EC"/>
    <w:rsid w:val="03190CB5"/>
    <w:rsid w:val="039D60AC"/>
    <w:rsid w:val="088B150F"/>
    <w:rsid w:val="0B755297"/>
    <w:rsid w:val="0F184317"/>
    <w:rsid w:val="111404F5"/>
    <w:rsid w:val="15453815"/>
    <w:rsid w:val="15B73581"/>
    <w:rsid w:val="16460B73"/>
    <w:rsid w:val="16494A93"/>
    <w:rsid w:val="17A0586A"/>
    <w:rsid w:val="186C1C55"/>
    <w:rsid w:val="194E034E"/>
    <w:rsid w:val="1C242ED2"/>
    <w:rsid w:val="1D444119"/>
    <w:rsid w:val="1E765041"/>
    <w:rsid w:val="20294224"/>
    <w:rsid w:val="20A15975"/>
    <w:rsid w:val="21DC21B5"/>
    <w:rsid w:val="23A40304"/>
    <w:rsid w:val="248A06DA"/>
    <w:rsid w:val="24DB4284"/>
    <w:rsid w:val="268D2FF6"/>
    <w:rsid w:val="2A7C17D7"/>
    <w:rsid w:val="2C4E7942"/>
    <w:rsid w:val="2C6B7B8F"/>
    <w:rsid w:val="2EBA2574"/>
    <w:rsid w:val="30453E2B"/>
    <w:rsid w:val="31DD0906"/>
    <w:rsid w:val="33853D54"/>
    <w:rsid w:val="34EE4AB6"/>
    <w:rsid w:val="37980E89"/>
    <w:rsid w:val="3BC41577"/>
    <w:rsid w:val="3C2B4409"/>
    <w:rsid w:val="3C5E0246"/>
    <w:rsid w:val="3D2D153C"/>
    <w:rsid w:val="3E7A65FF"/>
    <w:rsid w:val="3EC579CF"/>
    <w:rsid w:val="407E2AA7"/>
    <w:rsid w:val="426113AB"/>
    <w:rsid w:val="45ED1595"/>
    <w:rsid w:val="47641BD7"/>
    <w:rsid w:val="487B1097"/>
    <w:rsid w:val="4B496DF1"/>
    <w:rsid w:val="4C1B17EE"/>
    <w:rsid w:val="4C495E30"/>
    <w:rsid w:val="52573F71"/>
    <w:rsid w:val="52C00EDE"/>
    <w:rsid w:val="54BA447E"/>
    <w:rsid w:val="551C27A7"/>
    <w:rsid w:val="5552558E"/>
    <w:rsid w:val="55D0147D"/>
    <w:rsid w:val="57333FC2"/>
    <w:rsid w:val="574F1D5A"/>
    <w:rsid w:val="577606F8"/>
    <w:rsid w:val="583E450D"/>
    <w:rsid w:val="58E9778D"/>
    <w:rsid w:val="5A9E010A"/>
    <w:rsid w:val="5F533C7C"/>
    <w:rsid w:val="6094441D"/>
    <w:rsid w:val="63D24A17"/>
    <w:rsid w:val="644229D4"/>
    <w:rsid w:val="65A453E7"/>
    <w:rsid w:val="67CE45C5"/>
    <w:rsid w:val="6B4F5D3F"/>
    <w:rsid w:val="6BA11928"/>
    <w:rsid w:val="715875F4"/>
    <w:rsid w:val="739F2F55"/>
    <w:rsid w:val="74291D88"/>
    <w:rsid w:val="74C54F54"/>
    <w:rsid w:val="75432D04"/>
    <w:rsid w:val="76364A67"/>
    <w:rsid w:val="7805518F"/>
    <w:rsid w:val="7BAD4584"/>
    <w:rsid w:val="7C082A21"/>
    <w:rsid w:val="7F49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rPr>
      <w:sz w:val="24"/>
    </w:rPr>
  </w:style>
  <w:style w:type="paragraph" w:styleId="4">
    <w:name w:val="Body Text First Indent"/>
    <w:basedOn w:val="2"/>
    <w:qFormat/>
    <w:uiPriority w:val="0"/>
    <w:pPr>
      <w:tabs>
        <w:tab w:val="left" w:pos="2400"/>
      </w:tabs>
      <w:adjustRightInd w:val="0"/>
      <w:spacing w:after="0"/>
      <w:ind w:firstLine="420" w:firstLineChars="200"/>
      <w:textAlignment w:val="baseline"/>
    </w:pPr>
    <w:rPr>
      <w:kern w:val="0"/>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i\Desktop\&#24037;&#20316;&#3180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i\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550106818761"/>
          <c:y val="0.0530092592592593"/>
          <c:w val="0.849222222222222"/>
          <c:h val="0.699398148148148"/>
        </c:manualLayout>
      </c:layout>
      <c:barChart>
        <c:barDir val="col"/>
        <c:grouping val="clustered"/>
        <c:varyColors val="0"/>
        <c:ser>
          <c:idx val="0"/>
          <c:order val="0"/>
          <c:spPr>
            <a:solidFill>
              <a:schemeClr val="accent1"/>
            </a:solidFill>
            <a:ln w="19050" cmpd="sng">
              <a:solidFill>
                <a:schemeClr val="bg2"/>
              </a:solidFill>
              <a:prstDash val="solid"/>
            </a:ln>
            <a:effectLst/>
            <a:sp3d contourW="19050"/>
          </c:spPr>
          <c:invertIfNegative val="0"/>
          <c:dLbls>
            <c:delete val="1"/>
          </c:dLbls>
          <c:cat>
            <c:numRef>
              <c:extLst>
                <c:ext xmlns:c15="http://schemas.microsoft.com/office/drawing/2012/chart" uri="{02D57815-91ED-43cb-92C2-25804820EDAC}">
                  <c15:fullRef>
                    <c15:sqref>[工作簿1.xlsx]Sheet1!$F$9:$M$9</c15:sqref>
                  </c15:fullRef>
                </c:ext>
              </c:extLst>
              <c:f>[工作簿1]Sheet1!$F$9:$L$9</c:f>
              <c:numCache>
                <c:formatCode>General</c:formatCode>
                <c:ptCount val="7"/>
                <c:pt idx="0">
                  <c:v>206</c:v>
                </c:pt>
                <c:pt idx="1">
                  <c:v>217</c:v>
                </c:pt>
                <c:pt idx="2">
                  <c:v>228</c:v>
                </c:pt>
                <c:pt idx="3">
                  <c:v>239</c:v>
                </c:pt>
                <c:pt idx="4">
                  <c:v>250</c:v>
                </c:pt>
                <c:pt idx="5">
                  <c:v>261</c:v>
                </c:pt>
                <c:pt idx="6">
                  <c:v>272</c:v>
                </c:pt>
              </c:numCache>
            </c:numRef>
          </c:cat>
          <c:val>
            <c:numRef>
              <c:extLst>
                <c:ext xmlns:c15="http://schemas.microsoft.com/office/drawing/2012/chart" uri="{02D57815-91ED-43cb-92C2-25804820EDAC}">
                  <c15:fullRef>
                    <c15:sqref>Sheet1!$F$10:$M$10</c15:sqref>
                  </c15:fullRef>
                </c:ext>
              </c:extLst>
              <c:f>[工作簿1]Sheet1!$F$10:$L$10</c:f>
              <c:numCache>
                <c:formatCode>General</c:formatCode>
                <c:ptCount val="7"/>
                <c:pt idx="0">
                  <c:v>0</c:v>
                </c:pt>
                <c:pt idx="1">
                  <c:v>3</c:v>
                </c:pt>
                <c:pt idx="2">
                  <c:v>8</c:v>
                </c:pt>
                <c:pt idx="3">
                  <c:v>56</c:v>
                </c:pt>
                <c:pt idx="4">
                  <c:v>18</c:v>
                </c:pt>
                <c:pt idx="5">
                  <c:v>12</c:v>
                </c:pt>
                <c:pt idx="6">
                  <c:v>3</c:v>
                </c:pt>
              </c:numCache>
            </c:numRef>
          </c:val>
        </c:ser>
        <c:dLbls>
          <c:showLegendKey val="0"/>
          <c:showVal val="0"/>
          <c:showCatName val="0"/>
          <c:showSerName val="0"/>
          <c:showPercent val="0"/>
          <c:showBubbleSize val="0"/>
        </c:dLbls>
        <c:gapWidth val="0"/>
        <c:overlap val="0"/>
        <c:axId val="788811459"/>
        <c:axId val="454740070"/>
      </c:barChart>
      <c:catAx>
        <c:axId val="788811459"/>
        <c:scaling>
          <c:orientation val="minMax"/>
        </c:scaling>
        <c:delete val="0"/>
        <c:axPos val="b"/>
        <c:title>
          <c:tx>
            <c:rich>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t>TCd1</a:t>
                </a:r>
                <a:r>
                  <a:rPr lang="en-US" altLang="zh-CN"/>
                  <a:t>  O60 </a:t>
                </a:r>
                <a:r>
                  <a:rPr altLang="en-US"/>
                  <a:t>＞</a:t>
                </a:r>
                <a:r>
                  <a:rPr lang="en-US" altLang="zh-CN"/>
                  <a:t>8-80mm</a:t>
                </a:r>
                <a:endParaRPr lang="en-US" altLang="zh-CN"/>
              </a:p>
              <a:p>
                <a:pPr>
                  <a:defRPr lang="zh-CN" sz="1000" b="0" i="0" u="none" strike="noStrike" kern="1200" baseline="0">
                    <a:solidFill>
                      <a:schemeClr val="tx1">
                        <a:lumMod val="65000"/>
                        <a:lumOff val="35000"/>
                      </a:schemeClr>
                    </a:solidFill>
                    <a:latin typeface="+mn-lt"/>
                    <a:ea typeface="+mn-ea"/>
                    <a:cs typeface="+mn-cs"/>
                  </a:defRPr>
                </a:pPr>
                <a:r>
                  <a:rPr altLang="en-US"/>
                  <a:t>抗拉强度（</a:t>
                </a:r>
                <a:r>
                  <a:rPr lang="en-US" altLang="zh-CN"/>
                  <a:t>MPa</a:t>
                </a:r>
                <a:r>
                  <a:rPr altLang="en-US"/>
                  <a:t>）</a:t>
                </a:r>
                <a:endParaRPr altLang="en-US"/>
              </a:p>
            </c:rich>
          </c:tx>
          <c:layout>
            <c:manualLayout>
              <c:xMode val="edge"/>
              <c:yMode val="edge"/>
              <c:x val="0.403027777777778"/>
              <c:y val="0.828009259259259"/>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740070"/>
        <c:crosses val="autoZero"/>
        <c:auto val="1"/>
        <c:lblAlgn val="ctr"/>
        <c:lblOffset val="0"/>
        <c:noMultiLvlLbl val="0"/>
      </c:catAx>
      <c:valAx>
        <c:axId val="454740070"/>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频次（</a:t>
                </a:r>
                <a:r>
                  <a:rPr lang="en-US" altLang="zh-CN"/>
                  <a:t>N</a:t>
                </a:r>
                <a:r>
                  <a:rPr altLang="en-US"/>
                  <a:t>）</a:t>
                </a:r>
                <a:endParaRPr lang="en-US" altLang="zh-CN"/>
              </a:p>
            </c:rich>
          </c:tx>
          <c:layout/>
          <c:overlay val="0"/>
          <c:spPr>
            <a:noFill/>
            <a:ln>
              <a:noFill/>
            </a:ln>
            <a:effectLst/>
          </c:spPr>
        </c:title>
        <c:numFmt formatCode="#,##0_);[Red]\(#,##0\)" sourceLinked="0"/>
        <c:majorTickMark val="cross"/>
        <c:minorTickMark val="none"/>
        <c:tickLblPos val="nextTo"/>
        <c:spPr>
          <a:noFill/>
          <a:ln w="0">
            <a:solidFill>
              <a:schemeClr val="bg2"/>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8811459"/>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[工作簿1.xlsx]Sheet1!$D$53</c:f>
              <c:strCache>
                <c:ptCount val="1"/>
                <c:pt idx="0">
                  <c:v>频次</c:v>
                </c:pt>
              </c:strCache>
            </c:strRef>
          </c:tx>
          <c:spPr>
            <a:solidFill>
              <a:schemeClr val="accent1"/>
            </a:solidFill>
            <a:ln w="19050" cmpd="sng">
              <a:solidFill>
                <a:schemeClr val="bg2"/>
              </a:solidFill>
              <a:prstDash val="solid"/>
            </a:ln>
            <a:effectLst/>
            <a:sp3d contourW="19050"/>
          </c:spPr>
          <c:invertIfNegative val="0"/>
          <c:dLbls>
            <c:delete val="1"/>
          </c:dLbls>
          <c:cat>
            <c:numRef>
              <c:f>[工作簿1]Sheet1!$E$52:$K$52</c:f>
              <c:numCache>
                <c:formatCode>General</c:formatCode>
                <c:ptCount val="7"/>
                <c:pt idx="0">
                  <c:v>41</c:v>
                </c:pt>
                <c:pt idx="1">
                  <c:v>46</c:v>
                </c:pt>
                <c:pt idx="2">
                  <c:v>51</c:v>
                </c:pt>
                <c:pt idx="3">
                  <c:v>56</c:v>
                </c:pt>
                <c:pt idx="4">
                  <c:v>61</c:v>
                </c:pt>
                <c:pt idx="5">
                  <c:v>66</c:v>
                </c:pt>
                <c:pt idx="6">
                  <c:v>71</c:v>
                </c:pt>
              </c:numCache>
            </c:numRef>
          </c:cat>
          <c:val>
            <c:numRef>
              <c:f>[工作簿1]Sheet1!$E$53:$K$53</c:f>
              <c:numCache>
                <c:formatCode>General</c:formatCode>
                <c:ptCount val="7"/>
                <c:pt idx="0">
                  <c:v>0</c:v>
                </c:pt>
                <c:pt idx="1">
                  <c:v>4</c:v>
                </c:pt>
                <c:pt idx="2">
                  <c:v>9</c:v>
                </c:pt>
                <c:pt idx="3">
                  <c:v>59</c:v>
                </c:pt>
                <c:pt idx="4">
                  <c:v>14</c:v>
                </c:pt>
                <c:pt idx="5">
                  <c:v>10</c:v>
                </c:pt>
                <c:pt idx="6">
                  <c:v>4</c:v>
                </c:pt>
              </c:numCache>
            </c:numRef>
          </c:val>
        </c:ser>
        <c:dLbls>
          <c:showLegendKey val="0"/>
          <c:showVal val="0"/>
          <c:showCatName val="0"/>
          <c:showSerName val="0"/>
          <c:showPercent val="0"/>
          <c:showBubbleSize val="0"/>
        </c:dLbls>
        <c:gapWidth val="0"/>
        <c:overlap val="-27"/>
        <c:axId val="938541859"/>
        <c:axId val="780692595"/>
      </c:barChart>
      <c:catAx>
        <c:axId val="938541859"/>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TCd1  O60 ＞8-80mm断后伸长率（%）</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0692595"/>
        <c:crosses val="autoZero"/>
        <c:auto val="1"/>
        <c:lblAlgn val="ctr"/>
        <c:lblOffset val="100"/>
        <c:noMultiLvlLbl val="0"/>
      </c:catAx>
      <c:valAx>
        <c:axId val="780692595"/>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频次（</a:t>
                </a:r>
                <a:r>
                  <a:rPr lang="en-US" altLang="zh-CN"/>
                  <a:t>N</a:t>
                </a:r>
                <a:r>
                  <a:rPr altLang="en-US"/>
                  <a:t>）</a:t>
                </a:r>
                <a:endParaRPr lang="en-US" altLang="zh-CN"/>
              </a:p>
            </c:rich>
          </c:tx>
          <c:layout/>
          <c:overlay val="0"/>
          <c:spPr>
            <a:noFill/>
            <a:ln>
              <a:noFill/>
            </a:ln>
            <a:effectLst/>
          </c:spPr>
        </c:title>
        <c:numFmt formatCode="General" sourceLinked="1"/>
        <c:majorTickMark val="cross"/>
        <c:minorTickMark val="none"/>
        <c:tickLblPos val="nextTo"/>
        <c:spPr>
          <a:noFill/>
          <a:ln>
            <a:solidFill>
              <a:schemeClr val="bg2"/>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5418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4171</Words>
  <Characters>4640</Characters>
  <Lines>0</Lines>
  <Paragraphs>0</Paragraphs>
  <TotalTime>11</TotalTime>
  <ScaleCrop>false</ScaleCrop>
  <LinksUpToDate>false</LinksUpToDate>
  <CharactersWithSpaces>4785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2021-03-26T05:07:00Z</dcterms:created>
  <dc:creator>Administrator</dc:creator>
  <cp:lastModifiedBy>i</cp:lastModifiedBy>
  <cp:lastPrinted>2022-11-09T01:44:20Z</cp:lastPrinted>
  <dcterms:modified xsi:type="dcterms:W3CDTF">2022-11-09T01:45:51Z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2621D2C6CD3E4EBEBA4AA9B5D0BC5222</vt:lpwstr>
  </property>
</Properties>
</file>