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3614" w:firstLineChars="1000"/>
        <w:rPr>
          <w:rFonts w:eastAsia="黑体"/>
          <w:b/>
          <w:bCs/>
          <w:sz w:val="36"/>
          <w:szCs w:val="36"/>
        </w:rPr>
      </w:pPr>
      <w:r>
        <w:rPr>
          <w:rFonts w:eastAsia="黑体"/>
          <w:b/>
          <w:bCs/>
          <w:sz w:val="36"/>
          <w:szCs w:val="36"/>
        </w:rPr>
        <w:t>国</w:t>
      </w:r>
      <w:r>
        <w:rPr>
          <w:rFonts w:hint="eastAsia" w:eastAsia="黑体"/>
          <w:b/>
          <w:bCs/>
          <w:sz w:val="36"/>
          <w:szCs w:val="36"/>
        </w:rPr>
        <w:t xml:space="preserve"> </w:t>
      </w:r>
      <w:r>
        <w:rPr>
          <w:rFonts w:eastAsia="黑体"/>
          <w:b/>
          <w:bCs/>
          <w:sz w:val="36"/>
          <w:szCs w:val="36"/>
        </w:rPr>
        <w:t>家</w:t>
      </w:r>
      <w:r>
        <w:rPr>
          <w:rFonts w:hint="eastAsia" w:eastAsia="黑体"/>
          <w:b/>
          <w:bCs/>
          <w:sz w:val="36"/>
          <w:szCs w:val="36"/>
        </w:rPr>
        <w:t xml:space="preserve"> </w:t>
      </w:r>
      <w:r>
        <w:rPr>
          <w:rFonts w:eastAsia="黑体"/>
          <w:b/>
          <w:bCs/>
          <w:sz w:val="36"/>
          <w:szCs w:val="36"/>
        </w:rPr>
        <w:t>标</w:t>
      </w:r>
      <w:r>
        <w:rPr>
          <w:rFonts w:hint="eastAsia" w:eastAsia="黑体"/>
          <w:b/>
          <w:bCs/>
          <w:sz w:val="36"/>
          <w:szCs w:val="36"/>
        </w:rPr>
        <w:t xml:space="preserve"> </w:t>
      </w:r>
      <w:r>
        <w:rPr>
          <w:rFonts w:eastAsia="黑体"/>
          <w:b/>
          <w:bCs/>
          <w:sz w:val="36"/>
          <w:szCs w:val="36"/>
        </w:rPr>
        <w:t>准</w:t>
      </w:r>
    </w:p>
    <w:p>
      <w:pPr>
        <w:widowControl/>
        <w:jc w:val="center"/>
        <w:rPr>
          <w:rFonts w:eastAsia="黑体"/>
          <w:b/>
          <w:bCs/>
          <w:sz w:val="36"/>
          <w:szCs w:val="36"/>
        </w:rPr>
      </w:pPr>
      <w:r>
        <w:rPr>
          <w:rFonts w:eastAsia="黑体"/>
          <w:b/>
          <w:bCs/>
          <w:sz w:val="36"/>
          <w:szCs w:val="36"/>
        </w:rPr>
        <w:t>《</w:t>
      </w:r>
      <w:r>
        <w:rPr>
          <w:rFonts w:hint="eastAsia" w:eastAsia="黑体"/>
          <w:b/>
          <w:bCs/>
          <w:sz w:val="36"/>
          <w:szCs w:val="36"/>
        </w:rPr>
        <w:t>钨</w:t>
      </w:r>
      <w:r>
        <w:rPr>
          <w:rFonts w:eastAsia="黑体"/>
          <w:b/>
          <w:bCs/>
          <w:sz w:val="36"/>
          <w:szCs w:val="36"/>
        </w:rPr>
        <w:t>精矿化学分析方法</w:t>
      </w:r>
      <w:r>
        <w:rPr>
          <w:rFonts w:hint="eastAsia" w:eastAsia="黑体"/>
          <w:b/>
          <w:bCs/>
          <w:sz w:val="36"/>
          <w:szCs w:val="36"/>
        </w:rPr>
        <w:t xml:space="preserve"> 第</w:t>
      </w:r>
      <w:r>
        <w:rPr>
          <w:rFonts w:eastAsia="黑体"/>
          <w:b/>
          <w:bCs/>
          <w:sz w:val="36"/>
          <w:szCs w:val="36"/>
        </w:rPr>
        <w:t>1</w:t>
      </w:r>
      <w:r>
        <w:rPr>
          <w:rFonts w:hint="eastAsia" w:eastAsia="黑体"/>
          <w:b/>
          <w:bCs/>
          <w:sz w:val="36"/>
          <w:szCs w:val="36"/>
        </w:rPr>
        <w:t>0部分：铅含量</w:t>
      </w:r>
      <w:r>
        <w:rPr>
          <w:rFonts w:eastAsia="黑体"/>
          <w:b/>
          <w:bCs/>
          <w:sz w:val="36"/>
          <w:szCs w:val="36"/>
        </w:rPr>
        <w:t>的测定</w:t>
      </w:r>
      <w:r>
        <w:rPr>
          <w:rFonts w:hint="eastAsia" w:eastAsia="黑体"/>
          <w:b/>
          <w:bCs/>
          <w:sz w:val="36"/>
          <w:szCs w:val="36"/>
        </w:rPr>
        <w:t xml:space="preserve"> 氢化物发生原子荧光光谱法和火焰原子吸收光谱法</w:t>
      </w:r>
      <w:r>
        <w:rPr>
          <w:rFonts w:eastAsia="黑体"/>
          <w:b/>
          <w:bCs/>
          <w:sz w:val="36"/>
          <w:szCs w:val="36"/>
        </w:rPr>
        <w:t>》</w:t>
      </w:r>
    </w:p>
    <w:p>
      <w:pPr>
        <w:widowControl/>
        <w:jc w:val="center"/>
        <w:rPr>
          <w:rFonts w:eastAsia="黑体"/>
          <w:b/>
          <w:bCs/>
          <w:sz w:val="32"/>
          <w:szCs w:val="32"/>
        </w:rPr>
      </w:pPr>
    </w:p>
    <w:p>
      <w:pPr>
        <w:widowControl/>
        <w:jc w:val="center"/>
        <w:rPr>
          <w:rFonts w:eastAsia="黑体"/>
          <w:b/>
          <w:bCs/>
          <w:sz w:val="32"/>
          <w:szCs w:val="32"/>
        </w:rPr>
      </w:pPr>
    </w:p>
    <w:p>
      <w:pPr>
        <w:widowControl/>
        <w:jc w:val="center"/>
        <w:rPr>
          <w:rFonts w:eastAsia="黑体"/>
          <w:b/>
          <w:bCs/>
          <w:sz w:val="32"/>
          <w:szCs w:val="32"/>
        </w:rPr>
      </w:pPr>
    </w:p>
    <w:p>
      <w:pPr>
        <w:widowControl/>
        <w:jc w:val="center"/>
        <w:rPr>
          <w:rFonts w:eastAsia="黑体"/>
          <w:b/>
          <w:bCs/>
          <w:sz w:val="32"/>
          <w:szCs w:val="32"/>
        </w:rPr>
      </w:pPr>
    </w:p>
    <w:p>
      <w:pPr>
        <w:widowControl/>
        <w:jc w:val="center"/>
        <w:rPr>
          <w:rFonts w:eastAsia="黑体"/>
          <w:b/>
          <w:bCs/>
          <w:sz w:val="36"/>
          <w:szCs w:val="36"/>
        </w:rPr>
      </w:pPr>
      <w:r>
        <w:rPr>
          <w:rFonts w:eastAsia="黑体"/>
          <w:b/>
          <w:bCs/>
          <w:sz w:val="36"/>
          <w:szCs w:val="36"/>
        </w:rPr>
        <w:t>编</w:t>
      </w:r>
    </w:p>
    <w:p>
      <w:pPr>
        <w:widowControl/>
        <w:jc w:val="center"/>
        <w:rPr>
          <w:rFonts w:eastAsia="黑体"/>
          <w:b/>
          <w:bCs/>
          <w:sz w:val="36"/>
          <w:szCs w:val="36"/>
        </w:rPr>
      </w:pPr>
      <w:r>
        <w:rPr>
          <w:rFonts w:eastAsia="黑体"/>
          <w:b/>
          <w:bCs/>
          <w:sz w:val="36"/>
          <w:szCs w:val="36"/>
        </w:rPr>
        <w:t>制</w:t>
      </w:r>
    </w:p>
    <w:p>
      <w:pPr>
        <w:widowControl/>
        <w:jc w:val="center"/>
        <w:rPr>
          <w:rFonts w:eastAsia="黑体"/>
          <w:b/>
          <w:bCs/>
          <w:sz w:val="36"/>
          <w:szCs w:val="36"/>
        </w:rPr>
      </w:pPr>
      <w:r>
        <w:rPr>
          <w:rFonts w:eastAsia="黑体"/>
          <w:b/>
          <w:bCs/>
          <w:sz w:val="36"/>
          <w:szCs w:val="36"/>
        </w:rPr>
        <w:t>说</w:t>
      </w:r>
    </w:p>
    <w:p>
      <w:pPr>
        <w:widowControl/>
        <w:jc w:val="center"/>
        <w:rPr>
          <w:rFonts w:eastAsia="黑体"/>
          <w:b/>
          <w:bCs/>
          <w:sz w:val="36"/>
          <w:szCs w:val="36"/>
        </w:rPr>
      </w:pPr>
      <w:r>
        <w:rPr>
          <w:rFonts w:eastAsia="黑体"/>
          <w:b/>
          <w:bCs/>
          <w:sz w:val="36"/>
          <w:szCs w:val="36"/>
        </w:rPr>
        <w:t>明</w:t>
      </w:r>
    </w:p>
    <w:p>
      <w:pPr>
        <w:widowControl/>
        <w:jc w:val="center"/>
        <w:rPr>
          <w:rFonts w:eastAsia="黑体"/>
          <w:b/>
          <w:bCs/>
          <w:sz w:val="36"/>
          <w:szCs w:val="36"/>
        </w:rPr>
      </w:pPr>
    </w:p>
    <w:p>
      <w:pPr>
        <w:widowControl/>
        <w:jc w:val="center"/>
        <w:rPr>
          <w:rFonts w:eastAsia="黑体"/>
          <w:b/>
          <w:bCs/>
          <w:sz w:val="36"/>
          <w:szCs w:val="36"/>
        </w:rPr>
      </w:pPr>
      <w:r>
        <w:rPr>
          <w:rFonts w:hint="eastAsia" w:eastAsia="黑体"/>
          <w:b/>
          <w:bCs/>
          <w:sz w:val="36"/>
          <w:szCs w:val="36"/>
        </w:rPr>
        <w:t xml:space="preserve">     </w:t>
      </w:r>
    </w:p>
    <w:p>
      <w:pPr>
        <w:widowControl/>
        <w:jc w:val="center"/>
        <w:rPr>
          <w:rFonts w:eastAsia="黑体"/>
          <w:b/>
          <w:bCs/>
          <w:sz w:val="32"/>
          <w:szCs w:val="32"/>
        </w:rPr>
      </w:pPr>
    </w:p>
    <w:p>
      <w:pPr>
        <w:widowControl/>
        <w:jc w:val="center"/>
        <w:rPr>
          <w:rFonts w:eastAsia="黑体"/>
          <w:b/>
          <w:bCs/>
          <w:sz w:val="32"/>
          <w:szCs w:val="32"/>
        </w:rPr>
      </w:pPr>
    </w:p>
    <w:p>
      <w:pPr>
        <w:widowControl/>
        <w:jc w:val="center"/>
        <w:rPr>
          <w:rFonts w:eastAsia="黑体"/>
          <w:b/>
          <w:bCs/>
          <w:sz w:val="32"/>
          <w:szCs w:val="32"/>
        </w:rPr>
      </w:pPr>
      <w:r>
        <w:rPr>
          <w:rFonts w:hint="eastAsia" w:eastAsia="黑体"/>
          <w:b/>
          <w:bCs/>
          <w:sz w:val="32"/>
          <w:szCs w:val="32"/>
        </w:rPr>
        <w:t>（送审稿）</w:t>
      </w:r>
    </w:p>
    <w:p>
      <w:pPr>
        <w:widowControl/>
        <w:jc w:val="center"/>
        <w:rPr>
          <w:rFonts w:eastAsia="黑体"/>
          <w:b/>
          <w:bCs/>
          <w:sz w:val="32"/>
          <w:szCs w:val="32"/>
        </w:rPr>
      </w:pPr>
    </w:p>
    <w:p>
      <w:pPr>
        <w:widowControl/>
        <w:jc w:val="center"/>
        <w:rPr>
          <w:rFonts w:eastAsia="黑体"/>
          <w:b/>
          <w:bCs/>
          <w:sz w:val="36"/>
          <w:szCs w:val="36"/>
        </w:rPr>
      </w:pPr>
    </w:p>
    <w:p>
      <w:pPr>
        <w:widowControl/>
        <w:jc w:val="center"/>
        <w:rPr>
          <w:rFonts w:eastAsia="黑体"/>
          <w:b/>
          <w:bCs/>
          <w:sz w:val="36"/>
          <w:szCs w:val="36"/>
        </w:rPr>
      </w:pPr>
    </w:p>
    <w:p>
      <w:pPr>
        <w:widowControl/>
        <w:jc w:val="center"/>
        <w:rPr>
          <w:rFonts w:eastAsia="黑体"/>
          <w:b/>
          <w:bCs/>
          <w:sz w:val="36"/>
          <w:szCs w:val="36"/>
        </w:rPr>
      </w:pPr>
    </w:p>
    <w:p>
      <w:pPr>
        <w:widowControl/>
        <w:jc w:val="center"/>
        <w:rPr>
          <w:rFonts w:eastAsia="黑体"/>
          <w:b/>
          <w:bCs/>
          <w:sz w:val="28"/>
          <w:szCs w:val="32"/>
        </w:rPr>
      </w:pPr>
      <w:r>
        <w:rPr>
          <w:rFonts w:eastAsia="黑体"/>
          <w:b/>
          <w:bCs/>
          <w:sz w:val="28"/>
          <w:szCs w:val="32"/>
        </w:rPr>
        <w:t>赣州有色冶金研究所有限公司</w:t>
      </w:r>
    </w:p>
    <w:p>
      <w:pPr>
        <w:jc w:val="center"/>
        <w:rPr>
          <w:rFonts w:hint="eastAsia" w:eastAsia="黑体"/>
          <w:b/>
          <w:bCs/>
          <w:sz w:val="28"/>
          <w:szCs w:val="32"/>
        </w:rPr>
      </w:pPr>
      <w:r>
        <w:rPr>
          <w:rFonts w:hint="eastAsia" w:eastAsia="黑体"/>
          <w:b/>
          <w:bCs/>
          <w:sz w:val="28"/>
          <w:szCs w:val="32"/>
        </w:rPr>
        <w:t>二〇二二年</w:t>
      </w:r>
      <w:r>
        <w:rPr>
          <w:rFonts w:hint="eastAsia" w:eastAsia="黑体"/>
          <w:b/>
          <w:bCs/>
          <w:sz w:val="28"/>
          <w:szCs w:val="32"/>
          <w:lang w:val="en-US" w:eastAsia="zh-CN"/>
        </w:rPr>
        <w:t>十</w:t>
      </w:r>
      <w:r>
        <w:rPr>
          <w:rFonts w:hint="eastAsia" w:eastAsia="黑体"/>
          <w:b/>
          <w:bCs/>
          <w:sz w:val="28"/>
          <w:szCs w:val="32"/>
        </w:rPr>
        <w:t>月</w:t>
      </w:r>
    </w:p>
    <w:p>
      <w:pPr>
        <w:widowControl/>
        <w:jc w:val="center"/>
        <w:rPr>
          <w:rFonts w:eastAsia="黑体"/>
          <w:b/>
          <w:bCs/>
          <w:sz w:val="36"/>
          <w:szCs w:val="36"/>
        </w:rPr>
      </w:pPr>
    </w:p>
    <w:p>
      <w:pPr>
        <w:widowControl/>
        <w:jc w:val="left"/>
        <w:rPr>
          <w:rFonts w:eastAsia="黑体"/>
          <w:b/>
          <w:bCs/>
          <w:sz w:val="32"/>
          <w:szCs w:val="32"/>
        </w:rPr>
      </w:pPr>
      <w:r>
        <w:rPr>
          <w:rFonts w:eastAsia="黑体"/>
          <w:b/>
          <w:bCs/>
          <w:sz w:val="32"/>
          <w:szCs w:val="32"/>
        </w:rPr>
        <w:br w:type="page"/>
      </w:r>
    </w:p>
    <w:p>
      <w:pPr>
        <w:jc w:val="center"/>
        <w:rPr>
          <w:rFonts w:eastAsia="黑体"/>
          <w:b/>
          <w:bCs/>
          <w:sz w:val="32"/>
          <w:szCs w:val="32"/>
        </w:rPr>
      </w:pPr>
      <w:r>
        <w:rPr>
          <w:rFonts w:eastAsia="黑体"/>
          <w:b/>
          <w:bCs/>
          <w:sz w:val="32"/>
          <w:szCs w:val="32"/>
        </w:rPr>
        <w:t>国家标准《</w:t>
      </w:r>
      <w:r>
        <w:rPr>
          <w:rFonts w:hint="eastAsia" w:eastAsia="黑体"/>
          <w:b/>
          <w:bCs/>
          <w:sz w:val="32"/>
          <w:szCs w:val="32"/>
        </w:rPr>
        <w:t xml:space="preserve">钨精矿化学分析方法 第10部分：铅含量的测定 氢化物发生原子荧光光谱法和火焰原子吸收光谱法 </w:t>
      </w:r>
      <w:r>
        <w:rPr>
          <w:rFonts w:eastAsia="黑体"/>
          <w:b/>
          <w:bCs/>
          <w:sz w:val="32"/>
          <w:szCs w:val="32"/>
        </w:rPr>
        <w:t>》</w:t>
      </w:r>
      <w:r>
        <w:rPr>
          <w:rFonts w:hint="eastAsia" w:eastAsia="黑体"/>
          <w:b/>
          <w:bCs/>
          <w:sz w:val="32"/>
          <w:szCs w:val="32"/>
        </w:rPr>
        <w:t xml:space="preserve">  </w:t>
      </w:r>
    </w:p>
    <w:p>
      <w:pPr>
        <w:jc w:val="center"/>
        <w:rPr>
          <w:rFonts w:eastAsia="黑体"/>
          <w:b/>
          <w:bCs/>
          <w:sz w:val="32"/>
          <w:szCs w:val="32"/>
        </w:rPr>
      </w:pPr>
      <w:r>
        <w:rPr>
          <w:rFonts w:hint="eastAsia" w:eastAsia="黑体"/>
          <w:b/>
          <w:bCs/>
          <w:sz w:val="32"/>
          <w:szCs w:val="32"/>
        </w:rPr>
        <w:t>（</w:t>
      </w:r>
      <w:r>
        <w:rPr>
          <w:rFonts w:hint="eastAsia" w:eastAsia="黑体"/>
          <w:b/>
          <w:bCs/>
          <w:sz w:val="32"/>
          <w:szCs w:val="32"/>
          <w:lang w:val="en-US" w:eastAsia="zh-CN"/>
        </w:rPr>
        <w:t>送</w:t>
      </w:r>
      <w:r>
        <w:rPr>
          <w:rFonts w:hint="eastAsia" w:eastAsia="黑体"/>
          <w:b/>
          <w:bCs/>
          <w:sz w:val="32"/>
          <w:szCs w:val="32"/>
        </w:rPr>
        <w:t>审稿）</w:t>
      </w:r>
      <w:r>
        <w:rPr>
          <w:rFonts w:eastAsia="黑体"/>
          <w:b/>
          <w:bCs/>
          <w:sz w:val="32"/>
          <w:szCs w:val="32"/>
        </w:rPr>
        <w:t>编制说明</w:t>
      </w:r>
    </w:p>
    <w:p>
      <w:pPr>
        <w:adjustRightInd w:val="0"/>
        <w:snapToGrid w:val="0"/>
        <w:spacing w:line="360" w:lineRule="auto"/>
        <w:rPr>
          <w:b/>
          <w:szCs w:val="21"/>
        </w:rPr>
      </w:pPr>
      <w:r>
        <w:rPr>
          <w:rFonts w:hint="eastAsia"/>
          <w:b/>
          <w:szCs w:val="21"/>
        </w:rPr>
        <w:t>1、工作简况</w:t>
      </w:r>
    </w:p>
    <w:p>
      <w:pPr>
        <w:adjustRightInd w:val="0"/>
        <w:snapToGrid w:val="0"/>
        <w:spacing w:line="360" w:lineRule="auto"/>
        <w:rPr>
          <w:b/>
          <w:szCs w:val="21"/>
        </w:rPr>
      </w:pPr>
      <w:r>
        <w:rPr>
          <w:rFonts w:hint="eastAsia"/>
          <w:b/>
          <w:szCs w:val="21"/>
        </w:rPr>
        <w:t>1.1任务来源</w:t>
      </w:r>
    </w:p>
    <w:p>
      <w:pPr>
        <w:adjustRightInd w:val="0"/>
        <w:snapToGrid w:val="0"/>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根据2021年7月21日国家标准化管理委员会《关于下达2021年推荐性国家标准修订计划及相关外文版计划的通知》（国标委发【2021】19号）的要求，国家标准《第10部分：铅含量的测定 氢化物发生原子荧光光谱法和火焰原子吸收光谱法》修订项目由全国有色金属标准化技术委员会归口，项目计划编号：20211906-T-610，由赣州有色冶金研究所（2021年更名为赣州有色冶金研究所有限公司）负责起草，项目周期18个月。</w:t>
      </w:r>
    </w:p>
    <w:p>
      <w:pPr>
        <w:adjustRightInd w:val="0"/>
        <w:snapToGrid w:val="0"/>
        <w:spacing w:line="360" w:lineRule="auto"/>
        <w:ind w:firstLine="420" w:firstLineChars="20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表1</w:t>
      </w:r>
      <w:r>
        <w:rPr>
          <w:rFonts w:hint="eastAsia"/>
          <w:color w:val="000000" w:themeColor="text1"/>
          <w:szCs w:val="21"/>
          <w14:textFill>
            <w14:solidFill>
              <w14:schemeClr w14:val="tx1"/>
            </w14:solidFill>
          </w14:textFill>
        </w:rPr>
        <w:t>国家标准《钨精矿化学分析方法 第</w:t>
      </w:r>
      <w:r>
        <w:rPr>
          <w:color w:val="000000" w:themeColor="text1"/>
          <w:szCs w:val="21"/>
          <w14:textFill>
            <w14:solidFill>
              <w14:schemeClr w14:val="tx1"/>
            </w14:solidFill>
          </w14:textFill>
        </w:rPr>
        <w:t>10</w:t>
      </w:r>
      <w:r>
        <w:rPr>
          <w:rFonts w:hint="eastAsia"/>
          <w:color w:val="000000" w:themeColor="text1"/>
          <w:szCs w:val="21"/>
          <w14:textFill>
            <w14:solidFill>
              <w14:schemeClr w14:val="tx1"/>
            </w14:solidFill>
          </w14:textFill>
        </w:rPr>
        <w:t>部分：铅含量的测定 氢化物发生原子荧光光谱法和火焰原子吸收光谱法》</w:t>
      </w:r>
      <w:r>
        <w:rPr>
          <w:color w:val="000000" w:themeColor="text1"/>
          <w:szCs w:val="21"/>
          <w14:textFill>
            <w14:solidFill>
              <w14:schemeClr w14:val="tx1"/>
            </w14:solidFill>
          </w14:textFill>
        </w:rPr>
        <w:t>任务落实情况</w:t>
      </w:r>
    </w:p>
    <w:tbl>
      <w:tblPr>
        <w:tblStyle w:val="88"/>
        <w:tblW w:w="824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36"/>
        <w:gridCol w:w="1335"/>
        <w:gridCol w:w="1036"/>
        <w:gridCol w:w="2419"/>
        <w:gridCol w:w="20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9" w:hRule="atLeast"/>
          <w:jc w:val="center"/>
        </w:trPr>
        <w:tc>
          <w:tcPr>
            <w:tcW w:w="1436" w:type="dxa"/>
            <w:tcBorders>
              <w:top w:val="single" w:color="auto" w:sz="12" w:space="0"/>
              <w:left w:val="single" w:color="auto" w:sz="2" w:space="0"/>
              <w:bottom w:val="single" w:color="auto" w:sz="12" w:space="0"/>
              <w:right w:val="single" w:color="auto" w:sz="4" w:space="0"/>
            </w:tcBorders>
            <w:vAlign w:val="center"/>
          </w:tcPr>
          <w:p>
            <w:pPr>
              <w:autoSpaceDE w:val="0"/>
              <w:autoSpaceDN w:val="0"/>
              <w:adjustRightInd w:val="0"/>
              <w:spacing w:line="240" w:lineRule="atLeast"/>
              <w:jc w:val="center"/>
              <w:rPr>
                <w:b/>
                <w:sz w:val="18"/>
                <w:szCs w:val="18"/>
              </w:rPr>
            </w:pPr>
            <w:r>
              <w:rPr>
                <w:b/>
                <w:sz w:val="18"/>
                <w:szCs w:val="18"/>
              </w:rPr>
              <w:t>项目计划编号</w:t>
            </w:r>
          </w:p>
        </w:tc>
        <w:tc>
          <w:tcPr>
            <w:tcW w:w="1335" w:type="dxa"/>
            <w:tcBorders>
              <w:top w:val="single" w:color="auto" w:sz="12" w:space="0"/>
              <w:bottom w:val="single" w:color="auto" w:sz="12" w:space="0"/>
            </w:tcBorders>
            <w:vAlign w:val="center"/>
          </w:tcPr>
          <w:p>
            <w:pPr>
              <w:autoSpaceDE w:val="0"/>
              <w:autoSpaceDN w:val="0"/>
              <w:adjustRightInd w:val="0"/>
              <w:spacing w:line="240" w:lineRule="atLeast"/>
              <w:jc w:val="center"/>
              <w:rPr>
                <w:b/>
                <w:sz w:val="18"/>
                <w:szCs w:val="18"/>
              </w:rPr>
            </w:pPr>
            <w:r>
              <w:rPr>
                <w:b/>
                <w:sz w:val="18"/>
                <w:szCs w:val="18"/>
              </w:rPr>
              <w:t>项目计划名称</w:t>
            </w:r>
          </w:p>
        </w:tc>
        <w:tc>
          <w:tcPr>
            <w:tcW w:w="1036" w:type="dxa"/>
            <w:tcBorders>
              <w:top w:val="single" w:color="auto" w:sz="12" w:space="0"/>
              <w:bottom w:val="single" w:color="auto" w:sz="12" w:space="0"/>
            </w:tcBorders>
            <w:vAlign w:val="center"/>
          </w:tcPr>
          <w:p>
            <w:pPr>
              <w:autoSpaceDE w:val="0"/>
              <w:autoSpaceDN w:val="0"/>
              <w:adjustRightInd w:val="0"/>
              <w:spacing w:line="240" w:lineRule="atLeast"/>
              <w:jc w:val="center"/>
              <w:rPr>
                <w:b/>
                <w:sz w:val="18"/>
                <w:szCs w:val="18"/>
              </w:rPr>
            </w:pPr>
            <w:r>
              <w:rPr>
                <w:b/>
                <w:sz w:val="18"/>
                <w:szCs w:val="18"/>
              </w:rPr>
              <w:t>起草单位</w:t>
            </w:r>
          </w:p>
        </w:tc>
        <w:tc>
          <w:tcPr>
            <w:tcW w:w="2419" w:type="dxa"/>
            <w:tcBorders>
              <w:top w:val="single" w:color="auto" w:sz="12" w:space="0"/>
              <w:bottom w:val="single" w:color="auto" w:sz="12" w:space="0"/>
            </w:tcBorders>
            <w:vAlign w:val="center"/>
          </w:tcPr>
          <w:p>
            <w:pPr>
              <w:autoSpaceDE w:val="0"/>
              <w:autoSpaceDN w:val="0"/>
              <w:adjustRightInd w:val="0"/>
              <w:spacing w:line="240" w:lineRule="atLeast"/>
              <w:jc w:val="center"/>
              <w:rPr>
                <w:b/>
                <w:sz w:val="18"/>
                <w:szCs w:val="18"/>
              </w:rPr>
            </w:pPr>
            <w:r>
              <w:rPr>
                <w:b/>
                <w:sz w:val="18"/>
                <w:szCs w:val="18"/>
              </w:rPr>
              <w:t>第一验证单位</w:t>
            </w:r>
          </w:p>
        </w:tc>
        <w:tc>
          <w:tcPr>
            <w:tcW w:w="2022" w:type="dxa"/>
            <w:tcBorders>
              <w:top w:val="single" w:color="auto" w:sz="12" w:space="0"/>
              <w:bottom w:val="single" w:color="auto" w:sz="12" w:space="0"/>
              <w:right w:val="single" w:color="auto" w:sz="2" w:space="0"/>
            </w:tcBorders>
            <w:vAlign w:val="center"/>
          </w:tcPr>
          <w:p>
            <w:pPr>
              <w:autoSpaceDE w:val="0"/>
              <w:autoSpaceDN w:val="0"/>
              <w:adjustRightInd w:val="0"/>
              <w:spacing w:line="240" w:lineRule="atLeast"/>
              <w:jc w:val="center"/>
              <w:rPr>
                <w:b/>
                <w:sz w:val="18"/>
                <w:szCs w:val="18"/>
              </w:rPr>
            </w:pPr>
            <w:r>
              <w:rPr>
                <w:b/>
                <w:sz w:val="18"/>
                <w:szCs w:val="18"/>
              </w:rPr>
              <w:t>第二验证单位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506" w:hRule="atLeast"/>
          <w:jc w:val="center"/>
        </w:trPr>
        <w:tc>
          <w:tcPr>
            <w:tcW w:w="1436" w:type="dxa"/>
            <w:tcBorders>
              <w:top w:val="single" w:color="auto" w:sz="12" w:space="0"/>
              <w:left w:val="single" w:color="auto" w:sz="6" w:space="0"/>
              <w:right w:val="single" w:color="auto" w:sz="4" w:space="0"/>
            </w:tcBorders>
            <w:vAlign w:val="center"/>
          </w:tcPr>
          <w:p>
            <w:pPr>
              <w:spacing w:line="0" w:lineRule="atLeast"/>
              <w:rPr>
                <w:color w:val="000000" w:themeColor="text1"/>
                <w:szCs w:val="21"/>
                <w14:textFill>
                  <w14:solidFill>
                    <w14:schemeClr w14:val="tx1"/>
                  </w14:solidFill>
                </w14:textFill>
              </w:rPr>
            </w:pPr>
            <w:r>
              <w:rPr>
                <w:color w:val="000000" w:themeColor="text1"/>
                <w:szCs w:val="21"/>
                <w14:textFill>
                  <w14:solidFill>
                    <w14:schemeClr w14:val="tx1"/>
                  </w14:solidFill>
                </w14:textFill>
              </w:rPr>
              <w:t>20211906-T-610</w:t>
            </w:r>
          </w:p>
        </w:tc>
        <w:tc>
          <w:tcPr>
            <w:tcW w:w="1335" w:type="dxa"/>
            <w:tcBorders>
              <w:top w:val="single" w:color="auto" w:sz="12" w:space="0"/>
            </w:tcBorders>
            <w:vAlign w:val="center"/>
          </w:tcPr>
          <w:p>
            <w:pPr>
              <w:spacing w:line="0" w:lineRule="atLeas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钨精矿化学分析方法第10 部分：铅含量的测定氢化物发生原子荧光光谱法和火焰原子吸收光谱法</w:t>
            </w:r>
          </w:p>
        </w:tc>
        <w:tc>
          <w:tcPr>
            <w:tcW w:w="1036" w:type="dxa"/>
            <w:tcBorders>
              <w:top w:val="single" w:color="auto" w:sz="12" w:space="0"/>
            </w:tcBorders>
            <w:vAlign w:val="center"/>
          </w:tcPr>
          <w:p>
            <w:pPr>
              <w:spacing w:line="0" w:lineRule="atLeast"/>
              <w:rPr>
                <w:color w:val="000000" w:themeColor="text1"/>
                <w:szCs w:val="21"/>
                <w14:textFill>
                  <w14:solidFill>
                    <w14:schemeClr w14:val="tx1"/>
                  </w14:solidFill>
                </w14:textFill>
              </w:rPr>
            </w:pPr>
            <w:r>
              <w:rPr>
                <w:color w:val="000000" w:themeColor="text1"/>
                <w:szCs w:val="21"/>
                <w14:textFill>
                  <w14:solidFill>
                    <w14:schemeClr w14:val="tx1"/>
                  </w14:solidFill>
                </w14:textFill>
              </w:rPr>
              <w:t>赣州有色冶金研究所</w:t>
            </w:r>
            <w:r>
              <w:rPr>
                <w:rFonts w:hint="eastAsia"/>
                <w:color w:val="000000" w:themeColor="text1"/>
                <w:szCs w:val="21"/>
                <w14:textFill>
                  <w14:solidFill>
                    <w14:schemeClr w14:val="tx1"/>
                  </w14:solidFill>
                </w14:textFill>
              </w:rPr>
              <w:t>有限公司</w:t>
            </w:r>
          </w:p>
        </w:tc>
        <w:tc>
          <w:tcPr>
            <w:tcW w:w="2419" w:type="dxa"/>
            <w:tcBorders>
              <w:top w:val="single" w:color="auto" w:sz="12" w:space="0"/>
            </w:tcBorders>
            <w:vAlign w:val="center"/>
          </w:tcPr>
          <w:p>
            <w:pPr>
              <w:spacing w:line="40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1.广东省科学院工业分析检测中心</w:t>
            </w:r>
          </w:p>
          <w:p>
            <w:pPr>
              <w:spacing w:before="62" w:beforeLines="20" w:after="62" w:afterLines="2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2.江西省钨与稀土产品质量监督检验中心</w:t>
            </w:r>
          </w:p>
        </w:tc>
        <w:tc>
          <w:tcPr>
            <w:tcW w:w="2022" w:type="dxa"/>
            <w:tcBorders>
              <w:top w:val="single" w:color="auto" w:sz="12" w:space="0"/>
              <w:right w:val="single" w:color="auto" w:sz="6" w:space="0"/>
            </w:tcBorders>
            <w:vAlign w:val="center"/>
          </w:tcPr>
          <w:p>
            <w:pPr>
              <w:widowControl/>
              <w:snapToGri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湖南柿竹园有色金属有限责任公司</w:t>
            </w:r>
          </w:p>
          <w:p>
            <w:pPr>
              <w:widowControl/>
              <w:snapToGri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rFonts w:hint="eastAsia"/>
                <w:color w:val="000000" w:themeColor="text1"/>
                <w:szCs w:val="21"/>
                <w:lang w:val="en-US" w:eastAsia="zh-CN"/>
                <w14:textFill>
                  <w14:solidFill>
                    <w14:schemeClr w14:val="tx1"/>
                  </w14:solidFill>
                </w14:textFill>
              </w:rPr>
              <w:t>紫金矿业集团股份有限公司</w:t>
            </w:r>
          </w:p>
          <w:p>
            <w:pPr>
              <w:widowControl/>
              <w:snapToGri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中国有色桂林矿产地质研究院有限公司</w:t>
            </w:r>
          </w:p>
          <w:p>
            <w:pPr>
              <w:widowControl/>
              <w:snapToGri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r>
              <w:rPr>
                <w:rFonts w:hint="eastAsia"/>
                <w:color w:val="000000" w:themeColor="text1"/>
                <w:szCs w:val="21"/>
                <w14:textFill>
                  <w14:solidFill>
                    <w14:schemeClr w14:val="tx1"/>
                  </w14:solidFill>
                </w14:textFill>
              </w:rPr>
              <w:t>紫金铜业有限公司</w:t>
            </w:r>
          </w:p>
          <w:p>
            <w:pPr>
              <w:widowControl/>
              <w:snapToGri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r>
              <w:rPr>
                <w:rFonts w:hint="eastAsia"/>
                <w:color w:val="000000" w:themeColor="text1"/>
                <w:szCs w:val="21"/>
                <w14:textFill>
                  <w14:solidFill>
                    <w14:schemeClr w14:val="tx1"/>
                  </w14:solidFill>
                </w14:textFill>
              </w:rPr>
              <w:t>湖南柿竹园有色金属有限责任公司郴州钨制品分公司</w:t>
            </w:r>
          </w:p>
          <w:p>
            <w:pPr>
              <w:jc w:val="left"/>
              <w:rPr>
                <w:color w:val="000000" w:themeColor="text1"/>
                <w:szCs w:val="21"/>
                <w14:textFill>
                  <w14:solidFill>
                    <w14:schemeClr w14:val="tx1"/>
                  </w14:solidFill>
                </w14:textFill>
              </w:rPr>
            </w:pPr>
          </w:p>
        </w:tc>
      </w:tr>
    </w:tbl>
    <w:p>
      <w:pPr>
        <w:adjustRightInd w:val="0"/>
        <w:snapToGrid w:val="0"/>
        <w:spacing w:before="156" w:beforeLines="50" w:after="156" w:afterLines="50"/>
        <w:rPr>
          <w:b/>
          <w:szCs w:val="21"/>
        </w:rPr>
      </w:pPr>
      <w:r>
        <w:rPr>
          <w:b/>
          <w:szCs w:val="21"/>
        </w:rPr>
        <w:t>1.2</w:t>
      </w:r>
      <w:r>
        <w:rPr>
          <w:rFonts w:hint="eastAsia"/>
          <w:b/>
          <w:szCs w:val="21"/>
        </w:rPr>
        <w:t>主要</w:t>
      </w:r>
      <w:r>
        <w:rPr>
          <w:b/>
          <w:szCs w:val="21"/>
        </w:rPr>
        <w:t>参加单位简况</w:t>
      </w:r>
    </w:p>
    <w:p>
      <w:pPr>
        <w:adjustRightInd w:val="0"/>
        <w:snapToGrid w:val="0"/>
        <w:spacing w:before="156" w:beforeLines="50" w:after="156" w:afterLines="50"/>
        <w:ind w:firstLine="420" w:firstLineChars="200"/>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本文件起草单位：广东省科学院工业分析检测中心、</w:t>
      </w:r>
      <w:r>
        <w:rPr>
          <w:rFonts w:hint="eastAsia" w:asciiTheme="minorEastAsia" w:hAnsiTheme="minorEastAsia" w:eastAsiaTheme="minorEastAsia"/>
          <w:color w:val="000000" w:themeColor="text1"/>
          <w:lang w:val="en-US" w:eastAsia="zh-CN"/>
          <w14:textFill>
            <w14:solidFill>
              <w14:schemeClr w14:val="tx1"/>
            </w14:solidFill>
          </w14:textFill>
        </w:rPr>
        <w:t>江西省</w:t>
      </w:r>
      <w:r>
        <w:rPr>
          <w:rFonts w:hint="eastAsia" w:ascii="Times New Roman" w:hAnsi="Times New Roman" w:eastAsia="宋体" w:cs="Times New Roman"/>
          <w:b w:val="0"/>
          <w:bCs w:val="0"/>
          <w:color w:val="auto"/>
          <w:kern w:val="2"/>
          <w:sz w:val="21"/>
          <w:szCs w:val="21"/>
          <w:lang w:val="en-US" w:eastAsia="zh-CN" w:bidi="ar-SA"/>
        </w:rPr>
        <w:t>钨与稀土产品质量监督检验中心、湖南柿竹园有色金属有限责任公司、福建紫金矿冶测试技术有限公司、中国有色桂林矿产地质研究院有限公司、紫金铜业有限公司、湖南柿竹园有色金属有限责任公司郴州钨</w:t>
      </w:r>
      <w:r>
        <w:rPr>
          <w:rFonts w:hint="eastAsia" w:cs="Times New Roman"/>
          <w:b w:val="0"/>
          <w:bCs w:val="0"/>
          <w:color w:val="auto"/>
          <w:kern w:val="2"/>
          <w:sz w:val="21"/>
          <w:szCs w:val="21"/>
          <w:lang w:val="en-US" w:eastAsia="zh-CN" w:bidi="ar-SA"/>
        </w:rPr>
        <w:t>制品分公司。</w:t>
      </w:r>
    </w:p>
    <w:p>
      <w:pPr>
        <w:adjustRightInd w:val="0"/>
        <w:snapToGrid w:val="0"/>
        <w:ind w:firstLine="420"/>
        <w:rPr>
          <w:rFonts w:hint="eastAsia"/>
          <w:color w:val="000000" w:themeColor="text1"/>
          <w:szCs w:val="21"/>
          <w14:textFill>
            <w14:solidFill>
              <w14:schemeClr w14:val="tx1"/>
            </w14:solidFill>
          </w14:textFill>
        </w:rPr>
      </w:pPr>
      <w:r>
        <w:rPr>
          <w:rFonts w:hint="eastAsia" w:hAnsi="宋体"/>
          <w:b/>
          <w:kern w:val="0"/>
          <w:szCs w:val="21"/>
        </w:rPr>
        <w:t>赣州有色冶金研究所有限公司</w:t>
      </w:r>
      <w:r>
        <w:rPr>
          <w:rFonts w:hint="eastAsia" w:asciiTheme="minorEastAsia" w:hAnsiTheme="minorEastAsia" w:eastAsiaTheme="minorEastAsia"/>
          <w:color w:val="000000" w:themeColor="text1"/>
          <w:szCs w:val="21"/>
          <w14:textFill>
            <w14:solidFill>
              <w14:schemeClr w14:val="tx1"/>
            </w14:solidFill>
          </w14:textFill>
        </w:rPr>
        <w:t>是本项目负责起草单位，公司前身赣研所正式成立于1952年，是新中国冶金系统最早成立的三个科研院所之一，现隶属于整合后的江西钨业控股集团有限公司，并承担江西钨业控股集团有限公司技术中心和博士后科研工作站运行和管理的工作职责。赣研所是一家集采矿、选矿、冶金、材料、环保、设备制造、自动化等多个专业，以有色金属、黑色金</w:t>
      </w:r>
      <w:r>
        <w:rPr>
          <w:rFonts w:hint="eastAsia"/>
          <w:color w:val="000000" w:themeColor="text1"/>
          <w:szCs w:val="21"/>
          <w14:textFill>
            <w14:solidFill>
              <w14:schemeClr w14:val="tx1"/>
            </w14:solidFill>
          </w14:textFill>
        </w:rPr>
        <w:t>属和非金属为综合性研究主体，重点研发和推广钨、稀土、钽铌等有色金属资源采、选、冶、二次资源综合利用、节能环保、自动化新工艺、新技术和新设备以及非煤矿山工程设计、节能评估、安全检测、职业卫生以及有色金属产品分析检测、咨询等服务的综合性科研院所。赣州有色冶金研究所在标准修订过程中，负责提出标准修订的试验方案、试验报告，负责统一样品的制备与发放，汇总精密度数据，并进行数据处理，随后与其他标准参加单位共同形成标准征求意见稿，进行广泛的意见征集，并负责在标准预审会、审定会上进行项目介绍与答辩，最终形成报批稿，协助有色标准化技术委员会秘书处完成标准的报批工作。</w:t>
      </w:r>
    </w:p>
    <w:p>
      <w:pPr>
        <w:adjustRightInd w:val="0"/>
        <w:snapToGrid w:val="0"/>
        <w:ind w:firstLine="420"/>
        <w:rPr>
          <w:rFonts w:hint="eastAsia" w:hAnsi="宋体" w:eastAsia="宋体"/>
          <w:kern w:val="0"/>
          <w:szCs w:val="21"/>
          <w:lang w:eastAsia="zh-CN"/>
        </w:rPr>
      </w:pPr>
      <w:r>
        <w:rPr>
          <w:rFonts w:hint="eastAsia" w:hAnsi="宋体"/>
          <w:b/>
          <w:kern w:val="0"/>
          <w:szCs w:val="21"/>
        </w:rPr>
        <w:t>广东省科学院</w:t>
      </w:r>
      <w:r>
        <w:rPr>
          <w:rFonts w:hAnsi="宋体"/>
          <w:b/>
          <w:kern w:val="0"/>
          <w:szCs w:val="21"/>
        </w:rPr>
        <w:t>工业分析检测中心</w:t>
      </w:r>
      <w:r>
        <w:rPr>
          <w:rFonts w:hint="eastAsia" w:hAnsi="宋体"/>
          <w:kern w:val="0"/>
          <w:szCs w:val="21"/>
        </w:rPr>
        <w:t>是</w:t>
      </w:r>
      <w:r>
        <w:rPr>
          <w:rFonts w:hAnsi="宋体"/>
          <w:kern w:val="0"/>
          <w:szCs w:val="21"/>
        </w:rPr>
        <w:t>一验单位</w:t>
      </w:r>
      <w:r>
        <w:rPr>
          <w:rFonts w:hint="eastAsia" w:hAnsi="宋体"/>
          <w:kern w:val="0"/>
          <w:szCs w:val="21"/>
        </w:rPr>
        <w:t>，中心是我国南方从事金属材料、冶金产品、化工产品、再生资源质量检测、欧盟环保（RoHS）指令的有害物质检测、金属材料综合利用检测与咨询、评价以及分析测试技术研究的专业机构。先后隶属于广州有色金属研究院、广东省工业技术研究院（广州有色金属研究院），2015年12月经广东省机构编制委员会批准成为广东省科学院属下的独立事业法人单位。中心是一个检测设备配套齐全、检测技术完备、人员结构合理、管理科学的检测机构。</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宋体" w:hAnsi="宋体"/>
          <w:szCs w:val="21"/>
        </w:rPr>
      </w:pPr>
      <w:r>
        <w:rPr>
          <w:rFonts w:hint="eastAsia" w:ascii="Times New Roman" w:hAnsi="Times New Roman" w:eastAsia="宋体" w:cs="Times New Roman"/>
          <w:b/>
          <w:bCs w:val="0"/>
          <w:color w:val="000000" w:themeColor="text1"/>
          <w:kern w:val="2"/>
          <w:sz w:val="21"/>
          <w:szCs w:val="21"/>
          <w:lang w:val="en-US" w:eastAsia="zh-CN" w:bidi="ar-SA"/>
          <w14:textFill>
            <w14:solidFill>
              <w14:schemeClr w14:val="tx1"/>
            </w14:solidFill>
          </w14:textFill>
        </w:rPr>
        <w:t>江西省钨与稀土产品质量监督检验中心</w:t>
      </w:r>
      <w:r>
        <w:rPr>
          <w:rFonts w:hint="eastAsia" w:cs="Times New Roman"/>
          <w:b w:val="0"/>
          <w:bCs w:val="0"/>
          <w:color w:val="000000" w:themeColor="text1"/>
          <w:kern w:val="2"/>
          <w:sz w:val="21"/>
          <w:szCs w:val="21"/>
          <w:lang w:val="en-US" w:eastAsia="zh-CN" w:bidi="ar-SA"/>
          <w14:textFill>
            <w14:solidFill>
              <w14:schemeClr w14:val="tx1"/>
            </w14:solidFill>
          </w14:textFill>
        </w:rPr>
        <w:t>是</w:t>
      </w:r>
      <w:r>
        <w:rPr>
          <w:rFonts w:hint="eastAsia"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t>一验单位</w:t>
      </w:r>
      <w:r>
        <w:rPr>
          <w:rFonts w:hint="eastAsia" w:cs="Times New Roman"/>
          <w:b w:val="0"/>
          <w:bCs w:val="0"/>
          <w:color w:val="000000" w:themeColor="text1"/>
          <w:kern w:val="2"/>
          <w:sz w:val="21"/>
          <w:szCs w:val="21"/>
          <w:lang w:val="en-US" w:eastAsia="zh-CN" w:bidi="ar-SA"/>
          <w14:textFill>
            <w14:solidFill>
              <w14:schemeClr w14:val="tx1"/>
            </w14:solidFill>
          </w14:textFill>
        </w:rPr>
        <w:t>，</w:t>
      </w:r>
      <w:r>
        <w:rPr>
          <w:rFonts w:hint="eastAsia" w:ascii="宋体" w:hAnsi="宋体"/>
          <w:szCs w:val="21"/>
        </w:rPr>
        <w:t>是全国唯一的钨与稀土产品质量监督国家级法定技术机构。</w:t>
      </w:r>
      <w:r>
        <w:rPr>
          <w:rFonts w:hint="eastAsia" w:ascii="宋体" w:hAnsi="宋体"/>
          <w:szCs w:val="21"/>
          <w:lang w:val="en-US" w:eastAsia="zh-CN"/>
        </w:rPr>
        <w:t>中心</w:t>
      </w:r>
      <w:r>
        <w:rPr>
          <w:rFonts w:hint="eastAsia" w:ascii="宋体" w:hAnsi="宋体"/>
          <w:szCs w:val="21"/>
        </w:rPr>
        <w:t>设备原值达到7000万，包括GD-MS、ICP-MS/MS、XRD、SEM、XRF、TG-QMS、GC-MS、ICP-OES、激光粒度仪等一批具有国际先进的大型仪器设备。中心主要职能是开展钨与稀土等有色金属矿产品检验、地质实验测试、环境监测与检验、检测技术培训和有色金属领域内科学技术研究、开发与推广以及标准研究与制定等工作。目前，中心通过CNAS认证的检测能力有4大类、50种类别、452个参数，通过省级CMA认证的检测能力有7大类、79种类别、956个参数，产品检测范围从钨、稀土等几十种有色金属原矿及前端初级产品，一直延伸至产业链的后端下游产品。</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
          <w:bCs w:val="0"/>
          <w:color w:val="000000" w:themeColor="text1"/>
          <w:kern w:val="2"/>
          <w:sz w:val="21"/>
          <w:szCs w:val="21"/>
          <w:lang w:val="en-US" w:eastAsia="zh-CN" w:bidi="ar-SA"/>
          <w14:textFill>
            <w14:solidFill>
              <w14:schemeClr w14:val="tx1"/>
            </w14:solidFill>
          </w14:textFill>
        </w:rPr>
        <w:t>湖南柿竹园有色金属有限责任公司</w:t>
      </w:r>
      <w:r>
        <w:rPr>
          <w:rFonts w:hint="eastAsia"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t>为二验单位</w:t>
      </w:r>
      <w:r>
        <w:rPr>
          <w:rFonts w:hint="eastAsia" w:cs="Times New Roman"/>
          <w:b/>
          <w:bCs w:val="0"/>
          <w:color w:val="000000" w:themeColor="text1"/>
          <w:kern w:val="2"/>
          <w:sz w:val="21"/>
          <w:szCs w:val="21"/>
          <w:lang w:val="en-US" w:eastAsia="zh-CN" w:bidi="ar-SA"/>
          <w14:textFill>
            <w14:solidFill>
              <w14:schemeClr w14:val="tx1"/>
            </w14:solidFill>
          </w14:textFill>
        </w:rPr>
        <w:t>，</w:t>
      </w:r>
      <w:r>
        <w:rPr>
          <w:rFonts w:hint="eastAsia"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t>是一家集采矿、选矿、资源综合回收、铋系新型材料研发、对外贸易于一体的大型国有矿山企业。公司是湖南省生产规模最大的有色金属矿山企业，国内最大的钨精矿生产企业和亚洲最大的铋精矿生产商、供应商。公司获得中国有色金属工业科学技术进步奖一等奖3次，国家科技进步奖二等奖2次，省部级科技成果43项。公司现有专利67项，其中发明专利32项，参与制定国家标准10项和行业标准21项。公司将秉承“资源有限，创造无限”的价值理念，围绕实现“高端、绿色、创新”三个发展的总体要求，努力打造成中国五矿集团有限公司旗下国际一流的标杆矿山企业。</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
          <w:bCs w:val="0"/>
          <w:color w:val="000000" w:themeColor="text1"/>
          <w:kern w:val="2"/>
          <w:sz w:val="21"/>
          <w:szCs w:val="21"/>
          <w:lang w:val="en-US" w:eastAsia="zh-CN" w:bidi="ar-SA"/>
          <w14:textFill>
            <w14:solidFill>
              <w14:schemeClr w14:val="tx1"/>
            </w14:solidFill>
          </w14:textFill>
        </w:rPr>
        <w:t>紫金矿业集团股份有限公司</w:t>
      </w:r>
      <w:r>
        <w:rPr>
          <w:rFonts w:hint="eastAsia"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t>为二验单位</w:t>
      </w:r>
      <w:r>
        <w:rPr>
          <w:rFonts w:hint="eastAsia" w:cs="Times New Roman"/>
          <w:b w:val="0"/>
          <w:bCs w:val="0"/>
          <w:color w:val="000000" w:themeColor="text1"/>
          <w:kern w:val="2"/>
          <w:sz w:val="21"/>
          <w:szCs w:val="21"/>
          <w:lang w:val="en-US" w:eastAsia="zh-CN" w:bidi="ar-SA"/>
          <w14:textFill>
            <w14:solidFill>
              <w14:schemeClr w14:val="tx1"/>
            </w14:solidFill>
          </w14:textFill>
        </w:rPr>
        <w:t>，</w:t>
      </w:r>
      <w:r>
        <w:rPr>
          <w:rFonts w:hint="eastAsia"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t>是一家在全球范围内从事铜、金、锌、锂等金属矿产资源勘查、开发及工程设计、技术应用研究的大型跨国矿业集团，是A+H股上市公司、福建省千亿金铜产业龙头企业。紫金集团测试中心具备CNAS、CMA、LBMA认可注册资质，是国家高新技术企业、福建省新型研发机构和中国矿冶检测机构联盟成员。</w:t>
      </w:r>
    </w:p>
    <w:p>
      <w:pPr>
        <w:adjustRightInd w:val="0"/>
        <w:snapToGrid w:val="0"/>
        <w:ind w:firstLine="420"/>
        <w:rPr>
          <w:rFonts w:hint="eastAsia"/>
          <w:color w:val="000000" w:themeColor="text1"/>
          <w:szCs w:val="21"/>
          <w14:textFill>
            <w14:solidFill>
              <w14:schemeClr w14:val="tx1"/>
            </w14:solidFill>
          </w14:textFill>
        </w:rPr>
      </w:pPr>
      <w:r>
        <w:rPr>
          <w:rFonts w:hint="eastAsia" w:ascii="Times New Roman" w:hAnsi="Times New Roman" w:eastAsia="宋体" w:cs="Times New Roman"/>
          <w:b/>
          <w:bCs w:val="0"/>
          <w:color w:val="000000" w:themeColor="text1"/>
          <w:kern w:val="2"/>
          <w:sz w:val="21"/>
          <w:szCs w:val="21"/>
          <w:lang w:val="en-US" w:eastAsia="zh-CN" w:bidi="ar-SA"/>
          <w14:textFill>
            <w14:solidFill>
              <w14:schemeClr w14:val="tx1"/>
            </w14:solidFill>
          </w14:textFill>
        </w:rPr>
        <w:t>中国有色桂林矿产地质研究院有限公司</w:t>
      </w:r>
      <w:r>
        <w:rPr>
          <w:rFonts w:hint="eastAsia"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t>为</w:t>
      </w:r>
      <w:r>
        <w:rPr>
          <w:rFonts w:hint="eastAsia" w:ascii="Times New Roman" w:hAnsi="Times New Roman" w:cs="Times New Roman"/>
          <w:b w:val="0"/>
          <w:bCs w:val="0"/>
          <w:color w:val="000000" w:themeColor="text1"/>
          <w:kern w:val="2"/>
          <w:sz w:val="21"/>
          <w:szCs w:val="21"/>
          <w:lang w:val="en-US" w:eastAsia="zh-CN" w:bidi="ar-SA"/>
          <w14:textFill>
            <w14:solidFill>
              <w14:schemeClr w14:val="tx1"/>
            </w14:solidFill>
          </w14:textFill>
        </w:rPr>
        <w:t>二</w:t>
      </w:r>
      <w:r>
        <w:rPr>
          <w:rFonts w:hint="eastAsia"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t>验单位，</w:t>
      </w:r>
      <w:r>
        <w:rPr>
          <w:rFonts w:hint="eastAsia"/>
          <w:color w:val="000000" w:themeColor="text1"/>
          <w:szCs w:val="21"/>
          <w14:textFill>
            <w14:solidFill>
              <w14:schemeClr w14:val="tx1"/>
            </w14:solidFill>
          </w14:textFill>
        </w:rPr>
        <w:t>公司现为中国有色矿业集团有限公司全资子公司，下设矿产地质研究所、资源环境研究所、资源综合利用所、有色金属矿产地质测试中心和“国家特种矿物材料工程技术研究中心”等研究开发机构,拥有地质勘查、矿权经营与矿业开发、超硬材料研发及制品、资源环境工程公司、矿产品贸易等10余家全资子公司。承担国家、省部级科研项目、技术开发与技术服务等任务。在标准修订过程中积极配合起草单位进行试验验证工作，对研究报告中的各项试验参数进行了验证，提供试验样品的精密度数据，对标准文件提出修改意见。</w:t>
      </w:r>
    </w:p>
    <w:p>
      <w:pPr>
        <w:adjustRightInd w:val="0"/>
        <w:snapToGrid w:val="0"/>
        <w:ind w:firstLine="420"/>
        <w:rPr>
          <w:rFonts w:hint="eastAsia"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
          <w:bCs w:val="0"/>
          <w:color w:val="000000" w:themeColor="text1"/>
          <w:kern w:val="2"/>
          <w:sz w:val="21"/>
          <w:szCs w:val="21"/>
          <w:lang w:val="en-US" w:eastAsia="zh-CN" w:bidi="ar-SA"/>
          <w14:textFill>
            <w14:solidFill>
              <w14:schemeClr w14:val="tx1"/>
            </w14:solidFill>
          </w14:textFill>
        </w:rPr>
        <w:t>紫金铜业有限公司</w:t>
      </w:r>
      <w:r>
        <w:rPr>
          <w:rFonts w:hint="eastAsia"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t>为二验单位</w:t>
      </w:r>
      <w:r>
        <w:rPr>
          <w:rFonts w:hint="eastAsia" w:cs="Times New Roman"/>
          <w:b w:val="0"/>
          <w:bCs w:val="0"/>
          <w:color w:val="000000" w:themeColor="text1"/>
          <w:kern w:val="2"/>
          <w:sz w:val="21"/>
          <w:szCs w:val="21"/>
          <w:lang w:val="en-US" w:eastAsia="zh-CN" w:bidi="ar-SA"/>
          <w14:textFill>
            <w14:solidFill>
              <w14:schemeClr w14:val="tx1"/>
            </w14:solidFill>
          </w14:textFill>
        </w:rPr>
        <w:t>，</w:t>
      </w:r>
      <w:r>
        <w:rPr>
          <w:rFonts w:hint="eastAsia"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t>化验室取得了“中国计量认证（CMA）”、“中国合格评定国家认可委员会（CNAS）”、“THE LONDON BULLION MARKET ASSOCIATION（LBMA）”等资质认证</w:t>
      </w:r>
      <w:r>
        <w:rPr>
          <w:rFonts w:hint="eastAsia" w:cs="Times New Roman"/>
          <w:b w:val="0"/>
          <w:bCs w:val="0"/>
          <w:color w:val="000000" w:themeColor="text1"/>
          <w:kern w:val="2"/>
          <w:sz w:val="21"/>
          <w:szCs w:val="21"/>
          <w:lang w:val="en-US" w:eastAsia="zh-CN" w:bidi="ar-SA"/>
          <w14:textFill>
            <w14:solidFill>
              <w14:schemeClr w14:val="tx1"/>
            </w14:solidFill>
          </w14:textFill>
        </w:rPr>
        <w:t>。</w:t>
      </w:r>
      <w:r>
        <w:rPr>
          <w:rFonts w:hint="eastAsia"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t>化验室自2011年参加国家/行业标准方法制修订工作以来，已负责和参加25项国家/行业标准；制订的标准方法获得全国有色金属优秀标准奖3项；取得国家发明专利1项、实用新型专利1项。公司设备及配套先进，制样及检测设备153台。拥有2台X荧光光谱仪、2台直读光谱仪、1台ICP-MS、3台ICP-AES、FAAS、千万分之一天平、百万分之一天平、 LM2研磨仪、火试金熔炼炉等大中型进口设备30台。拥有完整的贵金属检测设备及仪器</w:t>
      </w:r>
      <w:r>
        <w:rPr>
          <w:rFonts w:hint="eastAsia" w:cs="Times New Roman"/>
          <w:b w:val="0"/>
          <w:bCs w:val="0"/>
          <w:color w:val="000000" w:themeColor="text1"/>
          <w:kern w:val="2"/>
          <w:sz w:val="21"/>
          <w:szCs w:val="21"/>
          <w:lang w:val="en-US" w:eastAsia="zh-CN" w:bidi="ar-SA"/>
          <w14:textFill>
            <w14:solidFill>
              <w14:schemeClr w14:val="tx1"/>
            </w14:solidFill>
          </w14:textFill>
        </w:rPr>
        <w:t>。</w:t>
      </w:r>
    </w:p>
    <w:p>
      <w:pPr>
        <w:adjustRightInd w:val="0"/>
        <w:snapToGrid w:val="0"/>
        <w:ind w:firstLine="422" w:firstLineChars="200"/>
        <w:rPr>
          <w:rFonts w:hint="eastAsia"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
          <w:bCs w:val="0"/>
          <w:color w:val="000000" w:themeColor="text1"/>
          <w:kern w:val="2"/>
          <w:sz w:val="21"/>
          <w:szCs w:val="21"/>
          <w:lang w:val="en-US" w:eastAsia="zh-CN" w:bidi="ar-SA"/>
          <w14:textFill>
            <w14:solidFill>
              <w14:schemeClr w14:val="tx1"/>
            </w14:solidFill>
          </w14:textFill>
        </w:rPr>
        <w:t>湖南柿竹园有色金属有限责任公司郴州钨制品分公司</w:t>
      </w:r>
      <w:r>
        <w:rPr>
          <w:rFonts w:hint="eastAsia"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t>为</w:t>
      </w:r>
      <w:r>
        <w:rPr>
          <w:rFonts w:hint="eastAsia" w:ascii="Times New Roman" w:hAnsi="Times New Roman" w:cs="Times New Roman"/>
          <w:b w:val="0"/>
          <w:bCs w:val="0"/>
          <w:color w:val="000000" w:themeColor="text1"/>
          <w:kern w:val="2"/>
          <w:sz w:val="21"/>
          <w:szCs w:val="21"/>
          <w:lang w:val="en-US" w:eastAsia="zh-CN" w:bidi="ar-SA"/>
          <w14:textFill>
            <w14:solidFill>
              <w14:schemeClr w14:val="tx1"/>
            </w14:solidFill>
          </w14:textFill>
        </w:rPr>
        <w:t>二</w:t>
      </w:r>
      <w:r>
        <w:rPr>
          <w:rFonts w:hint="eastAsia"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t>验单位，公司属国家“双高一优”导向计划项目，是目前世界上知名的钨制品企业之一，先后多次作为第一起草单位修改、修订了钨行业国家标准——氧化钨产品、钨成品铋、锡、锑、砷化学分析方法及高杂质钨矿三氧化钨测定等。在体系建设方面，公司已通过了ISO9001质量管理体系、GB/T28001职业健康安全管理体系和ISO14001环境管理体系等三大体系认证。“钻石”牌注册商标获中国驰名商标殊荣，“钻石”牌钨制品被评为湖南省名牌产品。公司曾多次荣获郴州市“十大标志性工业企业”、并被认定为湖南省高新技术企业，列入“郴州市十大企业技术中心”行列。</w:t>
      </w:r>
    </w:p>
    <w:p>
      <w:pPr>
        <w:adjustRightInd w:val="0"/>
        <w:snapToGrid w:val="0"/>
        <w:ind w:firstLine="42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标准起草单位赣州有色冶金研究所有限公司在标准的编制过程中，积极主动收集国内外相关技术标准，到一些有代表性的钨产业相关企业、专科院校和第三方检测等单位进行调研钨精矿产品标准相关指标的变化、检测及应用情况，并收集相关试验样品，通过相关试验统计数据编写试验报告草案和标准文本草案。</w:t>
      </w:r>
    </w:p>
    <w:p>
      <w:pPr>
        <w:adjustRightInd w:val="0"/>
        <w:snapToGrid w:val="0"/>
        <w:ind w:firstLine="420"/>
        <w:rPr>
          <w:rFonts w:hint="eastAsia"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t>详细验证单位见表1，第一验证单位在标准修订过程中积极配合起草单位进行试验验证工作，对研究报告中的各项试验参数进行了验证，提供试验样品的精密度数据，对标准文本提出意见；第二验证单位在标准修订过程中，对标准的编制提供有力的支撑。</w:t>
      </w:r>
    </w:p>
    <w:p>
      <w:pPr>
        <w:adjustRightInd w:val="0"/>
        <w:snapToGrid w:val="0"/>
        <w:ind w:firstLine="420"/>
        <w:rPr>
          <w:rFonts w:hint="eastAsia"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t>本标准统一验证样品共计5个统一样，包含白钨精矿、黑钨精矿、混合钨精矿3个类别。</w:t>
      </w:r>
    </w:p>
    <w:p>
      <w:pPr>
        <w:tabs>
          <w:tab w:val="left" w:pos="709"/>
        </w:tabs>
        <w:spacing w:before="156" w:beforeLines="50" w:after="156" w:afterLines="50"/>
        <w:rPr>
          <w:b/>
          <w:szCs w:val="21"/>
        </w:rPr>
      </w:pPr>
      <w:r>
        <w:rPr>
          <w:rFonts w:hint="eastAsia"/>
          <w:b/>
          <w:szCs w:val="21"/>
          <w:lang w:val="en-US" w:eastAsia="zh-CN"/>
        </w:rPr>
        <w:t>1.3</w:t>
      </w:r>
      <w:r>
        <w:rPr>
          <w:rFonts w:hint="eastAsia"/>
          <w:b/>
          <w:szCs w:val="21"/>
        </w:rPr>
        <w:t>主要</w:t>
      </w:r>
      <w:r>
        <w:rPr>
          <w:b/>
          <w:szCs w:val="21"/>
        </w:rPr>
        <w:t>工作成员所负责的工作情况</w:t>
      </w:r>
    </w:p>
    <w:p>
      <w:pPr>
        <w:adjustRightInd w:val="0"/>
        <w:snapToGrid w:val="0"/>
        <w:ind w:firstLine="420"/>
        <w:rPr>
          <w:rFonts w:hAnsi="宋体"/>
          <w:color w:val="000000" w:themeColor="text1"/>
          <w:kern w:val="0"/>
          <w:szCs w:val="21"/>
          <w14:textFill>
            <w14:solidFill>
              <w14:schemeClr w14:val="tx1"/>
            </w14:solidFill>
          </w14:textFill>
        </w:rPr>
      </w:pPr>
      <w:r>
        <w:rPr>
          <w:rFonts w:hint="eastAsia" w:hAnsi="宋体"/>
          <w:color w:val="000000" w:themeColor="text1"/>
          <w:kern w:val="0"/>
          <w:szCs w:val="21"/>
          <w14:textFill>
            <w14:solidFill>
              <w14:schemeClr w14:val="tx1"/>
            </w14:solidFill>
          </w14:textFill>
        </w:rPr>
        <w:t>本标准</w:t>
      </w:r>
      <w:r>
        <w:rPr>
          <w:rFonts w:hAnsi="宋体"/>
          <w:color w:val="000000" w:themeColor="text1"/>
          <w:kern w:val="0"/>
          <w:szCs w:val="21"/>
          <w14:textFill>
            <w14:solidFill>
              <w14:schemeClr w14:val="tx1"/>
            </w14:solidFill>
          </w14:textFill>
        </w:rPr>
        <w:t>主要起草人及工作职责见表</w:t>
      </w:r>
      <w:r>
        <w:rPr>
          <w:rFonts w:asciiTheme="minorEastAsia" w:hAnsiTheme="minorEastAsia" w:eastAsiaTheme="minorEastAsia"/>
          <w:color w:val="000000" w:themeColor="text1"/>
          <w:kern w:val="0"/>
          <w:szCs w:val="21"/>
          <w14:textFill>
            <w14:solidFill>
              <w14:schemeClr w14:val="tx1"/>
            </w14:solidFill>
          </w14:textFill>
        </w:rPr>
        <w:t>2</w:t>
      </w:r>
      <w:r>
        <w:rPr>
          <w:rFonts w:hint="eastAsia" w:hAnsi="宋体"/>
          <w:color w:val="000000" w:themeColor="text1"/>
          <w:kern w:val="0"/>
          <w:szCs w:val="21"/>
          <w14:textFill>
            <w14:solidFill>
              <w14:schemeClr w14:val="tx1"/>
            </w14:solidFill>
          </w14:textFill>
        </w:rPr>
        <w:t>。</w:t>
      </w:r>
    </w:p>
    <w:p>
      <w:pPr>
        <w:adjustRightInd w:val="0"/>
        <w:snapToGrid w:val="0"/>
        <w:ind w:firstLine="420"/>
        <w:rPr>
          <w:rFonts w:hAnsi="宋体"/>
          <w:color w:val="000000" w:themeColor="text1"/>
          <w:kern w:val="0"/>
          <w:szCs w:val="21"/>
          <w14:textFill>
            <w14:solidFill>
              <w14:schemeClr w14:val="tx1"/>
            </w14:solidFill>
          </w14:textFill>
        </w:rPr>
      </w:pPr>
    </w:p>
    <w:p>
      <w:pPr>
        <w:adjustRightInd w:val="0"/>
        <w:snapToGrid w:val="0"/>
        <w:ind w:firstLine="420"/>
        <w:rPr>
          <w:rFonts w:hAnsi="宋体"/>
          <w:color w:val="000000" w:themeColor="text1"/>
          <w:kern w:val="0"/>
          <w:szCs w:val="21"/>
          <w14:textFill>
            <w14:solidFill>
              <w14:schemeClr w14:val="tx1"/>
            </w14:solidFill>
          </w14:textFill>
        </w:rPr>
      </w:pPr>
    </w:p>
    <w:p>
      <w:pPr>
        <w:ind w:firstLine="435"/>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w:t>
      </w:r>
      <w:r>
        <w:rPr>
          <w:rFonts w:ascii="黑体" w:hAnsi="黑体" w:eastAsia="黑体"/>
          <w:color w:val="000000" w:themeColor="text1"/>
          <w:szCs w:val="21"/>
          <w14:textFill>
            <w14:solidFill>
              <w14:schemeClr w14:val="tx1"/>
            </w14:solidFill>
          </w14:textFill>
        </w:rPr>
        <w:t>2</w:t>
      </w:r>
      <w:r>
        <w:rPr>
          <w:rFonts w:hint="eastAsia" w:ascii="黑体" w:hAnsi="黑体" w:eastAsia="黑体"/>
          <w:color w:val="000000" w:themeColor="text1"/>
          <w:szCs w:val="21"/>
          <w14:textFill>
            <w14:solidFill>
              <w14:schemeClr w14:val="tx1"/>
            </w14:solidFill>
          </w14:textFill>
        </w:rPr>
        <w:t xml:space="preserve"> 主要起草人及工作职责</w:t>
      </w:r>
    </w:p>
    <w:tbl>
      <w:tblPr>
        <w:tblStyle w:val="89"/>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1"/>
        <w:gridCol w:w="6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901" w:type="dxa"/>
            <w:tcBorders>
              <w:top w:val="single" w:color="auto" w:sz="12" w:space="0"/>
              <w:left w:val="single" w:color="auto" w:sz="12" w:space="0"/>
              <w:bottom w:val="single" w:color="auto" w:sz="12" w:space="0"/>
            </w:tcBorders>
            <w:vAlign w:val="center"/>
          </w:tcPr>
          <w:p>
            <w:pPr>
              <w:ind w:firstLine="435"/>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起草人</w:t>
            </w:r>
          </w:p>
        </w:tc>
        <w:tc>
          <w:tcPr>
            <w:tcW w:w="6159" w:type="dxa"/>
            <w:tcBorders>
              <w:top w:val="single" w:color="auto" w:sz="12" w:space="0"/>
              <w:bottom w:val="single" w:color="auto" w:sz="12" w:space="0"/>
              <w:right w:val="single" w:color="auto" w:sz="12" w:space="0"/>
            </w:tcBorders>
            <w:vAlign w:val="center"/>
          </w:tcPr>
          <w:p>
            <w:pPr>
              <w:ind w:firstLine="435"/>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1" w:type="dxa"/>
            <w:tcBorders>
              <w:top w:val="single" w:color="auto" w:sz="12" w:space="0"/>
              <w:left w:val="single" w:color="auto" w:sz="12" w:space="0"/>
            </w:tcBorders>
            <w:vAlign w:val="center"/>
          </w:tcPr>
          <w:p>
            <w:pPr>
              <w:pStyle w:val="81"/>
              <w:numPr>
                <w:ilvl w:val="255"/>
                <w:numId w:val="0"/>
              </w:numPr>
              <w:adjustRightInd w:val="0"/>
              <w:snapToGrid w:val="0"/>
              <w:spacing w:before="0" w:beforeAutospacing="0" w:after="0" w:afterAutospacing="0"/>
              <w:jc w:val="both"/>
              <w:rPr>
                <w:rFonts w:hint="default" w:ascii="Times New Roman" w:eastAsia="宋体" w:cs="Times New Roman"/>
                <w:color w:val="000000" w:themeColor="text1"/>
                <w:kern w:val="2"/>
                <w:sz w:val="18"/>
                <w:szCs w:val="18"/>
                <w:lang w:val="en-US" w:eastAsia="zh-CN"/>
                <w14:textFill>
                  <w14:solidFill>
                    <w14:schemeClr w14:val="tx1"/>
                  </w14:solidFill>
                </w14:textFill>
              </w:rPr>
            </w:pPr>
            <w:r>
              <w:rPr>
                <w:rFonts w:hint="eastAsia" w:ascii="Times New Roman"/>
                <w:color w:val="000000" w:themeColor="text1"/>
                <w:sz w:val="18"/>
                <w:szCs w:val="18"/>
                <w:lang w:val="en-US" w:eastAsia="zh-CN"/>
                <w14:textFill>
                  <w14:solidFill>
                    <w14:schemeClr w14:val="tx1"/>
                  </w14:solidFill>
                </w14:textFill>
              </w:rPr>
              <w:t>罗盈盈</w:t>
            </w:r>
          </w:p>
        </w:tc>
        <w:tc>
          <w:tcPr>
            <w:tcW w:w="6159" w:type="dxa"/>
            <w:tcBorders>
              <w:top w:val="single" w:color="auto" w:sz="12" w:space="0"/>
              <w:right w:val="single" w:color="auto" w:sz="12" w:space="0"/>
            </w:tcBorders>
            <w:vAlign w:val="center"/>
          </w:tcPr>
          <w:p>
            <w:pPr>
              <w:pStyle w:val="81"/>
              <w:numPr>
                <w:ilvl w:val="255"/>
                <w:numId w:val="0"/>
              </w:numPr>
              <w:adjustRightInd w:val="0"/>
              <w:snapToGrid w:val="0"/>
              <w:spacing w:before="0" w:beforeAutospacing="0" w:after="0" w:afterAutospacing="0"/>
              <w:jc w:val="both"/>
              <w:rPr>
                <w:rFonts w:ascii="Times New Roman" w:cs="Times New Roman"/>
                <w:color w:val="000000" w:themeColor="text1"/>
                <w:kern w:val="2"/>
                <w:sz w:val="18"/>
                <w:szCs w:val="18"/>
                <w14:textFill>
                  <w14:solidFill>
                    <w14:schemeClr w14:val="tx1"/>
                  </w14:solidFill>
                </w14:textFill>
              </w:rPr>
            </w:pPr>
            <w:r>
              <w:rPr>
                <w:rFonts w:hint="eastAsia" w:ascii="Times New Roman" w:cs="Times New Roman"/>
                <w:color w:val="000000" w:themeColor="text1"/>
                <w:kern w:val="2"/>
                <w:sz w:val="18"/>
                <w:szCs w:val="18"/>
                <w14:textFill>
                  <w14:solidFill>
                    <w14:schemeClr w14:val="tx1"/>
                  </w14:solidFill>
                </w14:textFill>
              </w:rPr>
              <w:t>全面负责方法</w:t>
            </w:r>
            <w:r>
              <w:rPr>
                <w:rFonts w:ascii="Times New Roman" w:cs="Times New Roman"/>
                <w:color w:val="000000" w:themeColor="text1"/>
                <w:kern w:val="2"/>
                <w:sz w:val="18"/>
                <w:szCs w:val="18"/>
                <w14:textFill>
                  <w14:solidFill>
                    <w14:schemeClr w14:val="tx1"/>
                  </w14:solidFill>
                </w14:textFill>
              </w:rPr>
              <w:t>的起草，</w:t>
            </w:r>
            <w:r>
              <w:rPr>
                <w:rFonts w:hint="eastAsia" w:ascii="Times New Roman" w:cs="Times New Roman"/>
                <w:color w:val="000000" w:themeColor="text1"/>
                <w:kern w:val="2"/>
                <w:sz w:val="18"/>
                <w:szCs w:val="18"/>
                <w14:textFill>
                  <w14:solidFill>
                    <w14:schemeClr w14:val="tx1"/>
                  </w14:solidFill>
                </w14:textFill>
              </w:rPr>
              <w:t>各阶段试验和</w:t>
            </w:r>
            <w:r>
              <w:rPr>
                <w:rFonts w:ascii="Times New Roman" w:cs="Times New Roman"/>
                <w:color w:val="000000" w:themeColor="text1"/>
                <w:kern w:val="2"/>
                <w:sz w:val="18"/>
                <w:szCs w:val="18"/>
                <w14:textFill>
                  <w14:solidFill>
                    <w14:schemeClr w14:val="tx1"/>
                  </w14:solidFill>
                </w14:textFill>
              </w:rPr>
              <w:t>数据处理</w:t>
            </w:r>
            <w:r>
              <w:rPr>
                <w:rFonts w:hint="eastAsia" w:ascii="Times New Roman" w:cs="Times New Roman"/>
                <w:color w:val="000000" w:themeColor="text1"/>
                <w:kern w:val="2"/>
                <w:sz w:val="18"/>
                <w:szCs w:val="18"/>
                <w14:textFill>
                  <w14:solidFill>
                    <w14:schemeClr w14:val="tx1"/>
                  </w14:solidFill>
                </w14:textFill>
              </w:rPr>
              <w:t>，标准文本、</w:t>
            </w:r>
            <w:r>
              <w:rPr>
                <w:rFonts w:ascii="Times New Roman" w:cs="Times New Roman"/>
                <w:color w:val="000000" w:themeColor="text1"/>
                <w:kern w:val="2"/>
                <w:sz w:val="18"/>
                <w:szCs w:val="18"/>
                <w14:textFill>
                  <w14:solidFill>
                    <w14:schemeClr w14:val="tx1"/>
                  </w14:solidFill>
                </w14:textFill>
              </w:rPr>
              <w:t>编制说明</w:t>
            </w:r>
            <w:r>
              <w:rPr>
                <w:rFonts w:hint="eastAsia" w:ascii="Times New Roman" w:cs="Times New Roman"/>
                <w:color w:val="000000" w:themeColor="text1"/>
                <w:kern w:val="2"/>
                <w:sz w:val="18"/>
                <w:szCs w:val="18"/>
                <w14:textFill>
                  <w14:solidFill>
                    <w14:schemeClr w14:val="tx1"/>
                  </w14:solidFill>
                </w14:textFill>
              </w:rPr>
              <w:t>的编写及组织协调</w:t>
            </w:r>
            <w:r>
              <w:rPr>
                <w:rFonts w:ascii="Times New Roman" w:cs="Times New Roman"/>
                <w:color w:val="000000" w:themeColor="text1"/>
                <w:kern w:val="2"/>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1" w:type="dxa"/>
            <w:tcBorders>
              <w:left w:val="single" w:color="auto" w:sz="12" w:space="0"/>
            </w:tcBorders>
            <w:vAlign w:val="center"/>
          </w:tcPr>
          <w:p>
            <w:pPr>
              <w:pStyle w:val="81"/>
              <w:numPr>
                <w:ilvl w:val="255"/>
                <w:numId w:val="0"/>
              </w:numPr>
              <w:adjustRightInd w:val="0"/>
              <w:snapToGrid w:val="0"/>
              <w:spacing w:before="0" w:beforeAutospacing="0" w:after="0" w:afterAutospacing="0"/>
              <w:jc w:val="both"/>
              <w:rPr>
                <w:rFonts w:ascii="Times New Roman"/>
                <w:color w:val="000000" w:themeColor="text1"/>
                <w:sz w:val="18"/>
                <w:szCs w:val="18"/>
                <w14:textFill>
                  <w14:solidFill>
                    <w14:schemeClr w14:val="tx1"/>
                  </w14:solidFill>
                </w14:textFill>
              </w:rPr>
            </w:pPr>
            <w:r>
              <w:rPr>
                <w:rFonts w:hint="eastAsia" w:ascii="Times New Roman" w:cs="Times New Roman"/>
                <w:color w:val="000000" w:themeColor="text1"/>
                <w:kern w:val="2"/>
                <w:sz w:val="18"/>
                <w:szCs w:val="18"/>
                <w:lang w:val="en-US" w:eastAsia="zh-CN"/>
                <w14:textFill>
                  <w14:solidFill>
                    <w14:schemeClr w14:val="tx1"/>
                  </w14:solidFill>
                </w14:textFill>
              </w:rPr>
              <w:t>张文娟</w:t>
            </w:r>
            <w:r>
              <w:rPr>
                <w:rFonts w:hint="eastAsia" w:ascii="Times New Roman" w:cs="Times New Roman"/>
                <w:color w:val="000000" w:themeColor="text1"/>
                <w:kern w:val="2"/>
                <w:sz w:val="18"/>
                <w:szCs w:val="18"/>
                <w14:textFill>
                  <w14:solidFill>
                    <w14:schemeClr w14:val="tx1"/>
                  </w14:solidFill>
                </w14:textFill>
              </w:rPr>
              <w:t>、张文星</w:t>
            </w:r>
          </w:p>
        </w:tc>
        <w:tc>
          <w:tcPr>
            <w:tcW w:w="6159" w:type="dxa"/>
            <w:tcBorders>
              <w:right w:val="single" w:color="auto" w:sz="12" w:space="0"/>
            </w:tcBorders>
            <w:vAlign w:val="center"/>
          </w:tcPr>
          <w:p>
            <w:pPr>
              <w:pStyle w:val="81"/>
              <w:numPr>
                <w:ilvl w:val="255"/>
                <w:numId w:val="0"/>
              </w:numPr>
              <w:adjustRightInd w:val="0"/>
              <w:snapToGrid w:val="0"/>
              <w:spacing w:before="0" w:beforeAutospacing="0" w:after="0" w:afterAutospacing="0"/>
              <w:jc w:val="both"/>
              <w:rPr>
                <w:rFonts w:ascii="Times New Roman"/>
                <w:color w:val="000000" w:themeColor="text1"/>
                <w:sz w:val="18"/>
                <w:szCs w:val="18"/>
                <w14:textFill>
                  <w14:solidFill>
                    <w14:schemeClr w14:val="tx1"/>
                  </w14:solidFill>
                </w14:textFill>
              </w:rPr>
            </w:pPr>
            <w:r>
              <w:rPr>
                <w:rFonts w:hint="eastAsia" w:ascii="Times New Roman" w:cs="Times New Roman"/>
                <w:color w:val="000000" w:themeColor="text1"/>
                <w:kern w:val="2"/>
                <w:sz w:val="18"/>
                <w:szCs w:val="18"/>
                <w14:textFill>
                  <w14:solidFill>
                    <w14:schemeClr w14:val="tx1"/>
                  </w14:solidFill>
                </w14:textFill>
              </w:rPr>
              <w:t>提供设计实验方案</w:t>
            </w:r>
            <w:r>
              <w:rPr>
                <w:rFonts w:ascii="Times New Roman" w:cs="Times New Roman"/>
                <w:color w:val="000000" w:themeColor="text1"/>
                <w:kern w:val="2"/>
                <w:sz w:val="18"/>
                <w:szCs w:val="18"/>
                <w14:textFill>
                  <w14:solidFill>
                    <w14:schemeClr w14:val="tx1"/>
                  </w14:solidFill>
                </w14:textFill>
              </w:rPr>
              <w:t>及撰</w:t>
            </w:r>
            <w:r>
              <w:rPr>
                <w:rFonts w:hint="eastAsia" w:ascii="Times New Roman" w:cs="Times New Roman"/>
                <w:color w:val="000000" w:themeColor="text1"/>
                <w:kern w:val="2"/>
                <w:sz w:val="18"/>
                <w:szCs w:val="18"/>
                <w14:textFill>
                  <w14:solidFill>
                    <w14:schemeClr w14:val="tx1"/>
                  </w14:solidFill>
                </w14:textFill>
              </w:rPr>
              <w:t>写</w:t>
            </w:r>
            <w:r>
              <w:rPr>
                <w:rFonts w:ascii="Times New Roman" w:cs="Times New Roman"/>
                <w:color w:val="000000" w:themeColor="text1"/>
                <w:kern w:val="2"/>
                <w:sz w:val="18"/>
                <w:szCs w:val="18"/>
                <w14:textFill>
                  <w14:solidFill>
                    <w14:schemeClr w14:val="tx1"/>
                  </w14:solidFill>
                </w14:textFill>
              </w:rPr>
              <w:t>研究报告</w:t>
            </w:r>
            <w:r>
              <w:rPr>
                <w:rFonts w:hint="eastAsia" w:ascii="Times New Roman" w:cs="Times New Roman"/>
                <w:color w:val="000000" w:themeColor="text1"/>
                <w:kern w:val="2"/>
                <w:sz w:val="18"/>
                <w:szCs w:val="18"/>
                <w14:textFill>
                  <w14:solidFill>
                    <w14:schemeClr w14:val="tx1"/>
                  </w14:solidFill>
                </w14:textFill>
              </w:rPr>
              <w:t>相关</w:t>
            </w:r>
            <w:r>
              <w:rPr>
                <w:rFonts w:ascii="Times New Roman" w:cs="Times New Roman"/>
                <w:color w:val="000000" w:themeColor="text1"/>
                <w:kern w:val="2"/>
                <w:sz w:val="18"/>
                <w:szCs w:val="18"/>
                <w14:textFill>
                  <w14:solidFill>
                    <w14:schemeClr w14:val="tx1"/>
                  </w14:solidFill>
                </w14:textFill>
              </w:rPr>
              <w:t>部分</w:t>
            </w:r>
            <w:r>
              <w:rPr>
                <w:rFonts w:hint="eastAsia" w:ascii="Times New Roman" w:cs="Times New Roman"/>
                <w:color w:val="000000" w:themeColor="text1"/>
                <w:kern w:val="2"/>
                <w:sz w:val="18"/>
                <w:szCs w:val="18"/>
                <w14:textFill>
                  <w14:solidFill>
                    <w14:schemeClr w14:val="tx1"/>
                  </w14:solidFill>
                </w14:textFill>
              </w:rPr>
              <w:t>的</w:t>
            </w:r>
            <w:r>
              <w:rPr>
                <w:rFonts w:ascii="Times New Roman" w:cs="Times New Roman"/>
                <w:color w:val="000000" w:themeColor="text1"/>
                <w:kern w:val="2"/>
                <w:sz w:val="18"/>
                <w:szCs w:val="18"/>
                <w14:textFill>
                  <w14:solidFill>
                    <w14:schemeClr w14:val="tx1"/>
                  </w14:solidFill>
                </w14:textFill>
              </w:rPr>
              <w:t>指导</w:t>
            </w:r>
            <w:r>
              <w:rPr>
                <w:rFonts w:hint="eastAsia" w:ascii="Times New Roman" w:cs="Times New Roman"/>
                <w:color w:val="000000" w:themeColor="text1"/>
                <w:kern w:val="2"/>
                <w:sz w:val="18"/>
                <w:szCs w:val="18"/>
                <w14:textFill>
                  <w14:solidFill>
                    <w14:schemeClr w14:val="tx1"/>
                  </w14:solidFill>
                </w14:textFill>
              </w:rPr>
              <w:t>，组织协调。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1" w:type="dxa"/>
            <w:tcBorders>
              <w:left w:val="single" w:color="auto" w:sz="12" w:space="0"/>
            </w:tcBorders>
            <w:vAlign w:val="center"/>
          </w:tcPr>
          <w:p>
            <w:pPr>
              <w:pStyle w:val="81"/>
              <w:numPr>
                <w:ilvl w:val="255"/>
                <w:numId w:val="0"/>
              </w:numPr>
              <w:adjustRightInd w:val="0"/>
              <w:snapToGrid w:val="0"/>
              <w:spacing w:before="0" w:beforeAutospacing="0" w:after="0" w:afterAutospacing="0"/>
              <w:jc w:val="both"/>
              <w:rPr>
                <w:rFonts w:hint="default" w:ascii="Times New Roman" w:eastAsia="宋体"/>
                <w:color w:val="000000" w:themeColor="text1"/>
                <w:sz w:val="18"/>
                <w:szCs w:val="18"/>
                <w:lang w:val="en-US" w:eastAsia="zh-CN"/>
                <w14:textFill>
                  <w14:solidFill>
                    <w14:schemeClr w14:val="tx1"/>
                  </w14:solidFill>
                </w14:textFill>
              </w:rPr>
            </w:pPr>
            <w:r>
              <w:rPr>
                <w:rFonts w:hint="eastAsia" w:ascii="Times New Roman" w:cs="Times New Roman"/>
                <w:color w:val="000000" w:themeColor="text1"/>
                <w:kern w:val="2"/>
                <w:sz w:val="18"/>
                <w:szCs w:val="18"/>
                <w:lang w:val="en-US" w:eastAsia="zh-CN"/>
                <w14:textFill>
                  <w14:solidFill>
                    <w14:schemeClr w14:val="tx1"/>
                  </w14:solidFill>
                </w14:textFill>
              </w:rPr>
              <w:t>谢璐、刘鸿</w:t>
            </w:r>
            <w:bookmarkStart w:id="0" w:name="_GoBack"/>
            <w:bookmarkEnd w:id="0"/>
          </w:p>
        </w:tc>
        <w:tc>
          <w:tcPr>
            <w:tcW w:w="6159" w:type="dxa"/>
            <w:tcBorders>
              <w:right w:val="single" w:color="auto" w:sz="12" w:space="0"/>
            </w:tcBorders>
            <w:vAlign w:val="center"/>
          </w:tcPr>
          <w:p>
            <w:pPr>
              <w:pStyle w:val="81"/>
              <w:numPr>
                <w:ilvl w:val="255"/>
                <w:numId w:val="0"/>
              </w:numPr>
              <w:adjustRightInd w:val="0"/>
              <w:snapToGrid w:val="0"/>
              <w:spacing w:before="0" w:beforeAutospacing="0" w:after="0" w:afterAutospacing="0"/>
              <w:jc w:val="both"/>
              <w:rPr>
                <w:rFonts w:ascii="Times New Roman"/>
                <w:color w:val="000000" w:themeColor="text1"/>
                <w:sz w:val="18"/>
                <w:szCs w:val="18"/>
                <w14:textFill>
                  <w14:solidFill>
                    <w14:schemeClr w14:val="tx1"/>
                  </w14:solidFill>
                </w14:textFill>
              </w:rPr>
            </w:pPr>
            <w:r>
              <w:rPr>
                <w:rFonts w:hint="eastAsia" w:ascii="Times New Roman" w:cs="Times New Roman"/>
                <w:color w:val="000000" w:themeColor="text1"/>
                <w:kern w:val="2"/>
                <w:sz w:val="18"/>
                <w:szCs w:val="18"/>
                <w14:textFill>
                  <w14:solidFill>
                    <w14:schemeClr w14:val="tx1"/>
                  </w14:solidFill>
                </w14:textFill>
              </w:rPr>
              <w:t>协助完成方法的相关试验。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2901" w:type="dxa"/>
            <w:tcBorders>
              <w:left w:val="single" w:color="auto" w:sz="12" w:space="0"/>
            </w:tcBorders>
            <w:vAlign w:val="center"/>
          </w:tcPr>
          <w:p>
            <w:pPr>
              <w:pStyle w:val="81"/>
              <w:numPr>
                <w:ilvl w:val="255"/>
                <w:numId w:val="0"/>
              </w:numPr>
              <w:adjustRightInd w:val="0"/>
              <w:snapToGrid w:val="0"/>
              <w:rPr>
                <w:rFonts w:ascii="Times New Roman" w:cs="Times New Roman"/>
                <w:color w:val="FF0000"/>
                <w:kern w:val="2"/>
                <w:sz w:val="18"/>
                <w:szCs w:val="18"/>
              </w:rPr>
            </w:pPr>
            <w:r>
              <w:rPr>
                <w:rFonts w:hint="eastAsia" w:ascii="Times New Roman" w:cs="Times New Roman"/>
                <w:color w:val="000000" w:themeColor="text1"/>
                <w:kern w:val="2"/>
                <w:sz w:val="18"/>
                <w:szCs w:val="18"/>
                <w:lang w:val="en-US" w:eastAsia="zh-CN"/>
                <w14:textFill>
                  <w14:solidFill>
                    <w14:schemeClr w14:val="tx1"/>
                  </w14:solidFill>
                </w14:textFill>
              </w:rPr>
              <w:t>陈晓东、李展鹏、唐清、杨相庚、吴正雨</w:t>
            </w:r>
          </w:p>
        </w:tc>
        <w:tc>
          <w:tcPr>
            <w:tcW w:w="6159" w:type="dxa"/>
            <w:tcBorders>
              <w:right w:val="single" w:color="auto" w:sz="12" w:space="0"/>
            </w:tcBorders>
            <w:vAlign w:val="center"/>
          </w:tcPr>
          <w:p>
            <w:pPr>
              <w:pStyle w:val="81"/>
              <w:numPr>
                <w:ilvl w:val="255"/>
                <w:numId w:val="0"/>
              </w:numPr>
              <w:adjustRightInd w:val="0"/>
              <w:snapToGrid w:val="0"/>
              <w:spacing w:before="0" w:beforeAutospacing="0" w:after="0" w:afterAutospacing="0"/>
              <w:jc w:val="both"/>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作为一验</w:t>
            </w:r>
            <w:r>
              <w:rPr>
                <w:rFonts w:ascii="Times New Roman"/>
                <w:color w:val="000000" w:themeColor="text1"/>
                <w:sz w:val="18"/>
                <w:szCs w:val="18"/>
                <w14:textFill>
                  <w14:solidFill>
                    <w14:schemeClr w14:val="tx1"/>
                  </w14:solidFill>
                </w14:textFill>
              </w:rPr>
              <w:t>，对</w:t>
            </w:r>
            <w:r>
              <w:rPr>
                <w:rFonts w:hint="eastAsia" w:ascii="Times New Roman"/>
                <w:color w:val="000000" w:themeColor="text1"/>
                <w:sz w:val="18"/>
                <w:szCs w:val="18"/>
                <w14:textFill>
                  <w14:solidFill>
                    <w14:schemeClr w14:val="tx1"/>
                  </w14:solidFill>
                </w14:textFill>
              </w:rPr>
              <w:t>方法的</w:t>
            </w:r>
            <w:r>
              <w:rPr>
                <w:rFonts w:ascii="Times New Roman"/>
                <w:color w:val="000000" w:themeColor="text1"/>
                <w:sz w:val="18"/>
                <w:szCs w:val="18"/>
                <w14:textFill>
                  <w14:solidFill>
                    <w14:schemeClr w14:val="tx1"/>
                  </w14:solidFill>
                </w14:textFill>
              </w:rPr>
              <w:t>条件实验进行验证，并完成精密度和准确度数据。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1" w:type="dxa"/>
            <w:tcBorders>
              <w:left w:val="single" w:color="auto" w:sz="12" w:space="0"/>
              <w:bottom w:val="single" w:color="auto" w:sz="12" w:space="0"/>
            </w:tcBorders>
            <w:vAlign w:val="center"/>
          </w:tcPr>
          <w:p>
            <w:pPr>
              <w:pStyle w:val="81"/>
              <w:numPr>
                <w:ilvl w:val="255"/>
                <w:numId w:val="0"/>
              </w:numPr>
              <w:adjustRightInd w:val="0"/>
              <w:snapToGrid w:val="0"/>
              <w:rPr>
                <w:rFonts w:ascii="Times New Roman"/>
                <w:color w:val="FF0000"/>
                <w:sz w:val="18"/>
                <w:szCs w:val="18"/>
              </w:rPr>
            </w:pPr>
            <w:r>
              <w:rPr>
                <w:rFonts w:hint="eastAsia" w:ascii="Times New Roman" w:cs="Times New Roman"/>
                <w:color w:val="000000" w:themeColor="text1"/>
                <w:kern w:val="2"/>
                <w:sz w:val="18"/>
                <w:szCs w:val="18"/>
                <w:lang w:val="en-US" w:eastAsia="zh-CN"/>
                <w14:textFill>
                  <w14:solidFill>
                    <w14:schemeClr w14:val="tx1"/>
                  </w14:solidFill>
                </w14:textFill>
              </w:rPr>
              <w:t>张碧兰、郭辉、侯贵琼、李雪花、赖秋祥、陈祝炳、廖彬玲、黄路路、程宝香</w:t>
            </w:r>
          </w:p>
        </w:tc>
        <w:tc>
          <w:tcPr>
            <w:tcW w:w="6159" w:type="dxa"/>
            <w:tcBorders>
              <w:bottom w:val="single" w:color="auto" w:sz="12" w:space="0"/>
              <w:right w:val="single" w:color="auto" w:sz="12" w:space="0"/>
            </w:tcBorders>
            <w:vAlign w:val="center"/>
          </w:tcPr>
          <w:p>
            <w:pPr>
              <w:pStyle w:val="81"/>
              <w:numPr>
                <w:ilvl w:val="255"/>
                <w:numId w:val="0"/>
              </w:numPr>
              <w:adjustRightInd w:val="0"/>
              <w:snapToGrid w:val="0"/>
              <w:spacing w:before="0" w:beforeAutospacing="0" w:after="0" w:afterAutospacing="0"/>
              <w:jc w:val="both"/>
              <w:rPr>
                <w:rFonts w:ascii="Times New Roman" w:cs="Times New Roman"/>
                <w:color w:val="000000" w:themeColor="text1"/>
                <w:kern w:val="2"/>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作为二验，提供方法的精密度数据</w:t>
            </w:r>
            <w:r>
              <w:rPr>
                <w:rFonts w:hint="eastAsia" w:ascii="Times New Roman"/>
                <w:color w:val="000000" w:themeColor="text1"/>
                <w:sz w:val="18"/>
                <w:szCs w:val="18"/>
                <w14:textFill>
                  <w14:solidFill>
                    <w14:schemeClr w14:val="tx1"/>
                  </w14:solidFill>
                </w14:textFill>
              </w:rPr>
              <w:t>。</w:t>
            </w:r>
          </w:p>
        </w:tc>
      </w:tr>
    </w:tbl>
    <w:p>
      <w:pPr>
        <w:pStyle w:val="2"/>
      </w:pPr>
    </w:p>
    <w:p>
      <w:pPr>
        <w:adjustRightInd w:val="0"/>
        <w:snapToGrid w:val="0"/>
        <w:spacing w:line="360" w:lineRule="auto"/>
        <w:rPr>
          <w:b/>
          <w:szCs w:val="21"/>
        </w:rPr>
      </w:pPr>
      <w:r>
        <w:rPr>
          <w:b/>
          <w:szCs w:val="21"/>
        </w:rPr>
        <w:t>1.</w:t>
      </w:r>
      <w:r>
        <w:rPr>
          <w:rFonts w:hint="eastAsia"/>
          <w:b/>
          <w:szCs w:val="21"/>
          <w:lang w:val="en-US" w:eastAsia="zh-CN"/>
        </w:rPr>
        <w:t>4</w:t>
      </w:r>
      <w:r>
        <w:rPr>
          <w:rFonts w:hint="eastAsia"/>
          <w:b/>
          <w:szCs w:val="21"/>
        </w:rPr>
        <w:t xml:space="preserve">  </w:t>
      </w:r>
      <w:r>
        <w:rPr>
          <w:b/>
          <w:szCs w:val="21"/>
        </w:rPr>
        <w:t>主要工作过程</w:t>
      </w:r>
    </w:p>
    <w:p>
      <w:pPr>
        <w:adjustRightInd w:val="0"/>
        <w:snapToGrid w:val="0"/>
        <w:spacing w:line="360" w:lineRule="auto"/>
        <w:rPr>
          <w:b/>
          <w:color w:val="0000FF"/>
          <w:szCs w:val="21"/>
        </w:rPr>
      </w:pPr>
      <w:r>
        <w:rPr>
          <w:b/>
          <w:szCs w:val="21"/>
        </w:rPr>
        <w:t>1.</w:t>
      </w:r>
      <w:r>
        <w:rPr>
          <w:rFonts w:hint="eastAsia"/>
          <w:b/>
          <w:szCs w:val="21"/>
          <w:lang w:val="en-US" w:eastAsia="zh-CN"/>
        </w:rPr>
        <w:t>4</w:t>
      </w:r>
      <w:r>
        <w:rPr>
          <w:b/>
          <w:szCs w:val="21"/>
        </w:rPr>
        <w:t>.1</w:t>
      </w:r>
      <w:r>
        <w:rPr>
          <w:rFonts w:hint="eastAsia"/>
          <w:b/>
          <w:szCs w:val="21"/>
        </w:rPr>
        <w:t>起草阶段</w:t>
      </w:r>
    </w:p>
    <w:p>
      <w:pPr>
        <w:adjustRightInd w:val="0"/>
        <w:snapToGrid w:val="0"/>
        <w:ind w:firstLine="420" w:firstLineChars="200"/>
        <w:rPr>
          <w:szCs w:val="21"/>
        </w:rPr>
      </w:pPr>
      <w:r>
        <w:rPr>
          <w:szCs w:val="21"/>
        </w:rPr>
        <w:t>2021年7月</w:t>
      </w:r>
      <w:r>
        <w:rPr>
          <w:rFonts w:hint="eastAsia"/>
          <w:szCs w:val="21"/>
        </w:rPr>
        <w:t>2</w:t>
      </w:r>
      <w:r>
        <w:rPr>
          <w:szCs w:val="21"/>
        </w:rPr>
        <w:t>1日，</w:t>
      </w:r>
      <w:r>
        <w:rPr>
          <w:rFonts w:hint="eastAsia"/>
          <w:szCs w:val="21"/>
        </w:rPr>
        <w:t>获得国标委的批复，项目计划编号：</w:t>
      </w:r>
      <w:r>
        <w:rPr>
          <w:szCs w:val="21"/>
        </w:rPr>
        <w:t>20211906-T-610。</w:t>
      </w:r>
    </w:p>
    <w:p>
      <w:pPr>
        <w:adjustRightInd w:val="0"/>
        <w:snapToGrid w:val="0"/>
        <w:ind w:firstLine="420" w:firstLineChars="200"/>
        <w:rPr>
          <w:szCs w:val="21"/>
        </w:rPr>
      </w:pPr>
      <w:r>
        <w:rPr>
          <w:szCs w:val="21"/>
        </w:rPr>
        <w:t>2021年10月，</w:t>
      </w:r>
      <w:r>
        <w:rPr>
          <w:rFonts w:hint="eastAsia"/>
          <w:szCs w:val="21"/>
        </w:rPr>
        <w:t>全国有色金属标准化技术委员会稀有金属分标委组织召开了《钨精矿化学分析方法》等共</w:t>
      </w:r>
      <w:r>
        <w:rPr>
          <w:szCs w:val="21"/>
        </w:rPr>
        <w:t>8</w:t>
      </w:r>
      <w:r>
        <w:rPr>
          <w:rFonts w:hint="eastAsia"/>
          <w:szCs w:val="21"/>
        </w:rPr>
        <w:t>个部分的国家标准修订任务落实会</w:t>
      </w:r>
      <w:r>
        <w:rPr>
          <w:szCs w:val="21"/>
        </w:rPr>
        <w:t>，确定由</w:t>
      </w:r>
      <w:r>
        <w:rPr>
          <w:rFonts w:hint="eastAsia"/>
          <w:szCs w:val="21"/>
        </w:rPr>
        <w:t>广东省科学院工业分析检测中心</w:t>
      </w:r>
      <w:r>
        <w:rPr>
          <w:szCs w:val="21"/>
        </w:rPr>
        <w:t>、</w:t>
      </w:r>
      <w:r>
        <w:rPr>
          <w:rFonts w:hint="eastAsia" w:asciiTheme="minorEastAsia" w:hAnsiTheme="minorEastAsia" w:eastAsiaTheme="minorEastAsia"/>
          <w:color w:val="000000" w:themeColor="text1"/>
          <w:lang w:val="en-US" w:eastAsia="zh-CN"/>
          <w14:textFill>
            <w14:solidFill>
              <w14:schemeClr w14:val="tx1"/>
            </w14:solidFill>
          </w14:textFill>
        </w:rPr>
        <w:t>江西省</w:t>
      </w:r>
      <w:r>
        <w:rPr>
          <w:rFonts w:hint="eastAsia"/>
          <w:szCs w:val="21"/>
        </w:rPr>
        <w:t>钨与稀土产品质量监督检验中心</w:t>
      </w:r>
      <w:r>
        <w:rPr>
          <w:szCs w:val="21"/>
        </w:rPr>
        <w:t>、</w:t>
      </w:r>
      <w:r>
        <w:rPr>
          <w:rFonts w:hint="eastAsia"/>
          <w:szCs w:val="21"/>
        </w:rPr>
        <w:t>湖南柿竹园有色金属有限责任公司</w:t>
      </w:r>
      <w:r>
        <w:rPr>
          <w:szCs w:val="21"/>
        </w:rPr>
        <w:t>、</w:t>
      </w:r>
      <w:r>
        <w:rPr>
          <w:rFonts w:hint="eastAsia"/>
          <w:color w:val="000000" w:themeColor="text1"/>
          <w:szCs w:val="21"/>
          <w:lang w:val="en-US" w:eastAsia="zh-CN"/>
          <w14:textFill>
            <w14:solidFill>
              <w14:schemeClr w14:val="tx1"/>
            </w14:solidFill>
          </w14:textFill>
        </w:rPr>
        <w:t>紫金矿业集团股份有限公司</w:t>
      </w:r>
      <w:r>
        <w:rPr>
          <w:szCs w:val="21"/>
        </w:rPr>
        <w:t>、</w:t>
      </w:r>
      <w:r>
        <w:rPr>
          <w:rFonts w:hint="eastAsia"/>
          <w:szCs w:val="21"/>
        </w:rPr>
        <w:t>中国有色桂林矿产地质研究院有限公司</w:t>
      </w:r>
      <w:r>
        <w:rPr>
          <w:szCs w:val="21"/>
        </w:rPr>
        <w:t>、</w:t>
      </w:r>
      <w:r>
        <w:rPr>
          <w:rFonts w:hint="eastAsia"/>
          <w:szCs w:val="21"/>
        </w:rPr>
        <w:t>紫金铜业有限公司</w:t>
      </w:r>
      <w:r>
        <w:rPr>
          <w:szCs w:val="21"/>
        </w:rPr>
        <w:t>、</w:t>
      </w:r>
      <w:r>
        <w:rPr>
          <w:rFonts w:hint="eastAsia"/>
          <w:szCs w:val="21"/>
        </w:rPr>
        <w:t>湖南柿竹园有色金属有限责任公司郴州钨制品分公司7家单位参与</w:t>
      </w:r>
      <w:r>
        <w:rPr>
          <w:szCs w:val="21"/>
        </w:rPr>
        <w:t>起草验证。</w:t>
      </w:r>
    </w:p>
    <w:p>
      <w:pPr>
        <w:adjustRightInd w:val="0"/>
        <w:snapToGrid w:val="0"/>
        <w:ind w:firstLine="420" w:firstLineChars="200"/>
        <w:rPr>
          <w:szCs w:val="21"/>
        </w:rPr>
      </w:pPr>
      <w:r>
        <w:rPr>
          <w:szCs w:val="21"/>
        </w:rPr>
        <w:t>2021年11月</w:t>
      </w:r>
      <w:r>
        <w:rPr>
          <w:rFonts w:hint="eastAsia"/>
          <w:szCs w:val="21"/>
        </w:rPr>
        <w:t>，</w:t>
      </w:r>
      <w:r>
        <w:rPr>
          <w:rFonts w:hAnsi="宋体"/>
          <w:kern w:val="0"/>
          <w:szCs w:val="21"/>
        </w:rPr>
        <w:t>赣州有色冶金研究所</w:t>
      </w:r>
      <w:r>
        <w:rPr>
          <w:rFonts w:hint="eastAsia" w:hAnsi="宋体"/>
          <w:kern w:val="0"/>
          <w:szCs w:val="21"/>
        </w:rPr>
        <w:t>有限公司组建</w:t>
      </w:r>
      <w:r>
        <w:rPr>
          <w:szCs w:val="21"/>
        </w:rPr>
        <w:t>《</w:t>
      </w:r>
      <w:r>
        <w:rPr>
          <w:rFonts w:hint="eastAsia"/>
          <w:szCs w:val="21"/>
        </w:rPr>
        <w:t>钨精矿</w:t>
      </w:r>
      <w:r>
        <w:rPr>
          <w:szCs w:val="21"/>
        </w:rPr>
        <w:t>化学分析方法</w:t>
      </w:r>
      <w:r>
        <w:rPr>
          <w:rFonts w:hint="eastAsia"/>
          <w:szCs w:val="21"/>
        </w:rPr>
        <w:t>第</w:t>
      </w:r>
      <w:r>
        <w:rPr>
          <w:szCs w:val="21"/>
        </w:rPr>
        <w:t>10</w:t>
      </w:r>
      <w:r>
        <w:rPr>
          <w:rFonts w:hint="eastAsia"/>
          <w:szCs w:val="21"/>
        </w:rPr>
        <w:t>部分</w:t>
      </w:r>
      <w:r>
        <w:rPr>
          <w:szCs w:val="21"/>
        </w:rPr>
        <w:t>：</w:t>
      </w:r>
      <w:r>
        <w:rPr>
          <w:rFonts w:hint="eastAsia"/>
          <w:szCs w:val="21"/>
        </w:rPr>
        <w:t>铅</w:t>
      </w:r>
      <w:r>
        <w:rPr>
          <w:szCs w:val="21"/>
        </w:rPr>
        <w:t>含量的测定</w:t>
      </w:r>
      <w:r>
        <w:rPr>
          <w:rFonts w:hint="eastAsia"/>
          <w:szCs w:val="21"/>
        </w:rPr>
        <w:t xml:space="preserve"> </w:t>
      </w:r>
      <w:r>
        <w:rPr>
          <w:rFonts w:hint="eastAsia" w:asciiTheme="minorEastAsia" w:hAnsiTheme="minorEastAsia" w:eastAsiaTheme="minorEastAsia"/>
          <w:color w:val="000000" w:themeColor="text1"/>
          <w:szCs w:val="21"/>
          <w14:textFill>
            <w14:solidFill>
              <w14:schemeClr w14:val="tx1"/>
            </w14:solidFill>
          </w14:textFill>
        </w:rPr>
        <w:t>氢化物发生原子荧光光谱法和火焰原子吸收光谱法</w:t>
      </w:r>
      <w:r>
        <w:rPr>
          <w:szCs w:val="21"/>
        </w:rPr>
        <w:t>》</w:t>
      </w:r>
      <w:r>
        <w:rPr>
          <w:rFonts w:hint="eastAsia"/>
          <w:szCs w:val="21"/>
        </w:rPr>
        <w:t>标准编制</w:t>
      </w:r>
      <w:r>
        <w:rPr>
          <w:szCs w:val="21"/>
        </w:rPr>
        <w:t>小组，</w:t>
      </w:r>
      <w:r>
        <w:rPr>
          <w:rFonts w:hint="eastAsia"/>
          <w:szCs w:val="21"/>
        </w:rPr>
        <w:t>确定编制组成员，落实试验任务分工，确定标准编审原则</w:t>
      </w:r>
      <w:r>
        <w:rPr>
          <w:rFonts w:hAnsi="宋体"/>
          <w:kern w:val="0"/>
          <w:szCs w:val="21"/>
        </w:rPr>
        <w:t>。</w:t>
      </w:r>
    </w:p>
    <w:p>
      <w:pPr>
        <w:adjustRightInd w:val="0"/>
        <w:snapToGrid w:val="0"/>
        <w:ind w:firstLine="420" w:firstLineChars="200"/>
        <w:rPr>
          <w:szCs w:val="21"/>
        </w:rPr>
      </w:pPr>
      <w:r>
        <w:rPr>
          <w:szCs w:val="21"/>
        </w:rPr>
        <w:t>2022年5月，</w:t>
      </w:r>
      <w:r>
        <w:rPr>
          <w:rFonts w:hint="eastAsia"/>
          <w:szCs w:val="21"/>
        </w:rPr>
        <w:t>编制组</w:t>
      </w:r>
      <w:r>
        <w:rPr>
          <w:szCs w:val="21"/>
        </w:rPr>
        <w:t>完成</w:t>
      </w:r>
      <w:r>
        <w:rPr>
          <w:rFonts w:hint="eastAsia"/>
          <w:szCs w:val="21"/>
        </w:rPr>
        <w:t>统一</w:t>
      </w:r>
      <w:r>
        <w:rPr>
          <w:szCs w:val="21"/>
        </w:rPr>
        <w:t>样</w:t>
      </w:r>
      <w:r>
        <w:rPr>
          <w:rFonts w:hint="eastAsia"/>
          <w:szCs w:val="21"/>
        </w:rPr>
        <w:t>收集</w:t>
      </w:r>
      <w:r>
        <w:rPr>
          <w:szCs w:val="21"/>
        </w:rPr>
        <w:t>和</w:t>
      </w:r>
      <w:r>
        <w:rPr>
          <w:rFonts w:hint="eastAsia"/>
          <w:szCs w:val="21"/>
        </w:rPr>
        <w:t>所有试验工作，形成</w:t>
      </w:r>
      <w:r>
        <w:rPr>
          <w:szCs w:val="21"/>
        </w:rPr>
        <w:t>方法讨论稿和实验报告。</w:t>
      </w:r>
    </w:p>
    <w:p>
      <w:pPr>
        <w:adjustRightInd w:val="0"/>
        <w:snapToGrid w:val="0"/>
        <w:ind w:firstLine="420" w:firstLineChars="200"/>
        <w:rPr>
          <w:szCs w:val="21"/>
        </w:rPr>
      </w:pPr>
      <w:r>
        <w:rPr>
          <w:rFonts w:hint="eastAsia"/>
          <w:szCs w:val="21"/>
        </w:rPr>
        <w:t>2022年5月30至31日召开稀有金属标准网络工作会，会上对本项目标准文本、试验报告等进行了讨论，会上专家代表对本标准（讨论稿）及编制说明提出了修改意见。</w:t>
      </w:r>
    </w:p>
    <w:p>
      <w:pPr>
        <w:tabs>
          <w:tab w:val="left" w:pos="709"/>
        </w:tabs>
        <w:ind w:firstLine="420" w:firstLineChars="200"/>
        <w:rPr>
          <w:rFonts w:hAnsi="宋体"/>
          <w:kern w:val="0"/>
          <w:szCs w:val="21"/>
        </w:rPr>
      </w:pPr>
      <w:r>
        <w:rPr>
          <w:rFonts w:hint="eastAsia" w:hAnsi="宋体"/>
          <w:kern w:val="0"/>
          <w:szCs w:val="21"/>
        </w:rPr>
        <w:t>2022年6月，</w:t>
      </w:r>
      <w:r>
        <w:rPr>
          <w:rFonts w:hAnsi="宋体"/>
          <w:kern w:val="0"/>
          <w:szCs w:val="21"/>
        </w:rPr>
        <w:t>将试验样品和试验报告</w:t>
      </w:r>
      <w:r>
        <w:rPr>
          <w:rFonts w:hint="eastAsia" w:hAnsi="宋体"/>
          <w:kern w:val="0"/>
          <w:szCs w:val="21"/>
        </w:rPr>
        <w:t>寄</w:t>
      </w:r>
      <w:r>
        <w:rPr>
          <w:rFonts w:hAnsi="宋体"/>
          <w:kern w:val="0"/>
          <w:szCs w:val="21"/>
        </w:rPr>
        <w:t>给</w:t>
      </w:r>
      <w:r>
        <w:rPr>
          <w:rFonts w:hint="eastAsia" w:hAnsi="宋体"/>
          <w:kern w:val="0"/>
          <w:szCs w:val="21"/>
        </w:rPr>
        <w:t>有</w:t>
      </w:r>
      <w:r>
        <w:rPr>
          <w:rFonts w:hAnsi="宋体"/>
          <w:kern w:val="0"/>
          <w:szCs w:val="21"/>
        </w:rPr>
        <w:t>关验证单位，进行</w:t>
      </w:r>
      <w:r>
        <w:rPr>
          <w:rFonts w:hint="eastAsia" w:hAnsi="宋体"/>
          <w:kern w:val="0"/>
          <w:szCs w:val="21"/>
        </w:rPr>
        <w:t>方法</w:t>
      </w:r>
      <w:r>
        <w:rPr>
          <w:rFonts w:hAnsi="宋体"/>
          <w:kern w:val="0"/>
          <w:szCs w:val="21"/>
        </w:rPr>
        <w:t>的验证试验和</w:t>
      </w:r>
      <w:r>
        <w:rPr>
          <w:rFonts w:hint="eastAsia" w:hAnsi="宋体"/>
          <w:kern w:val="0"/>
          <w:szCs w:val="21"/>
        </w:rPr>
        <w:t>讨论</w:t>
      </w:r>
      <w:r>
        <w:rPr>
          <w:rFonts w:hAnsi="宋体"/>
          <w:kern w:val="0"/>
          <w:szCs w:val="21"/>
        </w:rPr>
        <w:t>稿征求意见工作。</w:t>
      </w:r>
    </w:p>
    <w:p>
      <w:pPr>
        <w:tabs>
          <w:tab w:val="left" w:pos="709"/>
        </w:tabs>
        <w:ind w:firstLine="420" w:firstLineChars="200"/>
        <w:rPr>
          <w:rFonts w:hint="eastAsia" w:hAnsi="宋体"/>
          <w:kern w:val="0"/>
          <w:szCs w:val="21"/>
        </w:rPr>
      </w:pPr>
      <w:r>
        <w:rPr>
          <w:rFonts w:hint="eastAsia" w:hAnsi="宋体"/>
          <w:kern w:val="0"/>
          <w:szCs w:val="21"/>
        </w:rPr>
        <w:t>2022年8月，各验证单位完成验证实验，返回试验报告。完成数据统计和标准征求意见稿。详见意见</w:t>
      </w:r>
      <w:r>
        <w:rPr>
          <w:rFonts w:hint="eastAsia" w:hAnsi="宋体"/>
          <w:kern w:val="0"/>
          <w:szCs w:val="21"/>
          <w:lang w:val="en-US" w:eastAsia="zh-CN"/>
        </w:rPr>
        <w:t>处理</w:t>
      </w:r>
      <w:r>
        <w:rPr>
          <w:rFonts w:hint="eastAsia" w:hAnsi="宋体"/>
          <w:kern w:val="0"/>
          <w:szCs w:val="21"/>
        </w:rPr>
        <w:t>表</w:t>
      </w:r>
      <w:r>
        <w:rPr>
          <w:rFonts w:hint="eastAsia" w:hAnsi="宋体"/>
          <w:kern w:val="0"/>
          <w:szCs w:val="21"/>
          <w:lang w:val="en-US" w:eastAsia="zh-CN"/>
        </w:rPr>
        <w:t>附录A</w:t>
      </w:r>
      <w:r>
        <w:rPr>
          <w:rFonts w:hint="eastAsia" w:hAnsi="宋体"/>
          <w:kern w:val="0"/>
          <w:szCs w:val="21"/>
        </w:rPr>
        <w:t>。</w:t>
      </w:r>
    </w:p>
    <w:p>
      <w:pPr>
        <w:tabs>
          <w:tab w:val="left" w:pos="709"/>
        </w:tabs>
        <w:ind w:firstLine="420" w:firstLineChars="200"/>
        <w:rPr>
          <w:rFonts w:hint="eastAsia" w:ascii="Times New Roman" w:hAnsi="宋体" w:eastAsia="宋体" w:cs="Times New Roman"/>
          <w:b w:val="0"/>
          <w:bCs w:val="0"/>
          <w:color w:val="auto"/>
          <w:kern w:val="0"/>
          <w:sz w:val="21"/>
          <w:szCs w:val="21"/>
          <w:lang w:val="en-US" w:eastAsia="zh-CN" w:bidi="ar-SA"/>
        </w:rPr>
      </w:pPr>
      <w:r>
        <w:rPr>
          <w:rFonts w:hint="eastAsia" w:ascii="Times New Roman" w:hAnsi="宋体" w:eastAsia="宋体" w:cs="Times New Roman"/>
          <w:b w:val="0"/>
          <w:bCs w:val="0"/>
          <w:color w:val="auto"/>
          <w:kern w:val="0"/>
          <w:sz w:val="21"/>
          <w:szCs w:val="21"/>
          <w:lang w:val="en-US" w:eastAsia="zh-CN" w:bidi="ar-SA"/>
        </w:rPr>
        <w:t>2022年8月24-26日，全国有色金属标准化技术委员会稀有金属分标委在湖北宜昌召开标准预审工作会议，会上各位专家针对存在的问题提出了宝贵意见。</w:t>
      </w:r>
    </w:p>
    <w:p>
      <w:pPr>
        <w:adjustRightInd w:val="0"/>
        <w:snapToGrid w:val="0"/>
        <w:spacing w:line="360" w:lineRule="auto"/>
      </w:pPr>
      <w:r>
        <w:rPr>
          <w:b/>
          <w:szCs w:val="21"/>
        </w:rPr>
        <w:t>1.</w:t>
      </w:r>
      <w:r>
        <w:rPr>
          <w:rFonts w:hint="eastAsia"/>
          <w:b/>
          <w:szCs w:val="21"/>
          <w:lang w:val="en-US" w:eastAsia="zh-CN"/>
        </w:rPr>
        <w:t>4</w:t>
      </w:r>
      <w:r>
        <w:rPr>
          <w:b/>
          <w:szCs w:val="21"/>
        </w:rPr>
        <w:t>.2</w:t>
      </w:r>
      <w:r>
        <w:rPr>
          <w:rFonts w:hint="eastAsia"/>
          <w:b/>
          <w:szCs w:val="21"/>
        </w:rPr>
        <w:t>征求意见阶段</w:t>
      </w:r>
    </w:p>
    <w:p>
      <w:pPr>
        <w:tabs>
          <w:tab w:val="left" w:pos="709"/>
        </w:tabs>
        <w:ind w:firstLine="420" w:firstLineChars="200"/>
        <w:rPr>
          <w:rFonts w:hint="eastAsia" w:hAnsi="宋体"/>
          <w:kern w:val="0"/>
          <w:szCs w:val="21"/>
        </w:rPr>
      </w:pPr>
      <w:r>
        <w:rPr>
          <w:rFonts w:hint="eastAsia" w:hAnsi="宋体"/>
          <w:kern w:val="0"/>
          <w:szCs w:val="21"/>
        </w:rPr>
        <w:t>2022年8月19日编制组通过中国有色金属标准质量信息网上公开、会议、发函等形式对《钨精矿化学分析方法第</w:t>
      </w:r>
      <w:r>
        <w:rPr>
          <w:rFonts w:hAnsi="宋体"/>
          <w:kern w:val="0"/>
          <w:szCs w:val="21"/>
        </w:rPr>
        <w:t>10</w:t>
      </w:r>
      <w:r>
        <w:rPr>
          <w:rFonts w:hint="eastAsia" w:hAnsi="宋体"/>
          <w:kern w:val="0"/>
          <w:szCs w:val="21"/>
        </w:rPr>
        <w:t>部分：铅含量的测定</w:t>
      </w:r>
      <w:r>
        <w:rPr>
          <w:rFonts w:hint="eastAsia" w:hAnsi="宋体"/>
          <w:kern w:val="0"/>
          <w:szCs w:val="21"/>
          <w:lang w:val="en-US" w:eastAsia="zh-CN"/>
        </w:rPr>
        <w:t xml:space="preserve"> </w:t>
      </w:r>
      <w:r>
        <w:rPr>
          <w:rFonts w:hint="eastAsia" w:asciiTheme="minorEastAsia" w:hAnsiTheme="minorEastAsia" w:eastAsiaTheme="minorEastAsia"/>
          <w:color w:val="000000" w:themeColor="text1"/>
          <w:szCs w:val="21"/>
          <w14:textFill>
            <w14:solidFill>
              <w14:schemeClr w14:val="tx1"/>
            </w14:solidFill>
          </w14:textFill>
        </w:rPr>
        <w:t>氢化物发生原子荧光光谱法和火焰原子吸收光谱法</w:t>
      </w:r>
      <w:r>
        <w:rPr>
          <w:rFonts w:hint="eastAsia" w:hAnsi="宋体"/>
          <w:kern w:val="0"/>
          <w:szCs w:val="21"/>
        </w:rPr>
        <w:t>》（征求意见稿）征询意见。</w:t>
      </w:r>
    </w:p>
    <w:p>
      <w:pPr>
        <w:tabs>
          <w:tab w:val="left" w:pos="709"/>
        </w:tabs>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2022年8月</w:t>
      </w:r>
      <w:r>
        <w:rPr>
          <w:rFonts w:asciiTheme="minorEastAsia" w:hAnsiTheme="minorEastAsia" w:eastAsiaTheme="minorEastAsia"/>
          <w:kern w:val="0"/>
          <w:szCs w:val="21"/>
        </w:rPr>
        <w:t>25</w:t>
      </w:r>
      <w:r>
        <w:rPr>
          <w:rFonts w:hint="eastAsia" w:asciiTheme="minorEastAsia" w:hAnsiTheme="minorEastAsia" w:eastAsiaTheme="minorEastAsia"/>
          <w:kern w:val="0"/>
          <w:szCs w:val="21"/>
        </w:rPr>
        <w:t>-</w:t>
      </w:r>
      <w:r>
        <w:rPr>
          <w:rFonts w:asciiTheme="minorEastAsia" w:hAnsiTheme="minorEastAsia" w:eastAsiaTheme="minorEastAsia"/>
          <w:kern w:val="0"/>
          <w:szCs w:val="21"/>
        </w:rPr>
        <w:t>26</w:t>
      </w:r>
      <w:r>
        <w:rPr>
          <w:rFonts w:hint="eastAsia" w:asciiTheme="minorEastAsia" w:hAnsiTheme="minorEastAsia" w:eastAsiaTheme="minorEastAsia"/>
          <w:kern w:val="0"/>
          <w:szCs w:val="21"/>
        </w:rPr>
        <w:t>日，全国有色金属标准化技术委员会稀有金属分标委在湖北宜昌召开标准预审工作会议，</w:t>
      </w:r>
      <w:r>
        <w:rPr>
          <w:rFonts w:hint="eastAsia" w:asciiTheme="minorEastAsia" w:hAnsiTheme="minorEastAsia" w:eastAsiaTheme="minorEastAsia"/>
          <w:kern w:val="0"/>
          <w:szCs w:val="21"/>
          <w:lang w:val="en-US" w:eastAsia="zh-CN"/>
        </w:rPr>
        <w:t>会上</w:t>
      </w:r>
      <w:r>
        <w:rPr>
          <w:rFonts w:hint="eastAsia" w:asciiTheme="minorEastAsia" w:hAnsiTheme="minorEastAsia" w:eastAsiaTheme="minorEastAsia"/>
          <w:kern w:val="0"/>
          <w:szCs w:val="21"/>
        </w:rPr>
        <w:t>专家对</w:t>
      </w:r>
      <w:r>
        <w:rPr>
          <w:rFonts w:hint="eastAsia" w:asciiTheme="minorEastAsia" w:hAnsiTheme="minorEastAsia" w:eastAsiaTheme="minorEastAsia"/>
          <w:color w:val="000000" w:themeColor="text1"/>
          <w:szCs w:val="21"/>
          <w14:textFill>
            <w14:solidFill>
              <w14:schemeClr w14:val="tx1"/>
            </w14:solidFill>
          </w14:textFill>
        </w:rPr>
        <w:t>《钨精矿化学分析方法 第</w:t>
      </w:r>
      <w:r>
        <w:rPr>
          <w:rFonts w:hint="eastAsia" w:asciiTheme="minorEastAsia" w:hAnsiTheme="minorEastAsia" w:eastAsiaTheme="minorEastAsia"/>
          <w:color w:val="000000" w:themeColor="text1"/>
          <w:szCs w:val="21"/>
          <w:lang w:val="en-US" w:eastAsia="zh-CN"/>
          <w14:textFill>
            <w14:solidFill>
              <w14:schemeClr w14:val="tx1"/>
            </w14:solidFill>
          </w14:textFill>
        </w:rPr>
        <w:t>10</w:t>
      </w:r>
      <w:r>
        <w:rPr>
          <w:rFonts w:hint="eastAsia" w:asciiTheme="minorEastAsia" w:hAnsiTheme="minorEastAsia" w:eastAsiaTheme="minorEastAsia"/>
          <w:color w:val="000000" w:themeColor="text1"/>
          <w:szCs w:val="21"/>
          <w14:textFill>
            <w14:solidFill>
              <w14:schemeClr w14:val="tx1"/>
            </w14:solidFill>
          </w14:textFill>
        </w:rPr>
        <w:t>部分：</w:t>
      </w:r>
      <w:r>
        <w:rPr>
          <w:rFonts w:hint="eastAsia" w:hAnsi="宋体"/>
          <w:kern w:val="0"/>
          <w:szCs w:val="21"/>
        </w:rPr>
        <w:t>铅含量的测定</w:t>
      </w:r>
      <w:r>
        <w:rPr>
          <w:rFonts w:hint="eastAsia" w:hAnsi="宋体"/>
          <w:kern w:val="0"/>
          <w:szCs w:val="21"/>
          <w:lang w:val="en-US" w:eastAsia="zh-CN"/>
        </w:rPr>
        <w:t xml:space="preserve"> </w:t>
      </w:r>
      <w:r>
        <w:rPr>
          <w:rFonts w:hint="eastAsia" w:asciiTheme="minorEastAsia" w:hAnsiTheme="minorEastAsia" w:eastAsiaTheme="minorEastAsia"/>
          <w:color w:val="000000" w:themeColor="text1"/>
          <w:szCs w:val="21"/>
          <w14:textFill>
            <w14:solidFill>
              <w14:schemeClr w14:val="tx1"/>
            </w14:solidFill>
          </w14:textFill>
        </w:rPr>
        <w:t>氢化物发生原子荧光光谱法和火焰原子吸收光谱法》</w:t>
      </w:r>
      <w:r>
        <w:rPr>
          <w:rFonts w:hint="eastAsia"/>
        </w:rPr>
        <w:t>（征求意见稿）</w:t>
      </w:r>
      <w:r>
        <w:rPr>
          <w:rFonts w:hint="eastAsia" w:asciiTheme="minorEastAsia" w:hAnsiTheme="minorEastAsia" w:eastAsiaTheme="minorEastAsia"/>
          <w:kern w:val="0"/>
          <w:szCs w:val="21"/>
        </w:rPr>
        <w:t>进行了讨论，并提出了宝贵意见。</w:t>
      </w:r>
    </w:p>
    <w:p>
      <w:pPr>
        <w:adjustRightInd w:val="0"/>
        <w:snapToGrid w:val="0"/>
        <w:spacing w:before="156" w:beforeLines="50" w:after="156" w:afterLines="50" w:line="360" w:lineRule="auto"/>
        <w:rPr>
          <w:b/>
          <w:szCs w:val="21"/>
        </w:rPr>
      </w:pPr>
      <w:r>
        <w:rPr>
          <w:rFonts w:hint="eastAsia"/>
          <w:b/>
          <w:szCs w:val="21"/>
        </w:rPr>
        <w:t>2</w:t>
      </w:r>
      <w:r>
        <w:rPr>
          <w:b/>
          <w:szCs w:val="21"/>
        </w:rPr>
        <w:t>、标准编制原则和主要技术内容</w:t>
      </w:r>
    </w:p>
    <w:p>
      <w:pPr>
        <w:adjustRightInd w:val="0"/>
        <w:snapToGrid w:val="0"/>
        <w:spacing w:line="360" w:lineRule="auto"/>
        <w:rPr>
          <w:b/>
          <w:szCs w:val="21"/>
        </w:rPr>
      </w:pPr>
      <w:r>
        <w:rPr>
          <w:b/>
          <w:szCs w:val="21"/>
        </w:rPr>
        <w:t>2.1 编制原则</w:t>
      </w:r>
    </w:p>
    <w:p>
      <w:pPr>
        <w:adjustRightInd w:val="0"/>
        <w:snapToGrid w:val="0"/>
        <w:ind w:firstLine="420" w:firstLineChars="200"/>
        <w:rPr>
          <w:szCs w:val="21"/>
        </w:rPr>
      </w:pPr>
      <w:r>
        <w:rPr>
          <w:szCs w:val="21"/>
        </w:rPr>
        <w:t>标准的格式严格按照GB/T 1.1-2020《</w:t>
      </w:r>
      <w:r>
        <w:rPr>
          <w:rFonts w:hint="eastAsia"/>
          <w:szCs w:val="21"/>
        </w:rPr>
        <w:t>标准化工作导则 第1部分：标准化文件的结构和起草规则</w:t>
      </w:r>
      <w:r>
        <w:rPr>
          <w:szCs w:val="21"/>
        </w:rPr>
        <w:t>》的规定进行。</w:t>
      </w:r>
    </w:p>
    <w:p>
      <w:pPr>
        <w:adjustRightInd w:val="0"/>
        <w:snapToGrid w:val="0"/>
        <w:ind w:firstLine="420" w:firstLineChars="200"/>
        <w:rPr>
          <w:szCs w:val="21"/>
        </w:rPr>
      </w:pPr>
      <w:r>
        <w:rPr>
          <w:szCs w:val="21"/>
        </w:rPr>
        <w:t>本标准选择方法的原则主要是考虑方法的适用性和准确性和一定的先进性。</w:t>
      </w:r>
    </w:p>
    <w:p>
      <w:pPr>
        <w:adjustRightInd w:val="0"/>
        <w:snapToGrid w:val="0"/>
        <w:ind w:firstLine="420" w:firstLineChars="200"/>
        <w:rPr>
          <w:szCs w:val="21"/>
        </w:rPr>
      </w:pPr>
      <w:r>
        <w:rPr>
          <w:szCs w:val="21"/>
        </w:rPr>
        <w:t>为了满足</w:t>
      </w:r>
      <w:r>
        <w:rPr>
          <w:rFonts w:hint="eastAsia"/>
          <w:szCs w:val="21"/>
        </w:rPr>
        <w:t>钨精矿</w:t>
      </w:r>
      <w:r>
        <w:rPr>
          <w:szCs w:val="21"/>
        </w:rPr>
        <w:t>产品生产和贸易的要求，规定了合适的测定范围。</w:t>
      </w:r>
    </w:p>
    <w:p>
      <w:pPr>
        <w:adjustRightInd w:val="0"/>
        <w:snapToGrid w:val="0"/>
        <w:spacing w:before="156" w:beforeLines="50"/>
        <w:rPr>
          <w:b/>
          <w:szCs w:val="21"/>
        </w:rPr>
      </w:pPr>
      <w:r>
        <w:rPr>
          <w:b/>
          <w:szCs w:val="21"/>
        </w:rPr>
        <w:t>2.2标准</w:t>
      </w:r>
      <w:r>
        <w:rPr>
          <w:rFonts w:hint="eastAsia"/>
          <w:b/>
          <w:szCs w:val="21"/>
        </w:rPr>
        <w:t>主要</w:t>
      </w:r>
      <w:r>
        <w:rPr>
          <w:b/>
          <w:szCs w:val="21"/>
        </w:rPr>
        <w:t>内容</w:t>
      </w:r>
      <w:r>
        <w:rPr>
          <w:rFonts w:asciiTheme="minorEastAsia" w:hAnsiTheme="minorEastAsia" w:eastAsiaTheme="minorEastAsia"/>
          <w:b/>
          <w:szCs w:val="21"/>
        </w:rPr>
        <w:t>、</w:t>
      </w:r>
      <w:r>
        <w:rPr>
          <w:rFonts w:hint="eastAsia"/>
          <w:b/>
          <w:szCs w:val="21"/>
        </w:rPr>
        <w:t>确定依据</w:t>
      </w:r>
    </w:p>
    <w:p>
      <w:pPr>
        <w:adjustRightInd w:val="0"/>
        <w:snapToGrid w:val="0"/>
        <w:ind w:firstLine="420" w:firstLineChars="200"/>
        <w:rPr>
          <w:szCs w:val="21"/>
        </w:rPr>
      </w:pPr>
      <w:r>
        <w:rPr>
          <w:rFonts w:hint="eastAsia"/>
          <w:szCs w:val="21"/>
        </w:rPr>
        <w:t>本标准为修订标准，因此在标准的修订过程中主要对以下几个方面进行了确认:现行钨精矿铅含量测定的国家标准GB/T 6150.10《钨精矿化学分析方法 铅量的测定》, 颁布至今已有十余年，对钨精矿行业起到了积极的作用。但由于其采用的是原子吸收光谱法，虽方法经典，杂质干扰少，操作简单，适用范围广。但在实际工作中，由于铅的灵敏度较低且稳定性差，对于低含量的铅的测定，通常是采用称大样解决。这就存在分解时间长且效果差，大量的钨以钨酸沉淀存在，使待测液浑浊难澄清，并且易吸附待测元素，结果容易偏低，不稳定。</w:t>
      </w:r>
    </w:p>
    <w:p>
      <w:pPr>
        <w:adjustRightInd w:val="0"/>
        <w:snapToGrid w:val="0"/>
        <w:ind w:firstLine="420" w:firstLineChars="200"/>
        <w:rPr>
          <w:szCs w:val="21"/>
        </w:rPr>
      </w:pPr>
      <w:r>
        <w:rPr>
          <w:rFonts w:hint="eastAsia"/>
          <w:szCs w:val="21"/>
        </w:rPr>
        <w:t>近年来，氢化物发生技术和原子荧光光谱联用使其成为一种具有较大实用价值的分析技术，原子荧光采用氢化物分离技术，无色散分光系统，具有灵敏度高，干扰少，分析速度快，操作简单等特点。氢化物发生-原子荧光联用广泛用于环保，医学，冶金等领域。</w:t>
      </w:r>
    </w:p>
    <w:p>
      <w:pPr>
        <w:adjustRightInd w:val="0"/>
        <w:snapToGrid w:val="0"/>
        <w:ind w:firstLine="420" w:firstLineChars="200"/>
        <w:rPr>
          <w:szCs w:val="21"/>
        </w:rPr>
      </w:pPr>
      <w:r>
        <w:rPr>
          <w:rFonts w:hint="eastAsia"/>
          <w:szCs w:val="21"/>
        </w:rPr>
        <w:t>本次修订在保留原有原子吸收光谱法的基础上增加氢化物发生原子荧光光谱法，扩大了检测范围，在测定低品位的铅时具有称样少，分解效果好，灵敏度高，稳定性好的特点，可以完善原国家标准，提高标准的适应性。</w:t>
      </w:r>
    </w:p>
    <w:p>
      <w:pPr>
        <w:pStyle w:val="127"/>
        <w:numPr>
          <w:ilvl w:val="0"/>
          <w:numId w:val="0"/>
        </w:numPr>
        <w:spacing w:before="156" w:after="0" w:afterLines="0"/>
        <w:rPr>
          <w:b/>
          <w:szCs w:val="21"/>
        </w:rPr>
      </w:pPr>
      <w:r>
        <w:rPr>
          <w:b/>
          <w:szCs w:val="21"/>
        </w:rPr>
        <w:t>方法1：</w:t>
      </w:r>
      <w:r>
        <w:rPr>
          <w:rFonts w:hint="eastAsia" w:ascii="Times New Roman" w:eastAsia="宋体"/>
          <w:b/>
          <w:kern w:val="2"/>
          <w:szCs w:val="21"/>
        </w:rPr>
        <w:t>氢化物发生原子荧光光谱法</w:t>
      </w:r>
    </w:p>
    <w:p>
      <w:pPr>
        <w:adjustRightInd w:val="0"/>
        <w:snapToGrid w:val="0"/>
        <w:ind w:firstLine="420" w:firstLineChars="200"/>
        <w:rPr>
          <w:szCs w:val="21"/>
        </w:rPr>
      </w:pPr>
      <w:r>
        <w:rPr>
          <w:rFonts w:hint="eastAsia"/>
          <w:szCs w:val="21"/>
        </w:rPr>
        <w:t>试样在沸水浴上以盐酸分解，加入硝酸，</w:t>
      </w:r>
      <w:r>
        <w:rPr>
          <w:rFonts w:hint="eastAsia"/>
          <w:kern w:val="0"/>
          <w:szCs w:val="21"/>
        </w:rPr>
        <w:t>高氯酸加热溶解至冒浓白烟，在除去了大量钨基体的酸性溶液中，</w:t>
      </w:r>
      <w:r>
        <w:rPr>
          <w:rFonts w:hint="eastAsia"/>
          <w:szCs w:val="21"/>
        </w:rPr>
        <w:t>用草酸做干扰元素掩蔽剂，以铁氰化钾做氧化剂</w:t>
      </w:r>
      <w:r>
        <w:rPr>
          <w:rFonts w:hint="eastAsia"/>
          <w:kern w:val="0"/>
          <w:szCs w:val="21"/>
        </w:rPr>
        <w:t>，在氢化物发生器中，铅被硼氢化钾还原为氢化物，于原子荧光光谱仪上测定其荧光强度。</w:t>
      </w:r>
      <w:r>
        <w:rPr>
          <w:szCs w:val="21"/>
        </w:rPr>
        <w:t>测定范围（质量分数）</w:t>
      </w:r>
      <w:r>
        <w:rPr>
          <w:rFonts w:hint="eastAsia"/>
          <w:szCs w:val="21"/>
        </w:rPr>
        <w:t>：</w:t>
      </w:r>
      <w:r>
        <w:rPr>
          <w:szCs w:val="21"/>
        </w:rPr>
        <w:t>0.</w:t>
      </w:r>
      <w:r>
        <w:rPr>
          <w:rFonts w:hint="eastAsia"/>
          <w:szCs w:val="21"/>
        </w:rPr>
        <w:t>001</w:t>
      </w:r>
      <w:r>
        <w:rPr>
          <w:rFonts w:asciiTheme="minorEastAsia" w:hAnsiTheme="minorEastAsia" w:eastAsiaTheme="minorEastAsia"/>
        </w:rPr>
        <w:t> </w:t>
      </w:r>
      <w:r>
        <w:rPr>
          <w:szCs w:val="21"/>
        </w:rPr>
        <w:t>0</w:t>
      </w:r>
      <w:r>
        <w:rPr>
          <w:rFonts w:asciiTheme="minorEastAsia" w:hAnsiTheme="minorEastAsia" w:eastAsiaTheme="minorEastAsia"/>
        </w:rPr>
        <w:t> </w:t>
      </w:r>
      <w:r>
        <w:rPr>
          <w:szCs w:val="21"/>
        </w:rPr>
        <w:t>%~</w:t>
      </w:r>
      <w:r>
        <w:rPr>
          <w:rFonts w:hint="eastAsia"/>
          <w:szCs w:val="21"/>
        </w:rPr>
        <w:t>0</w:t>
      </w:r>
      <w:r>
        <w:rPr>
          <w:szCs w:val="21"/>
        </w:rPr>
        <w:t>.3</w:t>
      </w:r>
      <w:r>
        <w:rPr>
          <w:rFonts w:hint="eastAsia"/>
          <w:szCs w:val="21"/>
        </w:rPr>
        <w:t>0</w:t>
      </w:r>
      <w:r>
        <w:rPr>
          <w:rFonts w:asciiTheme="minorEastAsia" w:hAnsiTheme="minorEastAsia" w:eastAsiaTheme="minorEastAsia"/>
        </w:rPr>
        <w:t> </w:t>
      </w:r>
      <w:r>
        <w:rPr>
          <w:szCs w:val="21"/>
        </w:rPr>
        <w:t>%。</w:t>
      </w:r>
    </w:p>
    <w:p>
      <w:pPr>
        <w:spacing w:line="400" w:lineRule="exact"/>
        <w:rPr>
          <w:b/>
          <w:szCs w:val="21"/>
        </w:rPr>
      </w:pPr>
      <w:r>
        <w:rPr>
          <w:b/>
          <w:szCs w:val="21"/>
        </w:rPr>
        <w:t>方法2：</w:t>
      </w:r>
      <w:r>
        <w:rPr>
          <w:rFonts w:hint="eastAsia"/>
          <w:b/>
          <w:szCs w:val="21"/>
        </w:rPr>
        <w:t>火焰原子吸收光谱法</w:t>
      </w:r>
    </w:p>
    <w:p>
      <w:pPr>
        <w:adjustRightInd w:val="0"/>
        <w:snapToGrid w:val="0"/>
        <w:ind w:firstLine="420" w:firstLineChars="200"/>
        <w:rPr>
          <w:szCs w:val="21"/>
        </w:rPr>
      </w:pPr>
      <w:r>
        <w:rPr>
          <w:rFonts w:hint="eastAsia"/>
          <w:szCs w:val="21"/>
        </w:rPr>
        <w:t>试样在沸水浴上以盐酸分解，加入硝酸，高氯酸加热溶解至冒浓白烟，冷却，在硝酸介质中，于原子吸收光谱仪波长283.3</w:t>
      </w:r>
      <w:r>
        <w:rPr>
          <w:rFonts w:asciiTheme="minorEastAsia" w:hAnsiTheme="minorEastAsia" w:eastAsiaTheme="minorEastAsia"/>
        </w:rPr>
        <w:t> </w:t>
      </w:r>
      <w:r>
        <w:rPr>
          <w:rFonts w:hint="eastAsia"/>
          <w:szCs w:val="21"/>
        </w:rPr>
        <w:t>nm处，以空气-乙炔火焰测量铅的吸光度，用工作曲线法计算铅的含量。钨精矿中的杂质不干扰测定。</w:t>
      </w:r>
      <w:r>
        <w:rPr>
          <w:szCs w:val="21"/>
        </w:rPr>
        <w:t>测定范围（质量分数）</w:t>
      </w:r>
      <w:r>
        <w:rPr>
          <w:rFonts w:hint="eastAsia"/>
          <w:szCs w:val="21"/>
        </w:rPr>
        <w:t>：0.10</w:t>
      </w:r>
      <w:r>
        <w:rPr>
          <w:szCs w:val="21"/>
        </w:rPr>
        <w:t>%~</w:t>
      </w:r>
      <w:r>
        <w:rPr>
          <w:rFonts w:hint="eastAsia"/>
          <w:szCs w:val="21"/>
        </w:rPr>
        <w:t>0</w:t>
      </w:r>
      <w:r>
        <w:rPr>
          <w:szCs w:val="21"/>
        </w:rPr>
        <w:t>.</w:t>
      </w:r>
      <w:r>
        <w:rPr>
          <w:rFonts w:hint="eastAsia"/>
          <w:szCs w:val="21"/>
        </w:rPr>
        <w:t>5</w:t>
      </w:r>
      <w:r>
        <w:rPr>
          <w:szCs w:val="21"/>
        </w:rPr>
        <w:t>0%。</w:t>
      </w:r>
    </w:p>
    <w:p>
      <w:pPr>
        <w:adjustRightInd w:val="0"/>
        <w:snapToGrid w:val="0"/>
        <w:spacing w:before="156" w:beforeLines="50" w:after="156" w:afterLines="50"/>
        <w:rPr>
          <w:rFonts w:asciiTheme="minorEastAsia" w:hAnsiTheme="minorEastAsia" w:eastAsiaTheme="minorEastAsia"/>
          <w:b/>
          <w:szCs w:val="21"/>
        </w:rPr>
      </w:pPr>
      <w:r>
        <w:rPr>
          <w:rFonts w:hint="eastAsia"/>
          <w:b/>
          <w:szCs w:val="21"/>
        </w:rPr>
        <w:t>3</w:t>
      </w:r>
      <w:r>
        <w:rPr>
          <w:rFonts w:asciiTheme="minorEastAsia" w:hAnsiTheme="minorEastAsia" w:eastAsiaTheme="minorEastAsia"/>
          <w:b/>
          <w:szCs w:val="21"/>
        </w:rPr>
        <w:t>、主要试验的分析、综述报告</w:t>
      </w:r>
    </w:p>
    <w:p>
      <w:pPr>
        <w:adjustRightInd w:val="0"/>
        <w:snapToGrid w:val="0"/>
        <w:spacing w:line="360" w:lineRule="auto"/>
        <w:rPr>
          <w:rFonts w:asciiTheme="minorEastAsia" w:hAnsiTheme="minorEastAsia" w:eastAsiaTheme="minorEastAsia"/>
          <w:b/>
          <w:szCs w:val="21"/>
        </w:rPr>
      </w:pPr>
      <w:r>
        <w:rPr>
          <w:rFonts w:asciiTheme="minorEastAsia" w:hAnsiTheme="minorEastAsia" w:eastAsiaTheme="minorEastAsia"/>
          <w:b/>
          <w:szCs w:val="21"/>
        </w:rPr>
        <w:t>3.1方法1：</w:t>
      </w:r>
      <w:r>
        <w:rPr>
          <w:rFonts w:hint="eastAsia" w:asciiTheme="minorEastAsia" w:hAnsiTheme="minorEastAsia" w:eastAsiaTheme="minorEastAsia"/>
          <w:b/>
          <w:szCs w:val="21"/>
        </w:rPr>
        <w:t>氢化物发生原子荧光光谱法</w:t>
      </w:r>
    </w:p>
    <w:p>
      <w:pPr>
        <w:pStyle w:val="84"/>
        <w:spacing w:before="0" w:after="0"/>
        <w:rPr>
          <w:rFonts w:asciiTheme="minorEastAsia" w:hAnsiTheme="minorEastAsia" w:eastAsiaTheme="minorEastAsia"/>
          <w:szCs w:val="21"/>
        </w:rPr>
      </w:pPr>
      <w:r>
        <w:rPr>
          <w:rFonts w:asciiTheme="minorEastAsia" w:hAnsiTheme="minorEastAsia" w:eastAsiaTheme="minorEastAsia"/>
          <w:szCs w:val="21"/>
        </w:rPr>
        <w:t>3.1.1条件试验</w:t>
      </w:r>
    </w:p>
    <w:p>
      <w:pPr>
        <w:pStyle w:val="84"/>
        <w:spacing w:before="0" w:after="0"/>
        <w:rPr>
          <w:rFonts w:asciiTheme="minorEastAsia" w:hAnsiTheme="minorEastAsia" w:eastAsiaTheme="minorEastAsia"/>
        </w:rPr>
      </w:pPr>
      <w:r>
        <w:rPr>
          <w:rFonts w:hint="eastAsia" w:asciiTheme="minorEastAsia" w:hAnsiTheme="minorEastAsia" w:eastAsiaTheme="minorEastAsia"/>
        </w:rPr>
        <w:t>3.1</w:t>
      </w:r>
      <w:r>
        <w:rPr>
          <w:rFonts w:asciiTheme="minorEastAsia" w:hAnsiTheme="minorEastAsia" w:eastAsiaTheme="minorEastAsia"/>
          <w:b/>
          <w:szCs w:val="21"/>
        </w:rPr>
        <w:t>.</w:t>
      </w:r>
      <w:r>
        <w:rPr>
          <w:rFonts w:hint="eastAsia" w:asciiTheme="minorEastAsia" w:hAnsiTheme="minorEastAsia" w:eastAsiaTheme="minorEastAsia"/>
        </w:rPr>
        <w:t>1.1仪器条件试验</w:t>
      </w:r>
    </w:p>
    <w:p>
      <w:pPr>
        <w:adjustRightInd w:val="0"/>
        <w:snapToGrid w:val="0"/>
        <w:spacing w:before="156" w:beforeLines="50"/>
        <w:rPr>
          <w:rFonts w:asciiTheme="minorEastAsia" w:hAnsiTheme="minorEastAsia" w:eastAsiaTheme="minorEastAsia"/>
          <w:szCs w:val="21"/>
        </w:rPr>
      </w:pPr>
      <w:r>
        <w:rPr>
          <w:rFonts w:hint="eastAsia" w:asciiTheme="minorEastAsia" w:hAnsiTheme="minorEastAsia" w:eastAsiaTheme="minorEastAsia"/>
          <w:szCs w:val="21"/>
        </w:rPr>
        <w:t>1）负高压试验</w:t>
      </w:r>
    </w:p>
    <w:p>
      <w:pPr>
        <w:tabs>
          <w:tab w:val="center" w:pos="3570"/>
          <w:tab w:val="right" w:pos="7875"/>
        </w:tabs>
        <w:ind w:firstLine="420"/>
      </w:pPr>
      <w:r>
        <w:t>配制25</w:t>
      </w:r>
      <w:r>
        <w:rPr>
          <w:rFonts w:asciiTheme="minorEastAsia" w:hAnsiTheme="minorEastAsia" w:eastAsiaTheme="minorEastAsia"/>
        </w:rPr>
        <w:t> </w:t>
      </w:r>
      <w:r>
        <w:t>μg/L的铅标准溶液</w:t>
      </w:r>
      <w:r>
        <w:rPr>
          <w:rFonts w:hint="eastAsia"/>
        </w:rPr>
        <w:t>和空白试液，酸介质固定为1</w:t>
      </w:r>
      <w:r>
        <w:t>.5</w:t>
      </w:r>
      <w:r>
        <w:rPr>
          <w:rFonts w:asciiTheme="minorEastAsia" w:hAnsiTheme="minorEastAsia" w:eastAsiaTheme="minorEastAsia"/>
        </w:rPr>
        <w:t> </w:t>
      </w:r>
      <w:r>
        <w:rPr>
          <w:rFonts w:hint="eastAsia"/>
        </w:rPr>
        <w:t>%硝酸，测定其荧光强度。在仪器给定的负高压范围，进行试验，试验</w:t>
      </w:r>
      <w:r>
        <w:t>结果见表</w:t>
      </w:r>
      <w:r>
        <w:rPr>
          <w:rFonts w:hint="eastAsia"/>
          <w:lang w:val="en-US" w:eastAsia="zh-CN"/>
        </w:rPr>
        <w:t>3</w:t>
      </w:r>
      <w:r>
        <w:rPr>
          <w:rFonts w:hint="eastAsia"/>
        </w:rPr>
        <w:t>。</w:t>
      </w:r>
    </w:p>
    <w:p>
      <w:pPr>
        <w:tabs>
          <w:tab w:val="center" w:pos="3570"/>
          <w:tab w:val="right" w:pos="7875"/>
        </w:tabs>
        <w:spacing w:before="120" w:after="120" w:line="360" w:lineRule="auto"/>
        <w:jc w:val="center"/>
        <w:rPr>
          <w:rFonts w:ascii="宋体" w:hAnsi="宋体" w:cs="宋体"/>
          <w:szCs w:val="21"/>
        </w:rPr>
      </w:pPr>
      <w:r>
        <w:rPr>
          <w:rFonts w:hint="eastAsia" w:ascii="宋体" w:hAnsi="宋体" w:cs="宋体"/>
          <w:szCs w:val="21"/>
        </w:rPr>
        <w:t>表</w:t>
      </w:r>
      <w:r>
        <w:rPr>
          <w:rFonts w:hint="eastAsia" w:ascii="宋体" w:hAnsi="宋体" w:cs="宋体"/>
          <w:szCs w:val="21"/>
          <w:lang w:val="en-US" w:eastAsia="zh-CN"/>
        </w:rPr>
        <w:t>3</w:t>
      </w:r>
      <w:r>
        <w:rPr>
          <w:rFonts w:hint="eastAsia" w:ascii="宋体" w:hAnsi="宋体" w:cs="宋体"/>
          <w:szCs w:val="21"/>
        </w:rPr>
        <w:t>负高压选择试验</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2"/>
        <w:gridCol w:w="846"/>
        <w:gridCol w:w="846"/>
        <w:gridCol w:w="846"/>
        <w:gridCol w:w="846"/>
        <w:gridCol w:w="848"/>
        <w:gridCol w:w="846"/>
        <w:gridCol w:w="846"/>
        <w:gridCol w:w="846"/>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757" w:type="pct"/>
            <w:vMerge w:val="restar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测定项</w:t>
            </w:r>
          </w:p>
        </w:tc>
        <w:tc>
          <w:tcPr>
            <w:tcW w:w="4243" w:type="pct"/>
            <w:gridSpan w:val="9"/>
            <w:vAlign w:val="center"/>
          </w:tcPr>
          <w:p>
            <w:pPr>
              <w:tabs>
                <w:tab w:val="center" w:pos="3570"/>
                <w:tab w:val="right" w:pos="7875"/>
              </w:tabs>
              <w:spacing w:line="360" w:lineRule="auto"/>
              <w:ind w:firstLine="420"/>
              <w:jc w:val="center"/>
              <w:rPr>
                <w:rFonts w:ascii="宋体" w:hAnsi="宋体" w:cs="宋体"/>
                <w:szCs w:val="21"/>
              </w:rPr>
            </w:pPr>
            <w:r>
              <w:rPr>
                <w:rFonts w:hint="eastAsia" w:ascii="宋体" w:hAnsi="宋体" w:cs="宋体"/>
                <w:szCs w:val="21"/>
              </w:rPr>
              <w:t>负高压范围（V）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757" w:type="pct"/>
            <w:vMerge w:val="continue"/>
            <w:vAlign w:val="center"/>
          </w:tcPr>
          <w:p>
            <w:pPr>
              <w:tabs>
                <w:tab w:val="center" w:pos="3570"/>
                <w:tab w:val="right" w:pos="7875"/>
              </w:tabs>
              <w:spacing w:line="360" w:lineRule="auto"/>
              <w:ind w:firstLine="420"/>
              <w:jc w:val="center"/>
              <w:rPr>
                <w:rFonts w:ascii="宋体" w:hAnsi="宋体" w:cs="宋体"/>
                <w:szCs w:val="21"/>
              </w:rPr>
            </w:pPr>
          </w:p>
        </w:tc>
        <w:tc>
          <w:tcPr>
            <w:tcW w:w="467" w:type="pct"/>
            <w:vAlign w:val="center"/>
          </w:tcPr>
          <w:p>
            <w:pPr>
              <w:tabs>
                <w:tab w:val="center" w:pos="3570"/>
                <w:tab w:val="right" w:pos="7875"/>
              </w:tabs>
              <w:spacing w:before="80" w:after="40"/>
              <w:jc w:val="center"/>
              <w:rPr>
                <w:rFonts w:ascii="宋体" w:hAnsi="宋体"/>
                <w:szCs w:val="21"/>
              </w:rPr>
            </w:pPr>
            <w:r>
              <w:rPr>
                <w:rFonts w:hint="eastAsia" w:ascii="宋体" w:hAnsi="宋体"/>
                <w:szCs w:val="21"/>
              </w:rPr>
              <w:t>220</w:t>
            </w:r>
          </w:p>
        </w:tc>
        <w:tc>
          <w:tcPr>
            <w:tcW w:w="467" w:type="pct"/>
            <w:vAlign w:val="center"/>
          </w:tcPr>
          <w:p>
            <w:pPr>
              <w:tabs>
                <w:tab w:val="center" w:pos="3570"/>
                <w:tab w:val="right" w:pos="7875"/>
              </w:tabs>
              <w:spacing w:before="80" w:after="40"/>
              <w:jc w:val="center"/>
              <w:rPr>
                <w:rFonts w:ascii="宋体" w:hAnsi="宋体"/>
                <w:szCs w:val="21"/>
              </w:rPr>
            </w:pPr>
            <w:r>
              <w:rPr>
                <w:rFonts w:hint="eastAsia" w:ascii="宋体" w:hAnsi="宋体"/>
                <w:szCs w:val="21"/>
              </w:rPr>
              <w:t>230</w:t>
            </w:r>
          </w:p>
        </w:tc>
        <w:tc>
          <w:tcPr>
            <w:tcW w:w="467" w:type="pct"/>
            <w:vAlign w:val="center"/>
          </w:tcPr>
          <w:p>
            <w:pPr>
              <w:tabs>
                <w:tab w:val="center" w:pos="3570"/>
                <w:tab w:val="right" w:pos="7875"/>
              </w:tabs>
              <w:spacing w:before="80" w:after="40"/>
              <w:jc w:val="center"/>
              <w:rPr>
                <w:rFonts w:ascii="宋体" w:hAnsi="宋体"/>
                <w:szCs w:val="21"/>
              </w:rPr>
            </w:pPr>
            <w:r>
              <w:rPr>
                <w:rFonts w:hint="eastAsia" w:ascii="宋体" w:hAnsi="宋体"/>
                <w:szCs w:val="21"/>
              </w:rPr>
              <w:t>240</w:t>
            </w:r>
          </w:p>
        </w:tc>
        <w:tc>
          <w:tcPr>
            <w:tcW w:w="467" w:type="pct"/>
            <w:vAlign w:val="center"/>
          </w:tcPr>
          <w:p>
            <w:pPr>
              <w:tabs>
                <w:tab w:val="center" w:pos="3570"/>
                <w:tab w:val="right" w:pos="7875"/>
              </w:tabs>
              <w:spacing w:before="80" w:after="40"/>
              <w:jc w:val="center"/>
              <w:rPr>
                <w:rFonts w:ascii="宋体" w:hAnsi="宋体"/>
                <w:szCs w:val="21"/>
              </w:rPr>
            </w:pPr>
            <w:r>
              <w:rPr>
                <w:rFonts w:hint="eastAsia" w:ascii="宋体" w:hAnsi="宋体"/>
                <w:szCs w:val="21"/>
              </w:rPr>
              <w:t>250</w:t>
            </w:r>
          </w:p>
        </w:tc>
        <w:tc>
          <w:tcPr>
            <w:tcW w:w="468" w:type="pct"/>
            <w:vAlign w:val="center"/>
          </w:tcPr>
          <w:p>
            <w:pPr>
              <w:tabs>
                <w:tab w:val="center" w:pos="3570"/>
                <w:tab w:val="right" w:pos="7875"/>
              </w:tabs>
              <w:spacing w:before="80" w:after="40"/>
              <w:jc w:val="center"/>
              <w:rPr>
                <w:rFonts w:ascii="宋体" w:hAnsi="宋体"/>
                <w:szCs w:val="21"/>
              </w:rPr>
            </w:pPr>
            <w:r>
              <w:rPr>
                <w:rFonts w:hint="eastAsia" w:ascii="宋体" w:hAnsi="宋体"/>
                <w:szCs w:val="21"/>
              </w:rPr>
              <w:t>260</w:t>
            </w:r>
          </w:p>
        </w:tc>
        <w:tc>
          <w:tcPr>
            <w:tcW w:w="467" w:type="pct"/>
            <w:vAlign w:val="center"/>
          </w:tcPr>
          <w:p>
            <w:pPr>
              <w:tabs>
                <w:tab w:val="center" w:pos="3570"/>
                <w:tab w:val="right" w:pos="7875"/>
              </w:tabs>
              <w:spacing w:before="80" w:after="40"/>
              <w:jc w:val="center"/>
              <w:rPr>
                <w:rFonts w:ascii="宋体" w:hAnsi="宋体"/>
                <w:szCs w:val="21"/>
              </w:rPr>
            </w:pPr>
            <w:r>
              <w:rPr>
                <w:rFonts w:hint="eastAsia" w:ascii="宋体" w:hAnsi="宋体"/>
                <w:szCs w:val="21"/>
              </w:rPr>
              <w:t>270</w:t>
            </w:r>
          </w:p>
        </w:tc>
        <w:tc>
          <w:tcPr>
            <w:tcW w:w="467" w:type="pct"/>
            <w:vAlign w:val="center"/>
          </w:tcPr>
          <w:p>
            <w:pPr>
              <w:tabs>
                <w:tab w:val="center" w:pos="3570"/>
                <w:tab w:val="right" w:pos="7875"/>
              </w:tabs>
              <w:spacing w:before="80" w:after="40"/>
              <w:jc w:val="center"/>
              <w:rPr>
                <w:rFonts w:ascii="宋体" w:hAnsi="宋体"/>
                <w:szCs w:val="21"/>
              </w:rPr>
            </w:pPr>
            <w:r>
              <w:rPr>
                <w:rFonts w:hint="eastAsia" w:ascii="宋体" w:hAnsi="宋体"/>
                <w:szCs w:val="21"/>
              </w:rPr>
              <w:t>280</w:t>
            </w:r>
          </w:p>
        </w:tc>
        <w:tc>
          <w:tcPr>
            <w:tcW w:w="467" w:type="pct"/>
            <w:vAlign w:val="center"/>
          </w:tcPr>
          <w:p>
            <w:pPr>
              <w:tabs>
                <w:tab w:val="center" w:pos="3570"/>
                <w:tab w:val="right" w:pos="7875"/>
              </w:tabs>
              <w:spacing w:before="80" w:after="40"/>
              <w:jc w:val="center"/>
              <w:rPr>
                <w:rFonts w:ascii="宋体" w:hAnsi="宋体"/>
                <w:szCs w:val="21"/>
              </w:rPr>
            </w:pPr>
            <w:r>
              <w:rPr>
                <w:rFonts w:hint="eastAsia" w:ascii="宋体" w:hAnsi="宋体"/>
                <w:szCs w:val="21"/>
              </w:rPr>
              <w:t>290</w:t>
            </w:r>
          </w:p>
        </w:tc>
        <w:tc>
          <w:tcPr>
            <w:tcW w:w="503" w:type="pct"/>
            <w:vAlign w:val="center"/>
          </w:tcPr>
          <w:p>
            <w:pPr>
              <w:tabs>
                <w:tab w:val="center" w:pos="3570"/>
                <w:tab w:val="right" w:pos="7875"/>
              </w:tabs>
              <w:spacing w:before="80" w:after="40"/>
              <w:jc w:val="center"/>
              <w:rPr>
                <w:rFonts w:ascii="宋体" w:hAnsi="宋体"/>
                <w:szCs w:val="21"/>
              </w:rPr>
            </w:pPr>
            <w:r>
              <w:rPr>
                <w:rFonts w:hint="eastAsia" w:ascii="宋体" w:hAnsi="宋体"/>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757" w:type="pct"/>
            <w:vAlign w:val="center"/>
          </w:tcPr>
          <w:p>
            <w:pPr>
              <w:tabs>
                <w:tab w:val="center" w:pos="3570"/>
                <w:tab w:val="right" w:pos="7875"/>
              </w:tabs>
              <w:spacing w:before="80" w:after="40"/>
              <w:jc w:val="center"/>
              <w:rPr>
                <w:rFonts w:ascii="宋体" w:hAnsi="宋体"/>
                <w:sz w:val="18"/>
                <w:szCs w:val="18"/>
              </w:rPr>
            </w:pPr>
            <w:r>
              <w:rPr>
                <w:rFonts w:hint="eastAsia" w:ascii="宋体" w:hAnsi="宋体"/>
                <w:sz w:val="18"/>
                <w:szCs w:val="18"/>
              </w:rPr>
              <w:t>空白试液荧光强度</w:t>
            </w:r>
          </w:p>
        </w:tc>
        <w:tc>
          <w:tcPr>
            <w:tcW w:w="467"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105</w:t>
            </w:r>
          </w:p>
        </w:tc>
        <w:tc>
          <w:tcPr>
            <w:tcW w:w="467"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133</w:t>
            </w:r>
          </w:p>
        </w:tc>
        <w:tc>
          <w:tcPr>
            <w:tcW w:w="467"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190</w:t>
            </w:r>
          </w:p>
        </w:tc>
        <w:tc>
          <w:tcPr>
            <w:tcW w:w="467"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246</w:t>
            </w:r>
          </w:p>
        </w:tc>
        <w:tc>
          <w:tcPr>
            <w:tcW w:w="468"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342</w:t>
            </w:r>
          </w:p>
        </w:tc>
        <w:tc>
          <w:tcPr>
            <w:tcW w:w="467"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472</w:t>
            </w:r>
          </w:p>
        </w:tc>
        <w:tc>
          <w:tcPr>
            <w:tcW w:w="467"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615</w:t>
            </w:r>
          </w:p>
        </w:tc>
        <w:tc>
          <w:tcPr>
            <w:tcW w:w="467"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790</w:t>
            </w:r>
          </w:p>
        </w:tc>
        <w:tc>
          <w:tcPr>
            <w:tcW w:w="503"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1014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757" w:type="pct"/>
            <w:vAlign w:val="center"/>
          </w:tcPr>
          <w:p>
            <w:pPr>
              <w:tabs>
                <w:tab w:val="center" w:pos="3570"/>
                <w:tab w:val="right" w:pos="7875"/>
              </w:tabs>
              <w:spacing w:before="80" w:after="40"/>
              <w:jc w:val="center"/>
              <w:rPr>
                <w:rFonts w:ascii="宋体" w:hAnsi="宋体"/>
                <w:sz w:val="18"/>
                <w:szCs w:val="18"/>
              </w:rPr>
            </w:pPr>
            <w:r>
              <w:rPr>
                <w:rFonts w:hint="eastAsia" w:ascii="宋体" w:hAnsi="宋体"/>
                <w:sz w:val="18"/>
                <w:szCs w:val="18"/>
              </w:rPr>
              <w:t>铅标准试液荧光强度</w:t>
            </w:r>
          </w:p>
        </w:tc>
        <w:tc>
          <w:tcPr>
            <w:tcW w:w="467"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453</w:t>
            </w:r>
          </w:p>
        </w:tc>
        <w:tc>
          <w:tcPr>
            <w:tcW w:w="467"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655</w:t>
            </w:r>
          </w:p>
        </w:tc>
        <w:tc>
          <w:tcPr>
            <w:tcW w:w="467"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928</w:t>
            </w:r>
          </w:p>
        </w:tc>
        <w:tc>
          <w:tcPr>
            <w:tcW w:w="467"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1265</w:t>
            </w:r>
          </w:p>
        </w:tc>
        <w:tc>
          <w:tcPr>
            <w:tcW w:w="468"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1740</w:t>
            </w:r>
          </w:p>
        </w:tc>
        <w:tc>
          <w:tcPr>
            <w:tcW w:w="467"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2464</w:t>
            </w:r>
          </w:p>
        </w:tc>
        <w:tc>
          <w:tcPr>
            <w:tcW w:w="467"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3169</w:t>
            </w:r>
          </w:p>
        </w:tc>
        <w:tc>
          <w:tcPr>
            <w:tcW w:w="467"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4216</w:t>
            </w:r>
          </w:p>
        </w:tc>
        <w:tc>
          <w:tcPr>
            <w:tcW w:w="503"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5258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757" w:type="pct"/>
            <w:vAlign w:val="center"/>
          </w:tcPr>
          <w:p>
            <w:pPr>
              <w:tabs>
                <w:tab w:val="center" w:pos="3570"/>
                <w:tab w:val="right" w:pos="7875"/>
              </w:tabs>
              <w:spacing w:before="80" w:after="40"/>
              <w:jc w:val="center"/>
              <w:rPr>
                <w:rFonts w:ascii="宋体" w:hAnsi="宋体"/>
                <w:sz w:val="18"/>
                <w:szCs w:val="18"/>
              </w:rPr>
            </w:pPr>
            <w:r>
              <w:rPr>
                <w:rFonts w:hint="eastAsia" w:ascii="宋体" w:hAnsi="宋体"/>
                <w:sz w:val="18"/>
                <w:szCs w:val="18"/>
              </w:rPr>
              <w:t>净荧光强度</w:t>
            </w:r>
          </w:p>
        </w:tc>
        <w:tc>
          <w:tcPr>
            <w:tcW w:w="467"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348</w:t>
            </w:r>
          </w:p>
        </w:tc>
        <w:tc>
          <w:tcPr>
            <w:tcW w:w="467"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522</w:t>
            </w:r>
          </w:p>
        </w:tc>
        <w:tc>
          <w:tcPr>
            <w:tcW w:w="467"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738</w:t>
            </w:r>
          </w:p>
        </w:tc>
        <w:tc>
          <w:tcPr>
            <w:tcW w:w="467"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1019</w:t>
            </w:r>
          </w:p>
        </w:tc>
        <w:tc>
          <w:tcPr>
            <w:tcW w:w="468"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1398</w:t>
            </w:r>
          </w:p>
        </w:tc>
        <w:tc>
          <w:tcPr>
            <w:tcW w:w="467"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1992</w:t>
            </w:r>
          </w:p>
        </w:tc>
        <w:tc>
          <w:tcPr>
            <w:tcW w:w="467"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2554</w:t>
            </w:r>
          </w:p>
        </w:tc>
        <w:tc>
          <w:tcPr>
            <w:tcW w:w="467"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3426</w:t>
            </w:r>
          </w:p>
        </w:tc>
        <w:tc>
          <w:tcPr>
            <w:tcW w:w="503"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4244</w:t>
            </w:r>
          </w:p>
        </w:tc>
      </w:tr>
    </w:tbl>
    <w:p>
      <w:pPr>
        <w:tabs>
          <w:tab w:val="center" w:pos="3570"/>
          <w:tab w:val="right" w:pos="7875"/>
        </w:tabs>
        <w:ind w:firstLine="420"/>
      </w:pPr>
      <w:r>
        <w:t>试验表明</w:t>
      </w:r>
      <w:r>
        <w:rPr>
          <w:rFonts w:hint="eastAsia"/>
        </w:rPr>
        <w:t>，随着负高压的增大，荧光强度显著升高，适当提高负高压，可以获得较好的灵敏度，但信号和噪声同时增加，因此当灵敏度满足要求时，应尽可能采用较低的负高压，这样也有助于延长光电倍增管的使用寿命。本试验选择</w:t>
      </w:r>
      <w:r>
        <w:t>2</w:t>
      </w:r>
      <w:r>
        <w:rPr>
          <w:rFonts w:hint="eastAsia"/>
        </w:rPr>
        <w:t>5</w:t>
      </w:r>
      <w:r>
        <w:t>0</w:t>
      </w:r>
      <w:r>
        <w:rPr>
          <w:rFonts w:asciiTheme="minorEastAsia" w:hAnsiTheme="minorEastAsia" w:eastAsiaTheme="minorEastAsia"/>
        </w:rPr>
        <w:t> </w:t>
      </w:r>
      <w:r>
        <w:t>V</w:t>
      </w:r>
      <w:r>
        <w:rPr>
          <w:rFonts w:hint="eastAsia"/>
        </w:rPr>
        <w:t>~280</w:t>
      </w:r>
      <w:r>
        <w:rPr>
          <w:rFonts w:asciiTheme="minorEastAsia" w:hAnsiTheme="minorEastAsia" w:eastAsiaTheme="minorEastAsia"/>
        </w:rPr>
        <w:t> </w:t>
      </w:r>
      <w:r>
        <w:rPr>
          <w:rFonts w:hint="eastAsia"/>
        </w:rPr>
        <w:t>V</w:t>
      </w:r>
      <w:r>
        <w:t>的负高压</w:t>
      </w:r>
      <w:r>
        <w:rPr>
          <w:rFonts w:hint="eastAsia"/>
        </w:rPr>
        <w:t>。</w:t>
      </w:r>
    </w:p>
    <w:p>
      <w:pPr>
        <w:pStyle w:val="84"/>
        <w:spacing w:before="156" w:beforeLines="50" w:after="0"/>
        <w:rPr>
          <w:rFonts w:eastAsia="宋体"/>
          <w:bCs w:val="0"/>
          <w:sz w:val="21"/>
          <w:szCs w:val="24"/>
        </w:rPr>
      </w:pPr>
      <w:r>
        <w:rPr>
          <w:rFonts w:eastAsia="宋体"/>
          <w:bCs w:val="0"/>
          <w:sz w:val="21"/>
          <w:szCs w:val="24"/>
        </w:rPr>
        <w:t>2</w:t>
      </w:r>
      <w:r>
        <w:rPr>
          <w:rFonts w:hint="eastAsia" w:eastAsia="宋体"/>
          <w:bCs w:val="0"/>
          <w:sz w:val="21"/>
          <w:szCs w:val="24"/>
        </w:rPr>
        <w:t>）灯电流选择试验</w:t>
      </w:r>
    </w:p>
    <w:p>
      <w:pPr>
        <w:tabs>
          <w:tab w:val="center" w:pos="3570"/>
          <w:tab w:val="right" w:pos="7875"/>
        </w:tabs>
        <w:ind w:firstLine="420" w:firstLineChars="200"/>
      </w:pPr>
      <w:r>
        <w:t>配制25</w:t>
      </w:r>
      <w:r>
        <w:rPr>
          <w:rFonts w:asciiTheme="minorEastAsia" w:hAnsiTheme="minorEastAsia" w:eastAsiaTheme="minorEastAsia"/>
        </w:rPr>
        <w:t> </w:t>
      </w:r>
      <w:r>
        <w:t>μg/L的铅标准溶液</w:t>
      </w:r>
      <w:r>
        <w:rPr>
          <w:rFonts w:hint="eastAsia"/>
        </w:rPr>
        <w:t>和空白试液，酸介质固定为1</w:t>
      </w:r>
      <w:r>
        <w:t>.5</w:t>
      </w:r>
      <w:r>
        <w:rPr>
          <w:rFonts w:asciiTheme="minorEastAsia" w:hAnsiTheme="minorEastAsia" w:eastAsiaTheme="minorEastAsia"/>
        </w:rPr>
        <w:t> </w:t>
      </w:r>
      <w:r>
        <w:rPr>
          <w:rFonts w:hint="eastAsia"/>
        </w:rPr>
        <w:t>%硝酸，测定其荧光强度，在仪器给定的负高压范围，进行试验，试验结果见表</w:t>
      </w:r>
      <w:r>
        <w:rPr>
          <w:rFonts w:hint="eastAsia"/>
          <w:lang w:val="en-US" w:eastAsia="zh-CN"/>
        </w:rPr>
        <w:t>4</w:t>
      </w:r>
      <w:r>
        <w:rPr>
          <w:rFonts w:hint="eastAsia"/>
        </w:rPr>
        <w:t>。</w:t>
      </w:r>
    </w:p>
    <w:p>
      <w:pPr>
        <w:tabs>
          <w:tab w:val="center" w:pos="3570"/>
          <w:tab w:val="right" w:pos="7875"/>
        </w:tabs>
        <w:spacing w:before="120" w:after="120" w:line="360" w:lineRule="auto"/>
        <w:jc w:val="center"/>
        <w:rPr>
          <w:rFonts w:ascii="宋体" w:hAnsi="宋体" w:cs="宋体"/>
          <w:szCs w:val="21"/>
        </w:rPr>
      </w:pPr>
      <w:r>
        <w:rPr>
          <w:rFonts w:hint="eastAsia" w:ascii="宋体" w:hAnsi="宋体" w:cs="宋体"/>
          <w:szCs w:val="21"/>
        </w:rPr>
        <w:t>表</w:t>
      </w:r>
      <w:r>
        <w:rPr>
          <w:rFonts w:hint="eastAsia" w:ascii="宋体" w:hAnsi="宋体" w:cs="宋体"/>
          <w:szCs w:val="21"/>
          <w:lang w:val="en-US" w:eastAsia="zh-CN"/>
        </w:rPr>
        <w:t>4</w:t>
      </w:r>
      <w:r>
        <w:rPr>
          <w:rFonts w:hint="eastAsia" w:ascii="宋体" w:hAnsi="宋体" w:cs="宋体"/>
          <w:szCs w:val="21"/>
        </w:rPr>
        <w:t>灯电流选择试验</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2"/>
        <w:gridCol w:w="1188"/>
        <w:gridCol w:w="1189"/>
        <w:gridCol w:w="1189"/>
        <w:gridCol w:w="1189"/>
        <w:gridCol w:w="1189"/>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061" w:type="pct"/>
            <w:vMerge w:val="restar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测定项</w:t>
            </w:r>
          </w:p>
        </w:tc>
        <w:tc>
          <w:tcPr>
            <w:tcW w:w="3939" w:type="pct"/>
            <w:gridSpan w:val="6"/>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灯电流范围（m</w:t>
            </w:r>
            <w:r>
              <w:rPr>
                <w:rFonts w:ascii="宋体" w:hAnsi="宋体" w:cs="宋体"/>
                <w:szCs w:val="21"/>
              </w:rPr>
              <w:t>A</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061" w:type="pct"/>
            <w:vMerge w:val="continue"/>
            <w:vAlign w:val="center"/>
          </w:tcPr>
          <w:p>
            <w:pPr>
              <w:tabs>
                <w:tab w:val="center" w:pos="3570"/>
                <w:tab w:val="right" w:pos="7875"/>
              </w:tabs>
              <w:spacing w:line="360" w:lineRule="auto"/>
              <w:ind w:firstLine="420"/>
              <w:jc w:val="center"/>
              <w:rPr>
                <w:rFonts w:ascii="宋体" w:hAnsi="宋体" w:cs="宋体"/>
                <w:szCs w:val="21"/>
              </w:rPr>
            </w:pPr>
          </w:p>
        </w:tc>
        <w:tc>
          <w:tcPr>
            <w:tcW w:w="656" w:type="pct"/>
            <w:vAlign w:val="center"/>
          </w:tcPr>
          <w:p>
            <w:pPr>
              <w:tabs>
                <w:tab w:val="center" w:pos="3570"/>
                <w:tab w:val="right" w:pos="7875"/>
              </w:tabs>
              <w:spacing w:before="80" w:after="40"/>
              <w:jc w:val="center"/>
              <w:rPr>
                <w:rFonts w:ascii="宋体" w:hAnsi="宋体"/>
                <w:szCs w:val="21"/>
              </w:rPr>
            </w:pPr>
            <w:r>
              <w:rPr>
                <w:rFonts w:ascii="宋体" w:hAnsi="宋体"/>
                <w:szCs w:val="21"/>
              </w:rPr>
              <w:t>5</w:t>
            </w:r>
            <w:r>
              <w:rPr>
                <w:rFonts w:hint="eastAsia" w:ascii="宋体" w:hAnsi="宋体"/>
                <w:szCs w:val="21"/>
              </w:rPr>
              <w:t>0</w:t>
            </w:r>
          </w:p>
        </w:tc>
        <w:tc>
          <w:tcPr>
            <w:tcW w:w="656" w:type="pct"/>
            <w:vAlign w:val="center"/>
          </w:tcPr>
          <w:p>
            <w:pPr>
              <w:tabs>
                <w:tab w:val="center" w:pos="3570"/>
                <w:tab w:val="right" w:pos="7875"/>
              </w:tabs>
              <w:spacing w:before="80" w:after="40"/>
              <w:jc w:val="center"/>
              <w:rPr>
                <w:rFonts w:ascii="宋体" w:hAnsi="宋体"/>
                <w:szCs w:val="21"/>
              </w:rPr>
            </w:pPr>
            <w:r>
              <w:rPr>
                <w:rFonts w:hint="eastAsia" w:ascii="宋体" w:hAnsi="宋体"/>
                <w:szCs w:val="21"/>
              </w:rPr>
              <w:t>60</w:t>
            </w:r>
          </w:p>
        </w:tc>
        <w:tc>
          <w:tcPr>
            <w:tcW w:w="656" w:type="pct"/>
            <w:vAlign w:val="center"/>
          </w:tcPr>
          <w:p>
            <w:pPr>
              <w:tabs>
                <w:tab w:val="center" w:pos="3570"/>
                <w:tab w:val="right" w:pos="7875"/>
              </w:tabs>
              <w:spacing w:before="80" w:after="40"/>
              <w:jc w:val="center"/>
              <w:rPr>
                <w:rFonts w:ascii="宋体" w:hAnsi="宋体"/>
                <w:szCs w:val="21"/>
              </w:rPr>
            </w:pPr>
            <w:r>
              <w:rPr>
                <w:rFonts w:hint="eastAsia" w:ascii="宋体" w:hAnsi="宋体"/>
                <w:szCs w:val="21"/>
              </w:rPr>
              <w:t>70</w:t>
            </w:r>
          </w:p>
        </w:tc>
        <w:tc>
          <w:tcPr>
            <w:tcW w:w="656" w:type="pct"/>
            <w:vAlign w:val="center"/>
          </w:tcPr>
          <w:p>
            <w:pPr>
              <w:tabs>
                <w:tab w:val="center" w:pos="3570"/>
                <w:tab w:val="right" w:pos="7875"/>
              </w:tabs>
              <w:spacing w:before="80" w:after="40"/>
              <w:jc w:val="center"/>
              <w:rPr>
                <w:rFonts w:ascii="宋体" w:hAnsi="宋体"/>
                <w:szCs w:val="21"/>
              </w:rPr>
            </w:pPr>
            <w:r>
              <w:rPr>
                <w:rFonts w:hint="eastAsia" w:ascii="宋体" w:hAnsi="宋体"/>
                <w:szCs w:val="21"/>
              </w:rPr>
              <w:t>80</w:t>
            </w:r>
          </w:p>
        </w:tc>
        <w:tc>
          <w:tcPr>
            <w:tcW w:w="656" w:type="pct"/>
            <w:vAlign w:val="center"/>
          </w:tcPr>
          <w:p>
            <w:pPr>
              <w:tabs>
                <w:tab w:val="center" w:pos="3570"/>
                <w:tab w:val="right" w:pos="7875"/>
              </w:tabs>
              <w:spacing w:before="80" w:after="40"/>
              <w:jc w:val="center"/>
              <w:rPr>
                <w:rFonts w:ascii="宋体" w:hAnsi="宋体"/>
                <w:szCs w:val="21"/>
              </w:rPr>
            </w:pPr>
            <w:r>
              <w:rPr>
                <w:rFonts w:hint="eastAsia" w:ascii="宋体" w:hAnsi="宋体"/>
                <w:szCs w:val="21"/>
              </w:rPr>
              <w:t>90</w:t>
            </w:r>
          </w:p>
        </w:tc>
        <w:tc>
          <w:tcPr>
            <w:tcW w:w="658" w:type="pct"/>
            <w:vAlign w:val="center"/>
          </w:tcPr>
          <w:p>
            <w:pPr>
              <w:tabs>
                <w:tab w:val="center" w:pos="3570"/>
                <w:tab w:val="right" w:pos="7875"/>
              </w:tabs>
              <w:spacing w:before="80" w:after="40"/>
              <w:jc w:val="center"/>
              <w:rPr>
                <w:rFonts w:ascii="宋体" w:hAnsi="宋体"/>
                <w:szCs w:val="21"/>
              </w:rPr>
            </w:pPr>
            <w:r>
              <w:rPr>
                <w:rFonts w:hint="eastAsia" w:ascii="宋体" w:hAnsi="宋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061" w:type="pct"/>
            <w:vAlign w:val="center"/>
          </w:tcPr>
          <w:p>
            <w:pPr>
              <w:tabs>
                <w:tab w:val="center" w:pos="3570"/>
                <w:tab w:val="right" w:pos="7875"/>
              </w:tabs>
              <w:spacing w:before="80" w:after="40"/>
              <w:jc w:val="center"/>
              <w:rPr>
                <w:rFonts w:ascii="宋体" w:hAnsi="宋体"/>
                <w:sz w:val="18"/>
                <w:szCs w:val="18"/>
              </w:rPr>
            </w:pPr>
            <w:r>
              <w:rPr>
                <w:rFonts w:hint="eastAsia" w:ascii="宋体" w:hAnsi="宋体"/>
                <w:sz w:val="18"/>
                <w:szCs w:val="18"/>
              </w:rPr>
              <w:t>空白试液荧光强度</w:t>
            </w:r>
          </w:p>
        </w:tc>
        <w:tc>
          <w:tcPr>
            <w:tcW w:w="656"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183</w:t>
            </w:r>
          </w:p>
        </w:tc>
        <w:tc>
          <w:tcPr>
            <w:tcW w:w="656"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251</w:t>
            </w:r>
          </w:p>
        </w:tc>
        <w:tc>
          <w:tcPr>
            <w:tcW w:w="656"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329</w:t>
            </w:r>
          </w:p>
        </w:tc>
        <w:tc>
          <w:tcPr>
            <w:tcW w:w="656"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412</w:t>
            </w:r>
          </w:p>
        </w:tc>
        <w:tc>
          <w:tcPr>
            <w:tcW w:w="656"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486</w:t>
            </w:r>
          </w:p>
        </w:tc>
        <w:tc>
          <w:tcPr>
            <w:tcW w:w="658"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061" w:type="pct"/>
            <w:vAlign w:val="center"/>
          </w:tcPr>
          <w:p>
            <w:pPr>
              <w:tabs>
                <w:tab w:val="center" w:pos="3570"/>
                <w:tab w:val="right" w:pos="7875"/>
              </w:tabs>
              <w:spacing w:before="80" w:after="40"/>
              <w:jc w:val="center"/>
              <w:rPr>
                <w:rFonts w:ascii="宋体" w:hAnsi="宋体"/>
                <w:sz w:val="18"/>
                <w:szCs w:val="18"/>
              </w:rPr>
            </w:pPr>
            <w:r>
              <w:rPr>
                <w:rFonts w:hint="eastAsia" w:ascii="宋体" w:hAnsi="宋体"/>
                <w:sz w:val="18"/>
                <w:szCs w:val="18"/>
              </w:rPr>
              <w:t>铅标准试液荧光强度</w:t>
            </w:r>
          </w:p>
        </w:tc>
        <w:tc>
          <w:tcPr>
            <w:tcW w:w="656"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890</w:t>
            </w:r>
          </w:p>
        </w:tc>
        <w:tc>
          <w:tcPr>
            <w:tcW w:w="656"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1228</w:t>
            </w:r>
          </w:p>
        </w:tc>
        <w:tc>
          <w:tcPr>
            <w:tcW w:w="656"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1639</w:t>
            </w:r>
          </w:p>
        </w:tc>
        <w:tc>
          <w:tcPr>
            <w:tcW w:w="656"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1983</w:t>
            </w:r>
          </w:p>
        </w:tc>
        <w:tc>
          <w:tcPr>
            <w:tcW w:w="656"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2371</w:t>
            </w:r>
          </w:p>
        </w:tc>
        <w:tc>
          <w:tcPr>
            <w:tcW w:w="658"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2753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061" w:type="pct"/>
            <w:vAlign w:val="center"/>
          </w:tcPr>
          <w:p>
            <w:pPr>
              <w:tabs>
                <w:tab w:val="center" w:pos="3570"/>
                <w:tab w:val="right" w:pos="7875"/>
              </w:tabs>
              <w:spacing w:before="80" w:after="40"/>
              <w:jc w:val="center"/>
              <w:rPr>
                <w:rFonts w:ascii="宋体" w:hAnsi="宋体"/>
                <w:sz w:val="18"/>
                <w:szCs w:val="18"/>
              </w:rPr>
            </w:pPr>
            <w:r>
              <w:rPr>
                <w:rFonts w:hint="eastAsia" w:ascii="宋体" w:hAnsi="宋体"/>
                <w:sz w:val="18"/>
                <w:szCs w:val="18"/>
              </w:rPr>
              <w:t>净荧光强度</w:t>
            </w:r>
          </w:p>
        </w:tc>
        <w:tc>
          <w:tcPr>
            <w:tcW w:w="656"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707</w:t>
            </w:r>
          </w:p>
        </w:tc>
        <w:tc>
          <w:tcPr>
            <w:tcW w:w="656"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977</w:t>
            </w:r>
          </w:p>
        </w:tc>
        <w:tc>
          <w:tcPr>
            <w:tcW w:w="656"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1310</w:t>
            </w:r>
          </w:p>
        </w:tc>
        <w:tc>
          <w:tcPr>
            <w:tcW w:w="656"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1571</w:t>
            </w:r>
          </w:p>
        </w:tc>
        <w:tc>
          <w:tcPr>
            <w:tcW w:w="656"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1885</w:t>
            </w:r>
          </w:p>
        </w:tc>
        <w:tc>
          <w:tcPr>
            <w:tcW w:w="658"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2179</w:t>
            </w:r>
          </w:p>
        </w:tc>
      </w:tr>
    </w:tbl>
    <w:p>
      <w:pPr>
        <w:adjustRightInd w:val="0"/>
        <w:snapToGrid w:val="0"/>
        <w:ind w:firstLine="420" w:firstLineChars="200"/>
      </w:pPr>
      <w:r>
        <w:t>试验表明</w:t>
      </w:r>
      <w:r>
        <w:rPr>
          <w:rFonts w:hint="eastAsia"/>
        </w:rPr>
        <w:t>，随着灯电流的增大，荧光强度显著升高，适当提高灯电流，可以获得较好的灵敏度，过高的灯电流会影响空心阴极灯的使用寿命。本试验选择6</w:t>
      </w:r>
      <w:r>
        <w:t>0</w:t>
      </w:r>
      <w:r>
        <w:rPr>
          <w:rFonts w:asciiTheme="minorEastAsia" w:hAnsiTheme="minorEastAsia" w:eastAsiaTheme="minorEastAsia"/>
        </w:rPr>
        <w:t> </w:t>
      </w:r>
      <w:r>
        <w:t>mA</w:t>
      </w:r>
      <w:r>
        <w:rPr>
          <w:rFonts w:hint="eastAsia"/>
        </w:rPr>
        <w:t>~80</w:t>
      </w:r>
      <w:r>
        <w:rPr>
          <w:rFonts w:asciiTheme="minorEastAsia" w:hAnsiTheme="minorEastAsia" w:eastAsiaTheme="minorEastAsia"/>
        </w:rPr>
        <w:t> </w:t>
      </w:r>
      <w:r>
        <w:t>mA的</w:t>
      </w:r>
      <w:r>
        <w:rPr>
          <w:rFonts w:hint="eastAsia"/>
        </w:rPr>
        <w:t>的</w:t>
      </w:r>
      <w:r>
        <w:t>灯电流</w:t>
      </w:r>
      <w:r>
        <w:rPr>
          <w:rFonts w:hint="eastAsia"/>
        </w:rPr>
        <w:t>。</w:t>
      </w:r>
    </w:p>
    <w:p>
      <w:pPr>
        <w:tabs>
          <w:tab w:val="center" w:pos="3570"/>
          <w:tab w:val="right" w:pos="7875"/>
        </w:tabs>
        <w:spacing w:before="156" w:beforeLines="50"/>
        <w:rPr>
          <w:rFonts w:asciiTheme="minorEastAsia" w:hAnsiTheme="minorEastAsia" w:eastAsiaTheme="minorEastAsia"/>
          <w:szCs w:val="21"/>
        </w:rPr>
      </w:pPr>
      <w:r>
        <w:rPr>
          <w:rFonts w:hint="eastAsia" w:asciiTheme="minorEastAsia" w:hAnsiTheme="minorEastAsia" w:eastAsiaTheme="minorEastAsia"/>
          <w:szCs w:val="21"/>
        </w:rPr>
        <w:t>3）载气流量的选择试验</w:t>
      </w:r>
    </w:p>
    <w:p>
      <w:pPr>
        <w:tabs>
          <w:tab w:val="center" w:pos="3570"/>
          <w:tab w:val="right" w:pos="7875"/>
        </w:tabs>
        <w:ind w:firstLine="630" w:firstLineChars="300"/>
      </w:pPr>
      <w:r>
        <w:rPr>
          <w:rFonts w:hint="eastAsia"/>
        </w:rPr>
        <w:t>原子荧光光谱分析法中，氩气作为氢化反应产生的氢气、被测元素的氢化物气体计入气路传输系统和进入原子化系统进行原子化的载气，其流量大小对试验有较大影响，载气流量小，氩氢火焰不稳定，测量的重现性差，载气流量大，原子蒸汽被稀释，测量的荧光信号低。试验以</w:t>
      </w:r>
      <w:r>
        <w:t>25</w:t>
      </w:r>
      <w:r>
        <w:rPr>
          <w:rFonts w:asciiTheme="minorEastAsia" w:hAnsiTheme="minorEastAsia" w:eastAsiaTheme="minorEastAsia"/>
        </w:rPr>
        <w:t> </w:t>
      </w:r>
      <w:r>
        <w:rPr>
          <w:rFonts w:hint="eastAsia"/>
        </w:rPr>
        <w:t>μg/L的铅标准溶液和空白试液，酸介质固定为1</w:t>
      </w:r>
      <w:r>
        <w:t>.5</w:t>
      </w:r>
      <w:r>
        <w:rPr>
          <w:rFonts w:asciiTheme="minorEastAsia" w:hAnsiTheme="minorEastAsia" w:eastAsiaTheme="minorEastAsia"/>
        </w:rPr>
        <w:t> </w:t>
      </w:r>
      <w:r>
        <w:rPr>
          <w:rFonts w:hint="eastAsia"/>
        </w:rPr>
        <w:t>%硝酸，在不同载气流量范围内进行试验，结果见表</w:t>
      </w:r>
      <w:r>
        <w:rPr>
          <w:rFonts w:hint="eastAsia"/>
          <w:lang w:val="en-US" w:eastAsia="zh-CN"/>
        </w:rPr>
        <w:t>5</w:t>
      </w:r>
      <w:r>
        <w:rPr>
          <w:rFonts w:hint="eastAsia"/>
        </w:rPr>
        <w:t>。</w:t>
      </w:r>
    </w:p>
    <w:p>
      <w:pPr>
        <w:tabs>
          <w:tab w:val="center" w:pos="3570"/>
          <w:tab w:val="right" w:pos="7875"/>
        </w:tabs>
        <w:spacing w:before="120" w:after="120" w:line="360" w:lineRule="auto"/>
        <w:jc w:val="center"/>
        <w:rPr>
          <w:rFonts w:ascii="宋体" w:hAnsi="宋体" w:cs="宋体"/>
          <w:szCs w:val="21"/>
        </w:rPr>
      </w:pPr>
      <w:r>
        <w:rPr>
          <w:rFonts w:hint="eastAsia" w:ascii="宋体" w:hAnsi="宋体" w:cs="宋体"/>
          <w:szCs w:val="21"/>
        </w:rPr>
        <w:t>表</w:t>
      </w:r>
      <w:r>
        <w:rPr>
          <w:rFonts w:hint="eastAsia" w:ascii="宋体" w:hAnsi="宋体" w:cs="宋体"/>
          <w:szCs w:val="21"/>
          <w:lang w:val="en-US" w:eastAsia="zh-CN"/>
        </w:rPr>
        <w:t>5</w:t>
      </w:r>
      <w:r>
        <w:rPr>
          <w:rFonts w:hint="eastAsia" w:ascii="宋体" w:hAnsi="宋体" w:cs="宋体"/>
          <w:szCs w:val="21"/>
        </w:rPr>
        <w:t>载气流量选择试验</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14"/>
        <w:gridCol w:w="1613"/>
        <w:gridCol w:w="1613"/>
        <w:gridCol w:w="1611"/>
        <w:gridCol w:w="1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443" w:type="pct"/>
            <w:vMerge w:val="restar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测定项</w:t>
            </w:r>
          </w:p>
        </w:tc>
        <w:tc>
          <w:tcPr>
            <w:tcW w:w="3557" w:type="pct"/>
            <w:gridSpan w:val="4"/>
            <w:tcBorders>
              <w:bottom w:val="single" w:color="auto" w:sz="4" w:space="0"/>
            </w:tcBorders>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载气流量范围（</w:t>
            </w:r>
            <w:r>
              <w:rPr>
                <w:rFonts w:ascii="宋体" w:hAnsi="宋体" w:cs="宋体"/>
                <w:szCs w:val="21"/>
              </w:rPr>
              <w:t>L/min</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443" w:type="pct"/>
            <w:vMerge w:val="continue"/>
            <w:vAlign w:val="center"/>
          </w:tcPr>
          <w:p>
            <w:pPr>
              <w:tabs>
                <w:tab w:val="center" w:pos="3570"/>
                <w:tab w:val="right" w:pos="7875"/>
              </w:tabs>
              <w:spacing w:line="360" w:lineRule="auto"/>
              <w:ind w:firstLine="420"/>
              <w:jc w:val="center"/>
              <w:rPr>
                <w:rFonts w:ascii="宋体" w:hAnsi="宋体" w:cs="宋体"/>
                <w:szCs w:val="21"/>
              </w:rPr>
            </w:pPr>
          </w:p>
        </w:tc>
        <w:tc>
          <w:tcPr>
            <w:tcW w:w="890" w:type="pct"/>
            <w:tcBorders>
              <w:top w:val="single" w:color="auto" w:sz="4" w:space="0"/>
            </w:tcBorders>
            <w:vAlign w:val="center"/>
          </w:tcPr>
          <w:p>
            <w:pPr>
              <w:tabs>
                <w:tab w:val="center" w:pos="3570"/>
                <w:tab w:val="right" w:pos="7875"/>
              </w:tabs>
              <w:jc w:val="center"/>
              <w:rPr>
                <w:szCs w:val="21"/>
              </w:rPr>
            </w:pPr>
            <w:r>
              <w:rPr>
                <w:szCs w:val="21"/>
              </w:rPr>
              <w:t>0.3</w:t>
            </w:r>
          </w:p>
        </w:tc>
        <w:tc>
          <w:tcPr>
            <w:tcW w:w="890" w:type="pct"/>
            <w:tcBorders>
              <w:top w:val="single" w:color="auto" w:sz="4" w:space="0"/>
            </w:tcBorders>
            <w:vAlign w:val="center"/>
          </w:tcPr>
          <w:p>
            <w:pPr>
              <w:tabs>
                <w:tab w:val="center" w:pos="3570"/>
                <w:tab w:val="right" w:pos="7875"/>
              </w:tabs>
              <w:jc w:val="center"/>
              <w:rPr>
                <w:szCs w:val="21"/>
              </w:rPr>
            </w:pPr>
            <w:r>
              <w:rPr>
                <w:szCs w:val="21"/>
              </w:rPr>
              <w:t>0.4</w:t>
            </w:r>
          </w:p>
        </w:tc>
        <w:tc>
          <w:tcPr>
            <w:tcW w:w="889" w:type="pct"/>
            <w:tcBorders>
              <w:top w:val="single" w:color="auto" w:sz="4" w:space="0"/>
            </w:tcBorders>
            <w:vAlign w:val="center"/>
          </w:tcPr>
          <w:p>
            <w:pPr>
              <w:tabs>
                <w:tab w:val="center" w:pos="3570"/>
                <w:tab w:val="right" w:pos="7875"/>
              </w:tabs>
              <w:jc w:val="center"/>
              <w:rPr>
                <w:szCs w:val="21"/>
              </w:rPr>
            </w:pPr>
            <w:r>
              <w:rPr>
                <w:szCs w:val="21"/>
              </w:rPr>
              <w:t>0.5</w:t>
            </w:r>
          </w:p>
        </w:tc>
        <w:tc>
          <w:tcPr>
            <w:tcW w:w="888" w:type="pct"/>
            <w:tcBorders>
              <w:top w:val="single" w:color="auto" w:sz="4" w:space="0"/>
              <w:right w:val="single" w:color="auto" w:sz="4" w:space="0"/>
            </w:tcBorders>
            <w:vAlign w:val="center"/>
          </w:tcPr>
          <w:p>
            <w:pPr>
              <w:tabs>
                <w:tab w:val="center" w:pos="3570"/>
                <w:tab w:val="right" w:pos="7875"/>
              </w:tabs>
              <w:jc w:val="center"/>
              <w:rPr>
                <w:szCs w:val="21"/>
              </w:rPr>
            </w:pPr>
            <w:r>
              <w:rPr>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443" w:type="pct"/>
            <w:vAlign w:val="center"/>
          </w:tcPr>
          <w:p>
            <w:pPr>
              <w:tabs>
                <w:tab w:val="center" w:pos="3570"/>
                <w:tab w:val="right" w:pos="7875"/>
              </w:tabs>
              <w:spacing w:before="80" w:after="40"/>
              <w:jc w:val="center"/>
              <w:rPr>
                <w:rFonts w:ascii="宋体" w:hAnsi="宋体"/>
                <w:sz w:val="18"/>
                <w:szCs w:val="18"/>
              </w:rPr>
            </w:pPr>
            <w:r>
              <w:rPr>
                <w:rFonts w:hint="eastAsia" w:ascii="宋体" w:hAnsi="宋体"/>
                <w:sz w:val="18"/>
                <w:szCs w:val="18"/>
              </w:rPr>
              <w:t>空白试液荧光强度</w:t>
            </w:r>
          </w:p>
        </w:tc>
        <w:tc>
          <w:tcPr>
            <w:tcW w:w="890"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355</w:t>
            </w:r>
          </w:p>
        </w:tc>
        <w:tc>
          <w:tcPr>
            <w:tcW w:w="890"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338</w:t>
            </w:r>
          </w:p>
        </w:tc>
        <w:tc>
          <w:tcPr>
            <w:tcW w:w="889"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275</w:t>
            </w:r>
          </w:p>
        </w:tc>
        <w:tc>
          <w:tcPr>
            <w:tcW w:w="888"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443" w:type="pct"/>
            <w:vAlign w:val="center"/>
          </w:tcPr>
          <w:p>
            <w:pPr>
              <w:tabs>
                <w:tab w:val="center" w:pos="3570"/>
                <w:tab w:val="right" w:pos="7875"/>
              </w:tabs>
              <w:spacing w:before="80" w:after="40"/>
              <w:jc w:val="center"/>
              <w:rPr>
                <w:rFonts w:ascii="宋体" w:hAnsi="宋体"/>
                <w:sz w:val="18"/>
                <w:szCs w:val="18"/>
              </w:rPr>
            </w:pPr>
            <w:r>
              <w:rPr>
                <w:rFonts w:hint="eastAsia" w:ascii="宋体" w:hAnsi="宋体"/>
                <w:sz w:val="18"/>
                <w:szCs w:val="18"/>
              </w:rPr>
              <w:t>铅标准试液荧光强度</w:t>
            </w:r>
          </w:p>
        </w:tc>
        <w:tc>
          <w:tcPr>
            <w:tcW w:w="890"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1526</w:t>
            </w:r>
          </w:p>
        </w:tc>
        <w:tc>
          <w:tcPr>
            <w:tcW w:w="890"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1717</w:t>
            </w:r>
          </w:p>
        </w:tc>
        <w:tc>
          <w:tcPr>
            <w:tcW w:w="889"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786</w:t>
            </w:r>
          </w:p>
        </w:tc>
        <w:tc>
          <w:tcPr>
            <w:tcW w:w="888"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443" w:type="pct"/>
            <w:vAlign w:val="center"/>
          </w:tcPr>
          <w:p>
            <w:pPr>
              <w:tabs>
                <w:tab w:val="center" w:pos="3570"/>
                <w:tab w:val="right" w:pos="7875"/>
              </w:tabs>
              <w:spacing w:before="80" w:after="40"/>
              <w:jc w:val="center"/>
              <w:rPr>
                <w:rFonts w:ascii="宋体" w:hAnsi="宋体"/>
                <w:sz w:val="18"/>
                <w:szCs w:val="18"/>
              </w:rPr>
            </w:pPr>
            <w:r>
              <w:rPr>
                <w:rFonts w:hint="eastAsia" w:ascii="宋体" w:hAnsi="宋体"/>
                <w:sz w:val="18"/>
                <w:szCs w:val="18"/>
              </w:rPr>
              <w:t>净荧光强度</w:t>
            </w:r>
          </w:p>
        </w:tc>
        <w:tc>
          <w:tcPr>
            <w:tcW w:w="890"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1171</w:t>
            </w:r>
          </w:p>
        </w:tc>
        <w:tc>
          <w:tcPr>
            <w:tcW w:w="890"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1379</w:t>
            </w:r>
          </w:p>
        </w:tc>
        <w:tc>
          <w:tcPr>
            <w:tcW w:w="889"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511</w:t>
            </w:r>
          </w:p>
        </w:tc>
        <w:tc>
          <w:tcPr>
            <w:tcW w:w="888"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491</w:t>
            </w:r>
          </w:p>
        </w:tc>
      </w:tr>
    </w:tbl>
    <w:p>
      <w:pPr>
        <w:tabs>
          <w:tab w:val="center" w:pos="3570"/>
          <w:tab w:val="right" w:pos="7875"/>
        </w:tabs>
        <w:ind w:firstLine="420"/>
      </w:pPr>
      <w:r>
        <w:t>试验表明</w:t>
      </w:r>
      <w:r>
        <w:rPr>
          <w:rFonts w:hint="eastAsia"/>
        </w:rPr>
        <w:t>，在载气流量为0.4</w:t>
      </w:r>
      <w:r>
        <w:rPr>
          <w:rFonts w:asciiTheme="minorEastAsia" w:hAnsiTheme="minorEastAsia" w:eastAsiaTheme="minorEastAsia"/>
        </w:rPr>
        <w:t> </w:t>
      </w:r>
      <w:r>
        <w:rPr>
          <w:rFonts w:hint="eastAsia"/>
        </w:rPr>
        <w:t>L/min</w:t>
      </w:r>
      <w:r>
        <w:t>时</w:t>
      </w:r>
      <w:r>
        <w:rPr>
          <w:rFonts w:hint="eastAsia"/>
        </w:rPr>
        <w:t>，荧光强度最大，本试验选择0.4</w:t>
      </w:r>
      <w:r>
        <w:rPr>
          <w:rFonts w:asciiTheme="minorEastAsia" w:hAnsiTheme="minorEastAsia" w:eastAsiaTheme="minorEastAsia"/>
        </w:rPr>
        <w:t> </w:t>
      </w:r>
      <w:r>
        <w:rPr>
          <w:rFonts w:hint="eastAsia"/>
        </w:rPr>
        <w:t>L/min</w:t>
      </w:r>
      <w:r>
        <w:t>的载气流量</w:t>
      </w:r>
      <w:r>
        <w:rPr>
          <w:rFonts w:hint="eastAsia"/>
        </w:rPr>
        <w:t>。</w:t>
      </w:r>
    </w:p>
    <w:p>
      <w:pPr>
        <w:tabs>
          <w:tab w:val="center" w:pos="3570"/>
          <w:tab w:val="right" w:pos="7875"/>
        </w:tabs>
        <w:spacing w:before="156" w:beforeLines="50"/>
        <w:rPr>
          <w:rFonts w:asciiTheme="minorEastAsia" w:hAnsiTheme="minorEastAsia" w:eastAsiaTheme="minorEastAsia"/>
          <w:szCs w:val="21"/>
        </w:rPr>
      </w:pPr>
      <w:r>
        <w:rPr>
          <w:rFonts w:hint="eastAsia" w:asciiTheme="minorEastAsia" w:hAnsiTheme="minorEastAsia" w:eastAsiaTheme="minorEastAsia"/>
          <w:szCs w:val="21"/>
        </w:rPr>
        <w:t>4）屏蔽气流量的选择试验</w:t>
      </w:r>
    </w:p>
    <w:p>
      <w:pPr>
        <w:tabs>
          <w:tab w:val="center" w:pos="3570"/>
          <w:tab w:val="right" w:pos="7875"/>
        </w:tabs>
        <w:ind w:firstLine="420"/>
      </w:pPr>
      <w:r>
        <w:rPr>
          <w:rFonts w:hint="eastAsia"/>
        </w:rPr>
        <w:t>原子荧光光谱分析法中，屏蔽气流可以起到防止氢化物被氧化，提高原子化效率，防止荧光猝灭，保持原子化环境的相对稳定的作用。屏蔽气流量太小会造成效果不好，影响信号的灵敏度和稳定性，太大则会影响原子化效率，灵敏度降低。</w:t>
      </w:r>
    </w:p>
    <w:p>
      <w:pPr>
        <w:tabs>
          <w:tab w:val="center" w:pos="3570"/>
          <w:tab w:val="right" w:pos="7875"/>
        </w:tabs>
        <w:ind w:firstLine="420"/>
      </w:pPr>
      <w:r>
        <w:t>试验以25</w:t>
      </w:r>
      <w:r>
        <w:rPr>
          <w:rFonts w:asciiTheme="minorEastAsia" w:hAnsiTheme="minorEastAsia" w:eastAsiaTheme="minorEastAsia"/>
        </w:rPr>
        <w:t> </w:t>
      </w:r>
      <w:r>
        <w:t>μg/L的铅标准溶液</w:t>
      </w:r>
      <w:r>
        <w:rPr>
          <w:rFonts w:hint="eastAsia"/>
        </w:rPr>
        <w:t>和空白试液，酸介质固定为1</w:t>
      </w:r>
      <w:r>
        <w:t>.5</w:t>
      </w:r>
      <w:r>
        <w:rPr>
          <w:rFonts w:asciiTheme="minorEastAsia" w:hAnsiTheme="minorEastAsia" w:eastAsiaTheme="minorEastAsia"/>
        </w:rPr>
        <w:t> </w:t>
      </w:r>
      <w:r>
        <w:rPr>
          <w:rFonts w:hint="eastAsia"/>
        </w:rPr>
        <w:t>%硝酸，测定其荧光强度，不同的屏蔽气流量范围内，进行试验，试验结果见表</w:t>
      </w:r>
      <w:r>
        <w:rPr>
          <w:rFonts w:hint="eastAsia"/>
          <w:lang w:val="en-US" w:eastAsia="zh-CN"/>
        </w:rPr>
        <w:t>6</w:t>
      </w:r>
      <w:r>
        <w:rPr>
          <w:rFonts w:hint="eastAsia"/>
        </w:rPr>
        <w:t>。</w:t>
      </w:r>
    </w:p>
    <w:p>
      <w:pPr>
        <w:tabs>
          <w:tab w:val="center" w:pos="3570"/>
          <w:tab w:val="right" w:pos="7875"/>
        </w:tabs>
        <w:spacing w:before="120" w:after="120" w:line="360" w:lineRule="auto"/>
        <w:jc w:val="center"/>
        <w:rPr>
          <w:rFonts w:ascii="宋体" w:hAnsi="宋体" w:cs="宋体"/>
          <w:szCs w:val="21"/>
        </w:rPr>
      </w:pPr>
      <w:r>
        <w:rPr>
          <w:rFonts w:hint="eastAsia" w:ascii="宋体" w:hAnsi="宋体" w:cs="宋体"/>
          <w:szCs w:val="21"/>
        </w:rPr>
        <w:t>表</w:t>
      </w:r>
      <w:r>
        <w:rPr>
          <w:rFonts w:hint="eastAsia" w:ascii="宋体" w:hAnsi="宋体" w:cs="宋体"/>
          <w:szCs w:val="21"/>
          <w:lang w:val="en-US" w:eastAsia="zh-CN"/>
        </w:rPr>
        <w:t>6</w:t>
      </w:r>
      <w:r>
        <w:rPr>
          <w:rFonts w:hint="eastAsia" w:ascii="宋体" w:hAnsi="宋体" w:cs="宋体"/>
          <w:szCs w:val="21"/>
        </w:rPr>
        <w:t>屏蔽气流量选择试验</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94"/>
        <w:gridCol w:w="1486"/>
        <w:gridCol w:w="1596"/>
        <w:gridCol w:w="1596"/>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487" w:type="pct"/>
            <w:vMerge w:val="restar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测定项</w:t>
            </w:r>
          </w:p>
        </w:tc>
        <w:tc>
          <w:tcPr>
            <w:tcW w:w="3513" w:type="pct"/>
            <w:gridSpan w:val="4"/>
            <w:vAlign w:val="center"/>
          </w:tcPr>
          <w:p>
            <w:pPr>
              <w:tabs>
                <w:tab w:val="center" w:pos="3570"/>
                <w:tab w:val="right" w:pos="7875"/>
              </w:tabs>
              <w:jc w:val="center"/>
              <w:rPr>
                <w:rFonts w:ascii="宋体" w:hAnsi="宋体" w:cs="宋体"/>
                <w:szCs w:val="21"/>
              </w:rPr>
            </w:pPr>
            <w:r>
              <w:rPr>
                <w:rFonts w:hint="eastAsia" w:ascii="宋体" w:hAnsi="宋体" w:cs="宋体"/>
                <w:szCs w:val="21"/>
              </w:rPr>
              <w:t>屏蔽气流量范围（</w:t>
            </w:r>
            <w:r>
              <w:rPr>
                <w:rFonts w:ascii="宋体" w:hAnsi="宋体" w:cs="宋体"/>
                <w:szCs w:val="21"/>
              </w:rPr>
              <w:t>L/min</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487" w:type="pct"/>
            <w:vMerge w:val="continue"/>
            <w:vAlign w:val="center"/>
          </w:tcPr>
          <w:p>
            <w:pPr>
              <w:tabs>
                <w:tab w:val="center" w:pos="3570"/>
                <w:tab w:val="right" w:pos="7875"/>
              </w:tabs>
              <w:spacing w:line="360" w:lineRule="auto"/>
              <w:ind w:firstLine="420"/>
              <w:jc w:val="center"/>
              <w:rPr>
                <w:rFonts w:ascii="宋体" w:hAnsi="宋体" w:cs="宋体"/>
                <w:szCs w:val="21"/>
              </w:rPr>
            </w:pPr>
          </w:p>
        </w:tc>
        <w:tc>
          <w:tcPr>
            <w:tcW w:w="820" w:type="pct"/>
            <w:vAlign w:val="center"/>
          </w:tcPr>
          <w:p>
            <w:pPr>
              <w:tabs>
                <w:tab w:val="center" w:pos="3570"/>
                <w:tab w:val="right" w:pos="7875"/>
              </w:tabs>
              <w:spacing w:before="80" w:after="40"/>
              <w:jc w:val="center"/>
              <w:rPr>
                <w:rFonts w:ascii="宋体" w:hAnsi="宋体"/>
                <w:szCs w:val="21"/>
              </w:rPr>
            </w:pPr>
            <w:r>
              <w:rPr>
                <w:rFonts w:ascii="宋体" w:hAnsi="宋体"/>
                <w:szCs w:val="21"/>
              </w:rPr>
              <w:t>0.</w:t>
            </w:r>
            <w:r>
              <w:rPr>
                <w:rFonts w:hint="eastAsia" w:ascii="宋体" w:hAnsi="宋体"/>
                <w:szCs w:val="21"/>
              </w:rPr>
              <w:t>8</w:t>
            </w:r>
          </w:p>
        </w:tc>
        <w:tc>
          <w:tcPr>
            <w:tcW w:w="881" w:type="pct"/>
            <w:vAlign w:val="center"/>
          </w:tcPr>
          <w:p>
            <w:pPr>
              <w:tabs>
                <w:tab w:val="center" w:pos="3570"/>
                <w:tab w:val="right" w:pos="7875"/>
              </w:tabs>
              <w:spacing w:before="80" w:after="40"/>
              <w:jc w:val="center"/>
              <w:rPr>
                <w:rFonts w:ascii="宋体" w:hAnsi="宋体"/>
                <w:szCs w:val="21"/>
              </w:rPr>
            </w:pPr>
            <w:r>
              <w:rPr>
                <w:rFonts w:ascii="宋体" w:hAnsi="宋体"/>
                <w:szCs w:val="21"/>
              </w:rPr>
              <w:t>0.</w:t>
            </w:r>
            <w:r>
              <w:rPr>
                <w:rFonts w:hint="eastAsia" w:ascii="宋体" w:hAnsi="宋体"/>
                <w:szCs w:val="21"/>
              </w:rPr>
              <w:t>9</w:t>
            </w:r>
          </w:p>
        </w:tc>
        <w:tc>
          <w:tcPr>
            <w:tcW w:w="881" w:type="pct"/>
            <w:vAlign w:val="center"/>
          </w:tcPr>
          <w:p>
            <w:pPr>
              <w:tabs>
                <w:tab w:val="center" w:pos="3570"/>
                <w:tab w:val="right" w:pos="7875"/>
              </w:tabs>
              <w:spacing w:before="80" w:after="40"/>
              <w:jc w:val="center"/>
              <w:rPr>
                <w:rFonts w:ascii="宋体" w:hAnsi="宋体"/>
                <w:szCs w:val="21"/>
              </w:rPr>
            </w:pPr>
            <w:r>
              <w:rPr>
                <w:rFonts w:hint="eastAsia" w:ascii="宋体" w:hAnsi="宋体"/>
                <w:szCs w:val="21"/>
              </w:rPr>
              <w:t>1.0</w:t>
            </w:r>
          </w:p>
        </w:tc>
        <w:tc>
          <w:tcPr>
            <w:tcW w:w="931" w:type="pct"/>
            <w:vAlign w:val="center"/>
          </w:tcPr>
          <w:p>
            <w:pPr>
              <w:tabs>
                <w:tab w:val="center" w:pos="3570"/>
                <w:tab w:val="right" w:pos="7875"/>
              </w:tabs>
              <w:spacing w:before="80" w:after="40"/>
              <w:jc w:val="center"/>
              <w:rPr>
                <w:rFonts w:ascii="宋体" w:hAnsi="宋体"/>
                <w:szCs w:val="21"/>
              </w:rPr>
            </w:pPr>
            <w:r>
              <w:rPr>
                <w:rFonts w:hint="eastAsia" w:ascii="宋体" w:hAnsi="宋体"/>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487" w:type="pct"/>
            <w:vAlign w:val="center"/>
          </w:tcPr>
          <w:p>
            <w:pPr>
              <w:tabs>
                <w:tab w:val="center" w:pos="3570"/>
                <w:tab w:val="right" w:pos="7875"/>
              </w:tabs>
              <w:spacing w:before="80" w:after="40"/>
              <w:jc w:val="center"/>
              <w:rPr>
                <w:rFonts w:ascii="宋体" w:hAnsi="宋体"/>
                <w:sz w:val="18"/>
                <w:szCs w:val="18"/>
              </w:rPr>
            </w:pPr>
            <w:r>
              <w:rPr>
                <w:rFonts w:hint="eastAsia" w:ascii="宋体" w:hAnsi="宋体"/>
                <w:sz w:val="18"/>
                <w:szCs w:val="18"/>
              </w:rPr>
              <w:t>空白试液荧光强度</w:t>
            </w:r>
          </w:p>
        </w:tc>
        <w:tc>
          <w:tcPr>
            <w:tcW w:w="820"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338</w:t>
            </w:r>
          </w:p>
        </w:tc>
        <w:tc>
          <w:tcPr>
            <w:tcW w:w="881"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340</w:t>
            </w:r>
          </w:p>
        </w:tc>
        <w:tc>
          <w:tcPr>
            <w:tcW w:w="881"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330</w:t>
            </w:r>
          </w:p>
        </w:tc>
        <w:tc>
          <w:tcPr>
            <w:tcW w:w="931"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487" w:type="pct"/>
            <w:vAlign w:val="center"/>
          </w:tcPr>
          <w:p>
            <w:pPr>
              <w:tabs>
                <w:tab w:val="center" w:pos="3570"/>
                <w:tab w:val="right" w:pos="7875"/>
              </w:tabs>
              <w:spacing w:before="80" w:after="40"/>
              <w:jc w:val="center"/>
              <w:rPr>
                <w:rFonts w:ascii="宋体" w:hAnsi="宋体"/>
                <w:sz w:val="18"/>
                <w:szCs w:val="18"/>
              </w:rPr>
            </w:pPr>
            <w:r>
              <w:rPr>
                <w:rFonts w:hint="eastAsia" w:ascii="宋体" w:hAnsi="宋体"/>
                <w:sz w:val="18"/>
                <w:szCs w:val="18"/>
              </w:rPr>
              <w:t>铅标准试液荧光强度</w:t>
            </w:r>
          </w:p>
        </w:tc>
        <w:tc>
          <w:tcPr>
            <w:tcW w:w="820"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1618</w:t>
            </w:r>
          </w:p>
        </w:tc>
        <w:tc>
          <w:tcPr>
            <w:tcW w:w="881"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1654</w:t>
            </w:r>
          </w:p>
        </w:tc>
        <w:tc>
          <w:tcPr>
            <w:tcW w:w="881"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1727</w:t>
            </w:r>
          </w:p>
        </w:tc>
        <w:tc>
          <w:tcPr>
            <w:tcW w:w="931"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1778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487" w:type="pct"/>
            <w:vAlign w:val="center"/>
          </w:tcPr>
          <w:p>
            <w:pPr>
              <w:tabs>
                <w:tab w:val="center" w:pos="3570"/>
                <w:tab w:val="right" w:pos="7875"/>
              </w:tabs>
              <w:spacing w:before="80" w:after="40"/>
              <w:jc w:val="center"/>
              <w:rPr>
                <w:rFonts w:ascii="宋体" w:hAnsi="宋体"/>
                <w:sz w:val="18"/>
                <w:szCs w:val="18"/>
              </w:rPr>
            </w:pPr>
            <w:r>
              <w:rPr>
                <w:rFonts w:hint="eastAsia" w:ascii="宋体" w:hAnsi="宋体"/>
                <w:sz w:val="18"/>
                <w:szCs w:val="18"/>
              </w:rPr>
              <w:t>净荧光强度</w:t>
            </w:r>
          </w:p>
        </w:tc>
        <w:tc>
          <w:tcPr>
            <w:tcW w:w="820"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1280</w:t>
            </w:r>
          </w:p>
        </w:tc>
        <w:tc>
          <w:tcPr>
            <w:tcW w:w="881"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1314</w:t>
            </w:r>
          </w:p>
        </w:tc>
        <w:tc>
          <w:tcPr>
            <w:tcW w:w="881"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1397</w:t>
            </w:r>
          </w:p>
        </w:tc>
        <w:tc>
          <w:tcPr>
            <w:tcW w:w="931"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1442</w:t>
            </w:r>
          </w:p>
        </w:tc>
      </w:tr>
    </w:tbl>
    <w:p>
      <w:pPr>
        <w:tabs>
          <w:tab w:val="center" w:pos="3570"/>
          <w:tab w:val="right" w:pos="7875"/>
        </w:tabs>
        <w:ind w:firstLine="420"/>
      </w:pPr>
      <w:r>
        <w:t>试验表明</w:t>
      </w:r>
      <w:r>
        <w:rPr>
          <w:rFonts w:hint="eastAsia"/>
        </w:rPr>
        <w:t>，屏蔽气流量在</w:t>
      </w:r>
      <w:r>
        <w:t>0.</w:t>
      </w:r>
      <w:r>
        <w:rPr>
          <w:rFonts w:hint="eastAsia"/>
        </w:rPr>
        <w:t>8</w:t>
      </w:r>
      <w:r>
        <w:rPr>
          <w:rFonts w:asciiTheme="minorEastAsia" w:hAnsiTheme="minorEastAsia" w:eastAsiaTheme="minorEastAsia"/>
        </w:rPr>
        <w:t> </w:t>
      </w:r>
      <w:r>
        <w:rPr>
          <w:rFonts w:hint="eastAsia"/>
        </w:rPr>
        <w:t>L/min~1.1</w:t>
      </w:r>
      <w:r>
        <w:rPr>
          <w:rFonts w:asciiTheme="minorEastAsia" w:hAnsiTheme="minorEastAsia" w:eastAsiaTheme="minorEastAsia"/>
        </w:rPr>
        <w:t> </w:t>
      </w:r>
      <w:r>
        <w:rPr>
          <w:rFonts w:hint="eastAsia"/>
        </w:rPr>
        <w:t>L/min范围内，荧光强度稳定。本试验选择</w:t>
      </w:r>
      <w:r>
        <w:t>0.8</w:t>
      </w:r>
      <w:r>
        <w:rPr>
          <w:rFonts w:asciiTheme="minorEastAsia" w:hAnsiTheme="minorEastAsia" w:eastAsiaTheme="minorEastAsia"/>
        </w:rPr>
        <w:t> </w:t>
      </w:r>
      <w:r>
        <w:rPr>
          <w:rFonts w:hint="eastAsia"/>
        </w:rPr>
        <w:t>L/min~</w:t>
      </w:r>
      <w:r>
        <w:t>1.0</w:t>
      </w:r>
      <w:r>
        <w:rPr>
          <w:rFonts w:asciiTheme="minorEastAsia" w:hAnsiTheme="minorEastAsia" w:eastAsiaTheme="minorEastAsia"/>
        </w:rPr>
        <w:t> </w:t>
      </w:r>
      <w:r>
        <w:t>L/</w:t>
      </w:r>
      <w:r>
        <w:rPr>
          <w:rFonts w:hint="eastAsia"/>
        </w:rPr>
        <w:t>min</w:t>
      </w:r>
      <w:r>
        <w:t>的屏蔽气流量</w:t>
      </w:r>
      <w:r>
        <w:rPr>
          <w:rFonts w:hint="eastAsia"/>
        </w:rPr>
        <w:t>。</w:t>
      </w:r>
    </w:p>
    <w:p>
      <w:pPr>
        <w:pStyle w:val="84"/>
        <w:spacing w:line="360" w:lineRule="auto"/>
      </w:pPr>
      <w:r>
        <w:rPr>
          <w:rFonts w:hint="eastAsia"/>
        </w:rPr>
        <w:t>3.1.1.2 样品处理条件试验</w:t>
      </w:r>
    </w:p>
    <w:p>
      <w:pPr>
        <w:tabs>
          <w:tab w:val="center" w:pos="3570"/>
          <w:tab w:val="right" w:pos="7875"/>
        </w:tabs>
        <w:spacing w:before="80" w:after="40"/>
        <w:rPr>
          <w:rFonts w:cs="黑体" w:asciiTheme="minorEastAsia" w:hAnsiTheme="minorEastAsia" w:eastAsiaTheme="minorEastAsia"/>
          <w:szCs w:val="21"/>
          <w:highlight w:val="yellow"/>
        </w:rPr>
      </w:pPr>
      <w:r>
        <w:rPr>
          <w:rFonts w:hint="eastAsia" w:cs="黑体" w:asciiTheme="minorEastAsia" w:hAnsiTheme="minorEastAsia" w:eastAsiaTheme="minorEastAsia"/>
          <w:szCs w:val="21"/>
        </w:rPr>
        <w:t>1）样品分解试验</w:t>
      </w:r>
    </w:p>
    <w:p>
      <w:pPr>
        <w:tabs>
          <w:tab w:val="center" w:pos="3570"/>
          <w:tab w:val="right" w:pos="7875"/>
        </w:tabs>
        <w:ind w:firstLine="420"/>
      </w:pPr>
      <w:r>
        <w:rPr>
          <w:rFonts w:hint="eastAsia"/>
          <w:szCs w:val="21"/>
        </w:rPr>
        <w:t>本试验样品分解主要参照了GB/T</w:t>
      </w:r>
      <w:r>
        <w:rPr>
          <w:rFonts w:asciiTheme="minorEastAsia" w:hAnsiTheme="minorEastAsia" w:eastAsiaTheme="minorEastAsia"/>
        </w:rPr>
        <w:t> </w:t>
      </w:r>
      <w:r>
        <w:rPr>
          <w:rFonts w:hint="eastAsia"/>
          <w:szCs w:val="21"/>
        </w:rPr>
        <w:t>6150-2008钨精矿化学分析方法系列标准中的分解方法，采用盐酸、硝酸、高氯酸分解。分解的要点则主要在样品前期需要低温分解（沸水浴）。如果温度过高，钨酸过早析出，会包裹待测元素，导致测定结果偏低，尤其低含量的待测元素需要特别注意。</w:t>
      </w:r>
    </w:p>
    <w:p>
      <w:pPr>
        <w:tabs>
          <w:tab w:val="center" w:pos="3570"/>
          <w:tab w:val="right" w:pos="7875"/>
        </w:tabs>
        <w:spacing w:before="156" w:beforeLines="50"/>
        <w:rPr>
          <w:rFonts w:asciiTheme="minorEastAsia" w:hAnsiTheme="minorEastAsia" w:eastAsiaTheme="minorEastAsia"/>
          <w:szCs w:val="21"/>
        </w:rPr>
      </w:pPr>
      <w:r>
        <w:rPr>
          <w:rFonts w:hint="eastAsia" w:asciiTheme="minorEastAsia" w:hAnsiTheme="minorEastAsia" w:eastAsiaTheme="minorEastAsia"/>
          <w:szCs w:val="21"/>
        </w:rPr>
        <w:t>2）测定</w:t>
      </w:r>
      <w:r>
        <w:rPr>
          <w:rFonts w:asciiTheme="minorEastAsia" w:hAnsiTheme="minorEastAsia" w:eastAsiaTheme="minorEastAsia"/>
          <w:szCs w:val="21"/>
        </w:rPr>
        <w:t>酸度影响试验</w:t>
      </w:r>
    </w:p>
    <w:p>
      <w:pPr>
        <w:tabs>
          <w:tab w:val="center" w:pos="3570"/>
          <w:tab w:val="right" w:pos="7875"/>
        </w:tabs>
        <w:ind w:firstLine="420"/>
      </w:pPr>
      <w:r>
        <w:rPr>
          <w:rFonts w:hint="eastAsia"/>
        </w:rPr>
        <w:t>根据大量文献和工作经验，矿物中的铅多易溶于硝酸，最后采取测定试液采用硝酸介质。由于酸度对原子荧光光谱法测定铅有较为显著的影响。本试验对测定体系的酸度进行试验，试验应始终保持载液酸度和样品酸度一致进行试验。</w:t>
      </w:r>
    </w:p>
    <w:p>
      <w:pPr>
        <w:tabs>
          <w:tab w:val="center" w:pos="3570"/>
          <w:tab w:val="right" w:pos="7875"/>
        </w:tabs>
        <w:ind w:firstLine="420"/>
      </w:pPr>
      <w:r>
        <w:rPr>
          <w:rFonts w:hint="eastAsia"/>
        </w:rPr>
        <w:t>按试验方法，称取2#统一样品0</w:t>
      </w:r>
      <w:r>
        <w:t>.</w:t>
      </w:r>
      <w:r>
        <w:rPr>
          <w:rFonts w:hint="eastAsia"/>
        </w:rPr>
        <w:t>10</w:t>
      </w:r>
      <w:r>
        <w:rPr>
          <w:rFonts w:asciiTheme="minorEastAsia" w:hAnsiTheme="minorEastAsia" w:eastAsiaTheme="minorEastAsia"/>
        </w:rPr>
        <w:t> </w:t>
      </w:r>
      <w:r>
        <w:t>g</w:t>
      </w:r>
      <w:r>
        <w:rPr>
          <w:rFonts w:hint="eastAsia"/>
        </w:rPr>
        <w:t>进行分解处理后，分取试液1组100</w:t>
      </w:r>
      <w:r>
        <w:rPr>
          <w:rFonts w:asciiTheme="minorEastAsia" w:hAnsiTheme="minorEastAsia" w:eastAsiaTheme="minorEastAsia"/>
        </w:rPr>
        <w:t> </w:t>
      </w:r>
      <w:r>
        <w:rPr>
          <w:rFonts w:hint="eastAsia"/>
        </w:rPr>
        <w:t>mL容量瓶中，加入3</w:t>
      </w:r>
      <w:r>
        <w:rPr>
          <w:rFonts w:asciiTheme="minorEastAsia" w:hAnsiTheme="minorEastAsia" w:eastAsiaTheme="minorEastAsia"/>
        </w:rPr>
        <w:t> </w:t>
      </w:r>
      <w:r>
        <w:rPr>
          <w:rFonts w:hint="eastAsia"/>
        </w:rPr>
        <w:t>mL草酸溶液，3</w:t>
      </w:r>
      <w:r>
        <w:rPr>
          <w:rFonts w:asciiTheme="minorEastAsia" w:hAnsiTheme="minorEastAsia" w:eastAsiaTheme="minorEastAsia"/>
        </w:rPr>
        <w:t> </w:t>
      </w:r>
      <w:r>
        <w:rPr>
          <w:rFonts w:hint="eastAsia"/>
        </w:rPr>
        <w:t>m</w:t>
      </w:r>
      <w:r>
        <w:t>L铁氰化钾</w:t>
      </w:r>
      <w:r>
        <w:rPr>
          <w:rFonts w:hint="eastAsia"/>
        </w:rPr>
        <w:t>，加入不同体积的硝酸(1+1)，测定其荧光强度，同时按加入量配置不同的载流酸度。试验结果见表</w:t>
      </w:r>
      <w:r>
        <w:rPr>
          <w:rFonts w:hint="eastAsia"/>
          <w:lang w:val="en-US" w:eastAsia="zh-CN"/>
        </w:rPr>
        <w:t>7</w:t>
      </w:r>
      <w:r>
        <w:rPr>
          <w:rFonts w:hint="eastAsia"/>
        </w:rPr>
        <w:t>。</w:t>
      </w:r>
    </w:p>
    <w:p>
      <w:pPr>
        <w:tabs>
          <w:tab w:val="center" w:pos="3570"/>
          <w:tab w:val="right" w:pos="7875"/>
        </w:tabs>
        <w:ind w:firstLine="420"/>
        <w:jc w:val="center"/>
      </w:pPr>
      <w:r>
        <w:rPr>
          <w:rFonts w:hint="eastAsia"/>
        </w:rPr>
        <w:t>表</w:t>
      </w:r>
      <w:r>
        <w:rPr>
          <w:rFonts w:hint="eastAsia"/>
          <w:lang w:val="en-US" w:eastAsia="zh-CN"/>
        </w:rPr>
        <w:t>7</w:t>
      </w:r>
      <w:r>
        <w:rPr>
          <w:rFonts w:hint="eastAsia"/>
        </w:rPr>
        <w:t>测定酸度影响</w:t>
      </w:r>
    </w:p>
    <w:tbl>
      <w:tblPr>
        <w:tblStyle w:val="88"/>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838"/>
        <w:gridCol w:w="836"/>
        <w:gridCol w:w="833"/>
        <w:gridCol w:w="836"/>
        <w:gridCol w:w="833"/>
        <w:gridCol w:w="836"/>
        <w:gridCol w:w="833"/>
        <w:gridCol w:w="836"/>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542" w:type="dxa"/>
            <w:vMerge w:val="restar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测定项</w:t>
            </w:r>
          </w:p>
        </w:tc>
        <w:tc>
          <w:tcPr>
            <w:tcW w:w="7519" w:type="dxa"/>
            <w:gridSpan w:val="9"/>
            <w:vAlign w:val="center"/>
          </w:tcPr>
          <w:p>
            <w:pPr>
              <w:tabs>
                <w:tab w:val="center" w:pos="3570"/>
                <w:tab w:val="right" w:pos="7875"/>
              </w:tabs>
              <w:jc w:val="center"/>
              <w:rPr>
                <w:rFonts w:ascii="宋体" w:hAnsi="宋体" w:cs="宋体"/>
                <w:szCs w:val="21"/>
              </w:rPr>
            </w:pPr>
            <w:r>
              <w:rPr>
                <w:rFonts w:hint="eastAsia" w:ascii="宋体" w:hAnsi="宋体" w:cs="宋体"/>
                <w:szCs w:val="21"/>
              </w:rPr>
              <w:t>硝酸量，</w:t>
            </w:r>
            <w:r>
              <w:rPr>
                <w:rFonts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542" w:type="dxa"/>
            <w:vMerge w:val="continue"/>
            <w:vAlign w:val="center"/>
          </w:tcPr>
          <w:p>
            <w:pPr>
              <w:tabs>
                <w:tab w:val="center" w:pos="3570"/>
                <w:tab w:val="right" w:pos="7875"/>
              </w:tabs>
              <w:spacing w:line="360" w:lineRule="auto"/>
              <w:ind w:firstLine="420"/>
              <w:jc w:val="center"/>
              <w:rPr>
                <w:rFonts w:ascii="宋体" w:hAnsi="宋体" w:cs="宋体"/>
                <w:szCs w:val="21"/>
              </w:rPr>
            </w:pPr>
          </w:p>
        </w:tc>
        <w:tc>
          <w:tcPr>
            <w:tcW w:w="838" w:type="dxa"/>
            <w:vAlign w:val="center"/>
          </w:tcPr>
          <w:p>
            <w:pPr>
              <w:tabs>
                <w:tab w:val="center" w:pos="3570"/>
                <w:tab w:val="right" w:pos="7875"/>
              </w:tabs>
              <w:spacing w:before="80" w:after="40"/>
              <w:jc w:val="center"/>
              <w:rPr>
                <w:rFonts w:ascii="宋体" w:hAnsi="宋体"/>
                <w:szCs w:val="21"/>
              </w:rPr>
            </w:pPr>
            <w:r>
              <w:rPr>
                <w:rFonts w:hint="eastAsia" w:ascii="宋体" w:hAnsi="宋体"/>
                <w:szCs w:val="21"/>
              </w:rPr>
              <w:t>0</w:t>
            </w:r>
          </w:p>
        </w:tc>
        <w:tc>
          <w:tcPr>
            <w:tcW w:w="836" w:type="dxa"/>
            <w:vAlign w:val="center"/>
          </w:tcPr>
          <w:p>
            <w:pPr>
              <w:tabs>
                <w:tab w:val="center" w:pos="3570"/>
                <w:tab w:val="right" w:pos="7875"/>
              </w:tabs>
              <w:spacing w:before="80" w:after="40"/>
              <w:jc w:val="center"/>
              <w:rPr>
                <w:rFonts w:ascii="宋体" w:hAnsi="宋体"/>
                <w:szCs w:val="21"/>
              </w:rPr>
            </w:pPr>
            <w:r>
              <w:rPr>
                <w:rFonts w:ascii="宋体" w:hAnsi="宋体"/>
                <w:szCs w:val="21"/>
              </w:rPr>
              <w:t>0.25</w:t>
            </w:r>
          </w:p>
        </w:tc>
        <w:tc>
          <w:tcPr>
            <w:tcW w:w="833" w:type="dxa"/>
            <w:vAlign w:val="center"/>
          </w:tcPr>
          <w:p>
            <w:pPr>
              <w:tabs>
                <w:tab w:val="center" w:pos="3570"/>
                <w:tab w:val="right" w:pos="7875"/>
              </w:tabs>
              <w:spacing w:before="80" w:after="40"/>
              <w:jc w:val="center"/>
              <w:rPr>
                <w:rFonts w:ascii="宋体" w:hAnsi="宋体"/>
                <w:szCs w:val="21"/>
              </w:rPr>
            </w:pPr>
            <w:r>
              <w:rPr>
                <w:rFonts w:ascii="宋体" w:hAnsi="宋体"/>
                <w:szCs w:val="21"/>
              </w:rPr>
              <w:t>0.5</w:t>
            </w:r>
          </w:p>
        </w:tc>
        <w:tc>
          <w:tcPr>
            <w:tcW w:w="836" w:type="dxa"/>
            <w:vAlign w:val="center"/>
          </w:tcPr>
          <w:p>
            <w:pPr>
              <w:tabs>
                <w:tab w:val="center" w:pos="3570"/>
                <w:tab w:val="right" w:pos="7875"/>
              </w:tabs>
              <w:spacing w:before="80" w:after="40"/>
              <w:jc w:val="center"/>
              <w:rPr>
                <w:rFonts w:ascii="宋体" w:hAnsi="宋体"/>
                <w:szCs w:val="21"/>
              </w:rPr>
            </w:pPr>
            <w:r>
              <w:rPr>
                <w:rFonts w:ascii="宋体" w:hAnsi="宋体"/>
                <w:szCs w:val="21"/>
              </w:rPr>
              <w:t>1</w:t>
            </w:r>
          </w:p>
        </w:tc>
        <w:tc>
          <w:tcPr>
            <w:tcW w:w="833" w:type="dxa"/>
            <w:vAlign w:val="center"/>
          </w:tcPr>
          <w:p>
            <w:pPr>
              <w:tabs>
                <w:tab w:val="center" w:pos="3570"/>
                <w:tab w:val="right" w:pos="7875"/>
              </w:tabs>
              <w:spacing w:before="80" w:after="40"/>
              <w:jc w:val="center"/>
              <w:rPr>
                <w:rFonts w:ascii="宋体" w:hAnsi="宋体"/>
                <w:szCs w:val="21"/>
              </w:rPr>
            </w:pPr>
            <w:r>
              <w:rPr>
                <w:rFonts w:ascii="宋体" w:hAnsi="宋体"/>
                <w:szCs w:val="21"/>
              </w:rPr>
              <w:t>1.5</w:t>
            </w:r>
          </w:p>
        </w:tc>
        <w:tc>
          <w:tcPr>
            <w:tcW w:w="836" w:type="dxa"/>
            <w:vAlign w:val="center"/>
          </w:tcPr>
          <w:p>
            <w:pPr>
              <w:tabs>
                <w:tab w:val="center" w:pos="3570"/>
                <w:tab w:val="right" w:pos="7875"/>
              </w:tabs>
              <w:spacing w:before="80" w:after="40"/>
              <w:jc w:val="center"/>
              <w:rPr>
                <w:rFonts w:ascii="宋体" w:hAnsi="宋体"/>
                <w:szCs w:val="21"/>
              </w:rPr>
            </w:pPr>
            <w:r>
              <w:rPr>
                <w:rFonts w:ascii="宋体" w:hAnsi="宋体"/>
                <w:szCs w:val="21"/>
              </w:rPr>
              <w:t>2</w:t>
            </w:r>
          </w:p>
        </w:tc>
        <w:tc>
          <w:tcPr>
            <w:tcW w:w="833" w:type="dxa"/>
            <w:vAlign w:val="center"/>
          </w:tcPr>
          <w:p>
            <w:pPr>
              <w:tabs>
                <w:tab w:val="center" w:pos="3570"/>
                <w:tab w:val="right" w:pos="7875"/>
              </w:tabs>
              <w:spacing w:before="80" w:after="40"/>
              <w:jc w:val="center"/>
              <w:rPr>
                <w:rFonts w:ascii="宋体" w:hAnsi="宋体"/>
                <w:szCs w:val="21"/>
              </w:rPr>
            </w:pPr>
            <w:r>
              <w:rPr>
                <w:rFonts w:ascii="宋体" w:hAnsi="宋体"/>
                <w:szCs w:val="21"/>
              </w:rPr>
              <w:t>2.5</w:t>
            </w:r>
          </w:p>
        </w:tc>
        <w:tc>
          <w:tcPr>
            <w:tcW w:w="836" w:type="dxa"/>
            <w:vAlign w:val="center"/>
          </w:tcPr>
          <w:p>
            <w:pPr>
              <w:tabs>
                <w:tab w:val="center" w:pos="3570"/>
                <w:tab w:val="right" w:pos="7875"/>
              </w:tabs>
              <w:spacing w:before="80" w:after="40"/>
              <w:jc w:val="center"/>
              <w:rPr>
                <w:rFonts w:ascii="宋体" w:hAnsi="宋体"/>
                <w:szCs w:val="21"/>
              </w:rPr>
            </w:pPr>
            <w:r>
              <w:rPr>
                <w:rFonts w:ascii="宋体" w:hAnsi="宋体"/>
                <w:szCs w:val="21"/>
              </w:rPr>
              <w:t>3</w:t>
            </w:r>
          </w:p>
        </w:tc>
        <w:tc>
          <w:tcPr>
            <w:tcW w:w="838" w:type="dxa"/>
            <w:vAlign w:val="center"/>
          </w:tcPr>
          <w:p>
            <w:pPr>
              <w:tabs>
                <w:tab w:val="center" w:pos="3570"/>
                <w:tab w:val="right" w:pos="7875"/>
              </w:tabs>
              <w:spacing w:before="80" w:after="40"/>
              <w:jc w:val="center"/>
              <w:rPr>
                <w:rFonts w:ascii="宋体" w:hAnsi="宋体"/>
                <w:szCs w:val="21"/>
              </w:rPr>
            </w:pPr>
            <w:r>
              <w:rPr>
                <w:rFonts w:ascii="宋体" w:hAnsi="宋体"/>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42" w:type="dxa"/>
            <w:vAlign w:val="center"/>
          </w:tcPr>
          <w:p>
            <w:pPr>
              <w:tabs>
                <w:tab w:val="center" w:pos="3570"/>
                <w:tab w:val="right" w:pos="7875"/>
              </w:tabs>
              <w:spacing w:before="80" w:after="40"/>
              <w:jc w:val="center"/>
              <w:rPr>
                <w:rFonts w:ascii="宋体" w:hAnsi="宋体"/>
                <w:sz w:val="18"/>
                <w:szCs w:val="18"/>
              </w:rPr>
            </w:pPr>
            <w:r>
              <w:rPr>
                <w:rFonts w:hint="eastAsia" w:ascii="宋体" w:hAnsi="宋体"/>
                <w:sz w:val="18"/>
                <w:szCs w:val="18"/>
              </w:rPr>
              <w:t>净荧光强度</w:t>
            </w:r>
          </w:p>
        </w:tc>
        <w:tc>
          <w:tcPr>
            <w:tcW w:w="838" w:type="dxa"/>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0</w:t>
            </w:r>
          </w:p>
        </w:tc>
        <w:tc>
          <w:tcPr>
            <w:tcW w:w="836" w:type="dxa"/>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0</w:t>
            </w:r>
          </w:p>
        </w:tc>
        <w:tc>
          <w:tcPr>
            <w:tcW w:w="833" w:type="dxa"/>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43.84</w:t>
            </w:r>
          </w:p>
        </w:tc>
        <w:tc>
          <w:tcPr>
            <w:tcW w:w="836" w:type="dxa"/>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989</w:t>
            </w:r>
          </w:p>
        </w:tc>
        <w:tc>
          <w:tcPr>
            <w:tcW w:w="833" w:type="dxa"/>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1519</w:t>
            </w:r>
          </w:p>
        </w:tc>
        <w:tc>
          <w:tcPr>
            <w:tcW w:w="836" w:type="dxa"/>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1449</w:t>
            </w:r>
          </w:p>
        </w:tc>
        <w:tc>
          <w:tcPr>
            <w:tcW w:w="833" w:type="dxa"/>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1415</w:t>
            </w:r>
          </w:p>
        </w:tc>
        <w:tc>
          <w:tcPr>
            <w:tcW w:w="836" w:type="dxa"/>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1388</w:t>
            </w:r>
          </w:p>
        </w:tc>
        <w:tc>
          <w:tcPr>
            <w:tcW w:w="838" w:type="dxa"/>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1340</w:t>
            </w:r>
          </w:p>
        </w:tc>
      </w:tr>
    </w:tbl>
    <w:p>
      <w:pPr>
        <w:adjustRightInd w:val="0"/>
        <w:snapToGrid w:val="0"/>
        <w:ind w:firstLine="420" w:firstLineChars="200"/>
        <w:rPr>
          <w:szCs w:val="21"/>
        </w:rPr>
      </w:pPr>
      <w:r>
        <w:rPr>
          <w:rFonts w:hint="eastAsia"/>
        </w:rPr>
        <w:t>试验表明，当HNO3酸度达到1.5</w:t>
      </w:r>
      <w:r>
        <w:rPr>
          <w:rFonts w:asciiTheme="minorEastAsia" w:hAnsiTheme="minorEastAsia" w:eastAsiaTheme="minorEastAsia"/>
        </w:rPr>
        <w:t> </w:t>
      </w:r>
      <w:r>
        <w:rPr>
          <w:rFonts w:hint="eastAsia"/>
        </w:rPr>
        <w:t>%时，荧光强度达到最大且趋于稳定，本试验选HNO3酸度为</w:t>
      </w:r>
      <w:r>
        <w:rPr>
          <w:color w:val="000000" w:themeColor="text1"/>
          <w14:textFill>
            <w14:solidFill>
              <w14:schemeClr w14:val="tx1"/>
            </w14:solidFill>
          </w14:textFill>
        </w:rPr>
        <w:t>1.5</w:t>
      </w:r>
      <w:r>
        <w:rPr>
          <w:rFonts w:asciiTheme="minorEastAsia" w:hAnsiTheme="minorEastAsia" w:eastAsiaTheme="minorEastAsia"/>
        </w:rPr>
        <w:t> </w:t>
      </w:r>
      <w:r>
        <w:rPr>
          <w:color w:val="000000" w:themeColor="text1"/>
          <w14:textFill>
            <w14:solidFill>
              <w14:schemeClr w14:val="tx1"/>
            </w14:solidFill>
          </w14:textFill>
        </w:rPr>
        <w:t>%</w:t>
      </w:r>
      <w:r>
        <w:rPr>
          <w:rFonts w:hint="eastAsia"/>
        </w:rPr>
        <w:t>。</w:t>
      </w:r>
    </w:p>
    <w:p>
      <w:pPr>
        <w:tabs>
          <w:tab w:val="center" w:pos="3570"/>
          <w:tab w:val="right" w:pos="7875"/>
        </w:tabs>
        <w:spacing w:before="156" w:beforeLines="50"/>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基体</w:t>
      </w:r>
      <w:r>
        <w:rPr>
          <w:rFonts w:hint="eastAsia" w:asciiTheme="minorEastAsia" w:hAnsiTheme="minorEastAsia" w:eastAsiaTheme="minorEastAsia"/>
          <w:szCs w:val="21"/>
        </w:rPr>
        <w:t>的</w:t>
      </w:r>
      <w:r>
        <w:rPr>
          <w:rFonts w:asciiTheme="minorEastAsia" w:hAnsiTheme="minorEastAsia" w:eastAsiaTheme="minorEastAsia"/>
          <w:szCs w:val="21"/>
        </w:rPr>
        <w:t>影响</w:t>
      </w:r>
      <w:r>
        <w:rPr>
          <w:rFonts w:hint="eastAsia" w:asciiTheme="minorEastAsia" w:hAnsiTheme="minorEastAsia" w:eastAsiaTheme="minorEastAsia"/>
          <w:szCs w:val="21"/>
        </w:rPr>
        <w:t>试验</w:t>
      </w:r>
    </w:p>
    <w:p>
      <w:pPr>
        <w:tabs>
          <w:tab w:val="center" w:pos="3570"/>
          <w:tab w:val="right" w:pos="7875"/>
        </w:tabs>
        <w:ind w:firstLine="420"/>
      </w:pPr>
      <w:r>
        <w:rPr>
          <w:rFonts w:ascii="宋体" w:hAnsi="宋体" w:cs="宋体"/>
          <w:szCs w:val="21"/>
        </w:rPr>
        <w:t>钨精矿中主要基体元素为钨</w:t>
      </w:r>
      <w:r>
        <w:rPr>
          <w:rFonts w:hint="eastAsia" w:ascii="宋体" w:hAnsi="宋体" w:cs="宋体"/>
          <w:szCs w:val="21"/>
        </w:rPr>
        <w:t>。钨由于样品分解中，以钨酸沉淀形式分离，实际测试溶液中钨的含量极低，测定可不考虑钨基体浓度影响。</w:t>
      </w:r>
    </w:p>
    <w:p>
      <w:pPr>
        <w:tabs>
          <w:tab w:val="center" w:pos="3570"/>
          <w:tab w:val="right" w:pos="7875"/>
        </w:tabs>
        <w:ind w:firstLine="420"/>
      </w:pPr>
      <w:r>
        <w:t>由于样品分解</w:t>
      </w:r>
      <w:r>
        <w:rPr>
          <w:rFonts w:hint="eastAsia"/>
        </w:rPr>
        <w:t>，</w:t>
      </w:r>
      <w:r>
        <w:t>钨以钨酸沉淀析出</w:t>
      </w:r>
      <w:r>
        <w:rPr>
          <w:rFonts w:hint="eastAsia"/>
        </w:rPr>
        <w:t>，</w:t>
      </w:r>
      <w:r>
        <w:t>需要考察钨酸沉淀对铅的吸附影响</w:t>
      </w:r>
      <w:r>
        <w:rPr>
          <w:rFonts w:hint="eastAsia"/>
        </w:rPr>
        <w:t>。</w:t>
      </w:r>
      <w:r>
        <w:t>称取</w:t>
      </w:r>
      <w:r>
        <w:rPr>
          <w:rFonts w:hint="eastAsia"/>
        </w:rPr>
        <w:t>2#样品0</w:t>
      </w:r>
      <w:r>
        <w:t>.1</w:t>
      </w:r>
      <w:r>
        <w:rPr>
          <w:rFonts w:hint="eastAsia"/>
        </w:rPr>
        <w:t>0</w:t>
      </w:r>
      <w:r>
        <w:rPr>
          <w:rFonts w:asciiTheme="minorEastAsia" w:hAnsiTheme="minorEastAsia" w:eastAsiaTheme="minorEastAsia"/>
        </w:rPr>
        <w:t> </w:t>
      </w:r>
      <w:r>
        <w:t>g按2.4.4.1 分解</w:t>
      </w:r>
      <w:r>
        <w:rPr>
          <w:rFonts w:hint="eastAsia"/>
        </w:rPr>
        <w:t>，</w:t>
      </w:r>
      <w:r>
        <w:t>放置不同时间后</w:t>
      </w:r>
      <w:r>
        <w:rPr>
          <w:rFonts w:hint="eastAsia"/>
        </w:rPr>
        <w:t>，</w:t>
      </w:r>
      <w:r>
        <w:t>测定其铅的荧光强度</w:t>
      </w:r>
      <w:r>
        <w:rPr>
          <w:rFonts w:hint="eastAsia"/>
        </w:rPr>
        <w:t>。试验结果见表</w:t>
      </w:r>
      <w:r>
        <w:rPr>
          <w:rFonts w:hint="eastAsia"/>
          <w:lang w:val="en-US" w:eastAsia="zh-CN"/>
        </w:rPr>
        <w:t>8</w:t>
      </w:r>
      <w:r>
        <w:rPr>
          <w:rFonts w:hint="eastAsia"/>
        </w:rPr>
        <w:t>。</w:t>
      </w:r>
    </w:p>
    <w:p>
      <w:pPr>
        <w:tabs>
          <w:tab w:val="center" w:pos="3570"/>
          <w:tab w:val="right" w:pos="7875"/>
        </w:tabs>
        <w:ind w:firstLine="199" w:firstLineChars="95"/>
        <w:jc w:val="center"/>
      </w:pPr>
      <w:r>
        <w:t>表</w:t>
      </w:r>
      <w:r>
        <w:rPr>
          <w:rFonts w:hint="eastAsia"/>
          <w:lang w:val="en-US" w:eastAsia="zh-CN"/>
        </w:rPr>
        <w:t>8</w:t>
      </w:r>
      <w:r>
        <w:t xml:space="preserve"> 基体影响试验</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7"/>
        <w:gridCol w:w="1190"/>
        <w:gridCol w:w="1190"/>
        <w:gridCol w:w="1190"/>
        <w:gridCol w:w="1191"/>
        <w:gridCol w:w="1191"/>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058" w:type="pct"/>
            <w:vMerge w:val="restar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测定项</w:t>
            </w:r>
          </w:p>
        </w:tc>
        <w:tc>
          <w:tcPr>
            <w:tcW w:w="3942" w:type="pct"/>
            <w:gridSpan w:val="6"/>
            <w:vAlign w:val="center"/>
          </w:tcPr>
          <w:p>
            <w:pPr>
              <w:tabs>
                <w:tab w:val="center" w:pos="3570"/>
                <w:tab w:val="right" w:pos="7875"/>
              </w:tabs>
              <w:jc w:val="center"/>
              <w:rPr>
                <w:rFonts w:ascii="宋体" w:hAnsi="宋体" w:cs="宋体"/>
                <w:szCs w:val="21"/>
              </w:rPr>
            </w:pPr>
            <w:r>
              <w:rPr>
                <w:rFonts w:hint="eastAsia" w:ascii="宋体" w:hAnsi="宋体" w:cs="宋体"/>
                <w:szCs w:val="21"/>
              </w:rPr>
              <w:t>放置时间，m</w:t>
            </w:r>
            <w:r>
              <w:rPr>
                <w:rFonts w:ascii="宋体" w:hAnsi="宋体" w:cs="宋体"/>
                <w:szCs w:val="21"/>
              </w:rPr>
              <w:t>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058" w:type="pct"/>
            <w:vMerge w:val="continue"/>
            <w:vAlign w:val="center"/>
          </w:tcPr>
          <w:p>
            <w:pPr>
              <w:tabs>
                <w:tab w:val="center" w:pos="3570"/>
                <w:tab w:val="right" w:pos="7875"/>
              </w:tabs>
              <w:spacing w:line="360" w:lineRule="auto"/>
              <w:ind w:firstLine="420"/>
              <w:jc w:val="center"/>
              <w:rPr>
                <w:rFonts w:ascii="宋体" w:hAnsi="宋体" w:cs="宋体"/>
                <w:szCs w:val="21"/>
              </w:rPr>
            </w:pPr>
          </w:p>
        </w:tc>
        <w:tc>
          <w:tcPr>
            <w:tcW w:w="657" w:type="pct"/>
            <w:vAlign w:val="center"/>
          </w:tcPr>
          <w:p>
            <w:pPr>
              <w:tabs>
                <w:tab w:val="center" w:pos="3570"/>
                <w:tab w:val="right" w:pos="7875"/>
              </w:tabs>
              <w:spacing w:before="80" w:after="40"/>
              <w:jc w:val="center"/>
              <w:rPr>
                <w:rFonts w:ascii="宋体" w:hAnsi="宋体"/>
                <w:szCs w:val="21"/>
              </w:rPr>
            </w:pPr>
            <w:r>
              <w:rPr>
                <w:rFonts w:hint="eastAsia" w:ascii="宋体" w:hAnsi="宋体"/>
                <w:szCs w:val="21"/>
              </w:rPr>
              <w:t>1</w:t>
            </w:r>
            <w:r>
              <w:rPr>
                <w:rFonts w:ascii="宋体" w:hAnsi="宋体"/>
                <w:szCs w:val="21"/>
              </w:rPr>
              <w:t>0</w:t>
            </w:r>
          </w:p>
        </w:tc>
        <w:tc>
          <w:tcPr>
            <w:tcW w:w="657" w:type="pct"/>
            <w:vAlign w:val="center"/>
          </w:tcPr>
          <w:p>
            <w:pPr>
              <w:tabs>
                <w:tab w:val="center" w:pos="3570"/>
                <w:tab w:val="right" w:pos="7875"/>
              </w:tabs>
              <w:spacing w:before="80" w:after="40"/>
              <w:jc w:val="center"/>
              <w:rPr>
                <w:rFonts w:ascii="宋体" w:hAnsi="宋体"/>
                <w:szCs w:val="21"/>
              </w:rPr>
            </w:pPr>
            <w:r>
              <w:rPr>
                <w:rFonts w:hint="eastAsia" w:ascii="宋体" w:hAnsi="宋体"/>
                <w:szCs w:val="21"/>
              </w:rPr>
              <w:t>2</w:t>
            </w:r>
            <w:r>
              <w:rPr>
                <w:rFonts w:ascii="宋体" w:hAnsi="宋体"/>
                <w:szCs w:val="21"/>
              </w:rPr>
              <w:t>0</w:t>
            </w:r>
          </w:p>
        </w:tc>
        <w:tc>
          <w:tcPr>
            <w:tcW w:w="657" w:type="pct"/>
            <w:vAlign w:val="center"/>
          </w:tcPr>
          <w:p>
            <w:pPr>
              <w:tabs>
                <w:tab w:val="center" w:pos="3570"/>
                <w:tab w:val="right" w:pos="7875"/>
              </w:tabs>
              <w:spacing w:before="80" w:after="40"/>
              <w:jc w:val="center"/>
              <w:rPr>
                <w:rFonts w:ascii="宋体" w:hAnsi="宋体"/>
                <w:szCs w:val="21"/>
              </w:rPr>
            </w:pPr>
            <w:r>
              <w:rPr>
                <w:rFonts w:hint="eastAsia" w:ascii="宋体" w:hAnsi="宋体"/>
                <w:szCs w:val="21"/>
              </w:rPr>
              <w:t>3</w:t>
            </w:r>
            <w:r>
              <w:rPr>
                <w:rFonts w:ascii="宋体" w:hAnsi="宋体"/>
                <w:szCs w:val="21"/>
              </w:rPr>
              <w:t>0</w:t>
            </w:r>
          </w:p>
        </w:tc>
        <w:tc>
          <w:tcPr>
            <w:tcW w:w="657" w:type="pct"/>
            <w:vAlign w:val="center"/>
          </w:tcPr>
          <w:p>
            <w:pPr>
              <w:tabs>
                <w:tab w:val="center" w:pos="3570"/>
                <w:tab w:val="right" w:pos="7875"/>
              </w:tabs>
              <w:spacing w:before="80" w:after="40"/>
              <w:jc w:val="center"/>
              <w:rPr>
                <w:rFonts w:ascii="宋体" w:hAnsi="宋体"/>
                <w:szCs w:val="21"/>
              </w:rPr>
            </w:pPr>
            <w:r>
              <w:rPr>
                <w:rFonts w:hint="eastAsia" w:ascii="宋体" w:hAnsi="宋体"/>
                <w:szCs w:val="21"/>
              </w:rPr>
              <w:t>4</w:t>
            </w:r>
            <w:r>
              <w:rPr>
                <w:rFonts w:ascii="宋体" w:hAnsi="宋体"/>
                <w:szCs w:val="21"/>
              </w:rPr>
              <w:t>0</w:t>
            </w:r>
          </w:p>
        </w:tc>
        <w:tc>
          <w:tcPr>
            <w:tcW w:w="657" w:type="pct"/>
            <w:vAlign w:val="center"/>
          </w:tcPr>
          <w:p>
            <w:pPr>
              <w:tabs>
                <w:tab w:val="center" w:pos="3570"/>
                <w:tab w:val="right" w:pos="7875"/>
              </w:tabs>
              <w:spacing w:before="80" w:after="40"/>
              <w:jc w:val="center"/>
              <w:rPr>
                <w:rFonts w:ascii="宋体" w:hAnsi="宋体"/>
                <w:szCs w:val="21"/>
              </w:rPr>
            </w:pPr>
            <w:r>
              <w:rPr>
                <w:rFonts w:hint="eastAsia" w:ascii="宋体" w:hAnsi="宋体"/>
                <w:szCs w:val="21"/>
              </w:rPr>
              <w:t>5</w:t>
            </w:r>
            <w:r>
              <w:rPr>
                <w:rFonts w:ascii="宋体" w:hAnsi="宋体"/>
                <w:szCs w:val="21"/>
              </w:rPr>
              <w:t>0</w:t>
            </w:r>
          </w:p>
        </w:tc>
        <w:tc>
          <w:tcPr>
            <w:tcW w:w="657" w:type="pct"/>
            <w:vAlign w:val="center"/>
          </w:tcPr>
          <w:p>
            <w:pPr>
              <w:tabs>
                <w:tab w:val="center" w:pos="3570"/>
                <w:tab w:val="right" w:pos="7875"/>
              </w:tabs>
              <w:spacing w:before="80" w:after="40"/>
              <w:jc w:val="center"/>
              <w:rPr>
                <w:rFonts w:ascii="宋体" w:hAnsi="宋体"/>
                <w:szCs w:val="21"/>
              </w:rPr>
            </w:pPr>
            <w:r>
              <w:rPr>
                <w:rFonts w:hint="eastAsia" w:ascii="宋体" w:hAnsi="宋体"/>
                <w:szCs w:val="21"/>
              </w:rPr>
              <w:t>6</w:t>
            </w:r>
            <w:r>
              <w:rPr>
                <w:rFonts w:ascii="宋体" w:hAnsi="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58" w:type="pct"/>
            <w:vAlign w:val="center"/>
          </w:tcPr>
          <w:p>
            <w:pPr>
              <w:tabs>
                <w:tab w:val="center" w:pos="3570"/>
                <w:tab w:val="right" w:pos="7875"/>
              </w:tabs>
              <w:spacing w:before="80" w:after="40"/>
              <w:jc w:val="center"/>
              <w:rPr>
                <w:rFonts w:ascii="宋体" w:hAnsi="宋体"/>
                <w:sz w:val="18"/>
                <w:szCs w:val="18"/>
              </w:rPr>
            </w:pPr>
            <w:r>
              <w:rPr>
                <w:rFonts w:hint="eastAsia" w:ascii="宋体" w:hAnsi="宋体"/>
                <w:sz w:val="18"/>
                <w:szCs w:val="18"/>
              </w:rPr>
              <w:t>试液荧光强度</w:t>
            </w:r>
          </w:p>
        </w:tc>
        <w:tc>
          <w:tcPr>
            <w:tcW w:w="657"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1343</w:t>
            </w:r>
          </w:p>
        </w:tc>
        <w:tc>
          <w:tcPr>
            <w:tcW w:w="657"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1390</w:t>
            </w:r>
          </w:p>
        </w:tc>
        <w:tc>
          <w:tcPr>
            <w:tcW w:w="657"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1313</w:t>
            </w:r>
          </w:p>
        </w:tc>
        <w:tc>
          <w:tcPr>
            <w:tcW w:w="657"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1351</w:t>
            </w:r>
          </w:p>
        </w:tc>
        <w:tc>
          <w:tcPr>
            <w:tcW w:w="657"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1361</w:t>
            </w:r>
          </w:p>
        </w:tc>
        <w:tc>
          <w:tcPr>
            <w:tcW w:w="657"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1348</w:t>
            </w:r>
          </w:p>
        </w:tc>
      </w:tr>
    </w:tbl>
    <w:p>
      <w:pPr>
        <w:tabs>
          <w:tab w:val="center" w:pos="3570"/>
          <w:tab w:val="right" w:pos="7875"/>
        </w:tabs>
        <w:ind w:firstLine="199" w:firstLineChars="95"/>
      </w:pPr>
      <w:r>
        <w:rPr>
          <w:rFonts w:hint="eastAsia"/>
        </w:rPr>
        <w:t>试验结果表明：基体对试液的吸附作用不明显。</w:t>
      </w:r>
    </w:p>
    <w:p>
      <w:pPr>
        <w:tabs>
          <w:tab w:val="center" w:pos="3570"/>
          <w:tab w:val="right" w:pos="7875"/>
        </w:tabs>
        <w:spacing w:before="156" w:beforeLines="50"/>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共存元素的干扰影响</w:t>
      </w:r>
      <w:r>
        <w:rPr>
          <w:rFonts w:hint="eastAsia" w:asciiTheme="minorEastAsia" w:hAnsiTheme="minorEastAsia" w:eastAsiaTheme="minorEastAsia"/>
          <w:szCs w:val="21"/>
        </w:rPr>
        <w:t>试验</w:t>
      </w:r>
    </w:p>
    <w:p>
      <w:pPr>
        <w:tabs>
          <w:tab w:val="center" w:pos="3570"/>
          <w:tab w:val="right" w:pos="7875"/>
        </w:tabs>
        <w:ind w:firstLine="420"/>
        <w:rPr>
          <w:rFonts w:ascii="宋体" w:hAnsi="宋体" w:cs="宋体"/>
          <w:szCs w:val="21"/>
        </w:rPr>
      </w:pPr>
      <w:r>
        <w:rPr>
          <w:rFonts w:ascii="宋体" w:hAnsi="宋体" w:cs="宋体"/>
          <w:szCs w:val="21"/>
        </w:rPr>
        <w:t>钨精矿中共存元素如铁</w:t>
      </w:r>
      <w:r>
        <w:rPr>
          <w:rFonts w:hint="eastAsia" w:ascii="宋体" w:hAnsi="宋体" w:cs="宋体"/>
          <w:szCs w:val="21"/>
        </w:rPr>
        <w:t>、</w:t>
      </w:r>
      <w:r>
        <w:rPr>
          <w:rFonts w:ascii="宋体" w:hAnsi="宋体" w:cs="宋体"/>
          <w:szCs w:val="21"/>
        </w:rPr>
        <w:t>锰</w:t>
      </w:r>
      <w:r>
        <w:rPr>
          <w:rFonts w:hint="eastAsia" w:ascii="宋体" w:hAnsi="宋体" w:cs="宋体"/>
          <w:szCs w:val="21"/>
        </w:rPr>
        <w:t>、钼、铜、锡、铋、钙等，</w:t>
      </w:r>
      <w:r>
        <w:rPr>
          <w:rFonts w:ascii="宋体" w:hAnsi="宋体" w:cs="宋体"/>
          <w:szCs w:val="21"/>
        </w:rPr>
        <w:t>考察共存元素对铅的测定干扰情况</w:t>
      </w:r>
      <w:r>
        <w:rPr>
          <w:rFonts w:hint="eastAsia" w:ascii="宋体" w:hAnsi="宋体" w:cs="宋体"/>
          <w:szCs w:val="21"/>
        </w:rPr>
        <w:t>。按试验方法，在一组含有</w:t>
      </w:r>
      <w:r>
        <w:rPr>
          <w:rFonts w:ascii="宋体" w:hAnsi="宋体" w:cs="宋体"/>
          <w:szCs w:val="21"/>
        </w:rPr>
        <w:t>2</w:t>
      </w:r>
      <w:r>
        <w:rPr>
          <w:rFonts w:hint="eastAsia" w:ascii="宋体" w:hAnsi="宋体" w:cs="宋体"/>
          <w:szCs w:val="21"/>
        </w:rPr>
        <w:t>5</w:t>
      </w:r>
      <w:r>
        <w:rPr>
          <w:rFonts w:asciiTheme="minorEastAsia" w:hAnsiTheme="minorEastAsia" w:eastAsiaTheme="minorEastAsia"/>
        </w:rPr>
        <w:t> </w:t>
      </w:r>
      <w:r>
        <w:rPr>
          <w:rFonts w:hint="eastAsia" w:ascii="宋体" w:hAnsi="宋体" w:cs="宋体"/>
          <w:szCs w:val="21"/>
        </w:rPr>
        <w:t>μg/L铅标准的100mL容量瓶中，分别加入以下共存元素，测定</w:t>
      </w:r>
      <w:r>
        <w:rPr>
          <w:rFonts w:ascii="宋体" w:hAnsi="宋体" w:cs="宋体"/>
          <w:szCs w:val="21"/>
        </w:rPr>
        <w:t>铅的浓度，</w:t>
      </w:r>
      <w:r>
        <w:rPr>
          <w:rFonts w:hint="eastAsia" w:ascii="宋体" w:hAnsi="宋体" w:cs="宋体"/>
          <w:szCs w:val="21"/>
        </w:rPr>
        <w:t>（注意保持酸度一致，可适当高于合适酸度，如采用5</w:t>
      </w:r>
      <w:r>
        <w:rPr>
          <w:rFonts w:asciiTheme="minorEastAsia" w:hAnsiTheme="minorEastAsia" w:eastAsiaTheme="minorEastAsia"/>
        </w:rPr>
        <w:t> </w:t>
      </w:r>
      <w:r>
        <w:rPr>
          <w:rFonts w:hint="eastAsia" w:ascii="宋体" w:hAnsi="宋体" w:cs="宋体"/>
          <w:szCs w:val="21"/>
        </w:rPr>
        <w:t>%）。结果见表</w:t>
      </w:r>
      <w:r>
        <w:rPr>
          <w:rFonts w:hint="eastAsia" w:ascii="宋体" w:hAnsi="宋体" w:cs="宋体"/>
          <w:szCs w:val="21"/>
          <w:lang w:val="en-US" w:eastAsia="zh-CN"/>
        </w:rPr>
        <w:t>9</w:t>
      </w:r>
      <w:r>
        <w:rPr>
          <w:rFonts w:ascii="宋体" w:hAnsi="宋体" w:cs="宋体"/>
          <w:szCs w:val="21"/>
        </w:rPr>
        <w:t>.</w:t>
      </w:r>
    </w:p>
    <w:p>
      <w:pPr>
        <w:tabs>
          <w:tab w:val="center" w:pos="3570"/>
          <w:tab w:val="right" w:pos="7875"/>
        </w:tabs>
        <w:ind w:firstLine="420"/>
        <w:jc w:val="center"/>
      </w:pPr>
      <w:r>
        <w:t>表</w:t>
      </w:r>
      <w:r>
        <w:rPr>
          <w:rFonts w:hint="eastAsia"/>
          <w:lang w:val="en-US" w:eastAsia="zh-CN"/>
        </w:rPr>
        <w:t>9</w:t>
      </w:r>
      <w:r>
        <w:t xml:space="preserve"> 共存元素的干扰情况</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8"/>
        <w:gridCol w:w="873"/>
        <w:gridCol w:w="873"/>
        <w:gridCol w:w="873"/>
        <w:gridCol w:w="873"/>
        <w:gridCol w:w="873"/>
        <w:gridCol w:w="873"/>
        <w:gridCol w:w="877"/>
        <w:gridCol w:w="929"/>
        <w:gridCol w:w="1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551" w:type="pct"/>
            <w:vMerge w:val="restart"/>
            <w:vAlign w:val="center"/>
          </w:tcPr>
          <w:p>
            <w:pPr>
              <w:tabs>
                <w:tab w:val="center" w:pos="3570"/>
                <w:tab w:val="right" w:pos="7875"/>
              </w:tabs>
              <w:spacing w:line="360" w:lineRule="auto"/>
              <w:jc w:val="center"/>
              <w:rPr>
                <w:rFonts w:ascii="宋体" w:hAnsi="宋体" w:cs="宋体"/>
                <w:szCs w:val="21"/>
              </w:rPr>
            </w:pPr>
            <w:r>
              <w:rPr>
                <w:rFonts w:ascii="宋体" w:hAnsi="宋体" w:cs="宋体"/>
                <w:szCs w:val="21"/>
              </w:rPr>
              <w:t>试验组</w:t>
            </w:r>
          </w:p>
        </w:tc>
        <w:tc>
          <w:tcPr>
            <w:tcW w:w="3376" w:type="pct"/>
            <w:gridSpan w:val="7"/>
            <w:vAlign w:val="center"/>
          </w:tcPr>
          <w:p>
            <w:pPr>
              <w:tabs>
                <w:tab w:val="center" w:pos="3570"/>
                <w:tab w:val="right" w:pos="7875"/>
              </w:tabs>
              <w:ind w:firstLine="420"/>
              <w:jc w:val="center"/>
              <w:rPr>
                <w:rFonts w:ascii="宋体" w:hAnsi="宋体" w:cs="宋体"/>
                <w:szCs w:val="21"/>
              </w:rPr>
            </w:pPr>
            <w:r>
              <w:rPr>
                <w:rFonts w:hint="eastAsia" w:ascii="宋体" w:hAnsi="宋体" w:cs="宋体"/>
                <w:szCs w:val="21"/>
              </w:rPr>
              <w:t>各元素加入的量，</w:t>
            </w:r>
            <w:r>
              <w:rPr>
                <w:rFonts w:ascii="宋体" w:hAnsi="宋体"/>
                <w:szCs w:val="21"/>
              </w:rPr>
              <w:t>μg</w:t>
            </w:r>
          </w:p>
        </w:tc>
        <w:tc>
          <w:tcPr>
            <w:tcW w:w="512" w:type="pct"/>
            <w:vMerge w:val="restart"/>
            <w:vAlign w:val="center"/>
          </w:tcPr>
          <w:p>
            <w:pPr>
              <w:tabs>
                <w:tab w:val="center" w:pos="3570"/>
                <w:tab w:val="right" w:pos="7875"/>
              </w:tabs>
              <w:jc w:val="center"/>
              <w:rPr>
                <w:rFonts w:ascii="宋体" w:hAnsi="宋体"/>
                <w:szCs w:val="21"/>
              </w:rPr>
            </w:pPr>
            <w:r>
              <w:rPr>
                <w:rFonts w:hint="eastAsia" w:ascii="宋体" w:hAnsi="宋体"/>
                <w:szCs w:val="21"/>
              </w:rPr>
              <w:t>铅</w:t>
            </w:r>
          </w:p>
          <w:p>
            <w:pPr>
              <w:tabs>
                <w:tab w:val="center" w:pos="3570"/>
                <w:tab w:val="right" w:pos="7875"/>
              </w:tabs>
              <w:jc w:val="center"/>
              <w:rPr>
                <w:rFonts w:ascii="宋体" w:hAnsi="宋体" w:cs="宋体"/>
                <w:szCs w:val="21"/>
              </w:rPr>
            </w:pPr>
            <w:r>
              <w:rPr>
                <w:rFonts w:hint="eastAsia" w:ascii="宋体" w:hAnsi="宋体"/>
                <w:szCs w:val="21"/>
              </w:rPr>
              <w:t>测定值/</w:t>
            </w:r>
            <w:r>
              <w:rPr>
                <w:rFonts w:hint="eastAsia" w:ascii="宋体" w:hAnsi="宋体" w:cs="宋体"/>
                <w:szCs w:val="21"/>
              </w:rPr>
              <w:t>μg/L</w:t>
            </w:r>
          </w:p>
        </w:tc>
        <w:tc>
          <w:tcPr>
            <w:tcW w:w="561" w:type="pct"/>
            <w:vMerge w:val="restart"/>
            <w:vAlign w:val="center"/>
          </w:tcPr>
          <w:p>
            <w:pPr>
              <w:tabs>
                <w:tab w:val="center" w:pos="3570"/>
                <w:tab w:val="right" w:pos="7875"/>
              </w:tabs>
              <w:spacing w:before="80" w:after="40"/>
              <w:jc w:val="center"/>
              <w:rPr>
                <w:rFonts w:ascii="宋体" w:hAnsi="宋体"/>
                <w:szCs w:val="21"/>
              </w:rPr>
            </w:pPr>
            <w:r>
              <w:rPr>
                <w:rFonts w:ascii="宋体" w:hAnsi="宋体"/>
                <w:szCs w:val="21"/>
              </w:rPr>
              <w:t>回收率</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551" w:type="pct"/>
            <w:vMerge w:val="continue"/>
            <w:vAlign w:val="center"/>
          </w:tcPr>
          <w:p>
            <w:pPr>
              <w:tabs>
                <w:tab w:val="center" w:pos="3570"/>
                <w:tab w:val="right" w:pos="7875"/>
              </w:tabs>
              <w:spacing w:line="360" w:lineRule="auto"/>
              <w:ind w:firstLine="420"/>
              <w:jc w:val="center"/>
              <w:rPr>
                <w:rFonts w:ascii="宋体" w:hAnsi="宋体" w:cs="宋体"/>
                <w:szCs w:val="21"/>
              </w:rPr>
            </w:pPr>
          </w:p>
        </w:tc>
        <w:tc>
          <w:tcPr>
            <w:tcW w:w="482" w:type="pct"/>
            <w:vAlign w:val="center"/>
          </w:tcPr>
          <w:p>
            <w:pPr>
              <w:tabs>
                <w:tab w:val="center" w:pos="3570"/>
                <w:tab w:val="right" w:pos="7875"/>
              </w:tabs>
              <w:spacing w:before="80" w:after="40"/>
              <w:ind w:firstLine="199" w:firstLineChars="95"/>
              <w:rPr>
                <w:rFonts w:ascii="宋体" w:hAnsi="宋体"/>
                <w:szCs w:val="21"/>
              </w:rPr>
            </w:pPr>
            <w:r>
              <w:rPr>
                <w:rFonts w:hint="eastAsia" w:ascii="宋体" w:hAnsi="宋体"/>
                <w:szCs w:val="21"/>
              </w:rPr>
              <w:t>铁</w:t>
            </w:r>
          </w:p>
        </w:tc>
        <w:tc>
          <w:tcPr>
            <w:tcW w:w="482" w:type="pct"/>
            <w:vAlign w:val="center"/>
          </w:tcPr>
          <w:p>
            <w:pPr>
              <w:tabs>
                <w:tab w:val="center" w:pos="3570"/>
                <w:tab w:val="right" w:pos="7875"/>
              </w:tabs>
              <w:spacing w:before="80" w:after="40"/>
              <w:jc w:val="center"/>
              <w:rPr>
                <w:rFonts w:ascii="宋体" w:hAnsi="宋体"/>
                <w:szCs w:val="21"/>
              </w:rPr>
            </w:pPr>
            <w:r>
              <w:rPr>
                <w:rFonts w:hint="eastAsia" w:ascii="宋体" w:hAnsi="宋体"/>
                <w:szCs w:val="21"/>
              </w:rPr>
              <w:t>锰</w:t>
            </w:r>
          </w:p>
        </w:tc>
        <w:tc>
          <w:tcPr>
            <w:tcW w:w="482" w:type="pct"/>
            <w:vAlign w:val="center"/>
          </w:tcPr>
          <w:p>
            <w:pPr>
              <w:tabs>
                <w:tab w:val="center" w:pos="3570"/>
                <w:tab w:val="right" w:pos="7875"/>
              </w:tabs>
              <w:spacing w:before="80" w:after="40"/>
              <w:jc w:val="center"/>
              <w:rPr>
                <w:rFonts w:ascii="宋体" w:hAnsi="宋体"/>
                <w:szCs w:val="21"/>
              </w:rPr>
            </w:pPr>
            <w:r>
              <w:rPr>
                <w:rFonts w:hint="eastAsia" w:ascii="宋体" w:hAnsi="宋体"/>
                <w:szCs w:val="21"/>
              </w:rPr>
              <w:t>铜</w:t>
            </w:r>
          </w:p>
        </w:tc>
        <w:tc>
          <w:tcPr>
            <w:tcW w:w="482" w:type="pct"/>
            <w:vAlign w:val="center"/>
          </w:tcPr>
          <w:p>
            <w:pPr>
              <w:tabs>
                <w:tab w:val="center" w:pos="3570"/>
                <w:tab w:val="right" w:pos="7875"/>
              </w:tabs>
              <w:spacing w:before="80" w:after="40"/>
              <w:jc w:val="center"/>
              <w:rPr>
                <w:rFonts w:ascii="宋体" w:hAnsi="宋体"/>
                <w:szCs w:val="21"/>
              </w:rPr>
            </w:pPr>
            <w:r>
              <w:rPr>
                <w:rFonts w:hint="eastAsia" w:ascii="宋体" w:hAnsi="宋体"/>
                <w:szCs w:val="21"/>
              </w:rPr>
              <w:t>锡</w:t>
            </w:r>
          </w:p>
        </w:tc>
        <w:tc>
          <w:tcPr>
            <w:tcW w:w="482" w:type="pct"/>
            <w:vAlign w:val="center"/>
          </w:tcPr>
          <w:p>
            <w:pPr>
              <w:tabs>
                <w:tab w:val="center" w:pos="3570"/>
                <w:tab w:val="right" w:pos="7875"/>
              </w:tabs>
              <w:spacing w:before="80" w:after="40"/>
              <w:jc w:val="center"/>
              <w:rPr>
                <w:rFonts w:ascii="宋体" w:hAnsi="宋体"/>
                <w:szCs w:val="21"/>
              </w:rPr>
            </w:pPr>
            <w:r>
              <w:rPr>
                <w:rFonts w:hint="eastAsia" w:ascii="宋体" w:hAnsi="宋体"/>
                <w:szCs w:val="21"/>
              </w:rPr>
              <w:t>铋</w:t>
            </w:r>
          </w:p>
        </w:tc>
        <w:tc>
          <w:tcPr>
            <w:tcW w:w="482" w:type="pct"/>
            <w:vAlign w:val="center"/>
          </w:tcPr>
          <w:p>
            <w:pPr>
              <w:tabs>
                <w:tab w:val="center" w:pos="3570"/>
                <w:tab w:val="right" w:pos="7875"/>
              </w:tabs>
              <w:spacing w:before="80" w:after="40"/>
              <w:jc w:val="center"/>
              <w:rPr>
                <w:rFonts w:ascii="宋体" w:hAnsi="宋体"/>
                <w:szCs w:val="21"/>
              </w:rPr>
            </w:pPr>
            <w:r>
              <w:rPr>
                <w:rFonts w:hint="eastAsia" w:ascii="宋体" w:hAnsi="宋体"/>
                <w:szCs w:val="21"/>
              </w:rPr>
              <w:t>钙</w:t>
            </w:r>
          </w:p>
        </w:tc>
        <w:tc>
          <w:tcPr>
            <w:tcW w:w="484" w:type="pct"/>
            <w:vAlign w:val="center"/>
          </w:tcPr>
          <w:p>
            <w:pPr>
              <w:tabs>
                <w:tab w:val="center" w:pos="3570"/>
                <w:tab w:val="right" w:pos="7875"/>
              </w:tabs>
              <w:spacing w:before="80" w:after="40"/>
              <w:jc w:val="center"/>
              <w:rPr>
                <w:rFonts w:ascii="宋体" w:hAnsi="宋体"/>
                <w:szCs w:val="21"/>
              </w:rPr>
            </w:pPr>
            <w:r>
              <w:rPr>
                <w:rFonts w:ascii="宋体" w:hAnsi="宋体"/>
                <w:szCs w:val="21"/>
              </w:rPr>
              <w:t>钼</w:t>
            </w:r>
          </w:p>
        </w:tc>
        <w:tc>
          <w:tcPr>
            <w:tcW w:w="512" w:type="pct"/>
            <w:vMerge w:val="continue"/>
          </w:tcPr>
          <w:p>
            <w:pPr>
              <w:tabs>
                <w:tab w:val="center" w:pos="3570"/>
                <w:tab w:val="right" w:pos="7875"/>
              </w:tabs>
              <w:spacing w:before="80" w:after="40"/>
              <w:jc w:val="center"/>
              <w:rPr>
                <w:rFonts w:ascii="宋体" w:hAnsi="宋体"/>
                <w:szCs w:val="21"/>
              </w:rPr>
            </w:pPr>
          </w:p>
        </w:tc>
        <w:tc>
          <w:tcPr>
            <w:tcW w:w="561" w:type="pct"/>
            <w:vMerge w:val="continue"/>
          </w:tcPr>
          <w:p>
            <w:pPr>
              <w:tabs>
                <w:tab w:val="center" w:pos="3570"/>
                <w:tab w:val="right" w:pos="7875"/>
              </w:tabs>
              <w:spacing w:before="80" w:after="4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51"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1</w:t>
            </w:r>
          </w:p>
        </w:tc>
        <w:tc>
          <w:tcPr>
            <w:tcW w:w="873" w:type="dxa"/>
            <w:vAlign w:val="center"/>
          </w:tcPr>
          <w:p>
            <w:pPr>
              <w:tabs>
                <w:tab w:val="center" w:pos="3570"/>
                <w:tab w:val="right" w:pos="7875"/>
              </w:tabs>
              <w:spacing w:before="80" w:after="40"/>
              <w:jc w:val="center"/>
            </w:pPr>
            <w:r>
              <w:rPr>
                <w:rFonts w:ascii="宋体" w:hAnsi="宋体"/>
                <w:szCs w:val="21"/>
              </w:rPr>
              <w:t>1500</w:t>
            </w:r>
          </w:p>
        </w:tc>
        <w:tc>
          <w:tcPr>
            <w:tcW w:w="873" w:type="dxa"/>
            <w:vAlign w:val="center"/>
          </w:tcPr>
          <w:p>
            <w:pPr>
              <w:tabs>
                <w:tab w:val="center" w:pos="3570"/>
                <w:tab w:val="right" w:pos="7875"/>
              </w:tabs>
              <w:spacing w:before="80" w:after="40"/>
              <w:jc w:val="center"/>
            </w:pPr>
            <w:r>
              <w:rPr>
                <w:rFonts w:ascii="宋体" w:hAnsi="宋体"/>
                <w:szCs w:val="21"/>
              </w:rPr>
              <w:t>1000</w:t>
            </w:r>
          </w:p>
        </w:tc>
        <w:tc>
          <w:tcPr>
            <w:tcW w:w="873" w:type="dxa"/>
            <w:vAlign w:val="center"/>
          </w:tcPr>
          <w:p>
            <w:pPr>
              <w:tabs>
                <w:tab w:val="center" w:pos="3570"/>
                <w:tab w:val="right" w:pos="7875"/>
              </w:tabs>
              <w:spacing w:before="80" w:after="40"/>
              <w:jc w:val="center"/>
            </w:pPr>
            <w:r>
              <w:rPr>
                <w:rFonts w:ascii="宋体" w:hAnsi="宋体"/>
                <w:szCs w:val="21"/>
              </w:rPr>
              <w:t>25</w:t>
            </w:r>
          </w:p>
        </w:tc>
        <w:tc>
          <w:tcPr>
            <w:tcW w:w="873" w:type="dxa"/>
            <w:vAlign w:val="center"/>
          </w:tcPr>
          <w:p>
            <w:pPr>
              <w:tabs>
                <w:tab w:val="center" w:pos="3570"/>
                <w:tab w:val="right" w:pos="7875"/>
              </w:tabs>
              <w:spacing w:before="80" w:after="40"/>
              <w:jc w:val="center"/>
            </w:pPr>
            <w:r>
              <w:rPr>
                <w:rFonts w:ascii="宋体" w:hAnsi="宋体"/>
                <w:szCs w:val="21"/>
              </w:rPr>
              <w:t>10</w:t>
            </w:r>
          </w:p>
        </w:tc>
        <w:tc>
          <w:tcPr>
            <w:tcW w:w="873" w:type="dxa"/>
            <w:vAlign w:val="center"/>
          </w:tcPr>
          <w:p>
            <w:pPr>
              <w:tabs>
                <w:tab w:val="center" w:pos="3570"/>
                <w:tab w:val="right" w:pos="7875"/>
              </w:tabs>
              <w:spacing w:before="80" w:after="40"/>
              <w:jc w:val="center"/>
            </w:pPr>
            <w:r>
              <w:rPr>
                <w:rFonts w:ascii="宋体" w:hAnsi="宋体"/>
                <w:szCs w:val="21"/>
              </w:rPr>
              <w:t>100</w:t>
            </w:r>
          </w:p>
        </w:tc>
        <w:tc>
          <w:tcPr>
            <w:tcW w:w="873" w:type="dxa"/>
            <w:vAlign w:val="center"/>
          </w:tcPr>
          <w:p>
            <w:pPr>
              <w:tabs>
                <w:tab w:val="center" w:pos="3570"/>
                <w:tab w:val="right" w:pos="7875"/>
              </w:tabs>
              <w:spacing w:before="80" w:after="40"/>
              <w:jc w:val="center"/>
            </w:pPr>
            <w:r>
              <w:rPr>
                <w:rFonts w:ascii="宋体" w:hAnsi="宋体"/>
                <w:szCs w:val="21"/>
              </w:rPr>
              <w:t>400</w:t>
            </w:r>
          </w:p>
        </w:tc>
        <w:tc>
          <w:tcPr>
            <w:tcW w:w="877" w:type="dxa"/>
            <w:vAlign w:val="center"/>
          </w:tcPr>
          <w:p>
            <w:pPr>
              <w:tabs>
                <w:tab w:val="center" w:pos="3570"/>
                <w:tab w:val="right" w:pos="7875"/>
              </w:tabs>
              <w:spacing w:before="80" w:after="40"/>
              <w:jc w:val="center"/>
            </w:pPr>
            <w:r>
              <w:rPr>
                <w:rFonts w:ascii="宋体" w:hAnsi="宋体"/>
                <w:szCs w:val="21"/>
              </w:rPr>
              <w:t>20</w:t>
            </w:r>
          </w:p>
        </w:tc>
        <w:tc>
          <w:tcPr>
            <w:tcW w:w="929" w:type="dxa"/>
            <w:vAlign w:val="center"/>
          </w:tcPr>
          <w:p>
            <w:pPr>
              <w:tabs>
                <w:tab w:val="center" w:pos="3570"/>
                <w:tab w:val="right" w:pos="7875"/>
              </w:tabs>
              <w:spacing w:before="80" w:after="40"/>
              <w:jc w:val="center"/>
              <w:rPr>
                <w:rFonts w:ascii="宋体" w:hAnsi="宋体"/>
                <w:szCs w:val="21"/>
              </w:rPr>
            </w:pPr>
            <w:r>
              <w:rPr>
                <w:rFonts w:hint="eastAsia" w:ascii="宋体" w:hAnsi="宋体"/>
                <w:szCs w:val="21"/>
              </w:rPr>
              <w:t>2</w:t>
            </w:r>
            <w:r>
              <w:rPr>
                <w:rFonts w:ascii="宋体" w:hAnsi="宋体"/>
                <w:szCs w:val="21"/>
              </w:rPr>
              <w:t>5.91</w:t>
            </w:r>
          </w:p>
        </w:tc>
        <w:tc>
          <w:tcPr>
            <w:tcW w:w="1018" w:type="dxa"/>
            <w:vAlign w:val="center"/>
          </w:tcPr>
          <w:p>
            <w:pPr>
              <w:tabs>
                <w:tab w:val="center" w:pos="3570"/>
                <w:tab w:val="right" w:pos="7875"/>
              </w:tabs>
              <w:spacing w:before="80" w:after="40"/>
              <w:jc w:val="center"/>
              <w:rPr>
                <w:rFonts w:ascii="宋体" w:hAnsi="宋体"/>
                <w:szCs w:val="21"/>
              </w:rPr>
            </w:pPr>
            <w:r>
              <w:rPr>
                <w:rFonts w:ascii="宋体" w:hAnsi="宋体"/>
                <w:szCs w:val="21"/>
              </w:rPr>
              <w:t>103.64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51" w:type="pct"/>
            <w:vAlign w:val="center"/>
          </w:tcPr>
          <w:p>
            <w:pPr>
              <w:tabs>
                <w:tab w:val="center" w:pos="3570"/>
                <w:tab w:val="right" w:pos="7875"/>
              </w:tabs>
              <w:spacing w:before="80" w:after="40"/>
              <w:jc w:val="center"/>
              <w:rPr>
                <w:rFonts w:ascii="宋体" w:hAnsi="宋体"/>
                <w:sz w:val="18"/>
                <w:szCs w:val="18"/>
              </w:rPr>
            </w:pPr>
            <w:r>
              <w:rPr>
                <w:rFonts w:hint="eastAsia" w:ascii="宋体" w:hAnsi="宋体"/>
                <w:sz w:val="18"/>
                <w:szCs w:val="18"/>
              </w:rPr>
              <w:t>2</w:t>
            </w:r>
          </w:p>
        </w:tc>
        <w:tc>
          <w:tcPr>
            <w:tcW w:w="873" w:type="dxa"/>
            <w:vAlign w:val="center"/>
          </w:tcPr>
          <w:p>
            <w:pPr>
              <w:tabs>
                <w:tab w:val="center" w:pos="3570"/>
                <w:tab w:val="right" w:pos="7875"/>
              </w:tabs>
              <w:spacing w:before="80" w:after="40"/>
              <w:jc w:val="center"/>
            </w:pPr>
            <w:r>
              <w:rPr>
                <w:rFonts w:ascii="宋体" w:hAnsi="宋体"/>
                <w:szCs w:val="21"/>
              </w:rPr>
              <w:t>200</w:t>
            </w:r>
          </w:p>
        </w:tc>
        <w:tc>
          <w:tcPr>
            <w:tcW w:w="873" w:type="dxa"/>
            <w:vAlign w:val="center"/>
          </w:tcPr>
          <w:p>
            <w:pPr>
              <w:tabs>
                <w:tab w:val="center" w:pos="3570"/>
                <w:tab w:val="right" w:pos="7875"/>
              </w:tabs>
              <w:spacing w:before="80" w:after="40"/>
              <w:jc w:val="center"/>
            </w:pPr>
            <w:r>
              <w:rPr>
                <w:rFonts w:ascii="宋体" w:hAnsi="宋体"/>
                <w:szCs w:val="21"/>
              </w:rPr>
              <w:t>500</w:t>
            </w:r>
          </w:p>
        </w:tc>
        <w:tc>
          <w:tcPr>
            <w:tcW w:w="873" w:type="dxa"/>
            <w:vAlign w:val="center"/>
          </w:tcPr>
          <w:p>
            <w:pPr>
              <w:tabs>
                <w:tab w:val="center" w:pos="3570"/>
                <w:tab w:val="right" w:pos="7875"/>
              </w:tabs>
              <w:spacing w:before="80" w:after="40"/>
              <w:jc w:val="center"/>
            </w:pPr>
            <w:r>
              <w:rPr>
                <w:rFonts w:ascii="宋体" w:hAnsi="宋体"/>
                <w:szCs w:val="21"/>
              </w:rPr>
              <w:t>25</w:t>
            </w:r>
          </w:p>
        </w:tc>
        <w:tc>
          <w:tcPr>
            <w:tcW w:w="873" w:type="dxa"/>
            <w:vAlign w:val="center"/>
          </w:tcPr>
          <w:p>
            <w:pPr>
              <w:tabs>
                <w:tab w:val="center" w:pos="3570"/>
                <w:tab w:val="right" w:pos="7875"/>
              </w:tabs>
              <w:spacing w:before="80" w:after="40"/>
              <w:jc w:val="center"/>
            </w:pPr>
            <w:r>
              <w:rPr>
                <w:rFonts w:ascii="宋体" w:hAnsi="宋体"/>
                <w:szCs w:val="21"/>
              </w:rPr>
              <w:t>10</w:t>
            </w:r>
          </w:p>
        </w:tc>
        <w:tc>
          <w:tcPr>
            <w:tcW w:w="873" w:type="dxa"/>
            <w:vAlign w:val="center"/>
          </w:tcPr>
          <w:p>
            <w:pPr>
              <w:tabs>
                <w:tab w:val="center" w:pos="3570"/>
                <w:tab w:val="right" w:pos="7875"/>
              </w:tabs>
              <w:spacing w:before="80" w:after="40"/>
              <w:jc w:val="center"/>
            </w:pPr>
            <w:r>
              <w:rPr>
                <w:rFonts w:ascii="宋体" w:hAnsi="宋体"/>
                <w:szCs w:val="21"/>
              </w:rPr>
              <w:t>100</w:t>
            </w:r>
          </w:p>
        </w:tc>
        <w:tc>
          <w:tcPr>
            <w:tcW w:w="873" w:type="dxa"/>
            <w:vAlign w:val="center"/>
          </w:tcPr>
          <w:p>
            <w:pPr>
              <w:tabs>
                <w:tab w:val="center" w:pos="3570"/>
                <w:tab w:val="right" w:pos="7875"/>
              </w:tabs>
              <w:spacing w:before="80" w:after="40"/>
              <w:jc w:val="center"/>
            </w:pPr>
            <w:r>
              <w:rPr>
                <w:rFonts w:ascii="宋体" w:hAnsi="宋体"/>
                <w:szCs w:val="21"/>
              </w:rPr>
              <w:t>2000</w:t>
            </w:r>
          </w:p>
        </w:tc>
        <w:tc>
          <w:tcPr>
            <w:tcW w:w="877" w:type="dxa"/>
            <w:vAlign w:val="center"/>
          </w:tcPr>
          <w:p>
            <w:pPr>
              <w:tabs>
                <w:tab w:val="center" w:pos="3570"/>
                <w:tab w:val="right" w:pos="7875"/>
              </w:tabs>
              <w:spacing w:before="80" w:after="40"/>
              <w:jc w:val="center"/>
            </w:pPr>
            <w:r>
              <w:rPr>
                <w:rFonts w:ascii="宋体" w:hAnsi="宋体"/>
                <w:szCs w:val="21"/>
              </w:rPr>
              <w:t>20</w:t>
            </w:r>
          </w:p>
        </w:tc>
        <w:tc>
          <w:tcPr>
            <w:tcW w:w="929" w:type="dxa"/>
            <w:vAlign w:val="center"/>
          </w:tcPr>
          <w:p>
            <w:pPr>
              <w:tabs>
                <w:tab w:val="center" w:pos="3570"/>
                <w:tab w:val="right" w:pos="7875"/>
              </w:tabs>
              <w:spacing w:before="80" w:after="40"/>
              <w:jc w:val="center"/>
              <w:rPr>
                <w:rFonts w:ascii="宋体" w:hAnsi="宋体"/>
                <w:szCs w:val="21"/>
              </w:rPr>
            </w:pPr>
            <w:r>
              <w:rPr>
                <w:rFonts w:hint="eastAsia" w:ascii="宋体" w:hAnsi="宋体"/>
                <w:szCs w:val="21"/>
              </w:rPr>
              <w:t>2</w:t>
            </w:r>
            <w:r>
              <w:rPr>
                <w:rFonts w:ascii="宋体" w:hAnsi="宋体"/>
                <w:szCs w:val="21"/>
              </w:rPr>
              <w:t>6.28</w:t>
            </w:r>
          </w:p>
        </w:tc>
        <w:tc>
          <w:tcPr>
            <w:tcW w:w="1018" w:type="dxa"/>
            <w:vAlign w:val="center"/>
          </w:tcPr>
          <w:p>
            <w:pPr>
              <w:tabs>
                <w:tab w:val="center" w:pos="3570"/>
                <w:tab w:val="right" w:pos="7875"/>
              </w:tabs>
              <w:spacing w:before="80" w:after="40"/>
              <w:jc w:val="center"/>
              <w:rPr>
                <w:rFonts w:ascii="宋体" w:hAnsi="宋体"/>
                <w:szCs w:val="21"/>
              </w:rPr>
            </w:pPr>
            <w:r>
              <w:rPr>
                <w:rFonts w:ascii="宋体" w:hAnsi="宋体"/>
                <w:szCs w:val="21"/>
              </w:rPr>
              <w:t>105.12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51" w:type="pct"/>
            <w:vAlign w:val="center"/>
          </w:tcPr>
          <w:p>
            <w:pPr>
              <w:tabs>
                <w:tab w:val="center" w:pos="3570"/>
                <w:tab w:val="right" w:pos="7875"/>
              </w:tabs>
              <w:spacing w:before="80" w:after="40"/>
              <w:jc w:val="center"/>
              <w:rPr>
                <w:rFonts w:ascii="宋体" w:hAnsi="宋体"/>
                <w:sz w:val="18"/>
                <w:szCs w:val="18"/>
              </w:rPr>
            </w:pPr>
            <w:r>
              <w:rPr>
                <w:rFonts w:hint="eastAsia" w:ascii="宋体" w:hAnsi="宋体"/>
                <w:sz w:val="18"/>
                <w:szCs w:val="18"/>
              </w:rPr>
              <w:t>3</w:t>
            </w:r>
          </w:p>
        </w:tc>
        <w:tc>
          <w:tcPr>
            <w:tcW w:w="873" w:type="dxa"/>
            <w:vAlign w:val="center"/>
          </w:tcPr>
          <w:p>
            <w:pPr>
              <w:tabs>
                <w:tab w:val="center" w:pos="3570"/>
                <w:tab w:val="right" w:pos="7875"/>
              </w:tabs>
              <w:spacing w:before="80" w:after="40"/>
              <w:jc w:val="center"/>
              <w:rPr>
                <w:rFonts w:ascii="宋体" w:hAnsi="宋体"/>
                <w:szCs w:val="21"/>
              </w:rPr>
            </w:pPr>
            <w:r>
              <w:rPr>
                <w:rFonts w:ascii="宋体" w:hAnsi="宋体"/>
                <w:szCs w:val="21"/>
              </w:rPr>
              <w:t>600</w:t>
            </w:r>
          </w:p>
        </w:tc>
        <w:tc>
          <w:tcPr>
            <w:tcW w:w="873" w:type="dxa"/>
            <w:vAlign w:val="center"/>
          </w:tcPr>
          <w:p>
            <w:pPr>
              <w:tabs>
                <w:tab w:val="center" w:pos="3570"/>
                <w:tab w:val="right" w:pos="7875"/>
              </w:tabs>
              <w:spacing w:before="80" w:after="40"/>
              <w:jc w:val="center"/>
              <w:rPr>
                <w:rFonts w:ascii="宋体" w:hAnsi="宋体"/>
                <w:szCs w:val="21"/>
              </w:rPr>
            </w:pPr>
            <w:r>
              <w:rPr>
                <w:rFonts w:ascii="宋体" w:hAnsi="宋体"/>
                <w:szCs w:val="21"/>
              </w:rPr>
              <w:t>500</w:t>
            </w:r>
          </w:p>
        </w:tc>
        <w:tc>
          <w:tcPr>
            <w:tcW w:w="873" w:type="dxa"/>
            <w:vAlign w:val="center"/>
          </w:tcPr>
          <w:p>
            <w:pPr>
              <w:tabs>
                <w:tab w:val="center" w:pos="3570"/>
                <w:tab w:val="right" w:pos="7875"/>
              </w:tabs>
              <w:spacing w:before="80" w:after="40"/>
              <w:jc w:val="center"/>
              <w:rPr>
                <w:rFonts w:ascii="宋体" w:hAnsi="宋体"/>
                <w:szCs w:val="21"/>
              </w:rPr>
            </w:pPr>
            <w:r>
              <w:rPr>
                <w:rFonts w:ascii="宋体" w:hAnsi="宋体"/>
                <w:szCs w:val="21"/>
              </w:rPr>
              <w:t>25</w:t>
            </w:r>
          </w:p>
        </w:tc>
        <w:tc>
          <w:tcPr>
            <w:tcW w:w="873" w:type="dxa"/>
            <w:vAlign w:val="center"/>
          </w:tcPr>
          <w:p>
            <w:pPr>
              <w:tabs>
                <w:tab w:val="center" w:pos="3570"/>
                <w:tab w:val="right" w:pos="7875"/>
              </w:tabs>
              <w:spacing w:before="80" w:after="40"/>
              <w:jc w:val="center"/>
              <w:rPr>
                <w:rFonts w:ascii="宋体" w:hAnsi="宋体"/>
                <w:szCs w:val="21"/>
              </w:rPr>
            </w:pPr>
            <w:r>
              <w:rPr>
                <w:rFonts w:ascii="宋体" w:hAnsi="宋体"/>
                <w:szCs w:val="21"/>
              </w:rPr>
              <w:t>10</w:t>
            </w:r>
          </w:p>
        </w:tc>
        <w:tc>
          <w:tcPr>
            <w:tcW w:w="873" w:type="dxa"/>
            <w:vAlign w:val="center"/>
          </w:tcPr>
          <w:p>
            <w:pPr>
              <w:tabs>
                <w:tab w:val="center" w:pos="3570"/>
                <w:tab w:val="right" w:pos="7875"/>
              </w:tabs>
              <w:spacing w:before="80" w:after="40"/>
              <w:jc w:val="center"/>
              <w:rPr>
                <w:rFonts w:ascii="宋体" w:hAnsi="宋体"/>
                <w:szCs w:val="21"/>
              </w:rPr>
            </w:pPr>
            <w:r>
              <w:rPr>
                <w:rFonts w:ascii="宋体" w:hAnsi="宋体"/>
                <w:szCs w:val="21"/>
              </w:rPr>
              <w:t>100</w:t>
            </w:r>
          </w:p>
        </w:tc>
        <w:tc>
          <w:tcPr>
            <w:tcW w:w="873" w:type="dxa"/>
            <w:vAlign w:val="center"/>
          </w:tcPr>
          <w:p>
            <w:pPr>
              <w:tabs>
                <w:tab w:val="center" w:pos="3570"/>
                <w:tab w:val="right" w:pos="7875"/>
              </w:tabs>
              <w:spacing w:before="80" w:after="40"/>
              <w:jc w:val="center"/>
              <w:rPr>
                <w:rFonts w:ascii="宋体" w:hAnsi="宋体"/>
                <w:szCs w:val="21"/>
              </w:rPr>
            </w:pPr>
            <w:r>
              <w:rPr>
                <w:rFonts w:ascii="宋体" w:hAnsi="宋体"/>
                <w:szCs w:val="21"/>
              </w:rPr>
              <w:t>1000</w:t>
            </w:r>
          </w:p>
        </w:tc>
        <w:tc>
          <w:tcPr>
            <w:tcW w:w="877" w:type="dxa"/>
            <w:vAlign w:val="center"/>
          </w:tcPr>
          <w:p>
            <w:pPr>
              <w:tabs>
                <w:tab w:val="center" w:pos="3570"/>
                <w:tab w:val="right" w:pos="7875"/>
              </w:tabs>
              <w:spacing w:before="80" w:after="40"/>
              <w:jc w:val="center"/>
              <w:rPr>
                <w:rFonts w:ascii="宋体" w:hAnsi="宋体"/>
                <w:szCs w:val="21"/>
              </w:rPr>
            </w:pPr>
            <w:r>
              <w:rPr>
                <w:rFonts w:ascii="宋体" w:hAnsi="宋体"/>
                <w:szCs w:val="21"/>
              </w:rPr>
              <w:t>20</w:t>
            </w:r>
          </w:p>
        </w:tc>
        <w:tc>
          <w:tcPr>
            <w:tcW w:w="929" w:type="dxa"/>
            <w:vAlign w:val="center"/>
          </w:tcPr>
          <w:p>
            <w:pPr>
              <w:tabs>
                <w:tab w:val="center" w:pos="3570"/>
                <w:tab w:val="right" w:pos="7875"/>
              </w:tabs>
              <w:spacing w:before="80" w:after="40"/>
              <w:jc w:val="center"/>
              <w:rPr>
                <w:rFonts w:ascii="宋体" w:hAnsi="宋体"/>
                <w:szCs w:val="21"/>
              </w:rPr>
            </w:pPr>
            <w:r>
              <w:rPr>
                <w:rFonts w:hint="eastAsia" w:ascii="宋体" w:hAnsi="宋体"/>
                <w:szCs w:val="21"/>
              </w:rPr>
              <w:t>2</w:t>
            </w:r>
            <w:r>
              <w:rPr>
                <w:rFonts w:ascii="宋体" w:hAnsi="宋体"/>
                <w:szCs w:val="21"/>
              </w:rPr>
              <w:t>5.71</w:t>
            </w:r>
          </w:p>
        </w:tc>
        <w:tc>
          <w:tcPr>
            <w:tcW w:w="1018" w:type="dxa"/>
            <w:vAlign w:val="center"/>
          </w:tcPr>
          <w:p>
            <w:pPr>
              <w:tabs>
                <w:tab w:val="center" w:pos="3570"/>
                <w:tab w:val="right" w:pos="7875"/>
              </w:tabs>
              <w:spacing w:before="80" w:after="40"/>
              <w:jc w:val="center"/>
              <w:rPr>
                <w:rFonts w:ascii="宋体" w:hAnsi="宋体"/>
                <w:szCs w:val="21"/>
              </w:rPr>
            </w:pPr>
            <w:r>
              <w:rPr>
                <w:rFonts w:ascii="宋体" w:hAnsi="宋体"/>
                <w:szCs w:val="21"/>
              </w:rPr>
              <w:t>109.24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51" w:type="pct"/>
            <w:vAlign w:val="center"/>
          </w:tcPr>
          <w:p>
            <w:pPr>
              <w:tabs>
                <w:tab w:val="center" w:pos="3570"/>
                <w:tab w:val="right" w:pos="7875"/>
              </w:tabs>
              <w:spacing w:before="80" w:after="40"/>
              <w:jc w:val="center"/>
              <w:rPr>
                <w:rFonts w:ascii="宋体" w:hAnsi="宋体"/>
                <w:sz w:val="18"/>
                <w:szCs w:val="18"/>
              </w:rPr>
            </w:pPr>
            <w:r>
              <w:rPr>
                <w:rFonts w:hint="eastAsia" w:ascii="宋体" w:hAnsi="宋体"/>
                <w:sz w:val="18"/>
                <w:szCs w:val="18"/>
              </w:rPr>
              <w:t>4</w:t>
            </w:r>
          </w:p>
        </w:tc>
        <w:tc>
          <w:tcPr>
            <w:tcW w:w="873" w:type="dxa"/>
            <w:vAlign w:val="center"/>
          </w:tcPr>
          <w:p>
            <w:pPr>
              <w:tabs>
                <w:tab w:val="center" w:pos="3570"/>
                <w:tab w:val="right" w:pos="7875"/>
              </w:tabs>
              <w:spacing w:before="80" w:after="40"/>
              <w:jc w:val="center"/>
            </w:pPr>
            <w:r>
              <w:rPr>
                <w:rFonts w:hint="eastAsia" w:ascii="宋体" w:hAnsi="宋体"/>
                <w:szCs w:val="21"/>
              </w:rPr>
              <w:t>3</w:t>
            </w:r>
            <w:r>
              <w:rPr>
                <w:rFonts w:ascii="宋体" w:hAnsi="宋体"/>
                <w:szCs w:val="21"/>
              </w:rPr>
              <w:t>00</w:t>
            </w:r>
          </w:p>
        </w:tc>
        <w:tc>
          <w:tcPr>
            <w:tcW w:w="873" w:type="dxa"/>
            <w:vAlign w:val="center"/>
          </w:tcPr>
          <w:p>
            <w:pPr>
              <w:tabs>
                <w:tab w:val="center" w:pos="3570"/>
                <w:tab w:val="right" w:pos="7875"/>
              </w:tabs>
              <w:spacing w:before="80" w:after="40"/>
              <w:jc w:val="center"/>
            </w:pPr>
            <w:r>
              <w:rPr>
                <w:rFonts w:ascii="宋体" w:hAnsi="宋体"/>
                <w:szCs w:val="21"/>
              </w:rPr>
              <w:t>100</w:t>
            </w:r>
          </w:p>
        </w:tc>
        <w:tc>
          <w:tcPr>
            <w:tcW w:w="873" w:type="dxa"/>
            <w:vAlign w:val="center"/>
          </w:tcPr>
          <w:p>
            <w:pPr>
              <w:tabs>
                <w:tab w:val="center" w:pos="3570"/>
                <w:tab w:val="right" w:pos="7875"/>
              </w:tabs>
              <w:spacing w:before="80" w:after="40"/>
              <w:jc w:val="center"/>
            </w:pPr>
            <w:r>
              <w:rPr>
                <w:rFonts w:hint="eastAsia" w:ascii="宋体" w:hAnsi="宋体"/>
                <w:szCs w:val="21"/>
              </w:rPr>
              <w:t>1</w:t>
            </w:r>
            <w:r>
              <w:rPr>
                <w:rFonts w:ascii="宋体" w:hAnsi="宋体"/>
                <w:szCs w:val="21"/>
              </w:rPr>
              <w:t>00</w:t>
            </w:r>
          </w:p>
        </w:tc>
        <w:tc>
          <w:tcPr>
            <w:tcW w:w="873" w:type="dxa"/>
            <w:vAlign w:val="center"/>
          </w:tcPr>
          <w:p>
            <w:pPr>
              <w:tabs>
                <w:tab w:val="center" w:pos="3570"/>
                <w:tab w:val="right" w:pos="7875"/>
              </w:tabs>
              <w:spacing w:before="80" w:after="40"/>
              <w:jc w:val="center"/>
            </w:pPr>
            <w:r>
              <w:rPr>
                <w:rFonts w:hint="eastAsia" w:ascii="宋体" w:hAnsi="宋体"/>
                <w:szCs w:val="21"/>
              </w:rPr>
              <w:t>2</w:t>
            </w:r>
            <w:r>
              <w:rPr>
                <w:rFonts w:ascii="宋体" w:hAnsi="宋体"/>
                <w:szCs w:val="21"/>
              </w:rPr>
              <w:t>00</w:t>
            </w:r>
          </w:p>
        </w:tc>
        <w:tc>
          <w:tcPr>
            <w:tcW w:w="873" w:type="dxa"/>
            <w:vAlign w:val="center"/>
          </w:tcPr>
          <w:p>
            <w:pPr>
              <w:tabs>
                <w:tab w:val="center" w:pos="3570"/>
                <w:tab w:val="right" w:pos="7875"/>
              </w:tabs>
              <w:spacing w:before="80" w:after="40"/>
              <w:jc w:val="center"/>
            </w:pPr>
            <w:r>
              <w:rPr>
                <w:rFonts w:hint="eastAsia" w:ascii="宋体" w:hAnsi="宋体"/>
                <w:szCs w:val="21"/>
              </w:rPr>
              <w:t>1</w:t>
            </w:r>
            <w:r>
              <w:rPr>
                <w:rFonts w:ascii="宋体" w:hAnsi="宋体"/>
                <w:szCs w:val="21"/>
              </w:rPr>
              <w:t>00</w:t>
            </w:r>
          </w:p>
        </w:tc>
        <w:tc>
          <w:tcPr>
            <w:tcW w:w="873" w:type="dxa"/>
            <w:vAlign w:val="center"/>
          </w:tcPr>
          <w:p>
            <w:pPr>
              <w:tabs>
                <w:tab w:val="center" w:pos="3570"/>
                <w:tab w:val="right" w:pos="7875"/>
              </w:tabs>
              <w:spacing w:before="80" w:after="40"/>
              <w:jc w:val="center"/>
            </w:pPr>
            <w:r>
              <w:rPr>
                <w:rFonts w:ascii="宋体" w:hAnsi="宋体"/>
                <w:szCs w:val="21"/>
              </w:rPr>
              <w:t>1000</w:t>
            </w:r>
          </w:p>
        </w:tc>
        <w:tc>
          <w:tcPr>
            <w:tcW w:w="877" w:type="dxa"/>
            <w:vAlign w:val="center"/>
          </w:tcPr>
          <w:p>
            <w:pPr>
              <w:tabs>
                <w:tab w:val="center" w:pos="3570"/>
                <w:tab w:val="right" w:pos="7875"/>
              </w:tabs>
              <w:spacing w:before="80" w:after="40"/>
              <w:jc w:val="center"/>
            </w:pPr>
            <w:r>
              <w:rPr>
                <w:rFonts w:hint="eastAsia" w:ascii="宋体" w:hAnsi="宋体"/>
                <w:szCs w:val="21"/>
              </w:rPr>
              <w:t>2</w:t>
            </w:r>
            <w:r>
              <w:rPr>
                <w:rFonts w:ascii="宋体" w:hAnsi="宋体"/>
                <w:szCs w:val="21"/>
              </w:rPr>
              <w:t>00</w:t>
            </w:r>
          </w:p>
        </w:tc>
        <w:tc>
          <w:tcPr>
            <w:tcW w:w="929" w:type="dxa"/>
            <w:vAlign w:val="center"/>
          </w:tcPr>
          <w:p>
            <w:pPr>
              <w:tabs>
                <w:tab w:val="center" w:pos="3570"/>
                <w:tab w:val="right" w:pos="7875"/>
              </w:tabs>
              <w:spacing w:before="80" w:after="40"/>
              <w:jc w:val="center"/>
              <w:rPr>
                <w:rFonts w:ascii="宋体" w:hAnsi="宋体"/>
                <w:szCs w:val="21"/>
              </w:rPr>
            </w:pPr>
            <w:r>
              <w:rPr>
                <w:rFonts w:ascii="宋体" w:hAnsi="宋体"/>
                <w:szCs w:val="21"/>
              </w:rPr>
              <w:t>25.14</w:t>
            </w:r>
          </w:p>
        </w:tc>
        <w:tc>
          <w:tcPr>
            <w:tcW w:w="1018" w:type="dxa"/>
            <w:vAlign w:val="center"/>
          </w:tcPr>
          <w:p>
            <w:pPr>
              <w:tabs>
                <w:tab w:val="center" w:pos="3570"/>
                <w:tab w:val="right" w:pos="7875"/>
              </w:tabs>
              <w:spacing w:before="80" w:after="40"/>
              <w:jc w:val="center"/>
              <w:rPr>
                <w:rFonts w:ascii="宋体" w:hAnsi="宋体"/>
                <w:szCs w:val="21"/>
              </w:rPr>
            </w:pPr>
            <w:r>
              <w:rPr>
                <w:rFonts w:ascii="宋体" w:hAnsi="宋体"/>
                <w:szCs w:val="21"/>
              </w:rPr>
              <w:t>104.44</w:t>
            </w:r>
          </w:p>
        </w:tc>
      </w:tr>
    </w:tbl>
    <w:p>
      <w:pPr>
        <w:tabs>
          <w:tab w:val="center" w:pos="3570"/>
          <w:tab w:val="right" w:pos="7875"/>
        </w:tabs>
        <w:ind w:firstLine="420"/>
      </w:pPr>
      <w:r>
        <w:t>注</w:t>
      </w:r>
      <w:r>
        <w:rPr>
          <w:rFonts w:hint="eastAsia"/>
        </w:rPr>
        <w:t>（1</w:t>
      </w:r>
      <w:r>
        <w:t>00</w:t>
      </w:r>
      <w:r>
        <w:rPr>
          <w:rFonts w:asciiTheme="minorEastAsia" w:hAnsiTheme="minorEastAsia" w:eastAsiaTheme="minorEastAsia"/>
        </w:rPr>
        <w:t> </w:t>
      </w:r>
      <w:r>
        <w:t>μg杂质元素</w:t>
      </w:r>
      <w:r>
        <w:rPr>
          <w:rFonts w:hint="eastAsia"/>
        </w:rPr>
        <w:t>，</w:t>
      </w:r>
      <w:r>
        <w:t>称样量以</w:t>
      </w:r>
      <w:r>
        <w:rPr>
          <w:rFonts w:hint="eastAsia"/>
        </w:rPr>
        <w:t>0</w:t>
      </w:r>
      <w:r>
        <w:t>.10</w:t>
      </w:r>
      <w:r>
        <w:rPr>
          <w:rFonts w:asciiTheme="minorEastAsia" w:hAnsiTheme="minorEastAsia" w:eastAsiaTheme="minorEastAsia"/>
        </w:rPr>
        <w:t> </w:t>
      </w:r>
      <w:r>
        <w:t>g计</w:t>
      </w:r>
      <w:r>
        <w:rPr>
          <w:rFonts w:hint="eastAsia"/>
        </w:rPr>
        <w:t>，杂质含量约</w:t>
      </w:r>
      <w:r>
        <w:t>相当于1.0</w:t>
      </w:r>
      <w:r>
        <w:rPr>
          <w:rFonts w:asciiTheme="minorEastAsia" w:hAnsiTheme="minorEastAsia" w:eastAsiaTheme="minorEastAsia"/>
        </w:rPr>
        <w:t> </w:t>
      </w:r>
      <w:r>
        <w:rPr>
          <w:rFonts w:hint="eastAsia"/>
        </w:rPr>
        <w:t>%）</w:t>
      </w:r>
    </w:p>
    <w:p>
      <w:pPr>
        <w:adjustRightInd w:val="0"/>
        <w:snapToGrid w:val="0"/>
        <w:spacing w:line="360" w:lineRule="auto"/>
        <w:ind w:firstLine="420" w:firstLineChars="200"/>
      </w:pPr>
      <w:r>
        <w:t>结果表明</w:t>
      </w:r>
      <w:r>
        <w:rPr>
          <w:rFonts w:hint="eastAsia"/>
        </w:rPr>
        <w:t>，</w:t>
      </w:r>
      <w:r>
        <w:t>在草酸</w:t>
      </w:r>
      <w:r>
        <w:rPr>
          <w:rFonts w:hint="eastAsia"/>
        </w:rPr>
        <w:t>、</w:t>
      </w:r>
      <w:r>
        <w:t>铁氰化钾的作用下</w:t>
      </w:r>
      <w:r>
        <w:rPr>
          <w:rFonts w:hint="eastAsia"/>
        </w:rPr>
        <w:t>，</w:t>
      </w:r>
      <w:r>
        <w:t>上述杂质量的干扰</w:t>
      </w:r>
      <w:r>
        <w:rPr>
          <w:rFonts w:hint="eastAsia"/>
        </w:rPr>
        <w:t>，</w:t>
      </w:r>
      <w:r>
        <w:t>对测定不影响</w:t>
      </w:r>
      <w:r>
        <w:rPr>
          <w:rFonts w:hint="eastAsia"/>
        </w:rPr>
        <w:t>。</w:t>
      </w:r>
    </w:p>
    <w:p>
      <w:pPr>
        <w:tabs>
          <w:tab w:val="center" w:pos="3570"/>
          <w:tab w:val="right" w:pos="7875"/>
        </w:tabs>
        <w:rPr>
          <w:rFonts w:asciiTheme="minorEastAsia" w:hAnsiTheme="minorEastAsia" w:eastAsiaTheme="minorEastAsia"/>
          <w:szCs w:val="21"/>
        </w:rPr>
      </w:pPr>
      <w:r>
        <w:rPr>
          <w:rFonts w:hint="eastAsia" w:asciiTheme="minorEastAsia" w:hAnsiTheme="minorEastAsia" w:eastAsiaTheme="minorEastAsia"/>
          <w:szCs w:val="21"/>
        </w:rPr>
        <w:t>5）硼氢化钾的</w:t>
      </w:r>
      <w:r>
        <w:rPr>
          <w:rFonts w:asciiTheme="minorEastAsia" w:hAnsiTheme="minorEastAsia" w:eastAsiaTheme="minorEastAsia"/>
          <w:szCs w:val="21"/>
        </w:rPr>
        <w:t>浓度</w:t>
      </w:r>
      <w:r>
        <w:rPr>
          <w:rFonts w:hint="eastAsia" w:asciiTheme="minorEastAsia" w:hAnsiTheme="minorEastAsia" w:eastAsiaTheme="minorEastAsia"/>
          <w:szCs w:val="21"/>
        </w:rPr>
        <w:t>试验</w:t>
      </w:r>
    </w:p>
    <w:p>
      <w:pPr>
        <w:tabs>
          <w:tab w:val="center" w:pos="3570"/>
          <w:tab w:val="right" w:pos="7875"/>
        </w:tabs>
        <w:ind w:firstLine="420"/>
      </w:pPr>
      <w:r>
        <w:rPr>
          <w:rFonts w:hint="eastAsia"/>
        </w:rPr>
        <w:t>硼氢化钾的浓度对测定的影响较大，直接影响着氢化物发生的效率，反应在测定的荧光强度上。浓度太高时，由于生成氢气量太大而增加了噪音使荧光强度减弱，重现性变差；浓度太低，又不能完全还原铅，灵敏度降低。</w:t>
      </w:r>
    </w:p>
    <w:p>
      <w:pPr>
        <w:tabs>
          <w:tab w:val="center" w:pos="3570"/>
          <w:tab w:val="right" w:pos="7875"/>
        </w:tabs>
        <w:ind w:firstLine="420"/>
      </w:pPr>
      <w:r>
        <w:rPr>
          <w:rFonts w:hint="eastAsia"/>
        </w:rPr>
        <w:t>按试验方法，在不同浓度的还原液作用下（K</w:t>
      </w:r>
      <w:r>
        <w:t>OH固定</w:t>
      </w:r>
      <w:r>
        <w:rPr>
          <w:rFonts w:hint="eastAsia"/>
        </w:rPr>
        <w:t>5</w:t>
      </w:r>
      <w:r>
        <w:rPr>
          <w:rFonts w:asciiTheme="minorEastAsia" w:hAnsiTheme="minorEastAsia" w:eastAsiaTheme="minorEastAsia"/>
        </w:rPr>
        <w:t> </w:t>
      </w:r>
      <w:r>
        <w:rPr>
          <w:rFonts w:hint="eastAsia"/>
        </w:rPr>
        <w:t>g</w:t>
      </w:r>
      <w:r>
        <w:t>/L</w:t>
      </w:r>
      <w:r>
        <w:rPr>
          <w:rFonts w:hint="eastAsia"/>
        </w:rPr>
        <w:t>，</w:t>
      </w:r>
      <w:r>
        <w:t>维持还原液的稳定</w:t>
      </w:r>
      <w:r>
        <w:rPr>
          <w:rFonts w:hint="eastAsia"/>
        </w:rPr>
        <w:t>），测定一组含有25</w:t>
      </w:r>
      <w:r>
        <w:rPr>
          <w:rFonts w:asciiTheme="minorEastAsia" w:hAnsiTheme="minorEastAsia" w:eastAsiaTheme="minorEastAsia"/>
        </w:rPr>
        <w:t> </w:t>
      </w:r>
      <w:r>
        <w:rPr>
          <w:rFonts w:hint="eastAsia"/>
        </w:rPr>
        <w:t>μg/L铅标准溶液，记录其荧光强度。试验结果如下表</w:t>
      </w:r>
      <w:r>
        <w:rPr>
          <w:rFonts w:hint="eastAsia"/>
          <w:lang w:val="en-US" w:eastAsia="zh-CN"/>
        </w:rPr>
        <w:t>10</w:t>
      </w:r>
      <w:r>
        <w:rPr>
          <w:rFonts w:hint="eastAsia"/>
        </w:rPr>
        <w:t>。</w:t>
      </w:r>
    </w:p>
    <w:p>
      <w:pPr>
        <w:tabs>
          <w:tab w:val="center" w:pos="3570"/>
          <w:tab w:val="right" w:pos="7875"/>
        </w:tabs>
        <w:ind w:firstLine="420"/>
        <w:jc w:val="center"/>
      </w:pPr>
      <w:r>
        <w:rPr>
          <w:rFonts w:hint="eastAsia"/>
        </w:rPr>
        <w:t>表</w:t>
      </w:r>
      <w:r>
        <w:rPr>
          <w:rFonts w:hint="eastAsia"/>
          <w:lang w:val="en-US" w:eastAsia="zh-CN"/>
        </w:rPr>
        <w:t>10</w:t>
      </w:r>
      <w:r>
        <w:t xml:space="preserve"> </w:t>
      </w:r>
      <w:r>
        <w:rPr>
          <w:rFonts w:hint="eastAsia"/>
        </w:rPr>
        <w:t>硼氢化钾</w:t>
      </w:r>
      <w:r>
        <w:t>浓度</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5"/>
        <w:gridCol w:w="1370"/>
        <w:gridCol w:w="1370"/>
        <w:gridCol w:w="1370"/>
        <w:gridCol w:w="1370"/>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17" w:type="pct"/>
            <w:vMerge w:val="restar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测定项</w:t>
            </w:r>
          </w:p>
        </w:tc>
        <w:tc>
          <w:tcPr>
            <w:tcW w:w="3783" w:type="pct"/>
            <w:gridSpan w:val="5"/>
            <w:vAlign w:val="center"/>
          </w:tcPr>
          <w:p>
            <w:pPr>
              <w:tabs>
                <w:tab w:val="center" w:pos="3570"/>
                <w:tab w:val="right" w:pos="7875"/>
              </w:tabs>
              <w:ind w:firstLine="420"/>
              <w:jc w:val="center"/>
              <w:rPr>
                <w:rFonts w:ascii="宋体" w:hAnsi="宋体" w:cs="宋体"/>
                <w:szCs w:val="21"/>
              </w:rPr>
            </w:pPr>
            <w:r>
              <w:rPr>
                <w:rFonts w:hint="eastAsia" w:ascii="宋体" w:hAnsi="宋体" w:cs="宋体"/>
                <w:szCs w:val="21"/>
              </w:rPr>
              <w:t>硼氢化钾浓度（g</w:t>
            </w:r>
            <w:r>
              <w:rPr>
                <w:rFonts w:ascii="宋体" w:hAnsi="宋体" w:cs="宋体"/>
                <w:szCs w:val="21"/>
              </w:rPr>
              <w:t>/L</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217" w:type="pct"/>
            <w:vMerge w:val="continue"/>
            <w:vAlign w:val="center"/>
          </w:tcPr>
          <w:p>
            <w:pPr>
              <w:tabs>
                <w:tab w:val="center" w:pos="3570"/>
                <w:tab w:val="right" w:pos="7875"/>
              </w:tabs>
              <w:spacing w:line="360" w:lineRule="auto"/>
              <w:ind w:firstLine="420"/>
              <w:jc w:val="center"/>
              <w:rPr>
                <w:rFonts w:ascii="宋体" w:hAnsi="宋体" w:cs="宋体"/>
                <w:szCs w:val="21"/>
              </w:rPr>
            </w:pPr>
          </w:p>
        </w:tc>
        <w:tc>
          <w:tcPr>
            <w:tcW w:w="756" w:type="pct"/>
            <w:vAlign w:val="center"/>
          </w:tcPr>
          <w:p>
            <w:pPr>
              <w:tabs>
                <w:tab w:val="center" w:pos="3570"/>
                <w:tab w:val="right" w:pos="7875"/>
              </w:tabs>
              <w:spacing w:before="80" w:after="40"/>
              <w:jc w:val="center"/>
              <w:rPr>
                <w:rFonts w:ascii="宋体" w:hAnsi="宋体"/>
                <w:szCs w:val="21"/>
              </w:rPr>
            </w:pPr>
            <w:r>
              <w:rPr>
                <w:rFonts w:ascii="宋体" w:hAnsi="宋体"/>
                <w:szCs w:val="21"/>
              </w:rPr>
              <w:t>10</w:t>
            </w:r>
          </w:p>
        </w:tc>
        <w:tc>
          <w:tcPr>
            <w:tcW w:w="756" w:type="pct"/>
            <w:vAlign w:val="center"/>
          </w:tcPr>
          <w:p>
            <w:pPr>
              <w:tabs>
                <w:tab w:val="center" w:pos="3570"/>
                <w:tab w:val="right" w:pos="7875"/>
              </w:tabs>
              <w:spacing w:before="80" w:after="40"/>
              <w:jc w:val="center"/>
              <w:rPr>
                <w:rFonts w:ascii="宋体" w:hAnsi="宋体"/>
                <w:szCs w:val="21"/>
              </w:rPr>
            </w:pPr>
            <w:r>
              <w:rPr>
                <w:rFonts w:ascii="宋体" w:hAnsi="宋体"/>
                <w:szCs w:val="21"/>
              </w:rPr>
              <w:t>20</w:t>
            </w:r>
          </w:p>
        </w:tc>
        <w:tc>
          <w:tcPr>
            <w:tcW w:w="756" w:type="pct"/>
            <w:vAlign w:val="center"/>
          </w:tcPr>
          <w:p>
            <w:pPr>
              <w:tabs>
                <w:tab w:val="center" w:pos="3570"/>
                <w:tab w:val="right" w:pos="7875"/>
              </w:tabs>
              <w:spacing w:before="80" w:after="40"/>
              <w:jc w:val="center"/>
              <w:rPr>
                <w:rFonts w:ascii="宋体" w:hAnsi="宋体"/>
                <w:szCs w:val="21"/>
              </w:rPr>
            </w:pPr>
            <w:r>
              <w:rPr>
                <w:rFonts w:ascii="宋体" w:hAnsi="宋体"/>
                <w:szCs w:val="21"/>
              </w:rPr>
              <w:t>30</w:t>
            </w:r>
          </w:p>
        </w:tc>
        <w:tc>
          <w:tcPr>
            <w:tcW w:w="756" w:type="pct"/>
            <w:vAlign w:val="center"/>
          </w:tcPr>
          <w:p>
            <w:pPr>
              <w:tabs>
                <w:tab w:val="center" w:pos="3570"/>
                <w:tab w:val="right" w:pos="7875"/>
              </w:tabs>
              <w:spacing w:before="80" w:after="40"/>
              <w:jc w:val="center"/>
              <w:rPr>
                <w:rFonts w:ascii="宋体" w:hAnsi="宋体"/>
                <w:szCs w:val="21"/>
              </w:rPr>
            </w:pPr>
            <w:r>
              <w:rPr>
                <w:rFonts w:ascii="宋体" w:hAnsi="宋体"/>
                <w:szCs w:val="21"/>
              </w:rPr>
              <w:t>40</w:t>
            </w:r>
          </w:p>
        </w:tc>
        <w:tc>
          <w:tcPr>
            <w:tcW w:w="759" w:type="pct"/>
            <w:vAlign w:val="center"/>
          </w:tcPr>
          <w:p>
            <w:pPr>
              <w:tabs>
                <w:tab w:val="center" w:pos="3570"/>
                <w:tab w:val="right" w:pos="7875"/>
              </w:tabs>
              <w:spacing w:before="80" w:after="40"/>
              <w:jc w:val="center"/>
              <w:rPr>
                <w:rFonts w:ascii="宋体" w:hAnsi="宋体"/>
                <w:szCs w:val="21"/>
              </w:rPr>
            </w:pPr>
            <w:r>
              <w:rPr>
                <w:rFonts w:ascii="宋体" w:hAnsi="宋体"/>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217" w:type="pct"/>
            <w:vAlign w:val="center"/>
          </w:tcPr>
          <w:p>
            <w:pPr>
              <w:tabs>
                <w:tab w:val="center" w:pos="3570"/>
                <w:tab w:val="right" w:pos="7875"/>
              </w:tabs>
              <w:spacing w:before="80" w:after="40"/>
              <w:jc w:val="center"/>
              <w:rPr>
                <w:rFonts w:ascii="宋体" w:hAnsi="宋体"/>
                <w:sz w:val="18"/>
                <w:szCs w:val="18"/>
              </w:rPr>
            </w:pPr>
            <w:r>
              <w:rPr>
                <w:rFonts w:hint="eastAsia" w:ascii="宋体" w:hAnsi="宋体"/>
                <w:sz w:val="18"/>
                <w:szCs w:val="18"/>
              </w:rPr>
              <w:t>试液荧光强度</w:t>
            </w:r>
          </w:p>
        </w:tc>
        <w:tc>
          <w:tcPr>
            <w:tcW w:w="756"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1759</w:t>
            </w:r>
          </w:p>
        </w:tc>
        <w:tc>
          <w:tcPr>
            <w:tcW w:w="756"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1822</w:t>
            </w:r>
          </w:p>
        </w:tc>
        <w:tc>
          <w:tcPr>
            <w:tcW w:w="756"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1902</w:t>
            </w:r>
          </w:p>
        </w:tc>
        <w:tc>
          <w:tcPr>
            <w:tcW w:w="756"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2120</w:t>
            </w:r>
          </w:p>
        </w:tc>
        <w:tc>
          <w:tcPr>
            <w:tcW w:w="759"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2471</w:t>
            </w:r>
          </w:p>
        </w:tc>
      </w:tr>
    </w:tbl>
    <w:p>
      <w:pPr>
        <w:tabs>
          <w:tab w:val="center" w:pos="3570"/>
          <w:tab w:val="right" w:pos="7875"/>
        </w:tabs>
        <w:ind w:firstLine="420"/>
      </w:pPr>
      <w:r>
        <w:rPr>
          <w:rFonts w:hint="eastAsia"/>
        </w:rPr>
        <w:t>试验结果表明，在10</w:t>
      </w:r>
      <w:r>
        <w:rPr>
          <w:rFonts w:asciiTheme="minorEastAsia" w:hAnsiTheme="minorEastAsia" w:eastAsiaTheme="minorEastAsia"/>
        </w:rPr>
        <w:t> </w:t>
      </w:r>
      <w:r>
        <w:rPr>
          <w:rFonts w:hint="eastAsia"/>
        </w:rPr>
        <w:t>g/L~30</w:t>
      </w:r>
      <w:r>
        <w:rPr>
          <w:rFonts w:asciiTheme="minorEastAsia" w:hAnsiTheme="minorEastAsia" w:eastAsiaTheme="minorEastAsia"/>
        </w:rPr>
        <w:t> </w:t>
      </w:r>
      <w:r>
        <w:rPr>
          <w:rFonts w:hint="eastAsia"/>
        </w:rPr>
        <w:t>g/L范围内，随着硼氢化钾浓度的升高，荧光强度增大。在氢化物发生过程中，硼氢化钾浓度越大，易引起液相干扰，浓度低则反应慢，还原不完全，荧光强度弱，灵敏度低。本试验取30</w:t>
      </w:r>
      <w:r>
        <w:rPr>
          <w:rFonts w:asciiTheme="minorEastAsia" w:hAnsiTheme="minorEastAsia" w:eastAsiaTheme="minorEastAsia"/>
        </w:rPr>
        <w:t> </w:t>
      </w:r>
      <w:r>
        <w:rPr>
          <w:rFonts w:hint="eastAsia"/>
        </w:rPr>
        <w:t>g/L。</w:t>
      </w:r>
    </w:p>
    <w:p>
      <w:pPr>
        <w:tabs>
          <w:tab w:val="center" w:pos="3570"/>
          <w:tab w:val="right" w:pos="7875"/>
        </w:tabs>
        <w:rPr>
          <w:rFonts w:asciiTheme="minorEastAsia" w:hAnsiTheme="minorEastAsia" w:eastAsiaTheme="minorEastAsia"/>
          <w:szCs w:val="21"/>
        </w:rPr>
      </w:pPr>
      <w:r>
        <w:rPr>
          <w:rFonts w:hint="eastAsia" w:asciiTheme="minorEastAsia" w:hAnsiTheme="minorEastAsia" w:eastAsiaTheme="minorEastAsia"/>
          <w:szCs w:val="21"/>
        </w:rPr>
        <w:t>6）草酸对共存元素的</w:t>
      </w:r>
      <w:r>
        <w:rPr>
          <w:rFonts w:asciiTheme="minorEastAsia" w:hAnsiTheme="minorEastAsia" w:eastAsiaTheme="minorEastAsia"/>
          <w:szCs w:val="21"/>
        </w:rPr>
        <w:t>作用与用量</w:t>
      </w:r>
      <w:r>
        <w:rPr>
          <w:rFonts w:hint="eastAsia" w:asciiTheme="minorEastAsia" w:hAnsiTheme="minorEastAsia" w:eastAsiaTheme="minorEastAsia"/>
          <w:szCs w:val="21"/>
        </w:rPr>
        <w:t>试验</w:t>
      </w:r>
    </w:p>
    <w:p>
      <w:pPr>
        <w:tabs>
          <w:tab w:val="center" w:pos="3570"/>
          <w:tab w:val="right" w:pos="7875"/>
        </w:tabs>
        <w:ind w:firstLine="420"/>
      </w:pPr>
      <w:r>
        <w:rPr>
          <w:rFonts w:hint="eastAsia"/>
        </w:rPr>
        <w:t>草酸是荧光测定铅常用干扰元素掩蔽剂，对铜、铁、钼等的干扰具有很好的掩蔽作用。称取3#，4#，5#样品各0.10</w:t>
      </w:r>
      <w:r>
        <w:rPr>
          <w:rFonts w:asciiTheme="minorEastAsia" w:hAnsiTheme="minorEastAsia" w:eastAsiaTheme="minorEastAsia"/>
        </w:rPr>
        <w:t> </w:t>
      </w:r>
      <w:r>
        <w:rPr>
          <w:rFonts w:hint="eastAsia"/>
        </w:rPr>
        <w:t>g按分析步骤</w:t>
      </w:r>
      <w:r>
        <w:t>操作</w:t>
      </w:r>
      <w:r>
        <w:rPr>
          <w:rFonts w:hint="eastAsia"/>
        </w:rPr>
        <w:t>，</w:t>
      </w:r>
      <w:r>
        <w:t>加入不同</w:t>
      </w:r>
      <w:r>
        <w:rPr>
          <w:rFonts w:hint="eastAsia"/>
        </w:rPr>
        <w:t>量</w:t>
      </w:r>
      <w:r>
        <w:t>的草酸溶液</w:t>
      </w:r>
      <w:r>
        <w:rPr>
          <w:rFonts w:hint="eastAsia"/>
        </w:rPr>
        <w:t>，</w:t>
      </w:r>
      <w:r>
        <w:t>测定其荧光强度</w:t>
      </w:r>
      <w:r>
        <w:rPr>
          <w:rFonts w:hint="eastAsia"/>
        </w:rPr>
        <w:t>。结果见表</w:t>
      </w:r>
      <w:r>
        <w:rPr>
          <w:rFonts w:hint="eastAsia"/>
          <w:lang w:val="en-US" w:eastAsia="zh-CN"/>
        </w:rPr>
        <w:t>11</w:t>
      </w:r>
      <w:r>
        <w:rPr>
          <w:rFonts w:hint="eastAsia"/>
        </w:rPr>
        <w:t>。</w:t>
      </w:r>
    </w:p>
    <w:p>
      <w:pPr>
        <w:tabs>
          <w:tab w:val="center" w:pos="3570"/>
          <w:tab w:val="right" w:pos="7875"/>
        </w:tabs>
        <w:ind w:firstLine="420"/>
        <w:jc w:val="center"/>
      </w:pPr>
      <w:r>
        <w:rPr>
          <w:rFonts w:hint="eastAsia"/>
        </w:rPr>
        <w:t>表</w:t>
      </w:r>
      <w:r>
        <w:rPr>
          <w:rFonts w:hint="eastAsia"/>
          <w:lang w:val="en-US" w:eastAsia="zh-CN"/>
        </w:rPr>
        <w:t>11</w:t>
      </w:r>
      <w:r>
        <w:t>草酸用量试验</w:t>
      </w:r>
    </w:p>
    <w:tbl>
      <w:tblPr>
        <w:tblStyle w:val="88"/>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2"/>
        <w:gridCol w:w="1442"/>
        <w:gridCol w:w="1442"/>
        <w:gridCol w:w="1442"/>
        <w:gridCol w:w="1442"/>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852" w:type="dxa"/>
            <w:vMerge w:val="restar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样品编号</w:t>
            </w:r>
          </w:p>
        </w:tc>
        <w:tc>
          <w:tcPr>
            <w:tcW w:w="7208" w:type="dxa"/>
            <w:gridSpan w:val="5"/>
            <w:vAlign w:val="center"/>
          </w:tcPr>
          <w:p>
            <w:pPr>
              <w:tabs>
                <w:tab w:val="center" w:pos="3570"/>
                <w:tab w:val="right" w:pos="7875"/>
              </w:tabs>
              <w:jc w:val="center"/>
              <w:rPr>
                <w:rFonts w:ascii="宋体" w:hAnsi="宋体" w:cs="宋体"/>
                <w:szCs w:val="21"/>
              </w:rPr>
            </w:pPr>
            <w:r>
              <w:rPr>
                <w:rFonts w:hint="eastAsia" w:ascii="宋体" w:hAnsi="宋体" w:cs="宋体"/>
                <w:szCs w:val="21"/>
              </w:rPr>
              <w:t>草酸用量（m</w:t>
            </w:r>
            <w:r>
              <w:rPr>
                <w:rFonts w:ascii="宋体" w:hAnsi="宋体" w:cs="宋体"/>
                <w:szCs w:val="21"/>
              </w:rPr>
              <w:t>L</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852" w:type="dxa"/>
            <w:vMerge w:val="continue"/>
            <w:vAlign w:val="center"/>
          </w:tcPr>
          <w:p>
            <w:pPr>
              <w:tabs>
                <w:tab w:val="center" w:pos="3570"/>
                <w:tab w:val="right" w:pos="7875"/>
              </w:tabs>
              <w:spacing w:line="360" w:lineRule="auto"/>
              <w:ind w:firstLine="420"/>
              <w:jc w:val="center"/>
              <w:rPr>
                <w:rFonts w:ascii="宋体" w:hAnsi="宋体" w:cs="宋体"/>
                <w:szCs w:val="21"/>
              </w:rPr>
            </w:pPr>
          </w:p>
        </w:tc>
        <w:tc>
          <w:tcPr>
            <w:tcW w:w="1442" w:type="dxa"/>
            <w:vAlign w:val="center"/>
          </w:tcPr>
          <w:p>
            <w:pPr>
              <w:tabs>
                <w:tab w:val="center" w:pos="3570"/>
                <w:tab w:val="right" w:pos="7875"/>
              </w:tabs>
              <w:spacing w:before="80" w:after="40"/>
              <w:jc w:val="center"/>
              <w:rPr>
                <w:rFonts w:ascii="宋体" w:hAnsi="宋体"/>
                <w:szCs w:val="21"/>
              </w:rPr>
            </w:pPr>
            <w:r>
              <w:rPr>
                <w:rFonts w:ascii="宋体" w:hAnsi="宋体"/>
                <w:szCs w:val="21"/>
              </w:rPr>
              <w:t>1</w:t>
            </w:r>
          </w:p>
        </w:tc>
        <w:tc>
          <w:tcPr>
            <w:tcW w:w="1442" w:type="dxa"/>
            <w:vAlign w:val="center"/>
          </w:tcPr>
          <w:p>
            <w:pPr>
              <w:tabs>
                <w:tab w:val="center" w:pos="3570"/>
                <w:tab w:val="right" w:pos="7875"/>
              </w:tabs>
              <w:spacing w:before="80" w:after="40"/>
              <w:jc w:val="center"/>
              <w:rPr>
                <w:rFonts w:ascii="宋体" w:hAnsi="宋体"/>
                <w:szCs w:val="21"/>
              </w:rPr>
            </w:pPr>
            <w:r>
              <w:rPr>
                <w:rFonts w:ascii="宋体" w:hAnsi="宋体"/>
                <w:szCs w:val="21"/>
              </w:rPr>
              <w:t>2</w:t>
            </w:r>
          </w:p>
        </w:tc>
        <w:tc>
          <w:tcPr>
            <w:tcW w:w="1442" w:type="dxa"/>
            <w:vAlign w:val="center"/>
          </w:tcPr>
          <w:p>
            <w:pPr>
              <w:tabs>
                <w:tab w:val="center" w:pos="3570"/>
                <w:tab w:val="right" w:pos="7875"/>
              </w:tabs>
              <w:spacing w:before="80" w:after="40"/>
              <w:jc w:val="center"/>
              <w:rPr>
                <w:rFonts w:ascii="宋体" w:hAnsi="宋体"/>
                <w:szCs w:val="21"/>
              </w:rPr>
            </w:pPr>
            <w:r>
              <w:rPr>
                <w:rFonts w:ascii="宋体" w:hAnsi="宋体"/>
                <w:szCs w:val="21"/>
              </w:rPr>
              <w:t>3</w:t>
            </w:r>
          </w:p>
        </w:tc>
        <w:tc>
          <w:tcPr>
            <w:tcW w:w="1442" w:type="dxa"/>
            <w:vAlign w:val="center"/>
          </w:tcPr>
          <w:p>
            <w:pPr>
              <w:tabs>
                <w:tab w:val="center" w:pos="3570"/>
                <w:tab w:val="right" w:pos="7875"/>
              </w:tabs>
              <w:spacing w:before="80" w:after="40"/>
              <w:jc w:val="center"/>
              <w:rPr>
                <w:rFonts w:ascii="宋体" w:hAnsi="宋体"/>
                <w:szCs w:val="21"/>
              </w:rPr>
            </w:pPr>
            <w:r>
              <w:rPr>
                <w:rFonts w:ascii="宋体" w:hAnsi="宋体"/>
                <w:szCs w:val="21"/>
              </w:rPr>
              <w:t>4</w:t>
            </w:r>
          </w:p>
        </w:tc>
        <w:tc>
          <w:tcPr>
            <w:tcW w:w="1440" w:type="dxa"/>
            <w:vAlign w:val="center"/>
          </w:tcPr>
          <w:p>
            <w:pPr>
              <w:tabs>
                <w:tab w:val="center" w:pos="3570"/>
                <w:tab w:val="right" w:pos="7875"/>
              </w:tabs>
              <w:spacing w:before="80" w:after="40"/>
              <w:jc w:val="center"/>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852" w:type="dxa"/>
            <w:vAlign w:val="center"/>
          </w:tcPr>
          <w:p>
            <w:pPr>
              <w:tabs>
                <w:tab w:val="center" w:pos="3570"/>
                <w:tab w:val="right" w:pos="7875"/>
              </w:tabs>
              <w:spacing w:before="80" w:after="40"/>
              <w:jc w:val="center"/>
              <w:rPr>
                <w:rFonts w:ascii="宋体" w:hAnsi="宋体"/>
                <w:sz w:val="18"/>
                <w:szCs w:val="18"/>
              </w:rPr>
            </w:pPr>
            <w:r>
              <w:rPr>
                <w:rFonts w:hint="eastAsia" w:ascii="宋体" w:hAnsi="宋体"/>
                <w:sz w:val="18"/>
                <w:szCs w:val="18"/>
              </w:rPr>
              <w:t>3</w:t>
            </w:r>
            <w:r>
              <w:rPr>
                <w:rFonts w:ascii="宋体" w:hAnsi="宋体"/>
                <w:sz w:val="18"/>
                <w:szCs w:val="18"/>
              </w:rPr>
              <w:t>#</w:t>
            </w:r>
          </w:p>
        </w:tc>
        <w:tc>
          <w:tcPr>
            <w:tcW w:w="1442" w:type="dxa"/>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1941</w:t>
            </w:r>
          </w:p>
        </w:tc>
        <w:tc>
          <w:tcPr>
            <w:tcW w:w="1442" w:type="dxa"/>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2236</w:t>
            </w:r>
          </w:p>
        </w:tc>
        <w:tc>
          <w:tcPr>
            <w:tcW w:w="1442" w:type="dxa"/>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2240</w:t>
            </w:r>
          </w:p>
        </w:tc>
        <w:tc>
          <w:tcPr>
            <w:tcW w:w="1442" w:type="dxa"/>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2240</w:t>
            </w:r>
          </w:p>
        </w:tc>
        <w:tc>
          <w:tcPr>
            <w:tcW w:w="1440" w:type="dxa"/>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2216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852" w:type="dxa"/>
            <w:vAlign w:val="center"/>
          </w:tcPr>
          <w:p>
            <w:pPr>
              <w:tabs>
                <w:tab w:val="center" w:pos="3570"/>
                <w:tab w:val="right" w:pos="7875"/>
              </w:tabs>
              <w:spacing w:before="80" w:after="40"/>
              <w:jc w:val="center"/>
              <w:rPr>
                <w:rFonts w:ascii="宋体" w:hAnsi="宋体"/>
                <w:sz w:val="18"/>
                <w:szCs w:val="18"/>
              </w:rPr>
            </w:pPr>
            <w:r>
              <w:rPr>
                <w:rFonts w:hint="eastAsia" w:ascii="宋体" w:hAnsi="宋体"/>
                <w:sz w:val="18"/>
                <w:szCs w:val="18"/>
              </w:rPr>
              <w:t>4#</w:t>
            </w:r>
          </w:p>
        </w:tc>
        <w:tc>
          <w:tcPr>
            <w:tcW w:w="1442" w:type="dxa"/>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2549</w:t>
            </w:r>
          </w:p>
        </w:tc>
        <w:tc>
          <w:tcPr>
            <w:tcW w:w="1442" w:type="dxa"/>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2579</w:t>
            </w:r>
          </w:p>
        </w:tc>
        <w:tc>
          <w:tcPr>
            <w:tcW w:w="1442" w:type="dxa"/>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2596</w:t>
            </w:r>
          </w:p>
        </w:tc>
        <w:tc>
          <w:tcPr>
            <w:tcW w:w="1442" w:type="dxa"/>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2600</w:t>
            </w:r>
          </w:p>
        </w:tc>
        <w:tc>
          <w:tcPr>
            <w:tcW w:w="1440" w:type="dxa"/>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2582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852" w:type="dxa"/>
            <w:vAlign w:val="center"/>
          </w:tcPr>
          <w:p>
            <w:pPr>
              <w:tabs>
                <w:tab w:val="center" w:pos="3570"/>
                <w:tab w:val="right" w:pos="7875"/>
              </w:tabs>
              <w:spacing w:before="80" w:after="40"/>
              <w:jc w:val="center"/>
              <w:rPr>
                <w:rFonts w:ascii="宋体" w:hAnsi="宋体"/>
                <w:sz w:val="18"/>
                <w:szCs w:val="18"/>
              </w:rPr>
            </w:pPr>
            <w:r>
              <w:rPr>
                <w:rFonts w:hint="eastAsia" w:ascii="宋体" w:hAnsi="宋体"/>
                <w:sz w:val="18"/>
                <w:szCs w:val="18"/>
              </w:rPr>
              <w:t>5#</w:t>
            </w:r>
          </w:p>
        </w:tc>
        <w:tc>
          <w:tcPr>
            <w:tcW w:w="1442" w:type="dxa"/>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4720</w:t>
            </w:r>
          </w:p>
        </w:tc>
        <w:tc>
          <w:tcPr>
            <w:tcW w:w="1442" w:type="dxa"/>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4774</w:t>
            </w:r>
          </w:p>
        </w:tc>
        <w:tc>
          <w:tcPr>
            <w:tcW w:w="1442" w:type="dxa"/>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4751</w:t>
            </w:r>
          </w:p>
        </w:tc>
        <w:tc>
          <w:tcPr>
            <w:tcW w:w="1442" w:type="dxa"/>
            <w:vAlign w:val="center"/>
          </w:tcPr>
          <w:p>
            <w:pPr>
              <w:tabs>
                <w:tab w:val="center" w:pos="3570"/>
                <w:tab w:val="right" w:pos="7875"/>
              </w:tabs>
              <w:spacing w:line="360" w:lineRule="auto"/>
              <w:ind w:firstLine="420" w:firstLineChars="200"/>
              <w:rPr>
                <w:rFonts w:ascii="宋体" w:hAnsi="宋体" w:cs="宋体"/>
                <w:szCs w:val="21"/>
              </w:rPr>
            </w:pPr>
            <w:r>
              <w:rPr>
                <w:rFonts w:hint="eastAsia" w:ascii="宋体" w:hAnsi="宋体" w:cs="宋体"/>
                <w:szCs w:val="21"/>
              </w:rPr>
              <w:t>4717</w:t>
            </w:r>
          </w:p>
        </w:tc>
        <w:tc>
          <w:tcPr>
            <w:tcW w:w="1440" w:type="dxa"/>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4447</w:t>
            </w:r>
          </w:p>
        </w:tc>
      </w:tr>
    </w:tbl>
    <w:p>
      <w:pPr>
        <w:tabs>
          <w:tab w:val="center" w:pos="3570"/>
          <w:tab w:val="right" w:pos="7875"/>
        </w:tabs>
        <w:ind w:firstLine="420"/>
        <w:rPr>
          <w:color w:val="FF0000"/>
        </w:rPr>
      </w:pPr>
      <w:r>
        <w:t>试验表明</w:t>
      </w:r>
      <w:r>
        <w:rPr>
          <w:rFonts w:hint="eastAsia"/>
        </w:rPr>
        <w:t>，不同草酸体积下，测定结果没有明显差别。试验选择草</w:t>
      </w:r>
      <w:r>
        <w:t>酸</w:t>
      </w:r>
      <w:r>
        <w:rPr>
          <w:rFonts w:hint="eastAsia"/>
        </w:rPr>
        <w:t>加入量</w:t>
      </w:r>
      <w:r>
        <w:t>为</w:t>
      </w:r>
      <w:r>
        <w:rPr>
          <w:rFonts w:hint="eastAsia"/>
        </w:rPr>
        <w:t>3</w:t>
      </w:r>
      <w:r>
        <w:rPr>
          <w:rFonts w:asciiTheme="minorEastAsia" w:hAnsiTheme="minorEastAsia" w:eastAsiaTheme="minorEastAsia"/>
        </w:rPr>
        <w:t> </w:t>
      </w:r>
      <w:r>
        <w:rPr>
          <w:rFonts w:hint="eastAsia"/>
        </w:rPr>
        <w:t>ml。</w:t>
      </w:r>
    </w:p>
    <w:p>
      <w:pPr>
        <w:tabs>
          <w:tab w:val="center" w:pos="3570"/>
          <w:tab w:val="right" w:pos="7875"/>
        </w:tabs>
        <w:spacing w:before="156" w:beforeLines="50"/>
        <w:rPr>
          <w:rFonts w:asciiTheme="minorEastAsia" w:hAnsiTheme="minorEastAsia" w:eastAsiaTheme="minorEastAsia"/>
          <w:szCs w:val="21"/>
        </w:rPr>
      </w:pPr>
      <w:r>
        <w:rPr>
          <w:rFonts w:hint="eastAsia" w:asciiTheme="minorEastAsia" w:hAnsiTheme="minorEastAsia" w:eastAsiaTheme="minorEastAsia"/>
          <w:szCs w:val="21"/>
        </w:rPr>
        <w:t>7）铁氰化钾的作用与用量试验</w:t>
      </w:r>
    </w:p>
    <w:p>
      <w:pPr>
        <w:tabs>
          <w:tab w:val="center" w:pos="3570"/>
          <w:tab w:val="right" w:pos="7875"/>
        </w:tabs>
        <w:ind w:firstLine="420"/>
      </w:pPr>
      <w:r>
        <w:t>铅的四价氢化物常常不稳定</w:t>
      </w:r>
      <w:r>
        <w:rPr>
          <w:rFonts w:hint="eastAsia"/>
        </w:rPr>
        <w:t>，</w:t>
      </w:r>
      <w:r>
        <w:t>需要加入氧化剂</w:t>
      </w:r>
      <w:r>
        <w:rPr>
          <w:rFonts w:hint="eastAsia"/>
        </w:rPr>
        <w:t>（络合剂）</w:t>
      </w:r>
      <w:r>
        <w:t>以维持其稳定</w:t>
      </w:r>
      <w:r>
        <w:rPr>
          <w:rFonts w:hint="eastAsia"/>
        </w:rPr>
        <w:t>，</w:t>
      </w:r>
      <w:r>
        <w:t>提高氢化物发生效率</w:t>
      </w:r>
      <w:r>
        <w:rPr>
          <w:rFonts w:hint="eastAsia"/>
        </w:rPr>
        <w:t>，铁氰化钾因其有C</w:t>
      </w:r>
      <w:r>
        <w:t>N-</w:t>
      </w:r>
      <w:r>
        <w:rPr>
          <w:rFonts w:hint="eastAsia"/>
        </w:rPr>
        <w:t>，</w:t>
      </w:r>
      <w:r>
        <w:t>兼有杂质干扰元素的配位作用</w:t>
      </w:r>
      <w:r>
        <w:rPr>
          <w:rFonts w:hint="eastAsia"/>
        </w:rPr>
        <w:t>，是用于铅的原子荧光中分析的最佳试剂。</w:t>
      </w:r>
    </w:p>
    <w:p>
      <w:pPr>
        <w:tabs>
          <w:tab w:val="center" w:pos="3570"/>
          <w:tab w:val="right" w:pos="7875"/>
        </w:tabs>
        <w:ind w:firstLine="420"/>
        <w:rPr>
          <w:rFonts w:ascii="宋体" w:hAnsi="宋体"/>
          <w:color w:val="FF0000"/>
          <w:szCs w:val="21"/>
        </w:rPr>
      </w:pPr>
      <w:r>
        <w:rPr>
          <w:rFonts w:hint="eastAsia" w:ascii="宋体" w:hAnsi="宋体"/>
          <w:color w:val="000000" w:themeColor="text1"/>
          <w14:textFill>
            <w14:solidFill>
              <w14:schemeClr w14:val="tx1"/>
            </w14:solidFill>
          </w14:textFill>
        </w:rPr>
        <w:t>称取3#，4#，</w:t>
      </w:r>
      <w:r>
        <w:rPr>
          <w:rFonts w:ascii="宋体" w:hAnsi="宋体"/>
          <w:color w:val="000000" w:themeColor="text1"/>
          <w14:textFill>
            <w14:solidFill>
              <w14:schemeClr w14:val="tx1"/>
            </w14:solidFill>
          </w14:textFill>
        </w:rPr>
        <w:t>5</w:t>
      </w:r>
      <w:r>
        <w:rPr>
          <w:rFonts w:hint="eastAsia" w:ascii="宋体" w:hAnsi="宋体"/>
          <w:color w:val="000000" w:themeColor="text1"/>
          <w14:textFill>
            <w14:solidFill>
              <w14:schemeClr w14:val="tx1"/>
            </w14:solidFill>
          </w14:textFill>
        </w:rPr>
        <w:t>#样品各0.</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0</w:t>
      </w:r>
      <w:r>
        <w:rPr>
          <w:rFonts w:asciiTheme="minorEastAsia" w:hAnsiTheme="minorEastAsia" w:eastAsiaTheme="minorEastAsia"/>
        </w:rPr>
        <w:t> </w:t>
      </w:r>
      <w:r>
        <w:rPr>
          <w:rFonts w:hint="eastAsia" w:ascii="宋体" w:hAnsi="宋体"/>
          <w:color w:val="000000" w:themeColor="text1"/>
          <w14:textFill>
            <w14:solidFill>
              <w14:schemeClr w14:val="tx1"/>
            </w14:solidFill>
          </w14:textFill>
        </w:rPr>
        <w:t>g</w:t>
      </w:r>
      <w:r>
        <w:rPr>
          <w:rFonts w:hint="eastAsia"/>
        </w:rPr>
        <w:t>按分析步骤</w:t>
      </w:r>
      <w:r>
        <w:t>操作</w:t>
      </w:r>
      <w:r>
        <w:rPr>
          <w:rFonts w:hint="eastAsia" w:ascii="宋体" w:hAnsi="宋体"/>
          <w:color w:val="000000" w:themeColor="text1"/>
          <w14:textFill>
            <w14:solidFill>
              <w14:schemeClr w14:val="tx1"/>
            </w14:solidFill>
          </w14:textFill>
        </w:rPr>
        <w:t>，加入不同量的铁氰化钾，</w:t>
      </w:r>
      <w:r>
        <w:t>测定其荧光强度</w:t>
      </w:r>
      <w:r>
        <w:rPr>
          <w:rFonts w:hint="eastAsia" w:ascii="宋体" w:hAnsi="宋体"/>
          <w:color w:val="000000" w:themeColor="text1"/>
          <w:szCs w:val="21"/>
          <w14:textFill>
            <w14:solidFill>
              <w14:schemeClr w14:val="tx1"/>
            </w14:solidFill>
          </w14:textFill>
        </w:rPr>
        <w:t>。结果见表</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lang w:val="en-US" w:eastAsia="zh-CN"/>
          <w14:textFill>
            <w14:solidFill>
              <w14:schemeClr w14:val="tx1"/>
            </w14:solidFill>
          </w14:textFill>
        </w:rPr>
        <w:t>2</w:t>
      </w:r>
      <w:r>
        <w:rPr>
          <w:rFonts w:ascii="宋体" w:hAnsi="宋体"/>
          <w:color w:val="000000" w:themeColor="text1"/>
          <w:szCs w:val="21"/>
          <w14:textFill>
            <w14:solidFill>
              <w14:schemeClr w14:val="tx1"/>
            </w14:solidFill>
          </w14:textFill>
        </w:rPr>
        <w:t>.</w:t>
      </w:r>
    </w:p>
    <w:p>
      <w:pPr>
        <w:tabs>
          <w:tab w:val="center" w:pos="3570"/>
          <w:tab w:val="right" w:pos="7875"/>
        </w:tabs>
        <w:ind w:firstLine="420"/>
        <w:jc w:val="center"/>
        <w:rPr>
          <w:rFonts w:ascii="宋体" w:hAnsi="宋体"/>
          <w:szCs w:val="21"/>
        </w:rPr>
      </w:pPr>
      <w:r>
        <w:rPr>
          <w:rFonts w:hint="eastAsia" w:ascii="宋体" w:hAnsi="宋体"/>
          <w:szCs w:val="21"/>
        </w:rPr>
        <w:t>表</w:t>
      </w:r>
      <w:r>
        <w:rPr>
          <w:rFonts w:ascii="宋体" w:hAnsi="宋体"/>
          <w:szCs w:val="21"/>
        </w:rPr>
        <w:t>1</w:t>
      </w:r>
      <w:r>
        <w:rPr>
          <w:rFonts w:hint="eastAsia" w:ascii="宋体" w:hAnsi="宋体"/>
          <w:szCs w:val="21"/>
          <w:lang w:val="en-US" w:eastAsia="zh-CN"/>
        </w:rPr>
        <w:t>2</w:t>
      </w:r>
      <w:r>
        <w:rPr>
          <w:rFonts w:ascii="宋体" w:hAnsi="宋体"/>
          <w:szCs w:val="21"/>
        </w:rPr>
        <w:t xml:space="preserve">  </w:t>
      </w:r>
      <w:r>
        <w:rPr>
          <w:rFonts w:hint="eastAsia" w:ascii="宋体" w:hAnsi="宋体"/>
          <w:szCs w:val="21"/>
        </w:rPr>
        <w:t>铁氰化钾的用量试验</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5"/>
        <w:gridCol w:w="1370"/>
        <w:gridCol w:w="1370"/>
        <w:gridCol w:w="1370"/>
        <w:gridCol w:w="1370"/>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17" w:type="pct"/>
            <w:vMerge w:val="restar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样品编号</w:t>
            </w:r>
          </w:p>
        </w:tc>
        <w:tc>
          <w:tcPr>
            <w:tcW w:w="3783" w:type="pct"/>
            <w:gridSpan w:val="5"/>
            <w:vAlign w:val="center"/>
          </w:tcPr>
          <w:p>
            <w:pPr>
              <w:tabs>
                <w:tab w:val="center" w:pos="3570"/>
                <w:tab w:val="right" w:pos="7875"/>
              </w:tabs>
              <w:jc w:val="center"/>
              <w:rPr>
                <w:rFonts w:ascii="宋体" w:hAnsi="宋体" w:cs="宋体"/>
                <w:szCs w:val="21"/>
              </w:rPr>
            </w:pPr>
            <w:r>
              <w:rPr>
                <w:rFonts w:hint="eastAsia" w:ascii="宋体" w:hAnsi="宋体"/>
              </w:rPr>
              <w:t>铁氰化钾用量</w:t>
            </w:r>
            <w:r>
              <w:rPr>
                <w:rFonts w:hint="eastAsia" w:ascii="宋体" w:hAnsi="宋体" w:cs="宋体"/>
                <w:szCs w:val="21"/>
              </w:rPr>
              <w:t>（m</w:t>
            </w:r>
            <w:r>
              <w:rPr>
                <w:rFonts w:ascii="宋体" w:hAnsi="宋体" w:cs="宋体"/>
                <w:szCs w:val="21"/>
              </w:rPr>
              <w:t>L</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217" w:type="pct"/>
            <w:vMerge w:val="continue"/>
            <w:vAlign w:val="center"/>
          </w:tcPr>
          <w:p>
            <w:pPr>
              <w:tabs>
                <w:tab w:val="center" w:pos="3570"/>
                <w:tab w:val="right" w:pos="7875"/>
              </w:tabs>
              <w:spacing w:line="360" w:lineRule="auto"/>
              <w:ind w:firstLine="420"/>
              <w:jc w:val="center"/>
              <w:rPr>
                <w:rFonts w:ascii="宋体" w:hAnsi="宋体" w:cs="宋体"/>
                <w:szCs w:val="21"/>
              </w:rPr>
            </w:pPr>
          </w:p>
        </w:tc>
        <w:tc>
          <w:tcPr>
            <w:tcW w:w="756" w:type="pct"/>
            <w:vAlign w:val="center"/>
          </w:tcPr>
          <w:p>
            <w:pPr>
              <w:tabs>
                <w:tab w:val="center" w:pos="3570"/>
                <w:tab w:val="right" w:pos="7875"/>
              </w:tabs>
              <w:spacing w:before="80" w:after="40"/>
              <w:jc w:val="center"/>
              <w:rPr>
                <w:rFonts w:ascii="宋体" w:hAnsi="宋体"/>
                <w:szCs w:val="21"/>
              </w:rPr>
            </w:pPr>
            <w:r>
              <w:rPr>
                <w:rFonts w:ascii="宋体" w:hAnsi="宋体"/>
                <w:szCs w:val="21"/>
              </w:rPr>
              <w:t>1</w:t>
            </w:r>
          </w:p>
        </w:tc>
        <w:tc>
          <w:tcPr>
            <w:tcW w:w="756" w:type="pct"/>
            <w:vAlign w:val="center"/>
          </w:tcPr>
          <w:p>
            <w:pPr>
              <w:tabs>
                <w:tab w:val="center" w:pos="3570"/>
                <w:tab w:val="right" w:pos="7875"/>
              </w:tabs>
              <w:spacing w:before="80" w:after="40"/>
              <w:jc w:val="center"/>
              <w:rPr>
                <w:rFonts w:ascii="宋体" w:hAnsi="宋体"/>
                <w:szCs w:val="21"/>
              </w:rPr>
            </w:pPr>
            <w:r>
              <w:rPr>
                <w:rFonts w:ascii="宋体" w:hAnsi="宋体"/>
                <w:szCs w:val="21"/>
              </w:rPr>
              <w:t>2</w:t>
            </w:r>
          </w:p>
        </w:tc>
        <w:tc>
          <w:tcPr>
            <w:tcW w:w="756" w:type="pct"/>
            <w:vAlign w:val="center"/>
          </w:tcPr>
          <w:p>
            <w:pPr>
              <w:tabs>
                <w:tab w:val="center" w:pos="3570"/>
                <w:tab w:val="right" w:pos="7875"/>
              </w:tabs>
              <w:spacing w:before="80" w:after="40"/>
              <w:jc w:val="center"/>
              <w:rPr>
                <w:rFonts w:ascii="宋体" w:hAnsi="宋体"/>
                <w:szCs w:val="21"/>
              </w:rPr>
            </w:pPr>
            <w:r>
              <w:rPr>
                <w:rFonts w:ascii="宋体" w:hAnsi="宋体"/>
                <w:szCs w:val="21"/>
              </w:rPr>
              <w:t>3</w:t>
            </w:r>
          </w:p>
        </w:tc>
        <w:tc>
          <w:tcPr>
            <w:tcW w:w="756" w:type="pct"/>
            <w:vAlign w:val="center"/>
          </w:tcPr>
          <w:p>
            <w:pPr>
              <w:tabs>
                <w:tab w:val="center" w:pos="3570"/>
                <w:tab w:val="right" w:pos="7875"/>
              </w:tabs>
              <w:spacing w:before="80" w:after="40"/>
              <w:jc w:val="center"/>
              <w:rPr>
                <w:rFonts w:ascii="宋体" w:hAnsi="宋体"/>
                <w:szCs w:val="21"/>
              </w:rPr>
            </w:pPr>
            <w:r>
              <w:rPr>
                <w:rFonts w:ascii="宋体" w:hAnsi="宋体"/>
                <w:szCs w:val="21"/>
              </w:rPr>
              <w:t>4</w:t>
            </w:r>
          </w:p>
        </w:tc>
        <w:tc>
          <w:tcPr>
            <w:tcW w:w="759" w:type="pct"/>
            <w:vAlign w:val="center"/>
          </w:tcPr>
          <w:p>
            <w:pPr>
              <w:tabs>
                <w:tab w:val="center" w:pos="3570"/>
                <w:tab w:val="right" w:pos="7875"/>
              </w:tabs>
              <w:spacing w:before="80" w:after="40"/>
              <w:jc w:val="center"/>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217" w:type="pct"/>
            <w:vAlign w:val="center"/>
          </w:tcPr>
          <w:p>
            <w:pPr>
              <w:tabs>
                <w:tab w:val="center" w:pos="3570"/>
                <w:tab w:val="right" w:pos="7875"/>
              </w:tabs>
              <w:spacing w:before="80" w:after="40"/>
              <w:jc w:val="center"/>
              <w:rPr>
                <w:rFonts w:ascii="宋体" w:hAnsi="宋体"/>
                <w:szCs w:val="21"/>
              </w:rPr>
            </w:pPr>
            <w:r>
              <w:rPr>
                <w:rFonts w:hint="eastAsia" w:ascii="宋体" w:hAnsi="宋体"/>
                <w:szCs w:val="21"/>
              </w:rPr>
              <w:t>3</w:t>
            </w:r>
            <w:r>
              <w:rPr>
                <w:rFonts w:ascii="宋体" w:hAnsi="宋体"/>
                <w:szCs w:val="21"/>
              </w:rPr>
              <w:t>#</w:t>
            </w:r>
          </w:p>
        </w:tc>
        <w:tc>
          <w:tcPr>
            <w:tcW w:w="756"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1807</w:t>
            </w:r>
          </w:p>
        </w:tc>
        <w:tc>
          <w:tcPr>
            <w:tcW w:w="756"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2142</w:t>
            </w:r>
          </w:p>
        </w:tc>
        <w:tc>
          <w:tcPr>
            <w:tcW w:w="756"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2250</w:t>
            </w:r>
          </w:p>
        </w:tc>
        <w:tc>
          <w:tcPr>
            <w:tcW w:w="756"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2266</w:t>
            </w:r>
          </w:p>
        </w:tc>
        <w:tc>
          <w:tcPr>
            <w:tcW w:w="759"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2288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217" w:type="pct"/>
            <w:vAlign w:val="center"/>
          </w:tcPr>
          <w:p>
            <w:pPr>
              <w:tabs>
                <w:tab w:val="center" w:pos="3570"/>
                <w:tab w:val="right" w:pos="7875"/>
              </w:tabs>
              <w:spacing w:before="80" w:after="40"/>
              <w:jc w:val="center"/>
              <w:rPr>
                <w:rFonts w:ascii="宋体" w:hAnsi="宋体"/>
                <w:szCs w:val="21"/>
              </w:rPr>
            </w:pPr>
            <w:r>
              <w:rPr>
                <w:rFonts w:hint="eastAsia" w:ascii="宋体" w:hAnsi="宋体"/>
                <w:szCs w:val="21"/>
              </w:rPr>
              <w:t>4#</w:t>
            </w:r>
          </w:p>
        </w:tc>
        <w:tc>
          <w:tcPr>
            <w:tcW w:w="756"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2314</w:t>
            </w:r>
          </w:p>
        </w:tc>
        <w:tc>
          <w:tcPr>
            <w:tcW w:w="756"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2498</w:t>
            </w:r>
          </w:p>
        </w:tc>
        <w:tc>
          <w:tcPr>
            <w:tcW w:w="756"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2584</w:t>
            </w:r>
          </w:p>
        </w:tc>
        <w:tc>
          <w:tcPr>
            <w:tcW w:w="756"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2613</w:t>
            </w:r>
          </w:p>
        </w:tc>
        <w:tc>
          <w:tcPr>
            <w:tcW w:w="759"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2692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217" w:type="pct"/>
            <w:vAlign w:val="center"/>
          </w:tcPr>
          <w:p>
            <w:pPr>
              <w:tabs>
                <w:tab w:val="center" w:pos="3570"/>
                <w:tab w:val="right" w:pos="7875"/>
              </w:tabs>
              <w:spacing w:before="80" w:after="40"/>
              <w:jc w:val="center"/>
              <w:rPr>
                <w:rFonts w:ascii="宋体" w:hAnsi="宋体"/>
                <w:szCs w:val="21"/>
              </w:rPr>
            </w:pPr>
            <w:r>
              <w:rPr>
                <w:rFonts w:hint="eastAsia" w:ascii="宋体" w:hAnsi="宋体"/>
                <w:szCs w:val="21"/>
              </w:rPr>
              <w:t>5#</w:t>
            </w:r>
          </w:p>
        </w:tc>
        <w:tc>
          <w:tcPr>
            <w:tcW w:w="756"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4362</w:t>
            </w:r>
          </w:p>
        </w:tc>
        <w:tc>
          <w:tcPr>
            <w:tcW w:w="756"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4652</w:t>
            </w:r>
          </w:p>
        </w:tc>
        <w:tc>
          <w:tcPr>
            <w:tcW w:w="756"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4785</w:t>
            </w:r>
          </w:p>
        </w:tc>
        <w:tc>
          <w:tcPr>
            <w:tcW w:w="756"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4847</w:t>
            </w:r>
          </w:p>
        </w:tc>
        <w:tc>
          <w:tcPr>
            <w:tcW w:w="759" w:type="pct"/>
            <w:vAlign w:val="center"/>
          </w:tcPr>
          <w:p>
            <w:pPr>
              <w:tabs>
                <w:tab w:val="center" w:pos="3570"/>
                <w:tab w:val="right" w:pos="7875"/>
              </w:tabs>
              <w:spacing w:line="360" w:lineRule="auto"/>
              <w:jc w:val="center"/>
              <w:rPr>
                <w:rFonts w:ascii="宋体" w:hAnsi="宋体" w:cs="宋体"/>
                <w:szCs w:val="21"/>
              </w:rPr>
            </w:pPr>
            <w:r>
              <w:rPr>
                <w:rFonts w:hint="eastAsia" w:ascii="宋体" w:hAnsi="宋体" w:cs="宋体"/>
                <w:szCs w:val="21"/>
              </w:rPr>
              <w:t>4867</w:t>
            </w:r>
          </w:p>
        </w:tc>
      </w:tr>
    </w:tbl>
    <w:p>
      <w:pPr>
        <w:tabs>
          <w:tab w:val="center" w:pos="3570"/>
          <w:tab w:val="right" w:pos="7875"/>
        </w:tabs>
        <w:ind w:firstLine="199" w:firstLineChars="95"/>
      </w:pPr>
      <w:r>
        <w:rPr>
          <w:rFonts w:hint="eastAsia"/>
        </w:rPr>
        <w:t>试验表明，不同铁氰化钾体积下，测定结果没有明显差别。试验选择铁氰化钾加入</w:t>
      </w:r>
      <w:r>
        <w:t>量为3</w:t>
      </w:r>
      <w:r>
        <w:rPr>
          <w:rFonts w:asciiTheme="minorEastAsia" w:hAnsiTheme="minorEastAsia" w:eastAsiaTheme="minorEastAsia"/>
        </w:rPr>
        <w:t> </w:t>
      </w:r>
      <w:r>
        <w:rPr>
          <w:rFonts w:hint="eastAsia"/>
        </w:rPr>
        <w:t>ml。</w:t>
      </w:r>
    </w:p>
    <w:p>
      <w:pPr>
        <w:tabs>
          <w:tab w:val="center" w:pos="3570"/>
          <w:tab w:val="right" w:pos="7875"/>
        </w:tabs>
        <w:spacing w:before="80" w:after="40" w:line="360" w:lineRule="auto"/>
        <w:rPr>
          <w:rFonts w:ascii="黑体" w:hAnsi="黑体" w:eastAsia="黑体" w:cs="黑体"/>
          <w:sz w:val="24"/>
        </w:rPr>
      </w:pPr>
      <w:r>
        <w:rPr>
          <w:rFonts w:ascii="黑体" w:hAnsi="黑体" w:eastAsia="黑体" w:cs="黑体"/>
          <w:sz w:val="24"/>
        </w:rPr>
        <w:t>3.</w:t>
      </w:r>
      <w:r>
        <w:rPr>
          <w:rFonts w:hint="eastAsia" w:ascii="黑体" w:hAnsi="黑体" w:eastAsia="黑体" w:cs="黑体"/>
          <w:sz w:val="24"/>
        </w:rPr>
        <w:t>1</w:t>
      </w:r>
      <w:r>
        <w:rPr>
          <w:rFonts w:ascii="黑体" w:hAnsi="黑体" w:eastAsia="黑体" w:cs="黑体"/>
          <w:sz w:val="24"/>
        </w:rPr>
        <w:t>.</w:t>
      </w:r>
      <w:r>
        <w:rPr>
          <w:rFonts w:hint="eastAsia" w:ascii="黑体" w:hAnsi="黑体" w:eastAsia="黑体" w:cs="黑体"/>
          <w:sz w:val="24"/>
        </w:rPr>
        <w:t>1</w:t>
      </w:r>
      <w:r>
        <w:rPr>
          <w:rFonts w:ascii="黑体" w:hAnsi="黑体" w:eastAsia="黑体" w:cs="黑体"/>
          <w:sz w:val="24"/>
        </w:rPr>
        <w:t>.</w:t>
      </w:r>
      <w:r>
        <w:rPr>
          <w:rFonts w:hint="eastAsia" w:ascii="黑体" w:hAnsi="黑体" w:eastAsia="黑体" w:cs="黑体"/>
          <w:sz w:val="24"/>
        </w:rPr>
        <w:t>3方法应用效果</w:t>
      </w:r>
    </w:p>
    <w:p>
      <w:pPr>
        <w:tabs>
          <w:tab w:val="center" w:pos="3570"/>
          <w:tab w:val="right" w:pos="7875"/>
        </w:tabs>
        <w:rPr>
          <w:rFonts w:cs="黑体" w:asciiTheme="minorEastAsia" w:hAnsiTheme="minorEastAsia" w:eastAsiaTheme="minorEastAsia"/>
          <w:szCs w:val="21"/>
        </w:rPr>
      </w:pPr>
      <w:r>
        <w:rPr>
          <w:rFonts w:cs="黑体" w:asciiTheme="minorEastAsia" w:hAnsiTheme="minorEastAsia" w:eastAsiaTheme="minorEastAsia"/>
          <w:szCs w:val="21"/>
        </w:rPr>
        <w:t>1</w:t>
      </w:r>
      <w:r>
        <w:rPr>
          <w:rFonts w:hint="eastAsia" w:cs="黑体" w:asciiTheme="minorEastAsia" w:hAnsiTheme="minorEastAsia" w:eastAsiaTheme="minorEastAsia"/>
          <w:szCs w:val="21"/>
        </w:rPr>
        <w:t>）方法检出限</w:t>
      </w:r>
    </w:p>
    <w:p>
      <w:pPr>
        <w:numPr>
          <w:ilvl w:val="255"/>
          <w:numId w:val="0"/>
        </w:numPr>
        <w:tabs>
          <w:tab w:val="center" w:pos="3570"/>
          <w:tab w:val="right" w:pos="7875"/>
        </w:tabs>
        <w:ind w:firstLine="420" w:firstLineChars="200"/>
        <w:rPr>
          <w:color w:val="00B050"/>
          <w:szCs w:val="21"/>
        </w:rPr>
      </w:pPr>
      <w:r>
        <w:rPr>
          <w:rFonts w:hint="eastAsia"/>
          <w:szCs w:val="21"/>
        </w:rPr>
        <w:t>按照仪器工作最优条件，对随行空白溶液进行11次测试，测定结果</w:t>
      </w:r>
      <w:r>
        <w:rPr>
          <w:rFonts w:hint="eastAsia" w:ascii="宋体" w:hAnsi="宋体" w:cs="宋体"/>
          <w:szCs w:val="21"/>
        </w:rPr>
        <w:t>(</w:t>
      </w:r>
      <w:r>
        <w:rPr>
          <w:szCs w:val="21"/>
        </w:rPr>
        <w:t>ng</w:t>
      </w:r>
      <w:r>
        <w:rPr>
          <w:rFonts w:hint="eastAsia"/>
          <w:szCs w:val="21"/>
        </w:rPr>
        <w:t>/</w:t>
      </w:r>
      <w:r>
        <w:rPr>
          <w:szCs w:val="21"/>
        </w:rPr>
        <w:t>mL)依次</w:t>
      </w:r>
      <w:r>
        <w:rPr>
          <w:rFonts w:hint="eastAsia"/>
          <w:szCs w:val="21"/>
        </w:rPr>
        <w:t>为：</w:t>
      </w:r>
      <w:r>
        <w:rPr>
          <w:rFonts w:hint="eastAsia"/>
        </w:rPr>
        <w:t>0.</w:t>
      </w:r>
      <w:r>
        <w:t>0967</w:t>
      </w:r>
      <w:r>
        <w:rPr>
          <w:rFonts w:hint="eastAsia"/>
        </w:rPr>
        <w:t>、0.</w:t>
      </w:r>
      <w:r>
        <w:t>2382</w:t>
      </w:r>
      <w:r>
        <w:rPr>
          <w:rFonts w:hint="eastAsia"/>
        </w:rPr>
        <w:t>、0.</w:t>
      </w:r>
      <w:r>
        <w:t>0001</w:t>
      </w:r>
      <w:r>
        <w:rPr>
          <w:rFonts w:hint="eastAsia"/>
        </w:rPr>
        <w:t>、0.</w:t>
      </w:r>
      <w:r>
        <w:t>0173</w:t>
      </w:r>
      <w:r>
        <w:rPr>
          <w:rFonts w:hint="eastAsia"/>
        </w:rPr>
        <w:t>、0.</w:t>
      </w:r>
      <w:r>
        <w:t>2109</w:t>
      </w:r>
      <w:r>
        <w:rPr>
          <w:rFonts w:hint="eastAsia"/>
        </w:rPr>
        <w:t>、0.</w:t>
      </w:r>
      <w:r>
        <w:t>2020</w:t>
      </w:r>
      <w:r>
        <w:rPr>
          <w:rFonts w:hint="eastAsia"/>
        </w:rPr>
        <w:t>、0.</w:t>
      </w:r>
      <w:r>
        <w:t>0738</w:t>
      </w:r>
      <w:r>
        <w:rPr>
          <w:rFonts w:hint="eastAsia"/>
        </w:rPr>
        <w:t>、0.</w:t>
      </w:r>
      <w:r>
        <w:t>1027</w:t>
      </w:r>
      <w:r>
        <w:rPr>
          <w:rFonts w:hint="eastAsia"/>
        </w:rPr>
        <w:t>、0.</w:t>
      </w:r>
      <w:r>
        <w:t>1486</w:t>
      </w:r>
      <w:r>
        <w:rPr>
          <w:rFonts w:hint="eastAsia"/>
        </w:rPr>
        <w:t>、0.</w:t>
      </w:r>
      <w:r>
        <w:t>1091</w:t>
      </w:r>
      <w:r>
        <w:rPr>
          <w:rFonts w:hint="eastAsia"/>
        </w:rPr>
        <w:t>、0</w:t>
      </w:r>
      <w:r>
        <w:t>.2052</w:t>
      </w:r>
      <w:r>
        <w:rPr>
          <w:rFonts w:hint="eastAsia"/>
        </w:rPr>
        <w:t>，平均值,0</w:t>
      </w:r>
      <w:r>
        <w:t>.1178</w:t>
      </w:r>
      <w:r>
        <w:rPr>
          <w:szCs w:val="21"/>
        </w:rPr>
        <w:t xml:space="preserve"> ng</w:t>
      </w:r>
      <w:r>
        <w:rPr>
          <w:rFonts w:hint="eastAsia"/>
          <w:szCs w:val="21"/>
        </w:rPr>
        <w:t>/</w:t>
      </w:r>
      <w:r>
        <w:rPr>
          <w:szCs w:val="21"/>
        </w:rPr>
        <w:t>mL</w:t>
      </w:r>
      <w:r>
        <w:rPr>
          <w:rFonts w:hint="eastAsia"/>
          <w:szCs w:val="21"/>
        </w:rPr>
        <w:t>，标准偏差为</w:t>
      </w:r>
      <w:r>
        <w:rPr>
          <w:szCs w:val="21"/>
        </w:rPr>
        <w:t>0.0803</w:t>
      </w:r>
      <w:r>
        <w:rPr>
          <w:rFonts w:hint="eastAsia"/>
          <w:szCs w:val="21"/>
        </w:rPr>
        <w:t>，根据3倍标准偏差计算的方法检出限为</w:t>
      </w:r>
      <w:r>
        <w:rPr>
          <w:szCs w:val="21"/>
        </w:rPr>
        <w:t>0.24</w:t>
      </w:r>
      <w:r>
        <w:rPr>
          <w:rFonts w:asciiTheme="minorEastAsia" w:hAnsiTheme="minorEastAsia" w:eastAsiaTheme="minorEastAsia"/>
        </w:rPr>
        <w:t> </w:t>
      </w:r>
      <w:r>
        <w:rPr>
          <w:rFonts w:hint="eastAsia" w:ascii="宋体" w:hAnsi="宋体" w:cs="宋体"/>
          <w:szCs w:val="21"/>
        </w:rPr>
        <w:t>μ</w:t>
      </w:r>
      <w:r>
        <w:rPr>
          <w:szCs w:val="21"/>
        </w:rPr>
        <w:t>g</w:t>
      </w:r>
      <w:r>
        <w:rPr>
          <w:rFonts w:hint="eastAsia"/>
          <w:szCs w:val="21"/>
        </w:rPr>
        <w:t>/</w:t>
      </w:r>
      <w:r>
        <w:rPr>
          <w:szCs w:val="21"/>
        </w:rPr>
        <w:t>L</w:t>
      </w:r>
      <w:r>
        <w:rPr>
          <w:rFonts w:hint="eastAsia"/>
          <w:szCs w:val="21"/>
        </w:rPr>
        <w:t>，对应检测范围：0</w:t>
      </w:r>
      <w:r>
        <w:rPr>
          <w:szCs w:val="21"/>
        </w:rPr>
        <w:t>.0003</w:t>
      </w:r>
      <w:r>
        <w:rPr>
          <w:rFonts w:asciiTheme="minorEastAsia" w:hAnsiTheme="minorEastAsia" w:eastAsiaTheme="minorEastAsia"/>
        </w:rPr>
        <w:t> </w:t>
      </w:r>
      <w:r>
        <w:rPr>
          <w:rFonts w:hint="eastAsia"/>
          <w:szCs w:val="21"/>
        </w:rPr>
        <w:t>%，</w:t>
      </w:r>
      <w:r>
        <w:rPr>
          <w:szCs w:val="21"/>
        </w:rPr>
        <w:t>10</w:t>
      </w:r>
      <w:r>
        <w:rPr>
          <w:rFonts w:hint="eastAsia"/>
          <w:szCs w:val="21"/>
        </w:rPr>
        <w:t>倍标准差折算成方法检测限为0.000</w:t>
      </w:r>
      <w:r>
        <w:rPr>
          <w:szCs w:val="21"/>
        </w:rPr>
        <w:t>4</w:t>
      </w:r>
      <w:r>
        <w:rPr>
          <w:rFonts w:asciiTheme="minorEastAsia" w:hAnsiTheme="minorEastAsia" w:eastAsiaTheme="minorEastAsia"/>
        </w:rPr>
        <w:t> </w:t>
      </w:r>
      <w:r>
        <w:rPr>
          <w:rFonts w:hint="eastAsia"/>
          <w:szCs w:val="21"/>
        </w:rPr>
        <w:t>% 。</w:t>
      </w:r>
    </w:p>
    <w:p>
      <w:pPr>
        <w:tabs>
          <w:tab w:val="center" w:pos="3570"/>
          <w:tab w:val="right" w:pos="7875"/>
        </w:tabs>
        <w:spacing w:before="156" w:beforeLines="50"/>
        <w:rPr>
          <w:rFonts w:cs="黑体" w:asciiTheme="minorEastAsia" w:hAnsiTheme="minorEastAsia" w:eastAsiaTheme="minorEastAsia"/>
          <w:szCs w:val="21"/>
        </w:rPr>
      </w:pPr>
      <w:r>
        <w:rPr>
          <w:rFonts w:cs="黑体" w:asciiTheme="minorEastAsia" w:hAnsiTheme="minorEastAsia" w:eastAsiaTheme="minorEastAsia"/>
          <w:szCs w:val="21"/>
        </w:rPr>
        <w:t>2</w:t>
      </w:r>
      <w:r>
        <w:rPr>
          <w:rFonts w:hint="eastAsia" w:cs="黑体" w:asciiTheme="minorEastAsia" w:hAnsiTheme="minorEastAsia" w:eastAsiaTheme="minorEastAsia"/>
          <w:szCs w:val="21"/>
        </w:rPr>
        <w:t>）方法精密度</w:t>
      </w:r>
    </w:p>
    <w:p>
      <w:pPr>
        <w:numPr>
          <w:ilvl w:val="255"/>
          <w:numId w:val="0"/>
        </w:numPr>
        <w:tabs>
          <w:tab w:val="center" w:pos="3570"/>
          <w:tab w:val="right" w:pos="7875"/>
        </w:tabs>
        <w:ind w:firstLine="420" w:firstLineChars="200"/>
        <w:rPr>
          <w:szCs w:val="21"/>
        </w:rPr>
      </w:pPr>
      <w:r>
        <w:rPr>
          <w:szCs w:val="21"/>
        </w:rPr>
        <w:t>方法精密度是准确度的前提</w:t>
      </w:r>
      <w:r>
        <w:rPr>
          <w:rFonts w:hint="eastAsia"/>
          <w:szCs w:val="21"/>
        </w:rPr>
        <w:t>，在最佳实验条件下，对不同类型、不同含量的钨精矿统一样品共</w:t>
      </w:r>
      <w:r>
        <w:rPr>
          <w:szCs w:val="21"/>
        </w:rPr>
        <w:t>5</w:t>
      </w:r>
      <w:r>
        <w:rPr>
          <w:rFonts w:hint="eastAsia"/>
          <w:szCs w:val="21"/>
        </w:rPr>
        <w:t>个，独立进行测定11次，考察方法精密度，结果见表</w:t>
      </w:r>
      <w:r>
        <w:rPr>
          <w:szCs w:val="21"/>
        </w:rPr>
        <w:t>1</w:t>
      </w:r>
      <w:r>
        <w:rPr>
          <w:rFonts w:hint="eastAsia"/>
          <w:szCs w:val="21"/>
          <w:lang w:val="en-US" w:eastAsia="zh-CN"/>
        </w:rPr>
        <w:t>3</w:t>
      </w:r>
      <w:r>
        <w:rPr>
          <w:rFonts w:hint="eastAsia"/>
          <w:szCs w:val="21"/>
        </w:rPr>
        <w:t>。</w:t>
      </w:r>
    </w:p>
    <w:p>
      <w:pPr>
        <w:numPr>
          <w:ilvl w:val="255"/>
          <w:numId w:val="0"/>
        </w:numPr>
        <w:tabs>
          <w:tab w:val="center" w:pos="3570"/>
          <w:tab w:val="right" w:pos="7875"/>
        </w:tabs>
        <w:spacing w:before="80" w:after="40" w:line="360" w:lineRule="auto"/>
        <w:jc w:val="center"/>
        <w:rPr>
          <w:szCs w:val="21"/>
        </w:rPr>
      </w:pPr>
      <w:r>
        <w:rPr>
          <w:rFonts w:hint="eastAsia"/>
          <w:szCs w:val="21"/>
        </w:rPr>
        <w:t>表</w:t>
      </w:r>
      <w:r>
        <w:rPr>
          <w:szCs w:val="21"/>
        </w:rPr>
        <w:t>1</w:t>
      </w:r>
      <w:r>
        <w:rPr>
          <w:rFonts w:hint="eastAsia"/>
          <w:szCs w:val="21"/>
          <w:lang w:val="en-US" w:eastAsia="zh-CN"/>
        </w:rPr>
        <w:t>3</w:t>
      </w:r>
      <w:r>
        <w:rPr>
          <w:rFonts w:hint="eastAsia"/>
          <w:szCs w:val="21"/>
        </w:rPr>
        <w:t xml:space="preserve"> 方法精密度结果</w:t>
      </w:r>
    </w:p>
    <w:tbl>
      <w:tblPr>
        <w:tblStyle w:val="8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8"/>
        <w:gridCol w:w="1703"/>
        <w:gridCol w:w="3097"/>
        <w:gridCol w:w="1238"/>
        <w:gridCol w:w="1210"/>
        <w:gridCol w:w="1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424" w:type="pct"/>
            <w:vAlign w:val="center"/>
          </w:tcPr>
          <w:p>
            <w:pPr>
              <w:numPr>
                <w:ilvl w:val="255"/>
                <w:numId w:val="0"/>
              </w:numPr>
              <w:tabs>
                <w:tab w:val="center" w:pos="3570"/>
                <w:tab w:val="right" w:pos="7875"/>
              </w:tabs>
              <w:spacing w:before="80" w:after="40"/>
              <w:ind w:right="-124" w:rightChars="-59"/>
              <w:jc w:val="center"/>
              <w:rPr>
                <w:rFonts w:asciiTheme="minorEastAsia" w:hAnsiTheme="minorEastAsia" w:eastAsiaTheme="minorEastAsia"/>
                <w:szCs w:val="21"/>
              </w:rPr>
            </w:pPr>
            <w:r>
              <w:rPr>
                <w:rFonts w:hint="eastAsia" w:asciiTheme="minorEastAsia" w:hAnsiTheme="minorEastAsia" w:eastAsiaTheme="minorEastAsia"/>
                <w:szCs w:val="21"/>
              </w:rPr>
              <w:t>样品</w:t>
            </w:r>
          </w:p>
          <w:p>
            <w:pPr>
              <w:numPr>
                <w:ilvl w:val="255"/>
                <w:numId w:val="0"/>
              </w:numPr>
              <w:tabs>
                <w:tab w:val="center" w:pos="3570"/>
                <w:tab w:val="right" w:pos="7875"/>
              </w:tabs>
              <w:spacing w:before="80" w:after="40"/>
              <w:ind w:right="-124" w:rightChars="-59"/>
              <w:jc w:val="center"/>
              <w:rPr>
                <w:rFonts w:asciiTheme="minorEastAsia" w:hAnsiTheme="minorEastAsia" w:eastAsiaTheme="minorEastAsia"/>
                <w:szCs w:val="21"/>
              </w:rPr>
            </w:pPr>
            <w:r>
              <w:rPr>
                <w:rFonts w:hint="eastAsia" w:asciiTheme="minorEastAsia" w:hAnsiTheme="minorEastAsia" w:eastAsiaTheme="minorEastAsia"/>
                <w:szCs w:val="21"/>
              </w:rPr>
              <w:t>编号</w:t>
            </w:r>
          </w:p>
        </w:tc>
        <w:tc>
          <w:tcPr>
            <w:tcW w:w="940" w:type="pct"/>
            <w:vAlign w:val="center"/>
          </w:tcPr>
          <w:p>
            <w:pPr>
              <w:numPr>
                <w:ilvl w:val="255"/>
                <w:numId w:val="0"/>
              </w:numPr>
              <w:tabs>
                <w:tab w:val="center" w:pos="3570"/>
                <w:tab w:val="right" w:pos="7875"/>
              </w:tabs>
              <w:spacing w:before="80" w:after="40"/>
              <w:jc w:val="center"/>
              <w:rPr>
                <w:rFonts w:asciiTheme="minorEastAsia" w:hAnsiTheme="minorEastAsia" w:eastAsiaTheme="minorEastAsia"/>
                <w:szCs w:val="21"/>
              </w:rPr>
            </w:pPr>
            <w:r>
              <w:rPr>
                <w:rFonts w:hint="eastAsia" w:asciiTheme="minorEastAsia" w:hAnsiTheme="minorEastAsia" w:eastAsiaTheme="minorEastAsia"/>
                <w:szCs w:val="21"/>
              </w:rPr>
              <w:t>样品类型</w:t>
            </w:r>
          </w:p>
        </w:tc>
        <w:tc>
          <w:tcPr>
            <w:tcW w:w="1709" w:type="pct"/>
            <w:vAlign w:val="center"/>
          </w:tcPr>
          <w:p>
            <w:pPr>
              <w:numPr>
                <w:ilvl w:val="255"/>
                <w:numId w:val="0"/>
              </w:numPr>
              <w:tabs>
                <w:tab w:val="center" w:pos="3570"/>
                <w:tab w:val="right" w:pos="7875"/>
              </w:tabs>
              <w:spacing w:before="80" w:after="40"/>
              <w:jc w:val="center"/>
              <w:rPr>
                <w:rFonts w:asciiTheme="minorEastAsia" w:hAnsiTheme="minorEastAsia" w:eastAsiaTheme="minorEastAsia"/>
                <w:szCs w:val="21"/>
              </w:rPr>
            </w:pPr>
            <w:r>
              <w:rPr>
                <w:rFonts w:hint="eastAsia" w:asciiTheme="minorEastAsia" w:hAnsiTheme="minorEastAsia" w:eastAsiaTheme="minorEastAsia"/>
                <w:szCs w:val="21"/>
              </w:rPr>
              <w:t>测定结果</w:t>
            </w:r>
            <w:r>
              <w:rPr>
                <w:rFonts w:hint="eastAsia" w:cs="宋体" w:asciiTheme="minorEastAsia" w:hAnsiTheme="minorEastAsia" w:eastAsiaTheme="minorEastAsia"/>
                <w:szCs w:val="21"/>
              </w:rPr>
              <w:t>(</w:t>
            </w:r>
            <w:r>
              <w:rPr>
                <w:rFonts w:asciiTheme="minorEastAsia" w:hAnsiTheme="minorEastAsia" w:eastAsiaTheme="minorEastAsia"/>
                <w:szCs w:val="21"/>
              </w:rPr>
              <w:t>%</w:t>
            </w:r>
            <w:r>
              <w:rPr>
                <w:rFonts w:hint="eastAsia" w:cs="黑体" w:asciiTheme="minorEastAsia" w:hAnsiTheme="minorEastAsia" w:eastAsiaTheme="minorEastAsia"/>
                <w:szCs w:val="21"/>
              </w:rPr>
              <w:t>)</w:t>
            </w:r>
          </w:p>
        </w:tc>
        <w:tc>
          <w:tcPr>
            <w:tcW w:w="683" w:type="pct"/>
            <w:vAlign w:val="center"/>
          </w:tcPr>
          <w:p>
            <w:pPr>
              <w:numPr>
                <w:ilvl w:val="255"/>
                <w:numId w:val="0"/>
              </w:numPr>
              <w:tabs>
                <w:tab w:val="center" w:pos="3570"/>
                <w:tab w:val="right" w:pos="7875"/>
              </w:tabs>
              <w:spacing w:before="80" w:after="40"/>
              <w:jc w:val="center"/>
              <w:rPr>
                <w:rFonts w:asciiTheme="minorEastAsia" w:hAnsiTheme="minorEastAsia" w:eastAsiaTheme="minorEastAsia"/>
                <w:szCs w:val="21"/>
              </w:rPr>
            </w:pPr>
            <w:r>
              <w:rPr>
                <w:rFonts w:hint="eastAsia" w:asciiTheme="minorEastAsia" w:hAnsiTheme="minorEastAsia" w:eastAsiaTheme="minorEastAsia"/>
                <w:szCs w:val="21"/>
              </w:rPr>
              <w:t>平均值</w:t>
            </w:r>
            <w:r>
              <w:rPr>
                <w:rFonts w:hint="eastAsia" w:cs="宋体" w:asciiTheme="minorEastAsia" w:hAnsiTheme="minorEastAsia" w:eastAsiaTheme="minorEastAsia"/>
                <w:szCs w:val="21"/>
              </w:rPr>
              <w:t>(</w:t>
            </w:r>
            <w:r>
              <w:rPr>
                <w:rFonts w:asciiTheme="minorEastAsia" w:hAnsiTheme="minorEastAsia" w:eastAsiaTheme="minorEastAsia"/>
                <w:szCs w:val="21"/>
              </w:rPr>
              <w:t>%</w:t>
            </w:r>
            <w:r>
              <w:rPr>
                <w:rFonts w:hint="eastAsia" w:cs="黑体" w:asciiTheme="minorEastAsia" w:hAnsiTheme="minorEastAsia" w:eastAsiaTheme="minorEastAsia"/>
                <w:szCs w:val="21"/>
              </w:rPr>
              <w:t>)</w:t>
            </w:r>
          </w:p>
        </w:tc>
        <w:tc>
          <w:tcPr>
            <w:tcW w:w="668" w:type="pct"/>
            <w:vAlign w:val="center"/>
          </w:tcPr>
          <w:p>
            <w:pPr>
              <w:numPr>
                <w:ilvl w:val="255"/>
                <w:numId w:val="0"/>
              </w:numPr>
              <w:tabs>
                <w:tab w:val="center" w:pos="3570"/>
                <w:tab w:val="right" w:pos="7875"/>
              </w:tabs>
              <w:spacing w:before="80" w:after="40"/>
              <w:jc w:val="center"/>
              <w:rPr>
                <w:rFonts w:asciiTheme="minorEastAsia" w:hAnsiTheme="minorEastAsia" w:eastAsiaTheme="minorEastAsia"/>
                <w:szCs w:val="21"/>
              </w:rPr>
            </w:pPr>
            <w:r>
              <w:rPr>
                <w:rFonts w:hint="eastAsia" w:asciiTheme="minorEastAsia" w:hAnsiTheme="minorEastAsia" w:eastAsiaTheme="minorEastAsia"/>
                <w:szCs w:val="21"/>
              </w:rPr>
              <w:t>S</w:t>
            </w:r>
            <w:r>
              <w:rPr>
                <w:rFonts w:asciiTheme="minorEastAsia" w:hAnsiTheme="minorEastAsia" w:eastAsiaTheme="minorEastAsia"/>
                <w:szCs w:val="21"/>
              </w:rPr>
              <w:t>D</w:t>
            </w:r>
          </w:p>
        </w:tc>
        <w:tc>
          <w:tcPr>
            <w:tcW w:w="576" w:type="pct"/>
            <w:vAlign w:val="center"/>
          </w:tcPr>
          <w:p>
            <w:pPr>
              <w:numPr>
                <w:ilvl w:val="255"/>
                <w:numId w:val="0"/>
              </w:numPr>
              <w:tabs>
                <w:tab w:val="center" w:pos="3570"/>
                <w:tab w:val="right" w:pos="7875"/>
              </w:tabs>
              <w:spacing w:before="80" w:after="40"/>
              <w:jc w:val="center"/>
              <w:rPr>
                <w:rFonts w:asciiTheme="minorEastAsia" w:hAnsiTheme="minorEastAsia" w:eastAsiaTheme="minorEastAsia"/>
                <w:szCs w:val="21"/>
              </w:rPr>
            </w:pPr>
            <w:r>
              <w:rPr>
                <w:rFonts w:cs="宋体" w:asciiTheme="minorEastAsia" w:hAnsiTheme="minorEastAsia" w:eastAsiaTheme="minorEastAsia"/>
                <w:szCs w:val="21"/>
              </w:rPr>
              <w:t>RSD</w:t>
            </w:r>
            <w:r>
              <w:rPr>
                <w:rFonts w:hint="eastAsia" w:cs="宋体" w:asciiTheme="minorEastAsia" w:hAnsiTheme="minorEastAsia" w:eastAsiaTheme="minorEastAsia"/>
                <w:szCs w:val="21"/>
              </w:rPr>
              <w:t>(</w:t>
            </w:r>
            <w:r>
              <w:rPr>
                <w:rFonts w:asciiTheme="minorEastAsia" w:hAnsiTheme="minorEastAsia" w:eastAsiaTheme="minorEastAsia"/>
                <w:szCs w:val="21"/>
              </w:rPr>
              <w:t>%</w:t>
            </w:r>
            <w:r>
              <w:rPr>
                <w:rFonts w:hint="eastAsia" w:cs="黑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424" w:type="pct"/>
            <w:vAlign w:val="center"/>
          </w:tcPr>
          <w:p>
            <w:pPr>
              <w:numPr>
                <w:ilvl w:val="255"/>
                <w:numId w:val="0"/>
              </w:numPr>
              <w:tabs>
                <w:tab w:val="center" w:pos="3570"/>
                <w:tab w:val="right" w:pos="7875"/>
              </w:tabs>
              <w:spacing w:before="80" w:after="40"/>
              <w:jc w:val="center"/>
              <w:rPr>
                <w:szCs w:val="21"/>
              </w:rPr>
            </w:pPr>
            <w:r>
              <w:rPr>
                <w:rFonts w:hint="eastAsia"/>
                <w:szCs w:val="21"/>
              </w:rPr>
              <w:t>1</w:t>
            </w:r>
            <w:r>
              <w:rPr>
                <w:szCs w:val="21"/>
              </w:rPr>
              <w:t>#</w:t>
            </w:r>
          </w:p>
        </w:tc>
        <w:tc>
          <w:tcPr>
            <w:tcW w:w="940" w:type="pct"/>
            <w:vAlign w:val="center"/>
          </w:tcPr>
          <w:p>
            <w:pPr>
              <w:numPr>
                <w:ilvl w:val="255"/>
                <w:numId w:val="0"/>
              </w:numPr>
              <w:tabs>
                <w:tab w:val="center" w:pos="3570"/>
                <w:tab w:val="right" w:pos="7875"/>
              </w:tabs>
              <w:spacing w:before="80" w:after="40"/>
              <w:rPr>
                <w:szCs w:val="21"/>
              </w:rPr>
            </w:pPr>
            <w:r>
              <w:rPr>
                <w:rFonts w:hint="eastAsia"/>
                <w:szCs w:val="21"/>
              </w:rPr>
              <w:t>白</w:t>
            </w:r>
            <w:r>
              <w:rPr>
                <w:szCs w:val="21"/>
              </w:rPr>
              <w:t>钨矿</w:t>
            </w:r>
          </w:p>
        </w:tc>
        <w:tc>
          <w:tcPr>
            <w:tcW w:w="1709" w:type="pct"/>
            <w:vAlign w:val="center"/>
          </w:tcPr>
          <w:p>
            <w:pPr>
              <w:numPr>
                <w:ilvl w:val="255"/>
                <w:numId w:val="0"/>
              </w:numPr>
              <w:tabs>
                <w:tab w:val="center" w:pos="3570"/>
                <w:tab w:val="right" w:pos="7875"/>
              </w:tabs>
              <w:spacing w:before="80" w:after="40"/>
              <w:rPr>
                <w:szCs w:val="21"/>
              </w:rPr>
            </w:pPr>
            <w:r>
              <w:rPr>
                <w:rFonts w:hint="eastAsia"/>
                <w:szCs w:val="21"/>
              </w:rPr>
              <w:t>0.00101、0.00108、0.00104、0.00103、0.00111、0.00108、0.00100、0.00103、0.00105、0.00106、0.00107</w:t>
            </w:r>
          </w:p>
        </w:tc>
        <w:tc>
          <w:tcPr>
            <w:tcW w:w="683" w:type="pct"/>
            <w:vAlign w:val="center"/>
          </w:tcPr>
          <w:p>
            <w:pPr>
              <w:numPr>
                <w:ilvl w:val="255"/>
                <w:numId w:val="0"/>
              </w:numPr>
              <w:tabs>
                <w:tab w:val="center" w:pos="3570"/>
                <w:tab w:val="right" w:pos="7875"/>
              </w:tabs>
              <w:spacing w:before="80" w:after="40"/>
              <w:ind w:firstLine="210" w:firstLineChars="100"/>
              <w:rPr>
                <w:szCs w:val="21"/>
              </w:rPr>
            </w:pPr>
            <w:r>
              <w:rPr>
                <w:rFonts w:hint="eastAsia"/>
                <w:szCs w:val="21"/>
              </w:rPr>
              <w:t>0.00105</w:t>
            </w:r>
          </w:p>
        </w:tc>
        <w:tc>
          <w:tcPr>
            <w:tcW w:w="668" w:type="pct"/>
            <w:vAlign w:val="center"/>
          </w:tcPr>
          <w:p>
            <w:pPr>
              <w:numPr>
                <w:ilvl w:val="255"/>
                <w:numId w:val="0"/>
              </w:numPr>
              <w:tabs>
                <w:tab w:val="center" w:pos="3570"/>
                <w:tab w:val="right" w:pos="7875"/>
              </w:tabs>
              <w:spacing w:before="80" w:after="40"/>
              <w:rPr>
                <w:szCs w:val="21"/>
              </w:rPr>
            </w:pPr>
            <w:r>
              <w:rPr>
                <w:rFonts w:hint="eastAsia"/>
                <w:szCs w:val="21"/>
              </w:rPr>
              <w:t>0.000033</w:t>
            </w:r>
          </w:p>
        </w:tc>
        <w:tc>
          <w:tcPr>
            <w:tcW w:w="576" w:type="pct"/>
            <w:vAlign w:val="center"/>
          </w:tcPr>
          <w:p>
            <w:pPr>
              <w:numPr>
                <w:ilvl w:val="255"/>
                <w:numId w:val="0"/>
              </w:numPr>
              <w:tabs>
                <w:tab w:val="center" w:pos="3570"/>
                <w:tab w:val="right" w:pos="7875"/>
              </w:tabs>
              <w:spacing w:before="80" w:after="40"/>
              <w:ind w:firstLine="210" w:firstLineChars="100"/>
              <w:rPr>
                <w:szCs w:val="21"/>
              </w:rPr>
            </w:pPr>
            <w:r>
              <w:rPr>
                <w:rFonts w:hint="eastAsia"/>
                <w:szCs w:val="21"/>
              </w:rPr>
              <w:t>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424" w:type="pct"/>
            <w:vAlign w:val="center"/>
          </w:tcPr>
          <w:p>
            <w:pPr>
              <w:numPr>
                <w:ilvl w:val="255"/>
                <w:numId w:val="0"/>
              </w:numPr>
              <w:tabs>
                <w:tab w:val="center" w:pos="3570"/>
                <w:tab w:val="right" w:pos="7875"/>
              </w:tabs>
              <w:spacing w:before="80" w:after="40"/>
              <w:jc w:val="center"/>
              <w:rPr>
                <w:szCs w:val="21"/>
              </w:rPr>
            </w:pPr>
            <w:r>
              <w:rPr>
                <w:rFonts w:hint="eastAsia"/>
                <w:szCs w:val="21"/>
              </w:rPr>
              <w:t>2</w:t>
            </w:r>
            <w:r>
              <w:rPr>
                <w:szCs w:val="21"/>
              </w:rPr>
              <w:t>#</w:t>
            </w:r>
          </w:p>
        </w:tc>
        <w:tc>
          <w:tcPr>
            <w:tcW w:w="940" w:type="pct"/>
            <w:vAlign w:val="center"/>
          </w:tcPr>
          <w:p>
            <w:pPr>
              <w:numPr>
                <w:ilvl w:val="255"/>
                <w:numId w:val="0"/>
              </w:numPr>
              <w:tabs>
                <w:tab w:val="center" w:pos="3570"/>
                <w:tab w:val="right" w:pos="7875"/>
              </w:tabs>
              <w:spacing w:before="80" w:after="40"/>
              <w:rPr>
                <w:szCs w:val="21"/>
              </w:rPr>
            </w:pPr>
            <w:r>
              <w:rPr>
                <w:rFonts w:hint="eastAsia"/>
                <w:szCs w:val="21"/>
              </w:rPr>
              <w:t>白</w:t>
            </w:r>
            <w:r>
              <w:rPr>
                <w:szCs w:val="21"/>
              </w:rPr>
              <w:t>钨矿</w:t>
            </w:r>
          </w:p>
        </w:tc>
        <w:tc>
          <w:tcPr>
            <w:tcW w:w="1709" w:type="pct"/>
            <w:vAlign w:val="center"/>
          </w:tcPr>
          <w:p>
            <w:pPr>
              <w:numPr>
                <w:ilvl w:val="255"/>
                <w:numId w:val="0"/>
              </w:numPr>
              <w:tabs>
                <w:tab w:val="center" w:pos="3570"/>
                <w:tab w:val="right" w:pos="7875"/>
              </w:tabs>
              <w:spacing w:before="80" w:after="40"/>
              <w:rPr>
                <w:szCs w:val="21"/>
              </w:rPr>
            </w:pPr>
            <w:r>
              <w:rPr>
                <w:rFonts w:hint="eastAsia"/>
                <w:szCs w:val="21"/>
              </w:rPr>
              <w:t>0.0106、0.0106、0.0101、0.0101、0.0100、0.0100、0.0102、0.0102、0.0105、0.00962、0.0100</w:t>
            </w:r>
          </w:p>
        </w:tc>
        <w:tc>
          <w:tcPr>
            <w:tcW w:w="683" w:type="pct"/>
            <w:vAlign w:val="center"/>
          </w:tcPr>
          <w:p>
            <w:pPr>
              <w:numPr>
                <w:ilvl w:val="255"/>
                <w:numId w:val="0"/>
              </w:numPr>
              <w:tabs>
                <w:tab w:val="center" w:pos="3570"/>
                <w:tab w:val="right" w:pos="7875"/>
              </w:tabs>
              <w:spacing w:before="80" w:after="40"/>
              <w:ind w:firstLine="210" w:firstLineChars="100"/>
              <w:rPr>
                <w:szCs w:val="21"/>
              </w:rPr>
            </w:pPr>
            <w:r>
              <w:rPr>
                <w:rFonts w:hint="eastAsia"/>
                <w:szCs w:val="21"/>
              </w:rPr>
              <w:t>0.0103</w:t>
            </w:r>
          </w:p>
        </w:tc>
        <w:tc>
          <w:tcPr>
            <w:tcW w:w="668" w:type="pct"/>
            <w:vAlign w:val="center"/>
          </w:tcPr>
          <w:p>
            <w:pPr>
              <w:numPr>
                <w:ilvl w:val="255"/>
                <w:numId w:val="0"/>
              </w:numPr>
              <w:tabs>
                <w:tab w:val="center" w:pos="3570"/>
                <w:tab w:val="right" w:pos="7875"/>
              </w:tabs>
              <w:spacing w:before="80" w:after="40"/>
              <w:rPr>
                <w:szCs w:val="21"/>
              </w:rPr>
            </w:pPr>
            <w:r>
              <w:rPr>
                <w:rFonts w:hint="eastAsia"/>
                <w:szCs w:val="21"/>
              </w:rPr>
              <w:t>0.00038</w:t>
            </w:r>
          </w:p>
        </w:tc>
        <w:tc>
          <w:tcPr>
            <w:tcW w:w="576" w:type="pct"/>
            <w:vAlign w:val="center"/>
          </w:tcPr>
          <w:p>
            <w:pPr>
              <w:numPr>
                <w:ilvl w:val="255"/>
                <w:numId w:val="0"/>
              </w:numPr>
              <w:tabs>
                <w:tab w:val="center" w:pos="3570"/>
                <w:tab w:val="right" w:pos="7875"/>
              </w:tabs>
              <w:spacing w:before="80" w:after="40"/>
              <w:ind w:firstLine="210" w:firstLineChars="100"/>
              <w:rPr>
                <w:szCs w:val="21"/>
              </w:rPr>
            </w:pPr>
            <w:r>
              <w:rPr>
                <w:rFonts w:hint="eastAsia"/>
                <w:szCs w:val="21"/>
              </w:rPr>
              <w:t>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424" w:type="pct"/>
            <w:vAlign w:val="center"/>
          </w:tcPr>
          <w:p>
            <w:pPr>
              <w:numPr>
                <w:ilvl w:val="255"/>
                <w:numId w:val="0"/>
              </w:numPr>
              <w:tabs>
                <w:tab w:val="center" w:pos="3570"/>
                <w:tab w:val="right" w:pos="7875"/>
              </w:tabs>
              <w:spacing w:before="80" w:after="40"/>
              <w:jc w:val="center"/>
              <w:rPr>
                <w:szCs w:val="21"/>
              </w:rPr>
            </w:pPr>
            <w:r>
              <w:rPr>
                <w:rFonts w:hint="eastAsia"/>
                <w:szCs w:val="21"/>
              </w:rPr>
              <w:t>3</w:t>
            </w:r>
            <w:r>
              <w:rPr>
                <w:szCs w:val="21"/>
              </w:rPr>
              <w:t>#</w:t>
            </w:r>
          </w:p>
        </w:tc>
        <w:tc>
          <w:tcPr>
            <w:tcW w:w="940" w:type="pct"/>
            <w:vAlign w:val="center"/>
          </w:tcPr>
          <w:p>
            <w:pPr>
              <w:numPr>
                <w:ilvl w:val="255"/>
                <w:numId w:val="0"/>
              </w:numPr>
              <w:tabs>
                <w:tab w:val="center" w:pos="3570"/>
                <w:tab w:val="right" w:pos="7875"/>
              </w:tabs>
              <w:spacing w:before="80" w:after="40"/>
              <w:rPr>
                <w:szCs w:val="21"/>
              </w:rPr>
            </w:pPr>
            <w:r>
              <w:rPr>
                <w:rFonts w:hint="eastAsia"/>
                <w:szCs w:val="21"/>
              </w:rPr>
              <w:t>白</w:t>
            </w:r>
            <w:r>
              <w:rPr>
                <w:szCs w:val="21"/>
              </w:rPr>
              <w:t>钨矿</w:t>
            </w:r>
          </w:p>
        </w:tc>
        <w:tc>
          <w:tcPr>
            <w:tcW w:w="1709" w:type="pct"/>
            <w:vAlign w:val="center"/>
          </w:tcPr>
          <w:p>
            <w:pPr>
              <w:numPr>
                <w:ilvl w:val="255"/>
                <w:numId w:val="0"/>
              </w:numPr>
              <w:tabs>
                <w:tab w:val="center" w:pos="3570"/>
                <w:tab w:val="right" w:pos="7875"/>
              </w:tabs>
              <w:spacing w:before="80" w:after="40"/>
              <w:rPr>
                <w:szCs w:val="21"/>
              </w:rPr>
            </w:pPr>
            <w:r>
              <w:rPr>
                <w:rFonts w:hint="eastAsia"/>
                <w:szCs w:val="21"/>
              </w:rPr>
              <w:t>0.0471、0.0472、0.0452、0.0474、0.0462、0.0469、0.0479、0.0498、0.0486、0.0502、0.0486</w:t>
            </w:r>
          </w:p>
        </w:tc>
        <w:tc>
          <w:tcPr>
            <w:tcW w:w="683" w:type="pct"/>
            <w:vAlign w:val="center"/>
          </w:tcPr>
          <w:p>
            <w:pPr>
              <w:numPr>
                <w:ilvl w:val="255"/>
                <w:numId w:val="0"/>
              </w:numPr>
              <w:tabs>
                <w:tab w:val="center" w:pos="3570"/>
                <w:tab w:val="right" w:pos="7875"/>
              </w:tabs>
              <w:spacing w:before="80" w:after="40"/>
              <w:ind w:firstLine="210" w:firstLineChars="100"/>
              <w:rPr>
                <w:szCs w:val="21"/>
              </w:rPr>
            </w:pPr>
            <w:r>
              <w:rPr>
                <w:rFonts w:hint="eastAsia"/>
                <w:szCs w:val="21"/>
              </w:rPr>
              <w:t>0.0477</w:t>
            </w:r>
          </w:p>
        </w:tc>
        <w:tc>
          <w:tcPr>
            <w:tcW w:w="668" w:type="pct"/>
            <w:vAlign w:val="center"/>
          </w:tcPr>
          <w:p>
            <w:pPr>
              <w:numPr>
                <w:ilvl w:val="255"/>
                <w:numId w:val="0"/>
              </w:numPr>
              <w:tabs>
                <w:tab w:val="center" w:pos="3570"/>
                <w:tab w:val="right" w:pos="7875"/>
              </w:tabs>
              <w:spacing w:before="80" w:after="40"/>
              <w:rPr>
                <w:szCs w:val="21"/>
              </w:rPr>
            </w:pPr>
            <w:r>
              <w:rPr>
                <w:rFonts w:hint="eastAsia"/>
                <w:szCs w:val="21"/>
              </w:rPr>
              <w:t>0.0015</w:t>
            </w:r>
          </w:p>
        </w:tc>
        <w:tc>
          <w:tcPr>
            <w:tcW w:w="576" w:type="pct"/>
            <w:vAlign w:val="center"/>
          </w:tcPr>
          <w:p>
            <w:pPr>
              <w:numPr>
                <w:ilvl w:val="255"/>
                <w:numId w:val="0"/>
              </w:numPr>
              <w:tabs>
                <w:tab w:val="center" w:pos="3570"/>
                <w:tab w:val="right" w:pos="7875"/>
              </w:tabs>
              <w:spacing w:before="80" w:after="40"/>
              <w:ind w:firstLine="210" w:firstLineChars="100"/>
              <w:rPr>
                <w:szCs w:val="21"/>
              </w:rPr>
            </w:pPr>
            <w:r>
              <w:rPr>
                <w:rFonts w:hint="eastAsia"/>
                <w:szCs w:val="21"/>
              </w:rPr>
              <w:t>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424" w:type="pct"/>
            <w:vAlign w:val="center"/>
          </w:tcPr>
          <w:p>
            <w:pPr>
              <w:numPr>
                <w:ilvl w:val="255"/>
                <w:numId w:val="0"/>
              </w:numPr>
              <w:tabs>
                <w:tab w:val="center" w:pos="3570"/>
                <w:tab w:val="right" w:pos="7875"/>
              </w:tabs>
              <w:spacing w:before="80" w:after="40"/>
              <w:jc w:val="center"/>
              <w:rPr>
                <w:szCs w:val="21"/>
              </w:rPr>
            </w:pPr>
            <w:r>
              <w:rPr>
                <w:rFonts w:hint="eastAsia"/>
                <w:szCs w:val="21"/>
              </w:rPr>
              <w:t>4</w:t>
            </w:r>
            <w:r>
              <w:rPr>
                <w:szCs w:val="21"/>
              </w:rPr>
              <w:t>#</w:t>
            </w:r>
          </w:p>
        </w:tc>
        <w:tc>
          <w:tcPr>
            <w:tcW w:w="940" w:type="pct"/>
            <w:vAlign w:val="center"/>
          </w:tcPr>
          <w:p>
            <w:pPr>
              <w:numPr>
                <w:ilvl w:val="255"/>
                <w:numId w:val="0"/>
              </w:numPr>
              <w:tabs>
                <w:tab w:val="center" w:pos="3570"/>
                <w:tab w:val="right" w:pos="7875"/>
              </w:tabs>
              <w:spacing w:before="80" w:after="40"/>
              <w:rPr>
                <w:szCs w:val="21"/>
              </w:rPr>
            </w:pPr>
            <w:r>
              <w:rPr>
                <w:rFonts w:hint="eastAsia"/>
                <w:szCs w:val="21"/>
              </w:rPr>
              <w:t>黑</w:t>
            </w:r>
            <w:r>
              <w:rPr>
                <w:szCs w:val="21"/>
              </w:rPr>
              <w:t>钨矿</w:t>
            </w:r>
          </w:p>
        </w:tc>
        <w:tc>
          <w:tcPr>
            <w:tcW w:w="1709" w:type="pct"/>
            <w:vAlign w:val="center"/>
          </w:tcPr>
          <w:p>
            <w:pPr>
              <w:numPr>
                <w:ilvl w:val="255"/>
                <w:numId w:val="0"/>
              </w:numPr>
              <w:tabs>
                <w:tab w:val="center" w:pos="3570"/>
                <w:tab w:val="right" w:pos="7875"/>
              </w:tabs>
              <w:spacing w:before="80" w:after="40"/>
              <w:rPr>
                <w:szCs w:val="21"/>
              </w:rPr>
            </w:pPr>
            <w:r>
              <w:rPr>
                <w:rFonts w:hint="eastAsia"/>
                <w:szCs w:val="21"/>
              </w:rPr>
              <w:t>0.150、0.150、0.150、0.151、0.151、0.151、0.148、0.152、0.148、0.143、0.149</w:t>
            </w:r>
          </w:p>
        </w:tc>
        <w:tc>
          <w:tcPr>
            <w:tcW w:w="683" w:type="pct"/>
            <w:vAlign w:val="center"/>
          </w:tcPr>
          <w:p>
            <w:pPr>
              <w:numPr>
                <w:ilvl w:val="255"/>
                <w:numId w:val="0"/>
              </w:numPr>
              <w:tabs>
                <w:tab w:val="center" w:pos="3570"/>
                <w:tab w:val="right" w:pos="7875"/>
              </w:tabs>
              <w:spacing w:before="80" w:after="40"/>
              <w:ind w:firstLine="210" w:firstLineChars="100"/>
              <w:rPr>
                <w:szCs w:val="21"/>
              </w:rPr>
            </w:pPr>
            <w:r>
              <w:rPr>
                <w:rFonts w:hint="eastAsia"/>
                <w:szCs w:val="21"/>
              </w:rPr>
              <w:t>0.149</w:t>
            </w:r>
          </w:p>
        </w:tc>
        <w:tc>
          <w:tcPr>
            <w:tcW w:w="668" w:type="pct"/>
            <w:vAlign w:val="center"/>
          </w:tcPr>
          <w:p>
            <w:pPr>
              <w:numPr>
                <w:ilvl w:val="255"/>
                <w:numId w:val="0"/>
              </w:numPr>
              <w:tabs>
                <w:tab w:val="center" w:pos="3570"/>
                <w:tab w:val="right" w:pos="7875"/>
              </w:tabs>
              <w:spacing w:before="80" w:after="40"/>
              <w:rPr>
                <w:szCs w:val="21"/>
              </w:rPr>
            </w:pPr>
            <w:r>
              <w:rPr>
                <w:rFonts w:hint="eastAsia"/>
                <w:szCs w:val="21"/>
              </w:rPr>
              <w:t>0.0025</w:t>
            </w:r>
          </w:p>
        </w:tc>
        <w:tc>
          <w:tcPr>
            <w:tcW w:w="576" w:type="pct"/>
            <w:vAlign w:val="center"/>
          </w:tcPr>
          <w:p>
            <w:pPr>
              <w:numPr>
                <w:ilvl w:val="255"/>
                <w:numId w:val="0"/>
              </w:numPr>
              <w:tabs>
                <w:tab w:val="center" w:pos="3570"/>
                <w:tab w:val="right" w:pos="7875"/>
              </w:tabs>
              <w:spacing w:before="80" w:after="40"/>
              <w:ind w:firstLine="210" w:firstLineChars="100"/>
              <w:rPr>
                <w:szCs w:val="21"/>
              </w:rPr>
            </w:pPr>
            <w:r>
              <w:rPr>
                <w:rFonts w:hint="eastAsia"/>
                <w:szCs w:val="21"/>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424" w:type="pct"/>
            <w:vAlign w:val="center"/>
          </w:tcPr>
          <w:p>
            <w:pPr>
              <w:numPr>
                <w:ilvl w:val="255"/>
                <w:numId w:val="0"/>
              </w:numPr>
              <w:tabs>
                <w:tab w:val="center" w:pos="3570"/>
                <w:tab w:val="right" w:pos="7875"/>
              </w:tabs>
              <w:spacing w:before="80" w:after="40"/>
              <w:jc w:val="center"/>
              <w:rPr>
                <w:szCs w:val="21"/>
              </w:rPr>
            </w:pPr>
            <w:r>
              <w:rPr>
                <w:rFonts w:hint="eastAsia"/>
                <w:szCs w:val="21"/>
              </w:rPr>
              <w:t>5</w:t>
            </w:r>
            <w:r>
              <w:rPr>
                <w:szCs w:val="21"/>
              </w:rPr>
              <w:t>#</w:t>
            </w:r>
          </w:p>
        </w:tc>
        <w:tc>
          <w:tcPr>
            <w:tcW w:w="940" w:type="pct"/>
            <w:vAlign w:val="center"/>
          </w:tcPr>
          <w:p>
            <w:pPr>
              <w:numPr>
                <w:ilvl w:val="255"/>
                <w:numId w:val="0"/>
              </w:numPr>
              <w:tabs>
                <w:tab w:val="center" w:pos="3570"/>
                <w:tab w:val="right" w:pos="7875"/>
              </w:tabs>
              <w:spacing w:before="80" w:after="40"/>
              <w:rPr>
                <w:szCs w:val="21"/>
              </w:rPr>
            </w:pPr>
            <w:r>
              <w:rPr>
                <w:szCs w:val="21"/>
              </w:rPr>
              <w:t>混合钨</w:t>
            </w:r>
          </w:p>
        </w:tc>
        <w:tc>
          <w:tcPr>
            <w:tcW w:w="1709" w:type="pct"/>
            <w:vAlign w:val="center"/>
          </w:tcPr>
          <w:p>
            <w:pPr>
              <w:numPr>
                <w:ilvl w:val="255"/>
                <w:numId w:val="0"/>
              </w:numPr>
              <w:tabs>
                <w:tab w:val="center" w:pos="3570"/>
                <w:tab w:val="right" w:pos="7875"/>
              </w:tabs>
              <w:spacing w:before="80" w:after="40"/>
              <w:rPr>
                <w:szCs w:val="21"/>
              </w:rPr>
            </w:pPr>
            <w:r>
              <w:rPr>
                <w:rFonts w:hint="eastAsia"/>
                <w:szCs w:val="21"/>
              </w:rPr>
              <w:t>0.286、0.294、0.298、0.290、0.293、0.299、0.296、0.297、0.301、0.308、0.300</w:t>
            </w:r>
          </w:p>
        </w:tc>
        <w:tc>
          <w:tcPr>
            <w:tcW w:w="683" w:type="pct"/>
            <w:vAlign w:val="center"/>
          </w:tcPr>
          <w:p>
            <w:pPr>
              <w:numPr>
                <w:ilvl w:val="255"/>
                <w:numId w:val="0"/>
              </w:numPr>
              <w:tabs>
                <w:tab w:val="center" w:pos="3570"/>
                <w:tab w:val="right" w:pos="7875"/>
              </w:tabs>
              <w:spacing w:before="80" w:after="40"/>
              <w:ind w:firstLine="210" w:firstLineChars="100"/>
              <w:rPr>
                <w:szCs w:val="21"/>
              </w:rPr>
            </w:pPr>
            <w:r>
              <w:rPr>
                <w:rFonts w:hint="eastAsia"/>
                <w:szCs w:val="21"/>
              </w:rPr>
              <w:t>0.296</w:t>
            </w:r>
          </w:p>
        </w:tc>
        <w:tc>
          <w:tcPr>
            <w:tcW w:w="668" w:type="pct"/>
            <w:vAlign w:val="center"/>
          </w:tcPr>
          <w:p>
            <w:pPr>
              <w:numPr>
                <w:ilvl w:val="255"/>
                <w:numId w:val="0"/>
              </w:numPr>
              <w:tabs>
                <w:tab w:val="center" w:pos="3570"/>
                <w:tab w:val="right" w:pos="7875"/>
              </w:tabs>
              <w:spacing w:before="80" w:after="40"/>
              <w:rPr>
                <w:szCs w:val="21"/>
              </w:rPr>
            </w:pPr>
            <w:r>
              <w:rPr>
                <w:rFonts w:hint="eastAsia"/>
                <w:szCs w:val="21"/>
              </w:rPr>
              <w:t>0.0059</w:t>
            </w:r>
          </w:p>
        </w:tc>
        <w:tc>
          <w:tcPr>
            <w:tcW w:w="576" w:type="pct"/>
            <w:vAlign w:val="center"/>
          </w:tcPr>
          <w:p>
            <w:pPr>
              <w:numPr>
                <w:ilvl w:val="255"/>
                <w:numId w:val="0"/>
              </w:numPr>
              <w:tabs>
                <w:tab w:val="center" w:pos="3570"/>
                <w:tab w:val="right" w:pos="7875"/>
              </w:tabs>
              <w:spacing w:before="80" w:after="40"/>
              <w:ind w:firstLine="210" w:firstLineChars="100"/>
              <w:rPr>
                <w:szCs w:val="21"/>
              </w:rPr>
            </w:pPr>
            <w:r>
              <w:rPr>
                <w:rFonts w:hint="eastAsia"/>
                <w:szCs w:val="21"/>
              </w:rPr>
              <w:t>1.99%</w:t>
            </w:r>
          </w:p>
        </w:tc>
      </w:tr>
    </w:tbl>
    <w:p>
      <w:pPr>
        <w:numPr>
          <w:ilvl w:val="255"/>
          <w:numId w:val="0"/>
        </w:numPr>
        <w:tabs>
          <w:tab w:val="center" w:pos="3570"/>
          <w:tab w:val="right" w:pos="7875"/>
        </w:tabs>
        <w:ind w:firstLine="420" w:firstLineChars="200"/>
        <w:rPr>
          <w:rFonts w:ascii="宋体" w:hAnsi="宋体" w:cs="黑体"/>
          <w:szCs w:val="21"/>
        </w:rPr>
      </w:pPr>
      <w:r>
        <w:rPr>
          <w:rFonts w:hint="eastAsia" w:ascii="宋体" w:hAnsi="宋体"/>
          <w:szCs w:val="21"/>
        </w:rPr>
        <w:t>实验数据表明，精密度</w:t>
      </w:r>
      <w:r>
        <w:rPr>
          <w:rFonts w:hint="eastAsia" w:ascii="宋体" w:hAnsi="宋体" w:cs="宋体"/>
          <w:szCs w:val="21"/>
        </w:rPr>
        <w:t>(RSD</w:t>
      </w:r>
      <w:r>
        <w:rPr>
          <w:rFonts w:hint="eastAsia" w:ascii="宋体" w:hAnsi="宋体" w:cs="黑体"/>
          <w:szCs w:val="21"/>
        </w:rPr>
        <w:t>)小于5</w:t>
      </w:r>
      <w:r>
        <w:rPr>
          <w:rFonts w:asciiTheme="minorEastAsia" w:hAnsiTheme="minorEastAsia" w:eastAsiaTheme="minorEastAsia"/>
        </w:rPr>
        <w:t> </w:t>
      </w:r>
      <w:r>
        <w:rPr>
          <w:rFonts w:hint="eastAsia" w:ascii="宋体" w:hAnsi="宋体" w:cs="黑体"/>
          <w:szCs w:val="21"/>
        </w:rPr>
        <w:t>%，能够满足分析检测要求。</w:t>
      </w:r>
    </w:p>
    <w:p>
      <w:pPr>
        <w:tabs>
          <w:tab w:val="center" w:pos="3570"/>
          <w:tab w:val="right" w:pos="7875"/>
        </w:tabs>
        <w:spacing w:before="156" w:beforeLines="50"/>
        <w:rPr>
          <w:rFonts w:cs="黑体" w:asciiTheme="minorEastAsia" w:hAnsiTheme="minorEastAsia" w:eastAsiaTheme="minorEastAsia"/>
          <w:szCs w:val="21"/>
        </w:rPr>
      </w:pPr>
      <w:r>
        <w:rPr>
          <w:rFonts w:cs="黑体" w:asciiTheme="minorEastAsia" w:hAnsiTheme="minorEastAsia" w:eastAsiaTheme="minorEastAsia"/>
          <w:szCs w:val="21"/>
        </w:rPr>
        <w:t>3</w:t>
      </w:r>
      <w:r>
        <w:rPr>
          <w:rFonts w:hint="eastAsia" w:cs="黑体" w:asciiTheme="minorEastAsia" w:hAnsiTheme="minorEastAsia" w:eastAsiaTheme="minorEastAsia"/>
          <w:szCs w:val="21"/>
        </w:rPr>
        <w:t>）方法准确度</w:t>
      </w:r>
    </w:p>
    <w:p>
      <w:pPr>
        <w:numPr>
          <w:ilvl w:val="255"/>
          <w:numId w:val="0"/>
        </w:numPr>
        <w:tabs>
          <w:tab w:val="center" w:pos="3570"/>
          <w:tab w:val="right" w:pos="7875"/>
        </w:tabs>
        <w:ind w:firstLine="420" w:firstLineChars="200"/>
        <w:rPr>
          <w:rFonts w:ascii="宋体" w:hAnsi="宋体" w:cs="宋体"/>
          <w:szCs w:val="21"/>
        </w:rPr>
      </w:pPr>
      <w:r>
        <w:rPr>
          <w:rFonts w:ascii="宋体" w:hAnsi="宋体" w:cs="宋体"/>
          <w:szCs w:val="21"/>
        </w:rPr>
        <w:t>本实验采用在统一样品中加入不同量的铅标准溶液</w:t>
      </w:r>
      <w:r>
        <w:rPr>
          <w:rFonts w:hint="eastAsia" w:ascii="宋体" w:hAnsi="宋体" w:cs="宋体"/>
          <w:szCs w:val="21"/>
        </w:rPr>
        <w:t>，进行加标实验。</w:t>
      </w:r>
    </w:p>
    <w:p>
      <w:pPr>
        <w:numPr>
          <w:ilvl w:val="255"/>
          <w:numId w:val="0"/>
        </w:numPr>
        <w:tabs>
          <w:tab w:val="center" w:pos="3570"/>
          <w:tab w:val="right" w:pos="7875"/>
        </w:tabs>
        <w:ind w:firstLine="420" w:firstLineChars="200"/>
        <w:rPr>
          <w:rFonts w:ascii="宋体" w:hAnsi="宋体" w:cs="宋体"/>
          <w:szCs w:val="21"/>
        </w:rPr>
      </w:pPr>
      <w:r>
        <w:rPr>
          <w:rFonts w:hint="eastAsia" w:ascii="宋体" w:hAnsi="宋体" w:cs="宋体"/>
          <w:szCs w:val="21"/>
        </w:rPr>
        <w:t>实验方法为：称取</w:t>
      </w:r>
      <w:r>
        <w:rPr>
          <w:rFonts w:ascii="宋体" w:hAnsi="宋体" w:cs="宋体"/>
          <w:szCs w:val="21"/>
        </w:rPr>
        <w:t>2</w:t>
      </w:r>
      <w:r>
        <w:rPr>
          <w:rFonts w:hint="eastAsia" w:ascii="宋体" w:hAnsi="宋体" w:cs="宋体"/>
          <w:szCs w:val="21"/>
        </w:rPr>
        <w:t>#、3#样品0</w:t>
      </w:r>
      <w:r>
        <w:rPr>
          <w:rFonts w:ascii="宋体" w:hAnsi="宋体" w:cs="宋体"/>
          <w:szCs w:val="21"/>
        </w:rPr>
        <w:t>.10g</w:t>
      </w:r>
      <w:r>
        <w:rPr>
          <w:rFonts w:hint="eastAsia" w:ascii="宋体" w:hAnsi="宋体" w:cs="宋体"/>
          <w:szCs w:val="21"/>
        </w:rPr>
        <w:t>，按下表加入铅标准溶液，按2.4.4.1进行样品分解，再</w:t>
      </w:r>
      <w:r>
        <w:rPr>
          <w:rFonts w:ascii="宋体" w:hAnsi="宋体" w:cs="宋体"/>
          <w:szCs w:val="21"/>
        </w:rPr>
        <w:t>按最佳检测条件进行测定</w:t>
      </w:r>
      <w:r>
        <w:rPr>
          <w:rFonts w:hint="eastAsia" w:ascii="宋体" w:hAnsi="宋体" w:cs="宋体"/>
          <w:szCs w:val="21"/>
        </w:rPr>
        <w:t>，</w:t>
      </w:r>
      <w:r>
        <w:rPr>
          <w:rFonts w:ascii="宋体" w:hAnsi="宋体" w:cs="宋体"/>
          <w:szCs w:val="21"/>
        </w:rPr>
        <w:t>回收率结果见表1</w:t>
      </w:r>
      <w:r>
        <w:rPr>
          <w:rFonts w:hint="eastAsia" w:ascii="宋体" w:hAnsi="宋体" w:cs="宋体"/>
          <w:szCs w:val="21"/>
          <w:lang w:val="en-US" w:eastAsia="zh-CN"/>
        </w:rPr>
        <w:t>4</w:t>
      </w:r>
      <w:r>
        <w:rPr>
          <w:rFonts w:hint="eastAsia" w:ascii="宋体" w:hAnsi="宋体" w:cs="宋体"/>
          <w:szCs w:val="21"/>
        </w:rPr>
        <w:t>。</w:t>
      </w:r>
    </w:p>
    <w:p>
      <w:pPr>
        <w:numPr>
          <w:ilvl w:val="255"/>
          <w:numId w:val="0"/>
        </w:numPr>
        <w:tabs>
          <w:tab w:val="center" w:pos="3570"/>
          <w:tab w:val="right" w:pos="7875"/>
        </w:tabs>
        <w:spacing w:before="80" w:after="40" w:line="360" w:lineRule="auto"/>
        <w:jc w:val="center"/>
        <w:rPr>
          <w:rFonts w:ascii="宋体" w:hAnsi="宋体" w:cs="黑体"/>
          <w:szCs w:val="21"/>
        </w:rPr>
      </w:pPr>
      <w:r>
        <w:rPr>
          <w:rFonts w:hint="eastAsia" w:ascii="宋体" w:hAnsi="宋体" w:cs="黑体"/>
          <w:szCs w:val="21"/>
        </w:rPr>
        <w:t>表</w:t>
      </w:r>
      <w:r>
        <w:rPr>
          <w:rFonts w:hint="eastAsia" w:ascii="宋体" w:hAnsi="宋体" w:cs="黑体"/>
          <w:szCs w:val="21"/>
          <w:lang w:val="en-US" w:eastAsia="zh-CN"/>
        </w:rPr>
        <w:t>14</w:t>
      </w:r>
      <w:r>
        <w:rPr>
          <w:rFonts w:hint="eastAsia" w:ascii="宋体" w:hAnsi="宋体" w:cs="黑体"/>
          <w:szCs w:val="21"/>
        </w:rPr>
        <w:t xml:space="preserve"> 方法准确度</w:t>
      </w:r>
    </w:p>
    <w:tbl>
      <w:tblPr>
        <w:tblStyle w:val="89"/>
        <w:tblW w:w="500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7"/>
        <w:gridCol w:w="1394"/>
        <w:gridCol w:w="1893"/>
        <w:gridCol w:w="1122"/>
        <w:gridCol w:w="1162"/>
        <w:gridCol w:w="2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pct"/>
            <w:vAlign w:val="center"/>
          </w:tcPr>
          <w:p>
            <w:pPr>
              <w:numPr>
                <w:ilvl w:val="255"/>
                <w:numId w:val="0"/>
              </w:numPr>
              <w:tabs>
                <w:tab w:val="center" w:pos="3570"/>
                <w:tab w:val="right" w:pos="7875"/>
              </w:tabs>
              <w:spacing w:before="80" w:after="40"/>
              <w:rPr>
                <w:szCs w:val="21"/>
              </w:rPr>
            </w:pPr>
            <w:r>
              <w:rPr>
                <w:rFonts w:hint="eastAsia"/>
                <w:szCs w:val="21"/>
              </w:rPr>
              <w:t>样品编号</w:t>
            </w:r>
          </w:p>
        </w:tc>
        <w:tc>
          <w:tcPr>
            <w:tcW w:w="768" w:type="pct"/>
            <w:vAlign w:val="center"/>
          </w:tcPr>
          <w:p>
            <w:pPr>
              <w:numPr>
                <w:ilvl w:val="255"/>
                <w:numId w:val="0"/>
              </w:numPr>
              <w:tabs>
                <w:tab w:val="center" w:pos="3570"/>
                <w:tab w:val="right" w:pos="7875"/>
              </w:tabs>
              <w:spacing w:before="80" w:after="40"/>
              <w:rPr>
                <w:rFonts w:cs="黑体" w:asciiTheme="minorEastAsia" w:hAnsiTheme="minorEastAsia" w:eastAsiaTheme="minorEastAsia"/>
                <w:szCs w:val="21"/>
              </w:rPr>
            </w:pPr>
            <w:r>
              <w:rPr>
                <w:rFonts w:hint="eastAsia" w:cs="黑体" w:asciiTheme="minorEastAsia" w:hAnsiTheme="minorEastAsia" w:eastAsiaTheme="minorEastAsia"/>
                <w:szCs w:val="21"/>
              </w:rPr>
              <w:t>样品类型</w:t>
            </w:r>
          </w:p>
        </w:tc>
        <w:tc>
          <w:tcPr>
            <w:tcW w:w="1043" w:type="pct"/>
            <w:vAlign w:val="center"/>
          </w:tcPr>
          <w:p>
            <w:pPr>
              <w:numPr>
                <w:ilvl w:val="255"/>
                <w:numId w:val="0"/>
              </w:numPr>
              <w:tabs>
                <w:tab w:val="center" w:pos="3570"/>
                <w:tab w:val="right" w:pos="7875"/>
              </w:tabs>
              <w:spacing w:before="80" w:after="40"/>
              <w:jc w:val="center"/>
              <w:rPr>
                <w:rFonts w:cs="黑体" w:asciiTheme="minorEastAsia" w:hAnsiTheme="minorEastAsia" w:eastAsiaTheme="minorEastAsia"/>
                <w:szCs w:val="21"/>
              </w:rPr>
            </w:pPr>
            <w:r>
              <w:rPr>
                <w:rFonts w:cs="黑体" w:asciiTheme="minorEastAsia" w:hAnsiTheme="minorEastAsia" w:eastAsiaTheme="minorEastAsia"/>
                <w:szCs w:val="21"/>
              </w:rPr>
              <w:t>Pb本底量</w:t>
            </w:r>
            <w:r>
              <w:rPr>
                <w:rFonts w:hint="eastAsia" w:cs="黑体" w:asciiTheme="minorEastAsia" w:hAnsiTheme="minorEastAsia" w:eastAsiaTheme="minorEastAsia"/>
                <w:szCs w:val="21"/>
              </w:rPr>
              <w:t>（μg）</w:t>
            </w:r>
          </w:p>
        </w:tc>
        <w:tc>
          <w:tcPr>
            <w:tcW w:w="618" w:type="pct"/>
            <w:vAlign w:val="center"/>
          </w:tcPr>
          <w:p>
            <w:pPr>
              <w:numPr>
                <w:ilvl w:val="255"/>
                <w:numId w:val="0"/>
              </w:numPr>
              <w:tabs>
                <w:tab w:val="center" w:pos="3570"/>
                <w:tab w:val="right" w:pos="7875"/>
              </w:tabs>
              <w:spacing w:before="80" w:after="40"/>
              <w:jc w:val="center"/>
              <w:rPr>
                <w:rFonts w:cs="黑体" w:asciiTheme="minorEastAsia" w:hAnsiTheme="minorEastAsia" w:eastAsiaTheme="minorEastAsia"/>
                <w:szCs w:val="21"/>
              </w:rPr>
            </w:pPr>
            <w:r>
              <w:rPr>
                <w:rFonts w:hint="eastAsia" w:cs="黑体" w:asciiTheme="minorEastAsia" w:hAnsiTheme="minorEastAsia" w:eastAsiaTheme="minorEastAsia"/>
                <w:szCs w:val="21"/>
              </w:rPr>
              <w:t>加入</w:t>
            </w:r>
            <w:r>
              <w:rPr>
                <w:rFonts w:cs="黑体" w:asciiTheme="minorEastAsia" w:hAnsiTheme="minorEastAsia" w:eastAsiaTheme="minorEastAsia"/>
                <w:szCs w:val="21"/>
              </w:rPr>
              <w:t>Pb量</w:t>
            </w:r>
          </w:p>
          <w:p>
            <w:pPr>
              <w:numPr>
                <w:ilvl w:val="255"/>
                <w:numId w:val="0"/>
              </w:numPr>
              <w:tabs>
                <w:tab w:val="center" w:pos="3570"/>
                <w:tab w:val="right" w:pos="7875"/>
              </w:tabs>
              <w:spacing w:before="80" w:after="40"/>
              <w:jc w:val="center"/>
              <w:rPr>
                <w:rFonts w:cs="黑体" w:asciiTheme="minorEastAsia" w:hAnsiTheme="minorEastAsia" w:eastAsiaTheme="minorEastAsia"/>
                <w:szCs w:val="21"/>
              </w:rPr>
            </w:pPr>
            <w:r>
              <w:rPr>
                <w:rFonts w:hint="eastAsia" w:cs="宋体" w:asciiTheme="minorEastAsia" w:hAnsiTheme="minorEastAsia" w:eastAsiaTheme="minorEastAsia"/>
                <w:szCs w:val="21"/>
              </w:rPr>
              <w:t>(μg</w:t>
            </w:r>
            <w:r>
              <w:rPr>
                <w:rFonts w:hint="eastAsia" w:cs="黑体" w:asciiTheme="minorEastAsia" w:hAnsiTheme="minorEastAsia" w:eastAsiaTheme="minorEastAsia"/>
                <w:szCs w:val="21"/>
              </w:rPr>
              <w:t>)</w:t>
            </w:r>
          </w:p>
        </w:tc>
        <w:tc>
          <w:tcPr>
            <w:tcW w:w="640" w:type="pct"/>
            <w:vAlign w:val="center"/>
          </w:tcPr>
          <w:p>
            <w:pPr>
              <w:numPr>
                <w:ilvl w:val="255"/>
                <w:numId w:val="0"/>
              </w:numPr>
              <w:tabs>
                <w:tab w:val="center" w:pos="3570"/>
                <w:tab w:val="right" w:pos="7875"/>
              </w:tabs>
              <w:spacing w:before="80" w:after="40"/>
              <w:jc w:val="center"/>
              <w:rPr>
                <w:rFonts w:cs="黑体" w:asciiTheme="minorEastAsia" w:hAnsiTheme="minorEastAsia" w:eastAsiaTheme="minorEastAsia"/>
                <w:szCs w:val="21"/>
              </w:rPr>
            </w:pPr>
            <w:r>
              <w:rPr>
                <w:rFonts w:hint="eastAsia" w:cs="黑体" w:asciiTheme="minorEastAsia" w:hAnsiTheme="minorEastAsia" w:eastAsiaTheme="minorEastAsia"/>
                <w:szCs w:val="21"/>
              </w:rPr>
              <w:t>测得Pb量</w:t>
            </w:r>
          </w:p>
          <w:p>
            <w:pPr>
              <w:numPr>
                <w:ilvl w:val="255"/>
                <w:numId w:val="0"/>
              </w:numPr>
              <w:tabs>
                <w:tab w:val="center" w:pos="3570"/>
                <w:tab w:val="right" w:pos="7875"/>
              </w:tabs>
              <w:spacing w:before="80" w:after="40"/>
              <w:jc w:val="center"/>
              <w:rPr>
                <w:rFonts w:cs="黑体" w:asciiTheme="minorEastAsia" w:hAnsiTheme="minorEastAsia" w:eastAsiaTheme="minorEastAsia"/>
                <w:szCs w:val="21"/>
              </w:rPr>
            </w:pPr>
            <w:r>
              <w:rPr>
                <w:rFonts w:hint="eastAsia" w:cs="宋体" w:asciiTheme="minorEastAsia" w:hAnsiTheme="minorEastAsia" w:eastAsiaTheme="minorEastAsia"/>
                <w:szCs w:val="21"/>
              </w:rPr>
              <w:t>(μ</w:t>
            </w:r>
            <w:r>
              <w:rPr>
                <w:rFonts w:cs="宋体" w:asciiTheme="minorEastAsia" w:hAnsiTheme="minorEastAsia" w:eastAsiaTheme="minorEastAsia"/>
                <w:szCs w:val="21"/>
              </w:rPr>
              <w:t>g</w:t>
            </w:r>
            <w:r>
              <w:rPr>
                <w:rFonts w:hint="eastAsia" w:cs="黑体" w:asciiTheme="minorEastAsia" w:hAnsiTheme="minorEastAsia" w:eastAsiaTheme="minorEastAsia"/>
                <w:szCs w:val="21"/>
              </w:rPr>
              <w:t>)</w:t>
            </w:r>
          </w:p>
        </w:tc>
        <w:tc>
          <w:tcPr>
            <w:tcW w:w="1253" w:type="pct"/>
            <w:vAlign w:val="center"/>
          </w:tcPr>
          <w:p>
            <w:pPr>
              <w:numPr>
                <w:ilvl w:val="255"/>
                <w:numId w:val="0"/>
              </w:numPr>
              <w:tabs>
                <w:tab w:val="center" w:pos="3570"/>
                <w:tab w:val="right" w:pos="7875"/>
              </w:tabs>
              <w:spacing w:before="80" w:after="40"/>
              <w:jc w:val="center"/>
              <w:rPr>
                <w:rFonts w:cs="黑体" w:asciiTheme="minorEastAsia" w:hAnsiTheme="minorEastAsia" w:eastAsiaTheme="minorEastAsia"/>
                <w:szCs w:val="21"/>
              </w:rPr>
            </w:pPr>
            <w:r>
              <w:rPr>
                <w:rFonts w:hint="eastAsia" w:cs="黑体" w:asciiTheme="minorEastAsia" w:hAnsiTheme="minorEastAsia" w:eastAsiaTheme="minorEastAsia"/>
                <w:szCs w:val="21"/>
              </w:rPr>
              <w:t>回收率</w:t>
            </w:r>
            <w:r>
              <w:rPr>
                <w:rFonts w:hint="eastAsia" w:cs="宋体" w:asciiTheme="minorEastAsia" w:hAnsiTheme="minorEastAsia" w:eastAsiaTheme="minorEastAsia"/>
                <w:szCs w:val="21"/>
              </w:rPr>
              <w:t>(</w:t>
            </w:r>
            <w:r>
              <w:rPr>
                <w:rFonts w:asciiTheme="minorEastAsia" w:hAnsiTheme="minorEastAsia" w:eastAsiaTheme="minorEastAsia"/>
                <w:szCs w:val="21"/>
              </w:rPr>
              <w:t>%</w:t>
            </w:r>
            <w:r>
              <w:rPr>
                <w:rFonts w:hint="eastAsia" w:cs="黑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676" w:type="pct"/>
          </w:tcPr>
          <w:p>
            <w:pPr>
              <w:numPr>
                <w:ilvl w:val="255"/>
                <w:numId w:val="0"/>
              </w:numPr>
              <w:tabs>
                <w:tab w:val="center" w:pos="3570"/>
                <w:tab w:val="right" w:pos="7875"/>
              </w:tabs>
              <w:spacing w:before="80" w:after="40"/>
              <w:rPr>
                <w:rFonts w:cs="黑体" w:asciiTheme="minorEastAsia" w:hAnsiTheme="minorEastAsia" w:eastAsiaTheme="minorEastAsia"/>
                <w:szCs w:val="21"/>
              </w:rPr>
            </w:pPr>
            <w:r>
              <w:rPr>
                <w:rFonts w:hint="eastAsia" w:cs="黑体" w:asciiTheme="minorEastAsia" w:hAnsiTheme="minorEastAsia" w:eastAsiaTheme="minorEastAsia"/>
                <w:szCs w:val="21"/>
              </w:rPr>
              <w:t>2#</w:t>
            </w:r>
          </w:p>
        </w:tc>
        <w:tc>
          <w:tcPr>
            <w:tcW w:w="768" w:type="pct"/>
          </w:tcPr>
          <w:p>
            <w:pPr>
              <w:numPr>
                <w:ilvl w:val="255"/>
                <w:numId w:val="0"/>
              </w:numPr>
              <w:tabs>
                <w:tab w:val="center" w:pos="3570"/>
                <w:tab w:val="right" w:pos="7875"/>
              </w:tabs>
              <w:spacing w:before="80" w:after="40"/>
              <w:rPr>
                <w:rFonts w:cs="黑体" w:asciiTheme="minorEastAsia" w:hAnsiTheme="minorEastAsia" w:eastAsiaTheme="minorEastAsia"/>
                <w:szCs w:val="21"/>
              </w:rPr>
            </w:pPr>
            <w:r>
              <w:rPr>
                <w:rFonts w:cs="黑体" w:asciiTheme="minorEastAsia" w:hAnsiTheme="minorEastAsia" w:eastAsiaTheme="minorEastAsia"/>
                <w:szCs w:val="21"/>
              </w:rPr>
              <w:t>白钨精矿</w:t>
            </w:r>
          </w:p>
        </w:tc>
        <w:tc>
          <w:tcPr>
            <w:tcW w:w="1043" w:type="pct"/>
            <w:vAlign w:val="center"/>
          </w:tcPr>
          <w:p>
            <w:pPr>
              <w:numPr>
                <w:ilvl w:val="255"/>
                <w:numId w:val="0"/>
              </w:numPr>
              <w:tabs>
                <w:tab w:val="center" w:pos="3570"/>
                <w:tab w:val="right" w:pos="7875"/>
              </w:tabs>
              <w:spacing w:before="80" w:after="40"/>
              <w:jc w:val="center"/>
              <w:rPr>
                <w:rFonts w:cs="黑体" w:asciiTheme="minorEastAsia" w:hAnsiTheme="minorEastAsia" w:eastAsiaTheme="minorEastAsia"/>
                <w:szCs w:val="21"/>
              </w:rPr>
            </w:pPr>
            <w:r>
              <w:rPr>
                <w:rFonts w:hint="eastAsia" w:cs="黑体" w:asciiTheme="minorEastAsia" w:hAnsiTheme="minorEastAsia" w:eastAsiaTheme="minorEastAsia"/>
                <w:szCs w:val="21"/>
              </w:rPr>
              <w:t>1</w:t>
            </w:r>
            <w:r>
              <w:rPr>
                <w:rFonts w:cs="黑体" w:asciiTheme="minorEastAsia" w:hAnsiTheme="minorEastAsia" w:eastAsiaTheme="minorEastAsia"/>
                <w:szCs w:val="21"/>
              </w:rPr>
              <w:t>0.6</w:t>
            </w:r>
          </w:p>
        </w:tc>
        <w:tc>
          <w:tcPr>
            <w:tcW w:w="618" w:type="pct"/>
            <w:vAlign w:val="center"/>
          </w:tcPr>
          <w:p>
            <w:pPr>
              <w:numPr>
                <w:ilvl w:val="255"/>
                <w:numId w:val="0"/>
              </w:numPr>
              <w:tabs>
                <w:tab w:val="center" w:pos="3570"/>
                <w:tab w:val="right" w:pos="7875"/>
              </w:tabs>
              <w:spacing w:before="80" w:after="40"/>
              <w:jc w:val="center"/>
              <w:rPr>
                <w:rFonts w:cs="黑体" w:asciiTheme="minorEastAsia" w:hAnsiTheme="minorEastAsia" w:eastAsiaTheme="minorEastAsia"/>
                <w:szCs w:val="21"/>
              </w:rPr>
            </w:pPr>
            <w:r>
              <w:rPr>
                <w:rFonts w:hint="eastAsia" w:cs="黑体" w:asciiTheme="minorEastAsia" w:hAnsiTheme="minorEastAsia" w:eastAsiaTheme="minorEastAsia"/>
                <w:szCs w:val="21"/>
              </w:rPr>
              <w:t>1</w:t>
            </w:r>
            <w:r>
              <w:rPr>
                <w:rFonts w:cs="黑体" w:asciiTheme="minorEastAsia" w:hAnsiTheme="minorEastAsia" w:eastAsiaTheme="minorEastAsia"/>
                <w:szCs w:val="21"/>
              </w:rPr>
              <w:t>5</w:t>
            </w:r>
          </w:p>
        </w:tc>
        <w:tc>
          <w:tcPr>
            <w:tcW w:w="640" w:type="pct"/>
            <w:vAlign w:val="center"/>
          </w:tcPr>
          <w:p>
            <w:pPr>
              <w:numPr>
                <w:ilvl w:val="255"/>
                <w:numId w:val="0"/>
              </w:numPr>
              <w:tabs>
                <w:tab w:val="center" w:pos="3570"/>
                <w:tab w:val="right" w:pos="7875"/>
              </w:tabs>
              <w:spacing w:before="80" w:after="40"/>
              <w:jc w:val="center"/>
              <w:rPr>
                <w:rFonts w:cs="黑体" w:asciiTheme="minorEastAsia" w:hAnsiTheme="minorEastAsia" w:eastAsiaTheme="minorEastAsia"/>
                <w:szCs w:val="21"/>
              </w:rPr>
            </w:pPr>
            <w:r>
              <w:rPr>
                <w:rFonts w:hint="eastAsia" w:cs="黑体" w:asciiTheme="minorEastAsia" w:hAnsiTheme="minorEastAsia" w:eastAsiaTheme="minorEastAsia"/>
                <w:szCs w:val="21"/>
              </w:rPr>
              <w:t>2</w:t>
            </w:r>
            <w:r>
              <w:rPr>
                <w:rFonts w:cs="黑体" w:asciiTheme="minorEastAsia" w:hAnsiTheme="minorEastAsia" w:eastAsiaTheme="minorEastAsia"/>
                <w:szCs w:val="21"/>
              </w:rPr>
              <w:t>7.1</w:t>
            </w:r>
          </w:p>
        </w:tc>
        <w:tc>
          <w:tcPr>
            <w:tcW w:w="1253" w:type="pct"/>
            <w:vAlign w:val="center"/>
          </w:tcPr>
          <w:p>
            <w:pPr>
              <w:numPr>
                <w:ilvl w:val="255"/>
                <w:numId w:val="0"/>
              </w:numPr>
              <w:tabs>
                <w:tab w:val="center" w:pos="3570"/>
                <w:tab w:val="right" w:pos="7875"/>
              </w:tabs>
              <w:spacing w:before="80" w:after="40"/>
              <w:jc w:val="center"/>
              <w:rPr>
                <w:rFonts w:cs="黑体" w:asciiTheme="minorEastAsia" w:hAnsiTheme="minorEastAsia" w:eastAsiaTheme="minorEastAsia"/>
                <w:szCs w:val="21"/>
              </w:rPr>
            </w:pPr>
            <w:r>
              <w:rPr>
                <w:rFonts w:hint="eastAsia" w:cs="黑体" w:asciiTheme="minorEastAsia" w:hAnsiTheme="minorEastAsia" w:eastAsiaTheme="minorEastAsia"/>
                <w:szCs w:val="21"/>
              </w:rPr>
              <w:t>1</w:t>
            </w:r>
            <w:r>
              <w:rPr>
                <w:rFonts w:cs="黑体" w:asciiTheme="minorEastAsia" w:hAnsiTheme="minorEastAsia" w:eastAsiaTheme="minorEastAsia"/>
                <w:szCs w:val="21"/>
              </w:rPr>
              <w:t>10.0</w:t>
            </w:r>
            <w:r>
              <w:rPr>
                <w:rFonts w:hint="eastAsia" w:cs="黑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676" w:type="pct"/>
          </w:tcPr>
          <w:p>
            <w:pPr>
              <w:numPr>
                <w:ilvl w:val="255"/>
                <w:numId w:val="0"/>
              </w:numPr>
              <w:tabs>
                <w:tab w:val="center" w:pos="3570"/>
                <w:tab w:val="right" w:pos="7875"/>
              </w:tabs>
              <w:spacing w:before="80" w:after="40"/>
              <w:rPr>
                <w:rFonts w:cs="黑体" w:asciiTheme="minorEastAsia" w:hAnsiTheme="minorEastAsia" w:eastAsiaTheme="minorEastAsia"/>
                <w:szCs w:val="21"/>
              </w:rPr>
            </w:pPr>
            <w:r>
              <w:rPr>
                <w:rFonts w:hint="eastAsia" w:cs="黑体" w:asciiTheme="minorEastAsia" w:hAnsiTheme="minorEastAsia" w:eastAsiaTheme="minorEastAsia"/>
                <w:szCs w:val="21"/>
              </w:rPr>
              <w:t>3#</w:t>
            </w:r>
          </w:p>
        </w:tc>
        <w:tc>
          <w:tcPr>
            <w:tcW w:w="768" w:type="pct"/>
          </w:tcPr>
          <w:p>
            <w:pPr>
              <w:numPr>
                <w:ilvl w:val="255"/>
                <w:numId w:val="0"/>
              </w:numPr>
              <w:tabs>
                <w:tab w:val="center" w:pos="3570"/>
                <w:tab w:val="right" w:pos="7875"/>
              </w:tabs>
              <w:spacing w:before="80" w:after="40"/>
              <w:rPr>
                <w:rFonts w:cs="黑体" w:asciiTheme="minorEastAsia" w:hAnsiTheme="minorEastAsia" w:eastAsiaTheme="minorEastAsia"/>
                <w:szCs w:val="21"/>
              </w:rPr>
            </w:pPr>
            <w:r>
              <w:rPr>
                <w:rFonts w:hint="eastAsia" w:cs="黑体" w:asciiTheme="minorEastAsia" w:hAnsiTheme="minorEastAsia" w:eastAsiaTheme="minorEastAsia"/>
                <w:szCs w:val="21"/>
              </w:rPr>
              <w:t>白</w:t>
            </w:r>
            <w:r>
              <w:rPr>
                <w:rFonts w:cs="黑体" w:asciiTheme="minorEastAsia" w:hAnsiTheme="minorEastAsia" w:eastAsiaTheme="minorEastAsia"/>
                <w:szCs w:val="21"/>
              </w:rPr>
              <w:t>钨精矿</w:t>
            </w:r>
          </w:p>
        </w:tc>
        <w:tc>
          <w:tcPr>
            <w:tcW w:w="1043" w:type="pct"/>
          </w:tcPr>
          <w:p>
            <w:pPr>
              <w:numPr>
                <w:ilvl w:val="255"/>
                <w:numId w:val="0"/>
              </w:numPr>
              <w:tabs>
                <w:tab w:val="center" w:pos="3570"/>
                <w:tab w:val="right" w:pos="7875"/>
              </w:tabs>
              <w:spacing w:before="80" w:after="40"/>
              <w:jc w:val="center"/>
              <w:rPr>
                <w:rFonts w:cs="黑体" w:asciiTheme="minorEastAsia" w:hAnsiTheme="minorEastAsia" w:eastAsiaTheme="minorEastAsia"/>
                <w:szCs w:val="21"/>
              </w:rPr>
            </w:pPr>
            <w:r>
              <w:rPr>
                <w:rFonts w:hint="eastAsia" w:cs="黑体" w:asciiTheme="minorEastAsia" w:hAnsiTheme="minorEastAsia" w:eastAsiaTheme="minorEastAsia"/>
                <w:szCs w:val="21"/>
              </w:rPr>
              <w:t>4</w:t>
            </w:r>
            <w:r>
              <w:rPr>
                <w:rFonts w:cs="黑体" w:asciiTheme="minorEastAsia" w:hAnsiTheme="minorEastAsia" w:eastAsiaTheme="minorEastAsia"/>
                <w:szCs w:val="21"/>
              </w:rPr>
              <w:t>7.2</w:t>
            </w:r>
          </w:p>
        </w:tc>
        <w:tc>
          <w:tcPr>
            <w:tcW w:w="618" w:type="pct"/>
            <w:vAlign w:val="center"/>
          </w:tcPr>
          <w:p>
            <w:pPr>
              <w:numPr>
                <w:ilvl w:val="255"/>
                <w:numId w:val="0"/>
              </w:numPr>
              <w:tabs>
                <w:tab w:val="center" w:pos="3570"/>
                <w:tab w:val="right" w:pos="7875"/>
              </w:tabs>
              <w:spacing w:before="80" w:after="40"/>
              <w:jc w:val="center"/>
              <w:rPr>
                <w:rFonts w:cs="黑体" w:asciiTheme="minorEastAsia" w:hAnsiTheme="minorEastAsia" w:eastAsiaTheme="minorEastAsia"/>
                <w:szCs w:val="21"/>
              </w:rPr>
            </w:pPr>
            <w:r>
              <w:rPr>
                <w:rFonts w:hint="eastAsia" w:cs="黑体" w:asciiTheme="minorEastAsia" w:hAnsiTheme="minorEastAsia" w:eastAsiaTheme="minorEastAsia"/>
                <w:szCs w:val="21"/>
              </w:rPr>
              <w:t>5</w:t>
            </w:r>
            <w:r>
              <w:rPr>
                <w:rFonts w:cs="黑体" w:asciiTheme="minorEastAsia" w:hAnsiTheme="minorEastAsia" w:eastAsiaTheme="minorEastAsia"/>
                <w:szCs w:val="21"/>
              </w:rPr>
              <w:t>0</w:t>
            </w:r>
          </w:p>
        </w:tc>
        <w:tc>
          <w:tcPr>
            <w:tcW w:w="640" w:type="pct"/>
          </w:tcPr>
          <w:p>
            <w:pPr>
              <w:numPr>
                <w:ilvl w:val="255"/>
                <w:numId w:val="0"/>
              </w:numPr>
              <w:tabs>
                <w:tab w:val="center" w:pos="3570"/>
                <w:tab w:val="right" w:pos="7875"/>
              </w:tabs>
              <w:spacing w:before="80" w:after="40"/>
              <w:jc w:val="center"/>
              <w:rPr>
                <w:rFonts w:cs="黑体" w:asciiTheme="minorEastAsia" w:hAnsiTheme="minorEastAsia" w:eastAsiaTheme="minorEastAsia"/>
                <w:szCs w:val="21"/>
              </w:rPr>
            </w:pPr>
            <w:r>
              <w:rPr>
                <w:rFonts w:hint="eastAsia" w:cs="黑体" w:asciiTheme="minorEastAsia" w:hAnsiTheme="minorEastAsia" w:eastAsiaTheme="minorEastAsia"/>
                <w:szCs w:val="21"/>
              </w:rPr>
              <w:t>9</w:t>
            </w:r>
            <w:r>
              <w:rPr>
                <w:rFonts w:cs="黑体" w:asciiTheme="minorEastAsia" w:hAnsiTheme="minorEastAsia" w:eastAsiaTheme="minorEastAsia"/>
                <w:szCs w:val="21"/>
              </w:rPr>
              <w:t>9.8</w:t>
            </w:r>
          </w:p>
        </w:tc>
        <w:tc>
          <w:tcPr>
            <w:tcW w:w="1253" w:type="pct"/>
          </w:tcPr>
          <w:p>
            <w:pPr>
              <w:numPr>
                <w:ilvl w:val="255"/>
                <w:numId w:val="0"/>
              </w:numPr>
              <w:tabs>
                <w:tab w:val="center" w:pos="3570"/>
                <w:tab w:val="right" w:pos="7875"/>
              </w:tabs>
              <w:spacing w:before="80" w:after="40"/>
              <w:jc w:val="center"/>
              <w:rPr>
                <w:rFonts w:cs="黑体" w:asciiTheme="minorEastAsia" w:hAnsiTheme="minorEastAsia" w:eastAsiaTheme="minorEastAsia"/>
                <w:szCs w:val="21"/>
              </w:rPr>
            </w:pPr>
            <w:r>
              <w:rPr>
                <w:rFonts w:hint="eastAsia" w:cs="黑体" w:asciiTheme="minorEastAsia" w:hAnsiTheme="minorEastAsia" w:eastAsiaTheme="minorEastAsia"/>
                <w:szCs w:val="21"/>
              </w:rPr>
              <w:t>1</w:t>
            </w:r>
            <w:r>
              <w:rPr>
                <w:rFonts w:cs="黑体" w:asciiTheme="minorEastAsia" w:hAnsiTheme="minorEastAsia" w:eastAsiaTheme="minorEastAsia"/>
                <w:szCs w:val="21"/>
              </w:rPr>
              <w:t>05.2</w:t>
            </w:r>
            <w:r>
              <w:rPr>
                <w:rFonts w:hint="eastAsia" w:cs="黑体" w:asciiTheme="minorEastAsia" w:hAnsiTheme="minorEastAsia" w:eastAsiaTheme="minorEastAsia"/>
                <w:szCs w:val="21"/>
              </w:rPr>
              <w:t>%</w:t>
            </w:r>
          </w:p>
        </w:tc>
      </w:tr>
    </w:tbl>
    <w:p>
      <w:pPr>
        <w:numPr>
          <w:ilvl w:val="255"/>
          <w:numId w:val="0"/>
        </w:numPr>
        <w:tabs>
          <w:tab w:val="center" w:pos="3570"/>
          <w:tab w:val="right" w:pos="7875"/>
        </w:tabs>
        <w:spacing w:before="80" w:after="40"/>
        <w:ind w:firstLine="420" w:firstLineChars="200"/>
        <w:rPr>
          <w:rFonts w:ascii="宋体" w:hAnsi="宋体" w:cs="黑体"/>
          <w:szCs w:val="21"/>
        </w:rPr>
      </w:pPr>
      <w:r>
        <w:rPr>
          <w:rFonts w:ascii="宋体" w:hAnsi="宋体" w:cs="黑体"/>
          <w:szCs w:val="21"/>
        </w:rPr>
        <w:t>实验结果</w:t>
      </w:r>
      <w:r>
        <w:rPr>
          <w:rFonts w:hint="eastAsia" w:ascii="宋体" w:hAnsi="宋体" w:cs="黑体"/>
          <w:szCs w:val="21"/>
        </w:rPr>
        <w:t>表明，本方法有良好的回收率和准确度，说明无基体吸附。</w:t>
      </w:r>
    </w:p>
    <w:p>
      <w:pPr>
        <w:adjustRightInd w:val="0"/>
        <w:snapToGrid w:val="0"/>
        <w:spacing w:before="156" w:beforeLines="50" w:after="156" w:afterLines="50"/>
        <w:rPr>
          <w:b/>
          <w:sz w:val="24"/>
        </w:rPr>
      </w:pPr>
      <w:r>
        <w:rPr>
          <w:b/>
          <w:sz w:val="24"/>
        </w:rPr>
        <w:t>3.2方法2：</w:t>
      </w:r>
      <w:r>
        <w:rPr>
          <w:rFonts w:hint="eastAsia"/>
          <w:b/>
          <w:sz w:val="24"/>
        </w:rPr>
        <w:t>火焰原子吸收光谱法</w:t>
      </w:r>
    </w:p>
    <w:p>
      <w:pPr>
        <w:adjustRightInd w:val="0"/>
        <w:snapToGrid w:val="0"/>
        <w:ind w:firstLine="420" w:firstLineChars="200"/>
        <w:rPr>
          <w:szCs w:val="21"/>
        </w:rPr>
      </w:pPr>
      <w:r>
        <w:rPr>
          <w:rFonts w:hint="eastAsia"/>
          <w:szCs w:val="21"/>
        </w:rPr>
        <w:t>由于没有对本方法进行技术性修订，只重新考察了方法的精密度，数据见表1</w:t>
      </w:r>
      <w:r>
        <w:rPr>
          <w:rFonts w:hint="eastAsia"/>
          <w:szCs w:val="21"/>
          <w:lang w:val="en-US" w:eastAsia="zh-CN"/>
        </w:rPr>
        <w:t>5</w:t>
      </w:r>
      <w:r>
        <w:rPr>
          <w:rFonts w:hint="eastAsia"/>
          <w:szCs w:val="21"/>
        </w:rPr>
        <w:t>。</w:t>
      </w:r>
    </w:p>
    <w:p>
      <w:pPr>
        <w:adjustRightInd w:val="0"/>
        <w:snapToGrid w:val="0"/>
        <w:spacing w:before="156" w:beforeLines="50" w:after="156" w:afterLines="50"/>
        <w:ind w:firstLine="420" w:firstLineChars="200"/>
        <w:jc w:val="center"/>
        <w:rPr>
          <w:szCs w:val="21"/>
        </w:rPr>
      </w:pPr>
      <w:r>
        <w:rPr>
          <w:rFonts w:hint="eastAsia"/>
          <w:szCs w:val="21"/>
        </w:rPr>
        <w:t>表1</w:t>
      </w:r>
      <w:r>
        <w:rPr>
          <w:rFonts w:hint="eastAsia"/>
          <w:szCs w:val="21"/>
          <w:lang w:val="en-US" w:eastAsia="zh-CN"/>
        </w:rPr>
        <w:t>5</w:t>
      </w:r>
      <w:r>
        <w:rPr>
          <w:rFonts w:hint="eastAsia"/>
          <w:szCs w:val="21"/>
        </w:rPr>
        <w:t>火焰原子吸收光谱法精密度</w:t>
      </w:r>
      <w:r>
        <w:rPr>
          <w:szCs w:val="21"/>
        </w:rPr>
        <w:t>数据统计</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7"/>
        <w:gridCol w:w="3960"/>
        <w:gridCol w:w="1454"/>
        <w:gridCol w:w="872"/>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99" w:type="pct"/>
          </w:tcPr>
          <w:p>
            <w:pPr>
              <w:numPr>
                <w:ilvl w:val="255"/>
                <w:numId w:val="0"/>
              </w:numPr>
              <w:tabs>
                <w:tab w:val="center" w:pos="3570"/>
                <w:tab w:val="right" w:pos="7875"/>
              </w:tabs>
              <w:spacing w:before="80" w:after="40"/>
              <w:rPr>
                <w:szCs w:val="21"/>
              </w:rPr>
            </w:pPr>
            <w:r>
              <w:rPr>
                <w:rFonts w:hint="eastAsia"/>
                <w:szCs w:val="21"/>
              </w:rPr>
              <w:t>样品编号</w:t>
            </w:r>
          </w:p>
        </w:tc>
        <w:tc>
          <w:tcPr>
            <w:tcW w:w="2184" w:type="pct"/>
          </w:tcPr>
          <w:p>
            <w:pPr>
              <w:numPr>
                <w:ilvl w:val="255"/>
                <w:numId w:val="0"/>
              </w:numPr>
              <w:tabs>
                <w:tab w:val="center" w:pos="3570"/>
                <w:tab w:val="right" w:pos="7875"/>
              </w:tabs>
              <w:spacing w:before="80" w:after="40"/>
              <w:rPr>
                <w:szCs w:val="21"/>
              </w:rPr>
            </w:pPr>
            <w:r>
              <w:rPr>
                <w:rFonts w:hint="eastAsia"/>
                <w:szCs w:val="21"/>
              </w:rPr>
              <w:t>测定结果</w:t>
            </w:r>
            <w:r>
              <w:rPr>
                <w:rFonts w:hint="eastAsia" w:ascii="宋体" w:hAnsi="宋体" w:cs="宋体"/>
                <w:szCs w:val="21"/>
              </w:rPr>
              <w:t>(</w:t>
            </w:r>
            <w:r>
              <w:rPr>
                <w:szCs w:val="21"/>
              </w:rPr>
              <w:t>%</w:t>
            </w:r>
            <w:r>
              <w:rPr>
                <w:rFonts w:hint="eastAsia" w:ascii="黑体" w:hAnsi="黑体" w:eastAsia="黑体" w:cs="黑体"/>
                <w:szCs w:val="21"/>
              </w:rPr>
              <w:t>)</w:t>
            </w:r>
          </w:p>
        </w:tc>
        <w:tc>
          <w:tcPr>
            <w:tcW w:w="802" w:type="pct"/>
          </w:tcPr>
          <w:p>
            <w:pPr>
              <w:numPr>
                <w:ilvl w:val="255"/>
                <w:numId w:val="0"/>
              </w:numPr>
              <w:tabs>
                <w:tab w:val="center" w:pos="3570"/>
                <w:tab w:val="right" w:pos="7875"/>
              </w:tabs>
              <w:spacing w:before="80" w:after="40"/>
              <w:rPr>
                <w:szCs w:val="21"/>
              </w:rPr>
            </w:pPr>
            <w:r>
              <w:rPr>
                <w:rFonts w:hint="eastAsia"/>
                <w:szCs w:val="21"/>
              </w:rPr>
              <w:t>平均值</w:t>
            </w:r>
            <w:r>
              <w:rPr>
                <w:rFonts w:hint="eastAsia" w:ascii="宋体" w:hAnsi="宋体" w:cs="宋体"/>
                <w:szCs w:val="21"/>
              </w:rPr>
              <w:t>(</w:t>
            </w:r>
            <w:r>
              <w:rPr>
                <w:szCs w:val="21"/>
              </w:rPr>
              <w:t>%</w:t>
            </w:r>
            <w:r>
              <w:rPr>
                <w:rFonts w:hint="eastAsia" w:ascii="黑体" w:hAnsi="黑体" w:eastAsia="黑体" w:cs="黑体"/>
                <w:szCs w:val="21"/>
              </w:rPr>
              <w:t>)</w:t>
            </w:r>
          </w:p>
        </w:tc>
        <w:tc>
          <w:tcPr>
            <w:tcW w:w="481" w:type="pct"/>
            <w:vAlign w:val="center"/>
          </w:tcPr>
          <w:p>
            <w:pPr>
              <w:numPr>
                <w:ilvl w:val="255"/>
                <w:numId w:val="0"/>
              </w:numPr>
              <w:tabs>
                <w:tab w:val="center" w:pos="3570"/>
                <w:tab w:val="right" w:pos="7875"/>
              </w:tabs>
              <w:spacing w:before="80" w:after="40"/>
              <w:jc w:val="center"/>
              <w:rPr>
                <w:rFonts w:asciiTheme="minorEastAsia" w:hAnsiTheme="minorEastAsia" w:eastAsiaTheme="minorEastAsia"/>
                <w:szCs w:val="21"/>
              </w:rPr>
            </w:pPr>
            <w:r>
              <w:rPr>
                <w:rFonts w:hint="eastAsia" w:asciiTheme="minorEastAsia" w:hAnsiTheme="minorEastAsia" w:eastAsiaTheme="minorEastAsia"/>
                <w:szCs w:val="21"/>
              </w:rPr>
              <w:t>S</w:t>
            </w:r>
            <w:r>
              <w:rPr>
                <w:rFonts w:asciiTheme="minorEastAsia" w:hAnsiTheme="minorEastAsia" w:eastAsiaTheme="minorEastAsia"/>
                <w:szCs w:val="21"/>
              </w:rPr>
              <w:t>D</w:t>
            </w:r>
          </w:p>
        </w:tc>
        <w:tc>
          <w:tcPr>
            <w:tcW w:w="831" w:type="pct"/>
            <w:vAlign w:val="center"/>
          </w:tcPr>
          <w:p>
            <w:pPr>
              <w:numPr>
                <w:ilvl w:val="255"/>
                <w:numId w:val="0"/>
              </w:numPr>
              <w:tabs>
                <w:tab w:val="center" w:pos="3570"/>
                <w:tab w:val="right" w:pos="7875"/>
              </w:tabs>
              <w:spacing w:before="80" w:after="40"/>
              <w:jc w:val="center"/>
              <w:rPr>
                <w:rFonts w:asciiTheme="minorEastAsia" w:hAnsiTheme="minorEastAsia" w:eastAsiaTheme="minorEastAsia"/>
                <w:szCs w:val="21"/>
              </w:rPr>
            </w:pPr>
            <w:r>
              <w:rPr>
                <w:rFonts w:cs="宋体" w:asciiTheme="minorEastAsia" w:hAnsiTheme="minorEastAsia" w:eastAsiaTheme="minorEastAsia"/>
                <w:szCs w:val="21"/>
              </w:rPr>
              <w:t>RSD</w:t>
            </w:r>
            <w:r>
              <w:rPr>
                <w:rFonts w:hint="eastAsia" w:cs="宋体" w:asciiTheme="minorEastAsia" w:hAnsiTheme="minorEastAsia" w:eastAsiaTheme="minorEastAsia"/>
                <w:szCs w:val="21"/>
              </w:rPr>
              <w:t>(</w:t>
            </w:r>
            <w:r>
              <w:rPr>
                <w:rFonts w:asciiTheme="minorEastAsia" w:hAnsiTheme="minorEastAsia" w:eastAsiaTheme="minorEastAsia"/>
                <w:szCs w:val="21"/>
              </w:rPr>
              <w:t>%</w:t>
            </w:r>
            <w:r>
              <w:rPr>
                <w:rFonts w:hint="eastAsia" w:cs="黑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99" w:type="pct"/>
          </w:tcPr>
          <w:p>
            <w:pPr>
              <w:numPr>
                <w:ilvl w:val="255"/>
                <w:numId w:val="0"/>
              </w:numPr>
              <w:tabs>
                <w:tab w:val="center" w:pos="3570"/>
                <w:tab w:val="right" w:pos="7875"/>
              </w:tabs>
              <w:spacing w:before="80" w:after="40"/>
              <w:jc w:val="center"/>
              <w:rPr>
                <w:szCs w:val="21"/>
              </w:rPr>
            </w:pPr>
          </w:p>
          <w:p>
            <w:pPr>
              <w:numPr>
                <w:ilvl w:val="255"/>
                <w:numId w:val="0"/>
              </w:numPr>
              <w:tabs>
                <w:tab w:val="center" w:pos="3570"/>
                <w:tab w:val="right" w:pos="7875"/>
              </w:tabs>
              <w:spacing w:before="80" w:after="40"/>
              <w:jc w:val="center"/>
              <w:rPr>
                <w:szCs w:val="21"/>
              </w:rPr>
            </w:pPr>
            <w:r>
              <w:rPr>
                <w:rFonts w:hint="eastAsia"/>
                <w:szCs w:val="21"/>
              </w:rPr>
              <w:t>4#</w:t>
            </w:r>
          </w:p>
        </w:tc>
        <w:tc>
          <w:tcPr>
            <w:tcW w:w="2184" w:type="pct"/>
          </w:tcPr>
          <w:p>
            <w:pPr>
              <w:numPr>
                <w:ilvl w:val="255"/>
                <w:numId w:val="0"/>
              </w:numPr>
              <w:tabs>
                <w:tab w:val="center" w:pos="3570"/>
                <w:tab w:val="right" w:pos="7875"/>
              </w:tabs>
              <w:spacing w:before="80" w:after="40"/>
              <w:jc w:val="left"/>
              <w:rPr>
                <w:szCs w:val="21"/>
              </w:rPr>
            </w:pPr>
            <w:r>
              <w:rPr>
                <w:rFonts w:hint="eastAsia"/>
                <w:szCs w:val="21"/>
              </w:rPr>
              <w:t>0</w:t>
            </w:r>
            <w:r>
              <w:rPr>
                <w:szCs w:val="21"/>
              </w:rPr>
              <w:t>.1</w:t>
            </w:r>
            <w:r>
              <w:rPr>
                <w:rFonts w:hint="eastAsia"/>
                <w:szCs w:val="21"/>
              </w:rPr>
              <w:t>42、0.142、0.140、0.142、0.141、0.139、0.142、0.143、0.140、0.140、0.140</w:t>
            </w:r>
          </w:p>
        </w:tc>
        <w:tc>
          <w:tcPr>
            <w:tcW w:w="802" w:type="pct"/>
            <w:vAlign w:val="center"/>
          </w:tcPr>
          <w:p>
            <w:pPr>
              <w:numPr>
                <w:ilvl w:val="255"/>
                <w:numId w:val="0"/>
              </w:numPr>
              <w:tabs>
                <w:tab w:val="center" w:pos="3570"/>
                <w:tab w:val="right" w:pos="7875"/>
              </w:tabs>
              <w:spacing w:before="80" w:after="40"/>
              <w:jc w:val="center"/>
              <w:rPr>
                <w:szCs w:val="21"/>
              </w:rPr>
            </w:pPr>
            <w:r>
              <w:rPr>
                <w:rFonts w:hint="eastAsia"/>
                <w:szCs w:val="21"/>
              </w:rPr>
              <w:t>0.141</w:t>
            </w:r>
          </w:p>
        </w:tc>
        <w:tc>
          <w:tcPr>
            <w:tcW w:w="481" w:type="pct"/>
            <w:vAlign w:val="center"/>
          </w:tcPr>
          <w:p>
            <w:pPr>
              <w:numPr>
                <w:ilvl w:val="255"/>
                <w:numId w:val="0"/>
              </w:numPr>
              <w:tabs>
                <w:tab w:val="center" w:pos="3570"/>
                <w:tab w:val="right" w:pos="7875"/>
              </w:tabs>
              <w:spacing w:before="80" w:after="40"/>
              <w:jc w:val="center"/>
              <w:rPr>
                <w:szCs w:val="21"/>
              </w:rPr>
            </w:pPr>
            <w:r>
              <w:rPr>
                <w:rFonts w:hint="eastAsia"/>
                <w:szCs w:val="21"/>
              </w:rPr>
              <w:t>0.0013</w:t>
            </w:r>
          </w:p>
        </w:tc>
        <w:tc>
          <w:tcPr>
            <w:tcW w:w="831" w:type="pct"/>
            <w:vAlign w:val="center"/>
          </w:tcPr>
          <w:p>
            <w:pPr>
              <w:numPr>
                <w:ilvl w:val="255"/>
                <w:numId w:val="0"/>
              </w:numPr>
              <w:tabs>
                <w:tab w:val="center" w:pos="3570"/>
                <w:tab w:val="right" w:pos="7875"/>
              </w:tabs>
              <w:spacing w:before="80" w:after="40"/>
              <w:jc w:val="center"/>
              <w:rPr>
                <w:szCs w:val="21"/>
              </w:rPr>
            </w:pPr>
            <w:r>
              <w:rPr>
                <w:rFonts w:hint="eastAsia"/>
                <w:szCs w:val="21"/>
              </w:rPr>
              <w:t>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99" w:type="pct"/>
          </w:tcPr>
          <w:p>
            <w:pPr>
              <w:numPr>
                <w:ilvl w:val="255"/>
                <w:numId w:val="0"/>
              </w:numPr>
              <w:tabs>
                <w:tab w:val="center" w:pos="3570"/>
                <w:tab w:val="right" w:pos="7875"/>
              </w:tabs>
              <w:spacing w:before="80" w:after="40"/>
              <w:jc w:val="center"/>
              <w:rPr>
                <w:szCs w:val="21"/>
              </w:rPr>
            </w:pPr>
          </w:p>
          <w:p>
            <w:pPr>
              <w:numPr>
                <w:ilvl w:val="255"/>
                <w:numId w:val="0"/>
              </w:numPr>
              <w:tabs>
                <w:tab w:val="center" w:pos="3570"/>
                <w:tab w:val="right" w:pos="7875"/>
              </w:tabs>
              <w:spacing w:before="80" w:after="40"/>
              <w:jc w:val="center"/>
              <w:rPr>
                <w:szCs w:val="21"/>
              </w:rPr>
            </w:pPr>
            <w:r>
              <w:rPr>
                <w:rFonts w:hint="eastAsia"/>
                <w:szCs w:val="21"/>
              </w:rPr>
              <w:t>5#</w:t>
            </w:r>
          </w:p>
        </w:tc>
        <w:tc>
          <w:tcPr>
            <w:tcW w:w="2184" w:type="pct"/>
          </w:tcPr>
          <w:p>
            <w:pPr>
              <w:numPr>
                <w:ilvl w:val="255"/>
                <w:numId w:val="0"/>
              </w:numPr>
              <w:tabs>
                <w:tab w:val="center" w:pos="3570"/>
                <w:tab w:val="right" w:pos="7875"/>
              </w:tabs>
              <w:spacing w:before="80" w:after="40"/>
              <w:jc w:val="left"/>
              <w:rPr>
                <w:szCs w:val="21"/>
              </w:rPr>
            </w:pPr>
            <w:r>
              <w:rPr>
                <w:rFonts w:hint="eastAsia"/>
                <w:szCs w:val="21"/>
              </w:rPr>
              <w:t>0</w:t>
            </w:r>
            <w:r>
              <w:rPr>
                <w:szCs w:val="21"/>
              </w:rPr>
              <w:t>.28</w:t>
            </w:r>
            <w:r>
              <w:rPr>
                <w:rFonts w:hint="eastAsia"/>
                <w:szCs w:val="21"/>
              </w:rPr>
              <w:t>2、0.280、0.282、0.280、0.280、0.279、0.279、0.277、0.280、0.281、0.279</w:t>
            </w:r>
          </w:p>
        </w:tc>
        <w:tc>
          <w:tcPr>
            <w:tcW w:w="802" w:type="pct"/>
            <w:vAlign w:val="center"/>
          </w:tcPr>
          <w:p>
            <w:pPr>
              <w:numPr>
                <w:ilvl w:val="255"/>
                <w:numId w:val="0"/>
              </w:numPr>
              <w:tabs>
                <w:tab w:val="center" w:pos="3570"/>
                <w:tab w:val="right" w:pos="7875"/>
              </w:tabs>
              <w:spacing w:before="80" w:after="40"/>
              <w:jc w:val="center"/>
              <w:rPr>
                <w:szCs w:val="21"/>
              </w:rPr>
            </w:pPr>
            <w:r>
              <w:rPr>
                <w:rFonts w:hint="eastAsia"/>
                <w:szCs w:val="21"/>
              </w:rPr>
              <w:t>0.280</w:t>
            </w:r>
          </w:p>
        </w:tc>
        <w:tc>
          <w:tcPr>
            <w:tcW w:w="481" w:type="pct"/>
            <w:vAlign w:val="center"/>
          </w:tcPr>
          <w:p>
            <w:pPr>
              <w:numPr>
                <w:ilvl w:val="255"/>
                <w:numId w:val="0"/>
              </w:numPr>
              <w:tabs>
                <w:tab w:val="center" w:pos="3570"/>
                <w:tab w:val="right" w:pos="7875"/>
              </w:tabs>
              <w:spacing w:before="80" w:after="40"/>
              <w:jc w:val="center"/>
              <w:rPr>
                <w:szCs w:val="21"/>
              </w:rPr>
            </w:pPr>
            <w:r>
              <w:rPr>
                <w:rFonts w:hint="eastAsia"/>
                <w:szCs w:val="21"/>
              </w:rPr>
              <w:t>0.0014</w:t>
            </w:r>
          </w:p>
        </w:tc>
        <w:tc>
          <w:tcPr>
            <w:tcW w:w="831" w:type="pct"/>
            <w:vAlign w:val="center"/>
          </w:tcPr>
          <w:p>
            <w:pPr>
              <w:numPr>
                <w:ilvl w:val="255"/>
                <w:numId w:val="0"/>
              </w:numPr>
              <w:tabs>
                <w:tab w:val="center" w:pos="3570"/>
                <w:tab w:val="right" w:pos="7875"/>
              </w:tabs>
              <w:spacing w:before="80" w:after="40"/>
              <w:jc w:val="center"/>
              <w:rPr>
                <w:szCs w:val="21"/>
              </w:rPr>
            </w:pPr>
            <w:r>
              <w:rPr>
                <w:rFonts w:hint="eastAsia"/>
                <w:szCs w:val="21"/>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pct"/>
          </w:tcPr>
          <w:p>
            <w:pPr>
              <w:numPr>
                <w:ilvl w:val="255"/>
                <w:numId w:val="0"/>
              </w:numPr>
              <w:tabs>
                <w:tab w:val="center" w:pos="3570"/>
                <w:tab w:val="right" w:pos="7875"/>
              </w:tabs>
              <w:spacing w:before="80" w:after="40"/>
              <w:jc w:val="center"/>
              <w:rPr>
                <w:szCs w:val="21"/>
              </w:rPr>
            </w:pPr>
          </w:p>
          <w:p>
            <w:pPr>
              <w:numPr>
                <w:ilvl w:val="255"/>
                <w:numId w:val="0"/>
              </w:numPr>
              <w:tabs>
                <w:tab w:val="center" w:pos="3570"/>
                <w:tab w:val="right" w:pos="7875"/>
              </w:tabs>
              <w:spacing w:before="80" w:after="40"/>
              <w:jc w:val="center"/>
              <w:rPr>
                <w:szCs w:val="21"/>
              </w:rPr>
            </w:pPr>
            <w:r>
              <w:rPr>
                <w:rFonts w:hint="eastAsia"/>
                <w:szCs w:val="21"/>
              </w:rPr>
              <w:t>6#</w:t>
            </w:r>
          </w:p>
        </w:tc>
        <w:tc>
          <w:tcPr>
            <w:tcW w:w="2184" w:type="pct"/>
          </w:tcPr>
          <w:p>
            <w:pPr>
              <w:numPr>
                <w:ilvl w:val="255"/>
                <w:numId w:val="0"/>
              </w:numPr>
              <w:tabs>
                <w:tab w:val="center" w:pos="3570"/>
                <w:tab w:val="right" w:pos="7875"/>
              </w:tabs>
              <w:spacing w:before="80" w:after="40"/>
              <w:jc w:val="left"/>
              <w:rPr>
                <w:szCs w:val="21"/>
              </w:rPr>
            </w:pPr>
            <w:r>
              <w:rPr>
                <w:rFonts w:hint="eastAsia"/>
                <w:szCs w:val="21"/>
              </w:rPr>
              <w:t>0</w:t>
            </w:r>
            <w:r>
              <w:rPr>
                <w:szCs w:val="21"/>
              </w:rPr>
              <w:t>.4</w:t>
            </w:r>
            <w:r>
              <w:rPr>
                <w:rFonts w:hint="eastAsia"/>
                <w:szCs w:val="21"/>
              </w:rPr>
              <w:t>88、0.490、0.483、0.486、0.485、0.473、0.472、0.473、0.476、0.471、0.471</w:t>
            </w:r>
          </w:p>
        </w:tc>
        <w:tc>
          <w:tcPr>
            <w:tcW w:w="802" w:type="pct"/>
            <w:vAlign w:val="center"/>
          </w:tcPr>
          <w:p>
            <w:pPr>
              <w:numPr>
                <w:ilvl w:val="255"/>
                <w:numId w:val="0"/>
              </w:numPr>
              <w:tabs>
                <w:tab w:val="center" w:pos="3570"/>
                <w:tab w:val="right" w:pos="7875"/>
              </w:tabs>
              <w:spacing w:before="80" w:after="40"/>
              <w:jc w:val="center"/>
              <w:rPr>
                <w:szCs w:val="21"/>
              </w:rPr>
            </w:pPr>
            <w:r>
              <w:rPr>
                <w:rFonts w:hint="eastAsia"/>
                <w:szCs w:val="21"/>
              </w:rPr>
              <w:t>0.479</w:t>
            </w:r>
          </w:p>
        </w:tc>
        <w:tc>
          <w:tcPr>
            <w:tcW w:w="481" w:type="pct"/>
            <w:vAlign w:val="center"/>
          </w:tcPr>
          <w:p>
            <w:pPr>
              <w:numPr>
                <w:ilvl w:val="255"/>
                <w:numId w:val="0"/>
              </w:numPr>
              <w:tabs>
                <w:tab w:val="center" w:pos="3570"/>
                <w:tab w:val="right" w:pos="7875"/>
              </w:tabs>
              <w:spacing w:before="80" w:after="40"/>
              <w:jc w:val="center"/>
              <w:rPr>
                <w:szCs w:val="21"/>
              </w:rPr>
            </w:pPr>
            <w:r>
              <w:rPr>
                <w:rFonts w:hint="eastAsia"/>
                <w:szCs w:val="21"/>
              </w:rPr>
              <w:t>0.0075</w:t>
            </w:r>
          </w:p>
        </w:tc>
        <w:tc>
          <w:tcPr>
            <w:tcW w:w="831" w:type="pct"/>
            <w:vAlign w:val="center"/>
          </w:tcPr>
          <w:p>
            <w:pPr>
              <w:numPr>
                <w:ilvl w:val="255"/>
                <w:numId w:val="0"/>
              </w:numPr>
              <w:tabs>
                <w:tab w:val="center" w:pos="3570"/>
                <w:tab w:val="right" w:pos="7875"/>
              </w:tabs>
              <w:spacing w:before="80" w:after="40"/>
              <w:jc w:val="center"/>
              <w:rPr>
                <w:szCs w:val="21"/>
              </w:rPr>
            </w:pPr>
            <w:r>
              <w:rPr>
                <w:rFonts w:hint="eastAsia"/>
                <w:szCs w:val="21"/>
              </w:rPr>
              <w:t>1.56%</w:t>
            </w:r>
          </w:p>
        </w:tc>
      </w:tr>
    </w:tbl>
    <w:p>
      <w:pPr>
        <w:adjustRightInd w:val="0"/>
        <w:snapToGrid w:val="0"/>
        <w:spacing w:before="156" w:beforeLines="50" w:after="156" w:afterLines="50"/>
        <w:rPr>
          <w:b/>
          <w:szCs w:val="21"/>
        </w:rPr>
      </w:pPr>
      <w:r>
        <w:rPr>
          <w:rFonts w:hint="eastAsia"/>
          <w:b/>
          <w:szCs w:val="21"/>
        </w:rPr>
        <w:t>3.3</w:t>
      </w:r>
      <w:r>
        <w:rPr>
          <w:b/>
          <w:szCs w:val="21"/>
        </w:rPr>
        <w:t xml:space="preserve"> </w:t>
      </w:r>
      <w:r>
        <w:rPr>
          <w:rFonts w:hint="eastAsia"/>
          <w:b/>
          <w:szCs w:val="21"/>
        </w:rPr>
        <w:t>数据</w:t>
      </w:r>
      <w:r>
        <w:rPr>
          <w:b/>
          <w:szCs w:val="21"/>
        </w:rPr>
        <w:t>统计分析</w:t>
      </w:r>
    </w:p>
    <w:p>
      <w:pPr>
        <w:adjustRightInd w:val="0"/>
        <w:snapToGrid w:val="0"/>
        <w:spacing w:before="156" w:beforeLines="50" w:after="156" w:afterLines="50"/>
        <w:ind w:firstLine="420" w:firstLineChars="200"/>
        <w:rPr>
          <w:rFonts w:hint="default" w:eastAsia="宋体"/>
          <w:szCs w:val="21"/>
          <w:lang w:val="en-US" w:eastAsia="zh-CN"/>
        </w:rPr>
      </w:pPr>
      <w:r>
        <w:rPr>
          <w:rFonts w:hint="eastAsia"/>
          <w:szCs w:val="21"/>
        </w:rPr>
        <w:t>两方法数据</w:t>
      </w:r>
      <w:r>
        <w:rPr>
          <w:szCs w:val="21"/>
        </w:rPr>
        <w:t>格拉布斯检验、柯克伦检验</w:t>
      </w:r>
      <w:r>
        <w:rPr>
          <w:rFonts w:hint="eastAsia"/>
          <w:szCs w:val="21"/>
        </w:rPr>
        <w:t>见</w:t>
      </w:r>
      <w:r>
        <w:rPr>
          <w:szCs w:val="21"/>
        </w:rPr>
        <w:t>表</w:t>
      </w:r>
      <w:r>
        <w:rPr>
          <w:rFonts w:hint="eastAsia"/>
          <w:szCs w:val="21"/>
          <w:lang w:val="en-US" w:eastAsia="zh-CN"/>
        </w:rPr>
        <w:t>附录B</w:t>
      </w:r>
      <w:r>
        <w:rPr>
          <w:rFonts w:hint="eastAsia"/>
          <w:szCs w:val="21"/>
        </w:rPr>
        <w:t>、</w:t>
      </w:r>
      <w:r>
        <w:rPr>
          <w:szCs w:val="21"/>
        </w:rPr>
        <w:t>重复性限、再现性限</w:t>
      </w:r>
      <w:r>
        <w:rPr>
          <w:rFonts w:hint="eastAsia"/>
          <w:szCs w:val="21"/>
        </w:rPr>
        <w:t>见</w:t>
      </w:r>
      <w:r>
        <w:rPr>
          <w:szCs w:val="21"/>
        </w:rPr>
        <w:t>表</w:t>
      </w:r>
      <w:r>
        <w:rPr>
          <w:rFonts w:hint="eastAsia"/>
          <w:szCs w:val="21"/>
          <w:lang w:val="en-US" w:eastAsia="zh-CN"/>
        </w:rPr>
        <w:t>附录C</w:t>
      </w:r>
      <w:r>
        <w:rPr>
          <w:rFonts w:hint="eastAsia"/>
          <w:szCs w:val="21"/>
        </w:rPr>
        <w:t>。</w:t>
      </w:r>
      <w:r>
        <w:rPr>
          <w:rFonts w:hint="eastAsia"/>
          <w:szCs w:val="21"/>
          <w:lang w:val="en-US" w:eastAsia="zh-CN"/>
        </w:rPr>
        <w:t>所有数据满足统计要求，给予保留。</w:t>
      </w:r>
    </w:p>
    <w:p>
      <w:pPr>
        <w:pStyle w:val="2"/>
        <w:rPr>
          <w:rFonts w:ascii="Times New Roman" w:hAnsi="Times New Roman"/>
          <w:bCs w:val="0"/>
          <w:color w:val="auto"/>
          <w:kern w:val="2"/>
          <w:sz w:val="21"/>
          <w:szCs w:val="21"/>
          <w:lang w:val="en-US"/>
        </w:rPr>
      </w:pPr>
      <w:r>
        <w:rPr>
          <w:rFonts w:hint="eastAsia" w:ascii="Times New Roman" w:hAnsi="Times New Roman"/>
          <w:bCs w:val="0"/>
          <w:color w:val="auto"/>
          <w:kern w:val="2"/>
          <w:sz w:val="21"/>
          <w:szCs w:val="21"/>
          <w:lang w:val="en-US"/>
        </w:rPr>
        <w:t>3.4</w:t>
      </w:r>
      <w:r>
        <w:rPr>
          <w:rFonts w:ascii="Times New Roman" w:hAnsi="Times New Roman"/>
          <w:bCs w:val="0"/>
          <w:color w:val="auto"/>
          <w:kern w:val="2"/>
          <w:sz w:val="21"/>
          <w:szCs w:val="21"/>
          <w:lang w:val="en-US"/>
        </w:rPr>
        <w:t xml:space="preserve"> </w:t>
      </w:r>
      <w:r>
        <w:rPr>
          <w:rFonts w:hint="eastAsia" w:ascii="Times New Roman" w:hAnsi="Times New Roman"/>
          <w:bCs w:val="0"/>
          <w:color w:val="auto"/>
          <w:kern w:val="2"/>
          <w:sz w:val="21"/>
          <w:szCs w:val="21"/>
          <w:lang w:val="en-US"/>
        </w:rPr>
        <w:t>方法</w:t>
      </w:r>
      <w:r>
        <w:rPr>
          <w:rFonts w:ascii="Times New Roman" w:hAnsi="Times New Roman"/>
          <w:bCs w:val="0"/>
          <w:color w:val="auto"/>
          <w:kern w:val="2"/>
          <w:sz w:val="21"/>
          <w:szCs w:val="21"/>
          <w:lang w:val="en-US"/>
        </w:rPr>
        <w:t>一致性评价</w:t>
      </w:r>
      <w:r>
        <w:rPr>
          <w:rFonts w:hint="eastAsia" w:ascii="Times New Roman" w:hAnsi="Times New Roman"/>
          <w:bCs w:val="0"/>
          <w:color w:val="auto"/>
          <w:kern w:val="2"/>
          <w:sz w:val="21"/>
          <w:szCs w:val="21"/>
          <w:lang w:val="en-US"/>
        </w:rPr>
        <w:t>、</w:t>
      </w:r>
      <w:r>
        <w:rPr>
          <w:rFonts w:ascii="Times New Roman" w:hAnsi="Times New Roman"/>
          <w:bCs w:val="0"/>
          <w:color w:val="auto"/>
          <w:kern w:val="2"/>
          <w:sz w:val="21"/>
          <w:szCs w:val="21"/>
          <w:lang w:val="en-US"/>
        </w:rPr>
        <w:t>测定范围和仲裁方法的确定</w:t>
      </w:r>
    </w:p>
    <w:p>
      <w:pPr>
        <w:ind w:firstLine="420" w:firstLineChars="200"/>
      </w:pPr>
      <w:r>
        <w:rPr>
          <w:rFonts w:hint="eastAsia"/>
        </w:rPr>
        <w:t>采用F检验</w:t>
      </w:r>
      <w:r>
        <w:t>和</w:t>
      </w:r>
      <w:r>
        <w:rPr>
          <w:rFonts w:hint="eastAsia"/>
        </w:rPr>
        <w:t>R检验</w:t>
      </w:r>
      <w:r>
        <w:t>进行方法一致性评价，结果见</w:t>
      </w:r>
      <w:r>
        <w:rPr>
          <w:rFonts w:hint="eastAsia"/>
        </w:rPr>
        <w:t>表16。</w:t>
      </w:r>
    </w:p>
    <w:tbl>
      <w:tblPr>
        <w:tblStyle w:val="88"/>
        <w:tblW w:w="5000" w:type="pct"/>
        <w:tblInd w:w="0" w:type="dxa"/>
        <w:tblLayout w:type="autofit"/>
        <w:tblCellMar>
          <w:top w:w="0" w:type="dxa"/>
          <w:left w:w="108" w:type="dxa"/>
          <w:bottom w:w="0" w:type="dxa"/>
          <w:right w:w="108" w:type="dxa"/>
        </w:tblCellMar>
      </w:tblPr>
      <w:tblGrid>
        <w:gridCol w:w="4023"/>
        <w:gridCol w:w="2437"/>
        <w:gridCol w:w="2600"/>
      </w:tblGrid>
      <w:tr>
        <w:tblPrEx>
          <w:tblCellMar>
            <w:top w:w="0" w:type="dxa"/>
            <w:left w:w="108" w:type="dxa"/>
            <w:bottom w:w="0" w:type="dxa"/>
            <w:right w:w="108" w:type="dxa"/>
          </w:tblCellMar>
        </w:tblPrEx>
        <w:trPr>
          <w:trHeight w:val="660" w:hRule="atLeast"/>
        </w:trPr>
        <w:tc>
          <w:tcPr>
            <w:tcW w:w="5000" w:type="pct"/>
            <w:gridSpan w:val="3"/>
            <w:tcBorders>
              <w:top w:val="nil"/>
              <w:left w:val="nil"/>
              <w:bottom w:val="nil"/>
              <w:right w:val="nil"/>
            </w:tcBorders>
            <w:shd w:val="clear" w:color="auto" w:fill="auto"/>
            <w:noWrap/>
            <w:vAlign w:val="center"/>
          </w:tcPr>
          <w:p>
            <w:pPr>
              <w:widowControl/>
              <w:jc w:val="center"/>
              <w:rPr>
                <w:rFonts w:ascii="等线" w:hAnsi="等线" w:eastAsia="等线" w:cs="宋体"/>
                <w:color w:val="000000"/>
                <w:kern w:val="0"/>
                <w:sz w:val="40"/>
                <w:szCs w:val="40"/>
              </w:rPr>
            </w:pPr>
            <w:r>
              <w:rPr>
                <w:rFonts w:hint="eastAsia"/>
              </w:rPr>
              <w:t>表16 钨精矿中铅含量测定两分析方法一致性评价</w:t>
            </w:r>
          </w:p>
        </w:tc>
      </w:tr>
      <w:tr>
        <w:tblPrEx>
          <w:tblCellMar>
            <w:top w:w="0" w:type="dxa"/>
            <w:left w:w="108" w:type="dxa"/>
            <w:bottom w:w="0" w:type="dxa"/>
            <w:right w:w="108" w:type="dxa"/>
          </w:tblCellMar>
        </w:tblPrEx>
        <w:trPr>
          <w:trHeight w:val="340" w:hRule="atLeast"/>
        </w:trPr>
        <w:tc>
          <w:tcPr>
            <w:tcW w:w="222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测定元素</w:t>
            </w:r>
          </w:p>
        </w:tc>
        <w:tc>
          <w:tcPr>
            <w:tcW w:w="134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Pb</w:t>
            </w:r>
          </w:p>
        </w:tc>
        <w:tc>
          <w:tcPr>
            <w:tcW w:w="143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Pb</w:t>
            </w:r>
          </w:p>
        </w:tc>
      </w:tr>
      <w:tr>
        <w:tblPrEx>
          <w:tblCellMar>
            <w:top w:w="0" w:type="dxa"/>
            <w:left w:w="108" w:type="dxa"/>
            <w:bottom w:w="0" w:type="dxa"/>
            <w:right w:w="108" w:type="dxa"/>
          </w:tblCellMar>
        </w:tblPrEx>
        <w:trPr>
          <w:trHeight w:val="340" w:hRule="atLeast"/>
        </w:trPr>
        <w:tc>
          <w:tcPr>
            <w:tcW w:w="222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原子荧光法（88数据）平均值</w:t>
            </w:r>
          </w:p>
        </w:tc>
        <w:tc>
          <w:tcPr>
            <w:tcW w:w="134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0.148 </w:t>
            </w:r>
          </w:p>
        </w:tc>
        <w:tc>
          <w:tcPr>
            <w:tcW w:w="143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0.286 </w:t>
            </w:r>
          </w:p>
        </w:tc>
      </w:tr>
      <w:tr>
        <w:tblPrEx>
          <w:tblCellMar>
            <w:top w:w="0" w:type="dxa"/>
            <w:left w:w="108" w:type="dxa"/>
            <w:bottom w:w="0" w:type="dxa"/>
            <w:right w:w="108" w:type="dxa"/>
          </w:tblCellMar>
        </w:tblPrEx>
        <w:trPr>
          <w:trHeight w:val="340" w:hRule="atLeast"/>
        </w:trPr>
        <w:tc>
          <w:tcPr>
            <w:tcW w:w="222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原子荧光法（88数据）SD</w:t>
            </w:r>
          </w:p>
        </w:tc>
        <w:tc>
          <w:tcPr>
            <w:tcW w:w="134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0.006 </w:t>
            </w:r>
          </w:p>
        </w:tc>
        <w:tc>
          <w:tcPr>
            <w:tcW w:w="143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0.013 </w:t>
            </w:r>
          </w:p>
        </w:tc>
      </w:tr>
      <w:tr>
        <w:tblPrEx>
          <w:tblCellMar>
            <w:top w:w="0" w:type="dxa"/>
            <w:left w:w="108" w:type="dxa"/>
            <w:bottom w:w="0" w:type="dxa"/>
            <w:right w:w="108" w:type="dxa"/>
          </w:tblCellMar>
        </w:tblPrEx>
        <w:trPr>
          <w:trHeight w:val="340" w:hRule="atLeast"/>
        </w:trPr>
        <w:tc>
          <w:tcPr>
            <w:tcW w:w="222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原子吸收法（88数据）平均值</w:t>
            </w:r>
          </w:p>
        </w:tc>
        <w:tc>
          <w:tcPr>
            <w:tcW w:w="134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0.142 </w:t>
            </w:r>
          </w:p>
        </w:tc>
        <w:tc>
          <w:tcPr>
            <w:tcW w:w="143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0.278 </w:t>
            </w:r>
          </w:p>
        </w:tc>
      </w:tr>
      <w:tr>
        <w:tblPrEx>
          <w:tblCellMar>
            <w:top w:w="0" w:type="dxa"/>
            <w:left w:w="108" w:type="dxa"/>
            <w:bottom w:w="0" w:type="dxa"/>
            <w:right w:w="108" w:type="dxa"/>
          </w:tblCellMar>
        </w:tblPrEx>
        <w:trPr>
          <w:trHeight w:val="340" w:hRule="atLeast"/>
        </w:trPr>
        <w:tc>
          <w:tcPr>
            <w:tcW w:w="222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原子吸收法（88数据）SD</w:t>
            </w:r>
          </w:p>
        </w:tc>
        <w:tc>
          <w:tcPr>
            <w:tcW w:w="134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0.005 </w:t>
            </w:r>
          </w:p>
        </w:tc>
        <w:tc>
          <w:tcPr>
            <w:tcW w:w="143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0.010 </w:t>
            </w:r>
          </w:p>
        </w:tc>
      </w:tr>
      <w:tr>
        <w:tblPrEx>
          <w:tblCellMar>
            <w:top w:w="0" w:type="dxa"/>
            <w:left w:w="108" w:type="dxa"/>
            <w:bottom w:w="0" w:type="dxa"/>
            <w:right w:w="108" w:type="dxa"/>
          </w:tblCellMar>
        </w:tblPrEx>
        <w:trPr>
          <w:trHeight w:val="340" w:hRule="atLeast"/>
        </w:trPr>
        <w:tc>
          <w:tcPr>
            <w:tcW w:w="222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F检验值（精确度检验）</w:t>
            </w:r>
          </w:p>
        </w:tc>
        <w:tc>
          <w:tcPr>
            <w:tcW w:w="134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1.44 </w:t>
            </w:r>
          </w:p>
        </w:tc>
        <w:tc>
          <w:tcPr>
            <w:tcW w:w="143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1.69 </w:t>
            </w:r>
          </w:p>
        </w:tc>
      </w:tr>
      <w:tr>
        <w:tblPrEx>
          <w:tblCellMar>
            <w:top w:w="0" w:type="dxa"/>
            <w:left w:w="108" w:type="dxa"/>
            <w:bottom w:w="0" w:type="dxa"/>
            <w:right w:w="108" w:type="dxa"/>
          </w:tblCellMar>
        </w:tblPrEx>
        <w:trPr>
          <w:trHeight w:val="340" w:hRule="atLeast"/>
        </w:trPr>
        <w:tc>
          <w:tcPr>
            <w:tcW w:w="222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一致性条件</w:t>
            </w:r>
          </w:p>
        </w:tc>
        <w:tc>
          <w:tcPr>
            <w:tcW w:w="134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F检验值&lt;1.53</w:t>
            </w:r>
          </w:p>
        </w:tc>
        <w:tc>
          <w:tcPr>
            <w:tcW w:w="143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F检验值&lt;1.53</w:t>
            </w:r>
          </w:p>
        </w:tc>
      </w:tr>
      <w:tr>
        <w:tblPrEx>
          <w:tblCellMar>
            <w:top w:w="0" w:type="dxa"/>
            <w:left w:w="108" w:type="dxa"/>
            <w:bottom w:w="0" w:type="dxa"/>
            <w:right w:w="108" w:type="dxa"/>
          </w:tblCellMar>
        </w:tblPrEx>
        <w:trPr>
          <w:trHeight w:val="340" w:hRule="atLeast"/>
        </w:trPr>
        <w:tc>
          <w:tcPr>
            <w:tcW w:w="2220" w:type="pct"/>
            <w:tcBorders>
              <w:top w:val="nil"/>
              <w:left w:val="single" w:color="auto" w:sz="4" w:space="0"/>
              <w:bottom w:val="single" w:color="auto" w:sz="4" w:space="0"/>
              <w:right w:val="single" w:color="auto" w:sz="4" w:space="0"/>
            </w:tcBorders>
            <w:shd w:val="clear" w:color="000000" w:fill="FFFF00"/>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F检验结果</w:t>
            </w:r>
          </w:p>
        </w:tc>
        <w:tc>
          <w:tcPr>
            <w:tcW w:w="134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无显著性差异</w:t>
            </w:r>
          </w:p>
        </w:tc>
        <w:tc>
          <w:tcPr>
            <w:tcW w:w="143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FF0000"/>
                <w:kern w:val="0"/>
                <w:sz w:val="24"/>
              </w:rPr>
            </w:pPr>
            <w:r>
              <w:rPr>
                <w:rFonts w:hint="eastAsia" w:ascii="宋体" w:hAnsi="宋体" w:cs="宋体"/>
                <w:color w:val="FF0000"/>
                <w:kern w:val="0"/>
                <w:sz w:val="24"/>
              </w:rPr>
              <w:t>显著性差异</w:t>
            </w:r>
          </w:p>
        </w:tc>
      </w:tr>
      <w:tr>
        <w:tblPrEx>
          <w:tblCellMar>
            <w:top w:w="0" w:type="dxa"/>
            <w:left w:w="108" w:type="dxa"/>
            <w:bottom w:w="0" w:type="dxa"/>
            <w:right w:w="108" w:type="dxa"/>
          </w:tblCellMar>
        </w:tblPrEx>
        <w:trPr>
          <w:trHeight w:val="340" w:hRule="atLeast"/>
        </w:trPr>
        <w:tc>
          <w:tcPr>
            <w:tcW w:w="222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两方法均值差绝对值D</w:t>
            </w:r>
          </w:p>
        </w:tc>
        <w:tc>
          <w:tcPr>
            <w:tcW w:w="134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0.007 </w:t>
            </w:r>
          </w:p>
        </w:tc>
        <w:tc>
          <w:tcPr>
            <w:tcW w:w="143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0.009 </w:t>
            </w:r>
          </w:p>
        </w:tc>
      </w:tr>
      <w:tr>
        <w:tblPrEx>
          <w:tblCellMar>
            <w:top w:w="0" w:type="dxa"/>
            <w:left w:w="108" w:type="dxa"/>
            <w:bottom w:w="0" w:type="dxa"/>
            <w:right w:w="108" w:type="dxa"/>
          </w:tblCellMar>
        </w:tblPrEx>
        <w:trPr>
          <w:trHeight w:val="340" w:hRule="atLeast"/>
        </w:trPr>
        <w:tc>
          <w:tcPr>
            <w:tcW w:w="222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原子吸收法重复性限</w:t>
            </w:r>
          </w:p>
        </w:tc>
        <w:tc>
          <w:tcPr>
            <w:tcW w:w="134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0.009 </w:t>
            </w:r>
          </w:p>
        </w:tc>
        <w:tc>
          <w:tcPr>
            <w:tcW w:w="143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0.016 </w:t>
            </w:r>
          </w:p>
        </w:tc>
      </w:tr>
      <w:tr>
        <w:tblPrEx>
          <w:tblCellMar>
            <w:top w:w="0" w:type="dxa"/>
            <w:left w:w="108" w:type="dxa"/>
            <w:bottom w:w="0" w:type="dxa"/>
            <w:right w:w="108" w:type="dxa"/>
          </w:tblCellMar>
        </w:tblPrEx>
        <w:trPr>
          <w:trHeight w:val="340" w:hRule="atLeast"/>
        </w:trPr>
        <w:tc>
          <w:tcPr>
            <w:tcW w:w="222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原子吸收法再现性限</w:t>
            </w:r>
          </w:p>
        </w:tc>
        <w:tc>
          <w:tcPr>
            <w:tcW w:w="134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0.013 </w:t>
            </w:r>
          </w:p>
        </w:tc>
        <w:tc>
          <w:tcPr>
            <w:tcW w:w="143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0.028 </w:t>
            </w:r>
          </w:p>
        </w:tc>
      </w:tr>
      <w:tr>
        <w:tblPrEx>
          <w:tblCellMar>
            <w:top w:w="0" w:type="dxa"/>
            <w:left w:w="108" w:type="dxa"/>
            <w:bottom w:w="0" w:type="dxa"/>
            <w:right w:w="108" w:type="dxa"/>
          </w:tblCellMar>
        </w:tblPrEx>
        <w:trPr>
          <w:trHeight w:val="340" w:hRule="atLeast"/>
        </w:trPr>
        <w:tc>
          <w:tcPr>
            <w:tcW w:w="222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原子荧光法测定次数</w:t>
            </w:r>
          </w:p>
        </w:tc>
        <w:tc>
          <w:tcPr>
            <w:tcW w:w="134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88 </w:t>
            </w:r>
          </w:p>
        </w:tc>
        <w:tc>
          <w:tcPr>
            <w:tcW w:w="143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88 </w:t>
            </w:r>
          </w:p>
        </w:tc>
      </w:tr>
      <w:tr>
        <w:tblPrEx>
          <w:tblCellMar>
            <w:top w:w="0" w:type="dxa"/>
            <w:left w:w="108" w:type="dxa"/>
            <w:bottom w:w="0" w:type="dxa"/>
            <w:right w:w="108" w:type="dxa"/>
          </w:tblCellMar>
        </w:tblPrEx>
        <w:trPr>
          <w:trHeight w:val="340" w:hRule="atLeast"/>
        </w:trPr>
        <w:tc>
          <w:tcPr>
            <w:tcW w:w="222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原子吸收法测定次数</w:t>
            </w:r>
          </w:p>
        </w:tc>
        <w:tc>
          <w:tcPr>
            <w:tcW w:w="134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88 </w:t>
            </w:r>
          </w:p>
        </w:tc>
        <w:tc>
          <w:tcPr>
            <w:tcW w:w="143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88 </w:t>
            </w:r>
          </w:p>
        </w:tc>
      </w:tr>
      <w:tr>
        <w:tblPrEx>
          <w:tblCellMar>
            <w:top w:w="0" w:type="dxa"/>
            <w:left w:w="108" w:type="dxa"/>
            <w:bottom w:w="0" w:type="dxa"/>
            <w:right w:w="108" w:type="dxa"/>
          </w:tblCellMar>
        </w:tblPrEx>
        <w:trPr>
          <w:trHeight w:val="340" w:hRule="atLeast"/>
        </w:trPr>
        <w:tc>
          <w:tcPr>
            <w:tcW w:w="222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R判断值CD95（准确度检验）</w:t>
            </w:r>
          </w:p>
        </w:tc>
        <w:tc>
          <w:tcPr>
            <w:tcW w:w="134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0.010 </w:t>
            </w:r>
          </w:p>
        </w:tc>
        <w:tc>
          <w:tcPr>
            <w:tcW w:w="143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0.023 </w:t>
            </w:r>
          </w:p>
        </w:tc>
      </w:tr>
      <w:tr>
        <w:tblPrEx>
          <w:tblCellMar>
            <w:top w:w="0" w:type="dxa"/>
            <w:left w:w="108" w:type="dxa"/>
            <w:bottom w:w="0" w:type="dxa"/>
            <w:right w:w="108" w:type="dxa"/>
          </w:tblCellMar>
        </w:tblPrEx>
        <w:trPr>
          <w:trHeight w:val="340" w:hRule="atLeast"/>
        </w:trPr>
        <w:tc>
          <w:tcPr>
            <w:tcW w:w="222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一致性条件</w:t>
            </w:r>
          </w:p>
        </w:tc>
        <w:tc>
          <w:tcPr>
            <w:tcW w:w="134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D&lt;CD95</w:t>
            </w:r>
          </w:p>
        </w:tc>
        <w:tc>
          <w:tcPr>
            <w:tcW w:w="143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D&lt;CD95</w:t>
            </w:r>
          </w:p>
        </w:tc>
      </w:tr>
      <w:tr>
        <w:tblPrEx>
          <w:tblCellMar>
            <w:top w:w="0" w:type="dxa"/>
            <w:left w:w="108" w:type="dxa"/>
            <w:bottom w:w="0" w:type="dxa"/>
            <w:right w:w="108" w:type="dxa"/>
          </w:tblCellMar>
        </w:tblPrEx>
        <w:trPr>
          <w:trHeight w:val="340" w:hRule="atLeast"/>
        </w:trPr>
        <w:tc>
          <w:tcPr>
            <w:tcW w:w="2220" w:type="pct"/>
            <w:tcBorders>
              <w:top w:val="nil"/>
              <w:left w:val="single" w:color="auto" w:sz="4" w:space="0"/>
              <w:bottom w:val="single" w:color="auto" w:sz="4" w:space="0"/>
              <w:right w:val="single" w:color="auto" w:sz="4" w:space="0"/>
            </w:tcBorders>
            <w:shd w:val="clear" w:color="000000" w:fill="FFFF00"/>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R判断结果</w:t>
            </w:r>
          </w:p>
        </w:tc>
        <w:tc>
          <w:tcPr>
            <w:tcW w:w="134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无显著性差异</w:t>
            </w:r>
          </w:p>
        </w:tc>
        <w:tc>
          <w:tcPr>
            <w:tcW w:w="143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无显著性差异</w:t>
            </w:r>
          </w:p>
        </w:tc>
      </w:tr>
    </w:tbl>
    <w:p>
      <w:pPr>
        <w:spacing w:before="156" w:beforeLines="50" w:after="156" w:afterLines="50"/>
        <w:ind w:firstLine="420" w:firstLineChars="200"/>
        <w:rPr>
          <w:rFonts w:hint="default"/>
          <w:lang w:val="en-US" w:eastAsia="zh-CN"/>
        </w:rPr>
      </w:pPr>
      <w:r>
        <w:rPr>
          <w:rFonts w:hint="eastAsia"/>
          <w:szCs w:val="21"/>
        </w:rPr>
        <w:t>由</w:t>
      </w:r>
      <w:r>
        <w:rPr>
          <w:szCs w:val="21"/>
        </w:rPr>
        <w:t>表</w:t>
      </w:r>
      <w:r>
        <w:rPr>
          <w:rFonts w:hint="eastAsia"/>
          <w:szCs w:val="21"/>
        </w:rPr>
        <w:t>16可见，</w:t>
      </w:r>
      <w:r>
        <w:rPr>
          <w:szCs w:val="21"/>
        </w:rPr>
        <w:t>质量分数</w:t>
      </w:r>
      <w:r>
        <w:rPr>
          <w:rFonts w:hint="eastAsia"/>
          <w:szCs w:val="21"/>
        </w:rPr>
        <w:t>为0.286%时，两</w:t>
      </w:r>
      <w:r>
        <w:rPr>
          <w:szCs w:val="21"/>
        </w:rPr>
        <w:t>方法有显著性差异。</w:t>
      </w:r>
      <w:r>
        <w:rPr>
          <w:rFonts w:hint="eastAsia"/>
          <w:szCs w:val="21"/>
        </w:rPr>
        <w:t>原子荧光法测定</w:t>
      </w:r>
      <w:r>
        <w:rPr>
          <w:szCs w:val="21"/>
        </w:rPr>
        <w:t>范围</w:t>
      </w:r>
      <w:r>
        <w:rPr>
          <w:rFonts w:hint="eastAsia"/>
          <w:szCs w:val="21"/>
        </w:rPr>
        <w:t>0.001</w:t>
      </w:r>
      <w:r>
        <w:rPr>
          <w:szCs w:val="21"/>
        </w:rPr>
        <w:t>%-0.</w:t>
      </w:r>
      <w:r>
        <w:rPr>
          <w:rFonts w:hint="eastAsia"/>
          <w:szCs w:val="21"/>
          <w:lang w:val="en-US" w:eastAsia="zh-CN"/>
        </w:rPr>
        <w:t>3</w:t>
      </w:r>
      <w:r>
        <w:rPr>
          <w:szCs w:val="21"/>
        </w:rPr>
        <w:t>0%，</w:t>
      </w:r>
      <w:r>
        <w:rPr>
          <w:rFonts w:hint="eastAsia"/>
          <w:szCs w:val="21"/>
        </w:rPr>
        <w:t>原子吸收法测定</w:t>
      </w:r>
      <w:r>
        <w:rPr>
          <w:szCs w:val="21"/>
        </w:rPr>
        <w:t>范围</w:t>
      </w:r>
      <w:r>
        <w:rPr>
          <w:rFonts w:hint="eastAsia"/>
          <w:szCs w:val="21"/>
        </w:rPr>
        <w:t>0.</w:t>
      </w:r>
      <w:r>
        <w:rPr>
          <w:szCs w:val="21"/>
        </w:rPr>
        <w:t>10%-0.50%</w:t>
      </w:r>
      <w:r>
        <w:rPr>
          <w:rFonts w:hint="eastAsia"/>
          <w:szCs w:val="21"/>
        </w:rPr>
        <w:t>。质量分数0.148%样品</w:t>
      </w:r>
      <w:r>
        <w:rPr>
          <w:szCs w:val="21"/>
        </w:rPr>
        <w:t>两方法</w:t>
      </w:r>
      <w:r>
        <w:rPr>
          <w:rFonts w:hint="eastAsia"/>
          <w:szCs w:val="21"/>
        </w:rPr>
        <w:t>无</w:t>
      </w:r>
      <w:r>
        <w:rPr>
          <w:szCs w:val="21"/>
        </w:rPr>
        <w:t>显著性差异</w:t>
      </w:r>
      <w:r>
        <w:rPr>
          <w:rFonts w:hint="eastAsia"/>
          <w:szCs w:val="21"/>
        </w:rPr>
        <w:t>，原子吸收法SD更小</w:t>
      </w:r>
      <w:r>
        <w:rPr>
          <w:szCs w:val="21"/>
        </w:rPr>
        <w:t>，所以重叠部分</w:t>
      </w:r>
      <w:r>
        <w:rPr>
          <w:rFonts w:hint="eastAsia"/>
          <w:szCs w:val="21"/>
        </w:rPr>
        <w:t>原子吸收法为</w:t>
      </w:r>
      <w:r>
        <w:rPr>
          <w:szCs w:val="21"/>
        </w:rPr>
        <w:t>仲裁方法。</w:t>
      </w:r>
    </w:p>
    <w:p>
      <w:pPr>
        <w:tabs>
          <w:tab w:val="left" w:pos="420"/>
          <w:tab w:val="left" w:pos="709"/>
        </w:tabs>
        <w:spacing w:before="156" w:beforeLines="50" w:after="156" w:afterLines="50" w:line="400" w:lineRule="exact"/>
        <w:rPr>
          <w:color w:val="008000"/>
          <w:szCs w:val="21"/>
        </w:rPr>
      </w:pPr>
      <w:r>
        <w:rPr>
          <w:rFonts w:hint="eastAsia" w:ascii="黑体" w:hAnsi="黑体" w:eastAsia="黑体"/>
          <w:sz w:val="28"/>
        </w:rPr>
        <w:t>四</w:t>
      </w:r>
      <w:r>
        <w:rPr>
          <w:rFonts w:ascii="黑体" w:hAnsi="黑体" w:eastAsia="黑体"/>
          <w:sz w:val="28"/>
        </w:rPr>
        <w:t>、标准</w:t>
      </w:r>
      <w:r>
        <w:rPr>
          <w:rFonts w:hint="eastAsia" w:ascii="黑体" w:hAnsi="黑体" w:eastAsia="黑体"/>
          <w:sz w:val="28"/>
        </w:rPr>
        <w:t>中涉及</w:t>
      </w:r>
      <w:r>
        <w:rPr>
          <w:rFonts w:ascii="黑体" w:hAnsi="黑体" w:eastAsia="黑体"/>
          <w:sz w:val="28"/>
        </w:rPr>
        <w:t>专利的情况</w:t>
      </w:r>
    </w:p>
    <w:p>
      <w:pPr>
        <w:spacing w:before="156" w:beforeLines="50" w:after="156" w:afterLines="50" w:line="400" w:lineRule="exact"/>
        <w:ind w:left="420"/>
        <w:rPr>
          <w:color w:val="008000"/>
          <w:szCs w:val="21"/>
        </w:rPr>
      </w:pPr>
      <w:r>
        <w:rPr>
          <w:rFonts w:hint="eastAsia"/>
          <w:szCs w:val="21"/>
        </w:rPr>
        <w:t>本标准</w:t>
      </w:r>
      <w:r>
        <w:rPr>
          <w:szCs w:val="21"/>
        </w:rPr>
        <w:t>不涉及专利问题。</w:t>
      </w:r>
    </w:p>
    <w:p>
      <w:pPr>
        <w:spacing w:before="156" w:beforeLines="50" w:after="156" w:afterLines="50"/>
        <w:rPr>
          <w:bCs/>
          <w:sz w:val="24"/>
        </w:rPr>
      </w:pPr>
      <w:r>
        <w:rPr>
          <w:rFonts w:ascii="黑体" w:hAnsi="黑体" w:eastAsia="黑体"/>
          <w:sz w:val="28"/>
        </w:rPr>
        <w:t>五、</w:t>
      </w:r>
      <w:r>
        <w:rPr>
          <w:rFonts w:hint="eastAsia" w:ascii="黑体" w:hAnsi="黑体" w:eastAsia="黑体"/>
          <w:sz w:val="28"/>
        </w:rPr>
        <w:t>预期</w:t>
      </w:r>
      <w:r>
        <w:rPr>
          <w:rFonts w:hint="eastAsia" w:ascii="黑体" w:hAnsi="黑体" w:eastAsia="黑体"/>
          <w:bCs/>
          <w:sz w:val="28"/>
          <w:szCs w:val="28"/>
        </w:rPr>
        <w:t>达到</w:t>
      </w:r>
      <w:r>
        <w:rPr>
          <w:rFonts w:ascii="黑体" w:hAnsi="黑体" w:eastAsia="黑体"/>
          <w:bCs/>
          <w:sz w:val="28"/>
          <w:szCs w:val="28"/>
        </w:rPr>
        <w:t>的社会效益等</w:t>
      </w:r>
      <w:r>
        <w:rPr>
          <w:rFonts w:hint="eastAsia" w:ascii="黑体" w:hAnsi="黑体" w:eastAsia="黑体"/>
          <w:bCs/>
          <w:sz w:val="28"/>
          <w:szCs w:val="28"/>
        </w:rPr>
        <w:t>情况</w:t>
      </w:r>
    </w:p>
    <w:p>
      <w:pPr>
        <w:spacing w:before="156" w:beforeLines="50" w:after="156" w:afterLines="50"/>
        <w:ind w:firstLine="420" w:firstLineChars="200"/>
        <w:rPr>
          <w:szCs w:val="21"/>
        </w:rPr>
      </w:pPr>
      <w:r>
        <w:rPr>
          <w:rFonts w:hint="eastAsia"/>
          <w:szCs w:val="21"/>
        </w:rPr>
        <w:t>本标准修订过程中，由起草单位对国际、国内标准进行了查阅和调研，制定的方法更能紧密联系实际检测工作，为国家标准《钨精矿化学分析方法 铅量的测定》的修订项目，修订后的分析方法，弥补了原标准的不足，提高了检测效率，有效拓宽了检测方法的上限，具有操作简单、测定结果精密度</w:t>
      </w:r>
      <w:r>
        <w:rPr>
          <w:szCs w:val="21"/>
        </w:rPr>
        <w:t>好</w:t>
      </w:r>
      <w:r>
        <w:rPr>
          <w:rFonts w:hint="eastAsia"/>
          <w:szCs w:val="21"/>
        </w:rPr>
        <w:t>、结果准确的优</w:t>
      </w:r>
      <w:r>
        <w:rPr>
          <w:szCs w:val="21"/>
        </w:rPr>
        <w:t>点</w:t>
      </w:r>
      <w:r>
        <w:rPr>
          <w:rFonts w:hint="eastAsia"/>
          <w:szCs w:val="21"/>
        </w:rPr>
        <w:t>，可进一步完善钨精矿化学分析方法的标准体系，促进钨行业发展，更好的服务于生产企业及市场贸易，为钨精矿产品市场更好的提供了技术支撑作用。</w:t>
      </w:r>
    </w:p>
    <w:p>
      <w:pPr>
        <w:pStyle w:val="125"/>
        <w:spacing w:before="156" w:beforeLines="50" w:after="156" w:afterLines="50"/>
        <w:ind w:firstLine="0" w:firstLineChars="0"/>
        <w:rPr>
          <w:rFonts w:ascii="黑体" w:hAnsi="黑体" w:eastAsia="黑体"/>
          <w:kern w:val="2"/>
          <w:sz w:val="28"/>
          <w:szCs w:val="24"/>
        </w:rPr>
      </w:pPr>
      <w:r>
        <w:rPr>
          <w:rFonts w:ascii="黑体" w:hAnsi="黑体" w:eastAsia="黑体"/>
          <w:kern w:val="2"/>
          <w:sz w:val="28"/>
          <w:szCs w:val="24"/>
        </w:rPr>
        <w:t>六、</w:t>
      </w:r>
      <w:r>
        <w:rPr>
          <w:rFonts w:hint="eastAsia" w:ascii="黑体" w:hAnsi="黑体" w:eastAsia="黑体"/>
          <w:kern w:val="2"/>
          <w:sz w:val="28"/>
          <w:szCs w:val="24"/>
        </w:rPr>
        <w:t>采用</w:t>
      </w:r>
      <w:r>
        <w:rPr>
          <w:rFonts w:ascii="黑体" w:hAnsi="黑体" w:eastAsia="黑体"/>
          <w:kern w:val="2"/>
          <w:sz w:val="28"/>
          <w:szCs w:val="24"/>
        </w:rPr>
        <w:t>国际标准和国外先进标准的情况</w:t>
      </w:r>
    </w:p>
    <w:p>
      <w:pPr>
        <w:spacing w:before="156" w:beforeLines="50" w:after="156" w:afterLines="50"/>
        <w:ind w:firstLine="420" w:firstLineChars="200"/>
        <w:rPr>
          <w:szCs w:val="21"/>
        </w:rPr>
      </w:pPr>
      <w:r>
        <w:rPr>
          <w:rFonts w:hint="eastAsia"/>
          <w:szCs w:val="21"/>
        </w:rPr>
        <w:t>经</w:t>
      </w:r>
      <w:r>
        <w:rPr>
          <w:szCs w:val="21"/>
        </w:rPr>
        <w:t>查，未发现相同类型的国际标准和</w:t>
      </w:r>
      <w:r>
        <w:rPr>
          <w:rFonts w:hint="eastAsia"/>
          <w:szCs w:val="21"/>
        </w:rPr>
        <w:t>国</w:t>
      </w:r>
      <w:r>
        <w:rPr>
          <w:szCs w:val="21"/>
        </w:rPr>
        <w:t>外先进标准。</w:t>
      </w:r>
    </w:p>
    <w:p>
      <w:pPr>
        <w:spacing w:before="156" w:beforeLines="50" w:after="156" w:afterLines="50"/>
        <w:rPr>
          <w:rFonts w:ascii="黑体" w:hAnsi="黑体" w:eastAsia="黑体"/>
          <w:sz w:val="28"/>
        </w:rPr>
      </w:pPr>
      <w:r>
        <w:rPr>
          <w:rFonts w:hint="eastAsia" w:ascii="黑体" w:hAnsi="黑体" w:eastAsia="黑体"/>
          <w:sz w:val="28"/>
        </w:rPr>
        <w:t>七</w:t>
      </w:r>
      <w:r>
        <w:rPr>
          <w:rFonts w:ascii="黑体" w:hAnsi="黑体" w:eastAsia="黑体"/>
          <w:sz w:val="28"/>
        </w:rPr>
        <w:t>、与现行</w:t>
      </w:r>
      <w:r>
        <w:rPr>
          <w:rFonts w:hint="eastAsia" w:ascii="黑体" w:hAnsi="黑体" w:eastAsia="黑体"/>
          <w:sz w:val="28"/>
        </w:rPr>
        <w:t>相关</w:t>
      </w:r>
      <w:r>
        <w:rPr>
          <w:rFonts w:ascii="黑体" w:hAnsi="黑体" w:eastAsia="黑体"/>
          <w:sz w:val="28"/>
        </w:rPr>
        <w:t>法律、法规、</w:t>
      </w:r>
      <w:r>
        <w:rPr>
          <w:rFonts w:hint="eastAsia" w:ascii="黑体" w:hAnsi="黑体" w:eastAsia="黑体"/>
          <w:sz w:val="28"/>
        </w:rPr>
        <w:t>规章</w:t>
      </w:r>
      <w:r>
        <w:rPr>
          <w:rFonts w:ascii="黑体" w:hAnsi="黑体" w:eastAsia="黑体"/>
          <w:sz w:val="28"/>
        </w:rPr>
        <w:t>及相关标准</w:t>
      </w:r>
      <w:r>
        <w:rPr>
          <w:rFonts w:hint="eastAsia" w:ascii="黑体" w:hAnsi="黑体" w:eastAsia="黑体"/>
          <w:sz w:val="28"/>
        </w:rPr>
        <w:t>，</w:t>
      </w:r>
      <w:r>
        <w:rPr>
          <w:rFonts w:ascii="黑体" w:hAnsi="黑体" w:eastAsia="黑体"/>
          <w:sz w:val="28"/>
        </w:rPr>
        <w:t>特别是强制性国家标准的</w:t>
      </w:r>
      <w:r>
        <w:rPr>
          <w:rFonts w:hint="eastAsia" w:ascii="黑体" w:hAnsi="黑体" w:eastAsia="黑体"/>
          <w:sz w:val="28"/>
        </w:rPr>
        <w:t>协调配</w:t>
      </w:r>
      <w:r>
        <w:rPr>
          <w:rFonts w:ascii="黑体" w:hAnsi="黑体" w:eastAsia="黑体"/>
          <w:sz w:val="28"/>
        </w:rPr>
        <w:t>套情况</w:t>
      </w:r>
    </w:p>
    <w:p>
      <w:pPr>
        <w:spacing w:before="156" w:beforeLines="50" w:after="156" w:afterLines="50"/>
        <w:ind w:firstLine="437"/>
        <w:rPr>
          <w:szCs w:val="21"/>
        </w:rPr>
      </w:pPr>
      <w:r>
        <w:rPr>
          <w:rFonts w:hint="eastAsia"/>
          <w:szCs w:val="21"/>
        </w:rPr>
        <w:t>本</w:t>
      </w:r>
      <w:r>
        <w:rPr>
          <w:szCs w:val="21"/>
        </w:rPr>
        <w:t>标准</w:t>
      </w:r>
      <w:r>
        <w:rPr>
          <w:rFonts w:hint="eastAsia"/>
          <w:szCs w:val="21"/>
        </w:rPr>
        <w:t>与</w:t>
      </w:r>
      <w:r>
        <w:rPr>
          <w:szCs w:val="21"/>
        </w:rPr>
        <w:t>现行相关法律、法规、规章及相关标准和强制性国家标准无冲突。</w:t>
      </w:r>
      <w:r>
        <w:rPr>
          <w:rFonts w:hint="eastAsia"/>
          <w:szCs w:val="21"/>
        </w:rPr>
        <w:t>本标准</w:t>
      </w:r>
      <w:r>
        <w:rPr>
          <w:szCs w:val="21"/>
        </w:rPr>
        <w:t>与现行标准及制定中的标准无重复交叉情况。</w:t>
      </w:r>
    </w:p>
    <w:p>
      <w:pPr>
        <w:pStyle w:val="125"/>
        <w:spacing w:before="156" w:beforeLines="50" w:after="156" w:afterLines="50"/>
        <w:ind w:firstLine="0" w:firstLineChars="0"/>
        <w:rPr>
          <w:rFonts w:ascii="黑体" w:hAnsi="黑体" w:eastAsia="黑体"/>
          <w:kern w:val="2"/>
          <w:sz w:val="28"/>
          <w:szCs w:val="24"/>
        </w:rPr>
      </w:pPr>
      <w:r>
        <w:rPr>
          <w:rFonts w:hint="eastAsia" w:ascii="黑体" w:hAnsi="黑体" w:eastAsia="黑体"/>
          <w:kern w:val="2"/>
          <w:sz w:val="28"/>
          <w:szCs w:val="24"/>
        </w:rPr>
        <w:t>八</w:t>
      </w:r>
      <w:r>
        <w:rPr>
          <w:rFonts w:ascii="黑体" w:hAnsi="黑体" w:eastAsia="黑体"/>
          <w:kern w:val="2"/>
          <w:sz w:val="28"/>
          <w:szCs w:val="24"/>
        </w:rPr>
        <w:t>、</w:t>
      </w:r>
      <w:r>
        <w:rPr>
          <w:rFonts w:hint="eastAsia" w:ascii="黑体" w:hAnsi="黑体" w:eastAsia="黑体"/>
          <w:kern w:val="2"/>
          <w:sz w:val="28"/>
          <w:szCs w:val="24"/>
        </w:rPr>
        <w:t>重大</w:t>
      </w:r>
      <w:r>
        <w:rPr>
          <w:rFonts w:ascii="黑体" w:hAnsi="黑体" w:eastAsia="黑体"/>
          <w:kern w:val="2"/>
          <w:sz w:val="28"/>
          <w:szCs w:val="24"/>
        </w:rPr>
        <w:t>分歧意见的处理经过和依据</w:t>
      </w:r>
    </w:p>
    <w:p>
      <w:pPr>
        <w:spacing w:before="156" w:beforeLines="50" w:after="156" w:afterLines="50" w:line="400" w:lineRule="exact"/>
        <w:ind w:firstLine="420" w:firstLineChars="200"/>
        <w:rPr>
          <w:szCs w:val="21"/>
        </w:rPr>
      </w:pPr>
      <w:r>
        <w:rPr>
          <w:rFonts w:hint="eastAsia"/>
          <w:szCs w:val="21"/>
        </w:rPr>
        <w:t>无</w:t>
      </w:r>
      <w:r>
        <w:rPr>
          <w:szCs w:val="21"/>
        </w:rPr>
        <w:t>。</w:t>
      </w:r>
    </w:p>
    <w:p>
      <w:pPr>
        <w:pStyle w:val="125"/>
        <w:spacing w:before="156" w:beforeLines="50" w:after="156" w:afterLines="50"/>
        <w:ind w:firstLine="0" w:firstLineChars="0"/>
        <w:rPr>
          <w:rFonts w:ascii="黑体" w:hAnsi="黑体" w:eastAsia="黑体"/>
          <w:kern w:val="2"/>
          <w:sz w:val="28"/>
          <w:szCs w:val="24"/>
        </w:rPr>
      </w:pPr>
      <w:r>
        <w:rPr>
          <w:rFonts w:hint="eastAsia" w:ascii="黑体" w:hAnsi="黑体" w:eastAsia="黑体"/>
          <w:kern w:val="2"/>
          <w:sz w:val="28"/>
          <w:szCs w:val="24"/>
        </w:rPr>
        <w:t>九</w:t>
      </w:r>
      <w:r>
        <w:rPr>
          <w:rFonts w:ascii="黑体" w:hAnsi="黑体" w:eastAsia="黑体"/>
          <w:kern w:val="2"/>
          <w:sz w:val="28"/>
          <w:szCs w:val="24"/>
        </w:rPr>
        <w:t>、标准</w:t>
      </w:r>
      <w:r>
        <w:rPr>
          <w:rFonts w:hint="eastAsia" w:ascii="黑体" w:hAnsi="黑体" w:eastAsia="黑体"/>
          <w:kern w:val="2"/>
          <w:sz w:val="28"/>
          <w:szCs w:val="24"/>
        </w:rPr>
        <w:t>性质</w:t>
      </w:r>
      <w:r>
        <w:rPr>
          <w:rFonts w:ascii="黑体" w:hAnsi="黑体" w:eastAsia="黑体"/>
          <w:kern w:val="2"/>
          <w:sz w:val="28"/>
          <w:szCs w:val="24"/>
        </w:rPr>
        <w:t>的</w:t>
      </w:r>
      <w:r>
        <w:rPr>
          <w:rFonts w:hint="eastAsia" w:ascii="黑体" w:hAnsi="黑体" w:eastAsia="黑体"/>
          <w:kern w:val="2"/>
          <w:sz w:val="28"/>
          <w:szCs w:val="24"/>
        </w:rPr>
        <w:t>建议</w:t>
      </w:r>
      <w:r>
        <w:rPr>
          <w:rFonts w:ascii="黑体" w:hAnsi="黑体" w:eastAsia="黑体"/>
          <w:kern w:val="2"/>
          <w:sz w:val="28"/>
          <w:szCs w:val="24"/>
        </w:rPr>
        <w:t>说明</w:t>
      </w:r>
    </w:p>
    <w:p>
      <w:pPr>
        <w:spacing w:before="156" w:beforeLines="50" w:after="156" w:afterLines="50"/>
        <w:ind w:firstLine="437"/>
        <w:rPr>
          <w:szCs w:val="21"/>
        </w:rPr>
      </w:pPr>
      <w:r>
        <w:rPr>
          <w:rFonts w:hint="eastAsia"/>
          <w:szCs w:val="21"/>
        </w:rPr>
        <w:t>本</w:t>
      </w:r>
      <w:r>
        <w:rPr>
          <w:szCs w:val="21"/>
        </w:rPr>
        <w:t>标准为方法标准，不是通用性的安</w:t>
      </w:r>
      <w:r>
        <w:rPr>
          <w:rFonts w:hint="eastAsia"/>
          <w:szCs w:val="21"/>
        </w:rPr>
        <w:t>全</w:t>
      </w:r>
      <w:r>
        <w:rPr>
          <w:szCs w:val="21"/>
        </w:rPr>
        <w:t>规范</w:t>
      </w:r>
      <w:r>
        <w:rPr>
          <w:rFonts w:hint="eastAsia"/>
          <w:szCs w:val="21"/>
        </w:rPr>
        <w:t>或</w:t>
      </w:r>
      <w:r>
        <w:rPr>
          <w:szCs w:val="21"/>
        </w:rPr>
        <w:t>标准，仅是在涉及到的内容上引用相关的安全规范或标准作为本标准的规定，不</w:t>
      </w:r>
      <w:r>
        <w:rPr>
          <w:rFonts w:hint="eastAsia"/>
          <w:szCs w:val="21"/>
        </w:rPr>
        <w:t>属</w:t>
      </w:r>
      <w:r>
        <w:rPr>
          <w:szCs w:val="21"/>
        </w:rPr>
        <w:t>安全性标准。根据</w:t>
      </w:r>
      <w:r>
        <w:rPr>
          <w:rFonts w:hint="eastAsia"/>
          <w:szCs w:val="21"/>
        </w:rPr>
        <w:t>标准</w:t>
      </w:r>
      <w:r>
        <w:rPr>
          <w:szCs w:val="21"/>
        </w:rPr>
        <w:t>化法和有关规定，建议本标准的性质</w:t>
      </w:r>
      <w:r>
        <w:rPr>
          <w:rFonts w:hint="eastAsia"/>
          <w:szCs w:val="21"/>
        </w:rPr>
        <w:t>为</w:t>
      </w:r>
      <w:r>
        <w:rPr>
          <w:szCs w:val="21"/>
        </w:rPr>
        <w:t>推荐性国家标准。</w:t>
      </w:r>
    </w:p>
    <w:p>
      <w:pPr>
        <w:pStyle w:val="125"/>
        <w:spacing w:before="156" w:beforeLines="50" w:after="156" w:afterLines="50"/>
        <w:ind w:firstLine="0" w:firstLineChars="0"/>
        <w:rPr>
          <w:rFonts w:ascii="黑体" w:hAnsi="黑体" w:eastAsia="黑体"/>
          <w:kern w:val="2"/>
          <w:sz w:val="28"/>
          <w:szCs w:val="24"/>
        </w:rPr>
      </w:pPr>
      <w:r>
        <w:rPr>
          <w:rFonts w:hint="eastAsia" w:ascii="黑体" w:hAnsi="黑体" w:eastAsia="黑体"/>
          <w:kern w:val="2"/>
          <w:sz w:val="28"/>
          <w:szCs w:val="24"/>
        </w:rPr>
        <w:t>十</w:t>
      </w:r>
      <w:r>
        <w:rPr>
          <w:rFonts w:ascii="黑体" w:hAnsi="黑体" w:eastAsia="黑体"/>
          <w:kern w:val="2"/>
          <w:sz w:val="28"/>
          <w:szCs w:val="24"/>
        </w:rPr>
        <w:t>、</w:t>
      </w:r>
      <w:r>
        <w:rPr>
          <w:rFonts w:hint="eastAsia" w:ascii="黑体" w:hAnsi="黑体" w:eastAsia="黑体"/>
          <w:kern w:val="2"/>
          <w:sz w:val="28"/>
          <w:szCs w:val="24"/>
        </w:rPr>
        <w:t>贯彻</w:t>
      </w:r>
      <w:r>
        <w:rPr>
          <w:rFonts w:ascii="黑体" w:hAnsi="黑体" w:eastAsia="黑体"/>
          <w:kern w:val="2"/>
          <w:sz w:val="28"/>
          <w:szCs w:val="24"/>
        </w:rPr>
        <w:t>标准的</w:t>
      </w:r>
      <w:r>
        <w:rPr>
          <w:rFonts w:hint="eastAsia" w:ascii="黑体" w:hAnsi="黑体" w:eastAsia="黑体"/>
          <w:kern w:val="2"/>
          <w:sz w:val="28"/>
          <w:szCs w:val="24"/>
        </w:rPr>
        <w:t>要求</w:t>
      </w:r>
      <w:r>
        <w:rPr>
          <w:rFonts w:ascii="黑体" w:hAnsi="黑体" w:eastAsia="黑体"/>
          <w:kern w:val="2"/>
          <w:sz w:val="28"/>
          <w:szCs w:val="24"/>
        </w:rPr>
        <w:t>和措施建议</w:t>
      </w:r>
    </w:p>
    <w:p>
      <w:pPr>
        <w:spacing w:before="156" w:beforeLines="50" w:after="156" w:afterLines="50"/>
        <w:rPr>
          <w:szCs w:val="21"/>
        </w:rPr>
      </w:pPr>
      <w:r>
        <w:rPr>
          <w:rFonts w:hint="eastAsia"/>
          <w:szCs w:val="21"/>
        </w:rPr>
        <w:t xml:space="preserve">    本</w:t>
      </w:r>
      <w:r>
        <w:rPr>
          <w:szCs w:val="21"/>
        </w:rPr>
        <w:t>标准修订后</w:t>
      </w:r>
      <w:r>
        <w:rPr>
          <w:rFonts w:hint="eastAsia"/>
          <w:szCs w:val="21"/>
        </w:rPr>
        <w:t>适用</w:t>
      </w:r>
      <w:r>
        <w:rPr>
          <w:szCs w:val="21"/>
        </w:rPr>
        <w:t>于钨精矿中</w:t>
      </w:r>
      <w:r>
        <w:rPr>
          <w:rFonts w:hint="eastAsia"/>
          <w:szCs w:val="21"/>
        </w:rPr>
        <w:t>铅</w:t>
      </w:r>
      <w:r>
        <w:rPr>
          <w:szCs w:val="21"/>
        </w:rPr>
        <w:t>量的测定，</w:t>
      </w:r>
      <w:r>
        <w:rPr>
          <w:rFonts w:hint="eastAsia"/>
          <w:szCs w:val="21"/>
        </w:rPr>
        <w:t>实施日期</w:t>
      </w:r>
      <w:r>
        <w:rPr>
          <w:szCs w:val="21"/>
        </w:rPr>
        <w:t>自发布之日起</w:t>
      </w:r>
      <w:r>
        <w:rPr>
          <w:rFonts w:hint="eastAsia"/>
          <w:szCs w:val="21"/>
        </w:rPr>
        <w:t>6个</w:t>
      </w:r>
      <w:r>
        <w:rPr>
          <w:szCs w:val="21"/>
        </w:rPr>
        <w:t>月。</w:t>
      </w:r>
      <w:r>
        <w:rPr>
          <w:rFonts w:hint="eastAsia"/>
          <w:szCs w:val="21"/>
        </w:rPr>
        <w:t>建议</w:t>
      </w:r>
      <w:r>
        <w:rPr>
          <w:szCs w:val="21"/>
        </w:rPr>
        <w:t>相关生产和检测单位积极</w:t>
      </w:r>
      <w:r>
        <w:rPr>
          <w:rFonts w:hint="eastAsia"/>
          <w:szCs w:val="21"/>
        </w:rPr>
        <w:t>组织本</w:t>
      </w:r>
      <w:r>
        <w:rPr>
          <w:szCs w:val="21"/>
        </w:rPr>
        <w:t>标准的培训和宣贯，</w:t>
      </w:r>
      <w:r>
        <w:rPr>
          <w:rFonts w:hint="eastAsia"/>
          <w:szCs w:val="21"/>
        </w:rPr>
        <w:t>可向</w:t>
      </w:r>
      <w:r>
        <w:rPr>
          <w:szCs w:val="21"/>
        </w:rPr>
        <w:t>企业、公司和科研院校推荐本标准。</w:t>
      </w:r>
    </w:p>
    <w:p>
      <w:pPr>
        <w:spacing w:before="156" w:beforeLines="50" w:after="156" w:afterLines="50"/>
        <w:rPr>
          <w:szCs w:val="21"/>
        </w:rPr>
      </w:pPr>
      <w:r>
        <w:rPr>
          <w:rFonts w:hint="eastAsia" w:ascii="黑体" w:hAnsi="黑体" w:eastAsia="黑体"/>
          <w:sz w:val="28"/>
        </w:rPr>
        <w:t>十一</w:t>
      </w:r>
      <w:r>
        <w:rPr>
          <w:rFonts w:ascii="黑体" w:hAnsi="黑体" w:eastAsia="黑体"/>
          <w:sz w:val="28"/>
        </w:rPr>
        <w:t>、</w:t>
      </w:r>
      <w:r>
        <w:rPr>
          <w:rFonts w:hint="eastAsia" w:ascii="黑体" w:hAnsi="黑体" w:eastAsia="黑体"/>
          <w:sz w:val="28"/>
        </w:rPr>
        <w:t>废止现行</w:t>
      </w:r>
      <w:r>
        <w:rPr>
          <w:rFonts w:ascii="黑体" w:hAnsi="黑体" w:eastAsia="黑体"/>
          <w:sz w:val="28"/>
        </w:rPr>
        <w:t>相关标准的建议</w:t>
      </w:r>
    </w:p>
    <w:p>
      <w:pPr>
        <w:spacing w:before="156" w:beforeLines="50" w:after="156" w:afterLines="50"/>
        <w:ind w:firstLine="437"/>
        <w:rPr>
          <w:szCs w:val="21"/>
        </w:rPr>
      </w:pPr>
      <w:r>
        <w:rPr>
          <w:rFonts w:hint="eastAsia"/>
          <w:szCs w:val="21"/>
        </w:rPr>
        <w:t>在</w:t>
      </w:r>
      <w:r>
        <w:rPr>
          <w:szCs w:val="21"/>
        </w:rPr>
        <w:t>本标准发布实施之日起，代替</w:t>
      </w:r>
      <w:r>
        <w:rPr>
          <w:rFonts w:hint="eastAsia"/>
          <w:szCs w:val="21"/>
        </w:rPr>
        <w:t xml:space="preserve">GB/T </w:t>
      </w:r>
      <w:r>
        <w:rPr>
          <w:szCs w:val="21"/>
        </w:rPr>
        <w:t>6150.10-2008</w:t>
      </w:r>
      <w:r>
        <w:rPr>
          <w:rFonts w:hAnsi="宋体"/>
          <w:szCs w:val="21"/>
        </w:rPr>
        <w:t>《</w:t>
      </w:r>
      <w:r>
        <w:rPr>
          <w:rFonts w:hint="eastAsia" w:hAnsi="宋体"/>
          <w:szCs w:val="21"/>
        </w:rPr>
        <w:t>钨精矿</w:t>
      </w:r>
      <w:r>
        <w:rPr>
          <w:rFonts w:hAnsi="宋体"/>
          <w:szCs w:val="21"/>
        </w:rPr>
        <w:t>化学分析方法</w:t>
      </w:r>
      <w:r>
        <w:rPr>
          <w:rFonts w:hint="eastAsia"/>
          <w:szCs w:val="21"/>
        </w:rPr>
        <w:t>第</w:t>
      </w:r>
      <w:r>
        <w:rPr>
          <w:szCs w:val="21"/>
        </w:rPr>
        <w:t>10</w:t>
      </w:r>
      <w:r>
        <w:rPr>
          <w:rFonts w:hint="eastAsia"/>
          <w:szCs w:val="21"/>
        </w:rPr>
        <w:t>部分</w:t>
      </w:r>
      <w:r>
        <w:rPr>
          <w:szCs w:val="21"/>
        </w:rPr>
        <w:t>：</w:t>
      </w:r>
      <w:r>
        <w:rPr>
          <w:rFonts w:hint="eastAsia"/>
          <w:szCs w:val="21"/>
        </w:rPr>
        <w:t>铅</w:t>
      </w:r>
      <w:r>
        <w:rPr>
          <w:rFonts w:hAnsi="宋体"/>
          <w:szCs w:val="21"/>
        </w:rPr>
        <w:t>量的测定</w:t>
      </w:r>
      <w:r>
        <w:rPr>
          <w:rFonts w:hint="eastAsia" w:hAnsi="宋体"/>
          <w:szCs w:val="21"/>
        </w:rPr>
        <w:t xml:space="preserve"> 火焰原子</w:t>
      </w:r>
      <w:r>
        <w:rPr>
          <w:rFonts w:hAnsi="宋体"/>
          <w:szCs w:val="21"/>
        </w:rPr>
        <w:t>吸收光谱法》</w:t>
      </w:r>
      <w:r>
        <w:rPr>
          <w:rFonts w:hint="eastAsia" w:hAnsi="宋体"/>
          <w:szCs w:val="21"/>
        </w:rPr>
        <w:t>。</w:t>
      </w:r>
    </w:p>
    <w:p>
      <w:pPr>
        <w:spacing w:before="156" w:beforeLines="50" w:after="156" w:afterLines="50"/>
        <w:rPr>
          <w:rFonts w:ascii="黑体" w:hAnsi="黑体" w:eastAsia="黑体"/>
          <w:sz w:val="28"/>
        </w:rPr>
      </w:pPr>
      <w:r>
        <w:rPr>
          <w:rFonts w:hint="eastAsia" w:ascii="黑体" w:hAnsi="黑体" w:eastAsia="黑体"/>
          <w:sz w:val="28"/>
        </w:rPr>
        <w:t>十二</w:t>
      </w:r>
      <w:r>
        <w:rPr>
          <w:rFonts w:ascii="黑体" w:hAnsi="黑体" w:eastAsia="黑体"/>
          <w:sz w:val="28"/>
        </w:rPr>
        <w:t>、</w:t>
      </w:r>
      <w:r>
        <w:rPr>
          <w:rFonts w:hint="eastAsia" w:ascii="黑体" w:hAnsi="黑体" w:eastAsia="黑体"/>
          <w:sz w:val="28"/>
        </w:rPr>
        <w:t>其他应予</w:t>
      </w:r>
      <w:r>
        <w:rPr>
          <w:rFonts w:ascii="黑体" w:hAnsi="黑体" w:eastAsia="黑体"/>
          <w:sz w:val="28"/>
        </w:rPr>
        <w:t>说明的事项</w:t>
      </w:r>
    </w:p>
    <w:p>
      <w:pPr>
        <w:spacing w:before="156" w:beforeLines="50" w:after="156" w:afterLines="50" w:line="400" w:lineRule="exact"/>
        <w:rPr>
          <w:szCs w:val="21"/>
        </w:rPr>
      </w:pPr>
      <w:r>
        <w:rPr>
          <w:rFonts w:hint="eastAsia"/>
          <w:szCs w:val="21"/>
        </w:rPr>
        <w:t xml:space="preserve">    无</w:t>
      </w:r>
      <w:r>
        <w:rPr>
          <w:szCs w:val="21"/>
        </w:rPr>
        <w:t>。</w:t>
      </w:r>
    </w:p>
    <w:p>
      <w:pPr>
        <w:spacing w:line="400" w:lineRule="exact"/>
        <w:rPr>
          <w:szCs w:val="21"/>
        </w:rPr>
      </w:pPr>
    </w:p>
    <w:p>
      <w:pPr>
        <w:spacing w:line="400" w:lineRule="exact"/>
        <w:ind w:firstLine="435"/>
        <w:jc w:val="center"/>
        <w:rPr>
          <w:sz w:val="24"/>
        </w:rPr>
      </w:pPr>
      <w:r>
        <w:rPr>
          <w:sz w:val="24"/>
        </w:rPr>
        <w:t xml:space="preserve">                                            赣州有色冶金研究</w:t>
      </w:r>
      <w:r>
        <w:rPr>
          <w:rFonts w:hint="eastAsia"/>
          <w:sz w:val="24"/>
        </w:rPr>
        <w:t>所有限公司</w:t>
      </w:r>
    </w:p>
    <w:p>
      <w:pPr>
        <w:spacing w:line="400" w:lineRule="exact"/>
        <w:ind w:firstLine="435"/>
        <w:jc w:val="center"/>
        <w:rPr>
          <w:sz w:val="24"/>
        </w:rPr>
      </w:pPr>
      <w:r>
        <w:rPr>
          <w:sz w:val="24"/>
        </w:rPr>
        <w:t xml:space="preserve">                                              二O二</w:t>
      </w:r>
      <w:r>
        <w:rPr>
          <w:rFonts w:hint="eastAsia"/>
          <w:sz w:val="24"/>
        </w:rPr>
        <w:t>二</w:t>
      </w:r>
      <w:r>
        <w:rPr>
          <w:sz w:val="24"/>
        </w:rPr>
        <w:t>年</w:t>
      </w:r>
      <w:r>
        <w:rPr>
          <w:rFonts w:hint="eastAsia"/>
          <w:sz w:val="24"/>
        </w:rPr>
        <w:t>八</w:t>
      </w:r>
      <w:r>
        <w:rPr>
          <w:sz w:val="24"/>
        </w:rPr>
        <w:t>月</w:t>
      </w:r>
    </w:p>
    <w:p>
      <w:pPr>
        <w:pStyle w:val="2"/>
        <w:rPr>
          <w:lang w:val="en-US"/>
        </w:rPr>
        <w:sectPr>
          <w:pgSz w:w="11906" w:h="16838"/>
          <w:pgMar w:top="1134" w:right="1531" w:bottom="851" w:left="1531" w:header="851" w:footer="992" w:gutter="0"/>
          <w:cols w:space="720" w:num="1"/>
          <w:docGrid w:type="lines" w:linePitch="312" w:charSpace="0"/>
        </w:sectPr>
      </w:pPr>
    </w:p>
    <w:p/>
    <w:tbl>
      <w:tblPr>
        <w:tblStyle w:val="88"/>
        <w:tblW w:w="4963" w:type="pct"/>
        <w:tblInd w:w="0" w:type="dxa"/>
        <w:tblLayout w:type="fixed"/>
        <w:tblCellMar>
          <w:top w:w="0" w:type="dxa"/>
          <w:left w:w="108" w:type="dxa"/>
          <w:bottom w:w="0" w:type="dxa"/>
          <w:right w:w="108" w:type="dxa"/>
        </w:tblCellMar>
      </w:tblPr>
      <w:tblGrid>
        <w:gridCol w:w="646"/>
        <w:gridCol w:w="873"/>
        <w:gridCol w:w="873"/>
        <w:gridCol w:w="873"/>
        <w:gridCol w:w="873"/>
        <w:gridCol w:w="873"/>
        <w:gridCol w:w="873"/>
        <w:gridCol w:w="873"/>
        <w:gridCol w:w="873"/>
        <w:gridCol w:w="873"/>
        <w:gridCol w:w="874"/>
        <w:gridCol w:w="874"/>
        <w:gridCol w:w="874"/>
        <w:gridCol w:w="874"/>
        <w:gridCol w:w="904"/>
        <w:gridCol w:w="928"/>
        <w:gridCol w:w="1126"/>
      </w:tblGrid>
      <w:tr>
        <w:tblPrEx>
          <w:tblCellMar>
            <w:top w:w="0" w:type="dxa"/>
            <w:left w:w="108" w:type="dxa"/>
            <w:bottom w:w="0" w:type="dxa"/>
            <w:right w:w="108" w:type="dxa"/>
          </w:tblCellMar>
        </w:tblPrEx>
        <w:trPr>
          <w:trHeight w:val="111" w:hRule="atLeast"/>
        </w:trPr>
        <w:tc>
          <w:tcPr>
            <w:tcW w:w="5000" w:type="pct"/>
            <w:gridSpan w:val="17"/>
            <w:tcBorders>
              <w:top w:val="nil"/>
              <w:left w:val="nil"/>
              <w:bottom w:val="single" w:color="auto" w:sz="4" w:space="0"/>
              <w:right w:val="nil"/>
            </w:tcBorders>
            <w:shd w:val="clear" w:color="auto" w:fill="auto"/>
            <w:noWrap/>
            <w:vAlign w:val="center"/>
          </w:tcPr>
          <w:p>
            <w:pPr>
              <w:spacing w:after="156" w:afterLines="50" w:line="300" w:lineRule="atLeast"/>
              <w:ind w:right="420"/>
              <w:jc w:val="left"/>
              <w:rPr>
                <w:b/>
                <w:szCs w:val="21"/>
              </w:rPr>
            </w:pPr>
            <w:r>
              <w:rPr>
                <w:rFonts w:hint="eastAsia"/>
                <w:b/>
                <w:szCs w:val="21"/>
              </w:rPr>
              <w:t>表</w:t>
            </w:r>
            <w:r>
              <w:rPr>
                <w:b/>
                <w:szCs w:val="21"/>
              </w:rPr>
              <w:t>附录</w:t>
            </w:r>
            <w:r>
              <w:rPr>
                <w:rFonts w:hint="eastAsia"/>
                <w:b/>
                <w:szCs w:val="21"/>
                <w:lang w:val="en-US" w:eastAsia="zh-CN"/>
              </w:rPr>
              <w:t>A</w:t>
            </w:r>
            <w:r>
              <w:rPr>
                <w:b/>
                <w:szCs w:val="21"/>
              </w:rPr>
              <w:t> </w:t>
            </w:r>
            <w:r>
              <w:rPr>
                <w:rFonts w:hint="eastAsia"/>
                <w:b/>
                <w:szCs w:val="21"/>
                <w:lang w:val="en-US" w:eastAsia="zh-CN"/>
              </w:rPr>
              <w:t>验证</w:t>
            </w:r>
            <w:r>
              <w:rPr>
                <w:rFonts w:hint="eastAsia"/>
                <w:b/>
                <w:szCs w:val="21"/>
              </w:rPr>
              <w:t>意见</w:t>
            </w:r>
            <w:r>
              <w:rPr>
                <w:rFonts w:hint="eastAsia"/>
                <w:b/>
                <w:szCs w:val="21"/>
                <w:lang w:val="en-US" w:eastAsia="zh-CN"/>
              </w:rPr>
              <w:t>处理</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5541"/>
              <w:gridCol w:w="4029"/>
              <w:gridCol w:w="2768"/>
              <w:gridCol w:w="1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424" w:type="pct"/>
                  <w:vAlign w:val="center"/>
                </w:tcPr>
                <w:p>
                  <w:pPr>
                    <w:spacing w:line="360" w:lineRule="exact"/>
                    <w:jc w:val="center"/>
                    <w:rPr>
                      <w:b/>
                      <w:sz w:val="20"/>
                      <w:szCs w:val="21"/>
                    </w:rPr>
                  </w:pPr>
                  <w:r>
                    <w:rPr>
                      <w:b/>
                      <w:sz w:val="20"/>
                      <w:szCs w:val="21"/>
                    </w:rPr>
                    <w:t>序号</w:t>
                  </w:r>
                </w:p>
              </w:tc>
              <w:tc>
                <w:tcPr>
                  <w:tcW w:w="1880" w:type="pct"/>
                  <w:vAlign w:val="center"/>
                </w:tcPr>
                <w:p>
                  <w:pPr>
                    <w:spacing w:line="360" w:lineRule="exact"/>
                    <w:jc w:val="center"/>
                    <w:rPr>
                      <w:b/>
                      <w:sz w:val="20"/>
                      <w:szCs w:val="21"/>
                    </w:rPr>
                  </w:pPr>
                  <w:r>
                    <w:rPr>
                      <w:b/>
                      <w:sz w:val="20"/>
                      <w:szCs w:val="21"/>
                    </w:rPr>
                    <w:t>意见内容</w:t>
                  </w:r>
                </w:p>
              </w:tc>
              <w:tc>
                <w:tcPr>
                  <w:tcW w:w="1367" w:type="pct"/>
                  <w:vAlign w:val="center"/>
                </w:tcPr>
                <w:p>
                  <w:pPr>
                    <w:spacing w:line="360" w:lineRule="exact"/>
                    <w:jc w:val="center"/>
                    <w:rPr>
                      <w:b/>
                      <w:sz w:val="20"/>
                      <w:szCs w:val="21"/>
                    </w:rPr>
                  </w:pPr>
                  <w:r>
                    <w:rPr>
                      <w:b/>
                      <w:sz w:val="20"/>
                      <w:szCs w:val="21"/>
                    </w:rPr>
                    <w:t>提出单位</w:t>
                  </w:r>
                </w:p>
              </w:tc>
              <w:tc>
                <w:tcPr>
                  <w:tcW w:w="939" w:type="pct"/>
                  <w:vAlign w:val="center"/>
                </w:tcPr>
                <w:p>
                  <w:pPr>
                    <w:spacing w:line="360" w:lineRule="exact"/>
                    <w:jc w:val="center"/>
                    <w:rPr>
                      <w:b/>
                      <w:sz w:val="20"/>
                      <w:szCs w:val="21"/>
                    </w:rPr>
                  </w:pPr>
                  <w:r>
                    <w:rPr>
                      <w:b/>
                      <w:sz w:val="20"/>
                      <w:szCs w:val="21"/>
                    </w:rPr>
                    <w:t>处理意见</w:t>
                  </w:r>
                </w:p>
              </w:tc>
              <w:tc>
                <w:tcPr>
                  <w:tcW w:w="388" w:type="pct"/>
                  <w:vAlign w:val="center"/>
                </w:tcPr>
                <w:p>
                  <w:pPr>
                    <w:spacing w:line="360" w:lineRule="exact"/>
                    <w:jc w:val="center"/>
                    <w:rPr>
                      <w:b/>
                      <w:sz w:val="20"/>
                      <w:szCs w:val="21"/>
                    </w:rPr>
                  </w:pPr>
                  <w:r>
                    <w:rPr>
                      <w:b/>
                      <w:sz w:val="2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4" w:type="pct"/>
                  <w:vAlign w:val="center"/>
                </w:tcPr>
                <w:p>
                  <w:pPr>
                    <w:jc w:val="center"/>
                    <w:rPr>
                      <w:rFonts w:ascii="宋体" w:hAnsi="宋体" w:cs="宋体"/>
                      <w:color w:val="000000"/>
                      <w:sz w:val="18"/>
                      <w:szCs w:val="18"/>
                    </w:rPr>
                  </w:pPr>
                  <w:r>
                    <w:rPr>
                      <w:rFonts w:hint="eastAsia" w:ascii="宋体" w:hAnsi="宋体" w:cs="宋体"/>
                      <w:color w:val="000000"/>
                      <w:sz w:val="18"/>
                      <w:szCs w:val="18"/>
                    </w:rPr>
                    <w:t>1</w:t>
                  </w:r>
                </w:p>
              </w:tc>
              <w:tc>
                <w:tcPr>
                  <w:tcW w:w="1880" w:type="pct"/>
                  <w:vAlign w:val="center"/>
                </w:tcPr>
                <w:p>
                  <w:pPr>
                    <w:contextualSpacing/>
                    <w:jc w:val="left"/>
                    <w:rPr>
                      <w:color w:val="000000"/>
                      <w:sz w:val="18"/>
                      <w:szCs w:val="18"/>
                    </w:rPr>
                  </w:pPr>
                  <w:r>
                    <w:rPr>
                      <w:rFonts w:hint="eastAsia"/>
                      <w:color w:val="000000"/>
                      <w:sz w:val="18"/>
                      <w:szCs w:val="18"/>
                    </w:rPr>
                    <w:t>原子荧光由于型号不同导致其性能也不同，仪器条件试验给出适当范围即可。</w:t>
                  </w:r>
                </w:p>
              </w:tc>
              <w:tc>
                <w:tcPr>
                  <w:tcW w:w="1367" w:type="pct"/>
                  <w:vAlign w:val="center"/>
                </w:tcPr>
                <w:p>
                  <w:pPr>
                    <w:contextualSpacing/>
                    <w:jc w:val="left"/>
                    <w:rPr>
                      <w:rFonts w:ascii="宋体" w:hAnsi="宋体"/>
                      <w:color w:val="000000"/>
                      <w:sz w:val="18"/>
                      <w:szCs w:val="18"/>
                    </w:rPr>
                  </w:pPr>
                  <w:r>
                    <w:rPr>
                      <w:rFonts w:hint="eastAsia"/>
                      <w:color w:val="000000"/>
                      <w:sz w:val="18"/>
                      <w:szCs w:val="18"/>
                    </w:rPr>
                    <w:t>国家钨与稀土产品质量监督检验中心</w:t>
                  </w:r>
                </w:p>
              </w:tc>
              <w:tc>
                <w:tcPr>
                  <w:tcW w:w="939" w:type="pct"/>
                  <w:vAlign w:val="center"/>
                </w:tcPr>
                <w:p>
                  <w:pPr>
                    <w:jc w:val="left"/>
                    <w:rPr>
                      <w:rFonts w:ascii="宋体" w:hAnsi="宋体"/>
                      <w:color w:val="000000"/>
                      <w:sz w:val="18"/>
                      <w:szCs w:val="18"/>
                    </w:rPr>
                  </w:pPr>
                  <w:r>
                    <w:rPr>
                      <w:rFonts w:hint="eastAsia" w:ascii="宋体" w:hAnsi="宋体" w:cs="宋体"/>
                      <w:sz w:val="18"/>
                      <w:szCs w:val="18"/>
                    </w:rPr>
                    <w:t>采纳</w:t>
                  </w:r>
                </w:p>
              </w:tc>
              <w:tc>
                <w:tcPr>
                  <w:tcW w:w="388" w:type="pct"/>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4" w:type="pct"/>
                  <w:vAlign w:val="center"/>
                </w:tcPr>
                <w:p>
                  <w:pPr>
                    <w:jc w:val="center"/>
                    <w:rPr>
                      <w:rFonts w:ascii="宋体" w:hAnsi="宋体" w:cs="宋体"/>
                      <w:color w:val="000000"/>
                      <w:sz w:val="18"/>
                      <w:szCs w:val="18"/>
                    </w:rPr>
                  </w:pPr>
                  <w:r>
                    <w:rPr>
                      <w:rFonts w:hint="eastAsia" w:ascii="宋体" w:hAnsi="宋体" w:cs="宋体"/>
                      <w:color w:val="000000"/>
                      <w:sz w:val="18"/>
                      <w:szCs w:val="18"/>
                    </w:rPr>
                    <w:t>2</w:t>
                  </w:r>
                </w:p>
              </w:tc>
              <w:tc>
                <w:tcPr>
                  <w:tcW w:w="1880" w:type="pct"/>
                  <w:vAlign w:val="center"/>
                </w:tcPr>
                <w:p>
                  <w:pPr>
                    <w:contextualSpacing/>
                    <w:jc w:val="left"/>
                    <w:rPr>
                      <w:color w:val="000000"/>
                      <w:sz w:val="18"/>
                      <w:szCs w:val="18"/>
                    </w:rPr>
                  </w:pPr>
                  <w:r>
                    <w:rPr>
                      <w:rFonts w:hint="eastAsia"/>
                      <w:color w:val="000000"/>
                      <w:sz w:val="18"/>
                      <w:szCs w:val="18"/>
                    </w:rPr>
                    <w:t>两个方法检测范围有交叉，当铅含量在交叉范围时应如何仲裁？</w:t>
                  </w:r>
                </w:p>
              </w:tc>
              <w:tc>
                <w:tcPr>
                  <w:tcW w:w="1367" w:type="pct"/>
                  <w:vAlign w:val="center"/>
                </w:tcPr>
                <w:p>
                  <w:pPr>
                    <w:contextualSpacing/>
                    <w:jc w:val="left"/>
                    <w:rPr>
                      <w:rFonts w:ascii="宋体" w:hAnsi="宋体"/>
                      <w:sz w:val="18"/>
                      <w:szCs w:val="18"/>
                    </w:rPr>
                  </w:pPr>
                  <w:r>
                    <w:rPr>
                      <w:rFonts w:hint="eastAsia"/>
                      <w:color w:val="000000"/>
                      <w:sz w:val="18"/>
                      <w:szCs w:val="18"/>
                    </w:rPr>
                    <w:t>国家钨与稀土产品质量监督检验中心</w:t>
                  </w:r>
                </w:p>
              </w:tc>
              <w:tc>
                <w:tcPr>
                  <w:tcW w:w="939" w:type="pct"/>
                  <w:vAlign w:val="center"/>
                </w:tcPr>
                <w:p>
                  <w:pPr>
                    <w:contextualSpacing/>
                    <w:jc w:val="left"/>
                    <w:rPr>
                      <w:rFonts w:ascii="宋体" w:hAnsi="宋体"/>
                      <w:sz w:val="18"/>
                      <w:szCs w:val="18"/>
                    </w:rPr>
                  </w:pPr>
                  <w:r>
                    <w:rPr>
                      <w:rFonts w:hint="eastAsia" w:ascii="宋体" w:hAnsi="宋体"/>
                      <w:sz w:val="18"/>
                      <w:szCs w:val="18"/>
                    </w:rPr>
                    <w:t>补充</w:t>
                  </w:r>
                  <w:r>
                    <w:rPr>
                      <w:rFonts w:ascii="宋体" w:hAnsi="宋体"/>
                      <w:sz w:val="18"/>
                      <w:szCs w:val="18"/>
                    </w:rPr>
                    <w:t>交叉部分方法一致评价，确定交叉</w:t>
                  </w:r>
                  <w:r>
                    <w:rPr>
                      <w:rFonts w:hint="eastAsia" w:ascii="宋体" w:hAnsi="宋体"/>
                      <w:sz w:val="18"/>
                      <w:szCs w:val="18"/>
                    </w:rPr>
                    <w:t>部分</w:t>
                  </w:r>
                  <w:r>
                    <w:rPr>
                      <w:rFonts w:ascii="宋体" w:hAnsi="宋体"/>
                      <w:sz w:val="18"/>
                      <w:szCs w:val="18"/>
                    </w:rPr>
                    <w:t>仲裁方法。</w:t>
                  </w:r>
                </w:p>
              </w:tc>
              <w:tc>
                <w:tcPr>
                  <w:tcW w:w="388" w:type="pct"/>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4" w:type="pct"/>
                  <w:vAlign w:val="center"/>
                </w:tcPr>
                <w:p>
                  <w:pPr>
                    <w:jc w:val="center"/>
                    <w:rPr>
                      <w:rFonts w:ascii="宋体" w:hAnsi="宋体" w:cs="宋体"/>
                      <w:color w:val="000000"/>
                      <w:sz w:val="18"/>
                      <w:szCs w:val="18"/>
                    </w:rPr>
                  </w:pPr>
                  <w:r>
                    <w:rPr>
                      <w:rFonts w:hint="eastAsia" w:ascii="宋体" w:hAnsi="宋体" w:cs="宋体"/>
                      <w:color w:val="000000"/>
                      <w:sz w:val="18"/>
                      <w:szCs w:val="18"/>
                    </w:rPr>
                    <w:t>3</w:t>
                  </w:r>
                </w:p>
              </w:tc>
              <w:tc>
                <w:tcPr>
                  <w:tcW w:w="1880" w:type="pct"/>
                  <w:vAlign w:val="center"/>
                </w:tcPr>
                <w:p>
                  <w:pPr>
                    <w:contextualSpacing/>
                    <w:jc w:val="left"/>
                    <w:rPr>
                      <w:color w:val="000000"/>
                      <w:sz w:val="18"/>
                      <w:szCs w:val="18"/>
                    </w:rPr>
                  </w:pPr>
                  <w:r>
                    <w:rPr>
                      <w:rFonts w:hint="eastAsia"/>
                      <w:color w:val="000000"/>
                      <w:sz w:val="18"/>
                      <w:szCs w:val="18"/>
                    </w:rPr>
                    <w:t>“2.4.5系列标准溶液的配制”中标准曲线浓度为0μg/L，2.5μg/L，5μg/L，12.50μg/L，25μg/L、50μg/L 、100μg/L的系列标准溶液，建议分段配制曲线。</w:t>
                  </w:r>
                </w:p>
              </w:tc>
              <w:tc>
                <w:tcPr>
                  <w:tcW w:w="1367" w:type="pct"/>
                  <w:vAlign w:val="center"/>
                </w:tcPr>
                <w:p>
                  <w:pPr>
                    <w:contextualSpacing/>
                    <w:jc w:val="left"/>
                    <w:rPr>
                      <w:sz w:val="18"/>
                      <w:szCs w:val="18"/>
                    </w:rPr>
                  </w:pPr>
                  <w:r>
                    <w:rPr>
                      <w:rFonts w:hint="eastAsia"/>
                      <w:color w:val="000000"/>
                      <w:sz w:val="18"/>
                      <w:szCs w:val="18"/>
                    </w:rPr>
                    <w:t>湖南柿竹园有色金属有限责任公司</w:t>
                  </w:r>
                </w:p>
              </w:tc>
              <w:tc>
                <w:tcPr>
                  <w:tcW w:w="939" w:type="pct"/>
                  <w:vAlign w:val="center"/>
                </w:tcPr>
                <w:p>
                  <w:pPr>
                    <w:contextualSpacing/>
                    <w:jc w:val="left"/>
                    <w:rPr>
                      <w:rFonts w:ascii="宋体" w:hAnsi="宋体"/>
                      <w:sz w:val="18"/>
                      <w:szCs w:val="18"/>
                    </w:rPr>
                  </w:pPr>
                  <w:r>
                    <w:rPr>
                      <w:rFonts w:hint="eastAsia" w:ascii="宋体" w:hAnsi="宋体"/>
                      <w:sz w:val="18"/>
                      <w:szCs w:val="18"/>
                    </w:rPr>
                    <w:t>采纳</w:t>
                  </w:r>
                </w:p>
              </w:tc>
              <w:tc>
                <w:tcPr>
                  <w:tcW w:w="388" w:type="pct"/>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4" w:type="pct"/>
                  <w:vAlign w:val="center"/>
                </w:tcPr>
                <w:p>
                  <w:pPr>
                    <w:jc w:val="center"/>
                    <w:rPr>
                      <w:rFonts w:ascii="宋体" w:hAnsi="宋体" w:cs="宋体"/>
                      <w:color w:val="000000"/>
                      <w:sz w:val="18"/>
                      <w:szCs w:val="18"/>
                    </w:rPr>
                  </w:pPr>
                  <w:r>
                    <w:rPr>
                      <w:rFonts w:hint="eastAsia" w:ascii="宋体" w:hAnsi="宋体" w:cs="宋体"/>
                      <w:color w:val="000000"/>
                      <w:sz w:val="18"/>
                      <w:szCs w:val="18"/>
                    </w:rPr>
                    <w:t>4</w:t>
                  </w:r>
                </w:p>
              </w:tc>
              <w:tc>
                <w:tcPr>
                  <w:tcW w:w="1880" w:type="pct"/>
                  <w:vAlign w:val="center"/>
                </w:tcPr>
                <w:p>
                  <w:pPr>
                    <w:contextualSpacing/>
                    <w:jc w:val="left"/>
                    <w:rPr>
                      <w:color w:val="000000"/>
                      <w:sz w:val="18"/>
                      <w:szCs w:val="18"/>
                    </w:rPr>
                  </w:pPr>
                  <w:r>
                    <w:rPr>
                      <w:rFonts w:hint="eastAsia"/>
                      <w:color w:val="000000"/>
                      <w:sz w:val="18"/>
                      <w:szCs w:val="18"/>
                    </w:rPr>
                    <w:t>铁氰化钾溶液不稳定，见光、在酸性溶液中溶液易分解，建议待测样品溶液和标准曲线系列溶液同一时间加入铁氰化钾溶液；载流液同一时间配制。</w:t>
                  </w:r>
                </w:p>
                <w:p>
                  <w:pPr>
                    <w:contextualSpacing/>
                    <w:jc w:val="left"/>
                    <w:rPr>
                      <w:color w:val="000000"/>
                      <w:sz w:val="18"/>
                      <w:szCs w:val="18"/>
                    </w:rPr>
                  </w:pPr>
                  <w:r>
                    <w:rPr>
                      <w:rFonts w:hint="eastAsia"/>
                      <w:color w:val="000000"/>
                      <w:sz w:val="18"/>
                      <w:szCs w:val="18"/>
                    </w:rPr>
                    <w:t>建议加入铁氰化钾后的待测液24 h内测完。</w:t>
                  </w:r>
                </w:p>
                <w:p>
                  <w:pPr>
                    <w:contextualSpacing/>
                    <w:jc w:val="left"/>
                    <w:rPr>
                      <w:color w:val="000000"/>
                      <w:sz w:val="18"/>
                      <w:szCs w:val="18"/>
                    </w:rPr>
                  </w:pPr>
                </w:p>
              </w:tc>
              <w:tc>
                <w:tcPr>
                  <w:tcW w:w="1367" w:type="pct"/>
                  <w:vAlign w:val="center"/>
                </w:tcPr>
                <w:p>
                  <w:pPr>
                    <w:contextualSpacing/>
                    <w:jc w:val="left"/>
                    <w:rPr>
                      <w:color w:val="000000"/>
                      <w:sz w:val="18"/>
                      <w:szCs w:val="18"/>
                    </w:rPr>
                  </w:pPr>
                  <w:r>
                    <w:rPr>
                      <w:rFonts w:hint="eastAsia"/>
                      <w:color w:val="000000"/>
                      <w:sz w:val="18"/>
                      <w:szCs w:val="18"/>
                    </w:rPr>
                    <w:t>中国有色桂林矿产地质研究院有限公司</w:t>
                  </w:r>
                </w:p>
              </w:tc>
              <w:tc>
                <w:tcPr>
                  <w:tcW w:w="939" w:type="pct"/>
                  <w:vAlign w:val="center"/>
                </w:tcPr>
                <w:p>
                  <w:pPr>
                    <w:contextualSpacing/>
                    <w:jc w:val="left"/>
                    <w:rPr>
                      <w:rFonts w:ascii="宋体" w:hAnsi="宋体"/>
                      <w:sz w:val="18"/>
                      <w:szCs w:val="18"/>
                    </w:rPr>
                  </w:pPr>
                  <w:r>
                    <w:rPr>
                      <w:rFonts w:hint="eastAsia" w:ascii="宋体" w:hAnsi="宋体" w:cs="宋体"/>
                      <w:sz w:val="18"/>
                      <w:szCs w:val="18"/>
                    </w:rPr>
                    <w:t>采纳</w:t>
                  </w:r>
                </w:p>
              </w:tc>
              <w:tc>
                <w:tcPr>
                  <w:tcW w:w="388" w:type="pct"/>
                  <w:vAlign w:val="center"/>
                </w:tcPr>
                <w:p>
                  <w:pPr>
                    <w:jc w:val="center"/>
                    <w:rPr>
                      <w:sz w:val="18"/>
                      <w:szCs w:val="18"/>
                    </w:rPr>
                  </w:pPr>
                </w:p>
              </w:tc>
            </w:tr>
          </w:tbl>
          <w:p>
            <w:pPr>
              <w:widowControl/>
              <w:jc w:val="both"/>
              <w:rPr>
                <w:rFonts w:hint="eastAsia" w:ascii="等线" w:hAnsi="等线" w:eastAsia="等线" w:cs="宋体"/>
                <w:color w:val="000000"/>
                <w:kern w:val="0"/>
                <w:szCs w:val="21"/>
              </w:rPr>
            </w:pPr>
          </w:p>
          <w:p>
            <w:pPr>
              <w:widowControl/>
              <w:jc w:val="center"/>
              <w:rPr>
                <w:rFonts w:hint="eastAsia" w:ascii="等线" w:hAnsi="等线" w:eastAsia="等线" w:cs="宋体"/>
                <w:color w:val="000000"/>
                <w:kern w:val="0"/>
                <w:szCs w:val="21"/>
              </w:rPr>
            </w:pPr>
          </w:p>
          <w:p>
            <w:pPr>
              <w:widowControl/>
              <w:jc w:val="center"/>
              <w:rPr>
                <w:rFonts w:hint="eastAsia" w:ascii="等线" w:hAnsi="等线" w:eastAsia="等线" w:cs="宋体"/>
                <w:color w:val="000000"/>
                <w:kern w:val="0"/>
                <w:szCs w:val="21"/>
              </w:rPr>
            </w:pPr>
          </w:p>
          <w:p>
            <w:pPr>
              <w:widowControl/>
              <w:jc w:val="center"/>
              <w:rPr>
                <w:rFonts w:hint="eastAsia" w:ascii="等线" w:hAnsi="等线" w:eastAsia="等线" w:cs="宋体"/>
                <w:color w:val="000000"/>
                <w:kern w:val="0"/>
                <w:szCs w:val="21"/>
              </w:rPr>
            </w:pPr>
          </w:p>
          <w:p>
            <w:pPr>
              <w:widowControl/>
              <w:jc w:val="center"/>
              <w:rPr>
                <w:rFonts w:hint="eastAsia" w:ascii="等线" w:hAnsi="等线" w:eastAsia="等线" w:cs="宋体"/>
                <w:color w:val="000000"/>
                <w:kern w:val="0"/>
                <w:szCs w:val="21"/>
              </w:rPr>
            </w:pPr>
          </w:p>
          <w:p>
            <w:pPr>
              <w:widowControl/>
              <w:jc w:val="center"/>
              <w:rPr>
                <w:rFonts w:hint="eastAsia" w:ascii="等线" w:hAnsi="等线" w:eastAsia="等线" w:cs="宋体"/>
                <w:color w:val="000000"/>
                <w:kern w:val="0"/>
                <w:szCs w:val="21"/>
              </w:rPr>
            </w:pPr>
          </w:p>
          <w:p>
            <w:pPr>
              <w:widowControl/>
              <w:jc w:val="center"/>
              <w:rPr>
                <w:rFonts w:hint="eastAsia" w:ascii="等线" w:hAnsi="等线" w:eastAsia="等线" w:cs="宋体"/>
                <w:color w:val="000000"/>
                <w:kern w:val="0"/>
                <w:szCs w:val="21"/>
              </w:rPr>
            </w:pPr>
          </w:p>
          <w:p>
            <w:pPr>
              <w:widowControl/>
              <w:jc w:val="center"/>
              <w:rPr>
                <w:rFonts w:hint="eastAsia" w:ascii="等线" w:hAnsi="等线" w:eastAsia="等线" w:cs="宋体"/>
                <w:color w:val="000000"/>
                <w:kern w:val="0"/>
                <w:szCs w:val="21"/>
              </w:rPr>
            </w:pPr>
          </w:p>
          <w:p>
            <w:pPr>
              <w:widowControl/>
              <w:jc w:val="center"/>
              <w:rPr>
                <w:rFonts w:hint="eastAsia" w:ascii="等线" w:hAnsi="等线" w:eastAsia="等线" w:cs="宋体"/>
                <w:color w:val="000000"/>
                <w:kern w:val="0"/>
                <w:szCs w:val="21"/>
              </w:rPr>
            </w:pPr>
          </w:p>
          <w:p>
            <w:pPr>
              <w:widowControl/>
              <w:jc w:val="center"/>
              <w:rPr>
                <w:rFonts w:hint="eastAsia" w:ascii="等线" w:hAnsi="等线" w:eastAsia="等线" w:cs="宋体"/>
                <w:color w:val="000000"/>
                <w:kern w:val="0"/>
                <w:szCs w:val="21"/>
              </w:rPr>
            </w:pPr>
          </w:p>
          <w:p>
            <w:pPr>
              <w:widowControl/>
              <w:jc w:val="center"/>
              <w:rPr>
                <w:rFonts w:hint="eastAsia" w:ascii="等线" w:hAnsi="等线" w:eastAsia="等线" w:cs="宋体"/>
                <w:color w:val="000000"/>
                <w:kern w:val="0"/>
                <w:szCs w:val="21"/>
              </w:rPr>
            </w:pPr>
          </w:p>
          <w:p>
            <w:pPr>
              <w:widowControl/>
              <w:jc w:val="center"/>
              <w:rPr>
                <w:rFonts w:hint="eastAsia" w:ascii="等线" w:hAnsi="等线" w:eastAsia="等线" w:cs="宋体"/>
                <w:color w:val="000000"/>
                <w:kern w:val="0"/>
                <w:szCs w:val="21"/>
              </w:rPr>
            </w:pPr>
          </w:p>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表</w:t>
            </w:r>
            <w:r>
              <w:rPr>
                <w:rFonts w:hint="eastAsia" w:ascii="等线" w:hAnsi="等线" w:eastAsia="等线" w:cs="宋体"/>
                <w:color w:val="000000"/>
                <w:kern w:val="0"/>
                <w:szCs w:val="21"/>
                <w:lang w:val="en-US" w:eastAsia="zh-CN"/>
              </w:rPr>
              <w:t>附录B</w:t>
            </w:r>
            <w:r>
              <w:rPr>
                <w:rFonts w:hint="eastAsia" w:ascii="等线" w:hAnsi="等线" w:eastAsia="等线" w:cs="宋体"/>
                <w:color w:val="000000"/>
                <w:kern w:val="0"/>
                <w:szCs w:val="21"/>
              </w:rPr>
              <w:t>-1钨精矿铅量的测定-AFS数据统计</w:t>
            </w:r>
          </w:p>
        </w:tc>
      </w:tr>
      <w:tr>
        <w:tblPrEx>
          <w:tblCellMar>
            <w:top w:w="0" w:type="dxa"/>
            <w:left w:w="108" w:type="dxa"/>
            <w:bottom w:w="0" w:type="dxa"/>
            <w:right w:w="108" w:type="dxa"/>
          </w:tblCellMar>
        </w:tblPrEx>
        <w:trPr>
          <w:trHeight w:val="450" w:hRule="atLeast"/>
        </w:trPr>
        <w:tc>
          <w:tcPr>
            <w:tcW w:w="2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单位</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1</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2</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3</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4</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5</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6</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7</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8</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9</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10</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11</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平均值</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S</w:t>
            </w:r>
          </w:p>
        </w:tc>
        <w:tc>
          <w:tcPr>
            <w:tcW w:w="30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Gmin值</w:t>
            </w:r>
          </w:p>
        </w:tc>
        <w:tc>
          <w:tcPr>
            <w:tcW w:w="310"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Gmax值</w:t>
            </w:r>
          </w:p>
        </w:tc>
        <w:tc>
          <w:tcPr>
            <w:tcW w:w="365"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Grubbs检验</w:t>
            </w:r>
          </w:p>
        </w:tc>
      </w:tr>
      <w:tr>
        <w:tblPrEx>
          <w:tblCellMar>
            <w:top w:w="0" w:type="dxa"/>
            <w:left w:w="108" w:type="dxa"/>
            <w:bottom w:w="0" w:type="dxa"/>
            <w:right w:w="108" w:type="dxa"/>
          </w:tblCellMar>
        </w:tblPrEx>
        <w:trPr>
          <w:trHeight w:val="285" w:hRule="atLeast"/>
        </w:trPr>
        <w:tc>
          <w:tcPr>
            <w:tcW w:w="21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0.00101</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0.00108</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0.001</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0.00103</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0.00111</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0.00108</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0.001</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0.00103</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0.00105</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0.00106</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0.00107</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0.00105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0.00004 </w:t>
            </w:r>
          </w:p>
        </w:tc>
        <w:tc>
          <w:tcPr>
            <w:tcW w:w="30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1.300</w:t>
            </w:r>
          </w:p>
        </w:tc>
        <w:tc>
          <w:tcPr>
            <w:tcW w:w="310"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1.725</w:t>
            </w:r>
          </w:p>
        </w:tc>
        <w:tc>
          <w:tcPr>
            <w:tcW w:w="365"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无异常值</w:t>
            </w:r>
          </w:p>
        </w:tc>
      </w:tr>
      <w:tr>
        <w:tblPrEx>
          <w:tblCellMar>
            <w:top w:w="0" w:type="dxa"/>
            <w:left w:w="108" w:type="dxa"/>
            <w:bottom w:w="0" w:type="dxa"/>
            <w:right w:w="108" w:type="dxa"/>
          </w:tblCellMar>
        </w:tblPrEx>
        <w:trPr>
          <w:trHeight w:val="285" w:hRule="atLeast"/>
        </w:trPr>
        <w:tc>
          <w:tcPr>
            <w:tcW w:w="21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0.00113</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0.00112</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0.00111</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0.00109</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0.00106</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0.00114</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0.0011</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0.00108</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0.0011</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0.00113</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0.00107</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0.00110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0.00003 </w:t>
            </w:r>
          </w:p>
        </w:tc>
        <w:tc>
          <w:tcPr>
            <w:tcW w:w="30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1.636</w:t>
            </w:r>
          </w:p>
        </w:tc>
        <w:tc>
          <w:tcPr>
            <w:tcW w:w="310"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1.427</w:t>
            </w:r>
          </w:p>
        </w:tc>
        <w:tc>
          <w:tcPr>
            <w:tcW w:w="365"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无异常值</w:t>
            </w:r>
          </w:p>
        </w:tc>
      </w:tr>
      <w:tr>
        <w:tblPrEx>
          <w:tblCellMar>
            <w:top w:w="0" w:type="dxa"/>
            <w:left w:w="108" w:type="dxa"/>
            <w:bottom w:w="0" w:type="dxa"/>
            <w:right w:w="108" w:type="dxa"/>
          </w:tblCellMar>
        </w:tblPrEx>
        <w:trPr>
          <w:trHeight w:val="285" w:hRule="atLeast"/>
        </w:trPr>
        <w:tc>
          <w:tcPr>
            <w:tcW w:w="21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3</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0.00089</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0.00092</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0.00095</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0.00096</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0.00102</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0.00095</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0.00096</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0.00089</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0.00097</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0.00104</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0.00093</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0.00095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0.00005 </w:t>
            </w:r>
          </w:p>
        </w:tc>
        <w:tc>
          <w:tcPr>
            <w:tcW w:w="30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1.337</w:t>
            </w:r>
          </w:p>
        </w:tc>
        <w:tc>
          <w:tcPr>
            <w:tcW w:w="310"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1.860</w:t>
            </w:r>
          </w:p>
        </w:tc>
        <w:tc>
          <w:tcPr>
            <w:tcW w:w="365"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无异常值</w:t>
            </w:r>
          </w:p>
        </w:tc>
      </w:tr>
      <w:tr>
        <w:tblPrEx>
          <w:tblCellMar>
            <w:top w:w="0" w:type="dxa"/>
            <w:left w:w="108" w:type="dxa"/>
            <w:bottom w:w="0" w:type="dxa"/>
            <w:right w:w="108" w:type="dxa"/>
          </w:tblCellMar>
        </w:tblPrEx>
        <w:trPr>
          <w:trHeight w:val="285" w:hRule="atLeast"/>
        </w:trPr>
        <w:tc>
          <w:tcPr>
            <w:tcW w:w="21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4</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0.00102</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0.00106</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0.00103</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0.00105</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0.00108</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0.00111</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0.00109</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0.00105</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0.00103</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0.00106</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0.00104</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0.00106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0.00003 </w:t>
            </w:r>
          </w:p>
        </w:tc>
        <w:tc>
          <w:tcPr>
            <w:tcW w:w="30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1.314</w:t>
            </w:r>
          </w:p>
        </w:tc>
        <w:tc>
          <w:tcPr>
            <w:tcW w:w="310"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1.939</w:t>
            </w:r>
          </w:p>
        </w:tc>
        <w:tc>
          <w:tcPr>
            <w:tcW w:w="365"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无异常值</w:t>
            </w:r>
          </w:p>
        </w:tc>
      </w:tr>
      <w:tr>
        <w:tblPrEx>
          <w:tblCellMar>
            <w:top w:w="0" w:type="dxa"/>
            <w:left w:w="108" w:type="dxa"/>
            <w:bottom w:w="0" w:type="dxa"/>
            <w:right w:w="108" w:type="dxa"/>
          </w:tblCellMar>
        </w:tblPrEx>
        <w:trPr>
          <w:trHeight w:val="297" w:hRule="atLeast"/>
        </w:trPr>
        <w:tc>
          <w:tcPr>
            <w:tcW w:w="21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5</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0.00105</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0.00105</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0.0011</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0.00119</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0.00108</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0.00126</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0.00109</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0.00106</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0.00101</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0.00112</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0.00103</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 xml:space="preserve">0.00109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 xml:space="preserve">0.00007 </w:t>
            </w:r>
          </w:p>
        </w:tc>
        <w:tc>
          <w:tcPr>
            <w:tcW w:w="30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1.152</w:t>
            </w:r>
          </w:p>
        </w:tc>
        <w:tc>
          <w:tcPr>
            <w:tcW w:w="310"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2.254</w:t>
            </w:r>
          </w:p>
        </w:tc>
        <w:tc>
          <w:tcPr>
            <w:tcW w:w="365"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无异常值</w:t>
            </w:r>
          </w:p>
        </w:tc>
      </w:tr>
      <w:tr>
        <w:tblPrEx>
          <w:tblCellMar>
            <w:top w:w="0" w:type="dxa"/>
            <w:left w:w="108" w:type="dxa"/>
            <w:bottom w:w="0" w:type="dxa"/>
            <w:right w:w="108" w:type="dxa"/>
          </w:tblCellMar>
        </w:tblPrEx>
        <w:trPr>
          <w:trHeight w:val="285" w:hRule="atLeast"/>
        </w:trPr>
        <w:tc>
          <w:tcPr>
            <w:tcW w:w="21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6</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0.00106</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0.00111</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0.00106</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0.00106</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0.00108</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0.00109</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0.00114</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0.00107</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0.00112</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0.00113</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0.00115</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 xml:space="preserve">0.00110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 xml:space="preserve">0.00003 </w:t>
            </w:r>
          </w:p>
        </w:tc>
        <w:tc>
          <w:tcPr>
            <w:tcW w:w="30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1.094</w:t>
            </w:r>
          </w:p>
        </w:tc>
        <w:tc>
          <w:tcPr>
            <w:tcW w:w="310"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1.547</w:t>
            </w:r>
          </w:p>
        </w:tc>
        <w:tc>
          <w:tcPr>
            <w:tcW w:w="365"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无异常值</w:t>
            </w:r>
          </w:p>
        </w:tc>
      </w:tr>
      <w:tr>
        <w:tblPrEx>
          <w:tblCellMar>
            <w:top w:w="0" w:type="dxa"/>
            <w:left w:w="108" w:type="dxa"/>
            <w:bottom w:w="0" w:type="dxa"/>
            <w:right w:w="108" w:type="dxa"/>
          </w:tblCellMar>
        </w:tblPrEx>
        <w:trPr>
          <w:trHeight w:val="285" w:hRule="atLeast"/>
        </w:trPr>
        <w:tc>
          <w:tcPr>
            <w:tcW w:w="21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7</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0.00101</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0.00105</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0.00104</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0.00102</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0.0011</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0.00106</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0.001</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0.00103</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0.00105</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0.00106</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0.00104</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 xml:space="preserve">0.00104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 xml:space="preserve">0.00003 </w:t>
            </w:r>
          </w:p>
        </w:tc>
        <w:tc>
          <w:tcPr>
            <w:tcW w:w="30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1.521</w:t>
            </w:r>
          </w:p>
        </w:tc>
        <w:tc>
          <w:tcPr>
            <w:tcW w:w="310"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2.116</w:t>
            </w:r>
          </w:p>
        </w:tc>
        <w:tc>
          <w:tcPr>
            <w:tcW w:w="365"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无异常值</w:t>
            </w:r>
          </w:p>
        </w:tc>
      </w:tr>
      <w:tr>
        <w:tblPrEx>
          <w:tblCellMar>
            <w:top w:w="0" w:type="dxa"/>
            <w:left w:w="108" w:type="dxa"/>
            <w:bottom w:w="0" w:type="dxa"/>
            <w:right w:w="108" w:type="dxa"/>
          </w:tblCellMar>
        </w:tblPrEx>
        <w:trPr>
          <w:trHeight w:val="285" w:hRule="atLeast"/>
        </w:trPr>
        <w:tc>
          <w:tcPr>
            <w:tcW w:w="21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8</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0.00113</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0.00101</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0.00114</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0.00103</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0.00111</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0.00118</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0.00107</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0.00113</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0.00105</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0.00112</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0.00109</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 xml:space="preserve">0.00110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 xml:space="preserve">0.00005 </w:t>
            </w:r>
          </w:p>
        </w:tc>
        <w:tc>
          <w:tcPr>
            <w:tcW w:w="30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1.673</w:t>
            </w:r>
          </w:p>
        </w:tc>
        <w:tc>
          <w:tcPr>
            <w:tcW w:w="310"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1.620</w:t>
            </w:r>
          </w:p>
        </w:tc>
        <w:tc>
          <w:tcPr>
            <w:tcW w:w="365"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无异常值</w:t>
            </w:r>
          </w:p>
        </w:tc>
      </w:tr>
      <w:tr>
        <w:tblPrEx>
          <w:tblCellMar>
            <w:top w:w="0" w:type="dxa"/>
            <w:left w:w="108" w:type="dxa"/>
            <w:bottom w:w="0" w:type="dxa"/>
            <w:right w:w="108" w:type="dxa"/>
          </w:tblCellMar>
        </w:tblPrEx>
        <w:trPr>
          <w:trHeight w:val="300" w:hRule="atLeast"/>
        </w:trPr>
        <w:tc>
          <w:tcPr>
            <w:tcW w:w="216" w:type="pct"/>
            <w:tcBorders>
              <w:top w:val="nil"/>
              <w:left w:val="single" w:color="auto" w:sz="4" w:space="0"/>
              <w:bottom w:val="single" w:color="auto" w:sz="4" w:space="0"/>
              <w:right w:val="single" w:color="auto" w:sz="4" w:space="0"/>
            </w:tcBorders>
            <w:shd w:val="clear" w:color="000000" w:fill="00FF00"/>
            <w:vAlign w:val="center"/>
          </w:tcPr>
          <w:p>
            <w:pPr>
              <w:widowControl/>
              <w:jc w:val="center"/>
              <w:rPr>
                <w:rFonts w:ascii="宋体" w:hAnsi="宋体" w:cs="宋体"/>
                <w:kern w:val="0"/>
                <w:sz w:val="16"/>
                <w:szCs w:val="16"/>
              </w:rPr>
            </w:pPr>
            <w:r>
              <w:rPr>
                <w:rFonts w:hint="eastAsia" w:ascii="宋体" w:hAnsi="宋体" w:cs="宋体"/>
                <w:kern w:val="0"/>
                <w:sz w:val="16"/>
                <w:szCs w:val="16"/>
              </w:rPr>
              <w:t>室间</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 xml:space="preserve">0.00105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 xml:space="preserve">0.00110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 xml:space="preserve">0.00095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 xml:space="preserve">0.00106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 xml:space="preserve">0.00109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 xml:space="preserve">0.00110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 xml:space="preserve">0.00104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 xml:space="preserve">0.00110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 xml:space="preserve">0.00106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 xml:space="preserve">0.00005 </w:t>
            </w:r>
          </w:p>
        </w:tc>
        <w:tc>
          <w:tcPr>
            <w:tcW w:w="30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2.154</w:t>
            </w:r>
          </w:p>
        </w:tc>
        <w:tc>
          <w:tcPr>
            <w:tcW w:w="310"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0.826</w:t>
            </w:r>
          </w:p>
        </w:tc>
        <w:tc>
          <w:tcPr>
            <w:tcW w:w="365"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16"/>
                <w:szCs w:val="16"/>
              </w:rPr>
            </w:pPr>
            <w:r>
              <w:rPr>
                <w:rFonts w:hint="eastAsia" w:ascii="等线" w:hAnsi="等线" w:eastAsia="等线" w:cs="宋体"/>
                <w:kern w:val="0"/>
                <w:sz w:val="16"/>
                <w:szCs w:val="16"/>
              </w:rPr>
              <w:t>歧离(Xmin)</w:t>
            </w:r>
          </w:p>
        </w:tc>
      </w:tr>
      <w:tr>
        <w:tblPrEx>
          <w:tblCellMar>
            <w:top w:w="0" w:type="dxa"/>
            <w:left w:w="108" w:type="dxa"/>
            <w:bottom w:w="0" w:type="dxa"/>
            <w:right w:w="108" w:type="dxa"/>
          </w:tblCellMar>
        </w:tblPrEx>
        <w:trPr>
          <w:trHeight w:val="285" w:hRule="atLeast"/>
        </w:trPr>
        <w:tc>
          <w:tcPr>
            <w:tcW w:w="216" w:type="pct"/>
            <w:tcBorders>
              <w:top w:val="nil"/>
              <w:left w:val="single" w:color="auto" w:sz="4" w:space="0"/>
              <w:bottom w:val="single" w:color="auto" w:sz="4" w:space="0"/>
              <w:right w:val="single" w:color="auto" w:sz="4" w:space="0"/>
            </w:tcBorders>
            <w:shd w:val="clear" w:color="000000" w:fill="BDD7EE"/>
            <w:noWrap/>
            <w:vAlign w:val="center"/>
          </w:tcPr>
          <w:p>
            <w:pPr>
              <w:widowControl/>
              <w:jc w:val="center"/>
              <w:rPr>
                <w:rFonts w:ascii="等线" w:hAnsi="等线" w:eastAsia="等线" w:cs="宋体"/>
                <w:color w:val="0D0D0D"/>
                <w:kern w:val="0"/>
                <w:sz w:val="16"/>
                <w:szCs w:val="16"/>
              </w:rPr>
            </w:pPr>
            <w:r>
              <w:rPr>
                <w:rFonts w:hint="eastAsia" w:ascii="等线" w:hAnsi="等线" w:eastAsia="等线" w:cs="宋体"/>
                <w:color w:val="0D0D0D"/>
                <w:kern w:val="0"/>
                <w:sz w:val="16"/>
                <w:szCs w:val="16"/>
              </w:rPr>
              <w:t>：</w:t>
            </w:r>
          </w:p>
        </w:tc>
        <w:tc>
          <w:tcPr>
            <w:tcW w:w="4783" w:type="pct"/>
            <w:gridSpan w:val="16"/>
            <w:tcBorders>
              <w:top w:val="single" w:color="auto" w:sz="4" w:space="0"/>
              <w:left w:val="nil"/>
              <w:bottom w:val="single" w:color="auto" w:sz="4" w:space="0"/>
              <w:right w:val="single" w:color="000000" w:sz="4" w:space="0"/>
            </w:tcBorders>
            <w:shd w:val="clear" w:color="000000" w:fill="BDD7EE"/>
            <w:noWrap/>
            <w:vAlign w:val="center"/>
          </w:tcPr>
          <w:p>
            <w:pPr>
              <w:widowControl/>
              <w:jc w:val="center"/>
              <w:rPr>
                <w:rFonts w:ascii="等线" w:hAnsi="等线" w:eastAsia="等线" w:cs="宋体"/>
                <w:color w:val="0D0D0D"/>
                <w:kern w:val="0"/>
                <w:sz w:val="16"/>
                <w:szCs w:val="16"/>
              </w:rPr>
            </w:pPr>
            <w:r>
              <w:rPr>
                <w:rFonts w:hint="eastAsia" w:ascii="等线" w:hAnsi="等线" w:eastAsia="等线" w:cs="宋体"/>
                <w:color w:val="0D0D0D"/>
                <w:kern w:val="0"/>
                <w:sz w:val="16"/>
                <w:szCs w:val="16"/>
              </w:rPr>
              <w:t>柯克伦检验:当实验室数 p =8，n =11  临界值C(0.01)=0.3248  临界C(0.05)=0.2829  统计量C=0.3606  柯克伦检验结论：实验室5的数据组离群（高度异常）</w:t>
            </w:r>
          </w:p>
        </w:tc>
      </w:tr>
      <w:tr>
        <w:tblPrEx>
          <w:tblCellMar>
            <w:top w:w="0" w:type="dxa"/>
            <w:left w:w="108" w:type="dxa"/>
            <w:bottom w:w="0" w:type="dxa"/>
            <w:right w:w="108" w:type="dxa"/>
          </w:tblCellMar>
        </w:tblPrEx>
        <w:trPr>
          <w:trHeight w:val="285" w:hRule="atLeast"/>
        </w:trPr>
        <w:tc>
          <w:tcPr>
            <w:tcW w:w="2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1</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0.0106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0.0106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0.0101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0.0101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0.0100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0.0100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0.0102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0.0102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0.0105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0.0096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0.0100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0.0102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0.0003 </w:t>
            </w:r>
          </w:p>
        </w:tc>
        <w:tc>
          <w:tcPr>
            <w:tcW w:w="30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1.870 </w:t>
            </w:r>
          </w:p>
        </w:tc>
        <w:tc>
          <w:tcPr>
            <w:tcW w:w="310"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1.435 </w:t>
            </w:r>
          </w:p>
        </w:tc>
        <w:tc>
          <w:tcPr>
            <w:tcW w:w="365"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无异常值</w:t>
            </w:r>
          </w:p>
        </w:tc>
      </w:tr>
      <w:tr>
        <w:tblPrEx>
          <w:tblCellMar>
            <w:top w:w="0" w:type="dxa"/>
            <w:left w:w="108" w:type="dxa"/>
            <w:bottom w:w="0" w:type="dxa"/>
            <w:right w:w="108" w:type="dxa"/>
          </w:tblCellMar>
        </w:tblPrEx>
        <w:trPr>
          <w:trHeight w:val="285" w:hRule="atLeast"/>
        </w:trPr>
        <w:tc>
          <w:tcPr>
            <w:tcW w:w="2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2</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0.0100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0.0101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0.0095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0.0097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0.0099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0.0096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0.0097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0.0098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0.0100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0.0110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0.0098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0.0099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0.0004 </w:t>
            </w:r>
          </w:p>
        </w:tc>
        <w:tc>
          <w:tcPr>
            <w:tcW w:w="30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0.947 </w:t>
            </w:r>
          </w:p>
        </w:tc>
        <w:tc>
          <w:tcPr>
            <w:tcW w:w="310"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2.699 </w:t>
            </w:r>
          </w:p>
        </w:tc>
        <w:tc>
          <w:tcPr>
            <w:tcW w:w="365"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离群(Xmax)</w:t>
            </w:r>
          </w:p>
        </w:tc>
      </w:tr>
      <w:tr>
        <w:tblPrEx>
          <w:tblCellMar>
            <w:top w:w="0" w:type="dxa"/>
            <w:left w:w="108" w:type="dxa"/>
            <w:bottom w:w="0" w:type="dxa"/>
            <w:right w:w="108" w:type="dxa"/>
          </w:tblCellMar>
        </w:tblPrEx>
        <w:trPr>
          <w:trHeight w:val="285" w:hRule="atLeast"/>
        </w:trPr>
        <w:tc>
          <w:tcPr>
            <w:tcW w:w="2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3</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0.0095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0.0096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0.0105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0.0106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0.0098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0.0103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0.0105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0.0094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0.0098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0.0096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0.0102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0.0100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0.0004 </w:t>
            </w:r>
          </w:p>
        </w:tc>
        <w:tc>
          <w:tcPr>
            <w:tcW w:w="30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1.302 </w:t>
            </w:r>
          </w:p>
        </w:tc>
        <w:tc>
          <w:tcPr>
            <w:tcW w:w="310"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1.384 </w:t>
            </w:r>
          </w:p>
        </w:tc>
        <w:tc>
          <w:tcPr>
            <w:tcW w:w="365"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无异常值</w:t>
            </w:r>
          </w:p>
        </w:tc>
      </w:tr>
      <w:tr>
        <w:tblPrEx>
          <w:tblCellMar>
            <w:top w:w="0" w:type="dxa"/>
            <w:left w:w="108" w:type="dxa"/>
            <w:bottom w:w="0" w:type="dxa"/>
            <w:right w:w="108" w:type="dxa"/>
          </w:tblCellMar>
        </w:tblPrEx>
        <w:trPr>
          <w:trHeight w:val="285" w:hRule="atLeast"/>
        </w:trPr>
        <w:tc>
          <w:tcPr>
            <w:tcW w:w="2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4</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0.0100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0.0106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0.0111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0.0109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0.0106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0.0105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0.0099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0.0108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0.0109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0.0106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0.0100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0.0105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0.0004 </w:t>
            </w:r>
          </w:p>
        </w:tc>
        <w:tc>
          <w:tcPr>
            <w:tcW w:w="30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1.619 </w:t>
            </w:r>
          </w:p>
        </w:tc>
        <w:tc>
          <w:tcPr>
            <w:tcW w:w="310"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1.365 </w:t>
            </w:r>
          </w:p>
        </w:tc>
        <w:tc>
          <w:tcPr>
            <w:tcW w:w="365"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无异常值</w:t>
            </w:r>
          </w:p>
        </w:tc>
      </w:tr>
      <w:tr>
        <w:tblPrEx>
          <w:tblCellMar>
            <w:top w:w="0" w:type="dxa"/>
            <w:left w:w="108" w:type="dxa"/>
            <w:bottom w:w="0" w:type="dxa"/>
            <w:right w:w="108" w:type="dxa"/>
          </w:tblCellMar>
        </w:tblPrEx>
        <w:trPr>
          <w:trHeight w:val="285" w:hRule="atLeast"/>
        </w:trPr>
        <w:tc>
          <w:tcPr>
            <w:tcW w:w="2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5</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0.0107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0.0105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0.0111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0.0105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0.0106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0.0103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0.0101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0.0114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0.0108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0.0104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0.0104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0.0106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0.0004 </w:t>
            </w:r>
          </w:p>
        </w:tc>
        <w:tc>
          <w:tcPr>
            <w:tcW w:w="30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1.397 </w:t>
            </w:r>
          </w:p>
        </w:tc>
        <w:tc>
          <w:tcPr>
            <w:tcW w:w="310"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2.107 </w:t>
            </w:r>
          </w:p>
        </w:tc>
        <w:tc>
          <w:tcPr>
            <w:tcW w:w="365"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无异常值</w:t>
            </w:r>
          </w:p>
        </w:tc>
      </w:tr>
      <w:tr>
        <w:tblPrEx>
          <w:tblCellMar>
            <w:top w:w="0" w:type="dxa"/>
            <w:left w:w="108" w:type="dxa"/>
            <w:bottom w:w="0" w:type="dxa"/>
            <w:right w:w="108" w:type="dxa"/>
          </w:tblCellMar>
        </w:tblPrEx>
        <w:trPr>
          <w:trHeight w:val="285" w:hRule="atLeast"/>
        </w:trPr>
        <w:tc>
          <w:tcPr>
            <w:tcW w:w="2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6</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0.0112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0.0109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0.0118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0.0108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0.0107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0.0105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0.0116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0.0108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0.0111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0.0108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0.0116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0.0111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0.0004 </w:t>
            </w:r>
          </w:p>
        </w:tc>
        <w:tc>
          <w:tcPr>
            <w:tcW w:w="30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1.342 </w:t>
            </w:r>
          </w:p>
        </w:tc>
        <w:tc>
          <w:tcPr>
            <w:tcW w:w="310"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1.704 </w:t>
            </w:r>
          </w:p>
        </w:tc>
        <w:tc>
          <w:tcPr>
            <w:tcW w:w="365"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无异常值</w:t>
            </w:r>
          </w:p>
        </w:tc>
      </w:tr>
      <w:tr>
        <w:tblPrEx>
          <w:tblCellMar>
            <w:top w:w="0" w:type="dxa"/>
            <w:left w:w="108" w:type="dxa"/>
            <w:bottom w:w="0" w:type="dxa"/>
            <w:right w:w="108" w:type="dxa"/>
          </w:tblCellMar>
        </w:tblPrEx>
        <w:trPr>
          <w:trHeight w:val="285" w:hRule="atLeast"/>
        </w:trPr>
        <w:tc>
          <w:tcPr>
            <w:tcW w:w="2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7</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0.0106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0.0106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0.0101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0.0100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0.0101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0.0100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0.0102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0.0103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0.0105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0.0106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0.0100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0.0103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0.0003 </w:t>
            </w:r>
          </w:p>
        </w:tc>
        <w:tc>
          <w:tcPr>
            <w:tcW w:w="30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1.060 </w:t>
            </w:r>
          </w:p>
        </w:tc>
        <w:tc>
          <w:tcPr>
            <w:tcW w:w="310"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1.272 </w:t>
            </w:r>
          </w:p>
        </w:tc>
        <w:tc>
          <w:tcPr>
            <w:tcW w:w="365"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无异常值</w:t>
            </w:r>
          </w:p>
        </w:tc>
      </w:tr>
      <w:tr>
        <w:tblPrEx>
          <w:tblCellMar>
            <w:top w:w="0" w:type="dxa"/>
            <w:left w:w="108" w:type="dxa"/>
            <w:bottom w:w="0" w:type="dxa"/>
            <w:right w:w="108" w:type="dxa"/>
          </w:tblCellMar>
        </w:tblPrEx>
        <w:trPr>
          <w:trHeight w:val="285" w:hRule="atLeast"/>
        </w:trPr>
        <w:tc>
          <w:tcPr>
            <w:tcW w:w="2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8</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0.0111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0.0108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0.0121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0.0107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0.0108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0.0109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0.0114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0.0115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0.0115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0.0117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0.0112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0.0112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0.0004 </w:t>
            </w:r>
          </w:p>
        </w:tc>
        <w:tc>
          <w:tcPr>
            <w:tcW w:w="30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1.242 </w:t>
            </w:r>
          </w:p>
        </w:tc>
        <w:tc>
          <w:tcPr>
            <w:tcW w:w="310"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1.947 </w:t>
            </w:r>
          </w:p>
        </w:tc>
        <w:tc>
          <w:tcPr>
            <w:tcW w:w="365"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无异常值</w:t>
            </w:r>
          </w:p>
        </w:tc>
      </w:tr>
      <w:tr>
        <w:tblPrEx>
          <w:tblCellMar>
            <w:top w:w="0" w:type="dxa"/>
            <w:left w:w="108" w:type="dxa"/>
            <w:bottom w:w="0" w:type="dxa"/>
            <w:right w:w="108" w:type="dxa"/>
          </w:tblCellMar>
        </w:tblPrEx>
        <w:trPr>
          <w:trHeight w:val="285" w:hRule="atLeast"/>
        </w:trPr>
        <w:tc>
          <w:tcPr>
            <w:tcW w:w="216" w:type="pct"/>
            <w:tcBorders>
              <w:top w:val="nil"/>
              <w:left w:val="single" w:color="auto" w:sz="4" w:space="0"/>
              <w:bottom w:val="single" w:color="auto" w:sz="4" w:space="0"/>
              <w:right w:val="single" w:color="auto" w:sz="4" w:space="0"/>
            </w:tcBorders>
            <w:shd w:val="clear" w:color="000000" w:fill="00FF00"/>
            <w:vAlign w:val="center"/>
          </w:tcPr>
          <w:p>
            <w:pPr>
              <w:widowControl/>
              <w:jc w:val="center"/>
              <w:rPr>
                <w:rFonts w:ascii="宋体" w:hAnsi="宋体" w:cs="宋体"/>
                <w:kern w:val="0"/>
                <w:sz w:val="16"/>
                <w:szCs w:val="16"/>
              </w:rPr>
            </w:pPr>
            <w:r>
              <w:rPr>
                <w:rFonts w:hint="eastAsia" w:ascii="宋体" w:hAnsi="宋体" w:cs="宋体"/>
                <w:kern w:val="0"/>
                <w:sz w:val="16"/>
                <w:szCs w:val="16"/>
              </w:rPr>
              <w:t>室间</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0.0102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0.0099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0.0100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0.0105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0.0106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0.0111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0.0103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0.0112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0.0105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0.0005 </w:t>
            </w:r>
          </w:p>
        </w:tc>
        <w:tc>
          <w:tcPr>
            <w:tcW w:w="30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1.156 </w:t>
            </w:r>
          </w:p>
        </w:tc>
        <w:tc>
          <w:tcPr>
            <w:tcW w:w="310"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1.578 </w:t>
            </w:r>
          </w:p>
        </w:tc>
        <w:tc>
          <w:tcPr>
            <w:tcW w:w="365"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无异常值</w:t>
            </w:r>
          </w:p>
        </w:tc>
      </w:tr>
      <w:tr>
        <w:tblPrEx>
          <w:tblCellMar>
            <w:top w:w="0" w:type="dxa"/>
            <w:left w:w="108" w:type="dxa"/>
            <w:bottom w:w="0" w:type="dxa"/>
            <w:right w:w="108" w:type="dxa"/>
          </w:tblCellMar>
        </w:tblPrEx>
        <w:trPr>
          <w:trHeight w:val="285" w:hRule="atLeast"/>
        </w:trPr>
        <w:tc>
          <w:tcPr>
            <w:tcW w:w="216" w:type="pct"/>
            <w:tcBorders>
              <w:top w:val="nil"/>
              <w:left w:val="single" w:color="auto" w:sz="4" w:space="0"/>
              <w:bottom w:val="single" w:color="auto" w:sz="4" w:space="0"/>
              <w:right w:val="single" w:color="auto" w:sz="4" w:space="0"/>
            </w:tcBorders>
            <w:shd w:val="clear" w:color="000000" w:fill="BDD7EE"/>
            <w:noWrap/>
            <w:vAlign w:val="center"/>
          </w:tcPr>
          <w:p>
            <w:pPr>
              <w:widowControl/>
              <w:jc w:val="center"/>
              <w:rPr>
                <w:rFonts w:ascii="等线" w:hAnsi="等线" w:eastAsia="等线" w:cs="宋体"/>
                <w:color w:val="0D0D0D"/>
                <w:kern w:val="0"/>
                <w:sz w:val="16"/>
                <w:szCs w:val="16"/>
              </w:rPr>
            </w:pPr>
            <w:r>
              <w:rPr>
                <w:rFonts w:hint="eastAsia" w:ascii="等线" w:hAnsi="等线" w:eastAsia="等线" w:cs="宋体"/>
                <w:color w:val="0D0D0D"/>
                <w:kern w:val="0"/>
                <w:sz w:val="16"/>
                <w:szCs w:val="16"/>
              </w:rPr>
              <w:t>　</w:t>
            </w:r>
          </w:p>
        </w:tc>
        <w:tc>
          <w:tcPr>
            <w:tcW w:w="4783" w:type="pct"/>
            <w:gridSpan w:val="16"/>
            <w:tcBorders>
              <w:top w:val="single" w:color="auto" w:sz="4" w:space="0"/>
              <w:left w:val="nil"/>
              <w:bottom w:val="single" w:color="auto" w:sz="4" w:space="0"/>
              <w:right w:val="single" w:color="000000" w:sz="4" w:space="0"/>
            </w:tcBorders>
            <w:shd w:val="clear" w:color="000000" w:fill="BDD7EE"/>
            <w:noWrap/>
            <w:vAlign w:val="center"/>
          </w:tcPr>
          <w:p>
            <w:pPr>
              <w:widowControl/>
              <w:jc w:val="center"/>
              <w:rPr>
                <w:rFonts w:ascii="等线" w:hAnsi="等线" w:eastAsia="等线" w:cs="宋体"/>
                <w:color w:val="0D0D0D"/>
                <w:kern w:val="0"/>
                <w:sz w:val="16"/>
                <w:szCs w:val="16"/>
              </w:rPr>
            </w:pPr>
            <w:r>
              <w:rPr>
                <w:rFonts w:hint="eastAsia" w:ascii="等线" w:hAnsi="等线" w:eastAsia="等线" w:cs="宋体"/>
                <w:color w:val="0D0D0D"/>
                <w:kern w:val="0"/>
                <w:sz w:val="16"/>
                <w:szCs w:val="16"/>
              </w:rPr>
              <w:t>柯克伦检验:当实验室数 p =8，n =11  临界值C(0.01)=0.3248  临界C(0.05)=0.2829  统计量C=0.1658  柯克伦检验结论：无异常值</w:t>
            </w:r>
          </w:p>
        </w:tc>
      </w:tr>
      <w:tr>
        <w:tblPrEx>
          <w:tblCellMar>
            <w:top w:w="0" w:type="dxa"/>
            <w:left w:w="108" w:type="dxa"/>
            <w:bottom w:w="0" w:type="dxa"/>
            <w:right w:w="108" w:type="dxa"/>
          </w:tblCellMar>
        </w:tblPrEx>
        <w:trPr>
          <w:trHeight w:val="285" w:hRule="atLeast"/>
        </w:trPr>
        <w:tc>
          <w:tcPr>
            <w:tcW w:w="2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1</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0.0471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0.0472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0.0452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0.0474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0.0462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0.0469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0.0479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0.0498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0.0486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0.0502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0.0486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0.0477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0.0015 </w:t>
            </w:r>
          </w:p>
        </w:tc>
        <w:tc>
          <w:tcPr>
            <w:tcW w:w="30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1.704 </w:t>
            </w:r>
          </w:p>
        </w:tc>
        <w:tc>
          <w:tcPr>
            <w:tcW w:w="310"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1.656 </w:t>
            </w:r>
          </w:p>
        </w:tc>
        <w:tc>
          <w:tcPr>
            <w:tcW w:w="365"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无异常值</w:t>
            </w:r>
          </w:p>
        </w:tc>
      </w:tr>
      <w:tr>
        <w:tblPrEx>
          <w:tblCellMar>
            <w:top w:w="0" w:type="dxa"/>
            <w:left w:w="108" w:type="dxa"/>
            <w:bottom w:w="0" w:type="dxa"/>
            <w:right w:w="108" w:type="dxa"/>
          </w:tblCellMar>
        </w:tblPrEx>
        <w:trPr>
          <w:trHeight w:val="285" w:hRule="atLeast"/>
        </w:trPr>
        <w:tc>
          <w:tcPr>
            <w:tcW w:w="2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2</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0.0466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0.0482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0.0467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0.0478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0.0460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0.0451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0.0444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0.0455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0.0435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0.0453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0.0454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0.0459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0.0014 </w:t>
            </w:r>
          </w:p>
        </w:tc>
        <w:tc>
          <w:tcPr>
            <w:tcW w:w="30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1.695 </w:t>
            </w:r>
          </w:p>
        </w:tc>
        <w:tc>
          <w:tcPr>
            <w:tcW w:w="310"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1.675 </w:t>
            </w:r>
          </w:p>
        </w:tc>
        <w:tc>
          <w:tcPr>
            <w:tcW w:w="365"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无异常值</w:t>
            </w:r>
          </w:p>
        </w:tc>
      </w:tr>
      <w:tr>
        <w:tblPrEx>
          <w:tblCellMar>
            <w:top w:w="0" w:type="dxa"/>
            <w:left w:w="108" w:type="dxa"/>
            <w:bottom w:w="0" w:type="dxa"/>
            <w:right w:w="108" w:type="dxa"/>
          </w:tblCellMar>
        </w:tblPrEx>
        <w:trPr>
          <w:trHeight w:val="285" w:hRule="atLeast"/>
        </w:trPr>
        <w:tc>
          <w:tcPr>
            <w:tcW w:w="2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3</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0.0462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0.0459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0.0468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0.0456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0.0458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0.0485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0.0458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0.0473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0.0467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0.0456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0.0482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0.0466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0.0010 </w:t>
            </w:r>
          </w:p>
        </w:tc>
        <w:tc>
          <w:tcPr>
            <w:tcW w:w="30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0.952 </w:t>
            </w:r>
          </w:p>
        </w:tc>
        <w:tc>
          <w:tcPr>
            <w:tcW w:w="310"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1.860 </w:t>
            </w:r>
          </w:p>
        </w:tc>
        <w:tc>
          <w:tcPr>
            <w:tcW w:w="365"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无异常值</w:t>
            </w:r>
          </w:p>
        </w:tc>
      </w:tr>
      <w:tr>
        <w:tblPrEx>
          <w:tblCellMar>
            <w:top w:w="0" w:type="dxa"/>
            <w:left w:w="108" w:type="dxa"/>
            <w:bottom w:w="0" w:type="dxa"/>
            <w:right w:w="108" w:type="dxa"/>
          </w:tblCellMar>
        </w:tblPrEx>
        <w:trPr>
          <w:trHeight w:val="285" w:hRule="atLeast"/>
        </w:trPr>
        <w:tc>
          <w:tcPr>
            <w:tcW w:w="2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4</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0.0473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0.0482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0.0438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0.0465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0.0498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0.0468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0.0475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0.0483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0.0468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0.0459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0.0477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0.0471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0.0015 </w:t>
            </w:r>
          </w:p>
        </w:tc>
        <w:tc>
          <w:tcPr>
            <w:tcW w:w="30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2.189 </w:t>
            </w:r>
          </w:p>
        </w:tc>
        <w:tc>
          <w:tcPr>
            <w:tcW w:w="310"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1.737 </w:t>
            </w:r>
          </w:p>
        </w:tc>
        <w:tc>
          <w:tcPr>
            <w:tcW w:w="365"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无异常值</w:t>
            </w:r>
          </w:p>
        </w:tc>
      </w:tr>
      <w:tr>
        <w:tblPrEx>
          <w:tblCellMar>
            <w:top w:w="0" w:type="dxa"/>
            <w:left w:w="108" w:type="dxa"/>
            <w:bottom w:w="0" w:type="dxa"/>
            <w:right w:w="108" w:type="dxa"/>
          </w:tblCellMar>
        </w:tblPrEx>
        <w:trPr>
          <w:trHeight w:val="285" w:hRule="atLeast"/>
        </w:trPr>
        <w:tc>
          <w:tcPr>
            <w:tcW w:w="2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5</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0.0465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0.0491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0.0483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0.0475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0.0480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0.0476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0.0475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0.0480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0.0477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0.0475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0.0471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0.0477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0.0007 </w:t>
            </w:r>
          </w:p>
        </w:tc>
        <w:tc>
          <w:tcPr>
            <w:tcW w:w="30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1.817 </w:t>
            </w:r>
          </w:p>
        </w:tc>
        <w:tc>
          <w:tcPr>
            <w:tcW w:w="310"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2.090 </w:t>
            </w:r>
          </w:p>
        </w:tc>
        <w:tc>
          <w:tcPr>
            <w:tcW w:w="365"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无异常值</w:t>
            </w:r>
          </w:p>
        </w:tc>
      </w:tr>
      <w:tr>
        <w:tblPrEx>
          <w:tblCellMar>
            <w:top w:w="0" w:type="dxa"/>
            <w:left w:w="108" w:type="dxa"/>
            <w:bottom w:w="0" w:type="dxa"/>
            <w:right w:w="108" w:type="dxa"/>
          </w:tblCellMar>
        </w:tblPrEx>
        <w:trPr>
          <w:trHeight w:val="285" w:hRule="atLeast"/>
        </w:trPr>
        <w:tc>
          <w:tcPr>
            <w:tcW w:w="2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6</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0.0468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0.0515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0.0476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0.0495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0.0501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0.0478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0.0482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0.0469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0.0499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0.0503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0.0484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0.0488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0.0015 </w:t>
            </w:r>
          </w:p>
        </w:tc>
        <w:tc>
          <w:tcPr>
            <w:tcW w:w="30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1.317 </w:t>
            </w:r>
          </w:p>
        </w:tc>
        <w:tc>
          <w:tcPr>
            <w:tcW w:w="310"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1.750 </w:t>
            </w:r>
          </w:p>
        </w:tc>
        <w:tc>
          <w:tcPr>
            <w:tcW w:w="365"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无异常值</w:t>
            </w:r>
          </w:p>
        </w:tc>
      </w:tr>
      <w:tr>
        <w:tblPrEx>
          <w:tblCellMar>
            <w:top w:w="0" w:type="dxa"/>
            <w:left w:w="108" w:type="dxa"/>
            <w:bottom w:w="0" w:type="dxa"/>
            <w:right w:w="108" w:type="dxa"/>
          </w:tblCellMar>
        </w:tblPrEx>
        <w:trPr>
          <w:trHeight w:val="285" w:hRule="atLeast"/>
        </w:trPr>
        <w:tc>
          <w:tcPr>
            <w:tcW w:w="2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7</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0.0471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0.0472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0.0452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0.0474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0.0462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0.0469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0.0479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0.0498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0.0486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0.0502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0.0486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0.0477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0.0015 </w:t>
            </w:r>
          </w:p>
        </w:tc>
        <w:tc>
          <w:tcPr>
            <w:tcW w:w="30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1.704 </w:t>
            </w:r>
          </w:p>
        </w:tc>
        <w:tc>
          <w:tcPr>
            <w:tcW w:w="310"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1.656 </w:t>
            </w:r>
          </w:p>
        </w:tc>
        <w:tc>
          <w:tcPr>
            <w:tcW w:w="365"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无异常值</w:t>
            </w:r>
          </w:p>
        </w:tc>
      </w:tr>
      <w:tr>
        <w:tblPrEx>
          <w:tblCellMar>
            <w:top w:w="0" w:type="dxa"/>
            <w:left w:w="108" w:type="dxa"/>
            <w:bottom w:w="0" w:type="dxa"/>
            <w:right w:w="108" w:type="dxa"/>
          </w:tblCellMar>
        </w:tblPrEx>
        <w:trPr>
          <w:trHeight w:val="285" w:hRule="atLeast"/>
        </w:trPr>
        <w:tc>
          <w:tcPr>
            <w:tcW w:w="2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8</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0.0477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0.0482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0.0457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0.0464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0.0467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0.0465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0.0489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0.0488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0.0476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0.0489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0.0495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0.0477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0.0013 </w:t>
            </w:r>
          </w:p>
        </w:tc>
        <w:tc>
          <w:tcPr>
            <w:tcW w:w="30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1.610 </w:t>
            </w:r>
          </w:p>
        </w:tc>
        <w:tc>
          <w:tcPr>
            <w:tcW w:w="310"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1.421 </w:t>
            </w:r>
          </w:p>
        </w:tc>
        <w:tc>
          <w:tcPr>
            <w:tcW w:w="365"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无异常值</w:t>
            </w:r>
          </w:p>
        </w:tc>
      </w:tr>
      <w:tr>
        <w:tblPrEx>
          <w:tblCellMar>
            <w:top w:w="0" w:type="dxa"/>
            <w:left w:w="108" w:type="dxa"/>
            <w:bottom w:w="0" w:type="dxa"/>
            <w:right w:w="108" w:type="dxa"/>
          </w:tblCellMar>
        </w:tblPrEx>
        <w:trPr>
          <w:trHeight w:val="285" w:hRule="atLeast"/>
        </w:trPr>
        <w:tc>
          <w:tcPr>
            <w:tcW w:w="216" w:type="pct"/>
            <w:tcBorders>
              <w:top w:val="nil"/>
              <w:left w:val="single" w:color="auto" w:sz="4" w:space="0"/>
              <w:bottom w:val="single" w:color="auto" w:sz="4" w:space="0"/>
              <w:right w:val="single" w:color="auto" w:sz="4" w:space="0"/>
            </w:tcBorders>
            <w:shd w:val="clear" w:color="000000" w:fill="00FF00"/>
            <w:vAlign w:val="center"/>
          </w:tcPr>
          <w:p>
            <w:pPr>
              <w:widowControl/>
              <w:jc w:val="center"/>
              <w:rPr>
                <w:rFonts w:ascii="宋体" w:hAnsi="宋体" w:cs="宋体"/>
                <w:kern w:val="0"/>
                <w:sz w:val="16"/>
                <w:szCs w:val="16"/>
              </w:rPr>
            </w:pPr>
            <w:r>
              <w:rPr>
                <w:rFonts w:hint="eastAsia" w:ascii="宋体" w:hAnsi="宋体" w:cs="宋体"/>
                <w:kern w:val="0"/>
                <w:sz w:val="16"/>
                <w:szCs w:val="16"/>
              </w:rPr>
              <w:t>室间</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0.0477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0.0459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0.0466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0.0471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0.0477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0.0488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0.0477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0.0477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0.0474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0.0009 </w:t>
            </w:r>
          </w:p>
        </w:tc>
        <w:tc>
          <w:tcPr>
            <w:tcW w:w="30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1.744 </w:t>
            </w:r>
          </w:p>
        </w:tc>
        <w:tc>
          <w:tcPr>
            <w:tcW w:w="310"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1.581 </w:t>
            </w:r>
          </w:p>
        </w:tc>
        <w:tc>
          <w:tcPr>
            <w:tcW w:w="365"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无异常值</w:t>
            </w:r>
          </w:p>
        </w:tc>
      </w:tr>
      <w:tr>
        <w:tblPrEx>
          <w:tblCellMar>
            <w:top w:w="0" w:type="dxa"/>
            <w:left w:w="108" w:type="dxa"/>
            <w:bottom w:w="0" w:type="dxa"/>
            <w:right w:w="108" w:type="dxa"/>
          </w:tblCellMar>
        </w:tblPrEx>
        <w:trPr>
          <w:trHeight w:val="285" w:hRule="atLeast"/>
        </w:trPr>
        <w:tc>
          <w:tcPr>
            <w:tcW w:w="216" w:type="pct"/>
            <w:tcBorders>
              <w:top w:val="nil"/>
              <w:left w:val="single" w:color="auto" w:sz="4" w:space="0"/>
              <w:bottom w:val="single" w:color="auto" w:sz="4" w:space="0"/>
              <w:right w:val="single" w:color="auto" w:sz="4" w:space="0"/>
            </w:tcBorders>
            <w:shd w:val="clear" w:color="000000" w:fill="BDD7EE"/>
            <w:noWrap/>
            <w:vAlign w:val="center"/>
          </w:tcPr>
          <w:p>
            <w:pPr>
              <w:widowControl/>
              <w:jc w:val="center"/>
              <w:rPr>
                <w:rFonts w:ascii="等线" w:hAnsi="等线" w:eastAsia="等线" w:cs="宋体"/>
                <w:color w:val="0D0D0D"/>
                <w:kern w:val="0"/>
                <w:sz w:val="16"/>
                <w:szCs w:val="16"/>
              </w:rPr>
            </w:pPr>
            <w:r>
              <w:rPr>
                <w:rFonts w:hint="eastAsia" w:ascii="等线" w:hAnsi="等线" w:eastAsia="等线" w:cs="宋体"/>
                <w:color w:val="0D0D0D"/>
                <w:kern w:val="0"/>
                <w:sz w:val="16"/>
                <w:szCs w:val="16"/>
              </w:rPr>
              <w:t>：</w:t>
            </w:r>
          </w:p>
        </w:tc>
        <w:tc>
          <w:tcPr>
            <w:tcW w:w="4783" w:type="pct"/>
            <w:gridSpan w:val="16"/>
            <w:tcBorders>
              <w:top w:val="single" w:color="auto" w:sz="4" w:space="0"/>
              <w:left w:val="nil"/>
              <w:bottom w:val="single" w:color="auto" w:sz="4" w:space="0"/>
              <w:right w:val="single" w:color="000000" w:sz="4" w:space="0"/>
            </w:tcBorders>
            <w:shd w:val="clear" w:color="000000" w:fill="BDD7EE"/>
            <w:noWrap/>
            <w:vAlign w:val="center"/>
          </w:tcPr>
          <w:p>
            <w:pPr>
              <w:widowControl/>
              <w:jc w:val="center"/>
              <w:rPr>
                <w:rFonts w:ascii="等线" w:hAnsi="等线" w:eastAsia="等线" w:cs="宋体"/>
                <w:color w:val="0D0D0D"/>
                <w:kern w:val="0"/>
                <w:sz w:val="16"/>
                <w:szCs w:val="16"/>
              </w:rPr>
            </w:pPr>
            <w:r>
              <w:rPr>
                <w:rFonts w:hint="eastAsia" w:ascii="等线" w:hAnsi="等线" w:eastAsia="等线" w:cs="宋体"/>
                <w:color w:val="0D0D0D"/>
                <w:kern w:val="0"/>
                <w:sz w:val="16"/>
                <w:szCs w:val="16"/>
              </w:rPr>
              <w:t>柯克伦检验:当实验室数 p =8，n =11  临界值C(0.01)=0.3248  临界C(0.05)=0.2829  统计量C=0.1662  柯克伦检验结论：无异常值</w:t>
            </w:r>
          </w:p>
        </w:tc>
      </w:tr>
      <w:tr>
        <w:tblPrEx>
          <w:tblCellMar>
            <w:top w:w="0" w:type="dxa"/>
            <w:left w:w="108" w:type="dxa"/>
            <w:bottom w:w="0" w:type="dxa"/>
            <w:right w:w="108" w:type="dxa"/>
          </w:tblCellMar>
        </w:tblPrEx>
        <w:trPr>
          <w:trHeight w:val="285" w:hRule="atLeast"/>
        </w:trPr>
        <w:tc>
          <w:tcPr>
            <w:tcW w:w="2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1</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0.150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0.150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0.150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0.151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0.151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0.151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0.148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0.152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0.148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0.143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0.149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0.149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0.002 </w:t>
            </w:r>
          </w:p>
        </w:tc>
        <w:tc>
          <w:tcPr>
            <w:tcW w:w="30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2.586 </w:t>
            </w:r>
          </w:p>
        </w:tc>
        <w:tc>
          <w:tcPr>
            <w:tcW w:w="310"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1.071 </w:t>
            </w:r>
          </w:p>
        </w:tc>
        <w:tc>
          <w:tcPr>
            <w:tcW w:w="365"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FF0000"/>
                <w:kern w:val="0"/>
                <w:sz w:val="16"/>
                <w:szCs w:val="16"/>
              </w:rPr>
            </w:pPr>
            <w:r>
              <w:rPr>
                <w:rFonts w:hint="eastAsia" w:ascii="等线" w:hAnsi="等线" w:eastAsia="等线" w:cs="宋体"/>
                <w:kern w:val="0"/>
                <w:sz w:val="16"/>
                <w:szCs w:val="16"/>
              </w:rPr>
              <w:t>离群(Xmin)</w:t>
            </w:r>
          </w:p>
        </w:tc>
      </w:tr>
      <w:tr>
        <w:tblPrEx>
          <w:tblCellMar>
            <w:top w:w="0" w:type="dxa"/>
            <w:left w:w="108" w:type="dxa"/>
            <w:bottom w:w="0" w:type="dxa"/>
            <w:right w:w="108" w:type="dxa"/>
          </w:tblCellMar>
        </w:tblPrEx>
        <w:trPr>
          <w:trHeight w:val="285" w:hRule="atLeast"/>
        </w:trPr>
        <w:tc>
          <w:tcPr>
            <w:tcW w:w="2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2</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0.145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0.143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0.147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0.153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0.152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0.152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0.150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0.144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0.153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0.155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0.146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0.149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0.004 </w:t>
            </w:r>
          </w:p>
        </w:tc>
        <w:tc>
          <w:tcPr>
            <w:tcW w:w="30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1.448 </w:t>
            </w:r>
          </w:p>
        </w:tc>
        <w:tc>
          <w:tcPr>
            <w:tcW w:w="310"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1.405 </w:t>
            </w:r>
          </w:p>
        </w:tc>
        <w:tc>
          <w:tcPr>
            <w:tcW w:w="365"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无异常值</w:t>
            </w:r>
          </w:p>
        </w:tc>
      </w:tr>
      <w:tr>
        <w:tblPrEx>
          <w:tblCellMar>
            <w:top w:w="0" w:type="dxa"/>
            <w:left w:w="108" w:type="dxa"/>
            <w:bottom w:w="0" w:type="dxa"/>
            <w:right w:w="108" w:type="dxa"/>
          </w:tblCellMar>
        </w:tblPrEx>
        <w:trPr>
          <w:trHeight w:val="285" w:hRule="atLeast"/>
        </w:trPr>
        <w:tc>
          <w:tcPr>
            <w:tcW w:w="2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3</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0.138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0.145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0.136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0.148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0.142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0.145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0.144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0.141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0.146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0.140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0.142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0.142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0.004 </w:t>
            </w:r>
          </w:p>
        </w:tc>
        <w:tc>
          <w:tcPr>
            <w:tcW w:w="30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1.799 </w:t>
            </w:r>
          </w:p>
        </w:tc>
        <w:tc>
          <w:tcPr>
            <w:tcW w:w="310"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1.546 </w:t>
            </w:r>
          </w:p>
        </w:tc>
        <w:tc>
          <w:tcPr>
            <w:tcW w:w="365"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无异常值</w:t>
            </w:r>
          </w:p>
        </w:tc>
      </w:tr>
      <w:tr>
        <w:tblPrEx>
          <w:tblCellMar>
            <w:top w:w="0" w:type="dxa"/>
            <w:left w:w="108" w:type="dxa"/>
            <w:bottom w:w="0" w:type="dxa"/>
            <w:right w:w="108" w:type="dxa"/>
          </w:tblCellMar>
        </w:tblPrEx>
        <w:trPr>
          <w:trHeight w:val="285" w:hRule="atLeast"/>
        </w:trPr>
        <w:tc>
          <w:tcPr>
            <w:tcW w:w="2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4</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0.154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0.162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0.152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0.149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0.152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0.148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0.162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0.158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0.151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0.142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0.160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0.154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0.006 </w:t>
            </w:r>
          </w:p>
        </w:tc>
        <w:tc>
          <w:tcPr>
            <w:tcW w:w="30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1.839 </w:t>
            </w:r>
          </w:p>
        </w:tc>
        <w:tc>
          <w:tcPr>
            <w:tcW w:w="310"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1.322 </w:t>
            </w:r>
          </w:p>
        </w:tc>
        <w:tc>
          <w:tcPr>
            <w:tcW w:w="365"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无异常值</w:t>
            </w:r>
          </w:p>
        </w:tc>
      </w:tr>
      <w:tr>
        <w:tblPrEx>
          <w:tblCellMar>
            <w:top w:w="0" w:type="dxa"/>
            <w:left w:w="108" w:type="dxa"/>
            <w:bottom w:w="0" w:type="dxa"/>
            <w:right w:w="108" w:type="dxa"/>
          </w:tblCellMar>
        </w:tblPrEx>
        <w:trPr>
          <w:trHeight w:val="285" w:hRule="atLeast"/>
        </w:trPr>
        <w:tc>
          <w:tcPr>
            <w:tcW w:w="2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5</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0.140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0.145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0.151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0.144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0.141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0.143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0.143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0.138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0.146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0.143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0.144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0.143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0.003 </w:t>
            </w:r>
          </w:p>
        </w:tc>
        <w:tc>
          <w:tcPr>
            <w:tcW w:w="30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1.610 </w:t>
            </w:r>
          </w:p>
        </w:tc>
        <w:tc>
          <w:tcPr>
            <w:tcW w:w="310"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2.228 </w:t>
            </w:r>
          </w:p>
        </w:tc>
        <w:tc>
          <w:tcPr>
            <w:tcW w:w="365"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无异常值</w:t>
            </w:r>
          </w:p>
        </w:tc>
      </w:tr>
      <w:tr>
        <w:tblPrEx>
          <w:tblCellMar>
            <w:top w:w="0" w:type="dxa"/>
            <w:left w:w="108" w:type="dxa"/>
            <w:bottom w:w="0" w:type="dxa"/>
            <w:right w:w="108" w:type="dxa"/>
          </w:tblCellMar>
        </w:tblPrEx>
        <w:trPr>
          <w:trHeight w:val="285" w:hRule="atLeast"/>
        </w:trPr>
        <w:tc>
          <w:tcPr>
            <w:tcW w:w="2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6</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0.145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0.149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0.153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0.146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0.155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0.152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0.147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0.156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0.143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0.148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0.144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0.149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0.004 </w:t>
            </w:r>
          </w:p>
        </w:tc>
        <w:tc>
          <w:tcPr>
            <w:tcW w:w="30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1.318 </w:t>
            </w:r>
          </w:p>
        </w:tc>
        <w:tc>
          <w:tcPr>
            <w:tcW w:w="310"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1.582 </w:t>
            </w:r>
          </w:p>
        </w:tc>
        <w:tc>
          <w:tcPr>
            <w:tcW w:w="365"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无异常值</w:t>
            </w:r>
          </w:p>
        </w:tc>
      </w:tr>
      <w:tr>
        <w:tblPrEx>
          <w:tblCellMar>
            <w:top w:w="0" w:type="dxa"/>
            <w:left w:w="108" w:type="dxa"/>
            <w:bottom w:w="0" w:type="dxa"/>
            <w:right w:w="108" w:type="dxa"/>
          </w:tblCellMar>
        </w:tblPrEx>
        <w:trPr>
          <w:trHeight w:val="285" w:hRule="atLeast"/>
        </w:trPr>
        <w:tc>
          <w:tcPr>
            <w:tcW w:w="2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7</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0.151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0.152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0.146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0.151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0.151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0.151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0.148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0.152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0.148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0.143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0.149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0.149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0.003 </w:t>
            </w:r>
          </w:p>
        </w:tc>
        <w:tc>
          <w:tcPr>
            <w:tcW w:w="30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2.215 </w:t>
            </w:r>
          </w:p>
        </w:tc>
        <w:tc>
          <w:tcPr>
            <w:tcW w:w="310"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0.963 </w:t>
            </w:r>
          </w:p>
        </w:tc>
        <w:tc>
          <w:tcPr>
            <w:tcW w:w="365"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无异常值</w:t>
            </w:r>
          </w:p>
        </w:tc>
      </w:tr>
      <w:tr>
        <w:tblPrEx>
          <w:tblCellMar>
            <w:top w:w="0" w:type="dxa"/>
            <w:left w:w="108" w:type="dxa"/>
            <w:bottom w:w="0" w:type="dxa"/>
            <w:right w:w="108" w:type="dxa"/>
          </w:tblCellMar>
        </w:tblPrEx>
        <w:trPr>
          <w:trHeight w:val="285" w:hRule="atLeast"/>
        </w:trPr>
        <w:tc>
          <w:tcPr>
            <w:tcW w:w="2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8</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0.160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0.157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0.154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0.161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0.141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0.142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0.158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0.151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0.145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0.146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0.147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0.151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0.007 </w:t>
            </w:r>
          </w:p>
        </w:tc>
        <w:tc>
          <w:tcPr>
            <w:tcW w:w="30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1.382 </w:t>
            </w:r>
          </w:p>
        </w:tc>
        <w:tc>
          <w:tcPr>
            <w:tcW w:w="310"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1.357 </w:t>
            </w:r>
          </w:p>
        </w:tc>
        <w:tc>
          <w:tcPr>
            <w:tcW w:w="365"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无异常值</w:t>
            </w:r>
          </w:p>
        </w:tc>
      </w:tr>
      <w:tr>
        <w:tblPrEx>
          <w:tblCellMar>
            <w:top w:w="0" w:type="dxa"/>
            <w:left w:w="108" w:type="dxa"/>
            <w:bottom w:w="0" w:type="dxa"/>
            <w:right w:w="108" w:type="dxa"/>
          </w:tblCellMar>
        </w:tblPrEx>
        <w:trPr>
          <w:trHeight w:val="285" w:hRule="atLeast"/>
        </w:trPr>
        <w:tc>
          <w:tcPr>
            <w:tcW w:w="216" w:type="pct"/>
            <w:tcBorders>
              <w:top w:val="nil"/>
              <w:left w:val="single" w:color="auto" w:sz="4" w:space="0"/>
              <w:bottom w:val="single" w:color="auto" w:sz="4" w:space="0"/>
              <w:right w:val="single" w:color="auto" w:sz="4" w:space="0"/>
            </w:tcBorders>
            <w:shd w:val="clear" w:color="000000" w:fill="00FF00"/>
            <w:vAlign w:val="center"/>
          </w:tcPr>
          <w:p>
            <w:pPr>
              <w:widowControl/>
              <w:jc w:val="center"/>
              <w:rPr>
                <w:rFonts w:ascii="宋体" w:hAnsi="宋体" w:cs="宋体"/>
                <w:kern w:val="0"/>
                <w:sz w:val="16"/>
                <w:szCs w:val="16"/>
              </w:rPr>
            </w:pPr>
            <w:r>
              <w:rPr>
                <w:rFonts w:hint="eastAsia" w:ascii="宋体" w:hAnsi="宋体" w:cs="宋体"/>
                <w:kern w:val="0"/>
                <w:sz w:val="16"/>
                <w:szCs w:val="16"/>
              </w:rPr>
              <w:t>室间</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0.149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0.149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0.142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0.154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0.143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0.149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0.149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0.151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0.148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0.004 </w:t>
            </w:r>
          </w:p>
        </w:tc>
        <w:tc>
          <w:tcPr>
            <w:tcW w:w="30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1.600 </w:t>
            </w:r>
          </w:p>
        </w:tc>
        <w:tc>
          <w:tcPr>
            <w:tcW w:w="310"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1.405 </w:t>
            </w:r>
          </w:p>
        </w:tc>
        <w:tc>
          <w:tcPr>
            <w:tcW w:w="365"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无异常值</w:t>
            </w:r>
          </w:p>
        </w:tc>
      </w:tr>
      <w:tr>
        <w:tblPrEx>
          <w:tblCellMar>
            <w:top w:w="0" w:type="dxa"/>
            <w:left w:w="108" w:type="dxa"/>
            <w:bottom w:w="0" w:type="dxa"/>
            <w:right w:w="108" w:type="dxa"/>
          </w:tblCellMar>
        </w:tblPrEx>
        <w:trPr>
          <w:trHeight w:val="285" w:hRule="atLeast"/>
        </w:trPr>
        <w:tc>
          <w:tcPr>
            <w:tcW w:w="216" w:type="pct"/>
            <w:tcBorders>
              <w:top w:val="nil"/>
              <w:left w:val="single" w:color="auto" w:sz="4" w:space="0"/>
              <w:bottom w:val="single" w:color="auto" w:sz="4" w:space="0"/>
              <w:right w:val="single" w:color="auto" w:sz="4" w:space="0"/>
            </w:tcBorders>
            <w:shd w:val="clear" w:color="000000" w:fill="BDD7EE"/>
            <w:noWrap/>
            <w:vAlign w:val="center"/>
          </w:tcPr>
          <w:p>
            <w:pPr>
              <w:widowControl/>
              <w:jc w:val="center"/>
              <w:rPr>
                <w:rFonts w:ascii="等线" w:hAnsi="等线" w:eastAsia="等线" w:cs="宋体"/>
                <w:color w:val="0D0D0D"/>
                <w:kern w:val="0"/>
                <w:sz w:val="16"/>
                <w:szCs w:val="16"/>
              </w:rPr>
            </w:pPr>
            <w:r>
              <w:rPr>
                <w:rFonts w:hint="eastAsia" w:ascii="等线" w:hAnsi="等线" w:eastAsia="等线" w:cs="宋体"/>
                <w:color w:val="0D0D0D"/>
                <w:kern w:val="0"/>
                <w:sz w:val="16"/>
                <w:szCs w:val="16"/>
              </w:rPr>
              <w:t>：</w:t>
            </w:r>
          </w:p>
        </w:tc>
        <w:tc>
          <w:tcPr>
            <w:tcW w:w="4783" w:type="pct"/>
            <w:gridSpan w:val="16"/>
            <w:tcBorders>
              <w:top w:val="single" w:color="auto" w:sz="4" w:space="0"/>
              <w:left w:val="nil"/>
              <w:bottom w:val="single" w:color="auto" w:sz="4" w:space="0"/>
              <w:right w:val="single" w:color="000000" w:sz="4" w:space="0"/>
            </w:tcBorders>
            <w:shd w:val="clear" w:color="000000" w:fill="BDD7EE"/>
            <w:noWrap/>
            <w:vAlign w:val="center"/>
          </w:tcPr>
          <w:p>
            <w:pPr>
              <w:widowControl/>
              <w:jc w:val="center"/>
              <w:rPr>
                <w:rFonts w:ascii="等线" w:hAnsi="等线" w:eastAsia="等线" w:cs="宋体"/>
                <w:color w:val="0D0D0D"/>
                <w:kern w:val="0"/>
                <w:sz w:val="16"/>
                <w:szCs w:val="16"/>
              </w:rPr>
            </w:pPr>
            <w:r>
              <w:rPr>
                <w:rFonts w:hint="eastAsia" w:ascii="等线" w:hAnsi="等线" w:eastAsia="等线" w:cs="宋体"/>
                <w:color w:val="0D0D0D"/>
                <w:kern w:val="0"/>
                <w:sz w:val="16"/>
                <w:szCs w:val="16"/>
              </w:rPr>
              <w:t>当实验室数 p =8，n =11  临界值C(0.01)=0.3248  临界C(0.05)=0.2829  统计量C=0.1662  柯克伦检验结论：无异常值</w:t>
            </w:r>
          </w:p>
        </w:tc>
      </w:tr>
      <w:tr>
        <w:tblPrEx>
          <w:tblCellMar>
            <w:top w:w="0" w:type="dxa"/>
            <w:left w:w="108" w:type="dxa"/>
            <w:bottom w:w="0" w:type="dxa"/>
            <w:right w:w="108" w:type="dxa"/>
          </w:tblCellMar>
        </w:tblPrEx>
        <w:trPr>
          <w:trHeight w:val="285" w:hRule="atLeast"/>
        </w:trPr>
        <w:tc>
          <w:tcPr>
            <w:tcW w:w="2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1</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0.286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0.294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0.298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0.290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0.293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0.299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0.296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0.297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0.301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0.308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0.300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0.297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0.006 </w:t>
            </w:r>
          </w:p>
        </w:tc>
        <w:tc>
          <w:tcPr>
            <w:tcW w:w="30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1.796 </w:t>
            </w:r>
          </w:p>
        </w:tc>
        <w:tc>
          <w:tcPr>
            <w:tcW w:w="310"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1.951 </w:t>
            </w:r>
          </w:p>
        </w:tc>
        <w:tc>
          <w:tcPr>
            <w:tcW w:w="365"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无异常值</w:t>
            </w:r>
          </w:p>
        </w:tc>
      </w:tr>
      <w:tr>
        <w:tblPrEx>
          <w:tblCellMar>
            <w:top w:w="0" w:type="dxa"/>
            <w:left w:w="108" w:type="dxa"/>
            <w:bottom w:w="0" w:type="dxa"/>
            <w:right w:w="108" w:type="dxa"/>
          </w:tblCellMar>
        </w:tblPrEx>
        <w:trPr>
          <w:trHeight w:val="285" w:hRule="atLeast"/>
        </w:trPr>
        <w:tc>
          <w:tcPr>
            <w:tcW w:w="2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2</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0.281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0.288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0.282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0.278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0.277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0.280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0.274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0.271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0.280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0.278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0.270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0.278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0.005 </w:t>
            </w:r>
          </w:p>
        </w:tc>
        <w:tc>
          <w:tcPr>
            <w:tcW w:w="30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1.578 </w:t>
            </w:r>
          </w:p>
        </w:tc>
        <w:tc>
          <w:tcPr>
            <w:tcW w:w="310"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1.933 </w:t>
            </w:r>
          </w:p>
        </w:tc>
        <w:tc>
          <w:tcPr>
            <w:tcW w:w="365"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无异常值</w:t>
            </w:r>
          </w:p>
        </w:tc>
      </w:tr>
      <w:tr>
        <w:tblPrEx>
          <w:tblCellMar>
            <w:top w:w="0" w:type="dxa"/>
            <w:left w:w="108" w:type="dxa"/>
            <w:bottom w:w="0" w:type="dxa"/>
            <w:right w:w="108" w:type="dxa"/>
          </w:tblCellMar>
        </w:tblPrEx>
        <w:trPr>
          <w:trHeight w:val="285" w:hRule="atLeast"/>
        </w:trPr>
        <w:tc>
          <w:tcPr>
            <w:tcW w:w="2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3</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0.268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0.275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0.274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0.275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0.268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0.272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0.276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0.278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0.269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0.280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0.283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0.274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0.005 </w:t>
            </w:r>
          </w:p>
        </w:tc>
        <w:tc>
          <w:tcPr>
            <w:tcW w:w="30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1.303 </w:t>
            </w:r>
          </w:p>
        </w:tc>
        <w:tc>
          <w:tcPr>
            <w:tcW w:w="310"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1.768 </w:t>
            </w:r>
          </w:p>
        </w:tc>
        <w:tc>
          <w:tcPr>
            <w:tcW w:w="365"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无异常值</w:t>
            </w:r>
          </w:p>
        </w:tc>
      </w:tr>
      <w:tr>
        <w:tblPrEx>
          <w:tblCellMar>
            <w:top w:w="0" w:type="dxa"/>
            <w:left w:w="108" w:type="dxa"/>
            <w:bottom w:w="0" w:type="dxa"/>
            <w:right w:w="108" w:type="dxa"/>
          </w:tblCellMar>
        </w:tblPrEx>
        <w:trPr>
          <w:trHeight w:val="285" w:hRule="atLeast"/>
        </w:trPr>
        <w:tc>
          <w:tcPr>
            <w:tcW w:w="2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4</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0.289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0.278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0.286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0.291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0.296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0.292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0.286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0.284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0.294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0.284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0.278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0.287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0.006 </w:t>
            </w:r>
          </w:p>
        </w:tc>
        <w:tc>
          <w:tcPr>
            <w:tcW w:w="30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1.522 </w:t>
            </w:r>
          </w:p>
        </w:tc>
        <w:tc>
          <w:tcPr>
            <w:tcW w:w="310"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1.491 </w:t>
            </w:r>
          </w:p>
        </w:tc>
        <w:tc>
          <w:tcPr>
            <w:tcW w:w="365"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无异常值</w:t>
            </w:r>
          </w:p>
        </w:tc>
      </w:tr>
      <w:tr>
        <w:tblPrEx>
          <w:tblCellMar>
            <w:top w:w="0" w:type="dxa"/>
            <w:left w:w="108" w:type="dxa"/>
            <w:bottom w:w="0" w:type="dxa"/>
            <w:right w:w="108" w:type="dxa"/>
          </w:tblCellMar>
        </w:tblPrEx>
        <w:trPr>
          <w:trHeight w:val="285" w:hRule="atLeast"/>
        </w:trPr>
        <w:tc>
          <w:tcPr>
            <w:tcW w:w="2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5</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0.271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0.275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0.277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0.277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0.286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0.262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0.264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0.268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0.272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0.279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0.268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0.273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0.007 </w:t>
            </w:r>
          </w:p>
        </w:tc>
        <w:tc>
          <w:tcPr>
            <w:tcW w:w="30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1.509 </w:t>
            </w:r>
          </w:p>
        </w:tc>
        <w:tc>
          <w:tcPr>
            <w:tcW w:w="310"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1.896 </w:t>
            </w:r>
          </w:p>
        </w:tc>
        <w:tc>
          <w:tcPr>
            <w:tcW w:w="365"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无异常值</w:t>
            </w:r>
          </w:p>
        </w:tc>
      </w:tr>
      <w:tr>
        <w:tblPrEx>
          <w:tblCellMar>
            <w:top w:w="0" w:type="dxa"/>
            <w:left w:w="108" w:type="dxa"/>
            <w:bottom w:w="0" w:type="dxa"/>
            <w:right w:w="108" w:type="dxa"/>
          </w:tblCellMar>
        </w:tblPrEx>
        <w:trPr>
          <w:trHeight w:val="285" w:hRule="atLeast"/>
        </w:trPr>
        <w:tc>
          <w:tcPr>
            <w:tcW w:w="2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6</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0.276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0.284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0.294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0.277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0.276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0.285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0.288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0.296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0.279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0.276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0.271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0.282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0.008 </w:t>
            </w:r>
          </w:p>
        </w:tc>
        <w:tc>
          <w:tcPr>
            <w:tcW w:w="30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1.362 </w:t>
            </w:r>
          </w:p>
        </w:tc>
        <w:tc>
          <w:tcPr>
            <w:tcW w:w="310"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1.734 </w:t>
            </w:r>
          </w:p>
        </w:tc>
        <w:tc>
          <w:tcPr>
            <w:tcW w:w="365"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无异常值</w:t>
            </w:r>
          </w:p>
        </w:tc>
      </w:tr>
      <w:tr>
        <w:tblPrEx>
          <w:tblCellMar>
            <w:top w:w="0" w:type="dxa"/>
            <w:left w:w="108" w:type="dxa"/>
            <w:bottom w:w="0" w:type="dxa"/>
            <w:right w:w="108" w:type="dxa"/>
          </w:tblCellMar>
        </w:tblPrEx>
        <w:trPr>
          <w:trHeight w:val="285" w:hRule="atLeast"/>
        </w:trPr>
        <w:tc>
          <w:tcPr>
            <w:tcW w:w="2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7</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0.290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0.295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0.298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0.297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0.293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0.299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0.296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0.297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0.301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0.308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0.303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0.298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0.005 </w:t>
            </w:r>
          </w:p>
        </w:tc>
        <w:tc>
          <w:tcPr>
            <w:tcW w:w="30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1.618 </w:t>
            </w:r>
          </w:p>
        </w:tc>
        <w:tc>
          <w:tcPr>
            <w:tcW w:w="310"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2.064 </w:t>
            </w:r>
          </w:p>
        </w:tc>
        <w:tc>
          <w:tcPr>
            <w:tcW w:w="365"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无异常值</w:t>
            </w:r>
          </w:p>
        </w:tc>
      </w:tr>
      <w:tr>
        <w:tblPrEx>
          <w:tblCellMar>
            <w:top w:w="0" w:type="dxa"/>
            <w:left w:w="108" w:type="dxa"/>
            <w:bottom w:w="0" w:type="dxa"/>
            <w:right w:w="108" w:type="dxa"/>
          </w:tblCellMar>
        </w:tblPrEx>
        <w:trPr>
          <w:trHeight w:val="285" w:hRule="atLeast"/>
        </w:trPr>
        <w:tc>
          <w:tcPr>
            <w:tcW w:w="2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8</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0.296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0.297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0.305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0.291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0.292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0.293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0.294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0.315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0.306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0.311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0.317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0.302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0.010 </w:t>
            </w:r>
          </w:p>
        </w:tc>
        <w:tc>
          <w:tcPr>
            <w:tcW w:w="30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1.097 </w:t>
            </w:r>
          </w:p>
        </w:tc>
        <w:tc>
          <w:tcPr>
            <w:tcW w:w="310"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1.607 </w:t>
            </w:r>
          </w:p>
        </w:tc>
        <w:tc>
          <w:tcPr>
            <w:tcW w:w="365"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无异常值</w:t>
            </w:r>
          </w:p>
        </w:tc>
      </w:tr>
      <w:tr>
        <w:tblPrEx>
          <w:tblCellMar>
            <w:top w:w="0" w:type="dxa"/>
            <w:left w:w="108" w:type="dxa"/>
            <w:bottom w:w="0" w:type="dxa"/>
            <w:right w:w="108" w:type="dxa"/>
          </w:tblCellMar>
        </w:tblPrEx>
        <w:trPr>
          <w:trHeight w:val="285" w:hRule="atLeast"/>
        </w:trPr>
        <w:tc>
          <w:tcPr>
            <w:tcW w:w="216" w:type="pct"/>
            <w:tcBorders>
              <w:top w:val="nil"/>
              <w:left w:val="single" w:color="auto" w:sz="4" w:space="0"/>
              <w:bottom w:val="single" w:color="auto" w:sz="4" w:space="0"/>
              <w:right w:val="single" w:color="auto" w:sz="4" w:space="0"/>
            </w:tcBorders>
            <w:shd w:val="clear" w:color="000000" w:fill="00FF00"/>
            <w:vAlign w:val="center"/>
          </w:tcPr>
          <w:p>
            <w:pPr>
              <w:widowControl/>
              <w:jc w:val="center"/>
              <w:rPr>
                <w:rFonts w:ascii="宋体" w:hAnsi="宋体" w:cs="宋体"/>
                <w:kern w:val="0"/>
                <w:sz w:val="16"/>
                <w:szCs w:val="16"/>
              </w:rPr>
            </w:pPr>
            <w:r>
              <w:rPr>
                <w:rFonts w:hint="eastAsia" w:ascii="宋体" w:hAnsi="宋体" w:cs="宋体"/>
                <w:kern w:val="0"/>
                <w:sz w:val="16"/>
                <w:szCs w:val="16"/>
              </w:rPr>
              <w:t>室间</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0.297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0.278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0.274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0.287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0.273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0.282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0.298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0.302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0.286 </w:t>
            </w:r>
          </w:p>
        </w:tc>
        <w:tc>
          <w:tcPr>
            <w:tcW w:w="29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0.011 </w:t>
            </w:r>
          </w:p>
        </w:tc>
        <w:tc>
          <w:tcPr>
            <w:tcW w:w="302"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1.211 </w:t>
            </w:r>
          </w:p>
        </w:tc>
        <w:tc>
          <w:tcPr>
            <w:tcW w:w="310"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1.356 </w:t>
            </w:r>
          </w:p>
        </w:tc>
        <w:tc>
          <w:tcPr>
            <w:tcW w:w="365"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无异常值</w:t>
            </w:r>
          </w:p>
        </w:tc>
      </w:tr>
      <w:tr>
        <w:tblPrEx>
          <w:tblCellMar>
            <w:top w:w="0" w:type="dxa"/>
            <w:left w:w="108" w:type="dxa"/>
            <w:bottom w:w="0" w:type="dxa"/>
            <w:right w:w="108" w:type="dxa"/>
          </w:tblCellMar>
        </w:tblPrEx>
        <w:trPr>
          <w:trHeight w:val="285" w:hRule="atLeast"/>
        </w:trPr>
        <w:tc>
          <w:tcPr>
            <w:tcW w:w="216" w:type="pct"/>
            <w:tcBorders>
              <w:top w:val="nil"/>
              <w:left w:val="single" w:color="auto" w:sz="4" w:space="0"/>
              <w:bottom w:val="single" w:color="auto" w:sz="4" w:space="0"/>
              <w:right w:val="single" w:color="auto" w:sz="4" w:space="0"/>
            </w:tcBorders>
            <w:shd w:val="clear" w:color="000000" w:fill="BDD7EE"/>
            <w:noWrap/>
            <w:vAlign w:val="center"/>
          </w:tcPr>
          <w:p>
            <w:pPr>
              <w:widowControl/>
              <w:jc w:val="center"/>
              <w:rPr>
                <w:rFonts w:ascii="等线" w:hAnsi="等线" w:eastAsia="等线" w:cs="宋体"/>
                <w:color w:val="0D0D0D"/>
                <w:kern w:val="0"/>
                <w:sz w:val="16"/>
                <w:szCs w:val="16"/>
              </w:rPr>
            </w:pPr>
            <w:r>
              <w:rPr>
                <w:rFonts w:hint="eastAsia" w:ascii="等线" w:hAnsi="等线" w:eastAsia="等线" w:cs="宋体"/>
                <w:color w:val="0D0D0D"/>
                <w:kern w:val="0"/>
                <w:sz w:val="16"/>
                <w:szCs w:val="16"/>
              </w:rPr>
              <w:t>：</w:t>
            </w:r>
          </w:p>
        </w:tc>
        <w:tc>
          <w:tcPr>
            <w:tcW w:w="4783" w:type="pct"/>
            <w:gridSpan w:val="16"/>
            <w:tcBorders>
              <w:top w:val="single" w:color="auto" w:sz="4" w:space="0"/>
              <w:left w:val="nil"/>
              <w:bottom w:val="single" w:color="auto" w:sz="4" w:space="0"/>
              <w:right w:val="single" w:color="000000" w:sz="4" w:space="0"/>
            </w:tcBorders>
            <w:shd w:val="clear" w:color="000000" w:fill="BDD7EE"/>
            <w:noWrap/>
            <w:vAlign w:val="center"/>
          </w:tcPr>
          <w:p>
            <w:pPr>
              <w:widowControl/>
              <w:jc w:val="center"/>
              <w:rPr>
                <w:rFonts w:ascii="等线" w:hAnsi="等线" w:eastAsia="等线" w:cs="宋体"/>
                <w:color w:val="0D0D0D"/>
                <w:kern w:val="0"/>
                <w:sz w:val="16"/>
                <w:szCs w:val="16"/>
              </w:rPr>
            </w:pPr>
            <w:r>
              <w:rPr>
                <w:rFonts w:hint="eastAsia" w:ascii="等线" w:hAnsi="等线" w:eastAsia="等线" w:cs="宋体"/>
                <w:color w:val="0D0D0D"/>
                <w:kern w:val="0"/>
                <w:sz w:val="16"/>
                <w:szCs w:val="16"/>
              </w:rPr>
              <w:t>柯克伦检验:当实验室数 p =8，n =11  临界值C(0.01)=0.3248  临界C(0.05)=0.2829  统计量C=0.1662  柯克伦检验结论：无异常值</w:t>
            </w:r>
          </w:p>
        </w:tc>
      </w:tr>
    </w:tbl>
    <w:p/>
    <w:tbl>
      <w:tblPr>
        <w:tblStyle w:val="88"/>
        <w:tblW w:w="5000" w:type="pct"/>
        <w:tblInd w:w="0" w:type="dxa"/>
        <w:tblLayout w:type="autofit"/>
        <w:tblCellMar>
          <w:top w:w="0" w:type="dxa"/>
          <w:left w:w="108" w:type="dxa"/>
          <w:bottom w:w="0" w:type="dxa"/>
          <w:right w:w="108" w:type="dxa"/>
        </w:tblCellMar>
      </w:tblPr>
      <w:tblGrid>
        <w:gridCol w:w="609"/>
        <w:gridCol w:w="874"/>
        <w:gridCol w:w="874"/>
        <w:gridCol w:w="874"/>
        <w:gridCol w:w="874"/>
        <w:gridCol w:w="874"/>
        <w:gridCol w:w="874"/>
        <w:gridCol w:w="874"/>
        <w:gridCol w:w="874"/>
        <w:gridCol w:w="874"/>
        <w:gridCol w:w="874"/>
        <w:gridCol w:w="874"/>
        <w:gridCol w:w="874"/>
        <w:gridCol w:w="874"/>
        <w:gridCol w:w="907"/>
        <w:gridCol w:w="937"/>
        <w:gridCol w:w="1254"/>
      </w:tblGrid>
      <w:tr>
        <w:tblPrEx>
          <w:tblCellMar>
            <w:top w:w="0" w:type="dxa"/>
            <w:left w:w="108" w:type="dxa"/>
            <w:bottom w:w="0" w:type="dxa"/>
            <w:right w:w="108" w:type="dxa"/>
          </w:tblCellMar>
        </w:tblPrEx>
        <w:trPr>
          <w:trHeight w:val="111" w:hRule="atLeast"/>
        </w:trPr>
        <w:tc>
          <w:tcPr>
            <w:tcW w:w="5000" w:type="pct"/>
            <w:gridSpan w:val="17"/>
            <w:tcBorders>
              <w:top w:val="nil"/>
              <w:left w:val="nil"/>
              <w:bottom w:val="single" w:color="auto" w:sz="4" w:space="0"/>
              <w:right w:val="nil"/>
            </w:tcBorders>
            <w:shd w:val="clear" w:color="auto" w:fill="auto"/>
            <w:noWrap/>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表</w:t>
            </w:r>
            <w:r>
              <w:rPr>
                <w:rFonts w:hint="eastAsia" w:ascii="等线" w:hAnsi="等线" w:eastAsia="等线" w:cs="宋体"/>
                <w:color w:val="000000"/>
                <w:kern w:val="0"/>
                <w:szCs w:val="21"/>
                <w:lang w:val="en-US" w:eastAsia="zh-CN"/>
              </w:rPr>
              <w:t>附录B</w:t>
            </w:r>
            <w:r>
              <w:rPr>
                <w:rFonts w:hint="eastAsia" w:ascii="等线" w:hAnsi="等线" w:eastAsia="等线" w:cs="宋体"/>
                <w:color w:val="000000"/>
                <w:kern w:val="0"/>
                <w:szCs w:val="21"/>
              </w:rPr>
              <w:t>-</w:t>
            </w:r>
            <w:r>
              <w:rPr>
                <w:rFonts w:ascii="等线" w:hAnsi="等线" w:eastAsia="等线" w:cs="宋体"/>
                <w:color w:val="000000"/>
                <w:kern w:val="0"/>
                <w:szCs w:val="21"/>
              </w:rPr>
              <w:t>2</w:t>
            </w:r>
            <w:r>
              <w:rPr>
                <w:rFonts w:hint="eastAsia" w:ascii="等线" w:hAnsi="等线" w:eastAsia="等线" w:cs="宋体"/>
                <w:color w:val="000000"/>
                <w:kern w:val="0"/>
                <w:szCs w:val="21"/>
              </w:rPr>
              <w:t>钨精矿铅量的测定-A</w:t>
            </w:r>
            <w:r>
              <w:rPr>
                <w:rFonts w:ascii="等线" w:hAnsi="等线" w:eastAsia="等线" w:cs="宋体"/>
                <w:color w:val="000000"/>
                <w:kern w:val="0"/>
                <w:szCs w:val="21"/>
              </w:rPr>
              <w:t>A</w:t>
            </w:r>
            <w:r>
              <w:rPr>
                <w:rFonts w:hint="eastAsia" w:ascii="等线" w:hAnsi="等线" w:eastAsia="等线" w:cs="宋体"/>
                <w:color w:val="000000"/>
                <w:kern w:val="0"/>
                <w:szCs w:val="21"/>
              </w:rPr>
              <w:t>S数据统计</w:t>
            </w:r>
          </w:p>
        </w:tc>
      </w:tr>
      <w:tr>
        <w:tblPrEx>
          <w:tblCellMar>
            <w:top w:w="0" w:type="dxa"/>
            <w:left w:w="108" w:type="dxa"/>
            <w:bottom w:w="0" w:type="dxa"/>
            <w:right w:w="108" w:type="dxa"/>
          </w:tblCellMar>
        </w:tblPrEx>
        <w:trPr>
          <w:trHeight w:val="450" w:hRule="atLeast"/>
        </w:trPr>
        <w:tc>
          <w:tcPr>
            <w:tcW w:w="20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单位</w:t>
            </w:r>
          </w:p>
        </w:tc>
        <w:tc>
          <w:tcPr>
            <w:tcW w:w="290"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1</w:t>
            </w:r>
          </w:p>
        </w:tc>
        <w:tc>
          <w:tcPr>
            <w:tcW w:w="290"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2</w:t>
            </w:r>
          </w:p>
        </w:tc>
        <w:tc>
          <w:tcPr>
            <w:tcW w:w="290"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3</w:t>
            </w:r>
          </w:p>
        </w:tc>
        <w:tc>
          <w:tcPr>
            <w:tcW w:w="290"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4</w:t>
            </w:r>
          </w:p>
        </w:tc>
        <w:tc>
          <w:tcPr>
            <w:tcW w:w="290"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5</w:t>
            </w:r>
          </w:p>
        </w:tc>
        <w:tc>
          <w:tcPr>
            <w:tcW w:w="290"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6</w:t>
            </w:r>
          </w:p>
        </w:tc>
        <w:tc>
          <w:tcPr>
            <w:tcW w:w="290"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7</w:t>
            </w:r>
          </w:p>
        </w:tc>
        <w:tc>
          <w:tcPr>
            <w:tcW w:w="290"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8</w:t>
            </w:r>
          </w:p>
        </w:tc>
        <w:tc>
          <w:tcPr>
            <w:tcW w:w="290"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9</w:t>
            </w:r>
          </w:p>
        </w:tc>
        <w:tc>
          <w:tcPr>
            <w:tcW w:w="290"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10</w:t>
            </w:r>
          </w:p>
        </w:tc>
        <w:tc>
          <w:tcPr>
            <w:tcW w:w="290"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11</w:t>
            </w:r>
          </w:p>
        </w:tc>
        <w:tc>
          <w:tcPr>
            <w:tcW w:w="290"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平均值</w:t>
            </w:r>
          </w:p>
        </w:tc>
        <w:tc>
          <w:tcPr>
            <w:tcW w:w="290"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S</w:t>
            </w:r>
          </w:p>
        </w:tc>
        <w:tc>
          <w:tcPr>
            <w:tcW w:w="30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Gmin值</w:t>
            </w:r>
          </w:p>
        </w:tc>
        <w:tc>
          <w:tcPr>
            <w:tcW w:w="31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Gmax值</w:t>
            </w:r>
          </w:p>
        </w:tc>
        <w:tc>
          <w:tcPr>
            <w:tcW w:w="416"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Grubbs检验</w:t>
            </w:r>
          </w:p>
        </w:tc>
      </w:tr>
      <w:tr>
        <w:tblPrEx>
          <w:tblCellMar>
            <w:top w:w="0" w:type="dxa"/>
            <w:left w:w="108" w:type="dxa"/>
            <w:bottom w:w="0" w:type="dxa"/>
            <w:right w:w="108" w:type="dxa"/>
          </w:tblCellMar>
        </w:tblPrEx>
        <w:trPr>
          <w:trHeight w:val="285" w:hRule="atLeast"/>
        </w:trPr>
        <w:tc>
          <w:tcPr>
            <w:tcW w:w="20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29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0.142</w:t>
            </w:r>
          </w:p>
        </w:tc>
        <w:tc>
          <w:tcPr>
            <w:tcW w:w="290"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0.142</w:t>
            </w:r>
          </w:p>
        </w:tc>
        <w:tc>
          <w:tcPr>
            <w:tcW w:w="290"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0.14</w:t>
            </w:r>
          </w:p>
        </w:tc>
        <w:tc>
          <w:tcPr>
            <w:tcW w:w="290"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0.142</w:t>
            </w:r>
          </w:p>
        </w:tc>
        <w:tc>
          <w:tcPr>
            <w:tcW w:w="290"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0.141</w:t>
            </w:r>
          </w:p>
        </w:tc>
        <w:tc>
          <w:tcPr>
            <w:tcW w:w="290"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0.139</w:t>
            </w:r>
          </w:p>
        </w:tc>
        <w:tc>
          <w:tcPr>
            <w:tcW w:w="290"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0.142</w:t>
            </w:r>
          </w:p>
        </w:tc>
        <w:tc>
          <w:tcPr>
            <w:tcW w:w="290"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0.143</w:t>
            </w:r>
          </w:p>
        </w:tc>
        <w:tc>
          <w:tcPr>
            <w:tcW w:w="290"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0.14</w:t>
            </w:r>
          </w:p>
        </w:tc>
        <w:tc>
          <w:tcPr>
            <w:tcW w:w="290"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0.14</w:t>
            </w:r>
          </w:p>
        </w:tc>
        <w:tc>
          <w:tcPr>
            <w:tcW w:w="290"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0.14</w:t>
            </w:r>
          </w:p>
        </w:tc>
        <w:tc>
          <w:tcPr>
            <w:tcW w:w="290"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0.141</w:t>
            </w:r>
          </w:p>
        </w:tc>
        <w:tc>
          <w:tcPr>
            <w:tcW w:w="290"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0.001 </w:t>
            </w:r>
          </w:p>
        </w:tc>
        <w:tc>
          <w:tcPr>
            <w:tcW w:w="301"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1.581 </w:t>
            </w:r>
          </w:p>
        </w:tc>
        <w:tc>
          <w:tcPr>
            <w:tcW w:w="311"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1.581 </w:t>
            </w:r>
          </w:p>
        </w:tc>
        <w:tc>
          <w:tcPr>
            <w:tcW w:w="416"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无异常值</w:t>
            </w:r>
          </w:p>
        </w:tc>
      </w:tr>
      <w:tr>
        <w:tblPrEx>
          <w:tblCellMar>
            <w:top w:w="0" w:type="dxa"/>
            <w:left w:w="108" w:type="dxa"/>
            <w:bottom w:w="0" w:type="dxa"/>
            <w:right w:w="108" w:type="dxa"/>
          </w:tblCellMar>
        </w:tblPrEx>
        <w:trPr>
          <w:trHeight w:val="285" w:hRule="atLeast"/>
        </w:trPr>
        <w:tc>
          <w:tcPr>
            <w:tcW w:w="20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290"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0.142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0.137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0.139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0.137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0.140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0.138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0.139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0.143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0.142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0.141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0.139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0.140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0.002 </w:t>
            </w:r>
          </w:p>
        </w:tc>
        <w:tc>
          <w:tcPr>
            <w:tcW w:w="301"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1.328 </w:t>
            </w:r>
          </w:p>
        </w:tc>
        <w:tc>
          <w:tcPr>
            <w:tcW w:w="311"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1.593 </w:t>
            </w:r>
          </w:p>
        </w:tc>
        <w:tc>
          <w:tcPr>
            <w:tcW w:w="416"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无异常值</w:t>
            </w:r>
          </w:p>
        </w:tc>
      </w:tr>
      <w:tr>
        <w:tblPrEx>
          <w:tblCellMar>
            <w:top w:w="0" w:type="dxa"/>
            <w:left w:w="108" w:type="dxa"/>
            <w:bottom w:w="0" w:type="dxa"/>
            <w:right w:w="108" w:type="dxa"/>
          </w:tblCellMar>
        </w:tblPrEx>
        <w:trPr>
          <w:trHeight w:val="285" w:hRule="atLeast"/>
        </w:trPr>
        <w:tc>
          <w:tcPr>
            <w:tcW w:w="20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3</w:t>
            </w:r>
          </w:p>
        </w:tc>
        <w:tc>
          <w:tcPr>
            <w:tcW w:w="290"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0.138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0.134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0.132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0.138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0.132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0.135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0.134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0.135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0.136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0.130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0.132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0.134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0.003 </w:t>
            </w:r>
          </w:p>
        </w:tc>
        <w:tc>
          <w:tcPr>
            <w:tcW w:w="301"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1.632 </w:t>
            </w:r>
          </w:p>
        </w:tc>
        <w:tc>
          <w:tcPr>
            <w:tcW w:w="311"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1.490 </w:t>
            </w:r>
          </w:p>
        </w:tc>
        <w:tc>
          <w:tcPr>
            <w:tcW w:w="416"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无异常值</w:t>
            </w:r>
          </w:p>
        </w:tc>
      </w:tr>
      <w:tr>
        <w:tblPrEx>
          <w:tblCellMar>
            <w:top w:w="0" w:type="dxa"/>
            <w:left w:w="108" w:type="dxa"/>
            <w:bottom w:w="0" w:type="dxa"/>
            <w:right w:w="108" w:type="dxa"/>
          </w:tblCellMar>
        </w:tblPrEx>
        <w:trPr>
          <w:trHeight w:val="285" w:hRule="atLeast"/>
        </w:trPr>
        <w:tc>
          <w:tcPr>
            <w:tcW w:w="20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4</w:t>
            </w:r>
          </w:p>
        </w:tc>
        <w:tc>
          <w:tcPr>
            <w:tcW w:w="290"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0.146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0.140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0.148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0.150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0.143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0.144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0.142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0.142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0.146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0.151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0.143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0.145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0.004 </w:t>
            </w:r>
          </w:p>
        </w:tc>
        <w:tc>
          <w:tcPr>
            <w:tcW w:w="301"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1.420 </w:t>
            </w:r>
          </w:p>
        </w:tc>
        <w:tc>
          <w:tcPr>
            <w:tcW w:w="311"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1.704 </w:t>
            </w:r>
          </w:p>
        </w:tc>
        <w:tc>
          <w:tcPr>
            <w:tcW w:w="416"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无异常值</w:t>
            </w:r>
          </w:p>
        </w:tc>
      </w:tr>
      <w:tr>
        <w:tblPrEx>
          <w:tblCellMar>
            <w:top w:w="0" w:type="dxa"/>
            <w:left w:w="108" w:type="dxa"/>
            <w:bottom w:w="0" w:type="dxa"/>
            <w:right w:w="108" w:type="dxa"/>
          </w:tblCellMar>
        </w:tblPrEx>
        <w:trPr>
          <w:trHeight w:val="285" w:hRule="atLeast"/>
        </w:trPr>
        <w:tc>
          <w:tcPr>
            <w:tcW w:w="20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5</w:t>
            </w:r>
          </w:p>
        </w:tc>
        <w:tc>
          <w:tcPr>
            <w:tcW w:w="290"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0.141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0.141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0.141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0.142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0.143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0.140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0.148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0.142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0.144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0.141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0.142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0.142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0.002 </w:t>
            </w:r>
          </w:p>
        </w:tc>
        <w:tc>
          <w:tcPr>
            <w:tcW w:w="301"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1.035 </w:t>
            </w:r>
          </w:p>
        </w:tc>
        <w:tc>
          <w:tcPr>
            <w:tcW w:w="311"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2.609 </w:t>
            </w:r>
          </w:p>
        </w:tc>
        <w:tc>
          <w:tcPr>
            <w:tcW w:w="416"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离群(Xmax)</w:t>
            </w:r>
          </w:p>
        </w:tc>
      </w:tr>
      <w:tr>
        <w:tblPrEx>
          <w:tblCellMar>
            <w:top w:w="0" w:type="dxa"/>
            <w:left w:w="108" w:type="dxa"/>
            <w:bottom w:w="0" w:type="dxa"/>
            <w:right w:w="108" w:type="dxa"/>
          </w:tblCellMar>
        </w:tblPrEx>
        <w:trPr>
          <w:trHeight w:val="285" w:hRule="atLeast"/>
        </w:trPr>
        <w:tc>
          <w:tcPr>
            <w:tcW w:w="20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6</w:t>
            </w:r>
          </w:p>
        </w:tc>
        <w:tc>
          <w:tcPr>
            <w:tcW w:w="290"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0.146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0.145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0.146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0.147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0.147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0.146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0.146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0.144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0.146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0.144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0.146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0.146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0.001 </w:t>
            </w:r>
          </w:p>
        </w:tc>
        <w:tc>
          <w:tcPr>
            <w:tcW w:w="301"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1.712 </w:t>
            </w:r>
          </w:p>
        </w:tc>
        <w:tc>
          <w:tcPr>
            <w:tcW w:w="311"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1.261 </w:t>
            </w:r>
          </w:p>
        </w:tc>
        <w:tc>
          <w:tcPr>
            <w:tcW w:w="416"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无异常值</w:t>
            </w:r>
          </w:p>
        </w:tc>
      </w:tr>
      <w:tr>
        <w:tblPrEx>
          <w:tblCellMar>
            <w:top w:w="0" w:type="dxa"/>
            <w:left w:w="108" w:type="dxa"/>
            <w:bottom w:w="0" w:type="dxa"/>
            <w:right w:w="108" w:type="dxa"/>
          </w:tblCellMar>
        </w:tblPrEx>
        <w:trPr>
          <w:trHeight w:val="285" w:hRule="atLeast"/>
        </w:trPr>
        <w:tc>
          <w:tcPr>
            <w:tcW w:w="20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7</w:t>
            </w:r>
          </w:p>
        </w:tc>
        <w:tc>
          <w:tcPr>
            <w:tcW w:w="290"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0.140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0.142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0.143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0.142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0.142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0.140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0.142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0.143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0.139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0.140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0.139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0.141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0.002 </w:t>
            </w:r>
          </w:p>
        </w:tc>
        <w:tc>
          <w:tcPr>
            <w:tcW w:w="301"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1.381 </w:t>
            </w:r>
          </w:p>
        </w:tc>
        <w:tc>
          <w:tcPr>
            <w:tcW w:w="311"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1.261 </w:t>
            </w:r>
          </w:p>
        </w:tc>
        <w:tc>
          <w:tcPr>
            <w:tcW w:w="416"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无异常值</w:t>
            </w:r>
          </w:p>
        </w:tc>
      </w:tr>
      <w:tr>
        <w:tblPrEx>
          <w:tblCellMar>
            <w:top w:w="0" w:type="dxa"/>
            <w:left w:w="108" w:type="dxa"/>
            <w:bottom w:w="0" w:type="dxa"/>
            <w:right w:w="108" w:type="dxa"/>
          </w:tblCellMar>
        </w:tblPrEx>
        <w:trPr>
          <w:trHeight w:val="285" w:hRule="atLeast"/>
        </w:trPr>
        <w:tc>
          <w:tcPr>
            <w:tcW w:w="20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8</w:t>
            </w:r>
          </w:p>
        </w:tc>
        <w:tc>
          <w:tcPr>
            <w:tcW w:w="290"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0.155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0.137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0.151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0.144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0.143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0.142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0.139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0.149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0.134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0.137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0.145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0.143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0.006 </w:t>
            </w:r>
          </w:p>
        </w:tc>
        <w:tc>
          <w:tcPr>
            <w:tcW w:w="301"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1.434 </w:t>
            </w:r>
          </w:p>
        </w:tc>
        <w:tc>
          <w:tcPr>
            <w:tcW w:w="311"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1.813 </w:t>
            </w:r>
          </w:p>
        </w:tc>
        <w:tc>
          <w:tcPr>
            <w:tcW w:w="416"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无异常值</w:t>
            </w:r>
          </w:p>
        </w:tc>
      </w:tr>
      <w:tr>
        <w:tblPrEx>
          <w:tblCellMar>
            <w:top w:w="0" w:type="dxa"/>
            <w:left w:w="108" w:type="dxa"/>
            <w:bottom w:w="0" w:type="dxa"/>
            <w:right w:w="108" w:type="dxa"/>
          </w:tblCellMar>
        </w:tblPrEx>
        <w:trPr>
          <w:trHeight w:val="300" w:hRule="atLeast"/>
        </w:trPr>
        <w:tc>
          <w:tcPr>
            <w:tcW w:w="202" w:type="pct"/>
            <w:tcBorders>
              <w:top w:val="nil"/>
              <w:left w:val="single" w:color="auto" w:sz="4" w:space="0"/>
              <w:bottom w:val="single" w:color="auto" w:sz="4" w:space="0"/>
              <w:right w:val="single" w:color="auto" w:sz="4" w:space="0"/>
            </w:tcBorders>
            <w:shd w:val="clear" w:color="000000" w:fill="00FF00"/>
            <w:vAlign w:val="center"/>
          </w:tcPr>
          <w:p>
            <w:pPr>
              <w:widowControl/>
              <w:jc w:val="center"/>
              <w:rPr>
                <w:rFonts w:ascii="宋体" w:hAnsi="宋体" w:cs="宋体"/>
                <w:kern w:val="0"/>
                <w:sz w:val="16"/>
                <w:szCs w:val="16"/>
              </w:rPr>
            </w:pPr>
            <w:r>
              <w:rPr>
                <w:rFonts w:hint="eastAsia" w:ascii="宋体" w:hAnsi="宋体" w:cs="宋体"/>
                <w:kern w:val="0"/>
                <w:sz w:val="16"/>
                <w:szCs w:val="16"/>
              </w:rPr>
              <w:t>室间</w:t>
            </w:r>
          </w:p>
        </w:tc>
        <w:tc>
          <w:tcPr>
            <w:tcW w:w="290"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0.141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0.140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0.134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0.145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0.142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0.146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0.141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0.143</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0.141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0.004 </w:t>
            </w:r>
          </w:p>
        </w:tc>
        <w:tc>
          <w:tcPr>
            <w:tcW w:w="301"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1.860 </w:t>
            </w:r>
          </w:p>
        </w:tc>
        <w:tc>
          <w:tcPr>
            <w:tcW w:w="311"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1.163 </w:t>
            </w:r>
          </w:p>
        </w:tc>
        <w:tc>
          <w:tcPr>
            <w:tcW w:w="416"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无异常值</w:t>
            </w:r>
          </w:p>
        </w:tc>
      </w:tr>
      <w:tr>
        <w:tblPrEx>
          <w:tblCellMar>
            <w:top w:w="0" w:type="dxa"/>
            <w:left w:w="108" w:type="dxa"/>
            <w:bottom w:w="0" w:type="dxa"/>
            <w:right w:w="108" w:type="dxa"/>
          </w:tblCellMar>
        </w:tblPrEx>
        <w:trPr>
          <w:trHeight w:val="285" w:hRule="atLeast"/>
        </w:trPr>
        <w:tc>
          <w:tcPr>
            <w:tcW w:w="202" w:type="pct"/>
            <w:tcBorders>
              <w:top w:val="nil"/>
              <w:left w:val="single" w:color="auto" w:sz="4" w:space="0"/>
              <w:bottom w:val="single" w:color="auto" w:sz="4" w:space="0"/>
              <w:right w:val="single" w:color="auto" w:sz="4" w:space="0"/>
            </w:tcBorders>
            <w:shd w:val="clear" w:color="000000" w:fill="BDD7EE"/>
            <w:noWrap/>
            <w:vAlign w:val="center"/>
          </w:tcPr>
          <w:p>
            <w:pPr>
              <w:widowControl/>
              <w:jc w:val="center"/>
              <w:rPr>
                <w:rFonts w:ascii="等线" w:hAnsi="等线" w:eastAsia="等线" w:cs="宋体"/>
                <w:color w:val="0D0D0D"/>
                <w:kern w:val="0"/>
                <w:sz w:val="16"/>
                <w:szCs w:val="16"/>
              </w:rPr>
            </w:pPr>
            <w:r>
              <w:rPr>
                <w:rFonts w:hint="eastAsia" w:ascii="等线" w:hAnsi="等线" w:eastAsia="等线" w:cs="宋体"/>
                <w:color w:val="0D0D0D"/>
                <w:kern w:val="0"/>
                <w:sz w:val="16"/>
                <w:szCs w:val="16"/>
              </w:rPr>
              <w:t>：</w:t>
            </w:r>
          </w:p>
        </w:tc>
        <w:tc>
          <w:tcPr>
            <w:tcW w:w="4798" w:type="pct"/>
            <w:gridSpan w:val="16"/>
            <w:tcBorders>
              <w:top w:val="single" w:color="auto" w:sz="4" w:space="0"/>
              <w:left w:val="nil"/>
              <w:bottom w:val="single" w:color="auto" w:sz="4" w:space="0"/>
              <w:right w:val="single" w:color="000000" w:sz="4" w:space="0"/>
            </w:tcBorders>
            <w:shd w:val="clear" w:color="000000" w:fill="BDD7EE"/>
            <w:noWrap/>
            <w:vAlign w:val="center"/>
          </w:tcPr>
          <w:p>
            <w:pPr>
              <w:widowControl/>
              <w:jc w:val="center"/>
              <w:rPr>
                <w:rFonts w:ascii="等线" w:hAnsi="等线" w:eastAsia="等线" w:cs="宋体"/>
                <w:color w:val="0D0D0D"/>
                <w:kern w:val="0"/>
                <w:sz w:val="16"/>
                <w:szCs w:val="16"/>
              </w:rPr>
            </w:pPr>
            <w:r>
              <w:rPr>
                <w:rFonts w:hint="eastAsia" w:ascii="等线" w:hAnsi="等线" w:eastAsia="等线" w:cs="宋体"/>
                <w:color w:val="0D0D0D"/>
                <w:kern w:val="0"/>
                <w:sz w:val="16"/>
                <w:szCs w:val="16"/>
              </w:rPr>
              <w:t>柯克伦检验:</w:t>
            </w:r>
            <w:r>
              <w:rPr>
                <w:rFonts w:hint="eastAsia"/>
              </w:rPr>
              <w:t xml:space="preserve"> </w:t>
            </w:r>
            <w:r>
              <w:rPr>
                <w:rFonts w:hint="eastAsia" w:ascii="等线" w:hAnsi="等线" w:eastAsia="等线" w:cs="宋体"/>
                <w:color w:val="0D0D0D"/>
                <w:kern w:val="0"/>
                <w:sz w:val="16"/>
                <w:szCs w:val="16"/>
              </w:rPr>
              <w:t>当实验室数 p =7，n =11  临界值C(0.01)=0.3616  临界C(0.05)=0.3154  统计量C=0.3768  柯克伦检验结论：实验室4的数据组离群（高度异常）</w:t>
            </w:r>
          </w:p>
        </w:tc>
      </w:tr>
      <w:tr>
        <w:tblPrEx>
          <w:tblCellMar>
            <w:top w:w="0" w:type="dxa"/>
            <w:left w:w="108" w:type="dxa"/>
            <w:bottom w:w="0" w:type="dxa"/>
            <w:right w:w="108" w:type="dxa"/>
          </w:tblCellMar>
        </w:tblPrEx>
        <w:trPr>
          <w:trHeight w:val="285" w:hRule="atLeast"/>
        </w:trPr>
        <w:tc>
          <w:tcPr>
            <w:tcW w:w="20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1</w:t>
            </w:r>
          </w:p>
        </w:tc>
        <w:tc>
          <w:tcPr>
            <w:tcW w:w="29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0.282</w:t>
            </w:r>
          </w:p>
        </w:tc>
        <w:tc>
          <w:tcPr>
            <w:tcW w:w="290"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0.28</w:t>
            </w:r>
          </w:p>
        </w:tc>
        <w:tc>
          <w:tcPr>
            <w:tcW w:w="290"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0.282</w:t>
            </w:r>
          </w:p>
        </w:tc>
        <w:tc>
          <w:tcPr>
            <w:tcW w:w="290"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0.28</w:t>
            </w:r>
          </w:p>
        </w:tc>
        <w:tc>
          <w:tcPr>
            <w:tcW w:w="290"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0.28</w:t>
            </w:r>
          </w:p>
        </w:tc>
        <w:tc>
          <w:tcPr>
            <w:tcW w:w="290"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0.279</w:t>
            </w:r>
          </w:p>
        </w:tc>
        <w:tc>
          <w:tcPr>
            <w:tcW w:w="290"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0.279</w:t>
            </w:r>
          </w:p>
        </w:tc>
        <w:tc>
          <w:tcPr>
            <w:tcW w:w="290"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0.277</w:t>
            </w:r>
          </w:p>
        </w:tc>
        <w:tc>
          <w:tcPr>
            <w:tcW w:w="290"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0.28</w:t>
            </w:r>
          </w:p>
        </w:tc>
        <w:tc>
          <w:tcPr>
            <w:tcW w:w="290"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0.281</w:t>
            </w:r>
          </w:p>
        </w:tc>
        <w:tc>
          <w:tcPr>
            <w:tcW w:w="290"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0.279</w:t>
            </w:r>
          </w:p>
        </w:tc>
        <w:tc>
          <w:tcPr>
            <w:tcW w:w="290"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0.280 </w:t>
            </w:r>
          </w:p>
        </w:tc>
        <w:tc>
          <w:tcPr>
            <w:tcW w:w="290"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0.001 </w:t>
            </w:r>
          </w:p>
        </w:tc>
        <w:tc>
          <w:tcPr>
            <w:tcW w:w="301"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2.012</w:t>
            </w:r>
          </w:p>
        </w:tc>
        <w:tc>
          <w:tcPr>
            <w:tcW w:w="311"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1.446</w:t>
            </w:r>
          </w:p>
        </w:tc>
        <w:tc>
          <w:tcPr>
            <w:tcW w:w="416"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无异常值</w:t>
            </w:r>
          </w:p>
        </w:tc>
      </w:tr>
      <w:tr>
        <w:tblPrEx>
          <w:tblCellMar>
            <w:top w:w="0" w:type="dxa"/>
            <w:left w:w="108" w:type="dxa"/>
            <w:bottom w:w="0" w:type="dxa"/>
            <w:right w:w="108" w:type="dxa"/>
          </w:tblCellMar>
        </w:tblPrEx>
        <w:trPr>
          <w:trHeight w:val="285" w:hRule="atLeast"/>
        </w:trPr>
        <w:tc>
          <w:tcPr>
            <w:tcW w:w="20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2</w:t>
            </w:r>
          </w:p>
        </w:tc>
        <w:tc>
          <w:tcPr>
            <w:tcW w:w="290"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0.275</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0.278</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0.278</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0.28</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0.281</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0.282</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0.276</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0.279</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0.28</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0.278</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0.279</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0.279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0.002 </w:t>
            </w:r>
          </w:p>
        </w:tc>
        <w:tc>
          <w:tcPr>
            <w:tcW w:w="301"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1.815</w:t>
            </w:r>
          </w:p>
        </w:tc>
        <w:tc>
          <w:tcPr>
            <w:tcW w:w="311"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1.593</w:t>
            </w:r>
          </w:p>
        </w:tc>
        <w:tc>
          <w:tcPr>
            <w:tcW w:w="416"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无异常值</w:t>
            </w:r>
          </w:p>
        </w:tc>
      </w:tr>
      <w:tr>
        <w:tblPrEx>
          <w:tblCellMar>
            <w:top w:w="0" w:type="dxa"/>
            <w:left w:w="108" w:type="dxa"/>
            <w:bottom w:w="0" w:type="dxa"/>
            <w:right w:w="108" w:type="dxa"/>
          </w:tblCellMar>
        </w:tblPrEx>
        <w:trPr>
          <w:trHeight w:val="285" w:hRule="atLeast"/>
        </w:trPr>
        <w:tc>
          <w:tcPr>
            <w:tcW w:w="20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3</w:t>
            </w:r>
          </w:p>
        </w:tc>
        <w:tc>
          <w:tcPr>
            <w:tcW w:w="290"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0.268</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0.275</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0.274</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0.275</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0.268</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0.272</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0.266</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0.268</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0.269</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0.277</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0.273</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0.271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0.004 </w:t>
            </w:r>
          </w:p>
        </w:tc>
        <w:tc>
          <w:tcPr>
            <w:tcW w:w="301"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1.452</w:t>
            </w:r>
          </w:p>
        </w:tc>
        <w:tc>
          <w:tcPr>
            <w:tcW w:w="311"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1.525</w:t>
            </w:r>
          </w:p>
        </w:tc>
        <w:tc>
          <w:tcPr>
            <w:tcW w:w="416"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无异常值</w:t>
            </w:r>
          </w:p>
        </w:tc>
      </w:tr>
      <w:tr>
        <w:tblPrEx>
          <w:tblCellMar>
            <w:top w:w="0" w:type="dxa"/>
            <w:left w:w="108" w:type="dxa"/>
            <w:bottom w:w="0" w:type="dxa"/>
            <w:right w:w="108" w:type="dxa"/>
          </w:tblCellMar>
        </w:tblPrEx>
        <w:trPr>
          <w:trHeight w:val="285" w:hRule="atLeast"/>
        </w:trPr>
        <w:tc>
          <w:tcPr>
            <w:tcW w:w="20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4</w:t>
            </w:r>
          </w:p>
        </w:tc>
        <w:tc>
          <w:tcPr>
            <w:tcW w:w="290"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0.278</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0.28</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0.281</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0.275</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0.276</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0.278</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0.274</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0.28</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0.283</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0.279</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0.274</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0.278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0.003 </w:t>
            </w:r>
          </w:p>
        </w:tc>
        <w:tc>
          <w:tcPr>
            <w:tcW w:w="301"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1.348</w:t>
            </w:r>
          </w:p>
        </w:tc>
        <w:tc>
          <w:tcPr>
            <w:tcW w:w="311"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1.685</w:t>
            </w:r>
          </w:p>
        </w:tc>
        <w:tc>
          <w:tcPr>
            <w:tcW w:w="416"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无异常值</w:t>
            </w:r>
          </w:p>
        </w:tc>
      </w:tr>
      <w:tr>
        <w:tblPrEx>
          <w:tblCellMar>
            <w:top w:w="0" w:type="dxa"/>
            <w:left w:w="108" w:type="dxa"/>
            <w:bottom w:w="0" w:type="dxa"/>
            <w:right w:w="108" w:type="dxa"/>
          </w:tblCellMar>
        </w:tblPrEx>
        <w:trPr>
          <w:trHeight w:val="285" w:hRule="atLeast"/>
        </w:trPr>
        <w:tc>
          <w:tcPr>
            <w:tcW w:w="20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5</w:t>
            </w:r>
          </w:p>
        </w:tc>
        <w:tc>
          <w:tcPr>
            <w:tcW w:w="290"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0.267</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0.271</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0.269</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0.27</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0.269</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0.273</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0.257</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0.271</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0.266</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0.268</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0.264</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0.268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0.004 </w:t>
            </w:r>
          </w:p>
        </w:tc>
        <w:tc>
          <w:tcPr>
            <w:tcW w:w="301"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2.460</w:t>
            </w:r>
          </w:p>
        </w:tc>
        <w:tc>
          <w:tcPr>
            <w:tcW w:w="311"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1.209</w:t>
            </w:r>
          </w:p>
        </w:tc>
        <w:tc>
          <w:tcPr>
            <w:tcW w:w="416"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歧离(Xmin)</w:t>
            </w:r>
          </w:p>
        </w:tc>
      </w:tr>
      <w:tr>
        <w:tblPrEx>
          <w:tblCellMar>
            <w:top w:w="0" w:type="dxa"/>
            <w:left w:w="108" w:type="dxa"/>
            <w:bottom w:w="0" w:type="dxa"/>
            <w:right w:w="108" w:type="dxa"/>
          </w:tblCellMar>
        </w:tblPrEx>
        <w:trPr>
          <w:trHeight w:val="285" w:hRule="atLeast"/>
        </w:trPr>
        <w:tc>
          <w:tcPr>
            <w:tcW w:w="20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6</w:t>
            </w:r>
          </w:p>
        </w:tc>
        <w:tc>
          <w:tcPr>
            <w:tcW w:w="290"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0.269</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0.272</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0.272</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0.265</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0.272</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0.269</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0.272</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0.266</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0.265</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0.267</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0.272</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0.269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0.003 </w:t>
            </w:r>
          </w:p>
        </w:tc>
        <w:tc>
          <w:tcPr>
            <w:tcW w:w="301"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1.397</w:t>
            </w:r>
          </w:p>
        </w:tc>
        <w:tc>
          <w:tcPr>
            <w:tcW w:w="311"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0.941</w:t>
            </w:r>
          </w:p>
        </w:tc>
        <w:tc>
          <w:tcPr>
            <w:tcW w:w="416"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无异常值</w:t>
            </w:r>
          </w:p>
        </w:tc>
      </w:tr>
      <w:tr>
        <w:tblPrEx>
          <w:tblCellMar>
            <w:top w:w="0" w:type="dxa"/>
            <w:left w:w="108" w:type="dxa"/>
            <w:bottom w:w="0" w:type="dxa"/>
            <w:right w:w="108" w:type="dxa"/>
          </w:tblCellMar>
        </w:tblPrEx>
        <w:trPr>
          <w:trHeight w:val="285" w:hRule="atLeast"/>
        </w:trPr>
        <w:tc>
          <w:tcPr>
            <w:tcW w:w="20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7</w:t>
            </w:r>
          </w:p>
        </w:tc>
        <w:tc>
          <w:tcPr>
            <w:tcW w:w="290"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0.282</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0.281</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0.282</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0.286</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0.282</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0.279</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0.279</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0.277</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0.28</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0.281</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0.287</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0.281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0.003 </w:t>
            </w:r>
          </w:p>
        </w:tc>
        <w:tc>
          <w:tcPr>
            <w:tcW w:w="301"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1.513</w:t>
            </w:r>
          </w:p>
        </w:tc>
        <w:tc>
          <w:tcPr>
            <w:tcW w:w="311"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1.883</w:t>
            </w:r>
          </w:p>
        </w:tc>
        <w:tc>
          <w:tcPr>
            <w:tcW w:w="416"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无异常值</w:t>
            </w:r>
          </w:p>
        </w:tc>
      </w:tr>
      <w:tr>
        <w:tblPrEx>
          <w:tblCellMar>
            <w:top w:w="0" w:type="dxa"/>
            <w:left w:w="108" w:type="dxa"/>
            <w:bottom w:w="0" w:type="dxa"/>
            <w:right w:w="108" w:type="dxa"/>
          </w:tblCellMar>
        </w:tblPrEx>
        <w:trPr>
          <w:trHeight w:val="285" w:hRule="atLeast"/>
        </w:trPr>
        <w:tc>
          <w:tcPr>
            <w:tcW w:w="20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8</w:t>
            </w:r>
          </w:p>
        </w:tc>
        <w:tc>
          <w:tcPr>
            <w:tcW w:w="290"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0.277</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0.288</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0.315</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0.289</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0.283</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0.297</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0.279</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0.289</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0.311</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0.295</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0.314</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0.294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0.014 </w:t>
            </w:r>
          </w:p>
        </w:tc>
        <w:tc>
          <w:tcPr>
            <w:tcW w:w="301"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1.266</w:t>
            </w:r>
          </w:p>
        </w:tc>
        <w:tc>
          <w:tcPr>
            <w:tcW w:w="311"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1.520</w:t>
            </w:r>
          </w:p>
        </w:tc>
        <w:tc>
          <w:tcPr>
            <w:tcW w:w="416"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无异常值</w:t>
            </w:r>
          </w:p>
        </w:tc>
      </w:tr>
      <w:tr>
        <w:tblPrEx>
          <w:tblCellMar>
            <w:top w:w="0" w:type="dxa"/>
            <w:left w:w="108" w:type="dxa"/>
            <w:bottom w:w="0" w:type="dxa"/>
            <w:right w:w="108" w:type="dxa"/>
          </w:tblCellMar>
        </w:tblPrEx>
        <w:trPr>
          <w:trHeight w:val="285" w:hRule="atLeast"/>
        </w:trPr>
        <w:tc>
          <w:tcPr>
            <w:tcW w:w="202" w:type="pct"/>
            <w:tcBorders>
              <w:top w:val="nil"/>
              <w:left w:val="single" w:color="auto" w:sz="4" w:space="0"/>
              <w:bottom w:val="single" w:color="auto" w:sz="4" w:space="0"/>
              <w:right w:val="single" w:color="auto" w:sz="4" w:space="0"/>
            </w:tcBorders>
            <w:shd w:val="clear" w:color="000000" w:fill="00FF00"/>
            <w:vAlign w:val="center"/>
          </w:tcPr>
          <w:p>
            <w:pPr>
              <w:widowControl/>
              <w:jc w:val="center"/>
              <w:rPr>
                <w:rFonts w:ascii="宋体" w:hAnsi="宋体" w:cs="宋体"/>
                <w:kern w:val="0"/>
                <w:sz w:val="16"/>
                <w:szCs w:val="16"/>
              </w:rPr>
            </w:pPr>
            <w:r>
              <w:rPr>
                <w:rFonts w:hint="eastAsia" w:ascii="宋体" w:hAnsi="宋体" w:cs="宋体"/>
                <w:kern w:val="0"/>
                <w:sz w:val="16"/>
                <w:szCs w:val="16"/>
              </w:rPr>
              <w:t>室间</w:t>
            </w:r>
          </w:p>
        </w:tc>
        <w:tc>
          <w:tcPr>
            <w:tcW w:w="290"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0.280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0.279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0.271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0.278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0.268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0.269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0.281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0.294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0.278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 xml:space="preserve">0.009 </w:t>
            </w:r>
          </w:p>
        </w:tc>
        <w:tc>
          <w:tcPr>
            <w:tcW w:w="301"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1.158</w:t>
            </w:r>
          </w:p>
        </w:tc>
        <w:tc>
          <w:tcPr>
            <w:tcW w:w="311"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1.962</w:t>
            </w:r>
          </w:p>
        </w:tc>
        <w:tc>
          <w:tcPr>
            <w:tcW w:w="416"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无异常值</w:t>
            </w:r>
          </w:p>
        </w:tc>
      </w:tr>
      <w:tr>
        <w:tblPrEx>
          <w:tblCellMar>
            <w:top w:w="0" w:type="dxa"/>
            <w:left w:w="108" w:type="dxa"/>
            <w:bottom w:w="0" w:type="dxa"/>
            <w:right w:w="108" w:type="dxa"/>
          </w:tblCellMar>
        </w:tblPrEx>
        <w:trPr>
          <w:trHeight w:val="285" w:hRule="atLeast"/>
        </w:trPr>
        <w:tc>
          <w:tcPr>
            <w:tcW w:w="202" w:type="pct"/>
            <w:tcBorders>
              <w:top w:val="nil"/>
              <w:left w:val="single" w:color="auto" w:sz="4" w:space="0"/>
              <w:bottom w:val="single" w:color="auto" w:sz="4" w:space="0"/>
              <w:right w:val="single" w:color="auto" w:sz="4" w:space="0"/>
            </w:tcBorders>
            <w:shd w:val="clear" w:color="000000" w:fill="BDD7EE"/>
            <w:noWrap/>
            <w:vAlign w:val="center"/>
          </w:tcPr>
          <w:p>
            <w:pPr>
              <w:widowControl/>
              <w:jc w:val="center"/>
              <w:rPr>
                <w:rFonts w:ascii="等线" w:hAnsi="等线" w:eastAsia="等线" w:cs="宋体"/>
                <w:color w:val="0D0D0D"/>
                <w:kern w:val="0"/>
                <w:sz w:val="16"/>
                <w:szCs w:val="16"/>
              </w:rPr>
            </w:pPr>
            <w:r>
              <w:rPr>
                <w:rFonts w:hint="eastAsia" w:ascii="等线" w:hAnsi="等线" w:eastAsia="等线" w:cs="宋体"/>
                <w:color w:val="0D0D0D"/>
                <w:kern w:val="0"/>
                <w:sz w:val="16"/>
                <w:szCs w:val="16"/>
              </w:rPr>
              <w:t>　</w:t>
            </w:r>
          </w:p>
        </w:tc>
        <w:tc>
          <w:tcPr>
            <w:tcW w:w="4798" w:type="pct"/>
            <w:gridSpan w:val="16"/>
            <w:tcBorders>
              <w:top w:val="single" w:color="auto" w:sz="4" w:space="0"/>
              <w:left w:val="nil"/>
              <w:bottom w:val="single" w:color="auto" w:sz="4" w:space="0"/>
              <w:right w:val="single" w:color="000000" w:sz="4" w:space="0"/>
            </w:tcBorders>
            <w:shd w:val="clear" w:color="000000" w:fill="BDD7EE"/>
            <w:noWrap/>
            <w:vAlign w:val="center"/>
          </w:tcPr>
          <w:p>
            <w:pPr>
              <w:widowControl/>
              <w:jc w:val="center"/>
              <w:rPr>
                <w:rFonts w:ascii="等线" w:hAnsi="等线" w:eastAsia="等线" w:cs="宋体"/>
                <w:color w:val="0D0D0D"/>
                <w:kern w:val="0"/>
                <w:sz w:val="16"/>
                <w:szCs w:val="16"/>
              </w:rPr>
            </w:pPr>
            <w:r>
              <w:rPr>
                <w:rFonts w:hint="eastAsia" w:ascii="等线" w:hAnsi="等线" w:eastAsia="等线" w:cs="宋体"/>
                <w:color w:val="0D0D0D"/>
                <w:kern w:val="0"/>
                <w:sz w:val="16"/>
                <w:szCs w:val="16"/>
              </w:rPr>
              <w:t>柯克伦检验:当实验室数 p =8，n =11  临界值C(0.01)=0.3248  临界C(0.05)=0.2829  统计量C=0.1658  柯克伦检验结论：无异常值</w:t>
            </w:r>
          </w:p>
        </w:tc>
      </w:tr>
      <w:tr>
        <w:tblPrEx>
          <w:tblCellMar>
            <w:top w:w="0" w:type="dxa"/>
            <w:left w:w="108" w:type="dxa"/>
            <w:bottom w:w="0" w:type="dxa"/>
            <w:right w:w="108" w:type="dxa"/>
          </w:tblCellMar>
        </w:tblPrEx>
        <w:trPr>
          <w:trHeight w:val="285" w:hRule="atLeast"/>
        </w:trPr>
        <w:tc>
          <w:tcPr>
            <w:tcW w:w="20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1</w:t>
            </w:r>
          </w:p>
        </w:tc>
        <w:tc>
          <w:tcPr>
            <w:tcW w:w="29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olor w:val="000000"/>
                <w:kern w:val="0"/>
                <w:sz w:val="16"/>
                <w:szCs w:val="16"/>
              </w:rPr>
            </w:pPr>
            <w:r>
              <w:rPr>
                <w:rFonts w:hint="eastAsia" w:ascii="等线" w:hAnsi="等线" w:eastAsia="等线"/>
                <w:color w:val="000000"/>
                <w:sz w:val="16"/>
                <w:szCs w:val="16"/>
              </w:rPr>
              <w:t>0.488</w:t>
            </w:r>
          </w:p>
        </w:tc>
        <w:tc>
          <w:tcPr>
            <w:tcW w:w="290"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0.49</w:t>
            </w:r>
          </w:p>
        </w:tc>
        <w:tc>
          <w:tcPr>
            <w:tcW w:w="290"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0.483</w:t>
            </w:r>
          </w:p>
        </w:tc>
        <w:tc>
          <w:tcPr>
            <w:tcW w:w="290"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0.486</w:t>
            </w:r>
          </w:p>
        </w:tc>
        <w:tc>
          <w:tcPr>
            <w:tcW w:w="290"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0.485</w:t>
            </w:r>
          </w:p>
        </w:tc>
        <w:tc>
          <w:tcPr>
            <w:tcW w:w="290"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0.473</w:t>
            </w:r>
          </w:p>
        </w:tc>
        <w:tc>
          <w:tcPr>
            <w:tcW w:w="290"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0.472</w:t>
            </w:r>
          </w:p>
        </w:tc>
        <w:tc>
          <w:tcPr>
            <w:tcW w:w="290"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0.473</w:t>
            </w:r>
          </w:p>
        </w:tc>
        <w:tc>
          <w:tcPr>
            <w:tcW w:w="290"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0.476</w:t>
            </w:r>
          </w:p>
        </w:tc>
        <w:tc>
          <w:tcPr>
            <w:tcW w:w="290"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0.471</w:t>
            </w:r>
          </w:p>
        </w:tc>
        <w:tc>
          <w:tcPr>
            <w:tcW w:w="290"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0.471</w:t>
            </w:r>
          </w:p>
        </w:tc>
        <w:tc>
          <w:tcPr>
            <w:tcW w:w="290"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 xml:space="preserve">0.479 </w:t>
            </w:r>
          </w:p>
        </w:tc>
        <w:tc>
          <w:tcPr>
            <w:tcW w:w="290"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 xml:space="preserve">0.007 </w:t>
            </w:r>
          </w:p>
        </w:tc>
        <w:tc>
          <w:tcPr>
            <w:tcW w:w="301"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 xml:space="preserve">1.056 </w:t>
            </w:r>
          </w:p>
        </w:tc>
        <w:tc>
          <w:tcPr>
            <w:tcW w:w="311"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 xml:space="preserve">1.481 </w:t>
            </w:r>
          </w:p>
        </w:tc>
        <w:tc>
          <w:tcPr>
            <w:tcW w:w="416"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无异常值</w:t>
            </w:r>
          </w:p>
        </w:tc>
      </w:tr>
      <w:tr>
        <w:tblPrEx>
          <w:tblCellMar>
            <w:top w:w="0" w:type="dxa"/>
            <w:left w:w="108" w:type="dxa"/>
            <w:bottom w:w="0" w:type="dxa"/>
            <w:right w:w="108" w:type="dxa"/>
          </w:tblCellMar>
        </w:tblPrEx>
        <w:trPr>
          <w:trHeight w:val="285" w:hRule="atLeast"/>
        </w:trPr>
        <w:tc>
          <w:tcPr>
            <w:tcW w:w="20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2</w:t>
            </w:r>
          </w:p>
        </w:tc>
        <w:tc>
          <w:tcPr>
            <w:tcW w:w="290"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0.483</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0.481</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0.48</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0.483</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0.48</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0.479</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0.48</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0.481</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0.478</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0.482</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0.476</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 xml:space="preserve">0.480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 xml:space="preserve">0.002 </w:t>
            </w:r>
          </w:p>
        </w:tc>
        <w:tc>
          <w:tcPr>
            <w:tcW w:w="301"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 xml:space="preserve">2.033 </w:t>
            </w:r>
          </w:p>
        </w:tc>
        <w:tc>
          <w:tcPr>
            <w:tcW w:w="311"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 xml:space="preserve">1.297 </w:t>
            </w:r>
          </w:p>
        </w:tc>
        <w:tc>
          <w:tcPr>
            <w:tcW w:w="416"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无异常值</w:t>
            </w:r>
          </w:p>
        </w:tc>
      </w:tr>
      <w:tr>
        <w:tblPrEx>
          <w:tblCellMar>
            <w:top w:w="0" w:type="dxa"/>
            <w:left w:w="108" w:type="dxa"/>
            <w:bottom w:w="0" w:type="dxa"/>
            <w:right w:w="108" w:type="dxa"/>
          </w:tblCellMar>
        </w:tblPrEx>
        <w:trPr>
          <w:trHeight w:val="285" w:hRule="atLeast"/>
        </w:trPr>
        <w:tc>
          <w:tcPr>
            <w:tcW w:w="20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3</w:t>
            </w:r>
          </w:p>
        </w:tc>
        <w:tc>
          <w:tcPr>
            <w:tcW w:w="290"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0.479</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0.471</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0.475</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0.468</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0.476</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0.465</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0.473</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0.462</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0.476</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0.468</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0.477</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 xml:space="preserve">0.472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 xml:space="preserve">0.005 </w:t>
            </w:r>
          </w:p>
        </w:tc>
        <w:tc>
          <w:tcPr>
            <w:tcW w:w="301"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 xml:space="preserve">1.800 </w:t>
            </w:r>
          </w:p>
        </w:tc>
        <w:tc>
          <w:tcPr>
            <w:tcW w:w="311"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 xml:space="preserve">1.316 </w:t>
            </w:r>
          </w:p>
        </w:tc>
        <w:tc>
          <w:tcPr>
            <w:tcW w:w="416"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无异常值</w:t>
            </w:r>
          </w:p>
        </w:tc>
      </w:tr>
      <w:tr>
        <w:tblPrEx>
          <w:tblCellMar>
            <w:top w:w="0" w:type="dxa"/>
            <w:left w:w="108" w:type="dxa"/>
            <w:bottom w:w="0" w:type="dxa"/>
            <w:right w:w="108" w:type="dxa"/>
          </w:tblCellMar>
        </w:tblPrEx>
        <w:trPr>
          <w:trHeight w:val="285" w:hRule="atLeast"/>
        </w:trPr>
        <w:tc>
          <w:tcPr>
            <w:tcW w:w="20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4</w:t>
            </w:r>
          </w:p>
        </w:tc>
        <w:tc>
          <w:tcPr>
            <w:tcW w:w="290"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0.473</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0.478</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0.486</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0.49</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0.487</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0.483</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0.478</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0.476</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0.491</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0.483</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0.485</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 xml:space="preserve">0.483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 xml:space="preserve">0.006 </w:t>
            </w:r>
          </w:p>
        </w:tc>
        <w:tc>
          <w:tcPr>
            <w:tcW w:w="301"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 xml:space="preserve">1.668 </w:t>
            </w:r>
          </w:p>
        </w:tc>
        <w:tc>
          <w:tcPr>
            <w:tcW w:w="311"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 xml:space="preserve">1.418 </w:t>
            </w:r>
          </w:p>
        </w:tc>
        <w:tc>
          <w:tcPr>
            <w:tcW w:w="416"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无异常值</w:t>
            </w:r>
          </w:p>
        </w:tc>
      </w:tr>
      <w:tr>
        <w:tblPrEx>
          <w:tblCellMar>
            <w:top w:w="0" w:type="dxa"/>
            <w:left w:w="108" w:type="dxa"/>
            <w:bottom w:w="0" w:type="dxa"/>
            <w:right w:w="108" w:type="dxa"/>
          </w:tblCellMar>
        </w:tblPrEx>
        <w:trPr>
          <w:trHeight w:val="285" w:hRule="atLeast"/>
        </w:trPr>
        <w:tc>
          <w:tcPr>
            <w:tcW w:w="20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5</w:t>
            </w:r>
          </w:p>
        </w:tc>
        <w:tc>
          <w:tcPr>
            <w:tcW w:w="290"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0.476</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0.475</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0.486</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0.479</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0.477</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0.482</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0.478</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0.48</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0.483</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0.469</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0.485</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 xml:space="preserve">0.479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 xml:space="preserve">0.005 </w:t>
            </w:r>
          </w:p>
        </w:tc>
        <w:tc>
          <w:tcPr>
            <w:tcW w:w="301"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 xml:space="preserve">2.056 </w:t>
            </w:r>
          </w:p>
        </w:tc>
        <w:tc>
          <w:tcPr>
            <w:tcW w:w="311"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 xml:space="preserve">1.408 </w:t>
            </w:r>
          </w:p>
        </w:tc>
        <w:tc>
          <w:tcPr>
            <w:tcW w:w="416"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无异常值</w:t>
            </w:r>
          </w:p>
        </w:tc>
      </w:tr>
      <w:tr>
        <w:tblPrEx>
          <w:tblCellMar>
            <w:top w:w="0" w:type="dxa"/>
            <w:left w:w="108" w:type="dxa"/>
            <w:bottom w:w="0" w:type="dxa"/>
            <w:right w:w="108" w:type="dxa"/>
          </w:tblCellMar>
        </w:tblPrEx>
        <w:trPr>
          <w:trHeight w:val="285" w:hRule="atLeast"/>
        </w:trPr>
        <w:tc>
          <w:tcPr>
            <w:tcW w:w="20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6</w:t>
            </w:r>
          </w:p>
        </w:tc>
        <w:tc>
          <w:tcPr>
            <w:tcW w:w="290"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0.497</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0.502</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0.503</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0.502</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0.499</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0.503</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0.505</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0.503</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0.509</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0.507</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0.502</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 xml:space="preserve">0.503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 xml:space="preserve">0.003 </w:t>
            </w:r>
          </w:p>
        </w:tc>
        <w:tc>
          <w:tcPr>
            <w:tcW w:w="301"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 xml:space="preserve">1.774 </w:t>
            </w:r>
          </w:p>
        </w:tc>
        <w:tc>
          <w:tcPr>
            <w:tcW w:w="311"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 xml:space="preserve">1.829 </w:t>
            </w:r>
          </w:p>
        </w:tc>
        <w:tc>
          <w:tcPr>
            <w:tcW w:w="416"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无异常值</w:t>
            </w:r>
          </w:p>
        </w:tc>
      </w:tr>
      <w:tr>
        <w:tblPrEx>
          <w:tblCellMar>
            <w:top w:w="0" w:type="dxa"/>
            <w:left w:w="108" w:type="dxa"/>
            <w:bottom w:w="0" w:type="dxa"/>
            <w:right w:w="108" w:type="dxa"/>
          </w:tblCellMar>
        </w:tblPrEx>
        <w:trPr>
          <w:trHeight w:val="285" w:hRule="atLeast"/>
        </w:trPr>
        <w:tc>
          <w:tcPr>
            <w:tcW w:w="20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7</w:t>
            </w:r>
          </w:p>
        </w:tc>
        <w:tc>
          <w:tcPr>
            <w:tcW w:w="290"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0.486</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0.49</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0.483</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0.486</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0.485</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0.486</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0.472</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0.48</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0.476</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0.489</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0.476</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 xml:space="preserve">0.483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 xml:space="preserve">0.006 </w:t>
            </w:r>
          </w:p>
        </w:tc>
        <w:tc>
          <w:tcPr>
            <w:tcW w:w="301"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 xml:space="preserve">1.817 </w:t>
            </w:r>
          </w:p>
        </w:tc>
        <w:tc>
          <w:tcPr>
            <w:tcW w:w="311"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 xml:space="preserve">1.258 </w:t>
            </w:r>
          </w:p>
        </w:tc>
        <w:tc>
          <w:tcPr>
            <w:tcW w:w="416"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无异常值</w:t>
            </w:r>
          </w:p>
        </w:tc>
      </w:tr>
      <w:tr>
        <w:tblPrEx>
          <w:tblCellMar>
            <w:top w:w="0" w:type="dxa"/>
            <w:left w:w="108" w:type="dxa"/>
            <w:bottom w:w="0" w:type="dxa"/>
            <w:right w:w="108" w:type="dxa"/>
          </w:tblCellMar>
        </w:tblPrEx>
        <w:trPr>
          <w:trHeight w:val="285" w:hRule="atLeast"/>
        </w:trPr>
        <w:tc>
          <w:tcPr>
            <w:tcW w:w="20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6"/>
                <w:szCs w:val="16"/>
              </w:rPr>
            </w:pPr>
            <w:r>
              <w:rPr>
                <w:rFonts w:hint="eastAsia" w:ascii="等线" w:hAnsi="等线" w:eastAsia="等线" w:cs="宋体"/>
                <w:color w:val="000000"/>
                <w:kern w:val="0"/>
                <w:sz w:val="16"/>
                <w:szCs w:val="16"/>
              </w:rPr>
              <w:t>8</w:t>
            </w:r>
          </w:p>
        </w:tc>
        <w:tc>
          <w:tcPr>
            <w:tcW w:w="290"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0.497</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0.483</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0.499</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0.478</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0.514</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0.531</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0.475</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0.489</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0.506</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0.505</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0.477</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 xml:space="preserve">0.496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 xml:space="preserve">0.018 </w:t>
            </w:r>
          </w:p>
        </w:tc>
        <w:tc>
          <w:tcPr>
            <w:tcW w:w="301"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 xml:space="preserve">1.186 </w:t>
            </w:r>
          </w:p>
        </w:tc>
        <w:tc>
          <w:tcPr>
            <w:tcW w:w="311"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 xml:space="preserve">2.003 </w:t>
            </w:r>
          </w:p>
        </w:tc>
        <w:tc>
          <w:tcPr>
            <w:tcW w:w="416"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无异常值</w:t>
            </w:r>
          </w:p>
        </w:tc>
      </w:tr>
      <w:tr>
        <w:tblPrEx>
          <w:tblCellMar>
            <w:top w:w="0" w:type="dxa"/>
            <w:left w:w="108" w:type="dxa"/>
            <w:bottom w:w="0" w:type="dxa"/>
            <w:right w:w="108" w:type="dxa"/>
          </w:tblCellMar>
        </w:tblPrEx>
        <w:trPr>
          <w:trHeight w:val="285" w:hRule="atLeast"/>
        </w:trPr>
        <w:tc>
          <w:tcPr>
            <w:tcW w:w="202" w:type="pct"/>
            <w:tcBorders>
              <w:top w:val="nil"/>
              <w:left w:val="single" w:color="auto" w:sz="4" w:space="0"/>
              <w:bottom w:val="single" w:color="auto" w:sz="4" w:space="0"/>
              <w:right w:val="single" w:color="auto" w:sz="4" w:space="0"/>
            </w:tcBorders>
            <w:shd w:val="clear" w:color="000000" w:fill="00FF00"/>
            <w:vAlign w:val="center"/>
          </w:tcPr>
          <w:p>
            <w:pPr>
              <w:widowControl/>
              <w:jc w:val="center"/>
              <w:rPr>
                <w:rFonts w:ascii="宋体" w:hAnsi="宋体" w:cs="宋体"/>
                <w:kern w:val="0"/>
                <w:sz w:val="16"/>
                <w:szCs w:val="16"/>
              </w:rPr>
            </w:pPr>
            <w:r>
              <w:rPr>
                <w:rFonts w:hint="eastAsia" w:ascii="宋体" w:hAnsi="宋体" w:cs="宋体"/>
                <w:kern w:val="0"/>
                <w:sz w:val="16"/>
                <w:szCs w:val="16"/>
              </w:rPr>
              <w:t>室间</w:t>
            </w:r>
          </w:p>
        </w:tc>
        <w:tc>
          <w:tcPr>
            <w:tcW w:w="290"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 xml:space="preserve">0.479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 xml:space="preserve">0.480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 xml:space="preserve">0.472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 xml:space="preserve">0.483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 xml:space="preserve">0.479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 xml:space="preserve">0.503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 xml:space="preserve">0.483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 xml:space="preserve">0.496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 xml:space="preserve">0.484 </w:t>
            </w:r>
          </w:p>
        </w:tc>
        <w:tc>
          <w:tcPr>
            <w:tcW w:w="290"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 xml:space="preserve">0.010 </w:t>
            </w:r>
          </w:p>
        </w:tc>
        <w:tc>
          <w:tcPr>
            <w:tcW w:w="301"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 xml:space="preserve">1.235 </w:t>
            </w:r>
          </w:p>
        </w:tc>
        <w:tc>
          <w:tcPr>
            <w:tcW w:w="311"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 xml:space="preserve">1.847 </w:t>
            </w:r>
          </w:p>
        </w:tc>
        <w:tc>
          <w:tcPr>
            <w:tcW w:w="416" w:type="pct"/>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16"/>
                <w:szCs w:val="16"/>
              </w:rPr>
            </w:pPr>
            <w:r>
              <w:rPr>
                <w:rFonts w:hint="eastAsia" w:ascii="等线" w:hAnsi="等线" w:eastAsia="等线"/>
                <w:color w:val="000000"/>
                <w:sz w:val="16"/>
                <w:szCs w:val="16"/>
              </w:rPr>
              <w:t>无异常值</w:t>
            </w:r>
          </w:p>
        </w:tc>
      </w:tr>
      <w:tr>
        <w:tblPrEx>
          <w:tblCellMar>
            <w:top w:w="0" w:type="dxa"/>
            <w:left w:w="108" w:type="dxa"/>
            <w:bottom w:w="0" w:type="dxa"/>
            <w:right w:w="108" w:type="dxa"/>
          </w:tblCellMar>
        </w:tblPrEx>
        <w:trPr>
          <w:trHeight w:val="285" w:hRule="atLeast"/>
        </w:trPr>
        <w:tc>
          <w:tcPr>
            <w:tcW w:w="202" w:type="pct"/>
            <w:tcBorders>
              <w:top w:val="nil"/>
              <w:left w:val="single" w:color="auto" w:sz="4" w:space="0"/>
              <w:bottom w:val="single" w:color="auto" w:sz="4" w:space="0"/>
              <w:right w:val="single" w:color="auto" w:sz="4" w:space="0"/>
            </w:tcBorders>
            <w:shd w:val="clear" w:color="000000" w:fill="BDD7EE"/>
            <w:noWrap/>
            <w:vAlign w:val="center"/>
          </w:tcPr>
          <w:p>
            <w:pPr>
              <w:widowControl/>
              <w:jc w:val="center"/>
              <w:rPr>
                <w:rFonts w:ascii="等线" w:hAnsi="等线" w:eastAsia="等线" w:cs="宋体"/>
                <w:color w:val="0D0D0D"/>
                <w:kern w:val="0"/>
                <w:sz w:val="16"/>
                <w:szCs w:val="16"/>
              </w:rPr>
            </w:pPr>
            <w:r>
              <w:rPr>
                <w:rFonts w:hint="eastAsia" w:ascii="等线" w:hAnsi="等线" w:eastAsia="等线" w:cs="宋体"/>
                <w:color w:val="0D0D0D"/>
                <w:kern w:val="0"/>
                <w:sz w:val="16"/>
                <w:szCs w:val="16"/>
              </w:rPr>
              <w:t>：</w:t>
            </w:r>
          </w:p>
        </w:tc>
        <w:tc>
          <w:tcPr>
            <w:tcW w:w="4798" w:type="pct"/>
            <w:gridSpan w:val="16"/>
            <w:tcBorders>
              <w:top w:val="single" w:color="auto" w:sz="4" w:space="0"/>
              <w:left w:val="nil"/>
              <w:bottom w:val="single" w:color="auto" w:sz="4" w:space="0"/>
              <w:right w:val="single" w:color="000000" w:sz="4" w:space="0"/>
            </w:tcBorders>
            <w:shd w:val="clear" w:color="000000" w:fill="BDD7EE"/>
            <w:noWrap/>
            <w:vAlign w:val="center"/>
          </w:tcPr>
          <w:p>
            <w:pPr>
              <w:widowControl/>
              <w:jc w:val="center"/>
              <w:rPr>
                <w:rFonts w:ascii="等线" w:hAnsi="等线" w:eastAsia="等线" w:cs="宋体"/>
                <w:color w:val="0D0D0D"/>
                <w:kern w:val="0"/>
                <w:sz w:val="16"/>
                <w:szCs w:val="16"/>
              </w:rPr>
            </w:pPr>
            <w:r>
              <w:rPr>
                <w:rFonts w:hint="eastAsia" w:ascii="等线" w:hAnsi="等线" w:eastAsia="等线" w:cs="宋体"/>
                <w:color w:val="0D0D0D"/>
                <w:kern w:val="0"/>
                <w:sz w:val="16"/>
                <w:szCs w:val="16"/>
              </w:rPr>
              <w:t>柯克伦检验:</w:t>
            </w:r>
            <w:r>
              <w:rPr>
                <w:rFonts w:hint="eastAsia" w:ascii="等线" w:hAnsi="等线" w:eastAsia="等线"/>
                <w:color w:val="0D0D0D"/>
                <w:sz w:val="20"/>
                <w:szCs w:val="20"/>
              </w:rPr>
              <w:t>当</w:t>
            </w:r>
            <w:r>
              <w:rPr>
                <w:rFonts w:hint="eastAsia" w:ascii="等线" w:hAnsi="等线" w:eastAsia="等线" w:cs="宋体"/>
                <w:color w:val="0D0D0D"/>
                <w:kern w:val="0"/>
                <w:sz w:val="16"/>
                <w:szCs w:val="16"/>
              </w:rPr>
              <w:t>实验室数 p =8，n =11  临界值C(0.01)=0.3248  临界C(0.05)=0.2829  统计量C=0.7398  柯克伦检验结论：实验室8的数据组离群（高度异常）</w:t>
            </w:r>
          </w:p>
        </w:tc>
      </w:tr>
    </w:tbl>
    <w:p>
      <w:pPr>
        <w:pStyle w:val="2"/>
        <w:jc w:val="center"/>
        <w:rPr>
          <w:rFonts w:ascii="等线" w:hAnsi="等线" w:eastAsia="等线" w:cs="宋体"/>
          <w:b w:val="0"/>
          <w:bCs w:val="0"/>
          <w:color w:val="000000"/>
          <w:sz w:val="21"/>
          <w:szCs w:val="21"/>
          <w:lang w:val="en-US"/>
        </w:rPr>
      </w:pPr>
      <w:r>
        <w:rPr>
          <w:rFonts w:hint="eastAsia" w:ascii="等线" w:hAnsi="等线" w:eastAsia="等线" w:cs="宋体"/>
          <w:b w:val="0"/>
          <w:bCs w:val="0"/>
          <w:color w:val="000000"/>
          <w:sz w:val="21"/>
          <w:szCs w:val="21"/>
          <w:lang w:val="en-US"/>
        </w:rPr>
        <w:t>表</w:t>
      </w:r>
      <w:r>
        <w:rPr>
          <w:rFonts w:hint="eastAsia" w:ascii="等线" w:hAnsi="等线" w:eastAsia="等线" w:cs="宋体"/>
          <w:b w:val="0"/>
          <w:bCs w:val="0"/>
          <w:color w:val="000000"/>
          <w:sz w:val="21"/>
          <w:szCs w:val="21"/>
          <w:lang w:val="en-US" w:eastAsia="zh-CN"/>
        </w:rPr>
        <w:t>附录C</w:t>
      </w:r>
      <w:r>
        <w:rPr>
          <w:rFonts w:hint="eastAsia" w:ascii="等线" w:hAnsi="等线" w:eastAsia="等线" w:cs="宋体"/>
          <w:b w:val="0"/>
          <w:bCs w:val="0"/>
          <w:color w:val="000000"/>
          <w:sz w:val="21"/>
          <w:szCs w:val="21"/>
          <w:lang w:val="en-US"/>
        </w:rPr>
        <w:t>重复性限</w:t>
      </w:r>
      <w:r>
        <w:rPr>
          <w:rFonts w:ascii="等线" w:hAnsi="等线" w:eastAsia="等线" w:cs="宋体"/>
          <w:b w:val="0"/>
          <w:bCs w:val="0"/>
          <w:color w:val="000000"/>
          <w:sz w:val="21"/>
          <w:szCs w:val="21"/>
          <w:lang w:val="en-US"/>
        </w:rPr>
        <w:t>和再现性限</w:t>
      </w:r>
    </w:p>
    <w:tbl>
      <w:tblPr>
        <w:tblStyle w:val="88"/>
        <w:tblW w:w="5000" w:type="pct"/>
        <w:tblInd w:w="0" w:type="dxa"/>
        <w:tblLayout w:type="autofit"/>
        <w:tblCellMar>
          <w:top w:w="0" w:type="dxa"/>
          <w:left w:w="108" w:type="dxa"/>
          <w:bottom w:w="0" w:type="dxa"/>
          <w:right w:w="108" w:type="dxa"/>
        </w:tblCellMar>
      </w:tblPr>
      <w:tblGrid>
        <w:gridCol w:w="1630"/>
        <w:gridCol w:w="1630"/>
        <w:gridCol w:w="1630"/>
        <w:gridCol w:w="1630"/>
        <w:gridCol w:w="1630"/>
        <w:gridCol w:w="1637"/>
        <w:gridCol w:w="1625"/>
        <w:gridCol w:w="1625"/>
        <w:gridCol w:w="2032"/>
      </w:tblGrid>
      <w:tr>
        <w:tblPrEx>
          <w:tblCellMar>
            <w:top w:w="0" w:type="dxa"/>
            <w:left w:w="108" w:type="dxa"/>
            <w:bottom w:w="0" w:type="dxa"/>
            <w:right w:w="108" w:type="dxa"/>
          </w:tblCellMar>
        </w:tblPrEx>
        <w:trPr>
          <w:trHeight w:val="285" w:hRule="atLeast"/>
        </w:trPr>
        <w:tc>
          <w:tcPr>
            <w:tcW w:w="54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方法</w:t>
            </w:r>
          </w:p>
        </w:tc>
        <w:tc>
          <w:tcPr>
            <w:tcW w:w="2707" w:type="pct"/>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AFS</w:t>
            </w:r>
          </w:p>
        </w:tc>
        <w:tc>
          <w:tcPr>
            <w:tcW w:w="1752" w:type="pct"/>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AAS</w:t>
            </w:r>
          </w:p>
        </w:tc>
      </w:tr>
      <w:tr>
        <w:tblPrEx>
          <w:tblCellMar>
            <w:top w:w="0" w:type="dxa"/>
            <w:left w:w="108" w:type="dxa"/>
            <w:bottom w:w="0" w:type="dxa"/>
            <w:right w:w="108" w:type="dxa"/>
          </w:tblCellMar>
        </w:tblPrEx>
        <w:trPr>
          <w:trHeight w:val="285" w:hRule="atLeast"/>
        </w:trPr>
        <w:tc>
          <w:tcPr>
            <w:tcW w:w="54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水平</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水平1</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水平2</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水平3</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水平4</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水平5</w:t>
            </w:r>
          </w:p>
        </w:tc>
        <w:tc>
          <w:tcPr>
            <w:tcW w:w="539"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水平1</w:t>
            </w:r>
          </w:p>
        </w:tc>
        <w:tc>
          <w:tcPr>
            <w:tcW w:w="539"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水平2</w:t>
            </w:r>
          </w:p>
        </w:tc>
        <w:tc>
          <w:tcPr>
            <w:tcW w:w="673"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水平3</w:t>
            </w:r>
          </w:p>
        </w:tc>
      </w:tr>
      <w:tr>
        <w:tblPrEx>
          <w:tblCellMar>
            <w:top w:w="0" w:type="dxa"/>
            <w:left w:w="108" w:type="dxa"/>
            <w:bottom w:w="0" w:type="dxa"/>
            <w:right w:w="108" w:type="dxa"/>
          </w:tblCellMar>
        </w:tblPrEx>
        <w:trPr>
          <w:trHeight w:val="285" w:hRule="atLeast"/>
        </w:trPr>
        <w:tc>
          <w:tcPr>
            <w:tcW w:w="54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总平均值</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0.001061</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0.010476</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0.047414</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0.148409</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0.286273</w:t>
            </w:r>
          </w:p>
        </w:tc>
        <w:tc>
          <w:tcPr>
            <w:tcW w:w="539"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0.141534</w:t>
            </w:r>
          </w:p>
        </w:tc>
        <w:tc>
          <w:tcPr>
            <w:tcW w:w="539"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0.27758</w:t>
            </w:r>
          </w:p>
        </w:tc>
        <w:tc>
          <w:tcPr>
            <w:tcW w:w="673"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0.48427273</w:t>
            </w:r>
          </w:p>
        </w:tc>
      </w:tr>
      <w:tr>
        <w:tblPrEx>
          <w:tblCellMar>
            <w:top w:w="0" w:type="dxa"/>
            <w:left w:w="108" w:type="dxa"/>
            <w:bottom w:w="0" w:type="dxa"/>
            <w:right w:w="108" w:type="dxa"/>
          </w:tblCellMar>
        </w:tblPrEx>
        <w:trPr>
          <w:trHeight w:val="285" w:hRule="atLeast"/>
        </w:trPr>
        <w:tc>
          <w:tcPr>
            <w:tcW w:w="54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T1</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0.09338</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0.92186</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4.1724</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13.06</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25.192</w:t>
            </w:r>
          </w:p>
        </w:tc>
        <w:tc>
          <w:tcPr>
            <w:tcW w:w="539"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12.455</w:t>
            </w:r>
          </w:p>
        </w:tc>
        <w:tc>
          <w:tcPr>
            <w:tcW w:w="539"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24.427</w:t>
            </w:r>
          </w:p>
        </w:tc>
        <w:tc>
          <w:tcPr>
            <w:tcW w:w="673"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42.616</w:t>
            </w:r>
          </w:p>
        </w:tc>
      </w:tr>
      <w:tr>
        <w:tblPrEx>
          <w:tblCellMar>
            <w:top w:w="0" w:type="dxa"/>
            <w:left w:w="108" w:type="dxa"/>
            <w:bottom w:w="0" w:type="dxa"/>
            <w:right w:w="108" w:type="dxa"/>
          </w:tblCellMar>
        </w:tblPrEx>
        <w:trPr>
          <w:trHeight w:val="285" w:hRule="atLeast"/>
        </w:trPr>
        <w:tc>
          <w:tcPr>
            <w:tcW w:w="54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T2</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9.93E-05</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0.009675</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0.197889</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1.939289</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7.221549</w:t>
            </w:r>
          </w:p>
        </w:tc>
        <w:tc>
          <w:tcPr>
            <w:tcW w:w="539"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1.763808</w:t>
            </w:r>
          </w:p>
        </w:tc>
        <w:tc>
          <w:tcPr>
            <w:tcW w:w="539"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6.786011</w:t>
            </w:r>
          </w:p>
        </w:tc>
        <w:tc>
          <w:tcPr>
            <w:tcW w:w="673"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20.6456031</w:t>
            </w:r>
          </w:p>
        </w:tc>
      </w:tr>
      <w:tr>
        <w:tblPrEx>
          <w:tblCellMar>
            <w:top w:w="0" w:type="dxa"/>
            <w:left w:w="108" w:type="dxa"/>
            <w:bottom w:w="0" w:type="dxa"/>
            <w:right w:w="108" w:type="dxa"/>
          </w:tblCellMar>
        </w:tblPrEx>
        <w:trPr>
          <w:trHeight w:val="285" w:hRule="atLeast"/>
        </w:trPr>
        <w:tc>
          <w:tcPr>
            <w:tcW w:w="54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T3</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88</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88</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88</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88</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88</w:t>
            </w:r>
          </w:p>
        </w:tc>
        <w:tc>
          <w:tcPr>
            <w:tcW w:w="539"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88</w:t>
            </w:r>
          </w:p>
        </w:tc>
        <w:tc>
          <w:tcPr>
            <w:tcW w:w="539"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88</w:t>
            </w:r>
          </w:p>
        </w:tc>
        <w:tc>
          <w:tcPr>
            <w:tcW w:w="673"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88</w:t>
            </w:r>
          </w:p>
        </w:tc>
      </w:tr>
      <w:tr>
        <w:tblPrEx>
          <w:tblCellMar>
            <w:top w:w="0" w:type="dxa"/>
            <w:left w:w="108" w:type="dxa"/>
            <w:bottom w:w="0" w:type="dxa"/>
            <w:right w:w="108" w:type="dxa"/>
          </w:tblCellMar>
        </w:tblPrEx>
        <w:trPr>
          <w:trHeight w:val="285" w:hRule="atLeast"/>
        </w:trPr>
        <w:tc>
          <w:tcPr>
            <w:tcW w:w="54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T4</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968</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968</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968</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968</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968</w:t>
            </w:r>
          </w:p>
        </w:tc>
        <w:tc>
          <w:tcPr>
            <w:tcW w:w="539"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968</w:t>
            </w:r>
          </w:p>
        </w:tc>
        <w:tc>
          <w:tcPr>
            <w:tcW w:w="539"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968</w:t>
            </w:r>
          </w:p>
        </w:tc>
        <w:tc>
          <w:tcPr>
            <w:tcW w:w="673"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968</w:t>
            </w:r>
          </w:p>
        </w:tc>
      </w:tr>
      <w:tr>
        <w:tblPrEx>
          <w:tblCellMar>
            <w:top w:w="0" w:type="dxa"/>
            <w:left w:w="108" w:type="dxa"/>
            <w:bottom w:w="0" w:type="dxa"/>
            <w:right w:w="108" w:type="dxa"/>
          </w:tblCellMar>
        </w:tblPrEx>
        <w:trPr>
          <w:trHeight w:val="285" w:hRule="atLeast"/>
        </w:trPr>
        <w:tc>
          <w:tcPr>
            <w:tcW w:w="54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T5</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1.49E-07</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1.2E-05</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0.000141</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0.001695</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0.003515</w:t>
            </w:r>
          </w:p>
        </w:tc>
        <w:tc>
          <w:tcPr>
            <w:tcW w:w="539"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0.000747</w:t>
            </w:r>
          </w:p>
        </w:tc>
        <w:tc>
          <w:tcPr>
            <w:tcW w:w="539"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0.002514</w:t>
            </w:r>
          </w:p>
        </w:tc>
        <w:tc>
          <w:tcPr>
            <w:tcW w:w="673"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0.00502091</w:t>
            </w:r>
          </w:p>
        </w:tc>
      </w:tr>
      <w:tr>
        <w:tblPrEx>
          <w:tblCellMar>
            <w:top w:w="0" w:type="dxa"/>
            <w:left w:w="108" w:type="dxa"/>
            <w:bottom w:w="0" w:type="dxa"/>
            <w:right w:w="108" w:type="dxa"/>
          </w:tblCellMar>
        </w:tblPrEx>
        <w:trPr>
          <w:trHeight w:val="285" w:hRule="atLeast"/>
        </w:trPr>
        <w:tc>
          <w:tcPr>
            <w:tcW w:w="54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P</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8</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8</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8</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8</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8</w:t>
            </w:r>
          </w:p>
        </w:tc>
        <w:tc>
          <w:tcPr>
            <w:tcW w:w="539"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8</w:t>
            </w:r>
          </w:p>
        </w:tc>
        <w:tc>
          <w:tcPr>
            <w:tcW w:w="539"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8</w:t>
            </w:r>
          </w:p>
        </w:tc>
        <w:tc>
          <w:tcPr>
            <w:tcW w:w="673"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8</w:t>
            </w:r>
          </w:p>
        </w:tc>
      </w:tr>
      <w:tr>
        <w:tblPrEx>
          <w:tblCellMar>
            <w:top w:w="0" w:type="dxa"/>
            <w:left w:w="108" w:type="dxa"/>
            <w:bottom w:w="0" w:type="dxa"/>
            <w:right w:w="108" w:type="dxa"/>
          </w:tblCellMar>
        </w:tblPrEx>
        <w:trPr>
          <w:trHeight w:val="285" w:hRule="atLeast"/>
        </w:trPr>
        <w:tc>
          <w:tcPr>
            <w:tcW w:w="54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Sr2</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1.87E-09</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1.51E-07</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1.77E-06</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2.12E-05</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4.39E-05</w:t>
            </w:r>
          </w:p>
        </w:tc>
        <w:tc>
          <w:tcPr>
            <w:tcW w:w="539"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9.34E-06</w:t>
            </w:r>
          </w:p>
        </w:tc>
        <w:tc>
          <w:tcPr>
            <w:tcW w:w="539"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3.14E-05</w:t>
            </w:r>
          </w:p>
        </w:tc>
        <w:tc>
          <w:tcPr>
            <w:tcW w:w="673"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6.2761E-05</w:t>
            </w:r>
          </w:p>
        </w:tc>
      </w:tr>
      <w:tr>
        <w:tblPrEx>
          <w:tblCellMar>
            <w:top w:w="0" w:type="dxa"/>
            <w:left w:w="108" w:type="dxa"/>
            <w:bottom w:w="0" w:type="dxa"/>
            <w:right w:w="108" w:type="dxa"/>
          </w:tblCellMar>
        </w:tblPrEx>
        <w:trPr>
          <w:trHeight w:val="285" w:hRule="atLeast"/>
        </w:trPr>
        <w:tc>
          <w:tcPr>
            <w:tcW w:w="54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SL2</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2.36E-09</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2.24E-07</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6.29E-07</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1.19E-05</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0.000123</w:t>
            </w:r>
          </w:p>
        </w:tc>
        <w:tc>
          <w:tcPr>
            <w:tcW w:w="539"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1.21E-05</w:t>
            </w:r>
          </w:p>
        </w:tc>
        <w:tc>
          <w:tcPr>
            <w:tcW w:w="539"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6.95E-05</w:t>
            </w:r>
          </w:p>
        </w:tc>
        <w:tc>
          <w:tcPr>
            <w:tcW w:w="673"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9.6068E-05</w:t>
            </w:r>
          </w:p>
        </w:tc>
      </w:tr>
      <w:tr>
        <w:tblPrEx>
          <w:tblCellMar>
            <w:top w:w="0" w:type="dxa"/>
            <w:left w:w="108" w:type="dxa"/>
            <w:bottom w:w="0" w:type="dxa"/>
            <w:right w:w="108" w:type="dxa"/>
          </w:tblCellMar>
        </w:tblPrEx>
        <w:trPr>
          <w:trHeight w:val="285" w:hRule="atLeast"/>
        </w:trPr>
        <w:tc>
          <w:tcPr>
            <w:tcW w:w="54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SR2</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4.23E-09</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3.75E-07</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2.4E-06</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3.31E-05</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0.000167</w:t>
            </w:r>
          </w:p>
        </w:tc>
        <w:tc>
          <w:tcPr>
            <w:tcW w:w="539"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2.15E-05</w:t>
            </w:r>
          </w:p>
        </w:tc>
        <w:tc>
          <w:tcPr>
            <w:tcW w:w="539"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0.000101</w:t>
            </w:r>
          </w:p>
        </w:tc>
        <w:tc>
          <w:tcPr>
            <w:tcW w:w="673"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0.00015883</w:t>
            </w:r>
          </w:p>
        </w:tc>
      </w:tr>
      <w:tr>
        <w:tblPrEx>
          <w:tblCellMar>
            <w:top w:w="0" w:type="dxa"/>
            <w:left w:w="108" w:type="dxa"/>
            <w:bottom w:w="0" w:type="dxa"/>
            <w:right w:w="108" w:type="dxa"/>
          </w:tblCellMar>
        </w:tblPrEx>
        <w:trPr>
          <w:trHeight w:val="285" w:hRule="atLeast"/>
        </w:trPr>
        <w:tc>
          <w:tcPr>
            <w:tcW w:w="54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Sr</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4.32E-05</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0.000388</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0.001329</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0.004604</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0.006629</w:t>
            </w:r>
          </w:p>
        </w:tc>
        <w:tc>
          <w:tcPr>
            <w:tcW w:w="539"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0.003056</w:t>
            </w:r>
          </w:p>
        </w:tc>
        <w:tc>
          <w:tcPr>
            <w:tcW w:w="539"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0.005606</w:t>
            </w:r>
          </w:p>
        </w:tc>
        <w:tc>
          <w:tcPr>
            <w:tcW w:w="673"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0.00792221</w:t>
            </w:r>
          </w:p>
        </w:tc>
      </w:tr>
      <w:tr>
        <w:tblPrEx>
          <w:tblCellMar>
            <w:top w:w="0" w:type="dxa"/>
            <w:left w:w="108" w:type="dxa"/>
            <w:bottom w:w="0" w:type="dxa"/>
            <w:right w:w="108" w:type="dxa"/>
          </w:tblCellMar>
        </w:tblPrEx>
        <w:trPr>
          <w:trHeight w:val="285" w:hRule="atLeast"/>
        </w:trPr>
        <w:tc>
          <w:tcPr>
            <w:tcW w:w="54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SR</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6.5E-05</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0.000612</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0.001548</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0.005754</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0.012914</w:t>
            </w:r>
          </w:p>
        </w:tc>
        <w:tc>
          <w:tcPr>
            <w:tcW w:w="539"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0.004635</w:t>
            </w:r>
          </w:p>
        </w:tc>
        <w:tc>
          <w:tcPr>
            <w:tcW w:w="539"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0.010049</w:t>
            </w:r>
          </w:p>
        </w:tc>
        <w:tc>
          <w:tcPr>
            <w:tcW w:w="673"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0.01260274</w:t>
            </w:r>
          </w:p>
        </w:tc>
      </w:tr>
      <w:tr>
        <w:tblPrEx>
          <w:tblCellMar>
            <w:top w:w="0" w:type="dxa"/>
            <w:left w:w="108" w:type="dxa"/>
            <w:bottom w:w="0" w:type="dxa"/>
            <w:right w:w="108" w:type="dxa"/>
          </w:tblCellMar>
        </w:tblPrEx>
        <w:trPr>
          <w:trHeight w:val="285" w:hRule="atLeast"/>
        </w:trPr>
        <w:tc>
          <w:tcPr>
            <w:tcW w:w="54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r</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0.000121</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0.001086</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0.003722</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0.01289</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0.018561</w:t>
            </w:r>
          </w:p>
        </w:tc>
        <w:tc>
          <w:tcPr>
            <w:tcW w:w="539"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0.008558</w:t>
            </w:r>
          </w:p>
        </w:tc>
        <w:tc>
          <w:tcPr>
            <w:tcW w:w="539"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0.015697</w:t>
            </w:r>
          </w:p>
        </w:tc>
        <w:tc>
          <w:tcPr>
            <w:tcW w:w="673"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0.02218218</w:t>
            </w:r>
          </w:p>
        </w:tc>
      </w:tr>
      <w:tr>
        <w:tblPrEx>
          <w:tblCellMar>
            <w:top w:w="0" w:type="dxa"/>
            <w:left w:w="108" w:type="dxa"/>
            <w:bottom w:w="0" w:type="dxa"/>
            <w:right w:w="108" w:type="dxa"/>
          </w:tblCellMar>
        </w:tblPrEx>
        <w:trPr>
          <w:trHeight w:val="285" w:hRule="atLeast"/>
        </w:trPr>
        <w:tc>
          <w:tcPr>
            <w:tcW w:w="54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R</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0.000182</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0.001714</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0.004334</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0.016111</w:t>
            </w:r>
          </w:p>
        </w:tc>
        <w:tc>
          <w:tcPr>
            <w:tcW w:w="541"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0.03616</w:t>
            </w:r>
          </w:p>
        </w:tc>
        <w:tc>
          <w:tcPr>
            <w:tcW w:w="539"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0.012979</w:t>
            </w:r>
          </w:p>
        </w:tc>
        <w:tc>
          <w:tcPr>
            <w:tcW w:w="539"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0.028136</w:t>
            </w:r>
          </w:p>
        </w:tc>
        <w:tc>
          <w:tcPr>
            <w:tcW w:w="673"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olor w:val="000000"/>
                <w:sz w:val="16"/>
                <w:szCs w:val="16"/>
              </w:rPr>
            </w:pPr>
            <w:r>
              <w:rPr>
                <w:rFonts w:hint="eastAsia" w:ascii="等线" w:hAnsi="等线" w:eastAsia="等线"/>
                <w:color w:val="000000"/>
                <w:sz w:val="16"/>
                <w:szCs w:val="16"/>
              </w:rPr>
              <w:t>0.03528768</w:t>
            </w:r>
          </w:p>
        </w:tc>
      </w:tr>
    </w:tbl>
    <w:p>
      <w:pPr>
        <w:spacing w:after="156" w:afterLines="50" w:line="300" w:lineRule="atLeast"/>
        <w:ind w:right="420"/>
        <w:jc w:val="left"/>
        <w:rPr>
          <w:b/>
          <w:szCs w:val="21"/>
        </w:rPr>
      </w:pPr>
    </w:p>
    <w:p>
      <w:pPr>
        <w:spacing w:after="156" w:afterLines="50" w:line="300" w:lineRule="atLeast"/>
        <w:ind w:right="420"/>
        <w:jc w:val="left"/>
        <w:rPr>
          <w:b/>
          <w:szCs w:val="21"/>
        </w:rPr>
      </w:pPr>
    </w:p>
    <w:p/>
    <w:sectPr>
      <w:pgSz w:w="16838" w:h="11906" w:orient="landscape"/>
      <w:pgMar w:top="1531" w:right="1134" w:bottom="1531"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Arial Black">
    <w:panose1 w:val="020B0A04020102020204"/>
    <w:charset w:val="00"/>
    <w:family w:val="swiss"/>
    <w:pitch w:val="default"/>
    <w:sig w:usb0="A00002AF" w:usb1="400078FB" w:usb2="00000000" w:usb3="00000000" w:csb0="6000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6260FA"/>
    <w:multiLevelType w:val="multilevel"/>
    <w:tmpl w:val="646260FA"/>
    <w:lvl w:ilvl="0" w:tentative="0">
      <w:start w:val="1"/>
      <w:numFmt w:val="decimal"/>
      <w:pStyle w:val="140"/>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6CEA2025"/>
    <w:multiLevelType w:val="multilevel"/>
    <w:tmpl w:val="6CEA2025"/>
    <w:lvl w:ilvl="0" w:tentative="0">
      <w:start w:val="1"/>
      <w:numFmt w:val="none"/>
      <w:pStyle w:val="133"/>
      <w:suff w:val="nothing"/>
      <w:lvlText w:val="%1"/>
      <w:lvlJc w:val="left"/>
      <w:pPr>
        <w:ind w:left="0" w:firstLine="0"/>
      </w:pPr>
      <w:rPr>
        <w:rFonts w:hint="default" w:ascii="Times New Roman" w:hAnsi="Times New Roman"/>
        <w:b/>
        <w:i w:val="0"/>
        <w:sz w:val="21"/>
      </w:rPr>
    </w:lvl>
    <w:lvl w:ilvl="1" w:tentative="0">
      <w:start w:val="1"/>
      <w:numFmt w:val="decimal"/>
      <w:pStyle w:val="127"/>
      <w:suff w:val="nothing"/>
      <w:lvlText w:val="%1%2　"/>
      <w:lvlJc w:val="left"/>
      <w:pPr>
        <w:ind w:left="0" w:firstLine="0"/>
      </w:pPr>
      <w:rPr>
        <w:rFonts w:hint="eastAsia" w:ascii="黑体" w:hAnsi="Times New Roman" w:eastAsia="黑体"/>
        <w:b w:val="0"/>
        <w:i w:val="0"/>
        <w:sz w:val="21"/>
      </w:rPr>
    </w:lvl>
    <w:lvl w:ilvl="2" w:tentative="0">
      <w:start w:val="1"/>
      <w:numFmt w:val="decimal"/>
      <w:pStyle w:val="129"/>
      <w:suff w:val="nothing"/>
      <w:lvlText w:val="%1%2.%3　"/>
      <w:lvlJc w:val="left"/>
      <w:pPr>
        <w:ind w:left="1620" w:firstLine="0"/>
      </w:pPr>
      <w:rPr>
        <w:rFonts w:hint="eastAsia" w:ascii="黑体" w:hAnsi="Times New Roman" w:eastAsia="黑体"/>
        <w:b w:val="0"/>
        <w:i w:val="0"/>
        <w:sz w:val="21"/>
      </w:rPr>
    </w:lvl>
    <w:lvl w:ilvl="3" w:tentative="0">
      <w:start w:val="1"/>
      <w:numFmt w:val="decimal"/>
      <w:pStyle w:val="137"/>
      <w:suff w:val="nothing"/>
      <w:lvlText w:val="%1%2.%3.%4　"/>
      <w:lvlJc w:val="left"/>
      <w:pPr>
        <w:ind w:left="0" w:firstLine="0"/>
      </w:pPr>
      <w:rPr>
        <w:rFonts w:hint="eastAsia" w:ascii="黑体" w:hAnsi="Times New Roman" w:eastAsia="黑体"/>
        <w:b w:val="0"/>
        <w:i w:val="0"/>
        <w:sz w:val="21"/>
      </w:rPr>
    </w:lvl>
    <w:lvl w:ilvl="4" w:tentative="0">
      <w:start w:val="1"/>
      <w:numFmt w:val="decimal"/>
      <w:pStyle w:val="136"/>
      <w:suff w:val="nothing"/>
      <w:lvlText w:val="%1%2.%3.%4.%5　"/>
      <w:lvlJc w:val="left"/>
      <w:pPr>
        <w:ind w:left="0" w:firstLine="0"/>
      </w:pPr>
      <w:rPr>
        <w:rFonts w:hint="eastAsia" w:ascii="黑体" w:hAnsi="Times New Roman" w:eastAsia="黑体"/>
        <w:b w:val="0"/>
        <w:i w:val="0"/>
        <w:sz w:val="21"/>
      </w:rPr>
    </w:lvl>
    <w:lvl w:ilvl="5" w:tentative="0">
      <w:start w:val="1"/>
      <w:numFmt w:val="decimal"/>
      <w:pStyle w:val="135"/>
      <w:suff w:val="nothing"/>
      <w:lvlText w:val="%1%2.%3.%4.%5.%6　"/>
      <w:lvlJc w:val="left"/>
      <w:pPr>
        <w:ind w:left="0" w:firstLine="0"/>
      </w:pPr>
      <w:rPr>
        <w:rFonts w:hint="eastAsia" w:ascii="黑体" w:hAnsi="Times New Roman" w:eastAsia="黑体"/>
        <w:b w:val="0"/>
        <w:i w:val="0"/>
        <w:sz w:val="21"/>
      </w:rPr>
    </w:lvl>
    <w:lvl w:ilvl="6" w:tentative="0">
      <w:start w:val="1"/>
      <w:numFmt w:val="decimal"/>
      <w:pStyle w:val="13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dkYTQzOTdmNjllNjYwODRiZWM2ZWNlMGNkMTgxZDIifQ=="/>
  </w:docVars>
  <w:rsids>
    <w:rsidRoot w:val="00023356"/>
    <w:rsid w:val="00004617"/>
    <w:rsid w:val="00004EB8"/>
    <w:rsid w:val="00005EDB"/>
    <w:rsid w:val="00007DB3"/>
    <w:rsid w:val="000117CD"/>
    <w:rsid w:val="00015B79"/>
    <w:rsid w:val="00015F3C"/>
    <w:rsid w:val="00016610"/>
    <w:rsid w:val="000200B6"/>
    <w:rsid w:val="00023356"/>
    <w:rsid w:val="00023695"/>
    <w:rsid w:val="000244E2"/>
    <w:rsid w:val="000255D1"/>
    <w:rsid w:val="00032EB2"/>
    <w:rsid w:val="00033E8E"/>
    <w:rsid w:val="000361DA"/>
    <w:rsid w:val="00062159"/>
    <w:rsid w:val="000649E8"/>
    <w:rsid w:val="00077FBD"/>
    <w:rsid w:val="000855B8"/>
    <w:rsid w:val="0008672D"/>
    <w:rsid w:val="000867F0"/>
    <w:rsid w:val="00096058"/>
    <w:rsid w:val="00096535"/>
    <w:rsid w:val="0009779C"/>
    <w:rsid w:val="000A008E"/>
    <w:rsid w:val="000A1793"/>
    <w:rsid w:val="000A5FDA"/>
    <w:rsid w:val="000A78F4"/>
    <w:rsid w:val="000B0EE3"/>
    <w:rsid w:val="000B36B0"/>
    <w:rsid w:val="000C0C64"/>
    <w:rsid w:val="000C17D6"/>
    <w:rsid w:val="000C252B"/>
    <w:rsid w:val="000C78B5"/>
    <w:rsid w:val="000C7DE3"/>
    <w:rsid w:val="000E019F"/>
    <w:rsid w:val="000E6771"/>
    <w:rsid w:val="000F068B"/>
    <w:rsid w:val="000F5DEF"/>
    <w:rsid w:val="000F7EF6"/>
    <w:rsid w:val="0010567F"/>
    <w:rsid w:val="001059C7"/>
    <w:rsid w:val="00110596"/>
    <w:rsid w:val="0011326A"/>
    <w:rsid w:val="001215D1"/>
    <w:rsid w:val="00122497"/>
    <w:rsid w:val="00122DEE"/>
    <w:rsid w:val="001243FD"/>
    <w:rsid w:val="00126674"/>
    <w:rsid w:val="0014119D"/>
    <w:rsid w:val="001509B9"/>
    <w:rsid w:val="0016727E"/>
    <w:rsid w:val="00172C04"/>
    <w:rsid w:val="00175095"/>
    <w:rsid w:val="00181A3E"/>
    <w:rsid w:val="00187924"/>
    <w:rsid w:val="0019098B"/>
    <w:rsid w:val="001909F7"/>
    <w:rsid w:val="001915FB"/>
    <w:rsid w:val="001926DD"/>
    <w:rsid w:val="001A3C7A"/>
    <w:rsid w:val="001A46A3"/>
    <w:rsid w:val="001A6244"/>
    <w:rsid w:val="001A74AF"/>
    <w:rsid w:val="001B100A"/>
    <w:rsid w:val="001B487A"/>
    <w:rsid w:val="001B5E22"/>
    <w:rsid w:val="001B6499"/>
    <w:rsid w:val="001C0A0C"/>
    <w:rsid w:val="001C2F1C"/>
    <w:rsid w:val="001D78F9"/>
    <w:rsid w:val="001E5FD9"/>
    <w:rsid w:val="001F1FCB"/>
    <w:rsid w:val="002019AC"/>
    <w:rsid w:val="00201C10"/>
    <w:rsid w:val="00201DDD"/>
    <w:rsid w:val="00204DA3"/>
    <w:rsid w:val="00206A82"/>
    <w:rsid w:val="00207FC9"/>
    <w:rsid w:val="00213581"/>
    <w:rsid w:val="002145CD"/>
    <w:rsid w:val="00215C2B"/>
    <w:rsid w:val="00220692"/>
    <w:rsid w:val="0023004B"/>
    <w:rsid w:val="0024146C"/>
    <w:rsid w:val="002443A7"/>
    <w:rsid w:val="00244D43"/>
    <w:rsid w:val="00245C36"/>
    <w:rsid w:val="002472AD"/>
    <w:rsid w:val="00250ED4"/>
    <w:rsid w:val="0026460C"/>
    <w:rsid w:val="002670AF"/>
    <w:rsid w:val="00276E5A"/>
    <w:rsid w:val="0027739F"/>
    <w:rsid w:val="0027750B"/>
    <w:rsid w:val="002822AD"/>
    <w:rsid w:val="002A3DA4"/>
    <w:rsid w:val="002A4168"/>
    <w:rsid w:val="002B3FBB"/>
    <w:rsid w:val="002C510E"/>
    <w:rsid w:val="002D11CE"/>
    <w:rsid w:val="002D1483"/>
    <w:rsid w:val="002D1DF4"/>
    <w:rsid w:val="002D3991"/>
    <w:rsid w:val="002E3210"/>
    <w:rsid w:val="002F6848"/>
    <w:rsid w:val="002F75BD"/>
    <w:rsid w:val="003006AF"/>
    <w:rsid w:val="00303E14"/>
    <w:rsid w:val="0030479E"/>
    <w:rsid w:val="00305B48"/>
    <w:rsid w:val="003154B0"/>
    <w:rsid w:val="00323078"/>
    <w:rsid w:val="00323432"/>
    <w:rsid w:val="00323F0C"/>
    <w:rsid w:val="00324540"/>
    <w:rsid w:val="00324895"/>
    <w:rsid w:val="00326716"/>
    <w:rsid w:val="003273D9"/>
    <w:rsid w:val="00336063"/>
    <w:rsid w:val="00340589"/>
    <w:rsid w:val="00344A48"/>
    <w:rsid w:val="00345419"/>
    <w:rsid w:val="00352A70"/>
    <w:rsid w:val="003555AE"/>
    <w:rsid w:val="003614E8"/>
    <w:rsid w:val="00361A60"/>
    <w:rsid w:val="00363CC1"/>
    <w:rsid w:val="00364450"/>
    <w:rsid w:val="0037066B"/>
    <w:rsid w:val="00371D7C"/>
    <w:rsid w:val="003741AD"/>
    <w:rsid w:val="00382AE5"/>
    <w:rsid w:val="0038393C"/>
    <w:rsid w:val="00387BDF"/>
    <w:rsid w:val="003960C0"/>
    <w:rsid w:val="00397202"/>
    <w:rsid w:val="003A02A2"/>
    <w:rsid w:val="003A147F"/>
    <w:rsid w:val="003A28B5"/>
    <w:rsid w:val="003A5117"/>
    <w:rsid w:val="003A5EAE"/>
    <w:rsid w:val="003A633C"/>
    <w:rsid w:val="003C1BE7"/>
    <w:rsid w:val="003C4765"/>
    <w:rsid w:val="003C4F6B"/>
    <w:rsid w:val="003D232F"/>
    <w:rsid w:val="003D550F"/>
    <w:rsid w:val="003D6EC2"/>
    <w:rsid w:val="003D6EF4"/>
    <w:rsid w:val="003E272D"/>
    <w:rsid w:val="003F3870"/>
    <w:rsid w:val="003F6703"/>
    <w:rsid w:val="00402EDA"/>
    <w:rsid w:val="00404566"/>
    <w:rsid w:val="004058B0"/>
    <w:rsid w:val="00413BEF"/>
    <w:rsid w:val="004140DC"/>
    <w:rsid w:val="00415327"/>
    <w:rsid w:val="004248D8"/>
    <w:rsid w:val="00426554"/>
    <w:rsid w:val="00433D51"/>
    <w:rsid w:val="0044030B"/>
    <w:rsid w:val="0044494C"/>
    <w:rsid w:val="00450411"/>
    <w:rsid w:val="00452664"/>
    <w:rsid w:val="00455492"/>
    <w:rsid w:val="0045669E"/>
    <w:rsid w:val="00461D93"/>
    <w:rsid w:val="00472409"/>
    <w:rsid w:val="0048042E"/>
    <w:rsid w:val="00483544"/>
    <w:rsid w:val="00484DB1"/>
    <w:rsid w:val="0048527F"/>
    <w:rsid w:val="00487026"/>
    <w:rsid w:val="00492D6A"/>
    <w:rsid w:val="00495064"/>
    <w:rsid w:val="00495EB9"/>
    <w:rsid w:val="004A0071"/>
    <w:rsid w:val="004A2D69"/>
    <w:rsid w:val="004A3C7C"/>
    <w:rsid w:val="004A5BBD"/>
    <w:rsid w:val="004C253C"/>
    <w:rsid w:val="004C2751"/>
    <w:rsid w:val="004C3C6E"/>
    <w:rsid w:val="004D022F"/>
    <w:rsid w:val="004D0D57"/>
    <w:rsid w:val="004D421C"/>
    <w:rsid w:val="004D6785"/>
    <w:rsid w:val="004D7FA5"/>
    <w:rsid w:val="004E3A7A"/>
    <w:rsid w:val="004E719F"/>
    <w:rsid w:val="004F4EF1"/>
    <w:rsid w:val="004F5C78"/>
    <w:rsid w:val="00504805"/>
    <w:rsid w:val="00505C51"/>
    <w:rsid w:val="005078D2"/>
    <w:rsid w:val="00507F0B"/>
    <w:rsid w:val="00510DA2"/>
    <w:rsid w:val="00512A54"/>
    <w:rsid w:val="00516CA9"/>
    <w:rsid w:val="00520E3F"/>
    <w:rsid w:val="00531241"/>
    <w:rsid w:val="00543392"/>
    <w:rsid w:val="00544A16"/>
    <w:rsid w:val="00545595"/>
    <w:rsid w:val="005516EE"/>
    <w:rsid w:val="005560B1"/>
    <w:rsid w:val="005569F5"/>
    <w:rsid w:val="00572CC8"/>
    <w:rsid w:val="0057439B"/>
    <w:rsid w:val="005925DC"/>
    <w:rsid w:val="0059266C"/>
    <w:rsid w:val="005931BB"/>
    <w:rsid w:val="005943BB"/>
    <w:rsid w:val="005A4F6A"/>
    <w:rsid w:val="005B465D"/>
    <w:rsid w:val="005B48F8"/>
    <w:rsid w:val="005B734D"/>
    <w:rsid w:val="005C5B19"/>
    <w:rsid w:val="005E093D"/>
    <w:rsid w:val="005E3D83"/>
    <w:rsid w:val="005E6E4E"/>
    <w:rsid w:val="005F1505"/>
    <w:rsid w:val="005F4449"/>
    <w:rsid w:val="005F655F"/>
    <w:rsid w:val="005F6664"/>
    <w:rsid w:val="00601043"/>
    <w:rsid w:val="00601A86"/>
    <w:rsid w:val="00603A53"/>
    <w:rsid w:val="00604E1B"/>
    <w:rsid w:val="00610AE0"/>
    <w:rsid w:val="00612535"/>
    <w:rsid w:val="00612D54"/>
    <w:rsid w:val="006274F6"/>
    <w:rsid w:val="00631B1F"/>
    <w:rsid w:val="00633B26"/>
    <w:rsid w:val="00637569"/>
    <w:rsid w:val="006376C1"/>
    <w:rsid w:val="00637D04"/>
    <w:rsid w:val="00647468"/>
    <w:rsid w:val="0065617B"/>
    <w:rsid w:val="006603FB"/>
    <w:rsid w:val="00675338"/>
    <w:rsid w:val="00680F7E"/>
    <w:rsid w:val="006832CE"/>
    <w:rsid w:val="006849EF"/>
    <w:rsid w:val="00687FB6"/>
    <w:rsid w:val="00691479"/>
    <w:rsid w:val="00691874"/>
    <w:rsid w:val="00697DF2"/>
    <w:rsid w:val="006A1ADD"/>
    <w:rsid w:val="006B1B12"/>
    <w:rsid w:val="006B66E9"/>
    <w:rsid w:val="006C0AC1"/>
    <w:rsid w:val="006C23E8"/>
    <w:rsid w:val="006C5F6A"/>
    <w:rsid w:val="006D2BED"/>
    <w:rsid w:val="006D76AA"/>
    <w:rsid w:val="006F1E4D"/>
    <w:rsid w:val="006F30D1"/>
    <w:rsid w:val="006F32D4"/>
    <w:rsid w:val="006F7613"/>
    <w:rsid w:val="0070110B"/>
    <w:rsid w:val="00714D94"/>
    <w:rsid w:val="00723470"/>
    <w:rsid w:val="00723D2F"/>
    <w:rsid w:val="007308AD"/>
    <w:rsid w:val="00733076"/>
    <w:rsid w:val="007336F3"/>
    <w:rsid w:val="00741B15"/>
    <w:rsid w:val="00742136"/>
    <w:rsid w:val="007445AB"/>
    <w:rsid w:val="0074776C"/>
    <w:rsid w:val="00752593"/>
    <w:rsid w:val="00754DCF"/>
    <w:rsid w:val="00755824"/>
    <w:rsid w:val="00757621"/>
    <w:rsid w:val="00760072"/>
    <w:rsid w:val="007608ED"/>
    <w:rsid w:val="007614B9"/>
    <w:rsid w:val="007715CB"/>
    <w:rsid w:val="00780F2A"/>
    <w:rsid w:val="007865FE"/>
    <w:rsid w:val="007960FA"/>
    <w:rsid w:val="00796482"/>
    <w:rsid w:val="007A0514"/>
    <w:rsid w:val="007A3C30"/>
    <w:rsid w:val="007A6BF3"/>
    <w:rsid w:val="007B2194"/>
    <w:rsid w:val="007B4856"/>
    <w:rsid w:val="007B4BC6"/>
    <w:rsid w:val="007B5BF6"/>
    <w:rsid w:val="007C08E2"/>
    <w:rsid w:val="007C2A20"/>
    <w:rsid w:val="007C3AC1"/>
    <w:rsid w:val="007E2D59"/>
    <w:rsid w:val="00802A1A"/>
    <w:rsid w:val="008128B1"/>
    <w:rsid w:val="00814E90"/>
    <w:rsid w:val="008150FF"/>
    <w:rsid w:val="00817B49"/>
    <w:rsid w:val="008355A3"/>
    <w:rsid w:val="00835B12"/>
    <w:rsid w:val="00840CD2"/>
    <w:rsid w:val="008451F7"/>
    <w:rsid w:val="00846701"/>
    <w:rsid w:val="00857094"/>
    <w:rsid w:val="00857E93"/>
    <w:rsid w:val="00863DCD"/>
    <w:rsid w:val="00864B51"/>
    <w:rsid w:val="00873266"/>
    <w:rsid w:val="00875D8A"/>
    <w:rsid w:val="00882640"/>
    <w:rsid w:val="00882AC7"/>
    <w:rsid w:val="0088458F"/>
    <w:rsid w:val="00884CD1"/>
    <w:rsid w:val="00885977"/>
    <w:rsid w:val="008A33DC"/>
    <w:rsid w:val="008A6575"/>
    <w:rsid w:val="008C503B"/>
    <w:rsid w:val="008C55AD"/>
    <w:rsid w:val="008C5C53"/>
    <w:rsid w:val="008D3B1D"/>
    <w:rsid w:val="008D684F"/>
    <w:rsid w:val="008D7BCB"/>
    <w:rsid w:val="008F20CC"/>
    <w:rsid w:val="008F2188"/>
    <w:rsid w:val="008F40E6"/>
    <w:rsid w:val="008F4F7F"/>
    <w:rsid w:val="00900D19"/>
    <w:rsid w:val="00900D94"/>
    <w:rsid w:val="009029F1"/>
    <w:rsid w:val="009031B7"/>
    <w:rsid w:val="009040C6"/>
    <w:rsid w:val="00907C0F"/>
    <w:rsid w:val="00915940"/>
    <w:rsid w:val="00925693"/>
    <w:rsid w:val="00927750"/>
    <w:rsid w:val="009464AD"/>
    <w:rsid w:val="009701DD"/>
    <w:rsid w:val="00971917"/>
    <w:rsid w:val="00972626"/>
    <w:rsid w:val="00983D73"/>
    <w:rsid w:val="009851BA"/>
    <w:rsid w:val="0098638B"/>
    <w:rsid w:val="009905B1"/>
    <w:rsid w:val="00991205"/>
    <w:rsid w:val="00992F76"/>
    <w:rsid w:val="009966FB"/>
    <w:rsid w:val="009A031F"/>
    <w:rsid w:val="009A0B20"/>
    <w:rsid w:val="009A46AB"/>
    <w:rsid w:val="009A4B54"/>
    <w:rsid w:val="009B1FB3"/>
    <w:rsid w:val="009B7237"/>
    <w:rsid w:val="009C2E3E"/>
    <w:rsid w:val="009D3B51"/>
    <w:rsid w:val="009D43E0"/>
    <w:rsid w:val="009D5EAC"/>
    <w:rsid w:val="009E11CC"/>
    <w:rsid w:val="009E4D30"/>
    <w:rsid w:val="009E6532"/>
    <w:rsid w:val="009F12E1"/>
    <w:rsid w:val="00A03082"/>
    <w:rsid w:val="00A150D2"/>
    <w:rsid w:val="00A15661"/>
    <w:rsid w:val="00A159C9"/>
    <w:rsid w:val="00A16B37"/>
    <w:rsid w:val="00A2122C"/>
    <w:rsid w:val="00A219A5"/>
    <w:rsid w:val="00A2315B"/>
    <w:rsid w:val="00A25ACE"/>
    <w:rsid w:val="00A3117D"/>
    <w:rsid w:val="00A37298"/>
    <w:rsid w:val="00A50923"/>
    <w:rsid w:val="00A51C32"/>
    <w:rsid w:val="00A54B91"/>
    <w:rsid w:val="00A5675F"/>
    <w:rsid w:val="00A64A47"/>
    <w:rsid w:val="00A76569"/>
    <w:rsid w:val="00A76A1B"/>
    <w:rsid w:val="00A770B5"/>
    <w:rsid w:val="00A77F1E"/>
    <w:rsid w:val="00A84262"/>
    <w:rsid w:val="00A85D8C"/>
    <w:rsid w:val="00A86F54"/>
    <w:rsid w:val="00A900DC"/>
    <w:rsid w:val="00A90E24"/>
    <w:rsid w:val="00A954B5"/>
    <w:rsid w:val="00AA15AE"/>
    <w:rsid w:val="00AB08AB"/>
    <w:rsid w:val="00AB6D4D"/>
    <w:rsid w:val="00AC2918"/>
    <w:rsid w:val="00AC2DFF"/>
    <w:rsid w:val="00AC313A"/>
    <w:rsid w:val="00AC44B9"/>
    <w:rsid w:val="00AD5833"/>
    <w:rsid w:val="00AD75E7"/>
    <w:rsid w:val="00AE0B76"/>
    <w:rsid w:val="00AF0A41"/>
    <w:rsid w:val="00AF1C91"/>
    <w:rsid w:val="00AF5E30"/>
    <w:rsid w:val="00B029DA"/>
    <w:rsid w:val="00B048F8"/>
    <w:rsid w:val="00B06BBD"/>
    <w:rsid w:val="00B15DC3"/>
    <w:rsid w:val="00B244F3"/>
    <w:rsid w:val="00B2457B"/>
    <w:rsid w:val="00B249DA"/>
    <w:rsid w:val="00B27141"/>
    <w:rsid w:val="00B327FB"/>
    <w:rsid w:val="00B40E98"/>
    <w:rsid w:val="00B43A42"/>
    <w:rsid w:val="00B5638E"/>
    <w:rsid w:val="00B62CFB"/>
    <w:rsid w:val="00B65DF3"/>
    <w:rsid w:val="00B678B6"/>
    <w:rsid w:val="00B7616B"/>
    <w:rsid w:val="00B76FE4"/>
    <w:rsid w:val="00B7765B"/>
    <w:rsid w:val="00B84230"/>
    <w:rsid w:val="00B904F4"/>
    <w:rsid w:val="00B93479"/>
    <w:rsid w:val="00BA02A4"/>
    <w:rsid w:val="00BA1F79"/>
    <w:rsid w:val="00BA56AF"/>
    <w:rsid w:val="00BB4348"/>
    <w:rsid w:val="00BB763C"/>
    <w:rsid w:val="00BC6406"/>
    <w:rsid w:val="00BC66F1"/>
    <w:rsid w:val="00BE40CF"/>
    <w:rsid w:val="00BF541C"/>
    <w:rsid w:val="00BF5822"/>
    <w:rsid w:val="00BF6BED"/>
    <w:rsid w:val="00BF7C22"/>
    <w:rsid w:val="00C0228A"/>
    <w:rsid w:val="00C053AD"/>
    <w:rsid w:val="00C05D96"/>
    <w:rsid w:val="00C11C63"/>
    <w:rsid w:val="00C12A67"/>
    <w:rsid w:val="00C13198"/>
    <w:rsid w:val="00C171C5"/>
    <w:rsid w:val="00C20729"/>
    <w:rsid w:val="00C236F6"/>
    <w:rsid w:val="00C31E5A"/>
    <w:rsid w:val="00C34D6A"/>
    <w:rsid w:val="00C4672A"/>
    <w:rsid w:val="00C630B8"/>
    <w:rsid w:val="00C70D4B"/>
    <w:rsid w:val="00C75A76"/>
    <w:rsid w:val="00C91298"/>
    <w:rsid w:val="00C95F7D"/>
    <w:rsid w:val="00C97325"/>
    <w:rsid w:val="00CA0E63"/>
    <w:rsid w:val="00CA1607"/>
    <w:rsid w:val="00CB27B8"/>
    <w:rsid w:val="00CB5C29"/>
    <w:rsid w:val="00CC0170"/>
    <w:rsid w:val="00CC0E02"/>
    <w:rsid w:val="00CC1DEA"/>
    <w:rsid w:val="00CC7572"/>
    <w:rsid w:val="00CC7724"/>
    <w:rsid w:val="00CC7B08"/>
    <w:rsid w:val="00CD1F77"/>
    <w:rsid w:val="00CD42C7"/>
    <w:rsid w:val="00CE1F23"/>
    <w:rsid w:val="00CE2FDC"/>
    <w:rsid w:val="00CE5616"/>
    <w:rsid w:val="00CF08A7"/>
    <w:rsid w:val="00CF3BF0"/>
    <w:rsid w:val="00CF4D69"/>
    <w:rsid w:val="00CF6C23"/>
    <w:rsid w:val="00D049CD"/>
    <w:rsid w:val="00D10CFD"/>
    <w:rsid w:val="00D20974"/>
    <w:rsid w:val="00D304AC"/>
    <w:rsid w:val="00D35FAB"/>
    <w:rsid w:val="00D44405"/>
    <w:rsid w:val="00D445CF"/>
    <w:rsid w:val="00D468E6"/>
    <w:rsid w:val="00D548D9"/>
    <w:rsid w:val="00D66D43"/>
    <w:rsid w:val="00D6786C"/>
    <w:rsid w:val="00D77018"/>
    <w:rsid w:val="00D825AF"/>
    <w:rsid w:val="00D8368E"/>
    <w:rsid w:val="00D83A3A"/>
    <w:rsid w:val="00D92191"/>
    <w:rsid w:val="00D9389F"/>
    <w:rsid w:val="00DB09EC"/>
    <w:rsid w:val="00DB1D4B"/>
    <w:rsid w:val="00DB4024"/>
    <w:rsid w:val="00DB5599"/>
    <w:rsid w:val="00DB5ABC"/>
    <w:rsid w:val="00DC7FB6"/>
    <w:rsid w:val="00DD1010"/>
    <w:rsid w:val="00DD60B2"/>
    <w:rsid w:val="00DE32E0"/>
    <w:rsid w:val="00DE3B25"/>
    <w:rsid w:val="00DE5048"/>
    <w:rsid w:val="00DE6C5B"/>
    <w:rsid w:val="00DE6E67"/>
    <w:rsid w:val="00DE6ED0"/>
    <w:rsid w:val="00DF6DDE"/>
    <w:rsid w:val="00DF7F58"/>
    <w:rsid w:val="00E004BB"/>
    <w:rsid w:val="00E017EF"/>
    <w:rsid w:val="00E2482F"/>
    <w:rsid w:val="00E3066A"/>
    <w:rsid w:val="00E31712"/>
    <w:rsid w:val="00E33496"/>
    <w:rsid w:val="00E43748"/>
    <w:rsid w:val="00E4447F"/>
    <w:rsid w:val="00E45CE7"/>
    <w:rsid w:val="00E4734A"/>
    <w:rsid w:val="00E50D9A"/>
    <w:rsid w:val="00E56968"/>
    <w:rsid w:val="00E607CD"/>
    <w:rsid w:val="00E66FCF"/>
    <w:rsid w:val="00E726E3"/>
    <w:rsid w:val="00E7509B"/>
    <w:rsid w:val="00E759C4"/>
    <w:rsid w:val="00E81A4E"/>
    <w:rsid w:val="00E834B9"/>
    <w:rsid w:val="00E8467B"/>
    <w:rsid w:val="00E93EFF"/>
    <w:rsid w:val="00E954FB"/>
    <w:rsid w:val="00E95AA5"/>
    <w:rsid w:val="00E9621E"/>
    <w:rsid w:val="00EA3019"/>
    <w:rsid w:val="00EA340F"/>
    <w:rsid w:val="00EB1396"/>
    <w:rsid w:val="00EB24BF"/>
    <w:rsid w:val="00EB4C40"/>
    <w:rsid w:val="00EC3C56"/>
    <w:rsid w:val="00EC499E"/>
    <w:rsid w:val="00ED0D95"/>
    <w:rsid w:val="00ED24A7"/>
    <w:rsid w:val="00ED26E4"/>
    <w:rsid w:val="00EE553E"/>
    <w:rsid w:val="00EE5680"/>
    <w:rsid w:val="00EF4989"/>
    <w:rsid w:val="00EF61F9"/>
    <w:rsid w:val="00F03595"/>
    <w:rsid w:val="00F05E8F"/>
    <w:rsid w:val="00F05FB9"/>
    <w:rsid w:val="00F126AC"/>
    <w:rsid w:val="00F149A8"/>
    <w:rsid w:val="00F14FB9"/>
    <w:rsid w:val="00F160BD"/>
    <w:rsid w:val="00F20C8C"/>
    <w:rsid w:val="00F23124"/>
    <w:rsid w:val="00F255CD"/>
    <w:rsid w:val="00F3166A"/>
    <w:rsid w:val="00F35B96"/>
    <w:rsid w:val="00F4285F"/>
    <w:rsid w:val="00F64414"/>
    <w:rsid w:val="00F72849"/>
    <w:rsid w:val="00F73561"/>
    <w:rsid w:val="00F738BC"/>
    <w:rsid w:val="00F75F88"/>
    <w:rsid w:val="00F76D02"/>
    <w:rsid w:val="00F80B8B"/>
    <w:rsid w:val="00F83165"/>
    <w:rsid w:val="00F916D1"/>
    <w:rsid w:val="00F920D3"/>
    <w:rsid w:val="00F92B94"/>
    <w:rsid w:val="00F94E56"/>
    <w:rsid w:val="00F95537"/>
    <w:rsid w:val="00FA575E"/>
    <w:rsid w:val="00FA6905"/>
    <w:rsid w:val="00FB1041"/>
    <w:rsid w:val="00FC5ADA"/>
    <w:rsid w:val="00FD00A6"/>
    <w:rsid w:val="00FD4784"/>
    <w:rsid w:val="00FE0142"/>
    <w:rsid w:val="00FE17A1"/>
    <w:rsid w:val="00FE2FEF"/>
    <w:rsid w:val="00FE3D08"/>
    <w:rsid w:val="00FF4FE1"/>
    <w:rsid w:val="0158009A"/>
    <w:rsid w:val="016F45ED"/>
    <w:rsid w:val="019329D2"/>
    <w:rsid w:val="0204030E"/>
    <w:rsid w:val="02C44E0D"/>
    <w:rsid w:val="02DF2A27"/>
    <w:rsid w:val="03305FFE"/>
    <w:rsid w:val="03810CCF"/>
    <w:rsid w:val="04407EDB"/>
    <w:rsid w:val="04676051"/>
    <w:rsid w:val="049F11D3"/>
    <w:rsid w:val="05565C1F"/>
    <w:rsid w:val="05CF7D50"/>
    <w:rsid w:val="06345E06"/>
    <w:rsid w:val="06DB3B5C"/>
    <w:rsid w:val="073270F7"/>
    <w:rsid w:val="07634BF4"/>
    <w:rsid w:val="083875D7"/>
    <w:rsid w:val="08891959"/>
    <w:rsid w:val="0926237D"/>
    <w:rsid w:val="0C8B0137"/>
    <w:rsid w:val="0CAF350E"/>
    <w:rsid w:val="0D766D04"/>
    <w:rsid w:val="0E124C7E"/>
    <w:rsid w:val="0E23023E"/>
    <w:rsid w:val="0F207BC1"/>
    <w:rsid w:val="0F306036"/>
    <w:rsid w:val="0F5D2E23"/>
    <w:rsid w:val="0FB87F34"/>
    <w:rsid w:val="0FC85454"/>
    <w:rsid w:val="12217B86"/>
    <w:rsid w:val="13703C94"/>
    <w:rsid w:val="13F13999"/>
    <w:rsid w:val="146B333A"/>
    <w:rsid w:val="14B832B9"/>
    <w:rsid w:val="15433117"/>
    <w:rsid w:val="16946B78"/>
    <w:rsid w:val="16955BEB"/>
    <w:rsid w:val="16BA7EB9"/>
    <w:rsid w:val="16F1515A"/>
    <w:rsid w:val="17277434"/>
    <w:rsid w:val="17421106"/>
    <w:rsid w:val="17F453F5"/>
    <w:rsid w:val="1804388A"/>
    <w:rsid w:val="185D03D3"/>
    <w:rsid w:val="18A24E51"/>
    <w:rsid w:val="18EB4A4A"/>
    <w:rsid w:val="18FE7D5A"/>
    <w:rsid w:val="19442572"/>
    <w:rsid w:val="1A0538E9"/>
    <w:rsid w:val="1A097F4B"/>
    <w:rsid w:val="1A4D2E6A"/>
    <w:rsid w:val="1A923805"/>
    <w:rsid w:val="1AAC0281"/>
    <w:rsid w:val="1AE16BC3"/>
    <w:rsid w:val="1B884D3A"/>
    <w:rsid w:val="1CAD7121"/>
    <w:rsid w:val="1CFA525B"/>
    <w:rsid w:val="1D50414A"/>
    <w:rsid w:val="1D722A54"/>
    <w:rsid w:val="1DA04055"/>
    <w:rsid w:val="1E44111A"/>
    <w:rsid w:val="1E74103D"/>
    <w:rsid w:val="1F787847"/>
    <w:rsid w:val="1FB83B1E"/>
    <w:rsid w:val="21AC30EA"/>
    <w:rsid w:val="21C76065"/>
    <w:rsid w:val="22436706"/>
    <w:rsid w:val="22CF0F38"/>
    <w:rsid w:val="22F9220C"/>
    <w:rsid w:val="23200BD5"/>
    <w:rsid w:val="234445A9"/>
    <w:rsid w:val="23BA0AA3"/>
    <w:rsid w:val="244575F2"/>
    <w:rsid w:val="24810C61"/>
    <w:rsid w:val="24A8295C"/>
    <w:rsid w:val="257D111F"/>
    <w:rsid w:val="25946744"/>
    <w:rsid w:val="259634A5"/>
    <w:rsid w:val="25B204CF"/>
    <w:rsid w:val="269C7383"/>
    <w:rsid w:val="26A763EE"/>
    <w:rsid w:val="27404857"/>
    <w:rsid w:val="278655DE"/>
    <w:rsid w:val="287E5391"/>
    <w:rsid w:val="289D67B0"/>
    <w:rsid w:val="298E38FB"/>
    <w:rsid w:val="298F1421"/>
    <w:rsid w:val="29B201D1"/>
    <w:rsid w:val="2A1A2291"/>
    <w:rsid w:val="2A68414C"/>
    <w:rsid w:val="2CD71115"/>
    <w:rsid w:val="2CFD3656"/>
    <w:rsid w:val="2D0B56FF"/>
    <w:rsid w:val="2D552C8D"/>
    <w:rsid w:val="2E3F30C7"/>
    <w:rsid w:val="2E4B6CC0"/>
    <w:rsid w:val="2ED418FE"/>
    <w:rsid w:val="301B25E9"/>
    <w:rsid w:val="317528E6"/>
    <w:rsid w:val="31B62B77"/>
    <w:rsid w:val="31CE252D"/>
    <w:rsid w:val="31ED44BF"/>
    <w:rsid w:val="31F6594A"/>
    <w:rsid w:val="321C030D"/>
    <w:rsid w:val="33A91AFF"/>
    <w:rsid w:val="34300B2E"/>
    <w:rsid w:val="34605767"/>
    <w:rsid w:val="34C06933"/>
    <w:rsid w:val="36250EB9"/>
    <w:rsid w:val="365351F7"/>
    <w:rsid w:val="37DF17C6"/>
    <w:rsid w:val="37ED0D37"/>
    <w:rsid w:val="38262ADD"/>
    <w:rsid w:val="39292AFC"/>
    <w:rsid w:val="39900FC9"/>
    <w:rsid w:val="39960F05"/>
    <w:rsid w:val="3A4D2A17"/>
    <w:rsid w:val="3AC14305"/>
    <w:rsid w:val="3B471B5C"/>
    <w:rsid w:val="3BB75E67"/>
    <w:rsid w:val="3CEA6183"/>
    <w:rsid w:val="3D95341C"/>
    <w:rsid w:val="3DAE4275"/>
    <w:rsid w:val="3DB3784D"/>
    <w:rsid w:val="3E0A5E85"/>
    <w:rsid w:val="3E126451"/>
    <w:rsid w:val="3E951F00"/>
    <w:rsid w:val="3F58532F"/>
    <w:rsid w:val="3F6E1AAE"/>
    <w:rsid w:val="3FA94B93"/>
    <w:rsid w:val="3FEA0D08"/>
    <w:rsid w:val="40296CAD"/>
    <w:rsid w:val="40814AC4"/>
    <w:rsid w:val="412D41D1"/>
    <w:rsid w:val="41304977"/>
    <w:rsid w:val="41B4619F"/>
    <w:rsid w:val="4235270E"/>
    <w:rsid w:val="42562684"/>
    <w:rsid w:val="4349390A"/>
    <w:rsid w:val="43BF6F0E"/>
    <w:rsid w:val="443D1D4E"/>
    <w:rsid w:val="445F1111"/>
    <w:rsid w:val="44E70686"/>
    <w:rsid w:val="45011A03"/>
    <w:rsid w:val="45C36073"/>
    <w:rsid w:val="45EF6B47"/>
    <w:rsid w:val="461D6881"/>
    <w:rsid w:val="4766430D"/>
    <w:rsid w:val="47FD7179"/>
    <w:rsid w:val="480B4455"/>
    <w:rsid w:val="4A4200BE"/>
    <w:rsid w:val="4A463F23"/>
    <w:rsid w:val="4A610137"/>
    <w:rsid w:val="4A7D5D46"/>
    <w:rsid w:val="4AA1343D"/>
    <w:rsid w:val="4AE9033B"/>
    <w:rsid w:val="4B221C9D"/>
    <w:rsid w:val="4B7A279D"/>
    <w:rsid w:val="4B820ECC"/>
    <w:rsid w:val="4B842010"/>
    <w:rsid w:val="4BA35DDF"/>
    <w:rsid w:val="4BAD77B9"/>
    <w:rsid w:val="4BBA555B"/>
    <w:rsid w:val="4C8229F4"/>
    <w:rsid w:val="4C8C0A39"/>
    <w:rsid w:val="4D3030E0"/>
    <w:rsid w:val="4DB30773"/>
    <w:rsid w:val="4E3A59BC"/>
    <w:rsid w:val="4EC74768"/>
    <w:rsid w:val="4EE47218"/>
    <w:rsid w:val="4F653A52"/>
    <w:rsid w:val="512162A4"/>
    <w:rsid w:val="51CF0D2B"/>
    <w:rsid w:val="526861E8"/>
    <w:rsid w:val="528A4C90"/>
    <w:rsid w:val="53141DAD"/>
    <w:rsid w:val="535C7265"/>
    <w:rsid w:val="53BA7AEA"/>
    <w:rsid w:val="53BB43ED"/>
    <w:rsid w:val="540823E2"/>
    <w:rsid w:val="5412183E"/>
    <w:rsid w:val="54751090"/>
    <w:rsid w:val="54F16C07"/>
    <w:rsid w:val="55601106"/>
    <w:rsid w:val="55932D5A"/>
    <w:rsid w:val="55EA15CC"/>
    <w:rsid w:val="565910E1"/>
    <w:rsid w:val="56704409"/>
    <w:rsid w:val="56BB414B"/>
    <w:rsid w:val="56F11F2D"/>
    <w:rsid w:val="581C4618"/>
    <w:rsid w:val="590E6D99"/>
    <w:rsid w:val="596D0588"/>
    <w:rsid w:val="59A15A85"/>
    <w:rsid w:val="5A0B7AB4"/>
    <w:rsid w:val="5AD05272"/>
    <w:rsid w:val="5B99786C"/>
    <w:rsid w:val="5BAD7361"/>
    <w:rsid w:val="5BCD6CDE"/>
    <w:rsid w:val="5BEB195F"/>
    <w:rsid w:val="5C277198"/>
    <w:rsid w:val="5C5A6B40"/>
    <w:rsid w:val="5CA06A17"/>
    <w:rsid w:val="5CDA0774"/>
    <w:rsid w:val="5DA6341F"/>
    <w:rsid w:val="5E791DDE"/>
    <w:rsid w:val="5E7C04B1"/>
    <w:rsid w:val="5EEF3858"/>
    <w:rsid w:val="5F115F4D"/>
    <w:rsid w:val="5FC8476A"/>
    <w:rsid w:val="5FD71700"/>
    <w:rsid w:val="5FED2422"/>
    <w:rsid w:val="6027424E"/>
    <w:rsid w:val="60767CB7"/>
    <w:rsid w:val="611541F8"/>
    <w:rsid w:val="616C3F9F"/>
    <w:rsid w:val="62C47D39"/>
    <w:rsid w:val="62EC69C1"/>
    <w:rsid w:val="63B12E92"/>
    <w:rsid w:val="65722982"/>
    <w:rsid w:val="662D0D93"/>
    <w:rsid w:val="66716E72"/>
    <w:rsid w:val="6698716C"/>
    <w:rsid w:val="67665E50"/>
    <w:rsid w:val="67FB3202"/>
    <w:rsid w:val="67FD3E79"/>
    <w:rsid w:val="68E819D9"/>
    <w:rsid w:val="696B7F0E"/>
    <w:rsid w:val="69BF61A6"/>
    <w:rsid w:val="69C41893"/>
    <w:rsid w:val="6A107D22"/>
    <w:rsid w:val="6A2C1D99"/>
    <w:rsid w:val="6A3A17EA"/>
    <w:rsid w:val="6A626C0B"/>
    <w:rsid w:val="6AE21EE3"/>
    <w:rsid w:val="6B483851"/>
    <w:rsid w:val="6B9320D0"/>
    <w:rsid w:val="6BBD39C9"/>
    <w:rsid w:val="6C4950B6"/>
    <w:rsid w:val="6C65558A"/>
    <w:rsid w:val="6DA858C9"/>
    <w:rsid w:val="6DF65449"/>
    <w:rsid w:val="6EEF1D13"/>
    <w:rsid w:val="6FC34060"/>
    <w:rsid w:val="7022492D"/>
    <w:rsid w:val="7055465D"/>
    <w:rsid w:val="70CA4558"/>
    <w:rsid w:val="71134304"/>
    <w:rsid w:val="714A38B9"/>
    <w:rsid w:val="71CE27E2"/>
    <w:rsid w:val="720223C8"/>
    <w:rsid w:val="726E49B7"/>
    <w:rsid w:val="72D80D10"/>
    <w:rsid w:val="72E945DB"/>
    <w:rsid w:val="72F622E2"/>
    <w:rsid w:val="73037F0B"/>
    <w:rsid w:val="733C129F"/>
    <w:rsid w:val="754B38A5"/>
    <w:rsid w:val="76543A58"/>
    <w:rsid w:val="76592168"/>
    <w:rsid w:val="76BE0C00"/>
    <w:rsid w:val="771D5ABE"/>
    <w:rsid w:val="78055108"/>
    <w:rsid w:val="785E7377"/>
    <w:rsid w:val="7884123D"/>
    <w:rsid w:val="789F1047"/>
    <w:rsid w:val="78A9053B"/>
    <w:rsid w:val="7915065D"/>
    <w:rsid w:val="796532BE"/>
    <w:rsid w:val="7AAA7CDC"/>
    <w:rsid w:val="7AAD2A82"/>
    <w:rsid w:val="7AD64966"/>
    <w:rsid w:val="7B263107"/>
    <w:rsid w:val="7B307D06"/>
    <w:rsid w:val="7BA37AEB"/>
    <w:rsid w:val="7C127041"/>
    <w:rsid w:val="7C26489A"/>
    <w:rsid w:val="7C5867D7"/>
    <w:rsid w:val="7C7F3853"/>
    <w:rsid w:val="7C8D3C59"/>
    <w:rsid w:val="7E192908"/>
    <w:rsid w:val="7E250964"/>
    <w:rsid w:val="7F9D3371"/>
    <w:rsid w:val="7FF57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iPriority="0" w:semiHidden="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99"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8"/>
    <w:qFormat/>
    <w:uiPriority w:val="9"/>
    <w:pPr>
      <w:keepNext/>
      <w:keepLines/>
      <w:widowControl/>
      <w:spacing w:before="480" w:line="276" w:lineRule="auto"/>
      <w:jc w:val="left"/>
      <w:outlineLvl w:val="0"/>
    </w:pPr>
    <w:rPr>
      <w:rFonts w:ascii="Cambria" w:hAnsi="Cambria"/>
      <w:b/>
      <w:bCs/>
      <w:color w:val="365F91"/>
      <w:kern w:val="0"/>
      <w:sz w:val="28"/>
      <w:szCs w:val="28"/>
      <w:lang w:val="zh-CN"/>
    </w:rPr>
  </w:style>
  <w:style w:type="paragraph" w:styleId="4">
    <w:name w:val="heading 2"/>
    <w:basedOn w:val="1"/>
    <w:next w:val="1"/>
    <w:link w:val="109"/>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110"/>
    <w:qFormat/>
    <w:uiPriority w:val="0"/>
    <w:pPr>
      <w:keepNext/>
      <w:keepLines/>
      <w:spacing w:before="260" w:after="260" w:line="416" w:lineRule="auto"/>
      <w:outlineLvl w:val="2"/>
    </w:pPr>
    <w:rPr>
      <w:b/>
      <w:bCs/>
      <w:sz w:val="32"/>
      <w:szCs w:val="32"/>
    </w:rPr>
  </w:style>
  <w:style w:type="paragraph" w:styleId="6">
    <w:name w:val="heading 4"/>
    <w:basedOn w:val="1"/>
    <w:next w:val="1"/>
    <w:link w:val="111"/>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112"/>
    <w:qFormat/>
    <w:uiPriority w:val="0"/>
    <w:pPr>
      <w:keepNext/>
      <w:keepLines/>
      <w:spacing w:before="280" w:after="290" w:line="376" w:lineRule="auto"/>
      <w:outlineLvl w:val="4"/>
    </w:pPr>
    <w:rPr>
      <w:b/>
      <w:bCs/>
      <w:sz w:val="28"/>
      <w:szCs w:val="28"/>
    </w:rPr>
  </w:style>
  <w:style w:type="paragraph" w:styleId="8">
    <w:name w:val="heading 6"/>
    <w:basedOn w:val="1"/>
    <w:next w:val="1"/>
    <w:link w:val="113"/>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link w:val="114"/>
    <w:qFormat/>
    <w:uiPriority w:val="0"/>
    <w:pPr>
      <w:keepNext/>
      <w:keepLines/>
      <w:spacing w:before="240" w:after="64" w:line="320" w:lineRule="auto"/>
      <w:outlineLvl w:val="6"/>
    </w:pPr>
    <w:rPr>
      <w:b/>
      <w:bCs/>
      <w:sz w:val="24"/>
    </w:rPr>
  </w:style>
  <w:style w:type="paragraph" w:styleId="10">
    <w:name w:val="heading 8"/>
    <w:basedOn w:val="1"/>
    <w:next w:val="1"/>
    <w:link w:val="115"/>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link w:val="116"/>
    <w:qFormat/>
    <w:uiPriority w:val="0"/>
    <w:pPr>
      <w:keepNext/>
      <w:keepLines/>
      <w:spacing w:before="240" w:after="64" w:line="320" w:lineRule="auto"/>
      <w:outlineLvl w:val="8"/>
    </w:pPr>
    <w:rPr>
      <w:rFonts w:ascii="Arial" w:hAnsi="Arial" w:eastAsia="黑体"/>
      <w:szCs w:val="21"/>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3">
    <w:name w:val="macro"/>
    <w:link w:val="149"/>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pPr>
  </w:style>
  <w:style w:type="paragraph" w:styleId="13">
    <w:name w:val="toc 7"/>
    <w:basedOn w:val="1"/>
    <w:next w:val="1"/>
    <w:qFormat/>
    <w:uiPriority w:val="0"/>
    <w:pPr>
      <w:ind w:left="2520" w:leftChars="1200"/>
    </w:pPr>
    <w:rPr>
      <w:szCs w:val="20"/>
    </w:rPr>
  </w:style>
  <w:style w:type="paragraph" w:styleId="14">
    <w:name w:val="List Number 2"/>
    <w:basedOn w:val="1"/>
    <w:qFormat/>
    <w:uiPriority w:val="0"/>
    <w:pPr>
      <w:tabs>
        <w:tab w:val="left" w:pos="675"/>
        <w:tab w:val="left" w:pos="780"/>
      </w:tabs>
      <w:ind w:left="675" w:hanging="360"/>
    </w:pPr>
  </w:style>
  <w:style w:type="paragraph" w:styleId="15">
    <w:name w:val="table of authorities"/>
    <w:basedOn w:val="1"/>
    <w:next w:val="1"/>
    <w:qFormat/>
    <w:uiPriority w:val="0"/>
    <w:pPr>
      <w:ind w:left="420" w:leftChars="200"/>
    </w:pPr>
  </w:style>
  <w:style w:type="paragraph" w:styleId="16">
    <w:name w:val="Note Heading"/>
    <w:basedOn w:val="1"/>
    <w:next w:val="1"/>
    <w:link w:val="150"/>
    <w:qFormat/>
    <w:uiPriority w:val="0"/>
    <w:pPr>
      <w:jc w:val="center"/>
    </w:pPr>
  </w:style>
  <w:style w:type="paragraph" w:styleId="17">
    <w:name w:val="List Bullet 4"/>
    <w:basedOn w:val="1"/>
    <w:qFormat/>
    <w:uiPriority w:val="0"/>
    <w:pPr>
      <w:tabs>
        <w:tab w:val="left" w:pos="750"/>
        <w:tab w:val="left" w:pos="1620"/>
      </w:tabs>
      <w:ind w:left="750" w:hanging="750"/>
    </w:pPr>
  </w:style>
  <w:style w:type="paragraph" w:styleId="18">
    <w:name w:val="index 8"/>
    <w:basedOn w:val="1"/>
    <w:next w:val="1"/>
    <w:qFormat/>
    <w:uiPriority w:val="0"/>
    <w:pPr>
      <w:ind w:left="1400" w:leftChars="1400"/>
    </w:pPr>
  </w:style>
  <w:style w:type="paragraph" w:styleId="19">
    <w:name w:val="E-mail Signature"/>
    <w:basedOn w:val="1"/>
    <w:link w:val="151"/>
    <w:qFormat/>
    <w:uiPriority w:val="0"/>
  </w:style>
  <w:style w:type="paragraph" w:styleId="20">
    <w:name w:val="List Number"/>
    <w:basedOn w:val="1"/>
    <w:qFormat/>
    <w:uiPriority w:val="0"/>
    <w:pPr>
      <w:tabs>
        <w:tab w:val="left" w:pos="360"/>
        <w:tab w:val="left" w:pos="720"/>
      </w:tabs>
      <w:ind w:left="720" w:hanging="720"/>
    </w:pPr>
  </w:style>
  <w:style w:type="paragraph" w:styleId="21">
    <w:name w:val="Normal Indent"/>
    <w:basedOn w:val="1"/>
    <w:unhideWhenUsed/>
    <w:qFormat/>
    <w:uiPriority w:val="0"/>
    <w:pPr>
      <w:ind w:firstLine="420" w:firstLineChars="200"/>
    </w:pPr>
  </w:style>
  <w:style w:type="paragraph" w:styleId="22">
    <w:name w:val="caption"/>
    <w:basedOn w:val="1"/>
    <w:next w:val="1"/>
    <w:qFormat/>
    <w:uiPriority w:val="0"/>
    <w:pPr>
      <w:jc w:val="center"/>
    </w:pPr>
    <w:rPr>
      <w:rFonts w:ascii="Arial" w:hAnsi="Arial" w:eastAsia="黑体" w:cs="Arial"/>
      <w:sz w:val="24"/>
      <w:szCs w:val="20"/>
    </w:rPr>
  </w:style>
  <w:style w:type="paragraph" w:styleId="23">
    <w:name w:val="index 5"/>
    <w:basedOn w:val="1"/>
    <w:next w:val="1"/>
    <w:qFormat/>
    <w:uiPriority w:val="0"/>
    <w:pPr>
      <w:ind w:left="800" w:leftChars="800"/>
    </w:pPr>
  </w:style>
  <w:style w:type="paragraph" w:styleId="24">
    <w:name w:val="List Bullet"/>
    <w:basedOn w:val="1"/>
    <w:qFormat/>
    <w:uiPriority w:val="0"/>
    <w:pPr>
      <w:tabs>
        <w:tab w:val="left" w:pos="360"/>
        <w:tab w:val="left" w:pos="720"/>
      </w:tabs>
      <w:ind w:left="720" w:hanging="720"/>
    </w:pPr>
  </w:style>
  <w:style w:type="paragraph" w:styleId="25">
    <w:name w:val="envelope address"/>
    <w:basedOn w:val="1"/>
    <w:qFormat/>
    <w:uiPriority w:val="0"/>
    <w:pPr>
      <w:snapToGrid w:val="0"/>
      <w:ind w:left="100" w:leftChars="1400"/>
    </w:pPr>
    <w:rPr>
      <w:rFonts w:ascii="Arial" w:hAnsi="Arial" w:cs="Arial"/>
      <w:sz w:val="24"/>
    </w:rPr>
  </w:style>
  <w:style w:type="paragraph" w:styleId="26">
    <w:name w:val="Document Map"/>
    <w:basedOn w:val="1"/>
    <w:link w:val="152"/>
    <w:qFormat/>
    <w:uiPriority w:val="0"/>
    <w:pPr>
      <w:shd w:val="clear" w:color="auto" w:fill="000080"/>
    </w:pPr>
  </w:style>
  <w:style w:type="paragraph" w:styleId="27">
    <w:name w:val="toa heading"/>
    <w:basedOn w:val="1"/>
    <w:next w:val="1"/>
    <w:qFormat/>
    <w:uiPriority w:val="0"/>
    <w:pPr>
      <w:spacing w:before="120"/>
    </w:pPr>
    <w:rPr>
      <w:rFonts w:ascii="Arial" w:hAnsi="Arial" w:cs="Arial"/>
      <w:sz w:val="24"/>
    </w:rPr>
  </w:style>
  <w:style w:type="paragraph" w:styleId="28">
    <w:name w:val="annotation text"/>
    <w:basedOn w:val="1"/>
    <w:link w:val="153"/>
    <w:unhideWhenUsed/>
    <w:qFormat/>
    <w:uiPriority w:val="0"/>
    <w:pPr>
      <w:jc w:val="left"/>
    </w:pPr>
    <w:rPr>
      <w:szCs w:val="21"/>
    </w:rPr>
  </w:style>
  <w:style w:type="paragraph" w:styleId="29">
    <w:name w:val="index 6"/>
    <w:basedOn w:val="1"/>
    <w:next w:val="1"/>
    <w:qFormat/>
    <w:uiPriority w:val="0"/>
    <w:pPr>
      <w:ind w:left="1000" w:leftChars="1000"/>
    </w:pPr>
  </w:style>
  <w:style w:type="paragraph" w:styleId="30">
    <w:name w:val="Salutation"/>
    <w:basedOn w:val="1"/>
    <w:next w:val="1"/>
    <w:link w:val="154"/>
    <w:qFormat/>
    <w:uiPriority w:val="0"/>
  </w:style>
  <w:style w:type="paragraph" w:styleId="31">
    <w:name w:val="Body Text 3"/>
    <w:basedOn w:val="1"/>
    <w:link w:val="155"/>
    <w:qFormat/>
    <w:uiPriority w:val="0"/>
    <w:pPr>
      <w:spacing w:after="120"/>
    </w:pPr>
    <w:rPr>
      <w:sz w:val="16"/>
      <w:szCs w:val="16"/>
    </w:rPr>
  </w:style>
  <w:style w:type="paragraph" w:styleId="32">
    <w:name w:val="Closing"/>
    <w:basedOn w:val="1"/>
    <w:link w:val="156"/>
    <w:qFormat/>
    <w:uiPriority w:val="0"/>
    <w:pPr>
      <w:ind w:left="100" w:leftChars="2100"/>
    </w:pPr>
  </w:style>
  <w:style w:type="paragraph" w:styleId="33">
    <w:name w:val="List Bullet 3"/>
    <w:basedOn w:val="1"/>
    <w:qFormat/>
    <w:uiPriority w:val="0"/>
    <w:pPr>
      <w:tabs>
        <w:tab w:val="left" w:pos="480"/>
        <w:tab w:val="left" w:pos="1200"/>
      </w:tabs>
      <w:ind w:left="480" w:hanging="480"/>
    </w:pPr>
  </w:style>
  <w:style w:type="paragraph" w:styleId="34">
    <w:name w:val="Body Text"/>
    <w:basedOn w:val="1"/>
    <w:link w:val="157"/>
    <w:qFormat/>
    <w:uiPriority w:val="0"/>
    <w:pPr>
      <w:spacing w:after="120"/>
    </w:pPr>
  </w:style>
  <w:style w:type="paragraph" w:styleId="35">
    <w:name w:val="Body Text Indent"/>
    <w:basedOn w:val="1"/>
    <w:link w:val="158"/>
    <w:qFormat/>
    <w:uiPriority w:val="0"/>
    <w:pPr>
      <w:spacing w:after="120"/>
      <w:ind w:left="420" w:leftChars="200"/>
    </w:pPr>
  </w:style>
  <w:style w:type="paragraph" w:styleId="36">
    <w:name w:val="List Number 3"/>
    <w:basedOn w:val="1"/>
    <w:qFormat/>
    <w:uiPriority w:val="0"/>
    <w:pPr>
      <w:tabs>
        <w:tab w:val="left" w:pos="360"/>
        <w:tab w:val="left" w:pos="1200"/>
      </w:tabs>
      <w:ind w:left="360" w:hanging="360"/>
    </w:pPr>
  </w:style>
  <w:style w:type="paragraph" w:styleId="37">
    <w:name w:val="List 2"/>
    <w:basedOn w:val="1"/>
    <w:qFormat/>
    <w:uiPriority w:val="0"/>
    <w:pPr>
      <w:ind w:left="100" w:leftChars="200" w:hanging="200" w:hangingChars="200"/>
      <w:contextualSpacing/>
    </w:pPr>
  </w:style>
  <w:style w:type="paragraph" w:styleId="38">
    <w:name w:val="List Continue"/>
    <w:basedOn w:val="1"/>
    <w:qFormat/>
    <w:uiPriority w:val="0"/>
    <w:pPr>
      <w:spacing w:after="120"/>
      <w:ind w:left="420" w:leftChars="200"/>
    </w:p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tabs>
        <w:tab w:val="left" w:pos="720"/>
        <w:tab w:val="left" w:pos="780"/>
      </w:tabs>
      <w:ind w:left="720" w:hanging="360"/>
    </w:pPr>
  </w:style>
  <w:style w:type="paragraph" w:styleId="41">
    <w:name w:val="HTML Address"/>
    <w:basedOn w:val="1"/>
    <w:link w:val="159"/>
    <w:qFormat/>
    <w:uiPriority w:val="0"/>
    <w:rPr>
      <w:i/>
      <w:iCs/>
    </w:rPr>
  </w:style>
  <w:style w:type="paragraph" w:styleId="42">
    <w:name w:val="index 4"/>
    <w:basedOn w:val="1"/>
    <w:next w:val="1"/>
    <w:qFormat/>
    <w:uiPriority w:val="0"/>
    <w:pPr>
      <w:ind w:left="600" w:leftChars="600"/>
    </w:pPr>
  </w:style>
  <w:style w:type="paragraph" w:styleId="43">
    <w:name w:val="toc 5"/>
    <w:basedOn w:val="1"/>
    <w:next w:val="1"/>
    <w:qFormat/>
    <w:uiPriority w:val="0"/>
    <w:pPr>
      <w:ind w:left="1680" w:leftChars="800"/>
    </w:pPr>
  </w:style>
  <w:style w:type="paragraph" w:styleId="44">
    <w:name w:val="toc 3"/>
    <w:basedOn w:val="1"/>
    <w:next w:val="1"/>
    <w:qFormat/>
    <w:uiPriority w:val="0"/>
    <w:pPr>
      <w:tabs>
        <w:tab w:val="right" w:leader="dot" w:pos="8296"/>
      </w:tabs>
      <w:spacing w:line="312" w:lineRule="auto"/>
      <w:ind w:left="400" w:leftChars="400"/>
    </w:pPr>
    <w:rPr>
      <w:sz w:val="24"/>
    </w:rPr>
  </w:style>
  <w:style w:type="paragraph" w:styleId="45">
    <w:name w:val="Plain Text"/>
    <w:basedOn w:val="1"/>
    <w:link w:val="117"/>
    <w:qFormat/>
    <w:uiPriority w:val="0"/>
    <w:rPr>
      <w:rFonts w:ascii="宋体" w:hAnsi="Courier New"/>
      <w:szCs w:val="20"/>
      <w:lang w:val="zh-CN"/>
    </w:rPr>
  </w:style>
  <w:style w:type="paragraph" w:styleId="46">
    <w:name w:val="List Bullet 5"/>
    <w:basedOn w:val="1"/>
    <w:qFormat/>
    <w:uiPriority w:val="0"/>
    <w:pPr>
      <w:tabs>
        <w:tab w:val="left" w:pos="840"/>
        <w:tab w:val="left" w:pos="2040"/>
      </w:tabs>
      <w:ind w:left="840" w:hanging="420"/>
    </w:pPr>
  </w:style>
  <w:style w:type="paragraph" w:styleId="47">
    <w:name w:val="List Number 4"/>
    <w:basedOn w:val="1"/>
    <w:qFormat/>
    <w:uiPriority w:val="0"/>
    <w:pPr>
      <w:tabs>
        <w:tab w:val="left" w:pos="960"/>
        <w:tab w:val="left" w:pos="1620"/>
      </w:tabs>
      <w:ind w:left="960" w:hanging="720"/>
    </w:pPr>
  </w:style>
  <w:style w:type="paragraph" w:styleId="48">
    <w:name w:val="toc 8"/>
    <w:basedOn w:val="13"/>
    <w:next w:val="1"/>
    <w:qFormat/>
    <w:uiPriority w:val="0"/>
    <w:pPr>
      <w:widowControl/>
      <w:ind w:left="0" w:leftChars="0"/>
    </w:pPr>
    <w:rPr>
      <w:rFonts w:ascii="宋体"/>
      <w:kern w:val="0"/>
    </w:rPr>
  </w:style>
  <w:style w:type="paragraph" w:styleId="49">
    <w:name w:val="index 3"/>
    <w:basedOn w:val="1"/>
    <w:next w:val="1"/>
    <w:qFormat/>
    <w:uiPriority w:val="0"/>
    <w:pPr>
      <w:ind w:left="400" w:leftChars="400"/>
    </w:pPr>
  </w:style>
  <w:style w:type="paragraph" w:styleId="50">
    <w:name w:val="Date"/>
    <w:basedOn w:val="1"/>
    <w:next w:val="1"/>
    <w:link w:val="118"/>
    <w:qFormat/>
    <w:uiPriority w:val="0"/>
    <w:pPr>
      <w:ind w:left="100" w:leftChars="2500"/>
    </w:pPr>
    <w:rPr>
      <w:szCs w:val="20"/>
    </w:rPr>
  </w:style>
  <w:style w:type="paragraph" w:styleId="51">
    <w:name w:val="Body Text Indent 2"/>
    <w:basedOn w:val="1"/>
    <w:link w:val="160"/>
    <w:qFormat/>
    <w:uiPriority w:val="0"/>
    <w:pPr>
      <w:spacing w:after="120" w:line="480" w:lineRule="auto"/>
      <w:ind w:left="420" w:leftChars="200"/>
    </w:pPr>
  </w:style>
  <w:style w:type="paragraph" w:styleId="52">
    <w:name w:val="endnote text"/>
    <w:basedOn w:val="1"/>
    <w:link w:val="161"/>
    <w:qFormat/>
    <w:uiPriority w:val="0"/>
    <w:pPr>
      <w:snapToGrid w:val="0"/>
      <w:jc w:val="left"/>
    </w:pPr>
  </w:style>
  <w:style w:type="paragraph" w:styleId="53">
    <w:name w:val="List Continue 5"/>
    <w:basedOn w:val="1"/>
    <w:qFormat/>
    <w:uiPriority w:val="0"/>
    <w:pPr>
      <w:spacing w:after="120"/>
      <w:ind w:left="2100" w:leftChars="1000"/>
    </w:pPr>
  </w:style>
  <w:style w:type="paragraph" w:styleId="54">
    <w:name w:val="Balloon Text"/>
    <w:basedOn w:val="1"/>
    <w:link w:val="119"/>
    <w:qFormat/>
    <w:uiPriority w:val="0"/>
    <w:rPr>
      <w:sz w:val="18"/>
      <w:szCs w:val="18"/>
      <w:lang w:val="zh-CN"/>
    </w:rPr>
  </w:style>
  <w:style w:type="paragraph" w:styleId="55">
    <w:name w:val="footer"/>
    <w:basedOn w:val="1"/>
    <w:link w:val="120"/>
    <w:qFormat/>
    <w:uiPriority w:val="99"/>
    <w:pPr>
      <w:tabs>
        <w:tab w:val="center" w:pos="4153"/>
        <w:tab w:val="right" w:pos="8306"/>
      </w:tabs>
      <w:snapToGrid w:val="0"/>
      <w:jc w:val="left"/>
    </w:pPr>
    <w:rPr>
      <w:sz w:val="18"/>
      <w:szCs w:val="18"/>
      <w:lang w:val="zh-CN"/>
    </w:rPr>
  </w:style>
  <w:style w:type="paragraph" w:styleId="56">
    <w:name w:val="envelope return"/>
    <w:basedOn w:val="1"/>
    <w:qFormat/>
    <w:uiPriority w:val="0"/>
    <w:pPr>
      <w:snapToGrid w:val="0"/>
    </w:pPr>
    <w:rPr>
      <w:rFonts w:ascii="Arial" w:hAnsi="Arial" w:cs="Arial"/>
    </w:rPr>
  </w:style>
  <w:style w:type="paragraph" w:styleId="57">
    <w:name w:val="header"/>
    <w:basedOn w:val="1"/>
    <w:link w:val="121"/>
    <w:qFormat/>
    <w:uiPriority w:val="0"/>
    <w:pPr>
      <w:pBdr>
        <w:bottom w:val="single" w:color="auto" w:sz="6" w:space="1"/>
      </w:pBdr>
      <w:tabs>
        <w:tab w:val="center" w:pos="4153"/>
        <w:tab w:val="right" w:pos="8306"/>
      </w:tabs>
      <w:snapToGrid w:val="0"/>
      <w:jc w:val="center"/>
    </w:pPr>
    <w:rPr>
      <w:sz w:val="18"/>
      <w:szCs w:val="18"/>
      <w:lang w:val="zh-CN"/>
    </w:rPr>
  </w:style>
  <w:style w:type="paragraph" w:styleId="58">
    <w:name w:val="Signature"/>
    <w:basedOn w:val="1"/>
    <w:link w:val="162"/>
    <w:qFormat/>
    <w:uiPriority w:val="0"/>
    <w:pPr>
      <w:ind w:left="100" w:leftChars="2100"/>
    </w:pPr>
  </w:style>
  <w:style w:type="paragraph" w:styleId="59">
    <w:name w:val="toc 1"/>
    <w:basedOn w:val="1"/>
    <w:next w:val="1"/>
    <w:qFormat/>
    <w:uiPriority w:val="0"/>
    <w:pPr>
      <w:tabs>
        <w:tab w:val="right" w:leader="dot" w:pos="8296"/>
      </w:tabs>
      <w:spacing w:line="312" w:lineRule="auto"/>
    </w:pPr>
    <w:rPr>
      <w:sz w:val="24"/>
    </w:rPr>
  </w:style>
  <w:style w:type="paragraph" w:styleId="60">
    <w:name w:val="List Continue 4"/>
    <w:basedOn w:val="1"/>
    <w:qFormat/>
    <w:uiPriority w:val="0"/>
    <w:pPr>
      <w:spacing w:after="120"/>
      <w:ind w:left="1680" w:leftChars="800"/>
    </w:pPr>
  </w:style>
  <w:style w:type="paragraph" w:styleId="61">
    <w:name w:val="toc 4"/>
    <w:basedOn w:val="1"/>
    <w:next w:val="1"/>
    <w:qFormat/>
    <w:uiPriority w:val="0"/>
    <w:pPr>
      <w:ind w:left="1260" w:leftChars="600"/>
    </w:pPr>
  </w:style>
  <w:style w:type="paragraph" w:styleId="62">
    <w:name w:val="index heading"/>
    <w:basedOn w:val="1"/>
    <w:next w:val="63"/>
    <w:qFormat/>
    <w:uiPriority w:val="0"/>
    <w:rPr>
      <w:rFonts w:ascii="Arial" w:hAnsi="Arial" w:cs="Arial"/>
      <w:b/>
      <w:bCs/>
    </w:rPr>
  </w:style>
  <w:style w:type="paragraph" w:styleId="63">
    <w:name w:val="index 1"/>
    <w:basedOn w:val="1"/>
    <w:next w:val="1"/>
    <w:qFormat/>
    <w:uiPriority w:val="0"/>
  </w:style>
  <w:style w:type="paragraph" w:styleId="64">
    <w:name w:val="Subtitle"/>
    <w:basedOn w:val="1"/>
    <w:link w:val="163"/>
    <w:qFormat/>
    <w:uiPriority w:val="0"/>
    <w:pPr>
      <w:spacing w:before="240" w:after="60" w:line="312" w:lineRule="auto"/>
      <w:jc w:val="center"/>
      <w:outlineLvl w:val="1"/>
    </w:pPr>
    <w:rPr>
      <w:rFonts w:ascii="Arial" w:hAnsi="Arial" w:cs="Arial"/>
      <w:b/>
      <w:bCs/>
      <w:kern w:val="28"/>
      <w:sz w:val="32"/>
      <w:szCs w:val="32"/>
    </w:rPr>
  </w:style>
  <w:style w:type="paragraph" w:styleId="65">
    <w:name w:val="List Number 5"/>
    <w:basedOn w:val="1"/>
    <w:qFormat/>
    <w:uiPriority w:val="0"/>
    <w:pPr>
      <w:tabs>
        <w:tab w:val="left" w:pos="2040"/>
      </w:tabs>
    </w:pPr>
  </w:style>
  <w:style w:type="paragraph" w:styleId="66">
    <w:name w:val="List"/>
    <w:basedOn w:val="1"/>
    <w:qFormat/>
    <w:uiPriority w:val="0"/>
    <w:pPr>
      <w:ind w:left="200" w:hanging="200" w:hangingChars="200"/>
    </w:pPr>
  </w:style>
  <w:style w:type="paragraph" w:styleId="67">
    <w:name w:val="footnote text"/>
    <w:basedOn w:val="1"/>
    <w:link w:val="122"/>
    <w:qFormat/>
    <w:uiPriority w:val="0"/>
    <w:pPr>
      <w:snapToGrid w:val="0"/>
      <w:jc w:val="left"/>
    </w:pPr>
    <w:rPr>
      <w:sz w:val="18"/>
      <w:szCs w:val="18"/>
    </w:rPr>
  </w:style>
  <w:style w:type="paragraph" w:styleId="68">
    <w:name w:val="toc 6"/>
    <w:basedOn w:val="1"/>
    <w:next w:val="1"/>
    <w:qFormat/>
    <w:uiPriority w:val="0"/>
    <w:pPr>
      <w:ind w:left="2100" w:leftChars="1000"/>
    </w:pPr>
  </w:style>
  <w:style w:type="paragraph" w:styleId="69">
    <w:name w:val="List 5"/>
    <w:basedOn w:val="1"/>
    <w:qFormat/>
    <w:uiPriority w:val="0"/>
    <w:pPr>
      <w:ind w:left="100" w:leftChars="800" w:hanging="200" w:hangingChars="200"/>
    </w:pPr>
  </w:style>
  <w:style w:type="paragraph" w:styleId="70">
    <w:name w:val="Body Text Indent 3"/>
    <w:basedOn w:val="1"/>
    <w:link w:val="164"/>
    <w:qFormat/>
    <w:uiPriority w:val="0"/>
    <w:pPr>
      <w:spacing w:after="120"/>
      <w:ind w:left="420" w:leftChars="200"/>
    </w:pPr>
    <w:rPr>
      <w:sz w:val="16"/>
      <w:szCs w:val="16"/>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200" w:leftChars="200" w:hanging="200" w:hangingChars="200"/>
    </w:pPr>
  </w:style>
  <w:style w:type="paragraph" w:styleId="74">
    <w:name w:val="toc 2"/>
    <w:basedOn w:val="1"/>
    <w:next w:val="1"/>
    <w:qFormat/>
    <w:uiPriority w:val="0"/>
    <w:pPr>
      <w:tabs>
        <w:tab w:val="right" w:leader="dot" w:pos="8296"/>
      </w:tabs>
      <w:spacing w:line="312" w:lineRule="auto"/>
      <w:ind w:left="420" w:leftChars="200"/>
    </w:pPr>
    <w:rPr>
      <w:sz w:val="24"/>
    </w:rPr>
  </w:style>
  <w:style w:type="paragraph" w:styleId="75">
    <w:name w:val="toc 9"/>
    <w:basedOn w:val="1"/>
    <w:next w:val="1"/>
    <w:qFormat/>
    <w:uiPriority w:val="0"/>
    <w:pPr>
      <w:ind w:left="3360" w:leftChars="1600"/>
    </w:pPr>
  </w:style>
  <w:style w:type="paragraph" w:styleId="76">
    <w:name w:val="Body Text 2"/>
    <w:basedOn w:val="1"/>
    <w:link w:val="165"/>
    <w:qFormat/>
    <w:uiPriority w:val="0"/>
    <w:pPr>
      <w:spacing w:after="120" w:line="480" w:lineRule="auto"/>
    </w:pPr>
  </w:style>
  <w:style w:type="paragraph" w:styleId="77">
    <w:name w:val="List 4"/>
    <w:basedOn w:val="1"/>
    <w:qFormat/>
    <w:uiPriority w:val="0"/>
    <w:pPr>
      <w:ind w:left="100" w:leftChars="600" w:hanging="200" w:hangingChars="200"/>
    </w:pPr>
  </w:style>
  <w:style w:type="paragraph" w:styleId="78">
    <w:name w:val="List Continue 2"/>
    <w:basedOn w:val="1"/>
    <w:qFormat/>
    <w:uiPriority w:val="0"/>
    <w:pPr>
      <w:spacing w:after="120"/>
      <w:ind w:left="840" w:leftChars="400"/>
    </w:pPr>
  </w:style>
  <w:style w:type="paragraph" w:styleId="79">
    <w:name w:val="Message Header"/>
    <w:basedOn w:val="1"/>
    <w:link w:val="166"/>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rPr>
  </w:style>
  <w:style w:type="paragraph" w:styleId="80">
    <w:name w:val="HTML Preformatted"/>
    <w:basedOn w:val="1"/>
    <w:link w:val="167"/>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1">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82">
    <w:name w:val="List Continue 3"/>
    <w:basedOn w:val="1"/>
    <w:qFormat/>
    <w:uiPriority w:val="0"/>
    <w:pPr>
      <w:spacing w:after="120"/>
      <w:ind w:left="1260" w:leftChars="600"/>
    </w:pPr>
  </w:style>
  <w:style w:type="paragraph" w:styleId="83">
    <w:name w:val="index 2"/>
    <w:basedOn w:val="1"/>
    <w:next w:val="1"/>
    <w:qFormat/>
    <w:uiPriority w:val="0"/>
    <w:pPr>
      <w:ind w:left="200" w:leftChars="200"/>
    </w:pPr>
  </w:style>
  <w:style w:type="paragraph" w:styleId="84">
    <w:name w:val="Title"/>
    <w:basedOn w:val="1"/>
    <w:next w:val="1"/>
    <w:link w:val="123"/>
    <w:qFormat/>
    <w:uiPriority w:val="0"/>
    <w:pPr>
      <w:tabs>
        <w:tab w:val="center" w:pos="3570"/>
        <w:tab w:val="right" w:pos="7875"/>
      </w:tabs>
      <w:spacing w:before="120" w:after="80"/>
      <w:jc w:val="left"/>
      <w:outlineLvl w:val="1"/>
    </w:pPr>
    <w:rPr>
      <w:rFonts w:eastAsia="黑体"/>
      <w:bCs/>
      <w:sz w:val="24"/>
      <w:szCs w:val="32"/>
    </w:rPr>
  </w:style>
  <w:style w:type="paragraph" w:styleId="85">
    <w:name w:val="annotation subject"/>
    <w:basedOn w:val="28"/>
    <w:next w:val="28"/>
    <w:link w:val="168"/>
    <w:qFormat/>
    <w:uiPriority w:val="0"/>
    <w:rPr>
      <w:b/>
      <w:bCs/>
      <w:szCs w:val="24"/>
    </w:rPr>
  </w:style>
  <w:style w:type="paragraph" w:styleId="86">
    <w:name w:val="Body Text First Indent"/>
    <w:basedOn w:val="34"/>
    <w:link w:val="169"/>
    <w:qFormat/>
    <w:uiPriority w:val="0"/>
    <w:pPr>
      <w:ind w:firstLine="420" w:firstLineChars="100"/>
    </w:pPr>
  </w:style>
  <w:style w:type="paragraph" w:styleId="87">
    <w:name w:val="Body Text First Indent 2"/>
    <w:basedOn w:val="35"/>
    <w:link w:val="170"/>
    <w:qFormat/>
    <w:uiPriority w:val="0"/>
    <w:pPr>
      <w:ind w:firstLine="420" w:firstLineChars="200"/>
    </w:pPr>
  </w:style>
  <w:style w:type="table" w:styleId="89">
    <w:name w:val="Table Grid"/>
    <w:basedOn w:val="8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1">
    <w:name w:val="Strong"/>
    <w:basedOn w:val="90"/>
    <w:qFormat/>
    <w:uiPriority w:val="22"/>
    <w:rPr>
      <w:b/>
      <w:bCs/>
    </w:rPr>
  </w:style>
  <w:style w:type="character" w:styleId="92">
    <w:name w:val="endnote reference"/>
    <w:qFormat/>
    <w:uiPriority w:val="0"/>
    <w:rPr>
      <w:vertAlign w:val="superscript"/>
    </w:rPr>
  </w:style>
  <w:style w:type="character" w:styleId="93">
    <w:name w:val="page number"/>
    <w:basedOn w:val="90"/>
    <w:unhideWhenUsed/>
    <w:qFormat/>
    <w:uiPriority w:val="0"/>
    <w:rPr>
      <w:rFonts w:ascii="Times New Roman" w:hAnsi="Times New Roman" w:eastAsia="宋体"/>
      <w:sz w:val="18"/>
    </w:rPr>
  </w:style>
  <w:style w:type="character" w:styleId="94">
    <w:name w:val="FollowedHyperlink"/>
    <w:basedOn w:val="90"/>
    <w:qFormat/>
    <w:uiPriority w:val="99"/>
    <w:rPr>
      <w:color w:val="954F72" w:themeColor="followedHyperlink"/>
      <w:u w:val="single"/>
      <w14:textFill>
        <w14:solidFill>
          <w14:schemeClr w14:val="folHlink"/>
        </w14:solidFill>
      </w14:textFill>
    </w:rPr>
  </w:style>
  <w:style w:type="character" w:styleId="95">
    <w:name w:val="Emphasis"/>
    <w:qFormat/>
    <w:uiPriority w:val="20"/>
    <w:rPr>
      <w:i/>
      <w:iCs/>
    </w:rPr>
  </w:style>
  <w:style w:type="character" w:styleId="96">
    <w:name w:val="line number"/>
    <w:basedOn w:val="90"/>
    <w:qFormat/>
    <w:uiPriority w:val="0"/>
  </w:style>
  <w:style w:type="character" w:styleId="97">
    <w:name w:val="HTML Definition"/>
    <w:qFormat/>
    <w:uiPriority w:val="0"/>
    <w:rPr>
      <w:i/>
      <w:iCs/>
    </w:rPr>
  </w:style>
  <w:style w:type="character" w:styleId="98">
    <w:name w:val="HTML Typewriter"/>
    <w:qFormat/>
    <w:uiPriority w:val="0"/>
    <w:rPr>
      <w:rFonts w:ascii="Courier New" w:hAnsi="Courier New" w:cs="Courier New"/>
      <w:sz w:val="20"/>
      <w:szCs w:val="20"/>
    </w:rPr>
  </w:style>
  <w:style w:type="character" w:styleId="99">
    <w:name w:val="HTML Acronym"/>
    <w:basedOn w:val="90"/>
    <w:qFormat/>
    <w:uiPriority w:val="0"/>
  </w:style>
  <w:style w:type="character" w:styleId="100">
    <w:name w:val="HTML Variable"/>
    <w:qFormat/>
    <w:uiPriority w:val="0"/>
    <w:rPr>
      <w:i/>
      <w:iCs/>
    </w:rPr>
  </w:style>
  <w:style w:type="character" w:styleId="101">
    <w:name w:val="Hyperlink"/>
    <w:basedOn w:val="90"/>
    <w:qFormat/>
    <w:uiPriority w:val="99"/>
    <w:rPr>
      <w:color w:val="0000FF"/>
      <w:u w:val="single"/>
    </w:rPr>
  </w:style>
  <w:style w:type="character" w:styleId="102">
    <w:name w:val="HTML Code"/>
    <w:qFormat/>
    <w:uiPriority w:val="0"/>
    <w:rPr>
      <w:rFonts w:ascii="Courier New" w:hAnsi="Courier New" w:cs="Courier New"/>
      <w:sz w:val="20"/>
      <w:szCs w:val="20"/>
    </w:rPr>
  </w:style>
  <w:style w:type="character" w:styleId="103">
    <w:name w:val="annotation reference"/>
    <w:qFormat/>
    <w:uiPriority w:val="0"/>
    <w:rPr>
      <w:sz w:val="21"/>
      <w:szCs w:val="21"/>
    </w:rPr>
  </w:style>
  <w:style w:type="character" w:styleId="104">
    <w:name w:val="HTML Cite"/>
    <w:qFormat/>
    <w:uiPriority w:val="0"/>
    <w:rPr>
      <w:i/>
      <w:iCs/>
    </w:rPr>
  </w:style>
  <w:style w:type="character" w:styleId="105">
    <w:name w:val="footnote reference"/>
    <w:qFormat/>
    <w:uiPriority w:val="0"/>
    <w:rPr>
      <w:vertAlign w:val="superscript"/>
    </w:rPr>
  </w:style>
  <w:style w:type="character" w:styleId="106">
    <w:name w:val="HTML Keyboard"/>
    <w:qFormat/>
    <w:uiPriority w:val="0"/>
    <w:rPr>
      <w:rFonts w:ascii="Courier New" w:hAnsi="Courier New" w:cs="Courier New"/>
      <w:sz w:val="20"/>
      <w:szCs w:val="20"/>
    </w:rPr>
  </w:style>
  <w:style w:type="character" w:styleId="107">
    <w:name w:val="HTML Sample"/>
    <w:qFormat/>
    <w:uiPriority w:val="0"/>
    <w:rPr>
      <w:rFonts w:ascii="Courier New" w:hAnsi="Courier New" w:cs="Courier New"/>
    </w:rPr>
  </w:style>
  <w:style w:type="character" w:customStyle="1" w:styleId="108">
    <w:name w:val="标题 1 Char"/>
    <w:link w:val="2"/>
    <w:qFormat/>
    <w:uiPriority w:val="9"/>
    <w:rPr>
      <w:rFonts w:ascii="Cambria" w:hAnsi="Cambria"/>
      <w:b/>
      <w:bCs/>
      <w:color w:val="365F91"/>
      <w:sz w:val="28"/>
      <w:szCs w:val="28"/>
    </w:rPr>
  </w:style>
  <w:style w:type="character" w:customStyle="1" w:styleId="109">
    <w:name w:val="标题 2 Char"/>
    <w:basedOn w:val="90"/>
    <w:link w:val="4"/>
    <w:qFormat/>
    <w:uiPriority w:val="0"/>
    <w:rPr>
      <w:rFonts w:ascii="Arial" w:hAnsi="Arial" w:eastAsia="黑体"/>
      <w:b/>
      <w:bCs/>
      <w:kern w:val="2"/>
      <w:sz w:val="32"/>
      <w:szCs w:val="32"/>
    </w:rPr>
  </w:style>
  <w:style w:type="character" w:customStyle="1" w:styleId="110">
    <w:name w:val="标题 3 Char"/>
    <w:basedOn w:val="90"/>
    <w:link w:val="5"/>
    <w:qFormat/>
    <w:uiPriority w:val="0"/>
    <w:rPr>
      <w:b/>
      <w:bCs/>
      <w:kern w:val="2"/>
      <w:sz w:val="32"/>
      <w:szCs w:val="32"/>
    </w:rPr>
  </w:style>
  <w:style w:type="character" w:customStyle="1" w:styleId="111">
    <w:name w:val="标题 4 Char"/>
    <w:basedOn w:val="90"/>
    <w:link w:val="6"/>
    <w:qFormat/>
    <w:uiPriority w:val="0"/>
    <w:rPr>
      <w:rFonts w:ascii="Arial" w:hAnsi="Arial" w:eastAsia="黑体"/>
      <w:b/>
      <w:bCs/>
      <w:kern w:val="2"/>
      <w:sz w:val="28"/>
      <w:szCs w:val="28"/>
    </w:rPr>
  </w:style>
  <w:style w:type="character" w:customStyle="1" w:styleId="112">
    <w:name w:val="标题 5 Char"/>
    <w:basedOn w:val="90"/>
    <w:link w:val="7"/>
    <w:qFormat/>
    <w:uiPriority w:val="0"/>
    <w:rPr>
      <w:b/>
      <w:bCs/>
      <w:kern w:val="2"/>
      <w:sz w:val="28"/>
      <w:szCs w:val="28"/>
    </w:rPr>
  </w:style>
  <w:style w:type="character" w:customStyle="1" w:styleId="113">
    <w:name w:val="标题 6 Char"/>
    <w:basedOn w:val="90"/>
    <w:link w:val="8"/>
    <w:qFormat/>
    <w:uiPriority w:val="0"/>
    <w:rPr>
      <w:rFonts w:ascii="Arial" w:hAnsi="Arial" w:eastAsia="黑体"/>
      <w:b/>
      <w:bCs/>
      <w:kern w:val="2"/>
      <w:sz w:val="24"/>
      <w:szCs w:val="24"/>
    </w:rPr>
  </w:style>
  <w:style w:type="character" w:customStyle="1" w:styleId="114">
    <w:name w:val="标题 7 Char"/>
    <w:basedOn w:val="90"/>
    <w:link w:val="9"/>
    <w:qFormat/>
    <w:uiPriority w:val="0"/>
    <w:rPr>
      <w:b/>
      <w:bCs/>
      <w:kern w:val="2"/>
      <w:sz w:val="24"/>
      <w:szCs w:val="24"/>
    </w:rPr>
  </w:style>
  <w:style w:type="character" w:customStyle="1" w:styleId="115">
    <w:name w:val="标题 8 Char"/>
    <w:basedOn w:val="90"/>
    <w:link w:val="10"/>
    <w:qFormat/>
    <w:uiPriority w:val="0"/>
    <w:rPr>
      <w:rFonts w:ascii="Arial" w:hAnsi="Arial" w:eastAsia="黑体"/>
      <w:kern w:val="2"/>
      <w:sz w:val="24"/>
      <w:szCs w:val="24"/>
    </w:rPr>
  </w:style>
  <w:style w:type="character" w:customStyle="1" w:styleId="116">
    <w:name w:val="标题 9 Char"/>
    <w:basedOn w:val="90"/>
    <w:link w:val="11"/>
    <w:qFormat/>
    <w:uiPriority w:val="0"/>
    <w:rPr>
      <w:rFonts w:ascii="Arial" w:hAnsi="Arial" w:eastAsia="黑体"/>
      <w:kern w:val="2"/>
      <w:sz w:val="21"/>
      <w:szCs w:val="21"/>
    </w:rPr>
  </w:style>
  <w:style w:type="character" w:customStyle="1" w:styleId="117">
    <w:name w:val="纯文本 Char"/>
    <w:link w:val="45"/>
    <w:qFormat/>
    <w:locked/>
    <w:uiPriority w:val="0"/>
    <w:rPr>
      <w:rFonts w:ascii="宋体" w:hAnsi="Courier New"/>
      <w:kern w:val="2"/>
      <w:sz w:val="21"/>
    </w:rPr>
  </w:style>
  <w:style w:type="character" w:customStyle="1" w:styleId="118">
    <w:name w:val="日期 Char"/>
    <w:basedOn w:val="90"/>
    <w:link w:val="50"/>
    <w:qFormat/>
    <w:uiPriority w:val="0"/>
    <w:rPr>
      <w:kern w:val="2"/>
      <w:sz w:val="21"/>
    </w:rPr>
  </w:style>
  <w:style w:type="character" w:customStyle="1" w:styleId="119">
    <w:name w:val="批注框文本 Char"/>
    <w:link w:val="54"/>
    <w:qFormat/>
    <w:uiPriority w:val="0"/>
    <w:rPr>
      <w:kern w:val="2"/>
      <w:sz w:val="18"/>
      <w:szCs w:val="18"/>
    </w:rPr>
  </w:style>
  <w:style w:type="character" w:customStyle="1" w:styleId="120">
    <w:name w:val="页脚 Char"/>
    <w:link w:val="55"/>
    <w:qFormat/>
    <w:uiPriority w:val="99"/>
    <w:rPr>
      <w:kern w:val="2"/>
      <w:sz w:val="18"/>
      <w:szCs w:val="18"/>
    </w:rPr>
  </w:style>
  <w:style w:type="character" w:customStyle="1" w:styleId="121">
    <w:name w:val="页眉 Char"/>
    <w:link w:val="57"/>
    <w:qFormat/>
    <w:uiPriority w:val="0"/>
    <w:rPr>
      <w:kern w:val="2"/>
      <w:sz w:val="18"/>
      <w:szCs w:val="18"/>
    </w:rPr>
  </w:style>
  <w:style w:type="character" w:customStyle="1" w:styleId="122">
    <w:name w:val="脚注文本 Char"/>
    <w:basedOn w:val="90"/>
    <w:link w:val="67"/>
    <w:qFormat/>
    <w:uiPriority w:val="0"/>
    <w:rPr>
      <w:kern w:val="2"/>
      <w:sz w:val="18"/>
      <w:szCs w:val="18"/>
    </w:rPr>
  </w:style>
  <w:style w:type="character" w:customStyle="1" w:styleId="123">
    <w:name w:val="标题 Char"/>
    <w:basedOn w:val="90"/>
    <w:link w:val="84"/>
    <w:qFormat/>
    <w:uiPriority w:val="0"/>
    <w:rPr>
      <w:rFonts w:eastAsia="黑体"/>
      <w:bCs/>
      <w:kern w:val="2"/>
      <w:sz w:val="24"/>
      <w:szCs w:val="32"/>
    </w:rPr>
  </w:style>
  <w:style w:type="character" w:customStyle="1" w:styleId="124">
    <w:name w:val="段 Char"/>
    <w:link w:val="125"/>
    <w:qFormat/>
    <w:uiPriority w:val="0"/>
    <w:rPr>
      <w:rFonts w:ascii="宋体"/>
      <w:sz w:val="21"/>
      <w:lang w:val="en-US" w:eastAsia="zh-CN" w:bidi="ar-SA"/>
    </w:rPr>
  </w:style>
  <w:style w:type="paragraph" w:customStyle="1" w:styleId="125">
    <w:name w:val="段"/>
    <w:link w:val="12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26">
    <w:name w:val="章标题 Char"/>
    <w:link w:val="127"/>
    <w:qFormat/>
    <w:uiPriority w:val="0"/>
    <w:rPr>
      <w:rFonts w:ascii="黑体" w:eastAsia="黑体"/>
      <w:sz w:val="21"/>
      <w:lang w:val="en-US" w:eastAsia="zh-CN" w:bidi="ar-SA"/>
    </w:rPr>
  </w:style>
  <w:style w:type="paragraph" w:customStyle="1" w:styleId="127">
    <w:name w:val="章标题"/>
    <w:next w:val="125"/>
    <w:link w:val="126"/>
    <w:qFormat/>
    <w:uiPriority w:val="0"/>
    <w:pPr>
      <w:numPr>
        <w:ilvl w:val="1"/>
        <w:numId w:val="1"/>
      </w:numPr>
      <w:spacing w:before="50" w:beforeLines="50" w:after="50" w:afterLines="50"/>
      <w:jc w:val="both"/>
      <w:outlineLvl w:val="1"/>
    </w:pPr>
    <w:rPr>
      <w:rFonts w:ascii="黑体" w:hAnsi="Times New Roman" w:eastAsia="黑体" w:cs="Times New Roman"/>
      <w:sz w:val="21"/>
      <w:lang w:val="en-US" w:eastAsia="zh-CN" w:bidi="ar-SA"/>
    </w:rPr>
  </w:style>
  <w:style w:type="character" w:customStyle="1" w:styleId="128">
    <w:name w:val="一级条标题 Char"/>
    <w:link w:val="129"/>
    <w:qFormat/>
    <w:uiPriority w:val="0"/>
    <w:rPr>
      <w:rFonts w:ascii="黑体" w:eastAsia="黑体"/>
      <w:sz w:val="21"/>
      <w:lang w:val="en-US" w:eastAsia="zh-CN" w:bidi="ar-SA"/>
    </w:rPr>
  </w:style>
  <w:style w:type="paragraph" w:customStyle="1" w:styleId="129">
    <w:name w:val="一级条标题"/>
    <w:basedOn w:val="127"/>
    <w:next w:val="125"/>
    <w:link w:val="128"/>
    <w:qFormat/>
    <w:uiPriority w:val="0"/>
    <w:pPr>
      <w:numPr>
        <w:ilvl w:val="2"/>
      </w:numPr>
      <w:tabs>
        <w:tab w:val="left" w:pos="360"/>
        <w:tab w:val="left" w:pos="1260"/>
      </w:tabs>
      <w:spacing w:before="0" w:beforeLines="0" w:after="0" w:afterLines="0"/>
      <w:ind w:left="1260" w:hanging="420"/>
      <w:outlineLvl w:val="2"/>
    </w:pPr>
  </w:style>
  <w:style w:type="character" w:customStyle="1" w:styleId="130">
    <w:name w:val="章标题 Char1"/>
    <w:qFormat/>
    <w:uiPriority w:val="0"/>
    <w:rPr>
      <w:rFonts w:ascii="黑体" w:eastAsia="黑体"/>
      <w:sz w:val="21"/>
      <w:lang w:val="en-US" w:eastAsia="zh-CN" w:bidi="ar-SA"/>
    </w:rPr>
  </w:style>
  <w:style w:type="paragraph" w:styleId="131">
    <w:name w:val="List Paragraph"/>
    <w:basedOn w:val="1"/>
    <w:qFormat/>
    <w:uiPriority w:val="99"/>
    <w:pPr>
      <w:widowControl/>
      <w:ind w:firstLine="420" w:firstLineChars="200"/>
      <w:jc w:val="left"/>
    </w:pPr>
    <w:rPr>
      <w:rFonts w:ascii="宋体" w:hAnsi="宋体" w:cs="宋体"/>
      <w:kern w:val="0"/>
      <w:sz w:val="20"/>
      <w:szCs w:val="20"/>
      <w:lang w:eastAsia="en-US"/>
    </w:rPr>
  </w:style>
  <w:style w:type="paragraph" w:customStyle="1" w:styleId="132">
    <w:name w:val="条文脚注"/>
    <w:basedOn w:val="67"/>
    <w:qFormat/>
    <w:uiPriority w:val="0"/>
    <w:pPr>
      <w:spacing w:line="312" w:lineRule="atLeast"/>
      <w:ind w:left="780" w:leftChars="200" w:hanging="360" w:hangingChars="200"/>
      <w:jc w:val="both"/>
      <w:textAlignment w:val="baseline"/>
    </w:pPr>
    <w:rPr>
      <w:rFonts w:ascii="宋体"/>
      <w:kern w:val="0"/>
    </w:rPr>
  </w:style>
  <w:style w:type="paragraph" w:customStyle="1" w:styleId="133">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34">
    <w:name w:val="五级条标题"/>
    <w:basedOn w:val="135"/>
    <w:next w:val="125"/>
    <w:qFormat/>
    <w:uiPriority w:val="0"/>
    <w:pPr>
      <w:numPr>
        <w:ilvl w:val="6"/>
      </w:numPr>
      <w:tabs>
        <w:tab w:val="left" w:pos="360"/>
        <w:tab w:val="left" w:pos="1260"/>
        <w:tab w:val="left" w:pos="1680"/>
        <w:tab w:val="left" w:pos="2100"/>
        <w:tab w:val="left" w:pos="2520"/>
        <w:tab w:val="left" w:pos="2940"/>
      </w:tabs>
      <w:ind w:left="2940" w:hanging="420"/>
      <w:outlineLvl w:val="6"/>
    </w:pPr>
  </w:style>
  <w:style w:type="paragraph" w:customStyle="1" w:styleId="135">
    <w:name w:val="四级条标题"/>
    <w:basedOn w:val="136"/>
    <w:next w:val="125"/>
    <w:qFormat/>
    <w:uiPriority w:val="0"/>
    <w:pPr>
      <w:numPr>
        <w:ilvl w:val="5"/>
      </w:numPr>
      <w:tabs>
        <w:tab w:val="left" w:pos="360"/>
        <w:tab w:val="left" w:pos="1260"/>
        <w:tab w:val="left" w:pos="1680"/>
        <w:tab w:val="left" w:pos="2100"/>
        <w:tab w:val="left" w:pos="2520"/>
      </w:tabs>
      <w:ind w:left="2520" w:hanging="420"/>
      <w:outlineLvl w:val="5"/>
    </w:pPr>
  </w:style>
  <w:style w:type="paragraph" w:customStyle="1" w:styleId="136">
    <w:name w:val="三级条标题"/>
    <w:basedOn w:val="137"/>
    <w:next w:val="125"/>
    <w:qFormat/>
    <w:uiPriority w:val="0"/>
    <w:pPr>
      <w:numPr>
        <w:ilvl w:val="4"/>
      </w:numPr>
      <w:tabs>
        <w:tab w:val="left" w:pos="360"/>
        <w:tab w:val="left" w:pos="1260"/>
        <w:tab w:val="left" w:pos="1680"/>
        <w:tab w:val="left" w:pos="2100"/>
      </w:tabs>
      <w:ind w:left="2100" w:hanging="420"/>
      <w:outlineLvl w:val="4"/>
    </w:pPr>
  </w:style>
  <w:style w:type="paragraph" w:customStyle="1" w:styleId="137">
    <w:name w:val="二级条标题"/>
    <w:basedOn w:val="129"/>
    <w:next w:val="125"/>
    <w:qFormat/>
    <w:uiPriority w:val="0"/>
    <w:pPr>
      <w:numPr>
        <w:ilvl w:val="3"/>
      </w:numPr>
      <w:tabs>
        <w:tab w:val="left" w:pos="1680"/>
      </w:tabs>
      <w:ind w:left="1680" w:hanging="420"/>
      <w:outlineLvl w:val="3"/>
    </w:pPr>
  </w:style>
  <w:style w:type="paragraph" w:customStyle="1" w:styleId="138">
    <w:name w:val="封面标准名称"/>
    <w:qFormat/>
    <w:uiPriority w:val="0"/>
    <w:pPr>
      <w:framePr w:w="9638" w:h="6917" w:hRule="exact" w:wrap="around" w:vAnchor="margin" w:hAnchor="margin" w:xAlign="center" w:y="5955" w:anchorLock="1"/>
      <w:widowControl w:val="0"/>
      <w:spacing w:line="680" w:lineRule="atLeast"/>
      <w:jc w:val="center"/>
      <w:textAlignment w:val="center"/>
    </w:pPr>
    <w:rPr>
      <w:rFonts w:ascii="黑体" w:hAnsi="Times New Roman" w:eastAsia="黑体" w:cs="Times New Roman"/>
      <w:sz w:val="52"/>
      <w:lang w:val="en-US" w:eastAsia="zh-CN" w:bidi="ar-SA"/>
    </w:rPr>
  </w:style>
  <w:style w:type="paragraph" w:customStyle="1" w:styleId="139">
    <w:name w:val="标准"/>
    <w:basedOn w:val="1"/>
    <w:qFormat/>
    <w:uiPriority w:val="0"/>
    <w:pPr>
      <w:adjustRightInd w:val="0"/>
      <w:spacing w:line="312" w:lineRule="atLeast"/>
      <w:jc w:val="center"/>
      <w:textAlignment w:val="baseline"/>
    </w:pPr>
    <w:rPr>
      <w:kern w:val="0"/>
      <w:szCs w:val="20"/>
    </w:rPr>
  </w:style>
  <w:style w:type="paragraph" w:customStyle="1" w:styleId="140">
    <w:name w:val="正文表标题"/>
    <w:next w:val="125"/>
    <w:qFormat/>
    <w:uiPriority w:val="0"/>
    <w:pPr>
      <w:numPr>
        <w:ilvl w:val="0"/>
        <w:numId w:val="2"/>
      </w:numPr>
      <w:jc w:val="center"/>
    </w:pPr>
    <w:rPr>
      <w:rFonts w:ascii="黑体" w:hAnsi="Times New Roman" w:eastAsia="黑体" w:cs="Times New Roman"/>
      <w:sz w:val="21"/>
      <w:lang w:val="en-US" w:eastAsia="zh-CN" w:bidi="ar-SA"/>
    </w:rPr>
  </w:style>
  <w:style w:type="paragraph" w:customStyle="1" w:styleId="141">
    <w:name w:val="正文1"/>
    <w:basedOn w:val="1"/>
    <w:qFormat/>
    <w:uiPriority w:val="99"/>
    <w:rPr>
      <w:rFonts w:cs="宋体"/>
      <w:kern w:val="0"/>
      <w:szCs w:val="20"/>
      <w:lang w:eastAsia="en-US"/>
    </w:rPr>
  </w:style>
  <w:style w:type="paragraph" w:customStyle="1" w:styleId="14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43">
    <w:name w:val="三级无标题条"/>
    <w:basedOn w:val="1"/>
    <w:qFormat/>
    <w:uiPriority w:val="0"/>
    <w:pPr>
      <w:spacing w:line="312" w:lineRule="atLeast"/>
      <w:textAlignment w:val="baseline"/>
    </w:pPr>
    <w:rPr>
      <w:kern w:val="0"/>
      <w:szCs w:val="20"/>
    </w:rPr>
  </w:style>
  <w:style w:type="paragraph" w:customStyle="1" w:styleId="144">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45">
    <w:name w:val="目次、标准名称标题"/>
    <w:basedOn w:val="133"/>
    <w:next w:val="125"/>
    <w:qFormat/>
    <w:uiPriority w:val="0"/>
    <w:pPr>
      <w:numPr>
        <w:numId w:val="0"/>
      </w:numPr>
      <w:spacing w:line="460" w:lineRule="exact"/>
    </w:pPr>
  </w:style>
  <w:style w:type="paragraph" w:customStyle="1" w:styleId="146">
    <w:name w:val="正文2"/>
    <w:basedOn w:val="1"/>
    <w:qFormat/>
    <w:uiPriority w:val="0"/>
    <w:rPr>
      <w:rFonts w:eastAsia="Times New Roman" w:cs="宋体"/>
      <w:kern w:val="0"/>
      <w:szCs w:val="20"/>
      <w:lang w:eastAsia="en-US"/>
    </w:rPr>
  </w:style>
  <w:style w:type="character" w:customStyle="1" w:styleId="147">
    <w:name w:val="纯文本 字符"/>
    <w:qFormat/>
    <w:uiPriority w:val="99"/>
    <w:rPr>
      <w:rFonts w:ascii="宋体" w:hAnsi="Courier New" w:eastAsia="宋体" w:cs="Times New Roman"/>
      <w:szCs w:val="21"/>
    </w:rPr>
  </w:style>
  <w:style w:type="paragraph" w:customStyle="1" w:styleId="148">
    <w:name w:val="列出段落1"/>
    <w:basedOn w:val="1"/>
    <w:qFormat/>
    <w:uiPriority w:val="0"/>
    <w:pPr>
      <w:ind w:firstLine="420" w:firstLineChars="200"/>
    </w:pPr>
  </w:style>
  <w:style w:type="character" w:customStyle="1" w:styleId="149">
    <w:name w:val="宏文本 Char"/>
    <w:basedOn w:val="90"/>
    <w:link w:val="3"/>
    <w:qFormat/>
    <w:uiPriority w:val="0"/>
    <w:rPr>
      <w:rFonts w:ascii="Courier New" w:hAnsi="Courier New" w:cs="Courier New"/>
      <w:kern w:val="2"/>
      <w:sz w:val="24"/>
      <w:szCs w:val="24"/>
    </w:rPr>
  </w:style>
  <w:style w:type="character" w:customStyle="1" w:styleId="150">
    <w:name w:val="注释标题 Char"/>
    <w:basedOn w:val="90"/>
    <w:link w:val="16"/>
    <w:qFormat/>
    <w:uiPriority w:val="0"/>
    <w:rPr>
      <w:kern w:val="2"/>
      <w:sz w:val="21"/>
      <w:szCs w:val="24"/>
    </w:rPr>
  </w:style>
  <w:style w:type="character" w:customStyle="1" w:styleId="151">
    <w:name w:val="电子邮件签名 Char"/>
    <w:basedOn w:val="90"/>
    <w:link w:val="19"/>
    <w:qFormat/>
    <w:uiPriority w:val="0"/>
    <w:rPr>
      <w:kern w:val="2"/>
      <w:sz w:val="21"/>
      <w:szCs w:val="24"/>
    </w:rPr>
  </w:style>
  <w:style w:type="character" w:customStyle="1" w:styleId="152">
    <w:name w:val="文档结构图 Char"/>
    <w:basedOn w:val="90"/>
    <w:link w:val="26"/>
    <w:qFormat/>
    <w:uiPriority w:val="0"/>
    <w:rPr>
      <w:kern w:val="2"/>
      <w:sz w:val="21"/>
      <w:szCs w:val="24"/>
      <w:shd w:val="clear" w:color="auto" w:fill="000080"/>
    </w:rPr>
  </w:style>
  <w:style w:type="character" w:customStyle="1" w:styleId="153">
    <w:name w:val="批注文字 Char"/>
    <w:basedOn w:val="90"/>
    <w:link w:val="28"/>
    <w:qFormat/>
    <w:uiPriority w:val="0"/>
    <w:rPr>
      <w:kern w:val="2"/>
      <w:sz w:val="21"/>
      <w:szCs w:val="21"/>
    </w:rPr>
  </w:style>
  <w:style w:type="character" w:customStyle="1" w:styleId="154">
    <w:name w:val="称呼 Char"/>
    <w:basedOn w:val="90"/>
    <w:link w:val="30"/>
    <w:qFormat/>
    <w:uiPriority w:val="0"/>
    <w:rPr>
      <w:kern w:val="2"/>
      <w:sz w:val="21"/>
      <w:szCs w:val="24"/>
    </w:rPr>
  </w:style>
  <w:style w:type="character" w:customStyle="1" w:styleId="155">
    <w:name w:val="正文文本 3 Char"/>
    <w:basedOn w:val="90"/>
    <w:link w:val="31"/>
    <w:qFormat/>
    <w:uiPriority w:val="0"/>
    <w:rPr>
      <w:kern w:val="2"/>
      <w:sz w:val="16"/>
      <w:szCs w:val="16"/>
    </w:rPr>
  </w:style>
  <w:style w:type="character" w:customStyle="1" w:styleId="156">
    <w:name w:val="结束语 Char"/>
    <w:basedOn w:val="90"/>
    <w:link w:val="32"/>
    <w:qFormat/>
    <w:uiPriority w:val="0"/>
    <w:rPr>
      <w:kern w:val="2"/>
      <w:sz w:val="21"/>
      <w:szCs w:val="24"/>
    </w:rPr>
  </w:style>
  <w:style w:type="character" w:customStyle="1" w:styleId="157">
    <w:name w:val="正文文本 Char"/>
    <w:basedOn w:val="90"/>
    <w:link w:val="34"/>
    <w:qFormat/>
    <w:uiPriority w:val="0"/>
    <w:rPr>
      <w:kern w:val="2"/>
      <w:sz w:val="21"/>
      <w:szCs w:val="24"/>
    </w:rPr>
  </w:style>
  <w:style w:type="character" w:customStyle="1" w:styleId="158">
    <w:name w:val="正文文本缩进 Char"/>
    <w:basedOn w:val="90"/>
    <w:link w:val="35"/>
    <w:qFormat/>
    <w:uiPriority w:val="0"/>
    <w:rPr>
      <w:kern w:val="2"/>
      <w:sz w:val="21"/>
      <w:szCs w:val="24"/>
    </w:rPr>
  </w:style>
  <w:style w:type="character" w:customStyle="1" w:styleId="159">
    <w:name w:val="HTML 地址 Char"/>
    <w:basedOn w:val="90"/>
    <w:link w:val="41"/>
    <w:qFormat/>
    <w:uiPriority w:val="0"/>
    <w:rPr>
      <w:i/>
      <w:iCs/>
      <w:kern w:val="2"/>
      <w:sz w:val="21"/>
      <w:szCs w:val="24"/>
    </w:rPr>
  </w:style>
  <w:style w:type="character" w:customStyle="1" w:styleId="160">
    <w:name w:val="正文文本缩进 2 Char"/>
    <w:basedOn w:val="90"/>
    <w:link w:val="51"/>
    <w:qFormat/>
    <w:uiPriority w:val="0"/>
    <w:rPr>
      <w:kern w:val="2"/>
      <w:sz w:val="21"/>
      <w:szCs w:val="24"/>
    </w:rPr>
  </w:style>
  <w:style w:type="character" w:customStyle="1" w:styleId="161">
    <w:name w:val="尾注文本 Char"/>
    <w:basedOn w:val="90"/>
    <w:link w:val="52"/>
    <w:qFormat/>
    <w:uiPriority w:val="0"/>
    <w:rPr>
      <w:kern w:val="2"/>
      <w:sz w:val="21"/>
      <w:szCs w:val="24"/>
    </w:rPr>
  </w:style>
  <w:style w:type="character" w:customStyle="1" w:styleId="162">
    <w:name w:val="签名 Char"/>
    <w:basedOn w:val="90"/>
    <w:link w:val="58"/>
    <w:qFormat/>
    <w:uiPriority w:val="0"/>
    <w:rPr>
      <w:kern w:val="2"/>
      <w:sz w:val="21"/>
      <w:szCs w:val="24"/>
    </w:rPr>
  </w:style>
  <w:style w:type="character" w:customStyle="1" w:styleId="163">
    <w:name w:val="副标题 Char"/>
    <w:basedOn w:val="90"/>
    <w:link w:val="64"/>
    <w:qFormat/>
    <w:uiPriority w:val="0"/>
    <w:rPr>
      <w:rFonts w:ascii="Arial" w:hAnsi="Arial" w:cs="Arial"/>
      <w:b/>
      <w:bCs/>
      <w:kern w:val="28"/>
      <w:sz w:val="32"/>
      <w:szCs w:val="32"/>
    </w:rPr>
  </w:style>
  <w:style w:type="character" w:customStyle="1" w:styleId="164">
    <w:name w:val="正文文本缩进 3 Char"/>
    <w:basedOn w:val="90"/>
    <w:link w:val="70"/>
    <w:qFormat/>
    <w:uiPriority w:val="0"/>
    <w:rPr>
      <w:kern w:val="2"/>
      <w:sz w:val="16"/>
      <w:szCs w:val="16"/>
    </w:rPr>
  </w:style>
  <w:style w:type="character" w:customStyle="1" w:styleId="165">
    <w:name w:val="正文文本 2 Char"/>
    <w:basedOn w:val="90"/>
    <w:link w:val="76"/>
    <w:qFormat/>
    <w:uiPriority w:val="0"/>
    <w:rPr>
      <w:kern w:val="2"/>
      <w:sz w:val="21"/>
      <w:szCs w:val="24"/>
    </w:rPr>
  </w:style>
  <w:style w:type="character" w:customStyle="1" w:styleId="166">
    <w:name w:val="信息标题 Char"/>
    <w:basedOn w:val="90"/>
    <w:link w:val="79"/>
    <w:qFormat/>
    <w:uiPriority w:val="0"/>
    <w:rPr>
      <w:rFonts w:ascii="Arial" w:hAnsi="Arial" w:cs="Arial"/>
      <w:kern w:val="2"/>
      <w:sz w:val="24"/>
      <w:szCs w:val="24"/>
      <w:shd w:val="pct20" w:color="auto" w:fill="auto"/>
    </w:rPr>
  </w:style>
  <w:style w:type="character" w:customStyle="1" w:styleId="167">
    <w:name w:val="HTML 预设格式 Char"/>
    <w:basedOn w:val="90"/>
    <w:link w:val="80"/>
    <w:qFormat/>
    <w:uiPriority w:val="99"/>
    <w:rPr>
      <w:rFonts w:ascii="宋体" w:hAnsi="宋体" w:cs="宋体"/>
      <w:sz w:val="24"/>
      <w:szCs w:val="24"/>
    </w:rPr>
  </w:style>
  <w:style w:type="character" w:customStyle="1" w:styleId="168">
    <w:name w:val="批注主题 Char"/>
    <w:basedOn w:val="153"/>
    <w:link w:val="85"/>
    <w:qFormat/>
    <w:uiPriority w:val="0"/>
    <w:rPr>
      <w:b/>
      <w:bCs/>
      <w:kern w:val="2"/>
      <w:sz w:val="21"/>
      <w:szCs w:val="24"/>
    </w:rPr>
  </w:style>
  <w:style w:type="character" w:customStyle="1" w:styleId="169">
    <w:name w:val="正文首行缩进 Char"/>
    <w:basedOn w:val="157"/>
    <w:link w:val="86"/>
    <w:qFormat/>
    <w:uiPriority w:val="0"/>
    <w:rPr>
      <w:kern w:val="2"/>
      <w:sz w:val="21"/>
      <w:szCs w:val="24"/>
    </w:rPr>
  </w:style>
  <w:style w:type="character" w:customStyle="1" w:styleId="170">
    <w:name w:val="正文首行缩进 2 Char"/>
    <w:basedOn w:val="158"/>
    <w:link w:val="87"/>
    <w:qFormat/>
    <w:uiPriority w:val="0"/>
    <w:rPr>
      <w:kern w:val="2"/>
      <w:sz w:val="21"/>
      <w:szCs w:val="24"/>
    </w:rPr>
  </w:style>
  <w:style w:type="paragraph" w:customStyle="1" w:styleId="171">
    <w:name w:val="封面标准英文名称"/>
    <w:qFormat/>
    <w:uiPriority w:val="0"/>
    <w:pPr>
      <w:widowControl w:val="0"/>
      <w:spacing w:before="370" w:line="400" w:lineRule="exact"/>
      <w:ind w:firstLine="200" w:firstLineChars="200"/>
      <w:jc w:val="center"/>
    </w:pPr>
    <w:rPr>
      <w:rFonts w:ascii="Times New Roman" w:hAnsi="Times New Roman" w:eastAsia="宋体" w:cs="Times New Roman"/>
      <w:sz w:val="28"/>
      <w:lang w:val="en-US" w:eastAsia="zh-CN" w:bidi="ar-SA"/>
    </w:rPr>
  </w:style>
  <w:style w:type="paragraph" w:customStyle="1" w:styleId="172">
    <w:name w:val="封面标准号2"/>
    <w:basedOn w:val="1"/>
    <w:qFormat/>
    <w:uiPriority w:val="0"/>
  </w:style>
  <w:style w:type="paragraph" w:customStyle="1" w:styleId="173">
    <w:name w:val="Char Char Char Char"/>
    <w:basedOn w:val="1"/>
    <w:qFormat/>
    <w:uiPriority w:val="0"/>
    <w:pPr>
      <w:widowControl/>
      <w:spacing w:after="160" w:line="240" w:lineRule="exact"/>
      <w:jc w:val="left"/>
    </w:pPr>
  </w:style>
  <w:style w:type="character" w:customStyle="1" w:styleId="174">
    <w:name w:val="t_tag"/>
    <w:basedOn w:val="90"/>
    <w:qFormat/>
    <w:uiPriority w:val="0"/>
  </w:style>
  <w:style w:type="character" w:customStyle="1" w:styleId="175">
    <w:name w:val="apple-converted-space"/>
    <w:basedOn w:val="90"/>
    <w:qFormat/>
    <w:uiPriority w:val="0"/>
  </w:style>
  <w:style w:type="character" w:customStyle="1" w:styleId="176">
    <w:name w:val="apple-style-span"/>
    <w:basedOn w:val="90"/>
    <w:qFormat/>
    <w:uiPriority w:val="0"/>
  </w:style>
  <w:style w:type="character" w:customStyle="1" w:styleId="177">
    <w:name w:val="段 Char Char"/>
    <w:basedOn w:val="90"/>
    <w:qFormat/>
    <w:uiPriority w:val="0"/>
    <w:rPr>
      <w:rFonts w:ascii="宋体" w:hAnsi="宋体"/>
      <w:sz w:val="21"/>
    </w:rPr>
  </w:style>
  <w:style w:type="character" w:customStyle="1" w:styleId="178">
    <w:name w:val="short_text1"/>
    <w:basedOn w:val="90"/>
    <w:qFormat/>
    <w:uiPriority w:val="0"/>
    <w:rPr>
      <w:sz w:val="19"/>
      <w:szCs w:val="19"/>
    </w:rPr>
  </w:style>
  <w:style w:type="paragraph" w:customStyle="1" w:styleId="179">
    <w:name w:val="2"/>
    <w:unhideWhenUsed/>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80">
    <w:name w:val="上标"/>
    <w:qFormat/>
    <w:uiPriority w:val="0"/>
    <w:rPr>
      <w:vertAlign w:val="superscript"/>
    </w:rPr>
  </w:style>
  <w:style w:type="character" w:customStyle="1" w:styleId="181">
    <w:name w:val="z题名页日期"/>
    <w:qFormat/>
    <w:uiPriority w:val="0"/>
    <w:rPr>
      <w:rFonts w:ascii="Times New Roman" w:hAnsi="Times New Roman" w:eastAsia="宋体"/>
      <w:spacing w:val="0"/>
      <w:sz w:val="28"/>
    </w:rPr>
  </w:style>
  <w:style w:type="character" w:customStyle="1" w:styleId="182">
    <w:name w:val="z题名页其他"/>
    <w:qFormat/>
    <w:uiPriority w:val="0"/>
    <w:rPr>
      <w:rFonts w:ascii="Times New Roman" w:hAnsi="Times New Roman" w:eastAsia="宋体"/>
      <w:sz w:val="21"/>
    </w:rPr>
  </w:style>
  <w:style w:type="character" w:customStyle="1" w:styleId="183">
    <w:name w:val="datatitle1"/>
    <w:qFormat/>
    <w:uiPriority w:val="0"/>
    <w:rPr>
      <w:b/>
      <w:bCs/>
      <w:color w:val="10619F"/>
      <w:sz w:val="21"/>
      <w:szCs w:val="21"/>
    </w:rPr>
  </w:style>
  <w:style w:type="character" w:customStyle="1" w:styleId="184">
    <w:name w:val="z题名页作者"/>
    <w:basedOn w:val="185"/>
    <w:qFormat/>
    <w:uiPriority w:val="0"/>
    <w:rPr>
      <w:rFonts w:ascii="Times New Roman" w:hAnsi="Times New Roman" w:eastAsia="宋体"/>
      <w:sz w:val="28"/>
    </w:rPr>
  </w:style>
  <w:style w:type="character" w:customStyle="1" w:styleId="185">
    <w:name w:val="z题名页题名"/>
    <w:qFormat/>
    <w:uiPriority w:val="0"/>
    <w:rPr>
      <w:rFonts w:ascii="Times New Roman" w:hAnsi="Times New Roman" w:eastAsia="宋体"/>
      <w:sz w:val="28"/>
    </w:rPr>
  </w:style>
  <w:style w:type="character" w:customStyle="1" w:styleId="186">
    <w:name w:val="z封面题名"/>
    <w:qFormat/>
    <w:uiPriority w:val="0"/>
    <w:rPr>
      <w:rFonts w:ascii="Times New Roman" w:hAnsi="Times New Roman" w:eastAsia="宋体"/>
      <w:b/>
      <w:spacing w:val="0"/>
      <w:sz w:val="36"/>
    </w:rPr>
  </w:style>
  <w:style w:type="character" w:customStyle="1" w:styleId="187">
    <w:name w:val="z封面其他"/>
    <w:qFormat/>
    <w:uiPriority w:val="0"/>
    <w:rPr>
      <w:rFonts w:ascii="Times New Roman" w:hAnsi="Times New Roman" w:eastAsia="宋体"/>
      <w:spacing w:val="0"/>
      <w:sz w:val="30"/>
    </w:rPr>
  </w:style>
  <w:style w:type="character" w:customStyle="1" w:styleId="188">
    <w:name w:val="u关键词"/>
    <w:qFormat/>
    <w:uiPriority w:val="0"/>
    <w:rPr>
      <w:rFonts w:ascii="Times New Roman" w:hAnsi="Times New Roman" w:eastAsia="黑体"/>
      <w:b/>
      <w:sz w:val="24"/>
    </w:rPr>
  </w:style>
  <w:style w:type="character" w:customStyle="1" w:styleId="189">
    <w:name w:val="u正文 Char Char"/>
    <w:link w:val="190"/>
    <w:qFormat/>
    <w:uiPriority w:val="0"/>
    <w:rPr>
      <w:rFonts w:cs="宋体"/>
      <w:kern w:val="2"/>
      <w:sz w:val="24"/>
      <w:szCs w:val="24"/>
    </w:rPr>
  </w:style>
  <w:style w:type="paragraph" w:customStyle="1" w:styleId="190">
    <w:name w:val="u正文 Char"/>
    <w:basedOn w:val="1"/>
    <w:link w:val="189"/>
    <w:qFormat/>
    <w:uiPriority w:val="0"/>
    <w:pPr>
      <w:spacing w:beforeLines="10" w:afterLines="10" w:line="312" w:lineRule="auto"/>
      <w:ind w:firstLine="200" w:firstLineChars="200"/>
    </w:pPr>
    <w:rPr>
      <w:rFonts w:cs="宋体"/>
      <w:sz w:val="24"/>
    </w:rPr>
  </w:style>
  <w:style w:type="character" w:customStyle="1" w:styleId="191">
    <w:name w:val="z封二题名"/>
    <w:qFormat/>
    <w:uiPriority w:val="0"/>
    <w:rPr>
      <w:rFonts w:ascii="Times New Roman" w:hAnsi="Times New Roman" w:eastAsia="宋体"/>
      <w:sz w:val="36"/>
    </w:rPr>
  </w:style>
  <w:style w:type="character" w:customStyle="1" w:styleId="192">
    <w:name w:val="z书脊"/>
    <w:qFormat/>
    <w:uiPriority w:val="0"/>
    <w:rPr>
      <w:rFonts w:ascii="Times New Roman" w:hAnsi="Times New Roman" w:eastAsia="宋体"/>
      <w:b/>
      <w:sz w:val="32"/>
    </w:rPr>
  </w:style>
  <w:style w:type="character" w:customStyle="1" w:styleId="193">
    <w:name w:val="z封二其他"/>
    <w:qFormat/>
    <w:uiPriority w:val="0"/>
    <w:rPr>
      <w:rFonts w:ascii="Times New Roman" w:hAnsi="Times New Roman" w:eastAsia="宋体"/>
      <w:sz w:val="24"/>
    </w:rPr>
  </w:style>
  <w:style w:type="paragraph" w:customStyle="1" w:styleId="194">
    <w:name w:val="u页眉"/>
    <w:basedOn w:val="1"/>
    <w:qFormat/>
    <w:uiPriority w:val="0"/>
    <w:pPr>
      <w:pBdr>
        <w:bottom w:val="single" w:color="auto" w:sz="4" w:space="1"/>
      </w:pBdr>
      <w:jc w:val="center"/>
    </w:pPr>
  </w:style>
  <w:style w:type="paragraph" w:customStyle="1" w:styleId="195">
    <w:name w:val="连续正文文字"/>
    <w:basedOn w:val="34"/>
    <w:qFormat/>
    <w:uiPriority w:val="0"/>
    <w:pPr>
      <w:keepNext/>
      <w:widowControl/>
      <w:spacing w:after="220" w:line="180" w:lineRule="atLeast"/>
      <w:ind w:firstLine="476"/>
      <w:jc w:val="center"/>
    </w:pPr>
    <w:rPr>
      <w:spacing w:val="-5"/>
      <w:kern w:val="0"/>
      <w:sz w:val="30"/>
      <w:szCs w:val="20"/>
    </w:rPr>
  </w:style>
  <w:style w:type="paragraph" w:customStyle="1" w:styleId="196">
    <w:name w:val="正文（结尾部分）"/>
    <w:basedOn w:val="1"/>
    <w:qFormat/>
    <w:uiPriority w:val="0"/>
    <w:pPr>
      <w:adjustRightInd w:val="0"/>
      <w:snapToGrid w:val="0"/>
      <w:spacing w:line="320" w:lineRule="exact"/>
      <w:ind w:firstLine="200" w:firstLineChars="200"/>
    </w:pPr>
  </w:style>
  <w:style w:type="paragraph" w:customStyle="1" w:styleId="197">
    <w:name w:val="基准页眉样式"/>
    <w:basedOn w:val="34"/>
    <w:qFormat/>
    <w:uiPriority w:val="0"/>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198">
    <w:name w:val="图标题"/>
    <w:basedOn w:val="1"/>
    <w:next w:val="1"/>
    <w:qFormat/>
    <w:uiPriority w:val="0"/>
    <w:pPr>
      <w:widowControl/>
      <w:spacing w:before="200" w:after="400" w:line="312" w:lineRule="auto"/>
      <w:ind w:firstLine="476"/>
      <w:jc w:val="center"/>
    </w:pPr>
    <w:rPr>
      <w:b/>
      <w:spacing w:val="-5"/>
      <w:kern w:val="0"/>
      <w:sz w:val="24"/>
      <w:szCs w:val="20"/>
    </w:rPr>
  </w:style>
  <w:style w:type="paragraph" w:customStyle="1" w:styleId="199">
    <w:name w:val="附录"/>
    <w:basedOn w:val="2"/>
    <w:next w:val="1"/>
    <w:qFormat/>
    <w:uiPriority w:val="0"/>
    <w:pPr>
      <w:tabs>
        <w:tab w:val="left" w:pos="360"/>
        <w:tab w:val="left" w:pos="720"/>
      </w:tabs>
      <w:spacing w:before="0" w:after="220" w:line="360" w:lineRule="auto"/>
      <w:ind w:left="360" w:hanging="360"/>
      <w:jc w:val="center"/>
    </w:pPr>
    <w:rPr>
      <w:rFonts w:ascii="Times New Roman" w:hAnsi="Times New Roman"/>
      <w:bCs w:val="0"/>
      <w:color w:val="auto"/>
      <w:spacing w:val="-10"/>
      <w:kern w:val="28"/>
      <w:sz w:val="30"/>
      <w:szCs w:val="20"/>
      <w:lang w:val="en-US"/>
    </w:rPr>
  </w:style>
  <w:style w:type="paragraph" w:customStyle="1" w:styleId="200">
    <w:name w:val="样式 u正文 + 首行缩进:  2 字符 段前: 0.5 行 段后: 0.5 行"/>
    <w:basedOn w:val="201"/>
    <w:qFormat/>
    <w:uiPriority w:val="0"/>
  </w:style>
  <w:style w:type="paragraph" w:customStyle="1" w:styleId="201">
    <w:name w:val="u正文"/>
    <w:basedOn w:val="1"/>
    <w:qFormat/>
    <w:uiPriority w:val="0"/>
    <w:pPr>
      <w:spacing w:beforeLines="10" w:afterLines="10" w:line="312" w:lineRule="auto"/>
      <w:ind w:firstLine="200" w:firstLineChars="200"/>
    </w:pPr>
    <w:rPr>
      <w:rFonts w:cs="宋体"/>
      <w:sz w:val="24"/>
      <w:szCs w:val="20"/>
    </w:rPr>
  </w:style>
  <w:style w:type="paragraph" w:customStyle="1" w:styleId="202">
    <w:name w:val="u标题 自动分页"/>
    <w:basedOn w:val="203"/>
    <w:next w:val="201"/>
    <w:qFormat/>
    <w:uiPriority w:val="0"/>
    <w:pPr>
      <w:pageBreakBefore/>
    </w:pPr>
  </w:style>
  <w:style w:type="paragraph" w:customStyle="1" w:styleId="203">
    <w:name w:val="u标题"/>
    <w:basedOn w:val="2"/>
    <w:next w:val="190"/>
    <w:qFormat/>
    <w:uiPriority w:val="0"/>
    <w:pPr>
      <w:widowControl w:val="0"/>
      <w:spacing w:before="340" w:after="330" w:line="576" w:lineRule="auto"/>
      <w:jc w:val="center"/>
    </w:pPr>
    <w:rPr>
      <w:rFonts w:ascii="Times New Roman" w:hAnsi="Times New Roman" w:eastAsia="黑体"/>
      <w:color w:val="auto"/>
      <w:kern w:val="44"/>
      <w:sz w:val="30"/>
      <w:szCs w:val="44"/>
      <w:lang w:val="en-US"/>
    </w:rPr>
  </w:style>
  <w:style w:type="paragraph" w:customStyle="1" w:styleId="204">
    <w:name w:val="基准页脚样式"/>
    <w:basedOn w:val="34"/>
    <w:qFormat/>
    <w:uiPriority w:val="0"/>
    <w:pPr>
      <w:keepLines/>
      <w:widowControl/>
      <w:spacing w:after="220" w:line="200" w:lineRule="atLeast"/>
      <w:ind w:firstLine="476"/>
      <w:jc w:val="center"/>
    </w:pPr>
    <w:rPr>
      <w:spacing w:val="-5"/>
      <w:kern w:val="0"/>
      <w:sz w:val="16"/>
      <w:szCs w:val="20"/>
    </w:rPr>
  </w:style>
  <w:style w:type="paragraph" w:customStyle="1" w:styleId="205">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206">
    <w:name w:val="样式 u正文 + 首行缩进:  2 字符 段前: 0.5 行 段后: 0.5 行1"/>
    <w:basedOn w:val="201"/>
    <w:qFormat/>
    <w:uiPriority w:val="0"/>
  </w:style>
  <w:style w:type="paragraph" w:customStyle="1" w:styleId="207">
    <w:name w:val="ustb bt1"/>
    <w:basedOn w:val="2"/>
    <w:qFormat/>
    <w:uiPriority w:val="0"/>
    <w:pPr>
      <w:widowControl w:val="0"/>
      <w:spacing w:before="340" w:after="330" w:line="576" w:lineRule="auto"/>
      <w:jc w:val="both"/>
    </w:pPr>
    <w:rPr>
      <w:rFonts w:ascii="Times New Roman" w:hAnsi="Times New Roman"/>
      <w:color w:val="auto"/>
      <w:kern w:val="44"/>
      <w:sz w:val="44"/>
      <w:szCs w:val="44"/>
      <w:lang w:val="en-US"/>
    </w:rPr>
  </w:style>
  <w:style w:type="paragraph" w:customStyle="1" w:styleId="208">
    <w:name w:val="u正文2级标题"/>
    <w:basedOn w:val="4"/>
    <w:next w:val="1"/>
    <w:qFormat/>
    <w:uiPriority w:val="0"/>
    <w:pPr>
      <w:spacing w:line="312" w:lineRule="auto"/>
      <w:ind w:left="360"/>
    </w:pPr>
    <w:rPr>
      <w:rFonts w:ascii="Times New Roman" w:hAnsi="Times New Roman" w:eastAsia="Times New Roman"/>
      <w:sz w:val="28"/>
    </w:rPr>
  </w:style>
  <w:style w:type="paragraph" w:customStyle="1" w:styleId="209">
    <w:name w:val="u参考文献条目著者出版年制"/>
    <w:basedOn w:val="1"/>
    <w:qFormat/>
    <w:uiPriority w:val="0"/>
    <w:pPr>
      <w:spacing w:line="312" w:lineRule="auto"/>
      <w:ind w:left="200" w:hanging="200" w:hangingChars="200"/>
    </w:pPr>
    <w:rPr>
      <w:sz w:val="24"/>
    </w:rPr>
  </w:style>
  <w:style w:type="paragraph" w:customStyle="1" w:styleId="210">
    <w:name w:val="基准标题"/>
    <w:basedOn w:val="34"/>
    <w:next w:val="34"/>
    <w:qFormat/>
    <w:uiPriority w:val="0"/>
    <w:pPr>
      <w:keepNext/>
      <w:keepLines/>
      <w:widowControl/>
      <w:spacing w:after="0" w:line="180" w:lineRule="atLeast"/>
      <w:ind w:firstLine="476"/>
      <w:jc w:val="left"/>
    </w:pPr>
    <w:rPr>
      <w:rFonts w:ascii="Arial Black" w:hAnsi="Arial Black"/>
      <w:spacing w:val="-10"/>
      <w:kern w:val="28"/>
      <w:sz w:val="30"/>
      <w:szCs w:val="20"/>
    </w:rPr>
  </w:style>
  <w:style w:type="paragraph" w:customStyle="1" w:styleId="211">
    <w:name w:val="u附录标题"/>
    <w:basedOn w:val="202"/>
    <w:qFormat/>
    <w:uiPriority w:val="0"/>
    <w:pPr>
      <w:pageBreakBefore w:val="0"/>
      <w:tabs>
        <w:tab w:val="left" w:pos="735"/>
        <w:tab w:val="left" w:pos="907"/>
      </w:tabs>
      <w:ind w:left="735" w:hanging="735"/>
      <w:jc w:val="left"/>
    </w:pPr>
  </w:style>
  <w:style w:type="paragraph" w:customStyle="1" w:styleId="212">
    <w:name w:val="样式 u正文 + 首行缩进:  2 字符 段前: 0.5 行1"/>
    <w:basedOn w:val="201"/>
    <w:qFormat/>
    <w:uiPriority w:val="0"/>
    <w:pPr>
      <w:spacing w:beforeLines="20"/>
    </w:pPr>
    <w:rPr>
      <w:kern w:val="0"/>
    </w:rPr>
  </w:style>
  <w:style w:type="paragraph" w:customStyle="1" w:styleId="213">
    <w:name w:val="u表标题"/>
    <w:basedOn w:val="1"/>
    <w:qFormat/>
    <w:uiPriority w:val="0"/>
    <w:pPr>
      <w:spacing w:beforeLines="150" w:afterLines="50" w:line="360" w:lineRule="auto"/>
      <w:jc w:val="center"/>
    </w:pPr>
    <w:rPr>
      <w:rFonts w:eastAsia="黑体"/>
      <w:b/>
    </w:rPr>
  </w:style>
  <w:style w:type="paragraph" w:customStyle="1" w:styleId="214">
    <w:name w:val="图表题"/>
    <w:basedOn w:val="1"/>
    <w:qFormat/>
    <w:uiPriority w:val="0"/>
    <w:pPr>
      <w:adjustRightInd w:val="0"/>
      <w:snapToGrid w:val="0"/>
      <w:spacing w:line="400" w:lineRule="exact"/>
      <w:jc w:val="center"/>
    </w:pPr>
  </w:style>
  <w:style w:type="paragraph" w:customStyle="1" w:styleId="215">
    <w:name w:val="样式 u正文 + 首行缩进:  2 字符 段前: 0.5 行"/>
    <w:basedOn w:val="201"/>
    <w:qFormat/>
    <w:uiPriority w:val="0"/>
    <w:pPr>
      <w:spacing w:beforeLines="0" w:beforeAutospacing="1"/>
    </w:pPr>
  </w:style>
  <w:style w:type="paragraph" w:customStyle="1" w:styleId="216">
    <w:name w:val="u正文1级标题"/>
    <w:basedOn w:val="2"/>
    <w:next w:val="1"/>
    <w:qFormat/>
    <w:uiPriority w:val="0"/>
    <w:pPr>
      <w:pageBreakBefore/>
      <w:widowControl w:val="0"/>
      <w:spacing w:before="340" w:after="340" w:line="312" w:lineRule="auto"/>
      <w:jc w:val="both"/>
    </w:pPr>
    <w:rPr>
      <w:rFonts w:ascii="Times New Roman" w:hAnsi="Times New Roman" w:eastAsia="黑体"/>
      <w:color w:val="auto"/>
      <w:kern w:val="44"/>
      <w:sz w:val="30"/>
      <w:szCs w:val="44"/>
      <w:lang w:val="en-US"/>
    </w:rPr>
  </w:style>
  <w:style w:type="paragraph" w:customStyle="1" w:styleId="217">
    <w:name w:val="u脚注"/>
    <w:basedOn w:val="1"/>
    <w:qFormat/>
    <w:uiPriority w:val="0"/>
    <w:pPr>
      <w:spacing w:before="100" w:beforeAutospacing="1" w:after="100" w:afterAutospacing="1"/>
    </w:pPr>
  </w:style>
  <w:style w:type="paragraph" w:customStyle="1" w:styleId="218">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19">
    <w:name w:val="尾消息标题"/>
    <w:basedOn w:val="1"/>
    <w:next w:val="34"/>
    <w:qFormat/>
    <w:uiPriority w:val="0"/>
    <w:pPr>
      <w:widowControl/>
      <w:pBdr>
        <w:bottom w:val="single" w:color="auto" w:sz="6" w:space="19"/>
        <w:between w:val="single" w:color="auto" w:sz="6" w:space="19"/>
      </w:pBdr>
      <w:tabs>
        <w:tab w:val="left" w:pos="1260"/>
        <w:tab w:val="left" w:pos="2940"/>
      </w:tabs>
      <w:spacing w:before="120" w:after="120" w:line="312" w:lineRule="auto"/>
      <w:jc w:val="left"/>
    </w:pPr>
    <w:rPr>
      <w:spacing w:val="-5"/>
      <w:kern w:val="0"/>
      <w:sz w:val="24"/>
      <w:szCs w:val="20"/>
    </w:rPr>
  </w:style>
  <w:style w:type="paragraph" w:customStyle="1" w:styleId="220">
    <w:name w:val="u正文3级标题"/>
    <w:basedOn w:val="5"/>
    <w:next w:val="1"/>
    <w:qFormat/>
    <w:uiPriority w:val="0"/>
    <w:pPr>
      <w:spacing w:line="312" w:lineRule="auto"/>
      <w:ind w:left="2160"/>
    </w:pPr>
    <w:rPr>
      <w:rFonts w:eastAsia="Times New Roman"/>
      <w:sz w:val="28"/>
    </w:rPr>
  </w:style>
  <w:style w:type="paragraph" w:customStyle="1" w:styleId="221">
    <w:name w:val="表标题"/>
    <w:basedOn w:val="1"/>
    <w:next w:val="1"/>
    <w:qFormat/>
    <w:uiPriority w:val="0"/>
    <w:pPr>
      <w:widowControl/>
      <w:spacing w:before="400" w:after="200" w:line="312" w:lineRule="auto"/>
      <w:jc w:val="left"/>
    </w:pPr>
    <w:rPr>
      <w:b/>
      <w:spacing w:val="-5"/>
      <w:kern w:val="0"/>
      <w:sz w:val="24"/>
      <w:szCs w:val="20"/>
    </w:rPr>
  </w:style>
  <w:style w:type="paragraph" w:customStyle="1" w:styleId="222">
    <w:name w:val="其他"/>
    <w:basedOn w:val="1"/>
    <w:qFormat/>
    <w:uiPriority w:val="0"/>
  </w:style>
  <w:style w:type="paragraph" w:customStyle="1" w:styleId="223">
    <w:name w:val="u参考文献条目顺序编码制"/>
    <w:basedOn w:val="1"/>
    <w:qFormat/>
    <w:uiPriority w:val="0"/>
    <w:pPr>
      <w:tabs>
        <w:tab w:val="left" w:pos="525"/>
        <w:tab w:val="left" w:pos="927"/>
      </w:tabs>
      <w:spacing w:before="100" w:beforeAutospacing="1" w:after="100" w:afterAutospacing="1" w:line="312" w:lineRule="auto"/>
      <w:ind w:left="525" w:hanging="525"/>
    </w:pPr>
    <w:rPr>
      <w:sz w:val="24"/>
    </w:rPr>
  </w:style>
  <w:style w:type="paragraph" w:customStyle="1" w:styleId="224">
    <w:name w:val="u正文 + 首行缩进:  2 字符 段前: 0.5 行2"/>
    <w:basedOn w:val="201"/>
    <w:qFormat/>
    <w:uiPriority w:val="0"/>
    <w:pPr>
      <w:spacing w:beforeLines="20"/>
    </w:pPr>
    <w:rPr>
      <w:kern w:val="0"/>
    </w:rPr>
  </w:style>
  <w:style w:type="paragraph" w:customStyle="1" w:styleId="225">
    <w:name w:val="u图标题"/>
    <w:basedOn w:val="1"/>
    <w:next w:val="201"/>
    <w:qFormat/>
    <w:uiPriority w:val="0"/>
    <w:pPr>
      <w:spacing w:beforeLines="50" w:afterLines="150" w:line="360" w:lineRule="auto"/>
      <w:jc w:val="center"/>
    </w:pPr>
    <w:rPr>
      <w:rFonts w:eastAsia="黑体"/>
      <w:b/>
    </w:rPr>
  </w:style>
  <w:style w:type="paragraph" w:customStyle="1" w:styleId="226">
    <w:name w:val="样式 u表标题 + 段前: 1.5 行"/>
    <w:basedOn w:val="213"/>
    <w:qFormat/>
    <w:uiPriority w:val="0"/>
    <w:rPr>
      <w:rFonts w:cs="宋体"/>
      <w:bCs/>
      <w:szCs w:val="20"/>
    </w:rPr>
  </w:style>
  <w:style w:type="paragraph" w:customStyle="1" w:styleId="227">
    <w:name w:val="图片"/>
    <w:basedOn w:val="1"/>
    <w:next w:val="22"/>
    <w:qFormat/>
    <w:uiPriority w:val="0"/>
    <w:pPr>
      <w:keepNext/>
      <w:widowControl/>
      <w:spacing w:line="312" w:lineRule="auto"/>
      <w:ind w:firstLine="476"/>
      <w:jc w:val="left"/>
    </w:pPr>
    <w:rPr>
      <w:spacing w:val="-5"/>
      <w:kern w:val="0"/>
      <w:sz w:val="24"/>
      <w:szCs w:val="20"/>
    </w:rPr>
  </w:style>
  <w:style w:type="paragraph" w:customStyle="1" w:styleId="228">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29">
    <w:name w:val="样式1"/>
    <w:basedOn w:val="1"/>
    <w:qFormat/>
    <w:uiPriority w:val="0"/>
    <w:pPr>
      <w:spacing w:beforeLines="10" w:afterLines="10" w:line="312" w:lineRule="auto"/>
      <w:ind w:firstLine="480" w:firstLineChars="200"/>
    </w:pPr>
    <w:rPr>
      <w:rFonts w:hAnsi="宋体" w:cs="宋体"/>
      <w:sz w:val="24"/>
    </w:rPr>
  </w:style>
  <w:style w:type="paragraph" w:customStyle="1" w:styleId="230">
    <w:name w:val="u标题 不入目录"/>
    <w:basedOn w:val="1"/>
    <w:qFormat/>
    <w:uiPriority w:val="0"/>
    <w:pPr>
      <w:jc w:val="center"/>
    </w:pPr>
    <w:rPr>
      <w:rFonts w:eastAsia="黑体"/>
      <w:b/>
      <w:sz w:val="30"/>
      <w:szCs w:val="30"/>
    </w:rPr>
  </w:style>
  <w:style w:type="paragraph" w:customStyle="1" w:styleId="231">
    <w:name w:val="xl63"/>
    <w:basedOn w:val="1"/>
    <w:qFormat/>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232">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33">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34">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3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36">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3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3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39">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40">
    <w:name w:val="xl71"/>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41">
    <w:name w:val="xl72"/>
    <w:basedOn w:val="1"/>
    <w:qFormat/>
    <w:uiPriority w:val="0"/>
    <w:pPr>
      <w:widowControl/>
      <w:pBdr>
        <w:left w:val="single" w:color="auto" w:sz="8" w:space="0"/>
        <w:right w:val="single" w:color="auto" w:sz="8" w:space="0"/>
      </w:pBdr>
      <w:spacing w:before="100" w:beforeAutospacing="1" w:after="100" w:afterAutospacing="1"/>
      <w:jc w:val="center"/>
    </w:pPr>
    <w:rPr>
      <w:kern w:val="0"/>
      <w:sz w:val="18"/>
      <w:szCs w:val="18"/>
    </w:rPr>
  </w:style>
  <w:style w:type="paragraph" w:customStyle="1" w:styleId="242">
    <w:name w:val="xl7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20"/>
      <w:szCs w:val="20"/>
    </w:rPr>
  </w:style>
  <w:style w:type="paragraph" w:customStyle="1" w:styleId="243">
    <w:name w:val="xl74"/>
    <w:basedOn w:val="1"/>
    <w:qFormat/>
    <w:uiPriority w:val="0"/>
    <w:pPr>
      <w:widowControl/>
      <w:pBdr>
        <w:bottom w:val="single" w:color="auto" w:sz="8" w:space="0"/>
        <w:right w:val="single" w:color="auto" w:sz="8" w:space="0"/>
      </w:pBdr>
      <w:spacing w:before="100" w:beforeAutospacing="1" w:after="100" w:afterAutospacing="1"/>
      <w:jc w:val="center"/>
    </w:pPr>
    <w:rPr>
      <w:kern w:val="0"/>
      <w:sz w:val="18"/>
      <w:szCs w:val="18"/>
    </w:rPr>
  </w:style>
  <w:style w:type="paragraph" w:customStyle="1" w:styleId="244">
    <w:name w:val="xl75"/>
    <w:basedOn w:val="1"/>
    <w:qFormat/>
    <w:uiPriority w:val="0"/>
    <w:pPr>
      <w:widowControl/>
      <w:pBdr>
        <w:top w:val="single" w:color="auto" w:sz="8" w:space="0"/>
        <w:left w:val="single" w:color="auto" w:sz="8" w:space="0"/>
        <w:bottom w:val="single" w:color="auto" w:sz="8" w:space="0"/>
        <w:right w:val="single" w:color="auto" w:sz="8" w:space="0"/>
      </w:pBdr>
      <w:shd w:val="clear" w:color="000000" w:fill="FF8080"/>
      <w:spacing w:before="100" w:beforeAutospacing="1" w:after="100" w:afterAutospacing="1"/>
      <w:jc w:val="center"/>
    </w:pPr>
    <w:rPr>
      <w:kern w:val="0"/>
      <w:sz w:val="20"/>
      <w:szCs w:val="20"/>
    </w:rPr>
  </w:style>
  <w:style w:type="paragraph" w:customStyle="1" w:styleId="245">
    <w:name w:val="xl76"/>
    <w:basedOn w:val="1"/>
    <w:qFormat/>
    <w:uiPriority w:val="0"/>
    <w:pPr>
      <w:widowControl/>
      <w:pBdr>
        <w:top w:val="single" w:color="auto" w:sz="8" w:space="0"/>
        <w:left w:val="single" w:color="auto" w:sz="8" w:space="0"/>
        <w:bottom w:val="single" w:color="auto" w:sz="8" w:space="0"/>
        <w:right w:val="single" w:color="auto" w:sz="8" w:space="0"/>
      </w:pBdr>
      <w:shd w:val="clear" w:color="000000" w:fill="FFCC99"/>
      <w:spacing w:before="100" w:beforeAutospacing="1" w:after="100" w:afterAutospacing="1"/>
      <w:jc w:val="center"/>
    </w:pPr>
    <w:rPr>
      <w:kern w:val="0"/>
      <w:sz w:val="20"/>
      <w:szCs w:val="20"/>
    </w:rPr>
  </w:style>
  <w:style w:type="paragraph" w:customStyle="1" w:styleId="246">
    <w:name w:val="xl77"/>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20"/>
      <w:szCs w:val="20"/>
    </w:rPr>
  </w:style>
  <w:style w:type="paragraph" w:customStyle="1" w:styleId="247">
    <w:name w:val="xl78"/>
    <w:basedOn w:val="1"/>
    <w:qFormat/>
    <w:uiPriority w:val="0"/>
    <w:pPr>
      <w:widowControl/>
      <w:pBdr>
        <w:top w:val="single" w:color="auto" w:sz="8" w:space="0"/>
        <w:left w:val="single" w:color="auto" w:sz="8" w:space="0"/>
        <w:bottom w:val="single" w:color="auto" w:sz="8" w:space="0"/>
        <w:right w:val="single" w:color="auto" w:sz="8" w:space="0"/>
      </w:pBdr>
      <w:shd w:val="clear" w:color="000000" w:fill="C0C0C0"/>
      <w:spacing w:before="100" w:beforeAutospacing="1" w:after="100" w:afterAutospacing="1"/>
      <w:jc w:val="center"/>
    </w:pPr>
    <w:rPr>
      <w:kern w:val="0"/>
      <w:sz w:val="20"/>
      <w:szCs w:val="20"/>
    </w:rPr>
  </w:style>
  <w:style w:type="paragraph" w:customStyle="1" w:styleId="248">
    <w:name w:val="xl79"/>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249">
    <w:name w:val="xl80"/>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250">
    <w:name w:val="xl81"/>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kern w:val="0"/>
      <w:sz w:val="18"/>
      <w:szCs w:val="18"/>
    </w:rPr>
  </w:style>
  <w:style w:type="paragraph" w:customStyle="1" w:styleId="251">
    <w:name w:val="xl82"/>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52">
    <w:name w:val="xl83"/>
    <w:basedOn w:val="1"/>
    <w:qFormat/>
    <w:uiPriority w:val="0"/>
    <w:pPr>
      <w:widowControl/>
      <w:pBdr>
        <w:top w:val="single" w:color="auto" w:sz="8" w:space="0"/>
        <w:right w:val="single" w:color="auto" w:sz="8" w:space="0"/>
      </w:pBdr>
      <w:spacing w:before="100" w:beforeAutospacing="1" w:after="100" w:afterAutospacing="1"/>
      <w:jc w:val="center"/>
    </w:pPr>
    <w:rPr>
      <w:kern w:val="0"/>
      <w:sz w:val="18"/>
      <w:szCs w:val="18"/>
    </w:rPr>
  </w:style>
  <w:style w:type="paragraph" w:customStyle="1" w:styleId="253">
    <w:name w:val="xl84"/>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54">
    <w:name w:val="xl85"/>
    <w:basedOn w:val="1"/>
    <w:qFormat/>
    <w:uiPriority w:val="0"/>
    <w:pPr>
      <w:widowControl/>
      <w:pBdr>
        <w:top w:val="single" w:color="auto" w:sz="8" w:space="0"/>
        <w:right w:val="single" w:color="auto" w:sz="8" w:space="0"/>
      </w:pBdr>
      <w:spacing w:before="100" w:beforeAutospacing="1" w:after="100" w:afterAutospacing="1"/>
      <w:jc w:val="center"/>
    </w:pPr>
    <w:rPr>
      <w:kern w:val="0"/>
      <w:sz w:val="18"/>
      <w:szCs w:val="18"/>
    </w:rPr>
  </w:style>
  <w:style w:type="paragraph" w:customStyle="1" w:styleId="255">
    <w:name w:val="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56">
    <w:name w:val="附录标识"/>
    <w:basedOn w:val="133"/>
    <w:qFormat/>
    <w:uiPriority w:val="0"/>
    <w:pPr>
      <w:numPr>
        <w:numId w:val="0"/>
      </w:numPr>
      <w:tabs>
        <w:tab w:val="left" w:pos="780"/>
        <w:tab w:val="left" w:pos="6405"/>
      </w:tabs>
      <w:spacing w:after="200"/>
    </w:pPr>
    <w:rPr>
      <w:sz w:val="21"/>
    </w:rPr>
  </w:style>
  <w:style w:type="paragraph" w:customStyle="1" w:styleId="257">
    <w:name w:val="附录章标题"/>
    <w:next w:val="125"/>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258">
    <w:name w:val="附录五级条标题"/>
    <w:basedOn w:val="259"/>
    <w:next w:val="125"/>
    <w:qFormat/>
    <w:uiPriority w:val="0"/>
    <w:pPr>
      <w:outlineLvl w:val="6"/>
    </w:pPr>
  </w:style>
  <w:style w:type="paragraph" w:customStyle="1" w:styleId="259">
    <w:name w:val="附录四级条标题"/>
    <w:basedOn w:val="260"/>
    <w:next w:val="125"/>
    <w:qFormat/>
    <w:uiPriority w:val="0"/>
    <w:pPr>
      <w:outlineLvl w:val="5"/>
    </w:pPr>
  </w:style>
  <w:style w:type="paragraph" w:customStyle="1" w:styleId="260">
    <w:name w:val="附录三级条标题"/>
    <w:basedOn w:val="261"/>
    <w:next w:val="125"/>
    <w:qFormat/>
    <w:uiPriority w:val="0"/>
    <w:pPr>
      <w:outlineLvl w:val="4"/>
    </w:pPr>
  </w:style>
  <w:style w:type="paragraph" w:customStyle="1" w:styleId="261">
    <w:name w:val="附录二级条标题"/>
    <w:basedOn w:val="262"/>
    <w:next w:val="125"/>
    <w:qFormat/>
    <w:uiPriority w:val="0"/>
    <w:pPr>
      <w:outlineLvl w:val="3"/>
    </w:pPr>
  </w:style>
  <w:style w:type="paragraph" w:customStyle="1" w:styleId="262">
    <w:name w:val="附录一级条标题"/>
    <w:basedOn w:val="257"/>
    <w:next w:val="125"/>
    <w:qFormat/>
    <w:uiPriority w:val="0"/>
    <w:pPr>
      <w:autoSpaceDN w:val="0"/>
      <w:spacing w:beforeLines="0" w:afterLines="0"/>
      <w:outlineLvl w:val="2"/>
    </w:pPr>
  </w:style>
  <w:style w:type="paragraph" w:customStyle="1" w:styleId="263">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264">
    <w:name w:val="font6"/>
    <w:basedOn w:val="1"/>
    <w:qFormat/>
    <w:uiPriority w:val="0"/>
    <w:pPr>
      <w:widowControl/>
      <w:spacing w:before="100" w:beforeAutospacing="1" w:after="100" w:afterAutospacing="1"/>
      <w:jc w:val="left"/>
    </w:pPr>
    <w:rPr>
      <w:rFonts w:ascii="宋体" w:hAnsi="宋体" w:cs="宋体"/>
      <w:color w:val="000000"/>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7F898-4C03-4EB5-B5D4-072EA3D0CD36}">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17</Pages>
  <Words>11816</Words>
  <Characters>19484</Characters>
  <Lines>143</Lines>
  <Paragraphs>40</Paragraphs>
  <TotalTime>0</TotalTime>
  <ScaleCrop>false</ScaleCrop>
  <LinksUpToDate>false</LinksUpToDate>
  <CharactersWithSpaces>20494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2022-08-21T08:57:00Z</dcterms:created>
  <dc:creator>Lenovo User</dc:creator>
  <cp:lastModifiedBy>Administrator</cp:lastModifiedBy>
  <cp:lastPrinted>2021-07-15T06:10:00Z</cp:lastPrinted>
  <dcterms:modified xsi:type="dcterms:W3CDTF">2022-10-25T07:45:28Z</dcterms:modified>
  <dc:title>《镝铁合金化学分析方法》报批稿编制说明</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BB99451D56E44FBAA5A3C8B4DEC6CE81</vt:lpwstr>
  </property>
</Properties>
</file>