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黑体" w:hAnsi="宋体" w:eastAsia="黑体"/>
          <w:bCs/>
          <w:sz w:val="24"/>
        </w:rPr>
      </w:pPr>
      <w:r>
        <w:rPr>
          <w:rFonts w:ascii="黑体" w:eastAsia="黑体"/>
          <w:bCs/>
          <w:sz w:val="24"/>
        </w:rPr>
        <w:t>JJFZ</w:t>
      </w:r>
      <w:r>
        <w:rPr>
          <w:rFonts w:hint="eastAsia" w:ascii="黑体" w:eastAsia="黑体"/>
          <w:bCs/>
          <w:sz w:val="24"/>
        </w:rPr>
        <w:t>（有色金属）</w:t>
      </w:r>
      <w:r>
        <w:rPr>
          <w:rFonts w:hint="eastAsia" w:ascii="黑体" w:eastAsia="黑体"/>
          <w:bCs/>
          <w:sz w:val="24"/>
          <w:lang w:val="en-US" w:eastAsia="zh-CN"/>
        </w:rPr>
        <w:t>003</w:t>
      </w:r>
      <w:r>
        <w:rPr>
          <w:rFonts w:ascii="黑体" w:eastAsia="黑体"/>
          <w:bCs/>
          <w:sz w:val="24"/>
        </w:rPr>
        <w:t>-</w:t>
      </w:r>
      <w:r>
        <w:rPr>
          <w:rFonts w:hint="eastAsia" w:ascii="黑体" w:eastAsia="黑体"/>
          <w:bCs/>
          <w:sz w:val="24"/>
          <w:lang w:val="en-US" w:eastAsia="zh-CN"/>
        </w:rPr>
        <w:t>2021</w:t>
      </w:r>
      <w:r>
        <w:rPr>
          <w:rFonts w:hint="eastAsia" w:ascii="黑体" w:eastAsia="黑体"/>
          <w:bCs/>
          <w:sz w:val="24"/>
          <w:lang w:val="en-GB"/>
        </w:rPr>
        <w:t>《</w:t>
      </w:r>
      <w:r>
        <w:rPr>
          <w:rFonts w:hint="eastAsia" w:ascii="黑体" w:eastAsia="黑体"/>
          <w:bCs/>
          <w:sz w:val="24"/>
        </w:rPr>
        <w:t>电热恒温水浴锅校准规范》</w:t>
      </w:r>
    </w:p>
    <w:p>
      <w:pPr>
        <w:spacing w:line="360" w:lineRule="auto"/>
        <w:jc w:val="center"/>
        <w:rPr>
          <w:rFonts w:ascii="黑体" w:eastAsia="黑体"/>
          <w:bCs/>
          <w:sz w:val="24"/>
        </w:rPr>
      </w:pPr>
      <w:r>
        <w:rPr>
          <w:rFonts w:hint="eastAsia" w:ascii="黑体" w:eastAsia="黑体"/>
          <w:bCs/>
          <w:sz w:val="24"/>
        </w:rPr>
        <w:t>行业计量技术规范编制说明</w:t>
      </w:r>
    </w:p>
    <w:p>
      <w:pPr>
        <w:spacing w:line="360" w:lineRule="auto"/>
        <w:rPr>
          <w:bCs/>
        </w:rPr>
      </w:pPr>
      <w:r>
        <w:rPr>
          <w:rFonts w:hint="eastAsia"/>
          <w:bCs/>
        </w:rPr>
        <w:t>一、工作简况</w:t>
      </w:r>
    </w:p>
    <w:p>
      <w:pPr>
        <w:spacing w:line="360" w:lineRule="auto"/>
        <w:rPr>
          <w:rFonts w:ascii="黑体" w:eastAsia="黑体"/>
          <w:bCs/>
          <w:szCs w:val="21"/>
        </w:rPr>
      </w:pPr>
      <w:r>
        <w:rPr>
          <w:rFonts w:ascii="黑体" w:eastAsia="黑体"/>
          <w:bCs/>
          <w:szCs w:val="21"/>
        </w:rPr>
        <w:t>1</w:t>
      </w:r>
      <w:r>
        <w:rPr>
          <w:rFonts w:hint="eastAsia" w:ascii="黑体" w:eastAsia="黑体"/>
          <w:bCs/>
          <w:szCs w:val="21"/>
        </w:rPr>
        <w:t>.1</w:t>
      </w:r>
      <w:r>
        <w:rPr>
          <w:rFonts w:hint="eastAsia" w:ascii="黑体" w:hAnsi="宋体" w:eastAsia="黑体"/>
          <w:bCs/>
          <w:szCs w:val="21"/>
        </w:rPr>
        <w:t>任务来源</w:t>
      </w:r>
    </w:p>
    <w:p>
      <w:pPr>
        <w:pStyle w:val="11"/>
        <w:spacing w:after="0" w:line="360" w:lineRule="auto"/>
        <w:ind w:firstLine="420" w:firstLineChars="200"/>
        <w:rPr>
          <w:rFonts w:hAnsi="宋体"/>
          <w:bCs/>
          <w:color w:val="auto"/>
          <w:szCs w:val="21"/>
        </w:rPr>
      </w:pPr>
      <w:r>
        <w:rPr>
          <w:rFonts w:hint="eastAsia" w:hAnsi="宋体"/>
          <w:bCs/>
          <w:color w:val="auto"/>
          <w:szCs w:val="21"/>
        </w:rPr>
        <w:t>根据工业和信息化部《关于印发2021年行业计量技术规范制修订计划的通知》（工信厅科函［2021］181号）文的要求，行业计量技术规范《电热恒温水浴锅校准规范》由西南铝业（集团）有限责任公司计量检测中心校准实验室负责起草。该项目计划编号为</w:t>
      </w:r>
      <w:r>
        <w:rPr>
          <w:rFonts w:hAnsi="宋体"/>
          <w:bCs/>
          <w:color w:val="auto"/>
          <w:szCs w:val="21"/>
        </w:rPr>
        <w:t>JJF</w:t>
      </w:r>
      <w:r>
        <w:rPr>
          <w:rFonts w:hint="eastAsia" w:hAnsi="宋体"/>
          <w:bCs/>
          <w:color w:val="auto"/>
          <w:szCs w:val="21"/>
        </w:rPr>
        <w:t>（有色金属）0</w:t>
      </w:r>
      <w:r>
        <w:rPr>
          <w:rFonts w:hAnsi="宋体"/>
          <w:bCs/>
          <w:color w:val="auto"/>
          <w:szCs w:val="21"/>
        </w:rPr>
        <w:t>0</w:t>
      </w:r>
      <w:r>
        <w:rPr>
          <w:rFonts w:hint="eastAsia" w:hAnsi="宋体"/>
          <w:bCs/>
          <w:color w:val="auto"/>
          <w:szCs w:val="21"/>
          <w:lang w:val="en-US" w:eastAsia="zh-CN"/>
        </w:rPr>
        <w:t>3</w:t>
      </w:r>
      <w:r>
        <w:rPr>
          <w:rFonts w:hint="eastAsia" w:hAnsi="宋体"/>
          <w:bCs/>
          <w:color w:val="auto"/>
          <w:szCs w:val="21"/>
        </w:rPr>
        <w:t>-2</w:t>
      </w:r>
      <w:r>
        <w:rPr>
          <w:rFonts w:hAnsi="宋体"/>
          <w:bCs/>
          <w:color w:val="auto"/>
          <w:szCs w:val="21"/>
        </w:rPr>
        <w:t>02</w:t>
      </w:r>
      <w:r>
        <w:rPr>
          <w:rFonts w:hint="eastAsia" w:hAnsi="宋体"/>
          <w:bCs/>
          <w:color w:val="auto"/>
          <w:szCs w:val="21"/>
          <w:lang w:val="en-US" w:eastAsia="zh-CN"/>
        </w:rPr>
        <w:t>1</w:t>
      </w:r>
      <w:r>
        <w:rPr>
          <w:rFonts w:hint="eastAsia" w:hAnsi="宋体"/>
          <w:bCs/>
          <w:color w:val="auto"/>
          <w:szCs w:val="21"/>
        </w:rPr>
        <w:t>。按计划要求，本计量规范应于</w:t>
      </w:r>
      <w:r>
        <w:rPr>
          <w:rFonts w:hAnsi="宋体"/>
          <w:bCs/>
          <w:color w:val="auto"/>
          <w:szCs w:val="21"/>
        </w:rPr>
        <w:t>202</w:t>
      </w:r>
      <w:r>
        <w:rPr>
          <w:rFonts w:hint="eastAsia" w:hAnsi="宋体"/>
          <w:bCs/>
          <w:color w:val="auto"/>
          <w:szCs w:val="21"/>
          <w:lang w:val="en-US" w:eastAsia="zh-CN"/>
        </w:rPr>
        <w:t>3</w:t>
      </w:r>
      <w:r>
        <w:rPr>
          <w:rFonts w:hint="eastAsia" w:hAnsi="宋体"/>
          <w:bCs/>
          <w:color w:val="auto"/>
          <w:szCs w:val="21"/>
        </w:rPr>
        <w:t>年完成。</w:t>
      </w:r>
    </w:p>
    <w:p>
      <w:pPr>
        <w:pStyle w:val="11"/>
        <w:spacing w:after="0" w:line="360" w:lineRule="auto"/>
        <w:rPr>
          <w:rFonts w:ascii="黑体" w:hAnsi="宋体" w:eastAsia="黑体"/>
          <w:bCs/>
          <w:szCs w:val="21"/>
        </w:rPr>
      </w:pPr>
      <w:r>
        <w:rPr>
          <w:rFonts w:ascii="黑体" w:hAnsi="宋体" w:eastAsia="黑体"/>
          <w:bCs/>
          <w:szCs w:val="21"/>
        </w:rPr>
        <w:t>1.2</w:t>
      </w:r>
      <w:r>
        <w:rPr>
          <w:rFonts w:hint="eastAsia" w:ascii="黑体" w:hAnsi="宋体" w:eastAsia="黑体"/>
          <w:bCs/>
          <w:szCs w:val="21"/>
        </w:rPr>
        <w:t>承担单位情况</w:t>
      </w:r>
    </w:p>
    <w:p>
      <w:pPr>
        <w:spacing w:line="360" w:lineRule="auto"/>
        <w:ind w:firstLine="420" w:firstLineChars="200"/>
        <w:rPr>
          <w:rFonts w:hint="eastAsia"/>
          <w:bCs/>
          <w:lang w:val="en-US" w:eastAsia="zh-CN"/>
        </w:rPr>
      </w:pPr>
      <w:r>
        <w:rPr>
          <w:rFonts w:hint="eastAsia"/>
          <w:bCs/>
        </w:rPr>
        <w:t>西南铝业(集团)有限责任公司(简称西南铝)位于重庆市九龙坡区西彭镇,前身为冶金部112厂、西南铝加工厂, 始建于1965年7月, 2000年12月改制成立有限责任公司,是我国为生产重点项目、航空航天所需大规格、新品种、高质量铝及铝合金材料而建设的大型企业。西南铝培养了中国工程院院士1人、两江学者1人、国家级技能大师1人、享受国务院政府特殊津贴专家30余人,建有院士工作站,拥有国家级企业技术中心。</w:t>
      </w:r>
      <w:r>
        <w:rPr>
          <w:rFonts w:hint="eastAsia"/>
          <w:bCs/>
          <w:lang w:eastAsia="zh-CN"/>
        </w:rPr>
        <w:t>西南铝建有校准实验室与检测实验室，均通过了</w:t>
      </w:r>
      <w:r>
        <w:rPr>
          <w:rFonts w:hint="eastAsia"/>
          <w:bCs/>
          <w:lang w:val="en-US" w:eastAsia="zh-CN"/>
        </w:rPr>
        <w:t>CNAS认可，具备对电热恒温水浴锅的CNAS校准能力。西南铝累计申请专利722件，其中授权发明专利249件、授权实用新型专利473件，主持和参与国家、行业标准277项。</w:t>
      </w:r>
    </w:p>
    <w:p>
      <w:pPr>
        <w:spacing w:line="360" w:lineRule="auto"/>
        <w:ind w:firstLine="420" w:firstLineChars="200"/>
        <w:rPr>
          <w:rFonts w:hint="eastAsia"/>
          <w:lang w:val="en-US" w:eastAsia="zh-CN"/>
        </w:rPr>
      </w:pPr>
      <w:r>
        <w:rPr>
          <w:rFonts w:hint="eastAsia"/>
          <w:lang w:val="en-US" w:eastAsia="zh-CN"/>
        </w:rPr>
        <w:t>广东省科学院工业分析检测中心始建于1971 年，先后隶属于广州有色金属研究院、广东省工业技术研究院（广州有色金属研究院），2015年12月经广东省机构编制委员会批准成为广东省科学院属下的独立二级事业法人单位。是我国从事矿产品、金属材料、冶金产品、化工产品、再生资源质量检测和性能评价，欧盟环保（RoHS）指令的有害物质检测、金属材料综合利用检测以及分析测试技术研究与技术咨询的专业机构。中心现有高、中、初级专业技术和管理人员100余人，其中教授有15人，高级工程师24人，硕博士20人，具有中级职称以上科技人员占80%。累计申请专利19件，其中授权发明专利8件、授权实用新型专利2件。承担国家、省级各类项目50余项，主持和参与国家、行业标准200余项，发表专著5部，发表论文300余篇。</w:t>
      </w:r>
    </w:p>
    <w:p>
      <w:pPr>
        <w:pStyle w:val="12"/>
        <w:shd w:val="clear" w:color="auto" w:fill="FFFFFF"/>
        <w:spacing w:before="0" w:beforeAutospacing="0" w:after="0" w:afterAutospacing="0" w:line="360" w:lineRule="auto"/>
        <w:ind w:firstLine="480"/>
        <w:jc w:val="both"/>
        <w:rPr>
          <w:rFonts w:hint="eastAsia"/>
          <w:sz w:val="21"/>
          <w:szCs w:val="21"/>
        </w:rPr>
      </w:pPr>
      <w:r>
        <w:rPr>
          <w:rFonts w:hint="eastAsia"/>
          <w:sz w:val="21"/>
          <w:szCs w:val="21"/>
        </w:rPr>
        <w:t>西安汉唐分析检测有限公司是西北有色金属研究院(集团)控股子公司，属国有企业，主要从事有色产品的检测、可靠性评价、失效分析、质量评估、腐蚀性能及表面测试与表征、规范起草、检测方法的开发、标物的研制、设备的计量校准等。公司于1985年被陕西省质监局授权为陕西省有色金属产品质量监督检验站。1987年被中国有色金属工业总公司授权为西北质量监督检验中心，先后被国家质检总局确定为钛及钛合金、铜及铜合金管材生产许可证检验工作实施单位；公司通过CNAS、CMA、国防DiLAC等认证认可，是陕西省有色金属材料分析检测与评价中心、陕西省稀有金属材料安全评估和失效分析中心、工业（稀有金属）产品质量和技术评价实验室、陕西省核工业用金属材料检测与评价服务平台挂靠单位。公司是国内最早从事有色金属材料及其产品分析检验检测与评价研究的专业机构之一，先后承担了国家、省市多项重大课题，目前已建成国内唯一的核电堆芯材料分析检测平台、多层金属复合材料测试和评价平台、钛及钛合金专业检测平台。近10年起草有色金属国家/行业规范共80余项、发表论文120余篇、授权专利30余项。先后荣获中国有色金属工业一等奖、二等奖20余次。</w:t>
      </w:r>
    </w:p>
    <w:p>
      <w:pPr>
        <w:pStyle w:val="12"/>
        <w:shd w:val="clear" w:color="auto" w:fill="FFFFFF"/>
        <w:spacing w:before="0" w:beforeAutospacing="0" w:after="0" w:afterAutospacing="0" w:line="360" w:lineRule="auto"/>
        <w:ind w:firstLine="480"/>
        <w:jc w:val="both"/>
        <w:rPr>
          <w:rFonts w:hint="eastAsia"/>
          <w:lang w:eastAsia="zh-CN"/>
        </w:rPr>
      </w:pPr>
      <w:r>
        <w:rPr>
          <w:rFonts w:hint="eastAsia"/>
        </w:rPr>
        <w:t>中铝材料应用研究院有限公司是中国高端制造直属的核心研究院，现有员工165人，其中科研人员134人，“千人计划”专家4人，高级以上职称41人，硕士88人，博士41人。试验检验中心（北京、苏州各设一个）为国家CNAS认可机构，具备开展有色金属材料研究和应用技术开发的基本硬件条件。累计承担科研项目98项，其中国家级项目3项，省部级项目4项</w:t>
      </w:r>
      <w:r>
        <w:rPr>
          <w:rFonts w:hint="eastAsia"/>
          <w:lang w:eastAsia="zh-CN"/>
        </w:rPr>
        <w:t>。</w:t>
      </w:r>
    </w:p>
    <w:p>
      <w:pPr>
        <w:spacing w:line="360" w:lineRule="auto"/>
        <w:ind w:firstLine="420" w:firstLineChars="200"/>
        <w:rPr>
          <w:rFonts w:hint="eastAsia"/>
          <w:lang w:val="en-US" w:eastAsia="zh-CN"/>
        </w:rPr>
      </w:pPr>
      <w:r>
        <w:rPr>
          <w:rFonts w:hint="eastAsia"/>
          <w:lang w:val="en-US" w:eastAsia="zh-CN"/>
        </w:rPr>
        <w:t>国标（北京）检验认证有限公司是我国有色行业的材料研究和材料检测的权威机构。该公司运行着国家有色金属质量监督检验中心，是我国有色行业金属材料检测的权威机构。中心拥有雄厚的技术力量，先进的仪器，齐全的分析方法，以及与国际接轨的质量管理体系（ISO/IEC 17025），承接了国家质量监督抽查、实施生产许可证产品的质量检验、方圆产品认证检验、产品质量鉴定、质量评价和仲裁检验等任务。同时，研究开发新的检验技术和方法，培训检验人员和技术咨询，承担和参加国家标准、行业标准的制定和修订工作，负责和参与起草制订国家标准150余项，行业标准70余项。</w:t>
      </w:r>
    </w:p>
    <w:p>
      <w:pPr>
        <w:spacing w:line="360" w:lineRule="auto"/>
        <w:ind w:firstLine="420" w:firstLineChars="200"/>
        <w:rPr>
          <w:rFonts w:hint="eastAsia"/>
          <w:lang w:val="en-US" w:eastAsia="zh-CN"/>
        </w:rPr>
      </w:pPr>
      <w:r>
        <w:rPr>
          <w:rFonts w:hint="eastAsia"/>
          <w:lang w:val="en-US" w:eastAsia="zh-CN"/>
        </w:rPr>
        <w:t>天津新艾隆科技有限公司是我国铝合金建筑型材用丙烯酸电泳涂料的主要供货厂家之一，成立于2003年，是在天津滨海经济开发区注册的一家拥有高新技术及人才的独资企业，主要生产、销售铝型材专用阳极电泳涂料。公司现在拥有外籍专家4名，高级工程师6名，工程师及技术人员12名。用于涂料的生产、分析及检测的原装进口或国产生产设备、检测仪器共23台套。以综合的技术实力为各地的铝型材厂提供品质技术支持和服务。铝型材电泳涂漆复合膜全部达到国家和国际标准的最高等级。</w:t>
      </w:r>
    </w:p>
    <w:p>
      <w:pPr>
        <w:pStyle w:val="11"/>
        <w:spacing w:after="0" w:line="360" w:lineRule="auto"/>
        <w:rPr>
          <w:rFonts w:ascii="黑体" w:eastAsia="黑体"/>
          <w:bCs/>
          <w:szCs w:val="21"/>
        </w:rPr>
      </w:pPr>
      <w:r>
        <w:rPr>
          <w:rFonts w:ascii="黑体" w:eastAsia="黑体"/>
          <w:bCs/>
          <w:szCs w:val="21"/>
        </w:rPr>
        <w:t>1.3</w:t>
      </w:r>
      <w:r>
        <w:rPr>
          <w:rFonts w:hint="eastAsia" w:ascii="黑体" w:hAnsi="宋体" w:eastAsia="黑体"/>
          <w:bCs/>
          <w:szCs w:val="21"/>
        </w:rPr>
        <w:t>主要工作过程</w:t>
      </w:r>
    </w:p>
    <w:p>
      <w:pPr>
        <w:spacing w:line="360" w:lineRule="auto"/>
        <w:ind w:firstLine="420" w:firstLineChars="200"/>
        <w:rPr>
          <w:bCs/>
        </w:rPr>
      </w:pPr>
      <w:r>
        <w:rPr>
          <w:rFonts w:hint="eastAsia"/>
          <w:bCs/>
          <w:lang w:eastAsia="zh-CN"/>
        </w:rPr>
        <w:t>西南铝业（集团）有限责任公司</w:t>
      </w:r>
      <w:r>
        <w:rPr>
          <w:rFonts w:hint="eastAsia"/>
          <w:bCs/>
        </w:rPr>
        <w:t>接到有色金属行业计量技术委员会转发下达的制定任务后，成立了计量规范编制组，对计量技术规范编写工作进行了部署和分工，制定了制定原则及计划工作。本项目主要工作过程经过了以下几个阶段：</w:t>
      </w:r>
    </w:p>
    <w:p>
      <w:pPr>
        <w:spacing w:line="360" w:lineRule="auto"/>
        <w:ind w:firstLine="210" w:firstLineChars="100"/>
        <w:rPr>
          <w:rFonts w:hint="eastAsia"/>
          <w:bCs/>
        </w:rPr>
      </w:pPr>
      <w:r>
        <w:rPr>
          <w:bCs/>
        </w:rPr>
        <w:t>1</w:t>
      </w:r>
      <w:r>
        <w:rPr>
          <w:rFonts w:hint="eastAsia"/>
          <w:bCs/>
        </w:rPr>
        <w:t>）</w:t>
      </w:r>
      <w:r>
        <w:rPr>
          <w:bCs/>
        </w:rPr>
        <w:t>20</w:t>
      </w:r>
      <w:r>
        <w:rPr>
          <w:rFonts w:hint="eastAsia"/>
          <w:bCs/>
        </w:rPr>
        <w:t>21年</w:t>
      </w:r>
      <w:r>
        <w:rPr>
          <w:rFonts w:hint="eastAsia"/>
          <w:bCs/>
          <w:lang w:val="en-US" w:eastAsia="zh-CN"/>
        </w:rPr>
        <w:t>6</w:t>
      </w:r>
      <w:r>
        <w:rPr>
          <w:rFonts w:hint="eastAsia"/>
          <w:bCs/>
        </w:rPr>
        <w:t>月成立</w:t>
      </w:r>
      <w:r>
        <w:rPr>
          <w:rFonts w:hint="eastAsia"/>
          <w:bCs/>
          <w:lang w:eastAsia="zh-CN"/>
        </w:rPr>
        <w:t>了</w:t>
      </w:r>
      <w:r>
        <w:rPr>
          <w:rFonts w:hint="eastAsia"/>
          <w:bCs/>
        </w:rPr>
        <w:t>计量规范编制组，</w:t>
      </w:r>
      <w:r>
        <w:rPr>
          <w:rFonts w:hint="eastAsia"/>
          <w:bCs/>
          <w:lang w:eastAsia="zh-CN"/>
        </w:rPr>
        <w:t>参与单位有</w:t>
      </w:r>
      <w:r>
        <w:rPr>
          <w:rFonts w:hint="eastAsia"/>
          <w:bCs/>
          <w:lang w:val="en-US" w:eastAsia="zh-CN"/>
        </w:rPr>
        <w:t>广东省科学院工业分析检测中心、西安汉唐分析检测有限公司、中铝材料应用研究院有限公司、国标（北京）检验认证有限公司和天津新艾隆科技有限公司，并</w:t>
      </w:r>
      <w:r>
        <w:rPr>
          <w:rFonts w:hint="eastAsia"/>
          <w:bCs/>
        </w:rPr>
        <w:t>明确了编制组</w:t>
      </w:r>
      <w:r>
        <w:rPr>
          <w:rFonts w:hint="eastAsia"/>
          <w:bCs/>
          <w:lang w:eastAsia="zh-CN"/>
        </w:rPr>
        <w:t>成员</w:t>
      </w:r>
      <w:r>
        <w:rPr>
          <w:rFonts w:hint="eastAsia"/>
          <w:bCs/>
        </w:rPr>
        <w:t>各自的工作内容和任务。</w:t>
      </w:r>
    </w:p>
    <w:p>
      <w:pPr>
        <w:spacing w:line="360" w:lineRule="auto"/>
        <w:ind w:firstLine="210" w:firstLineChars="100"/>
        <w:rPr>
          <w:color w:val="FF0000"/>
          <w:szCs w:val="21"/>
        </w:rPr>
      </w:pPr>
      <w:r>
        <w:rPr>
          <w:rFonts w:hint="eastAsia"/>
          <w:bCs/>
          <w:lang w:val="en-US" w:eastAsia="zh-CN"/>
        </w:rPr>
        <w:t>2）2021年8月～2021年10月计量规范编制组成员对电热恒温水浴锅校准规范中的计量特性及校准方法进行了讨论，确定了校准项目和方法，在2022年08月形成了计量规范讨论稿。</w:t>
      </w:r>
    </w:p>
    <w:p>
      <w:pPr>
        <w:spacing w:line="360" w:lineRule="auto"/>
        <w:rPr>
          <w:rFonts w:ascii="黑体" w:eastAsia="黑体"/>
          <w:bCs/>
          <w:color w:val="FF0000"/>
          <w:szCs w:val="21"/>
        </w:rPr>
      </w:pPr>
      <w:r>
        <w:rPr>
          <w:rFonts w:hint="eastAsia"/>
          <w:bCs/>
          <w:color w:val="000000"/>
          <w:szCs w:val="21"/>
        </w:rPr>
        <w:t>二、</w:t>
      </w:r>
      <w:r>
        <w:rPr>
          <w:rFonts w:hint="eastAsia" w:ascii="黑体" w:hAnsi="宋体" w:eastAsia="黑体"/>
          <w:bCs/>
          <w:szCs w:val="21"/>
        </w:rPr>
        <w:t>编制原则和依据</w:t>
      </w:r>
    </w:p>
    <w:p>
      <w:pPr>
        <w:pStyle w:val="11"/>
        <w:spacing w:after="0" w:line="360" w:lineRule="auto"/>
        <w:rPr>
          <w:rFonts w:ascii="黑体" w:eastAsia="黑体"/>
          <w:bCs/>
          <w:szCs w:val="21"/>
        </w:rPr>
      </w:pPr>
      <w:r>
        <w:rPr>
          <w:rFonts w:ascii="黑体" w:eastAsia="黑体"/>
          <w:bCs/>
          <w:szCs w:val="21"/>
        </w:rPr>
        <w:t>2.1</w:t>
      </w:r>
      <w:r>
        <w:rPr>
          <w:rFonts w:hint="eastAsia" w:ascii="黑体" w:hAnsi="宋体" w:eastAsia="黑体"/>
          <w:bCs/>
          <w:szCs w:val="21"/>
        </w:rPr>
        <w:t>规范编制原则</w:t>
      </w:r>
    </w:p>
    <w:p>
      <w:pPr>
        <w:spacing w:line="360" w:lineRule="auto"/>
        <w:ind w:firstLine="435"/>
        <w:rPr>
          <w:bCs/>
          <w:szCs w:val="21"/>
        </w:rPr>
      </w:pPr>
      <w:r>
        <w:rPr>
          <w:rFonts w:ascii="宋体" w:hAnsi="宋体"/>
          <w:bCs/>
          <w:szCs w:val="21"/>
        </w:rPr>
        <w:t>1</w:t>
      </w:r>
      <w:r>
        <w:rPr>
          <w:rFonts w:hint="eastAsia" w:ascii="宋体" w:hAnsi="宋体"/>
          <w:bCs/>
          <w:szCs w:val="21"/>
        </w:rPr>
        <w:t>）</w:t>
      </w:r>
      <w:r>
        <w:rPr>
          <w:rFonts w:hint="eastAsia" w:hAnsi="宋体"/>
          <w:bCs/>
          <w:szCs w:val="21"/>
        </w:rPr>
        <w:t>该规范按照</w:t>
      </w:r>
      <w:r>
        <w:rPr>
          <w:bCs/>
          <w:szCs w:val="21"/>
        </w:rPr>
        <w:t>JJF 1071-2010</w:t>
      </w:r>
      <w:r>
        <w:rPr>
          <w:rFonts w:hint="eastAsia" w:hAnsi="宋体"/>
          <w:bCs/>
          <w:szCs w:val="21"/>
        </w:rPr>
        <w:t>《国家计量校准规范编写规则》、</w:t>
      </w:r>
      <w:r>
        <w:rPr>
          <w:bCs/>
          <w:szCs w:val="21"/>
        </w:rPr>
        <w:t>JJF 1001—2011</w:t>
      </w:r>
      <w:r>
        <w:rPr>
          <w:rFonts w:hint="eastAsia" w:hAnsi="宋体"/>
          <w:bCs/>
          <w:szCs w:val="21"/>
        </w:rPr>
        <w:t>《通用计量术语及定义》和</w:t>
      </w:r>
      <w:r>
        <w:rPr>
          <w:bCs/>
          <w:szCs w:val="21"/>
        </w:rPr>
        <w:t>JJF 1059.1—2012</w:t>
      </w:r>
      <w:r>
        <w:rPr>
          <w:rFonts w:hint="eastAsia" w:hAnsi="宋体"/>
          <w:bCs/>
          <w:szCs w:val="21"/>
        </w:rPr>
        <w:t>《测量不确定度评定与表示》编写。</w:t>
      </w:r>
    </w:p>
    <w:p>
      <w:pPr>
        <w:spacing w:line="360" w:lineRule="auto"/>
        <w:ind w:firstLine="420" w:firstLineChars="200"/>
        <w:rPr>
          <w:rFonts w:hAnsi="宋体"/>
          <w:bCs/>
          <w:szCs w:val="21"/>
        </w:rPr>
      </w:pPr>
      <w:r>
        <w:rPr>
          <w:bCs/>
          <w:szCs w:val="21"/>
        </w:rPr>
        <w:t>2</w:t>
      </w:r>
      <w:r>
        <w:rPr>
          <w:rFonts w:hint="eastAsia" w:hAnsi="宋体"/>
          <w:bCs/>
          <w:szCs w:val="21"/>
        </w:rPr>
        <w:t>）先进性：本规范参照了J</w:t>
      </w:r>
      <w:r>
        <w:rPr>
          <w:rFonts w:hAnsi="宋体"/>
          <w:bCs/>
          <w:szCs w:val="21"/>
        </w:rPr>
        <w:t>JF 1101-2019</w:t>
      </w:r>
      <w:r>
        <w:rPr>
          <w:rFonts w:hint="eastAsia" w:hAnsi="宋体"/>
          <w:bCs/>
          <w:szCs w:val="21"/>
        </w:rPr>
        <w:t>《环境试验设备温度、湿度参数校准规范》的相关内容，结合有色金属行业电热恒温水浴锅使用现状，</w:t>
      </w:r>
      <w:r>
        <w:rPr>
          <w:rFonts w:hint="eastAsia" w:ascii="宋体" w:hAnsi="宋体"/>
          <w:bCs/>
          <w:szCs w:val="21"/>
        </w:rPr>
        <w:t>制订了基本原则和编制依据，规范了电热恒温水浴锅温度偏差、温度波动度和温度均匀性等性能指标的数据处理公式。</w:t>
      </w:r>
    </w:p>
    <w:p>
      <w:pPr>
        <w:spacing w:line="360" w:lineRule="auto"/>
        <w:ind w:firstLine="420" w:firstLineChars="200"/>
        <w:rPr>
          <w:rFonts w:hAnsi="宋体"/>
          <w:bCs/>
          <w:szCs w:val="21"/>
        </w:rPr>
      </w:pPr>
      <w:r>
        <w:rPr>
          <w:rFonts w:ascii="宋体" w:hAnsi="宋体"/>
          <w:bCs/>
          <w:szCs w:val="21"/>
        </w:rPr>
        <w:t>3</w:t>
      </w:r>
      <w:r>
        <w:rPr>
          <w:rFonts w:hint="eastAsia" w:ascii="宋体" w:hAnsi="宋体"/>
          <w:bCs/>
          <w:szCs w:val="21"/>
        </w:rPr>
        <w:t>）创新性：</w:t>
      </w:r>
      <w:r>
        <w:rPr>
          <w:rFonts w:hint="eastAsia" w:hAnsi="宋体"/>
          <w:bCs/>
          <w:szCs w:val="21"/>
        </w:rPr>
        <w:t>电热恒温水浴锅形状、样式多样，规范详细规定了单列孔、双列孔、无孔、圆形内腔、方形内腔等不同样式电热恒温水浴锅性能指标的校准方法，并使温度校准点的布置尽可能覆盖整个电热恒温水浴锅的工作区域，更加真实全面的反映电热恒温水浴锅的性能指标。</w:t>
      </w:r>
    </w:p>
    <w:p>
      <w:pPr>
        <w:spacing w:line="360" w:lineRule="auto"/>
        <w:rPr>
          <w:rFonts w:ascii="黑体" w:hAnsi="宋体" w:eastAsia="黑体"/>
          <w:bCs/>
          <w:szCs w:val="21"/>
        </w:rPr>
      </w:pPr>
      <w:r>
        <w:rPr>
          <w:rFonts w:ascii="黑体" w:eastAsia="黑体"/>
          <w:bCs/>
          <w:szCs w:val="21"/>
        </w:rPr>
        <w:t>2.2</w:t>
      </w:r>
      <w:r>
        <w:rPr>
          <w:rFonts w:hint="eastAsia" w:ascii="黑体" w:hAnsi="宋体" w:eastAsia="黑体"/>
          <w:bCs/>
          <w:szCs w:val="21"/>
        </w:rPr>
        <w:t>制定规范主要内容的论据</w:t>
      </w:r>
    </w:p>
    <w:p>
      <w:pPr>
        <w:spacing w:line="360" w:lineRule="auto"/>
        <w:rPr>
          <w:rFonts w:ascii="黑体" w:hAnsi="黑体" w:eastAsia="黑体"/>
          <w:bCs/>
          <w:szCs w:val="21"/>
        </w:rPr>
      </w:pPr>
      <w:r>
        <w:rPr>
          <w:rFonts w:ascii="黑体" w:hAnsi="黑体" w:eastAsia="黑体"/>
          <w:bCs/>
          <w:szCs w:val="21"/>
        </w:rPr>
        <w:t>2.2.1</w:t>
      </w:r>
      <w:r>
        <w:rPr>
          <w:rFonts w:hint="eastAsia" w:ascii="黑体" w:hAnsi="黑体" w:eastAsia="黑体"/>
          <w:bCs/>
          <w:szCs w:val="21"/>
        </w:rPr>
        <w:t>范围</w:t>
      </w:r>
    </w:p>
    <w:p>
      <w:pPr>
        <w:spacing w:line="360" w:lineRule="auto"/>
        <w:ind w:firstLine="420" w:firstLineChars="200"/>
        <w:rPr>
          <w:rFonts w:hAnsi="宋体"/>
          <w:bCs/>
          <w:szCs w:val="21"/>
        </w:rPr>
      </w:pPr>
      <w:r>
        <w:rPr>
          <w:rFonts w:hAnsi="宋体"/>
          <w:bCs/>
          <w:szCs w:val="21"/>
        </w:rPr>
        <w:t>本规范适</w:t>
      </w:r>
      <w:r>
        <w:rPr>
          <w:rFonts w:hint="eastAsia" w:hAnsi="宋体"/>
          <w:bCs/>
          <w:szCs w:val="21"/>
        </w:rPr>
        <w:t>用于温度范围</w:t>
      </w:r>
      <w:r>
        <w:rPr>
          <w:rFonts w:hAnsi="宋体"/>
          <w:bCs/>
          <w:szCs w:val="21"/>
        </w:rPr>
        <w:t>（0～100）℃电热恒温水浴锅（以下简称水浴锅）计量性能的校准</w:t>
      </w:r>
      <w:r>
        <w:rPr>
          <w:rFonts w:hint="eastAsia" w:hAnsi="宋体"/>
          <w:bCs/>
          <w:szCs w:val="21"/>
        </w:rPr>
        <w:t>，其他范围的类似设备也可参照本规范。</w:t>
      </w:r>
    </w:p>
    <w:p>
      <w:pPr>
        <w:spacing w:line="360" w:lineRule="auto"/>
        <w:rPr>
          <w:rFonts w:ascii="黑体" w:hAnsi="宋体" w:eastAsia="黑体"/>
          <w:bCs/>
          <w:szCs w:val="21"/>
        </w:rPr>
      </w:pPr>
      <w:r>
        <w:rPr>
          <w:rFonts w:ascii="黑体" w:hAnsi="宋体" w:eastAsia="黑体"/>
          <w:bCs/>
          <w:szCs w:val="21"/>
        </w:rPr>
        <w:t>2.2.2</w:t>
      </w:r>
      <w:r>
        <w:rPr>
          <w:rFonts w:ascii="黑体" w:eastAsia="黑体"/>
          <w:bCs/>
          <w:szCs w:val="21"/>
        </w:rPr>
        <w:t xml:space="preserve"> </w:t>
      </w:r>
      <w:r>
        <w:rPr>
          <w:rFonts w:hint="eastAsia" w:ascii="黑体" w:hAnsi="宋体" w:eastAsia="黑体"/>
          <w:bCs/>
          <w:szCs w:val="21"/>
        </w:rPr>
        <w:t>引用文件</w:t>
      </w:r>
    </w:p>
    <w:p>
      <w:pPr>
        <w:adjustRightInd w:val="0"/>
        <w:snapToGrid w:val="0"/>
        <w:spacing w:line="360" w:lineRule="auto"/>
        <w:ind w:firstLine="210" w:firstLineChars="100"/>
        <w:rPr>
          <w:rFonts w:hAnsi="宋体"/>
          <w:bCs/>
          <w:szCs w:val="21"/>
        </w:rPr>
      </w:pPr>
      <w:r>
        <w:rPr>
          <w:rFonts w:hint="eastAsia"/>
          <w:bCs/>
          <w:szCs w:val="21"/>
        </w:rPr>
        <w:t xml:space="preserve"> </w:t>
      </w:r>
      <w:r>
        <w:rPr>
          <w:bCs/>
          <w:szCs w:val="21"/>
        </w:rPr>
        <w:t xml:space="preserve"> </w:t>
      </w:r>
      <w:r>
        <w:rPr>
          <w:rFonts w:hint="eastAsia"/>
          <w:bCs/>
          <w:szCs w:val="21"/>
        </w:rPr>
        <w:t>本规范没有引用文件</w:t>
      </w:r>
      <w:r>
        <w:rPr>
          <w:rFonts w:hint="eastAsia" w:hAnsi="宋体"/>
          <w:bCs/>
          <w:szCs w:val="21"/>
        </w:rPr>
        <w:t>。</w:t>
      </w:r>
    </w:p>
    <w:p>
      <w:pPr>
        <w:spacing w:line="360" w:lineRule="auto"/>
        <w:rPr>
          <w:rFonts w:ascii="黑体" w:eastAsia="黑体"/>
          <w:bCs/>
          <w:szCs w:val="21"/>
        </w:rPr>
      </w:pPr>
      <w:r>
        <w:rPr>
          <w:rFonts w:ascii="黑体" w:hAnsi="宋体" w:eastAsia="黑体"/>
          <w:bCs/>
          <w:szCs w:val="21"/>
        </w:rPr>
        <w:t>2.2.3</w:t>
      </w:r>
      <w:r>
        <w:rPr>
          <w:rFonts w:ascii="黑体" w:eastAsia="黑体"/>
          <w:bCs/>
          <w:szCs w:val="21"/>
        </w:rPr>
        <w:t xml:space="preserve"> </w:t>
      </w:r>
      <w:r>
        <w:rPr>
          <w:rFonts w:hint="eastAsia" w:ascii="黑体" w:eastAsia="黑体"/>
          <w:bCs/>
          <w:szCs w:val="21"/>
        </w:rPr>
        <w:t>术语和计量单位</w:t>
      </w:r>
    </w:p>
    <w:p>
      <w:pPr>
        <w:spacing w:line="360" w:lineRule="auto"/>
        <w:ind w:firstLine="420" w:firstLineChars="200"/>
        <w:rPr>
          <w:rFonts w:hint="eastAsia" w:ascii="Times New Roman" w:hAnsi="宋体" w:cs="Times New Roman"/>
          <w:bCs/>
          <w:szCs w:val="21"/>
          <w:lang w:eastAsia="zh-CN"/>
        </w:rPr>
      </w:pPr>
      <w:r>
        <w:rPr>
          <w:rFonts w:hint="eastAsia" w:ascii="Times New Roman" w:hAnsi="宋体" w:cs="Times New Roman"/>
          <w:bCs/>
          <w:szCs w:val="21"/>
        </w:rPr>
        <w:t>根据讨论稿的意见，</w:t>
      </w:r>
      <w:r>
        <w:rPr>
          <w:rFonts w:hint="eastAsia" w:ascii="Times New Roman" w:hAnsi="宋体" w:cs="Times New Roman"/>
          <w:bCs/>
          <w:szCs w:val="21"/>
          <w:lang w:eastAsia="zh-CN"/>
        </w:rPr>
        <w:t>删除了该章节内容。</w:t>
      </w:r>
    </w:p>
    <w:p>
      <w:pPr>
        <w:spacing w:line="360" w:lineRule="auto"/>
        <w:rPr>
          <w:rFonts w:ascii="黑体" w:hAnsi="宋体" w:eastAsia="黑体"/>
          <w:bCs/>
          <w:szCs w:val="21"/>
        </w:rPr>
      </w:pPr>
      <w:r>
        <w:rPr>
          <w:rFonts w:hint="eastAsia" w:ascii="黑体" w:eastAsia="黑体"/>
          <w:bCs/>
          <w:szCs w:val="21"/>
          <w:lang w:val="en-US" w:eastAsia="zh-CN"/>
        </w:rPr>
        <w:t xml:space="preserve">2.2.4 </w:t>
      </w:r>
      <w:r>
        <w:rPr>
          <w:rFonts w:hint="eastAsia" w:ascii="黑体" w:hAnsi="宋体" w:eastAsia="黑体"/>
          <w:bCs/>
          <w:szCs w:val="21"/>
        </w:rPr>
        <w:t>概述</w:t>
      </w:r>
    </w:p>
    <w:p>
      <w:pPr>
        <w:adjustRightInd w:val="0"/>
        <w:snapToGrid w:val="0"/>
        <w:spacing w:line="360" w:lineRule="auto"/>
        <w:ind w:firstLine="420" w:firstLineChars="200"/>
        <w:rPr>
          <w:rFonts w:hint="eastAsia"/>
          <w:bCs/>
          <w:szCs w:val="21"/>
        </w:rPr>
      </w:pPr>
      <w:r>
        <w:rPr>
          <w:rFonts w:hint="eastAsia" w:ascii="Times New Roman" w:hAnsi="宋体" w:cs="Times New Roman"/>
          <w:bCs/>
          <w:szCs w:val="21"/>
          <w:lang w:val="en-US" w:eastAsia="zh-CN"/>
        </w:rPr>
        <w:t>根据讨论稿的意见</w:t>
      </w:r>
      <w:r>
        <w:rPr>
          <w:rFonts w:hint="eastAsia" w:hAnsi="宋体" w:cs="Times New Roman"/>
          <w:bCs/>
          <w:szCs w:val="21"/>
          <w:lang w:val="en-US" w:eastAsia="zh-CN"/>
        </w:rPr>
        <w:t>，对概述进行了修改，如下描述：</w:t>
      </w:r>
    </w:p>
    <w:p>
      <w:pPr>
        <w:adjustRightInd w:val="0"/>
        <w:snapToGrid w:val="0"/>
        <w:spacing w:line="360" w:lineRule="auto"/>
        <w:ind w:firstLine="420" w:firstLineChars="200"/>
        <w:rPr>
          <w:bCs/>
          <w:szCs w:val="21"/>
        </w:rPr>
      </w:pPr>
      <w:r>
        <w:rPr>
          <w:rFonts w:hint="eastAsia"/>
          <w:bCs/>
          <w:szCs w:val="21"/>
        </w:rPr>
        <w:t>水浴锅通常由水槽、管状加热器、托架、温度控制器、放水管等组成。现代水浴锅一般采用矩形、圆形水槽式结构比较多，通过温度控制器控制温度。水浴锅的种类按所使用孔位的需求分为有孔和无孔两种结构，有孔的又分为单孔、单列多孔和双列多孔等形式。</w:t>
      </w:r>
    </w:p>
    <w:p>
      <w:pPr>
        <w:spacing w:line="360" w:lineRule="auto"/>
        <w:rPr>
          <w:rFonts w:ascii="黑体" w:hAnsi="宋体" w:eastAsia="黑体"/>
          <w:bCs/>
          <w:szCs w:val="21"/>
        </w:rPr>
      </w:pPr>
      <w:r>
        <w:rPr>
          <w:rFonts w:ascii="黑体" w:hAnsi="宋体" w:eastAsia="黑体"/>
          <w:bCs/>
          <w:szCs w:val="21"/>
        </w:rPr>
        <w:t>2.2.</w:t>
      </w:r>
      <w:r>
        <w:rPr>
          <w:rFonts w:hint="eastAsia" w:ascii="黑体" w:hAnsi="宋体" w:eastAsia="黑体"/>
          <w:bCs/>
          <w:szCs w:val="21"/>
          <w:lang w:val="en-US" w:eastAsia="zh-CN"/>
        </w:rPr>
        <w:t>5</w:t>
      </w:r>
      <w:r>
        <w:rPr>
          <w:rFonts w:ascii="黑体" w:eastAsia="黑体"/>
          <w:bCs/>
          <w:szCs w:val="21"/>
        </w:rPr>
        <w:t xml:space="preserve"> </w:t>
      </w:r>
      <w:r>
        <w:rPr>
          <w:rFonts w:hint="eastAsia" w:ascii="黑体" w:hAnsi="宋体" w:eastAsia="黑体"/>
          <w:bCs/>
          <w:szCs w:val="21"/>
        </w:rPr>
        <w:t>计量特性</w:t>
      </w:r>
    </w:p>
    <w:p>
      <w:pPr>
        <w:spacing w:line="360" w:lineRule="auto"/>
        <w:ind w:firstLine="420" w:firstLineChars="200"/>
        <w:rPr>
          <w:rFonts w:hint="eastAsia" w:eastAsia="宋体"/>
          <w:bCs/>
          <w:szCs w:val="21"/>
          <w:lang w:eastAsia="zh-CN"/>
        </w:rPr>
      </w:pPr>
      <w:r>
        <w:rPr>
          <w:rFonts w:hint="eastAsia"/>
          <w:bCs/>
          <w:szCs w:val="21"/>
        </w:rPr>
        <w:t>根据讨论稿的意见，</w:t>
      </w:r>
      <w:r>
        <w:rPr>
          <w:rFonts w:hint="eastAsia"/>
          <w:bCs/>
          <w:szCs w:val="21"/>
          <w:lang w:eastAsia="zh-CN"/>
        </w:rPr>
        <w:t>将“温度偏差、温度波动度、温度均匀度”</w:t>
      </w:r>
      <w:r>
        <w:rPr>
          <w:rFonts w:hint="eastAsia"/>
          <w:bCs/>
          <w:szCs w:val="21"/>
          <w:lang w:val="en-US" w:eastAsia="zh-CN"/>
        </w:rPr>
        <w:t>3个计量特性，删除了“</w:t>
      </w:r>
      <w:r>
        <w:rPr>
          <w:rFonts w:hint="eastAsia"/>
          <w:bCs/>
          <w:szCs w:val="21"/>
        </w:rPr>
        <w:t>通常应不超过产品说明书的技术要求，没有明确技术要求的，应满足用户使用要求</w:t>
      </w:r>
      <w:r>
        <w:rPr>
          <w:rFonts w:hint="eastAsia"/>
          <w:bCs/>
          <w:szCs w:val="21"/>
          <w:lang w:eastAsia="zh-CN"/>
        </w:rPr>
        <w:t>”等内容，增加了“注：以上指标不是用于合格性判别，仅供参考。”等内容。</w:t>
      </w:r>
    </w:p>
    <w:p>
      <w:pPr>
        <w:spacing w:line="360" w:lineRule="auto"/>
        <w:rPr>
          <w:rFonts w:ascii="黑体" w:hAnsi="宋体" w:eastAsia="黑体"/>
          <w:bCs/>
          <w:szCs w:val="21"/>
        </w:rPr>
      </w:pPr>
      <w:r>
        <w:rPr>
          <w:rFonts w:ascii="黑体" w:hAnsi="宋体" w:eastAsia="黑体"/>
          <w:bCs/>
          <w:szCs w:val="21"/>
        </w:rPr>
        <w:t>2.2.</w:t>
      </w:r>
      <w:r>
        <w:rPr>
          <w:rFonts w:hint="eastAsia" w:ascii="黑体" w:hAnsi="宋体" w:eastAsia="黑体"/>
          <w:bCs/>
          <w:szCs w:val="21"/>
          <w:lang w:val="en-US" w:eastAsia="zh-CN"/>
        </w:rPr>
        <w:t>6</w:t>
      </w:r>
      <w:r>
        <w:rPr>
          <w:rFonts w:ascii="黑体" w:eastAsia="黑体"/>
          <w:bCs/>
          <w:szCs w:val="21"/>
        </w:rPr>
        <w:t xml:space="preserve"> </w:t>
      </w:r>
      <w:r>
        <w:rPr>
          <w:rFonts w:hint="eastAsia" w:ascii="黑体" w:hAnsi="宋体" w:eastAsia="黑体"/>
          <w:bCs/>
          <w:szCs w:val="21"/>
        </w:rPr>
        <w:t>校准条件</w:t>
      </w:r>
    </w:p>
    <w:p>
      <w:pPr>
        <w:spacing w:line="360" w:lineRule="auto"/>
        <w:ind w:firstLine="420" w:firstLineChars="200"/>
        <w:rPr>
          <w:rFonts w:hint="eastAsia"/>
          <w:bCs/>
          <w:lang w:eastAsia="zh-CN"/>
        </w:rPr>
      </w:pPr>
      <w:r>
        <w:rPr>
          <w:rFonts w:hint="eastAsia"/>
          <w:bCs/>
          <w:lang w:val="en-US" w:eastAsia="zh-CN"/>
        </w:rPr>
        <w:t>1）</w:t>
      </w:r>
      <w:r>
        <w:rPr>
          <w:rFonts w:hint="eastAsia"/>
          <w:bCs/>
          <w:lang w:eastAsia="zh-CN"/>
        </w:rPr>
        <w:t>根据讨论稿的意见，将“</w:t>
      </w:r>
      <w:r>
        <w:rPr>
          <w:rFonts w:hint="eastAsia"/>
          <w:bCs/>
        </w:rPr>
        <w:t>多通道温度数据采集器</w:t>
      </w:r>
      <w:r>
        <w:rPr>
          <w:rFonts w:hint="eastAsia"/>
          <w:bCs/>
          <w:lang w:eastAsia="zh-CN"/>
        </w:rPr>
        <w:t>”更改为“多通道测温仪”。</w:t>
      </w:r>
    </w:p>
    <w:p>
      <w:pPr>
        <w:spacing w:line="360" w:lineRule="auto"/>
        <w:ind w:firstLine="420" w:firstLineChars="200"/>
        <w:rPr>
          <w:rFonts w:hint="default"/>
          <w:bCs/>
          <w:highlight w:val="yellow"/>
          <w:lang w:val="en-US" w:eastAsia="zh-CN"/>
        </w:rPr>
      </w:pPr>
      <w:r>
        <w:rPr>
          <w:rFonts w:hint="eastAsia"/>
          <w:bCs/>
          <w:highlight w:val="yellow"/>
          <w:lang w:val="en-US" w:eastAsia="zh-CN"/>
        </w:rPr>
        <w:t>2）根据征求意见稿的意见，</w:t>
      </w:r>
      <w:r>
        <w:rPr>
          <w:rFonts w:hint="eastAsia"/>
          <w:highlight w:val="yellow"/>
          <w:lang w:eastAsia="zh-CN"/>
        </w:rPr>
        <w:t>将</w:t>
      </w:r>
      <w:r>
        <w:rPr>
          <w:rFonts w:hint="eastAsia"/>
          <w:highlight w:val="yellow"/>
          <w:lang w:val="en-US" w:eastAsia="zh-CN"/>
        </w:rPr>
        <w:t>表1“</w:t>
      </w:r>
      <w:r>
        <w:rPr>
          <w:rStyle w:val="42"/>
          <w:rFonts w:hint="eastAsia"/>
          <w:color w:val="auto"/>
          <w:highlight w:val="yellow"/>
          <w:lang w:val="zh-TW"/>
        </w:rPr>
        <w:t>扩展不确定度</w:t>
      </w:r>
      <w:r>
        <w:rPr>
          <w:rStyle w:val="42"/>
          <w:rFonts w:hint="eastAsia"/>
          <w:i/>
          <w:iCs/>
          <w:color w:val="auto"/>
          <w:highlight w:val="yellow"/>
          <w:lang w:val="zh-TW"/>
        </w:rPr>
        <w:t>U</w:t>
      </w:r>
      <w:r>
        <w:rPr>
          <w:rStyle w:val="42"/>
          <w:rFonts w:hint="eastAsia"/>
          <w:color w:val="auto"/>
          <w:highlight w:val="yellow"/>
          <w:lang w:val="zh-TW"/>
        </w:rPr>
        <w:t>(k=2)</w:t>
      </w:r>
      <w:r>
        <w:rPr>
          <w:rStyle w:val="42"/>
          <w:rFonts w:hint="eastAsia"/>
          <w:color w:val="auto"/>
          <w:highlight w:val="yellow"/>
          <w:lang w:val="zh-TW" w:eastAsia="zh-CN"/>
        </w:rPr>
        <w:t>”</w:t>
      </w:r>
      <w:r>
        <w:rPr>
          <w:rStyle w:val="42"/>
          <w:rFonts w:hint="eastAsia" w:eastAsia="宋体"/>
          <w:color w:val="auto"/>
          <w:highlight w:val="yellow"/>
          <w:lang w:val="zh-TW" w:eastAsia="zh-CN"/>
        </w:rPr>
        <w:t>，</w:t>
      </w:r>
      <w:r>
        <w:rPr>
          <w:rStyle w:val="42"/>
          <w:rFonts w:hint="eastAsia" w:eastAsia="宋体"/>
          <w:color w:val="auto"/>
          <w:highlight w:val="yellow"/>
          <w:lang w:val="en-US" w:eastAsia="zh-CN"/>
        </w:rPr>
        <w:t>改为了</w:t>
      </w:r>
      <w:r>
        <w:rPr>
          <w:rFonts w:hint="eastAsia"/>
          <w:highlight w:val="yellow"/>
          <w:lang w:val="en-US" w:eastAsia="zh-CN"/>
        </w:rPr>
        <w:t>“</w:t>
      </w:r>
      <w:r>
        <w:rPr>
          <w:rStyle w:val="42"/>
          <w:rFonts w:hint="eastAsia"/>
          <w:color w:val="auto"/>
          <w:highlight w:val="yellow"/>
          <w:lang w:val="zh-TW"/>
        </w:rPr>
        <w:t>扩展不确定度</w:t>
      </w:r>
      <w:r>
        <w:rPr>
          <w:rStyle w:val="42"/>
          <w:rFonts w:hint="eastAsia"/>
          <w:i/>
          <w:iCs/>
          <w:color w:val="auto"/>
          <w:highlight w:val="yellow"/>
          <w:lang w:val="zh-TW"/>
        </w:rPr>
        <w:t>U</w:t>
      </w:r>
      <w:r>
        <w:rPr>
          <w:rStyle w:val="42"/>
          <w:rFonts w:hint="eastAsia"/>
          <w:color w:val="auto"/>
          <w:highlight w:val="yellow"/>
          <w:lang w:val="zh-TW"/>
        </w:rPr>
        <w:t>(</w:t>
      </w:r>
      <w:r>
        <w:rPr>
          <w:rStyle w:val="42"/>
          <w:rFonts w:hint="eastAsia"/>
          <w:i/>
          <w:iCs/>
          <w:color w:val="auto"/>
          <w:highlight w:val="yellow"/>
          <w:lang w:val="zh-TW"/>
        </w:rPr>
        <w:t>k</w:t>
      </w:r>
      <w:r>
        <w:rPr>
          <w:rStyle w:val="42"/>
          <w:rFonts w:hint="eastAsia"/>
          <w:color w:val="auto"/>
          <w:highlight w:val="yellow"/>
          <w:lang w:val="zh-TW"/>
        </w:rPr>
        <w:t>=2)</w:t>
      </w:r>
      <w:r>
        <w:rPr>
          <w:rStyle w:val="42"/>
          <w:rFonts w:hint="eastAsia" w:eastAsia="宋体"/>
          <w:color w:val="auto"/>
          <w:highlight w:val="yellow"/>
          <w:lang w:val="zh-TW" w:eastAsia="zh-CN"/>
        </w:rPr>
        <w:t>”</w:t>
      </w:r>
      <w:r>
        <w:rPr>
          <w:rStyle w:val="42"/>
          <w:rFonts w:hint="eastAsia" w:eastAsia="宋体"/>
          <w:color w:val="auto"/>
          <w:highlight w:val="yellow"/>
          <w:lang w:val="en-US" w:eastAsia="zh-CN"/>
        </w:rPr>
        <w:t>。</w:t>
      </w:r>
    </w:p>
    <w:p>
      <w:pPr>
        <w:spacing w:line="360" w:lineRule="auto"/>
        <w:rPr>
          <w:rFonts w:ascii="黑体" w:hAnsi="宋体" w:eastAsia="黑体"/>
          <w:bCs/>
          <w:szCs w:val="21"/>
        </w:rPr>
      </w:pPr>
      <w:r>
        <w:rPr>
          <w:rFonts w:ascii="黑体" w:hAnsi="宋体" w:eastAsia="黑体"/>
          <w:bCs/>
          <w:szCs w:val="21"/>
        </w:rPr>
        <w:t>2.2.</w:t>
      </w:r>
      <w:r>
        <w:rPr>
          <w:rFonts w:hint="eastAsia" w:ascii="黑体" w:hAnsi="宋体" w:eastAsia="黑体"/>
          <w:bCs/>
          <w:szCs w:val="21"/>
          <w:lang w:val="en-US" w:eastAsia="zh-CN"/>
        </w:rPr>
        <w:t>7</w:t>
      </w:r>
      <w:r>
        <w:rPr>
          <w:rFonts w:ascii="黑体" w:eastAsia="黑体"/>
          <w:bCs/>
          <w:szCs w:val="21"/>
        </w:rPr>
        <w:t xml:space="preserve"> </w:t>
      </w:r>
      <w:r>
        <w:rPr>
          <w:rFonts w:hint="eastAsia" w:ascii="黑体" w:hAnsi="宋体" w:eastAsia="黑体"/>
          <w:bCs/>
          <w:szCs w:val="21"/>
        </w:rPr>
        <w:t>校准项目和校准方法</w:t>
      </w:r>
    </w:p>
    <w:p>
      <w:pPr>
        <w:spacing w:line="360" w:lineRule="auto"/>
        <w:ind w:firstLine="420" w:firstLineChars="200"/>
        <w:rPr>
          <w:rFonts w:hint="eastAsia"/>
          <w:sz w:val="21"/>
          <w:szCs w:val="21"/>
          <w:highlight w:val="yellow"/>
          <w:lang w:val="en-US" w:eastAsia="zh-CN"/>
        </w:rPr>
      </w:pPr>
      <w:r>
        <w:rPr>
          <w:rFonts w:hint="eastAsia"/>
          <w:bCs/>
          <w:highlight w:val="yellow"/>
          <w:lang w:val="en-US" w:eastAsia="zh-CN"/>
        </w:rPr>
        <w:t>1）根据征求意见稿的意见，</w:t>
      </w:r>
      <w:r>
        <w:rPr>
          <w:rFonts w:hint="eastAsia"/>
          <w:sz w:val="21"/>
          <w:szCs w:val="21"/>
          <w:highlight w:val="yellow"/>
          <w:lang w:eastAsia="zh-CN"/>
        </w:rPr>
        <w:t>将原</w:t>
      </w:r>
      <w:r>
        <w:rPr>
          <w:rFonts w:hint="eastAsia"/>
          <w:sz w:val="21"/>
          <w:szCs w:val="21"/>
          <w:highlight w:val="yellow"/>
          <w:lang w:val="en-US" w:eastAsia="zh-CN"/>
        </w:rPr>
        <w:t>6.2.5.4“</w:t>
      </w:r>
      <w:r>
        <w:rPr>
          <w:rFonts w:hint="eastAsia" w:hAnsi="宋体" w:eastAsia="宋体"/>
          <w:color w:val="auto"/>
          <w:sz w:val="21"/>
          <w:szCs w:val="21"/>
          <w:highlight w:val="yellow"/>
        </w:rPr>
        <w:t>若水浴锅</w:t>
      </w:r>
      <w:r>
        <w:rPr>
          <w:rFonts w:hint="eastAsia" w:hAnsi="宋体" w:eastAsia="宋体"/>
          <w:color w:val="auto"/>
          <w:sz w:val="21"/>
          <w:szCs w:val="21"/>
          <w:highlight w:val="yellow"/>
          <w:lang w:eastAsia="zh-CN"/>
        </w:rPr>
        <w:t>内胆形状、</w:t>
      </w:r>
      <w:r>
        <w:rPr>
          <w:rFonts w:hint="eastAsia" w:hAnsi="宋体" w:eastAsia="宋体"/>
          <w:color w:val="auto"/>
          <w:sz w:val="21"/>
          <w:szCs w:val="21"/>
          <w:highlight w:val="yellow"/>
        </w:rPr>
        <w:t>开孔及排列为特殊形状，</w:t>
      </w:r>
      <w:r>
        <w:rPr>
          <w:rFonts w:hint="eastAsia" w:hAnsi="宋体" w:eastAsia="宋体"/>
          <w:color w:val="auto"/>
          <w:sz w:val="21"/>
          <w:szCs w:val="21"/>
          <w:highlight w:val="yellow"/>
          <w:lang w:val="en-US" w:eastAsia="zh-CN"/>
        </w:rPr>
        <w:t>可根据实际情况进行布点，布点位置范围不能小于实际工作区域</w:t>
      </w:r>
      <w:r>
        <w:rPr>
          <w:rFonts w:hint="eastAsia" w:hAnsi="宋体" w:eastAsia="宋体"/>
          <w:color w:val="auto"/>
          <w:sz w:val="21"/>
          <w:szCs w:val="21"/>
          <w:highlight w:val="yellow"/>
        </w:rPr>
        <w:t>。</w:t>
      </w:r>
      <w:r>
        <w:rPr>
          <w:rFonts w:hint="eastAsia"/>
          <w:sz w:val="21"/>
          <w:szCs w:val="21"/>
          <w:highlight w:val="yellow"/>
          <w:lang w:val="en-US" w:eastAsia="zh-CN"/>
        </w:rPr>
        <w:t>”删除</w:t>
      </w:r>
    </w:p>
    <w:p>
      <w:pPr>
        <w:spacing w:line="360" w:lineRule="auto"/>
        <w:ind w:firstLine="420" w:firstLineChars="200"/>
        <w:rPr>
          <w:rFonts w:hint="default"/>
          <w:sz w:val="21"/>
          <w:szCs w:val="21"/>
          <w:highlight w:val="yellow"/>
          <w:lang w:val="en-US" w:eastAsia="zh-CN"/>
        </w:rPr>
      </w:pPr>
      <w:r>
        <w:rPr>
          <w:rFonts w:hint="eastAsia"/>
          <w:sz w:val="21"/>
          <w:szCs w:val="21"/>
          <w:highlight w:val="yellow"/>
          <w:lang w:val="en-US" w:eastAsia="zh-CN"/>
        </w:rPr>
        <w:t>2）根据征求意见稿的意见，将6.2.5.3“其余各测温点在切线上”更改为“其余各测温点在各切点连接线上”。</w:t>
      </w:r>
    </w:p>
    <w:p>
      <w:pPr>
        <w:spacing w:line="360" w:lineRule="auto"/>
        <w:rPr>
          <w:rFonts w:ascii="黑体" w:hAnsi="宋体" w:eastAsia="黑体"/>
          <w:bCs/>
          <w:szCs w:val="21"/>
        </w:rPr>
      </w:pPr>
      <w:r>
        <w:rPr>
          <w:rFonts w:ascii="黑体" w:hAnsi="宋体" w:eastAsia="黑体"/>
          <w:bCs/>
          <w:szCs w:val="21"/>
        </w:rPr>
        <w:t>2.2.</w:t>
      </w:r>
      <w:r>
        <w:rPr>
          <w:rFonts w:hint="eastAsia" w:ascii="黑体" w:hAnsi="宋体" w:eastAsia="黑体"/>
          <w:bCs/>
          <w:szCs w:val="21"/>
          <w:lang w:val="en-US" w:eastAsia="zh-CN"/>
        </w:rPr>
        <w:t>8</w:t>
      </w:r>
      <w:r>
        <w:rPr>
          <w:rFonts w:ascii="黑体" w:hAnsi="宋体" w:eastAsia="黑体"/>
          <w:bCs/>
          <w:szCs w:val="21"/>
        </w:rPr>
        <w:t xml:space="preserve"> </w:t>
      </w:r>
      <w:r>
        <w:rPr>
          <w:rFonts w:hint="eastAsia" w:ascii="黑体" w:hAnsi="宋体" w:eastAsia="黑体"/>
          <w:bCs/>
          <w:szCs w:val="21"/>
        </w:rPr>
        <w:t>校准结果表达</w:t>
      </w:r>
    </w:p>
    <w:p>
      <w:pPr>
        <w:ind w:firstLine="420" w:firstLineChars="200"/>
        <w:rPr>
          <w:rFonts w:hint="eastAsia" w:ascii="宋体" w:hAnsi="宋体" w:cs="宋体"/>
          <w:szCs w:val="21"/>
        </w:rPr>
      </w:pPr>
      <w:r>
        <w:rPr>
          <w:rFonts w:hint="eastAsia" w:ascii="宋体" w:hAnsi="宋体" w:cs="宋体"/>
          <w:szCs w:val="21"/>
        </w:rPr>
        <w:t>规范中规定了校准证书中应包含被校对象信息、性能指标数据、环境条件等详细的校准结果内容信息。</w:t>
      </w:r>
    </w:p>
    <w:p>
      <w:pPr>
        <w:spacing w:line="360" w:lineRule="auto"/>
        <w:rPr>
          <w:rFonts w:hint="eastAsia" w:ascii="黑体" w:hAnsi="宋体" w:eastAsia="黑体"/>
          <w:bCs/>
          <w:szCs w:val="21"/>
        </w:rPr>
      </w:pPr>
      <w:r>
        <w:rPr>
          <w:rFonts w:hint="eastAsia" w:ascii="黑体" w:hAnsi="宋体" w:eastAsia="黑体"/>
          <w:bCs/>
          <w:szCs w:val="21"/>
          <w:lang w:val="en-US" w:eastAsia="zh-CN"/>
        </w:rPr>
        <w:t xml:space="preserve">2.2.9 </w:t>
      </w:r>
      <w:r>
        <w:rPr>
          <w:rFonts w:hint="eastAsia" w:ascii="黑体" w:hAnsi="宋体" w:eastAsia="黑体"/>
          <w:bCs/>
          <w:szCs w:val="21"/>
        </w:rPr>
        <w:t>复校时间间隔</w:t>
      </w:r>
    </w:p>
    <w:p>
      <w:pPr>
        <w:adjustRightInd w:val="0"/>
        <w:snapToGrid w:val="0"/>
        <w:spacing w:line="360" w:lineRule="auto"/>
        <w:ind w:firstLine="420" w:firstLineChars="200"/>
        <w:rPr>
          <w:rFonts w:hint="eastAsia"/>
          <w:bCs/>
          <w:lang w:val="en-US" w:eastAsia="zh-CN"/>
        </w:rPr>
      </w:pPr>
      <w:r>
        <w:rPr>
          <w:rFonts w:hint="eastAsia"/>
          <w:bCs/>
          <w:lang w:val="en-US" w:eastAsia="zh-CN"/>
        </w:rPr>
        <w:t>根据讨论稿的意见，将“复校周期”更改为“复校时间间隔”。</w:t>
      </w:r>
    </w:p>
    <w:p>
      <w:pPr>
        <w:spacing w:line="360" w:lineRule="auto"/>
        <w:rPr>
          <w:rFonts w:ascii="黑体" w:hAnsi="宋体" w:eastAsia="黑体"/>
          <w:bCs/>
          <w:szCs w:val="21"/>
        </w:rPr>
      </w:pPr>
      <w:r>
        <w:rPr>
          <w:rFonts w:ascii="黑体" w:hAnsi="宋体" w:eastAsia="黑体"/>
          <w:bCs/>
          <w:szCs w:val="21"/>
        </w:rPr>
        <w:t>2.2.</w:t>
      </w:r>
      <w:r>
        <w:rPr>
          <w:rFonts w:hint="eastAsia" w:ascii="黑体" w:hAnsi="宋体" w:eastAsia="黑体"/>
          <w:bCs/>
          <w:szCs w:val="21"/>
          <w:lang w:val="en-US" w:eastAsia="zh-CN"/>
        </w:rPr>
        <w:t>10</w:t>
      </w:r>
      <w:r>
        <w:rPr>
          <w:rFonts w:ascii="黑体" w:eastAsia="黑体"/>
          <w:bCs/>
          <w:szCs w:val="21"/>
        </w:rPr>
        <w:t xml:space="preserve"> </w:t>
      </w:r>
      <w:r>
        <w:rPr>
          <w:rFonts w:hint="eastAsia" w:ascii="黑体" w:hAnsi="宋体" w:eastAsia="黑体"/>
          <w:bCs/>
          <w:szCs w:val="21"/>
        </w:rPr>
        <w:t>附录</w:t>
      </w:r>
    </w:p>
    <w:p>
      <w:pPr>
        <w:numPr>
          <w:ilvl w:val="0"/>
          <w:numId w:val="0"/>
        </w:numPr>
        <w:ind w:firstLine="420" w:firstLineChars="200"/>
        <w:rPr>
          <w:rFonts w:hint="eastAsia" w:ascii="宋体" w:hAnsi="宋体"/>
          <w:bCs/>
          <w:color w:val="auto"/>
          <w:sz w:val="21"/>
          <w:szCs w:val="21"/>
          <w:highlight w:val="none"/>
          <w:lang w:val="en-US" w:eastAsia="zh-CN"/>
        </w:rPr>
      </w:pPr>
      <w:r>
        <w:rPr>
          <w:rFonts w:hint="eastAsia" w:ascii="宋体" w:hAnsi="宋体"/>
          <w:bCs/>
          <w:color w:val="auto"/>
          <w:sz w:val="21"/>
          <w:szCs w:val="21"/>
          <w:highlight w:val="none"/>
          <w:lang w:val="en-US" w:eastAsia="zh-CN"/>
        </w:rPr>
        <w:t>1）根据讨论稿的意见，将附录C、附录D、附录E的标题“不确定度评定报告”更改为了“不确定度评定示例”。</w:t>
      </w:r>
    </w:p>
    <w:p>
      <w:pPr>
        <w:numPr>
          <w:ilvl w:val="0"/>
          <w:numId w:val="0"/>
        </w:numPr>
        <w:ind w:firstLine="420" w:firstLineChars="200"/>
        <w:rPr>
          <w:rFonts w:hint="eastAsia" w:ascii="宋体" w:hAnsi="宋体"/>
          <w:bCs/>
          <w:color w:val="auto"/>
          <w:sz w:val="21"/>
          <w:szCs w:val="21"/>
          <w:highlight w:val="none"/>
          <w:lang w:val="en-US" w:eastAsia="zh-CN"/>
        </w:rPr>
      </w:pPr>
      <w:r>
        <w:rPr>
          <w:rFonts w:hint="eastAsia" w:ascii="宋体" w:hAnsi="宋体"/>
          <w:bCs/>
          <w:color w:val="auto"/>
          <w:sz w:val="21"/>
          <w:szCs w:val="21"/>
          <w:highlight w:val="none"/>
          <w:lang w:val="en-US" w:eastAsia="zh-CN"/>
        </w:rPr>
        <w:t>2）根据讨论稿的意见，删除了不确定度评定示例中被测对象的型号。</w:t>
      </w:r>
    </w:p>
    <w:p>
      <w:pPr>
        <w:numPr>
          <w:ilvl w:val="0"/>
          <w:numId w:val="0"/>
        </w:numPr>
        <w:ind w:firstLine="420" w:firstLineChars="200"/>
        <w:rPr>
          <w:rFonts w:hint="eastAsia" w:ascii="宋体" w:hAnsi="宋体" w:eastAsia="宋体"/>
          <w:bCs/>
          <w:color w:val="auto"/>
          <w:sz w:val="21"/>
          <w:szCs w:val="21"/>
          <w:highlight w:val="none"/>
          <w:lang w:val="en-US" w:eastAsia="zh-CN"/>
        </w:rPr>
      </w:pPr>
      <w:r>
        <w:rPr>
          <w:rFonts w:hint="eastAsia" w:ascii="宋体" w:hAnsi="宋体"/>
          <w:bCs/>
          <w:color w:val="auto"/>
          <w:sz w:val="21"/>
          <w:szCs w:val="21"/>
          <w:highlight w:val="none"/>
          <w:lang w:val="en-US" w:eastAsia="zh-CN"/>
        </w:rPr>
        <w:t>3）根据讨论稿的意见，将不确定度评定示例中各标准不确定度符号“</w:t>
      </w:r>
      <m:oMath>
        <m:r>
          <m:rPr/>
          <w:rPr>
            <w:rFonts w:hint="default" w:ascii="Cambria Math" w:hAnsi="Cambria Math"/>
            <w:color w:val="auto"/>
            <w:sz w:val="21"/>
            <w:szCs w:val="21"/>
            <w:highlight w:val="none"/>
            <w:lang w:val="en-US"/>
          </w:rPr>
          <m:t>μ</m:t>
        </m:r>
      </m:oMath>
      <w:r>
        <w:rPr>
          <w:rFonts w:hint="eastAsia" w:ascii="宋体" w:hAnsi="宋体"/>
          <w:bCs/>
          <w:color w:val="auto"/>
          <w:sz w:val="21"/>
          <w:szCs w:val="21"/>
          <w:highlight w:val="none"/>
          <w:lang w:val="en-US" w:eastAsia="zh-CN"/>
        </w:rPr>
        <w:t>”更改为了“</w:t>
      </w:r>
      <m:oMath>
        <m:r>
          <m:rPr/>
          <w:rPr>
            <w:rFonts w:hint="default" w:ascii="Cambria Math" w:hAnsi="Cambria Math" w:cs="Times New Roman"/>
            <w:color w:val="auto"/>
            <w:kern w:val="2"/>
            <w:sz w:val="21"/>
            <w:szCs w:val="21"/>
            <w:highlight w:val="none"/>
            <w:lang w:val="en-US" w:eastAsia="zh-CN" w:bidi="ar-SA"/>
          </w:rPr>
          <m:t>u</m:t>
        </m:r>
      </m:oMath>
      <w:r>
        <w:rPr>
          <w:rFonts w:hint="eastAsia" w:ascii="宋体" w:hAnsi="宋体"/>
          <w:bCs/>
          <w:color w:val="auto"/>
          <w:sz w:val="21"/>
          <w:szCs w:val="21"/>
          <w:highlight w:val="none"/>
          <w:lang w:val="en-US" w:eastAsia="zh-CN"/>
        </w:rPr>
        <w:t>”。</w:t>
      </w:r>
    </w:p>
    <w:p>
      <w:pPr>
        <w:adjustRightInd w:val="0"/>
        <w:spacing w:line="360" w:lineRule="auto"/>
        <w:rPr>
          <w:rFonts w:ascii="黑体" w:hAnsi="宋体" w:eastAsia="黑体"/>
          <w:bCs/>
          <w:szCs w:val="21"/>
        </w:rPr>
      </w:pPr>
      <w:r>
        <w:rPr>
          <w:rFonts w:hint="eastAsia" w:ascii="黑体" w:hAnsi="宋体" w:eastAsia="黑体"/>
          <w:bCs/>
          <w:szCs w:val="21"/>
        </w:rPr>
        <w:t>三、规范水平分析</w:t>
      </w:r>
    </w:p>
    <w:p>
      <w:pPr>
        <w:spacing w:line="360" w:lineRule="auto"/>
        <w:ind w:firstLine="420" w:firstLineChars="200"/>
        <w:rPr>
          <w:rFonts w:ascii="宋体"/>
          <w:bCs/>
          <w:szCs w:val="21"/>
        </w:rPr>
      </w:pPr>
      <w:r>
        <w:rPr>
          <w:rFonts w:hint="eastAsia" w:ascii="宋体" w:hAnsi="宋体"/>
          <w:bCs/>
          <w:szCs w:val="21"/>
        </w:rPr>
        <w:t>本规范系统性规定了不同形状、不同开孔方式的水浴锅校准方法，</w:t>
      </w:r>
      <w:r>
        <w:rPr>
          <w:rFonts w:hint="eastAsia" w:ascii="宋体" w:hAnsi="宋体"/>
          <w:bCs/>
          <w:szCs w:val="21"/>
          <w:lang w:eastAsia="zh-CN"/>
        </w:rPr>
        <w:t>能</w:t>
      </w:r>
      <w:r>
        <w:rPr>
          <w:rFonts w:hint="eastAsia" w:ascii="宋体" w:hAnsi="宋体"/>
          <w:bCs/>
          <w:szCs w:val="21"/>
        </w:rPr>
        <w:t>更加全面真实准确的反应电热恒温水浴锅的性能指标。</w:t>
      </w:r>
      <w:r>
        <w:rPr>
          <w:rFonts w:hint="eastAsia"/>
          <w:bCs/>
        </w:rPr>
        <w:t>据查，电热恒温水浴锅还没有国家检定规程或校准规范</w:t>
      </w:r>
      <w:r>
        <w:rPr>
          <w:rFonts w:hint="eastAsia"/>
          <w:bCs/>
          <w:lang w:eastAsia="zh-CN"/>
        </w:rPr>
        <w:t>，水平达到国内领先</w:t>
      </w:r>
      <w:r>
        <w:rPr>
          <w:rFonts w:hint="eastAsia"/>
          <w:bCs/>
        </w:rPr>
        <w:t>。</w:t>
      </w:r>
      <w:r>
        <w:rPr>
          <w:rFonts w:ascii="宋体"/>
          <w:bCs/>
          <w:szCs w:val="21"/>
        </w:rPr>
        <w:t xml:space="preserve"> </w:t>
      </w:r>
    </w:p>
    <w:p>
      <w:pPr>
        <w:adjustRightInd w:val="0"/>
        <w:spacing w:line="360" w:lineRule="auto"/>
        <w:rPr>
          <w:rFonts w:ascii="黑体" w:hAnsi="宋体" w:eastAsia="黑体"/>
          <w:bCs/>
          <w:szCs w:val="21"/>
        </w:rPr>
      </w:pPr>
      <w:r>
        <w:rPr>
          <w:rFonts w:hint="eastAsia" w:ascii="黑体" w:hAnsi="宋体" w:eastAsia="黑体"/>
          <w:bCs/>
          <w:szCs w:val="21"/>
        </w:rPr>
        <w:t>四、与有关的现行法律、法规和强制性国家标准的关系</w:t>
      </w:r>
    </w:p>
    <w:p>
      <w:pPr>
        <w:adjustRightInd w:val="0"/>
        <w:spacing w:line="360" w:lineRule="auto"/>
        <w:ind w:firstLine="420" w:firstLineChars="200"/>
        <w:rPr>
          <w:rFonts w:hAnsi="宋体"/>
          <w:bCs/>
          <w:szCs w:val="21"/>
        </w:rPr>
      </w:pPr>
      <w:r>
        <w:rPr>
          <w:rFonts w:hint="eastAsia" w:hAnsi="宋体"/>
          <w:bCs/>
          <w:szCs w:val="21"/>
        </w:rPr>
        <w:t>本规范与有关的现行法律、法规和国家计量技术规范具有一致性，无冲突之处。</w:t>
      </w:r>
    </w:p>
    <w:p>
      <w:pPr>
        <w:adjustRightInd w:val="0"/>
        <w:spacing w:line="360" w:lineRule="auto"/>
        <w:rPr>
          <w:rFonts w:ascii="黑体" w:hAnsi="宋体" w:eastAsia="黑体"/>
          <w:bCs/>
          <w:szCs w:val="21"/>
        </w:rPr>
      </w:pPr>
      <w:r>
        <w:rPr>
          <w:rFonts w:hint="eastAsia" w:ascii="黑体" w:hAnsi="宋体" w:eastAsia="黑体"/>
          <w:bCs/>
          <w:szCs w:val="21"/>
        </w:rPr>
        <w:t>五、重大分歧意见的处理经过和依据</w:t>
      </w:r>
    </w:p>
    <w:p>
      <w:pPr>
        <w:adjustRightInd w:val="0"/>
        <w:spacing w:line="360" w:lineRule="auto"/>
        <w:ind w:firstLine="420" w:firstLineChars="200"/>
        <w:rPr>
          <w:rFonts w:hAnsi="宋体"/>
          <w:bCs/>
          <w:szCs w:val="21"/>
        </w:rPr>
      </w:pPr>
      <w:r>
        <w:rPr>
          <w:rFonts w:hint="eastAsia" w:hAnsi="宋体"/>
          <w:bCs/>
          <w:szCs w:val="21"/>
        </w:rPr>
        <w:t>无。</w:t>
      </w:r>
    </w:p>
    <w:p>
      <w:pPr>
        <w:adjustRightInd w:val="0"/>
        <w:spacing w:line="360" w:lineRule="auto"/>
        <w:rPr>
          <w:rFonts w:ascii="黑体" w:hAnsi="宋体" w:eastAsia="黑体"/>
          <w:bCs/>
          <w:szCs w:val="21"/>
        </w:rPr>
      </w:pPr>
      <w:r>
        <w:rPr>
          <w:rFonts w:hint="eastAsia" w:ascii="黑体" w:hAnsi="宋体" w:eastAsia="黑体"/>
          <w:bCs/>
          <w:szCs w:val="21"/>
        </w:rPr>
        <w:t>六、规范作为强制性或推荐性国家（或行业）技术规范的建议</w:t>
      </w:r>
    </w:p>
    <w:p>
      <w:pPr>
        <w:adjustRightInd w:val="0"/>
        <w:spacing w:line="360" w:lineRule="auto"/>
        <w:ind w:firstLine="420" w:firstLineChars="200"/>
        <w:rPr>
          <w:rFonts w:hAnsi="宋体"/>
          <w:bCs/>
          <w:szCs w:val="21"/>
        </w:rPr>
      </w:pPr>
      <w:r>
        <w:rPr>
          <w:rFonts w:hint="eastAsia" w:hAnsi="宋体"/>
          <w:bCs/>
          <w:szCs w:val="21"/>
        </w:rPr>
        <w:t>建议本规范作为推荐性行业计量技术规范，供相关行业参考采用。</w:t>
      </w:r>
    </w:p>
    <w:p>
      <w:pPr>
        <w:adjustRightInd w:val="0"/>
        <w:spacing w:line="360" w:lineRule="auto"/>
        <w:rPr>
          <w:rFonts w:ascii="黑体" w:hAnsi="宋体" w:eastAsia="黑体"/>
          <w:bCs/>
          <w:szCs w:val="21"/>
        </w:rPr>
      </w:pPr>
      <w:r>
        <w:rPr>
          <w:rFonts w:hint="eastAsia" w:ascii="黑体" w:hAnsi="宋体" w:eastAsia="黑体"/>
          <w:bCs/>
          <w:szCs w:val="21"/>
        </w:rPr>
        <w:t>七、贯彻技术规范的要求和措施建议</w:t>
      </w:r>
    </w:p>
    <w:p>
      <w:pPr>
        <w:adjustRightInd w:val="0"/>
        <w:spacing w:line="360" w:lineRule="auto"/>
        <w:ind w:firstLine="420" w:firstLineChars="200"/>
        <w:rPr>
          <w:rFonts w:hAnsi="宋体"/>
          <w:bCs/>
          <w:szCs w:val="21"/>
        </w:rPr>
      </w:pPr>
      <w:r>
        <w:rPr>
          <w:rFonts w:hint="eastAsia" w:hAnsi="宋体"/>
          <w:bCs/>
          <w:szCs w:val="21"/>
        </w:rPr>
        <w:t>无。</w:t>
      </w:r>
    </w:p>
    <w:p>
      <w:pPr>
        <w:adjustRightInd w:val="0"/>
        <w:snapToGrid w:val="0"/>
        <w:spacing w:line="360" w:lineRule="auto"/>
        <w:rPr>
          <w:rFonts w:ascii="黑体" w:hAnsi="宋体" w:eastAsia="黑体"/>
          <w:bCs/>
          <w:szCs w:val="21"/>
        </w:rPr>
      </w:pPr>
      <w:r>
        <w:rPr>
          <w:rFonts w:hint="eastAsia" w:ascii="黑体" w:hAnsi="宋体" w:eastAsia="黑体"/>
          <w:bCs/>
          <w:szCs w:val="21"/>
        </w:rPr>
        <w:t>八、废止现行有关技术规范的建议</w:t>
      </w:r>
    </w:p>
    <w:p>
      <w:pPr>
        <w:adjustRightInd w:val="0"/>
        <w:snapToGrid w:val="0"/>
        <w:spacing w:line="360" w:lineRule="auto"/>
        <w:ind w:firstLine="420" w:firstLineChars="200"/>
        <w:rPr>
          <w:rFonts w:hAnsi="宋体"/>
          <w:bCs/>
          <w:szCs w:val="21"/>
        </w:rPr>
      </w:pPr>
      <w:r>
        <w:rPr>
          <w:rFonts w:hint="eastAsia" w:hAnsi="宋体"/>
          <w:bCs/>
          <w:szCs w:val="21"/>
        </w:rPr>
        <w:t>无。</w:t>
      </w:r>
    </w:p>
    <w:p>
      <w:pPr>
        <w:spacing w:line="360" w:lineRule="auto"/>
        <w:rPr>
          <w:rFonts w:ascii="黑体" w:eastAsia="黑体"/>
          <w:bCs/>
        </w:rPr>
      </w:pPr>
      <w:r>
        <w:rPr>
          <w:rFonts w:hint="eastAsia" w:ascii="黑体" w:eastAsia="黑体"/>
          <w:bCs/>
        </w:rPr>
        <w:t>九、预期效果</w:t>
      </w:r>
    </w:p>
    <w:p>
      <w:pPr>
        <w:adjustRightInd w:val="0"/>
        <w:snapToGrid w:val="0"/>
        <w:spacing w:line="360" w:lineRule="auto"/>
        <w:ind w:firstLine="420" w:firstLineChars="200"/>
        <w:rPr>
          <w:rFonts w:eastAsia="方正行楷简体"/>
          <w:bCs/>
        </w:rPr>
      </w:pPr>
      <w:r>
        <w:rPr>
          <w:rFonts w:hint="eastAsia"/>
          <w:bCs/>
        </w:rPr>
        <w:t>本规范的制定使</w:t>
      </w:r>
      <w:r>
        <w:rPr>
          <w:rFonts w:hint="eastAsia" w:ascii="宋体" w:hAnsi="宋体"/>
          <w:bCs/>
          <w:szCs w:val="21"/>
        </w:rPr>
        <w:t>电热恒温水浴锅的</w:t>
      </w:r>
      <w:r>
        <w:rPr>
          <w:rFonts w:hint="eastAsia" w:ascii="宋体" w:eastAsia="方正行楷简体"/>
          <w:bCs/>
          <w:kern w:val="0"/>
          <w:szCs w:val="21"/>
        </w:rPr>
        <w:t>校准更加全面、明确</w:t>
      </w:r>
      <w:r>
        <w:rPr>
          <w:rFonts w:hint="eastAsia" w:ascii="宋体" w:eastAsia="方正行楷简体"/>
          <w:bCs/>
          <w:kern w:val="0"/>
          <w:szCs w:val="21"/>
          <w:lang w:eastAsia="zh-CN"/>
        </w:rPr>
        <w:t>，</w:t>
      </w:r>
      <w:r>
        <w:rPr>
          <w:rFonts w:hint="eastAsia" w:ascii="宋体" w:eastAsia="方正行楷简体"/>
          <w:bCs/>
          <w:kern w:val="0"/>
          <w:szCs w:val="21"/>
        </w:rPr>
        <w:t>有了可靠依据。</w:t>
      </w:r>
    </w:p>
    <w:p>
      <w:pPr>
        <w:adjustRightInd w:val="0"/>
        <w:snapToGrid w:val="0"/>
        <w:spacing w:line="360" w:lineRule="auto"/>
        <w:rPr>
          <w:rFonts w:ascii="黑体" w:hAnsi="宋体" w:eastAsia="黑体"/>
          <w:bCs/>
          <w:szCs w:val="21"/>
        </w:rPr>
      </w:pPr>
      <w:r>
        <w:rPr>
          <w:rFonts w:hint="eastAsia" w:ascii="黑体" w:hAnsi="宋体" w:eastAsia="黑体"/>
          <w:bCs/>
          <w:szCs w:val="21"/>
        </w:rPr>
        <w:t>十、其他应予说明的事项</w:t>
      </w:r>
    </w:p>
    <w:p>
      <w:pPr>
        <w:spacing w:line="360" w:lineRule="auto"/>
        <w:ind w:firstLine="420" w:firstLineChars="200"/>
        <w:rPr>
          <w:bCs/>
        </w:rPr>
      </w:pPr>
      <w:r>
        <w:rPr>
          <w:rFonts w:hint="eastAsia"/>
          <w:bCs/>
        </w:rPr>
        <w:t>无。</w:t>
      </w:r>
    </w:p>
    <w:p>
      <w:pPr>
        <w:spacing w:line="360" w:lineRule="auto"/>
        <w:jc w:val="right"/>
        <w:rPr>
          <w:rFonts w:asciiTheme="minorEastAsia" w:hAnsiTheme="minorEastAsia" w:eastAsiaTheme="minorEastAsia" w:cstheme="minorEastAsia"/>
          <w:bCs/>
          <w:szCs w:val="21"/>
        </w:rPr>
      </w:pPr>
      <w:r>
        <w:rPr>
          <w:rFonts w:ascii="黑体" w:eastAsia="黑体"/>
          <w:bCs/>
        </w:rPr>
        <w:t xml:space="preserve">         </w:t>
      </w:r>
      <w:r>
        <w:rPr>
          <w:rFonts w:ascii="黑体" w:hAnsi="黑体" w:eastAsia="黑体"/>
          <w:bCs/>
        </w:rPr>
        <w:t xml:space="preserve">     </w:t>
      </w:r>
      <w:r>
        <w:rPr>
          <w:rFonts w:hint="eastAsia" w:asciiTheme="minorEastAsia" w:hAnsiTheme="minorEastAsia" w:eastAsiaTheme="minorEastAsia" w:cstheme="minorEastAsia"/>
          <w:bCs/>
          <w:szCs w:val="21"/>
        </w:rPr>
        <w:t xml:space="preserve"> 《电热恒温水浴锅校准规范</w:t>
      </w:r>
      <w:r>
        <w:rPr>
          <w:rFonts w:hint="eastAsia" w:asciiTheme="minorEastAsia" w:hAnsiTheme="minorEastAsia" w:eastAsiaTheme="minorEastAsia" w:cstheme="minorEastAsia"/>
          <w:bCs/>
          <w:kern w:val="0"/>
          <w:szCs w:val="21"/>
        </w:rPr>
        <w:t>》规范编制组</w:t>
      </w:r>
    </w:p>
    <w:p>
      <w:pPr>
        <w:adjustRightInd w:val="0"/>
        <w:snapToGrid w:val="0"/>
        <w:spacing w:line="360" w:lineRule="auto"/>
        <w:ind w:right="105"/>
        <w:jc w:val="right"/>
        <w:textAlignment w:val="top"/>
        <w:rPr>
          <w:rFonts w:asciiTheme="minorEastAsia" w:hAnsiTheme="minorEastAsia" w:eastAsiaTheme="minorEastAsia" w:cstheme="minorEastAsia"/>
          <w:bCs/>
        </w:rPr>
      </w:pPr>
      <w:bookmarkStart w:id="0" w:name="_GoBack"/>
      <w:bookmarkEnd w:id="0"/>
      <w:r>
        <w:rPr>
          <w:rFonts w:hint="eastAsia" w:asciiTheme="minorEastAsia" w:hAnsiTheme="minorEastAsia" w:eastAsiaTheme="minorEastAsia" w:cstheme="minorEastAsia"/>
          <w:bCs/>
        </w:rPr>
        <w:t>202</w:t>
      </w:r>
      <w:r>
        <w:rPr>
          <w:rFonts w:asciiTheme="minorEastAsia" w:hAnsiTheme="minorEastAsia" w:eastAsiaTheme="minorEastAsia" w:cstheme="minorEastAsia"/>
          <w:bCs/>
        </w:rPr>
        <w:t>2</w:t>
      </w:r>
      <w:r>
        <w:rPr>
          <w:rFonts w:hint="eastAsia" w:asciiTheme="minorEastAsia" w:hAnsiTheme="minorEastAsia" w:eastAsiaTheme="minorEastAsia" w:cstheme="minorEastAsia"/>
          <w:bCs/>
        </w:rPr>
        <w:t>年</w:t>
      </w:r>
      <w:r>
        <w:rPr>
          <w:rFonts w:hint="eastAsia" w:asciiTheme="minorEastAsia" w:hAnsiTheme="minorEastAsia" w:eastAsiaTheme="minorEastAsia" w:cstheme="minorEastAsia"/>
          <w:bCs/>
          <w:lang w:val="en-US" w:eastAsia="zh-CN"/>
        </w:rPr>
        <w:t>10</w:t>
      </w:r>
      <w:r>
        <w:rPr>
          <w:rFonts w:hint="eastAsia" w:asciiTheme="minorEastAsia" w:hAnsiTheme="minorEastAsia" w:eastAsiaTheme="minorEastAsia" w:cstheme="minorEastAsia"/>
          <w:bCs/>
        </w:rPr>
        <w:t>月</w:t>
      </w:r>
      <w:r>
        <w:rPr>
          <w:rFonts w:hint="eastAsia" w:asciiTheme="minorEastAsia" w:hAnsiTheme="minorEastAsia" w:eastAsiaTheme="minorEastAsia" w:cstheme="minorEastAsia"/>
          <w:bCs/>
          <w:lang w:val="en-US" w:eastAsia="zh-CN"/>
        </w:rPr>
        <w:t>26</w:t>
      </w:r>
      <w:r>
        <w:rPr>
          <w:rFonts w:hint="eastAsia" w:asciiTheme="minorEastAsia" w:hAnsiTheme="minorEastAsia" w:eastAsiaTheme="minorEastAsia" w:cstheme="minorEastAsia"/>
          <w:bCs/>
        </w:rPr>
        <w:t>日</w:t>
      </w: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Math">
    <w:panose1 w:val="02040503050406030204"/>
    <w:charset w:val="00"/>
    <w:family w:val="auto"/>
    <w:pitch w:val="default"/>
    <w:sig w:usb0="E00002FF" w:usb1="420024FF" w:usb2="00000000" w:usb3="00000000" w:csb0="2000019F" w:csb1="00000000"/>
  </w:font>
  <w:font w:name="方正行楷简体">
    <w:altName w:val="宋体"/>
    <w:panose1 w:val="00000000000000000000"/>
    <w:charset w:val="86"/>
    <w:family w:val="auto"/>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mc:AlternateContent>
        <mc:Choice Requires="wps">
          <w:drawing>
            <wp:anchor distT="0" distB="0" distL="114300" distR="114300" simplePos="0" relativeHeight="251659264" behindDoc="0" locked="0" layoutInCell="1" allowOverlap="1">
              <wp:simplePos x="0" y="0"/>
              <wp:positionH relativeFrom="margin">
                <wp:posOffset>2256155</wp:posOffset>
              </wp:positionH>
              <wp:positionV relativeFrom="paragraph">
                <wp:posOffset>-103505</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jc w:val="center"/>
                          </w:pPr>
                          <w:r>
                            <w:rPr>
                              <w:rFonts w:hint="eastAsia"/>
                            </w:rPr>
                            <w:t>第</w:t>
                          </w:r>
                          <w:r>
                            <w:rPr>
                              <w:lang w:val="zh-CN"/>
                            </w:rPr>
                            <w:fldChar w:fldCharType="begin"/>
                          </w:r>
                          <w:r>
                            <w:rPr>
                              <w:lang w:val="zh-CN"/>
                            </w:rPr>
                            <w:instrText xml:space="preserve"> PAGE   \* MERGEFORMAT </w:instrText>
                          </w:r>
                          <w:r>
                            <w:rPr>
                              <w:lang w:val="zh-CN"/>
                            </w:rPr>
                            <w:fldChar w:fldCharType="separate"/>
                          </w:r>
                          <w:r>
                            <w:rPr>
                              <w:lang w:val="zh-CN"/>
                            </w:rPr>
                            <w:t>6</w:t>
                          </w:r>
                          <w:r>
                            <w:rPr>
                              <w:lang w:val="zh-CN"/>
                            </w:rPr>
                            <w:fldChar w:fldCharType="end"/>
                          </w:r>
                          <w:r>
                            <w:rPr>
                              <w:rFonts w:hint="eastAsia"/>
                            </w:rPr>
                            <w:t>页，共</w:t>
                          </w:r>
                          <w:r>
                            <w:t>4</w:t>
                          </w:r>
                          <w:r>
                            <w:rPr>
                              <w:rFonts w:hint="eastAsia"/>
                            </w:rPr>
                            <w:t>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left:177.65pt;margin-top:-8.15pt;height:144pt;width:144pt;mso-position-horizontal-relative:margin;mso-wrap-style:none;z-index:251659264;mso-width-relative:page;mso-height-relative:page;" filled="f" stroked="f" coordsize="21600,21600" o:gfxdata="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lbgkfNkAAAALAQAADwAAAAAAAAABACAAAAAiAAAAZHJzL2Rvd25yZXYueG1sUEsBAhQA&#10;FAAAAAgAh07iQIzXDnwqAgAAVQQAAA4AAAAAAAAAAQAgAAAAKAEAAGRycy9lMm9Eb2MueG1sUEsF&#10;BgAAAAAGAAYAWQEAAMQFAAAAAA==&#10;">
              <v:fill on="f" focussize="0,0"/>
              <v:stroke on="f" weight="0.5pt"/>
              <v:imagedata o:title=""/>
              <o:lock v:ext="edit" aspectratio="f"/>
              <v:textbox inset="0mm,0mm,0mm,0mm" style="mso-fit-shape-to-text:t;">
                <w:txbxContent>
                  <w:p>
                    <w:pPr>
                      <w:pStyle w:val="9"/>
                      <w:jc w:val="center"/>
                    </w:pPr>
                    <w:r>
                      <w:rPr>
                        <w:rFonts w:hint="eastAsia"/>
                      </w:rPr>
                      <w:t>第</w:t>
                    </w:r>
                    <w:r>
                      <w:rPr>
                        <w:lang w:val="zh-CN"/>
                      </w:rPr>
                      <w:fldChar w:fldCharType="begin"/>
                    </w:r>
                    <w:r>
                      <w:rPr>
                        <w:lang w:val="zh-CN"/>
                      </w:rPr>
                      <w:instrText xml:space="preserve"> PAGE   \* MERGEFORMAT </w:instrText>
                    </w:r>
                    <w:r>
                      <w:rPr>
                        <w:lang w:val="zh-CN"/>
                      </w:rPr>
                      <w:fldChar w:fldCharType="separate"/>
                    </w:r>
                    <w:r>
                      <w:rPr>
                        <w:lang w:val="zh-CN"/>
                      </w:rPr>
                      <w:t>6</w:t>
                    </w:r>
                    <w:r>
                      <w:rPr>
                        <w:lang w:val="zh-CN"/>
                      </w:rPr>
                      <w:fldChar w:fldCharType="end"/>
                    </w:r>
                    <w:r>
                      <w:rPr>
                        <w:rFonts w:hint="eastAsia"/>
                      </w:rPr>
                      <w:t>页，共</w:t>
                    </w:r>
                    <w:r>
                      <w:t>4</w:t>
                    </w:r>
                    <w:r>
                      <w:rPr>
                        <w:rFonts w:hint="eastAsia"/>
                      </w:rPr>
                      <w:t>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CEA2025"/>
    <w:multiLevelType w:val="multilevel"/>
    <w:tmpl w:val="6CEA2025"/>
    <w:lvl w:ilvl="0" w:tentative="0">
      <w:start w:val="1"/>
      <w:numFmt w:val="none"/>
      <w:pStyle w:val="29"/>
      <w:suff w:val="nothing"/>
      <w:lvlText w:val="%1"/>
      <w:lvlJc w:val="left"/>
      <w:rPr>
        <w:rFonts w:hint="default" w:ascii="Times New Roman" w:hAnsi="Times New Roman" w:cs="Times New Roman"/>
        <w:b/>
        <w:i w:val="0"/>
        <w:sz w:val="21"/>
      </w:rPr>
    </w:lvl>
    <w:lvl w:ilvl="1" w:tentative="0">
      <w:start w:val="1"/>
      <w:numFmt w:val="decimal"/>
      <w:pStyle w:val="30"/>
      <w:suff w:val="nothing"/>
      <w:lvlText w:val="%1%2　"/>
      <w:lvlJc w:val="left"/>
      <w:rPr>
        <w:rFonts w:hint="eastAsia" w:ascii="黑体" w:hAnsi="Times New Roman" w:eastAsia="黑体" w:cs="Times New Roman"/>
        <w:b w:val="0"/>
        <w:i w:val="0"/>
        <w:sz w:val="21"/>
      </w:rPr>
    </w:lvl>
    <w:lvl w:ilvl="2" w:tentative="0">
      <w:start w:val="1"/>
      <w:numFmt w:val="decimal"/>
      <w:pStyle w:val="31"/>
      <w:suff w:val="nothing"/>
      <w:lvlText w:val="%1%2.%3　"/>
      <w:lvlJc w:val="left"/>
      <w:rPr>
        <w:rFonts w:hint="eastAsia" w:ascii="黑体" w:hAnsi="Times New Roman" w:eastAsia="黑体" w:cs="Times New Roman"/>
        <w:b w:val="0"/>
        <w:i w:val="0"/>
        <w:sz w:val="21"/>
      </w:rPr>
    </w:lvl>
    <w:lvl w:ilvl="3" w:tentative="0">
      <w:start w:val="1"/>
      <w:numFmt w:val="decimal"/>
      <w:pStyle w:val="32"/>
      <w:suff w:val="nothing"/>
      <w:lvlText w:val="%1%2.%3.%4　"/>
      <w:lvlJc w:val="left"/>
      <w:rPr>
        <w:rFonts w:hint="eastAsia" w:ascii="黑体" w:hAnsi="Times New Roman" w:eastAsia="黑体" w:cs="Times New Roman"/>
        <w:b w:val="0"/>
        <w:i w:val="0"/>
        <w:sz w:val="21"/>
      </w:rPr>
    </w:lvl>
    <w:lvl w:ilvl="4" w:tentative="0">
      <w:start w:val="1"/>
      <w:numFmt w:val="decimal"/>
      <w:pStyle w:val="33"/>
      <w:suff w:val="nothing"/>
      <w:lvlText w:val="%1%2.%3.%4.%5　"/>
      <w:lvlJc w:val="left"/>
      <w:rPr>
        <w:rFonts w:hint="eastAsia" w:ascii="黑体" w:hAnsi="Times New Roman" w:eastAsia="黑体" w:cs="Times New Roman"/>
        <w:b w:val="0"/>
        <w:i w:val="0"/>
        <w:sz w:val="21"/>
      </w:rPr>
    </w:lvl>
    <w:lvl w:ilvl="5" w:tentative="0">
      <w:start w:val="1"/>
      <w:numFmt w:val="decimal"/>
      <w:pStyle w:val="34"/>
      <w:suff w:val="nothing"/>
      <w:lvlText w:val="%1%2.%3.%4.%5.%6　"/>
      <w:lvlJc w:val="left"/>
      <w:rPr>
        <w:rFonts w:hint="eastAsia" w:ascii="黑体" w:hAnsi="Times New Roman" w:eastAsia="黑体" w:cs="Times New Roman"/>
        <w:b w:val="0"/>
        <w:i w:val="0"/>
        <w:sz w:val="21"/>
      </w:rPr>
    </w:lvl>
    <w:lvl w:ilvl="6" w:tentative="0">
      <w:start w:val="1"/>
      <w:numFmt w:val="decimal"/>
      <w:pStyle w:val="35"/>
      <w:suff w:val="nothing"/>
      <w:lvlText w:val="%1%2.%3.%4.%5.%6.%7　"/>
      <w:lvlJc w:val="left"/>
      <w:rPr>
        <w:rFonts w:hint="eastAsia" w:ascii="黑体" w:hAnsi="Times New Roman" w:eastAsia="黑体" w:cs="Times New Roman"/>
        <w:b w:val="0"/>
        <w:i w:val="0"/>
        <w:sz w:val="21"/>
      </w:rPr>
    </w:lvl>
    <w:lvl w:ilvl="7" w:tentative="0">
      <w:start w:val="1"/>
      <w:numFmt w:val="decimal"/>
      <w:lvlText w:val="%1.%2.%3.%4.%5.%6.%7.%8"/>
      <w:lvlJc w:val="left"/>
      <w:pPr>
        <w:tabs>
          <w:tab w:val="left" w:pos="4351"/>
        </w:tabs>
        <w:ind w:left="3969" w:hanging="1418"/>
      </w:pPr>
      <w:rPr>
        <w:rFonts w:hint="eastAsia" w:cs="Times New Roman"/>
      </w:rPr>
    </w:lvl>
    <w:lvl w:ilvl="8" w:tentative="0">
      <w:start w:val="1"/>
      <w:numFmt w:val="decimal"/>
      <w:lvlText w:val="%1.%2.%3.%4.%5.%6.%7.%8.%9"/>
      <w:lvlJc w:val="left"/>
      <w:pPr>
        <w:tabs>
          <w:tab w:val="left" w:pos="4777"/>
        </w:tabs>
        <w:ind w:left="4677" w:hanging="1700"/>
      </w:pPr>
      <w:rPr>
        <w:rFonts w:hint="eastAsia"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GU5OGE5ZmJiY2QzNjI4MzQ3ODk3MDEzMmRhYTI5ZmMifQ=="/>
  </w:docVars>
  <w:rsids>
    <w:rsidRoot w:val="00184578"/>
    <w:rsid w:val="000022A2"/>
    <w:rsid w:val="00002AB6"/>
    <w:rsid w:val="0000397C"/>
    <w:rsid w:val="00005248"/>
    <w:rsid w:val="0000744A"/>
    <w:rsid w:val="00011B64"/>
    <w:rsid w:val="000130A5"/>
    <w:rsid w:val="0002526C"/>
    <w:rsid w:val="000263CD"/>
    <w:rsid w:val="00037E9A"/>
    <w:rsid w:val="00037FD6"/>
    <w:rsid w:val="00041052"/>
    <w:rsid w:val="000517E5"/>
    <w:rsid w:val="00051E64"/>
    <w:rsid w:val="00053DC7"/>
    <w:rsid w:val="00060C21"/>
    <w:rsid w:val="00061AFC"/>
    <w:rsid w:val="000628EC"/>
    <w:rsid w:val="00065878"/>
    <w:rsid w:val="00066007"/>
    <w:rsid w:val="00067A19"/>
    <w:rsid w:val="00071E23"/>
    <w:rsid w:val="00071F72"/>
    <w:rsid w:val="00073CD4"/>
    <w:rsid w:val="000749E6"/>
    <w:rsid w:val="00076F46"/>
    <w:rsid w:val="00083BB5"/>
    <w:rsid w:val="00083D20"/>
    <w:rsid w:val="00084668"/>
    <w:rsid w:val="00085536"/>
    <w:rsid w:val="0009141E"/>
    <w:rsid w:val="00091C06"/>
    <w:rsid w:val="00093DDC"/>
    <w:rsid w:val="000950D3"/>
    <w:rsid w:val="000A2A1F"/>
    <w:rsid w:val="000A3537"/>
    <w:rsid w:val="000A4F86"/>
    <w:rsid w:val="000B09AD"/>
    <w:rsid w:val="000B11CC"/>
    <w:rsid w:val="000B13B1"/>
    <w:rsid w:val="000B5731"/>
    <w:rsid w:val="000C0212"/>
    <w:rsid w:val="000C29BD"/>
    <w:rsid w:val="000C2D7E"/>
    <w:rsid w:val="000C76EA"/>
    <w:rsid w:val="000C7C53"/>
    <w:rsid w:val="000D13E6"/>
    <w:rsid w:val="000D22DD"/>
    <w:rsid w:val="000D2A50"/>
    <w:rsid w:val="000D376D"/>
    <w:rsid w:val="000D5237"/>
    <w:rsid w:val="000D5725"/>
    <w:rsid w:val="000D5989"/>
    <w:rsid w:val="000D6B99"/>
    <w:rsid w:val="000D76C2"/>
    <w:rsid w:val="000E04AE"/>
    <w:rsid w:val="000E1F11"/>
    <w:rsid w:val="000E57DA"/>
    <w:rsid w:val="000E58DB"/>
    <w:rsid w:val="000F18F1"/>
    <w:rsid w:val="000F36EE"/>
    <w:rsid w:val="000F3BEA"/>
    <w:rsid w:val="000F47FE"/>
    <w:rsid w:val="000F5947"/>
    <w:rsid w:val="00101AD8"/>
    <w:rsid w:val="001037B8"/>
    <w:rsid w:val="0010386C"/>
    <w:rsid w:val="00104AEB"/>
    <w:rsid w:val="00107D1C"/>
    <w:rsid w:val="001106BC"/>
    <w:rsid w:val="00111B29"/>
    <w:rsid w:val="001123FA"/>
    <w:rsid w:val="00114CE6"/>
    <w:rsid w:val="00116240"/>
    <w:rsid w:val="00122FE4"/>
    <w:rsid w:val="001264EF"/>
    <w:rsid w:val="00126A4A"/>
    <w:rsid w:val="00135804"/>
    <w:rsid w:val="001368F4"/>
    <w:rsid w:val="00140FBC"/>
    <w:rsid w:val="001413E1"/>
    <w:rsid w:val="00143319"/>
    <w:rsid w:val="0014366B"/>
    <w:rsid w:val="00145DCE"/>
    <w:rsid w:val="001467FD"/>
    <w:rsid w:val="00147CBC"/>
    <w:rsid w:val="00150456"/>
    <w:rsid w:val="00150D90"/>
    <w:rsid w:val="00151657"/>
    <w:rsid w:val="0015358E"/>
    <w:rsid w:val="00155145"/>
    <w:rsid w:val="001564D8"/>
    <w:rsid w:val="00157CB0"/>
    <w:rsid w:val="00157E17"/>
    <w:rsid w:val="00164CCC"/>
    <w:rsid w:val="001659B8"/>
    <w:rsid w:val="001670DA"/>
    <w:rsid w:val="00171005"/>
    <w:rsid w:val="001714C8"/>
    <w:rsid w:val="00171C63"/>
    <w:rsid w:val="00173446"/>
    <w:rsid w:val="001751F3"/>
    <w:rsid w:val="0017576B"/>
    <w:rsid w:val="00175A28"/>
    <w:rsid w:val="00176368"/>
    <w:rsid w:val="00177948"/>
    <w:rsid w:val="00182F39"/>
    <w:rsid w:val="00184578"/>
    <w:rsid w:val="0018498F"/>
    <w:rsid w:val="00184BE3"/>
    <w:rsid w:val="00184CF2"/>
    <w:rsid w:val="001866CD"/>
    <w:rsid w:val="00186D67"/>
    <w:rsid w:val="00187B2A"/>
    <w:rsid w:val="0019108E"/>
    <w:rsid w:val="0019304A"/>
    <w:rsid w:val="001930ED"/>
    <w:rsid w:val="001949C6"/>
    <w:rsid w:val="00194A59"/>
    <w:rsid w:val="00194F23"/>
    <w:rsid w:val="00197520"/>
    <w:rsid w:val="00197A87"/>
    <w:rsid w:val="001A04A4"/>
    <w:rsid w:val="001B04B6"/>
    <w:rsid w:val="001B1196"/>
    <w:rsid w:val="001B1E39"/>
    <w:rsid w:val="001B3C52"/>
    <w:rsid w:val="001B4F51"/>
    <w:rsid w:val="001B5902"/>
    <w:rsid w:val="001C0CC0"/>
    <w:rsid w:val="001C2C50"/>
    <w:rsid w:val="001C7D1F"/>
    <w:rsid w:val="001D1B95"/>
    <w:rsid w:val="001D628C"/>
    <w:rsid w:val="001E079E"/>
    <w:rsid w:val="001E0C66"/>
    <w:rsid w:val="001E21B2"/>
    <w:rsid w:val="001E600D"/>
    <w:rsid w:val="001E6F1D"/>
    <w:rsid w:val="001F2E62"/>
    <w:rsid w:val="001F7014"/>
    <w:rsid w:val="001F7A22"/>
    <w:rsid w:val="00202B88"/>
    <w:rsid w:val="00204D95"/>
    <w:rsid w:val="002051CF"/>
    <w:rsid w:val="002077F6"/>
    <w:rsid w:val="00212300"/>
    <w:rsid w:val="002126AE"/>
    <w:rsid w:val="00212CB6"/>
    <w:rsid w:val="00221133"/>
    <w:rsid w:val="00221D64"/>
    <w:rsid w:val="00222F30"/>
    <w:rsid w:val="0022358A"/>
    <w:rsid w:val="00223E08"/>
    <w:rsid w:val="00225DF4"/>
    <w:rsid w:val="0022632E"/>
    <w:rsid w:val="002305AC"/>
    <w:rsid w:val="00230891"/>
    <w:rsid w:val="002314F8"/>
    <w:rsid w:val="00231CB3"/>
    <w:rsid w:val="002320A6"/>
    <w:rsid w:val="00236152"/>
    <w:rsid w:val="00237172"/>
    <w:rsid w:val="00242426"/>
    <w:rsid w:val="0025072D"/>
    <w:rsid w:val="002542CE"/>
    <w:rsid w:val="002611C1"/>
    <w:rsid w:val="00261E29"/>
    <w:rsid w:val="002673D6"/>
    <w:rsid w:val="00267A6F"/>
    <w:rsid w:val="00270ADD"/>
    <w:rsid w:val="00270C04"/>
    <w:rsid w:val="00271BD7"/>
    <w:rsid w:val="00271D26"/>
    <w:rsid w:val="00273BC9"/>
    <w:rsid w:val="002742B8"/>
    <w:rsid w:val="00275BF8"/>
    <w:rsid w:val="0027605A"/>
    <w:rsid w:val="00281836"/>
    <w:rsid w:val="00283403"/>
    <w:rsid w:val="00284F0E"/>
    <w:rsid w:val="00290AB9"/>
    <w:rsid w:val="0029439F"/>
    <w:rsid w:val="0029496D"/>
    <w:rsid w:val="00295520"/>
    <w:rsid w:val="0029600A"/>
    <w:rsid w:val="002A0E57"/>
    <w:rsid w:val="002A1849"/>
    <w:rsid w:val="002A19F7"/>
    <w:rsid w:val="002A25A9"/>
    <w:rsid w:val="002A2633"/>
    <w:rsid w:val="002A7744"/>
    <w:rsid w:val="002A78A5"/>
    <w:rsid w:val="002B4CC4"/>
    <w:rsid w:val="002B6D9D"/>
    <w:rsid w:val="002B7911"/>
    <w:rsid w:val="002B7AA4"/>
    <w:rsid w:val="002C09AB"/>
    <w:rsid w:val="002C0C4E"/>
    <w:rsid w:val="002C0FAE"/>
    <w:rsid w:val="002C2A82"/>
    <w:rsid w:val="002C5319"/>
    <w:rsid w:val="002C5AFE"/>
    <w:rsid w:val="002C7346"/>
    <w:rsid w:val="002D2C75"/>
    <w:rsid w:val="002D3CC8"/>
    <w:rsid w:val="002D6DF3"/>
    <w:rsid w:val="002E183A"/>
    <w:rsid w:val="002E44EA"/>
    <w:rsid w:val="002E544F"/>
    <w:rsid w:val="002F1780"/>
    <w:rsid w:val="002F1B38"/>
    <w:rsid w:val="002F1D14"/>
    <w:rsid w:val="002F1E35"/>
    <w:rsid w:val="002F2582"/>
    <w:rsid w:val="002F2B20"/>
    <w:rsid w:val="002F3D25"/>
    <w:rsid w:val="00302D96"/>
    <w:rsid w:val="00306CBB"/>
    <w:rsid w:val="00307AE2"/>
    <w:rsid w:val="00317054"/>
    <w:rsid w:val="0032613D"/>
    <w:rsid w:val="0032615E"/>
    <w:rsid w:val="0032788A"/>
    <w:rsid w:val="0033162F"/>
    <w:rsid w:val="003325E2"/>
    <w:rsid w:val="00332D34"/>
    <w:rsid w:val="00334E5F"/>
    <w:rsid w:val="00334EDB"/>
    <w:rsid w:val="00336CD7"/>
    <w:rsid w:val="00337245"/>
    <w:rsid w:val="0034161D"/>
    <w:rsid w:val="00342B43"/>
    <w:rsid w:val="0034569C"/>
    <w:rsid w:val="00345A3D"/>
    <w:rsid w:val="00346525"/>
    <w:rsid w:val="0034739D"/>
    <w:rsid w:val="00350BCD"/>
    <w:rsid w:val="00351173"/>
    <w:rsid w:val="003517A8"/>
    <w:rsid w:val="00351D55"/>
    <w:rsid w:val="0035333C"/>
    <w:rsid w:val="0036229D"/>
    <w:rsid w:val="00365CE5"/>
    <w:rsid w:val="003679FC"/>
    <w:rsid w:val="00372D62"/>
    <w:rsid w:val="003774B2"/>
    <w:rsid w:val="00380BC2"/>
    <w:rsid w:val="00381812"/>
    <w:rsid w:val="00383477"/>
    <w:rsid w:val="0038426C"/>
    <w:rsid w:val="00387FCB"/>
    <w:rsid w:val="00391F5C"/>
    <w:rsid w:val="0039502E"/>
    <w:rsid w:val="0039584D"/>
    <w:rsid w:val="0039603C"/>
    <w:rsid w:val="00396835"/>
    <w:rsid w:val="003A0C36"/>
    <w:rsid w:val="003A29CE"/>
    <w:rsid w:val="003A3CFD"/>
    <w:rsid w:val="003A44C5"/>
    <w:rsid w:val="003A4D0B"/>
    <w:rsid w:val="003A5722"/>
    <w:rsid w:val="003A7365"/>
    <w:rsid w:val="003A7828"/>
    <w:rsid w:val="003A7FDC"/>
    <w:rsid w:val="003B1CED"/>
    <w:rsid w:val="003B3306"/>
    <w:rsid w:val="003C0F95"/>
    <w:rsid w:val="003C1ECF"/>
    <w:rsid w:val="003C53BE"/>
    <w:rsid w:val="003C7B3E"/>
    <w:rsid w:val="003C7F9F"/>
    <w:rsid w:val="003D0122"/>
    <w:rsid w:val="003D056A"/>
    <w:rsid w:val="003D1E1B"/>
    <w:rsid w:val="003D4705"/>
    <w:rsid w:val="003D706F"/>
    <w:rsid w:val="003D7247"/>
    <w:rsid w:val="003E2274"/>
    <w:rsid w:val="003E3803"/>
    <w:rsid w:val="003E6710"/>
    <w:rsid w:val="003E77E9"/>
    <w:rsid w:val="003E7B50"/>
    <w:rsid w:val="003F2355"/>
    <w:rsid w:val="004013EB"/>
    <w:rsid w:val="0040310A"/>
    <w:rsid w:val="00404008"/>
    <w:rsid w:val="00404EE7"/>
    <w:rsid w:val="00410198"/>
    <w:rsid w:val="00411E6B"/>
    <w:rsid w:val="00413820"/>
    <w:rsid w:val="004156B1"/>
    <w:rsid w:val="004156CA"/>
    <w:rsid w:val="004215F6"/>
    <w:rsid w:val="00421A90"/>
    <w:rsid w:val="0043109B"/>
    <w:rsid w:val="004322D1"/>
    <w:rsid w:val="00433EF9"/>
    <w:rsid w:val="00433F17"/>
    <w:rsid w:val="0043668A"/>
    <w:rsid w:val="00436B15"/>
    <w:rsid w:val="00440E7B"/>
    <w:rsid w:val="0044536F"/>
    <w:rsid w:val="004479A5"/>
    <w:rsid w:val="0045244C"/>
    <w:rsid w:val="00456386"/>
    <w:rsid w:val="00463196"/>
    <w:rsid w:val="0046399D"/>
    <w:rsid w:val="00464AE4"/>
    <w:rsid w:val="00465974"/>
    <w:rsid w:val="00467BAC"/>
    <w:rsid w:val="00472D5E"/>
    <w:rsid w:val="00473301"/>
    <w:rsid w:val="00473571"/>
    <w:rsid w:val="0047495C"/>
    <w:rsid w:val="00481838"/>
    <w:rsid w:val="00481A32"/>
    <w:rsid w:val="00481B91"/>
    <w:rsid w:val="0048583F"/>
    <w:rsid w:val="00494416"/>
    <w:rsid w:val="00494FFF"/>
    <w:rsid w:val="00495E20"/>
    <w:rsid w:val="004A1192"/>
    <w:rsid w:val="004A154E"/>
    <w:rsid w:val="004A183D"/>
    <w:rsid w:val="004A6F2B"/>
    <w:rsid w:val="004A6F8C"/>
    <w:rsid w:val="004A78DD"/>
    <w:rsid w:val="004A7D7E"/>
    <w:rsid w:val="004B116A"/>
    <w:rsid w:val="004B241B"/>
    <w:rsid w:val="004B5F82"/>
    <w:rsid w:val="004B671C"/>
    <w:rsid w:val="004C124B"/>
    <w:rsid w:val="004C2C9B"/>
    <w:rsid w:val="004C3FBD"/>
    <w:rsid w:val="004C4C37"/>
    <w:rsid w:val="004E100B"/>
    <w:rsid w:val="004E259C"/>
    <w:rsid w:val="004E3529"/>
    <w:rsid w:val="004E3945"/>
    <w:rsid w:val="004E5504"/>
    <w:rsid w:val="004E5F8A"/>
    <w:rsid w:val="004E67E9"/>
    <w:rsid w:val="004E751D"/>
    <w:rsid w:val="004E7595"/>
    <w:rsid w:val="005000FF"/>
    <w:rsid w:val="005001B1"/>
    <w:rsid w:val="005024FB"/>
    <w:rsid w:val="00505A02"/>
    <w:rsid w:val="00507A88"/>
    <w:rsid w:val="00510681"/>
    <w:rsid w:val="00512184"/>
    <w:rsid w:val="00514BC2"/>
    <w:rsid w:val="00517AED"/>
    <w:rsid w:val="005210F7"/>
    <w:rsid w:val="00522B99"/>
    <w:rsid w:val="00523DC2"/>
    <w:rsid w:val="00527FF5"/>
    <w:rsid w:val="00530A53"/>
    <w:rsid w:val="00530F0B"/>
    <w:rsid w:val="005316CE"/>
    <w:rsid w:val="005348A9"/>
    <w:rsid w:val="005350F5"/>
    <w:rsid w:val="00536780"/>
    <w:rsid w:val="005370BE"/>
    <w:rsid w:val="00540E44"/>
    <w:rsid w:val="00542A54"/>
    <w:rsid w:val="005445E1"/>
    <w:rsid w:val="0054654D"/>
    <w:rsid w:val="00546F97"/>
    <w:rsid w:val="005509E4"/>
    <w:rsid w:val="0055191F"/>
    <w:rsid w:val="00551DDE"/>
    <w:rsid w:val="00552152"/>
    <w:rsid w:val="00555B92"/>
    <w:rsid w:val="00556379"/>
    <w:rsid w:val="00564EDC"/>
    <w:rsid w:val="00565790"/>
    <w:rsid w:val="005661A7"/>
    <w:rsid w:val="005671DA"/>
    <w:rsid w:val="005676D0"/>
    <w:rsid w:val="005701E0"/>
    <w:rsid w:val="0057118F"/>
    <w:rsid w:val="00577680"/>
    <w:rsid w:val="005800BE"/>
    <w:rsid w:val="005843E5"/>
    <w:rsid w:val="00584C05"/>
    <w:rsid w:val="00585224"/>
    <w:rsid w:val="0058556A"/>
    <w:rsid w:val="00586A8F"/>
    <w:rsid w:val="005878E4"/>
    <w:rsid w:val="00587F65"/>
    <w:rsid w:val="00592789"/>
    <w:rsid w:val="005962F1"/>
    <w:rsid w:val="005965F5"/>
    <w:rsid w:val="005968CA"/>
    <w:rsid w:val="00596CF9"/>
    <w:rsid w:val="005A016D"/>
    <w:rsid w:val="005A0CFB"/>
    <w:rsid w:val="005A469F"/>
    <w:rsid w:val="005A495F"/>
    <w:rsid w:val="005B112C"/>
    <w:rsid w:val="005B2583"/>
    <w:rsid w:val="005B4CA2"/>
    <w:rsid w:val="005B6333"/>
    <w:rsid w:val="005B6427"/>
    <w:rsid w:val="005C0285"/>
    <w:rsid w:val="005C21F0"/>
    <w:rsid w:val="005C2E33"/>
    <w:rsid w:val="005C5684"/>
    <w:rsid w:val="005C6C79"/>
    <w:rsid w:val="005D3010"/>
    <w:rsid w:val="005D3966"/>
    <w:rsid w:val="005D7717"/>
    <w:rsid w:val="005D7F26"/>
    <w:rsid w:val="005E17E7"/>
    <w:rsid w:val="005E564C"/>
    <w:rsid w:val="005F12E0"/>
    <w:rsid w:val="005F3C60"/>
    <w:rsid w:val="0060098D"/>
    <w:rsid w:val="006102C4"/>
    <w:rsid w:val="0061090B"/>
    <w:rsid w:val="006113C8"/>
    <w:rsid w:val="006200CF"/>
    <w:rsid w:val="006208F2"/>
    <w:rsid w:val="006241BB"/>
    <w:rsid w:val="0063081D"/>
    <w:rsid w:val="006317DA"/>
    <w:rsid w:val="00633163"/>
    <w:rsid w:val="00633394"/>
    <w:rsid w:val="00634856"/>
    <w:rsid w:val="00635033"/>
    <w:rsid w:val="0064177F"/>
    <w:rsid w:val="00641F00"/>
    <w:rsid w:val="006449ED"/>
    <w:rsid w:val="0064558D"/>
    <w:rsid w:val="00650005"/>
    <w:rsid w:val="00650A65"/>
    <w:rsid w:val="0065480E"/>
    <w:rsid w:val="006566D3"/>
    <w:rsid w:val="00656DE1"/>
    <w:rsid w:val="00660621"/>
    <w:rsid w:val="00664D44"/>
    <w:rsid w:val="00665035"/>
    <w:rsid w:val="006703F3"/>
    <w:rsid w:val="00670582"/>
    <w:rsid w:val="0067203B"/>
    <w:rsid w:val="00672ACB"/>
    <w:rsid w:val="00673479"/>
    <w:rsid w:val="0067570C"/>
    <w:rsid w:val="0067714B"/>
    <w:rsid w:val="00684A82"/>
    <w:rsid w:val="00685142"/>
    <w:rsid w:val="00685328"/>
    <w:rsid w:val="006868C0"/>
    <w:rsid w:val="00692A1B"/>
    <w:rsid w:val="006956EC"/>
    <w:rsid w:val="006958B4"/>
    <w:rsid w:val="006961CC"/>
    <w:rsid w:val="00697846"/>
    <w:rsid w:val="006A1024"/>
    <w:rsid w:val="006A15F0"/>
    <w:rsid w:val="006A1AB1"/>
    <w:rsid w:val="006B7C0D"/>
    <w:rsid w:val="006C0D59"/>
    <w:rsid w:val="006C1F6D"/>
    <w:rsid w:val="006C4718"/>
    <w:rsid w:val="006C681D"/>
    <w:rsid w:val="006D29C2"/>
    <w:rsid w:val="006D318D"/>
    <w:rsid w:val="006D4404"/>
    <w:rsid w:val="006D5D97"/>
    <w:rsid w:val="006D6DC3"/>
    <w:rsid w:val="006E464F"/>
    <w:rsid w:val="006F3A77"/>
    <w:rsid w:val="006F4C00"/>
    <w:rsid w:val="006F667D"/>
    <w:rsid w:val="006F6885"/>
    <w:rsid w:val="006F7D8D"/>
    <w:rsid w:val="006F7E98"/>
    <w:rsid w:val="007050BB"/>
    <w:rsid w:val="00705D27"/>
    <w:rsid w:val="00706434"/>
    <w:rsid w:val="00710D85"/>
    <w:rsid w:val="00710FFC"/>
    <w:rsid w:val="00712FE4"/>
    <w:rsid w:val="00714673"/>
    <w:rsid w:val="0071767D"/>
    <w:rsid w:val="00721ED5"/>
    <w:rsid w:val="00724490"/>
    <w:rsid w:val="007256E6"/>
    <w:rsid w:val="00730600"/>
    <w:rsid w:val="00733D70"/>
    <w:rsid w:val="007340CB"/>
    <w:rsid w:val="0073543C"/>
    <w:rsid w:val="00735BAE"/>
    <w:rsid w:val="00740AEE"/>
    <w:rsid w:val="007501CC"/>
    <w:rsid w:val="0075652B"/>
    <w:rsid w:val="00757FE5"/>
    <w:rsid w:val="007624B5"/>
    <w:rsid w:val="00762CBF"/>
    <w:rsid w:val="00770C97"/>
    <w:rsid w:val="00770E2B"/>
    <w:rsid w:val="007715C1"/>
    <w:rsid w:val="00771DE2"/>
    <w:rsid w:val="00772018"/>
    <w:rsid w:val="0077445B"/>
    <w:rsid w:val="00774754"/>
    <w:rsid w:val="007767E3"/>
    <w:rsid w:val="0078259E"/>
    <w:rsid w:val="00794472"/>
    <w:rsid w:val="00794480"/>
    <w:rsid w:val="007952DC"/>
    <w:rsid w:val="0079556E"/>
    <w:rsid w:val="00796EAE"/>
    <w:rsid w:val="007971A8"/>
    <w:rsid w:val="00797CE7"/>
    <w:rsid w:val="007A2746"/>
    <w:rsid w:val="007A5067"/>
    <w:rsid w:val="007A6CB1"/>
    <w:rsid w:val="007B207A"/>
    <w:rsid w:val="007B25E6"/>
    <w:rsid w:val="007B3254"/>
    <w:rsid w:val="007B6793"/>
    <w:rsid w:val="007C38A9"/>
    <w:rsid w:val="007D68C6"/>
    <w:rsid w:val="007D7CFA"/>
    <w:rsid w:val="007E0660"/>
    <w:rsid w:val="007E31E4"/>
    <w:rsid w:val="007E6803"/>
    <w:rsid w:val="007E77FD"/>
    <w:rsid w:val="0080125F"/>
    <w:rsid w:val="008023DF"/>
    <w:rsid w:val="008047E3"/>
    <w:rsid w:val="0081055F"/>
    <w:rsid w:val="008132E2"/>
    <w:rsid w:val="00816C6A"/>
    <w:rsid w:val="00827A48"/>
    <w:rsid w:val="00830B89"/>
    <w:rsid w:val="00831CDE"/>
    <w:rsid w:val="00832AEC"/>
    <w:rsid w:val="00835BFA"/>
    <w:rsid w:val="00836863"/>
    <w:rsid w:val="008409D6"/>
    <w:rsid w:val="008410D7"/>
    <w:rsid w:val="00841B72"/>
    <w:rsid w:val="0084432F"/>
    <w:rsid w:val="0084495A"/>
    <w:rsid w:val="008461B0"/>
    <w:rsid w:val="00851CE1"/>
    <w:rsid w:val="00851D7B"/>
    <w:rsid w:val="00860421"/>
    <w:rsid w:val="00867B11"/>
    <w:rsid w:val="0087212D"/>
    <w:rsid w:val="00890C9B"/>
    <w:rsid w:val="00891042"/>
    <w:rsid w:val="00894DAF"/>
    <w:rsid w:val="0089577D"/>
    <w:rsid w:val="00895D3D"/>
    <w:rsid w:val="0089753B"/>
    <w:rsid w:val="008A264E"/>
    <w:rsid w:val="008A3CC0"/>
    <w:rsid w:val="008A735A"/>
    <w:rsid w:val="008B1533"/>
    <w:rsid w:val="008B19EF"/>
    <w:rsid w:val="008B3B45"/>
    <w:rsid w:val="008B489A"/>
    <w:rsid w:val="008B5CF3"/>
    <w:rsid w:val="008B5D54"/>
    <w:rsid w:val="008B748F"/>
    <w:rsid w:val="008C15EE"/>
    <w:rsid w:val="008C20C4"/>
    <w:rsid w:val="008C2C75"/>
    <w:rsid w:val="008C738D"/>
    <w:rsid w:val="008D063A"/>
    <w:rsid w:val="008D64F4"/>
    <w:rsid w:val="008D7C6F"/>
    <w:rsid w:val="008E00A2"/>
    <w:rsid w:val="008E0FA2"/>
    <w:rsid w:val="008E1032"/>
    <w:rsid w:val="008E2369"/>
    <w:rsid w:val="008E28AA"/>
    <w:rsid w:val="008E56DF"/>
    <w:rsid w:val="008E5C6C"/>
    <w:rsid w:val="008E6C9E"/>
    <w:rsid w:val="008E6E37"/>
    <w:rsid w:val="008E7D9E"/>
    <w:rsid w:val="008E7F95"/>
    <w:rsid w:val="008F041C"/>
    <w:rsid w:val="008F1C50"/>
    <w:rsid w:val="008F2ED5"/>
    <w:rsid w:val="008F4C82"/>
    <w:rsid w:val="008F68B4"/>
    <w:rsid w:val="008F78E8"/>
    <w:rsid w:val="00901D71"/>
    <w:rsid w:val="00905751"/>
    <w:rsid w:val="00905F63"/>
    <w:rsid w:val="00907C66"/>
    <w:rsid w:val="00913AA1"/>
    <w:rsid w:val="0092030F"/>
    <w:rsid w:val="009205A2"/>
    <w:rsid w:val="00920C9B"/>
    <w:rsid w:val="00921F51"/>
    <w:rsid w:val="00924AD8"/>
    <w:rsid w:val="00926568"/>
    <w:rsid w:val="00926C8D"/>
    <w:rsid w:val="009270CC"/>
    <w:rsid w:val="00927191"/>
    <w:rsid w:val="00930619"/>
    <w:rsid w:val="00930955"/>
    <w:rsid w:val="00930C82"/>
    <w:rsid w:val="009324E9"/>
    <w:rsid w:val="009330E6"/>
    <w:rsid w:val="00933BAF"/>
    <w:rsid w:val="009371D8"/>
    <w:rsid w:val="00937AB1"/>
    <w:rsid w:val="00941BCF"/>
    <w:rsid w:val="00942DF0"/>
    <w:rsid w:val="00942FA5"/>
    <w:rsid w:val="00943326"/>
    <w:rsid w:val="00945200"/>
    <w:rsid w:val="00945739"/>
    <w:rsid w:val="00947B6A"/>
    <w:rsid w:val="00950CBD"/>
    <w:rsid w:val="00951BCE"/>
    <w:rsid w:val="00952F52"/>
    <w:rsid w:val="00954F99"/>
    <w:rsid w:val="00955241"/>
    <w:rsid w:val="00961B6A"/>
    <w:rsid w:val="00961CF5"/>
    <w:rsid w:val="009635A0"/>
    <w:rsid w:val="00964661"/>
    <w:rsid w:val="0096782D"/>
    <w:rsid w:val="00971213"/>
    <w:rsid w:val="00971C0D"/>
    <w:rsid w:val="009777D7"/>
    <w:rsid w:val="00981811"/>
    <w:rsid w:val="009818D7"/>
    <w:rsid w:val="009830F0"/>
    <w:rsid w:val="009848A0"/>
    <w:rsid w:val="00987084"/>
    <w:rsid w:val="00990972"/>
    <w:rsid w:val="00992AF5"/>
    <w:rsid w:val="00992EBE"/>
    <w:rsid w:val="00994CA8"/>
    <w:rsid w:val="009961CE"/>
    <w:rsid w:val="009966D5"/>
    <w:rsid w:val="009A278A"/>
    <w:rsid w:val="009A4E4A"/>
    <w:rsid w:val="009A7ACC"/>
    <w:rsid w:val="009B14BB"/>
    <w:rsid w:val="009B1583"/>
    <w:rsid w:val="009B5CD6"/>
    <w:rsid w:val="009C31F8"/>
    <w:rsid w:val="009C38FF"/>
    <w:rsid w:val="009C4191"/>
    <w:rsid w:val="009C4632"/>
    <w:rsid w:val="009C5C55"/>
    <w:rsid w:val="009D0E1A"/>
    <w:rsid w:val="009D24AE"/>
    <w:rsid w:val="009D2E71"/>
    <w:rsid w:val="009D4233"/>
    <w:rsid w:val="009E277D"/>
    <w:rsid w:val="009E2C18"/>
    <w:rsid w:val="009E342C"/>
    <w:rsid w:val="009E71A4"/>
    <w:rsid w:val="009E7236"/>
    <w:rsid w:val="009F0C43"/>
    <w:rsid w:val="009F1EF3"/>
    <w:rsid w:val="009F5241"/>
    <w:rsid w:val="00A042B0"/>
    <w:rsid w:val="00A051CE"/>
    <w:rsid w:val="00A0713C"/>
    <w:rsid w:val="00A11B0D"/>
    <w:rsid w:val="00A1444C"/>
    <w:rsid w:val="00A14B7C"/>
    <w:rsid w:val="00A15BA7"/>
    <w:rsid w:val="00A16CFF"/>
    <w:rsid w:val="00A2051C"/>
    <w:rsid w:val="00A216E0"/>
    <w:rsid w:val="00A27E01"/>
    <w:rsid w:val="00A33BBD"/>
    <w:rsid w:val="00A347A3"/>
    <w:rsid w:val="00A36707"/>
    <w:rsid w:val="00A36EF3"/>
    <w:rsid w:val="00A376DC"/>
    <w:rsid w:val="00A37EEF"/>
    <w:rsid w:val="00A4253A"/>
    <w:rsid w:val="00A42D69"/>
    <w:rsid w:val="00A529FC"/>
    <w:rsid w:val="00A53873"/>
    <w:rsid w:val="00A56373"/>
    <w:rsid w:val="00A620F4"/>
    <w:rsid w:val="00A63992"/>
    <w:rsid w:val="00A66BDB"/>
    <w:rsid w:val="00A73DD1"/>
    <w:rsid w:val="00A76D8C"/>
    <w:rsid w:val="00A80010"/>
    <w:rsid w:val="00A80F01"/>
    <w:rsid w:val="00A81CF7"/>
    <w:rsid w:val="00A8245C"/>
    <w:rsid w:val="00A85505"/>
    <w:rsid w:val="00A8711C"/>
    <w:rsid w:val="00A90DC9"/>
    <w:rsid w:val="00A95B4F"/>
    <w:rsid w:val="00AA0A2F"/>
    <w:rsid w:val="00AA1E3B"/>
    <w:rsid w:val="00AA2C0E"/>
    <w:rsid w:val="00AA30FE"/>
    <w:rsid w:val="00AB0B19"/>
    <w:rsid w:val="00AB73AA"/>
    <w:rsid w:val="00AC1D52"/>
    <w:rsid w:val="00AC379E"/>
    <w:rsid w:val="00AC3F68"/>
    <w:rsid w:val="00AC511B"/>
    <w:rsid w:val="00AC53A0"/>
    <w:rsid w:val="00AC5755"/>
    <w:rsid w:val="00AC704F"/>
    <w:rsid w:val="00AD0B0A"/>
    <w:rsid w:val="00AD2555"/>
    <w:rsid w:val="00AD4194"/>
    <w:rsid w:val="00AD4499"/>
    <w:rsid w:val="00AE0F24"/>
    <w:rsid w:val="00AE45AA"/>
    <w:rsid w:val="00AE4DF1"/>
    <w:rsid w:val="00AE5DBA"/>
    <w:rsid w:val="00AE634E"/>
    <w:rsid w:val="00AE69B1"/>
    <w:rsid w:val="00AE6A7C"/>
    <w:rsid w:val="00AF0E50"/>
    <w:rsid w:val="00AF6385"/>
    <w:rsid w:val="00AF7FCF"/>
    <w:rsid w:val="00B00A9B"/>
    <w:rsid w:val="00B0173D"/>
    <w:rsid w:val="00B02263"/>
    <w:rsid w:val="00B027C7"/>
    <w:rsid w:val="00B03DE7"/>
    <w:rsid w:val="00B07A15"/>
    <w:rsid w:val="00B110E5"/>
    <w:rsid w:val="00B1160C"/>
    <w:rsid w:val="00B14078"/>
    <w:rsid w:val="00B14691"/>
    <w:rsid w:val="00B151EC"/>
    <w:rsid w:val="00B20749"/>
    <w:rsid w:val="00B22D0F"/>
    <w:rsid w:val="00B31051"/>
    <w:rsid w:val="00B3268C"/>
    <w:rsid w:val="00B40033"/>
    <w:rsid w:val="00B40CE3"/>
    <w:rsid w:val="00B45EC0"/>
    <w:rsid w:val="00B4708B"/>
    <w:rsid w:val="00B4735A"/>
    <w:rsid w:val="00B52B79"/>
    <w:rsid w:val="00B533A3"/>
    <w:rsid w:val="00B5778E"/>
    <w:rsid w:val="00B62317"/>
    <w:rsid w:val="00B67D13"/>
    <w:rsid w:val="00B80205"/>
    <w:rsid w:val="00B81391"/>
    <w:rsid w:val="00B83C93"/>
    <w:rsid w:val="00B93078"/>
    <w:rsid w:val="00B93358"/>
    <w:rsid w:val="00B9366B"/>
    <w:rsid w:val="00B9383E"/>
    <w:rsid w:val="00BA1A3A"/>
    <w:rsid w:val="00BA6B4A"/>
    <w:rsid w:val="00BA6F6D"/>
    <w:rsid w:val="00BC03E8"/>
    <w:rsid w:val="00BC0904"/>
    <w:rsid w:val="00BC6454"/>
    <w:rsid w:val="00BC6DA8"/>
    <w:rsid w:val="00BC7A1F"/>
    <w:rsid w:val="00BD0345"/>
    <w:rsid w:val="00BD3B64"/>
    <w:rsid w:val="00BD4D39"/>
    <w:rsid w:val="00BD5CB9"/>
    <w:rsid w:val="00BD7E4A"/>
    <w:rsid w:val="00BE1409"/>
    <w:rsid w:val="00BE325A"/>
    <w:rsid w:val="00BE5509"/>
    <w:rsid w:val="00BE7A26"/>
    <w:rsid w:val="00BF28B4"/>
    <w:rsid w:val="00BF511E"/>
    <w:rsid w:val="00BF54E0"/>
    <w:rsid w:val="00BF623B"/>
    <w:rsid w:val="00C02998"/>
    <w:rsid w:val="00C03F23"/>
    <w:rsid w:val="00C12202"/>
    <w:rsid w:val="00C12C94"/>
    <w:rsid w:val="00C14A8F"/>
    <w:rsid w:val="00C15359"/>
    <w:rsid w:val="00C2034D"/>
    <w:rsid w:val="00C21D6D"/>
    <w:rsid w:val="00C229E8"/>
    <w:rsid w:val="00C24BB1"/>
    <w:rsid w:val="00C3180F"/>
    <w:rsid w:val="00C333D2"/>
    <w:rsid w:val="00C41C13"/>
    <w:rsid w:val="00C43663"/>
    <w:rsid w:val="00C43990"/>
    <w:rsid w:val="00C43BE8"/>
    <w:rsid w:val="00C44E83"/>
    <w:rsid w:val="00C4555A"/>
    <w:rsid w:val="00C46F0A"/>
    <w:rsid w:val="00C510BF"/>
    <w:rsid w:val="00C517C5"/>
    <w:rsid w:val="00C53C1F"/>
    <w:rsid w:val="00C53DA5"/>
    <w:rsid w:val="00C566FB"/>
    <w:rsid w:val="00C5743F"/>
    <w:rsid w:val="00C616E8"/>
    <w:rsid w:val="00C71955"/>
    <w:rsid w:val="00C72F04"/>
    <w:rsid w:val="00C75CDC"/>
    <w:rsid w:val="00C8333A"/>
    <w:rsid w:val="00C85A52"/>
    <w:rsid w:val="00C87741"/>
    <w:rsid w:val="00C90344"/>
    <w:rsid w:val="00CA381C"/>
    <w:rsid w:val="00CA3F07"/>
    <w:rsid w:val="00CB0CCE"/>
    <w:rsid w:val="00CB37B8"/>
    <w:rsid w:val="00CB42F0"/>
    <w:rsid w:val="00CB51A3"/>
    <w:rsid w:val="00CB6203"/>
    <w:rsid w:val="00CC02B2"/>
    <w:rsid w:val="00CC2FDF"/>
    <w:rsid w:val="00CC77F1"/>
    <w:rsid w:val="00CD047A"/>
    <w:rsid w:val="00CD09C2"/>
    <w:rsid w:val="00CD2BCB"/>
    <w:rsid w:val="00CD5536"/>
    <w:rsid w:val="00CE0C2F"/>
    <w:rsid w:val="00CE2F57"/>
    <w:rsid w:val="00CE4941"/>
    <w:rsid w:val="00CE5A3D"/>
    <w:rsid w:val="00CE758A"/>
    <w:rsid w:val="00CE779D"/>
    <w:rsid w:val="00CF0E53"/>
    <w:rsid w:val="00CF3893"/>
    <w:rsid w:val="00CF557D"/>
    <w:rsid w:val="00CF57B4"/>
    <w:rsid w:val="00CF71AA"/>
    <w:rsid w:val="00D009FF"/>
    <w:rsid w:val="00D0103B"/>
    <w:rsid w:val="00D02B3C"/>
    <w:rsid w:val="00D06B0F"/>
    <w:rsid w:val="00D14155"/>
    <w:rsid w:val="00D15F81"/>
    <w:rsid w:val="00D16AC6"/>
    <w:rsid w:val="00D176EE"/>
    <w:rsid w:val="00D17D36"/>
    <w:rsid w:val="00D20A65"/>
    <w:rsid w:val="00D2318E"/>
    <w:rsid w:val="00D237B9"/>
    <w:rsid w:val="00D23D5D"/>
    <w:rsid w:val="00D24C76"/>
    <w:rsid w:val="00D2695E"/>
    <w:rsid w:val="00D26EDF"/>
    <w:rsid w:val="00D27CA9"/>
    <w:rsid w:val="00D33B68"/>
    <w:rsid w:val="00D355C9"/>
    <w:rsid w:val="00D35A3A"/>
    <w:rsid w:val="00D36FF7"/>
    <w:rsid w:val="00D43454"/>
    <w:rsid w:val="00D43F68"/>
    <w:rsid w:val="00D50A0A"/>
    <w:rsid w:val="00D565D1"/>
    <w:rsid w:val="00D57533"/>
    <w:rsid w:val="00D57DFC"/>
    <w:rsid w:val="00D6076E"/>
    <w:rsid w:val="00D60771"/>
    <w:rsid w:val="00D614FE"/>
    <w:rsid w:val="00D6185B"/>
    <w:rsid w:val="00D64070"/>
    <w:rsid w:val="00D643CD"/>
    <w:rsid w:val="00D649DC"/>
    <w:rsid w:val="00D66E4E"/>
    <w:rsid w:val="00D70517"/>
    <w:rsid w:val="00D7440F"/>
    <w:rsid w:val="00D74A3C"/>
    <w:rsid w:val="00D7521E"/>
    <w:rsid w:val="00D876C6"/>
    <w:rsid w:val="00D90D29"/>
    <w:rsid w:val="00D934F1"/>
    <w:rsid w:val="00D9474A"/>
    <w:rsid w:val="00D94A92"/>
    <w:rsid w:val="00D97B9A"/>
    <w:rsid w:val="00DA0C32"/>
    <w:rsid w:val="00DA1217"/>
    <w:rsid w:val="00DA2CFE"/>
    <w:rsid w:val="00DA3D14"/>
    <w:rsid w:val="00DA7599"/>
    <w:rsid w:val="00DB436B"/>
    <w:rsid w:val="00DB4497"/>
    <w:rsid w:val="00DB56CA"/>
    <w:rsid w:val="00DC0D96"/>
    <w:rsid w:val="00DC3693"/>
    <w:rsid w:val="00DC3B78"/>
    <w:rsid w:val="00DC5112"/>
    <w:rsid w:val="00DC566F"/>
    <w:rsid w:val="00DC5726"/>
    <w:rsid w:val="00DC7642"/>
    <w:rsid w:val="00DD191D"/>
    <w:rsid w:val="00DD31B4"/>
    <w:rsid w:val="00DD377D"/>
    <w:rsid w:val="00DD3D64"/>
    <w:rsid w:val="00DD3F4A"/>
    <w:rsid w:val="00DD4C15"/>
    <w:rsid w:val="00DD6D63"/>
    <w:rsid w:val="00DF2FE0"/>
    <w:rsid w:val="00DF46E3"/>
    <w:rsid w:val="00DF5FE8"/>
    <w:rsid w:val="00DF64BF"/>
    <w:rsid w:val="00DF76E1"/>
    <w:rsid w:val="00DF7969"/>
    <w:rsid w:val="00E007C6"/>
    <w:rsid w:val="00E01299"/>
    <w:rsid w:val="00E02E67"/>
    <w:rsid w:val="00E058B9"/>
    <w:rsid w:val="00E06967"/>
    <w:rsid w:val="00E0765E"/>
    <w:rsid w:val="00E11A17"/>
    <w:rsid w:val="00E1379B"/>
    <w:rsid w:val="00E2072E"/>
    <w:rsid w:val="00E23A9E"/>
    <w:rsid w:val="00E24EE7"/>
    <w:rsid w:val="00E25C0A"/>
    <w:rsid w:val="00E26C66"/>
    <w:rsid w:val="00E306E3"/>
    <w:rsid w:val="00E36D22"/>
    <w:rsid w:val="00E40EDF"/>
    <w:rsid w:val="00E43CDD"/>
    <w:rsid w:val="00E44ADE"/>
    <w:rsid w:val="00E5444E"/>
    <w:rsid w:val="00E55855"/>
    <w:rsid w:val="00E55A5D"/>
    <w:rsid w:val="00E563BD"/>
    <w:rsid w:val="00E56851"/>
    <w:rsid w:val="00E56C9E"/>
    <w:rsid w:val="00E62C7D"/>
    <w:rsid w:val="00E66957"/>
    <w:rsid w:val="00E71E84"/>
    <w:rsid w:val="00E72A57"/>
    <w:rsid w:val="00E751A5"/>
    <w:rsid w:val="00E77032"/>
    <w:rsid w:val="00E77629"/>
    <w:rsid w:val="00E863A6"/>
    <w:rsid w:val="00E9022B"/>
    <w:rsid w:val="00E9366B"/>
    <w:rsid w:val="00E9563C"/>
    <w:rsid w:val="00EA0DD7"/>
    <w:rsid w:val="00EA1CFC"/>
    <w:rsid w:val="00EA4D53"/>
    <w:rsid w:val="00EB07E2"/>
    <w:rsid w:val="00EB21E6"/>
    <w:rsid w:val="00EB2F37"/>
    <w:rsid w:val="00EB34DA"/>
    <w:rsid w:val="00EB406D"/>
    <w:rsid w:val="00EC1F09"/>
    <w:rsid w:val="00EC28EB"/>
    <w:rsid w:val="00EC5F87"/>
    <w:rsid w:val="00EC6B5F"/>
    <w:rsid w:val="00EC7F57"/>
    <w:rsid w:val="00ED01DF"/>
    <w:rsid w:val="00ED0490"/>
    <w:rsid w:val="00ED0783"/>
    <w:rsid w:val="00ED109D"/>
    <w:rsid w:val="00ED1AA9"/>
    <w:rsid w:val="00ED3AAD"/>
    <w:rsid w:val="00ED4452"/>
    <w:rsid w:val="00EE2011"/>
    <w:rsid w:val="00EF1E33"/>
    <w:rsid w:val="00EF236D"/>
    <w:rsid w:val="00EF4636"/>
    <w:rsid w:val="00EF651A"/>
    <w:rsid w:val="00EF663C"/>
    <w:rsid w:val="00EF69F0"/>
    <w:rsid w:val="00F01AB9"/>
    <w:rsid w:val="00F10E86"/>
    <w:rsid w:val="00F15D27"/>
    <w:rsid w:val="00F21FA7"/>
    <w:rsid w:val="00F2297B"/>
    <w:rsid w:val="00F2625E"/>
    <w:rsid w:val="00F41C74"/>
    <w:rsid w:val="00F42959"/>
    <w:rsid w:val="00F42CD3"/>
    <w:rsid w:val="00F437A1"/>
    <w:rsid w:val="00F43FC6"/>
    <w:rsid w:val="00F46E95"/>
    <w:rsid w:val="00F51768"/>
    <w:rsid w:val="00F51DB1"/>
    <w:rsid w:val="00F61F03"/>
    <w:rsid w:val="00F662E9"/>
    <w:rsid w:val="00F66439"/>
    <w:rsid w:val="00F66F85"/>
    <w:rsid w:val="00F7261D"/>
    <w:rsid w:val="00F72A9D"/>
    <w:rsid w:val="00F8157C"/>
    <w:rsid w:val="00F83182"/>
    <w:rsid w:val="00F846F9"/>
    <w:rsid w:val="00F87810"/>
    <w:rsid w:val="00F908B5"/>
    <w:rsid w:val="00F94EDA"/>
    <w:rsid w:val="00F96197"/>
    <w:rsid w:val="00FA066E"/>
    <w:rsid w:val="00FA0A70"/>
    <w:rsid w:val="00FA36E2"/>
    <w:rsid w:val="00FA3917"/>
    <w:rsid w:val="00FA5CFF"/>
    <w:rsid w:val="00FB6236"/>
    <w:rsid w:val="00FB78B6"/>
    <w:rsid w:val="00FB79AF"/>
    <w:rsid w:val="00FC07CA"/>
    <w:rsid w:val="00FC1AE6"/>
    <w:rsid w:val="00FC3C4D"/>
    <w:rsid w:val="00FC3FF6"/>
    <w:rsid w:val="00FD10F2"/>
    <w:rsid w:val="00FD1686"/>
    <w:rsid w:val="00FD236F"/>
    <w:rsid w:val="00FD28AD"/>
    <w:rsid w:val="00FE07FE"/>
    <w:rsid w:val="00FE1BEE"/>
    <w:rsid w:val="00FE3115"/>
    <w:rsid w:val="00FE3D9F"/>
    <w:rsid w:val="00FE57C0"/>
    <w:rsid w:val="00FE6433"/>
    <w:rsid w:val="00FE6C9B"/>
    <w:rsid w:val="00FF30BD"/>
    <w:rsid w:val="00FF390D"/>
    <w:rsid w:val="00FF6269"/>
    <w:rsid w:val="00FF7E79"/>
    <w:rsid w:val="01387720"/>
    <w:rsid w:val="030A4873"/>
    <w:rsid w:val="03664EE1"/>
    <w:rsid w:val="041975A7"/>
    <w:rsid w:val="052C6AB8"/>
    <w:rsid w:val="07CD20C3"/>
    <w:rsid w:val="08562AA2"/>
    <w:rsid w:val="0A71361E"/>
    <w:rsid w:val="0B1A63C4"/>
    <w:rsid w:val="0B1D0AB0"/>
    <w:rsid w:val="0DBF558A"/>
    <w:rsid w:val="13DB5F89"/>
    <w:rsid w:val="154C457C"/>
    <w:rsid w:val="163F2D2D"/>
    <w:rsid w:val="19861DD0"/>
    <w:rsid w:val="236269FD"/>
    <w:rsid w:val="24500F51"/>
    <w:rsid w:val="2B6A69EA"/>
    <w:rsid w:val="2C4C5CAE"/>
    <w:rsid w:val="2E000648"/>
    <w:rsid w:val="31A70C60"/>
    <w:rsid w:val="34915439"/>
    <w:rsid w:val="35C8165E"/>
    <w:rsid w:val="36294EFF"/>
    <w:rsid w:val="3A6A7A9F"/>
    <w:rsid w:val="3CBA442C"/>
    <w:rsid w:val="42CD2859"/>
    <w:rsid w:val="480219DC"/>
    <w:rsid w:val="49A12140"/>
    <w:rsid w:val="49ED573E"/>
    <w:rsid w:val="519E65DF"/>
    <w:rsid w:val="55CC27F2"/>
    <w:rsid w:val="588B31DD"/>
    <w:rsid w:val="5BBE3B49"/>
    <w:rsid w:val="5F481E42"/>
    <w:rsid w:val="635C4B8E"/>
    <w:rsid w:val="66471C44"/>
    <w:rsid w:val="665C5C0C"/>
    <w:rsid w:val="66F15B52"/>
    <w:rsid w:val="67B53E29"/>
    <w:rsid w:val="6C0D48EE"/>
    <w:rsid w:val="6C715A3C"/>
    <w:rsid w:val="76E41FD4"/>
    <w:rsid w:val="77266CAE"/>
    <w:rsid w:val="7BF57417"/>
    <w:rsid w:val="7DAE1479"/>
    <w:rsid w:val="7E0D45A7"/>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nhideWhenUsed="0" w:uiPriority="99" w:semiHidden="0" w:name="heading 2"/>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qFormat="1" w:unhideWhenUsed="0"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qFormat="1" w:unhideWhenUsed="0"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qFormat="1" w:unhideWhenUsed="0" w:uiPriority="99" w:semiHidden="0" w:name="Date"/>
    <w:lsdException w:qFormat="1" w:unhideWhenUsed="0" w:uiPriority="99" w:semiHidden="0" w:name="Body Text First Indent"/>
    <w:lsdException w:qFormat="1" w:unhideWhenUsed="0" w:uiPriority="99" w:semiHidden="0" w:name="Body Text First Indent 2"/>
    <w:lsdException w:uiPriority="99" w:name="Note Heading"/>
    <w:lsdException w:qFormat="1" w:unhideWhenUsed="0" w:uiPriority="99" w:semiHidden="0" w:name="Body Text 2"/>
    <w:lsdException w:uiPriority="99" w:name="Body Text 3"/>
    <w:lsdException w:qFormat="1" w:unhideWhenUsed="0" w:uiPriority="99" w:semiHidden="0"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99" w:semiHidden="0" w:name="Table Grid"/>
    <w:lsdException w:uiPriority="99" w:name="Table Theme"/>
    <w:lsdException w:qFormat="1" w:unhideWhenUsed="0" w:uiPriority="99"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link w:val="19"/>
    <w:qFormat/>
    <w:uiPriority w:val="99"/>
    <w:pPr>
      <w:keepNext/>
      <w:keepLines/>
      <w:spacing w:before="260" w:after="260" w:line="416" w:lineRule="auto"/>
      <w:outlineLvl w:val="1"/>
    </w:pPr>
    <w:rPr>
      <w:rFonts w:ascii="Arial" w:hAnsi="Arial" w:eastAsia="黑体"/>
      <w:b/>
      <w:bCs/>
      <w:sz w:val="32"/>
      <w:szCs w:val="32"/>
    </w:rPr>
  </w:style>
  <w:style w:type="character" w:default="1" w:styleId="17">
    <w:name w:val="Default Paragraph Font"/>
    <w:semiHidden/>
    <w:unhideWhenUsed/>
    <w:qFormat/>
    <w:uiPriority w:val="1"/>
  </w:style>
  <w:style w:type="table" w:default="1" w:styleId="15">
    <w:name w:val="Normal Table"/>
    <w:semiHidden/>
    <w:unhideWhenUsed/>
    <w:qFormat/>
    <w:uiPriority w:val="99"/>
    <w:tblPr>
      <w:tblCellMar>
        <w:top w:w="0" w:type="dxa"/>
        <w:left w:w="108" w:type="dxa"/>
        <w:bottom w:w="0" w:type="dxa"/>
        <w:right w:w="108" w:type="dxa"/>
      </w:tblCellMar>
    </w:tblPr>
  </w:style>
  <w:style w:type="paragraph" w:styleId="3">
    <w:name w:val="annotation text"/>
    <w:basedOn w:val="1"/>
    <w:semiHidden/>
    <w:qFormat/>
    <w:uiPriority w:val="99"/>
    <w:pPr>
      <w:jc w:val="left"/>
    </w:pPr>
  </w:style>
  <w:style w:type="paragraph" w:styleId="4">
    <w:name w:val="Body Text"/>
    <w:basedOn w:val="1"/>
    <w:link w:val="40"/>
    <w:qFormat/>
    <w:uiPriority w:val="99"/>
    <w:pPr>
      <w:spacing w:after="120"/>
    </w:pPr>
  </w:style>
  <w:style w:type="paragraph" w:styleId="5">
    <w:name w:val="Body Text Indent"/>
    <w:basedOn w:val="1"/>
    <w:link w:val="38"/>
    <w:qFormat/>
    <w:uiPriority w:val="99"/>
    <w:pPr>
      <w:spacing w:after="120"/>
      <w:ind w:left="420" w:leftChars="200"/>
    </w:pPr>
  </w:style>
  <w:style w:type="paragraph" w:styleId="6">
    <w:name w:val="Date"/>
    <w:basedOn w:val="1"/>
    <w:next w:val="1"/>
    <w:link w:val="20"/>
    <w:qFormat/>
    <w:uiPriority w:val="99"/>
    <w:pPr>
      <w:ind w:left="100" w:leftChars="2500"/>
    </w:pPr>
  </w:style>
  <w:style w:type="paragraph" w:styleId="7">
    <w:name w:val="Body Text Indent 2"/>
    <w:basedOn w:val="1"/>
    <w:link w:val="37"/>
    <w:qFormat/>
    <w:uiPriority w:val="99"/>
    <w:pPr>
      <w:spacing w:after="120" w:line="480" w:lineRule="auto"/>
      <w:ind w:left="420" w:leftChars="200"/>
    </w:pPr>
  </w:style>
  <w:style w:type="paragraph" w:styleId="8">
    <w:name w:val="Balloon Text"/>
    <w:basedOn w:val="1"/>
    <w:link w:val="21"/>
    <w:qFormat/>
    <w:uiPriority w:val="99"/>
    <w:rPr>
      <w:sz w:val="18"/>
      <w:szCs w:val="18"/>
    </w:rPr>
  </w:style>
  <w:style w:type="paragraph" w:styleId="9">
    <w:name w:val="footer"/>
    <w:basedOn w:val="1"/>
    <w:link w:val="22"/>
    <w:qFormat/>
    <w:uiPriority w:val="99"/>
    <w:pPr>
      <w:tabs>
        <w:tab w:val="center" w:pos="4153"/>
        <w:tab w:val="right" w:pos="8306"/>
      </w:tabs>
      <w:snapToGrid w:val="0"/>
      <w:jc w:val="left"/>
    </w:pPr>
    <w:rPr>
      <w:sz w:val="18"/>
      <w:szCs w:val="18"/>
    </w:rPr>
  </w:style>
  <w:style w:type="paragraph" w:styleId="10">
    <w:name w:val="header"/>
    <w:basedOn w:val="1"/>
    <w:link w:val="23"/>
    <w:qFormat/>
    <w:uiPriority w:val="99"/>
    <w:pPr>
      <w:pBdr>
        <w:bottom w:val="single" w:color="auto" w:sz="6" w:space="1"/>
      </w:pBdr>
      <w:tabs>
        <w:tab w:val="center" w:pos="4153"/>
        <w:tab w:val="right" w:pos="8306"/>
      </w:tabs>
      <w:snapToGrid w:val="0"/>
      <w:jc w:val="center"/>
    </w:pPr>
    <w:rPr>
      <w:sz w:val="18"/>
      <w:szCs w:val="18"/>
    </w:rPr>
  </w:style>
  <w:style w:type="paragraph" w:styleId="11">
    <w:name w:val="Body Text 2"/>
    <w:basedOn w:val="1"/>
    <w:link w:val="24"/>
    <w:qFormat/>
    <w:uiPriority w:val="99"/>
    <w:pPr>
      <w:spacing w:after="120" w:line="480" w:lineRule="auto"/>
    </w:pPr>
  </w:style>
  <w:style w:type="paragraph" w:styleId="12">
    <w:name w:val="Normal (Web)"/>
    <w:basedOn w:val="1"/>
    <w:semiHidden/>
    <w:qFormat/>
    <w:uiPriority w:val="99"/>
    <w:pPr>
      <w:widowControl/>
      <w:spacing w:before="100" w:beforeAutospacing="1" w:after="100" w:afterAutospacing="1"/>
      <w:jc w:val="left"/>
    </w:pPr>
    <w:rPr>
      <w:rFonts w:ascii="宋体" w:hAnsi="宋体" w:cs="宋体"/>
      <w:kern w:val="0"/>
      <w:sz w:val="24"/>
    </w:rPr>
  </w:style>
  <w:style w:type="paragraph" w:styleId="13">
    <w:name w:val="Body Text First Indent"/>
    <w:basedOn w:val="4"/>
    <w:link w:val="41"/>
    <w:qFormat/>
    <w:uiPriority w:val="99"/>
    <w:pPr>
      <w:ind w:firstLine="420" w:firstLineChars="100"/>
    </w:pPr>
  </w:style>
  <w:style w:type="paragraph" w:styleId="14">
    <w:name w:val="Body Text First Indent 2"/>
    <w:basedOn w:val="5"/>
    <w:link w:val="39"/>
    <w:qFormat/>
    <w:uiPriority w:val="99"/>
    <w:pPr>
      <w:ind w:firstLine="420" w:firstLineChars="200"/>
    </w:pPr>
  </w:style>
  <w:style w:type="table" w:styleId="16">
    <w:name w:val="Table Grid"/>
    <w:basedOn w:val="15"/>
    <w:qFormat/>
    <w:uiPriority w:val="9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18">
    <w:name w:val="annotation reference"/>
    <w:basedOn w:val="17"/>
    <w:semiHidden/>
    <w:qFormat/>
    <w:uiPriority w:val="99"/>
    <w:rPr>
      <w:rFonts w:cs="Times New Roman"/>
      <w:sz w:val="21"/>
      <w:szCs w:val="21"/>
    </w:rPr>
  </w:style>
  <w:style w:type="character" w:customStyle="1" w:styleId="19">
    <w:name w:val="标题 2 字符"/>
    <w:basedOn w:val="17"/>
    <w:link w:val="2"/>
    <w:qFormat/>
    <w:locked/>
    <w:uiPriority w:val="99"/>
    <w:rPr>
      <w:rFonts w:ascii="Arial" w:hAnsi="Arial" w:eastAsia="黑体" w:cs="Times New Roman"/>
      <w:b/>
      <w:bCs/>
      <w:kern w:val="2"/>
      <w:sz w:val="32"/>
      <w:szCs w:val="32"/>
    </w:rPr>
  </w:style>
  <w:style w:type="character" w:customStyle="1" w:styleId="20">
    <w:name w:val="日期 字符"/>
    <w:basedOn w:val="17"/>
    <w:link w:val="6"/>
    <w:qFormat/>
    <w:locked/>
    <w:uiPriority w:val="99"/>
    <w:rPr>
      <w:rFonts w:cs="Times New Roman"/>
      <w:kern w:val="2"/>
      <w:sz w:val="24"/>
      <w:szCs w:val="24"/>
    </w:rPr>
  </w:style>
  <w:style w:type="character" w:customStyle="1" w:styleId="21">
    <w:name w:val="批注框文本 字符"/>
    <w:basedOn w:val="17"/>
    <w:link w:val="8"/>
    <w:qFormat/>
    <w:locked/>
    <w:uiPriority w:val="99"/>
    <w:rPr>
      <w:rFonts w:cs="Times New Roman"/>
      <w:kern w:val="2"/>
      <w:sz w:val="18"/>
      <w:szCs w:val="18"/>
    </w:rPr>
  </w:style>
  <w:style w:type="character" w:customStyle="1" w:styleId="22">
    <w:name w:val="页脚 字符"/>
    <w:basedOn w:val="17"/>
    <w:link w:val="9"/>
    <w:qFormat/>
    <w:locked/>
    <w:uiPriority w:val="99"/>
    <w:rPr>
      <w:rFonts w:cs="Times New Roman"/>
      <w:kern w:val="2"/>
      <w:sz w:val="18"/>
      <w:szCs w:val="18"/>
    </w:rPr>
  </w:style>
  <w:style w:type="character" w:customStyle="1" w:styleId="23">
    <w:name w:val="页眉 字符"/>
    <w:basedOn w:val="17"/>
    <w:link w:val="10"/>
    <w:semiHidden/>
    <w:qFormat/>
    <w:locked/>
    <w:uiPriority w:val="99"/>
    <w:rPr>
      <w:rFonts w:cs="Times New Roman"/>
      <w:sz w:val="18"/>
      <w:szCs w:val="18"/>
    </w:rPr>
  </w:style>
  <w:style w:type="character" w:customStyle="1" w:styleId="24">
    <w:name w:val="正文文本 2 字符"/>
    <w:basedOn w:val="17"/>
    <w:link w:val="11"/>
    <w:semiHidden/>
    <w:qFormat/>
    <w:locked/>
    <w:uiPriority w:val="99"/>
    <w:rPr>
      <w:rFonts w:cs="Times New Roman"/>
      <w:sz w:val="24"/>
      <w:szCs w:val="24"/>
    </w:rPr>
  </w:style>
  <w:style w:type="paragraph" w:customStyle="1" w:styleId="25">
    <w:name w:val="段"/>
    <w:link w:val="26"/>
    <w:qFormat/>
    <w:uiPriority w:val="99"/>
    <w:pPr>
      <w:autoSpaceDE w:val="0"/>
      <w:autoSpaceDN w:val="0"/>
      <w:ind w:firstLine="200" w:firstLineChars="200"/>
      <w:jc w:val="both"/>
    </w:pPr>
    <w:rPr>
      <w:rFonts w:ascii="宋体" w:hAnsi="Times New Roman" w:eastAsia="宋体" w:cs="Times New Roman"/>
      <w:sz w:val="21"/>
      <w:lang w:val="en-US" w:eastAsia="zh-CN" w:bidi="ar-SA"/>
    </w:rPr>
  </w:style>
  <w:style w:type="character" w:customStyle="1" w:styleId="26">
    <w:name w:val="段 Char"/>
    <w:basedOn w:val="17"/>
    <w:link w:val="25"/>
    <w:qFormat/>
    <w:locked/>
    <w:uiPriority w:val="99"/>
    <w:rPr>
      <w:rFonts w:ascii="宋体" w:cs="Times New Roman"/>
      <w:sz w:val="21"/>
      <w:lang w:val="en-US" w:eastAsia="zh-CN" w:bidi="ar-SA"/>
    </w:rPr>
  </w:style>
  <w:style w:type="character" w:styleId="27">
    <w:name w:val="Placeholder Text"/>
    <w:basedOn w:val="17"/>
    <w:semiHidden/>
    <w:qFormat/>
    <w:uiPriority w:val="99"/>
    <w:rPr>
      <w:rFonts w:cs="Times New Roman"/>
      <w:color w:val="808080"/>
    </w:rPr>
  </w:style>
  <w:style w:type="paragraph" w:styleId="28">
    <w:name w:val="List Paragraph"/>
    <w:basedOn w:val="1"/>
    <w:qFormat/>
    <w:uiPriority w:val="99"/>
    <w:pPr>
      <w:ind w:firstLine="420" w:firstLineChars="200"/>
    </w:pPr>
  </w:style>
  <w:style w:type="paragraph" w:customStyle="1" w:styleId="29">
    <w:name w:val="前言、引言标题"/>
    <w:next w:val="1"/>
    <w:qFormat/>
    <w:uiPriority w:val="99"/>
    <w:pPr>
      <w:numPr>
        <w:ilvl w:val="0"/>
        <w:numId w:val="1"/>
      </w:numPr>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30">
    <w:name w:val="章标题"/>
    <w:next w:val="25"/>
    <w:qFormat/>
    <w:uiPriority w:val="99"/>
    <w:pPr>
      <w:numPr>
        <w:ilvl w:val="1"/>
        <w:numId w:val="1"/>
      </w:numPr>
      <w:spacing w:beforeLines="50" w:afterLines="50"/>
      <w:jc w:val="both"/>
      <w:outlineLvl w:val="1"/>
    </w:pPr>
    <w:rPr>
      <w:rFonts w:ascii="黑体" w:hAnsi="Times New Roman" w:eastAsia="黑体" w:cs="Times New Roman"/>
      <w:lang w:val="en-US" w:eastAsia="zh-CN" w:bidi="ar-SA"/>
    </w:rPr>
  </w:style>
  <w:style w:type="paragraph" w:customStyle="1" w:styleId="31">
    <w:name w:val="一级条标题"/>
    <w:basedOn w:val="30"/>
    <w:next w:val="25"/>
    <w:link w:val="36"/>
    <w:qFormat/>
    <w:uiPriority w:val="99"/>
    <w:pPr>
      <w:numPr>
        <w:ilvl w:val="2"/>
      </w:numPr>
      <w:spacing w:beforeLines="0" w:afterLines="0"/>
      <w:outlineLvl w:val="2"/>
    </w:pPr>
    <w:rPr>
      <w:sz w:val="21"/>
    </w:rPr>
  </w:style>
  <w:style w:type="paragraph" w:customStyle="1" w:styleId="32">
    <w:name w:val="二级条标题"/>
    <w:basedOn w:val="31"/>
    <w:next w:val="25"/>
    <w:qFormat/>
    <w:uiPriority w:val="99"/>
    <w:pPr>
      <w:numPr>
        <w:ilvl w:val="3"/>
      </w:numPr>
      <w:ind w:left="2310" w:hanging="420"/>
      <w:outlineLvl w:val="3"/>
    </w:pPr>
  </w:style>
  <w:style w:type="paragraph" w:customStyle="1" w:styleId="33">
    <w:name w:val="三级条标题"/>
    <w:basedOn w:val="32"/>
    <w:next w:val="25"/>
    <w:qFormat/>
    <w:uiPriority w:val="99"/>
    <w:pPr>
      <w:numPr>
        <w:ilvl w:val="4"/>
      </w:numPr>
      <w:ind w:left="2730"/>
      <w:outlineLvl w:val="4"/>
    </w:pPr>
  </w:style>
  <w:style w:type="paragraph" w:customStyle="1" w:styleId="34">
    <w:name w:val="四级条标题"/>
    <w:basedOn w:val="33"/>
    <w:next w:val="25"/>
    <w:qFormat/>
    <w:uiPriority w:val="99"/>
    <w:pPr>
      <w:numPr>
        <w:ilvl w:val="5"/>
      </w:numPr>
      <w:ind w:left="3150"/>
      <w:outlineLvl w:val="5"/>
    </w:pPr>
  </w:style>
  <w:style w:type="paragraph" w:customStyle="1" w:styleId="35">
    <w:name w:val="五级条标题"/>
    <w:basedOn w:val="34"/>
    <w:next w:val="25"/>
    <w:qFormat/>
    <w:uiPriority w:val="99"/>
    <w:pPr>
      <w:numPr>
        <w:ilvl w:val="6"/>
      </w:numPr>
      <w:ind w:left="3570"/>
      <w:outlineLvl w:val="6"/>
    </w:pPr>
  </w:style>
  <w:style w:type="character" w:customStyle="1" w:styleId="36">
    <w:name w:val="一级条标题 Char"/>
    <w:link w:val="31"/>
    <w:qFormat/>
    <w:locked/>
    <w:uiPriority w:val="99"/>
    <w:rPr>
      <w:rFonts w:ascii="黑体" w:eastAsia="黑体"/>
      <w:sz w:val="21"/>
      <w:lang w:val="en-US" w:eastAsia="zh-CN"/>
    </w:rPr>
  </w:style>
  <w:style w:type="character" w:customStyle="1" w:styleId="37">
    <w:name w:val="正文文本缩进 2 字符"/>
    <w:basedOn w:val="17"/>
    <w:link w:val="7"/>
    <w:semiHidden/>
    <w:qFormat/>
    <w:locked/>
    <w:uiPriority w:val="99"/>
    <w:rPr>
      <w:rFonts w:cs="Times New Roman"/>
      <w:sz w:val="24"/>
      <w:szCs w:val="24"/>
    </w:rPr>
  </w:style>
  <w:style w:type="character" w:customStyle="1" w:styleId="38">
    <w:name w:val="正文文本缩进 字符"/>
    <w:basedOn w:val="17"/>
    <w:link w:val="5"/>
    <w:semiHidden/>
    <w:qFormat/>
    <w:locked/>
    <w:uiPriority w:val="99"/>
    <w:rPr>
      <w:rFonts w:cs="Times New Roman"/>
      <w:sz w:val="24"/>
      <w:szCs w:val="24"/>
    </w:rPr>
  </w:style>
  <w:style w:type="character" w:customStyle="1" w:styleId="39">
    <w:name w:val="正文文本首行缩进 2 字符"/>
    <w:basedOn w:val="38"/>
    <w:link w:val="14"/>
    <w:semiHidden/>
    <w:qFormat/>
    <w:locked/>
    <w:uiPriority w:val="99"/>
    <w:rPr>
      <w:rFonts w:cs="Times New Roman"/>
      <w:sz w:val="24"/>
      <w:szCs w:val="24"/>
    </w:rPr>
  </w:style>
  <w:style w:type="character" w:customStyle="1" w:styleId="40">
    <w:name w:val="正文文本 字符"/>
    <w:basedOn w:val="17"/>
    <w:link w:val="4"/>
    <w:semiHidden/>
    <w:qFormat/>
    <w:locked/>
    <w:uiPriority w:val="99"/>
    <w:rPr>
      <w:rFonts w:cs="Times New Roman"/>
      <w:sz w:val="24"/>
      <w:szCs w:val="24"/>
    </w:rPr>
  </w:style>
  <w:style w:type="character" w:customStyle="1" w:styleId="41">
    <w:name w:val="正文文本首行缩进 字符"/>
    <w:basedOn w:val="40"/>
    <w:link w:val="13"/>
    <w:semiHidden/>
    <w:qFormat/>
    <w:locked/>
    <w:uiPriority w:val="99"/>
    <w:rPr>
      <w:rFonts w:cs="Times New Roman"/>
      <w:sz w:val="24"/>
      <w:szCs w:val="24"/>
    </w:rPr>
  </w:style>
  <w:style w:type="character" w:customStyle="1" w:styleId="42">
    <w:name w:val="图题及表格"/>
    <w:basedOn w:val="17"/>
    <w:qFormat/>
    <w:uiPriority w:val="0"/>
    <w:rPr>
      <w:rFonts w:ascii="Times New Roman" w:hAnsi="Times New Roman" w:eastAsia="宋体"/>
      <w:color w:val="000000"/>
      <w:sz w:val="21"/>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5</Pages>
  <Words>3621</Words>
  <Characters>3884</Characters>
  <Lines>27</Lines>
  <Paragraphs>7</Paragraphs>
  <TotalTime>2</TotalTime>
  <ScaleCrop>false</ScaleCrop>
  <LinksUpToDate>false</LinksUpToDate>
  <CharactersWithSpaces>3919</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2021-03-22T07:27:00Z</dcterms:created>
  <dc:creator>USER</dc:creator>
  <cp:lastModifiedBy>张国栋</cp:lastModifiedBy>
  <cp:lastPrinted>2013-05-26T06:25:00Z</cp:lastPrinted>
  <dcterms:modified xsi:type="dcterms:W3CDTF">2022-10-27T07:29:09Z</dcterms:modified>
  <dc:title>GB/T11105-2011《金属粉末-压坯的拉托拉试验》</dc:title>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B6E21F2E61EC40828BC6EBB47809E4E1</vt:lpwstr>
  </property>
</Properties>
</file>