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sz w:val="24"/>
        </w:rPr>
      </w:pPr>
      <w:r>
        <w:rPr>
          <w:rFonts w:ascii="黑体" w:eastAsia="黑体"/>
          <w:bCs/>
          <w:sz w:val="24"/>
        </w:rPr>
        <w:t>JJF</w:t>
      </w:r>
      <w:r>
        <w:rPr>
          <w:rFonts w:hint="eastAsia" w:ascii="黑体" w:eastAsia="黑体"/>
          <w:bCs/>
          <w:sz w:val="24"/>
          <w:lang w:val="en-US" w:eastAsia="zh-CN"/>
        </w:rPr>
        <w:t>Z</w:t>
      </w:r>
      <w:r>
        <w:rPr>
          <w:rFonts w:hint="eastAsia" w:ascii="黑体" w:eastAsia="黑体"/>
          <w:bCs/>
          <w:sz w:val="24"/>
        </w:rPr>
        <w:t>（有色金属）0</w:t>
      </w:r>
      <w:r>
        <w:rPr>
          <w:rFonts w:ascii="黑体" w:eastAsia="黑体"/>
          <w:bCs/>
          <w:sz w:val="24"/>
        </w:rPr>
        <w:t>0</w:t>
      </w:r>
      <w:r>
        <w:rPr>
          <w:rFonts w:hint="eastAsia" w:ascii="黑体" w:eastAsia="黑体"/>
          <w:bCs/>
          <w:sz w:val="24"/>
          <w:lang w:val="en-US" w:eastAsia="zh-CN"/>
        </w:rPr>
        <w:t>2</w:t>
      </w:r>
      <w:r>
        <w:rPr>
          <w:rFonts w:ascii="黑体" w:eastAsia="黑体"/>
          <w:bCs/>
          <w:sz w:val="24"/>
        </w:rPr>
        <w:t>-</w:t>
      </w:r>
      <w:r>
        <w:rPr>
          <w:rFonts w:hint="eastAsia" w:ascii="黑体" w:eastAsia="黑体"/>
          <w:bCs/>
          <w:sz w:val="24"/>
        </w:rPr>
        <w:t>2</w:t>
      </w:r>
      <w:r>
        <w:rPr>
          <w:rFonts w:ascii="黑体" w:eastAsia="黑体"/>
          <w:bCs/>
          <w:sz w:val="24"/>
        </w:rPr>
        <w:t>02</w:t>
      </w:r>
      <w:r>
        <w:rPr>
          <w:rFonts w:hint="eastAsia" w:ascii="黑体" w:eastAsia="黑体"/>
          <w:bCs/>
          <w:sz w:val="24"/>
          <w:lang w:val="en-US" w:eastAsia="zh-CN"/>
        </w:rPr>
        <w:t>1</w:t>
      </w:r>
      <w:r>
        <w:rPr>
          <w:rFonts w:hint="eastAsia" w:ascii="黑体" w:eastAsia="黑体"/>
          <w:bCs/>
          <w:sz w:val="24"/>
          <w:lang w:val="en-GB"/>
        </w:rPr>
        <w:t>《</w:t>
      </w:r>
      <w:r>
        <w:rPr>
          <w:rFonts w:hint="eastAsia" w:ascii="黑体" w:eastAsia="黑体"/>
          <w:bCs/>
          <w:sz w:val="24"/>
        </w:rPr>
        <w:t>闭路循环法铝及铝合金液态测氢仪校准规范》</w:t>
      </w:r>
    </w:p>
    <w:p>
      <w:pPr>
        <w:spacing w:line="360" w:lineRule="auto"/>
        <w:jc w:val="center"/>
        <w:rPr>
          <w:rFonts w:ascii="黑体" w:eastAsia="黑体"/>
          <w:bCs/>
          <w:sz w:val="24"/>
        </w:rPr>
      </w:pPr>
      <w:r>
        <w:rPr>
          <w:rFonts w:hint="eastAsia" w:ascii="黑体" w:eastAsia="黑体"/>
          <w:bCs/>
          <w:sz w:val="24"/>
        </w:rPr>
        <w:t>行业计量技术规范编制说明</w:t>
      </w:r>
    </w:p>
    <w:p>
      <w:pPr>
        <w:spacing w:line="360" w:lineRule="auto"/>
        <w:rPr>
          <w:bCs/>
        </w:rPr>
      </w:pPr>
      <w:r>
        <w:rPr>
          <w:rFonts w:hint="eastAsia"/>
          <w:bCs/>
        </w:rPr>
        <w:t>一、工作简况</w:t>
      </w:r>
    </w:p>
    <w:p>
      <w:pPr>
        <w:spacing w:line="360" w:lineRule="auto"/>
        <w:rPr>
          <w:rFonts w:ascii="黑体" w:eastAsia="黑体"/>
          <w:bCs/>
          <w:szCs w:val="21"/>
        </w:rPr>
      </w:pPr>
      <w:r>
        <w:rPr>
          <w:rFonts w:ascii="黑体" w:eastAsia="黑体"/>
          <w:bCs/>
          <w:szCs w:val="21"/>
        </w:rPr>
        <w:t>1</w:t>
      </w:r>
      <w:r>
        <w:rPr>
          <w:rFonts w:hint="eastAsia" w:ascii="黑体" w:eastAsia="黑体"/>
          <w:bCs/>
          <w:szCs w:val="21"/>
        </w:rPr>
        <w:t>.1</w:t>
      </w:r>
      <w:r>
        <w:rPr>
          <w:rFonts w:hint="eastAsia" w:ascii="黑体" w:hAnsi="宋体" w:eastAsia="黑体"/>
          <w:bCs/>
          <w:szCs w:val="21"/>
        </w:rPr>
        <w:t>任务来源</w:t>
      </w:r>
    </w:p>
    <w:p>
      <w:pPr>
        <w:pStyle w:val="11"/>
        <w:spacing w:after="0" w:line="360" w:lineRule="auto"/>
        <w:ind w:firstLine="420" w:firstLineChars="200"/>
        <w:rPr>
          <w:rFonts w:hAnsi="宋体"/>
          <w:bCs/>
          <w:szCs w:val="21"/>
        </w:rPr>
      </w:pPr>
      <w:r>
        <w:rPr>
          <w:rFonts w:hint="eastAsia" w:hAnsi="宋体"/>
          <w:bCs/>
          <w:szCs w:val="21"/>
        </w:rPr>
        <w:t>根据工业和信息化部《关于印发</w:t>
      </w:r>
      <w:r>
        <w:rPr>
          <w:rFonts w:hAnsi="宋体"/>
          <w:bCs/>
          <w:szCs w:val="21"/>
        </w:rPr>
        <w:t>20</w:t>
      </w:r>
      <w:r>
        <w:rPr>
          <w:rFonts w:hint="eastAsia" w:hAnsi="宋体"/>
          <w:bCs/>
          <w:szCs w:val="21"/>
          <w:lang w:val="en-US" w:eastAsia="zh-CN"/>
        </w:rPr>
        <w:t>21</w:t>
      </w:r>
      <w:r>
        <w:rPr>
          <w:rFonts w:hint="eastAsia" w:hAnsi="宋体"/>
          <w:bCs/>
          <w:szCs w:val="21"/>
        </w:rPr>
        <w:t>年行业计量技术规范制修订计划的通知》（工信厅科函［</w:t>
      </w:r>
      <w:r>
        <w:rPr>
          <w:rFonts w:hAnsi="宋体"/>
          <w:bCs/>
          <w:szCs w:val="21"/>
        </w:rPr>
        <w:t>20</w:t>
      </w:r>
      <w:r>
        <w:rPr>
          <w:rFonts w:hint="eastAsia" w:hAnsi="宋体"/>
          <w:bCs/>
          <w:szCs w:val="21"/>
          <w:lang w:val="en-US" w:eastAsia="zh-CN"/>
        </w:rPr>
        <w:t>21</w:t>
      </w:r>
      <w:r>
        <w:rPr>
          <w:rFonts w:hint="eastAsia" w:hAnsi="宋体"/>
          <w:bCs/>
          <w:szCs w:val="21"/>
        </w:rPr>
        <w:t>］</w:t>
      </w:r>
      <w:r>
        <w:rPr>
          <w:rFonts w:hAnsi="宋体"/>
          <w:bCs/>
          <w:szCs w:val="21"/>
        </w:rPr>
        <w:t>1</w:t>
      </w:r>
      <w:r>
        <w:rPr>
          <w:rFonts w:hint="eastAsia" w:hAnsi="宋体"/>
          <w:bCs/>
          <w:szCs w:val="21"/>
          <w:lang w:val="en-US" w:eastAsia="zh-CN"/>
        </w:rPr>
        <w:t>81</w:t>
      </w:r>
      <w:r>
        <w:rPr>
          <w:rFonts w:hint="eastAsia" w:hAnsi="宋体"/>
          <w:bCs/>
          <w:szCs w:val="21"/>
        </w:rPr>
        <w:t>号）文的要求，行业计量技术规范《闭路循环法铝及铝合金液态测氢仪校准规范》由西南铝业（集团）有限责任公司负责起草。该项目计划编号为</w:t>
      </w:r>
      <w:r>
        <w:rPr>
          <w:rFonts w:hAnsi="宋体"/>
          <w:bCs/>
          <w:szCs w:val="21"/>
        </w:rPr>
        <w:t>JJF</w:t>
      </w:r>
      <w:r>
        <w:rPr>
          <w:rFonts w:hint="eastAsia" w:hAnsi="宋体"/>
          <w:bCs/>
          <w:szCs w:val="21"/>
          <w:lang w:val="en-US" w:eastAsia="zh-CN"/>
        </w:rPr>
        <w:t>Z</w:t>
      </w:r>
      <w:r>
        <w:rPr>
          <w:rFonts w:hint="eastAsia" w:hAnsi="宋体"/>
          <w:bCs/>
          <w:szCs w:val="21"/>
        </w:rPr>
        <w:t>（有色金属）0</w:t>
      </w:r>
      <w:r>
        <w:rPr>
          <w:rFonts w:hAnsi="宋体"/>
          <w:bCs/>
          <w:szCs w:val="21"/>
        </w:rPr>
        <w:t>0</w:t>
      </w:r>
      <w:r>
        <w:rPr>
          <w:rFonts w:hint="eastAsia" w:hAnsi="宋体"/>
          <w:bCs/>
          <w:szCs w:val="21"/>
          <w:lang w:val="en-US" w:eastAsia="zh-CN"/>
        </w:rPr>
        <w:t>2</w:t>
      </w:r>
      <w:r>
        <w:rPr>
          <w:rFonts w:hint="eastAsia" w:hAnsi="宋体"/>
          <w:bCs/>
          <w:szCs w:val="21"/>
        </w:rPr>
        <w:t>-2</w:t>
      </w:r>
      <w:r>
        <w:rPr>
          <w:rFonts w:hAnsi="宋体"/>
          <w:bCs/>
          <w:szCs w:val="21"/>
        </w:rPr>
        <w:t>02</w:t>
      </w:r>
      <w:r>
        <w:rPr>
          <w:rFonts w:hint="eastAsia" w:hAnsi="宋体"/>
          <w:bCs/>
          <w:szCs w:val="21"/>
          <w:lang w:val="en-US" w:eastAsia="zh-CN"/>
        </w:rPr>
        <w:t>1</w:t>
      </w:r>
      <w:r>
        <w:rPr>
          <w:rFonts w:hint="eastAsia" w:hAnsi="宋体"/>
          <w:bCs/>
          <w:szCs w:val="21"/>
        </w:rPr>
        <w:t>。按计划要求，本计量规范应于</w:t>
      </w:r>
      <w:r>
        <w:rPr>
          <w:rFonts w:hAnsi="宋体"/>
          <w:bCs/>
          <w:szCs w:val="21"/>
        </w:rPr>
        <w:t>202</w:t>
      </w:r>
      <w:r>
        <w:rPr>
          <w:rFonts w:hint="eastAsia" w:hAnsi="宋体"/>
          <w:bCs/>
          <w:szCs w:val="21"/>
          <w:lang w:val="en-US" w:eastAsia="zh-CN"/>
        </w:rPr>
        <w:t>3</w:t>
      </w:r>
      <w:r>
        <w:rPr>
          <w:rFonts w:hint="eastAsia" w:hAnsi="宋体"/>
          <w:bCs/>
          <w:szCs w:val="21"/>
        </w:rPr>
        <w:t>年完成。</w:t>
      </w:r>
    </w:p>
    <w:p>
      <w:pPr>
        <w:pStyle w:val="11"/>
        <w:spacing w:after="0" w:line="360" w:lineRule="auto"/>
        <w:rPr>
          <w:rFonts w:ascii="黑体" w:hAnsi="宋体" w:eastAsia="黑体"/>
          <w:bCs/>
          <w:szCs w:val="21"/>
        </w:rPr>
      </w:pPr>
      <w:r>
        <w:rPr>
          <w:rFonts w:ascii="黑体" w:hAnsi="宋体" w:eastAsia="黑体"/>
          <w:bCs/>
          <w:szCs w:val="21"/>
        </w:rPr>
        <w:t>1.2</w:t>
      </w:r>
      <w:r>
        <w:rPr>
          <w:rFonts w:hint="eastAsia" w:ascii="黑体" w:hAnsi="宋体" w:eastAsia="黑体"/>
          <w:bCs/>
          <w:szCs w:val="21"/>
        </w:rPr>
        <w:t>承担单位情况</w:t>
      </w:r>
    </w:p>
    <w:p>
      <w:pPr>
        <w:spacing w:line="360" w:lineRule="auto"/>
        <w:ind w:firstLine="420" w:firstLineChars="200"/>
        <w:rPr>
          <w:rFonts w:hint="eastAsia"/>
          <w:bCs/>
          <w:lang w:val="en-US" w:eastAsia="zh-CN"/>
        </w:rPr>
      </w:pPr>
      <w:r>
        <w:rPr>
          <w:rFonts w:hint="eastAsia"/>
          <w:bCs/>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拥有国家级企业技术中心。</w:t>
      </w:r>
      <w:r>
        <w:rPr>
          <w:rFonts w:hint="eastAsia"/>
          <w:bCs/>
          <w:lang w:eastAsia="zh-CN"/>
        </w:rPr>
        <w:t>西南铝建有校准实验室与检测实验室，均通过了</w:t>
      </w:r>
      <w:r>
        <w:rPr>
          <w:rFonts w:hint="eastAsia"/>
          <w:bCs/>
          <w:lang w:val="en-US" w:eastAsia="zh-CN"/>
        </w:rPr>
        <w:t>CNAS认可，具备闭路循环法铝及铝合金液态测氢仪生产能力，一直在开展对闭路循环法铝及铝合金液态测氢仪的校准。西南铝累计申请专利722件，其中授权发明专利249件、授权实用新型专利473件，主持和参与国家、行业标准277项。</w:t>
      </w:r>
    </w:p>
    <w:p>
      <w:pPr>
        <w:spacing w:line="360" w:lineRule="auto"/>
        <w:ind w:firstLine="420" w:firstLineChars="200"/>
        <w:rPr>
          <w:rFonts w:hint="eastAsia"/>
          <w:bCs/>
          <w:lang w:val="en-US" w:eastAsia="zh-CN"/>
        </w:rPr>
      </w:pPr>
      <w:r>
        <w:rPr>
          <w:rFonts w:hint="eastAsia"/>
          <w:bCs/>
          <w:lang w:val="en-US" w:eastAsia="zh-CN"/>
        </w:rPr>
        <w:t>东北轻合金有限责任公司（即101厂，以下简称东轻公司）是建国初期陈云同志向党中央撰写报告，由毛泽东、朱德、周恩来、刘少奇亲自阅定、签批筹建的中国第一个铝镁合金加工企业，是国家“一五”期间156项重点工程中的2项。1952年建厂，1956年开工生产。1998年6月改制为国有独资公司，2000年7月划归哈尔滨市管理。2007年9月进入中国铝业公司，成为中国铝业公司铝加工五大基地之一。公司于1996年通过了ISO9001国际质量体系认证，近年来先后通过军工产品质量体系认证、AS9100、PED压力容器以及中国新时代认证中心的质量管理体系、职业健康安全和环境管理体系认证等。公司曾获得“国家质量管理奖”、“国家一级企业”、“质量、服务、信誉AAA级品牌、“国家优秀计量企业”，“黑龙江省先进计量企业”称号，并获得计量一级企业，2001年获得完善计量检测体系（GB／T19022.1）合格证书，2020年9月获得AAA级测量管理体系认证证书。</w:t>
      </w:r>
    </w:p>
    <w:p>
      <w:pPr>
        <w:spacing w:line="360" w:lineRule="auto"/>
        <w:ind w:firstLine="420" w:firstLineChars="200"/>
        <w:rPr>
          <w:rFonts w:hint="eastAsia"/>
          <w:lang w:eastAsia="zh-CN"/>
        </w:rPr>
      </w:pPr>
      <w:r>
        <w:rPr>
          <w:rFonts w:hint="eastAsia"/>
        </w:rPr>
        <w:t>中铝材料应用研究院有限公司是中国高端制造直属的核心研究院，现有员工165人，其中科研人员134人，“千人计划”专家4人，高级以上职称41人，硕士88人，博士41人。试验检验中心（北京、苏州各设一个）为国家CNAS认可机构，具备开展有色金属材料研究和应用技术开发的基本硬件条件。累计承担科研项目98项，其中国家级项目3项，省部级项目4项</w:t>
      </w:r>
      <w:r>
        <w:rPr>
          <w:rFonts w:hint="eastAsia"/>
          <w:lang w:eastAsia="zh-CN"/>
        </w:rPr>
        <w:t>。</w:t>
      </w:r>
    </w:p>
    <w:p>
      <w:pPr>
        <w:spacing w:line="360" w:lineRule="auto"/>
        <w:ind w:firstLine="420" w:firstLineChars="200"/>
        <w:rPr>
          <w:rFonts w:hint="eastAsia"/>
          <w:lang w:val="en-US" w:eastAsia="zh-CN"/>
        </w:rPr>
      </w:pPr>
      <w:r>
        <w:rPr>
          <w:rFonts w:hint="eastAsia"/>
          <w:lang w:val="en-US" w:eastAsia="zh-CN"/>
        </w:rPr>
        <w:t>广东省科学院工业分析检测中心始建于1971 年，先后隶属于广州有色金属研究院、广东省工业技术研究院（广州有色金属研究院），2015年12月经广东省机构编制委员会批准成为广东省科学院属下的独立二级事业法人单位。是我国从事矿产品、金属材料、冶金产品、化工产品、再生资源质量检测和性能评价，欧盟环保（RoHS）指令的有害物质检测、金属材料综合利用检测以及分析测试技术研究与技术咨询的专业机构。中心现有高、中、初级专业技术和管理人员100余人，其中教授有15人，高级工程师24人，硕博士20人，具有中级职称以上科技人员占80%。累计申请专利19件，其中授权发明专利8件、授权实用新型专利2件。承担国家、省级各类项目50余项，主持和参与国家、行业标准200余项，发表专著5部，发表论文300余篇。</w:t>
      </w:r>
    </w:p>
    <w:p>
      <w:pPr>
        <w:spacing w:line="360" w:lineRule="auto"/>
        <w:ind w:firstLine="420" w:firstLineChars="200"/>
        <w:rPr>
          <w:rFonts w:hint="eastAsia"/>
          <w:lang w:val="en-US" w:eastAsia="zh-CN"/>
        </w:rPr>
      </w:pPr>
      <w:r>
        <w:rPr>
          <w:rFonts w:hint="eastAsia"/>
          <w:lang w:val="en-US" w:eastAsia="zh-CN"/>
        </w:rPr>
        <w:t>国标（北京）检验认证有限公司是我国有色行业的材料研究和材料检测的权威机构。该公司运行着国家有色金属质量监督检验中心，是我国有色行业金属材料检测的权威机构。中心拥有雄厚的技术力量，先进的仪器，齐全的分析方法，以及与国际接轨的质量管理体系（ISO/IEC 17025），承接了国家质量监督抽查、实施生产许可证产品的质量检验、方圆产品认证检验、产品质量鉴定、质量评价和仲裁检验等任务。同时，研究开发新的检验技术和方法，培训检验人员和技术咨询，承担和参加国家标准、行业标准的制定和修订工作，负责和参与起草制订国家标准150余项，行业标准70余项。</w:t>
      </w:r>
    </w:p>
    <w:p>
      <w:pPr>
        <w:pStyle w:val="12"/>
        <w:shd w:val="clear" w:color="auto" w:fill="FFFFFF"/>
        <w:spacing w:before="0" w:beforeAutospacing="0" w:after="0" w:afterAutospacing="0" w:line="360" w:lineRule="auto"/>
        <w:ind w:firstLine="480"/>
        <w:jc w:val="both"/>
        <w:rPr>
          <w:sz w:val="21"/>
          <w:szCs w:val="21"/>
        </w:rPr>
      </w:pPr>
      <w:r>
        <w:rPr>
          <w:rFonts w:hint="eastAsia"/>
          <w:sz w:val="21"/>
          <w:szCs w:val="21"/>
        </w:rPr>
        <w:t>西安汉唐分析检测有限公司是西北有色金属研究院(集团)控股子公司，属国有企业，主要从事有色产品的检测、可靠性评价、失效分析、质量评估、腐蚀性能及表面测试与表征、规范起草、检测方法的开发、标物的研制、设备的计量校准等。公司于1985年被陕西省质监局授权为陕西省有色金属产品质量监督检验站。1987年被中国有色金属工业总公司授权为西北质量监督检验中心，先后被国家质检总局确定为钛及钛合金、铜及铜合金管材生产许可证检验工作实施单位；公司通过CNAS、CMA、国防DiLAC等认证认可，是陕西省有色金属材料分析检测与评价中心、陕西省稀有金属材料安全评估和失效分析中心、工业（稀有金属）产品质量和技术评价实验室、陕西省核工业用金属材料检测与评价服务平台挂靠单位。公司是国内最早从事有色金属材料及其产品分析检验检测与评价研究的专业机构之一，先后承担了国家、省市多项重大课题，目前已建成国内唯一的核电堆芯材料分析检测平台、多层金属复合材料测试和评价平台、钛及钛合金专业检测平台。近10年起草有色金属国家/行业规范共80余项、发表论文120余篇、授权专利30余项。先后荣获中国有色金属工业一等奖、二等奖20余次。</w:t>
      </w:r>
    </w:p>
    <w:p>
      <w:pPr>
        <w:pStyle w:val="11"/>
        <w:spacing w:after="0" w:line="360" w:lineRule="auto"/>
        <w:rPr>
          <w:rFonts w:ascii="黑体" w:eastAsia="黑体"/>
          <w:bCs/>
          <w:szCs w:val="21"/>
        </w:rPr>
      </w:pPr>
      <w:r>
        <w:rPr>
          <w:rFonts w:ascii="黑体" w:eastAsia="黑体"/>
          <w:bCs/>
          <w:szCs w:val="21"/>
        </w:rPr>
        <w:t>1.3</w:t>
      </w:r>
      <w:r>
        <w:rPr>
          <w:rFonts w:hint="eastAsia" w:ascii="黑体" w:hAnsi="宋体" w:eastAsia="黑体"/>
          <w:bCs/>
          <w:szCs w:val="21"/>
        </w:rPr>
        <w:t>主要工作过程</w:t>
      </w:r>
    </w:p>
    <w:p>
      <w:pPr>
        <w:spacing w:line="360" w:lineRule="auto"/>
        <w:ind w:firstLine="420" w:firstLineChars="200"/>
        <w:rPr>
          <w:bCs/>
        </w:rPr>
      </w:pPr>
      <w:r>
        <w:rPr>
          <w:rFonts w:hint="eastAsia"/>
          <w:bCs/>
          <w:lang w:eastAsia="zh-CN"/>
        </w:rPr>
        <w:t>西南铝业（集团）有限责任公司</w:t>
      </w:r>
      <w:r>
        <w:rPr>
          <w:rFonts w:hint="eastAsia"/>
          <w:bCs/>
        </w:rPr>
        <w:t>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ind w:firstLine="210" w:firstLineChars="100"/>
        <w:rPr>
          <w:rFonts w:hint="eastAsia"/>
          <w:bCs/>
        </w:rPr>
      </w:pPr>
      <w:r>
        <w:rPr>
          <w:bCs/>
        </w:rPr>
        <w:t>1</w:t>
      </w:r>
      <w:r>
        <w:rPr>
          <w:rFonts w:hint="eastAsia"/>
          <w:bCs/>
        </w:rPr>
        <w:t>）</w:t>
      </w:r>
      <w:r>
        <w:rPr>
          <w:bCs/>
        </w:rPr>
        <w:t>20</w:t>
      </w:r>
      <w:r>
        <w:rPr>
          <w:rFonts w:hint="eastAsia"/>
          <w:bCs/>
        </w:rPr>
        <w:t>21年</w:t>
      </w:r>
      <w:r>
        <w:rPr>
          <w:rFonts w:hint="eastAsia"/>
          <w:bCs/>
          <w:lang w:val="en-US" w:eastAsia="zh-CN"/>
        </w:rPr>
        <w:t>6</w:t>
      </w:r>
      <w:r>
        <w:rPr>
          <w:rFonts w:hint="eastAsia"/>
          <w:bCs/>
        </w:rPr>
        <w:t>月成立</w:t>
      </w:r>
      <w:r>
        <w:rPr>
          <w:rFonts w:hint="eastAsia"/>
          <w:bCs/>
          <w:lang w:eastAsia="zh-CN"/>
        </w:rPr>
        <w:t>了</w:t>
      </w:r>
      <w:r>
        <w:rPr>
          <w:rFonts w:hint="eastAsia"/>
          <w:bCs/>
        </w:rPr>
        <w:t>计量规范编制组，</w:t>
      </w:r>
      <w:r>
        <w:rPr>
          <w:rFonts w:hint="eastAsia"/>
          <w:bCs/>
          <w:lang w:eastAsia="zh-CN"/>
        </w:rPr>
        <w:t>参与单位有</w:t>
      </w:r>
      <w:r>
        <w:rPr>
          <w:rFonts w:hint="eastAsia"/>
          <w:bCs/>
          <w:lang w:val="en-US" w:eastAsia="zh-CN"/>
        </w:rPr>
        <w:t>东北轻合金有限责任公司、中铝材料应用研究院有限公司、广东省科学院工业分析检测中心、国标（北京）检验认证有限公司和西安汉唐分析检测有限公司，并</w:t>
      </w:r>
      <w:r>
        <w:rPr>
          <w:rFonts w:hint="eastAsia"/>
          <w:bCs/>
        </w:rPr>
        <w:t>明确了编制组</w:t>
      </w:r>
      <w:r>
        <w:rPr>
          <w:rFonts w:hint="eastAsia"/>
          <w:bCs/>
          <w:lang w:eastAsia="zh-CN"/>
        </w:rPr>
        <w:t>成员</w:t>
      </w:r>
      <w:r>
        <w:rPr>
          <w:rFonts w:hint="eastAsia"/>
          <w:bCs/>
        </w:rPr>
        <w:t>各自的工作内容和任务。</w:t>
      </w:r>
    </w:p>
    <w:p>
      <w:pPr>
        <w:spacing w:line="360" w:lineRule="auto"/>
        <w:ind w:firstLine="210" w:firstLineChars="100"/>
        <w:rPr>
          <w:rFonts w:hint="eastAsia"/>
          <w:bCs/>
          <w:lang w:val="en-US" w:eastAsia="zh-CN"/>
        </w:rPr>
      </w:pPr>
      <w:r>
        <w:rPr>
          <w:rFonts w:hint="eastAsia"/>
          <w:bCs/>
          <w:lang w:val="en-US" w:eastAsia="zh-CN"/>
        </w:rPr>
        <w:t>2）2021年8月～2021年10月计量规范编制组成员对闭路循环法铝及铝合金液态测氢仪校准规范中的计量特性及校准方法进行了讨论，确定了校准项目和方法，在2022年08月形成了计量规范讨论稿。</w:t>
      </w:r>
    </w:p>
    <w:p>
      <w:pPr>
        <w:spacing w:line="360" w:lineRule="auto"/>
        <w:ind w:firstLine="210" w:firstLineChars="100"/>
        <w:rPr>
          <w:rFonts w:hint="eastAsia"/>
          <w:bCs/>
          <w:lang w:eastAsia="zh-CN"/>
        </w:rPr>
      </w:pPr>
      <w:r>
        <w:rPr>
          <w:rFonts w:hint="eastAsia"/>
          <w:bCs/>
          <w:lang w:val="en-US" w:eastAsia="zh-CN"/>
        </w:rPr>
        <w:t>3）2022年8月23日</w:t>
      </w:r>
      <w:r>
        <w:rPr>
          <w:rFonts w:hint="eastAsia" w:ascii="仿宋" w:hAnsi="仿宋" w:eastAsia="仿宋" w:cs="仿宋"/>
          <w:bCs/>
          <w:lang w:val="en-US" w:eastAsia="zh-CN"/>
        </w:rPr>
        <w:t>～</w:t>
      </w:r>
      <w:r>
        <w:rPr>
          <w:rFonts w:hint="eastAsia"/>
          <w:bCs/>
          <w:lang w:val="en-US" w:eastAsia="zh-CN"/>
        </w:rPr>
        <w:t>25日，</w:t>
      </w:r>
      <w:r>
        <w:rPr>
          <w:rFonts w:hint="eastAsia"/>
          <w:bCs/>
        </w:rPr>
        <w:t>计量规范编制组成员参加了由有色金属行业计量技术委员会组织的在</w:t>
      </w:r>
      <w:r>
        <w:rPr>
          <w:rFonts w:hint="eastAsia"/>
          <w:bCs/>
          <w:lang w:val="en-US" w:eastAsia="zh-CN"/>
        </w:rPr>
        <w:t>云南建水</w:t>
      </w:r>
      <w:r>
        <w:rPr>
          <w:rFonts w:hint="eastAsia"/>
          <w:bCs/>
        </w:rPr>
        <w:t>召开的</w:t>
      </w:r>
      <w:r>
        <w:rPr>
          <w:bCs/>
        </w:rPr>
        <w:t>202</w:t>
      </w:r>
      <w:r>
        <w:rPr>
          <w:rFonts w:hint="eastAsia"/>
          <w:bCs/>
          <w:lang w:val="en-US" w:eastAsia="zh-CN"/>
        </w:rPr>
        <w:t>2</w:t>
      </w:r>
      <w:r>
        <w:rPr>
          <w:rFonts w:hint="eastAsia"/>
          <w:bCs/>
        </w:rPr>
        <w:t>年有色金属行业计量技术规范讨论会，与会专家、代表对本</w:t>
      </w:r>
      <w:r>
        <w:rPr>
          <w:rFonts w:hint="eastAsia"/>
          <w:bCs/>
          <w:lang w:eastAsia="zh-CN"/>
        </w:rPr>
        <w:t>校准</w:t>
      </w:r>
      <w:r>
        <w:rPr>
          <w:rFonts w:hint="eastAsia"/>
          <w:bCs/>
        </w:rPr>
        <w:t>规范的讨论稿提出了宝贵的意见和建议</w:t>
      </w:r>
      <w:r>
        <w:rPr>
          <w:rFonts w:hint="eastAsia"/>
          <w:bCs/>
          <w:lang w:eastAsia="zh-CN"/>
        </w:rPr>
        <w:t>。</w:t>
      </w:r>
    </w:p>
    <w:p>
      <w:pPr>
        <w:spacing w:line="360" w:lineRule="auto"/>
        <w:ind w:firstLine="210" w:firstLineChars="100"/>
        <w:rPr>
          <w:rFonts w:hint="eastAsia"/>
          <w:bCs/>
        </w:rPr>
      </w:pPr>
      <w:r>
        <w:rPr>
          <w:rFonts w:hint="eastAsia"/>
          <w:bCs/>
        </w:rPr>
        <w:t>4）202</w:t>
      </w:r>
      <w:r>
        <w:rPr>
          <w:rFonts w:hint="eastAsia"/>
          <w:bCs/>
          <w:lang w:val="en-US" w:eastAsia="zh-CN"/>
        </w:rPr>
        <w:t>2</w:t>
      </w:r>
      <w:r>
        <w:rPr>
          <w:rFonts w:hint="eastAsia"/>
          <w:bCs/>
        </w:rPr>
        <w:t>年</w:t>
      </w:r>
      <w:r>
        <w:rPr>
          <w:rFonts w:hint="eastAsia"/>
          <w:bCs/>
          <w:lang w:val="en-US" w:eastAsia="zh-CN"/>
        </w:rPr>
        <w:t>8</w:t>
      </w:r>
      <w:r>
        <w:rPr>
          <w:rFonts w:hint="eastAsia"/>
          <w:bCs/>
        </w:rPr>
        <w:t>月</w:t>
      </w:r>
      <w:r>
        <w:rPr>
          <w:rFonts w:hint="eastAsia" w:ascii="仿宋" w:hAnsi="仿宋" w:eastAsia="仿宋" w:cs="仿宋"/>
          <w:bCs/>
        </w:rPr>
        <w:t>～</w:t>
      </w:r>
      <w:r>
        <w:rPr>
          <w:rFonts w:hint="eastAsia" w:ascii="宋体" w:hAnsi="宋体" w:cs="宋体"/>
          <w:bCs/>
          <w:lang w:val="en-US" w:eastAsia="zh-CN"/>
        </w:rPr>
        <w:t>9月</w:t>
      </w:r>
      <w:r>
        <w:rPr>
          <w:rFonts w:hint="eastAsia"/>
          <w:bCs/>
        </w:rPr>
        <w:t>，针对</w:t>
      </w:r>
      <w:r>
        <w:rPr>
          <w:rFonts w:hint="eastAsia"/>
          <w:bCs/>
          <w:lang w:val="en-US" w:eastAsia="zh-CN"/>
        </w:rPr>
        <w:t>8</w:t>
      </w:r>
      <w:r>
        <w:rPr>
          <w:rFonts w:hint="eastAsia"/>
          <w:bCs/>
        </w:rPr>
        <w:t>月的</w:t>
      </w:r>
      <w:r>
        <w:rPr>
          <w:rFonts w:hint="eastAsia"/>
          <w:bCs/>
          <w:lang w:eastAsia="zh-CN"/>
        </w:rPr>
        <w:t>云南建水</w:t>
      </w:r>
      <w:r>
        <w:rPr>
          <w:rFonts w:hint="eastAsia"/>
          <w:bCs/>
        </w:rPr>
        <w:t>讨论会中代表们提出的修改意见和建议，编制组开会讨论并修改了校准规范，形成了征求意见稿。</w:t>
      </w:r>
    </w:p>
    <w:p>
      <w:pPr>
        <w:numPr>
          <w:ilvl w:val="0"/>
          <w:numId w:val="2"/>
        </w:numPr>
        <w:spacing w:line="360" w:lineRule="auto"/>
        <w:ind w:firstLine="210" w:firstLineChars="100"/>
        <w:rPr>
          <w:rFonts w:hint="default" w:eastAsia="宋体"/>
          <w:bCs/>
          <w:highlight w:val="yellow"/>
          <w:lang w:val="en-US" w:eastAsia="zh-CN"/>
        </w:rPr>
      </w:pPr>
      <w:r>
        <w:rPr>
          <w:rFonts w:hint="eastAsia"/>
          <w:bCs/>
          <w:highlight w:val="yellow"/>
          <w:lang w:val="en-US" w:eastAsia="zh-CN"/>
        </w:rPr>
        <w:t>2022年9月29日，有色金属行业计量技术委员会将</w:t>
      </w:r>
      <w:r>
        <w:rPr>
          <w:rFonts w:hint="eastAsia"/>
          <w:bCs/>
          <w:highlight w:val="yellow"/>
        </w:rPr>
        <w:t>征求意见稿</w:t>
      </w:r>
      <w:r>
        <w:rPr>
          <w:rFonts w:hint="eastAsia"/>
          <w:bCs/>
          <w:highlight w:val="yellow"/>
          <w:lang w:eastAsia="zh-CN"/>
        </w:rPr>
        <w:t>挂到公网上征求意见，根据各单位的反馈意见，对征求意见稿进行了修改，形成了送审稿。</w:t>
      </w:r>
    </w:p>
    <w:p>
      <w:pPr>
        <w:spacing w:line="360" w:lineRule="auto"/>
        <w:rPr>
          <w:rFonts w:ascii="黑体" w:eastAsia="黑体"/>
          <w:bCs/>
          <w:color w:val="FF0000"/>
          <w:szCs w:val="21"/>
        </w:rPr>
      </w:pPr>
      <w:r>
        <w:rPr>
          <w:rFonts w:hint="eastAsia"/>
          <w:bCs/>
          <w:color w:val="000000"/>
          <w:szCs w:val="21"/>
        </w:rPr>
        <w:t>二、</w:t>
      </w:r>
      <w:r>
        <w:rPr>
          <w:rFonts w:hint="eastAsia" w:ascii="黑体" w:hAnsi="宋体" w:eastAsia="黑体"/>
          <w:bCs/>
          <w:szCs w:val="21"/>
        </w:rPr>
        <w:t>编制原则和依据</w:t>
      </w:r>
    </w:p>
    <w:p>
      <w:pPr>
        <w:pStyle w:val="11"/>
        <w:spacing w:after="0" w:line="360" w:lineRule="auto"/>
        <w:rPr>
          <w:rFonts w:ascii="黑体" w:eastAsia="黑体"/>
          <w:bCs/>
          <w:szCs w:val="21"/>
        </w:rPr>
      </w:pPr>
      <w:r>
        <w:rPr>
          <w:rFonts w:ascii="黑体" w:eastAsia="黑体"/>
          <w:bCs/>
          <w:szCs w:val="21"/>
        </w:rPr>
        <w:t>2.1</w:t>
      </w:r>
      <w:r>
        <w:rPr>
          <w:rFonts w:hint="eastAsia" w:ascii="黑体" w:hAnsi="宋体" w:eastAsia="黑体"/>
          <w:bCs/>
          <w:szCs w:val="21"/>
        </w:rPr>
        <w:t>规范编制原则</w:t>
      </w:r>
    </w:p>
    <w:p>
      <w:pPr>
        <w:spacing w:line="360" w:lineRule="auto"/>
        <w:ind w:firstLine="435"/>
        <w:rPr>
          <w:bCs/>
          <w:szCs w:val="21"/>
        </w:rPr>
      </w:pPr>
      <w:r>
        <w:rPr>
          <w:rFonts w:ascii="宋体" w:hAnsi="宋体"/>
          <w:bCs/>
          <w:szCs w:val="21"/>
        </w:rPr>
        <w:t>1</w:t>
      </w:r>
      <w:r>
        <w:rPr>
          <w:rFonts w:hint="eastAsia" w:ascii="宋体" w:hAnsi="宋体"/>
          <w:bCs/>
          <w:szCs w:val="21"/>
        </w:rPr>
        <w:t>）</w:t>
      </w:r>
      <w:r>
        <w:rPr>
          <w:rFonts w:hint="eastAsia" w:hAnsi="宋体"/>
          <w:bCs/>
          <w:szCs w:val="21"/>
        </w:rPr>
        <w:t>该规范按照</w:t>
      </w:r>
      <w:r>
        <w:rPr>
          <w:bCs/>
          <w:szCs w:val="21"/>
        </w:rPr>
        <w:t>JJF 1071-2010</w:t>
      </w:r>
      <w:r>
        <w:rPr>
          <w:rFonts w:hint="eastAsia" w:hAnsi="宋体"/>
          <w:bCs/>
          <w:szCs w:val="21"/>
        </w:rPr>
        <w:t>《国家计量校准规范编写规则》、</w:t>
      </w:r>
      <w:r>
        <w:rPr>
          <w:bCs/>
          <w:szCs w:val="21"/>
        </w:rPr>
        <w:t>JJF 1001—2011</w:t>
      </w:r>
      <w:r>
        <w:rPr>
          <w:rFonts w:hint="eastAsia" w:hAnsi="宋体"/>
          <w:bCs/>
          <w:szCs w:val="21"/>
        </w:rPr>
        <w:t>《通用计量术语及定义》和</w:t>
      </w:r>
      <w:r>
        <w:rPr>
          <w:bCs/>
          <w:szCs w:val="21"/>
        </w:rPr>
        <w:t>JJF 1059.1—2012</w:t>
      </w:r>
      <w:r>
        <w:rPr>
          <w:rFonts w:hint="eastAsia" w:hAnsi="宋体"/>
          <w:bCs/>
          <w:szCs w:val="21"/>
        </w:rPr>
        <w:t>《测量不确定度评定与表示》编写。</w:t>
      </w:r>
    </w:p>
    <w:p>
      <w:pPr>
        <w:spacing w:line="360" w:lineRule="auto"/>
        <w:ind w:firstLine="420" w:firstLineChars="200"/>
        <w:rPr>
          <w:rFonts w:ascii="宋体"/>
          <w:bCs/>
          <w:szCs w:val="21"/>
        </w:rPr>
      </w:pPr>
      <w:r>
        <w:rPr>
          <w:bCs/>
          <w:szCs w:val="21"/>
        </w:rPr>
        <w:t>2</w:t>
      </w:r>
      <w:r>
        <w:rPr>
          <w:rFonts w:hint="eastAsia" w:hAnsi="宋体"/>
          <w:bCs/>
          <w:szCs w:val="21"/>
        </w:rPr>
        <w:t>）先进性：本规范</w:t>
      </w:r>
      <w:r>
        <w:rPr>
          <w:rFonts w:hint="eastAsia" w:ascii="宋体" w:hAnsi="宋体"/>
          <w:bCs/>
          <w:szCs w:val="21"/>
        </w:rPr>
        <w:t>改变了闭路循环法的铝及铝合金液态测氢仪无校准规范可用的现状。</w:t>
      </w:r>
    </w:p>
    <w:p>
      <w:pPr>
        <w:spacing w:line="360" w:lineRule="auto"/>
        <w:ind w:firstLine="420" w:firstLineChars="200"/>
        <w:rPr>
          <w:rFonts w:ascii="宋体"/>
          <w:bCs/>
          <w:szCs w:val="21"/>
        </w:rPr>
      </w:pPr>
      <w:r>
        <w:rPr>
          <w:rFonts w:ascii="宋体" w:hAnsi="宋体"/>
          <w:bCs/>
          <w:szCs w:val="21"/>
        </w:rPr>
        <w:t>3</w:t>
      </w:r>
      <w:r>
        <w:rPr>
          <w:rFonts w:hint="eastAsia" w:ascii="宋体" w:hAnsi="宋体"/>
          <w:bCs/>
          <w:szCs w:val="21"/>
        </w:rPr>
        <w:t>）创新性：适时引入标准物质来校准闭路循环法的铝及铝合金液态测氢仪。</w:t>
      </w:r>
    </w:p>
    <w:p>
      <w:pPr>
        <w:spacing w:line="360" w:lineRule="auto"/>
        <w:rPr>
          <w:rFonts w:ascii="黑体" w:hAnsi="宋体" w:eastAsia="黑体"/>
          <w:bCs/>
          <w:szCs w:val="21"/>
        </w:rPr>
      </w:pPr>
      <w:r>
        <w:rPr>
          <w:rFonts w:ascii="黑体" w:eastAsia="黑体"/>
          <w:bCs/>
          <w:szCs w:val="21"/>
        </w:rPr>
        <w:t>2.2</w:t>
      </w:r>
      <w:r>
        <w:rPr>
          <w:rFonts w:hint="eastAsia" w:ascii="黑体" w:hAnsi="宋体" w:eastAsia="黑体"/>
          <w:bCs/>
          <w:szCs w:val="21"/>
        </w:rPr>
        <w:t>制定规范主要内容的论据</w:t>
      </w:r>
    </w:p>
    <w:p>
      <w:pPr>
        <w:spacing w:line="360" w:lineRule="auto"/>
        <w:rPr>
          <w:rFonts w:ascii="黑体" w:hAnsi="黑体" w:eastAsia="黑体"/>
          <w:bCs/>
          <w:szCs w:val="21"/>
        </w:rPr>
      </w:pPr>
      <w:r>
        <w:rPr>
          <w:rFonts w:ascii="黑体" w:hAnsi="黑体" w:eastAsia="黑体"/>
          <w:bCs/>
          <w:szCs w:val="21"/>
        </w:rPr>
        <w:t>2.2.1</w:t>
      </w:r>
      <w:r>
        <w:rPr>
          <w:rFonts w:hint="eastAsia" w:ascii="黑体" w:hAnsi="黑体" w:eastAsia="黑体"/>
          <w:bCs/>
          <w:szCs w:val="21"/>
        </w:rPr>
        <w:t>范围</w:t>
      </w:r>
    </w:p>
    <w:p>
      <w:pPr>
        <w:spacing w:line="360" w:lineRule="auto"/>
        <w:ind w:firstLine="420" w:firstLineChars="200"/>
        <w:rPr>
          <w:rFonts w:hint="eastAsia" w:ascii="宋体" w:hAnsi="宋体" w:cs="宋体"/>
          <w:bCs/>
          <w:szCs w:val="21"/>
        </w:rPr>
      </w:pPr>
      <w:r>
        <w:rPr>
          <w:rFonts w:hint="eastAsia" w:ascii="宋体" w:hAnsi="宋体" w:cs="宋体"/>
          <w:bCs/>
          <w:szCs w:val="21"/>
        </w:rPr>
        <w:t>本规范适用于采用闭路循环法的铝及铝合金液态测氢仪的校准。</w:t>
      </w:r>
    </w:p>
    <w:p>
      <w:pPr>
        <w:spacing w:line="360" w:lineRule="auto"/>
        <w:rPr>
          <w:rFonts w:ascii="黑体" w:hAnsi="宋体" w:eastAsia="黑体"/>
          <w:bCs/>
          <w:szCs w:val="21"/>
        </w:rPr>
      </w:pPr>
      <w:r>
        <w:rPr>
          <w:rFonts w:ascii="黑体" w:hAnsi="宋体" w:eastAsia="黑体"/>
          <w:bCs/>
          <w:szCs w:val="21"/>
        </w:rPr>
        <w:t>2.2.2</w:t>
      </w:r>
      <w:r>
        <w:rPr>
          <w:rFonts w:ascii="黑体" w:eastAsia="黑体"/>
          <w:bCs/>
          <w:szCs w:val="21"/>
        </w:rPr>
        <w:t xml:space="preserve"> </w:t>
      </w:r>
      <w:r>
        <w:rPr>
          <w:rFonts w:hint="eastAsia" w:ascii="黑体" w:hAnsi="宋体" w:eastAsia="黑体"/>
          <w:bCs/>
          <w:szCs w:val="21"/>
        </w:rPr>
        <w:t>引用文件</w:t>
      </w:r>
    </w:p>
    <w:p>
      <w:pPr>
        <w:adjustRightInd w:val="0"/>
        <w:snapToGrid w:val="0"/>
        <w:spacing w:line="360" w:lineRule="auto"/>
        <w:ind w:firstLine="210" w:firstLineChars="100"/>
        <w:rPr>
          <w:rFonts w:hint="eastAsia" w:hAnsi="宋体" w:eastAsia="宋体"/>
          <w:bCs/>
          <w:szCs w:val="21"/>
          <w:lang w:eastAsia="zh-CN"/>
        </w:rPr>
      </w:pPr>
      <w:r>
        <w:rPr>
          <w:rFonts w:hint="eastAsia"/>
          <w:bCs/>
          <w:szCs w:val="21"/>
        </w:rPr>
        <w:t xml:space="preserve"> </w:t>
      </w:r>
      <w:r>
        <w:rPr>
          <w:bCs/>
          <w:szCs w:val="21"/>
        </w:rPr>
        <w:t xml:space="preserve"> </w:t>
      </w:r>
      <w:r>
        <w:rPr>
          <w:rFonts w:hint="eastAsia" w:hAnsi="宋体"/>
          <w:bCs/>
          <w:szCs w:val="21"/>
        </w:rPr>
        <w:t>本规范</w:t>
      </w:r>
      <w:r>
        <w:rPr>
          <w:rFonts w:hint="eastAsia" w:hAnsi="宋体"/>
          <w:bCs/>
          <w:szCs w:val="21"/>
          <w:lang w:eastAsia="zh-CN"/>
        </w:rPr>
        <w:t>没有引用文件</w:t>
      </w:r>
      <w:r>
        <w:rPr>
          <w:rFonts w:hint="eastAsia"/>
          <w:bCs/>
          <w:szCs w:val="21"/>
          <w:lang w:eastAsia="zh-CN"/>
        </w:rPr>
        <w:t>。</w:t>
      </w:r>
    </w:p>
    <w:p>
      <w:pPr>
        <w:spacing w:line="360" w:lineRule="auto"/>
        <w:rPr>
          <w:rFonts w:hint="eastAsia" w:ascii="黑体" w:eastAsia="黑体"/>
          <w:bCs/>
          <w:szCs w:val="21"/>
          <w:lang w:eastAsia="zh-CN"/>
        </w:rPr>
      </w:pPr>
      <w:r>
        <w:rPr>
          <w:rFonts w:ascii="黑体" w:hAnsi="宋体" w:eastAsia="黑体"/>
          <w:bCs/>
          <w:szCs w:val="21"/>
        </w:rPr>
        <w:t>2.2.3</w:t>
      </w:r>
      <w:r>
        <w:rPr>
          <w:rFonts w:ascii="黑体" w:eastAsia="黑体"/>
          <w:bCs/>
          <w:szCs w:val="21"/>
        </w:rPr>
        <w:t xml:space="preserve"> </w:t>
      </w:r>
      <w:r>
        <w:rPr>
          <w:rFonts w:hint="eastAsia" w:ascii="黑体" w:eastAsia="黑体"/>
          <w:bCs/>
          <w:szCs w:val="21"/>
          <w:lang w:eastAsia="zh-CN"/>
        </w:rPr>
        <w:t>术语和计量单位</w:t>
      </w:r>
    </w:p>
    <w:p>
      <w:pPr>
        <w:spacing w:line="360" w:lineRule="auto"/>
        <w:ind w:firstLine="420" w:firstLineChars="200"/>
        <w:rPr>
          <w:rFonts w:hint="eastAsia" w:ascii="宋体" w:hAnsi="宋体" w:cs="宋体"/>
          <w:bCs/>
          <w:szCs w:val="21"/>
          <w:lang w:val="en-US" w:eastAsia="zh-CN"/>
        </w:rPr>
      </w:pPr>
      <w:r>
        <w:rPr>
          <w:rFonts w:hint="eastAsia" w:ascii="宋体" w:hAnsi="宋体" w:cs="宋体"/>
          <w:bCs/>
          <w:szCs w:val="21"/>
          <w:lang w:eastAsia="zh-CN"/>
        </w:rPr>
        <w:t>根据讨论稿的意见，将术语“真空”更改为“真空度”，将“气密性”、“泵压”、“真空度”、“循环流量”、“吹洗”</w:t>
      </w:r>
      <w:r>
        <w:rPr>
          <w:rFonts w:hint="eastAsia" w:ascii="宋体" w:hAnsi="宋体" w:cs="宋体"/>
          <w:bCs/>
          <w:szCs w:val="21"/>
          <w:lang w:val="en-US" w:eastAsia="zh-CN"/>
        </w:rPr>
        <w:t>5个术语各翻译为了英文，为“气密性gas tightness”、“泵压pump pressure”、“真空度vacuum”、“循环流量Circulating flow Rate”、“吹洗Purge”。</w:t>
      </w:r>
    </w:p>
    <w:p>
      <w:pPr>
        <w:spacing w:line="360" w:lineRule="auto"/>
        <w:ind w:firstLine="420" w:firstLineChars="200"/>
        <w:rPr>
          <w:rFonts w:hint="eastAsia" w:ascii="宋体" w:hAnsi="宋体" w:cs="宋体"/>
          <w:bCs/>
          <w:szCs w:val="21"/>
          <w:highlight w:val="yellow"/>
          <w:lang w:val="en-US" w:eastAsia="zh-CN"/>
        </w:rPr>
      </w:pPr>
      <w:r>
        <w:rPr>
          <w:rFonts w:hint="default" w:ascii="宋体" w:hAnsi="宋体" w:cs="宋体"/>
          <w:bCs/>
          <w:szCs w:val="21"/>
          <w:highlight w:val="yellow"/>
          <w:lang w:val="en-US" w:eastAsia="zh-CN"/>
        </w:rPr>
        <w:t>根据</w:t>
      </w:r>
      <w:r>
        <w:rPr>
          <w:rFonts w:hint="eastAsia" w:ascii="宋体" w:hAnsi="宋体" w:cs="宋体"/>
          <w:bCs/>
          <w:szCs w:val="21"/>
          <w:highlight w:val="yellow"/>
          <w:lang w:val="en-US" w:eastAsia="zh-CN"/>
        </w:rPr>
        <w:t>征求意见</w:t>
      </w:r>
      <w:r>
        <w:rPr>
          <w:rFonts w:hint="default" w:ascii="宋体" w:hAnsi="宋体" w:cs="宋体"/>
          <w:bCs/>
          <w:szCs w:val="21"/>
          <w:highlight w:val="yellow"/>
          <w:lang w:val="en-US" w:eastAsia="zh-CN"/>
        </w:rPr>
        <w:t>稿的意见，</w:t>
      </w:r>
      <w:r>
        <w:rPr>
          <w:rFonts w:hint="eastAsia" w:ascii="宋体" w:hAnsi="宋体" w:cs="宋体"/>
          <w:bCs/>
          <w:szCs w:val="21"/>
          <w:highlight w:val="yellow"/>
          <w:lang w:val="en-US" w:eastAsia="zh-CN"/>
        </w:rPr>
        <w:t>将3.1.1“gas tightness”的字体由黑体改为了宋体。</w:t>
      </w:r>
    </w:p>
    <w:p>
      <w:pPr>
        <w:spacing w:line="360" w:lineRule="auto"/>
        <w:ind w:firstLine="420" w:firstLineChars="200"/>
        <w:rPr>
          <w:rFonts w:hint="default" w:ascii="宋体" w:hAnsi="宋体" w:cs="宋体"/>
          <w:bCs/>
          <w:szCs w:val="21"/>
          <w:highlight w:val="yellow"/>
          <w:lang w:val="en-US" w:eastAsia="zh-CN"/>
        </w:rPr>
      </w:pPr>
      <w:r>
        <w:rPr>
          <w:rFonts w:hint="default" w:ascii="宋体" w:hAnsi="宋体" w:cs="宋体"/>
          <w:bCs/>
          <w:szCs w:val="21"/>
          <w:highlight w:val="yellow"/>
          <w:lang w:val="en-US" w:eastAsia="zh-CN"/>
        </w:rPr>
        <w:t>根据</w:t>
      </w:r>
      <w:r>
        <w:rPr>
          <w:rFonts w:hint="eastAsia" w:ascii="宋体" w:hAnsi="宋体" w:cs="宋体"/>
          <w:bCs/>
          <w:szCs w:val="21"/>
          <w:highlight w:val="yellow"/>
          <w:lang w:val="en-US" w:eastAsia="zh-CN"/>
        </w:rPr>
        <w:t>征求意见</w:t>
      </w:r>
      <w:r>
        <w:rPr>
          <w:rFonts w:hint="default" w:ascii="宋体" w:hAnsi="宋体" w:cs="宋体"/>
          <w:bCs/>
          <w:szCs w:val="21"/>
          <w:highlight w:val="yellow"/>
          <w:lang w:val="en-US" w:eastAsia="zh-CN"/>
        </w:rPr>
        <w:t>稿的意见，</w:t>
      </w:r>
      <w:r>
        <w:rPr>
          <w:rFonts w:hint="eastAsia" w:ascii="宋体" w:hAnsi="宋体" w:eastAsia="宋体" w:cs="宋体"/>
          <w:sz w:val="21"/>
          <w:szCs w:val="21"/>
          <w:highlight w:val="yellow"/>
          <w:lang w:eastAsia="zh-CN"/>
        </w:rPr>
        <w:t>将“3.1术语与定义”更改为</w:t>
      </w:r>
      <w:r>
        <w:rPr>
          <w:rFonts w:hint="eastAsia" w:ascii="宋体" w:hAnsi="宋体" w:cs="宋体"/>
          <w:sz w:val="21"/>
          <w:szCs w:val="21"/>
          <w:highlight w:val="yellow"/>
          <w:lang w:eastAsia="zh-CN"/>
        </w:rPr>
        <w:t>了</w:t>
      </w:r>
      <w:r>
        <w:rPr>
          <w:rFonts w:hint="eastAsia" w:ascii="宋体" w:hAnsi="宋体" w:eastAsia="宋体" w:cs="宋体"/>
          <w:sz w:val="21"/>
          <w:szCs w:val="21"/>
          <w:highlight w:val="yellow"/>
          <w:lang w:eastAsia="zh-CN"/>
        </w:rPr>
        <w:t>“</w:t>
      </w:r>
      <w:r>
        <w:rPr>
          <w:rFonts w:hint="eastAsia" w:ascii="宋体" w:hAnsi="宋体" w:eastAsia="宋体" w:cs="宋体"/>
          <w:sz w:val="21"/>
          <w:szCs w:val="21"/>
          <w:highlight w:val="yellow"/>
          <w:lang w:val="en-US" w:eastAsia="zh-CN"/>
        </w:rPr>
        <w:t>3.1 术语</w:t>
      </w:r>
      <w:r>
        <w:rPr>
          <w:rFonts w:hint="eastAsia" w:ascii="宋体" w:hAnsi="宋体" w:eastAsia="宋体" w:cs="宋体"/>
          <w:sz w:val="21"/>
          <w:szCs w:val="21"/>
          <w:highlight w:val="yellow"/>
          <w:lang w:eastAsia="zh-CN"/>
        </w:rPr>
        <w:t>”</w:t>
      </w:r>
      <w:r>
        <w:rPr>
          <w:rFonts w:hint="eastAsia" w:ascii="宋体" w:hAnsi="宋体" w:cs="宋体"/>
          <w:sz w:val="21"/>
          <w:szCs w:val="21"/>
          <w:highlight w:val="yellow"/>
          <w:lang w:eastAsia="zh-CN"/>
        </w:rPr>
        <w:t>。</w:t>
      </w:r>
    </w:p>
    <w:p>
      <w:pPr>
        <w:spacing w:line="360" w:lineRule="auto"/>
        <w:rPr>
          <w:rFonts w:ascii="黑体" w:hAnsi="宋体" w:eastAsia="黑体"/>
          <w:bCs/>
          <w:szCs w:val="21"/>
        </w:rPr>
      </w:pPr>
      <w:r>
        <w:rPr>
          <w:rFonts w:hint="eastAsia" w:ascii="黑体" w:eastAsia="黑体"/>
          <w:bCs/>
          <w:szCs w:val="21"/>
          <w:lang w:val="en-US" w:eastAsia="zh-CN"/>
        </w:rPr>
        <w:t>2.2.4</w:t>
      </w:r>
      <w:r>
        <w:rPr>
          <w:rFonts w:hint="eastAsia" w:ascii="黑体" w:hAnsi="宋体" w:eastAsia="黑体"/>
          <w:bCs/>
          <w:szCs w:val="21"/>
        </w:rPr>
        <w:t>概述</w:t>
      </w:r>
    </w:p>
    <w:p>
      <w:pPr>
        <w:adjustRightInd w:val="0"/>
        <w:snapToGrid w:val="0"/>
        <w:spacing w:line="360" w:lineRule="auto"/>
        <w:ind w:firstLine="420" w:firstLineChars="200"/>
        <w:rPr>
          <w:bCs/>
          <w:szCs w:val="21"/>
        </w:rPr>
      </w:pPr>
      <w:r>
        <w:rPr>
          <w:rFonts w:hint="eastAsia"/>
          <w:bCs/>
          <w:szCs w:val="21"/>
        </w:rPr>
        <w:t>闭路循环法铝及铝合金液态测氢仪主要用于测量铝及铝合金溶液内氢气含量，如图1所示，测氢仪与测氢探头、热电偶组成氢含量检测系统。系统工作时，测氢探头与热电偶浸入铝液，测氢仪通过循环系统促使循环气体在测氢探头与测氢仪间循环，循环气体在流经测氢探头时，铝溶液中的氢气向循环气体内扩散，直到铝溶液内的氢分压与循环气体内的氢分压达到平衡，测氢仪根据循环气体热导率的变化检测出铝溶液内的氢分压，再根据Sivert定律计算出铝溶液内的氢含量。</w:t>
      </w:r>
    </w:p>
    <w:p>
      <w:pPr>
        <w:adjustRightInd w:val="0"/>
        <w:snapToGrid w:val="0"/>
        <w:spacing w:line="360" w:lineRule="auto"/>
        <w:ind w:firstLine="420" w:firstLineChars="200"/>
        <w:rPr>
          <w:rFonts w:hint="eastAsia"/>
          <w:bCs/>
        </w:rPr>
      </w:pPr>
      <w:r>
        <w:rPr>
          <w:rFonts w:hint="eastAsia"/>
          <w:bCs/>
          <w:lang w:eastAsia="zh-CN"/>
        </w:rPr>
        <w:t>根据讨论稿的意见，将测氢仪示意图更换为测氢</w:t>
      </w:r>
      <w:r>
        <w:rPr>
          <w:rFonts w:hint="eastAsia"/>
          <w:bCs/>
        </w:rPr>
        <w:t>仪</w:t>
      </w:r>
      <w:r>
        <w:rPr>
          <w:rFonts w:hint="eastAsia"/>
          <w:bCs/>
          <w:lang w:eastAsia="zh-CN"/>
        </w:rPr>
        <w:t>工作</w:t>
      </w:r>
      <w:r>
        <w:rPr>
          <w:rFonts w:hint="eastAsia"/>
          <w:bCs/>
        </w:rPr>
        <w:t>示意图</w:t>
      </w:r>
      <w:r>
        <w:rPr>
          <w:rFonts w:hint="eastAsia"/>
          <w:bCs/>
          <w:lang w:eastAsia="zh-CN"/>
        </w:rPr>
        <w:t>，见图</w:t>
      </w:r>
      <w:r>
        <w:rPr>
          <w:rFonts w:hint="eastAsia"/>
          <w:bCs/>
        </w:rPr>
        <w:t>1。</w:t>
      </w:r>
    </w:p>
    <w:p>
      <w:pPr>
        <w:adjustRightInd w:val="0"/>
        <w:snapToGrid w:val="0"/>
        <w:spacing w:line="360" w:lineRule="auto"/>
        <w:ind w:firstLine="420" w:firstLineChars="200"/>
        <w:rPr>
          <w:rFonts w:hint="eastAsia"/>
          <w:bCs/>
          <w:highlight w:val="yellow"/>
          <w:lang w:val="en-US" w:eastAsia="zh-CN"/>
        </w:rPr>
      </w:pPr>
      <w:r>
        <w:rPr>
          <w:rFonts w:hint="eastAsia"/>
          <w:bCs/>
          <w:highlight w:val="yellow"/>
          <w:lang w:eastAsia="zh-CN"/>
        </w:rPr>
        <w:t>根据征求意见稿的意见，将图</w:t>
      </w:r>
      <w:r>
        <w:rPr>
          <w:rFonts w:hint="eastAsia"/>
          <w:bCs/>
          <w:highlight w:val="yellow"/>
          <w:lang w:val="en-US" w:eastAsia="zh-CN"/>
        </w:rPr>
        <w:t>1下面的图例说明进行了分行排列。</w:t>
      </w:r>
    </w:p>
    <w:p>
      <w:pPr>
        <w:adjustRightInd w:val="0"/>
        <w:snapToGrid w:val="0"/>
        <w:spacing w:line="360" w:lineRule="auto"/>
        <w:ind w:firstLine="420" w:firstLineChars="200"/>
        <w:rPr>
          <w:rFonts w:hint="eastAsia"/>
          <w:bCs/>
          <w:highlight w:val="yellow"/>
          <w:lang w:val="en-US" w:eastAsia="zh-CN"/>
        </w:rPr>
      </w:pPr>
      <w:r>
        <w:rPr>
          <w:rFonts w:hint="eastAsia"/>
          <w:bCs/>
          <w:highlight w:val="yellow"/>
          <w:lang w:eastAsia="zh-CN"/>
        </w:rPr>
        <w:t>根据征求意见稿的意见，将图</w:t>
      </w:r>
      <w:r>
        <w:rPr>
          <w:rFonts w:hint="eastAsia"/>
          <w:bCs/>
          <w:highlight w:val="yellow"/>
          <w:lang w:val="en-US" w:eastAsia="zh-CN"/>
        </w:rPr>
        <w:t>1中5-测氢探头标注的位置进行了更改。</w:t>
      </w:r>
    </w:p>
    <w:p>
      <w:pPr>
        <w:spacing w:line="360" w:lineRule="auto"/>
        <w:rPr>
          <w:rFonts w:hint="eastAsia" w:ascii="黑体" w:hAnsi="宋体" w:eastAsia="黑体"/>
          <w:bCs/>
          <w:szCs w:val="21"/>
        </w:rPr>
      </w:pPr>
      <w:r>
        <w:rPr>
          <w:rFonts w:ascii="黑体" w:hAnsi="宋体" w:eastAsia="黑体"/>
          <w:bCs/>
          <w:szCs w:val="21"/>
        </w:rPr>
        <w:t>2.2.</w:t>
      </w:r>
      <w:r>
        <w:rPr>
          <w:rFonts w:hint="eastAsia" w:ascii="黑体" w:hAnsi="宋体" w:eastAsia="黑体"/>
          <w:bCs/>
          <w:szCs w:val="21"/>
          <w:lang w:val="en-US" w:eastAsia="zh-CN"/>
        </w:rPr>
        <w:t>5</w:t>
      </w:r>
      <w:r>
        <w:rPr>
          <w:rFonts w:ascii="黑体" w:eastAsia="黑体"/>
          <w:bCs/>
          <w:szCs w:val="21"/>
        </w:rPr>
        <w:t xml:space="preserve"> </w:t>
      </w:r>
      <w:r>
        <w:rPr>
          <w:rFonts w:hint="eastAsia" w:ascii="黑体" w:hAnsi="宋体" w:eastAsia="黑体"/>
          <w:bCs/>
          <w:szCs w:val="21"/>
        </w:rPr>
        <w:t>计量特性</w:t>
      </w:r>
    </w:p>
    <w:p>
      <w:pPr>
        <w:adjustRightInd w:val="0"/>
        <w:snapToGrid w:val="0"/>
        <w:spacing w:line="360" w:lineRule="auto"/>
        <w:ind w:firstLine="420" w:firstLineChars="200"/>
        <w:rPr>
          <w:rFonts w:hint="eastAsia" w:ascii="黑体" w:hAnsi="宋体" w:eastAsia="宋体"/>
          <w:bCs/>
          <w:szCs w:val="21"/>
          <w:lang w:val="en-US" w:eastAsia="zh-CN"/>
        </w:rPr>
      </w:pPr>
      <w:r>
        <w:rPr>
          <w:rFonts w:hint="eastAsia"/>
          <w:bCs/>
          <w:highlight w:val="yellow"/>
          <w:lang w:eastAsia="zh-CN"/>
        </w:rPr>
        <w:t>根据</w:t>
      </w:r>
      <w:r>
        <w:rPr>
          <w:rFonts w:hint="eastAsia" w:ascii="Times New Roman" w:hAnsi="Times New Roman" w:cs="Times New Roman"/>
          <w:bCs/>
          <w:highlight w:val="yellow"/>
          <w:lang w:eastAsia="zh-CN"/>
        </w:rPr>
        <w:t>征求</w:t>
      </w:r>
      <w:r>
        <w:rPr>
          <w:rFonts w:hint="eastAsia"/>
          <w:bCs/>
          <w:highlight w:val="yellow"/>
          <w:lang w:eastAsia="zh-CN"/>
        </w:rPr>
        <w:t>意见稿的意见，将“</w:t>
      </w:r>
      <w:r>
        <w:rPr>
          <w:rFonts w:hint="eastAsia"/>
          <w:bCs/>
          <w:highlight w:val="yellow"/>
          <w:lang w:val="en-US" w:eastAsia="zh-CN"/>
        </w:rPr>
        <w:t>SD</w:t>
      </w:r>
      <w:r>
        <w:rPr>
          <w:rFonts w:hint="eastAsia"/>
          <w:bCs/>
          <w:highlight w:val="yellow"/>
          <w:lang w:eastAsia="zh-CN"/>
        </w:rPr>
        <w:t>”改为了“</w:t>
      </w:r>
      <w:r>
        <w:rPr>
          <w:rFonts w:hint="eastAsia"/>
          <w:bCs/>
          <w:i/>
          <w:iCs/>
          <w:highlight w:val="yellow"/>
          <w:lang w:val="en-US" w:eastAsia="zh-CN"/>
        </w:rPr>
        <w:t>s</w:t>
      </w:r>
      <w:r>
        <w:rPr>
          <w:rFonts w:hint="eastAsia"/>
          <w:bCs/>
          <w:highlight w:val="yellow"/>
          <w:lang w:eastAsia="zh-CN"/>
        </w:rPr>
        <w:t>”</w:t>
      </w:r>
    </w:p>
    <w:p>
      <w:pPr>
        <w:spacing w:line="360" w:lineRule="auto"/>
        <w:rPr>
          <w:rFonts w:ascii="黑体" w:hAnsi="宋体" w:eastAsia="黑体"/>
          <w:bCs/>
          <w:szCs w:val="21"/>
        </w:rPr>
      </w:pPr>
      <w:r>
        <w:rPr>
          <w:rFonts w:ascii="黑体" w:hAnsi="宋体" w:eastAsia="黑体"/>
          <w:bCs/>
          <w:szCs w:val="21"/>
        </w:rPr>
        <w:t>2.2.</w:t>
      </w:r>
      <w:r>
        <w:rPr>
          <w:rFonts w:hint="eastAsia" w:ascii="黑体" w:hAnsi="宋体" w:eastAsia="黑体"/>
          <w:bCs/>
          <w:szCs w:val="21"/>
          <w:lang w:val="en-US" w:eastAsia="zh-CN"/>
        </w:rPr>
        <w:t>6</w:t>
      </w:r>
      <w:r>
        <w:rPr>
          <w:rFonts w:ascii="黑体" w:eastAsia="黑体"/>
          <w:bCs/>
          <w:szCs w:val="21"/>
        </w:rPr>
        <w:t xml:space="preserve"> </w:t>
      </w:r>
      <w:r>
        <w:rPr>
          <w:rFonts w:hint="eastAsia" w:ascii="黑体" w:hAnsi="宋体" w:eastAsia="黑体"/>
          <w:bCs/>
          <w:szCs w:val="21"/>
        </w:rPr>
        <w:t>校准条件</w:t>
      </w:r>
    </w:p>
    <w:p>
      <w:pPr>
        <w:spacing w:line="360" w:lineRule="auto"/>
        <w:rPr>
          <w:rFonts w:ascii="黑体" w:hAnsi="宋体" w:eastAsia="黑体"/>
          <w:bCs/>
          <w:szCs w:val="21"/>
        </w:rPr>
      </w:pPr>
      <w:r>
        <w:rPr>
          <w:rFonts w:ascii="黑体" w:hAnsi="宋体" w:eastAsia="黑体"/>
          <w:bCs/>
          <w:szCs w:val="21"/>
        </w:rPr>
        <w:t>2.2.</w:t>
      </w:r>
      <w:r>
        <w:rPr>
          <w:rFonts w:hint="eastAsia" w:ascii="黑体" w:hAnsi="宋体" w:eastAsia="黑体"/>
          <w:bCs/>
          <w:szCs w:val="21"/>
          <w:lang w:val="en-US" w:eastAsia="zh-CN"/>
        </w:rPr>
        <w:t>7</w:t>
      </w:r>
      <w:r>
        <w:rPr>
          <w:rFonts w:ascii="黑体" w:eastAsia="黑体"/>
          <w:bCs/>
          <w:szCs w:val="21"/>
        </w:rPr>
        <w:t xml:space="preserve"> </w:t>
      </w:r>
      <w:r>
        <w:rPr>
          <w:rFonts w:hint="eastAsia" w:ascii="黑体" w:hAnsi="宋体" w:eastAsia="黑体"/>
          <w:bCs/>
          <w:szCs w:val="21"/>
        </w:rPr>
        <w:t>校准项目和校准方法</w:t>
      </w:r>
    </w:p>
    <w:p>
      <w:pPr>
        <w:adjustRightInd w:val="0"/>
        <w:snapToGrid w:val="0"/>
        <w:spacing w:line="360" w:lineRule="auto"/>
        <w:ind w:firstLine="420" w:firstLineChars="200"/>
        <w:rPr>
          <w:rFonts w:hint="eastAsia"/>
          <w:bCs/>
          <w:lang w:val="en-US" w:eastAsia="zh-CN"/>
        </w:rPr>
      </w:pPr>
      <w:r>
        <w:rPr>
          <w:rFonts w:hint="eastAsia"/>
          <w:bCs/>
          <w:lang w:val="en-US" w:eastAsia="zh-CN"/>
        </w:rPr>
        <w:t>1）</w:t>
      </w:r>
      <w:r>
        <w:rPr>
          <w:rFonts w:hint="eastAsia"/>
          <w:bCs/>
        </w:rPr>
        <w:t>根据</w:t>
      </w:r>
      <w:r>
        <w:rPr>
          <w:rFonts w:hint="eastAsia"/>
          <w:bCs/>
          <w:lang w:eastAsia="zh-CN"/>
        </w:rPr>
        <w:t>讨论稿</w:t>
      </w:r>
      <w:r>
        <w:rPr>
          <w:rFonts w:hint="eastAsia"/>
          <w:bCs/>
        </w:rPr>
        <w:t>的意见，</w:t>
      </w:r>
      <w:r>
        <w:rPr>
          <w:rFonts w:hint="eastAsia"/>
          <w:bCs/>
          <w:lang w:eastAsia="zh-CN"/>
        </w:rPr>
        <w:t>重新绘制了氢含量示值误差校准过程中的图</w:t>
      </w:r>
      <w:r>
        <w:rPr>
          <w:rFonts w:hint="eastAsia"/>
          <w:bCs/>
          <w:lang w:val="en-US" w:eastAsia="zh-CN"/>
        </w:rPr>
        <w:t>3,以明确与图2的区别。</w:t>
      </w:r>
    </w:p>
    <w:p>
      <w:pPr>
        <w:adjustRightInd w:val="0"/>
        <w:snapToGrid w:val="0"/>
        <w:spacing w:line="360" w:lineRule="auto"/>
        <w:ind w:firstLine="420" w:firstLineChars="200"/>
        <w:rPr>
          <w:rFonts w:hint="eastAsia"/>
          <w:bCs/>
          <w:lang w:val="en-US" w:eastAsia="zh-CN"/>
        </w:rPr>
      </w:pPr>
      <w:r>
        <w:rPr>
          <w:rFonts w:hint="eastAsia"/>
          <w:bCs/>
          <w:lang w:val="en-US" w:eastAsia="zh-CN"/>
        </w:rPr>
        <w:t>2）根据讨论稿的意见，对温度示值误差校准的过程进行了重新描述，明确指出：使用标准直流电压源作为标准器时，按图4接线；使用温度校准仪作为标准器时，按图5接线。</w:t>
      </w:r>
    </w:p>
    <w:p>
      <w:pPr>
        <w:adjustRightInd w:val="0"/>
        <w:snapToGrid w:val="0"/>
        <w:spacing w:line="360" w:lineRule="auto"/>
        <w:ind w:firstLine="420" w:firstLineChars="200"/>
        <w:rPr>
          <w:rFonts w:hint="eastAsia"/>
          <w:bCs/>
          <w:highlight w:val="yellow"/>
          <w:lang w:val="en-US" w:eastAsia="zh-CN"/>
        </w:rPr>
      </w:pPr>
      <w:r>
        <w:rPr>
          <w:rFonts w:hint="eastAsia"/>
          <w:bCs/>
          <w:highlight w:val="yellow"/>
          <w:lang w:val="en-US" w:eastAsia="zh-CN"/>
        </w:rPr>
        <w:t>3）根据征求意见稿意见，将公式(1)及文中其它的符号改为了斜体。</w:t>
      </w:r>
    </w:p>
    <w:p>
      <w:pPr>
        <w:adjustRightInd w:val="0"/>
        <w:snapToGrid w:val="0"/>
        <w:spacing w:line="360" w:lineRule="auto"/>
        <w:ind w:firstLine="420" w:firstLineChars="200"/>
        <w:rPr>
          <w:rFonts w:hint="eastAsia"/>
          <w:bCs/>
          <w:highlight w:val="yellow"/>
          <w:lang w:val="en-US" w:eastAsia="zh-CN"/>
        </w:rPr>
      </w:pPr>
      <w:r>
        <w:rPr>
          <w:rFonts w:hint="eastAsia"/>
          <w:bCs/>
          <w:highlight w:val="yellow"/>
          <w:lang w:val="en-US" w:eastAsia="zh-CN"/>
        </w:rPr>
        <w:t>4）根据征求意见稿意见</w:t>
      </w:r>
      <w:r>
        <w:rPr>
          <w:rFonts w:hint="eastAsia" w:ascii="Times New Roman" w:hAnsi="Times New Roman" w:cs="Times New Roman"/>
          <w:bCs/>
          <w:highlight w:val="yellow"/>
          <w:lang w:val="en-US" w:eastAsia="zh-CN"/>
        </w:rPr>
        <w:t>，将5.5中“取二者中最大”改</w:t>
      </w:r>
      <w:r>
        <w:rPr>
          <w:rFonts w:hint="eastAsia"/>
          <w:bCs/>
          <w:highlight w:val="yellow"/>
          <w:lang w:val="en-US" w:eastAsia="zh-CN"/>
        </w:rPr>
        <w:t>为“取二者中大值”。</w:t>
      </w:r>
    </w:p>
    <w:p>
      <w:pPr>
        <w:adjustRightInd w:val="0"/>
        <w:snapToGrid w:val="0"/>
        <w:spacing w:line="360" w:lineRule="auto"/>
        <w:ind w:firstLine="420" w:firstLineChars="200"/>
        <w:rPr>
          <w:rFonts w:hint="eastAsia"/>
          <w:bCs/>
          <w:highlight w:val="yellow"/>
          <w:lang w:val="en-US" w:eastAsia="zh-CN"/>
        </w:rPr>
      </w:pPr>
      <w:r>
        <w:rPr>
          <w:rFonts w:hint="eastAsia"/>
          <w:bCs/>
          <w:highlight w:val="yellow"/>
          <w:lang w:val="en-US" w:eastAsia="zh-CN"/>
        </w:rPr>
        <w:t>5）根据征求意见稿意见，将7.2.3中“计算两次压力读数的差值，应不大于试验压力的1%”更改为“计算并记录两次压力读数的差值”，删除7.2.4中“应不小于10kPa”、7.2.5中“应不大于-10kPa”；将7.2.6中“转子流量计指示流量应≥30mL/min”更改为“记录下转子流量计的指示流量”。</w:t>
      </w:r>
    </w:p>
    <w:p>
      <w:pPr>
        <w:adjustRightInd w:val="0"/>
        <w:snapToGrid w:val="0"/>
        <w:spacing w:line="360" w:lineRule="auto"/>
        <w:ind w:firstLine="420" w:firstLineChars="200"/>
        <w:rPr>
          <w:rFonts w:hint="default"/>
          <w:bCs/>
          <w:highlight w:val="yellow"/>
          <w:lang w:val="en-US" w:eastAsia="zh-CN"/>
        </w:rPr>
      </w:pPr>
      <w:r>
        <w:rPr>
          <w:rFonts w:hint="eastAsia"/>
          <w:bCs/>
          <w:highlight w:val="yellow"/>
          <w:lang w:val="en-US" w:eastAsia="zh-CN"/>
        </w:rPr>
        <w:t>6）根据征求意见稿意见，</w:t>
      </w:r>
      <w:r>
        <w:rPr>
          <w:rFonts w:hint="eastAsia"/>
          <w:highlight w:val="yellow"/>
          <w:lang w:eastAsia="zh-CN"/>
        </w:rPr>
        <w:t>将“图</w:t>
      </w:r>
      <w:r>
        <w:rPr>
          <w:rFonts w:hint="eastAsia"/>
          <w:highlight w:val="yellow"/>
          <w:lang w:val="en-US" w:eastAsia="zh-CN"/>
        </w:rPr>
        <w:t>2”图注为“氢含量示值误差校准前标准气体连接图”；“图3”图注为“</w:t>
      </w:r>
      <w:r>
        <w:rPr>
          <w:rFonts w:hint="eastAsia"/>
          <w:color w:val="auto"/>
          <w:highlight w:val="yellow"/>
          <w:lang w:val="en-US" w:eastAsia="zh-CN"/>
        </w:rPr>
        <w:t>氢含量示值误差校准时标准气体接入图</w:t>
      </w:r>
      <w:r>
        <w:rPr>
          <w:rFonts w:hint="eastAsia"/>
          <w:highlight w:val="yellow"/>
          <w:lang w:val="en-US" w:eastAsia="zh-CN"/>
        </w:rPr>
        <w:t>”。</w:t>
      </w:r>
    </w:p>
    <w:p>
      <w:pPr>
        <w:spacing w:line="360" w:lineRule="auto"/>
        <w:rPr>
          <w:rFonts w:hint="eastAsia" w:ascii="黑体" w:hAnsi="宋体" w:eastAsia="黑体"/>
          <w:bCs/>
          <w:szCs w:val="21"/>
        </w:rPr>
      </w:pPr>
      <w:r>
        <w:rPr>
          <w:rFonts w:ascii="黑体" w:hAnsi="宋体" w:eastAsia="黑体"/>
          <w:bCs/>
          <w:szCs w:val="21"/>
        </w:rPr>
        <w:t>2.2.</w:t>
      </w:r>
      <w:r>
        <w:rPr>
          <w:rFonts w:hint="eastAsia" w:ascii="黑体" w:hAnsi="宋体" w:eastAsia="黑体"/>
          <w:bCs/>
          <w:szCs w:val="21"/>
          <w:lang w:val="en-US" w:eastAsia="zh-CN"/>
        </w:rPr>
        <w:t>8</w:t>
      </w:r>
      <w:r>
        <w:rPr>
          <w:rFonts w:ascii="黑体" w:hAnsi="宋体" w:eastAsia="黑体"/>
          <w:bCs/>
          <w:szCs w:val="21"/>
        </w:rPr>
        <w:t xml:space="preserve"> </w:t>
      </w:r>
      <w:r>
        <w:rPr>
          <w:rFonts w:hint="eastAsia" w:ascii="黑体" w:hAnsi="宋体" w:eastAsia="黑体"/>
          <w:bCs/>
          <w:szCs w:val="21"/>
        </w:rPr>
        <w:t>校准结果表达</w:t>
      </w:r>
    </w:p>
    <w:p>
      <w:pPr>
        <w:spacing w:line="360" w:lineRule="auto"/>
        <w:rPr>
          <w:rFonts w:hint="eastAsia" w:ascii="黑体" w:hAnsi="宋体" w:eastAsia="黑体"/>
          <w:bCs/>
          <w:szCs w:val="21"/>
        </w:rPr>
      </w:pPr>
      <w:r>
        <w:rPr>
          <w:rFonts w:hint="eastAsia" w:ascii="黑体" w:hAnsi="宋体" w:eastAsia="黑体"/>
          <w:bCs/>
          <w:szCs w:val="21"/>
          <w:lang w:val="en-US" w:eastAsia="zh-CN"/>
        </w:rPr>
        <w:t xml:space="preserve">2.2.9 </w:t>
      </w:r>
      <w:r>
        <w:rPr>
          <w:rFonts w:hint="eastAsia" w:ascii="黑体" w:hAnsi="宋体" w:eastAsia="黑体"/>
          <w:bCs/>
          <w:szCs w:val="21"/>
        </w:rPr>
        <w:t>复校时间间隔</w:t>
      </w:r>
    </w:p>
    <w:p>
      <w:pPr>
        <w:adjustRightInd w:val="0"/>
        <w:snapToGrid w:val="0"/>
        <w:spacing w:line="360" w:lineRule="auto"/>
        <w:ind w:firstLine="420" w:firstLineChars="200"/>
        <w:rPr>
          <w:rFonts w:hint="eastAsia"/>
          <w:bCs/>
          <w:lang w:val="en-US" w:eastAsia="zh-CN"/>
        </w:rPr>
      </w:pPr>
      <w:r>
        <w:rPr>
          <w:rFonts w:hint="eastAsia"/>
          <w:bCs/>
          <w:lang w:val="en-US" w:eastAsia="zh-CN"/>
        </w:rPr>
        <w:t>根据讨论稿的意见，将“复校周期”更改为“复校时间间隔”。</w:t>
      </w:r>
    </w:p>
    <w:p>
      <w:pPr>
        <w:spacing w:line="360" w:lineRule="auto"/>
        <w:rPr>
          <w:rFonts w:ascii="黑体" w:hAnsi="宋体" w:eastAsia="黑体"/>
          <w:bCs/>
          <w:szCs w:val="21"/>
        </w:rPr>
      </w:pPr>
      <w:r>
        <w:rPr>
          <w:rFonts w:ascii="黑体" w:hAnsi="宋体" w:eastAsia="黑体"/>
          <w:bCs/>
          <w:szCs w:val="21"/>
        </w:rPr>
        <w:t>2.2.</w:t>
      </w:r>
      <w:r>
        <w:rPr>
          <w:rFonts w:hint="eastAsia" w:ascii="黑体" w:hAnsi="宋体" w:eastAsia="黑体"/>
          <w:bCs/>
          <w:szCs w:val="21"/>
          <w:lang w:val="en-US" w:eastAsia="zh-CN"/>
        </w:rPr>
        <w:t>10</w:t>
      </w:r>
      <w:r>
        <w:rPr>
          <w:rFonts w:ascii="黑体" w:eastAsia="黑体"/>
          <w:bCs/>
          <w:szCs w:val="21"/>
        </w:rPr>
        <w:t xml:space="preserve"> </w:t>
      </w:r>
      <w:r>
        <w:rPr>
          <w:rFonts w:hint="eastAsia" w:ascii="黑体" w:hAnsi="宋体" w:eastAsia="黑体"/>
          <w:bCs/>
          <w:szCs w:val="21"/>
        </w:rPr>
        <w:t>附录</w:t>
      </w:r>
    </w:p>
    <w:p>
      <w:pPr>
        <w:numPr>
          <w:ilvl w:val="0"/>
          <w:numId w:val="0"/>
        </w:numPr>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1）根据讨论稿的意见，将附录A 校准记录中各校准项目的编号“1、2、3、4”，改为了“A.1、A.2、A.3、A.4”。</w:t>
      </w:r>
    </w:p>
    <w:p>
      <w:pPr>
        <w:numPr>
          <w:ilvl w:val="0"/>
          <w:numId w:val="0"/>
        </w:numPr>
        <w:ind w:firstLine="420" w:firstLineChars="200"/>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2）根据讨论稿的意见，将附录B 校准证书内页参考格式校准结果中各校准项目的编号“1、2、3、4”，改为了“B.1、B.2、B.3、B.4”。</w:t>
      </w:r>
    </w:p>
    <w:p>
      <w:pPr>
        <w:numPr>
          <w:ilvl w:val="0"/>
          <w:numId w:val="0"/>
        </w:numPr>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3）根据讨论稿的意见，将附录D、附录E的标题“不确定度评定报告”更改为了“不确定度评定示例”。</w:t>
      </w:r>
    </w:p>
    <w:p>
      <w:pPr>
        <w:numPr>
          <w:ilvl w:val="0"/>
          <w:numId w:val="0"/>
        </w:numPr>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4）根据讨论稿的意见，删除了不确定度评定示例中被测对象的型号。</w:t>
      </w:r>
    </w:p>
    <w:p>
      <w:pPr>
        <w:numPr>
          <w:ilvl w:val="0"/>
          <w:numId w:val="0"/>
        </w:numPr>
        <w:ind w:firstLine="420" w:firstLineChars="200"/>
        <w:rPr>
          <w:rFonts w:hint="default"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5）</w:t>
      </w:r>
      <w:r>
        <w:rPr>
          <w:rFonts w:hint="eastAsia"/>
          <w:bCs/>
          <w:highlight w:val="yellow"/>
          <w:lang w:val="en-US" w:eastAsia="zh-CN"/>
        </w:rPr>
        <w:t>根据征求意见稿意见</w:t>
      </w:r>
      <w:r>
        <w:rPr>
          <w:rFonts w:hint="eastAsia" w:ascii="Times New Roman" w:hAnsi="Times New Roman" w:cs="Times New Roman"/>
          <w:bCs/>
          <w:highlight w:val="yellow"/>
          <w:lang w:val="en-US" w:eastAsia="zh-CN"/>
        </w:rPr>
        <w:t>，将E.1,E.2,E.3,E.4改为了D.1,D.2,D.3,D.4</w:t>
      </w:r>
    </w:p>
    <w:p>
      <w:pPr>
        <w:adjustRightInd w:val="0"/>
        <w:spacing w:line="360" w:lineRule="auto"/>
        <w:rPr>
          <w:rFonts w:ascii="黑体" w:hAnsi="宋体" w:eastAsia="黑体"/>
          <w:bCs/>
          <w:szCs w:val="21"/>
        </w:rPr>
      </w:pPr>
      <w:r>
        <w:rPr>
          <w:rFonts w:hint="eastAsia" w:ascii="黑体" w:hAnsi="宋体" w:eastAsia="黑体"/>
          <w:bCs/>
          <w:szCs w:val="21"/>
        </w:rPr>
        <w:t>三、规范水平分析</w:t>
      </w:r>
    </w:p>
    <w:p>
      <w:pPr>
        <w:adjustRightInd w:val="0"/>
        <w:spacing w:line="360" w:lineRule="auto"/>
        <w:rPr>
          <w:rFonts w:ascii="黑体" w:hAnsi="宋体" w:eastAsia="黑体"/>
          <w:bCs/>
          <w:szCs w:val="21"/>
        </w:rPr>
      </w:pPr>
      <w:r>
        <w:rPr>
          <w:rFonts w:ascii="黑体" w:hAnsi="宋体" w:eastAsia="黑体"/>
          <w:bCs/>
          <w:szCs w:val="21"/>
        </w:rPr>
        <w:t>3.1</w:t>
      </w:r>
      <w:r>
        <w:rPr>
          <w:rFonts w:hint="eastAsia" w:ascii="黑体" w:hAnsi="宋体" w:eastAsia="黑体"/>
          <w:bCs/>
          <w:szCs w:val="21"/>
        </w:rPr>
        <w:t>采用国际标准及国外先进规范的程度</w:t>
      </w:r>
    </w:p>
    <w:p>
      <w:pPr>
        <w:adjustRightInd w:val="0"/>
        <w:spacing w:line="360" w:lineRule="auto"/>
        <w:ind w:firstLine="420" w:firstLineChars="200"/>
        <w:rPr>
          <w:rFonts w:ascii="宋体"/>
          <w:bCs/>
          <w:szCs w:val="21"/>
        </w:rPr>
      </w:pPr>
      <w:r>
        <w:rPr>
          <w:rFonts w:hint="eastAsia" w:ascii="宋体" w:hAnsi="宋体"/>
          <w:bCs/>
          <w:szCs w:val="21"/>
        </w:rPr>
        <w:t>据查，目前国内外没有针对闭路循环法铝及铝合金液态测氢仪的校准规范，计量检测机构也未开展该类仪器的检定校准。</w:t>
      </w:r>
    </w:p>
    <w:p>
      <w:pPr>
        <w:adjustRightInd w:val="0"/>
        <w:spacing w:line="360" w:lineRule="auto"/>
        <w:rPr>
          <w:rFonts w:ascii="黑体" w:hAnsi="宋体" w:eastAsia="黑体"/>
          <w:bCs/>
          <w:szCs w:val="21"/>
        </w:rPr>
      </w:pPr>
      <w:r>
        <w:rPr>
          <w:rFonts w:ascii="黑体" w:hAnsi="宋体" w:eastAsia="黑体"/>
          <w:bCs/>
          <w:szCs w:val="21"/>
        </w:rPr>
        <w:t>3.2</w:t>
      </w:r>
      <w:r>
        <w:rPr>
          <w:rFonts w:hint="eastAsia" w:ascii="黑体" w:hAnsi="宋体" w:eastAsia="黑体"/>
          <w:bCs/>
          <w:szCs w:val="21"/>
        </w:rPr>
        <w:t>与国际及国外同类标准水平的对比分析</w:t>
      </w:r>
    </w:p>
    <w:p>
      <w:pPr>
        <w:spacing w:line="360" w:lineRule="auto"/>
        <w:ind w:firstLine="420" w:firstLineChars="200"/>
        <w:rPr>
          <w:bCs/>
          <w:sz w:val="18"/>
        </w:rPr>
      </w:pPr>
      <w:r>
        <w:rPr>
          <w:rFonts w:hint="eastAsia" w:ascii="宋体" w:hAnsi="宋体"/>
          <w:bCs/>
          <w:szCs w:val="21"/>
        </w:rPr>
        <w:t>目前国外没有相关技术规范，本规范水平达到</w:t>
      </w:r>
      <w:r>
        <w:rPr>
          <w:rFonts w:hint="eastAsia" w:ascii="宋体" w:hAnsi="宋体"/>
          <w:bCs/>
          <w:szCs w:val="21"/>
          <w:lang w:val="en-US" w:eastAsia="zh-CN"/>
        </w:rPr>
        <w:t>国际</w:t>
      </w:r>
      <w:r>
        <w:rPr>
          <w:rFonts w:hint="eastAsia" w:ascii="宋体" w:hAnsi="宋体"/>
          <w:bCs/>
          <w:szCs w:val="21"/>
        </w:rPr>
        <w:t>先进水平。</w:t>
      </w:r>
    </w:p>
    <w:p>
      <w:pPr>
        <w:adjustRightInd w:val="0"/>
        <w:spacing w:line="360" w:lineRule="auto"/>
        <w:rPr>
          <w:rFonts w:ascii="黑体" w:hAnsi="宋体" w:eastAsia="黑体"/>
          <w:bCs/>
          <w:szCs w:val="21"/>
        </w:rPr>
      </w:pPr>
      <w:r>
        <w:rPr>
          <w:rFonts w:hint="eastAsia" w:ascii="黑体" w:hAnsi="宋体" w:eastAsia="黑体"/>
          <w:bCs/>
          <w:szCs w:val="21"/>
        </w:rPr>
        <w:t>四、与有关的现行法律、法规和强制性国家标准的关系</w:t>
      </w:r>
    </w:p>
    <w:p>
      <w:pPr>
        <w:adjustRightInd w:val="0"/>
        <w:spacing w:line="360" w:lineRule="auto"/>
        <w:ind w:firstLine="420" w:firstLineChars="200"/>
        <w:rPr>
          <w:rFonts w:hAnsi="宋体"/>
          <w:bCs/>
          <w:szCs w:val="21"/>
        </w:rPr>
      </w:pPr>
      <w:r>
        <w:rPr>
          <w:rFonts w:hint="eastAsia" w:hAnsi="宋体"/>
          <w:bCs/>
          <w:szCs w:val="21"/>
        </w:rPr>
        <w:t>本规范与有关的现行法律、法规和国家计量技术规范具有一致性，无冲突之处。</w:t>
      </w:r>
    </w:p>
    <w:p>
      <w:pPr>
        <w:adjustRightInd w:val="0"/>
        <w:spacing w:line="360" w:lineRule="auto"/>
        <w:rPr>
          <w:rFonts w:ascii="黑体" w:hAnsi="宋体" w:eastAsia="黑体"/>
          <w:bCs/>
          <w:szCs w:val="21"/>
        </w:rPr>
      </w:pPr>
      <w:r>
        <w:rPr>
          <w:rFonts w:hint="eastAsia" w:ascii="黑体" w:hAnsi="宋体" w:eastAsia="黑体"/>
          <w:bCs/>
          <w:szCs w:val="21"/>
        </w:rPr>
        <w:t>五、重大分歧意见的处理经过和依据</w:t>
      </w:r>
    </w:p>
    <w:p>
      <w:pPr>
        <w:spacing w:line="360" w:lineRule="auto"/>
        <w:ind w:firstLine="420" w:firstLineChars="200"/>
        <w:rPr>
          <w:rFonts w:hint="eastAsia" w:ascii="宋体" w:hAnsi="宋体"/>
          <w:bCs/>
          <w:szCs w:val="21"/>
          <w:lang w:eastAsia="zh-CN"/>
        </w:rPr>
      </w:pPr>
      <w:r>
        <w:rPr>
          <w:rFonts w:hint="eastAsia" w:ascii="宋体" w:hAnsi="宋体"/>
          <w:bCs/>
          <w:szCs w:val="21"/>
          <w:lang w:eastAsia="zh-CN"/>
        </w:rPr>
        <w:t>无</w:t>
      </w:r>
    </w:p>
    <w:p>
      <w:pPr>
        <w:adjustRightInd w:val="0"/>
        <w:spacing w:line="360" w:lineRule="auto"/>
        <w:rPr>
          <w:rFonts w:ascii="黑体" w:hAnsi="宋体" w:eastAsia="黑体"/>
          <w:bCs/>
          <w:szCs w:val="21"/>
        </w:rPr>
      </w:pPr>
      <w:r>
        <w:rPr>
          <w:rFonts w:hint="eastAsia" w:ascii="黑体" w:hAnsi="宋体" w:eastAsia="黑体"/>
          <w:bCs/>
          <w:szCs w:val="21"/>
        </w:rPr>
        <w:t>六、规范作为强制性或推荐性国家（或行业）</w:t>
      </w:r>
      <w:r>
        <w:rPr>
          <w:rFonts w:hint="eastAsia" w:ascii="黑体" w:hAnsi="宋体" w:eastAsia="黑体"/>
          <w:bCs/>
          <w:szCs w:val="21"/>
          <w:lang w:val="en-US" w:eastAsia="zh-CN"/>
        </w:rPr>
        <w:t>技术规范</w:t>
      </w:r>
      <w:r>
        <w:rPr>
          <w:rFonts w:hint="eastAsia" w:ascii="黑体" w:hAnsi="宋体" w:eastAsia="黑体"/>
          <w:bCs/>
          <w:szCs w:val="21"/>
        </w:rPr>
        <w:t>的建议</w:t>
      </w:r>
    </w:p>
    <w:p>
      <w:pPr>
        <w:adjustRightInd w:val="0"/>
        <w:spacing w:line="360" w:lineRule="auto"/>
        <w:ind w:firstLine="420" w:firstLineChars="200"/>
        <w:rPr>
          <w:rFonts w:hAnsi="宋体"/>
          <w:bCs/>
          <w:szCs w:val="21"/>
        </w:rPr>
      </w:pPr>
      <w:r>
        <w:rPr>
          <w:rFonts w:hint="eastAsia" w:hAnsi="宋体"/>
          <w:bCs/>
          <w:szCs w:val="21"/>
        </w:rPr>
        <w:t>建议本规范作为推荐性行业计量技术规范，供相关行业参考采用。</w:t>
      </w:r>
    </w:p>
    <w:p>
      <w:pPr>
        <w:adjustRightInd w:val="0"/>
        <w:spacing w:line="360" w:lineRule="auto"/>
        <w:rPr>
          <w:rFonts w:ascii="黑体" w:hAnsi="宋体" w:eastAsia="黑体"/>
          <w:bCs/>
          <w:szCs w:val="21"/>
        </w:rPr>
      </w:pPr>
      <w:r>
        <w:rPr>
          <w:rFonts w:hint="eastAsia" w:ascii="黑体" w:hAnsi="宋体" w:eastAsia="黑体"/>
          <w:bCs/>
          <w:szCs w:val="21"/>
        </w:rPr>
        <w:t>七、贯彻</w:t>
      </w:r>
      <w:r>
        <w:rPr>
          <w:rFonts w:hint="eastAsia" w:ascii="黑体" w:hAnsi="宋体" w:eastAsia="黑体"/>
          <w:bCs/>
          <w:szCs w:val="21"/>
          <w:lang w:val="en-US" w:eastAsia="zh-CN"/>
        </w:rPr>
        <w:t>技术规范</w:t>
      </w:r>
      <w:r>
        <w:rPr>
          <w:rFonts w:hint="eastAsia" w:ascii="黑体" w:hAnsi="宋体" w:eastAsia="黑体"/>
          <w:bCs/>
          <w:szCs w:val="21"/>
        </w:rPr>
        <w:t>的要求和措施建议</w:t>
      </w:r>
    </w:p>
    <w:p>
      <w:pPr>
        <w:spacing w:line="360" w:lineRule="auto"/>
        <w:ind w:firstLine="420" w:firstLineChars="200"/>
        <w:rPr>
          <w:rFonts w:hint="eastAsia" w:ascii="黑体" w:hAnsi="宋体" w:eastAsia="黑体"/>
          <w:bCs/>
          <w:szCs w:val="21"/>
        </w:rPr>
      </w:pPr>
      <w:r>
        <w:rPr>
          <w:rFonts w:hint="eastAsia" w:ascii="宋体" w:hAnsi="宋体"/>
          <w:bCs/>
          <w:szCs w:val="21"/>
          <w:lang w:eastAsia="zh-CN"/>
        </w:rPr>
        <w:t>无</w:t>
      </w:r>
    </w:p>
    <w:p>
      <w:pPr>
        <w:adjustRightInd w:val="0"/>
        <w:snapToGrid w:val="0"/>
        <w:spacing w:line="360" w:lineRule="auto"/>
        <w:rPr>
          <w:rFonts w:ascii="黑体" w:hAnsi="宋体" w:eastAsia="黑体"/>
          <w:bCs/>
          <w:szCs w:val="21"/>
        </w:rPr>
      </w:pPr>
      <w:r>
        <w:rPr>
          <w:rFonts w:hint="eastAsia" w:ascii="黑体" w:hAnsi="宋体" w:eastAsia="黑体"/>
          <w:bCs/>
          <w:szCs w:val="21"/>
        </w:rPr>
        <w:t>八、废止现行有关</w:t>
      </w:r>
      <w:r>
        <w:rPr>
          <w:rFonts w:hint="eastAsia" w:ascii="黑体" w:hAnsi="宋体" w:eastAsia="黑体"/>
          <w:bCs/>
          <w:szCs w:val="21"/>
          <w:lang w:val="en-US" w:eastAsia="zh-CN"/>
        </w:rPr>
        <w:t>技术规范</w:t>
      </w:r>
      <w:r>
        <w:rPr>
          <w:rFonts w:hint="eastAsia" w:ascii="黑体" w:hAnsi="宋体" w:eastAsia="黑体"/>
          <w:bCs/>
          <w:szCs w:val="21"/>
        </w:rPr>
        <w:t>的建议</w:t>
      </w:r>
    </w:p>
    <w:p>
      <w:pPr>
        <w:adjustRightInd w:val="0"/>
        <w:snapToGrid w:val="0"/>
        <w:spacing w:line="360" w:lineRule="auto"/>
        <w:ind w:firstLine="420" w:firstLineChars="200"/>
        <w:rPr>
          <w:rFonts w:hint="eastAsia" w:hAnsi="宋体" w:eastAsia="宋体"/>
          <w:bCs/>
          <w:szCs w:val="21"/>
          <w:lang w:eastAsia="zh-CN"/>
        </w:rPr>
      </w:pPr>
      <w:r>
        <w:rPr>
          <w:rFonts w:hint="eastAsia" w:hAnsi="宋体"/>
          <w:bCs/>
          <w:szCs w:val="21"/>
        </w:rPr>
        <w:t>无</w:t>
      </w:r>
      <w:r>
        <w:rPr>
          <w:rFonts w:hint="eastAsia" w:hAnsi="宋体"/>
          <w:bCs/>
          <w:szCs w:val="21"/>
          <w:lang w:eastAsia="zh-CN"/>
        </w:rPr>
        <w:t>。</w:t>
      </w:r>
    </w:p>
    <w:p>
      <w:pPr>
        <w:spacing w:line="360" w:lineRule="auto"/>
        <w:rPr>
          <w:rFonts w:ascii="黑体" w:eastAsia="黑体"/>
          <w:bCs/>
        </w:rPr>
      </w:pPr>
      <w:r>
        <w:rPr>
          <w:rFonts w:hint="eastAsia" w:ascii="黑体" w:eastAsia="黑体"/>
          <w:bCs/>
        </w:rPr>
        <w:t>九、预期效果</w:t>
      </w:r>
    </w:p>
    <w:p>
      <w:pPr>
        <w:adjustRightInd w:val="0"/>
        <w:snapToGrid w:val="0"/>
        <w:spacing w:line="360" w:lineRule="auto"/>
        <w:ind w:firstLine="420" w:firstLineChars="200"/>
        <w:rPr>
          <w:rFonts w:eastAsia="方正行楷简体"/>
          <w:bCs/>
        </w:rPr>
      </w:pPr>
      <w:r>
        <w:rPr>
          <w:rFonts w:hint="eastAsia"/>
          <w:bCs/>
        </w:rPr>
        <w:t>本规范的制定使</w:t>
      </w:r>
      <w:r>
        <w:rPr>
          <w:rFonts w:hint="eastAsia"/>
          <w:bCs/>
          <w:lang w:eastAsia="zh-CN"/>
        </w:rPr>
        <w:t>采用</w:t>
      </w:r>
      <w:r>
        <w:rPr>
          <w:rFonts w:hint="eastAsia" w:ascii="宋体" w:hAnsi="宋体"/>
          <w:bCs/>
          <w:szCs w:val="21"/>
        </w:rPr>
        <w:t>闭路循环法的铝及铝合金液态测氢仪的</w:t>
      </w:r>
      <w:r>
        <w:rPr>
          <w:rFonts w:hint="eastAsia" w:ascii="宋体" w:eastAsia="方正行楷简体"/>
          <w:bCs/>
          <w:kern w:val="0"/>
          <w:szCs w:val="21"/>
        </w:rPr>
        <w:t>校准有了可靠依据。</w:t>
      </w:r>
    </w:p>
    <w:p>
      <w:pPr>
        <w:adjustRightInd w:val="0"/>
        <w:snapToGrid w:val="0"/>
        <w:spacing w:line="360" w:lineRule="auto"/>
        <w:rPr>
          <w:rFonts w:ascii="黑体" w:hAnsi="宋体" w:eastAsia="黑体"/>
          <w:bCs/>
          <w:szCs w:val="21"/>
        </w:rPr>
      </w:pPr>
      <w:r>
        <w:rPr>
          <w:rFonts w:hint="eastAsia" w:ascii="黑体" w:hAnsi="宋体" w:eastAsia="黑体"/>
          <w:bCs/>
          <w:szCs w:val="21"/>
        </w:rPr>
        <w:t>十、其他应予说明的事项</w:t>
      </w:r>
    </w:p>
    <w:p>
      <w:pPr>
        <w:spacing w:line="360" w:lineRule="auto"/>
        <w:ind w:firstLine="420" w:firstLineChars="200"/>
        <w:rPr>
          <w:rFonts w:hint="eastAsia" w:eastAsia="宋体"/>
          <w:bCs/>
          <w:lang w:eastAsia="zh-CN"/>
        </w:rPr>
      </w:pPr>
      <w:r>
        <w:rPr>
          <w:rFonts w:hint="eastAsia"/>
          <w:bCs/>
        </w:rPr>
        <w:t>无</w:t>
      </w:r>
      <w:r>
        <w:rPr>
          <w:rFonts w:hint="eastAsia"/>
          <w:bCs/>
          <w:lang w:eastAsia="zh-CN"/>
        </w:rPr>
        <w:t>。</w:t>
      </w:r>
    </w:p>
    <w:p>
      <w:pPr>
        <w:spacing w:line="360" w:lineRule="auto"/>
        <w:jc w:val="right"/>
        <w:rPr>
          <w:rFonts w:hint="eastAsia" w:asciiTheme="minorEastAsia" w:hAnsiTheme="minorEastAsia" w:eastAsiaTheme="minorEastAsia" w:cstheme="minorEastAsia"/>
          <w:bCs/>
          <w:sz w:val="21"/>
          <w:szCs w:val="21"/>
        </w:rPr>
      </w:pPr>
      <w:r>
        <w:rPr>
          <w:rFonts w:ascii="黑体" w:eastAsia="黑体"/>
          <w:bCs/>
        </w:rPr>
        <w:t xml:space="preserve">         </w:t>
      </w:r>
      <w:r>
        <w:rPr>
          <w:rFonts w:ascii="黑体" w:hAnsi="黑体" w:eastAsia="黑体"/>
          <w:bCs/>
        </w:rPr>
        <w:t xml:space="preserve">     </w:t>
      </w:r>
      <w:r>
        <w:rPr>
          <w:rFonts w:hint="eastAsia" w:asciiTheme="minorEastAsia" w:hAnsiTheme="minorEastAsia" w:eastAsiaTheme="minorEastAsia" w:cstheme="minorEastAsia"/>
          <w:bCs/>
          <w:sz w:val="21"/>
          <w:szCs w:val="21"/>
        </w:rPr>
        <w:t xml:space="preserve"> 《闭路循环法铝及铝合金液态测氢仪校准规范</w:t>
      </w:r>
      <w:r>
        <w:rPr>
          <w:rFonts w:hint="eastAsia" w:asciiTheme="minorEastAsia" w:hAnsiTheme="minorEastAsia" w:eastAsiaTheme="minorEastAsia" w:cstheme="minorEastAsia"/>
          <w:bCs/>
          <w:kern w:val="0"/>
          <w:sz w:val="21"/>
          <w:szCs w:val="21"/>
        </w:rPr>
        <w:t>》规范编制组</w:t>
      </w:r>
    </w:p>
    <w:p>
      <w:pPr>
        <w:adjustRightInd w:val="0"/>
        <w:snapToGrid w:val="0"/>
        <w:spacing w:line="360" w:lineRule="auto"/>
        <w:ind w:right="105"/>
        <w:jc w:val="right"/>
        <w:textAlignment w:val="top"/>
        <w:rPr>
          <w:rFonts w:hint="eastAsia" w:asciiTheme="minorEastAsia" w:hAnsiTheme="minorEastAsia" w:eastAsiaTheme="minorEastAsia" w:cstheme="minorEastAsia"/>
          <w:bCs/>
        </w:rPr>
      </w:pPr>
      <w:bookmarkStart w:id="0" w:name="_GoBack"/>
      <w:bookmarkEnd w:id="0"/>
      <w:r>
        <w:rPr>
          <w:rFonts w:hint="eastAsia" w:asciiTheme="minorEastAsia" w:hAnsiTheme="minorEastAsia" w:eastAsiaTheme="minorEastAsia" w:cstheme="minorEastAsia"/>
          <w:bCs/>
        </w:rPr>
        <w:t>202</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10</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26</w:t>
      </w:r>
      <w:r>
        <w:rPr>
          <w:rFonts w:hint="eastAsia" w:asciiTheme="minorEastAsia" w:hAnsiTheme="minorEastAsia" w:eastAsiaTheme="minorEastAsia" w:cstheme="minorEastAsia"/>
          <w:bCs/>
        </w:rPr>
        <w:t>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行楷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hint="eastAsia"/>
                            </w:rPr>
                            <w:t>第</w:t>
                          </w: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r>
                            <w:rPr>
                              <w:rFonts w:hint="eastAsia"/>
                            </w:rPr>
                            <w:t>页</w:t>
                          </w:r>
                          <w:r>
                            <w:rPr>
                              <w:rFonts w:hint="eastAsia"/>
                              <w:lang w:eastAsia="zh-CN"/>
                            </w:rPr>
                            <w:t>，</w:t>
                          </w:r>
                          <w:r>
                            <w:rPr>
                              <w:rFonts w:hint="eastAsia"/>
                            </w:rPr>
                            <w:t>共</w:t>
                          </w:r>
                          <w:r>
                            <w:rPr>
                              <w:rFonts w:hint="eastAsia"/>
                              <w:lang w:val="en-US" w:eastAsia="zh-CN"/>
                            </w:rPr>
                            <w:t>5</w:t>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W4JHz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9"/>
                      <w:jc w:val="center"/>
                    </w:pPr>
                    <w:r>
                      <w:rPr>
                        <w:rFonts w:hint="eastAsia"/>
                      </w:rPr>
                      <w:t>第</w:t>
                    </w: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r>
                      <w:rPr>
                        <w:rFonts w:hint="eastAsia"/>
                      </w:rPr>
                      <w:t>页</w:t>
                    </w:r>
                    <w:r>
                      <w:rPr>
                        <w:rFonts w:hint="eastAsia"/>
                        <w:lang w:eastAsia="zh-CN"/>
                      </w:rPr>
                      <w:t>，</w:t>
                    </w:r>
                    <w:r>
                      <w:rPr>
                        <w:rFonts w:hint="eastAsia"/>
                      </w:rPr>
                      <w:t>共</w:t>
                    </w:r>
                    <w:r>
                      <w:rPr>
                        <w:rFonts w:hint="eastAsia"/>
                        <w:lang w:val="en-US" w:eastAsia="zh-CN"/>
                      </w:rPr>
                      <w:t>5</w:t>
                    </w:r>
                    <w:r>
                      <w:rPr>
                        <w:rFonts w:hint="eastAsia"/>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34E79"/>
    <w:multiLevelType w:val="singleLevel"/>
    <w:tmpl w:val="03D34E79"/>
    <w:lvl w:ilvl="0" w:tentative="0">
      <w:start w:val="5"/>
      <w:numFmt w:val="decimal"/>
      <w:suff w:val="space"/>
      <w:lvlText w:val="%1)"/>
      <w:lvlJc w:val="left"/>
    </w:lvl>
  </w:abstractNum>
  <w:abstractNum w:abstractNumId="1">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5OGE5ZmJiY2QzNjI4MzQ3ODk3MDEzMmRhYTI5ZmM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52C6AB8"/>
    <w:rsid w:val="06115A22"/>
    <w:rsid w:val="07503845"/>
    <w:rsid w:val="107D20DA"/>
    <w:rsid w:val="11177CEA"/>
    <w:rsid w:val="11361588"/>
    <w:rsid w:val="137173C4"/>
    <w:rsid w:val="140509DA"/>
    <w:rsid w:val="154C457C"/>
    <w:rsid w:val="163F2D2D"/>
    <w:rsid w:val="1CAC5149"/>
    <w:rsid w:val="1E4447E2"/>
    <w:rsid w:val="236269FD"/>
    <w:rsid w:val="24500F51"/>
    <w:rsid w:val="2B6A69EA"/>
    <w:rsid w:val="2FB62480"/>
    <w:rsid w:val="328D608E"/>
    <w:rsid w:val="33775400"/>
    <w:rsid w:val="34915439"/>
    <w:rsid w:val="36294EFF"/>
    <w:rsid w:val="36D36C96"/>
    <w:rsid w:val="3919095E"/>
    <w:rsid w:val="39EE7972"/>
    <w:rsid w:val="3A4420CD"/>
    <w:rsid w:val="3A6A7A9F"/>
    <w:rsid w:val="3ABF0D49"/>
    <w:rsid w:val="3B257E5C"/>
    <w:rsid w:val="3D7666EB"/>
    <w:rsid w:val="3E6C5004"/>
    <w:rsid w:val="3FFD4E6F"/>
    <w:rsid w:val="42CD2859"/>
    <w:rsid w:val="478C6A81"/>
    <w:rsid w:val="49ED573E"/>
    <w:rsid w:val="4BA4528F"/>
    <w:rsid w:val="4F803125"/>
    <w:rsid w:val="50EB4F43"/>
    <w:rsid w:val="50F608D8"/>
    <w:rsid w:val="519E65DF"/>
    <w:rsid w:val="51BF08B6"/>
    <w:rsid w:val="52011B83"/>
    <w:rsid w:val="543C5622"/>
    <w:rsid w:val="55C4507E"/>
    <w:rsid w:val="55CC27F2"/>
    <w:rsid w:val="56D11077"/>
    <w:rsid w:val="572C012C"/>
    <w:rsid w:val="588B31DD"/>
    <w:rsid w:val="5B2161F5"/>
    <w:rsid w:val="5BBE3B49"/>
    <w:rsid w:val="5BC318A6"/>
    <w:rsid w:val="5C3F34A1"/>
    <w:rsid w:val="61E146FB"/>
    <w:rsid w:val="635C4B8E"/>
    <w:rsid w:val="63824858"/>
    <w:rsid w:val="63963116"/>
    <w:rsid w:val="648F5C89"/>
    <w:rsid w:val="66471C44"/>
    <w:rsid w:val="66C7202B"/>
    <w:rsid w:val="67066B57"/>
    <w:rsid w:val="694A3A05"/>
    <w:rsid w:val="6B582ABA"/>
    <w:rsid w:val="6BE41A8E"/>
    <w:rsid w:val="6C0D48EE"/>
    <w:rsid w:val="6C715A3C"/>
    <w:rsid w:val="6D001F33"/>
    <w:rsid w:val="739445D0"/>
    <w:rsid w:val="77266CAE"/>
    <w:rsid w:val="776A03D8"/>
    <w:rsid w:val="79E85EDE"/>
    <w:rsid w:val="7B975A2B"/>
    <w:rsid w:val="7E0D45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0"/>
    <w:qFormat/>
    <w:uiPriority w:val="99"/>
    <w:pPr>
      <w:spacing w:after="120"/>
    </w:pPr>
  </w:style>
  <w:style w:type="paragraph" w:styleId="5">
    <w:name w:val="Body Text Indent"/>
    <w:basedOn w:val="1"/>
    <w:link w:val="38"/>
    <w:qFormat/>
    <w:uiPriority w:val="99"/>
    <w:pPr>
      <w:spacing w:after="120"/>
      <w:ind w:left="420" w:leftChars="200"/>
    </w:pPr>
  </w:style>
  <w:style w:type="paragraph" w:styleId="6">
    <w:name w:val="Date"/>
    <w:basedOn w:val="1"/>
    <w:next w:val="1"/>
    <w:link w:val="20"/>
    <w:qFormat/>
    <w:uiPriority w:val="99"/>
    <w:pPr>
      <w:ind w:left="100" w:leftChars="2500"/>
    </w:pPr>
  </w:style>
  <w:style w:type="paragraph" w:styleId="7">
    <w:name w:val="Body Text Indent 2"/>
    <w:basedOn w:val="1"/>
    <w:link w:val="37"/>
    <w:qFormat/>
    <w:uiPriority w:val="99"/>
    <w:pPr>
      <w:spacing w:after="120" w:line="480" w:lineRule="auto"/>
      <w:ind w:left="420" w:leftChars="200"/>
    </w:p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qFormat/>
    <w:uiPriority w:val="99"/>
    <w:pPr>
      <w:ind w:firstLine="420" w:firstLineChars="100"/>
    </w:pPr>
  </w:style>
  <w:style w:type="paragraph" w:styleId="14">
    <w:name w:val="Body Text First Indent 2"/>
    <w:basedOn w:val="5"/>
    <w:link w:val="39"/>
    <w:qFormat/>
    <w:uiPriority w:val="99"/>
    <w:pPr>
      <w:ind w:firstLine="420" w:firstLineChars="200"/>
    </w:pPr>
  </w:style>
  <w:style w:type="table" w:styleId="16">
    <w:name w:val="Table Grid"/>
    <w:basedOn w:val="1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semiHidden/>
    <w:qFormat/>
    <w:uiPriority w:val="99"/>
    <w:rPr>
      <w:rFonts w:cs="Times New Roman"/>
      <w:sz w:val="21"/>
      <w:szCs w:val="21"/>
    </w:rPr>
  </w:style>
  <w:style w:type="character" w:customStyle="1" w:styleId="19">
    <w:name w:val="标题 2 字符"/>
    <w:basedOn w:val="17"/>
    <w:link w:val="2"/>
    <w:qFormat/>
    <w:locked/>
    <w:uiPriority w:val="99"/>
    <w:rPr>
      <w:rFonts w:ascii="Arial" w:hAnsi="Arial" w:eastAsia="黑体" w:cs="Times New Roman"/>
      <w:b/>
      <w:bCs/>
      <w:kern w:val="2"/>
      <w:sz w:val="32"/>
      <w:szCs w:val="32"/>
    </w:rPr>
  </w:style>
  <w:style w:type="character" w:customStyle="1" w:styleId="20">
    <w:name w:val="日期 字符"/>
    <w:basedOn w:val="17"/>
    <w:link w:val="6"/>
    <w:qFormat/>
    <w:locked/>
    <w:uiPriority w:val="99"/>
    <w:rPr>
      <w:rFonts w:cs="Times New Roman"/>
      <w:kern w:val="2"/>
      <w:sz w:val="24"/>
      <w:szCs w:val="24"/>
    </w:rPr>
  </w:style>
  <w:style w:type="character" w:customStyle="1" w:styleId="21">
    <w:name w:val="批注框文本 字符"/>
    <w:basedOn w:val="17"/>
    <w:link w:val="8"/>
    <w:qFormat/>
    <w:locked/>
    <w:uiPriority w:val="99"/>
    <w:rPr>
      <w:rFonts w:cs="Times New Roman"/>
      <w:kern w:val="2"/>
      <w:sz w:val="18"/>
      <w:szCs w:val="18"/>
    </w:rPr>
  </w:style>
  <w:style w:type="character" w:customStyle="1" w:styleId="22">
    <w:name w:val="页脚 字符"/>
    <w:basedOn w:val="17"/>
    <w:link w:val="9"/>
    <w:qFormat/>
    <w:locked/>
    <w:uiPriority w:val="99"/>
    <w:rPr>
      <w:rFonts w:cs="Times New Roman"/>
      <w:kern w:val="2"/>
      <w:sz w:val="18"/>
      <w:szCs w:val="18"/>
    </w:rPr>
  </w:style>
  <w:style w:type="character" w:customStyle="1" w:styleId="23">
    <w:name w:val="页眉 字符"/>
    <w:basedOn w:val="17"/>
    <w:link w:val="10"/>
    <w:semiHidden/>
    <w:qFormat/>
    <w:locked/>
    <w:uiPriority w:val="99"/>
    <w:rPr>
      <w:rFonts w:cs="Times New Roman"/>
      <w:sz w:val="18"/>
      <w:szCs w:val="18"/>
    </w:rPr>
  </w:style>
  <w:style w:type="character" w:customStyle="1" w:styleId="24">
    <w:name w:val="正文文本 2 字符"/>
    <w:basedOn w:val="17"/>
    <w:link w:val="11"/>
    <w:semiHidden/>
    <w:qFormat/>
    <w:locked/>
    <w:uiPriority w:val="99"/>
    <w:rPr>
      <w:rFonts w:cs="Times New Roman"/>
      <w:sz w:val="24"/>
      <w:szCs w:val="24"/>
    </w:rPr>
  </w:style>
  <w:style w:type="paragraph" w:customStyle="1" w:styleId="25">
    <w:name w:val="段"/>
    <w:link w:val="26"/>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qFormat/>
    <w:locked/>
    <w:uiPriority w:val="99"/>
    <w:rPr>
      <w:rFonts w:ascii="宋体" w:cs="Times New Roman"/>
      <w:sz w:val="21"/>
      <w:lang w:val="en-US" w:eastAsia="zh-CN" w:bidi="ar-SA"/>
    </w:rPr>
  </w:style>
  <w:style w:type="character" w:styleId="27">
    <w:name w:val="Placeholder Text"/>
    <w:basedOn w:val="17"/>
    <w:semiHidden/>
    <w:qFormat/>
    <w:uiPriority w:val="99"/>
    <w:rPr>
      <w:rFonts w:cs="Times New Roman"/>
      <w:color w:val="808080"/>
    </w:rPr>
  </w:style>
  <w:style w:type="paragraph" w:styleId="28">
    <w:name w:val="List Paragraph"/>
    <w:basedOn w:val="1"/>
    <w:qFormat/>
    <w:uiPriority w:val="99"/>
    <w:pPr>
      <w:ind w:firstLine="420" w:firstLineChars="200"/>
    </w:pPr>
  </w:style>
  <w:style w:type="paragraph" w:customStyle="1" w:styleId="2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qFormat/>
    <w:uiPriority w:val="99"/>
    <w:pPr>
      <w:numPr>
        <w:ilvl w:val="2"/>
      </w:numPr>
      <w:spacing w:beforeLines="0" w:afterLines="0"/>
      <w:outlineLvl w:val="2"/>
    </w:pPr>
    <w:rPr>
      <w:sz w:val="21"/>
    </w:rPr>
  </w:style>
  <w:style w:type="paragraph" w:customStyle="1" w:styleId="32">
    <w:name w:val="二级条标题"/>
    <w:basedOn w:val="31"/>
    <w:next w:val="25"/>
    <w:qFormat/>
    <w:uiPriority w:val="99"/>
    <w:pPr>
      <w:numPr>
        <w:ilvl w:val="3"/>
      </w:numPr>
      <w:ind w:left="2310" w:hanging="420"/>
      <w:outlineLvl w:val="3"/>
    </w:pPr>
  </w:style>
  <w:style w:type="paragraph" w:customStyle="1" w:styleId="33">
    <w:name w:val="三级条标题"/>
    <w:basedOn w:val="32"/>
    <w:next w:val="25"/>
    <w:qFormat/>
    <w:uiPriority w:val="99"/>
    <w:pPr>
      <w:numPr>
        <w:ilvl w:val="4"/>
      </w:numPr>
      <w:ind w:left="2730"/>
      <w:outlineLvl w:val="4"/>
    </w:pPr>
  </w:style>
  <w:style w:type="paragraph" w:customStyle="1" w:styleId="34">
    <w:name w:val="四级条标题"/>
    <w:basedOn w:val="33"/>
    <w:next w:val="25"/>
    <w:qFormat/>
    <w:uiPriority w:val="99"/>
    <w:pPr>
      <w:numPr>
        <w:ilvl w:val="5"/>
      </w:numPr>
      <w:ind w:left="3150"/>
      <w:outlineLvl w:val="5"/>
    </w:pPr>
  </w:style>
  <w:style w:type="paragraph" w:customStyle="1" w:styleId="35">
    <w:name w:val="五级条标题"/>
    <w:basedOn w:val="34"/>
    <w:next w:val="25"/>
    <w:qFormat/>
    <w:uiPriority w:val="99"/>
    <w:pPr>
      <w:numPr>
        <w:ilvl w:val="6"/>
      </w:numPr>
      <w:ind w:left="3570"/>
      <w:outlineLvl w:val="6"/>
    </w:pPr>
  </w:style>
  <w:style w:type="character" w:customStyle="1" w:styleId="36">
    <w:name w:val="一级条标题 Char"/>
    <w:link w:val="31"/>
    <w:qFormat/>
    <w:locked/>
    <w:uiPriority w:val="99"/>
    <w:rPr>
      <w:rFonts w:ascii="黑体" w:eastAsia="黑体"/>
      <w:sz w:val="21"/>
      <w:lang w:val="en-US" w:eastAsia="zh-CN"/>
    </w:rPr>
  </w:style>
  <w:style w:type="character" w:customStyle="1" w:styleId="37">
    <w:name w:val="正文文本缩进 2 字符"/>
    <w:basedOn w:val="17"/>
    <w:link w:val="7"/>
    <w:semiHidden/>
    <w:qFormat/>
    <w:locked/>
    <w:uiPriority w:val="99"/>
    <w:rPr>
      <w:rFonts w:cs="Times New Roman"/>
      <w:sz w:val="24"/>
      <w:szCs w:val="24"/>
    </w:rPr>
  </w:style>
  <w:style w:type="character" w:customStyle="1" w:styleId="38">
    <w:name w:val="正文文本缩进 字符"/>
    <w:basedOn w:val="17"/>
    <w:link w:val="5"/>
    <w:semiHidden/>
    <w:qFormat/>
    <w:locked/>
    <w:uiPriority w:val="99"/>
    <w:rPr>
      <w:rFonts w:cs="Times New Roman"/>
      <w:sz w:val="24"/>
      <w:szCs w:val="24"/>
    </w:rPr>
  </w:style>
  <w:style w:type="character" w:customStyle="1" w:styleId="39">
    <w:name w:val="正文文本首行缩进 2 字符"/>
    <w:basedOn w:val="38"/>
    <w:link w:val="14"/>
    <w:semiHidden/>
    <w:qFormat/>
    <w:locked/>
    <w:uiPriority w:val="99"/>
    <w:rPr>
      <w:rFonts w:cs="Times New Roman"/>
      <w:sz w:val="24"/>
      <w:szCs w:val="24"/>
    </w:rPr>
  </w:style>
  <w:style w:type="character" w:customStyle="1" w:styleId="40">
    <w:name w:val="正文文本 字符"/>
    <w:basedOn w:val="17"/>
    <w:link w:val="4"/>
    <w:semiHidden/>
    <w:qFormat/>
    <w:locked/>
    <w:uiPriority w:val="99"/>
    <w:rPr>
      <w:rFonts w:cs="Times New Roman"/>
      <w:sz w:val="24"/>
      <w:szCs w:val="24"/>
    </w:rPr>
  </w:style>
  <w:style w:type="character" w:customStyle="1" w:styleId="41">
    <w:name w:val="正文文本首行缩进 字符"/>
    <w:basedOn w:val="40"/>
    <w:link w:val="13"/>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4072</Words>
  <Characters>4480</Characters>
  <Lines>3</Lines>
  <Paragraphs>8</Paragraphs>
  <TotalTime>0</TotalTime>
  <ScaleCrop>false</ScaleCrop>
  <LinksUpToDate>false</LinksUpToDate>
  <CharactersWithSpaces>4519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张国栋</cp:lastModifiedBy>
  <cp:lastPrinted>2013-05-26T06:25:00Z</cp:lastPrinted>
  <dcterms:modified xsi:type="dcterms:W3CDTF">2022-10-27T01:12:43Z</dcterms:modified>
  <dc:title>GB/T11105-2011《金属粉末-压坯的拉托拉试验》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4091BFD2E95B40D5914C109ED45F4EA2</vt:lpwstr>
  </property>
</Properties>
</file>