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inorEastAsia" w:hAnsiTheme="minorEastAsia"/>
          <w:b/>
          <w:bCs/>
          <w:sz w:val="28"/>
          <w:szCs w:val="28"/>
        </w:rPr>
      </w:pPr>
      <w:r>
        <w:rPr>
          <w:rFonts w:cs="Times New Roman" w:asciiTheme="minorEastAsia" w:hAnsiTheme="minorEastAsia"/>
          <w:b/>
          <w:bCs/>
          <w:sz w:val="28"/>
          <w:szCs w:val="28"/>
        </w:rPr>
        <w:t>国家标准《</w:t>
      </w:r>
      <w:r>
        <w:rPr>
          <w:rFonts w:hint="eastAsia" w:cs="Times New Roman" w:asciiTheme="minorEastAsia" w:hAnsiTheme="minorEastAsia"/>
          <w:b/>
          <w:bCs/>
          <w:sz w:val="28"/>
          <w:szCs w:val="28"/>
        </w:rPr>
        <w:t xml:space="preserve">碳化硅外延片表面缺陷的测试 </w:t>
      </w:r>
      <w:r>
        <w:rPr>
          <w:rFonts w:cs="Times New Roman" w:asciiTheme="minorEastAsia" w:hAnsiTheme="minorEastAsia"/>
          <w:b/>
          <w:bCs/>
          <w:sz w:val="28"/>
          <w:szCs w:val="28"/>
        </w:rPr>
        <w:t xml:space="preserve"> </w:t>
      </w:r>
      <w:r>
        <w:rPr>
          <w:rFonts w:hint="eastAsia" w:cs="Times New Roman" w:asciiTheme="minorEastAsia" w:hAnsiTheme="minorEastAsia"/>
          <w:b/>
          <w:bCs/>
          <w:sz w:val="28"/>
          <w:szCs w:val="28"/>
        </w:rPr>
        <w:t>激光散射法</w:t>
      </w:r>
      <w:r>
        <w:rPr>
          <w:rFonts w:cs="Times New Roman" w:asciiTheme="minorEastAsia" w:hAnsiTheme="minorEastAsia"/>
          <w:b/>
          <w:bCs/>
          <w:sz w:val="28"/>
          <w:szCs w:val="28"/>
        </w:rPr>
        <w:t>》</w:t>
      </w:r>
    </w:p>
    <w:p>
      <w:pPr>
        <w:jc w:val="center"/>
        <w:rPr>
          <w:rFonts w:cs="Times New Roman" w:asciiTheme="minorEastAsia" w:hAnsiTheme="minorEastAsia"/>
          <w:b/>
          <w:bCs/>
          <w:sz w:val="28"/>
          <w:szCs w:val="28"/>
        </w:rPr>
      </w:pPr>
      <w:r>
        <w:rPr>
          <w:rFonts w:cs="Times New Roman" w:asciiTheme="minorEastAsia" w:hAnsiTheme="minorEastAsia"/>
          <w:b/>
          <w:bCs/>
          <w:sz w:val="28"/>
          <w:szCs w:val="28"/>
        </w:rPr>
        <w:t>编制说明</w:t>
      </w:r>
      <w:r>
        <w:rPr>
          <w:rFonts w:hint="eastAsia" w:cs="Times New Roman" w:asciiTheme="minorEastAsia" w:hAnsiTheme="minorEastAsia"/>
          <w:b/>
          <w:bCs/>
          <w:sz w:val="28"/>
          <w:szCs w:val="28"/>
        </w:rPr>
        <w:t>（送审稿）</w:t>
      </w:r>
    </w:p>
    <w:p>
      <w:pPr>
        <w:pStyle w:val="12"/>
        <w:spacing w:line="360" w:lineRule="auto"/>
        <w:ind w:firstLine="0" w:firstLineChars="0"/>
        <w:rPr>
          <w:rFonts w:cs="Times New Roman" w:asciiTheme="minorEastAsia" w:hAnsiTheme="minorEastAsia"/>
          <w:b/>
          <w:bCs/>
          <w:szCs w:val="21"/>
        </w:rPr>
      </w:pPr>
      <w:r>
        <w:rPr>
          <w:rFonts w:hint="eastAsia" w:cs="Times New Roman" w:asciiTheme="minorEastAsia" w:hAnsiTheme="minorEastAsia"/>
          <w:b/>
          <w:bCs/>
          <w:sz w:val="24"/>
        </w:rPr>
        <w:t>一、</w:t>
      </w:r>
      <w:r>
        <w:rPr>
          <w:rFonts w:cs="Times New Roman" w:asciiTheme="minorEastAsia" w:hAnsiTheme="minorEastAsia"/>
          <w:b/>
          <w:bCs/>
          <w:sz w:val="24"/>
        </w:rPr>
        <w:t>工作简况</w:t>
      </w:r>
    </w:p>
    <w:p>
      <w:pPr>
        <w:pStyle w:val="12"/>
        <w:spacing w:line="360" w:lineRule="auto"/>
        <w:ind w:firstLine="0" w:firstLineChars="0"/>
        <w:rPr>
          <w:rFonts w:cs="Times New Roman" w:asciiTheme="minorEastAsia" w:hAnsiTheme="minorEastAsia"/>
          <w:b/>
          <w:bCs/>
          <w:sz w:val="24"/>
        </w:rPr>
      </w:pPr>
      <w:r>
        <w:rPr>
          <w:rFonts w:hint="eastAsia" w:cs="Times New Roman" w:asciiTheme="minorEastAsia" w:hAnsiTheme="minorEastAsia"/>
          <w:b/>
          <w:bCs/>
          <w:sz w:val="24"/>
        </w:rPr>
        <w:t>1、立项目的和意义</w:t>
      </w:r>
    </w:p>
    <w:p>
      <w:pPr>
        <w:pStyle w:val="12"/>
        <w:spacing w:line="360" w:lineRule="auto"/>
        <w:ind w:firstLine="480"/>
        <w:rPr>
          <w:rFonts w:cs="Times New Roman" w:asciiTheme="minorEastAsia" w:hAnsiTheme="minorEastAsia"/>
          <w:sz w:val="24"/>
        </w:rPr>
      </w:pPr>
      <w:r>
        <w:rPr>
          <w:rFonts w:hint="eastAsia" w:cs="Times New Roman" w:asciiTheme="minorEastAsia" w:hAnsiTheme="minorEastAsia"/>
          <w:sz w:val="24"/>
        </w:rPr>
        <w:t>基于碳化硅材料的电力电子器件作为新兴的第三代半导体器件的杰出代表，以其优越的综合性能表现正在受到越来越多的关注，在电网应用中具有明显的优势。与传统的硅器件相比较，碳化硅器件工作电压、工作频率可以达到硅器件的10倍，电流密度达到硅器件的4倍，功率损耗和装置体积可减小50%以上，可在200℃高温工作，可靠性更高，性能优势明显。碳化硅器件在新能源光伏逆变器、新能源汽车、以及智能电网领域具有良好的应用前景。</w:t>
      </w:r>
    </w:p>
    <w:p>
      <w:pPr>
        <w:pStyle w:val="12"/>
        <w:spacing w:line="360" w:lineRule="auto"/>
        <w:ind w:firstLine="480"/>
        <w:rPr>
          <w:rFonts w:cs="Times New Roman" w:asciiTheme="minorEastAsia" w:hAnsiTheme="minorEastAsia"/>
          <w:sz w:val="24"/>
        </w:rPr>
      </w:pPr>
      <w:r>
        <w:rPr>
          <w:rFonts w:hint="eastAsia" w:cs="Times New Roman" w:asciiTheme="minorEastAsia" w:hAnsiTheme="minorEastAsia"/>
          <w:sz w:val="24"/>
        </w:rPr>
        <w:t>在产业链中，碳化硅外延片处于碳化硅衬底和碳化硅器件之间，主要通过化学气相沉积法进行生长。由于碳化硅特殊性，其缺陷类型也不同于其他晶体，主要有滴落物、三角形缺陷、胡萝卜缺陷、台阶聚集等，这些缺陷都会对后端器件的电学性能造成影响，比如使器件提前击穿，产生较大的漏电流等。</w:t>
      </w:r>
    </w:p>
    <w:p>
      <w:pPr>
        <w:pStyle w:val="12"/>
        <w:spacing w:line="360" w:lineRule="auto"/>
        <w:ind w:firstLine="480"/>
        <w:rPr>
          <w:rFonts w:cs="Times New Roman" w:asciiTheme="minorEastAsia" w:hAnsiTheme="minorEastAsia"/>
          <w:sz w:val="24"/>
        </w:rPr>
      </w:pPr>
      <w:r>
        <w:rPr>
          <w:rFonts w:hint="eastAsia" w:cs="Times New Roman" w:asciiTheme="minorEastAsia" w:hAnsiTheme="minorEastAsia"/>
          <w:sz w:val="24"/>
        </w:rPr>
        <w:t>碳化硅外延片缺陷是影响器件性能的关键因素之一，也是衡量碳化硅外延片质量的重要参数，精确测量对于材料制备有重要的意义，促使行业健康发展。</w:t>
      </w:r>
    </w:p>
    <w:p>
      <w:pPr>
        <w:pStyle w:val="12"/>
        <w:spacing w:line="360" w:lineRule="auto"/>
        <w:ind w:firstLine="0" w:firstLineChars="0"/>
        <w:rPr>
          <w:rFonts w:cs="Times New Roman" w:asciiTheme="minorEastAsia" w:hAnsiTheme="minorEastAsia"/>
          <w:sz w:val="24"/>
        </w:rPr>
      </w:pPr>
      <w:r>
        <w:rPr>
          <w:rFonts w:cs="Times New Roman" w:asciiTheme="minorEastAsia" w:hAnsiTheme="minorEastAsia"/>
          <w:b/>
          <w:bCs/>
          <w:sz w:val="24"/>
        </w:rPr>
        <w:t>2. 任务来源</w:t>
      </w:r>
    </w:p>
    <w:p>
      <w:pPr>
        <w:spacing w:line="360" w:lineRule="auto"/>
        <w:ind w:firstLine="480" w:firstLineChars="200"/>
        <w:rPr>
          <w:rFonts w:hint="eastAsia" w:cs="Times New Roman" w:asciiTheme="minorEastAsia" w:hAnsiTheme="minorEastAsia"/>
          <w:sz w:val="24"/>
        </w:rPr>
      </w:pPr>
      <w:bookmarkStart w:id="0" w:name="_Hlk105599956"/>
      <w:r>
        <w:rPr>
          <w:rFonts w:hint="eastAsia" w:cs="Times New Roman" w:asciiTheme="minorEastAsia" w:hAnsiTheme="minorEastAsia"/>
          <w:sz w:val="24"/>
        </w:rPr>
        <w:t>根据《国家标准化管理委员会关于下达2020年第三批推荐性国家标准计划的通知》（国标委发[2020]</w:t>
      </w:r>
      <w:r>
        <w:rPr>
          <w:rFonts w:cs="Times New Roman" w:asciiTheme="minorEastAsia" w:hAnsiTheme="minorEastAsia"/>
          <w:sz w:val="24"/>
        </w:rPr>
        <w:t>48</w:t>
      </w:r>
      <w:r>
        <w:rPr>
          <w:rFonts w:hint="eastAsia" w:cs="Times New Roman" w:asciiTheme="minorEastAsia" w:hAnsiTheme="minorEastAsia"/>
          <w:sz w:val="24"/>
        </w:rPr>
        <w:t>号）的要求，国家标准《碳化硅外延片表面缺陷的测试  显微可见光法》由安徽长飞先进半导体有限公司（原芜湖启迪半导体有限公司）牵头起草，计划编号2020</w:t>
      </w:r>
      <w:r>
        <w:rPr>
          <w:rFonts w:cs="Times New Roman" w:asciiTheme="minorEastAsia" w:hAnsiTheme="minorEastAsia"/>
          <w:sz w:val="24"/>
        </w:rPr>
        <w:t>3728</w:t>
      </w:r>
      <w:r>
        <w:rPr>
          <w:rFonts w:hint="eastAsia" w:cs="Times New Roman" w:asciiTheme="minorEastAsia" w:hAnsiTheme="minorEastAsia"/>
          <w:sz w:val="24"/>
        </w:rPr>
        <w:t>-T-469。 要求完成时间2022年。</w:t>
      </w:r>
    </w:p>
    <w:p>
      <w:pPr>
        <w:spacing w:line="360" w:lineRule="auto"/>
        <w:ind w:firstLine="480" w:firstLineChars="200"/>
        <w:rPr>
          <w:rFonts w:hint="default" w:cs="Times New Roman" w:asciiTheme="minorEastAsia" w:hAnsiTheme="minorEastAsia"/>
          <w:sz w:val="24"/>
          <w:lang w:val="en-US" w:eastAsia="zh-CN"/>
        </w:rPr>
      </w:pPr>
      <w:r>
        <w:rPr>
          <w:rFonts w:hint="eastAsia" w:cs="Times New Roman" w:asciiTheme="minorEastAsia" w:hAnsiTheme="minorEastAsia"/>
          <w:sz w:val="24"/>
          <w:lang w:val="en-US" w:eastAsia="zh-CN"/>
        </w:rPr>
        <w:t>标准编制过程中，行业内专家认为原标准名称不够准确，一致同意将原标准名称改为《碳化硅外延片表面缺陷的测试  激光散射法》，由秘书处行文上报至国标委。</w:t>
      </w:r>
    </w:p>
    <w:bookmarkEnd w:id="0"/>
    <w:p>
      <w:pPr>
        <w:spacing w:line="360" w:lineRule="auto"/>
        <w:rPr>
          <w:rFonts w:cs="Times New Roman" w:asciiTheme="minorEastAsia" w:hAnsiTheme="minorEastAsia"/>
          <w:b/>
          <w:bCs/>
          <w:sz w:val="24"/>
        </w:rPr>
      </w:pPr>
      <w:r>
        <w:rPr>
          <w:rFonts w:cs="Times New Roman" w:asciiTheme="minorEastAsia" w:hAnsiTheme="minorEastAsia"/>
          <w:b/>
          <w:bCs/>
          <w:sz w:val="24"/>
        </w:rPr>
        <w:t>3</w:t>
      </w:r>
      <w:r>
        <w:rPr>
          <w:rFonts w:hint="eastAsia" w:cs="Times New Roman" w:asciiTheme="minorEastAsia" w:hAnsiTheme="minorEastAsia"/>
          <w:b/>
          <w:bCs/>
          <w:sz w:val="24"/>
        </w:rPr>
        <w:t>.主要起草</w:t>
      </w:r>
      <w:r>
        <w:rPr>
          <w:rFonts w:cs="Times New Roman" w:asciiTheme="minorEastAsia" w:hAnsiTheme="minorEastAsia"/>
          <w:b/>
          <w:bCs/>
          <w:sz w:val="24"/>
        </w:rPr>
        <w:t>单位简况</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芜湖启迪半导体有限公司</w:t>
      </w:r>
      <w:r>
        <w:rPr>
          <w:rFonts w:cs="Times New Roman" w:asciiTheme="minorEastAsia" w:hAnsiTheme="minorEastAsia"/>
          <w:sz w:val="24"/>
        </w:rPr>
        <w:t>成立于2018年1月31日，</w:t>
      </w:r>
      <w:r>
        <w:rPr>
          <w:rFonts w:hint="eastAsia" w:cs="Times New Roman" w:asciiTheme="minorEastAsia" w:hAnsiTheme="minorEastAsia"/>
          <w:sz w:val="24"/>
        </w:rPr>
        <w:t>公司于2022年更名为安徽长飞先进半导体</w:t>
      </w:r>
      <w:r>
        <w:rPr>
          <w:rFonts w:cs="Times New Roman" w:asciiTheme="minorEastAsia" w:hAnsiTheme="minorEastAsia"/>
          <w:sz w:val="24"/>
        </w:rPr>
        <w:t>有限公司</w:t>
      </w:r>
      <w:r>
        <w:rPr>
          <w:rFonts w:hint="eastAsia" w:cs="Times New Roman" w:asciiTheme="minorEastAsia" w:hAnsiTheme="minorEastAsia"/>
          <w:sz w:val="24"/>
        </w:rPr>
        <w:t>，公司</w:t>
      </w:r>
      <w:r>
        <w:rPr>
          <w:rFonts w:cs="Times New Roman" w:asciiTheme="minorEastAsia" w:hAnsiTheme="minorEastAsia"/>
          <w:sz w:val="24"/>
        </w:rPr>
        <w:t>专注于第三代半导体外延晶圆、芯片及模块封测的研发与生产。2018年获批芜湖市首批重点研发创新平台，连续两年考核为优秀。2020年初平台被认定国家双创示范基地支撑关键领域创新平台。公司现有员工142人，其中研发人员96人，研发人员占比达67.6%。公司投入14.5亿建设了从碳化硅外延-芯片-模块封测的垂直一体化生产线，拥有世界先进碳化硅外延设备，具备材料、芯片的全套测试能力。</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安徽长飞先进半导体</w:t>
      </w:r>
      <w:r>
        <w:rPr>
          <w:rFonts w:cs="Times New Roman" w:asciiTheme="minorEastAsia" w:hAnsiTheme="minorEastAsia"/>
          <w:sz w:val="24"/>
        </w:rPr>
        <w:t>有限公司2018年营业收入1000万元，研发投入1004.4万元；2019年营业收入725.24万元，研发投入1946.4万元。公司建有研发准备金制度和科研项目管理制度，目前已承担芜湖市科研项目3项。2018年-2020年投入5000万元进行碳化硅外延、器件核心技术的研发，已开发出4款碳化硅功率器件样品，开发了碳化硅 MOSFET器件的部分关键工艺技术，开发了一款碳化硅MOSFET样品（1200V，120mΩ）。</w:t>
      </w:r>
    </w:p>
    <w:p>
      <w:pPr>
        <w:spacing w:line="360" w:lineRule="auto"/>
        <w:ind w:firstLine="480" w:firstLineChars="200"/>
        <w:rPr>
          <w:rFonts w:cs="Times New Roman" w:asciiTheme="minorEastAsia" w:hAnsiTheme="minorEastAsia"/>
          <w:sz w:val="24"/>
        </w:rPr>
      </w:pPr>
      <w:r>
        <w:rPr>
          <w:rFonts w:cs="Times New Roman" w:asciiTheme="minorEastAsia" w:hAnsiTheme="minorEastAsia"/>
          <w:sz w:val="24"/>
        </w:rPr>
        <w:t>公司与清华大学微电子所共同建立了第三代半导体功率与射频器件联合实验室，与西安电子科技大学芜湖研究院签订了战略合作框架及人才实训基地共建协议。公司成立以来，已申报专利63项（发明专利38项），现有授权专利22项（发明专利3项）。公司实验室具备温度冲击、高加速寿命、功率循环、机械冲击、低温反向偏压等功率器件、模块的可靠性测试能力，正在申请CNAS认证。</w:t>
      </w:r>
    </w:p>
    <w:p>
      <w:pPr>
        <w:spacing w:line="360" w:lineRule="auto"/>
        <w:rPr>
          <w:rFonts w:cs="Times New Roman" w:asciiTheme="minorEastAsia" w:hAnsiTheme="minorEastAsia"/>
          <w:b/>
          <w:bCs/>
          <w:sz w:val="24"/>
        </w:rPr>
      </w:pPr>
      <w:r>
        <w:rPr>
          <w:rFonts w:hint="eastAsia" w:cs="Times New Roman" w:asciiTheme="minorEastAsia" w:hAnsiTheme="minorEastAsia"/>
          <w:b/>
          <w:bCs/>
          <w:sz w:val="24"/>
        </w:rPr>
        <w:t>4.</w:t>
      </w:r>
      <w:r>
        <w:rPr>
          <w:rFonts w:cs="Times New Roman" w:asciiTheme="minorEastAsia" w:hAnsiTheme="minorEastAsia"/>
          <w:b/>
          <w:bCs/>
          <w:sz w:val="24"/>
        </w:rPr>
        <w:t>主要工作过程</w:t>
      </w:r>
    </w:p>
    <w:p>
      <w:pPr>
        <w:pStyle w:val="12"/>
        <w:spacing w:line="360" w:lineRule="auto"/>
        <w:ind w:firstLine="0" w:firstLineChars="0"/>
        <w:rPr>
          <w:rFonts w:cs="Times New Roman" w:asciiTheme="minorEastAsia" w:hAnsiTheme="minorEastAsia"/>
          <w:b/>
          <w:bCs/>
          <w:spacing w:val="-2"/>
          <w:sz w:val="24"/>
        </w:rPr>
      </w:pPr>
      <w:r>
        <w:rPr>
          <w:rFonts w:hint="eastAsia" w:cs="Times New Roman" w:asciiTheme="minorEastAsia" w:hAnsiTheme="minorEastAsia"/>
          <w:b/>
          <w:bCs/>
          <w:spacing w:val="-2"/>
          <w:sz w:val="24"/>
        </w:rPr>
        <w:t>4.1起草阶段</w:t>
      </w:r>
    </w:p>
    <w:p>
      <w:pPr>
        <w:pStyle w:val="12"/>
        <w:spacing w:line="360" w:lineRule="auto"/>
        <w:ind w:firstLine="480"/>
        <w:rPr>
          <w:rFonts w:cs="Times New Roman" w:asciiTheme="minorEastAsia" w:hAnsiTheme="minorEastAsia"/>
          <w:spacing w:val="-2"/>
          <w:sz w:val="24"/>
        </w:rPr>
      </w:pPr>
      <w:r>
        <w:rPr>
          <w:rFonts w:hint="eastAsia" w:cs="Times New Roman" w:asciiTheme="minorEastAsia" w:hAnsiTheme="minorEastAsia"/>
          <w:sz w:val="24"/>
        </w:rPr>
        <w:t>项目立项后</w:t>
      </w:r>
      <w:r>
        <w:rPr>
          <w:rFonts w:cs="Times New Roman" w:asciiTheme="minorEastAsia" w:hAnsiTheme="minorEastAsia"/>
          <w:sz w:val="24"/>
        </w:rPr>
        <w:t>成立了专门的《</w:t>
      </w:r>
      <w:r>
        <w:rPr>
          <w:rFonts w:hint="eastAsia" w:cs="Times New Roman" w:asciiTheme="minorEastAsia" w:hAnsiTheme="minorEastAsia"/>
          <w:sz w:val="24"/>
        </w:rPr>
        <w:t xml:space="preserve">碳化硅外延片表面缺陷的测试  </w:t>
      </w:r>
      <w:r>
        <w:rPr>
          <w:rFonts w:hint="eastAsia" w:cs="Times New Roman" w:asciiTheme="minorEastAsia" w:hAnsiTheme="minorEastAsia"/>
          <w:sz w:val="24"/>
          <w:lang w:val="en-US" w:eastAsia="zh-CN"/>
        </w:rPr>
        <w:t>激光散射法</w:t>
      </w:r>
      <w:r>
        <w:rPr>
          <w:rFonts w:cs="Times New Roman" w:asciiTheme="minorEastAsia" w:hAnsiTheme="minorEastAsia"/>
          <w:sz w:val="24"/>
        </w:rPr>
        <w:t>》起草工作组，</w:t>
      </w:r>
      <w:r>
        <w:rPr>
          <w:rFonts w:cs="Times New Roman" w:asciiTheme="minorEastAsia" w:hAnsiTheme="minorEastAsia"/>
          <w:spacing w:val="-3"/>
          <w:sz w:val="24"/>
        </w:rPr>
        <w:t>并制定了相关工作计划。根</w:t>
      </w:r>
      <w:r>
        <w:rPr>
          <w:rFonts w:cs="Times New Roman" w:asciiTheme="minorEastAsia" w:hAnsiTheme="minorEastAsia"/>
          <w:spacing w:val="-2"/>
          <w:sz w:val="24"/>
        </w:rPr>
        <w:t>据工作计划进度安排，标准编制组收集查阅了国内外相关政策、标准、文献，经过组内多次研讨，确定了标准的框架和主要内容，并于2020年11月形成了标准的草案稿，上报给全国半导体设备与材料标准化技术委员会材料分会（</w:t>
      </w:r>
      <w:r>
        <w:rPr>
          <w:rFonts w:hint="eastAsia" w:cs="Times New Roman" w:asciiTheme="minorEastAsia" w:hAnsiTheme="minorEastAsia"/>
          <w:sz w:val="24"/>
        </w:rPr>
        <w:t>S</w:t>
      </w:r>
      <w:r>
        <w:rPr>
          <w:rFonts w:cs="Times New Roman" w:asciiTheme="minorEastAsia" w:hAnsiTheme="minorEastAsia"/>
          <w:sz w:val="24"/>
        </w:rPr>
        <w:t>AC/TC203/SC2</w:t>
      </w:r>
      <w:r>
        <w:rPr>
          <w:rFonts w:cs="Times New Roman" w:asciiTheme="minorEastAsia" w:hAnsiTheme="minorEastAsia"/>
          <w:spacing w:val="-2"/>
          <w:sz w:val="24"/>
        </w:rPr>
        <w:t>）。</w:t>
      </w:r>
      <w:r>
        <w:rPr>
          <w:rFonts w:hint="eastAsia" w:cs="Times New Roman" w:asciiTheme="minorEastAsia" w:hAnsiTheme="minorEastAsia"/>
          <w:spacing w:val="-2"/>
          <w:sz w:val="24"/>
        </w:rPr>
        <w:t>2021年9月</w:t>
      </w:r>
      <w:r>
        <w:rPr>
          <w:rFonts w:cs="Times New Roman" w:asciiTheme="minorEastAsia" w:hAnsiTheme="minorEastAsia"/>
          <w:spacing w:val="-2"/>
          <w:sz w:val="24"/>
        </w:rPr>
        <w:t>1</w:t>
      </w:r>
      <w:r>
        <w:rPr>
          <w:rFonts w:hint="eastAsia" w:cs="Times New Roman" w:asciiTheme="minorEastAsia" w:hAnsiTheme="minorEastAsia"/>
          <w:spacing w:val="-2"/>
          <w:sz w:val="24"/>
        </w:rPr>
        <w:t>3号，由全国半导体设备与材料标准化技术委员会材料分会组织，在安徽芜湖召开《碳化硅外延片表面缺陷的测试  显微可见光法》工作会议，与会专家对标准的讨论稿认真地进行了逐字逐句的讨论，对该标准的技术要点内容和文本质量进行了充分的讨论，并提出了相应修改意见。会后编制组根据专家意见对标准稿件进行修改。形成征求意见稿，并发函各相关单位征求意见。2</w:t>
      </w:r>
      <w:r>
        <w:rPr>
          <w:rFonts w:cs="Times New Roman" w:asciiTheme="minorEastAsia" w:hAnsiTheme="minorEastAsia"/>
          <w:spacing w:val="-2"/>
          <w:sz w:val="24"/>
        </w:rPr>
        <w:t>022</w:t>
      </w:r>
      <w:r>
        <w:rPr>
          <w:rFonts w:hint="eastAsia" w:cs="Times New Roman" w:asciiTheme="minorEastAsia" w:hAnsiTheme="minorEastAsia"/>
          <w:spacing w:val="-2"/>
          <w:sz w:val="24"/>
        </w:rPr>
        <w:t>年6月</w:t>
      </w:r>
      <w:r>
        <w:rPr>
          <w:rFonts w:cs="Times New Roman" w:asciiTheme="minorEastAsia" w:hAnsiTheme="minorEastAsia"/>
          <w:spacing w:val="-2"/>
          <w:sz w:val="24"/>
        </w:rPr>
        <w:t>17</w:t>
      </w:r>
      <w:r>
        <w:rPr>
          <w:rFonts w:hint="eastAsia" w:cs="Times New Roman" w:asciiTheme="minorEastAsia" w:hAnsiTheme="minorEastAsia"/>
          <w:spacing w:val="-2"/>
          <w:sz w:val="24"/>
        </w:rPr>
        <w:t xml:space="preserve">号，由全国半导体设备与材料标准化技术委员会材料分会组织，通过网络视频会议召开了《碳化硅外延片表面缺陷的测试  </w:t>
      </w:r>
      <w:r>
        <w:rPr>
          <w:rFonts w:hint="eastAsia" w:cs="Times New Roman" w:asciiTheme="minorEastAsia" w:hAnsiTheme="minorEastAsia"/>
          <w:sz w:val="24"/>
          <w:lang w:val="en-US" w:eastAsia="zh-CN"/>
        </w:rPr>
        <w:t>激光散射法</w:t>
      </w:r>
      <w:bookmarkStart w:id="2" w:name="_GoBack"/>
      <w:bookmarkEnd w:id="2"/>
      <w:r>
        <w:rPr>
          <w:rFonts w:hint="eastAsia" w:cs="Times New Roman" w:asciiTheme="minorEastAsia" w:hAnsiTheme="minorEastAsia"/>
          <w:spacing w:val="-2"/>
          <w:sz w:val="24"/>
        </w:rPr>
        <w:t>》预审会议，与会专家对标准的讨论稿认真地进行了逐字逐句的讨论，对该标准的技术要点内容和文本质量进行了充分的讨论，并提出了相应修改意见，并建议从方法原理上对该检测方法进行命名，并讨论通过了将“显微 可见法”修改为“激光散射法”。会后编制组根据专家意见对标准稿件进行修改。</w:t>
      </w:r>
    </w:p>
    <w:p>
      <w:pPr>
        <w:spacing w:line="360" w:lineRule="auto"/>
        <w:rPr>
          <w:rFonts w:cs="Times New Roman" w:asciiTheme="minorEastAsia" w:hAnsiTheme="minorEastAsia"/>
          <w:b/>
          <w:bCs/>
          <w:sz w:val="24"/>
        </w:rPr>
      </w:pPr>
      <w:r>
        <w:rPr>
          <w:rFonts w:cs="Times New Roman" w:asciiTheme="minorEastAsia" w:hAnsiTheme="minorEastAsia"/>
          <w:b/>
          <w:bCs/>
          <w:sz w:val="24"/>
        </w:rPr>
        <w:t>二、标准编制原则</w:t>
      </w:r>
      <w:r>
        <w:rPr>
          <w:rFonts w:hint="eastAsia" w:cs="Times New Roman" w:asciiTheme="minorEastAsia" w:hAnsiTheme="minorEastAsia"/>
          <w:b/>
          <w:bCs/>
          <w:sz w:val="24"/>
        </w:rPr>
        <w:t>及确定主要内容的</w:t>
      </w:r>
      <w:r>
        <w:rPr>
          <w:rFonts w:cs="Times New Roman" w:asciiTheme="minorEastAsia" w:hAnsiTheme="minorEastAsia"/>
          <w:b/>
          <w:bCs/>
          <w:sz w:val="24"/>
        </w:rPr>
        <w:t>依据</w:t>
      </w:r>
    </w:p>
    <w:p>
      <w:pPr>
        <w:spacing w:line="360" w:lineRule="auto"/>
        <w:rPr>
          <w:rFonts w:cs="Times New Roman" w:asciiTheme="minorEastAsia" w:hAnsiTheme="minorEastAsia"/>
          <w:b/>
          <w:bCs/>
          <w:sz w:val="24"/>
        </w:rPr>
      </w:pPr>
      <w:r>
        <w:rPr>
          <w:rFonts w:cs="Times New Roman" w:asciiTheme="minorEastAsia" w:hAnsiTheme="minorEastAsia"/>
          <w:b/>
          <w:bCs/>
          <w:sz w:val="24"/>
        </w:rPr>
        <w:t>1. 标准编制原则</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标准的编写格式按GB/T 1.1-2020《标准化工作导则  第1部分：标准化文件的结构和起草规则》的统一规定和要求进行编写。</w:t>
      </w:r>
    </w:p>
    <w:p>
      <w:pPr>
        <w:pStyle w:val="12"/>
        <w:numPr>
          <w:ilvl w:val="0"/>
          <w:numId w:val="3"/>
        </w:numPr>
        <w:spacing w:line="360" w:lineRule="auto"/>
        <w:ind w:firstLine="0" w:firstLineChars="0"/>
        <w:rPr>
          <w:rFonts w:cs="Times New Roman" w:asciiTheme="minorEastAsia" w:hAnsiTheme="minorEastAsia"/>
          <w:b/>
          <w:bCs/>
          <w:sz w:val="24"/>
        </w:rPr>
      </w:pPr>
      <w:r>
        <w:rPr>
          <w:rFonts w:cs="Times New Roman" w:asciiTheme="minorEastAsia" w:hAnsiTheme="minorEastAsia"/>
          <w:b/>
          <w:bCs/>
          <w:sz w:val="24"/>
        </w:rPr>
        <w:t>标准的主要内容和依据</w:t>
      </w:r>
    </w:p>
    <w:p>
      <w:pPr>
        <w:numPr>
          <w:ilvl w:val="1"/>
          <w:numId w:val="3"/>
        </w:numPr>
        <w:spacing w:line="360" w:lineRule="auto"/>
        <w:rPr>
          <w:rFonts w:cs="Times New Roman" w:asciiTheme="minorEastAsia" w:hAnsiTheme="minorEastAsia"/>
          <w:b/>
          <w:bCs/>
          <w:sz w:val="24"/>
        </w:rPr>
      </w:pPr>
      <w:r>
        <w:rPr>
          <w:rFonts w:cs="Times New Roman" w:asciiTheme="minorEastAsia" w:hAnsiTheme="minorEastAsia"/>
          <w:b/>
          <w:bCs/>
          <w:sz w:val="24"/>
        </w:rPr>
        <w:t>标准的主要内容和适用范围</w:t>
      </w:r>
    </w:p>
    <w:p>
      <w:pPr>
        <w:pStyle w:val="12"/>
        <w:spacing w:line="360" w:lineRule="auto"/>
        <w:ind w:left="420" w:firstLine="0" w:firstLineChars="0"/>
        <w:rPr>
          <w:rFonts w:cs="Times New Roman" w:asciiTheme="minorEastAsia" w:hAnsiTheme="minorEastAsia"/>
          <w:sz w:val="24"/>
        </w:rPr>
      </w:pPr>
      <w:r>
        <w:rPr>
          <w:rFonts w:hint="eastAsia" w:cs="Times New Roman" w:asciiTheme="minorEastAsia" w:hAnsiTheme="minorEastAsia"/>
          <w:sz w:val="24"/>
        </w:rPr>
        <w:t xml:space="preserve">本标准规定了同质碳化硅外延片表面缺陷的无损光学测量方法。 </w:t>
      </w:r>
    </w:p>
    <w:p>
      <w:pPr>
        <w:pStyle w:val="12"/>
        <w:spacing w:line="360" w:lineRule="auto"/>
        <w:ind w:left="420" w:firstLine="0" w:firstLineChars="0"/>
        <w:rPr>
          <w:rFonts w:cs="Times New Roman" w:asciiTheme="minorEastAsia" w:hAnsiTheme="minorEastAsia"/>
          <w:sz w:val="24"/>
        </w:rPr>
      </w:pPr>
      <w:r>
        <w:rPr>
          <w:rFonts w:hint="eastAsia" w:cs="Times New Roman" w:asciiTheme="minorEastAsia" w:hAnsiTheme="minorEastAsia"/>
          <w:sz w:val="24"/>
        </w:rPr>
        <w:t>本标准适用于同质的超过（含）2微米厚的碳化硅外延层。</w:t>
      </w:r>
    </w:p>
    <w:p>
      <w:pPr>
        <w:pStyle w:val="12"/>
        <w:spacing w:line="360" w:lineRule="auto"/>
        <w:ind w:firstLine="0" w:firstLineChars="0"/>
        <w:rPr>
          <w:rFonts w:cs="Times New Roman" w:asciiTheme="minorEastAsia" w:hAnsiTheme="minorEastAsia"/>
          <w:b/>
          <w:bCs/>
          <w:sz w:val="24"/>
        </w:rPr>
      </w:pPr>
      <w:r>
        <w:rPr>
          <w:rFonts w:cs="Times New Roman" w:asciiTheme="minorEastAsia" w:hAnsiTheme="minorEastAsia"/>
          <w:b/>
          <w:bCs/>
          <w:sz w:val="24"/>
        </w:rPr>
        <w:t>2.2 标准主要内容与确定依据</w:t>
      </w:r>
    </w:p>
    <w:p>
      <w:pPr>
        <w:pStyle w:val="12"/>
        <w:spacing w:line="360" w:lineRule="auto"/>
        <w:ind w:firstLine="0" w:firstLineChars="0"/>
        <w:rPr>
          <w:rFonts w:cs="Times New Roman" w:asciiTheme="minorEastAsia" w:hAnsiTheme="minorEastAsia"/>
          <w:b/>
          <w:bCs/>
          <w:sz w:val="24"/>
        </w:rPr>
      </w:pPr>
      <w:r>
        <w:rPr>
          <w:rFonts w:cs="Times New Roman" w:asciiTheme="minorEastAsia" w:hAnsiTheme="minorEastAsia"/>
          <w:b/>
          <w:bCs/>
          <w:sz w:val="24"/>
        </w:rPr>
        <w:t>2.2.1 本标准原理提要</w:t>
      </w:r>
    </w:p>
    <w:p>
      <w:pPr>
        <w:widowControl/>
        <w:autoSpaceDE w:val="0"/>
        <w:autoSpaceDN w:val="0"/>
        <w:spacing w:line="360" w:lineRule="auto"/>
        <w:ind w:firstLine="484" w:firstLineChars="202"/>
        <w:rPr>
          <w:rFonts w:cs="宋体" w:asciiTheme="minorEastAsia" w:hAnsiTheme="minorEastAsia"/>
          <w:kern w:val="11"/>
          <w:sz w:val="24"/>
        </w:rPr>
      </w:pPr>
      <w:r>
        <w:rPr>
          <w:rFonts w:hint="eastAsia" w:cs="宋体" w:asciiTheme="minorEastAsia" w:hAnsiTheme="minorEastAsia"/>
          <w:kern w:val="11"/>
          <w:sz w:val="24"/>
        </w:rPr>
        <w:t>本方法利用扫描表面检查系统产生的激光束在待测碳化硅外延片表面进行整面扫描，并收集和确定来自表面的散射光、反射光的信号强度和位置，与预设的已知缺陷的散射光、反射光的信号相比较，得到碳化硅外延片表面的一系列不同直径尺寸和方向的缺陷总数和分布。具体测试原理图见图1。</w:t>
      </w:r>
    </w:p>
    <w:p>
      <w:pPr>
        <w:pStyle w:val="12"/>
        <w:spacing w:line="360" w:lineRule="auto"/>
        <w:ind w:left="420" w:firstLine="0" w:firstLineChars="0"/>
        <w:jc w:val="center"/>
        <w:rPr>
          <w:rFonts w:cs="Times New Roman" w:asciiTheme="minorEastAsia" w:hAnsiTheme="minorEastAsia"/>
          <w:sz w:val="24"/>
        </w:rPr>
      </w:pPr>
      <w:r>
        <w:rPr>
          <w:rFonts w:asciiTheme="minorEastAsia" w:hAnsiTheme="minorEastAsia"/>
          <w:sz w:val="24"/>
        </w:rPr>
        <w:drawing>
          <wp:inline distT="0" distB="0" distL="0" distR="0">
            <wp:extent cx="3911600" cy="28657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11600" cy="2865755"/>
                    </a:xfrm>
                    <a:prstGeom prst="rect">
                      <a:avLst/>
                    </a:prstGeom>
                    <a:noFill/>
                    <a:ln>
                      <a:noFill/>
                    </a:ln>
                  </pic:spPr>
                </pic:pic>
              </a:graphicData>
            </a:graphic>
          </wp:inline>
        </w:drawing>
      </w:r>
    </w:p>
    <w:p>
      <w:pPr>
        <w:pStyle w:val="12"/>
        <w:spacing w:line="360" w:lineRule="auto"/>
        <w:ind w:firstLine="0" w:firstLineChars="0"/>
        <w:rPr>
          <w:rFonts w:cs="Times New Roman" w:asciiTheme="minorEastAsia" w:hAnsiTheme="minorEastAsia"/>
          <w:b/>
          <w:bCs/>
          <w:sz w:val="24"/>
        </w:rPr>
      </w:pPr>
      <w:r>
        <w:rPr>
          <w:rFonts w:cs="Times New Roman" w:asciiTheme="minorEastAsia" w:hAnsiTheme="minorEastAsia"/>
          <w:b/>
          <w:bCs/>
          <w:sz w:val="24"/>
        </w:rPr>
        <w:t>2.2.2 试样</w:t>
      </w:r>
      <w:r>
        <w:rPr>
          <w:rFonts w:hint="eastAsia" w:cs="Times New Roman" w:asciiTheme="minorEastAsia" w:hAnsiTheme="minorEastAsia"/>
          <w:b/>
          <w:bCs/>
          <w:sz w:val="24"/>
        </w:rPr>
        <w:t>要求</w:t>
      </w:r>
    </w:p>
    <w:p>
      <w:pPr>
        <w:spacing w:line="360" w:lineRule="auto"/>
        <w:ind w:firstLine="480" w:firstLineChars="200"/>
        <w:rPr>
          <w:rFonts w:asciiTheme="minorEastAsia" w:hAnsiTheme="minorEastAsia"/>
          <w:sz w:val="24"/>
        </w:rPr>
      </w:pPr>
      <w:r>
        <w:rPr>
          <w:rFonts w:hint="eastAsia" w:asciiTheme="minorEastAsia" w:hAnsiTheme="minorEastAsia"/>
          <w:sz w:val="24"/>
        </w:rPr>
        <w:t>测量前试样表面确保无外来颗粒物影响。</w:t>
      </w:r>
    </w:p>
    <w:p>
      <w:pPr>
        <w:pStyle w:val="12"/>
        <w:spacing w:line="360" w:lineRule="auto"/>
        <w:ind w:firstLine="0" w:firstLineChars="0"/>
        <w:jc w:val="left"/>
        <w:rPr>
          <w:rFonts w:cs="Times New Roman" w:asciiTheme="minorEastAsia" w:hAnsiTheme="minorEastAsia"/>
          <w:b/>
          <w:bCs/>
          <w:sz w:val="24"/>
        </w:rPr>
      </w:pPr>
      <w:r>
        <w:rPr>
          <w:rFonts w:cs="Times New Roman" w:asciiTheme="minorEastAsia" w:hAnsiTheme="minorEastAsia"/>
          <w:b/>
          <w:bCs/>
          <w:sz w:val="24"/>
        </w:rPr>
        <w:t>2.2.3 测试程序</w:t>
      </w:r>
    </w:p>
    <w:p>
      <w:pPr>
        <w:pStyle w:val="14"/>
        <w:numPr>
          <w:ilvl w:val="0"/>
          <w:numId w:val="0"/>
        </w:numPr>
        <w:spacing w:line="360" w:lineRule="auto"/>
        <w:ind w:firstLine="480" w:firstLineChars="200"/>
        <w:rPr>
          <w:rFonts w:asciiTheme="minorEastAsia" w:hAnsiTheme="minorEastAsia" w:eastAsiaTheme="minorEastAsia" w:cstheme="minorBidi"/>
          <w:kern w:val="2"/>
          <w:sz w:val="24"/>
          <w:szCs w:val="24"/>
        </w:rPr>
      </w:pPr>
      <w:bookmarkStart w:id="1" w:name="_Toc500761460"/>
      <w:r>
        <w:rPr>
          <w:rFonts w:hint="eastAsia" w:asciiTheme="minorEastAsia" w:hAnsiTheme="minorEastAsia" w:eastAsiaTheme="minorEastAsia" w:cstheme="minorBidi"/>
          <w:kern w:val="2"/>
          <w:sz w:val="24"/>
          <w:szCs w:val="24"/>
        </w:rPr>
        <w:t>测量条件</w:t>
      </w:r>
      <w:bookmarkEnd w:id="1"/>
      <w:r>
        <w:rPr>
          <w:rFonts w:hint="eastAsia" w:asciiTheme="minorEastAsia" w:hAnsiTheme="minorEastAsia" w:eastAsiaTheme="minorEastAsia" w:cstheme="minorBidi"/>
          <w:kern w:val="2"/>
          <w:sz w:val="24"/>
          <w:szCs w:val="24"/>
        </w:rPr>
        <w:t>的选择</w:t>
      </w:r>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选择晶片尺寸、半径、转速、分辨率、衬底类型及选择通道。选取一试样，选择相应的chunk和transfer</w:t>
      </w:r>
      <w:r>
        <w:rPr>
          <w:rFonts w:asciiTheme="minorEastAsia" w:hAnsiTheme="minorEastAsia" w:eastAsiaTheme="minorEastAsia" w:cstheme="minorBidi"/>
          <w:kern w:val="2"/>
          <w:sz w:val="24"/>
          <w:szCs w:val="24"/>
        </w:rPr>
        <w:t xml:space="preserve"> ring</w:t>
      </w:r>
      <w:r>
        <w:rPr>
          <w:rFonts w:hint="eastAsia" w:asciiTheme="minorEastAsia" w:hAnsiTheme="minorEastAsia" w:eastAsiaTheme="minorEastAsia" w:cstheme="minorBidi"/>
          <w:kern w:val="2"/>
          <w:sz w:val="24"/>
          <w:szCs w:val="24"/>
        </w:rPr>
        <w:t>。放置试样到测量设备上，选择半径3</w:t>
      </w:r>
      <w:r>
        <w:rPr>
          <w:rFonts w:asciiTheme="minorEastAsia" w:hAnsiTheme="minorEastAsia" w:eastAsiaTheme="minorEastAsia" w:cstheme="minorBidi"/>
          <w:kern w:val="2"/>
          <w:sz w:val="24"/>
          <w:szCs w:val="24"/>
        </w:rPr>
        <w:t>7000</w:t>
      </w:r>
      <w:r>
        <w:rPr>
          <w:rFonts w:hint="eastAsia" w:asciiTheme="minorEastAsia" w:hAnsiTheme="minorEastAsia" w:eastAsiaTheme="minorEastAsia" w:cstheme="minorBidi"/>
          <w:kern w:val="2"/>
          <w:sz w:val="24"/>
          <w:szCs w:val="24"/>
        </w:rPr>
        <w:t>-</w:t>
      </w:r>
      <w:r>
        <w:rPr>
          <w:rFonts w:asciiTheme="minorEastAsia" w:hAnsiTheme="minorEastAsia" w:eastAsiaTheme="minorEastAsia" w:cstheme="minorBidi"/>
          <w:kern w:val="2"/>
          <w:sz w:val="24"/>
          <w:szCs w:val="24"/>
        </w:rPr>
        <w:t>38000作为light train</w:t>
      </w:r>
      <w:r>
        <w:rPr>
          <w:rFonts w:hint="eastAsia" w:asciiTheme="minorEastAsia" w:hAnsiTheme="minorEastAsia" w:eastAsiaTheme="minorEastAsia" w:cstheme="minorBidi"/>
          <w:kern w:val="2"/>
          <w:sz w:val="24"/>
          <w:szCs w:val="24"/>
        </w:rPr>
        <w:t>，收集各个缺陷的特征信号，同时对各个通道信号的阈值进行设定，然后对各个缺陷的进行命名，最后对各个缺陷进行定义。</w:t>
      </w:r>
      <w:r>
        <w:rPr>
          <w:rFonts w:asciiTheme="minorEastAsia" w:hAnsiTheme="minorEastAsia" w:eastAsiaTheme="minorEastAsia"/>
          <w:sz w:val="24"/>
          <w:szCs w:val="24"/>
        </w:rPr>
        <w:t>标准的主要内容和依据</w:t>
      </w:r>
    </w:p>
    <w:p>
      <w:pPr>
        <w:pStyle w:val="14"/>
        <w:numPr>
          <w:ilvl w:val="0"/>
          <w:numId w:val="0"/>
        </w:numPr>
        <w:spacing w:before="0" w:beforeLines="0" w:after="0" w:afterLines="0" w:line="360" w:lineRule="auto"/>
        <w:rPr>
          <w:rFonts w:asciiTheme="minorEastAsia" w:hAnsiTheme="minorEastAsia" w:eastAsiaTheme="minorEastAsia" w:cstheme="minorBidi"/>
          <w:b/>
          <w:bCs/>
          <w:kern w:val="2"/>
          <w:sz w:val="24"/>
          <w:szCs w:val="24"/>
        </w:rPr>
      </w:pPr>
      <w:r>
        <w:rPr>
          <w:rFonts w:hint="eastAsia" w:asciiTheme="minorEastAsia" w:hAnsiTheme="minorEastAsia" w:eastAsiaTheme="minorEastAsia" w:cstheme="minorBidi"/>
          <w:b/>
          <w:bCs/>
          <w:kern w:val="2"/>
          <w:sz w:val="24"/>
          <w:szCs w:val="24"/>
        </w:rPr>
        <w:t>3</w:t>
      </w:r>
      <w:r>
        <w:rPr>
          <w:rFonts w:asciiTheme="minorEastAsia" w:hAnsiTheme="minorEastAsia" w:eastAsiaTheme="minorEastAsia" w:cstheme="minorBidi"/>
          <w:b/>
          <w:bCs/>
          <w:kern w:val="2"/>
          <w:sz w:val="24"/>
          <w:szCs w:val="24"/>
        </w:rPr>
        <w:t>. 试验情况</w:t>
      </w:r>
    </w:p>
    <w:p>
      <w:pPr>
        <w:pStyle w:val="13"/>
        <w:spacing w:line="360" w:lineRule="auto"/>
        <w:ind w:firstLine="480"/>
        <w:rPr>
          <w:rFonts w:asciiTheme="minorEastAsia" w:hAnsiTheme="minorEastAsia" w:eastAsiaTheme="minorEastAsia" w:cstheme="minorBidi"/>
          <w:kern w:val="2"/>
          <w:sz w:val="24"/>
          <w:szCs w:val="24"/>
        </w:rPr>
      </w:pPr>
      <w:r>
        <w:rPr>
          <w:rFonts w:asciiTheme="minorEastAsia" w:hAnsiTheme="minorEastAsia" w:eastAsiaTheme="minorEastAsia" w:cstheme="minorBidi"/>
          <w:kern w:val="2"/>
          <w:sz w:val="24"/>
          <w:szCs w:val="24"/>
        </w:rPr>
        <w:t>本标准采用设备自动识别缺陷类型，计算缺陷密度。参加缺陷测试设备自动识别缺陷类型，计算缺陷密度的巡回测试单位有：</w:t>
      </w:r>
      <w:r>
        <w:rPr>
          <w:rFonts w:hint="eastAsia" w:asciiTheme="minorEastAsia" w:hAnsiTheme="minorEastAsia" w:eastAsiaTheme="minorEastAsia" w:cstheme="minorBidi"/>
          <w:kern w:val="2"/>
          <w:sz w:val="24"/>
          <w:szCs w:val="24"/>
        </w:rPr>
        <w:t>芜湖米格测试有限公司</w:t>
      </w:r>
      <w:r>
        <w:rPr>
          <w:rFonts w:asciiTheme="minorEastAsia" w:hAnsiTheme="minorEastAsia" w:eastAsiaTheme="minorEastAsia" w:cstheme="minorBidi"/>
          <w:kern w:val="2"/>
          <w:sz w:val="24"/>
          <w:szCs w:val="24"/>
        </w:rPr>
        <w:t>，东莞天域半导体材料有限公司</w:t>
      </w:r>
      <w:r>
        <w:rPr>
          <w:rFonts w:hint="eastAsia" w:asciiTheme="minorEastAsia" w:hAnsiTheme="minorEastAsia" w:eastAsiaTheme="minorEastAsia" w:cstheme="minorBidi"/>
          <w:kern w:val="2"/>
          <w:sz w:val="24"/>
          <w:szCs w:val="24"/>
        </w:rPr>
        <w:t>、中科院半导体所、浙江芯科半导体有限公司</w:t>
      </w:r>
      <w:r>
        <w:rPr>
          <w:rFonts w:asciiTheme="minorEastAsia" w:hAnsiTheme="minorEastAsia" w:eastAsiaTheme="minorEastAsia" w:cstheme="minorBidi"/>
          <w:kern w:val="2"/>
          <w:sz w:val="24"/>
          <w:szCs w:val="24"/>
        </w:rPr>
        <w:t>。</w:t>
      </w:r>
    </w:p>
    <w:p>
      <w:pPr>
        <w:pStyle w:val="13"/>
        <w:spacing w:line="360" w:lineRule="auto"/>
        <w:jc w:val="center"/>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Cs w:val="21"/>
        </w:rPr>
        <w:t>A企业测试数据</w:t>
      </w:r>
    </w:p>
    <w:tbl>
      <w:tblPr>
        <w:tblStyle w:val="10"/>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411"/>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43"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测量</w:t>
            </w:r>
          </w:p>
          <w:p>
            <w:pPr>
              <w:pStyle w:val="13"/>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次数</w:t>
            </w:r>
          </w:p>
        </w:tc>
        <w:tc>
          <w:tcPr>
            <w:tcW w:w="1411"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掉落物</w:t>
            </w:r>
          </w:p>
        </w:tc>
        <w:tc>
          <w:tcPr>
            <w:tcW w:w="1264"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三角形</w:t>
            </w:r>
          </w:p>
        </w:tc>
        <w:tc>
          <w:tcPr>
            <w:tcW w:w="1264"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浅三角形</w:t>
            </w:r>
          </w:p>
        </w:tc>
        <w:tc>
          <w:tcPr>
            <w:tcW w:w="1264"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胡萝卜</w:t>
            </w:r>
          </w:p>
        </w:tc>
        <w:tc>
          <w:tcPr>
            <w:tcW w:w="1264" w:type="dxa"/>
            <w:vAlign w:val="center"/>
          </w:tcPr>
          <w:p>
            <w:pPr>
              <w:pStyle w:val="13"/>
              <w:spacing w:line="360" w:lineRule="auto"/>
              <w:ind w:firstLine="0" w:firstLineChars="0"/>
              <w:jc w:val="center"/>
              <w:rPr>
                <w:rFonts w:cs="宋体" w:asciiTheme="minorEastAsia" w:hAnsiTheme="minorEastAsia" w:eastAsiaTheme="minorEastAsia"/>
                <w:color w:val="000000"/>
                <w:kern w:val="11"/>
                <w:szCs w:val="21"/>
              </w:rPr>
            </w:pPr>
            <w:r>
              <w:rPr>
                <w:rFonts w:hint="eastAsia" w:cs="宋体" w:asciiTheme="minorEastAsia" w:hAnsiTheme="minorEastAsia" w:eastAsiaTheme="minorEastAsia"/>
                <w:color w:val="000000"/>
                <w:kern w:val="11"/>
                <w:szCs w:val="21"/>
              </w:rPr>
              <w:t>梯形缺陷</w:t>
            </w:r>
          </w:p>
        </w:tc>
        <w:tc>
          <w:tcPr>
            <w:tcW w:w="1264" w:type="dxa"/>
            <w:vAlign w:val="center"/>
          </w:tcPr>
          <w:p>
            <w:pPr>
              <w:pStyle w:val="13"/>
              <w:ind w:firstLine="0" w:firstLineChars="0"/>
              <w:jc w:val="center"/>
              <w:rPr>
                <w:rFonts w:cs="宋体" w:asciiTheme="minorEastAsia" w:hAnsiTheme="minorEastAsia" w:eastAsiaTheme="minorEastAsia"/>
                <w:color w:val="000000"/>
                <w:kern w:val="11"/>
                <w:szCs w:val="21"/>
              </w:rPr>
            </w:pPr>
            <w:r>
              <w:rPr>
                <w:rFonts w:hint="eastAsia" w:cs="宋体" w:asciiTheme="minorEastAsia" w:hAnsiTheme="minorEastAsia" w:eastAsiaTheme="minorEastAsia"/>
                <w:color w:val="000000"/>
                <w:kern w:val="11"/>
                <w:szCs w:val="21"/>
              </w:rPr>
              <w:t>表面台</w:t>
            </w:r>
          </w:p>
          <w:p>
            <w:pPr>
              <w:pStyle w:val="13"/>
              <w:ind w:firstLine="0" w:firstLineChars="0"/>
              <w:jc w:val="center"/>
              <w:rPr>
                <w:rFonts w:cs="宋体" w:asciiTheme="minorEastAsia" w:hAnsiTheme="minorEastAsia" w:eastAsiaTheme="minorEastAsia"/>
                <w:color w:val="000000"/>
                <w:kern w:val="11"/>
                <w:szCs w:val="21"/>
              </w:rPr>
            </w:pPr>
            <w:r>
              <w:rPr>
                <w:rFonts w:hint="eastAsia" w:cs="宋体" w:asciiTheme="minorEastAsia" w:hAnsiTheme="minorEastAsia" w:eastAsiaTheme="minorEastAsia"/>
                <w:color w:val="000000"/>
                <w:kern w:val="11"/>
                <w:szCs w:val="21"/>
              </w:rPr>
              <w:t>阶聚集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1</w:t>
            </w:r>
          </w:p>
        </w:tc>
        <w:tc>
          <w:tcPr>
            <w:tcW w:w="1411"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6</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27</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40</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6</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15</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2</w:t>
            </w:r>
          </w:p>
        </w:tc>
        <w:tc>
          <w:tcPr>
            <w:tcW w:w="1411" w:type="dxa"/>
            <w:shd w:val="clear" w:color="auto" w:fill="auto"/>
          </w:tcPr>
          <w:p>
            <w:pPr>
              <w:jc w:val="center"/>
              <w:rPr>
                <w:rFonts w:asciiTheme="minorEastAsia" w:hAnsiTheme="minorEastAsia"/>
                <w:color w:val="000000"/>
                <w:szCs w:val="21"/>
              </w:rPr>
            </w:pPr>
            <w:r>
              <w:rPr>
                <w:rFonts w:asciiTheme="minorEastAsia" w:hAnsiTheme="minorEastAsia"/>
              </w:rPr>
              <w:t>6</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28</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39</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3</w:t>
            </w:r>
          </w:p>
        </w:tc>
        <w:tc>
          <w:tcPr>
            <w:tcW w:w="1411" w:type="dxa"/>
            <w:shd w:val="clear" w:color="auto" w:fill="auto"/>
          </w:tcPr>
          <w:p>
            <w:pPr>
              <w:jc w:val="center"/>
              <w:rPr>
                <w:rFonts w:asciiTheme="minorEastAsia" w:hAnsiTheme="minorEastAsia"/>
                <w:color w:val="000000"/>
                <w:szCs w:val="21"/>
              </w:rPr>
            </w:pPr>
            <w:r>
              <w:rPr>
                <w:rFonts w:asciiTheme="minorEastAsia" w:hAnsiTheme="minorEastAsia"/>
              </w:rPr>
              <w:t>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31</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14</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平均值</w:t>
            </w:r>
          </w:p>
        </w:tc>
        <w:tc>
          <w:tcPr>
            <w:tcW w:w="1411" w:type="dxa"/>
            <w:shd w:val="clear" w:color="auto" w:fill="auto"/>
          </w:tcPr>
          <w:p>
            <w:pPr>
              <w:jc w:val="center"/>
              <w:rPr>
                <w:rFonts w:asciiTheme="minorEastAsia" w:hAnsiTheme="minorEastAsia"/>
                <w:color w:val="000000"/>
                <w:szCs w:val="21"/>
              </w:rPr>
            </w:pPr>
            <w:r>
              <w:rPr>
                <w:rFonts w:asciiTheme="minorEastAsia" w:hAnsiTheme="minorEastAsia"/>
              </w:rPr>
              <w:t>6.33333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28.66667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39.66667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6.66667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14.00000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标准差</w:t>
            </w:r>
          </w:p>
        </w:tc>
        <w:tc>
          <w:tcPr>
            <w:tcW w:w="1411" w:type="dxa"/>
            <w:shd w:val="clear" w:color="auto" w:fill="auto"/>
          </w:tcPr>
          <w:p>
            <w:pPr>
              <w:jc w:val="center"/>
              <w:rPr>
                <w:rFonts w:asciiTheme="minorEastAsia" w:hAnsiTheme="minorEastAsia"/>
                <w:color w:val="000000"/>
                <w:szCs w:val="21"/>
              </w:rPr>
            </w:pPr>
            <w:r>
              <w:rPr>
                <w:rFonts w:asciiTheme="minorEastAsia" w:hAnsiTheme="minorEastAsia"/>
              </w:rPr>
              <w:t>0.57735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2.08167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0.57735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0.57735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1.00000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相对</w:t>
            </w:r>
          </w:p>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偏差</w:t>
            </w:r>
          </w:p>
        </w:tc>
        <w:tc>
          <w:tcPr>
            <w:tcW w:w="1411" w:type="dxa"/>
            <w:shd w:val="clear" w:color="auto" w:fill="auto"/>
          </w:tcPr>
          <w:p>
            <w:pPr>
              <w:jc w:val="center"/>
              <w:rPr>
                <w:rFonts w:asciiTheme="minorEastAsia" w:hAnsiTheme="minorEastAsia"/>
                <w:color w:val="000000"/>
                <w:szCs w:val="21"/>
              </w:rPr>
            </w:pPr>
            <w:r>
              <w:rPr>
                <w:rFonts w:asciiTheme="minorEastAsia" w:hAnsiTheme="minorEastAsia"/>
              </w:rPr>
              <w:t>9.12%</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7.26%</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1.46%</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8.66%</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7.14%</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4.00%</w:t>
            </w:r>
          </w:p>
        </w:tc>
      </w:tr>
    </w:tbl>
    <w:p>
      <w:pPr>
        <w:pStyle w:val="13"/>
        <w:spacing w:line="360" w:lineRule="auto"/>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B企业</w:t>
      </w:r>
      <w:r>
        <w:rPr>
          <w:rFonts w:asciiTheme="minorEastAsia" w:hAnsiTheme="minorEastAsia" w:eastAsiaTheme="minorEastAsia" w:cstheme="minorBidi"/>
          <w:kern w:val="2"/>
          <w:szCs w:val="21"/>
        </w:rPr>
        <w:t>测试数据</w:t>
      </w:r>
    </w:p>
    <w:tbl>
      <w:tblPr>
        <w:tblStyle w:val="10"/>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64"/>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90"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测量</w:t>
            </w:r>
          </w:p>
          <w:p>
            <w:pPr>
              <w:pStyle w:val="13"/>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次数</w:t>
            </w:r>
          </w:p>
        </w:tc>
        <w:tc>
          <w:tcPr>
            <w:tcW w:w="1264"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掉落物</w:t>
            </w:r>
          </w:p>
        </w:tc>
        <w:tc>
          <w:tcPr>
            <w:tcW w:w="1264"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三角形</w:t>
            </w:r>
          </w:p>
        </w:tc>
        <w:tc>
          <w:tcPr>
            <w:tcW w:w="1264"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浅三角形</w:t>
            </w:r>
          </w:p>
        </w:tc>
        <w:tc>
          <w:tcPr>
            <w:tcW w:w="1264"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胡萝卜</w:t>
            </w:r>
          </w:p>
        </w:tc>
        <w:tc>
          <w:tcPr>
            <w:tcW w:w="1264" w:type="dxa"/>
            <w:vAlign w:val="center"/>
          </w:tcPr>
          <w:p>
            <w:pPr>
              <w:pStyle w:val="13"/>
              <w:ind w:firstLine="0" w:firstLineChars="0"/>
              <w:jc w:val="center"/>
              <w:rPr>
                <w:rFonts w:cs="宋体" w:asciiTheme="minorEastAsia" w:hAnsiTheme="minorEastAsia" w:eastAsiaTheme="minorEastAsia"/>
                <w:color w:val="000000"/>
                <w:kern w:val="11"/>
                <w:szCs w:val="21"/>
              </w:rPr>
            </w:pPr>
            <w:r>
              <w:rPr>
                <w:rFonts w:hint="eastAsia" w:cs="宋体" w:asciiTheme="minorEastAsia" w:hAnsiTheme="minorEastAsia" w:eastAsiaTheme="minorEastAsia"/>
                <w:color w:val="000000"/>
                <w:kern w:val="11"/>
                <w:szCs w:val="21"/>
              </w:rPr>
              <w:t>梯形缺陷</w:t>
            </w:r>
          </w:p>
        </w:tc>
        <w:tc>
          <w:tcPr>
            <w:tcW w:w="1264" w:type="dxa"/>
            <w:vAlign w:val="center"/>
          </w:tcPr>
          <w:p>
            <w:pPr>
              <w:pStyle w:val="13"/>
              <w:ind w:firstLine="0" w:firstLineChars="0"/>
              <w:jc w:val="center"/>
              <w:rPr>
                <w:rFonts w:cs="宋体" w:asciiTheme="minorEastAsia" w:hAnsiTheme="minorEastAsia" w:eastAsiaTheme="minorEastAsia"/>
                <w:color w:val="000000"/>
                <w:kern w:val="11"/>
                <w:szCs w:val="21"/>
              </w:rPr>
            </w:pPr>
            <w:r>
              <w:rPr>
                <w:rFonts w:hint="eastAsia" w:cs="宋体" w:asciiTheme="minorEastAsia" w:hAnsiTheme="minorEastAsia" w:eastAsiaTheme="minorEastAsia"/>
                <w:color w:val="000000"/>
                <w:kern w:val="11"/>
                <w:szCs w:val="21"/>
              </w:rPr>
              <w:t>表面台</w:t>
            </w:r>
          </w:p>
          <w:p>
            <w:pPr>
              <w:pStyle w:val="13"/>
              <w:ind w:firstLine="0" w:firstLineChars="0"/>
              <w:jc w:val="center"/>
              <w:rPr>
                <w:rFonts w:cs="宋体" w:asciiTheme="minorEastAsia" w:hAnsiTheme="minorEastAsia" w:eastAsiaTheme="minorEastAsia"/>
                <w:color w:val="000000"/>
                <w:kern w:val="11"/>
                <w:szCs w:val="21"/>
              </w:rPr>
            </w:pPr>
            <w:r>
              <w:rPr>
                <w:rFonts w:hint="eastAsia" w:cs="宋体" w:asciiTheme="minorEastAsia" w:hAnsiTheme="minorEastAsia" w:eastAsiaTheme="minorEastAsia"/>
                <w:color w:val="000000"/>
                <w:kern w:val="11"/>
                <w:szCs w:val="21"/>
              </w:rPr>
              <w:t>阶聚集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1</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6</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25</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41</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6</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15</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2</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30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6</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16</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29</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42</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14</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平均值</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6.6667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28.0000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41.0000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6.3333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15.0000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标准差</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0.57735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2.64575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1.00000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0.57735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1.00000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相对偏差</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8.66%</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9.45%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2.44%</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9.12%</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6.67%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4.17%</w:t>
            </w:r>
          </w:p>
        </w:tc>
      </w:tr>
    </w:tbl>
    <w:p>
      <w:pPr>
        <w:pStyle w:val="13"/>
        <w:spacing w:line="360" w:lineRule="auto"/>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C企业</w:t>
      </w:r>
      <w:r>
        <w:rPr>
          <w:rFonts w:asciiTheme="minorEastAsia" w:hAnsiTheme="minorEastAsia" w:eastAsiaTheme="minorEastAsia" w:cstheme="minorBidi"/>
          <w:kern w:val="2"/>
          <w:szCs w:val="21"/>
        </w:rPr>
        <w:t>测试数据</w:t>
      </w:r>
    </w:p>
    <w:tbl>
      <w:tblPr>
        <w:tblStyle w:val="10"/>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64"/>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测量</w:t>
            </w:r>
          </w:p>
          <w:p>
            <w:pPr>
              <w:pStyle w:val="13"/>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次数</w:t>
            </w:r>
          </w:p>
        </w:tc>
        <w:tc>
          <w:tcPr>
            <w:tcW w:w="1264"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掉落物</w:t>
            </w:r>
          </w:p>
        </w:tc>
        <w:tc>
          <w:tcPr>
            <w:tcW w:w="1264"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三角形</w:t>
            </w:r>
          </w:p>
        </w:tc>
        <w:tc>
          <w:tcPr>
            <w:tcW w:w="1264"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浅三角形</w:t>
            </w:r>
          </w:p>
        </w:tc>
        <w:tc>
          <w:tcPr>
            <w:tcW w:w="1264" w:type="dxa"/>
            <w:vAlign w:val="center"/>
          </w:tcPr>
          <w:p>
            <w:pPr>
              <w:pStyle w:val="13"/>
              <w:ind w:firstLine="0" w:firstLineChars="0"/>
              <w:jc w:val="center"/>
              <w:rPr>
                <w:rFonts w:asciiTheme="minorEastAsia" w:hAnsiTheme="minorEastAsia" w:eastAsiaTheme="minorEastAsia" w:cstheme="minorBidi"/>
                <w:kern w:val="2"/>
                <w:szCs w:val="21"/>
              </w:rPr>
            </w:pPr>
            <w:r>
              <w:rPr>
                <w:rFonts w:hint="eastAsia" w:cs="宋体" w:asciiTheme="minorEastAsia" w:hAnsiTheme="minorEastAsia" w:eastAsiaTheme="minorEastAsia"/>
                <w:color w:val="000000"/>
                <w:kern w:val="11"/>
                <w:szCs w:val="21"/>
              </w:rPr>
              <w:t>胡萝卜</w:t>
            </w:r>
          </w:p>
        </w:tc>
        <w:tc>
          <w:tcPr>
            <w:tcW w:w="1264" w:type="dxa"/>
            <w:vAlign w:val="center"/>
          </w:tcPr>
          <w:p>
            <w:pPr>
              <w:pStyle w:val="13"/>
              <w:ind w:firstLine="0" w:firstLineChars="0"/>
              <w:jc w:val="center"/>
              <w:rPr>
                <w:rFonts w:cs="宋体" w:asciiTheme="minorEastAsia" w:hAnsiTheme="minorEastAsia" w:eastAsiaTheme="minorEastAsia"/>
                <w:color w:val="000000"/>
                <w:kern w:val="11"/>
                <w:szCs w:val="21"/>
              </w:rPr>
            </w:pPr>
            <w:r>
              <w:rPr>
                <w:rFonts w:hint="eastAsia" w:cs="宋体" w:asciiTheme="minorEastAsia" w:hAnsiTheme="minorEastAsia" w:eastAsiaTheme="minorEastAsia"/>
                <w:color w:val="000000"/>
                <w:kern w:val="11"/>
                <w:szCs w:val="21"/>
              </w:rPr>
              <w:t>梯形缺陷</w:t>
            </w:r>
          </w:p>
        </w:tc>
        <w:tc>
          <w:tcPr>
            <w:tcW w:w="1264" w:type="dxa"/>
            <w:vAlign w:val="center"/>
          </w:tcPr>
          <w:p>
            <w:pPr>
              <w:pStyle w:val="13"/>
              <w:ind w:firstLine="0" w:firstLineChars="0"/>
              <w:jc w:val="center"/>
              <w:rPr>
                <w:rFonts w:cs="宋体" w:asciiTheme="minorEastAsia" w:hAnsiTheme="minorEastAsia" w:eastAsiaTheme="minorEastAsia"/>
                <w:color w:val="000000"/>
                <w:kern w:val="11"/>
                <w:szCs w:val="21"/>
              </w:rPr>
            </w:pPr>
            <w:r>
              <w:rPr>
                <w:rFonts w:hint="eastAsia" w:cs="宋体" w:asciiTheme="minorEastAsia" w:hAnsiTheme="minorEastAsia" w:eastAsiaTheme="minorEastAsia"/>
                <w:color w:val="000000"/>
                <w:kern w:val="11"/>
                <w:szCs w:val="21"/>
              </w:rPr>
              <w:t>表面台阶聚集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1</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7</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33</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43</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7</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16</w:t>
            </w:r>
          </w:p>
        </w:tc>
        <w:tc>
          <w:tcPr>
            <w:tcW w:w="1264" w:type="dxa"/>
            <w:shd w:val="clear" w:color="auto" w:fill="auto"/>
          </w:tcPr>
          <w:p>
            <w:pPr>
              <w:widowControl/>
              <w:jc w:val="center"/>
              <w:rPr>
                <w:rFonts w:cs="宋体" w:asciiTheme="minorEastAsia" w:hAnsiTheme="minorEastAsia"/>
                <w:color w:val="000000"/>
                <w:kern w:val="0"/>
                <w:szCs w:val="21"/>
              </w:rPr>
            </w:pPr>
            <w:r>
              <w:rPr>
                <w:rFonts w:asciiTheme="minorEastAsia" w:hAnsiTheme="minor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2</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32</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42</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8</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8</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44</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16</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平均值</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7.3333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33.3333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43.0000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7.3333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15.6667</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24.6667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标准差</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0.57735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1.52753</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1.00000</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0.57735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0.57735</w:t>
            </w:r>
          </w:p>
        </w:tc>
        <w:tc>
          <w:tcPr>
            <w:tcW w:w="1264" w:type="dxa"/>
            <w:shd w:val="clear" w:color="auto" w:fill="auto"/>
          </w:tcPr>
          <w:p>
            <w:pPr>
              <w:jc w:val="center"/>
              <w:rPr>
                <w:rFonts w:asciiTheme="minorEastAsia" w:hAnsiTheme="minorEastAsia"/>
                <w:color w:val="000000"/>
                <w:szCs w:val="21"/>
              </w:rPr>
            </w:pPr>
            <w:r>
              <w:rPr>
                <w:rFonts w:asciiTheme="minorEastAsia" w:hAnsiTheme="minorEastAsia"/>
              </w:rPr>
              <w:t>1.52753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190" w:type="dxa"/>
            <w:vAlign w:val="center"/>
          </w:tcPr>
          <w:p>
            <w:pPr>
              <w:pStyle w:val="13"/>
              <w:spacing w:line="360" w:lineRule="auto"/>
              <w:ind w:firstLine="0" w:firstLineChars="0"/>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相对偏差</w:t>
            </w:r>
          </w:p>
        </w:tc>
        <w:tc>
          <w:tcPr>
            <w:tcW w:w="1264" w:type="dxa"/>
            <w:shd w:val="clear" w:color="auto" w:fill="auto"/>
          </w:tcPr>
          <w:p>
            <w:pPr>
              <w:jc w:val="center"/>
              <w:rPr>
                <w:rFonts w:asciiTheme="minorEastAsia" w:hAnsiTheme="minorEastAsia"/>
                <w:color w:val="000000"/>
                <w:sz w:val="18"/>
                <w:szCs w:val="18"/>
              </w:rPr>
            </w:pPr>
            <w:r>
              <w:rPr>
                <w:rFonts w:asciiTheme="minorEastAsia" w:hAnsiTheme="minorEastAsia"/>
              </w:rPr>
              <w:t>7.87%</w:t>
            </w:r>
          </w:p>
        </w:tc>
        <w:tc>
          <w:tcPr>
            <w:tcW w:w="1264" w:type="dxa"/>
            <w:shd w:val="clear" w:color="auto" w:fill="auto"/>
          </w:tcPr>
          <w:p>
            <w:pPr>
              <w:jc w:val="center"/>
              <w:rPr>
                <w:rFonts w:asciiTheme="minorEastAsia" w:hAnsiTheme="minorEastAsia"/>
                <w:color w:val="000000"/>
                <w:sz w:val="18"/>
                <w:szCs w:val="18"/>
              </w:rPr>
            </w:pPr>
            <w:r>
              <w:rPr>
                <w:rFonts w:asciiTheme="minorEastAsia" w:hAnsiTheme="minorEastAsia"/>
              </w:rPr>
              <w:t>4.58%</w:t>
            </w:r>
          </w:p>
        </w:tc>
        <w:tc>
          <w:tcPr>
            <w:tcW w:w="1264" w:type="dxa"/>
            <w:shd w:val="clear" w:color="auto" w:fill="auto"/>
          </w:tcPr>
          <w:p>
            <w:pPr>
              <w:jc w:val="center"/>
              <w:rPr>
                <w:rFonts w:asciiTheme="minorEastAsia" w:hAnsiTheme="minorEastAsia"/>
                <w:color w:val="000000"/>
                <w:sz w:val="18"/>
                <w:szCs w:val="18"/>
              </w:rPr>
            </w:pPr>
            <w:r>
              <w:rPr>
                <w:rFonts w:asciiTheme="minorEastAsia" w:hAnsiTheme="minorEastAsia"/>
              </w:rPr>
              <w:t>2.33%</w:t>
            </w:r>
          </w:p>
        </w:tc>
        <w:tc>
          <w:tcPr>
            <w:tcW w:w="1264" w:type="dxa"/>
            <w:shd w:val="clear" w:color="auto" w:fill="auto"/>
          </w:tcPr>
          <w:p>
            <w:pPr>
              <w:jc w:val="center"/>
              <w:rPr>
                <w:rFonts w:asciiTheme="minorEastAsia" w:hAnsiTheme="minorEastAsia"/>
                <w:color w:val="000000"/>
                <w:sz w:val="18"/>
                <w:szCs w:val="18"/>
              </w:rPr>
            </w:pPr>
            <w:r>
              <w:rPr>
                <w:rFonts w:asciiTheme="minorEastAsia" w:hAnsiTheme="minorEastAsia"/>
              </w:rPr>
              <w:t>7.87%</w:t>
            </w:r>
          </w:p>
        </w:tc>
        <w:tc>
          <w:tcPr>
            <w:tcW w:w="1264" w:type="dxa"/>
            <w:shd w:val="clear" w:color="auto" w:fill="auto"/>
          </w:tcPr>
          <w:p>
            <w:pPr>
              <w:jc w:val="center"/>
              <w:rPr>
                <w:rFonts w:asciiTheme="minorEastAsia" w:hAnsiTheme="minorEastAsia"/>
                <w:color w:val="000000"/>
                <w:sz w:val="18"/>
                <w:szCs w:val="18"/>
              </w:rPr>
            </w:pPr>
            <w:r>
              <w:rPr>
                <w:rFonts w:asciiTheme="minorEastAsia" w:hAnsiTheme="minorEastAsia"/>
              </w:rPr>
              <w:t>3.69%</w:t>
            </w:r>
          </w:p>
        </w:tc>
        <w:tc>
          <w:tcPr>
            <w:tcW w:w="1264" w:type="dxa"/>
            <w:shd w:val="clear" w:color="auto" w:fill="auto"/>
          </w:tcPr>
          <w:p>
            <w:pPr>
              <w:jc w:val="center"/>
              <w:rPr>
                <w:rFonts w:asciiTheme="minorEastAsia" w:hAnsiTheme="minorEastAsia"/>
                <w:color w:val="000000"/>
                <w:sz w:val="18"/>
                <w:szCs w:val="18"/>
              </w:rPr>
            </w:pPr>
            <w:r>
              <w:rPr>
                <w:rFonts w:asciiTheme="minorEastAsia" w:hAnsiTheme="minorEastAsia"/>
              </w:rPr>
              <w:t>6.19%</w:t>
            </w:r>
          </w:p>
        </w:tc>
      </w:tr>
    </w:tbl>
    <w:p>
      <w:pPr>
        <w:pStyle w:val="13"/>
        <w:spacing w:line="360" w:lineRule="auto"/>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D企业</w:t>
      </w:r>
      <w:r>
        <w:rPr>
          <w:rFonts w:asciiTheme="minorEastAsia" w:hAnsiTheme="minorEastAsia" w:eastAsiaTheme="minorEastAsia" w:cstheme="minorBidi"/>
          <w:kern w:val="2"/>
          <w:szCs w:val="21"/>
        </w:rPr>
        <w:t>测试数据</w:t>
      </w:r>
    </w:p>
    <w:p>
      <w:pPr>
        <w:pStyle w:val="13"/>
        <w:spacing w:line="360" w:lineRule="auto"/>
        <w:rPr>
          <w:rFonts w:asciiTheme="minorEastAsia" w:hAnsiTheme="minorEastAsia" w:eastAsiaTheme="minorEastAsia" w:cstheme="minorBidi"/>
          <w:kern w:val="2"/>
          <w:szCs w:val="21"/>
        </w:rPr>
      </w:pPr>
    </w:p>
    <w:tbl>
      <w:tblPr>
        <w:tblStyle w:val="9"/>
        <w:tblW w:w="9526" w:type="dxa"/>
        <w:tblInd w:w="0" w:type="dxa"/>
        <w:tblLayout w:type="autofit"/>
        <w:tblCellMar>
          <w:top w:w="0" w:type="dxa"/>
          <w:left w:w="108" w:type="dxa"/>
          <w:bottom w:w="0" w:type="dxa"/>
          <w:right w:w="108" w:type="dxa"/>
        </w:tblCellMar>
      </w:tblPr>
      <w:tblGrid>
        <w:gridCol w:w="1314"/>
        <w:gridCol w:w="1370"/>
        <w:gridCol w:w="1134"/>
        <w:gridCol w:w="1559"/>
        <w:gridCol w:w="1276"/>
        <w:gridCol w:w="1275"/>
        <w:gridCol w:w="1598"/>
      </w:tblGrid>
      <w:tr>
        <w:tblPrEx>
          <w:tblCellMar>
            <w:top w:w="0" w:type="dxa"/>
            <w:left w:w="108" w:type="dxa"/>
            <w:bottom w:w="0" w:type="dxa"/>
            <w:right w:w="108" w:type="dxa"/>
          </w:tblCellMar>
        </w:tblPrEx>
        <w:trPr>
          <w:trHeight w:val="290" w:hRule="atLeast"/>
        </w:trPr>
        <w:tc>
          <w:tcPr>
            <w:tcW w:w="13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测试项目</w:t>
            </w:r>
          </w:p>
        </w:tc>
        <w:tc>
          <w:tcPr>
            <w:tcW w:w="8212"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外延层缺陷</w:t>
            </w:r>
          </w:p>
        </w:tc>
      </w:tr>
      <w:tr>
        <w:tblPrEx>
          <w:tblCellMar>
            <w:top w:w="0" w:type="dxa"/>
            <w:left w:w="108" w:type="dxa"/>
            <w:bottom w:w="0" w:type="dxa"/>
            <w:right w:w="108" w:type="dxa"/>
          </w:tblCellMar>
        </w:tblPrEx>
        <w:trPr>
          <w:trHeight w:val="280" w:hRule="atLeast"/>
        </w:trPr>
        <w:tc>
          <w:tcPr>
            <w:tcW w:w="1314" w:type="dxa"/>
            <w:tcBorders>
              <w:top w:val="nil"/>
              <w:left w:val="single" w:color="auto" w:sz="8" w:space="0"/>
              <w:bottom w:val="nil"/>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测量</w:t>
            </w:r>
          </w:p>
        </w:tc>
        <w:tc>
          <w:tcPr>
            <w:tcW w:w="137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掉落物</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三角形</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浅三角形</w:t>
            </w:r>
          </w:p>
        </w:tc>
        <w:tc>
          <w:tcPr>
            <w:tcW w:w="12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胡萝卜</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梯形缺陷</w:t>
            </w:r>
          </w:p>
        </w:tc>
        <w:tc>
          <w:tcPr>
            <w:tcW w:w="1598" w:type="dxa"/>
            <w:tcBorders>
              <w:top w:val="nil"/>
              <w:left w:val="nil"/>
              <w:bottom w:val="nil"/>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表面台</w:t>
            </w:r>
          </w:p>
        </w:tc>
      </w:tr>
      <w:tr>
        <w:tblPrEx>
          <w:tblCellMar>
            <w:top w:w="0" w:type="dxa"/>
            <w:left w:w="108" w:type="dxa"/>
            <w:bottom w:w="0" w:type="dxa"/>
            <w:right w:w="108" w:type="dxa"/>
          </w:tblCellMar>
        </w:tblPrEx>
        <w:trPr>
          <w:trHeight w:val="290" w:hRule="atLeast"/>
        </w:trPr>
        <w:tc>
          <w:tcPr>
            <w:tcW w:w="13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次数</w:t>
            </w:r>
          </w:p>
        </w:tc>
        <w:tc>
          <w:tcPr>
            <w:tcW w:w="137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阶聚集</w:t>
            </w:r>
          </w:p>
        </w:tc>
      </w:tr>
      <w:tr>
        <w:tblPrEx>
          <w:tblCellMar>
            <w:top w:w="0" w:type="dxa"/>
            <w:left w:w="108" w:type="dxa"/>
            <w:bottom w:w="0" w:type="dxa"/>
            <w:right w:w="108" w:type="dxa"/>
          </w:tblCellMar>
        </w:tblPrEx>
        <w:trPr>
          <w:trHeight w:val="290" w:hRule="atLeast"/>
        </w:trPr>
        <w:tc>
          <w:tcPr>
            <w:tcW w:w="13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1</w:t>
            </w:r>
          </w:p>
        </w:tc>
        <w:tc>
          <w:tcPr>
            <w:tcW w:w="137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r>
      <w:tr>
        <w:tblPrEx>
          <w:tblCellMar>
            <w:top w:w="0" w:type="dxa"/>
            <w:left w:w="108" w:type="dxa"/>
            <w:bottom w:w="0" w:type="dxa"/>
            <w:right w:w="108" w:type="dxa"/>
          </w:tblCellMar>
        </w:tblPrEx>
        <w:trPr>
          <w:trHeight w:val="290" w:hRule="atLeast"/>
        </w:trPr>
        <w:tc>
          <w:tcPr>
            <w:tcW w:w="13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2</w:t>
            </w:r>
          </w:p>
        </w:tc>
        <w:tc>
          <w:tcPr>
            <w:tcW w:w="137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r>
      <w:tr>
        <w:tblPrEx>
          <w:tblCellMar>
            <w:top w:w="0" w:type="dxa"/>
            <w:left w:w="108" w:type="dxa"/>
            <w:bottom w:w="0" w:type="dxa"/>
            <w:right w:w="108" w:type="dxa"/>
          </w:tblCellMar>
        </w:tblPrEx>
        <w:trPr>
          <w:trHeight w:val="290" w:hRule="atLeast"/>
        </w:trPr>
        <w:tc>
          <w:tcPr>
            <w:tcW w:w="13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3</w:t>
            </w:r>
          </w:p>
        </w:tc>
        <w:tc>
          <w:tcPr>
            <w:tcW w:w="137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r>
      <w:tr>
        <w:tblPrEx>
          <w:tblCellMar>
            <w:top w:w="0" w:type="dxa"/>
            <w:left w:w="108" w:type="dxa"/>
            <w:bottom w:w="0" w:type="dxa"/>
            <w:right w:w="108" w:type="dxa"/>
          </w:tblCellMar>
        </w:tblPrEx>
        <w:trPr>
          <w:trHeight w:val="290" w:hRule="atLeast"/>
        </w:trPr>
        <w:tc>
          <w:tcPr>
            <w:tcW w:w="13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平均值</w:t>
            </w:r>
          </w:p>
        </w:tc>
        <w:tc>
          <w:tcPr>
            <w:tcW w:w="137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7.67</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33.67</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42.33</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7.33</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15.67</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24.33</w:t>
            </w:r>
          </w:p>
        </w:tc>
      </w:tr>
      <w:tr>
        <w:tblPrEx>
          <w:tblCellMar>
            <w:top w:w="0" w:type="dxa"/>
            <w:left w:w="108" w:type="dxa"/>
            <w:bottom w:w="0" w:type="dxa"/>
            <w:right w:w="108" w:type="dxa"/>
          </w:tblCellMar>
        </w:tblPrEx>
        <w:trPr>
          <w:trHeight w:val="290" w:hRule="atLeast"/>
        </w:trPr>
        <w:tc>
          <w:tcPr>
            <w:tcW w:w="13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标准差</w:t>
            </w:r>
          </w:p>
        </w:tc>
        <w:tc>
          <w:tcPr>
            <w:tcW w:w="137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1.1547</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c>
          <w:tcPr>
            <w:tcW w:w="1275"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c>
          <w:tcPr>
            <w:tcW w:w="1598"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r>
      <w:tr>
        <w:tblPrEx>
          <w:tblCellMar>
            <w:top w:w="0" w:type="dxa"/>
            <w:left w:w="108" w:type="dxa"/>
            <w:bottom w:w="0" w:type="dxa"/>
            <w:right w:w="108" w:type="dxa"/>
          </w:tblCellMar>
        </w:tblPrEx>
        <w:trPr>
          <w:trHeight w:val="280" w:hRule="atLeast"/>
        </w:trPr>
        <w:tc>
          <w:tcPr>
            <w:tcW w:w="1314" w:type="dxa"/>
            <w:tcBorders>
              <w:top w:val="nil"/>
              <w:left w:val="single" w:color="auto" w:sz="8" w:space="0"/>
              <w:bottom w:val="nil"/>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相对</w:t>
            </w:r>
          </w:p>
        </w:tc>
        <w:tc>
          <w:tcPr>
            <w:tcW w:w="137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7.53%</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3.43%</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1.36%</w:t>
            </w:r>
          </w:p>
        </w:tc>
        <w:tc>
          <w:tcPr>
            <w:tcW w:w="12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7.87%</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3.69%</w:t>
            </w:r>
          </w:p>
        </w:tc>
        <w:tc>
          <w:tcPr>
            <w:tcW w:w="159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2.37%</w:t>
            </w:r>
          </w:p>
        </w:tc>
      </w:tr>
      <w:tr>
        <w:tblPrEx>
          <w:tblCellMar>
            <w:top w:w="0" w:type="dxa"/>
            <w:left w:w="108" w:type="dxa"/>
            <w:bottom w:w="0" w:type="dxa"/>
            <w:right w:w="108" w:type="dxa"/>
          </w:tblCellMar>
        </w:tblPrEx>
        <w:trPr>
          <w:trHeight w:val="290" w:hRule="atLeast"/>
        </w:trPr>
        <w:tc>
          <w:tcPr>
            <w:tcW w:w="13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偏差</w:t>
            </w:r>
          </w:p>
        </w:tc>
        <w:tc>
          <w:tcPr>
            <w:tcW w:w="137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559"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598"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r>
    </w:tbl>
    <w:p>
      <w:pPr>
        <w:pStyle w:val="13"/>
        <w:spacing w:line="360" w:lineRule="auto"/>
        <w:jc w:val="center"/>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E企业</w:t>
      </w:r>
      <w:r>
        <w:rPr>
          <w:rFonts w:asciiTheme="minorEastAsia" w:hAnsiTheme="minorEastAsia" w:eastAsiaTheme="minorEastAsia" w:cstheme="minorBidi"/>
          <w:kern w:val="2"/>
          <w:szCs w:val="21"/>
        </w:rPr>
        <w:t>测试数据</w:t>
      </w:r>
    </w:p>
    <w:p>
      <w:pPr>
        <w:pStyle w:val="13"/>
        <w:spacing w:line="360" w:lineRule="auto"/>
        <w:rPr>
          <w:rFonts w:asciiTheme="minorEastAsia" w:hAnsiTheme="minorEastAsia" w:eastAsiaTheme="minorEastAsia" w:cstheme="minorBidi"/>
          <w:kern w:val="2"/>
          <w:szCs w:val="21"/>
        </w:rPr>
      </w:pPr>
    </w:p>
    <w:tbl>
      <w:tblPr>
        <w:tblStyle w:val="9"/>
        <w:tblW w:w="9185" w:type="dxa"/>
        <w:tblInd w:w="0" w:type="dxa"/>
        <w:tblLayout w:type="autofit"/>
        <w:tblCellMar>
          <w:top w:w="0" w:type="dxa"/>
          <w:left w:w="108" w:type="dxa"/>
          <w:bottom w:w="0" w:type="dxa"/>
          <w:right w:w="108" w:type="dxa"/>
        </w:tblCellMar>
      </w:tblPr>
      <w:tblGrid>
        <w:gridCol w:w="1266"/>
        <w:gridCol w:w="1584"/>
        <w:gridCol w:w="1267"/>
        <w:gridCol w:w="1267"/>
        <w:gridCol w:w="1267"/>
        <w:gridCol w:w="1267"/>
        <w:gridCol w:w="1267"/>
      </w:tblGrid>
      <w:tr>
        <w:tblPrEx>
          <w:tblCellMar>
            <w:top w:w="0" w:type="dxa"/>
            <w:left w:w="108" w:type="dxa"/>
            <w:bottom w:w="0" w:type="dxa"/>
            <w:right w:w="108" w:type="dxa"/>
          </w:tblCellMar>
        </w:tblPrEx>
        <w:trPr>
          <w:trHeight w:val="290" w:hRule="atLeast"/>
        </w:trPr>
        <w:tc>
          <w:tcPr>
            <w:tcW w:w="1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测试项目</w:t>
            </w:r>
          </w:p>
        </w:tc>
        <w:tc>
          <w:tcPr>
            <w:tcW w:w="650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外延层缺陷</w:t>
            </w:r>
          </w:p>
        </w:tc>
      </w:tr>
      <w:tr>
        <w:tblPrEx>
          <w:tblCellMar>
            <w:top w:w="0" w:type="dxa"/>
            <w:left w:w="108" w:type="dxa"/>
            <w:bottom w:w="0" w:type="dxa"/>
            <w:right w:w="108" w:type="dxa"/>
          </w:tblCellMar>
        </w:tblPrEx>
        <w:trPr>
          <w:trHeight w:val="280" w:hRule="atLeast"/>
        </w:trPr>
        <w:tc>
          <w:tcPr>
            <w:tcW w:w="1040" w:type="dxa"/>
            <w:tcBorders>
              <w:top w:val="nil"/>
              <w:left w:val="single" w:color="auto" w:sz="8" w:space="0"/>
              <w:bottom w:val="nil"/>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测量</w:t>
            </w:r>
          </w:p>
        </w:tc>
        <w:tc>
          <w:tcPr>
            <w:tcW w:w="13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掉落物</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三角形</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浅三角形</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胡萝卜</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梯形缺陷</w:t>
            </w:r>
          </w:p>
        </w:tc>
        <w:tc>
          <w:tcPr>
            <w:tcW w:w="1040" w:type="dxa"/>
            <w:tcBorders>
              <w:top w:val="nil"/>
              <w:left w:val="nil"/>
              <w:bottom w:val="nil"/>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表面台</w:t>
            </w:r>
          </w:p>
        </w:tc>
      </w:tr>
      <w:tr>
        <w:tblPrEx>
          <w:tblCellMar>
            <w:top w:w="0" w:type="dxa"/>
            <w:left w:w="108" w:type="dxa"/>
            <w:bottom w:w="0" w:type="dxa"/>
            <w:right w:w="108" w:type="dxa"/>
          </w:tblCellMar>
        </w:tblPrEx>
        <w:trPr>
          <w:trHeight w:val="29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次数</w:t>
            </w:r>
          </w:p>
        </w:tc>
        <w:tc>
          <w:tcPr>
            <w:tcW w:w="130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阶聚集</w:t>
            </w:r>
          </w:p>
        </w:tc>
      </w:tr>
      <w:tr>
        <w:tblPrEx>
          <w:tblCellMar>
            <w:top w:w="0" w:type="dxa"/>
            <w:left w:w="108" w:type="dxa"/>
            <w:bottom w:w="0" w:type="dxa"/>
            <w:right w:w="108" w:type="dxa"/>
          </w:tblCellMar>
        </w:tblPrEx>
        <w:trPr>
          <w:trHeight w:val="29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1</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w:t>
            </w:r>
          </w:p>
        </w:tc>
      </w:tr>
      <w:tr>
        <w:tblPrEx>
          <w:tblCellMar>
            <w:top w:w="0" w:type="dxa"/>
            <w:left w:w="108" w:type="dxa"/>
            <w:bottom w:w="0" w:type="dxa"/>
            <w:right w:w="108" w:type="dxa"/>
          </w:tblCellMar>
        </w:tblPrEx>
        <w:trPr>
          <w:trHeight w:val="29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2</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r>
      <w:tr>
        <w:tblPrEx>
          <w:tblCellMar>
            <w:top w:w="0" w:type="dxa"/>
            <w:left w:w="108" w:type="dxa"/>
            <w:bottom w:w="0" w:type="dxa"/>
            <w:right w:w="108" w:type="dxa"/>
          </w:tblCellMar>
        </w:tblPrEx>
        <w:trPr>
          <w:trHeight w:val="29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3</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r>
      <w:tr>
        <w:tblPrEx>
          <w:tblCellMar>
            <w:top w:w="0" w:type="dxa"/>
            <w:left w:w="108" w:type="dxa"/>
            <w:bottom w:w="0" w:type="dxa"/>
            <w:right w:w="108" w:type="dxa"/>
          </w:tblCellMar>
        </w:tblPrEx>
        <w:trPr>
          <w:trHeight w:val="29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平均值</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7.67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33.67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42.67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7.67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16.00</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24.67</w:t>
            </w:r>
          </w:p>
        </w:tc>
      </w:tr>
      <w:tr>
        <w:tblPrEx>
          <w:tblCellMar>
            <w:top w:w="0" w:type="dxa"/>
            <w:left w:w="108" w:type="dxa"/>
            <w:bottom w:w="0" w:type="dxa"/>
            <w:right w:w="108" w:type="dxa"/>
          </w:tblCellMar>
        </w:tblPrEx>
        <w:trPr>
          <w:trHeight w:val="29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标准差</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0.0000</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0.5774</w:t>
            </w:r>
          </w:p>
        </w:tc>
      </w:tr>
      <w:tr>
        <w:tblPrEx>
          <w:tblCellMar>
            <w:top w:w="0" w:type="dxa"/>
            <w:left w:w="108" w:type="dxa"/>
            <w:bottom w:w="0" w:type="dxa"/>
            <w:right w:w="108" w:type="dxa"/>
          </w:tblCellMar>
        </w:tblPrEx>
        <w:trPr>
          <w:trHeight w:val="280" w:hRule="atLeast"/>
        </w:trPr>
        <w:tc>
          <w:tcPr>
            <w:tcW w:w="1040" w:type="dxa"/>
            <w:tcBorders>
              <w:top w:val="nil"/>
              <w:left w:val="single" w:color="auto" w:sz="8" w:space="0"/>
              <w:bottom w:val="nil"/>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相对</w:t>
            </w:r>
          </w:p>
        </w:tc>
        <w:tc>
          <w:tcPr>
            <w:tcW w:w="13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7.53%</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1.71%</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1.35%</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7.53%</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0.00%</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2.34%</w:t>
            </w:r>
          </w:p>
        </w:tc>
      </w:tr>
      <w:tr>
        <w:tblPrEx>
          <w:tblCellMar>
            <w:top w:w="0" w:type="dxa"/>
            <w:left w:w="108" w:type="dxa"/>
            <w:bottom w:w="0" w:type="dxa"/>
            <w:right w:w="108" w:type="dxa"/>
          </w:tblCellMar>
        </w:tblPrEx>
        <w:trPr>
          <w:trHeight w:val="29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Cs w:val="21"/>
              </w:rPr>
            </w:pPr>
            <w:r>
              <w:rPr>
                <w:rFonts w:hint="eastAsia" w:ascii="等线" w:hAnsi="等线" w:eastAsia="等线" w:cs="宋体"/>
                <w:color w:val="000000"/>
                <w:kern w:val="0"/>
                <w:szCs w:val="21"/>
              </w:rPr>
              <w:t>偏差</w:t>
            </w:r>
          </w:p>
        </w:tc>
        <w:tc>
          <w:tcPr>
            <w:tcW w:w="130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Cs w:val="21"/>
              </w:rPr>
            </w:pPr>
          </w:p>
        </w:tc>
      </w:tr>
    </w:tbl>
    <w:p>
      <w:pPr>
        <w:pStyle w:val="13"/>
        <w:spacing w:line="360" w:lineRule="auto"/>
        <w:rPr>
          <w:rFonts w:hint="eastAsia" w:asciiTheme="minorEastAsia" w:hAnsiTheme="minorEastAsia" w:eastAsiaTheme="minorEastAsia" w:cstheme="minorBidi"/>
          <w:kern w:val="2"/>
          <w:szCs w:val="21"/>
        </w:rPr>
      </w:pPr>
    </w:p>
    <w:p>
      <w:pPr>
        <w:pStyle w:val="13"/>
        <w:spacing w:line="360" w:lineRule="auto"/>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从试验数据看，单个相对标准偏差最大值为</w:t>
      </w:r>
      <w:r>
        <w:rPr>
          <w:rFonts w:asciiTheme="minorEastAsia" w:hAnsiTheme="minorEastAsia" w:eastAsiaTheme="minorEastAsia" w:cstheme="minorBidi"/>
          <w:kern w:val="2"/>
          <w:szCs w:val="21"/>
        </w:rPr>
        <w:t>9.12</w:t>
      </w:r>
      <w:r>
        <w:rPr>
          <w:rFonts w:hint="eastAsia" w:asciiTheme="minorEastAsia" w:hAnsiTheme="minorEastAsia" w:eastAsiaTheme="minorEastAsia" w:cstheme="minorBidi"/>
          <w:kern w:val="2"/>
          <w:szCs w:val="21"/>
        </w:rPr>
        <w:t>%，编制组确定单个测试单位测试的重复性不大于</w:t>
      </w:r>
      <w:r>
        <w:rPr>
          <w:rFonts w:asciiTheme="minorEastAsia" w:hAnsiTheme="minorEastAsia" w:eastAsiaTheme="minorEastAsia" w:cstheme="minorBidi"/>
          <w:kern w:val="2"/>
          <w:szCs w:val="21"/>
        </w:rPr>
        <w:t>10</w:t>
      </w:r>
      <w:r>
        <w:rPr>
          <w:rFonts w:hint="eastAsia" w:asciiTheme="minorEastAsia" w:hAnsiTheme="minorEastAsia" w:eastAsiaTheme="minorEastAsia" w:cstheme="minorBidi"/>
          <w:kern w:val="2"/>
          <w:szCs w:val="21"/>
        </w:rPr>
        <w:t>%。</w:t>
      </w:r>
    </w:p>
    <w:p>
      <w:pPr>
        <w:pStyle w:val="13"/>
        <w:spacing w:line="360" w:lineRule="auto"/>
        <w:rPr>
          <w:rFonts w:asciiTheme="minorEastAsia" w:hAnsiTheme="minorEastAsia" w:eastAsiaTheme="minorEastAsia" w:cstheme="minorBidi"/>
          <w:kern w:val="2"/>
          <w:szCs w:val="21"/>
        </w:rPr>
      </w:pPr>
      <w:r>
        <w:rPr>
          <w:rFonts w:hint="eastAsia" w:asciiTheme="minorEastAsia" w:hAnsiTheme="minorEastAsia" w:eastAsiaTheme="minorEastAsia" w:cstheme="minorBidi"/>
          <w:kern w:val="2"/>
          <w:szCs w:val="21"/>
        </w:rPr>
        <w:t>再现性测试结果</w:t>
      </w:r>
    </w:p>
    <w:p>
      <w:pPr>
        <w:pStyle w:val="13"/>
        <w:spacing w:line="360" w:lineRule="auto"/>
        <w:ind w:firstLine="480"/>
        <w:rPr>
          <w:rFonts w:asciiTheme="minorEastAsia" w:hAnsiTheme="minorEastAsia" w:eastAsiaTheme="minorEastAsia" w:cstheme="minorBidi"/>
          <w:kern w:val="2"/>
          <w:sz w:val="24"/>
          <w:szCs w:val="24"/>
        </w:rPr>
      </w:pPr>
    </w:p>
    <w:tbl>
      <w:tblPr>
        <w:tblStyle w:val="9"/>
        <w:tblW w:w="8640" w:type="dxa"/>
        <w:tblInd w:w="0" w:type="dxa"/>
        <w:tblLayout w:type="autofit"/>
        <w:tblCellMar>
          <w:top w:w="0" w:type="dxa"/>
          <w:left w:w="108" w:type="dxa"/>
          <w:bottom w:w="0" w:type="dxa"/>
          <w:right w:w="108" w:type="dxa"/>
        </w:tblCellMar>
      </w:tblPr>
      <w:tblGrid>
        <w:gridCol w:w="1002"/>
        <w:gridCol w:w="987"/>
        <w:gridCol w:w="1371"/>
        <w:gridCol w:w="1056"/>
        <w:gridCol w:w="1056"/>
        <w:gridCol w:w="1056"/>
        <w:gridCol w:w="1056"/>
        <w:gridCol w:w="1056"/>
      </w:tblGrid>
      <w:tr>
        <w:tblPrEx>
          <w:tblCellMar>
            <w:top w:w="0" w:type="dxa"/>
            <w:left w:w="108" w:type="dxa"/>
            <w:bottom w:w="0" w:type="dxa"/>
            <w:right w:w="108" w:type="dxa"/>
          </w:tblCellMar>
        </w:tblPrEx>
        <w:trPr>
          <w:trHeight w:val="490" w:hRule="atLeast"/>
        </w:trPr>
        <w:tc>
          <w:tcPr>
            <w:tcW w:w="10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单个测试单位重复性（每个样品重复测试3次）</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测试单位</w:t>
            </w:r>
          </w:p>
        </w:tc>
        <w:tc>
          <w:tcPr>
            <w:tcW w:w="1360" w:type="dxa"/>
            <w:tcBorders>
              <w:top w:val="single" w:color="auto" w:sz="8" w:space="0"/>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掉落物</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三角形</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浅三角形</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胡萝卜</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梯形缺陷</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表面台阶聚集</w:t>
            </w:r>
          </w:p>
        </w:tc>
      </w:tr>
      <w:tr>
        <w:tblPrEx>
          <w:tblCellMar>
            <w:top w:w="0" w:type="dxa"/>
            <w:left w:w="108" w:type="dxa"/>
            <w:bottom w:w="0" w:type="dxa"/>
            <w:right w:w="108" w:type="dxa"/>
          </w:tblCellMar>
        </w:tblPrEx>
        <w:trPr>
          <w:trHeight w:val="290" w:hRule="atLeast"/>
        </w:trPr>
        <w:tc>
          <w:tcPr>
            <w:tcW w:w="10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安徽长飞</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6.33333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28.66667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39.66667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r>
      <w:tr>
        <w:tblPrEx>
          <w:tblCellMar>
            <w:top w:w="0" w:type="dxa"/>
            <w:left w:w="108" w:type="dxa"/>
            <w:bottom w:w="0" w:type="dxa"/>
            <w:right w:w="108" w:type="dxa"/>
          </w:tblCellMar>
        </w:tblPrEx>
        <w:trPr>
          <w:trHeight w:val="290" w:hRule="atLeast"/>
        </w:trPr>
        <w:tc>
          <w:tcPr>
            <w:tcW w:w="10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米格</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28</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41</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6.3333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w:t>
            </w:r>
          </w:p>
        </w:tc>
      </w:tr>
      <w:tr>
        <w:tblPrEx>
          <w:tblCellMar>
            <w:top w:w="0" w:type="dxa"/>
            <w:left w:w="108" w:type="dxa"/>
            <w:bottom w:w="0" w:type="dxa"/>
            <w:right w:w="108" w:type="dxa"/>
          </w:tblCellMar>
        </w:tblPrEx>
        <w:trPr>
          <w:trHeight w:val="290" w:hRule="atLeast"/>
        </w:trPr>
        <w:tc>
          <w:tcPr>
            <w:tcW w:w="10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半导体所</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7.666666667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33.66667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42.33333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7.333333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24.33333</w:t>
            </w:r>
          </w:p>
        </w:tc>
      </w:tr>
      <w:tr>
        <w:tblPrEx>
          <w:tblCellMar>
            <w:top w:w="0" w:type="dxa"/>
            <w:left w:w="108" w:type="dxa"/>
            <w:bottom w:w="0" w:type="dxa"/>
            <w:right w:w="108" w:type="dxa"/>
          </w:tblCellMar>
        </w:tblPrEx>
        <w:trPr>
          <w:trHeight w:val="290" w:hRule="atLeast"/>
        </w:trPr>
        <w:tc>
          <w:tcPr>
            <w:tcW w:w="10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芯科</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7.666666667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33.66667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7.666667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24.66667</w:t>
            </w:r>
          </w:p>
        </w:tc>
      </w:tr>
      <w:tr>
        <w:tblPrEx>
          <w:tblCellMar>
            <w:top w:w="0" w:type="dxa"/>
            <w:left w:w="108" w:type="dxa"/>
            <w:bottom w:w="0" w:type="dxa"/>
            <w:right w:w="108" w:type="dxa"/>
          </w:tblCellMar>
        </w:tblPrEx>
        <w:trPr>
          <w:trHeight w:val="290" w:hRule="atLeast"/>
        </w:trPr>
        <w:tc>
          <w:tcPr>
            <w:tcW w:w="10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18"/>
                <w:szCs w:val="18"/>
              </w:rPr>
            </w:pPr>
          </w:p>
        </w:tc>
        <w:tc>
          <w:tcPr>
            <w:tcW w:w="104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东莞天域</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7.3333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33.3333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7.3333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24.6667</w:t>
            </w:r>
          </w:p>
        </w:tc>
      </w:tr>
      <w:tr>
        <w:tblPrEx>
          <w:tblCellMar>
            <w:top w:w="0" w:type="dxa"/>
            <w:left w:w="108" w:type="dxa"/>
            <w:bottom w:w="0" w:type="dxa"/>
            <w:right w:w="108" w:type="dxa"/>
          </w:tblCellMar>
        </w:tblPrEx>
        <w:trPr>
          <w:trHeight w:val="290" w:hRule="atLeast"/>
        </w:trPr>
        <w:tc>
          <w:tcPr>
            <w:tcW w:w="208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平均值</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7.133332667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31.46666</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41.73333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7.066654</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15.26667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24.53334</w:t>
            </w:r>
          </w:p>
        </w:tc>
      </w:tr>
      <w:tr>
        <w:tblPrEx>
          <w:tblCellMar>
            <w:top w:w="0" w:type="dxa"/>
            <w:left w:w="108" w:type="dxa"/>
            <w:bottom w:w="0" w:type="dxa"/>
            <w:right w:w="108" w:type="dxa"/>
          </w:tblCellMar>
        </w:tblPrEx>
        <w:trPr>
          <w:trHeight w:val="290" w:hRule="atLeast"/>
        </w:trPr>
        <w:tc>
          <w:tcPr>
            <w:tcW w:w="208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标准差</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0.605521997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2.873242</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1.382428</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0.547729</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0.795827</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0.380061</w:t>
            </w:r>
          </w:p>
        </w:tc>
      </w:tr>
      <w:tr>
        <w:tblPrEx>
          <w:tblCellMar>
            <w:top w:w="0" w:type="dxa"/>
            <w:left w:w="108" w:type="dxa"/>
            <w:bottom w:w="0" w:type="dxa"/>
            <w:right w:w="108" w:type="dxa"/>
          </w:tblCellMar>
        </w:tblPrEx>
        <w:trPr>
          <w:trHeight w:val="290" w:hRule="atLeast"/>
        </w:trPr>
        <w:tc>
          <w:tcPr>
            <w:tcW w:w="208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相对偏差</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8.49%</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9.13%</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3.31%</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7.75%</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5.21%</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1.55%</w:t>
            </w:r>
          </w:p>
        </w:tc>
      </w:tr>
    </w:tbl>
    <w:p>
      <w:pPr>
        <w:pStyle w:val="13"/>
        <w:spacing w:line="360" w:lineRule="auto"/>
        <w:ind w:firstLine="480"/>
        <w:rPr>
          <w:rFonts w:asciiTheme="minorEastAsia" w:hAnsiTheme="minorEastAsia" w:eastAsiaTheme="minorEastAsia" w:cstheme="minorBidi"/>
          <w:kern w:val="2"/>
          <w:sz w:val="24"/>
          <w:szCs w:val="24"/>
        </w:rPr>
      </w:pPr>
    </w:p>
    <w:p>
      <w:pPr>
        <w:pStyle w:val="13"/>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从试验数据看，单个相对标准偏差最大值为</w:t>
      </w:r>
      <w:r>
        <w:rPr>
          <w:rFonts w:asciiTheme="minorEastAsia" w:hAnsiTheme="minorEastAsia" w:eastAsiaTheme="minorEastAsia" w:cstheme="minorBidi"/>
          <w:kern w:val="2"/>
          <w:sz w:val="24"/>
          <w:szCs w:val="24"/>
        </w:rPr>
        <w:t>9.13</w:t>
      </w:r>
      <w:r>
        <w:rPr>
          <w:rFonts w:hint="eastAsia" w:asciiTheme="minorEastAsia" w:hAnsiTheme="minorEastAsia" w:eastAsiaTheme="minorEastAsia" w:cstheme="minorBidi"/>
          <w:kern w:val="2"/>
          <w:sz w:val="24"/>
          <w:szCs w:val="24"/>
        </w:rPr>
        <w:t>%， 因此分析得出，该检测方法的再现性相对偏差不大于</w:t>
      </w:r>
      <w:r>
        <w:rPr>
          <w:rFonts w:asciiTheme="minorEastAsia" w:hAnsiTheme="minorEastAsia" w:eastAsiaTheme="minorEastAsia" w:cstheme="minorBidi"/>
          <w:kern w:val="2"/>
          <w:sz w:val="24"/>
          <w:szCs w:val="24"/>
        </w:rPr>
        <w:t>10</w:t>
      </w:r>
      <w:r>
        <w:rPr>
          <w:rFonts w:hint="eastAsia" w:asciiTheme="minorEastAsia" w:hAnsiTheme="minorEastAsia" w:eastAsiaTheme="minorEastAsia" w:cstheme="minorBidi"/>
          <w:kern w:val="2"/>
          <w:sz w:val="24"/>
          <w:szCs w:val="24"/>
        </w:rPr>
        <w:t>%。</w:t>
      </w:r>
    </w:p>
    <w:p>
      <w:pPr>
        <w:pStyle w:val="13"/>
        <w:numPr>
          <w:ilvl w:val="0"/>
          <w:numId w:val="4"/>
        </w:numPr>
        <w:spacing w:line="360" w:lineRule="auto"/>
        <w:ind w:firstLine="0" w:firstLineChars="0"/>
        <w:rPr>
          <w:rFonts w:ascii="Times New Roman" w:eastAsiaTheme="minorEastAsia" w:cstheme="minorBidi"/>
          <w:b/>
          <w:kern w:val="2"/>
          <w:sz w:val="24"/>
          <w:szCs w:val="24"/>
        </w:rPr>
      </w:pPr>
      <w:r>
        <w:rPr>
          <w:rFonts w:hint="eastAsia" w:ascii="Times New Roman" w:eastAsiaTheme="minorEastAsia" w:cstheme="minorBidi"/>
          <w:b/>
          <w:kern w:val="2"/>
          <w:sz w:val="24"/>
          <w:szCs w:val="24"/>
        </w:rPr>
        <w:t>标准水平分析</w:t>
      </w:r>
    </w:p>
    <w:p>
      <w:pPr>
        <w:pStyle w:val="13"/>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本标准预计达到国际一般水平。</w:t>
      </w:r>
    </w:p>
    <w:p>
      <w:pPr>
        <w:pStyle w:val="8"/>
        <w:spacing w:line="500" w:lineRule="exact"/>
        <w:rPr>
          <w:rFonts w:ascii="Times New Roman" w:hAnsi="Times New Roman"/>
          <w:b/>
          <w:color w:val="auto"/>
          <w:kern w:val="2"/>
          <w:sz w:val="24"/>
          <w:szCs w:val="24"/>
        </w:rPr>
      </w:pPr>
      <w:r>
        <w:rPr>
          <w:rFonts w:hint="eastAsia" w:cs="Times New Roman" w:asciiTheme="minorEastAsia" w:hAnsiTheme="minorEastAsia"/>
          <w:b/>
          <w:bCs/>
          <w:szCs w:val="21"/>
        </w:rPr>
        <w:t>四</w:t>
      </w:r>
      <w:r>
        <w:rPr>
          <w:rFonts w:cs="Times New Roman" w:asciiTheme="minorEastAsia" w:hAnsiTheme="minorEastAsia"/>
          <w:b/>
          <w:bCs/>
          <w:szCs w:val="21"/>
        </w:rPr>
        <w:t>、</w:t>
      </w:r>
      <w:r>
        <w:rPr>
          <w:rFonts w:ascii="Times New Roman" w:hAnsi="Times New Roman"/>
          <w:b/>
          <w:color w:val="auto"/>
          <w:kern w:val="2"/>
          <w:sz w:val="24"/>
          <w:szCs w:val="24"/>
        </w:rPr>
        <w:t>标准中涉及专利的情况</w:t>
      </w:r>
    </w:p>
    <w:p>
      <w:pPr>
        <w:pStyle w:val="12"/>
        <w:spacing w:line="360" w:lineRule="auto"/>
        <w:ind w:firstLine="480"/>
        <w:rPr>
          <w:rFonts w:ascii="Times New Roman" w:hAnsi="Times New Roman"/>
          <w:sz w:val="24"/>
        </w:rPr>
      </w:pPr>
      <w:r>
        <w:rPr>
          <w:rFonts w:ascii="Times New Roman" w:hAnsi="Times New Roman"/>
          <w:sz w:val="24"/>
        </w:rPr>
        <w:t>本标准中未涉及专利问题。</w:t>
      </w:r>
    </w:p>
    <w:p>
      <w:pPr>
        <w:pStyle w:val="12"/>
        <w:numPr>
          <w:ilvl w:val="0"/>
          <w:numId w:val="4"/>
        </w:numPr>
        <w:spacing w:line="360" w:lineRule="auto"/>
        <w:ind w:firstLine="0" w:firstLineChars="0"/>
        <w:jc w:val="left"/>
        <w:rPr>
          <w:rFonts w:ascii="Times New Roman" w:hAnsi="Times New Roman"/>
          <w:b/>
          <w:sz w:val="24"/>
        </w:rPr>
      </w:pPr>
      <w:r>
        <w:rPr>
          <w:rFonts w:hint="eastAsia" w:ascii="Times New Roman" w:hAnsi="Times New Roman"/>
          <w:b/>
          <w:sz w:val="24"/>
        </w:rPr>
        <w:t>预期达到的社会效益等情况</w:t>
      </w:r>
    </w:p>
    <w:p>
      <w:pPr>
        <w:pStyle w:val="12"/>
        <w:spacing w:line="360" w:lineRule="auto"/>
        <w:ind w:firstLine="480"/>
        <w:rPr>
          <w:rFonts w:ascii="Times New Roman" w:hAnsi="Times New Roman"/>
          <w:b/>
          <w:sz w:val="24"/>
        </w:rPr>
      </w:pPr>
      <w:r>
        <w:rPr>
          <w:rFonts w:ascii="Times New Roman" w:hAnsi="Times New Roman"/>
          <w:sz w:val="24"/>
        </w:rPr>
        <w:t>本标准是我国</w:t>
      </w:r>
      <w:r>
        <w:rPr>
          <w:rFonts w:hint="eastAsia" w:ascii="Times New Roman" w:hAnsi="Times New Roman"/>
          <w:sz w:val="24"/>
        </w:rPr>
        <w:t>碳化硅外延片测试方法</w:t>
      </w:r>
      <w:r>
        <w:rPr>
          <w:rFonts w:ascii="Times New Roman" w:hAnsi="Times New Roman"/>
          <w:sz w:val="24"/>
        </w:rPr>
        <w:t>国家标准，在标准</w:t>
      </w:r>
      <w:r>
        <w:rPr>
          <w:rFonts w:hint="eastAsia" w:ascii="Times New Roman" w:hAnsi="Times New Roman"/>
          <w:sz w:val="24"/>
        </w:rPr>
        <w:t>制定</w:t>
      </w:r>
      <w:r>
        <w:rPr>
          <w:rFonts w:ascii="Times New Roman" w:hAnsi="Times New Roman"/>
          <w:sz w:val="24"/>
        </w:rPr>
        <w:t>过程中，调研了我国主要的</w:t>
      </w:r>
      <w:r>
        <w:rPr>
          <w:rFonts w:hint="eastAsia" w:ascii="Times New Roman" w:hAnsi="Times New Roman"/>
          <w:sz w:val="24"/>
        </w:rPr>
        <w:t>碳化硅外延片</w:t>
      </w:r>
      <w:r>
        <w:rPr>
          <w:rFonts w:ascii="Times New Roman" w:hAnsi="Times New Roman"/>
          <w:sz w:val="24"/>
        </w:rPr>
        <w:t>生产企业，参照国内其他行业的标准，使制定的标准具有充分的先进性、科学性、广泛性和应用性，完全满足国内外客户、市场需求，有利于提高我国</w:t>
      </w:r>
      <w:r>
        <w:rPr>
          <w:rFonts w:hint="eastAsia" w:ascii="Times New Roman" w:hAnsi="Times New Roman"/>
          <w:sz w:val="24"/>
        </w:rPr>
        <w:t>碳化硅外延片</w:t>
      </w:r>
      <w:r>
        <w:rPr>
          <w:rFonts w:ascii="Times New Roman" w:hAnsi="Times New Roman"/>
          <w:sz w:val="24"/>
        </w:rPr>
        <w:t>产品的</w:t>
      </w:r>
      <w:r>
        <w:rPr>
          <w:rFonts w:hint="eastAsia" w:ascii="Times New Roman" w:hAnsi="Times New Roman"/>
          <w:sz w:val="24"/>
        </w:rPr>
        <w:t>质量</w:t>
      </w:r>
      <w:r>
        <w:rPr>
          <w:rFonts w:ascii="Times New Roman" w:hAnsi="Times New Roman"/>
          <w:sz w:val="24"/>
        </w:rPr>
        <w:t>。</w:t>
      </w:r>
    </w:p>
    <w:p>
      <w:pPr>
        <w:pStyle w:val="12"/>
        <w:spacing w:line="360" w:lineRule="auto"/>
        <w:ind w:firstLine="0" w:firstLineChars="0"/>
        <w:rPr>
          <w:rFonts w:ascii="Times New Roman" w:hAnsi="Times New Roman"/>
          <w:b/>
          <w:sz w:val="24"/>
        </w:rPr>
      </w:pPr>
      <w:r>
        <w:rPr>
          <w:rFonts w:hint="eastAsia" w:cs="Times New Roman" w:asciiTheme="minorEastAsia" w:hAnsiTheme="minorEastAsia"/>
          <w:b/>
          <w:bCs/>
          <w:sz w:val="24"/>
        </w:rPr>
        <w:t>六、</w:t>
      </w:r>
      <w:r>
        <w:rPr>
          <w:rFonts w:ascii="Times New Roman" w:hAnsi="Times New Roman"/>
          <w:b/>
          <w:sz w:val="24"/>
        </w:rPr>
        <w:t>采用国际标准和国外先进标准的情况</w:t>
      </w:r>
    </w:p>
    <w:p>
      <w:pPr>
        <w:pStyle w:val="12"/>
        <w:spacing w:line="360" w:lineRule="auto"/>
        <w:ind w:firstLine="480"/>
        <w:rPr>
          <w:rFonts w:ascii="Times New Roman" w:hAnsi="Times New Roman"/>
          <w:sz w:val="24"/>
        </w:rPr>
      </w:pPr>
      <w:r>
        <w:rPr>
          <w:rFonts w:ascii="Times New Roman" w:hAnsi="Times New Roman"/>
          <w:sz w:val="24"/>
        </w:rPr>
        <w:t>本标准修订过程中未采用国际标准或国外先进标准。</w:t>
      </w:r>
    </w:p>
    <w:p>
      <w:pPr>
        <w:tabs>
          <w:tab w:val="left" w:pos="567"/>
        </w:tabs>
        <w:spacing w:line="360" w:lineRule="auto"/>
        <w:rPr>
          <w:rFonts w:ascii="Times New Roman" w:hAnsi="Times New Roman"/>
          <w:b/>
          <w:sz w:val="24"/>
        </w:rPr>
      </w:pPr>
      <w:r>
        <w:rPr>
          <w:rFonts w:ascii="Times New Roman" w:hAnsi="Times New Roman"/>
          <w:b/>
          <w:sz w:val="24"/>
        </w:rPr>
        <w:t>七、与现行相关法律、法规、规章及相关标准协调配套情况</w:t>
      </w:r>
    </w:p>
    <w:p>
      <w:pPr>
        <w:pStyle w:val="12"/>
        <w:spacing w:line="360" w:lineRule="auto"/>
        <w:ind w:firstLine="480"/>
        <w:rPr>
          <w:rFonts w:ascii="Times New Roman" w:hAnsi="Times New Roman"/>
          <w:color w:val="000000"/>
          <w:kern w:val="0"/>
          <w:sz w:val="24"/>
        </w:rPr>
      </w:pPr>
      <w:r>
        <w:rPr>
          <w:rFonts w:ascii="Times New Roman" w:hAnsi="Times New Roman"/>
          <w:color w:val="000000"/>
          <w:kern w:val="0"/>
          <w:sz w:val="24"/>
        </w:rPr>
        <w:t>本标准属于半导体材料标准体系中的标准，本标准修订时，要求全面、准确、科学、合理。标准的格式和表达方式等方面完全执行了现行的国家标准和有关法规，符合GB/T1.1-2020的有关要求。本标准与现行的相关法律、法规、规章及相关标准协调一致。</w:t>
      </w:r>
    </w:p>
    <w:p>
      <w:pPr>
        <w:tabs>
          <w:tab w:val="left" w:pos="567"/>
        </w:tabs>
        <w:spacing w:before="93" w:beforeLines="30" w:after="93" w:afterLines="30" w:line="360" w:lineRule="auto"/>
        <w:rPr>
          <w:rFonts w:ascii="Times New Roman" w:hAnsi="Times New Roman"/>
          <w:b/>
          <w:sz w:val="24"/>
        </w:rPr>
      </w:pPr>
      <w:r>
        <w:rPr>
          <w:rFonts w:ascii="Times New Roman" w:hAnsi="Times New Roman"/>
          <w:b/>
          <w:color w:val="000000"/>
          <w:kern w:val="0"/>
          <w:sz w:val="24"/>
        </w:rPr>
        <w:t>八</w:t>
      </w:r>
      <w:r>
        <w:rPr>
          <w:rFonts w:ascii="Times New Roman" w:hAnsi="Times New Roman"/>
          <w:b/>
          <w:sz w:val="24"/>
        </w:rPr>
        <w:t>、重大分歧意见的处理经过和依据</w:t>
      </w:r>
    </w:p>
    <w:p>
      <w:pPr>
        <w:spacing w:line="360" w:lineRule="auto"/>
        <w:ind w:firstLine="480" w:firstLineChars="200"/>
        <w:rPr>
          <w:rFonts w:ascii="Times New Roman" w:hAnsi="Times New Roman"/>
          <w:bCs/>
          <w:color w:val="FF0000"/>
          <w:sz w:val="24"/>
        </w:rPr>
      </w:pPr>
      <w:r>
        <w:rPr>
          <w:rFonts w:ascii="Times New Roman" w:hAnsi="Times New Roman"/>
          <w:bCs/>
          <w:sz w:val="24"/>
        </w:rPr>
        <w:t>在本标准修订过程中没有出现重大分歧意见。</w:t>
      </w:r>
    </w:p>
    <w:p>
      <w:pPr>
        <w:tabs>
          <w:tab w:val="left" w:pos="567"/>
        </w:tabs>
        <w:spacing w:before="93" w:beforeLines="30" w:after="93" w:afterLines="30" w:line="360" w:lineRule="auto"/>
        <w:rPr>
          <w:rFonts w:ascii="Times New Roman" w:hAnsi="Times New Roman"/>
          <w:b/>
          <w:sz w:val="24"/>
        </w:rPr>
      </w:pPr>
      <w:r>
        <w:rPr>
          <w:rFonts w:ascii="Times New Roman" w:hAnsi="Times New Roman"/>
          <w:b/>
          <w:sz w:val="24"/>
        </w:rPr>
        <w:t>九、标准性质的建议说明</w:t>
      </w:r>
    </w:p>
    <w:p>
      <w:pPr>
        <w:tabs>
          <w:tab w:val="left" w:pos="567"/>
        </w:tabs>
        <w:spacing w:line="360" w:lineRule="auto"/>
        <w:ind w:left="420" w:leftChars="200" w:firstLine="120" w:firstLineChars="50"/>
        <w:rPr>
          <w:rFonts w:ascii="Times New Roman" w:hAnsi="Times New Roman"/>
          <w:sz w:val="24"/>
        </w:rPr>
      </w:pPr>
      <w:r>
        <w:rPr>
          <w:rFonts w:ascii="Times New Roman" w:hAnsi="Times New Roman"/>
          <w:sz w:val="24"/>
        </w:rPr>
        <w:t>本标准建议作为推荐性国家标准发布实施。</w:t>
      </w:r>
    </w:p>
    <w:p>
      <w:pPr>
        <w:pStyle w:val="12"/>
        <w:spacing w:before="93" w:beforeLines="30" w:after="93" w:afterLines="30" w:line="360" w:lineRule="auto"/>
        <w:ind w:firstLine="0" w:firstLineChars="0"/>
        <w:rPr>
          <w:rFonts w:ascii="Times New Roman" w:hAnsi="Times New Roman"/>
          <w:b/>
          <w:sz w:val="24"/>
        </w:rPr>
      </w:pPr>
      <w:r>
        <w:rPr>
          <w:rFonts w:ascii="Times New Roman" w:hAnsi="Times New Roman"/>
          <w:b/>
          <w:sz w:val="24"/>
        </w:rPr>
        <w:t>十、贯彻标准的要求和措施建议</w:t>
      </w:r>
    </w:p>
    <w:p>
      <w:pPr>
        <w:tabs>
          <w:tab w:val="left" w:pos="567"/>
        </w:tabs>
        <w:spacing w:line="360" w:lineRule="auto"/>
        <w:rPr>
          <w:rFonts w:ascii="Times New Roman" w:hAnsi="Times New Roman"/>
          <w:sz w:val="24"/>
        </w:rPr>
      </w:pPr>
      <w:r>
        <w:rPr>
          <w:rFonts w:ascii="Times New Roman" w:hAnsi="Times New Roman"/>
          <w:sz w:val="24"/>
        </w:rPr>
        <w:t xml:space="preserve">    1、首先应在实施前保证标准文本的充足供应，使每个</w:t>
      </w:r>
      <w:r>
        <w:rPr>
          <w:rFonts w:hint="eastAsia" w:ascii="Times New Roman" w:hAnsi="Times New Roman"/>
          <w:sz w:val="24"/>
        </w:rPr>
        <w:t>碳化硅外延片</w:t>
      </w:r>
      <w:r>
        <w:rPr>
          <w:rFonts w:ascii="Times New Roman" w:hAnsi="Times New Roman"/>
          <w:sz w:val="24"/>
        </w:rPr>
        <w:t>生产企业都能及时获得本标准，这个是保证新标准贯彻实施的基础。</w:t>
      </w:r>
    </w:p>
    <w:p>
      <w:pPr>
        <w:tabs>
          <w:tab w:val="left" w:pos="567"/>
        </w:tabs>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该标准的制定</w:t>
      </w:r>
      <w:r>
        <w:rPr>
          <w:rFonts w:ascii="Times New Roman" w:hAnsi="Times New Roman"/>
          <w:sz w:val="24"/>
        </w:rPr>
        <w:t>，不仅与材料生产企业有关，而且与相关科研院所、检测机构有关。对于标准使用过程中出现的疑问，起草单位有义务进行解释。</w:t>
      </w:r>
    </w:p>
    <w:p>
      <w:pPr>
        <w:tabs>
          <w:tab w:val="left" w:pos="567"/>
        </w:tabs>
        <w:spacing w:line="360" w:lineRule="auto"/>
        <w:ind w:firstLine="480" w:firstLineChars="200"/>
        <w:rPr>
          <w:rFonts w:ascii="Times New Roman" w:hAnsi="Times New Roman"/>
          <w:sz w:val="24"/>
        </w:rPr>
      </w:pPr>
      <w:r>
        <w:rPr>
          <w:rFonts w:ascii="Times New Roman" w:hAnsi="Times New Roman"/>
          <w:sz w:val="24"/>
        </w:rPr>
        <w:t>3、可以针对标准使用的不同对象，有侧重点的进行标准培训和宣贯，以保证标准的贯彻实施。</w:t>
      </w:r>
    </w:p>
    <w:p>
      <w:pPr>
        <w:tabs>
          <w:tab w:val="left" w:pos="567"/>
        </w:tabs>
        <w:spacing w:before="93" w:beforeLines="30" w:after="93" w:afterLines="30" w:line="360" w:lineRule="auto"/>
        <w:rPr>
          <w:rFonts w:ascii="Times New Roman" w:hAnsi="Times New Roman"/>
          <w:b/>
          <w:sz w:val="24"/>
        </w:rPr>
      </w:pPr>
      <w:r>
        <w:rPr>
          <w:rFonts w:ascii="Times New Roman" w:hAnsi="Times New Roman"/>
          <w:b/>
          <w:sz w:val="24"/>
        </w:rPr>
        <w:t>十一、废止现行有关标准的建议</w:t>
      </w:r>
    </w:p>
    <w:p>
      <w:pPr>
        <w:tabs>
          <w:tab w:val="left" w:pos="567"/>
        </w:tabs>
        <w:spacing w:line="360" w:lineRule="auto"/>
        <w:ind w:firstLine="480" w:firstLineChars="200"/>
        <w:rPr>
          <w:rFonts w:ascii="Times New Roman" w:hAnsi="Times New Roman"/>
          <w:b/>
          <w:bCs/>
          <w:sz w:val="24"/>
        </w:rPr>
      </w:pPr>
      <w:r>
        <w:rPr>
          <w:rFonts w:hint="eastAsia" w:ascii="Times New Roman" w:hAnsi="Times New Roman"/>
          <w:sz w:val="24"/>
        </w:rPr>
        <w:t>无</w:t>
      </w:r>
      <w:r>
        <w:rPr>
          <w:rFonts w:ascii="Times New Roman" w:hAnsi="Times New Roman"/>
          <w:color w:val="000000"/>
          <w:kern w:val="0"/>
          <w:sz w:val="24"/>
        </w:rPr>
        <w:t>。</w:t>
      </w:r>
    </w:p>
    <w:p>
      <w:pPr>
        <w:spacing w:before="93" w:beforeLines="30" w:after="93" w:afterLines="30" w:line="360" w:lineRule="auto"/>
        <w:rPr>
          <w:rFonts w:ascii="Times New Roman" w:hAnsi="Times New Roman"/>
          <w:b/>
          <w:bCs/>
          <w:sz w:val="24"/>
        </w:rPr>
      </w:pPr>
      <w:r>
        <w:rPr>
          <w:rFonts w:ascii="Times New Roman" w:hAnsi="Times New Roman"/>
          <w:b/>
          <w:sz w:val="24"/>
        </w:rPr>
        <w:t>十二</w:t>
      </w:r>
      <w:r>
        <w:rPr>
          <w:rFonts w:ascii="Times New Roman" w:hAnsi="Times New Roman"/>
          <w:b/>
          <w:bCs/>
          <w:sz w:val="24"/>
        </w:rPr>
        <w:t>、其它应予说明的事项</w:t>
      </w:r>
    </w:p>
    <w:p>
      <w:pPr>
        <w:spacing w:line="360" w:lineRule="auto"/>
        <w:ind w:firstLine="480" w:firstLineChars="200"/>
        <w:rPr>
          <w:rFonts w:ascii="Times New Roman" w:hAnsi="Times New Roman"/>
          <w:sz w:val="24"/>
        </w:rPr>
      </w:pPr>
      <w:r>
        <w:rPr>
          <w:rFonts w:ascii="Times New Roman" w:hAnsi="Times New Roman"/>
          <w:sz w:val="24"/>
        </w:rPr>
        <w:t>无。</w:t>
      </w:r>
    </w:p>
    <w:p>
      <w:pPr>
        <w:spacing w:line="360" w:lineRule="auto"/>
        <w:rPr>
          <w:rFonts w:ascii="Times New Roman" w:hAnsi="Times New Roman"/>
          <w:bCs/>
          <w:sz w:val="24"/>
        </w:rPr>
      </w:pPr>
    </w:p>
    <w:p>
      <w:pPr>
        <w:spacing w:line="360" w:lineRule="auto"/>
        <w:jc w:val="right"/>
        <w:rPr>
          <w:rFonts w:ascii="Times New Roman" w:hAnsi="Times New Roman"/>
          <w:bCs/>
          <w:sz w:val="24"/>
        </w:rPr>
      </w:pPr>
      <w:r>
        <w:rPr>
          <w:rFonts w:ascii="Times New Roman" w:hAnsi="Times New Roman"/>
          <w:bCs/>
          <w:sz w:val="24"/>
        </w:rPr>
        <w:t>标准编制组</w:t>
      </w:r>
    </w:p>
    <w:p>
      <w:pPr>
        <w:spacing w:line="360" w:lineRule="auto"/>
        <w:jc w:val="right"/>
        <w:rPr>
          <w:rFonts w:ascii="Times New Roman" w:hAnsi="Times New Roman"/>
          <w:sz w:val="24"/>
        </w:rPr>
      </w:pPr>
      <w:r>
        <w:rPr>
          <w:rFonts w:ascii="Times New Roman" w:hAnsi="Times New Roman"/>
          <w:bCs/>
          <w:sz w:val="24"/>
        </w:rPr>
        <w:t>202</w:t>
      </w:r>
      <w:r>
        <w:rPr>
          <w:rFonts w:hint="eastAsia" w:ascii="Times New Roman" w:hAnsi="Times New Roman"/>
          <w:bCs/>
          <w:sz w:val="24"/>
        </w:rPr>
        <w:t>2</w:t>
      </w:r>
      <w:r>
        <w:rPr>
          <w:rFonts w:ascii="Times New Roman" w:hAnsi="Times New Roman"/>
          <w:bCs/>
          <w:sz w:val="24"/>
        </w:rPr>
        <w:t>年8月</w:t>
      </w:r>
    </w:p>
    <w:p>
      <w:pPr>
        <w:pStyle w:val="12"/>
        <w:spacing w:line="360" w:lineRule="auto"/>
        <w:ind w:firstLine="480"/>
        <w:rPr>
          <w:rFonts w:ascii="Times New Roman" w:hAnsi="Times New Roman"/>
          <w:color w:val="000000"/>
          <w:kern w:val="0"/>
          <w:sz w:val="24"/>
        </w:rPr>
      </w:pPr>
    </w:p>
    <w:p>
      <w:pPr>
        <w:pStyle w:val="12"/>
        <w:spacing w:line="360" w:lineRule="auto"/>
        <w:ind w:firstLine="480" w:firstLineChars="0"/>
        <w:rPr>
          <w:rFonts w:cs="Times New Roman"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908CE"/>
    <w:multiLevelType w:val="multilevel"/>
    <w:tmpl w:val="B2A908CE"/>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326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57C2AF5"/>
    <w:multiLevelType w:val="multilevel"/>
    <w:tmpl w:val="557C2AF5"/>
    <w:lvl w:ilvl="0" w:tentative="0">
      <w:start w:val="1"/>
      <w:numFmt w:val="decimal"/>
      <w:pStyle w:val="1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926C5A7"/>
    <w:multiLevelType w:val="singleLevel"/>
    <w:tmpl w:val="5926C5A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4260F3"/>
    <w:rsid w:val="00007D2A"/>
    <w:rsid w:val="00030E18"/>
    <w:rsid w:val="00083421"/>
    <w:rsid w:val="0008507E"/>
    <w:rsid w:val="00086B89"/>
    <w:rsid w:val="00095553"/>
    <w:rsid w:val="000B2604"/>
    <w:rsid w:val="000F2043"/>
    <w:rsid w:val="0014743F"/>
    <w:rsid w:val="001F4AC0"/>
    <w:rsid w:val="0022261D"/>
    <w:rsid w:val="002244E5"/>
    <w:rsid w:val="00240A5A"/>
    <w:rsid w:val="00247562"/>
    <w:rsid w:val="002A320E"/>
    <w:rsid w:val="002A3F6B"/>
    <w:rsid w:val="002B0F99"/>
    <w:rsid w:val="002D2914"/>
    <w:rsid w:val="002E6C78"/>
    <w:rsid w:val="003446F2"/>
    <w:rsid w:val="00376E00"/>
    <w:rsid w:val="003869FB"/>
    <w:rsid w:val="003A0768"/>
    <w:rsid w:val="003A4BCC"/>
    <w:rsid w:val="003C6372"/>
    <w:rsid w:val="004105F1"/>
    <w:rsid w:val="004260F3"/>
    <w:rsid w:val="0047766A"/>
    <w:rsid w:val="0049103A"/>
    <w:rsid w:val="004C7B27"/>
    <w:rsid w:val="004F67A8"/>
    <w:rsid w:val="00544DF3"/>
    <w:rsid w:val="0058361D"/>
    <w:rsid w:val="00584E73"/>
    <w:rsid w:val="005C3095"/>
    <w:rsid w:val="005F4FBB"/>
    <w:rsid w:val="00643A17"/>
    <w:rsid w:val="006B0F67"/>
    <w:rsid w:val="006C14F2"/>
    <w:rsid w:val="006E4027"/>
    <w:rsid w:val="006E6C65"/>
    <w:rsid w:val="006F0BA7"/>
    <w:rsid w:val="00703A8A"/>
    <w:rsid w:val="00716A94"/>
    <w:rsid w:val="00742365"/>
    <w:rsid w:val="007476AF"/>
    <w:rsid w:val="007501CC"/>
    <w:rsid w:val="00796E23"/>
    <w:rsid w:val="007D33FF"/>
    <w:rsid w:val="007D705A"/>
    <w:rsid w:val="00823B14"/>
    <w:rsid w:val="00853E08"/>
    <w:rsid w:val="008B5CAA"/>
    <w:rsid w:val="009179AC"/>
    <w:rsid w:val="00925DFB"/>
    <w:rsid w:val="009953F0"/>
    <w:rsid w:val="009A532A"/>
    <w:rsid w:val="009C00FC"/>
    <w:rsid w:val="009C1172"/>
    <w:rsid w:val="009C26CE"/>
    <w:rsid w:val="00A4149F"/>
    <w:rsid w:val="00AB2125"/>
    <w:rsid w:val="00B12A28"/>
    <w:rsid w:val="00BC38CE"/>
    <w:rsid w:val="00BE7F03"/>
    <w:rsid w:val="00C57EDB"/>
    <w:rsid w:val="00CB0132"/>
    <w:rsid w:val="00CD18B0"/>
    <w:rsid w:val="00CF2662"/>
    <w:rsid w:val="00D15625"/>
    <w:rsid w:val="00D15B38"/>
    <w:rsid w:val="00D65D75"/>
    <w:rsid w:val="00D6658B"/>
    <w:rsid w:val="00D96E73"/>
    <w:rsid w:val="00DA4A45"/>
    <w:rsid w:val="00DC08F5"/>
    <w:rsid w:val="00E03BA8"/>
    <w:rsid w:val="00E2077F"/>
    <w:rsid w:val="00E461FF"/>
    <w:rsid w:val="00E75124"/>
    <w:rsid w:val="00F32A7F"/>
    <w:rsid w:val="00F37237"/>
    <w:rsid w:val="00F6664C"/>
    <w:rsid w:val="00F767A1"/>
    <w:rsid w:val="00FD2F03"/>
    <w:rsid w:val="00FE5DE0"/>
    <w:rsid w:val="00FF5E9C"/>
    <w:rsid w:val="09192BA2"/>
    <w:rsid w:val="18096B41"/>
    <w:rsid w:val="19D21566"/>
    <w:rsid w:val="2B846DAE"/>
    <w:rsid w:val="4A061355"/>
    <w:rsid w:val="52D23226"/>
    <w:rsid w:val="68D1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00" w:lineRule="exact"/>
      <w:ind w:firstLine="418" w:firstLineChars="203"/>
    </w:pPr>
    <w:rPr>
      <w:rFonts w:ascii="宋体"/>
      <w:szCs w:val="20"/>
    </w:rPr>
  </w:style>
  <w:style w:type="paragraph" w:styleId="4">
    <w:name w:val="Balloon Text"/>
    <w:basedOn w:val="1"/>
    <w:link w:val="18"/>
    <w:semiHidden/>
    <w:unhideWhenUsed/>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2"/>
    <w:uiPriority w:val="0"/>
    <w:pPr>
      <w:adjustRightInd w:val="0"/>
      <w:spacing w:after="0" w:line="240" w:lineRule="atLeast"/>
      <w:jc w:val="left"/>
      <w:textAlignment w:val="baseline"/>
    </w:pPr>
    <w:rPr>
      <w:rFonts w:ascii="宋体" w:hAnsi="宋体"/>
      <w:color w:val="000000"/>
      <w:kern w:val="0"/>
      <w:szCs w:val="2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一级条标题"/>
    <w:next w:val="13"/>
    <w:link w:val="26"/>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15">
    <w:name w:val="正文图标题"/>
    <w:next w:val="13"/>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6">
    <w:name w:val="页眉 字符"/>
    <w:basedOn w:val="11"/>
    <w:link w:val="6"/>
    <w:qFormat/>
    <w:uiPriority w:val="0"/>
    <w:rPr>
      <w:kern w:val="2"/>
      <w:sz w:val="18"/>
      <w:szCs w:val="18"/>
    </w:rPr>
  </w:style>
  <w:style w:type="character" w:customStyle="1" w:styleId="17">
    <w:name w:val="页脚 字符"/>
    <w:basedOn w:val="11"/>
    <w:link w:val="5"/>
    <w:qFormat/>
    <w:uiPriority w:val="0"/>
    <w:rPr>
      <w:kern w:val="2"/>
      <w:sz w:val="18"/>
      <w:szCs w:val="18"/>
    </w:rPr>
  </w:style>
  <w:style w:type="character" w:customStyle="1" w:styleId="18">
    <w:name w:val="批注框文本 字符"/>
    <w:basedOn w:val="11"/>
    <w:link w:val="4"/>
    <w:semiHidden/>
    <w:qFormat/>
    <w:uiPriority w:val="0"/>
    <w:rPr>
      <w:rFonts w:asciiTheme="minorHAnsi" w:hAnsiTheme="minorHAnsi" w:eastAsiaTheme="minorEastAsia" w:cstheme="minorBidi"/>
      <w:kern w:val="2"/>
      <w:sz w:val="18"/>
      <w:szCs w:val="18"/>
    </w:rPr>
  </w:style>
  <w:style w:type="paragraph" w:customStyle="1" w:styleId="1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1">
    <w:name w:val="二级条标题"/>
    <w:basedOn w:val="14"/>
    <w:next w:val="1"/>
    <w:link w:val="27"/>
    <w:qFormat/>
    <w:uiPriority w:val="0"/>
    <w:pPr>
      <w:numPr>
        <w:ilvl w:val="0"/>
        <w:numId w:val="0"/>
      </w:numPr>
      <w:spacing w:before="0" w:beforeLines="0" w:after="0" w:afterLines="0"/>
      <w:ind w:left="140"/>
      <w:jc w:val="both"/>
      <w:outlineLvl w:val="3"/>
    </w:pPr>
    <w:rPr>
      <w:szCs w:val="20"/>
    </w:rPr>
  </w:style>
  <w:style w:type="paragraph" w:customStyle="1" w:styleId="22">
    <w:name w:val="三级条标题"/>
    <w:basedOn w:val="21"/>
    <w:next w:val="1"/>
    <w:qFormat/>
    <w:uiPriority w:val="0"/>
    <w:pPr>
      <w:ind w:left="0"/>
      <w:outlineLvl w:val="4"/>
    </w:pPr>
  </w:style>
  <w:style w:type="paragraph" w:customStyle="1" w:styleId="23">
    <w:name w:val="四级条标题"/>
    <w:basedOn w:val="22"/>
    <w:next w:val="1"/>
    <w:qFormat/>
    <w:uiPriority w:val="0"/>
    <w:pPr>
      <w:outlineLvl w:val="5"/>
    </w:pPr>
  </w:style>
  <w:style w:type="paragraph" w:customStyle="1" w:styleId="24">
    <w:name w:val="五级条标题"/>
    <w:basedOn w:val="23"/>
    <w:next w:val="1"/>
    <w:qFormat/>
    <w:uiPriority w:val="0"/>
    <w:pPr>
      <w:outlineLvl w:val="6"/>
    </w:pPr>
  </w:style>
  <w:style w:type="character" w:customStyle="1" w:styleId="25">
    <w:name w:val="段 Char"/>
    <w:link w:val="13"/>
    <w:qFormat/>
    <w:locked/>
    <w:uiPriority w:val="0"/>
    <w:rPr>
      <w:rFonts w:ascii="宋体"/>
      <w:sz w:val="21"/>
    </w:rPr>
  </w:style>
  <w:style w:type="character" w:customStyle="1" w:styleId="26">
    <w:name w:val="一级条标题 Char"/>
    <w:link w:val="14"/>
    <w:qFormat/>
    <w:uiPriority w:val="0"/>
    <w:rPr>
      <w:rFonts w:ascii="黑体" w:eastAsia="黑体"/>
      <w:sz w:val="21"/>
      <w:szCs w:val="21"/>
    </w:rPr>
  </w:style>
  <w:style w:type="character" w:customStyle="1" w:styleId="27">
    <w:name w:val="二级条标题 Char"/>
    <w:link w:val="21"/>
    <w:qFormat/>
    <w:uiPriority w:val="0"/>
    <w:rPr>
      <w:rFonts w:ascii="黑体" w:eastAsia="黑体"/>
      <w:sz w:val="21"/>
    </w:rPr>
  </w:style>
  <w:style w:type="paragraph" w:customStyle="1" w:styleId="28">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070E-51E2-4ADB-9080-9815F7ED7D0D}">
  <ds:schemaRefs/>
</ds:datastoreItem>
</file>

<file path=docProps/app.xml><?xml version="1.0" encoding="utf-8"?>
<Properties xmlns="http://schemas.openxmlformats.org/officeDocument/2006/extended-properties" xmlns:vt="http://schemas.openxmlformats.org/officeDocument/2006/docPropsVTypes">
  <Template>Normal</Template>
  <Pages>7</Pages>
  <Words>3517</Words>
  <Characters>4511</Characters>
  <Lines>35</Lines>
  <Paragraphs>10</Paragraphs>
  <TotalTime>0</TotalTime>
  <ScaleCrop>false</ScaleCrop>
  <LinksUpToDate>false</LinksUpToDate>
  <CharactersWithSpaces>4542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2022-08-01T02:13:00Z</dcterms:created>
  <dc:creator>liuyichen</dc:creator>
  <cp:lastModifiedBy>素素</cp:lastModifiedBy>
  <dcterms:modified xsi:type="dcterms:W3CDTF">2022-10-28T05:47:56Z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EE409C5C5C3E4387AA8EE60A06424A32</vt:lpwstr>
  </property>
</Properties>
</file>