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val="0"/>
          <w:color w:val="auto"/>
          <w:sz w:val="30"/>
          <w:szCs w:val="30"/>
        </w:rPr>
      </w:pPr>
    </w:p>
    <w:p>
      <w:pPr>
        <w:jc w:val="center"/>
        <w:rPr>
          <w:rFonts w:hint="eastAsia" w:ascii="宋体" w:hAnsi="宋体" w:eastAsia="宋体" w:cs="宋体"/>
          <w:b/>
          <w:bCs w:val="0"/>
          <w:color w:val="auto"/>
          <w:sz w:val="52"/>
          <w:szCs w:val="52"/>
          <w:lang w:eastAsia="zh-CN"/>
        </w:rPr>
      </w:pPr>
    </w:p>
    <w:p>
      <w:pPr>
        <w:jc w:val="center"/>
        <w:rPr>
          <w:rFonts w:hint="eastAsia" w:ascii="宋体" w:hAnsi="宋体" w:eastAsia="宋体" w:cs="宋体"/>
          <w:b/>
          <w:bCs w:val="0"/>
          <w:color w:val="auto"/>
          <w:sz w:val="52"/>
          <w:szCs w:val="52"/>
          <w:lang w:eastAsia="zh-CN"/>
        </w:rPr>
      </w:pPr>
    </w:p>
    <w:p>
      <w:pPr>
        <w:jc w:val="center"/>
        <w:rPr>
          <w:rFonts w:hint="eastAsia" w:ascii="宋体" w:hAnsi="宋体" w:eastAsia="宋体" w:cs="宋体"/>
          <w:b/>
          <w:bCs w:val="0"/>
          <w:color w:val="auto"/>
          <w:sz w:val="48"/>
          <w:szCs w:val="48"/>
        </w:rPr>
      </w:pPr>
      <w:r>
        <w:rPr>
          <w:rFonts w:hint="eastAsia" w:ascii="宋体" w:hAnsi="宋体" w:eastAsia="宋体" w:cs="宋体"/>
          <w:b/>
          <w:bCs w:val="0"/>
          <w:color w:val="auto"/>
          <w:sz w:val="48"/>
          <w:szCs w:val="48"/>
          <w:lang w:eastAsia="zh-CN"/>
        </w:rPr>
        <w:t>《铅锭》</w:t>
      </w:r>
      <w:r>
        <w:rPr>
          <w:rFonts w:hint="eastAsia" w:ascii="宋体" w:hAnsi="宋体" w:eastAsia="宋体" w:cs="宋体"/>
          <w:b/>
          <w:bCs w:val="0"/>
          <w:color w:val="auto"/>
          <w:sz w:val="48"/>
          <w:szCs w:val="48"/>
        </w:rPr>
        <w:t>编制说明</w:t>
      </w:r>
    </w:p>
    <w:p>
      <w:pPr>
        <w:spacing w:line="360" w:lineRule="auto"/>
        <w:jc w:val="center"/>
        <w:rPr>
          <w:rFonts w:hint="eastAsia" w:ascii="宋体" w:hAnsi="宋体" w:eastAsia="宋体" w:cs="Times New Roman"/>
          <w:b w:val="0"/>
          <w:bCs/>
          <w:sz w:val="44"/>
          <w:szCs w:val="44"/>
          <w:lang w:eastAsia="zh-CN"/>
        </w:rPr>
      </w:pPr>
      <w:r>
        <w:rPr>
          <w:rFonts w:hint="eastAsia" w:ascii="宋体" w:hAnsi="宋体" w:eastAsia="宋体" w:cs="Times New Roman"/>
          <w:b w:val="0"/>
          <w:bCs/>
          <w:sz w:val="44"/>
          <w:szCs w:val="44"/>
          <w:lang w:eastAsia="zh-CN"/>
        </w:rPr>
        <w:t>（送审</w:t>
      </w:r>
      <w:bookmarkStart w:id="11" w:name="_GoBack"/>
      <w:bookmarkEnd w:id="11"/>
      <w:r>
        <w:rPr>
          <w:rFonts w:hint="eastAsia" w:ascii="宋体" w:hAnsi="宋体" w:eastAsia="宋体" w:cs="Times New Roman"/>
          <w:b w:val="0"/>
          <w:bCs/>
          <w:sz w:val="44"/>
          <w:szCs w:val="44"/>
          <w:lang w:eastAsia="zh-CN"/>
        </w:rPr>
        <w:t>稿）</w:t>
      </w:r>
    </w:p>
    <w:p>
      <w:pPr>
        <w:spacing w:line="360" w:lineRule="auto"/>
        <w:jc w:val="center"/>
        <w:rPr>
          <w:rFonts w:hint="eastAsia" w:ascii="宋体" w:hAnsi="宋体" w:eastAsia="宋体" w:cs="Times New Roman"/>
          <w:b/>
          <w:sz w:val="32"/>
          <w:szCs w:val="22"/>
          <w:lang w:eastAsia="zh-CN"/>
        </w:rPr>
      </w:pPr>
    </w:p>
    <w:p>
      <w:pPr>
        <w:rPr>
          <w:rFonts w:hint="eastAsia" w:ascii="黑体" w:hAnsi="黑体" w:eastAsia="黑体" w:cs="黑体"/>
          <w:b/>
          <w:bCs w:val="0"/>
          <w:color w:val="auto"/>
          <w:sz w:val="48"/>
          <w:szCs w:val="48"/>
        </w:rPr>
      </w:pPr>
    </w:p>
    <w:p>
      <w:pPr>
        <w:rPr>
          <w:rFonts w:hint="eastAsia" w:ascii="黑体" w:hAnsi="黑体" w:eastAsia="黑体" w:cs="黑体"/>
          <w:b/>
          <w:bCs w:val="0"/>
          <w:color w:val="auto"/>
          <w:sz w:val="48"/>
          <w:szCs w:val="48"/>
        </w:rPr>
      </w:pPr>
    </w:p>
    <w:p>
      <w:pPr>
        <w:rPr>
          <w:rFonts w:hint="eastAsia" w:ascii="黑体" w:hAnsi="黑体" w:eastAsia="黑体" w:cs="黑体"/>
          <w:b/>
          <w:bCs w:val="0"/>
          <w:color w:val="auto"/>
          <w:sz w:val="48"/>
          <w:szCs w:val="48"/>
        </w:rPr>
      </w:pPr>
    </w:p>
    <w:p>
      <w:pPr>
        <w:rPr>
          <w:rFonts w:hint="eastAsia" w:ascii="黑体" w:hAnsi="黑体" w:eastAsia="黑体" w:cs="黑体"/>
          <w:b/>
          <w:bCs w:val="0"/>
          <w:color w:val="auto"/>
          <w:sz w:val="48"/>
          <w:szCs w:val="48"/>
        </w:rPr>
      </w:pPr>
    </w:p>
    <w:p>
      <w:pPr>
        <w:rPr>
          <w:rFonts w:hint="eastAsia" w:ascii="黑体" w:hAnsi="黑体" w:eastAsia="黑体" w:cs="黑体"/>
          <w:b/>
          <w:bCs w:val="0"/>
          <w:color w:val="auto"/>
          <w:sz w:val="32"/>
          <w:szCs w:val="32"/>
        </w:rPr>
      </w:pPr>
    </w:p>
    <w:p>
      <w:pPr>
        <w:jc w:val="center"/>
        <w:rPr>
          <w:rFonts w:hint="eastAsia" w:ascii="方正小标宋_GBK" w:eastAsia="方正小标宋_GBK"/>
          <w:color w:val="auto"/>
          <w:sz w:val="36"/>
          <w:szCs w:val="36"/>
          <w:lang w:eastAsia="zh-CN"/>
        </w:rPr>
      </w:pPr>
      <w:r>
        <w:rPr>
          <w:rFonts w:hint="eastAsia" w:ascii="方正小标宋_GBK" w:eastAsia="方正小标宋_GBK"/>
          <w:color w:val="auto"/>
          <w:sz w:val="36"/>
          <w:szCs w:val="36"/>
          <w:lang w:eastAsia="zh-CN"/>
        </w:rPr>
        <w:t>《铅锭》编制组</w:t>
      </w:r>
    </w:p>
    <w:p>
      <w:pPr>
        <w:jc w:val="center"/>
        <w:rPr>
          <w:rFonts w:hint="eastAsia" w:ascii="方正小标宋_GBK" w:eastAsia="方正小标宋_GBK"/>
          <w:color w:val="auto"/>
          <w:sz w:val="36"/>
          <w:szCs w:val="36"/>
          <w:lang w:eastAsia="zh-CN"/>
        </w:rPr>
      </w:pPr>
      <w:r>
        <w:rPr>
          <w:rFonts w:hint="eastAsia" w:ascii="方正小标宋_GBK" w:eastAsia="方正小标宋_GBK"/>
          <w:color w:val="auto"/>
          <w:sz w:val="36"/>
          <w:szCs w:val="36"/>
          <w:lang w:eastAsia="zh-CN"/>
        </w:rPr>
        <w:t>主编单位：河南豫光金铅股份有限公司</w:t>
      </w:r>
    </w:p>
    <w:p>
      <w:pPr>
        <w:jc w:val="center"/>
        <w:rPr>
          <w:rFonts w:hint="eastAsia" w:ascii="方正小标宋_GBK" w:eastAsia="方正小标宋_GBK"/>
          <w:color w:val="auto"/>
          <w:sz w:val="36"/>
          <w:szCs w:val="36"/>
          <w:lang w:eastAsia="zh-CN"/>
        </w:rPr>
      </w:pPr>
    </w:p>
    <w:p>
      <w:pPr>
        <w:jc w:val="center"/>
        <w:rPr>
          <w:rFonts w:hint="eastAsia" w:ascii="黑体" w:hAnsi="黑体" w:eastAsia="黑体" w:cs="黑体"/>
          <w:b/>
          <w:bCs w:val="0"/>
          <w:color w:val="auto"/>
          <w:sz w:val="32"/>
          <w:szCs w:val="32"/>
          <w:lang w:eastAsia="zh-CN"/>
        </w:rPr>
      </w:pPr>
      <w:r>
        <w:rPr>
          <w:rFonts w:hint="eastAsia" w:ascii="黑体" w:hAnsi="黑体" w:eastAsia="黑体" w:cs="黑体"/>
          <w:b/>
          <w:bCs w:val="0"/>
          <w:color w:val="auto"/>
          <w:sz w:val="32"/>
          <w:szCs w:val="32"/>
          <w:lang w:eastAsia="zh-CN"/>
        </w:rPr>
        <w:t>二〇二二年十月</w:t>
      </w:r>
    </w:p>
    <w:p>
      <w:pPr>
        <w:rPr>
          <w:rFonts w:hint="eastAsia" w:ascii="黑体" w:hAnsi="黑体" w:eastAsia="黑体" w:cs="黑体"/>
          <w:b/>
          <w:bCs w:val="0"/>
          <w:color w:val="auto"/>
          <w:sz w:val="48"/>
          <w:szCs w:val="48"/>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sectPr>
          <w:footerReference r:id="rId4" w:type="default"/>
          <w:pgSz w:w="11906" w:h="16838"/>
          <w:pgMar w:top="1440" w:right="1800" w:bottom="1440" w:left="1800" w:header="851" w:footer="992" w:gutter="0"/>
          <w:pgNumType w:fmt="decimal"/>
          <w:cols w:space="425" w:num="1"/>
          <w:docGrid w:type="lines" w:linePitch="312" w:charSpace="0"/>
        </w:sectPr>
      </w:pPr>
    </w:p>
    <w:p>
      <w:pPr>
        <w:pStyle w:val="2"/>
        <w:pageBreakBefore w:val="0"/>
        <w:kinsoku/>
        <w:wordWrap/>
        <w:overflowPunct/>
        <w:topLinePunct w:val="0"/>
        <w:autoSpaceDE/>
        <w:autoSpaceDN/>
        <w:bidi w:val="0"/>
        <w:adjustRightInd/>
        <w:snapToGrid/>
        <w:spacing w:before="0" w:beforeLines="0" w:after="0" w:afterLines="0" w:line="420" w:lineRule="exact"/>
        <w:textAlignment w:val="auto"/>
        <w:outlineLvl w:val="0"/>
        <w:rPr>
          <w:rFonts w:hint="eastAsia" w:ascii="黑体" w:hAnsi="黑体" w:eastAsia="黑体" w:cs="黑体"/>
          <w:b/>
          <w:sz w:val="28"/>
          <w:szCs w:val="28"/>
        </w:rPr>
      </w:pPr>
      <w:bookmarkStart w:id="0" w:name="_Toc6114"/>
      <w:r>
        <w:rPr>
          <w:rFonts w:hint="eastAsia" w:ascii="黑体" w:hAnsi="黑体" w:eastAsia="黑体" w:cs="黑体"/>
          <w:b/>
          <w:bCs w:val="0"/>
          <w:color w:val="auto"/>
          <w:sz w:val="28"/>
          <w:szCs w:val="28"/>
          <w:lang w:eastAsia="zh-CN"/>
        </w:rPr>
        <w:t>一</w:t>
      </w:r>
      <w:r>
        <w:rPr>
          <w:rFonts w:hint="eastAsia" w:ascii="黑体" w:hAnsi="黑体" w:eastAsia="黑体" w:cs="黑体"/>
          <w:b/>
          <w:bCs w:val="0"/>
          <w:color w:val="auto"/>
          <w:sz w:val="28"/>
          <w:szCs w:val="28"/>
        </w:rPr>
        <w:t>、任务来源</w:t>
      </w:r>
      <w:bookmarkEnd w:id="0"/>
    </w:p>
    <w:p>
      <w:pPr>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国家标准</w:t>
      </w:r>
      <w:r>
        <w:rPr>
          <w:rFonts w:hint="eastAsia" w:ascii="宋体" w:hAnsi="宋体" w:eastAsia="宋体" w:cs="宋体"/>
          <w:sz w:val="24"/>
        </w:rPr>
        <w:t>GB</w:t>
      </w:r>
      <w:r>
        <w:rPr>
          <w:rFonts w:hint="eastAsia" w:ascii="宋体" w:hAnsi="宋体" w:eastAsia="宋体" w:cs="宋体"/>
          <w:bCs/>
          <w:sz w:val="24"/>
        </w:rPr>
        <w:t>/T 469-XXXX《铅锭》的制定项目由中国有色金属工业协会提出，于</w:t>
      </w:r>
      <w:r>
        <w:rPr>
          <w:rFonts w:hint="eastAsia" w:ascii="宋体" w:hAnsi="宋体" w:eastAsia="宋体" w:cs="宋体"/>
          <w:bCs/>
          <w:sz w:val="24"/>
          <w:lang w:val="en-US" w:eastAsia="zh-CN"/>
        </w:rPr>
        <w:t xml:space="preserve">     </w:t>
      </w:r>
      <w:r>
        <w:rPr>
          <w:rFonts w:hint="eastAsia" w:ascii="宋体" w:hAnsi="宋体" w:eastAsia="宋体" w:cs="宋体"/>
          <w:bCs/>
          <w:sz w:val="24"/>
        </w:rPr>
        <w:t>号文列入20</w:t>
      </w:r>
      <w:r>
        <w:rPr>
          <w:rFonts w:hint="eastAsia" w:ascii="宋体" w:hAnsi="宋体" w:eastAsia="宋体" w:cs="宋体"/>
          <w:bCs/>
          <w:sz w:val="24"/>
          <w:lang w:val="en-US" w:eastAsia="zh-CN"/>
        </w:rPr>
        <w:t>21</w:t>
      </w:r>
      <w:r>
        <w:rPr>
          <w:rFonts w:hint="eastAsia" w:ascii="宋体" w:hAnsi="宋体" w:eastAsia="宋体" w:cs="宋体"/>
          <w:bCs/>
          <w:sz w:val="24"/>
        </w:rPr>
        <w:t>年有色金属国家标准制修订项目表，项目编号：</w:t>
      </w:r>
      <w:r>
        <w:rPr>
          <w:rFonts w:hint="eastAsia" w:ascii="宋体" w:hAnsi="宋体" w:eastAsia="宋体" w:cs="宋体"/>
          <w:szCs w:val="21"/>
        </w:rPr>
        <w:t>国标委发[2021]19号20211899-T-610</w:t>
      </w:r>
      <w:r>
        <w:rPr>
          <w:rFonts w:hint="eastAsia" w:ascii="宋体" w:hAnsi="宋体" w:eastAsia="宋体" w:cs="宋体"/>
          <w:bCs/>
          <w:sz w:val="24"/>
        </w:rPr>
        <w:t>。该标准由全国有色金属标准化技术委员会负责归口，河南豫光金铅股份有限公司负责起草，株洲冶炼集团股份有限公司</w:t>
      </w:r>
      <w:r>
        <w:rPr>
          <w:rFonts w:hint="eastAsia" w:ascii="宋体" w:hAnsi="宋体" w:eastAsia="宋体" w:cs="宋体"/>
          <w:bCs/>
          <w:sz w:val="24"/>
          <w:lang w:eastAsia="zh-CN"/>
        </w:rPr>
        <w:t>、</w:t>
      </w:r>
      <w:r>
        <w:rPr>
          <w:rFonts w:hint="eastAsia" w:ascii="宋体" w:hAnsi="宋体" w:eastAsia="宋体" w:cs="宋体"/>
          <w:bCs/>
          <w:sz w:val="24"/>
        </w:rPr>
        <w:t>云南驰宏锌</w:t>
      </w:r>
      <w:r>
        <w:rPr>
          <w:rFonts w:hint="eastAsia" w:ascii="宋体" w:hAnsi="宋体" w:eastAsia="宋体" w:cs="宋体"/>
          <w:bCs/>
          <w:sz w:val="24"/>
          <w:lang w:eastAsia="zh-CN"/>
        </w:rPr>
        <w:t>锗</w:t>
      </w:r>
      <w:r>
        <w:rPr>
          <w:rFonts w:hint="eastAsia" w:ascii="宋体" w:hAnsi="宋体" w:eastAsia="宋体" w:cs="宋体"/>
          <w:bCs/>
          <w:sz w:val="24"/>
        </w:rPr>
        <w:t>股份有限公司</w:t>
      </w:r>
      <w:r>
        <w:rPr>
          <w:rFonts w:hint="eastAsia" w:ascii="宋体" w:hAnsi="宋体" w:eastAsia="宋体" w:cs="宋体"/>
          <w:bCs/>
          <w:sz w:val="24"/>
          <w:lang w:eastAsia="zh-CN"/>
        </w:rPr>
        <w:t>等单位</w:t>
      </w:r>
      <w:r>
        <w:rPr>
          <w:rFonts w:hint="eastAsia" w:ascii="宋体" w:hAnsi="宋体" w:eastAsia="宋体" w:cs="宋体"/>
          <w:bCs/>
          <w:sz w:val="24"/>
        </w:rPr>
        <w:t>参加起草，计划于20</w:t>
      </w:r>
      <w:r>
        <w:rPr>
          <w:rFonts w:hint="eastAsia" w:ascii="宋体" w:hAnsi="宋体" w:eastAsia="宋体" w:cs="宋体"/>
          <w:bCs/>
          <w:sz w:val="24"/>
          <w:lang w:val="en-US" w:eastAsia="zh-CN"/>
        </w:rPr>
        <w:t>22</w:t>
      </w:r>
      <w:r>
        <w:rPr>
          <w:rFonts w:hint="eastAsia" w:ascii="宋体" w:hAnsi="宋体" w:eastAsia="宋体" w:cs="宋体"/>
          <w:bCs/>
          <w:sz w:val="24"/>
        </w:rPr>
        <w:t>年底完成。</w:t>
      </w:r>
    </w:p>
    <w:p>
      <w:pPr>
        <w:pStyle w:val="2"/>
        <w:pageBreakBefore w:val="0"/>
        <w:kinsoku/>
        <w:wordWrap/>
        <w:overflowPunct/>
        <w:topLinePunct w:val="0"/>
        <w:autoSpaceDE/>
        <w:autoSpaceDN/>
        <w:bidi w:val="0"/>
        <w:adjustRightInd/>
        <w:snapToGrid/>
        <w:spacing w:before="0" w:beforeLines="0" w:after="0" w:afterLines="0" w:line="420" w:lineRule="exact"/>
        <w:textAlignment w:val="auto"/>
        <w:outlineLvl w:val="0"/>
        <w:rPr>
          <w:rFonts w:hint="eastAsia" w:ascii="黑体" w:hAnsi="黑体" w:eastAsia="黑体" w:cs="黑体"/>
          <w:b/>
          <w:bCs w:val="0"/>
          <w:color w:val="auto"/>
          <w:sz w:val="28"/>
          <w:szCs w:val="28"/>
          <w:lang w:eastAsia="zh-CN"/>
        </w:rPr>
      </w:pPr>
      <w:bookmarkStart w:id="1" w:name="_Toc2908"/>
      <w:r>
        <w:rPr>
          <w:rFonts w:hint="eastAsia" w:ascii="黑体" w:hAnsi="黑体" w:eastAsia="黑体" w:cs="黑体"/>
          <w:b/>
          <w:bCs w:val="0"/>
          <w:color w:val="auto"/>
          <w:sz w:val="28"/>
          <w:szCs w:val="28"/>
          <w:lang w:eastAsia="zh-CN"/>
        </w:rPr>
        <w:t>二、项目背景及立项的意义</w:t>
      </w:r>
      <w:bookmarkEnd w:id="1"/>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lang w:val="en-US" w:eastAsia="zh-CN"/>
        </w:rPr>
      </w:pPr>
      <w:r>
        <w:rPr>
          <w:rFonts w:hint="eastAsia" w:ascii="宋体" w:hAnsi="宋体" w:eastAsia="宋体" w:cs="宋体"/>
          <w:bCs/>
          <w:sz w:val="24"/>
          <w:lang w:val="en-US" w:eastAsia="zh-CN"/>
        </w:rPr>
        <w:t>中国是目前世界上最大的铅产品生产国和消费市场，产业规模居于世界第一。最近两年，中国铅消费量占到世界总消费量的40%以上。</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lang w:val="en-US" w:eastAsia="zh-CN"/>
        </w:rPr>
      </w:pPr>
      <w:r>
        <w:rPr>
          <w:rFonts w:hint="eastAsia" w:ascii="宋体" w:hAnsi="宋体" w:eastAsia="宋体" w:cs="宋体"/>
          <w:bCs/>
          <w:sz w:val="24"/>
          <w:lang w:val="en-US" w:eastAsia="zh-CN"/>
        </w:rPr>
        <w:t>全球已探明铅资源量共计20多亿吨，资源储量为8700万吨，主要分布于澳大利亚、中国、俄罗斯、美国、秘鲁和墨西哥，这6国储量约占世界总储量的87%。</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lang w:val="en-US" w:eastAsia="zh-CN"/>
        </w:rPr>
      </w:pPr>
      <w:r>
        <w:rPr>
          <w:rFonts w:hint="eastAsia" w:ascii="宋体" w:hAnsi="宋体" w:eastAsia="宋体" w:cs="宋体"/>
          <w:bCs/>
          <w:sz w:val="24"/>
          <w:lang w:val="en-US" w:eastAsia="zh-CN"/>
        </w:rPr>
        <w:t>目前，全国已建成铅锌冶炼企业300多家。其中铅产能在10万吨以上的企业21家，主要分布在河南、湖南、云南等省区，总产能占全国总产能的55%左右。2018年全国铅产量511.3万吨，2019年铅产量579.7万吨，同比增长68.4万吨，增长14.9%。</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lang w:val="en-US" w:eastAsia="zh-CN"/>
        </w:rPr>
      </w:pPr>
      <w:r>
        <w:rPr>
          <w:rFonts w:hint="eastAsia" w:ascii="宋体" w:hAnsi="宋体" w:eastAsia="宋体" w:cs="宋体"/>
          <w:bCs/>
          <w:sz w:val="24"/>
          <w:lang w:val="en-US" w:eastAsia="zh-CN"/>
        </w:rPr>
        <w:t>精铅85%以上用于铅酸蓄电池制造，终端应用主要是汽车、摩托车、电动自行车、通信储能等。我国铅消费以国内需求为主。2019年，随着铅锌矿山建设、冶炼资源综合回收等项目不断推进，采选、冶炼投资分别同比增长7.0%、31.1%。</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lang w:val="en-US" w:eastAsia="zh-CN"/>
        </w:rPr>
      </w:pPr>
      <w:r>
        <w:rPr>
          <w:rFonts w:hint="eastAsia" w:ascii="宋体" w:hAnsi="宋体" w:eastAsia="宋体" w:cs="宋体"/>
          <w:bCs/>
          <w:sz w:val="24"/>
          <w:lang w:val="en-US" w:eastAsia="zh-CN"/>
        </w:rPr>
        <w:t>2020年，铅行业将按照中央经济工作会议要求，持续深化供给侧结构性改革，开展行业规范管理，严控冶炼产能无序扩张，加快绿色改造和资源综合利用，推动原生铅冶炼企业与蓄电池生产企业协同合作，积极利用二次物料，促进行业高质量发展。</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lang w:val="en-US" w:eastAsia="zh-CN"/>
        </w:rPr>
      </w:pPr>
      <w:r>
        <w:rPr>
          <w:rFonts w:hint="eastAsia" w:ascii="宋体" w:hAnsi="宋体" w:eastAsia="宋体" w:cs="宋体"/>
          <w:bCs/>
          <w:sz w:val="24"/>
          <w:lang w:val="en-US" w:eastAsia="zh-CN"/>
        </w:rPr>
        <w:t>《中国制造2025》规划明确提出：必须把质量作为建设制造强国的生命线，全面夯实产品质量基础，不断提升企业品牌价值和“中国制造”整体形象，走以质取胜的发展道路。中共中央、国务院出台的《国家创新驱动发展战略纲要》中明确提出要实施知识产权、标准、质量和品牌战略，推进质量强国和中国品牌建设。</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lang w:val="en-US" w:eastAsia="zh-CN"/>
        </w:rPr>
      </w:pPr>
      <w:r>
        <w:rPr>
          <w:rFonts w:hint="eastAsia" w:ascii="宋体" w:hAnsi="宋体" w:eastAsia="宋体" w:cs="宋体"/>
          <w:bCs/>
          <w:sz w:val="24"/>
          <w:lang w:val="en-US" w:eastAsia="zh-CN"/>
        </w:rPr>
        <w:t>铅锭产品目前执行的是《铅锭》GB/T469-2013，随着产品质量和环保要求的提高，下游蓄电池行业对铅锭中有害元素的控制提出了更高的要求：超威、中船重工、骆驼、双登、柯锐世、双登、中船重工、超威等企业对铅锭含Bi、Ag等提出了更高的要求，且这类铅锭占到了铅锭总产量的41%左右。2013版铅锭标准已不再满足市场需求，需要对铅锭标准进行修订，以满足市场对铅锭产品的质量要求。</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lang w:val="en-US" w:eastAsia="zh-CN"/>
        </w:rPr>
      </w:pPr>
      <w:r>
        <w:rPr>
          <w:rFonts w:hint="eastAsia" w:ascii="宋体" w:hAnsi="宋体" w:eastAsia="宋体" w:cs="宋体"/>
          <w:bCs/>
          <w:sz w:val="24"/>
          <w:lang w:val="en-US" w:eastAsia="zh-CN"/>
        </w:rPr>
        <w:t>本标准铅锭只包括电解铅，排除了火法再生铅，故原《铅锭》GB/T469-2013中的铅锭Pb99.990、Pb99.985、Pb99.970、Pb99.940四个牌号已无存在的意义，且也无铅锭生产企业采用。有研究表明，蓄电池行业使用含铋高的铅锭或再生铅，将使铅蓄电池使用寿命降低，许多生产汽车启动电池的企业都很慎重使用高铋再生铅，只有少数生产电动自行车电池的企业才使用。为保证铅锭产品质量，杜绝将高含铋再生铅作为铅锭销售，维护“铅锭”产品良好的市场形象，删除Pb99.990、Pb99.985、Pb99.970、Pb99.940四个牌号。</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lang w:eastAsia="zh-CN"/>
        </w:rPr>
      </w:pPr>
      <w:r>
        <w:rPr>
          <w:rFonts w:hint="eastAsia" w:ascii="宋体" w:hAnsi="宋体" w:eastAsia="宋体" w:cs="宋体"/>
          <w:bCs/>
          <w:sz w:val="24"/>
          <w:lang w:val="en-US" w:eastAsia="zh-CN"/>
        </w:rPr>
        <w:t>且根据全国有色金属标准化技术委员会组织开展的调研情况来看，目前国内多家大型蓄电池生产企业对铅锭中S、Te、Se的含量提出了新的控制要求，为了满足客户要求，提升企业市场竞争力，需要对《铅锭》标准进行修订。</w:t>
      </w:r>
    </w:p>
    <w:p>
      <w:pPr>
        <w:pStyle w:val="2"/>
        <w:pageBreakBefore w:val="0"/>
        <w:kinsoku/>
        <w:wordWrap/>
        <w:overflowPunct/>
        <w:topLinePunct w:val="0"/>
        <w:autoSpaceDE/>
        <w:autoSpaceDN/>
        <w:bidi w:val="0"/>
        <w:adjustRightInd/>
        <w:snapToGrid/>
        <w:spacing w:before="0" w:beforeLines="0" w:after="0" w:afterLines="0" w:line="420" w:lineRule="exact"/>
        <w:textAlignment w:val="auto"/>
        <w:outlineLvl w:val="0"/>
        <w:rPr>
          <w:rFonts w:hint="eastAsia" w:ascii="黑体" w:hAnsi="黑体" w:eastAsia="黑体" w:cs="黑体"/>
          <w:b/>
          <w:bCs w:val="0"/>
          <w:color w:val="auto"/>
          <w:sz w:val="28"/>
          <w:szCs w:val="28"/>
          <w:lang w:eastAsia="zh-CN"/>
        </w:rPr>
      </w:pPr>
      <w:r>
        <w:rPr>
          <w:rFonts w:hint="eastAsia" w:ascii="黑体" w:hAnsi="黑体" w:eastAsia="黑体" w:cs="黑体"/>
          <w:b/>
          <w:bCs w:val="0"/>
          <w:color w:val="auto"/>
          <w:sz w:val="28"/>
          <w:szCs w:val="28"/>
          <w:lang w:eastAsia="zh-CN"/>
        </w:rPr>
        <w:t>三、 项目编制组单位简况</w:t>
      </w:r>
    </w:p>
    <w:p>
      <w:pPr>
        <w:pStyle w:val="2"/>
        <w:pageBreakBefore w:val="0"/>
        <w:kinsoku/>
        <w:wordWrap/>
        <w:overflowPunct/>
        <w:topLinePunct w:val="0"/>
        <w:autoSpaceDE/>
        <w:autoSpaceDN/>
        <w:bidi w:val="0"/>
        <w:adjustRightInd/>
        <w:snapToGrid/>
        <w:spacing w:before="0" w:beforeLines="0" w:after="0" w:afterLines="0" w:line="420" w:lineRule="exact"/>
        <w:ind w:firstLine="482" w:firstLineChars="200"/>
        <w:textAlignment w:val="auto"/>
        <w:rPr>
          <w:rFonts w:hint="eastAsia" w:ascii="黑体" w:hAnsi="黑体" w:eastAsia="黑体" w:cstheme="minorBidi"/>
          <w:b/>
          <w:bCs w:val="0"/>
          <w:kern w:val="2"/>
          <w:sz w:val="24"/>
          <w:szCs w:val="24"/>
          <w:lang w:val="en-US" w:eastAsia="zh-CN" w:bidi="ar-SA"/>
        </w:rPr>
      </w:pPr>
      <w:bookmarkStart w:id="2" w:name="_Toc20567_WPSOffice_Level2"/>
      <w:bookmarkStart w:id="3" w:name="_Toc9518"/>
      <w:r>
        <w:rPr>
          <w:rFonts w:hint="eastAsia" w:ascii="黑体" w:hAnsi="黑体" w:eastAsia="黑体" w:cstheme="minorBidi"/>
          <w:b/>
          <w:bCs w:val="0"/>
          <w:kern w:val="2"/>
          <w:sz w:val="24"/>
          <w:szCs w:val="24"/>
          <w:lang w:val="en-US" w:eastAsia="zh-CN" w:bidi="ar-SA"/>
        </w:rPr>
        <w:t xml:space="preserve">1 </w:t>
      </w:r>
      <w:bookmarkEnd w:id="2"/>
      <w:r>
        <w:rPr>
          <w:rFonts w:hint="eastAsia" w:ascii="黑体" w:hAnsi="黑体" w:eastAsia="黑体" w:cstheme="minorBidi"/>
          <w:b/>
          <w:bCs w:val="0"/>
          <w:kern w:val="2"/>
          <w:sz w:val="24"/>
          <w:szCs w:val="24"/>
          <w:lang w:val="en-US" w:eastAsia="zh-CN" w:bidi="ar-SA"/>
        </w:rPr>
        <w:t>标准起草单位</w:t>
      </w:r>
      <w:bookmarkEnd w:id="3"/>
    </w:p>
    <w:p>
      <w:pPr>
        <w:spacing w:line="500" w:lineRule="exact"/>
        <w:ind w:firstLine="480" w:firstLineChars="200"/>
        <w:rPr>
          <w:rFonts w:hint="eastAsia" w:ascii="宋体" w:hAnsi="宋体" w:eastAsia="宋体" w:cs="宋体"/>
          <w:bCs/>
          <w:sz w:val="24"/>
          <w:lang w:val="en-US" w:eastAsia="zh-CN"/>
        </w:rPr>
      </w:pPr>
      <w:bookmarkStart w:id="4" w:name="_Toc1837"/>
      <w:bookmarkStart w:id="5" w:name="_Toc15442"/>
      <w:bookmarkStart w:id="6" w:name="_Toc14199_WPSOffice_Level2"/>
      <w:r>
        <w:rPr>
          <w:rFonts w:hint="eastAsia" w:ascii="宋体" w:hAnsi="宋体" w:eastAsia="宋体" w:cs="宋体"/>
          <w:bCs/>
          <w:sz w:val="24"/>
          <w:lang w:val="en-US" w:eastAsia="zh-CN"/>
        </w:rPr>
        <w:t>本标准由</w:t>
      </w:r>
      <w:r>
        <w:rPr>
          <w:rFonts w:hint="default" w:ascii="宋体" w:hAnsi="宋体" w:eastAsia="宋体" w:cs="宋体"/>
          <w:bCs/>
          <w:sz w:val="24"/>
          <w:lang w:val="zh-TW" w:eastAsia="zh-TW"/>
        </w:rPr>
        <w:t>河南豫光金铅股份有限公司、</w:t>
      </w:r>
      <w:r>
        <w:rPr>
          <w:rFonts w:hint="eastAsia" w:ascii="宋体" w:hAnsi="宋体" w:eastAsia="宋体" w:cs="宋体"/>
          <w:bCs/>
          <w:sz w:val="24"/>
          <w:lang w:val="zh-TW" w:eastAsia="zh-CN"/>
        </w:rPr>
        <w:t>株洲冶炼集团股份有限公司、</w:t>
      </w:r>
      <w:r>
        <w:rPr>
          <w:rFonts w:hint="default" w:ascii="宋体" w:hAnsi="宋体" w:eastAsia="宋体" w:cs="宋体"/>
          <w:bCs/>
          <w:sz w:val="24"/>
          <w:lang w:val="zh-TW" w:eastAsia="zh-TW"/>
        </w:rPr>
        <w:t>云南驰宏锌</w:t>
      </w:r>
      <w:r>
        <w:rPr>
          <w:rFonts w:hint="eastAsia" w:ascii="宋体" w:hAnsi="宋体" w:eastAsia="宋体" w:cs="宋体"/>
          <w:bCs/>
          <w:sz w:val="24"/>
          <w:lang w:val="zh-TW" w:eastAsia="zh-CN"/>
        </w:rPr>
        <w:t>锗</w:t>
      </w:r>
      <w:r>
        <w:rPr>
          <w:rFonts w:hint="default" w:ascii="宋体" w:hAnsi="宋体" w:eastAsia="宋体" w:cs="宋体"/>
          <w:bCs/>
          <w:sz w:val="24"/>
          <w:lang w:val="zh-TW" w:eastAsia="zh-TW"/>
        </w:rPr>
        <w:t>股份有限公司</w:t>
      </w:r>
      <w:r>
        <w:rPr>
          <w:rFonts w:hint="eastAsia" w:ascii="宋体" w:hAnsi="宋体" w:eastAsia="宋体" w:cs="宋体"/>
          <w:bCs/>
          <w:sz w:val="24"/>
          <w:lang w:val="zh-TW" w:eastAsia="zh-CN"/>
        </w:rPr>
        <w:t>、</w:t>
      </w:r>
      <w:r>
        <w:rPr>
          <w:rFonts w:hint="default" w:ascii="宋体" w:hAnsi="宋体" w:eastAsia="宋体" w:cs="宋体"/>
          <w:bCs/>
          <w:sz w:val="24"/>
          <w:lang w:val="zh-TW" w:eastAsia="zh-TW"/>
        </w:rPr>
        <w:fldChar w:fldCharType="begin"/>
      </w:r>
      <w:r>
        <w:rPr>
          <w:rFonts w:hint="default" w:ascii="宋体" w:hAnsi="宋体" w:eastAsia="宋体" w:cs="宋体"/>
          <w:bCs/>
          <w:sz w:val="24"/>
          <w:lang w:val="zh-TW" w:eastAsia="zh-TW"/>
        </w:rPr>
        <w:instrText xml:space="preserve"> HYPERLINK "http://www.baidu.com/link?url=i2fq8e0c9l0O_q7_0hkCQXZSYRcwHuWhIASpzSnuIKAykBlRf28DuCzfKlEgZQQr" \t "https://www.baidu.com/_blank" </w:instrText>
      </w:r>
      <w:r>
        <w:rPr>
          <w:rFonts w:hint="default" w:ascii="宋体" w:hAnsi="宋体" w:eastAsia="宋体" w:cs="宋体"/>
          <w:bCs/>
          <w:sz w:val="24"/>
          <w:lang w:val="zh-TW" w:eastAsia="zh-TW"/>
        </w:rPr>
        <w:fldChar w:fldCharType="separate"/>
      </w:r>
      <w:r>
        <w:rPr>
          <w:rFonts w:hint="default" w:ascii="宋体" w:hAnsi="宋体" w:eastAsia="宋体" w:cs="宋体"/>
          <w:bCs/>
          <w:sz w:val="24"/>
          <w:lang w:val="zh-TW" w:eastAsia="zh-TW"/>
        </w:rPr>
        <w:t>江西铜业铅锌金属有限公司</w:t>
      </w:r>
      <w:r>
        <w:rPr>
          <w:rFonts w:hint="default" w:ascii="宋体" w:hAnsi="宋体" w:eastAsia="宋体" w:cs="宋体"/>
          <w:bCs/>
          <w:sz w:val="24"/>
          <w:lang w:val="zh-TW" w:eastAsia="zh-TW"/>
        </w:rPr>
        <w:fldChar w:fldCharType="end"/>
      </w:r>
      <w:r>
        <w:rPr>
          <w:rFonts w:hint="eastAsia" w:ascii="宋体" w:hAnsi="宋体" w:eastAsia="宋体" w:cs="宋体"/>
          <w:bCs/>
          <w:sz w:val="24"/>
          <w:lang w:val="zh-TW" w:eastAsia="zh-CN"/>
        </w:rPr>
        <w:t>、</w:t>
      </w:r>
      <w:r>
        <w:rPr>
          <w:rFonts w:hint="default" w:ascii="宋体" w:hAnsi="宋体" w:eastAsia="宋体" w:cs="宋体"/>
          <w:bCs/>
          <w:sz w:val="24"/>
          <w:lang w:val="zh-TW" w:eastAsia="zh-TW"/>
        </w:rPr>
        <w:t>深圳市中金岭南有色金属股份有限公司、湖南水口山有色金属集团有限公司、江苏春兴合金集团有限公司、湖北金洋冶金股份有限公司</w:t>
      </w:r>
      <w:r>
        <w:rPr>
          <w:rFonts w:hint="eastAsia" w:ascii="宋体" w:hAnsi="宋体" w:eastAsia="宋体" w:cs="宋体"/>
          <w:bCs/>
          <w:sz w:val="24"/>
          <w:lang w:val="zh-TW" w:eastAsia="zh-CN"/>
        </w:rPr>
        <w:t>、</w:t>
      </w:r>
      <w:r>
        <w:rPr>
          <w:rFonts w:hint="default" w:ascii="宋体" w:hAnsi="宋体" w:eastAsia="宋体" w:cs="宋体"/>
          <w:bCs/>
          <w:sz w:val="24"/>
          <w:lang w:val="zh-TW" w:eastAsia="zh-TW"/>
        </w:rPr>
        <w:t>河南金利金铅集团有限公司</w:t>
      </w:r>
      <w:r>
        <w:rPr>
          <w:rFonts w:hint="eastAsia" w:ascii="宋体" w:hAnsi="宋体" w:eastAsia="宋体" w:cs="宋体"/>
          <w:bCs/>
          <w:sz w:val="24"/>
          <w:lang w:val="zh-TW" w:eastAsia="zh-CN"/>
        </w:rPr>
        <w:t>、</w:t>
      </w:r>
      <w:r>
        <w:rPr>
          <w:rFonts w:hint="eastAsia" w:ascii="宋体" w:hAnsi="宋体" w:eastAsia="宋体" w:cs="宋体"/>
          <w:bCs/>
          <w:sz w:val="24"/>
          <w:lang w:val="en-US" w:eastAsia="zh-CN"/>
        </w:rPr>
        <w:t>济源市万洋冶炼（集团）有限公司等单位参与起草。</w:t>
      </w:r>
      <w:bookmarkEnd w:id="4"/>
      <w:bookmarkEnd w:id="5"/>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left"/>
        <w:textAlignment w:val="auto"/>
        <w:outlineLvl w:val="1"/>
        <w:rPr>
          <w:rFonts w:hint="eastAsia" w:ascii="黑体" w:hAnsi="黑体" w:eastAsia="黑体"/>
          <w:b/>
          <w:sz w:val="24"/>
          <w:szCs w:val="24"/>
        </w:rPr>
      </w:pPr>
      <w:bookmarkStart w:id="7" w:name="_Toc29405"/>
      <w:r>
        <w:rPr>
          <w:rFonts w:hint="eastAsia" w:ascii="黑体" w:hAnsi="黑体" w:eastAsia="黑体"/>
          <w:b/>
          <w:sz w:val="24"/>
          <w:szCs w:val="24"/>
        </w:rPr>
        <w:t>2 主编单位简介</w:t>
      </w:r>
      <w:bookmarkEnd w:id="6"/>
      <w:bookmarkEnd w:id="7"/>
    </w:p>
    <w:p>
      <w:pPr>
        <w:spacing w:line="500" w:lineRule="exact"/>
        <w:ind w:firstLine="480" w:firstLineChars="200"/>
        <w:rPr>
          <w:rFonts w:hint="eastAsia" w:ascii="宋体" w:hAnsi="宋体" w:eastAsia="宋体" w:cs="宋体"/>
          <w:bCs/>
          <w:sz w:val="24"/>
          <w:lang w:eastAsia="zh-CN"/>
        </w:rPr>
      </w:pPr>
      <w:r>
        <w:rPr>
          <w:rFonts w:hint="eastAsia" w:ascii="宋体" w:hAnsi="宋体" w:eastAsia="宋体" w:cs="宋体"/>
          <w:bCs/>
          <w:sz w:val="24"/>
          <w:lang w:eastAsia="zh-CN"/>
        </w:rPr>
        <w:t>本标准的主编单位是</w:t>
      </w:r>
      <w:r>
        <w:rPr>
          <w:rFonts w:hint="eastAsia" w:ascii="宋体" w:hAnsi="宋体" w:eastAsia="宋体" w:cs="宋体"/>
          <w:bCs/>
          <w:sz w:val="24"/>
        </w:rPr>
        <w:fldChar w:fldCharType="begin"/>
      </w:r>
      <w:r>
        <w:rPr>
          <w:rFonts w:hint="eastAsia" w:ascii="宋体" w:hAnsi="宋体" w:eastAsia="宋体" w:cs="宋体"/>
          <w:bCs/>
          <w:sz w:val="24"/>
        </w:rPr>
        <w:instrText xml:space="preserve"> HYPERLINK "https://baike.baidu.com/item/%E6%B2%B3%E5%8D%97" \t "https://baike.baidu.com/item/%E6%B2%B3%E5%8D%97%E8%B1%AB%E5%85%89%E9%87%91%E9%93%85%E8%82%A1%E4%BB%BD%E6%9C%89%E9%99%90%E5%85%AC%E5%8F%B8/_blank" </w:instrText>
      </w:r>
      <w:r>
        <w:rPr>
          <w:rFonts w:hint="eastAsia" w:ascii="宋体" w:hAnsi="宋体" w:eastAsia="宋体" w:cs="宋体"/>
          <w:bCs/>
          <w:sz w:val="24"/>
        </w:rPr>
        <w:fldChar w:fldCharType="separate"/>
      </w:r>
      <w:r>
        <w:rPr>
          <w:rFonts w:hint="eastAsia" w:ascii="宋体" w:hAnsi="宋体" w:eastAsia="宋体" w:cs="宋体"/>
          <w:bCs/>
          <w:sz w:val="24"/>
        </w:rPr>
        <w:t>河南</w:t>
      </w:r>
      <w:r>
        <w:rPr>
          <w:rFonts w:hint="eastAsia" w:ascii="宋体" w:hAnsi="宋体" w:eastAsia="宋体" w:cs="宋体"/>
          <w:bCs/>
          <w:sz w:val="24"/>
        </w:rPr>
        <w:fldChar w:fldCharType="end"/>
      </w:r>
      <w:r>
        <w:rPr>
          <w:rFonts w:hint="eastAsia" w:ascii="宋体" w:hAnsi="宋体" w:eastAsia="宋体" w:cs="宋体"/>
          <w:bCs/>
          <w:sz w:val="24"/>
        </w:rPr>
        <w:t>豫光金铅股份有限公司</w:t>
      </w:r>
      <w:r>
        <w:rPr>
          <w:rFonts w:hint="eastAsia" w:ascii="宋体" w:hAnsi="宋体" w:eastAsia="宋体" w:cs="宋体"/>
          <w:bCs/>
          <w:sz w:val="24"/>
          <w:lang w:eastAsia="zh-CN"/>
        </w:rPr>
        <w:t>。河南豫光金铅股份有限公司成立于2000年，是中国大型电解铅和白银生产企业。2002年7月，“豫光金铅”股票（代码：600531）在上海交易所挂牌交易。公司主要从事电解铅、白银、黄金等有色金属及贵金属产品的冶炼及进出口贸易。主要产品的生产能力为：铅40万吨、黄金7000公斤、白银1000吨、硫酸56万吨、铅锭1</w:t>
      </w:r>
      <w:r>
        <w:rPr>
          <w:rFonts w:hint="eastAsia" w:ascii="宋体" w:hAnsi="宋体" w:eastAsia="宋体" w:cs="宋体"/>
          <w:bCs/>
          <w:sz w:val="24"/>
          <w:lang w:val="en-US" w:eastAsia="zh-CN"/>
        </w:rPr>
        <w:t>4</w:t>
      </w:r>
      <w:r>
        <w:rPr>
          <w:rFonts w:hint="eastAsia" w:ascii="宋体" w:hAnsi="宋体" w:eastAsia="宋体" w:cs="宋体"/>
          <w:bCs/>
          <w:sz w:val="24"/>
          <w:lang w:eastAsia="zh-CN"/>
        </w:rPr>
        <w:t>万吨。</w:t>
      </w:r>
    </w:p>
    <w:p>
      <w:pPr>
        <w:spacing w:line="500" w:lineRule="exact"/>
        <w:ind w:firstLine="480" w:firstLineChars="200"/>
        <w:rPr>
          <w:rFonts w:hint="eastAsia" w:ascii="宋体" w:hAnsi="宋体" w:eastAsia="宋体" w:cs="宋体"/>
          <w:bCs/>
          <w:sz w:val="24"/>
          <w:lang w:eastAsia="zh-CN"/>
        </w:rPr>
      </w:pPr>
      <w:r>
        <w:rPr>
          <w:rFonts w:hint="eastAsia" w:ascii="宋体" w:hAnsi="宋体" w:eastAsia="宋体" w:cs="宋体"/>
          <w:bCs/>
          <w:sz w:val="24"/>
          <w:lang w:eastAsia="zh-CN"/>
        </w:rPr>
        <w:t>目前公司总资产达112亿元，占地2000余亩，拥有员工3600人。公司已通过ISO9001（2000版）质量管理体系、ISO14001环境管理体系和OHSAS18001职业健康安全管理体系、计量检测体系认证。2002年公司获白银出口经营资格，为全国获此资格的6家企业之一。2003年5月获境外期货交易资格，为全国具有此资格的17家企业之一。主导产品“豫光”牌电解铅和“豫光”牌白银分别在伦敦金属交易所（LME）和伦敦贵金属协会（LBMA）注册，产品畅销10多个国家和地区。“豫光”牌白银被用做2008年北京奥运会奖牌专用银，铅国内市场占有率为10%。</w:t>
      </w:r>
    </w:p>
    <w:p>
      <w:pPr>
        <w:spacing w:line="500" w:lineRule="exact"/>
        <w:ind w:firstLine="480" w:firstLineChars="200"/>
        <w:rPr>
          <w:rFonts w:hint="eastAsia" w:ascii="宋体" w:hAnsi="宋体" w:eastAsia="宋体" w:cs="宋体"/>
          <w:bCs/>
          <w:sz w:val="24"/>
          <w:lang w:eastAsia="zh-CN"/>
        </w:rPr>
      </w:pPr>
      <w:r>
        <w:rPr>
          <w:rFonts w:hint="eastAsia" w:ascii="宋体" w:hAnsi="宋体" w:eastAsia="宋体" w:cs="宋体"/>
          <w:bCs/>
          <w:sz w:val="24"/>
          <w:lang w:eastAsia="zh-CN"/>
        </w:rPr>
        <w:t>多年来，公司始终致力于环保发展，不断加大节能减排力度，发展低碳经济，建设绿色环保和谐企业。公司率先在全国同行业提出“绿色冶炼、环保发展”的理念，率先实施“工业出城、项目上山”的环保之路。为提升技术创新能力和工艺研究开发，促进环保水平不断提升，公司先后建设了博士后科研工作站，有色金属产学研基地、铅锌行业技术开发中心等科研基地。重点突破了制约公司发展的资源、环境、循环经济等领域关键的前沿技术和关键技术，形成了高铅渣直接还原炼铅、废旧铅酸蓄电池自动分离-底吹熔炼再生铅工艺研究、底吹炉炼金银、铅锍底吹连续吹炼等一批国际领先拥有自主知识产权的核心技术，引领了行业发展。公司技术装备及环保治理水平在国际国内都处于领先地位。</w:t>
      </w:r>
    </w:p>
    <w:p>
      <w:pPr>
        <w:spacing w:line="500" w:lineRule="exact"/>
        <w:ind w:firstLine="480" w:firstLineChars="200"/>
        <w:rPr>
          <w:rFonts w:hint="eastAsia" w:ascii="宋体" w:hAnsi="宋体" w:eastAsia="宋体" w:cs="宋体"/>
          <w:bCs/>
          <w:sz w:val="24"/>
          <w:lang w:val="en-US" w:eastAsia="zh-CN"/>
        </w:rPr>
      </w:pPr>
      <w:r>
        <w:rPr>
          <w:rFonts w:hint="eastAsia" w:ascii="宋体" w:hAnsi="宋体" w:eastAsia="宋体" w:cs="宋体"/>
          <w:bCs/>
          <w:sz w:val="24"/>
          <w:lang w:eastAsia="zh-CN"/>
        </w:rPr>
        <w:t>公司积极发展循环经济，先后投入近10亿元对铅矿石中金、银、铜、锑、铋、碲、镉、铟等10多种有价金属进行回收，对原料基本实现了吃干榨净。公司累计投资10亿元，大力发展再生铅产业，目前已建成三条废旧铅酸蓄电池预处理生产线，年回收处理废旧铅酸蓄电池54万吨，年产再生铅20万吨，塑料1.6万吨。</w:t>
      </w:r>
    </w:p>
    <w:p>
      <w:pPr>
        <w:spacing w:line="500" w:lineRule="exact"/>
        <w:ind w:firstLine="480" w:firstLineChars="200"/>
        <w:rPr>
          <w:rFonts w:hint="eastAsia" w:ascii="宋体" w:hAnsi="宋体" w:eastAsia="宋体" w:cs="宋体"/>
          <w:bCs/>
          <w:sz w:val="24"/>
          <w:lang w:val="en-US" w:eastAsia="zh-CN"/>
        </w:rPr>
      </w:pPr>
      <w:r>
        <w:rPr>
          <w:rFonts w:hint="eastAsia" w:ascii="宋体" w:hAnsi="宋体" w:eastAsia="宋体" w:cs="宋体"/>
          <w:bCs/>
          <w:sz w:val="24"/>
          <w:lang w:val="en-US" w:eastAsia="zh-CN"/>
        </w:rPr>
        <w:t>公司主持、参与制订了50余项国家行业标准。</w:t>
      </w:r>
      <w:r>
        <w:rPr>
          <w:rFonts w:hint="eastAsia" w:ascii="宋体" w:hAnsi="宋体" w:eastAsia="宋体" w:cs="宋体"/>
          <w:bCs/>
          <w:sz w:val="24"/>
          <w:lang w:eastAsia="zh-CN"/>
        </w:rPr>
        <w:t>2011年公司“铅高效清洁冶金及资源循环利用关键技术与产业化”获国家科技进步二等奖，“液态高铅渣直接还原新工艺研究”获河南省科技厅科技进步奖二等奖，“除铅渣底吹连续炼铅工艺研究”、“提高银回收率的工艺研究与实践”等3项科技成果分获中国有色金属工业科学技术奖三等奖。“熔池熔炼直接炼铅新工艺技术”被评为省有色金属行业“十一五”重大科技创新成果。“重金属清洁冶炼关键技术”列入国家863计划。公司各项指标明显优于行业平均水平，被工信部列为有色金属行业能效标杆企业，将豫光铅冶炼综合能耗指标列为有色金属行业能效标杆指标。公司实验室获得中国合格评定国家认可委员会实验室认可证书,标志着公司检测工作已与国际接轨，出具的检测报告可加盖国际实验室合作组织互认章。</w:t>
      </w:r>
      <w:r>
        <w:rPr>
          <w:rFonts w:hint="eastAsia" w:ascii="宋体" w:hAnsi="宋体" w:eastAsia="宋体" w:cs="宋体"/>
          <w:bCs/>
          <w:sz w:val="24"/>
          <w:lang w:val="en-US" w:eastAsia="zh-CN"/>
        </w:rPr>
        <w:t>因此，</w:t>
      </w:r>
      <w:r>
        <w:rPr>
          <w:rFonts w:hint="eastAsia" w:ascii="宋体" w:hAnsi="宋体" w:eastAsia="宋体" w:cs="宋体"/>
          <w:bCs/>
          <w:sz w:val="24"/>
        </w:rPr>
        <w:fldChar w:fldCharType="begin"/>
      </w:r>
      <w:r>
        <w:rPr>
          <w:rFonts w:hint="eastAsia" w:ascii="宋体" w:hAnsi="宋体" w:eastAsia="宋体" w:cs="宋体"/>
          <w:bCs/>
          <w:sz w:val="24"/>
        </w:rPr>
        <w:instrText xml:space="preserve"> HYPERLINK "https://baike.baidu.com/item/%E6%B2%B3%E5%8D%97" \t "https://baike.baidu.com/item/%E6%B2%B3%E5%8D%97%E8%B1%AB%E5%85%89%E9%87%91%E9%93%85%E8%82%A1%E4%BB%BD%E6%9C%89%E9%99%90%E5%85%AC%E5%8F%B8/_blank" </w:instrText>
      </w:r>
      <w:r>
        <w:rPr>
          <w:rFonts w:hint="eastAsia" w:ascii="宋体" w:hAnsi="宋体" w:eastAsia="宋体" w:cs="宋体"/>
          <w:bCs/>
          <w:sz w:val="24"/>
        </w:rPr>
        <w:fldChar w:fldCharType="separate"/>
      </w:r>
      <w:r>
        <w:rPr>
          <w:rFonts w:hint="eastAsia" w:ascii="宋体" w:hAnsi="宋体" w:eastAsia="宋体" w:cs="宋体"/>
          <w:bCs/>
          <w:sz w:val="24"/>
        </w:rPr>
        <w:t>河南</w:t>
      </w:r>
      <w:r>
        <w:rPr>
          <w:rFonts w:hint="eastAsia" w:ascii="宋体" w:hAnsi="宋体" w:eastAsia="宋体" w:cs="宋体"/>
          <w:bCs/>
          <w:sz w:val="24"/>
        </w:rPr>
        <w:fldChar w:fldCharType="end"/>
      </w:r>
      <w:r>
        <w:rPr>
          <w:rFonts w:hint="eastAsia" w:ascii="宋体" w:hAnsi="宋体" w:eastAsia="宋体" w:cs="宋体"/>
          <w:bCs/>
          <w:sz w:val="24"/>
        </w:rPr>
        <w:t>豫光金铅股份有限公司</w:t>
      </w:r>
      <w:r>
        <w:rPr>
          <w:rFonts w:hint="eastAsia" w:ascii="宋体" w:hAnsi="宋体" w:eastAsia="宋体" w:cs="宋体"/>
          <w:bCs/>
          <w:sz w:val="24"/>
          <w:lang w:val="en-US" w:eastAsia="zh-CN"/>
        </w:rPr>
        <w:t>完全具备主编起草本行业标准的资格、基础和条件。</w:t>
      </w:r>
    </w:p>
    <w:p>
      <w:pPr>
        <w:pageBreakBefore w:val="0"/>
        <w:kinsoku/>
        <w:wordWrap/>
        <w:overflowPunct/>
        <w:topLinePunct w:val="0"/>
        <w:autoSpaceDE/>
        <w:autoSpaceDN/>
        <w:bidi w:val="0"/>
        <w:adjustRightInd/>
        <w:snapToGrid/>
        <w:spacing w:line="420" w:lineRule="exact"/>
        <w:textAlignment w:val="auto"/>
        <w:outlineLvl w:val="1"/>
        <w:rPr>
          <w:rFonts w:cs="宋体"/>
          <w:color w:val="auto"/>
          <w:sz w:val="28"/>
          <w:szCs w:val="28"/>
        </w:rPr>
      </w:pPr>
      <w:bookmarkStart w:id="8" w:name="_Toc5129"/>
      <w:r>
        <w:rPr>
          <w:rFonts w:hint="eastAsia" w:ascii="黑体" w:hAnsi="黑体" w:eastAsia="黑体"/>
          <w:b/>
          <w:sz w:val="28"/>
          <w:szCs w:val="28"/>
          <w:lang w:eastAsia="zh-CN"/>
        </w:rPr>
        <w:t>四、</w:t>
      </w:r>
      <w:r>
        <w:rPr>
          <w:rFonts w:hint="eastAsia" w:ascii="黑体" w:hAnsi="黑体" w:eastAsia="黑体"/>
          <w:b/>
          <w:sz w:val="28"/>
          <w:szCs w:val="28"/>
        </w:rPr>
        <w:t>标准编制过程</w:t>
      </w:r>
      <w:bookmarkEnd w:id="8"/>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2021年4月</w:t>
      </w:r>
      <w:r>
        <w:rPr>
          <w:rFonts w:hint="eastAsia" w:ascii="宋体" w:hAnsi="宋体" w:eastAsia="宋体" w:cs="宋体"/>
          <w:bCs/>
          <w:color w:val="auto"/>
          <w:sz w:val="24"/>
          <w:szCs w:val="24"/>
          <w:lang w:eastAsia="zh-CN"/>
        </w:rPr>
        <w:t>，该标准通过</w:t>
      </w:r>
      <w:r>
        <w:rPr>
          <w:rFonts w:hint="eastAsia" w:ascii="宋体" w:hAnsi="宋体" w:eastAsia="宋体" w:cs="宋体"/>
          <w:bCs/>
          <w:color w:val="auto"/>
          <w:sz w:val="24"/>
          <w:szCs w:val="24"/>
          <w:lang w:val="en-US" w:eastAsia="zh-CN"/>
        </w:rPr>
        <w:t>标委会列入标准计划，由河南豫光金铅股份有限公司牵头实施，河南豫光金铅股份有限公司向标委会提交了《铅锭国家标准项目建议书》。</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2021年7月11日——7月19日，全国有色金属标准化技术委员会组织起草小组对全国14家铅和再生铅生产企业进行了现场调研和沟通交流。</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2021年7月20日在甘肃张掖召开的重金属标准会议上对《铅锭》和《再生铅锭》标准是否合并问题进行了讨论。</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val="en-US" w:eastAsia="zh-CN"/>
        </w:rPr>
        <w:t>2021年9月，豫光股份公司</w:t>
      </w:r>
      <w:r>
        <w:rPr>
          <w:rFonts w:hint="eastAsia" w:ascii="宋体" w:hAnsi="宋体" w:eastAsia="宋体" w:cs="宋体"/>
          <w:bCs/>
          <w:color w:val="auto"/>
          <w:sz w:val="24"/>
          <w:szCs w:val="24"/>
          <w:lang w:eastAsia="zh-CN"/>
        </w:rPr>
        <w:t>相关单位编制</w:t>
      </w:r>
      <w:r>
        <w:rPr>
          <w:rFonts w:hint="eastAsia" w:ascii="宋体" w:hAnsi="宋体" w:eastAsia="宋体" w:cs="宋体"/>
          <w:bCs/>
          <w:color w:val="auto"/>
          <w:sz w:val="24"/>
          <w:szCs w:val="24"/>
        </w:rPr>
        <w:t>组经查阅相关文献资料，</w:t>
      </w:r>
      <w:r>
        <w:rPr>
          <w:rFonts w:hint="eastAsia" w:ascii="宋体" w:hAnsi="宋体" w:eastAsia="宋体" w:cs="宋体"/>
          <w:bCs/>
          <w:color w:val="auto"/>
          <w:sz w:val="24"/>
          <w:szCs w:val="24"/>
          <w:lang w:eastAsia="zh-CN"/>
        </w:rPr>
        <w:t>与相关单位沟通，编制完成了《铅锭》草案。</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2021年12月25日—30日，全国有色金属标准化技术委员会组织起草小组对铅及铅合金的用户企业进行了现场调研及沟通交流。</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2022年3月，起草小组根据现场调研情况对《铅锭》草案进行了修改。</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2022年4月28日,全国有色金属标准化技术委员会组织召开了《铅锭》标准视屏讨论会，会议决定对《铅锭》和《再生铅锭》分开起草。</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2022年5月，起草小组根据讨论会的意见和建议，对《铅锭》讨论稿进行了修改，形成《铅锭》（预审稿）。</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2022年7月，全国有色金属标准化技术委员会在河南济源组织召开了《铅锭》标准预审会。</w:t>
      </w:r>
    </w:p>
    <w:p>
      <w:pPr>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2022年9月，起草小组根据预审会的意见和建议，对《铅锭》预审稿进行了修改，形成《铅锭》（审定稿）。</w:t>
      </w:r>
    </w:p>
    <w:p>
      <w:pPr>
        <w:ind w:firstLine="480"/>
        <w:rPr>
          <w:rFonts w:hint="default"/>
          <w:lang w:val="en-US" w:eastAsia="zh-CN"/>
        </w:rPr>
      </w:pPr>
    </w:p>
    <w:p>
      <w:pPr>
        <w:pStyle w:val="2"/>
        <w:pageBreakBefore w:val="0"/>
        <w:kinsoku/>
        <w:wordWrap/>
        <w:overflowPunct/>
        <w:topLinePunct w:val="0"/>
        <w:autoSpaceDE/>
        <w:autoSpaceDN/>
        <w:bidi w:val="0"/>
        <w:adjustRightInd/>
        <w:snapToGrid/>
        <w:spacing w:before="0" w:beforeLines="0" w:after="0" w:afterLines="0" w:line="420" w:lineRule="exact"/>
        <w:textAlignment w:val="auto"/>
        <w:outlineLvl w:val="0"/>
        <w:rPr>
          <w:rFonts w:hint="eastAsia" w:ascii="黑体" w:hAnsi="黑体" w:eastAsia="黑体" w:cs="黑体"/>
          <w:b/>
          <w:bCs w:val="0"/>
          <w:color w:val="auto"/>
          <w:sz w:val="28"/>
          <w:szCs w:val="28"/>
          <w:lang w:eastAsia="zh-CN"/>
        </w:rPr>
      </w:pPr>
      <w:r>
        <w:rPr>
          <w:rFonts w:hint="eastAsia" w:ascii="黑体" w:hAnsi="黑体" w:eastAsia="黑体" w:cs="黑体"/>
          <w:b/>
          <w:bCs w:val="0"/>
          <w:color w:val="auto"/>
          <w:sz w:val="28"/>
          <w:szCs w:val="28"/>
          <w:lang w:eastAsia="zh-CN"/>
        </w:rPr>
        <w:t>五、标准的编制原则和依据</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1.适用性原则。本标准要在调研目前行业内数据下，编制和制定相关</w:t>
      </w:r>
      <w:r>
        <w:rPr>
          <w:rFonts w:hint="eastAsia" w:ascii="宋体" w:hAnsi="宋体" w:eastAsia="宋体" w:cs="宋体"/>
          <w:sz w:val="24"/>
          <w:szCs w:val="24"/>
          <w:lang w:eastAsia="zh-CN"/>
        </w:rPr>
        <w:t>化学成分</w:t>
      </w:r>
      <w:r>
        <w:rPr>
          <w:rFonts w:hint="eastAsia" w:ascii="宋体" w:hAnsi="宋体" w:eastAsia="宋体" w:cs="宋体"/>
          <w:sz w:val="24"/>
          <w:szCs w:val="24"/>
        </w:rPr>
        <w:t>指标值</w:t>
      </w:r>
      <w:r>
        <w:rPr>
          <w:rFonts w:hint="eastAsia" w:ascii="宋体" w:hAnsi="宋体" w:eastAsia="宋体" w:cs="宋体"/>
          <w:sz w:val="24"/>
          <w:szCs w:val="24"/>
          <w:lang w:eastAsia="zh-CN"/>
        </w:rPr>
        <w:t>，既要</w:t>
      </w:r>
      <w:r>
        <w:rPr>
          <w:rFonts w:hint="eastAsia" w:ascii="宋体" w:hAnsi="宋体" w:eastAsia="宋体" w:cs="宋体"/>
          <w:sz w:val="24"/>
          <w:szCs w:val="24"/>
        </w:rPr>
        <w:t>适用大部分</w:t>
      </w:r>
      <w:r>
        <w:rPr>
          <w:rFonts w:hint="eastAsia" w:ascii="宋体" w:hAnsi="宋体" w:eastAsia="宋体" w:cs="宋体"/>
          <w:sz w:val="24"/>
          <w:szCs w:val="24"/>
          <w:lang w:eastAsia="zh-CN"/>
        </w:rPr>
        <w:t>铅锭生产</w:t>
      </w:r>
      <w:r>
        <w:rPr>
          <w:rFonts w:hint="eastAsia" w:ascii="宋体" w:hAnsi="宋体" w:eastAsia="宋体" w:cs="宋体"/>
          <w:sz w:val="24"/>
          <w:szCs w:val="24"/>
        </w:rPr>
        <w:t>企业，</w:t>
      </w:r>
      <w:r>
        <w:rPr>
          <w:rFonts w:hint="eastAsia" w:ascii="宋体" w:hAnsi="宋体" w:eastAsia="宋体" w:cs="宋体"/>
          <w:sz w:val="24"/>
          <w:szCs w:val="24"/>
          <w:lang w:eastAsia="zh-CN"/>
        </w:rPr>
        <w:t>又要</w:t>
      </w:r>
      <w:r>
        <w:rPr>
          <w:rFonts w:hint="eastAsia" w:ascii="宋体" w:hAnsi="宋体" w:eastAsia="宋体" w:cs="宋体"/>
          <w:sz w:val="24"/>
          <w:szCs w:val="24"/>
        </w:rPr>
        <w:t>积极</w:t>
      </w:r>
      <w:r>
        <w:rPr>
          <w:rFonts w:hint="eastAsia" w:ascii="宋体" w:hAnsi="宋体" w:eastAsia="宋体" w:cs="宋体"/>
          <w:sz w:val="24"/>
          <w:szCs w:val="24"/>
          <w:lang w:eastAsia="zh-CN"/>
        </w:rPr>
        <w:t>借鉴</w:t>
      </w:r>
      <w:r>
        <w:rPr>
          <w:rFonts w:hint="eastAsia" w:ascii="宋体" w:hAnsi="宋体" w:eastAsia="宋体" w:cs="宋体"/>
          <w:sz w:val="24"/>
          <w:szCs w:val="24"/>
        </w:rPr>
        <w:t>国外先进标准，以保护我国矿产资源和生态环境，确保我国铅锭产品达到国际先进水平。</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2.通用性和习惯性原则。修订标准应充分考虑生产企业的产品质量和相关单位的意见，以及</w:t>
      </w:r>
      <w:r>
        <w:rPr>
          <w:rFonts w:hint="eastAsia" w:ascii="宋体" w:hAnsi="宋体" w:eastAsia="宋体" w:cs="宋体"/>
          <w:sz w:val="24"/>
          <w:szCs w:val="24"/>
          <w:lang w:eastAsia="zh-CN"/>
        </w:rPr>
        <w:t>下游</w:t>
      </w:r>
      <w:r>
        <w:rPr>
          <w:rFonts w:hint="eastAsia" w:ascii="宋体" w:hAnsi="宋体" w:eastAsia="宋体" w:cs="宋体"/>
          <w:sz w:val="24"/>
          <w:szCs w:val="24"/>
        </w:rPr>
        <w:t>用户的需求。修订后的标准应科学合理、切实可行、具有可操作性。</w:t>
      </w:r>
    </w:p>
    <w:p>
      <w:pPr>
        <w:spacing w:after="0" w:line="360" w:lineRule="auto"/>
        <w:rPr>
          <w:rFonts w:hint="eastAsia" w:ascii="黑体" w:hAnsi="黑体" w:eastAsia="黑体" w:cs="黑体"/>
          <w:b/>
          <w:bCs w:val="0"/>
          <w:color w:val="auto"/>
          <w:sz w:val="28"/>
          <w:szCs w:val="28"/>
          <w:lang w:val="en-US" w:eastAsia="zh-CN" w:bidi="ar-SA"/>
        </w:rPr>
      </w:pPr>
      <w:r>
        <w:rPr>
          <w:rFonts w:hint="eastAsia" w:ascii="黑体" w:hAnsi="黑体" w:eastAsia="黑体" w:cs="黑体"/>
          <w:b/>
          <w:bCs w:val="0"/>
          <w:color w:val="auto"/>
          <w:sz w:val="28"/>
          <w:szCs w:val="28"/>
          <w:lang w:val="en-US" w:eastAsia="zh-CN" w:bidi="ar-SA"/>
        </w:rPr>
        <w:t>六、标准主要内容的确定</w:t>
      </w:r>
    </w:p>
    <w:p>
      <w:pPr>
        <w:spacing w:line="500" w:lineRule="exact"/>
        <w:rPr>
          <w:rFonts w:hint="eastAsia" w:ascii="宋体" w:hAnsi="宋体" w:eastAsia="宋体" w:cs="宋体"/>
          <w:sz w:val="24"/>
        </w:rPr>
      </w:pPr>
      <w:r>
        <w:rPr>
          <w:rFonts w:hint="eastAsia" w:ascii="宋体" w:hAnsi="宋体" w:eastAsia="宋体" w:cs="宋体"/>
          <w:sz w:val="24"/>
          <w:lang w:val="en-US" w:eastAsia="zh-CN"/>
        </w:rPr>
        <w:t>1.铅锭</w:t>
      </w:r>
      <w:r>
        <w:rPr>
          <w:rFonts w:hint="eastAsia" w:ascii="宋体" w:hAnsi="宋体" w:eastAsia="宋体" w:cs="宋体"/>
          <w:sz w:val="24"/>
        </w:rPr>
        <w:t>牌号的确定</w:t>
      </w:r>
    </w:p>
    <w:p>
      <w:pPr>
        <w:spacing w:line="500" w:lineRule="exact"/>
        <w:ind w:firstLine="420"/>
        <w:rPr>
          <w:rFonts w:hint="eastAsia" w:ascii="宋体" w:hAnsi="宋体" w:eastAsia="宋体" w:cs="宋体"/>
          <w:sz w:val="24"/>
          <w:lang w:val="en-US" w:eastAsia="zh-CN"/>
        </w:rPr>
      </w:pPr>
      <w:r>
        <w:rPr>
          <w:rFonts w:hint="eastAsia" w:ascii="宋体" w:hAnsi="宋体" w:eastAsia="宋体" w:cs="宋体"/>
          <w:sz w:val="24"/>
          <w:lang w:val="en-US" w:eastAsia="zh-CN"/>
        </w:rPr>
        <w:t>2013版铅锭</w:t>
      </w:r>
      <w:r>
        <w:rPr>
          <w:rFonts w:hint="eastAsia" w:ascii="宋体" w:hAnsi="宋体" w:eastAsia="宋体" w:cs="宋体"/>
          <w:sz w:val="24"/>
        </w:rPr>
        <w:t>标准共设5个牌号</w:t>
      </w:r>
      <w:r>
        <w:rPr>
          <w:rFonts w:hint="eastAsia" w:ascii="宋体" w:hAnsi="宋体" w:eastAsia="宋体" w:cs="宋体"/>
          <w:sz w:val="24"/>
          <w:lang w:eastAsia="zh-CN"/>
        </w:rPr>
        <w:t>，分别为</w:t>
      </w:r>
      <w:r>
        <w:rPr>
          <w:rFonts w:hint="eastAsia" w:ascii="宋体" w:hAnsi="宋体" w:eastAsia="宋体" w:cs="宋体"/>
          <w:sz w:val="24"/>
        </w:rPr>
        <w:t>Pb99.994</w:t>
      </w:r>
      <w:r>
        <w:rPr>
          <w:rFonts w:hint="eastAsia" w:ascii="宋体" w:hAnsi="宋体" w:eastAsia="宋体" w:cs="宋体"/>
          <w:sz w:val="24"/>
          <w:lang w:eastAsia="zh-CN"/>
        </w:rPr>
        <w:t>、</w:t>
      </w:r>
      <w:r>
        <w:rPr>
          <w:rFonts w:hint="eastAsia" w:ascii="宋体" w:hAnsi="宋体" w:eastAsia="宋体" w:cs="宋体"/>
          <w:sz w:val="24"/>
        </w:rPr>
        <w:t>Pb99.990</w:t>
      </w:r>
      <w:r>
        <w:rPr>
          <w:rFonts w:hint="eastAsia" w:ascii="宋体" w:hAnsi="宋体" w:eastAsia="宋体" w:cs="宋体"/>
          <w:sz w:val="24"/>
          <w:lang w:eastAsia="zh-CN"/>
        </w:rPr>
        <w:t>、</w:t>
      </w:r>
      <w:r>
        <w:rPr>
          <w:rFonts w:hint="eastAsia" w:ascii="宋体" w:hAnsi="宋体" w:eastAsia="宋体" w:cs="宋体"/>
          <w:sz w:val="24"/>
        </w:rPr>
        <w:t>Pb99.985、Pb99.970、Pb99.940牌号</w:t>
      </w:r>
      <w:r>
        <w:rPr>
          <w:rFonts w:hint="eastAsia" w:ascii="宋体" w:hAnsi="宋体" w:eastAsia="宋体" w:cs="宋体"/>
          <w:sz w:val="24"/>
          <w:lang w:eastAsia="zh-CN"/>
        </w:rPr>
        <w:t>。其中</w:t>
      </w:r>
      <w:r>
        <w:rPr>
          <w:rFonts w:hint="eastAsia" w:ascii="宋体" w:hAnsi="宋体" w:eastAsia="宋体" w:cs="宋体"/>
          <w:sz w:val="24"/>
        </w:rPr>
        <w:t>Pb99.994</w:t>
      </w:r>
      <w:r>
        <w:rPr>
          <w:rFonts w:hint="eastAsia" w:ascii="宋体" w:hAnsi="宋体" w:eastAsia="宋体" w:cs="宋体"/>
          <w:sz w:val="24"/>
          <w:lang w:eastAsia="zh-CN"/>
        </w:rPr>
        <w:t>为电解铅，其余</w:t>
      </w:r>
      <w:r>
        <w:rPr>
          <w:rFonts w:hint="eastAsia" w:ascii="宋体" w:hAnsi="宋体" w:eastAsia="宋体" w:cs="宋体"/>
          <w:sz w:val="24"/>
          <w:lang w:val="en-US" w:eastAsia="zh-CN"/>
        </w:rPr>
        <w:t>4项均为</w:t>
      </w:r>
      <w:r>
        <w:rPr>
          <w:rFonts w:hint="eastAsia" w:ascii="宋体" w:hAnsi="宋体" w:eastAsia="宋体" w:cs="宋体"/>
          <w:sz w:val="24"/>
        </w:rPr>
        <w:t>火法精炼</w:t>
      </w:r>
      <w:r>
        <w:rPr>
          <w:rFonts w:hint="eastAsia" w:ascii="宋体" w:hAnsi="宋体" w:eastAsia="宋体" w:cs="宋体"/>
          <w:sz w:val="24"/>
          <w:lang w:eastAsia="zh-CN"/>
        </w:rPr>
        <w:t>再生铅</w:t>
      </w:r>
      <w:r>
        <w:rPr>
          <w:rFonts w:hint="eastAsia" w:ascii="宋体" w:hAnsi="宋体" w:eastAsia="宋体" w:cs="宋体"/>
          <w:sz w:val="24"/>
        </w:rPr>
        <w:t>。</w:t>
      </w:r>
      <w:r>
        <w:rPr>
          <w:rFonts w:hint="eastAsia" w:ascii="宋体" w:hAnsi="宋体" w:eastAsia="宋体" w:cs="宋体"/>
          <w:sz w:val="24"/>
          <w:lang w:eastAsia="zh-CN"/>
        </w:rPr>
        <w:t>依据上次标准讨论会的讨论结果，本标准适用范围只包括电解法精炼生产的铅锭，故本次修订只保留原来的</w:t>
      </w:r>
      <w:r>
        <w:rPr>
          <w:rFonts w:hint="eastAsia" w:ascii="宋体" w:hAnsi="宋体" w:eastAsia="宋体" w:cs="宋体"/>
          <w:sz w:val="24"/>
        </w:rPr>
        <w:t>Pb99.994</w:t>
      </w:r>
      <w:r>
        <w:rPr>
          <w:rFonts w:hint="eastAsia" w:ascii="宋体" w:hAnsi="宋体" w:eastAsia="宋体" w:cs="宋体"/>
          <w:sz w:val="24"/>
          <w:lang w:eastAsia="zh-CN"/>
        </w:rPr>
        <w:t>牌号。随着铅冶炼技术的进步，铅锭产品质量也有了较大的提升，杂质元素含量有了不同程度的下降，同时为了满足高端客户对铅锭产品的质量需求，增加</w:t>
      </w:r>
      <w:r>
        <w:rPr>
          <w:rFonts w:hint="eastAsia" w:ascii="宋体" w:hAnsi="宋体" w:eastAsia="宋体" w:cs="宋体"/>
          <w:sz w:val="24"/>
        </w:rPr>
        <w:t>Pb99.99</w:t>
      </w:r>
      <w:r>
        <w:rPr>
          <w:rFonts w:hint="eastAsia" w:ascii="宋体" w:hAnsi="宋体" w:eastAsia="宋体" w:cs="宋体"/>
          <w:sz w:val="24"/>
          <w:lang w:val="en-US" w:eastAsia="zh-CN"/>
        </w:rPr>
        <w:t>6牌号。</w:t>
      </w:r>
    </w:p>
    <w:p>
      <w:pPr>
        <w:numPr>
          <w:ilvl w:val="0"/>
          <w:numId w:val="1"/>
        </w:numPr>
        <w:spacing w:line="500" w:lineRule="exact"/>
        <w:rPr>
          <w:rFonts w:hint="eastAsia" w:ascii="宋体" w:hAnsi="宋体" w:eastAsia="宋体" w:cs="宋体"/>
          <w:bCs w:val="0"/>
          <w:sz w:val="24"/>
          <w:szCs w:val="22"/>
          <w:lang w:val="en-US" w:eastAsia="zh-CN" w:bidi="ar-SA"/>
        </w:rPr>
      </w:pPr>
      <w:r>
        <w:rPr>
          <w:rFonts w:hint="eastAsia" w:ascii="宋体" w:hAnsi="宋体" w:eastAsia="宋体" w:cs="宋体"/>
          <w:sz w:val="24"/>
          <w:lang w:eastAsia="zh-CN"/>
        </w:rPr>
        <w:t>铅锭</w:t>
      </w:r>
      <w:r>
        <w:rPr>
          <w:rFonts w:hint="eastAsia" w:ascii="宋体" w:hAnsi="宋体" w:eastAsia="宋体" w:cs="宋体"/>
          <w:sz w:val="24"/>
        </w:rPr>
        <w:t>化学成分的确定</w:t>
      </w:r>
      <w:r>
        <w:rPr>
          <w:rFonts w:hint="eastAsia" w:ascii="宋体" w:hAnsi="宋体" w:eastAsia="宋体" w:cs="宋体"/>
          <w:sz w:val="24"/>
          <w:lang w:val="en-US" w:eastAsia="zh-CN"/>
        </w:rPr>
        <w:t xml:space="preserve"> </w:t>
      </w:r>
    </w:p>
    <w:p>
      <w:pPr>
        <w:pStyle w:val="2"/>
        <w:pageBreakBefore w:val="0"/>
        <w:widowControl/>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bCs w:val="0"/>
          <w:sz w:val="24"/>
          <w:szCs w:val="22"/>
          <w:lang w:val="en-US" w:eastAsia="zh-CN" w:bidi="ar-SA"/>
        </w:rPr>
      </w:pPr>
      <w:r>
        <w:rPr>
          <w:rFonts w:hint="eastAsia"/>
          <w:lang w:val="en-US" w:eastAsia="zh-CN"/>
        </w:rPr>
        <w:t xml:space="preserve">    </w:t>
      </w:r>
      <w:r>
        <w:rPr>
          <w:rFonts w:hint="eastAsia" w:ascii="宋体" w:hAnsi="宋体" w:eastAsia="宋体" w:cs="宋体"/>
          <w:bCs w:val="0"/>
          <w:sz w:val="24"/>
          <w:szCs w:val="22"/>
          <w:lang w:val="en-US" w:eastAsia="zh-CN" w:bidi="ar-SA"/>
        </w:rPr>
        <w:t>国内近几年再生铅产业发展迅猛，再生铅产量已占到铅产量的一半左右，和电解铅形成激烈的市场竞争。而竞争的焦点和实质是质量。</w:t>
      </w:r>
      <w:r>
        <w:rPr>
          <w:rFonts w:hint="eastAsia" w:cs="宋体"/>
          <w:bCs w:val="0"/>
          <w:sz w:val="24"/>
          <w:szCs w:val="22"/>
          <w:lang w:val="en-US" w:eastAsia="zh-CN" w:bidi="ar-SA"/>
        </w:rPr>
        <w:t>对</w:t>
      </w:r>
      <w:r>
        <w:rPr>
          <w:rFonts w:hint="eastAsia" w:ascii="宋体" w:hAnsi="宋体" w:eastAsia="宋体" w:cs="宋体"/>
          <w:bCs w:val="0"/>
          <w:sz w:val="24"/>
          <w:szCs w:val="22"/>
          <w:lang w:val="en-US" w:eastAsia="zh-CN" w:bidi="ar-SA"/>
        </w:rPr>
        <w:t>企业而言，要提高经济效益，从根本上讲，首先必须提高产品质量。没有质量就没有数量，没有质量就没有经济效益,产品质量既是数量的基础,又是经济效益的基础。要把质量搞上去，就必须提高和改进电解铅的</w:t>
      </w:r>
      <w:r>
        <w:rPr>
          <w:rFonts w:hint="eastAsia" w:cs="宋体"/>
          <w:bCs w:val="0"/>
          <w:sz w:val="24"/>
          <w:szCs w:val="22"/>
          <w:lang w:val="en-US" w:eastAsia="zh-CN" w:bidi="ar-SA"/>
        </w:rPr>
        <w:t>化学成分</w:t>
      </w:r>
      <w:r>
        <w:rPr>
          <w:rFonts w:hint="eastAsia" w:ascii="宋体" w:hAnsi="宋体" w:eastAsia="宋体" w:cs="宋体"/>
          <w:bCs w:val="0"/>
          <w:sz w:val="24"/>
          <w:szCs w:val="22"/>
          <w:lang w:val="en-US" w:eastAsia="zh-CN" w:bidi="ar-SA"/>
        </w:rPr>
        <w:t>，以便更好的</w:t>
      </w:r>
      <w:r>
        <w:rPr>
          <w:rFonts w:hint="eastAsia" w:cs="宋体"/>
          <w:bCs w:val="0"/>
          <w:sz w:val="24"/>
          <w:szCs w:val="22"/>
          <w:lang w:val="en-US" w:eastAsia="zh-CN" w:bidi="ar-SA"/>
        </w:rPr>
        <w:t>服务和</w:t>
      </w:r>
      <w:r>
        <w:rPr>
          <w:rFonts w:hint="eastAsia" w:ascii="宋体" w:hAnsi="宋体" w:eastAsia="宋体" w:cs="宋体"/>
          <w:bCs w:val="0"/>
          <w:sz w:val="24"/>
          <w:szCs w:val="22"/>
          <w:lang w:val="en-US" w:eastAsia="zh-CN" w:bidi="ar-SA"/>
        </w:rPr>
        <w:t>满足市场需求。</w:t>
      </w:r>
    </w:p>
    <w:p>
      <w:pPr>
        <w:pStyle w:val="2"/>
        <w:pageBreakBefore w:val="0"/>
        <w:widowControl/>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lang w:val="en-US" w:eastAsia="zh-CN"/>
        </w:rPr>
      </w:pPr>
      <w:r>
        <w:rPr>
          <w:rFonts w:hint="eastAsia"/>
          <w:lang w:val="en-US" w:eastAsia="zh-CN"/>
        </w:rPr>
        <w:t>同时随着国内铅冶炼技术的进步，尤其是大极板电解技术的应用，铅锭中杂质含量有不同程度的下降。通过对国内多家电解铅下游企业的调研和交流，铅酸蓄电池企业对电解铅的质量提升都提出了新的要求。故在本次标准修订中，对部分杂质元素进行了适度的调整，在保证目前电解铅产品合格率的情况下，最大限度的满足市场需求。</w:t>
      </w:r>
    </w:p>
    <w:p>
      <w:pPr>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lang w:val="en-US" w:eastAsia="zh-CN"/>
        </w:rPr>
      </w:pPr>
      <w:r>
        <w:rPr>
          <w:rFonts w:hint="eastAsia" w:ascii="宋体" w:hAnsi="宋体" w:eastAsia="宋体" w:cs="宋体"/>
          <w:bCs w:val="0"/>
          <w:sz w:val="24"/>
          <w:szCs w:val="22"/>
          <w:lang w:val="en-US" w:eastAsia="zh-CN" w:bidi="ar-SA"/>
        </w:rPr>
        <w:t>故对铅锭中Ag、Cu、Bi的含量进行了修订，牌号Pb99.996中杂质元素Ag、Cu、Bi的含量分别定为0.0006%、0.0005%、0.0015%；牌号Pb99.994中杂质元素Ag、Cu、Bi的含量分别定为0.0007%、0.0007%、0.002%。</w:t>
      </w:r>
    </w:p>
    <w:p>
      <w:pPr>
        <w:numPr>
          <w:ilvl w:val="0"/>
          <w:numId w:val="2"/>
        </w:numPr>
        <w:rPr>
          <w:rFonts w:hint="eastAsia" w:ascii="宋体" w:hAnsi="宋体" w:eastAsia="宋体" w:cs="宋体"/>
          <w:bCs w:val="0"/>
          <w:sz w:val="24"/>
          <w:szCs w:val="22"/>
          <w:lang w:val="en-US" w:eastAsia="zh-CN" w:bidi="ar-SA"/>
        </w:rPr>
      </w:pPr>
      <w:r>
        <w:rPr>
          <w:rFonts w:hint="eastAsia" w:ascii="宋体" w:hAnsi="宋体" w:eastAsia="宋体" w:cs="宋体"/>
          <w:bCs w:val="0"/>
          <w:sz w:val="24"/>
          <w:szCs w:val="22"/>
          <w:lang w:val="en-US" w:eastAsia="zh-CN" w:bidi="ar-SA"/>
        </w:rPr>
        <w:t>铅锭中Ag含量的确定</w:t>
      </w:r>
    </w:p>
    <w:tbl>
      <w:tblPr>
        <w:tblStyle w:val="7"/>
        <w:tblW w:w="9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0"/>
        <w:gridCol w:w="1080"/>
        <w:gridCol w:w="615"/>
        <w:gridCol w:w="1080"/>
        <w:gridCol w:w="675"/>
        <w:gridCol w:w="1515"/>
        <w:gridCol w:w="630"/>
        <w:gridCol w:w="1080"/>
        <w:gridCol w:w="70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Ag/%</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Ag/%</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Ag/%</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Ag/%</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FF0000"/>
                <w:kern w:val="0"/>
                <w:sz w:val="22"/>
                <w:szCs w:val="22"/>
                <w:u w:val="none"/>
                <w:lang w:val="en-US" w:eastAsia="zh-CN" w:bidi="ar"/>
              </w:rPr>
              <w:t>0.00682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FF0000"/>
                <w:kern w:val="0"/>
                <w:sz w:val="22"/>
                <w:szCs w:val="22"/>
                <w:u w:val="none"/>
                <w:lang w:val="en-US" w:eastAsia="zh-CN" w:bidi="ar"/>
              </w:rPr>
              <w:t>0.00081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0.00126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6951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6952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6953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6954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r>
    </w:tbl>
    <w:p>
      <w:pPr>
        <w:pStyle w:val="2"/>
        <w:keepNext/>
        <w:keepLines/>
        <w:pageBreakBefore w:val="0"/>
        <w:widowControl/>
        <w:kinsoku/>
        <w:wordWrap/>
        <w:overflowPunct/>
        <w:topLinePunct w:val="0"/>
        <w:autoSpaceDE/>
        <w:autoSpaceDN/>
        <w:bidi w:val="0"/>
        <w:adjustRightInd w:val="0"/>
        <w:snapToGrid w:val="0"/>
        <w:spacing w:line="360" w:lineRule="auto"/>
        <w:textAlignment w:val="auto"/>
        <w:rPr>
          <w:rFonts w:hint="default"/>
          <w:lang w:val="en-US" w:eastAsia="zh-CN"/>
        </w:rPr>
      </w:pPr>
      <w:r>
        <w:rPr>
          <w:rFonts w:hint="eastAsia"/>
          <w:lang w:val="en-US" w:eastAsia="zh-CN"/>
        </w:rPr>
        <w:t xml:space="preserve">    统计2020年至2022年国内电解铅6954批次，其中Ag含量不大于0.0006%共6931批次，合格率为99.67%；Ag含量不大于0.0007%共6948批次，合格率为99.91%。</w:t>
      </w:r>
    </w:p>
    <w:p>
      <w:pPr>
        <w:numPr>
          <w:ilvl w:val="0"/>
          <w:numId w:val="2"/>
        </w:numPr>
        <w:rPr>
          <w:rFonts w:hint="eastAsia" w:ascii="宋体" w:hAnsi="宋体" w:eastAsia="宋体" w:cs="宋体"/>
          <w:bCs w:val="0"/>
          <w:sz w:val="24"/>
          <w:szCs w:val="22"/>
          <w:lang w:val="en-US" w:eastAsia="zh-CN" w:bidi="ar-SA"/>
        </w:rPr>
      </w:pPr>
      <w:r>
        <w:rPr>
          <w:rFonts w:hint="eastAsia" w:ascii="宋体" w:hAnsi="宋体" w:eastAsia="宋体" w:cs="宋体"/>
          <w:bCs w:val="0"/>
          <w:sz w:val="24"/>
          <w:szCs w:val="22"/>
          <w:lang w:val="en-US" w:eastAsia="zh-CN" w:bidi="ar-SA"/>
        </w:rPr>
        <w:t>铅锭中Cu含量的确定</w:t>
      </w:r>
    </w:p>
    <w:tbl>
      <w:tblPr>
        <w:tblStyle w:val="7"/>
        <w:tblW w:w="91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4"/>
        <w:gridCol w:w="1021"/>
        <w:gridCol w:w="689"/>
        <w:gridCol w:w="1006"/>
        <w:gridCol w:w="749"/>
        <w:gridCol w:w="1381"/>
        <w:gridCol w:w="764"/>
        <w:gridCol w:w="1005"/>
        <w:gridCol w:w="795"/>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Cu/%</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Cu/%</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Cu/%</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Cu/%</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0.00021</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0.00026</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0.00024</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0.00021</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0.00024</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0.00021</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0.00022</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0.00024</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0.00025</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0.00022</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0.00022</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0.00024</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0.00024</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0.00021</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0.00024</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0.00024</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0.00023</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192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0.00023</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0.00055</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0.00012</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0.00023</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0.00024</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0.00019</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0.00017</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0.00023</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6953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0.00018</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0.00022</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0.00013</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0.00015</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6954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0.00023</w:t>
            </w:r>
          </w:p>
        </w:tc>
      </w:tr>
    </w:tbl>
    <w:p>
      <w:pPr>
        <w:pStyle w:val="2"/>
        <w:keepNext/>
        <w:keepLines/>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lang w:val="en-US" w:eastAsia="zh-CN"/>
        </w:rPr>
      </w:pPr>
      <w:r>
        <w:rPr>
          <w:rFonts w:hint="eastAsia"/>
          <w:lang w:val="en-US" w:eastAsia="zh-CN"/>
        </w:rPr>
        <w:t>统计2020年至2022年国内电解铅6954批次，其中Cu含量不大于0.0005%共6722批次，合格率为96.65%；Cu含量不大于0.0007%共6829批次，合格率为98.2%。</w:t>
      </w:r>
    </w:p>
    <w:p>
      <w:pPr>
        <w:pStyle w:val="2"/>
        <w:rPr>
          <w:rFonts w:hint="default"/>
          <w:lang w:val="en-US" w:eastAsia="zh-CN"/>
        </w:rPr>
      </w:pPr>
    </w:p>
    <w:p>
      <w:pPr>
        <w:numPr>
          <w:ilvl w:val="0"/>
          <w:numId w:val="2"/>
        </w:numPr>
        <w:rPr>
          <w:rFonts w:hint="eastAsia" w:ascii="宋体" w:hAnsi="宋体" w:eastAsia="宋体" w:cs="宋体"/>
          <w:bCs w:val="0"/>
          <w:sz w:val="24"/>
          <w:szCs w:val="22"/>
          <w:lang w:val="en-US" w:eastAsia="zh-CN" w:bidi="ar-SA"/>
        </w:rPr>
      </w:pPr>
      <w:r>
        <w:rPr>
          <w:rFonts w:hint="eastAsia" w:ascii="宋体" w:hAnsi="宋体" w:eastAsia="宋体" w:cs="宋体"/>
          <w:bCs w:val="0"/>
          <w:sz w:val="24"/>
          <w:szCs w:val="22"/>
          <w:lang w:val="en-US" w:eastAsia="zh-CN" w:bidi="ar-SA"/>
        </w:rPr>
        <w:t>铅锭中Bi含量的确定</w:t>
      </w:r>
    </w:p>
    <w:tbl>
      <w:tblPr>
        <w:tblStyle w:val="7"/>
        <w:tblW w:w="89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5"/>
        <w:gridCol w:w="1080"/>
        <w:gridCol w:w="615"/>
        <w:gridCol w:w="1080"/>
        <w:gridCol w:w="615"/>
        <w:gridCol w:w="1515"/>
        <w:gridCol w:w="615"/>
        <w:gridCol w:w="1080"/>
        <w:gridCol w:w="656"/>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Bi/%</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Bi/%</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Bi/%</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Bi/%</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0.00075</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0.00068</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0.00073</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0.00073</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0.00053</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0.00063</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0.00054</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0.00041</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0.00064</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0.00082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0.00051</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0.00048</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0.00055</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0.00051</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0.00046</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0.00035</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0.00066</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0.00046</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0.00069</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0.00071</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0.00037</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0.00053</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0.00067</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0.00067</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0.00051</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0.00082</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0.00066</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0.00083</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0.00045</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0.00046</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6952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0.00047</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0.00046</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6953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0.0006</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6954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0.00046</w:t>
            </w:r>
          </w:p>
        </w:tc>
      </w:tr>
    </w:tbl>
    <w:p>
      <w:pPr>
        <w:pStyle w:val="2"/>
        <w:keepNext/>
        <w:keepLines/>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rPr>
      </w:pPr>
      <w:r>
        <w:rPr>
          <w:rFonts w:hint="eastAsia"/>
          <w:lang w:val="en-US" w:eastAsia="zh-CN"/>
        </w:rPr>
        <w:t>由于国内不少铅酸蓄电池企业要求电解铅含Bi不大于0.0015%，火法精炼铅含Bi最低可达到0.002%。为了满足客户需求，同时区分电解铅和火法再生铅。将一级品含Bi定为0.0015%，二级品含Bi定为0.002%。统计2020年至2022年国内电解铅6954批次，其中Bi含量不大于0.0015%共6707批次，合格率为96.45%；Bi含量不大于0.002%共6826批次，合格率为98.16%。</w:t>
      </w:r>
    </w:p>
    <w:p>
      <w:pPr>
        <w:spacing w:line="500" w:lineRule="exact"/>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eastAsia="zh-CN"/>
        </w:rPr>
        <w:t>铅锭</w:t>
      </w:r>
      <w:r>
        <w:rPr>
          <w:rFonts w:hint="eastAsia" w:ascii="宋体" w:hAnsi="宋体" w:eastAsia="宋体" w:cs="宋体"/>
          <w:sz w:val="24"/>
        </w:rPr>
        <w:t>规格的确定</w:t>
      </w:r>
    </w:p>
    <w:p>
      <w:pPr>
        <w:numPr>
          <w:ilvl w:val="0"/>
          <w:numId w:val="0"/>
        </w:numPr>
        <w:spacing w:line="500" w:lineRule="exact"/>
        <w:ind w:leftChars="0"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根据市场需求和现有生产企业的实际情况，铅锭规格仍保持不变，分小锭和大锭两种锭型。小锭分48kg、42kg、40kg、24kg四种规格，大锭分950kg、500kg两种规格。</w:t>
      </w:r>
    </w:p>
    <w:p>
      <w:pPr>
        <w:numPr>
          <w:ilvl w:val="0"/>
          <w:numId w:val="0"/>
        </w:numPr>
        <w:spacing w:line="500" w:lineRule="exact"/>
        <w:ind w:leftChars="0"/>
        <w:rPr>
          <w:rFonts w:hint="eastAsia" w:ascii="宋体" w:hAnsi="宋体" w:eastAsia="宋体" w:cs="宋体"/>
          <w:sz w:val="24"/>
          <w:lang w:eastAsia="zh-CN"/>
        </w:rPr>
      </w:pPr>
      <w:r>
        <w:rPr>
          <w:rFonts w:hint="eastAsia" w:ascii="宋体" w:hAnsi="宋体" w:eastAsia="宋体" w:cs="宋体"/>
          <w:sz w:val="24"/>
          <w:lang w:val="en-US" w:eastAsia="zh-CN"/>
        </w:rPr>
        <w:t>4.</w:t>
      </w:r>
      <w:r>
        <w:rPr>
          <w:rFonts w:hint="eastAsia" w:ascii="宋体" w:hAnsi="宋体" w:eastAsia="宋体" w:cs="宋体"/>
          <w:sz w:val="24"/>
          <w:lang w:eastAsia="zh-CN"/>
        </w:rPr>
        <w:t>检验和取制样</w:t>
      </w:r>
    </w:p>
    <w:p>
      <w:pPr>
        <w:numPr>
          <w:ilvl w:val="0"/>
          <w:numId w:val="0"/>
        </w:numPr>
        <w:spacing w:line="500" w:lineRule="exact"/>
        <w:ind w:leftChars="0"/>
        <w:rPr>
          <w:rFonts w:hint="eastAsia" w:ascii="宋体" w:hAnsi="宋体" w:eastAsia="宋体" w:cs="宋体"/>
          <w:sz w:val="24"/>
          <w:lang w:val="en-US" w:eastAsia="zh-CN"/>
        </w:rPr>
      </w:pPr>
      <w:r>
        <w:rPr>
          <w:rFonts w:hint="eastAsia" w:ascii="宋体" w:hAnsi="宋体" w:eastAsia="宋体" w:cs="宋体"/>
          <w:sz w:val="24"/>
          <w:lang w:val="en-US" w:eastAsia="zh-CN"/>
        </w:rPr>
        <w:t>4</w:t>
      </w:r>
      <w:r>
        <w:rPr>
          <w:rFonts w:hint="eastAsia" w:ascii="宋体" w:hAnsi="宋体" w:eastAsia="宋体" w:cs="宋体"/>
          <w:sz w:val="24"/>
          <w:lang w:val="en-US" w:eastAsia="en-US"/>
        </w:rPr>
        <w:t>.1</w:t>
      </w:r>
      <w:r>
        <w:rPr>
          <w:rFonts w:hint="eastAsia" w:ascii="宋体" w:hAnsi="宋体" w:eastAsia="宋体" w:cs="宋体"/>
          <w:sz w:val="24"/>
          <w:lang w:val="en-US" w:eastAsia="zh-CN"/>
        </w:rPr>
        <w:t>检查与验收</w:t>
      </w:r>
    </w:p>
    <w:p>
      <w:pPr>
        <w:numPr>
          <w:ilvl w:val="0"/>
          <w:numId w:val="0"/>
        </w:numPr>
        <w:spacing w:line="500" w:lineRule="exact"/>
        <w:ind w:leftChars="0"/>
        <w:rPr>
          <w:rFonts w:hint="eastAsia" w:ascii="宋体" w:hAnsi="宋体" w:eastAsia="宋体" w:cs="宋体"/>
          <w:sz w:val="24"/>
          <w:lang w:val="en-US" w:eastAsia="zh-CN"/>
        </w:rPr>
      </w:pPr>
      <w:r>
        <w:rPr>
          <w:rFonts w:hint="eastAsia" w:ascii="宋体" w:hAnsi="宋体" w:eastAsia="宋体" w:cs="宋体"/>
          <w:sz w:val="24"/>
          <w:lang w:val="en-US" w:eastAsia="zh-CN"/>
        </w:rPr>
        <w:t>（1）铅锭应由供方质量监督部门进行检验，保证产品质量符合本文件的规定，并填写质量预报单。</w:t>
      </w:r>
    </w:p>
    <w:p>
      <w:pPr>
        <w:numPr>
          <w:ilvl w:val="0"/>
          <w:numId w:val="0"/>
        </w:numPr>
        <w:spacing w:line="500" w:lineRule="exact"/>
        <w:ind w:leftChars="0"/>
        <w:rPr>
          <w:rFonts w:hint="eastAsia" w:ascii="宋体" w:hAnsi="宋体" w:eastAsia="宋体" w:cs="宋体"/>
          <w:sz w:val="24"/>
          <w:lang w:val="en-US" w:eastAsia="zh-CN"/>
        </w:rPr>
      </w:pPr>
      <w:r>
        <w:rPr>
          <w:rFonts w:hint="eastAsia" w:ascii="宋体" w:hAnsi="宋体" w:eastAsia="宋体" w:cs="宋体"/>
          <w:sz w:val="24"/>
          <w:lang w:val="en-US" w:eastAsia="zh-CN"/>
        </w:rPr>
        <w:t>（2）需方可对收到的产品按本文件的规定进行检验,如检验结果与本文件或订货单的规定不符时，应在收到产品之日起30天内向供方提出，由供需双方协商解决。如需仲裁，仲裁取样在需方由供需双方共同进行。</w:t>
      </w:r>
    </w:p>
    <w:p>
      <w:pPr>
        <w:numPr>
          <w:ilvl w:val="0"/>
          <w:numId w:val="0"/>
        </w:numPr>
        <w:spacing w:line="500" w:lineRule="exact"/>
        <w:ind w:leftChars="0"/>
        <w:rPr>
          <w:rFonts w:hint="eastAsia" w:ascii="宋体" w:hAnsi="宋体" w:eastAsia="宋体" w:cs="宋体"/>
          <w:sz w:val="24"/>
          <w:lang w:val="en-US" w:eastAsia="zh-CN"/>
        </w:rPr>
      </w:pPr>
      <w:r>
        <w:rPr>
          <w:rFonts w:hint="eastAsia" w:ascii="宋体" w:hAnsi="宋体" w:eastAsia="宋体" w:cs="宋体"/>
          <w:sz w:val="24"/>
          <w:lang w:val="en-US" w:eastAsia="zh-CN"/>
        </w:rPr>
        <w:t>4.2</w:t>
      </w:r>
      <w:r>
        <w:rPr>
          <w:rFonts w:hint="eastAsia" w:ascii="宋体" w:hAnsi="宋体" w:eastAsia="宋体" w:cs="宋体"/>
          <w:sz w:val="24"/>
          <w:lang w:val="zh-TW" w:eastAsia="zh-TW"/>
        </w:rPr>
        <w:t>组批</w:t>
      </w:r>
    </w:p>
    <w:p>
      <w:pPr>
        <w:numPr>
          <w:ilvl w:val="0"/>
          <w:numId w:val="0"/>
        </w:numPr>
        <w:spacing w:line="500" w:lineRule="exact"/>
        <w:ind w:leftChars="0"/>
        <w:rPr>
          <w:rFonts w:hint="eastAsia" w:ascii="宋体" w:hAnsi="宋体" w:eastAsia="宋体" w:cs="宋体"/>
          <w:sz w:val="24"/>
          <w:lang w:val="en-US" w:eastAsia="zh-CN"/>
        </w:rPr>
      </w:pPr>
      <w:r>
        <w:rPr>
          <w:rFonts w:hint="eastAsia" w:ascii="宋体" w:hAnsi="宋体" w:eastAsia="宋体" w:cs="宋体"/>
          <w:sz w:val="24"/>
          <w:lang w:val="en-US" w:eastAsia="zh-CN"/>
        </w:rPr>
        <w:t>（1）铅锭应成批提交检验，每批应由同一炉、同一牌号的产品组成，每批重量不大于150 t。</w:t>
      </w:r>
    </w:p>
    <w:p>
      <w:pPr>
        <w:numPr>
          <w:ilvl w:val="0"/>
          <w:numId w:val="0"/>
        </w:numPr>
        <w:spacing w:line="500" w:lineRule="exact"/>
        <w:ind w:leftChars="0"/>
        <w:rPr>
          <w:rFonts w:hint="eastAsia" w:ascii="宋体" w:hAnsi="宋体" w:eastAsia="宋体" w:cs="宋体"/>
          <w:sz w:val="24"/>
          <w:lang w:val="en-US" w:eastAsia="zh-CN"/>
        </w:rPr>
      </w:pPr>
      <w:r>
        <w:rPr>
          <w:rFonts w:hint="eastAsia" w:ascii="宋体" w:hAnsi="宋体" w:eastAsia="宋体" w:cs="宋体"/>
          <w:sz w:val="24"/>
          <w:lang w:val="en-US" w:eastAsia="zh-CN"/>
        </w:rPr>
        <w:t>（2）根据需方要求，允许由同一牌号的多个生产批组成一个检验批。批量按需方要求执行。</w:t>
      </w:r>
    </w:p>
    <w:p>
      <w:pPr>
        <w:numPr>
          <w:ilvl w:val="0"/>
          <w:numId w:val="0"/>
        </w:numPr>
        <w:spacing w:line="500" w:lineRule="exact"/>
        <w:ind w:leftChars="0"/>
        <w:rPr>
          <w:rFonts w:hint="eastAsia" w:ascii="宋体" w:hAnsi="宋体" w:eastAsia="宋体" w:cs="宋体"/>
          <w:sz w:val="24"/>
          <w:lang w:val="en-US" w:eastAsia="zh-CN"/>
        </w:rPr>
      </w:pPr>
      <w:r>
        <w:rPr>
          <w:rFonts w:hint="eastAsia" w:ascii="宋体" w:hAnsi="宋体" w:eastAsia="宋体" w:cs="宋体"/>
          <w:sz w:val="24"/>
          <w:lang w:val="en-US" w:eastAsia="zh-CN"/>
        </w:rPr>
        <w:t>4</w:t>
      </w:r>
      <w:r>
        <w:rPr>
          <w:rFonts w:hint="eastAsia" w:ascii="宋体" w:hAnsi="宋体" w:eastAsia="宋体" w:cs="宋体"/>
          <w:sz w:val="24"/>
          <w:lang w:val="en-US" w:eastAsia="en-US"/>
        </w:rPr>
        <w:t>.3</w:t>
      </w:r>
      <w:r>
        <w:rPr>
          <w:rFonts w:hint="eastAsia" w:ascii="宋体" w:hAnsi="宋体" w:eastAsia="宋体" w:cs="宋体"/>
          <w:sz w:val="24"/>
          <w:lang w:val="en-US" w:eastAsia="zh-CN"/>
        </w:rPr>
        <w:t>检验项目</w:t>
      </w:r>
    </w:p>
    <w:p>
      <w:pPr>
        <w:numPr>
          <w:ilvl w:val="0"/>
          <w:numId w:val="0"/>
        </w:numPr>
        <w:spacing w:line="500" w:lineRule="exact"/>
        <w:ind w:leftChars="0"/>
        <w:rPr>
          <w:rFonts w:hint="eastAsia" w:ascii="宋体" w:hAnsi="宋体" w:eastAsia="宋体" w:cs="宋体"/>
          <w:sz w:val="24"/>
          <w:lang w:val="en-US" w:eastAsia="zh-CN"/>
        </w:rPr>
      </w:pPr>
      <w:r>
        <w:rPr>
          <w:rFonts w:hint="eastAsia" w:ascii="宋体" w:hAnsi="宋体" w:eastAsia="宋体" w:cs="宋体"/>
          <w:sz w:val="24"/>
          <w:lang w:val="en-US" w:eastAsia="zh-CN"/>
        </w:rPr>
        <w:t>每批铅锭应进行化学成分、物理规格和表面质量的检验。</w:t>
      </w:r>
    </w:p>
    <w:p>
      <w:pPr>
        <w:numPr>
          <w:ilvl w:val="0"/>
          <w:numId w:val="0"/>
        </w:numPr>
        <w:spacing w:line="500" w:lineRule="exact"/>
        <w:ind w:leftChars="0"/>
        <w:rPr>
          <w:rFonts w:hint="eastAsia" w:ascii="宋体" w:hAnsi="宋体" w:eastAsia="宋体" w:cs="宋体"/>
          <w:sz w:val="24"/>
          <w:lang w:val="en-US" w:eastAsia="zh-CN"/>
        </w:rPr>
      </w:pPr>
      <w:r>
        <w:rPr>
          <w:rFonts w:hint="eastAsia" w:ascii="宋体" w:hAnsi="宋体" w:eastAsia="宋体" w:cs="宋体"/>
          <w:sz w:val="24"/>
          <w:lang w:val="en-US" w:eastAsia="zh-CN"/>
        </w:rPr>
        <w:t>4</w:t>
      </w:r>
      <w:r>
        <w:rPr>
          <w:rFonts w:hint="eastAsia" w:ascii="宋体" w:hAnsi="宋体" w:eastAsia="宋体" w:cs="宋体"/>
          <w:sz w:val="24"/>
          <w:lang w:val="en-US" w:eastAsia="en-US"/>
        </w:rPr>
        <w:t>.4</w:t>
      </w:r>
      <w:r>
        <w:rPr>
          <w:rFonts w:hint="eastAsia" w:ascii="宋体" w:hAnsi="宋体" w:eastAsia="宋体" w:cs="宋体"/>
          <w:sz w:val="24"/>
          <w:lang w:val="en-US" w:eastAsia="zh-CN"/>
        </w:rPr>
        <w:t>取样和制样</w:t>
      </w:r>
    </w:p>
    <w:p>
      <w:pPr>
        <w:numPr>
          <w:ilvl w:val="0"/>
          <w:numId w:val="0"/>
        </w:numPr>
        <w:spacing w:line="500" w:lineRule="exact"/>
        <w:ind w:leftChars="0"/>
        <w:rPr>
          <w:rFonts w:hint="eastAsia" w:ascii="宋体" w:hAnsi="宋体" w:eastAsia="宋体" w:cs="宋体"/>
          <w:sz w:val="24"/>
          <w:lang w:val="en-US" w:eastAsia="zh-CN"/>
        </w:rPr>
      </w:pPr>
      <w:r>
        <w:rPr>
          <w:rFonts w:hint="eastAsia" w:ascii="宋体" w:hAnsi="宋体" w:eastAsia="宋体" w:cs="宋体"/>
          <w:sz w:val="24"/>
          <w:lang w:val="en-US" w:eastAsia="zh-CN"/>
        </w:rPr>
        <w:t>（1）</w:t>
      </w:r>
      <w:r>
        <w:rPr>
          <w:rFonts w:hint="eastAsia" w:ascii="宋体" w:hAnsi="宋体" w:eastAsia="宋体" w:cs="宋体"/>
          <w:sz w:val="24"/>
          <w:lang w:val="zh-TW" w:eastAsia="zh-TW"/>
        </w:rPr>
        <w:t>生产取样</w:t>
      </w:r>
    </w:p>
    <w:p>
      <w:pPr>
        <w:numPr>
          <w:ilvl w:val="0"/>
          <w:numId w:val="0"/>
        </w:numPr>
        <w:spacing w:line="500" w:lineRule="exact"/>
        <w:ind w:leftChars="0"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供方用于化学成分分析的试样可从浇铸时的液态金属中采取，也可用其他方法采取。</w:t>
      </w:r>
    </w:p>
    <w:p>
      <w:pPr>
        <w:numPr>
          <w:ilvl w:val="0"/>
          <w:numId w:val="0"/>
        </w:numPr>
        <w:spacing w:line="500" w:lineRule="exact"/>
        <w:ind w:leftChars="0"/>
        <w:rPr>
          <w:rFonts w:hint="eastAsia" w:ascii="宋体" w:hAnsi="宋体" w:eastAsia="宋体" w:cs="宋体"/>
          <w:sz w:val="24"/>
          <w:lang w:val="en-US" w:eastAsia="zh-CN"/>
        </w:rPr>
      </w:pPr>
      <w:r>
        <w:rPr>
          <w:rFonts w:hint="eastAsia" w:ascii="宋体" w:hAnsi="宋体" w:eastAsia="宋体" w:cs="宋体"/>
          <w:sz w:val="24"/>
          <w:lang w:val="en-US" w:eastAsia="zh-CN"/>
        </w:rPr>
        <w:t>（2）仲裁取样和制样</w:t>
      </w:r>
    </w:p>
    <w:p>
      <w:pPr>
        <w:numPr>
          <w:ilvl w:val="0"/>
          <w:numId w:val="0"/>
        </w:numPr>
        <w:spacing w:line="500" w:lineRule="exact"/>
        <w:ind w:leftChars="0"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铅小锭化学成分仲裁样的采取：随机抽取铅锭数量的2%作为样锭,样锭总数应为6的倍数，以便于分组。分组后不足6锭时，应从铅锭中补足，不得舍弃。</w:t>
      </w:r>
    </w:p>
    <w:p>
      <w:pPr>
        <w:numPr>
          <w:ilvl w:val="0"/>
          <w:numId w:val="0"/>
        </w:numPr>
        <w:spacing w:line="500" w:lineRule="exact"/>
        <w:ind w:leftChars="0"/>
        <w:rPr>
          <w:rFonts w:hint="eastAsia" w:ascii="宋体" w:hAnsi="宋体" w:eastAsia="宋体" w:cs="宋体"/>
          <w:sz w:val="24"/>
          <w:lang w:val="en-US" w:eastAsia="zh-CN"/>
        </w:rPr>
      </w:pPr>
      <w:r>
        <w:rPr>
          <w:rFonts w:hint="eastAsia" w:ascii="宋体" w:hAnsi="宋体" w:eastAsia="宋体" w:cs="宋体"/>
          <w:sz w:val="24"/>
          <w:lang w:val="en-US" w:eastAsia="zh-CN"/>
        </w:rPr>
        <w:t xml:space="preserve">    仲裁取样方法:将抽取的样锭按每6个锭为一组，用钻孔或锯切法采取试样。钻孔或锯切时,不得使用任何润滑剂，其速度不得使试料氧化。取样时应除去表皮，钻、锯深度不小于锭厚的三分之二。</w:t>
      </w:r>
    </w:p>
    <w:p>
      <w:pPr>
        <w:numPr>
          <w:ilvl w:val="0"/>
          <w:numId w:val="0"/>
        </w:numPr>
        <w:spacing w:line="500" w:lineRule="exact"/>
        <w:ind w:leftChars="0"/>
        <w:rPr>
          <w:rFonts w:hint="eastAsia" w:ascii="宋体" w:hAnsi="宋体" w:eastAsia="宋体" w:cs="宋体"/>
          <w:sz w:val="24"/>
          <w:lang w:val="en-US" w:eastAsia="zh-CN"/>
        </w:rPr>
      </w:pPr>
      <w:bookmarkStart w:id="9" w:name="bookmark3"/>
      <w:r>
        <w:rPr>
          <w:rFonts w:hint="eastAsia" w:ascii="宋体" w:hAnsi="宋体" w:eastAsia="宋体" w:cs="宋体"/>
          <w:sz w:val="24"/>
          <w:lang w:val="en-US" w:eastAsia="en-US"/>
        </w:rPr>
        <w:t>a</w:t>
      </w:r>
      <w:bookmarkEnd w:id="9"/>
      <w:r>
        <w:rPr>
          <w:rFonts w:hint="eastAsia" w:ascii="宋体" w:hAnsi="宋体" w:eastAsia="宋体" w:cs="宋体"/>
          <w:sz w:val="24"/>
          <w:lang w:val="en-US" w:eastAsia="en-US"/>
        </w:rPr>
        <w:t>）</w:t>
      </w:r>
      <w:r>
        <w:rPr>
          <w:rFonts w:hint="eastAsia" w:ascii="宋体" w:hAnsi="宋体" w:eastAsia="宋体" w:cs="宋体"/>
          <w:sz w:val="24"/>
          <w:lang w:val="en-US" w:eastAsia="zh-CN"/>
        </w:rPr>
        <w:t xml:space="preserve">钻孔法:用直径10 </w:t>
      </w:r>
      <w:r>
        <w:rPr>
          <w:rFonts w:hint="eastAsia" w:ascii="宋体" w:hAnsi="宋体" w:eastAsia="宋体" w:cs="宋体"/>
          <w:sz w:val="24"/>
          <w:lang w:val="en-US" w:eastAsia="en-US"/>
        </w:rPr>
        <w:t>mm</w:t>
      </w:r>
      <w:r>
        <w:rPr>
          <w:rFonts w:hint="eastAsia" w:ascii="宋体" w:hAnsi="宋体" w:eastAsia="宋体" w:cs="宋体"/>
          <w:sz w:val="24"/>
          <w:lang w:val="en-US" w:eastAsia="zh-CN"/>
        </w:rPr>
        <w:t xml:space="preserve">〜15 </w:t>
      </w:r>
      <w:r>
        <w:rPr>
          <w:rFonts w:hint="eastAsia" w:ascii="宋体" w:hAnsi="宋体" w:eastAsia="宋体" w:cs="宋体"/>
          <w:sz w:val="24"/>
          <w:lang w:val="en-US" w:eastAsia="en-US"/>
        </w:rPr>
        <w:t>mm</w:t>
      </w:r>
      <w:r>
        <w:rPr>
          <w:rFonts w:hint="eastAsia" w:ascii="宋体" w:hAnsi="宋体" w:eastAsia="宋体" w:cs="宋体"/>
          <w:sz w:val="24"/>
          <w:lang w:val="en-US" w:eastAsia="zh-CN"/>
        </w:rPr>
        <w:t>的钻头取样，将浇铸面</w:t>
      </w:r>
      <w:r>
        <w:rPr>
          <w:rFonts w:hint="eastAsia" w:ascii="宋体" w:hAnsi="宋体" w:eastAsia="宋体" w:cs="宋体"/>
          <w:sz w:val="24"/>
          <w:lang w:val="en-US" w:eastAsia="en-US"/>
        </w:rPr>
        <w:t>A</w:t>
      </w:r>
      <w:r>
        <w:rPr>
          <w:rFonts w:hint="eastAsia" w:ascii="宋体" w:hAnsi="宋体" w:eastAsia="宋体" w:cs="宋体"/>
          <w:sz w:val="24"/>
          <w:lang w:val="en-US" w:eastAsia="zh-CN"/>
        </w:rPr>
        <w:t>与底面</w:t>
      </w:r>
      <w:r>
        <w:rPr>
          <w:rFonts w:hint="eastAsia" w:ascii="宋体" w:hAnsi="宋体" w:eastAsia="宋体" w:cs="宋体"/>
          <w:sz w:val="24"/>
          <w:lang w:val="en-US" w:eastAsia="en-US"/>
        </w:rPr>
        <w:t>B</w:t>
      </w:r>
      <w:r>
        <w:rPr>
          <w:rFonts w:hint="eastAsia" w:ascii="宋体" w:hAnsi="宋体" w:eastAsia="宋体" w:cs="宋体"/>
          <w:sz w:val="24"/>
          <w:lang w:val="en-US" w:eastAsia="zh-CN"/>
        </w:rPr>
        <w:t>依次排列成长方形，在长方形上划2条对角线，与每锭纵向中心线相交的两点为该锭的取样点，如图1所示。</w:t>
      </w:r>
    </w:p>
    <w:p>
      <w:pPr>
        <w:pStyle w:val="14"/>
        <w:spacing w:line="324" w:lineRule="exact"/>
        <w:ind w:hanging="420"/>
        <w:jc w:val="both"/>
        <w:rPr>
          <w:rFonts w:hint="eastAsia"/>
          <w:sz w:val="21"/>
          <w:szCs w:val="21"/>
          <w:lang w:eastAsia="zh-CN"/>
        </w:rPr>
      </w:pPr>
    </w:p>
    <w:p>
      <w:pPr>
        <w:jc w:val="center"/>
        <w:rPr>
          <w:sz w:val="2"/>
          <w:szCs w:val="2"/>
        </w:rPr>
      </w:pPr>
      <w:r>
        <w:rPr>
          <w:lang w:eastAsia="zh-CN" w:bidi="ar-SA"/>
        </w:rPr>
        <w:drawing>
          <wp:inline distT="0" distB="0" distL="114300" distR="114300">
            <wp:extent cx="2907665" cy="1657985"/>
            <wp:effectExtent l="0" t="0" r="6985" b="18415"/>
            <wp:docPr id="35" name="Picutre 35"/>
            <wp:cNvGraphicFramePr/>
            <a:graphic xmlns:a="http://schemas.openxmlformats.org/drawingml/2006/main">
              <a:graphicData uri="http://schemas.openxmlformats.org/drawingml/2006/picture">
                <pic:pic xmlns:pic="http://schemas.openxmlformats.org/drawingml/2006/picture">
                  <pic:nvPicPr>
                    <pic:cNvPr id="35" name="Picutre 35"/>
                    <pic:cNvPicPr/>
                  </pic:nvPicPr>
                  <pic:blipFill>
                    <a:blip r:embed="rId6" cstate="print"/>
                    <a:stretch>
                      <a:fillRect/>
                    </a:stretch>
                  </pic:blipFill>
                  <pic:spPr>
                    <a:xfrm>
                      <a:off x="0" y="0"/>
                      <a:ext cx="2907665" cy="1657985"/>
                    </a:xfrm>
                    <a:prstGeom prst="rect">
                      <a:avLst/>
                    </a:prstGeom>
                  </pic:spPr>
                </pic:pic>
              </a:graphicData>
            </a:graphic>
          </wp:inline>
        </w:drawing>
      </w:r>
    </w:p>
    <w:p>
      <w:pPr>
        <w:spacing w:after="419" w:line="1" w:lineRule="exact"/>
      </w:pPr>
    </w:p>
    <w:p>
      <w:pPr>
        <w:pStyle w:val="14"/>
        <w:spacing w:after="120" w:line="324" w:lineRule="exact"/>
        <w:jc w:val="center"/>
      </w:pPr>
      <w:r>
        <w:t>图</w:t>
      </w:r>
      <w:r>
        <w:rPr>
          <w:rFonts w:ascii="Times New Roman" w:hAnsi="Times New Roman" w:eastAsia="Times New Roman" w:cs="Times New Roman"/>
        </w:rPr>
        <w:t>1</w:t>
      </w:r>
      <w:r>
        <w:t>铅小锭钻孔布点图</w:t>
      </w:r>
    </w:p>
    <w:p>
      <w:pPr>
        <w:numPr>
          <w:ilvl w:val="0"/>
          <w:numId w:val="0"/>
        </w:numPr>
        <w:spacing w:line="500" w:lineRule="exact"/>
        <w:rPr>
          <w:rFonts w:hint="eastAsia" w:ascii="宋体" w:hAnsi="宋体" w:eastAsia="宋体" w:cs="宋体"/>
          <w:sz w:val="24"/>
          <w:lang w:val="en-US" w:eastAsia="zh-CN"/>
        </w:rPr>
      </w:pPr>
      <w:bookmarkStart w:id="10" w:name="bookmark4"/>
      <w:r>
        <w:rPr>
          <w:rFonts w:hint="eastAsia" w:ascii="宋体" w:hAnsi="宋体" w:eastAsia="宋体" w:cs="宋体"/>
          <w:sz w:val="24"/>
          <w:lang w:val="en-US" w:eastAsia="en-US"/>
        </w:rPr>
        <w:t>b</w:t>
      </w:r>
      <w:bookmarkEnd w:id="10"/>
      <w:r>
        <w:rPr>
          <w:rFonts w:hint="eastAsia" w:ascii="宋体" w:hAnsi="宋体" w:eastAsia="宋体" w:cs="宋体"/>
          <w:sz w:val="24"/>
          <w:lang w:val="en-US" w:eastAsia="en-US"/>
        </w:rPr>
        <w:t>）</w:t>
      </w:r>
      <w:r>
        <w:rPr>
          <w:rFonts w:hint="eastAsia" w:ascii="宋体" w:hAnsi="宋体" w:eastAsia="宋体" w:cs="宋体"/>
          <w:sz w:val="24"/>
          <w:lang w:val="en-US" w:eastAsia="zh-CN"/>
        </w:rPr>
        <w:t>锯切法:锯条与铅锭垂直，通过钻孔法取样点横向锯切。</w:t>
      </w:r>
    </w:p>
    <w:p>
      <w:pPr>
        <w:numPr>
          <w:ilvl w:val="0"/>
          <w:numId w:val="0"/>
        </w:numPr>
        <w:spacing w:line="500" w:lineRule="exact"/>
        <w:ind w:leftChars="0"/>
        <w:rPr>
          <w:rFonts w:hint="eastAsia" w:ascii="宋体" w:hAnsi="宋体" w:eastAsia="宋体" w:cs="宋体"/>
          <w:sz w:val="24"/>
          <w:lang w:val="en-US" w:eastAsia="zh-CN"/>
        </w:rPr>
      </w:pPr>
      <w:r>
        <w:rPr>
          <w:rFonts w:hint="eastAsia" w:ascii="宋体" w:hAnsi="宋体" w:eastAsia="宋体" w:cs="宋体"/>
          <w:sz w:val="24"/>
          <w:lang w:val="en-US" w:eastAsia="zh-CN"/>
        </w:rPr>
        <w:t>（3）试样的制备:将取得的试样制成不大于</w:t>
      </w:r>
      <w:r>
        <w:rPr>
          <w:rFonts w:hint="eastAsia" w:ascii="宋体" w:hAnsi="宋体" w:eastAsia="宋体" w:cs="宋体"/>
          <w:sz w:val="24"/>
          <w:lang w:val="en-US" w:eastAsia="en-US"/>
        </w:rPr>
        <w:t>4 mm</w:t>
      </w:r>
      <w:r>
        <w:rPr>
          <w:rFonts w:hint="eastAsia" w:ascii="宋体" w:hAnsi="宋体" w:eastAsia="宋体" w:cs="宋体"/>
          <w:sz w:val="24"/>
          <w:lang w:val="en-US" w:eastAsia="zh-CN"/>
        </w:rPr>
        <w:t xml:space="preserve">屑状，用磁铁除净加工时带入的铁屑，混匀后缩分至不少于360 </w:t>
      </w:r>
      <w:r>
        <w:rPr>
          <w:rFonts w:hint="eastAsia" w:ascii="宋体" w:hAnsi="宋体" w:eastAsia="宋体" w:cs="宋体"/>
          <w:sz w:val="24"/>
          <w:lang w:val="en-US" w:eastAsia="en-US"/>
        </w:rPr>
        <w:t>g</w:t>
      </w:r>
      <w:r>
        <w:rPr>
          <w:rFonts w:hint="eastAsia" w:ascii="宋体" w:hAnsi="宋体" w:eastAsia="宋体" w:cs="宋体"/>
          <w:sz w:val="24"/>
          <w:lang w:val="en-US" w:eastAsia="zh-CN"/>
        </w:rPr>
        <w:t>，作为仲裁分析样品。</w:t>
      </w:r>
    </w:p>
    <w:p>
      <w:pPr>
        <w:numPr>
          <w:ilvl w:val="0"/>
          <w:numId w:val="0"/>
        </w:numPr>
        <w:spacing w:line="500" w:lineRule="exact"/>
        <w:ind w:leftChars="0"/>
        <w:rPr>
          <w:rFonts w:hint="eastAsia" w:ascii="宋体" w:hAnsi="宋体" w:eastAsia="宋体" w:cs="宋体"/>
          <w:sz w:val="24"/>
          <w:lang w:val="en-US" w:eastAsia="zh-CN"/>
        </w:rPr>
      </w:pPr>
      <w:r>
        <w:rPr>
          <w:rFonts w:hint="eastAsia" w:ascii="宋体" w:hAnsi="宋体" w:eastAsia="宋体" w:cs="宋体"/>
          <w:sz w:val="24"/>
          <w:lang w:val="en-US" w:eastAsia="zh-CN"/>
        </w:rPr>
        <w:t>（4）铅大锭化学成分仲裁样的釆取和制备由供需双方商定。</w:t>
      </w:r>
    </w:p>
    <w:p>
      <w:pPr>
        <w:numPr>
          <w:ilvl w:val="0"/>
          <w:numId w:val="0"/>
        </w:numPr>
        <w:spacing w:line="500" w:lineRule="exact"/>
        <w:ind w:leftChars="0"/>
        <w:rPr>
          <w:rFonts w:hint="eastAsia" w:ascii="宋体" w:hAnsi="宋体" w:eastAsia="宋体" w:cs="宋体"/>
          <w:sz w:val="24"/>
          <w:lang w:val="en-US" w:eastAsia="zh-CN"/>
        </w:rPr>
      </w:pPr>
      <w:r>
        <w:rPr>
          <w:rFonts w:hint="eastAsia" w:ascii="宋体" w:hAnsi="宋体" w:eastAsia="宋体" w:cs="宋体"/>
          <w:sz w:val="24"/>
          <w:lang w:val="en-US" w:eastAsia="zh-CN"/>
        </w:rPr>
        <w:t>4</w:t>
      </w:r>
      <w:r>
        <w:rPr>
          <w:rFonts w:hint="eastAsia" w:ascii="宋体" w:hAnsi="宋体" w:eastAsia="宋体" w:cs="宋体"/>
          <w:sz w:val="24"/>
          <w:lang w:val="en-US" w:eastAsia="en-US"/>
        </w:rPr>
        <w:t>.5</w:t>
      </w:r>
      <w:r>
        <w:rPr>
          <w:rFonts w:hint="eastAsia" w:ascii="宋体" w:hAnsi="宋体" w:eastAsia="宋体" w:cs="宋体"/>
          <w:sz w:val="24"/>
          <w:lang w:val="en-US" w:eastAsia="zh-CN"/>
        </w:rPr>
        <w:t>检验结果的判定</w:t>
      </w:r>
    </w:p>
    <w:p>
      <w:pPr>
        <w:numPr>
          <w:ilvl w:val="0"/>
          <w:numId w:val="0"/>
        </w:numPr>
        <w:spacing w:line="500" w:lineRule="exact"/>
        <w:ind w:leftChars="0"/>
        <w:rPr>
          <w:rFonts w:hint="eastAsia" w:ascii="宋体" w:hAnsi="宋体" w:eastAsia="宋体" w:cs="宋体"/>
          <w:sz w:val="24"/>
          <w:lang w:val="en-US" w:eastAsia="zh-CN"/>
        </w:rPr>
      </w:pPr>
      <w:r>
        <w:rPr>
          <w:rFonts w:hint="eastAsia" w:ascii="宋体" w:hAnsi="宋体" w:eastAsia="宋体" w:cs="宋体"/>
          <w:sz w:val="24"/>
          <w:lang w:val="en-US" w:eastAsia="zh-CN"/>
        </w:rPr>
        <w:t>（1）铅锭化学成分仲裁分析结果与本文件或订货单的规定不符时，按批判不合格。</w:t>
      </w:r>
    </w:p>
    <w:p>
      <w:pPr>
        <w:numPr>
          <w:ilvl w:val="0"/>
          <w:numId w:val="0"/>
        </w:numPr>
        <w:spacing w:line="500" w:lineRule="exact"/>
        <w:ind w:leftChars="0"/>
        <w:rPr>
          <w:rFonts w:hint="eastAsia" w:ascii="宋体" w:hAnsi="宋体" w:eastAsia="宋体" w:cs="宋体"/>
          <w:sz w:val="24"/>
          <w:lang w:val="en-US" w:eastAsia="zh-CN"/>
        </w:rPr>
      </w:pPr>
      <w:r>
        <w:rPr>
          <w:rFonts w:hint="eastAsia" w:ascii="宋体" w:hAnsi="宋体" w:eastAsia="宋体" w:cs="宋体"/>
          <w:sz w:val="24"/>
          <w:lang w:val="en-US" w:eastAsia="zh-CN"/>
        </w:rPr>
        <w:t>（2）铅锭的物理规格和表面质量与本文件或订货单的规定不符时，按锭判不合格。</w:t>
      </w:r>
    </w:p>
    <w:p>
      <w:pPr>
        <w:numPr>
          <w:ilvl w:val="0"/>
          <w:numId w:val="0"/>
        </w:numPr>
        <w:spacing w:line="500" w:lineRule="exact"/>
        <w:ind w:leftChars="0"/>
        <w:rPr>
          <w:rFonts w:hint="eastAsia" w:ascii="宋体" w:hAnsi="宋体" w:eastAsia="宋体" w:cs="宋体"/>
          <w:sz w:val="24"/>
          <w:lang w:val="en-US" w:eastAsia="zh-CN"/>
        </w:rPr>
      </w:pPr>
      <w:r>
        <w:rPr>
          <w:rFonts w:hint="eastAsia" w:ascii="宋体" w:hAnsi="宋体" w:eastAsia="宋体" w:cs="宋体"/>
          <w:sz w:val="24"/>
          <w:lang w:val="en-US" w:eastAsia="zh-CN"/>
        </w:rPr>
        <w:t>（3）杂质元素检验结果的修约和修约后数值的表示和判定按</w:t>
      </w:r>
      <w:r>
        <w:rPr>
          <w:rFonts w:hint="eastAsia" w:ascii="宋体" w:hAnsi="宋体" w:eastAsia="宋体" w:cs="宋体"/>
          <w:sz w:val="24"/>
          <w:lang w:val="en-US" w:eastAsia="en-US"/>
        </w:rPr>
        <w:t xml:space="preserve">GB/T </w:t>
      </w:r>
      <w:r>
        <w:rPr>
          <w:rFonts w:hint="eastAsia" w:ascii="宋体" w:hAnsi="宋体" w:eastAsia="宋体" w:cs="宋体"/>
          <w:sz w:val="24"/>
          <w:lang w:val="en-US" w:eastAsia="zh-CN"/>
        </w:rPr>
        <w:t>8170中的规定进行。</w:t>
      </w:r>
    </w:p>
    <w:p>
      <w:pPr>
        <w:numPr>
          <w:ilvl w:val="0"/>
          <w:numId w:val="3"/>
        </w:numPr>
        <w:spacing w:line="500" w:lineRule="exact"/>
        <w:rPr>
          <w:rFonts w:hint="eastAsia" w:ascii="宋体" w:hAnsi="宋体" w:eastAsia="宋体" w:cs="宋体"/>
          <w:sz w:val="24"/>
        </w:rPr>
      </w:pPr>
      <w:r>
        <w:rPr>
          <w:rFonts w:hint="eastAsia" w:ascii="宋体" w:hAnsi="宋体" w:eastAsia="宋体" w:cs="宋体"/>
          <w:sz w:val="24"/>
        </w:rPr>
        <w:t>下步工作安排</w:t>
      </w:r>
    </w:p>
    <w:p>
      <w:pPr>
        <w:numPr>
          <w:ilvl w:val="0"/>
          <w:numId w:val="0"/>
        </w:numPr>
        <w:spacing w:line="500" w:lineRule="exact"/>
        <w:ind w:firstLine="480" w:firstLineChars="200"/>
        <w:rPr>
          <w:rFonts w:hint="eastAsia" w:ascii="宋体" w:hAnsi="宋体" w:eastAsia="宋体" w:cs="宋体"/>
          <w:sz w:val="24"/>
        </w:rPr>
      </w:pPr>
      <w:r>
        <w:rPr>
          <w:rFonts w:hint="eastAsia" w:ascii="宋体" w:hAnsi="宋体" w:eastAsia="宋体" w:cs="宋体"/>
          <w:sz w:val="24"/>
        </w:rPr>
        <w:t>根据</w:t>
      </w:r>
      <w:r>
        <w:rPr>
          <w:rFonts w:hint="eastAsia" w:ascii="宋体" w:hAnsi="宋体" w:eastAsia="宋体" w:cs="宋体"/>
          <w:sz w:val="24"/>
          <w:lang w:eastAsia="zh-CN"/>
        </w:rPr>
        <w:t>《铅锭》标准审定会</w:t>
      </w:r>
      <w:r>
        <w:rPr>
          <w:rFonts w:hint="eastAsia" w:ascii="宋体" w:hAnsi="宋体" w:eastAsia="宋体" w:cs="宋体"/>
          <w:sz w:val="24"/>
        </w:rPr>
        <w:t>的意见和建议，修改标准</w:t>
      </w:r>
      <w:r>
        <w:rPr>
          <w:rFonts w:hint="eastAsia" w:ascii="宋体" w:hAnsi="宋体" w:eastAsia="宋体" w:cs="宋体"/>
          <w:sz w:val="24"/>
          <w:lang w:eastAsia="zh-CN"/>
        </w:rPr>
        <w:t>审定稿</w:t>
      </w:r>
      <w:r>
        <w:rPr>
          <w:rFonts w:hint="eastAsia" w:ascii="宋体" w:hAnsi="宋体" w:eastAsia="宋体" w:cs="宋体"/>
          <w:sz w:val="24"/>
        </w:rPr>
        <w:t>，形成</w:t>
      </w:r>
      <w:r>
        <w:rPr>
          <w:rFonts w:hint="eastAsia" w:ascii="宋体" w:hAnsi="宋体" w:eastAsia="宋体" w:cs="宋体"/>
          <w:kern w:val="10"/>
          <w:sz w:val="24"/>
        </w:rPr>
        <w:t>GB/T469－×××</w:t>
      </w:r>
      <w:r>
        <w:rPr>
          <w:rFonts w:hint="eastAsia" w:ascii="宋体" w:hAnsi="宋体" w:eastAsia="宋体" w:cs="宋体"/>
          <w:sz w:val="24"/>
        </w:rPr>
        <w:t>《铅锭》（</w:t>
      </w:r>
      <w:r>
        <w:rPr>
          <w:rFonts w:hint="eastAsia" w:ascii="宋体" w:hAnsi="宋体" w:eastAsia="宋体" w:cs="宋体"/>
          <w:sz w:val="24"/>
          <w:lang w:eastAsia="zh-CN"/>
        </w:rPr>
        <w:t>报批稿</w:t>
      </w:r>
      <w:r>
        <w:rPr>
          <w:rFonts w:hint="eastAsia" w:ascii="宋体" w:hAnsi="宋体" w:eastAsia="宋体" w:cs="宋体"/>
          <w:sz w:val="24"/>
        </w:rPr>
        <w:t>）。</w:t>
      </w:r>
    </w:p>
    <w:p>
      <w:pPr>
        <w:spacing w:line="500" w:lineRule="exact"/>
        <w:ind w:firstLine="4800" w:firstLineChars="2000"/>
        <w:rPr>
          <w:rFonts w:hint="eastAsia" w:ascii="宋体" w:hAnsi="宋体" w:eastAsia="宋体" w:cs="宋体"/>
          <w:sz w:val="24"/>
          <w:szCs w:val="24"/>
        </w:rPr>
      </w:pPr>
    </w:p>
    <w:p>
      <w:pPr>
        <w:spacing w:line="500" w:lineRule="exact"/>
        <w:ind w:left="315"/>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 xml:space="preserve">        铅锭国家标准起草小组</w:t>
      </w:r>
    </w:p>
    <w:p>
      <w:pPr>
        <w:spacing w:line="500" w:lineRule="exact"/>
        <w:ind w:left="315" w:firstLine="5040" w:firstLineChars="2100"/>
        <w:rPr>
          <w:rFonts w:hint="eastAsia" w:ascii="宋体" w:hAnsi="宋体" w:eastAsia="宋体" w:cs="宋体"/>
          <w:sz w:val="24"/>
          <w:lang w:eastAsia="zh-CN"/>
        </w:rPr>
      </w:pPr>
      <w:r>
        <w:rPr>
          <w:rFonts w:hint="eastAsia" w:ascii="宋体" w:hAnsi="宋体" w:eastAsia="宋体" w:cs="宋体"/>
          <w:sz w:val="24"/>
          <w:lang w:eastAsia="zh-CN"/>
        </w:rPr>
        <w:t>二〇二二年十月十日</w:t>
      </w:r>
    </w:p>
    <w:p>
      <w:pPr>
        <w:spacing w:line="500" w:lineRule="exact"/>
        <w:ind w:left="315" w:firstLine="5040" w:firstLineChars="2100"/>
        <w:rPr>
          <w:rFonts w:hint="eastAsia" w:ascii="宋体" w:hAnsi="宋体" w:eastAsia="宋体" w:cs="宋体"/>
          <w:sz w:val="24"/>
          <w:lang w:eastAsia="zh-CN"/>
        </w:rPr>
        <w:sectPr>
          <w:pgSz w:w="11906" w:h="16838"/>
          <w:pgMar w:top="1440" w:right="1417" w:bottom="1440" w:left="1417" w:header="851" w:footer="992" w:gutter="0"/>
          <w:cols w:space="425" w:num="1"/>
          <w:docGrid w:type="lines" w:linePitch="312" w:charSpace="0"/>
        </w:sectPr>
      </w:pPr>
    </w:p>
    <w:p>
      <w:pPr>
        <w:ind w:firstLine="300" w:firstLineChars="100"/>
        <w:rPr>
          <w:rFonts w:hint="eastAsia"/>
          <w:sz w:val="32"/>
        </w:rPr>
      </w:pPr>
      <w:r>
        <w:rPr>
          <w:rFonts w:hint="eastAsia"/>
          <w:sz w:val="30"/>
        </w:rPr>
        <w:t>附件</w:t>
      </w:r>
      <w:r>
        <w:rPr>
          <w:rFonts w:hint="eastAsia"/>
          <w:sz w:val="32"/>
        </w:rPr>
        <w:t xml:space="preserve">               </w:t>
      </w:r>
      <w:r>
        <w:rPr>
          <w:rFonts w:hint="eastAsia"/>
          <w:sz w:val="32"/>
          <w:lang w:val="en-US" w:eastAsia="zh-CN"/>
        </w:rPr>
        <w:t xml:space="preserve"> </w:t>
      </w:r>
      <w:r>
        <w:rPr>
          <w:rFonts w:hint="eastAsia"/>
          <w:sz w:val="32"/>
        </w:rPr>
        <w:t xml:space="preserve">    </w:t>
      </w:r>
      <w:r>
        <w:rPr>
          <w:rFonts w:hint="eastAsia" w:ascii="黑体" w:eastAsia="黑体"/>
          <w:sz w:val="30"/>
        </w:rPr>
        <w:t>国内铅锭厂家铅锭产品质量一览表（20</w:t>
      </w:r>
      <w:r>
        <w:rPr>
          <w:rFonts w:hint="eastAsia" w:ascii="黑体" w:eastAsia="黑体"/>
          <w:sz w:val="30"/>
          <w:lang w:val="en-US" w:eastAsia="zh-CN"/>
        </w:rPr>
        <w:t>2</w:t>
      </w:r>
      <w:r>
        <w:rPr>
          <w:rFonts w:hint="eastAsia" w:ascii="黑体" w:eastAsia="黑体"/>
          <w:sz w:val="30"/>
        </w:rPr>
        <w:t>1年）</w:t>
      </w:r>
    </w:p>
    <w:tbl>
      <w:tblPr>
        <w:tblStyle w:val="7"/>
        <w:tblW w:w="136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1346"/>
        <w:gridCol w:w="1056"/>
        <w:gridCol w:w="1056"/>
        <w:gridCol w:w="936"/>
        <w:gridCol w:w="936"/>
        <w:gridCol w:w="936"/>
        <w:gridCol w:w="1056"/>
        <w:gridCol w:w="936"/>
        <w:gridCol w:w="936"/>
        <w:gridCol w:w="936"/>
        <w:gridCol w:w="936"/>
        <w:gridCol w:w="936"/>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5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8"/>
                <w:szCs w:val="28"/>
                <w:u w:val="none"/>
              </w:rPr>
            </w:pPr>
            <w:r>
              <w:rPr>
                <w:rFonts w:hint="eastAsia" w:ascii="微软雅黑" w:hAnsi="微软雅黑" w:eastAsia="微软雅黑" w:cs="微软雅黑"/>
                <w:i w:val="0"/>
                <w:iCs w:val="0"/>
                <w:color w:val="000000"/>
                <w:kern w:val="0"/>
                <w:sz w:val="28"/>
                <w:szCs w:val="28"/>
                <w:u w:val="none"/>
                <w:lang w:val="en-US" w:eastAsia="zh-CN" w:bidi="ar"/>
              </w:rPr>
              <w:t>企业名称</w:t>
            </w:r>
          </w:p>
        </w:tc>
        <w:tc>
          <w:tcPr>
            <w:tcW w:w="134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生产牌号</w:t>
            </w:r>
          </w:p>
        </w:tc>
        <w:tc>
          <w:tcPr>
            <w:tcW w:w="11615" w:type="dxa"/>
            <w:gridSpan w:val="1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400"/>
              <w:jc w:val="center"/>
              <w:textAlignment w:val="center"/>
              <w:rPr>
                <w:rFonts w:hint="eastAsia" w:ascii="微软雅黑" w:hAnsi="微软雅黑" w:eastAsia="微软雅黑" w:cs="微软雅黑"/>
                <w:i w:val="0"/>
                <w:iCs w:val="0"/>
                <w:color w:val="000000"/>
                <w:sz w:val="22"/>
                <w:szCs w:val="22"/>
                <w:u w:val="none"/>
              </w:rPr>
            </w:pPr>
            <w:r>
              <w:rPr>
                <w:rStyle w:val="15"/>
                <w:lang w:val="en-US" w:eastAsia="zh-CN" w:bidi="ar"/>
              </w:rPr>
              <w:t>化</w:t>
            </w:r>
            <w:r>
              <w:rPr>
                <w:rStyle w:val="16"/>
                <w:lang w:val="en-US" w:eastAsia="zh-CN" w:bidi="ar"/>
              </w:rPr>
              <w:t xml:space="preserve">      </w:t>
            </w:r>
            <w:r>
              <w:rPr>
                <w:rStyle w:val="15"/>
                <w:lang w:val="en-US" w:eastAsia="zh-CN" w:bidi="ar"/>
              </w:rPr>
              <w:t>学</w:t>
            </w:r>
            <w:r>
              <w:rPr>
                <w:rStyle w:val="16"/>
                <w:lang w:val="en-US" w:eastAsia="zh-CN" w:bidi="ar"/>
              </w:rPr>
              <w:t xml:space="preserve">      </w:t>
            </w:r>
            <w:r>
              <w:rPr>
                <w:rStyle w:val="15"/>
                <w:lang w:val="en-US" w:eastAsia="zh-CN" w:bidi="ar"/>
              </w:rPr>
              <w:t>成</w:t>
            </w:r>
            <w:r>
              <w:rPr>
                <w:rStyle w:val="16"/>
                <w:lang w:val="en-US" w:eastAsia="zh-CN" w:bidi="ar"/>
              </w:rPr>
              <w:t xml:space="preserve">      </w:t>
            </w:r>
            <w:r>
              <w:rPr>
                <w:rStyle w:val="15"/>
                <w:lang w:val="en-US" w:eastAsia="zh-CN" w:bidi="ar"/>
              </w:rPr>
              <w:t>分，</w:t>
            </w:r>
            <w:r>
              <w:rPr>
                <w:rStyle w:val="16"/>
                <w:lang w:val="en-US" w:eastAsia="zh-CN" w:bidi="ar"/>
              </w:rPr>
              <w:t xml:space="preserve">    </w:t>
            </w:r>
            <w:r>
              <w:rPr>
                <w:rStyle w:val="15"/>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5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8"/>
                <w:szCs w:val="28"/>
                <w:u w:val="none"/>
              </w:rPr>
            </w:pP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Pb99.994</w:t>
            </w:r>
          </w:p>
        </w:tc>
        <w:tc>
          <w:tcPr>
            <w:tcW w:w="105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Pb</w:t>
            </w:r>
          </w:p>
        </w:tc>
        <w:tc>
          <w:tcPr>
            <w:tcW w:w="10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Ag</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Cu</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Bi</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As</w:t>
            </w:r>
          </w:p>
        </w:tc>
        <w:tc>
          <w:tcPr>
            <w:tcW w:w="10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Sb</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Sn</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Zn</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Fe</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Cd</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Ni</w:t>
            </w:r>
          </w:p>
        </w:tc>
        <w:tc>
          <w:tcPr>
            <w:tcW w:w="95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总和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5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Style w:val="15"/>
                <w:lang w:val="en-US" w:eastAsia="zh-CN" w:bidi="ar"/>
              </w:rPr>
              <w:t>河南豫光金铅股份有限公司</w:t>
            </w: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最大值</w:t>
            </w:r>
          </w:p>
        </w:tc>
        <w:tc>
          <w:tcPr>
            <w:tcW w:w="105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99.9984</w:t>
            </w:r>
          </w:p>
        </w:tc>
        <w:tc>
          <w:tcPr>
            <w:tcW w:w="10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0.00021</w:t>
            </w:r>
          </w:p>
        </w:tc>
        <w:tc>
          <w:tcPr>
            <w:tcW w:w="93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0.00021</w:t>
            </w:r>
          </w:p>
        </w:tc>
        <w:tc>
          <w:tcPr>
            <w:tcW w:w="93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0.001</w:t>
            </w:r>
          </w:p>
        </w:tc>
        <w:tc>
          <w:tcPr>
            <w:tcW w:w="93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0.0003</w:t>
            </w:r>
          </w:p>
        </w:tc>
        <w:tc>
          <w:tcPr>
            <w:tcW w:w="105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0.00025</w:t>
            </w:r>
          </w:p>
        </w:tc>
        <w:tc>
          <w:tcPr>
            <w:tcW w:w="93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0.00028</w:t>
            </w:r>
          </w:p>
        </w:tc>
        <w:tc>
          <w:tcPr>
            <w:tcW w:w="93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0.00029</w:t>
            </w:r>
          </w:p>
        </w:tc>
        <w:tc>
          <w:tcPr>
            <w:tcW w:w="93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0.0004</w:t>
            </w:r>
          </w:p>
        </w:tc>
        <w:tc>
          <w:tcPr>
            <w:tcW w:w="93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最小值</w:t>
            </w:r>
          </w:p>
        </w:tc>
        <w:tc>
          <w:tcPr>
            <w:tcW w:w="105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99.9969</w:t>
            </w:r>
          </w:p>
        </w:tc>
        <w:tc>
          <w:tcPr>
            <w:tcW w:w="105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0.00009</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0.00012</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0.00027</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0.0001</w:t>
            </w:r>
          </w:p>
        </w:tc>
        <w:tc>
          <w:tcPr>
            <w:tcW w:w="10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0.0001</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0.0001</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0.0001</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0.00011</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0.00004</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0.00004</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平均值</w:t>
            </w:r>
          </w:p>
        </w:tc>
        <w:tc>
          <w:tcPr>
            <w:tcW w:w="105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99.9978</w:t>
            </w:r>
          </w:p>
        </w:tc>
        <w:tc>
          <w:tcPr>
            <w:tcW w:w="105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0.00012</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0.00019</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0.00056</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0.00021</w:t>
            </w:r>
          </w:p>
        </w:tc>
        <w:tc>
          <w:tcPr>
            <w:tcW w:w="10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0.00011</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0.00019</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0.00019</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0.00011</w:t>
            </w:r>
          </w:p>
        </w:tc>
        <w:tc>
          <w:tcPr>
            <w:tcW w:w="93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0.00011</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云南驰宏锌锗股份有限公司</w:t>
            </w: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最大值</w:t>
            </w:r>
          </w:p>
        </w:tc>
        <w:tc>
          <w:tcPr>
            <w:tcW w:w="10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99.9976</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0.0008</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最小值</w:t>
            </w:r>
          </w:p>
        </w:tc>
        <w:tc>
          <w:tcPr>
            <w:tcW w:w="10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99.9972</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平均值</w:t>
            </w:r>
          </w:p>
        </w:tc>
        <w:tc>
          <w:tcPr>
            <w:tcW w:w="10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99.9974</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0.00055</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65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江西铜业铅锌金属有限公司</w:t>
            </w: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最大值</w:t>
            </w:r>
          </w:p>
        </w:tc>
        <w:tc>
          <w:tcPr>
            <w:tcW w:w="1056"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99.9972</w:t>
            </w:r>
          </w:p>
        </w:tc>
        <w:tc>
          <w:tcPr>
            <w:tcW w:w="105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0.003</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0.0004</w:t>
            </w:r>
          </w:p>
        </w:tc>
        <w:tc>
          <w:tcPr>
            <w:tcW w:w="105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0.0002</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最小值</w:t>
            </w:r>
          </w:p>
        </w:tc>
        <w:tc>
          <w:tcPr>
            <w:tcW w:w="1056"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99.9944</w:t>
            </w:r>
          </w:p>
        </w:tc>
        <w:tc>
          <w:tcPr>
            <w:tcW w:w="105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0.0004</w:t>
            </w:r>
          </w:p>
        </w:tc>
        <w:tc>
          <w:tcPr>
            <w:tcW w:w="105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0.0002</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平均值</w:t>
            </w:r>
          </w:p>
        </w:tc>
        <w:tc>
          <w:tcPr>
            <w:tcW w:w="1056"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99.9966</w:t>
            </w:r>
          </w:p>
        </w:tc>
        <w:tc>
          <w:tcPr>
            <w:tcW w:w="105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0.00077</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0.0004</w:t>
            </w:r>
          </w:p>
        </w:tc>
        <w:tc>
          <w:tcPr>
            <w:tcW w:w="105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right"/>
              <w:textAlignment w:val="bottom"/>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0.0002</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65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湖南水口山有色金属集团有限公司</w:t>
            </w: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最大值</w:t>
            </w:r>
          </w:p>
        </w:tc>
        <w:tc>
          <w:tcPr>
            <w:tcW w:w="10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99.9984</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0.00028</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0.00044</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0.0035</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0.0003</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0.00056</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0.00009</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0.00007</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最小值</w:t>
            </w:r>
          </w:p>
        </w:tc>
        <w:tc>
          <w:tcPr>
            <w:tcW w:w="10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99.9948</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0.00001</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0.00011</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0.0008</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0.00005</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0.00005</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0.00004</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0.00005</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0.0001</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0.00001</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0.00005</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平均值</w:t>
            </w:r>
          </w:p>
        </w:tc>
        <w:tc>
          <w:tcPr>
            <w:tcW w:w="10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99.9974</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0.00012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0.00022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0.0015</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0.00012</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0.00024</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0.0001</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0.00012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0.00014</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0.00005</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65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安阳市岷山有色金属有限责任公司</w:t>
            </w: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最大值</w:t>
            </w:r>
          </w:p>
        </w:tc>
        <w:tc>
          <w:tcPr>
            <w:tcW w:w="10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99.9987</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0.00023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0.00071</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0.00051</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0.00028</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0.00004</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0.00007</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0.0001</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0.00024</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0.0001</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0.0002</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最小值</w:t>
            </w:r>
          </w:p>
        </w:tc>
        <w:tc>
          <w:tcPr>
            <w:tcW w:w="10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99.9981</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0.00001</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0.00039</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0.00017</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0.00002</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0.00001</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0.00005</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0.00015</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0.00001</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0.0001</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平均值</w:t>
            </w:r>
          </w:p>
        </w:tc>
        <w:tc>
          <w:tcPr>
            <w:tcW w:w="10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99.9984</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0.00007</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0.00053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0.00035</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0.0001</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0.00003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0.00004</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0.00007</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0.00009</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0.0001</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5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济源市万洋冶炼（集团）有限公司</w:t>
            </w: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最大值</w:t>
            </w:r>
          </w:p>
        </w:tc>
        <w:tc>
          <w:tcPr>
            <w:tcW w:w="10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99.9962</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0.0004</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0.0012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0.0004</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0.0004</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0.0001</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最小值</w:t>
            </w:r>
          </w:p>
        </w:tc>
        <w:tc>
          <w:tcPr>
            <w:tcW w:w="10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99.9974</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0.00011</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0.0007</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0.00025</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0.0001</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平均值</w:t>
            </w:r>
          </w:p>
        </w:tc>
        <w:tc>
          <w:tcPr>
            <w:tcW w:w="10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99.9968</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0.0008</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0.0003</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0.0001</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5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中金岭南韶关冶炼厂</w:t>
            </w: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最大值</w:t>
            </w:r>
          </w:p>
        </w:tc>
        <w:tc>
          <w:tcPr>
            <w:tcW w:w="10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99.9982</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0.00021</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0.00086</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0.00054</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0.00025</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0.00024</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0.00043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最小值</w:t>
            </w:r>
          </w:p>
        </w:tc>
        <w:tc>
          <w:tcPr>
            <w:tcW w:w="10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99.9971</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平均值</w:t>
            </w:r>
          </w:p>
        </w:tc>
        <w:tc>
          <w:tcPr>
            <w:tcW w:w="10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99.9977</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0.0004</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0.0003</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10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0.0002</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5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default" w:cs="宋体" w:asciiTheme="majorEastAsia" w:hAnsiTheme="majorEastAsia" w:eastAsiaTheme="majorEastAsia"/>
                <w:b w:val="0"/>
                <w:bCs w:val="0"/>
                <w:color w:val="000000"/>
                <w:kern w:val="0"/>
                <w:sz w:val="21"/>
                <w:szCs w:val="21"/>
                <w:lang w:val="zh-TW" w:eastAsia="zh-TW" w:bidi="zh-TW"/>
              </w:rPr>
              <w:t>河南金利金铅集团有限公司</w:t>
            </w: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最大值</w:t>
            </w:r>
          </w:p>
        </w:tc>
        <w:tc>
          <w:tcPr>
            <w:tcW w:w="1056"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ahoma" w:hAnsi="Tahoma" w:eastAsia="Tahoma" w:cs="Tahoma"/>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0.00032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0.00031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0.00132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0.00002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0.00006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0.00011</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最小值</w:t>
            </w:r>
          </w:p>
        </w:tc>
        <w:tc>
          <w:tcPr>
            <w:tcW w:w="1056"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ahoma" w:hAnsi="Tahoma" w:eastAsia="Tahoma" w:cs="Tahoma"/>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0.00077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0.00009</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0.00020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0.00020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0.00001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0.00002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0.00009</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5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2"/>
                <w:szCs w:val="22"/>
                <w:u w:val="none"/>
              </w:rPr>
            </w:pPr>
          </w:p>
        </w:tc>
        <w:tc>
          <w:tcPr>
            <w:tcW w:w="13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平均值</w:t>
            </w:r>
          </w:p>
        </w:tc>
        <w:tc>
          <w:tcPr>
            <w:tcW w:w="1056"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ahoma" w:hAnsi="Tahoma" w:eastAsia="Tahoma" w:cs="Tahoma"/>
                <w:i w:val="0"/>
                <w:iCs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0.00100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0.000113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0.000213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0.000013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0.000035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0.000095</w:t>
            </w:r>
          </w:p>
        </w:tc>
        <w:tc>
          <w:tcPr>
            <w:tcW w:w="9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hint="default" w:ascii="Tahoma" w:hAnsi="Tahoma" w:eastAsia="Tahoma" w:cs="Tahoma"/>
                <w:i w:val="0"/>
                <w:iCs w:val="0"/>
                <w:color w:val="000000"/>
                <w:kern w:val="0"/>
                <w:sz w:val="18"/>
                <w:szCs w:val="18"/>
                <w:u w:val="none"/>
                <w:lang w:val="en-US" w:eastAsia="zh-CN" w:bidi="ar"/>
              </w:rPr>
              <w:t>0.002289</w:t>
            </w:r>
          </w:p>
        </w:tc>
      </w:tr>
    </w:tbl>
    <w:p>
      <w:pPr>
        <w:spacing w:line="500" w:lineRule="exact"/>
        <w:rPr>
          <w:rFonts w:hint="eastAsia" w:ascii="宋体" w:hAnsi="宋体" w:eastAsia="宋体" w:cs="宋体"/>
          <w:sz w:val="24"/>
          <w:lang w:eastAsia="zh-CN"/>
        </w:rPr>
      </w:pPr>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方正小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Latha"/>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val="en-US"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FFCC7E"/>
    <w:multiLevelType w:val="singleLevel"/>
    <w:tmpl w:val="3BFFCC7E"/>
    <w:lvl w:ilvl="0" w:tentative="0">
      <w:start w:val="2"/>
      <w:numFmt w:val="decimal"/>
      <w:lvlText w:val="%1."/>
      <w:lvlJc w:val="left"/>
      <w:pPr>
        <w:tabs>
          <w:tab w:val="left" w:pos="312"/>
        </w:tabs>
      </w:pPr>
    </w:lvl>
  </w:abstractNum>
  <w:abstractNum w:abstractNumId="1">
    <w:nsid w:val="5D0FDCF5"/>
    <w:multiLevelType w:val="singleLevel"/>
    <w:tmpl w:val="5D0FDCF5"/>
    <w:lvl w:ilvl="0" w:tentative="0">
      <w:start w:val="1"/>
      <w:numFmt w:val="decimal"/>
      <w:suff w:val="nothing"/>
      <w:lvlText w:val="（%1）"/>
      <w:lvlJc w:val="left"/>
    </w:lvl>
  </w:abstractNum>
  <w:abstractNum w:abstractNumId="2">
    <w:nsid w:val="5E996DA7"/>
    <w:multiLevelType w:val="multilevel"/>
    <w:tmpl w:val="5E996DA7"/>
    <w:lvl w:ilvl="0" w:tentative="0">
      <w:start w:val="5"/>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OWFjMjJlZWIzYzBmOGUzYjU3MmRhYTY0OGQ4YzMifQ=="/>
  </w:docVars>
  <w:rsids>
    <w:rsidRoot w:val="4A286E32"/>
    <w:rsid w:val="00D03026"/>
    <w:rsid w:val="013629DC"/>
    <w:rsid w:val="025308F4"/>
    <w:rsid w:val="02F509A8"/>
    <w:rsid w:val="03A569EC"/>
    <w:rsid w:val="03A964DC"/>
    <w:rsid w:val="04EE2D73"/>
    <w:rsid w:val="050D1BCF"/>
    <w:rsid w:val="07C9227E"/>
    <w:rsid w:val="081E2193"/>
    <w:rsid w:val="0A6A6C22"/>
    <w:rsid w:val="0C394176"/>
    <w:rsid w:val="0CF87178"/>
    <w:rsid w:val="0DF0750B"/>
    <w:rsid w:val="0ED636D8"/>
    <w:rsid w:val="102C7CAA"/>
    <w:rsid w:val="1036370A"/>
    <w:rsid w:val="10433815"/>
    <w:rsid w:val="11455A44"/>
    <w:rsid w:val="11F0700F"/>
    <w:rsid w:val="12575356"/>
    <w:rsid w:val="13A66595"/>
    <w:rsid w:val="13FC6308"/>
    <w:rsid w:val="14961A2A"/>
    <w:rsid w:val="175E5E7D"/>
    <w:rsid w:val="196229FF"/>
    <w:rsid w:val="19B149ED"/>
    <w:rsid w:val="1B494F77"/>
    <w:rsid w:val="1BFE5C07"/>
    <w:rsid w:val="1C4C57FF"/>
    <w:rsid w:val="1EAF49D1"/>
    <w:rsid w:val="1FB84222"/>
    <w:rsid w:val="2084116E"/>
    <w:rsid w:val="213D10A2"/>
    <w:rsid w:val="222C235B"/>
    <w:rsid w:val="251810CC"/>
    <w:rsid w:val="255A11C3"/>
    <w:rsid w:val="26292BA3"/>
    <w:rsid w:val="268362C1"/>
    <w:rsid w:val="26933301"/>
    <w:rsid w:val="272555CB"/>
    <w:rsid w:val="29007EAA"/>
    <w:rsid w:val="294A4EB5"/>
    <w:rsid w:val="29600B3C"/>
    <w:rsid w:val="296251DC"/>
    <w:rsid w:val="29CF5A2F"/>
    <w:rsid w:val="2ABE6535"/>
    <w:rsid w:val="2BAA609E"/>
    <w:rsid w:val="2C6A1C4D"/>
    <w:rsid w:val="2CB479C1"/>
    <w:rsid w:val="2F140826"/>
    <w:rsid w:val="32327F16"/>
    <w:rsid w:val="33113224"/>
    <w:rsid w:val="332C549A"/>
    <w:rsid w:val="34806536"/>
    <w:rsid w:val="3555406E"/>
    <w:rsid w:val="369B31B3"/>
    <w:rsid w:val="36E10F32"/>
    <w:rsid w:val="3847606F"/>
    <w:rsid w:val="385672A3"/>
    <w:rsid w:val="39203E44"/>
    <w:rsid w:val="39930ABA"/>
    <w:rsid w:val="3A4C603B"/>
    <w:rsid w:val="3AA56F5F"/>
    <w:rsid w:val="3B00217F"/>
    <w:rsid w:val="3B957B81"/>
    <w:rsid w:val="3C815405"/>
    <w:rsid w:val="3CA07DEE"/>
    <w:rsid w:val="3CD72A6B"/>
    <w:rsid w:val="3E48714B"/>
    <w:rsid w:val="407E302D"/>
    <w:rsid w:val="41A42592"/>
    <w:rsid w:val="438A4CDB"/>
    <w:rsid w:val="43910D7A"/>
    <w:rsid w:val="443E2728"/>
    <w:rsid w:val="446B3ADA"/>
    <w:rsid w:val="447137A5"/>
    <w:rsid w:val="45F13421"/>
    <w:rsid w:val="469C4F8C"/>
    <w:rsid w:val="490613E3"/>
    <w:rsid w:val="4A286E32"/>
    <w:rsid w:val="4A4060F4"/>
    <w:rsid w:val="4B6422B6"/>
    <w:rsid w:val="4BB37500"/>
    <w:rsid w:val="4BC6087B"/>
    <w:rsid w:val="4C0B54C0"/>
    <w:rsid w:val="4C3440CD"/>
    <w:rsid w:val="4C935E19"/>
    <w:rsid w:val="4D830A74"/>
    <w:rsid w:val="4EB5354C"/>
    <w:rsid w:val="4FB867D8"/>
    <w:rsid w:val="501C315F"/>
    <w:rsid w:val="512A0A6B"/>
    <w:rsid w:val="514D7E89"/>
    <w:rsid w:val="515B1A65"/>
    <w:rsid w:val="51815E7C"/>
    <w:rsid w:val="52456718"/>
    <w:rsid w:val="53270C85"/>
    <w:rsid w:val="53DC2A37"/>
    <w:rsid w:val="54E12281"/>
    <w:rsid w:val="55CD53CF"/>
    <w:rsid w:val="567C4958"/>
    <w:rsid w:val="57537ED1"/>
    <w:rsid w:val="57875270"/>
    <w:rsid w:val="57937176"/>
    <w:rsid w:val="57F64296"/>
    <w:rsid w:val="586D09FC"/>
    <w:rsid w:val="5A0D2753"/>
    <w:rsid w:val="5BEA5C5F"/>
    <w:rsid w:val="5CAA287B"/>
    <w:rsid w:val="5E3557FA"/>
    <w:rsid w:val="5EB50A07"/>
    <w:rsid w:val="5EE674E7"/>
    <w:rsid w:val="5F4B136B"/>
    <w:rsid w:val="5F73189A"/>
    <w:rsid w:val="602C46F4"/>
    <w:rsid w:val="6110101B"/>
    <w:rsid w:val="61B928A8"/>
    <w:rsid w:val="626335B2"/>
    <w:rsid w:val="629E22B2"/>
    <w:rsid w:val="62EB7FD5"/>
    <w:rsid w:val="63971485"/>
    <w:rsid w:val="659D21F5"/>
    <w:rsid w:val="66C942D8"/>
    <w:rsid w:val="67160881"/>
    <w:rsid w:val="67895BD4"/>
    <w:rsid w:val="680F7782"/>
    <w:rsid w:val="6B11368A"/>
    <w:rsid w:val="6CCD5C6D"/>
    <w:rsid w:val="6E2D57E4"/>
    <w:rsid w:val="6EAC36D2"/>
    <w:rsid w:val="6ED40E23"/>
    <w:rsid w:val="70A83B78"/>
    <w:rsid w:val="70F85C56"/>
    <w:rsid w:val="70FB6400"/>
    <w:rsid w:val="71B85FAC"/>
    <w:rsid w:val="720D2BAC"/>
    <w:rsid w:val="721B2E1F"/>
    <w:rsid w:val="724F6201"/>
    <w:rsid w:val="73AD3F4B"/>
    <w:rsid w:val="75970A0E"/>
    <w:rsid w:val="75C6333F"/>
    <w:rsid w:val="76516E0F"/>
    <w:rsid w:val="76A35D05"/>
    <w:rsid w:val="77AD63E9"/>
    <w:rsid w:val="784273D4"/>
    <w:rsid w:val="788F6804"/>
    <w:rsid w:val="78CE2999"/>
    <w:rsid w:val="79665BDF"/>
    <w:rsid w:val="799E680F"/>
    <w:rsid w:val="7A3251AA"/>
    <w:rsid w:val="7AA00365"/>
    <w:rsid w:val="7AE22608"/>
    <w:rsid w:val="7B97031E"/>
    <w:rsid w:val="7C9E08D4"/>
    <w:rsid w:val="7CD31863"/>
    <w:rsid w:val="7DEC37E1"/>
    <w:rsid w:val="7E7C543E"/>
    <w:rsid w:val="7FFD2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39"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2"/>
    <w:basedOn w:val="1"/>
    <w:next w:val="1"/>
    <w:unhideWhenUsed/>
    <w:qFormat/>
    <w:uiPriority w:val="0"/>
    <w:pPr>
      <w:keepNext/>
      <w:keepLines/>
      <w:spacing w:before="100" w:beforeLines="100" w:after="100" w:afterLines="100" w:line="240" w:lineRule="auto"/>
      <w:jc w:val="left"/>
      <w:outlineLvl w:val="1"/>
    </w:pPr>
    <w:rPr>
      <w:rFonts w:ascii="宋体" w:hAnsi="宋体" w:eastAsia="宋体"/>
      <w:bCs/>
      <w:sz w:val="24"/>
      <w:szCs w:val="3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jc w:val="center"/>
    </w:pPr>
    <w:rPr>
      <w:szCs w:val="24"/>
    </w:rPr>
  </w:style>
  <w:style w:type="paragraph" w:styleId="4">
    <w:name w:val="Date"/>
    <w:basedOn w:val="1"/>
    <w:next w:val="1"/>
    <w:semiHidden/>
    <w:qFormat/>
    <w:uiPriority w:val="0"/>
    <w:pPr>
      <w:ind w:left="100" w:leftChars="2500"/>
    </w:pPr>
  </w:style>
  <w:style w:type="paragraph" w:styleId="5">
    <w:name w:val="footer"/>
    <w:basedOn w:val="1"/>
    <w:qFormat/>
    <w:uiPriority w:val="0"/>
    <w:pPr>
      <w:tabs>
        <w:tab w:val="center" w:pos="4153"/>
        <w:tab w:val="right" w:pos="8306"/>
      </w:tabs>
      <w:snapToGrid w:val="0"/>
      <w:spacing w:line="240" w:lineRule="auto"/>
      <w:jc w:val="left"/>
    </w:pPr>
    <w:rPr>
      <w:sz w:val="18"/>
      <w:szCs w:val="18"/>
    </w:rPr>
  </w:style>
  <w:style w:type="paragraph" w:styleId="6">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character" w:styleId="9">
    <w:name w:val="page number"/>
    <w:basedOn w:val="8"/>
    <w:semiHidden/>
    <w:qFormat/>
    <w:uiPriority w:val="0"/>
  </w:style>
  <w:style w:type="paragraph" w:styleId="10">
    <w:name w:val="List Paragraph"/>
    <w:basedOn w:val="1"/>
    <w:qFormat/>
    <w:uiPriority w:val="34"/>
    <w:pPr>
      <w:ind w:firstLine="420" w:firstLineChars="200"/>
    </w:pPr>
  </w:style>
  <w:style w:type="character" w:customStyle="1" w:styleId="11">
    <w:name w:val="NormalCharacter"/>
    <w:link w:val="1"/>
    <w:qFormat/>
    <w:uiPriority w:val="0"/>
    <w:rPr>
      <w:rFonts w:ascii="Tahoma" w:hAnsi="Tahoma" w:eastAsia="微软雅黑" w:cstheme="minorBidi"/>
      <w:sz w:val="22"/>
      <w:szCs w:val="22"/>
      <w:lang w:val="en-US" w:eastAsia="zh-CN" w:bidi="ar-SA"/>
    </w:rPr>
  </w:style>
  <w:style w:type="character" w:customStyle="1" w:styleId="12">
    <w:name w:val="font71"/>
    <w:basedOn w:val="8"/>
    <w:qFormat/>
    <w:uiPriority w:val="0"/>
    <w:rPr>
      <w:rFonts w:hint="eastAsia" w:ascii="宋体" w:hAnsi="宋体" w:eastAsia="宋体" w:cs="宋体"/>
      <w:color w:val="000000"/>
      <w:sz w:val="22"/>
      <w:szCs w:val="22"/>
      <w:u w:val="none"/>
    </w:rPr>
  </w:style>
  <w:style w:type="paragraph" w:customStyle="1" w:styleId="13">
    <w:name w:val="Body text|2"/>
    <w:basedOn w:val="1"/>
    <w:qFormat/>
    <w:uiPriority w:val="0"/>
    <w:pPr>
      <w:spacing w:line="317" w:lineRule="auto"/>
    </w:pPr>
    <w:rPr>
      <w:sz w:val="20"/>
      <w:szCs w:val="20"/>
    </w:rPr>
  </w:style>
  <w:style w:type="paragraph" w:customStyle="1" w:styleId="14">
    <w:name w:val="Body text|1"/>
    <w:basedOn w:val="1"/>
    <w:qFormat/>
    <w:uiPriority w:val="0"/>
    <w:pPr>
      <w:spacing w:line="326" w:lineRule="auto"/>
    </w:pPr>
    <w:rPr>
      <w:rFonts w:ascii="宋体" w:hAnsi="宋体" w:eastAsia="宋体" w:cs="宋体"/>
      <w:sz w:val="20"/>
      <w:szCs w:val="20"/>
      <w:lang w:val="zh-TW" w:eastAsia="zh-TW" w:bidi="zh-TW"/>
    </w:rPr>
  </w:style>
  <w:style w:type="character" w:customStyle="1" w:styleId="15">
    <w:name w:val="font21"/>
    <w:basedOn w:val="8"/>
    <w:qFormat/>
    <w:uiPriority w:val="0"/>
    <w:rPr>
      <w:rFonts w:hint="eastAsia" w:ascii="微软雅黑" w:hAnsi="微软雅黑" w:eastAsia="微软雅黑" w:cs="微软雅黑"/>
      <w:color w:val="000000"/>
      <w:sz w:val="22"/>
      <w:szCs w:val="22"/>
      <w:u w:val="none"/>
    </w:rPr>
  </w:style>
  <w:style w:type="character" w:customStyle="1" w:styleId="16">
    <w:name w:val="font41"/>
    <w:basedOn w:val="8"/>
    <w:qFormat/>
    <w:uiPriority w:val="0"/>
    <w:rPr>
      <w:rFonts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6876</Words>
  <Characters>13539</Characters>
  <Lines>0</Lines>
  <Paragraphs>0</Paragraphs>
  <TotalTime>3</TotalTime>
  <ScaleCrop>false</ScaleCrop>
  <LinksUpToDate>false</LinksUpToDate>
  <CharactersWithSpaces>13654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2022-05-31T01:42:00Z</dcterms:created>
  <dc:creator>蓝山</dc:creator>
  <cp:lastModifiedBy>林若虚</cp:lastModifiedBy>
  <dcterms:modified xsi:type="dcterms:W3CDTF">2022-10-27T01:46:31Z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0FFF0DB4508D45B5A2AD257F79AE402F</vt:lpwstr>
  </property>
</Properties>
</file>