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黑体" w:hAnsi="黑体" w:eastAsia="黑体" w:cs="Times New Roman"/>
          <w:color w:val="auto"/>
          <w:kern w:val="2"/>
          <w:sz w:val="30"/>
          <w:szCs w:val="30"/>
        </w:rPr>
      </w:pPr>
      <w:r>
        <w:rPr>
          <w:rFonts w:hint="eastAsia" w:ascii="黑体" w:hAnsi="黑体" w:eastAsia="黑体" w:cs="Times New Roman"/>
          <w:color w:val="auto"/>
          <w:kern w:val="2"/>
          <w:sz w:val="30"/>
          <w:szCs w:val="30"/>
        </w:rPr>
        <w:t>《固化型银导体浆料》行业标准修订</w:t>
      </w:r>
    </w:p>
    <w:p>
      <w:pPr>
        <w:spacing w:line="240" w:lineRule="auto"/>
        <w:jc w:val="center"/>
        <w:rPr>
          <w:rFonts w:ascii="Times New Roman" w:hAnsi="Times New Roman"/>
          <w:sz w:val="28"/>
          <w:szCs w:val="28"/>
        </w:rPr>
      </w:pPr>
      <w:r>
        <w:rPr>
          <w:rFonts w:ascii="黑体" w:hAnsi="黑体" w:eastAsia="黑体"/>
          <w:sz w:val="30"/>
          <w:szCs w:val="30"/>
        </w:rPr>
        <w:t>编制说明</w:t>
      </w:r>
    </w:p>
    <w:p>
      <w:pPr>
        <w:pStyle w:val="12"/>
        <w:numPr>
          <w:ilvl w:val="0"/>
          <w:numId w:val="2"/>
        </w:numPr>
        <w:spacing w:after="160"/>
        <w:ind w:firstLineChars="0"/>
        <w:rPr>
          <w:rFonts w:ascii="Times New Roman" w:hAnsi="Times New Roman"/>
          <w:b/>
          <w:sz w:val="28"/>
          <w:szCs w:val="28"/>
        </w:rPr>
      </w:pPr>
      <w:r>
        <w:rPr>
          <w:rFonts w:ascii="Times New Roman"/>
          <w:b/>
          <w:sz w:val="28"/>
          <w:szCs w:val="28"/>
        </w:rPr>
        <w:t>工作简况</w:t>
      </w:r>
    </w:p>
    <w:p>
      <w:pPr>
        <w:pStyle w:val="12"/>
        <w:numPr>
          <w:ilvl w:val="0"/>
          <w:numId w:val="3"/>
        </w:numPr>
        <w:spacing w:after="160"/>
        <w:ind w:firstLineChars="0"/>
        <w:rPr>
          <w:rFonts w:ascii="Times New Roman" w:hAnsi="Times New Roman"/>
          <w:b/>
          <w:sz w:val="28"/>
          <w:szCs w:val="28"/>
        </w:rPr>
      </w:pPr>
      <w:r>
        <w:rPr>
          <w:rFonts w:hint="eastAsia" w:ascii="Times New Roman" w:hAnsi="Times New Roman"/>
          <w:b/>
          <w:sz w:val="28"/>
          <w:szCs w:val="28"/>
        </w:rPr>
        <w:t>任务来源</w:t>
      </w:r>
    </w:p>
    <w:p>
      <w:pPr>
        <w:spacing w:after="160"/>
        <w:rPr>
          <w:rFonts w:ascii="Times New Roman" w:hAnsi="Times New Roman"/>
          <w:b/>
          <w:kern w:val="0"/>
          <w:sz w:val="24"/>
          <w:szCs w:val="24"/>
        </w:rPr>
      </w:pPr>
      <w:r>
        <w:rPr>
          <w:rFonts w:hint="eastAsia" w:ascii="Times New Roman" w:hAnsi="Times New Roman"/>
          <w:b/>
          <w:kern w:val="0"/>
          <w:sz w:val="24"/>
          <w:szCs w:val="24"/>
        </w:rPr>
        <w:t>1.1计划批准文件名称、文号及项目编号、项目名称、计划完成年限、项目名称更改说明、 编制组成员（单位）</w:t>
      </w:r>
    </w:p>
    <w:p>
      <w:pPr>
        <w:pStyle w:val="15"/>
        <w:spacing w:after="160" w:line="360" w:lineRule="auto"/>
        <w:ind w:firstLine="480"/>
        <w:rPr>
          <w:sz w:val="24"/>
          <w:szCs w:val="24"/>
        </w:rPr>
      </w:pPr>
      <w:r>
        <w:rPr>
          <w:sz w:val="24"/>
          <w:szCs w:val="24"/>
        </w:rPr>
        <w:t>201</w:t>
      </w:r>
      <w:r>
        <w:rPr>
          <w:rFonts w:hint="eastAsia"/>
          <w:sz w:val="24"/>
          <w:szCs w:val="24"/>
        </w:rPr>
        <w:t>8</w:t>
      </w:r>
      <w:r>
        <w:rPr>
          <w:sz w:val="24"/>
          <w:szCs w:val="24"/>
        </w:rPr>
        <w:t>年</w:t>
      </w:r>
      <w:r>
        <w:rPr>
          <w:rFonts w:hint="eastAsia"/>
          <w:sz w:val="24"/>
          <w:szCs w:val="24"/>
        </w:rPr>
        <w:t>10</w:t>
      </w:r>
      <w:r>
        <w:rPr>
          <w:sz w:val="24"/>
          <w:szCs w:val="24"/>
        </w:rPr>
        <w:t>月，</w:t>
      </w:r>
      <w:r>
        <w:rPr>
          <w:rFonts w:hint="eastAsia"/>
          <w:sz w:val="24"/>
          <w:szCs w:val="24"/>
        </w:rPr>
        <w:t>贵研铂业股份有限公司</w:t>
      </w:r>
      <w:r>
        <w:rPr>
          <w:sz w:val="24"/>
          <w:szCs w:val="24"/>
        </w:rPr>
        <w:t>提出</w:t>
      </w:r>
      <w:r>
        <w:rPr>
          <w:rFonts w:hint="eastAsia"/>
          <w:sz w:val="24"/>
          <w:szCs w:val="24"/>
          <w:lang w:val="en-US" w:eastAsia="zh-CN"/>
        </w:rPr>
        <w:t>修订</w:t>
      </w:r>
      <w:r>
        <w:rPr>
          <w:rFonts w:hint="eastAsia"/>
          <w:sz w:val="24"/>
          <w:szCs w:val="24"/>
        </w:rPr>
        <w:t>本行业标准的建议书。于2019年4月有色金属行业</w:t>
      </w:r>
      <w:r>
        <w:rPr>
          <w:sz w:val="24"/>
          <w:szCs w:val="24"/>
        </w:rPr>
        <w:t>标准委下达该标准的</w:t>
      </w:r>
      <w:r>
        <w:rPr>
          <w:rFonts w:hint="eastAsia"/>
          <w:sz w:val="24"/>
          <w:szCs w:val="24"/>
          <w:lang w:val="en-US" w:eastAsia="zh-CN"/>
        </w:rPr>
        <w:t>修订</w:t>
      </w:r>
      <w:r>
        <w:rPr>
          <w:sz w:val="24"/>
          <w:szCs w:val="24"/>
        </w:rPr>
        <w:t>任务，</w:t>
      </w:r>
      <w:r>
        <w:rPr>
          <w:rFonts w:hint="eastAsia"/>
          <w:sz w:val="24"/>
          <w:szCs w:val="24"/>
        </w:rPr>
        <w:t>计划批准文件名称：《固化型银导体浆料》，计划文:工信厅科函【2021】234号，计划号：2021-0877T-YS。项目名称：固化型银导体浆料。项目周期18个月。</w:t>
      </w:r>
      <w:r>
        <w:rPr>
          <w:sz w:val="24"/>
          <w:szCs w:val="24"/>
        </w:rPr>
        <w:t xml:space="preserve"> </w:t>
      </w:r>
    </w:p>
    <w:p>
      <w:pPr>
        <w:rPr>
          <w:rFonts w:hint="eastAsia" w:ascii="宋体" w:hAnsi="Times New Roman" w:eastAsia="宋体" w:cs="Times New Roman"/>
          <w:kern w:val="0"/>
          <w:sz w:val="24"/>
          <w:szCs w:val="24"/>
          <w:lang w:val="en-US" w:eastAsia="zh-CN" w:bidi="ar-SA"/>
        </w:rPr>
      </w:pPr>
      <w:r>
        <w:rPr>
          <w:rFonts w:hint="eastAsia" w:ascii="宋体" w:hAnsi="Times New Roman" w:eastAsia="宋体" w:cs="Times New Roman"/>
          <w:kern w:val="0"/>
          <w:sz w:val="24"/>
          <w:szCs w:val="24"/>
          <w:lang w:val="en-US" w:eastAsia="zh-CN" w:bidi="ar-SA"/>
        </w:rPr>
        <w:t>编制组成员：贵研铂业股份有限公司。</w:t>
      </w:r>
    </w:p>
    <w:p>
      <w:pPr>
        <w:spacing w:after="160"/>
        <w:ind w:firstLine="480" w:firstLineChars="200"/>
        <w:rPr>
          <w:rFonts w:ascii="Times New Roman" w:hAnsi="Times New Roman"/>
          <w:kern w:val="0"/>
          <w:sz w:val="24"/>
          <w:szCs w:val="24"/>
        </w:rPr>
      </w:pPr>
      <w:r>
        <w:rPr>
          <w:rFonts w:ascii="Times New Roman" w:hAnsi="Times New Roman"/>
          <w:kern w:val="0"/>
          <w:sz w:val="24"/>
          <w:szCs w:val="24"/>
        </w:rPr>
        <w:t>本</w:t>
      </w:r>
      <w:r>
        <w:rPr>
          <w:rFonts w:hint="eastAsia" w:ascii="Times New Roman" w:hAnsi="Times New Roman"/>
          <w:kern w:val="0"/>
          <w:sz w:val="24"/>
          <w:szCs w:val="24"/>
        </w:rPr>
        <w:t>文件</w:t>
      </w:r>
      <w:r>
        <w:rPr>
          <w:rFonts w:ascii="Times New Roman" w:hAnsi="Times New Roman"/>
          <w:kern w:val="0"/>
          <w:sz w:val="24"/>
          <w:szCs w:val="24"/>
        </w:rPr>
        <w:t>由全国有色金属标准化技术委员会</w:t>
      </w:r>
      <w:r>
        <w:rPr>
          <w:rFonts w:hint="eastAsia" w:ascii="Times New Roman" w:hAnsi="Times New Roman"/>
          <w:kern w:val="0"/>
          <w:sz w:val="24"/>
          <w:szCs w:val="24"/>
        </w:rPr>
        <w:t>（SAC/TC 243）提出并</w:t>
      </w:r>
      <w:r>
        <w:rPr>
          <w:rFonts w:ascii="Times New Roman" w:hAnsi="Times New Roman"/>
          <w:kern w:val="0"/>
          <w:sz w:val="24"/>
          <w:szCs w:val="24"/>
        </w:rPr>
        <w:t>归口</w:t>
      </w:r>
      <w:r>
        <w:rPr>
          <w:rFonts w:hint="eastAsia" w:ascii="Times New Roman" w:hAnsi="Times New Roman"/>
          <w:kern w:val="0"/>
          <w:sz w:val="24"/>
          <w:szCs w:val="24"/>
        </w:rPr>
        <w:t>。</w:t>
      </w:r>
    </w:p>
    <w:p>
      <w:pPr>
        <w:spacing w:after="160"/>
        <w:rPr>
          <w:rFonts w:ascii="Times New Roman" w:hAnsi="Times New Roman"/>
          <w:b/>
          <w:kern w:val="0"/>
          <w:sz w:val="24"/>
          <w:szCs w:val="24"/>
        </w:rPr>
      </w:pPr>
      <w:r>
        <w:rPr>
          <w:rFonts w:hint="eastAsia" w:ascii="Times New Roman" w:hAnsi="Times New Roman"/>
          <w:b/>
          <w:kern w:val="0"/>
          <w:sz w:val="24"/>
          <w:szCs w:val="24"/>
        </w:rPr>
        <w:t>1.2项目编制组单位变化情况</w:t>
      </w:r>
    </w:p>
    <w:p>
      <w:pPr>
        <w:spacing w:after="160"/>
        <w:ind w:firstLine="480" w:firstLineChars="200"/>
        <w:rPr>
          <w:rFonts w:ascii="Times New Roman" w:hAnsi="Times New Roman"/>
          <w:kern w:val="0"/>
          <w:sz w:val="24"/>
          <w:szCs w:val="24"/>
        </w:rPr>
      </w:pPr>
      <w:r>
        <w:rPr>
          <w:rFonts w:hint="eastAsia" w:ascii="Times New Roman" w:hAnsi="Times New Roman"/>
          <w:kern w:val="0"/>
          <w:sz w:val="24"/>
          <w:szCs w:val="24"/>
        </w:rPr>
        <w:t>编制过程中项目编制组单位无变化。</w:t>
      </w:r>
    </w:p>
    <w:p>
      <w:pPr>
        <w:pStyle w:val="12"/>
        <w:numPr>
          <w:ilvl w:val="0"/>
          <w:numId w:val="3"/>
        </w:numPr>
        <w:spacing w:after="160"/>
        <w:ind w:firstLineChars="0"/>
        <w:rPr>
          <w:rFonts w:ascii="Times New Roman" w:hAnsi="Times New Roman"/>
          <w:b/>
          <w:sz w:val="28"/>
          <w:szCs w:val="28"/>
        </w:rPr>
      </w:pPr>
      <w:r>
        <w:rPr>
          <w:rFonts w:hint="eastAsia" w:ascii="Times New Roman" w:hAnsi="Times New Roman"/>
          <w:b/>
          <w:sz w:val="28"/>
          <w:szCs w:val="28"/>
        </w:rPr>
        <w:t>主要参加单位和工作成员及其所作的工作</w:t>
      </w:r>
    </w:p>
    <w:p>
      <w:pPr>
        <w:spacing w:after="160"/>
        <w:rPr>
          <w:rFonts w:ascii="Times New Roman" w:hAnsi="Times New Roman"/>
          <w:b/>
          <w:kern w:val="0"/>
          <w:sz w:val="24"/>
          <w:szCs w:val="24"/>
        </w:rPr>
      </w:pPr>
      <w:r>
        <w:rPr>
          <w:rFonts w:hint="eastAsia" w:ascii="Times New Roman" w:hAnsi="Times New Roman"/>
          <w:b/>
          <w:kern w:val="0"/>
          <w:sz w:val="24"/>
          <w:szCs w:val="24"/>
        </w:rPr>
        <w:t>2. 1主要参加单位情况</w:t>
      </w:r>
    </w:p>
    <w:p>
      <w:pPr>
        <w:spacing w:after="160"/>
        <w:ind w:firstLine="480" w:firstLineChars="200"/>
        <w:rPr>
          <w:sz w:val="24"/>
        </w:rPr>
      </w:pPr>
      <w:r>
        <w:rPr>
          <w:rFonts w:hint="eastAsia"/>
          <w:sz w:val="24"/>
        </w:rPr>
        <w:t>贵研铂业股份有限公司（简称：贵研铂业，证券代码：600459）于2000年由中国唯一从事贵金属多学科领域综合性研究开发机构昆明贵金属研究所（简称：贵研所）发起设立，是集贵金属系列功能材料研究、开发和生产经营于一体的高新技术企业，于2003年在上海证券交易所上市。贵研铂业专注于贵金属新材料制造、资源再生、商务贸易，立足于做强产品，做大贸易，拓展资源。产品包括贵金属特种功能材料、环保及催化功能材料、信息功能材料、再生资源材料等五大类,共计390多个品种、4000多种规格，产品主要用于航空、航天、航海、国防军工、电子、能源、化工、石油、汽车、生物医药、环保能源、钢铁等行业。</w:t>
      </w:r>
    </w:p>
    <w:p>
      <w:pPr>
        <w:spacing w:after="160"/>
        <w:ind w:firstLine="480" w:firstLineChars="200"/>
        <w:rPr>
          <w:rFonts w:ascii="宋体" w:hAnsi="宋体"/>
          <w:sz w:val="24"/>
        </w:rPr>
      </w:pPr>
      <w:r>
        <w:rPr>
          <w:rFonts w:hint="eastAsia"/>
          <w:sz w:val="24"/>
        </w:rPr>
        <w:t>公司以标准引领行业发展，持续保持贵金属领域标准制(修)订的优势地位。截至2017年末，主持和参与制订、修订国家标准72项、国家军用标准20项、行业标准114项，</w:t>
      </w:r>
      <w:r>
        <w:rPr>
          <w:rFonts w:hint="eastAsia" w:ascii="宋体" w:hAnsi="宋体"/>
          <w:sz w:val="24"/>
        </w:rPr>
        <w:t>具备良好的工作基础。</w:t>
      </w:r>
      <w:r>
        <w:rPr>
          <w:rFonts w:hint="eastAsia"/>
          <w:sz w:val="24"/>
        </w:rPr>
        <w:t>11个产品获“国家重点新产品”称号。为公司未来新产品推向市场打下了坚实的基础。</w:t>
      </w:r>
    </w:p>
    <w:p>
      <w:pPr>
        <w:spacing w:after="160"/>
        <w:ind w:firstLine="480" w:firstLineChars="200"/>
        <w:rPr>
          <w:rFonts w:ascii="Times New Roman" w:hAnsi="Times New Roman"/>
          <w:kern w:val="0"/>
          <w:sz w:val="24"/>
          <w:szCs w:val="24"/>
        </w:rPr>
      </w:pPr>
      <w:r>
        <w:rPr>
          <w:rFonts w:hint="eastAsia"/>
          <w:sz w:val="24"/>
        </w:rPr>
        <w:t>此外，公司实施人力资源开发战略，着力打造高知识、高技能、高素质的技术开发队伍、营销商务队伍、职能管理队伍和产业工人队伍。公司员工中，技术人员占31%、本科及以上学历占62%。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供-销、产品加工到废料回收利用的一站式综合服务，在贵金属材料领域拥有系列核心技术和完整创新体系，集产学研为一体，使公司在行业竞争中占据了明显的综合竞争优势。</w:t>
      </w:r>
    </w:p>
    <w:p>
      <w:pPr>
        <w:spacing w:after="160"/>
        <w:rPr>
          <w:rFonts w:ascii="Times New Roman" w:hAnsi="Times New Roman"/>
          <w:b/>
          <w:kern w:val="0"/>
          <w:sz w:val="24"/>
          <w:szCs w:val="24"/>
        </w:rPr>
      </w:pPr>
      <w:r>
        <w:rPr>
          <w:rFonts w:hint="eastAsia" w:ascii="Times New Roman" w:hAnsi="Times New Roman"/>
          <w:b/>
          <w:kern w:val="0"/>
          <w:sz w:val="24"/>
          <w:szCs w:val="24"/>
        </w:rPr>
        <w:t>2.2主要工作成员所负责的工作情况</w:t>
      </w:r>
    </w:p>
    <w:p>
      <w:pPr>
        <w:pStyle w:val="12"/>
        <w:spacing w:after="160"/>
        <w:ind w:left="480" w:firstLine="0" w:firstLineChars="0"/>
        <w:rPr>
          <w:rFonts w:ascii="Times New Roman" w:hAnsi="Times New Roman"/>
          <w:kern w:val="0"/>
          <w:sz w:val="24"/>
          <w:szCs w:val="24"/>
        </w:rPr>
      </w:pPr>
      <w:r>
        <w:rPr>
          <w:rFonts w:hint="eastAsia" w:ascii="Times New Roman" w:hAnsi="Times New Roman"/>
          <w:kern w:val="0"/>
          <w:sz w:val="24"/>
          <w:szCs w:val="24"/>
        </w:rPr>
        <w:t>本标准主要起草人及工作职责见表1。</w:t>
      </w:r>
    </w:p>
    <w:p>
      <w:pPr>
        <w:pStyle w:val="12"/>
        <w:spacing w:after="160"/>
        <w:ind w:left="480" w:firstLine="0" w:firstLineChars="0"/>
        <w:jc w:val="center"/>
        <w:rPr>
          <w:rFonts w:ascii="Times New Roman" w:hAnsi="Times New Roman"/>
          <w:kern w:val="0"/>
          <w:sz w:val="24"/>
          <w:szCs w:val="24"/>
        </w:rPr>
      </w:pPr>
      <w:r>
        <w:rPr>
          <w:rFonts w:hint="eastAsia" w:ascii="Times New Roman" w:hAnsi="Times New Roman"/>
          <w:kern w:val="0"/>
          <w:sz w:val="24"/>
          <w:szCs w:val="24"/>
        </w:rPr>
        <w:t>表1 主要起草人及其工作职责</w:t>
      </w:r>
    </w:p>
    <w:tbl>
      <w:tblPr>
        <w:tblStyle w:val="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2"/>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起草人</w:t>
            </w:r>
          </w:p>
        </w:tc>
        <w:tc>
          <w:tcPr>
            <w:tcW w:w="6004" w:type="dxa"/>
          </w:tcPr>
          <w:p>
            <w:pPr>
              <w:pStyle w:val="12"/>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2"/>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李章炜</w:t>
            </w:r>
          </w:p>
        </w:tc>
        <w:tc>
          <w:tcPr>
            <w:tcW w:w="6004" w:type="dxa"/>
          </w:tcPr>
          <w:p>
            <w:pPr>
              <w:pStyle w:val="12"/>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负责标准的工作指导、标准的编写、试验方案确定及组织协调、试验验证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2"/>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幸七四、杨博文、张晓杰、李燕华</w:t>
            </w:r>
          </w:p>
        </w:tc>
        <w:tc>
          <w:tcPr>
            <w:tcW w:w="6004" w:type="dxa"/>
          </w:tcPr>
          <w:p>
            <w:pPr>
              <w:pStyle w:val="12"/>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标准编写材料的收集、提供理论支持、文献支持、测试参数确定及标准部分内容编写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pStyle w:val="12"/>
              <w:spacing w:line="240" w:lineRule="auto"/>
              <w:ind w:firstLine="0" w:firstLineChars="0"/>
              <w:rPr>
                <w:rFonts w:hint="eastAsia" w:ascii="Times New Roman" w:hAnsi="Times New Roman"/>
                <w:kern w:val="0"/>
                <w:sz w:val="24"/>
                <w:szCs w:val="24"/>
              </w:rPr>
            </w:pPr>
            <w:r>
              <w:rPr>
                <w:rFonts w:hint="eastAsia" w:ascii="Times New Roman" w:hAnsi="Times New Roman"/>
                <w:kern w:val="0"/>
                <w:sz w:val="24"/>
                <w:szCs w:val="24"/>
                <w:lang w:val="en-US" w:eastAsia="zh-CN"/>
              </w:rPr>
              <w:t>李俊鹏、</w:t>
            </w:r>
            <w:r>
              <w:rPr>
                <w:rFonts w:hint="eastAsia" w:ascii="Times New Roman" w:hAnsi="Times New Roman"/>
                <w:kern w:val="0"/>
                <w:sz w:val="24"/>
                <w:szCs w:val="24"/>
              </w:rPr>
              <w:t>罗云、</w:t>
            </w:r>
          </w:p>
          <w:p>
            <w:pPr>
              <w:pStyle w:val="12"/>
              <w:spacing w:line="240" w:lineRule="auto"/>
              <w:ind w:firstLine="0" w:firstLineChars="0"/>
              <w:rPr>
                <w:rFonts w:ascii="Times New Roman" w:hAnsi="Times New Roman"/>
                <w:kern w:val="0"/>
                <w:sz w:val="24"/>
                <w:szCs w:val="24"/>
              </w:rPr>
            </w:pPr>
            <w:r>
              <w:rPr>
                <w:rFonts w:hint="eastAsia" w:ascii="Times New Roman" w:hAnsi="Times New Roman"/>
                <w:kern w:val="0"/>
                <w:sz w:val="24"/>
                <w:szCs w:val="24"/>
              </w:rPr>
              <w:t>莫建国、刘继松、朱武勋</w:t>
            </w:r>
          </w:p>
        </w:tc>
        <w:tc>
          <w:tcPr>
            <w:tcW w:w="6004" w:type="dxa"/>
          </w:tcPr>
          <w:p>
            <w:pPr>
              <w:pStyle w:val="12"/>
              <w:spacing w:line="240" w:lineRule="auto"/>
              <w:ind w:firstLine="0" w:firstLineChars="0"/>
              <w:rPr>
                <w:rFonts w:ascii="Times New Roman" w:hAnsi="Times New Roman"/>
                <w:kern w:val="0"/>
                <w:sz w:val="24"/>
                <w:szCs w:val="24"/>
              </w:rPr>
            </w:pPr>
            <w:r>
              <w:rPr>
                <w:rFonts w:hint="eastAsia" w:ascii="宋体" w:hAnsi="宋体" w:cs="宋体"/>
                <w:kern w:val="0"/>
                <w:sz w:val="24"/>
              </w:rPr>
              <w:t>技术指导及客户调研工作</w:t>
            </w:r>
          </w:p>
        </w:tc>
      </w:tr>
    </w:tbl>
    <w:p>
      <w:pPr>
        <w:spacing w:after="160"/>
        <w:rPr>
          <w:rFonts w:ascii="Times New Roman" w:hAnsi="Times New Roman"/>
          <w:kern w:val="0"/>
          <w:sz w:val="24"/>
          <w:szCs w:val="24"/>
        </w:rPr>
      </w:pPr>
    </w:p>
    <w:p>
      <w:pPr>
        <w:pStyle w:val="12"/>
        <w:numPr>
          <w:ilvl w:val="0"/>
          <w:numId w:val="3"/>
        </w:numPr>
        <w:spacing w:after="160"/>
        <w:ind w:firstLineChars="0"/>
        <w:rPr>
          <w:rFonts w:hint="eastAsia" w:ascii="Times New Roman" w:hAnsi="Times New Roman"/>
          <w:b/>
          <w:sz w:val="28"/>
          <w:szCs w:val="28"/>
        </w:rPr>
      </w:pPr>
      <w:r>
        <w:rPr>
          <w:rFonts w:hint="eastAsia" w:ascii="Times New Roman" w:hAnsi="Times New Roman"/>
          <w:b/>
          <w:sz w:val="28"/>
          <w:szCs w:val="28"/>
        </w:rPr>
        <w:t>主要工作过程</w:t>
      </w:r>
    </w:p>
    <w:p>
      <w:pPr>
        <w:spacing w:after="160"/>
        <w:rPr>
          <w:rFonts w:ascii="Times New Roman" w:hAnsi="Times New Roman"/>
          <w:b/>
          <w:sz w:val="28"/>
          <w:szCs w:val="28"/>
        </w:rPr>
      </w:pPr>
      <w:r>
        <w:rPr>
          <w:rFonts w:hint="eastAsia" w:ascii="Times New Roman" w:hAnsi="Times New Roman"/>
          <w:b/>
          <w:sz w:val="28"/>
          <w:szCs w:val="28"/>
        </w:rPr>
        <w:t>1、项目确定阶段</w:t>
      </w:r>
    </w:p>
    <w:p>
      <w:pPr>
        <w:spacing w:after="160"/>
        <w:ind w:firstLine="480" w:firstLineChars="200"/>
        <w:rPr>
          <w:sz w:val="24"/>
        </w:rPr>
      </w:pPr>
      <w:r>
        <w:rPr>
          <w:sz w:val="24"/>
        </w:rPr>
        <w:t>贵研铂业股份有限公司接到标准</w:t>
      </w:r>
      <w:r>
        <w:rPr>
          <w:rFonts w:hint="eastAsia"/>
          <w:sz w:val="24"/>
          <w:lang w:val="en-US" w:eastAsia="zh-CN"/>
        </w:rPr>
        <w:t>修订</w:t>
      </w:r>
      <w:r>
        <w:rPr>
          <w:sz w:val="24"/>
        </w:rPr>
        <w:t>任务后，组织人员查阅和检索了国内外有关技术标准和资料，并征求了使用企业的意见，作为建立本技术标准的技术依据，也考虑了国内厂家生产实际和分析水平等情况，于20</w:t>
      </w:r>
      <w:r>
        <w:rPr>
          <w:rFonts w:hint="eastAsia"/>
          <w:sz w:val="24"/>
          <w:lang w:val="en-US" w:eastAsia="zh-CN"/>
        </w:rPr>
        <w:t>21</w:t>
      </w:r>
      <w:r>
        <w:rPr>
          <w:sz w:val="24"/>
        </w:rPr>
        <w:t>年4月由公司相关技术人员组成了《</w:t>
      </w:r>
      <w:r>
        <w:rPr>
          <w:rFonts w:hint="eastAsia"/>
          <w:sz w:val="24"/>
        </w:rPr>
        <w:t>固化型银导体浆料</w:t>
      </w:r>
      <w:r>
        <w:rPr>
          <w:sz w:val="24"/>
        </w:rPr>
        <w:t>》标准起草小组，主要进行如下工作：</w:t>
      </w:r>
    </w:p>
    <w:p>
      <w:pPr>
        <w:spacing w:after="160"/>
        <w:ind w:firstLine="480" w:firstLineChars="200"/>
        <w:rPr>
          <w:sz w:val="24"/>
        </w:rPr>
      </w:pPr>
      <w:r>
        <w:rPr>
          <w:sz w:val="24"/>
        </w:rPr>
        <w:t>1）确立《</w:t>
      </w:r>
      <w:r>
        <w:rPr>
          <w:rFonts w:hint="eastAsia"/>
          <w:sz w:val="24"/>
        </w:rPr>
        <w:t>固化型银导体浆料</w:t>
      </w:r>
      <w:r>
        <w:rPr>
          <w:sz w:val="24"/>
        </w:rPr>
        <w:t>》标准修订遵循的基本原则；</w:t>
      </w:r>
    </w:p>
    <w:p>
      <w:pPr>
        <w:spacing w:after="160"/>
        <w:ind w:firstLine="480" w:firstLineChars="200"/>
        <w:rPr>
          <w:sz w:val="24"/>
        </w:rPr>
      </w:pPr>
      <w:r>
        <w:rPr>
          <w:sz w:val="24"/>
        </w:rPr>
        <w:t>2）对生产、使用厂家进行调研、收集资料；</w:t>
      </w:r>
    </w:p>
    <w:p>
      <w:pPr>
        <w:spacing w:after="160"/>
        <w:ind w:firstLine="480" w:firstLineChars="200"/>
        <w:rPr>
          <w:sz w:val="24"/>
        </w:rPr>
      </w:pPr>
      <w:r>
        <w:rPr>
          <w:sz w:val="24"/>
        </w:rPr>
        <w:t>3）查阅相关标准；</w:t>
      </w:r>
    </w:p>
    <w:p>
      <w:pPr>
        <w:spacing w:after="160"/>
        <w:ind w:firstLine="480" w:firstLineChars="200"/>
        <w:rPr>
          <w:sz w:val="24"/>
        </w:rPr>
      </w:pPr>
      <w:r>
        <w:rPr>
          <w:sz w:val="24"/>
        </w:rPr>
        <w:t>4）确定产品主要技术内容；</w:t>
      </w:r>
    </w:p>
    <w:p>
      <w:pPr>
        <w:spacing w:after="160"/>
        <w:ind w:firstLine="480" w:firstLineChars="200"/>
        <w:rPr>
          <w:sz w:val="24"/>
        </w:rPr>
      </w:pPr>
      <w:r>
        <w:rPr>
          <w:sz w:val="24"/>
        </w:rPr>
        <w:t>5）确定建立仲裁分析方法；</w:t>
      </w:r>
    </w:p>
    <w:p>
      <w:pPr>
        <w:spacing w:after="160"/>
        <w:ind w:firstLine="480" w:firstLineChars="200"/>
        <w:rPr>
          <w:sz w:val="24"/>
        </w:rPr>
      </w:pPr>
      <w:r>
        <w:rPr>
          <w:sz w:val="24"/>
        </w:rPr>
        <w:t>6）根据测试数据确定技术指标取值范围。</w:t>
      </w:r>
    </w:p>
    <w:p>
      <w:pPr>
        <w:spacing w:after="160"/>
        <w:rPr>
          <w:rFonts w:ascii="Times New Roman" w:hAnsi="Times New Roman"/>
          <w:b/>
          <w:sz w:val="28"/>
          <w:szCs w:val="28"/>
        </w:rPr>
      </w:pPr>
      <w:r>
        <w:rPr>
          <w:rFonts w:hint="eastAsia" w:ascii="Times New Roman" w:hAnsi="Times New Roman"/>
          <w:b/>
          <w:sz w:val="28"/>
          <w:szCs w:val="28"/>
        </w:rPr>
        <w:t>2、立项阶段</w:t>
      </w:r>
    </w:p>
    <w:p>
      <w:pPr>
        <w:spacing w:after="160"/>
        <w:ind w:firstLine="480" w:firstLineChars="200"/>
        <w:rPr>
          <w:rFonts w:hint="eastAsia" w:ascii="宋体" w:hAnsi="Times New Roman"/>
          <w:kern w:val="0"/>
          <w:sz w:val="24"/>
          <w:szCs w:val="24"/>
        </w:rPr>
      </w:pPr>
      <w:r>
        <w:rPr>
          <w:rFonts w:hint="eastAsia" w:ascii="宋体" w:hAnsi="Times New Roman"/>
          <w:kern w:val="0"/>
          <w:sz w:val="24"/>
          <w:szCs w:val="24"/>
        </w:rPr>
        <w:t>20</w:t>
      </w:r>
      <w:r>
        <w:rPr>
          <w:rFonts w:hint="eastAsia" w:ascii="宋体" w:hAnsi="Times New Roman"/>
          <w:kern w:val="0"/>
          <w:sz w:val="24"/>
          <w:szCs w:val="24"/>
          <w:lang w:val="en-US" w:eastAsia="zh-CN"/>
        </w:rPr>
        <w:t>18</w:t>
      </w:r>
      <w:r>
        <w:rPr>
          <w:rFonts w:hint="eastAsia" w:ascii="宋体" w:hAnsi="Times New Roman"/>
          <w:kern w:val="0"/>
          <w:sz w:val="24"/>
          <w:szCs w:val="24"/>
        </w:rPr>
        <w:t>年10月，贵研铂业股份有限公司提出</w:t>
      </w:r>
      <w:r>
        <w:rPr>
          <w:rFonts w:hint="eastAsia" w:ascii="宋体" w:hAnsi="Times New Roman"/>
          <w:kern w:val="0"/>
          <w:sz w:val="24"/>
          <w:szCs w:val="24"/>
          <w:lang w:val="en-US" w:eastAsia="zh-CN"/>
        </w:rPr>
        <w:t>修订版</w:t>
      </w:r>
      <w:r>
        <w:rPr>
          <w:rFonts w:hint="eastAsia" w:ascii="宋体" w:hAnsi="Times New Roman"/>
          <w:kern w:val="0"/>
          <w:sz w:val="24"/>
          <w:szCs w:val="24"/>
        </w:rPr>
        <w:t>本标准行业标准的建议书。于20</w:t>
      </w:r>
      <w:r>
        <w:rPr>
          <w:rFonts w:hint="eastAsia" w:ascii="宋体" w:hAnsi="Times New Roman"/>
          <w:kern w:val="0"/>
          <w:sz w:val="24"/>
          <w:szCs w:val="24"/>
          <w:lang w:val="en-US" w:eastAsia="zh-CN"/>
        </w:rPr>
        <w:t>19</w:t>
      </w:r>
      <w:r>
        <w:rPr>
          <w:rFonts w:hint="eastAsia" w:ascii="宋体" w:hAnsi="Times New Roman"/>
          <w:kern w:val="0"/>
          <w:sz w:val="24"/>
          <w:szCs w:val="24"/>
        </w:rPr>
        <w:t>年4月有色金属行业标准委下达该标准的</w:t>
      </w:r>
      <w:r>
        <w:rPr>
          <w:rFonts w:hint="eastAsia" w:ascii="宋体" w:hAnsi="Times New Roman"/>
          <w:kern w:val="0"/>
          <w:sz w:val="24"/>
          <w:szCs w:val="24"/>
          <w:lang w:val="en-US" w:eastAsia="zh-CN"/>
        </w:rPr>
        <w:t>修订</w:t>
      </w:r>
      <w:r>
        <w:rPr>
          <w:rFonts w:hint="eastAsia" w:ascii="宋体" w:hAnsi="Times New Roman"/>
          <w:kern w:val="0"/>
          <w:sz w:val="24"/>
          <w:szCs w:val="24"/>
        </w:rPr>
        <w:t>任务，项目起止时间为20</w:t>
      </w:r>
      <w:r>
        <w:rPr>
          <w:rFonts w:hint="eastAsia" w:ascii="宋体" w:hAnsi="Times New Roman"/>
          <w:kern w:val="0"/>
          <w:sz w:val="24"/>
          <w:szCs w:val="24"/>
          <w:lang w:val="en-US" w:eastAsia="zh-CN"/>
        </w:rPr>
        <w:t>21</w:t>
      </w:r>
      <w:r>
        <w:rPr>
          <w:rFonts w:hint="eastAsia" w:ascii="宋体" w:hAnsi="Times New Roman"/>
          <w:kern w:val="0"/>
          <w:sz w:val="24"/>
          <w:szCs w:val="24"/>
        </w:rPr>
        <w:t>年～2022年，计划文工信厅科函[2021]2</w:t>
      </w:r>
      <w:r>
        <w:rPr>
          <w:rFonts w:hint="eastAsia" w:ascii="宋体" w:hAnsi="Times New Roman"/>
          <w:kern w:val="0"/>
          <w:sz w:val="24"/>
          <w:szCs w:val="24"/>
          <w:lang w:val="en-US" w:eastAsia="zh-CN"/>
        </w:rPr>
        <w:t>34</w:t>
      </w:r>
      <w:r>
        <w:rPr>
          <w:rFonts w:hint="eastAsia" w:ascii="宋体" w:hAnsi="Times New Roman"/>
          <w:kern w:val="0"/>
          <w:sz w:val="24"/>
          <w:szCs w:val="24"/>
        </w:rPr>
        <w:t>号，计划号：</w:t>
      </w:r>
      <w:r>
        <w:rPr>
          <w:rFonts w:ascii="宋体" w:hAnsi="Times New Roman"/>
          <w:kern w:val="0"/>
          <w:sz w:val="24"/>
          <w:szCs w:val="24"/>
        </w:rPr>
        <w:t>2021-0</w:t>
      </w:r>
      <w:r>
        <w:rPr>
          <w:rFonts w:hint="eastAsia" w:ascii="宋体" w:hAnsi="Times New Roman"/>
          <w:kern w:val="0"/>
          <w:sz w:val="24"/>
          <w:szCs w:val="24"/>
          <w:lang w:val="en-US" w:eastAsia="zh-CN"/>
        </w:rPr>
        <w:t>877</w:t>
      </w:r>
      <w:r>
        <w:rPr>
          <w:rFonts w:ascii="宋体" w:hAnsi="Times New Roman"/>
          <w:kern w:val="0"/>
          <w:sz w:val="24"/>
          <w:szCs w:val="24"/>
        </w:rPr>
        <w:t>T-YS</w:t>
      </w:r>
      <w:r>
        <w:rPr>
          <w:rFonts w:hint="eastAsia" w:ascii="宋体" w:hAnsi="Times New Roman"/>
          <w:kern w:val="0"/>
          <w:sz w:val="24"/>
          <w:szCs w:val="24"/>
        </w:rPr>
        <w:t>，项目周期为18个月。技术归口单位为全国有色金属标准技术委员会。</w:t>
      </w:r>
    </w:p>
    <w:p>
      <w:pPr>
        <w:spacing w:after="160"/>
        <w:rPr>
          <w:rFonts w:ascii="Times New Roman" w:hAnsi="Times New Roman"/>
          <w:b/>
          <w:sz w:val="28"/>
          <w:szCs w:val="28"/>
        </w:rPr>
      </w:pPr>
      <w:r>
        <w:rPr>
          <w:rFonts w:hint="eastAsia" w:ascii="Times New Roman" w:hAnsi="Times New Roman"/>
          <w:b/>
          <w:sz w:val="28"/>
          <w:szCs w:val="28"/>
        </w:rPr>
        <w:t>3、起草阶段</w:t>
      </w:r>
    </w:p>
    <w:p>
      <w:pPr>
        <w:spacing w:after="160"/>
        <w:rPr>
          <w:rFonts w:ascii="Times New Roman" w:hAnsi="Times New Roman"/>
          <w:b/>
          <w:kern w:val="0"/>
          <w:sz w:val="24"/>
          <w:szCs w:val="24"/>
        </w:rPr>
      </w:pPr>
      <w:r>
        <w:rPr>
          <w:rFonts w:hint="eastAsia" w:ascii="Times New Roman" w:hAnsi="Times New Roman"/>
          <w:b/>
          <w:kern w:val="0"/>
          <w:sz w:val="24"/>
          <w:szCs w:val="24"/>
        </w:rPr>
        <w:t>3. 1召开标准进度汇报及进度协调会</w:t>
      </w:r>
    </w:p>
    <w:p>
      <w:pPr>
        <w:pStyle w:val="15"/>
        <w:spacing w:after="160" w:line="360" w:lineRule="auto"/>
        <w:ind w:left="0" w:leftChars="0" w:firstLine="480" w:firstLineChars="200"/>
        <w:rPr>
          <w:rFonts w:ascii="Times New Roman"/>
          <w:kern w:val="2"/>
          <w:sz w:val="24"/>
          <w:szCs w:val="24"/>
        </w:rPr>
      </w:pPr>
      <w:r>
        <w:rPr>
          <w:sz w:val="24"/>
          <w:szCs w:val="24"/>
        </w:rPr>
        <w:t>202</w:t>
      </w:r>
      <w:r>
        <w:rPr>
          <w:rFonts w:hint="eastAsia"/>
          <w:sz w:val="24"/>
          <w:szCs w:val="24"/>
          <w:lang w:val="en-US" w:eastAsia="zh-CN"/>
        </w:rPr>
        <w:t>2</w:t>
      </w:r>
      <w:r>
        <w:rPr>
          <w:sz w:val="24"/>
          <w:szCs w:val="24"/>
        </w:rPr>
        <w:t>年</w:t>
      </w:r>
      <w:r>
        <w:rPr>
          <w:rFonts w:hint="eastAsia"/>
          <w:sz w:val="24"/>
          <w:szCs w:val="24"/>
          <w:lang w:val="en-US" w:eastAsia="zh-CN"/>
        </w:rPr>
        <w:t>7</w:t>
      </w:r>
      <w:r>
        <w:rPr>
          <w:sz w:val="24"/>
          <w:szCs w:val="24"/>
        </w:rPr>
        <w:t>月</w:t>
      </w:r>
      <w:r>
        <w:rPr>
          <w:rFonts w:hint="eastAsia"/>
          <w:sz w:val="24"/>
          <w:szCs w:val="24"/>
        </w:rPr>
        <w:t>，</w:t>
      </w:r>
      <w:r>
        <w:rPr>
          <w:sz w:val="24"/>
          <w:szCs w:val="24"/>
        </w:rPr>
        <w:t>由有色金属技术经济研究院有限责任公司主持，在</w:t>
      </w:r>
      <w:r>
        <w:rPr>
          <w:rFonts w:hint="eastAsia"/>
          <w:sz w:val="24"/>
          <w:szCs w:val="24"/>
          <w:lang w:val="en-US" w:eastAsia="zh-CN"/>
        </w:rPr>
        <w:t>河南</w:t>
      </w:r>
      <w:r>
        <w:rPr>
          <w:sz w:val="24"/>
          <w:szCs w:val="24"/>
        </w:rPr>
        <w:t>省</w:t>
      </w:r>
      <w:r>
        <w:rPr>
          <w:rFonts w:hint="eastAsia"/>
          <w:sz w:val="24"/>
          <w:szCs w:val="24"/>
          <w:lang w:val="en-US" w:eastAsia="zh-CN"/>
        </w:rPr>
        <w:t>洛阳</w:t>
      </w:r>
      <w:r>
        <w:rPr>
          <w:sz w:val="24"/>
          <w:szCs w:val="24"/>
        </w:rPr>
        <w:t>市召开了</w:t>
      </w:r>
      <w:r>
        <w:rPr>
          <w:rFonts w:ascii="Times New Roman"/>
          <w:kern w:val="2"/>
          <w:sz w:val="24"/>
          <w:szCs w:val="24"/>
        </w:rPr>
        <w:t>任务落实会</w:t>
      </w:r>
      <w:r>
        <w:rPr>
          <w:rFonts w:hint="eastAsia" w:ascii="Times New Roman"/>
          <w:kern w:val="2"/>
          <w:sz w:val="24"/>
          <w:szCs w:val="24"/>
        </w:rPr>
        <w:t>，</w:t>
      </w:r>
      <w:r>
        <w:rPr>
          <w:rFonts w:ascii="Times New Roman"/>
          <w:kern w:val="2"/>
          <w:sz w:val="24"/>
          <w:szCs w:val="24"/>
        </w:rPr>
        <w:t>根据任务落实会会议精神</w:t>
      </w:r>
      <w:r>
        <w:rPr>
          <w:rFonts w:hint="eastAsia" w:ascii="Times New Roman"/>
          <w:kern w:val="2"/>
          <w:sz w:val="24"/>
          <w:szCs w:val="24"/>
        </w:rPr>
        <w:t>、</w:t>
      </w:r>
      <w:r>
        <w:rPr>
          <w:rFonts w:ascii="Times New Roman"/>
          <w:kern w:val="2"/>
          <w:sz w:val="24"/>
          <w:szCs w:val="24"/>
        </w:rPr>
        <w:t>与会专家的意见</w:t>
      </w:r>
      <w:r>
        <w:rPr>
          <w:rFonts w:hint="eastAsia" w:ascii="Times New Roman"/>
          <w:kern w:val="2"/>
          <w:sz w:val="24"/>
          <w:szCs w:val="24"/>
        </w:rPr>
        <w:t>和</w:t>
      </w:r>
      <w:r>
        <w:rPr>
          <w:rFonts w:hint="eastAsia" w:ascii="Times New Roman"/>
          <w:kern w:val="2"/>
          <w:sz w:val="24"/>
          <w:szCs w:val="24"/>
          <w:lang w:val="en-US" w:eastAsia="zh-CN"/>
        </w:rPr>
        <w:t>国家标准化管理委员会、工业和信息化部及中国有色金属工业协会下达的有关标准修订计划</w:t>
      </w:r>
      <w:r>
        <w:rPr>
          <w:rFonts w:ascii="Times New Roman"/>
          <w:kern w:val="2"/>
          <w:sz w:val="24"/>
          <w:szCs w:val="24"/>
        </w:rPr>
        <w:t>的要求，标准起草小组</w:t>
      </w:r>
      <w:r>
        <w:rPr>
          <w:sz w:val="24"/>
          <w:szCs w:val="24"/>
        </w:rPr>
        <w:t>于20</w:t>
      </w:r>
      <w:r>
        <w:rPr>
          <w:rFonts w:hint="eastAsia"/>
          <w:sz w:val="24"/>
          <w:szCs w:val="24"/>
        </w:rPr>
        <w:t>2</w:t>
      </w:r>
      <w:r>
        <w:rPr>
          <w:rFonts w:hint="eastAsia"/>
          <w:sz w:val="24"/>
          <w:szCs w:val="24"/>
          <w:lang w:val="en-US" w:eastAsia="zh-CN"/>
        </w:rPr>
        <w:t>2</w:t>
      </w:r>
      <w:r>
        <w:rPr>
          <w:sz w:val="24"/>
          <w:szCs w:val="24"/>
        </w:rPr>
        <w:t>年</w:t>
      </w:r>
      <w:r>
        <w:rPr>
          <w:rFonts w:hint="eastAsia"/>
          <w:sz w:val="24"/>
          <w:szCs w:val="24"/>
        </w:rPr>
        <w:t>0</w:t>
      </w:r>
      <w:r>
        <w:rPr>
          <w:rFonts w:hint="eastAsia"/>
          <w:sz w:val="24"/>
          <w:szCs w:val="24"/>
          <w:lang w:val="en-US" w:eastAsia="zh-CN"/>
        </w:rPr>
        <w:t>9</w:t>
      </w:r>
      <w:r>
        <w:rPr>
          <w:sz w:val="24"/>
          <w:szCs w:val="24"/>
        </w:rPr>
        <w:t>月形</w:t>
      </w:r>
      <w:r>
        <w:rPr>
          <w:rFonts w:ascii="Times New Roman"/>
          <w:kern w:val="2"/>
          <w:sz w:val="24"/>
          <w:szCs w:val="24"/>
        </w:rPr>
        <w:t>成</w:t>
      </w:r>
      <w:r>
        <w:rPr>
          <w:rFonts w:hint="eastAsia" w:ascii="Times New Roman"/>
          <w:kern w:val="2"/>
          <w:sz w:val="24"/>
          <w:szCs w:val="24"/>
        </w:rPr>
        <w:t>了</w:t>
      </w:r>
      <w:r>
        <w:rPr>
          <w:rFonts w:ascii="Times New Roman"/>
          <w:kern w:val="2"/>
          <w:sz w:val="24"/>
          <w:szCs w:val="24"/>
        </w:rPr>
        <w:t>标准</w:t>
      </w:r>
      <w:r>
        <w:rPr>
          <w:rFonts w:hint="eastAsia" w:ascii="Times New Roman"/>
          <w:kern w:val="2"/>
          <w:sz w:val="24"/>
          <w:szCs w:val="24"/>
        </w:rPr>
        <w:t>预审</w:t>
      </w:r>
      <w:r>
        <w:rPr>
          <w:rFonts w:ascii="Times New Roman"/>
          <w:kern w:val="2"/>
          <w:sz w:val="24"/>
          <w:szCs w:val="24"/>
        </w:rPr>
        <w:t>稿</w:t>
      </w:r>
      <w:r>
        <w:rPr>
          <w:rFonts w:hint="eastAsia" w:ascii="Times New Roman"/>
          <w:kern w:val="2"/>
          <w:sz w:val="24"/>
          <w:szCs w:val="24"/>
        </w:rPr>
        <w:t>《固化型银导体浆料》</w:t>
      </w:r>
      <w:r>
        <w:rPr>
          <w:rFonts w:ascii="Times New Roman"/>
          <w:kern w:val="2"/>
          <w:sz w:val="24"/>
          <w:szCs w:val="24"/>
        </w:rPr>
        <w:t>。</w:t>
      </w:r>
    </w:p>
    <w:p>
      <w:pPr>
        <w:spacing w:after="160"/>
        <w:rPr>
          <w:rFonts w:hint="eastAsia" w:ascii="Times New Roman" w:hAnsi="Times New Roman"/>
          <w:b/>
          <w:sz w:val="28"/>
          <w:szCs w:val="28"/>
        </w:rPr>
      </w:pPr>
      <w:r>
        <w:rPr>
          <w:rFonts w:hint="eastAsia" w:ascii="Times New Roman" w:hAnsi="Times New Roman"/>
          <w:b/>
          <w:sz w:val="28"/>
          <w:szCs w:val="28"/>
        </w:rPr>
        <w:t>4、征求意见阶段</w:t>
      </w:r>
    </w:p>
    <w:p>
      <w:pPr>
        <w:spacing w:after="160"/>
        <w:rPr>
          <w:rFonts w:ascii="Times New Roman" w:hAnsi="Times New Roman"/>
          <w:b/>
          <w:kern w:val="0"/>
          <w:sz w:val="24"/>
          <w:szCs w:val="24"/>
        </w:rPr>
      </w:pPr>
      <w:r>
        <w:rPr>
          <w:rFonts w:hint="eastAsia" w:ascii="Times New Roman" w:hAnsi="Times New Roman"/>
          <w:b/>
          <w:kern w:val="0"/>
          <w:sz w:val="24"/>
          <w:szCs w:val="24"/>
        </w:rPr>
        <w:t>4. 1标准征求意见会议</w:t>
      </w:r>
    </w:p>
    <w:p>
      <w:pPr>
        <w:spacing w:after="160"/>
        <w:ind w:firstLine="480" w:firstLineChars="200"/>
        <w:rPr>
          <w:rFonts w:ascii="Times New Roman" w:hAnsi="Times New Roman"/>
          <w:kern w:val="0"/>
          <w:sz w:val="24"/>
          <w:szCs w:val="24"/>
        </w:rPr>
      </w:pPr>
      <w:r>
        <w:rPr>
          <w:rFonts w:hint="eastAsia"/>
          <w:sz w:val="24"/>
        </w:rPr>
        <w:t>202</w:t>
      </w:r>
      <w:r>
        <w:rPr>
          <w:rFonts w:hint="eastAsia"/>
          <w:sz w:val="24"/>
          <w:lang w:val="en-US" w:eastAsia="zh-CN"/>
        </w:rPr>
        <w:t>2</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2</w:t>
      </w:r>
      <w:r>
        <w:rPr>
          <w:rFonts w:hint="eastAsia"/>
          <w:sz w:val="24"/>
        </w:rPr>
        <w:t>日～</w:t>
      </w:r>
      <w:r>
        <w:rPr>
          <w:rFonts w:hint="eastAsia"/>
          <w:sz w:val="24"/>
          <w:lang w:val="en-US" w:eastAsia="zh-CN"/>
        </w:rPr>
        <w:t>5</w:t>
      </w:r>
      <w:r>
        <w:rPr>
          <w:rFonts w:hint="eastAsia"/>
          <w:sz w:val="24"/>
        </w:rPr>
        <w:t>日全国有色金属标准化技术委员会在</w:t>
      </w:r>
      <w:r>
        <w:rPr>
          <w:rFonts w:hint="eastAsia"/>
          <w:sz w:val="24"/>
          <w:lang w:val="en-US" w:eastAsia="zh-CN"/>
        </w:rPr>
        <w:t>福建</w:t>
      </w:r>
      <w:r>
        <w:rPr>
          <w:rFonts w:hint="eastAsia"/>
          <w:sz w:val="24"/>
        </w:rPr>
        <w:t>省</w:t>
      </w:r>
      <w:r>
        <w:rPr>
          <w:rFonts w:hint="eastAsia"/>
          <w:sz w:val="24"/>
          <w:lang w:val="en-US" w:eastAsia="zh-CN"/>
        </w:rPr>
        <w:t>厦门</w:t>
      </w:r>
      <w:r>
        <w:rPr>
          <w:rFonts w:hint="eastAsia"/>
          <w:sz w:val="24"/>
        </w:rPr>
        <w:t>市召开了</w:t>
      </w:r>
      <w:r>
        <w:rPr>
          <w:rFonts w:hint="eastAsia"/>
          <w:sz w:val="24"/>
          <w:lang w:val="en-US" w:eastAsia="zh-CN"/>
        </w:rPr>
        <w:t>2022年度全国有色金属标准化技术委员会及各分技术委员会年会</w:t>
      </w:r>
      <w:r>
        <w:rPr>
          <w:rFonts w:hint="eastAsia"/>
          <w:sz w:val="24"/>
        </w:rPr>
        <w:t>，会议对本标准的相关技术文件进行分析和讨论，并安排了后续工作。</w:t>
      </w:r>
    </w:p>
    <w:p>
      <w:pPr>
        <w:spacing w:after="160"/>
        <w:rPr>
          <w:rFonts w:hint="eastAsia" w:ascii="Times New Roman" w:hAnsi="Times New Roman" w:eastAsia="宋体"/>
          <w:b/>
          <w:kern w:val="0"/>
          <w:sz w:val="24"/>
          <w:szCs w:val="24"/>
          <w:lang w:eastAsia="zh-CN"/>
        </w:rPr>
      </w:pPr>
      <w:r>
        <w:rPr>
          <w:rFonts w:hint="eastAsia" w:ascii="Times New Roman" w:hAnsi="Times New Roman"/>
          <w:b/>
          <w:kern w:val="0"/>
          <w:sz w:val="24"/>
          <w:szCs w:val="24"/>
        </w:rPr>
        <w:t>4.2标准发函征求</w:t>
      </w:r>
      <w:r>
        <w:rPr>
          <w:rFonts w:hint="eastAsia" w:ascii="Times New Roman" w:hAnsi="Times New Roman"/>
          <w:b/>
          <w:kern w:val="0"/>
          <w:sz w:val="24"/>
          <w:szCs w:val="24"/>
          <w:lang w:val="en-US" w:eastAsia="zh-CN"/>
        </w:rPr>
        <w:t>意见</w:t>
      </w:r>
    </w:p>
    <w:p>
      <w:pPr>
        <w:spacing w:after="160"/>
        <w:rPr>
          <w:rFonts w:ascii="Times New Roman" w:hAnsi="Times New Roman"/>
          <w:b/>
          <w:sz w:val="28"/>
          <w:szCs w:val="28"/>
        </w:rPr>
      </w:pPr>
      <w:r>
        <w:rPr>
          <w:rFonts w:hint="eastAsia" w:ascii="Times New Roman" w:hAnsi="Times New Roman"/>
          <w:b/>
          <w:sz w:val="28"/>
          <w:szCs w:val="28"/>
        </w:rPr>
        <w:t>5、审查阶段</w:t>
      </w:r>
    </w:p>
    <w:p>
      <w:pPr>
        <w:spacing w:after="160"/>
        <w:rPr>
          <w:rFonts w:ascii="Times New Roman" w:hAnsi="Times New Roman"/>
          <w:b/>
          <w:sz w:val="28"/>
          <w:szCs w:val="28"/>
        </w:rPr>
      </w:pPr>
      <w:r>
        <w:rPr>
          <w:rFonts w:hint="eastAsia" w:ascii="Times New Roman" w:hAnsi="Times New Roman"/>
          <w:b/>
          <w:sz w:val="28"/>
          <w:szCs w:val="28"/>
        </w:rPr>
        <w:t>6、报批阶段</w:t>
      </w:r>
    </w:p>
    <w:p>
      <w:pPr>
        <w:pStyle w:val="12"/>
        <w:numPr>
          <w:ilvl w:val="0"/>
          <w:numId w:val="2"/>
        </w:numPr>
        <w:spacing w:after="160"/>
        <w:ind w:firstLineChars="0"/>
        <w:rPr>
          <w:rFonts w:ascii="Times New Roman" w:hAnsi="Times New Roman"/>
          <w:b/>
          <w:sz w:val="28"/>
          <w:szCs w:val="28"/>
        </w:rPr>
      </w:pPr>
      <w:r>
        <w:rPr>
          <w:rFonts w:hint="eastAsia" w:ascii="Times New Roman" w:hAnsi="Times New Roman"/>
          <w:b/>
          <w:sz w:val="28"/>
          <w:szCs w:val="28"/>
        </w:rPr>
        <w:t>标准编制原则</w:t>
      </w:r>
    </w:p>
    <w:p>
      <w:pPr>
        <w:spacing w:after="160"/>
        <w:ind w:firstLine="480" w:firstLineChars="200"/>
        <w:rPr>
          <w:rFonts w:ascii="宋体" w:hAnsi="宋体"/>
          <w:sz w:val="24"/>
        </w:rPr>
      </w:pPr>
      <w:r>
        <w:rPr>
          <w:rFonts w:hint="eastAsia" w:ascii="宋体" w:hAnsi="宋体"/>
          <w:sz w:val="24"/>
        </w:rPr>
        <w:t>贵研铂业股份有限公司接到制定任务后，认真分析和研究国内外相关标准的基本内容和特点，以</w:t>
      </w:r>
      <w:r>
        <w:rPr>
          <w:rFonts w:hint="eastAsia" w:ascii="Times New Roman" w:hAnsi="Times New Roman"/>
          <w:sz w:val="24"/>
          <w:szCs w:val="24"/>
        </w:rPr>
        <w:t>YS/T 60</w:t>
      </w:r>
      <w:r>
        <w:rPr>
          <w:rFonts w:hint="eastAsia" w:ascii="Times New Roman" w:hAnsi="Times New Roman"/>
          <w:sz w:val="24"/>
          <w:szCs w:val="24"/>
          <w:lang w:val="en-US" w:eastAsia="zh-CN"/>
        </w:rPr>
        <w:t>6-</w:t>
      </w:r>
      <w:r>
        <w:rPr>
          <w:rFonts w:hint="eastAsia" w:ascii="Times New Roman" w:hAnsi="Times New Roman"/>
          <w:sz w:val="24"/>
          <w:szCs w:val="24"/>
        </w:rPr>
        <w:t>2006</w:t>
      </w:r>
      <w:r>
        <w:rPr>
          <w:rFonts w:hint="eastAsia" w:ascii="宋体" w:hAnsi="宋体"/>
          <w:sz w:val="24"/>
        </w:rPr>
        <w:t>为基础，参考国内外相关标准，既考虑标准的先进性，也考虑标准的适用性和可操作性，力求使该标准与国外先进标准接轨。</w:t>
      </w:r>
    </w:p>
    <w:p>
      <w:pPr>
        <w:spacing w:after="160"/>
        <w:ind w:firstLine="480" w:firstLineChars="200"/>
        <w:rPr>
          <w:rFonts w:ascii="宋体" w:hAnsi="宋体"/>
          <w:sz w:val="24"/>
        </w:rPr>
      </w:pPr>
      <w:r>
        <w:rPr>
          <w:rFonts w:hint="eastAsia" w:ascii="宋体" w:hAnsi="宋体"/>
          <w:sz w:val="24"/>
        </w:rPr>
        <w:t>该标准的制定既能体现生产方的技术水平，又能满足使用方的技术要求。</w:t>
      </w:r>
    </w:p>
    <w:p>
      <w:pPr>
        <w:spacing w:after="160"/>
        <w:ind w:firstLine="480" w:firstLineChars="200"/>
        <w:rPr>
          <w:rFonts w:ascii="Times New Roman" w:hAnsi="Times New Roman"/>
          <w:kern w:val="0"/>
          <w:sz w:val="24"/>
          <w:szCs w:val="24"/>
        </w:rPr>
      </w:pPr>
      <w:r>
        <w:rPr>
          <w:rFonts w:hint="eastAsia" w:ascii="Times New Roman" w:hAnsi="Times New Roman"/>
          <w:kern w:val="0"/>
          <w:sz w:val="24"/>
          <w:szCs w:val="24"/>
        </w:rPr>
        <w:t>修订过程严格安装标准制定和修订的标准技术路线开展工作。</w:t>
      </w:r>
      <w:r>
        <w:rPr>
          <w:rFonts w:ascii="Times New Roman" w:hAnsi="Times New Roman"/>
          <w:kern w:val="0"/>
          <w:sz w:val="24"/>
          <w:szCs w:val="24"/>
        </w:rPr>
        <w:t>该标准的修订中主要遵循了统一性、协调性、普适性和实用性原则。具体如下：</w:t>
      </w:r>
    </w:p>
    <w:p>
      <w:pPr>
        <w:autoSpaceDE w:val="0"/>
        <w:autoSpaceDN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a) 本标准按照GB/T 1.1—20</w:t>
      </w:r>
      <w:r>
        <w:rPr>
          <w:rFonts w:hint="eastAsia" w:ascii="Times New Roman" w:hAnsi="Times New Roman"/>
          <w:kern w:val="0"/>
          <w:sz w:val="24"/>
          <w:szCs w:val="24"/>
        </w:rPr>
        <w:t>20</w:t>
      </w:r>
      <w:r>
        <w:rPr>
          <w:rFonts w:ascii="Times New Roman" w:hAnsi="Times New Roman"/>
          <w:kern w:val="0"/>
          <w:sz w:val="24"/>
          <w:szCs w:val="24"/>
        </w:rPr>
        <w:t xml:space="preserve"> </w:t>
      </w:r>
      <w:r>
        <w:rPr>
          <w:rFonts w:ascii="Times New Roman" w:hAnsi="宋体"/>
          <w:kern w:val="0"/>
          <w:sz w:val="24"/>
          <w:szCs w:val="24"/>
        </w:rPr>
        <w:t>《标准化工作导则第</w:t>
      </w:r>
      <w:r>
        <w:rPr>
          <w:rFonts w:ascii="Times New Roman" w:hAnsi="Times New Roman"/>
          <w:kern w:val="0"/>
          <w:sz w:val="24"/>
          <w:szCs w:val="24"/>
        </w:rPr>
        <w:t xml:space="preserve"> 1 </w:t>
      </w:r>
      <w:r>
        <w:rPr>
          <w:rFonts w:ascii="Times New Roman" w:hAnsi="宋体"/>
          <w:kern w:val="0"/>
          <w:sz w:val="24"/>
          <w:szCs w:val="24"/>
        </w:rPr>
        <w:t>部分：标准的结构和编写》、</w:t>
      </w:r>
      <w:r>
        <w:rPr>
          <w:rFonts w:ascii="Times New Roman" w:hAnsi="Times New Roman"/>
          <w:kern w:val="0"/>
          <w:sz w:val="24"/>
          <w:szCs w:val="24"/>
        </w:rPr>
        <w:t xml:space="preserve">GB/T 20000.1 —2014 </w:t>
      </w:r>
      <w:r>
        <w:rPr>
          <w:rFonts w:ascii="Times New Roman" w:hAnsi="宋体"/>
          <w:kern w:val="0"/>
          <w:sz w:val="24"/>
          <w:szCs w:val="24"/>
        </w:rPr>
        <w:t>《标准化工作指南第</w:t>
      </w:r>
      <w:r>
        <w:rPr>
          <w:rFonts w:ascii="Times New Roman" w:hAnsi="Times New Roman"/>
          <w:kern w:val="0"/>
          <w:sz w:val="24"/>
          <w:szCs w:val="24"/>
        </w:rPr>
        <w:t xml:space="preserve">1 </w:t>
      </w:r>
      <w:r>
        <w:rPr>
          <w:rFonts w:ascii="Times New Roman" w:hAnsi="宋体"/>
          <w:kern w:val="0"/>
          <w:sz w:val="24"/>
          <w:szCs w:val="24"/>
        </w:rPr>
        <w:t>部分：标准化和相关活动的通用术语》、</w:t>
      </w:r>
      <w:r>
        <w:rPr>
          <w:rFonts w:ascii="Times New Roman" w:hAnsi="Times New Roman"/>
          <w:kern w:val="0"/>
          <w:sz w:val="24"/>
          <w:szCs w:val="24"/>
        </w:rPr>
        <w:t xml:space="preserve"> GB/T 20001.4 —2015 </w:t>
      </w:r>
      <w:r>
        <w:rPr>
          <w:rFonts w:ascii="Times New Roman" w:hAnsi="宋体"/>
          <w:kern w:val="0"/>
          <w:sz w:val="24"/>
          <w:szCs w:val="24"/>
        </w:rPr>
        <w:t>《标准编写规则第</w:t>
      </w:r>
      <w:r>
        <w:rPr>
          <w:rFonts w:ascii="Times New Roman" w:hAnsi="Times New Roman"/>
          <w:kern w:val="0"/>
          <w:sz w:val="24"/>
          <w:szCs w:val="24"/>
        </w:rPr>
        <w:t xml:space="preserve">4 </w:t>
      </w:r>
      <w:r>
        <w:rPr>
          <w:rFonts w:ascii="Times New Roman" w:hAnsi="宋体"/>
          <w:kern w:val="0"/>
          <w:sz w:val="24"/>
          <w:szCs w:val="24"/>
        </w:rPr>
        <w:t>部分：试验方法标准》</w:t>
      </w:r>
    </w:p>
    <w:p>
      <w:pPr>
        <w:autoSpaceDE w:val="0"/>
        <w:autoSpaceDN w:val="0"/>
        <w:adjustRightInd w:val="0"/>
        <w:spacing w:after="160"/>
        <w:jc w:val="left"/>
        <w:rPr>
          <w:rFonts w:ascii="Times New Roman" w:hAnsi="Times New Roman"/>
          <w:kern w:val="0"/>
          <w:sz w:val="24"/>
          <w:szCs w:val="24"/>
        </w:rPr>
      </w:pPr>
      <w:r>
        <w:rPr>
          <w:rFonts w:ascii="Times New Roman" w:hAnsi="Times New Roman"/>
          <w:kern w:val="0"/>
          <w:sz w:val="24"/>
          <w:szCs w:val="24"/>
        </w:rPr>
        <w:t>GB/T 1.1—20</w:t>
      </w:r>
      <w:r>
        <w:rPr>
          <w:rFonts w:hint="eastAsia" w:ascii="Times New Roman" w:hAnsi="Times New Roman"/>
          <w:kern w:val="0"/>
          <w:sz w:val="24"/>
          <w:szCs w:val="24"/>
        </w:rPr>
        <w:t>20</w:t>
      </w:r>
      <w:r>
        <w:rPr>
          <w:rFonts w:ascii="Times New Roman" w:hAnsi="Times New Roman"/>
          <w:kern w:val="0"/>
          <w:sz w:val="24"/>
          <w:szCs w:val="24"/>
        </w:rPr>
        <w:t>给出的规则进行修订和起草。</w:t>
      </w:r>
    </w:p>
    <w:p>
      <w:pPr>
        <w:autoSpaceDE w:val="0"/>
        <w:autoSpaceDN w:val="0"/>
        <w:adjustRightInd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b) 标准修订应考虑</w:t>
      </w:r>
      <w:r>
        <w:rPr>
          <w:rFonts w:hint="eastAsia" w:ascii="Times New Roman" w:hAnsi="Times New Roman"/>
          <w:kern w:val="0"/>
          <w:sz w:val="24"/>
          <w:szCs w:val="24"/>
          <w:lang w:val="en-US" w:eastAsia="zh-CN"/>
        </w:rPr>
        <w:t>固化型银导体浆料</w:t>
      </w:r>
      <w:r>
        <w:rPr>
          <w:rFonts w:ascii="Times New Roman" w:hAnsi="Times New Roman"/>
          <w:kern w:val="0"/>
          <w:sz w:val="24"/>
          <w:szCs w:val="24"/>
        </w:rPr>
        <w:t>使用</w:t>
      </w:r>
      <w:r>
        <w:rPr>
          <w:rFonts w:hint="eastAsia" w:ascii="Times New Roman" w:hAnsi="Times New Roman"/>
          <w:kern w:val="0"/>
          <w:sz w:val="24"/>
          <w:szCs w:val="24"/>
          <w:lang w:val="en-US" w:eastAsia="zh-CN"/>
        </w:rPr>
        <w:t>工艺</w:t>
      </w:r>
      <w:r>
        <w:rPr>
          <w:rFonts w:ascii="Times New Roman" w:hAnsi="Times New Roman"/>
          <w:kern w:val="0"/>
          <w:sz w:val="24"/>
          <w:szCs w:val="24"/>
        </w:rPr>
        <w:t>，实际应用的情况。</w:t>
      </w:r>
    </w:p>
    <w:p>
      <w:pPr>
        <w:autoSpaceDE w:val="0"/>
        <w:autoSpaceDN w:val="0"/>
        <w:adjustRightInd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c) 标准修订应充分考虑国内外现有标准法规的统一和协调。</w:t>
      </w:r>
    </w:p>
    <w:p>
      <w:pPr>
        <w:autoSpaceDE w:val="0"/>
        <w:autoSpaceDN w:val="0"/>
        <w:adjustRightInd w:val="0"/>
        <w:spacing w:after="160"/>
        <w:ind w:firstLine="240" w:firstLineChars="100"/>
        <w:jc w:val="left"/>
        <w:rPr>
          <w:rFonts w:ascii="Times New Roman" w:hAnsi="Times New Roman"/>
          <w:kern w:val="0"/>
          <w:sz w:val="24"/>
          <w:szCs w:val="24"/>
        </w:rPr>
      </w:pPr>
      <w:r>
        <w:rPr>
          <w:rFonts w:ascii="Times New Roman" w:hAnsi="Times New Roman"/>
          <w:kern w:val="0"/>
          <w:sz w:val="24"/>
          <w:szCs w:val="24"/>
        </w:rPr>
        <w:t>d）标准修订应充分考虑关于</w:t>
      </w:r>
      <w:r>
        <w:rPr>
          <w:rFonts w:hint="eastAsia" w:ascii="Times New Roman" w:hAnsi="Times New Roman"/>
          <w:kern w:val="0"/>
          <w:sz w:val="24"/>
          <w:szCs w:val="24"/>
          <w:lang w:val="en-US" w:eastAsia="zh-CN"/>
        </w:rPr>
        <w:t>固化型银导体浆料</w:t>
      </w:r>
      <w:r>
        <w:rPr>
          <w:rFonts w:ascii="Times New Roman" w:hAnsi="Times New Roman"/>
          <w:kern w:val="0"/>
          <w:sz w:val="24"/>
          <w:szCs w:val="24"/>
        </w:rPr>
        <w:t>发展</w:t>
      </w:r>
      <w:r>
        <w:rPr>
          <w:rFonts w:hint="eastAsia" w:ascii="Times New Roman" w:hAnsi="Times New Roman"/>
          <w:kern w:val="0"/>
          <w:sz w:val="24"/>
          <w:szCs w:val="24"/>
          <w:lang w:val="en-US" w:eastAsia="zh-CN"/>
        </w:rPr>
        <w:t>前景</w:t>
      </w:r>
      <w:r>
        <w:rPr>
          <w:rFonts w:ascii="Times New Roman" w:hAnsi="Times New Roman"/>
          <w:kern w:val="0"/>
          <w:sz w:val="24"/>
          <w:szCs w:val="24"/>
        </w:rPr>
        <w:t>和进步。</w:t>
      </w:r>
    </w:p>
    <w:p>
      <w:pPr>
        <w:pStyle w:val="12"/>
        <w:numPr>
          <w:ilvl w:val="0"/>
          <w:numId w:val="2"/>
        </w:numPr>
        <w:spacing w:after="160"/>
        <w:ind w:firstLineChars="0"/>
        <w:rPr>
          <w:rFonts w:ascii="Times New Roman" w:hAnsi="Times New Roman"/>
          <w:b/>
          <w:sz w:val="28"/>
          <w:szCs w:val="28"/>
        </w:rPr>
      </w:pPr>
      <w:r>
        <w:rPr>
          <w:rFonts w:hint="eastAsia" w:ascii="Times New Roman" w:hAnsi="Times New Roman"/>
          <w:b/>
          <w:color w:val="000000" w:themeColor="text1"/>
          <w:sz w:val="28"/>
          <w:szCs w:val="28"/>
          <w14:textFill>
            <w14:solidFill>
              <w14:schemeClr w14:val="tx1"/>
            </w14:solidFill>
          </w14:textFill>
        </w:rPr>
        <w:t>标</w:t>
      </w:r>
      <w:r>
        <w:rPr>
          <w:rFonts w:hint="eastAsia" w:ascii="Times New Roman" w:hAnsi="Times New Roman"/>
          <w:b/>
          <w:color w:val="000000" w:themeColor="text1"/>
          <w:sz w:val="28"/>
          <w:szCs w:val="28"/>
          <w:lang w:val="en-US" w:eastAsia="zh-CN"/>
          <w14:textFill>
            <w14:solidFill>
              <w14:schemeClr w14:val="tx1"/>
            </w14:solidFill>
          </w14:textFill>
        </w:rPr>
        <w:t>准</w:t>
      </w:r>
      <w:r>
        <w:rPr>
          <w:rFonts w:hint="eastAsia" w:ascii="Times New Roman" w:hAnsi="Times New Roman"/>
          <w:b/>
          <w:sz w:val="28"/>
          <w:szCs w:val="28"/>
        </w:rPr>
        <w:t>主要内容的确定依据及验证情况分析</w:t>
      </w:r>
    </w:p>
    <w:p>
      <w:pPr>
        <w:autoSpaceDE w:val="0"/>
        <w:autoSpaceDN w:val="0"/>
        <w:adjustRightInd w:val="0"/>
        <w:spacing w:after="160"/>
        <w:ind w:firstLine="480" w:firstLineChars="200"/>
        <w:jc w:val="left"/>
        <w:rPr>
          <w:rFonts w:ascii="Times New Roman" w:hAnsi="Times New Roman"/>
          <w:kern w:val="0"/>
          <w:sz w:val="24"/>
          <w:szCs w:val="24"/>
        </w:rPr>
      </w:pPr>
      <w:r>
        <w:rPr>
          <w:rFonts w:ascii="Times New Roman" w:hAnsi="Times New Roman"/>
          <w:kern w:val="0"/>
          <w:sz w:val="24"/>
          <w:szCs w:val="24"/>
        </w:rPr>
        <w:t>本标准修订主要是代替</w:t>
      </w:r>
      <w:r>
        <w:rPr>
          <w:rFonts w:hint="eastAsia" w:ascii="Times New Roman" w:hAnsi="Times New Roman"/>
          <w:sz w:val="24"/>
          <w:szCs w:val="24"/>
        </w:rPr>
        <w:t>YS/T 60</w:t>
      </w:r>
      <w:r>
        <w:rPr>
          <w:rFonts w:hint="eastAsia" w:ascii="Times New Roman" w:hAnsi="Times New Roman"/>
          <w:sz w:val="24"/>
          <w:szCs w:val="24"/>
          <w:lang w:val="en-US" w:eastAsia="zh-CN"/>
        </w:rPr>
        <w:t>6</w:t>
      </w:r>
      <w:r>
        <w:rPr>
          <w:rFonts w:hint="eastAsia" w:ascii="Times New Roman" w:hAnsi="Times New Roman"/>
          <w:sz w:val="24"/>
          <w:szCs w:val="24"/>
        </w:rPr>
        <w:t>-2006</w:t>
      </w:r>
      <w:r>
        <w:rPr>
          <w:rFonts w:ascii="Times New Roman" w:hAnsi="Times New Roman"/>
          <w:kern w:val="0"/>
          <w:sz w:val="24"/>
          <w:szCs w:val="24"/>
        </w:rPr>
        <w:t>《</w:t>
      </w:r>
      <w:r>
        <w:rPr>
          <w:rFonts w:hint="eastAsia" w:ascii="Times New Roman" w:hAnsi="Times New Roman"/>
          <w:kern w:val="0"/>
          <w:sz w:val="24"/>
          <w:szCs w:val="24"/>
          <w:lang w:val="en-US" w:eastAsia="zh-CN"/>
        </w:rPr>
        <w:t>固化型银导体浆料</w:t>
      </w:r>
      <w:r>
        <w:rPr>
          <w:rFonts w:ascii="Times New Roman" w:hAnsi="Times New Roman"/>
          <w:kern w:val="0"/>
          <w:sz w:val="24"/>
          <w:szCs w:val="24"/>
        </w:rPr>
        <w:t>》，主要修订内容如下：</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sz w:val="24"/>
        </w:rPr>
      </w:pPr>
      <w:r>
        <w:rPr>
          <w:rFonts w:hint="eastAsia" w:ascii="宋体" w:hAnsi="Times New Roman" w:eastAsia="宋体" w:cs="Times New Roman"/>
          <w:sz w:val="24"/>
          <w:szCs w:val="24"/>
          <w:lang w:val="en-US" w:eastAsia="zh-CN" w:bidi="ar-SA"/>
        </w:rPr>
        <w:t>本标准修订主要是代替YS/T 606-2006《固化型银导体浆料》，修订本标准的原则是以国家标准GB/T17472-2008《微电子技术用贵金属浆料规范》为基础，力求使本系列浆料指标与国际先进浆料指标接轨，既考虑到本浆料标准的先进性，又注重其适应性和可操作性。</w:t>
      </w:r>
    </w:p>
    <w:p>
      <w:pPr>
        <w:spacing w:after="160"/>
        <w:ind w:firstLine="484" w:firstLineChars="202"/>
        <w:rPr>
          <w:rFonts w:hint="eastAsia" w:ascii="宋体"/>
          <w:sz w:val="24"/>
        </w:rPr>
      </w:pPr>
      <w:r>
        <w:rPr>
          <w:rFonts w:hint="eastAsia" w:ascii="宋体"/>
          <w:sz w:val="24"/>
        </w:rPr>
        <w:t>主要修订内容如下：</w:t>
      </w:r>
    </w:p>
    <w:p>
      <w:pPr>
        <w:pStyle w:val="15"/>
        <w:keepNext w:val="0"/>
        <w:keepLines w:val="0"/>
        <w:pageBreakBefore w:val="0"/>
        <w:kinsoku/>
        <w:wordWrap/>
        <w:overflowPunct/>
        <w:topLinePunct w:val="0"/>
        <w:bidi w:val="0"/>
        <w:adjustRightInd/>
        <w:snapToGrid/>
        <w:spacing w:line="360" w:lineRule="auto"/>
        <w:ind w:firstLine="420"/>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（1）新增规范性引用文件“</w:t>
      </w:r>
      <w:bookmarkStart w:id="0" w:name="_Hlk115213495"/>
      <w:r>
        <w:rPr>
          <w:rFonts w:hint="eastAsia" w:ascii="宋体" w:hAnsi="Calibri" w:eastAsia="宋体" w:cs="Times New Roman"/>
          <w:kern w:val="2"/>
          <w:sz w:val="24"/>
          <w:szCs w:val="22"/>
          <w:lang w:val="en-US" w:eastAsia="zh-CN" w:bidi="ar-SA"/>
        </w:rPr>
        <w:t>GB/T 17472 微电子技术用贵金属浆料规范</w:t>
      </w:r>
      <w:bookmarkEnd w:id="0"/>
      <w:r>
        <w:rPr>
          <w:rFonts w:hint="eastAsia" w:ascii="宋体" w:hAnsi="Calibri" w:eastAsia="宋体" w:cs="Times New Roman"/>
          <w:kern w:val="2"/>
          <w:sz w:val="24"/>
          <w:szCs w:val="22"/>
          <w:lang w:val="en-US" w:eastAsia="zh-CN" w:bidi="ar-SA"/>
        </w:rPr>
        <w:t>”</w:t>
      </w:r>
    </w:p>
    <w:p>
      <w:pPr>
        <w:pStyle w:val="15"/>
        <w:keepNext w:val="0"/>
        <w:keepLines w:val="0"/>
        <w:pageBreakBefore w:val="0"/>
        <w:kinsoku/>
        <w:wordWrap/>
        <w:overflowPunct/>
        <w:topLinePunct w:val="0"/>
        <w:bidi w:val="0"/>
        <w:adjustRightInd/>
        <w:snapToGrid/>
        <w:spacing w:line="360" w:lineRule="auto"/>
        <w:ind w:firstLine="422"/>
        <w:textAlignment w:val="auto"/>
        <w:rPr>
          <w:rFonts w:hint="eastAsia" w:ascii="宋体" w:hAnsi="Calibri"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编制依据：</w:t>
      </w:r>
      <w:r>
        <w:rPr>
          <w:rFonts w:hint="eastAsia" w:ascii="宋体" w:hAnsi="Calibri" w:eastAsia="宋体" w:cs="Times New Roman"/>
          <w:kern w:val="2"/>
          <w:sz w:val="24"/>
          <w:szCs w:val="22"/>
          <w:lang w:val="en-US" w:eastAsia="zh-CN" w:bidi="ar-SA"/>
        </w:rPr>
        <w:t>该规范文件对银导体浆料测试、取样等进行规范，对银导体浆料具有十分重要的意义，因此引用该规范文件是十分必要的。</w:t>
      </w:r>
    </w:p>
    <w:p>
      <w:pPr>
        <w:pStyle w:val="15"/>
        <w:keepNext w:val="0"/>
        <w:keepLines w:val="0"/>
        <w:pageBreakBefore w:val="0"/>
        <w:kinsoku/>
        <w:wordWrap/>
        <w:overflowPunct/>
        <w:topLinePunct w:val="0"/>
        <w:bidi w:val="0"/>
        <w:adjustRightInd/>
        <w:snapToGrid/>
        <w:spacing w:line="360" w:lineRule="auto"/>
        <w:ind w:firstLine="420"/>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（2）将4.1.2 膜片开关用低温银浆的牌号标记方法修改为4.1.2 银浆的标记方法，删除4.1.3 碳膜电位器用银浆的牌号标记方法，删除4.1.4 银导电胶的牌号标记方法。</w:t>
      </w:r>
    </w:p>
    <w:p>
      <w:pPr>
        <w:pStyle w:val="12"/>
        <w:keepNext w:val="0"/>
        <w:keepLines w:val="0"/>
        <w:pageBreakBefore w:val="0"/>
        <w:kinsoku/>
        <w:wordWrap/>
        <w:overflowPunct/>
        <w:topLinePunct w:val="0"/>
        <w:bidi w:val="0"/>
        <w:adjustRightInd/>
        <w:snapToGrid/>
        <w:spacing w:line="360" w:lineRule="auto"/>
        <w:ind w:firstLine="422"/>
        <w:textAlignment w:val="auto"/>
        <w:rPr>
          <w:rFonts w:hint="default" w:ascii="宋体" w:hAnsi="Calibri"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编制依据：</w:t>
      </w:r>
      <w:r>
        <w:rPr>
          <w:rFonts w:hint="eastAsia" w:ascii="宋体" w:hAnsi="Calibri" w:eastAsia="宋体" w:cs="Times New Roman"/>
          <w:kern w:val="2"/>
          <w:sz w:val="24"/>
          <w:szCs w:val="22"/>
          <w:lang w:val="en-US" w:eastAsia="zh-CN" w:bidi="ar-SA"/>
        </w:rPr>
        <w:t>随着技术发展，目前有多种银浆使用范围变宽，原有的</w:t>
      </w:r>
      <w:bookmarkStart w:id="2" w:name="_GoBack"/>
      <w:bookmarkEnd w:id="2"/>
      <w:r>
        <w:rPr>
          <w:rFonts w:hint="eastAsia" w:ascii="宋体" w:hAnsi="Calibri" w:eastAsia="宋体" w:cs="Times New Roman"/>
          <w:kern w:val="2"/>
          <w:sz w:val="24"/>
          <w:szCs w:val="22"/>
          <w:lang w:val="en-US" w:eastAsia="zh-CN" w:bidi="ar-SA"/>
        </w:rPr>
        <w:t>标记方法中的后缀已不适用，所以将原标准的三种标记方法中的后缀删除进行修改。</w:t>
      </w:r>
    </w:p>
    <w:p>
      <w:pPr>
        <w:pStyle w:val="12"/>
        <w:keepNext w:val="0"/>
        <w:keepLines w:val="0"/>
        <w:pageBreakBefore w:val="0"/>
        <w:numPr>
          <w:ilvl w:val="0"/>
          <w:numId w:val="4"/>
        </w:numPr>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删除</w:t>
      </w:r>
      <w:r>
        <w:rPr>
          <w:rFonts w:hint="eastAsia" w:ascii="宋体" w:cs="Times New Roman"/>
          <w:kern w:val="2"/>
          <w:sz w:val="24"/>
          <w:szCs w:val="22"/>
          <w:lang w:val="en-US" w:eastAsia="zh-CN" w:bidi="ar-SA"/>
        </w:rPr>
        <w:t>2006年版的</w:t>
      </w:r>
      <w:r>
        <w:rPr>
          <w:rFonts w:hint="eastAsia" w:ascii="宋体" w:hAnsi="Calibri" w:eastAsia="宋体" w:cs="Times New Roman"/>
          <w:kern w:val="2"/>
          <w:sz w:val="24"/>
          <w:szCs w:val="22"/>
          <w:lang w:val="en-US" w:eastAsia="zh-CN" w:bidi="ar-SA"/>
        </w:rPr>
        <w:t>4.3使用工艺表1中的产品牌号、干燥温度及干燥时间，将银导电胶分为单组分银导电胶和双组分银导电胶，删除原固化温度及时间，新增单组分银导电胶的固化温度为120-200℃，固化时间为15-60min，新增双组分银导电胶的固化温度为25±5℃时固化时间为720-1440min，固化温度为80-150℃时固化时间为30-90min。将膜片开关用低温银浆的固化温度修改为80-160℃，固化时间修改为30-90min；新增快干系列膜片开关用低温银浆为130-160℃，固化时间为1-5min。</w:t>
      </w:r>
      <w:r>
        <w:rPr>
          <w:rFonts w:hint="eastAsia" w:ascii="宋体" w:cs="Times New Roman"/>
          <w:kern w:val="2"/>
          <w:sz w:val="24"/>
          <w:szCs w:val="22"/>
          <w:lang w:val="en-US" w:eastAsia="zh-CN" w:bidi="ar-SA"/>
        </w:rPr>
        <w:t>修改后5.2</w:t>
      </w:r>
      <w:r>
        <w:rPr>
          <w:rFonts w:hint="eastAsia" w:ascii="宋体" w:hAnsi="Calibri" w:eastAsia="宋体" w:cs="Times New Roman"/>
          <w:kern w:val="2"/>
          <w:sz w:val="24"/>
          <w:szCs w:val="22"/>
          <w:lang w:val="en-US" w:eastAsia="zh-CN" w:bidi="ar-SA"/>
        </w:rPr>
        <w:t>使用工艺表1如下：</w:t>
      </w:r>
    </w:p>
    <w:tbl>
      <w:tblPr>
        <w:tblStyle w:val="7"/>
        <w:tblW w:w="9543" w:type="dxa"/>
        <w:tblInd w:w="0" w:type="dxa"/>
        <w:tblLayout w:type="autofit"/>
        <w:tblCellMar>
          <w:top w:w="0" w:type="dxa"/>
          <w:left w:w="108" w:type="dxa"/>
          <w:bottom w:w="0" w:type="dxa"/>
          <w:right w:w="108" w:type="dxa"/>
        </w:tblCellMar>
      </w:tblPr>
      <w:tblGrid>
        <w:gridCol w:w="3592"/>
        <w:gridCol w:w="2979"/>
        <w:gridCol w:w="2972"/>
      </w:tblGrid>
      <w:tr>
        <w:tblPrEx>
          <w:tblCellMar>
            <w:top w:w="0" w:type="dxa"/>
            <w:left w:w="108" w:type="dxa"/>
            <w:bottom w:w="0" w:type="dxa"/>
            <w:right w:w="108" w:type="dxa"/>
          </w:tblCellMar>
        </w:tblPrEx>
        <w:trPr>
          <w:trHeight w:val="413" w:hRule="atLeast"/>
        </w:trPr>
        <w:tc>
          <w:tcPr>
            <w:tcW w:w="35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rPr>
              <w:t>产品类型</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ascii="宋体" w:hAnsi="宋体" w:cs="宋体"/>
                <w:kern w:val="1"/>
                <w:sz w:val="18"/>
              </w:rPr>
              <w:t>固化温度</w:t>
            </w:r>
          </w:p>
          <w:p>
            <w:pPr>
              <w:jc w:val="center"/>
              <w:rPr>
                <w:rFonts w:ascii="宋体" w:hAnsi="宋体" w:cs="宋体"/>
                <w:kern w:val="1"/>
                <w:sz w:val="18"/>
              </w:rPr>
            </w:pPr>
            <w:r>
              <w:rPr>
                <w:rFonts w:hint="eastAsia" w:ascii="宋体" w:hAnsi="宋体" w:cs="宋体"/>
                <w:kern w:val="1"/>
                <w:sz w:val="18"/>
              </w:rPr>
              <w:t>℃</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ascii="宋体" w:hAnsi="宋体" w:cs="宋体"/>
                <w:kern w:val="1"/>
                <w:sz w:val="18"/>
              </w:rPr>
              <w:t>固化时间</w:t>
            </w:r>
          </w:p>
          <w:p>
            <w:pPr>
              <w:jc w:val="center"/>
              <w:rPr>
                <w:rFonts w:ascii="宋体" w:hAnsi="宋体" w:cs="宋体"/>
                <w:kern w:val="1"/>
                <w:sz w:val="18"/>
              </w:rPr>
            </w:pPr>
            <w:r>
              <w:rPr>
                <w:rFonts w:ascii="宋体" w:hAnsi="宋体" w:cs="宋体"/>
                <w:kern w:val="1"/>
                <w:sz w:val="18"/>
              </w:rPr>
              <w:t>min</w:t>
            </w:r>
          </w:p>
        </w:tc>
      </w:tr>
      <w:tr>
        <w:tblPrEx>
          <w:tblCellMar>
            <w:top w:w="0" w:type="dxa"/>
            <w:left w:w="108" w:type="dxa"/>
            <w:bottom w:w="0" w:type="dxa"/>
            <w:right w:w="108" w:type="dxa"/>
          </w:tblCellMar>
        </w:tblPrEx>
        <w:trPr>
          <w:trHeight w:val="411" w:hRule="atLeast"/>
        </w:trPr>
        <w:tc>
          <w:tcPr>
            <w:tcW w:w="35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ascii="宋体" w:hAnsi="宋体" w:cs="宋体"/>
                <w:kern w:val="1"/>
                <w:sz w:val="18"/>
              </w:rPr>
              <w:t>膜片开关用低温银浆</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rPr>
              <w:t>80</w:t>
            </w:r>
            <w:r>
              <w:rPr>
                <w:rFonts w:ascii="宋体" w:hAnsi="宋体" w:cs="宋体"/>
                <w:kern w:val="1"/>
                <w:sz w:val="18"/>
              </w:rPr>
              <w:t>～1</w:t>
            </w:r>
            <w:r>
              <w:rPr>
                <w:rFonts w:hint="eastAsia" w:ascii="宋体" w:hAnsi="宋体" w:cs="宋体"/>
                <w:kern w:val="1"/>
                <w:sz w:val="18"/>
              </w:rPr>
              <w:t>6</w:t>
            </w:r>
            <w:r>
              <w:rPr>
                <w:rFonts w:ascii="宋体" w:hAnsi="宋体" w:cs="宋体"/>
                <w:kern w:val="1"/>
                <w:sz w:val="18"/>
              </w:rPr>
              <w:t>0</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lang w:val="en-US" w:eastAsia="zh-CN"/>
              </w:rPr>
              <w:t>30</w:t>
            </w:r>
            <w:r>
              <w:rPr>
                <w:rFonts w:ascii="宋体" w:hAnsi="宋体" w:cs="宋体"/>
                <w:kern w:val="1"/>
                <w:sz w:val="18"/>
              </w:rPr>
              <w:t>～</w:t>
            </w:r>
            <w:r>
              <w:rPr>
                <w:rFonts w:hint="eastAsia" w:ascii="宋体" w:hAnsi="宋体" w:cs="宋体"/>
                <w:kern w:val="1"/>
                <w:sz w:val="18"/>
              </w:rPr>
              <w:t>9</w:t>
            </w:r>
            <w:r>
              <w:rPr>
                <w:rFonts w:ascii="宋体" w:hAnsi="宋体" w:cs="宋体"/>
                <w:kern w:val="1"/>
                <w:sz w:val="18"/>
              </w:rPr>
              <w:t>0</w:t>
            </w:r>
          </w:p>
        </w:tc>
      </w:tr>
      <w:tr>
        <w:tblPrEx>
          <w:tblCellMar>
            <w:top w:w="0" w:type="dxa"/>
            <w:left w:w="108" w:type="dxa"/>
            <w:bottom w:w="0" w:type="dxa"/>
            <w:right w:w="108" w:type="dxa"/>
          </w:tblCellMar>
        </w:tblPrEx>
        <w:trPr>
          <w:trHeight w:val="411" w:hRule="atLeast"/>
        </w:trPr>
        <w:tc>
          <w:tcPr>
            <w:tcW w:w="35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kern w:val="1"/>
                <w:sz w:val="18"/>
                <w:lang w:val="en-US" w:eastAsia="zh-CN"/>
              </w:rPr>
            </w:pPr>
            <w:r>
              <w:rPr>
                <w:rFonts w:hint="eastAsia" w:ascii="宋体" w:hAnsi="宋体" w:cs="宋体"/>
                <w:kern w:val="1"/>
                <w:sz w:val="18"/>
                <w:lang w:val="en-US" w:eastAsia="zh-CN"/>
              </w:rPr>
              <w:t>快干系列</w:t>
            </w:r>
            <w:r>
              <w:rPr>
                <w:rFonts w:ascii="宋体" w:hAnsi="宋体" w:cs="宋体"/>
                <w:kern w:val="1"/>
                <w:sz w:val="18"/>
              </w:rPr>
              <w:t>膜片开关用低温银浆</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kern w:val="1"/>
                <w:sz w:val="18"/>
                <w:lang w:val="en-US" w:eastAsia="zh-CN"/>
              </w:rPr>
            </w:pPr>
            <w:r>
              <w:rPr>
                <w:rFonts w:hint="eastAsia" w:ascii="宋体" w:hAnsi="宋体" w:cs="宋体"/>
                <w:kern w:val="1"/>
                <w:sz w:val="18"/>
                <w:lang w:val="en-US" w:eastAsia="zh-CN"/>
              </w:rPr>
              <w:t>130</w:t>
            </w:r>
            <w:r>
              <w:rPr>
                <w:rFonts w:ascii="宋体" w:hAnsi="宋体" w:cs="宋体"/>
                <w:kern w:val="1"/>
                <w:sz w:val="18"/>
              </w:rPr>
              <w:t>～</w:t>
            </w:r>
            <w:r>
              <w:rPr>
                <w:rFonts w:hint="eastAsia" w:ascii="宋体" w:hAnsi="宋体" w:cs="宋体"/>
                <w:kern w:val="1"/>
                <w:sz w:val="18"/>
                <w:lang w:val="en-US" w:eastAsia="zh-CN"/>
              </w:rPr>
              <w:t>160</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18"/>
                <w:lang w:val="en-US" w:eastAsia="zh-CN"/>
              </w:rPr>
            </w:pPr>
            <w:r>
              <w:rPr>
                <w:rFonts w:hint="eastAsia" w:ascii="宋体" w:hAnsi="宋体" w:cs="宋体"/>
                <w:kern w:val="1"/>
                <w:sz w:val="18"/>
                <w:lang w:val="en-US" w:eastAsia="zh-CN"/>
              </w:rPr>
              <w:t>1</w:t>
            </w:r>
            <w:r>
              <w:rPr>
                <w:rFonts w:ascii="宋体" w:hAnsi="宋体" w:cs="宋体"/>
                <w:kern w:val="1"/>
                <w:sz w:val="18"/>
              </w:rPr>
              <w:t>～</w:t>
            </w:r>
            <w:r>
              <w:rPr>
                <w:rFonts w:hint="eastAsia" w:ascii="宋体" w:hAnsi="宋体" w:cs="宋体"/>
                <w:kern w:val="1"/>
                <w:sz w:val="18"/>
                <w:lang w:val="en-US" w:eastAsia="zh-CN"/>
              </w:rPr>
              <w:t>5</w:t>
            </w:r>
          </w:p>
        </w:tc>
      </w:tr>
      <w:tr>
        <w:tblPrEx>
          <w:tblCellMar>
            <w:top w:w="0" w:type="dxa"/>
            <w:left w:w="108" w:type="dxa"/>
            <w:bottom w:w="0" w:type="dxa"/>
            <w:right w:w="108" w:type="dxa"/>
          </w:tblCellMar>
        </w:tblPrEx>
        <w:trPr>
          <w:trHeight w:val="411" w:hRule="atLeast"/>
        </w:trPr>
        <w:tc>
          <w:tcPr>
            <w:tcW w:w="35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ascii="宋体" w:hAnsi="宋体" w:cs="宋体"/>
                <w:kern w:val="1"/>
                <w:sz w:val="18"/>
              </w:rPr>
              <w:t>碳膜电位器用银浆</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ascii="宋体" w:hAnsi="宋体" w:cs="宋体"/>
                <w:kern w:val="1"/>
                <w:sz w:val="18"/>
              </w:rPr>
              <w:t>180～210</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ascii="宋体" w:hAnsi="宋体" w:cs="宋体"/>
                <w:kern w:val="1"/>
                <w:sz w:val="18"/>
              </w:rPr>
              <w:t>20～30</w:t>
            </w:r>
          </w:p>
        </w:tc>
      </w:tr>
      <w:tr>
        <w:tblPrEx>
          <w:tblCellMar>
            <w:top w:w="0" w:type="dxa"/>
            <w:left w:w="108" w:type="dxa"/>
            <w:bottom w:w="0" w:type="dxa"/>
            <w:right w:w="108" w:type="dxa"/>
          </w:tblCellMar>
        </w:tblPrEx>
        <w:trPr>
          <w:trHeight w:val="411" w:hRule="atLeast"/>
        </w:trPr>
        <w:tc>
          <w:tcPr>
            <w:tcW w:w="35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18"/>
              </w:rPr>
            </w:pPr>
            <w:r>
              <w:rPr>
                <w:rFonts w:hint="eastAsia" w:ascii="宋体" w:hAnsi="宋体" w:cs="宋体"/>
                <w:kern w:val="1"/>
                <w:sz w:val="18"/>
              </w:rPr>
              <w:t>单组分银导电胶</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rPr>
              <w:t>1</w:t>
            </w:r>
            <w:r>
              <w:rPr>
                <w:rFonts w:ascii="宋体" w:hAnsi="宋体" w:cs="宋体"/>
                <w:kern w:val="1"/>
                <w:sz w:val="18"/>
              </w:rPr>
              <w:t>20～</w:t>
            </w:r>
            <w:r>
              <w:rPr>
                <w:rFonts w:hint="eastAsia" w:ascii="宋体" w:hAnsi="宋体" w:cs="宋体"/>
                <w:kern w:val="1"/>
                <w:sz w:val="18"/>
              </w:rPr>
              <w:t>2</w:t>
            </w:r>
            <w:r>
              <w:rPr>
                <w:rFonts w:ascii="宋体" w:hAnsi="宋体" w:cs="宋体"/>
                <w:kern w:val="1"/>
                <w:sz w:val="18"/>
              </w:rPr>
              <w:t>00</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rPr>
              <w:t>1</w:t>
            </w:r>
            <w:r>
              <w:rPr>
                <w:rFonts w:ascii="宋体" w:hAnsi="宋体" w:cs="宋体"/>
                <w:kern w:val="1"/>
                <w:sz w:val="18"/>
              </w:rPr>
              <w:t>5～</w:t>
            </w:r>
            <w:r>
              <w:rPr>
                <w:rFonts w:hint="eastAsia" w:ascii="宋体" w:hAnsi="宋体" w:cs="宋体"/>
                <w:kern w:val="1"/>
                <w:sz w:val="18"/>
              </w:rPr>
              <w:t>6</w:t>
            </w:r>
            <w:r>
              <w:rPr>
                <w:rFonts w:ascii="宋体" w:hAnsi="宋体" w:cs="宋体"/>
                <w:kern w:val="1"/>
                <w:sz w:val="18"/>
              </w:rPr>
              <w:t>0</w:t>
            </w:r>
          </w:p>
        </w:tc>
      </w:tr>
      <w:tr>
        <w:tblPrEx>
          <w:tblCellMar>
            <w:top w:w="0" w:type="dxa"/>
            <w:left w:w="108" w:type="dxa"/>
            <w:bottom w:w="0" w:type="dxa"/>
            <w:right w:w="108" w:type="dxa"/>
          </w:tblCellMar>
        </w:tblPrEx>
        <w:trPr>
          <w:trHeight w:val="456" w:hRule="atLeast"/>
        </w:trPr>
        <w:tc>
          <w:tcPr>
            <w:tcW w:w="35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rPr>
              <w:t>双组分银导电胶</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rPr>
              <w:t>2</w:t>
            </w:r>
            <w:r>
              <w:rPr>
                <w:rFonts w:ascii="宋体" w:hAnsi="宋体" w:cs="宋体"/>
                <w:kern w:val="1"/>
                <w:sz w:val="18"/>
              </w:rPr>
              <w:t>5</w:t>
            </w:r>
            <w:r>
              <w:rPr>
                <w:rFonts w:hint="eastAsia" w:ascii="宋体" w:hAnsi="宋体" w:cs="宋体"/>
                <w:kern w:val="1"/>
                <w:sz w:val="18"/>
                <w:lang w:val="en-US" w:eastAsia="zh-CN"/>
              </w:rPr>
              <w:t>±5；8</w:t>
            </w:r>
            <w:r>
              <w:rPr>
                <w:rFonts w:ascii="宋体" w:hAnsi="宋体" w:cs="宋体"/>
                <w:kern w:val="1"/>
                <w:sz w:val="18"/>
              </w:rPr>
              <w:t>0～</w:t>
            </w:r>
            <w:r>
              <w:rPr>
                <w:rFonts w:hint="eastAsia" w:ascii="宋体" w:hAnsi="宋体" w:cs="宋体"/>
                <w:kern w:val="1"/>
                <w:sz w:val="18"/>
              </w:rPr>
              <w:t>1</w:t>
            </w:r>
            <w:r>
              <w:rPr>
                <w:rFonts w:ascii="宋体" w:hAnsi="宋体" w:cs="宋体"/>
                <w:kern w:val="1"/>
                <w:sz w:val="18"/>
              </w:rPr>
              <w:t>50</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18"/>
              </w:rPr>
            </w:pPr>
            <w:r>
              <w:rPr>
                <w:rFonts w:hint="eastAsia" w:ascii="宋体" w:hAnsi="宋体" w:cs="宋体"/>
                <w:kern w:val="1"/>
                <w:sz w:val="18"/>
                <w:lang w:val="en-US" w:eastAsia="zh-CN"/>
              </w:rPr>
              <w:t>720</w:t>
            </w:r>
            <w:r>
              <w:rPr>
                <w:rFonts w:ascii="宋体" w:hAnsi="宋体" w:cs="宋体"/>
                <w:kern w:val="1"/>
                <w:sz w:val="18"/>
              </w:rPr>
              <w:t>～</w:t>
            </w:r>
            <w:r>
              <w:rPr>
                <w:rFonts w:hint="eastAsia" w:ascii="宋体" w:hAnsi="宋体" w:cs="宋体"/>
                <w:kern w:val="1"/>
                <w:sz w:val="18"/>
                <w:lang w:val="en-US" w:eastAsia="zh-CN"/>
              </w:rPr>
              <w:t>1440；</w:t>
            </w:r>
            <w:r>
              <w:rPr>
                <w:rFonts w:hint="eastAsia" w:ascii="宋体" w:hAnsi="宋体" w:cs="宋体"/>
                <w:kern w:val="1"/>
                <w:sz w:val="18"/>
              </w:rPr>
              <w:t>3</w:t>
            </w:r>
            <w:r>
              <w:rPr>
                <w:rFonts w:ascii="宋体" w:hAnsi="宋体" w:cs="宋体"/>
                <w:kern w:val="1"/>
                <w:sz w:val="18"/>
              </w:rPr>
              <w:t>0～</w:t>
            </w:r>
            <w:r>
              <w:rPr>
                <w:rFonts w:hint="eastAsia" w:ascii="宋体" w:hAnsi="宋体" w:cs="宋体"/>
                <w:kern w:val="1"/>
                <w:sz w:val="18"/>
              </w:rPr>
              <w:t>9</w:t>
            </w:r>
            <w:r>
              <w:rPr>
                <w:rFonts w:ascii="宋体" w:hAnsi="宋体" w:cs="宋体"/>
                <w:kern w:val="1"/>
                <w:sz w:val="18"/>
              </w:rPr>
              <w:t>0</w:t>
            </w:r>
          </w:p>
        </w:tc>
      </w:tr>
    </w:tbl>
    <w:p>
      <w:pPr>
        <w:pStyle w:val="12"/>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宋体" w:hAnsi="Calibri"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编制依据：</w:t>
      </w:r>
      <w:r>
        <w:rPr>
          <w:rFonts w:hint="eastAsia" w:ascii="宋体" w:hAnsi="Calibri" w:eastAsia="宋体" w:cs="Times New Roman"/>
          <w:kern w:val="2"/>
          <w:sz w:val="24"/>
          <w:szCs w:val="22"/>
          <w:lang w:val="en-US" w:eastAsia="zh-CN" w:bidi="ar-SA"/>
        </w:rPr>
        <w:t>随着技术不断发展，膜片开关银浆的使用条件不断拓宽，目前有快速固化和低温固化等多个发展方向，固化温度和固化时间也相应发生变化，快速固化银浆需要在较短时间内固化，例如某些银浆只需</w:t>
      </w:r>
      <w:r>
        <w:rPr>
          <w:rFonts w:hint="eastAsia" w:ascii="宋体" w:cs="Times New Roman"/>
          <w:kern w:val="2"/>
          <w:sz w:val="24"/>
          <w:szCs w:val="22"/>
          <w:lang w:val="en-US" w:eastAsia="zh-CN" w:bidi="ar-SA"/>
        </w:rPr>
        <w:t>在</w:t>
      </w:r>
      <w:r>
        <w:rPr>
          <w:rFonts w:hint="eastAsia" w:ascii="宋体" w:hAnsi="Calibri" w:eastAsia="宋体" w:cs="Times New Roman"/>
          <w:kern w:val="2"/>
          <w:sz w:val="24"/>
          <w:szCs w:val="22"/>
          <w:lang w:val="en-US" w:eastAsia="zh-CN" w:bidi="ar-SA"/>
        </w:rPr>
        <w:t>150℃</w:t>
      </w:r>
      <w:r>
        <w:rPr>
          <w:rFonts w:hint="eastAsia" w:ascii="宋体" w:cs="Times New Roman"/>
          <w:kern w:val="2"/>
          <w:sz w:val="24"/>
          <w:szCs w:val="22"/>
          <w:lang w:val="en-US" w:eastAsia="zh-CN" w:bidi="ar-SA"/>
        </w:rPr>
        <w:t>下</w:t>
      </w:r>
      <w:r>
        <w:rPr>
          <w:rFonts w:hint="eastAsia" w:ascii="宋体" w:hAnsi="Calibri" w:eastAsia="宋体" w:cs="Times New Roman"/>
          <w:kern w:val="2"/>
          <w:sz w:val="24"/>
          <w:szCs w:val="22"/>
          <w:lang w:val="en-US" w:eastAsia="zh-CN" w:bidi="ar-SA"/>
        </w:rPr>
        <w:t>1min即可固化，已不需要干燥，原标准的干燥温度及干燥时间已不适用，所以删除。经过调研，目前膜片开关银浆的固化温度在80-160℃之间，固化时间在1-90min之间，所以将原标准中的固化温度及时间进行修改并增加快干系列膜片开关银浆使用工艺。银导电胶单组分和双组分之间使用工艺差别较大，原标准中没有进行区分，其固化温度及固化时间已不适用，所以删除原标准中银导电胶的固化温度及固化时间，新增单组分银导电胶及双组分银导电胶的固化温度及固化时间。</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（4）删除</w:t>
      </w:r>
      <w:r>
        <w:rPr>
          <w:rFonts w:hint="eastAsia" w:ascii="宋体" w:cs="Times New Roman"/>
          <w:kern w:val="2"/>
          <w:sz w:val="24"/>
          <w:szCs w:val="22"/>
          <w:lang w:val="en-US" w:eastAsia="zh-CN" w:bidi="ar-SA"/>
        </w:rPr>
        <w:t>2006年版的</w:t>
      </w:r>
      <w:r>
        <w:rPr>
          <w:rFonts w:hint="eastAsia" w:ascii="宋体" w:hAnsi="Calibri" w:eastAsia="宋体" w:cs="Times New Roman"/>
          <w:kern w:val="2"/>
          <w:sz w:val="24"/>
          <w:szCs w:val="22"/>
          <w:lang w:val="en-US" w:eastAsia="zh-CN" w:bidi="ar-SA"/>
        </w:rPr>
        <w:t>4.4.1银浆的细度、粘度性能表2中的产品牌号、不挥发物含量，将银导电胶分为单组分银导电胶和双组分银导电胶，删除原银导电胶细度和粘度要求，新增单组分银导电胶的细度为＜15μm，新增双组分银导电胶的细度为＜10</w:t>
      </w:r>
      <w:r>
        <w:rPr>
          <w:rFonts w:hint="eastAsia" w:ascii="宋体" w:cs="Times New Roman"/>
          <w:kern w:val="2"/>
          <w:sz w:val="24"/>
          <w:szCs w:val="22"/>
          <w:lang w:val="en-US" w:eastAsia="zh-CN" w:bidi="ar-SA"/>
        </w:rPr>
        <w:t>μ</w:t>
      </w:r>
      <w:r>
        <w:rPr>
          <w:rFonts w:hint="eastAsia" w:ascii="宋体" w:hAnsi="Calibri" w:eastAsia="宋体" w:cs="Times New Roman"/>
          <w:kern w:val="2"/>
          <w:sz w:val="24"/>
          <w:szCs w:val="22"/>
          <w:lang w:val="en-US" w:eastAsia="zh-CN" w:bidi="ar-SA"/>
        </w:rPr>
        <w:t>m。将膜片开关用低温银浆的粘度修改为50-300dPa·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，将碳膜电位器用银浆的粘度修改为50-300dPa·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，新增单组分银导电胶的粘度为200-500dPa·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，新增双组分银导电胶的粘度为250-500dPa·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w:t>
      </w:r>
      <w:r>
        <w:rPr>
          <w:rFonts w:hint="eastAsia" w:ascii="宋体" w:cs="Times New Roman"/>
          <w:kern w:val="2"/>
          <w:sz w:val="24"/>
          <w:szCs w:val="22"/>
          <w:lang w:val="en-US" w:eastAsia="zh-CN" w:bidi="ar-SA"/>
        </w:rPr>
        <w:t>修改后5.3.1</w:t>
      </w:r>
      <w:r>
        <w:rPr>
          <w:rFonts w:hint="eastAsia" w:ascii="宋体" w:hAnsi="Calibri" w:eastAsia="宋体" w:cs="Times New Roman"/>
          <w:kern w:val="2"/>
          <w:sz w:val="24"/>
          <w:szCs w:val="22"/>
          <w:lang w:val="en-US" w:eastAsia="zh-CN" w:bidi="ar-SA"/>
        </w:rPr>
        <w:t>性能表2如下：</w:t>
      </w:r>
    </w:p>
    <w:tbl>
      <w:tblPr>
        <w:tblStyle w:val="7"/>
        <w:tblW w:w="9516" w:type="dxa"/>
        <w:tblInd w:w="0" w:type="dxa"/>
        <w:tblLayout w:type="autofit"/>
        <w:tblCellMar>
          <w:top w:w="0" w:type="dxa"/>
          <w:left w:w="108" w:type="dxa"/>
          <w:bottom w:w="0" w:type="dxa"/>
          <w:right w:w="108" w:type="dxa"/>
        </w:tblCellMar>
      </w:tblPr>
      <w:tblGrid>
        <w:gridCol w:w="3178"/>
        <w:gridCol w:w="3172"/>
        <w:gridCol w:w="3166"/>
      </w:tblGrid>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产品类型</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细度</w:t>
            </w:r>
          </w:p>
          <w:p>
            <w:pPr>
              <w:jc w:val="center"/>
              <w:rPr>
                <w:rFonts w:ascii="宋体" w:hAnsi="宋体" w:cs="宋体"/>
                <w:color w:val="000000" w:themeColor="text1"/>
                <w:kern w:val="1"/>
                <w:sz w:val="18"/>
                <w14:textFill>
                  <w14:solidFill>
                    <w14:schemeClr w14:val="tx1"/>
                  </w14:solidFill>
                </w14:textFill>
              </w:rPr>
            </w:pPr>
            <w:r>
              <w:rPr>
                <w:rFonts w:ascii="Symbol" w:hAnsi="Symbol" w:cs="宋体"/>
                <w:color w:val="000000" w:themeColor="text1"/>
                <w:kern w:val="1"/>
                <w:sz w:val="18"/>
                <w14:textFill>
                  <w14:solidFill>
                    <w14:schemeClr w14:val="tx1"/>
                  </w14:solidFill>
                </w14:textFill>
              </w:rPr>
              <w:t></w:t>
            </w:r>
            <w:r>
              <w:rPr>
                <w:rFonts w:ascii="宋体" w:hAnsi="宋体" w:cs="宋体"/>
                <w:color w:val="000000" w:themeColor="text1"/>
                <w:kern w:val="1"/>
                <w:sz w:val="18"/>
                <w14:textFill>
                  <w14:solidFill>
                    <w14:schemeClr w14:val="tx1"/>
                  </w14:solidFill>
                </w14:textFill>
              </w:rPr>
              <w:t>m</w:t>
            </w:r>
          </w:p>
        </w:tc>
        <w:tc>
          <w:tcPr>
            <w:tcW w:w="3166" w:type="dxa"/>
            <w:tcBorders>
              <w:top w:val="single" w:color="000000" w:sz="4" w:space="0"/>
              <w:left w:val="single" w:color="000000"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rPr>
                <w:rFonts w:ascii="宋体" w:hAnsi="宋体" w:cs="宋体"/>
                <w:color w:val="000000" w:themeColor="text1"/>
                <w:position w:val="-2"/>
                <w:szCs w:val="24"/>
                <w:vertAlign w:val="superscript"/>
                <w14:textFill>
                  <w14:solidFill>
                    <w14:schemeClr w14:val="tx1"/>
                  </w14:solidFill>
                </w14:textFill>
              </w:rPr>
            </w:pPr>
            <w:r>
              <w:rPr>
                <w:rFonts w:hint="eastAsia" w:ascii="宋体" w:hAnsi="宋体" w:cs="宋体"/>
                <w:color w:val="000000" w:themeColor="text1"/>
                <w:szCs w:val="24"/>
                <w14:textFill>
                  <w14:solidFill>
                    <w14:schemeClr w14:val="tx1"/>
                  </w14:solidFill>
                </w14:textFill>
              </w:rPr>
              <w:t>粘度</w:t>
            </w:r>
          </w:p>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d</w:t>
            </w:r>
            <w:r>
              <w:rPr>
                <w:rFonts w:ascii="宋体" w:hAnsi="宋体" w:cs="宋体"/>
                <w:color w:val="000000" w:themeColor="text1"/>
                <w:kern w:val="1"/>
                <w:sz w:val="18"/>
                <w14:textFill>
                  <w14:solidFill>
                    <w14:schemeClr w14:val="tx1"/>
                  </w14:solidFill>
                </w14:textFill>
              </w:rPr>
              <w:t>Pa·</w:t>
            </w:r>
            <w:r>
              <w:rPr>
                <w:rFonts w:hint="eastAsia" w:ascii="宋体" w:hAnsi="宋体" w:cs="宋体"/>
                <w:color w:val="000000" w:themeColor="text1"/>
                <w:kern w:val="1"/>
                <w:sz w:val="18"/>
                <w:lang w:val="en-US" w:eastAsia="zh-CN"/>
                <w14:textFill>
                  <w14:solidFill>
                    <w14:schemeClr w14:val="tx1"/>
                  </w14:solidFill>
                </w14:textFill>
              </w:rPr>
              <w:t>s</w:t>
            </w:r>
            <w:r>
              <w:rPr>
                <w:rFonts w:hint="eastAsia" w:ascii="宋体" w:hAnsi="宋体" w:cs="宋体"/>
                <w:color w:val="000000" w:themeColor="text1"/>
                <w:kern w:val="1"/>
                <w:sz w:val="18"/>
                <w14:textFill>
                  <w14:solidFill>
                    <w14:schemeClr w14:val="tx1"/>
                  </w14:solidFill>
                </w14:textFill>
              </w:rPr>
              <w:t>，剪切速率10/s</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膜片开关用低温银浆</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&lt;10</w:t>
            </w:r>
          </w:p>
        </w:tc>
        <w:tc>
          <w:tcPr>
            <w:tcW w:w="3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50</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30</w:t>
            </w:r>
            <w:r>
              <w:rPr>
                <w:rFonts w:ascii="宋体" w:hAnsi="宋体" w:cs="宋体"/>
                <w:color w:val="000000" w:themeColor="text1"/>
                <w:kern w:val="1"/>
                <w:sz w:val="18"/>
                <w14:textFill>
                  <w14:solidFill>
                    <w14:schemeClr w14:val="tx1"/>
                  </w14:solidFill>
                </w14:textFill>
              </w:rPr>
              <w:t>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lang w:val="en-US" w:eastAsia="zh-CN"/>
                <w14:textFill>
                  <w14:solidFill>
                    <w14:schemeClr w14:val="tx1"/>
                  </w14:solidFill>
                </w14:textFill>
              </w:rPr>
              <w:t>快干系列</w:t>
            </w:r>
            <w:r>
              <w:rPr>
                <w:rFonts w:ascii="宋体" w:hAnsi="宋体" w:cs="宋体"/>
                <w:color w:val="000000" w:themeColor="text1"/>
                <w:kern w:val="1"/>
                <w:sz w:val="18"/>
                <w14:textFill>
                  <w14:solidFill>
                    <w14:schemeClr w14:val="tx1"/>
                  </w14:solidFill>
                </w14:textFill>
              </w:rPr>
              <w:t>膜片开关用低温银浆</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&lt;10</w:t>
            </w:r>
          </w:p>
        </w:tc>
        <w:tc>
          <w:tcPr>
            <w:tcW w:w="3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50</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30</w:t>
            </w:r>
            <w:r>
              <w:rPr>
                <w:rFonts w:ascii="宋体" w:hAnsi="宋体" w:cs="宋体"/>
                <w:color w:val="000000" w:themeColor="text1"/>
                <w:kern w:val="1"/>
                <w:sz w:val="18"/>
                <w14:textFill>
                  <w14:solidFill>
                    <w14:schemeClr w14:val="tx1"/>
                  </w14:solidFill>
                </w14:textFill>
              </w:rPr>
              <w:t>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碳膜电位器用银浆</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&lt;30</w:t>
            </w:r>
          </w:p>
        </w:tc>
        <w:tc>
          <w:tcPr>
            <w:tcW w:w="3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50</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300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单组分银导电胶</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themeColor="text1"/>
                <w:kern w:val="1"/>
                <w:sz w:val="18"/>
                <w:lang w:val="en-US" w:eastAsia="zh-CN"/>
                <w14:textFill>
                  <w14:solidFill>
                    <w14:schemeClr w14:val="tx1"/>
                  </w14:solidFill>
                </w14:textFill>
              </w:rPr>
            </w:pPr>
            <w:r>
              <w:rPr>
                <w:rFonts w:ascii="宋体" w:hAnsi="宋体" w:eastAsia="宋体" w:cs="宋体"/>
                <w:color w:val="000000" w:themeColor="text1"/>
                <w:kern w:val="1"/>
                <w:sz w:val="18"/>
                <w14:textFill>
                  <w14:solidFill>
                    <w14:schemeClr w14:val="tx1"/>
                  </w14:solidFill>
                </w14:textFill>
              </w:rPr>
              <w:t>&lt;1</w:t>
            </w:r>
            <w:r>
              <w:rPr>
                <w:rFonts w:hint="eastAsia" w:ascii="宋体" w:hAnsi="宋体" w:eastAsia="宋体" w:cs="宋体"/>
                <w:color w:val="000000" w:themeColor="text1"/>
                <w:kern w:val="1"/>
                <w:sz w:val="18"/>
                <w:lang w:val="en-US" w:eastAsia="zh-CN"/>
                <w14:textFill>
                  <w14:solidFill>
                    <w14:schemeClr w14:val="tx1"/>
                  </w14:solidFill>
                </w14:textFill>
              </w:rPr>
              <w:t>5</w:t>
            </w:r>
          </w:p>
        </w:tc>
        <w:tc>
          <w:tcPr>
            <w:tcW w:w="3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200</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500</w:t>
            </w:r>
          </w:p>
        </w:tc>
      </w:tr>
      <w:tr>
        <w:tblPrEx>
          <w:tblCellMar>
            <w:top w:w="0" w:type="dxa"/>
            <w:left w:w="108" w:type="dxa"/>
            <w:bottom w:w="0" w:type="dxa"/>
            <w:right w:w="108" w:type="dxa"/>
          </w:tblCellMar>
        </w:tblPrEx>
        <w:trPr>
          <w:trHeight w:val="396" w:hRule="atLeast"/>
        </w:trPr>
        <w:tc>
          <w:tcPr>
            <w:tcW w:w="3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双组分银导电胶</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themeColor="text1"/>
                <w:kern w:val="1"/>
                <w:sz w:val="18"/>
                <w:lang w:val="en-US" w:eastAsia="zh-CN"/>
                <w14:textFill>
                  <w14:solidFill>
                    <w14:schemeClr w14:val="tx1"/>
                  </w14:solidFill>
                </w14:textFill>
              </w:rPr>
            </w:pPr>
            <w:r>
              <w:rPr>
                <w:rFonts w:ascii="宋体" w:hAnsi="宋体" w:eastAsia="宋体" w:cs="宋体"/>
                <w:color w:val="000000" w:themeColor="text1"/>
                <w:kern w:val="1"/>
                <w:sz w:val="18"/>
                <w14:textFill>
                  <w14:solidFill>
                    <w14:schemeClr w14:val="tx1"/>
                  </w14:solidFill>
                </w14:textFill>
              </w:rPr>
              <w:t>&lt;</w:t>
            </w:r>
            <w:r>
              <w:rPr>
                <w:rFonts w:hint="eastAsia" w:ascii="宋体" w:hAnsi="宋体" w:eastAsia="宋体" w:cs="宋体"/>
                <w:color w:val="000000" w:themeColor="text1"/>
                <w:kern w:val="1"/>
                <w:sz w:val="18"/>
                <w:lang w:val="en-US" w:eastAsia="zh-CN"/>
                <w14:textFill>
                  <w14:solidFill>
                    <w14:schemeClr w14:val="tx1"/>
                  </w14:solidFill>
                </w14:textFill>
              </w:rPr>
              <w:t>20</w:t>
            </w:r>
          </w:p>
        </w:tc>
        <w:tc>
          <w:tcPr>
            <w:tcW w:w="3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250</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500</w:t>
            </w:r>
          </w:p>
        </w:tc>
      </w:tr>
    </w:tbl>
    <w:p>
      <w:pPr>
        <w:pStyle w:val="12"/>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宋体" w:hAnsi="Calibri"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编制依据：</w:t>
      </w:r>
      <w:r>
        <w:rPr>
          <w:rFonts w:hint="eastAsia" w:ascii="宋体" w:hAnsi="Calibri" w:eastAsia="宋体" w:cs="Times New Roman"/>
          <w:kern w:val="2"/>
          <w:sz w:val="24"/>
          <w:szCs w:val="22"/>
          <w:lang w:val="en-US" w:eastAsia="zh-CN" w:bidi="ar-SA"/>
        </w:rPr>
        <w:t>目前固化型银导体浆料不再将不挥发物含量列入性能指标，所以删除。随着固化型银导体浆料使用领域的不断发展，现在银浆的粘度、细度性能有较大变化。粘度从喷涂所需的低粘度到精密印刷所需的高粘度，范围不断扩大，所以将膜片开关用低温银浆的粘度修改为50-300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，将碳膜电位器用银浆的粘度修改为50-300dPa·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，银导电胶单组分和双组分之间使用工艺差别较大，原标准中没有进行区分，所以新增单组分银导电胶的粘度为200-500dPa·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，新增双组分银导电胶的粘度为250-500dPa·</w:t>
      </w:r>
      <w:r>
        <w:rPr>
          <w:rFonts w:hint="eastAsia" w:ascii="宋体" w:cs="Times New Roman"/>
          <w:kern w:val="2"/>
          <w:sz w:val="24"/>
          <w:szCs w:val="22"/>
          <w:lang w:val="en-US" w:eastAsia="zh-CN" w:bidi="ar-SA"/>
        </w:rPr>
        <w:t>s</w:t>
      </w:r>
      <w:r>
        <w:rPr>
          <w:rFonts w:hint="eastAsia" w:ascii="宋体" w:hAnsi="Calibri" w:eastAsia="宋体" w:cs="Times New Roman"/>
          <w:kern w:val="2"/>
          <w:sz w:val="24"/>
          <w:szCs w:val="22"/>
          <w:lang w:val="en-US" w:eastAsia="zh-CN" w:bidi="ar-SA"/>
        </w:rPr>
        <w:t>。</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（5）删除</w:t>
      </w:r>
      <w:r>
        <w:rPr>
          <w:rFonts w:hint="eastAsia" w:ascii="宋体" w:cs="Times New Roman"/>
          <w:kern w:val="2"/>
          <w:sz w:val="24"/>
          <w:szCs w:val="22"/>
          <w:lang w:val="en-US" w:eastAsia="zh-CN" w:bidi="ar-SA"/>
        </w:rPr>
        <w:t>2006年版的</w:t>
      </w:r>
      <w:r>
        <w:rPr>
          <w:rFonts w:hint="eastAsia" w:ascii="宋体" w:hAnsi="Calibri" w:eastAsia="宋体" w:cs="Times New Roman"/>
          <w:kern w:val="2"/>
          <w:sz w:val="24"/>
          <w:szCs w:val="22"/>
          <w:lang w:val="en-US" w:eastAsia="zh-CN" w:bidi="ar-SA"/>
        </w:rPr>
        <w:t>4.4.2银浆固化后的主要性能表3中的产品牌号、机械耐久性，将膜片开关用低温银浆的方阻修改为≤40</w:t>
      </w:r>
      <w:r>
        <w:rPr>
          <w:rFonts w:hint="eastAsia" w:ascii="微软雅黑" w:hAnsi="微软雅黑" w:eastAsia="微软雅黑" w:cs="微软雅黑"/>
          <w:kern w:val="2"/>
          <w:sz w:val="24"/>
          <w:szCs w:val="22"/>
          <w:lang w:val="en-US" w:eastAsia="zh-CN" w:bidi="ar-SA"/>
        </w:rPr>
        <w:t>mΩ</w:t>
      </w:r>
      <w:r>
        <w:rPr>
          <w:rFonts w:hint="eastAsia" w:ascii="宋体" w:hAnsi="Calibri" w:eastAsia="宋体" w:cs="Times New Roman"/>
          <w:kern w:val="2"/>
          <w:sz w:val="24"/>
          <w:szCs w:val="22"/>
          <w:lang w:val="en-US" w:eastAsia="zh-CN" w:bidi="ar-SA"/>
        </w:rPr>
        <w:t>/</w:t>
      </w:r>
      <w:r>
        <w:rPr>
          <w:rFonts w:hint="eastAsia" w:ascii="宋体" w:hAnsi="Calibri" w:eastAsia="宋体" w:cs="Times New Roman"/>
          <w:kern w:val="2"/>
          <w:sz w:val="24"/>
          <w:szCs w:val="22"/>
          <w:lang w:val="en-US" w:eastAsia="zh-CN" w:bidi="ar-SA"/>
        </w:rPr>
        <w:sym w:font="Wingdings" w:char="00A8"/>
      </w:r>
      <w:r>
        <w:rPr>
          <w:rFonts w:hint="eastAsia" w:ascii="宋体" w:hAnsi="Calibri" w:eastAsia="宋体" w:cs="Times New Roman"/>
          <w:kern w:val="2"/>
          <w:sz w:val="24"/>
          <w:szCs w:val="22"/>
          <w:lang w:val="en-US" w:eastAsia="zh-CN" w:bidi="ar-SA"/>
        </w:rPr>
        <w:t>/mil。将原表主要性能电阻率修改为体积电阻率。删除原银导电胶的电阻率，新增单组分银导电胶的体积电阻率为≤1×10</w:t>
      </w:r>
      <w:r>
        <w:rPr>
          <w:rFonts w:hint="eastAsia" w:ascii="宋体" w:hAnsi="Calibri" w:eastAsia="宋体" w:cs="Times New Roman"/>
          <w:kern w:val="2"/>
          <w:sz w:val="32"/>
          <w:szCs w:val="32"/>
          <w:vertAlign w:val="superscript"/>
          <w:lang w:val="en-US" w:eastAsia="zh-CN" w:bidi="ar-SA"/>
        </w:rPr>
        <w:t>-4</w:t>
      </w:r>
      <w:r>
        <w:rPr>
          <w:rFonts w:hint="eastAsia" w:ascii="宋体" w:hAnsi="Calibri" w:eastAsia="宋体" w:cs="Times New Roman"/>
          <w:kern w:val="2"/>
          <w:sz w:val="24"/>
          <w:szCs w:val="22"/>
          <w:lang w:val="en-US" w:eastAsia="zh-CN" w:bidi="ar-SA"/>
        </w:rPr>
        <w:t xml:space="preserve"> </w:t>
      </w:r>
      <w:r>
        <w:rPr>
          <w:rFonts w:hint="eastAsia" w:ascii="微软雅黑" w:hAnsi="微软雅黑" w:eastAsia="微软雅黑" w:cs="微软雅黑"/>
          <w:kern w:val="2"/>
          <w:sz w:val="24"/>
          <w:szCs w:val="22"/>
          <w:lang w:val="en-US" w:eastAsia="zh-CN" w:bidi="ar-SA"/>
        </w:rPr>
        <w:t>Ω</w:t>
      </w:r>
      <w:r>
        <w:rPr>
          <w:rFonts w:hint="eastAsia" w:ascii="宋体" w:hAnsi="Calibri" w:eastAsia="宋体" w:cs="Times New Roman"/>
          <w:kern w:val="2"/>
          <w:sz w:val="24"/>
          <w:szCs w:val="22"/>
          <w:lang w:val="en-US" w:eastAsia="zh-CN" w:bidi="ar-SA"/>
        </w:rPr>
        <w:t>·cm，新增双组分银导电胶的体积电阻率为≤1×10</w:t>
      </w:r>
      <w:r>
        <w:rPr>
          <w:rFonts w:hint="eastAsia" w:ascii="宋体" w:hAnsi="Calibri" w:eastAsia="宋体" w:cs="Times New Roman"/>
          <w:kern w:val="2"/>
          <w:sz w:val="32"/>
          <w:szCs w:val="32"/>
          <w:vertAlign w:val="superscript"/>
          <w:lang w:val="en-US" w:eastAsia="zh-CN" w:bidi="ar-SA"/>
        </w:rPr>
        <w:t>-5</w:t>
      </w:r>
      <w:r>
        <w:rPr>
          <w:rFonts w:hint="eastAsia" w:ascii="微软雅黑" w:hAnsi="微软雅黑" w:eastAsia="微软雅黑" w:cs="微软雅黑"/>
          <w:kern w:val="2"/>
          <w:sz w:val="24"/>
          <w:szCs w:val="22"/>
          <w:lang w:val="en-US" w:eastAsia="zh-CN" w:bidi="ar-SA"/>
        </w:rPr>
        <w:t>Ω</w:t>
      </w:r>
      <w:r>
        <w:rPr>
          <w:rFonts w:hint="eastAsia" w:ascii="宋体" w:hAnsi="Calibri" w:eastAsia="宋体" w:cs="Times New Roman"/>
          <w:kern w:val="2"/>
          <w:sz w:val="24"/>
          <w:szCs w:val="22"/>
          <w:lang w:val="en-US" w:eastAsia="zh-CN" w:bidi="ar-SA"/>
        </w:rPr>
        <w:t>·cm。将膜片开关用低温银浆的硬度修改为≥2H，新增单组分银导电胶的硬度为≥4H，新增双组分银导电胶的硬度为≥4H。将膜片开关用低温银浆的抗挠折性修改为△R</w:t>
      </w:r>
      <w:r>
        <w:rPr>
          <w:rFonts w:hint="eastAsia" w:ascii="宋体" w:hAnsi="Calibri" w:eastAsia="宋体" w:cs="Times New Roman"/>
          <w:kern w:val="2"/>
          <w:sz w:val="30"/>
          <w:szCs w:val="30"/>
          <w:vertAlign w:val="subscript"/>
          <w:lang w:val="en-US" w:eastAsia="zh-CN" w:bidi="ar-SA"/>
        </w:rPr>
        <w:t>1</w:t>
      </w:r>
      <w:r>
        <w:rPr>
          <w:rFonts w:hint="eastAsia" w:ascii="宋体" w:hAnsi="Calibri" w:eastAsia="宋体" w:cs="Times New Roman"/>
          <w:kern w:val="2"/>
          <w:sz w:val="24"/>
          <w:szCs w:val="22"/>
          <w:lang w:val="en-US" w:eastAsia="zh-CN" w:bidi="ar-SA"/>
        </w:rPr>
        <w:t>≤300%。</w:t>
      </w:r>
      <w:r>
        <w:rPr>
          <w:rFonts w:hint="eastAsia" w:ascii="宋体" w:cs="Times New Roman"/>
          <w:kern w:val="2"/>
          <w:sz w:val="24"/>
          <w:szCs w:val="22"/>
          <w:lang w:val="en-US" w:eastAsia="zh-CN" w:bidi="ar-SA"/>
        </w:rPr>
        <w:t>修改后5.3.2</w:t>
      </w:r>
      <w:r>
        <w:rPr>
          <w:rFonts w:hint="eastAsia" w:ascii="宋体" w:hAnsi="Calibri" w:eastAsia="宋体" w:cs="Times New Roman"/>
          <w:kern w:val="2"/>
          <w:sz w:val="24"/>
          <w:szCs w:val="22"/>
          <w:lang w:val="en-US" w:eastAsia="zh-CN" w:bidi="ar-SA"/>
        </w:rPr>
        <w:t>性能表3如下：</w:t>
      </w:r>
    </w:p>
    <w:tbl>
      <w:tblPr>
        <w:tblStyle w:val="7"/>
        <w:tblW w:w="9496" w:type="dxa"/>
        <w:tblInd w:w="0" w:type="dxa"/>
        <w:tblLayout w:type="autofit"/>
        <w:tblCellMar>
          <w:top w:w="0" w:type="dxa"/>
          <w:left w:w="108" w:type="dxa"/>
          <w:bottom w:w="0" w:type="dxa"/>
          <w:right w:w="108" w:type="dxa"/>
        </w:tblCellMar>
      </w:tblPr>
      <w:tblGrid>
        <w:gridCol w:w="2638"/>
        <w:gridCol w:w="1602"/>
        <w:gridCol w:w="1488"/>
        <w:gridCol w:w="1233"/>
        <w:gridCol w:w="979"/>
        <w:gridCol w:w="1556"/>
      </w:tblGrid>
      <w:tr>
        <w:tblPrEx>
          <w:tblCellMar>
            <w:top w:w="0" w:type="dxa"/>
            <w:left w:w="108" w:type="dxa"/>
            <w:bottom w:w="0" w:type="dxa"/>
            <w:right w:w="108" w:type="dxa"/>
          </w:tblCellMar>
        </w:tblPrEx>
        <w:trPr>
          <w:trHeight w:val="463" w:hRule="atLeast"/>
        </w:trPr>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产品类型</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方    阻</w:t>
            </w:r>
          </w:p>
          <w:p>
            <w:pPr>
              <w:jc w:val="center"/>
              <w:rPr>
                <w:rFonts w:ascii="宋体" w:hAnsi="宋体" w:cs="宋体"/>
                <w:color w:val="000000" w:themeColor="text1"/>
                <w:kern w:val="1"/>
                <w:sz w:val="18"/>
                <w14:textFill>
                  <w14:solidFill>
                    <w14:schemeClr w14:val="tx1"/>
                  </w14:solidFill>
                </w14:textFill>
              </w:rPr>
            </w:pPr>
            <w:bookmarkStart w:id="1" w:name="_Hlk110427099"/>
            <w:r>
              <w:rPr>
                <w:rFonts w:ascii="宋体" w:hAnsi="宋体" w:cs="宋体"/>
                <w:color w:val="000000" w:themeColor="text1"/>
                <w:kern w:val="1"/>
                <w:sz w:val="18"/>
                <w14:textFill>
                  <w14:solidFill>
                    <w14:schemeClr w14:val="tx1"/>
                  </w14:solidFill>
                </w14:textFill>
              </w:rPr>
              <w:t>m</w:t>
            </w:r>
            <w:r>
              <w:rPr>
                <w:rFonts w:ascii="Symbol" w:hAnsi="Symbol" w:cs="宋体"/>
                <w:color w:val="000000" w:themeColor="text1"/>
                <w:kern w:val="1"/>
                <w:sz w:val="18"/>
                <w14:textFill>
                  <w14:solidFill>
                    <w14:schemeClr w14:val="tx1"/>
                  </w14:solidFill>
                </w14:textFill>
              </w:rPr>
              <w:t></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sym w:font="Wingdings 2" w:char="00A3"/>
            </w:r>
            <w:r>
              <w:rPr>
                <w:rFonts w:ascii="宋体" w:hAnsi="宋体" w:cs="宋体"/>
                <w:color w:val="000000" w:themeColor="text1"/>
                <w:kern w:val="1"/>
                <w:sz w:val="18"/>
                <w14:textFill>
                  <w14:solidFill>
                    <w14:schemeClr w14:val="tx1"/>
                  </w14:solidFill>
                </w14:textFill>
              </w:rPr>
              <w:t>/mil</w:t>
            </w:r>
            <w:bookmarkEnd w:id="1"/>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 xml:space="preserve"> </w:t>
            </w:r>
            <w:r>
              <w:rPr>
                <w:rFonts w:hint="eastAsia" w:ascii="宋体" w:hAnsi="宋体" w:cs="宋体"/>
                <w:color w:val="000000" w:themeColor="text1"/>
                <w:kern w:val="1"/>
                <w:sz w:val="18"/>
                <w14:textFill>
                  <w14:solidFill>
                    <w14:schemeClr w14:val="tx1"/>
                  </w14:solidFill>
                </w14:textFill>
              </w:rPr>
              <w:t>体积</w:t>
            </w:r>
            <w:r>
              <w:rPr>
                <w:rFonts w:ascii="宋体" w:hAnsi="宋体" w:cs="宋体"/>
                <w:color w:val="000000" w:themeColor="text1"/>
                <w:kern w:val="1"/>
                <w:sz w:val="18"/>
                <w14:textFill>
                  <w14:solidFill>
                    <w14:schemeClr w14:val="tx1"/>
                  </w14:solidFill>
                </w14:textFill>
              </w:rPr>
              <w:t>电阻率</w:t>
            </w:r>
          </w:p>
          <w:p>
            <w:pPr>
              <w:jc w:val="center"/>
              <w:rPr>
                <w:rFonts w:ascii="宋体" w:hAnsi="宋体" w:cs="宋体"/>
                <w:color w:val="000000" w:themeColor="text1"/>
                <w:kern w:val="1"/>
                <w:sz w:val="18"/>
                <w14:textFill>
                  <w14:solidFill>
                    <w14:schemeClr w14:val="tx1"/>
                  </w14:solidFill>
                </w14:textFill>
              </w:rPr>
            </w:pPr>
            <w:r>
              <w:rPr>
                <w:rFonts w:ascii="Symbol" w:hAnsi="Symbol" w:cs="宋体"/>
                <w:color w:val="000000" w:themeColor="text1"/>
                <w:kern w:val="1"/>
                <w:sz w:val="18"/>
                <w14:textFill>
                  <w14:solidFill>
                    <w14:schemeClr w14:val="tx1"/>
                  </w14:solidFill>
                </w14:textFill>
              </w:rPr>
              <w:t></w:t>
            </w:r>
            <w:r>
              <w:rPr>
                <w:rFonts w:ascii="宋体" w:hAnsi="宋体" w:cs="宋体"/>
                <w:color w:val="000000" w:themeColor="text1"/>
                <w:kern w:val="1"/>
                <w:sz w:val="18"/>
                <w14:textFill>
                  <w14:solidFill>
                    <w14:schemeClr w14:val="tx1"/>
                  </w14:solidFill>
                </w14:textFill>
              </w:rPr>
              <w:t>·cm</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附着力</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硬度</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抗挠折性</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膜片开关用低温银浆</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40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不脱膜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2</w:t>
            </w:r>
            <w:r>
              <w:rPr>
                <w:rFonts w:ascii="宋体" w:hAnsi="宋体" w:cs="宋体"/>
                <w:color w:val="000000" w:themeColor="text1"/>
                <w:kern w:val="1"/>
                <w:sz w:val="18"/>
                <w14:textFill>
                  <w14:solidFill>
                    <w14:schemeClr w14:val="tx1"/>
                  </w14:solidFill>
                </w14:textFill>
              </w:rPr>
              <w:t>H</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△R</w:t>
            </w:r>
            <w:r>
              <w:rPr>
                <w:rFonts w:hint="eastAsia" w:ascii="宋体" w:hAnsi="宋体" w:cs="宋体"/>
                <w:color w:val="000000" w:themeColor="text1"/>
                <w:kern w:val="1"/>
                <w:sz w:val="18"/>
                <w:vertAlign w:val="subscript"/>
                <w14:textFill>
                  <w14:solidFill>
                    <w14:schemeClr w14:val="tx1"/>
                  </w14:solidFill>
                </w14:textFill>
              </w:rPr>
              <w:t>1</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300%</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lang w:val="en-US" w:eastAsia="zh-CN"/>
                <w14:textFill>
                  <w14:solidFill>
                    <w14:schemeClr w14:val="tx1"/>
                  </w14:solidFill>
                </w14:textFill>
              </w:rPr>
              <w:t>快干系列</w:t>
            </w:r>
            <w:r>
              <w:rPr>
                <w:rFonts w:ascii="宋体" w:hAnsi="宋体" w:cs="宋体"/>
                <w:color w:val="000000" w:themeColor="text1"/>
                <w:kern w:val="1"/>
                <w:sz w:val="18"/>
                <w14:textFill>
                  <w14:solidFill>
                    <w14:schemeClr w14:val="tx1"/>
                  </w14:solidFill>
                </w14:textFill>
              </w:rPr>
              <w:t>膜片开关用低温银浆</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40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不脱膜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2</w:t>
            </w:r>
            <w:r>
              <w:rPr>
                <w:rFonts w:ascii="宋体" w:hAnsi="宋体" w:cs="宋体"/>
                <w:color w:val="000000" w:themeColor="text1"/>
                <w:kern w:val="1"/>
                <w:sz w:val="18"/>
                <w14:textFill>
                  <w14:solidFill>
                    <w14:schemeClr w14:val="tx1"/>
                  </w14:solidFill>
                </w14:textFill>
              </w:rPr>
              <w:t>H</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△R</w:t>
            </w:r>
            <w:r>
              <w:rPr>
                <w:rFonts w:hint="eastAsia" w:ascii="宋体" w:hAnsi="宋体" w:cs="宋体"/>
                <w:color w:val="000000" w:themeColor="text1"/>
                <w:kern w:val="1"/>
                <w:sz w:val="18"/>
                <w:vertAlign w:val="subscript"/>
                <w14:textFill>
                  <w14:solidFill>
                    <w14:schemeClr w14:val="tx1"/>
                  </w14:solidFill>
                </w14:textFill>
              </w:rPr>
              <w:t>1</w:t>
            </w: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14:textFill>
                  <w14:solidFill>
                    <w14:schemeClr w14:val="tx1"/>
                  </w14:solidFill>
                </w14:textFill>
              </w:rPr>
              <w:t>300%</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碳膜电位器用银浆</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&lt;200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不脱膜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单组分银导电胶</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themeColor="text1"/>
                <w:kern w:val="1"/>
                <w:sz w:val="18"/>
                <w14:textFill>
                  <w14:solidFill>
                    <w14:schemeClr w14:val="tx1"/>
                  </w14:solidFill>
                </w14:textFill>
              </w:rPr>
            </w:pPr>
            <w:r>
              <w:rPr>
                <w:rFonts w:hint="eastAsia" w:ascii="宋体" w:hAnsi="宋体" w:eastAsia="宋体" w:cs="宋体"/>
                <w:color w:val="000000" w:themeColor="text1"/>
                <w:kern w:val="1"/>
                <w:sz w:val="18"/>
                <w14:textFill>
                  <w14:solidFill>
                    <w14:schemeClr w14:val="tx1"/>
                  </w14:solidFill>
                </w14:textFill>
              </w:rPr>
              <w:t>≤1×10</w:t>
            </w:r>
            <w:r>
              <w:rPr>
                <w:rFonts w:hint="eastAsia" w:ascii="宋体" w:hAnsi="宋体" w:eastAsia="宋体" w:cs="宋体"/>
                <w:color w:val="000000" w:themeColor="text1"/>
                <w:kern w:val="1"/>
                <w:sz w:val="28"/>
                <w:szCs w:val="28"/>
                <w:vertAlign w:val="superscript"/>
                <w14:textFill>
                  <w14:solidFill>
                    <w14:schemeClr w14:val="tx1"/>
                  </w14:solidFill>
                </w14:textFill>
              </w:rPr>
              <w:t>-4</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不脱膜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lang w:val="en-US" w:eastAsia="zh-CN"/>
                <w14:textFill>
                  <w14:solidFill>
                    <w14:schemeClr w14:val="tx1"/>
                  </w14:solidFill>
                </w14:textFill>
              </w:rPr>
              <w:t>4</w:t>
            </w:r>
            <w:r>
              <w:rPr>
                <w:rFonts w:ascii="宋体" w:hAnsi="宋体" w:cs="宋体"/>
                <w:color w:val="000000" w:themeColor="text1"/>
                <w:kern w:val="1"/>
                <w:sz w:val="18"/>
                <w14:textFill>
                  <w14:solidFill>
                    <w14:schemeClr w14:val="tx1"/>
                  </w14:solidFill>
                </w14:textFill>
              </w:rPr>
              <w:t>H</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r>
      <w:tr>
        <w:tblPrEx>
          <w:tblCellMar>
            <w:top w:w="0" w:type="dxa"/>
            <w:left w:w="108" w:type="dxa"/>
            <w:bottom w:w="0" w:type="dxa"/>
            <w:right w:w="108" w:type="dxa"/>
          </w:tblCellMar>
        </w:tblPrEx>
        <w:trPr>
          <w:trHeight w:val="457" w:hRule="atLeast"/>
        </w:trPr>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hint="eastAsia" w:ascii="宋体" w:hAnsi="宋体" w:cs="宋体"/>
                <w:color w:val="000000" w:themeColor="text1"/>
                <w:kern w:val="1"/>
                <w:sz w:val="18"/>
                <w14:textFill>
                  <w14:solidFill>
                    <w14:schemeClr w14:val="tx1"/>
                  </w14:solidFill>
                </w14:textFill>
              </w:rPr>
              <w:t>双组分银导电胶</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themeColor="text1"/>
                <w:kern w:val="1"/>
                <w:sz w:val="18"/>
                <w:lang w:eastAsia="zh-CN"/>
                <w14:textFill>
                  <w14:solidFill>
                    <w14:schemeClr w14:val="tx1"/>
                  </w14:solidFill>
                </w14:textFill>
              </w:rPr>
            </w:pPr>
            <w:r>
              <w:rPr>
                <w:rFonts w:hint="eastAsia" w:ascii="宋体" w:hAnsi="宋体" w:eastAsia="宋体" w:cs="宋体"/>
                <w:color w:val="000000" w:themeColor="text1"/>
                <w:kern w:val="1"/>
                <w:sz w:val="18"/>
                <w14:textFill>
                  <w14:solidFill>
                    <w14:schemeClr w14:val="tx1"/>
                  </w14:solidFill>
                </w14:textFill>
              </w:rPr>
              <w:t>≤1×10</w:t>
            </w:r>
            <w:r>
              <w:rPr>
                <w:rFonts w:hint="eastAsia" w:ascii="宋体" w:hAnsi="宋体" w:eastAsia="宋体" w:cs="宋体"/>
                <w:color w:val="000000" w:themeColor="text1"/>
                <w:kern w:val="1"/>
                <w:sz w:val="28"/>
                <w:szCs w:val="28"/>
                <w:vertAlign w:val="superscript"/>
                <w14:textFill>
                  <w14:solidFill>
                    <w14:schemeClr w14:val="tx1"/>
                  </w14:solidFill>
                </w14:textFill>
              </w:rPr>
              <w:t>-</w:t>
            </w:r>
            <w:r>
              <w:rPr>
                <w:rFonts w:hint="eastAsia" w:ascii="宋体" w:hAnsi="宋体" w:eastAsia="宋体" w:cs="宋体"/>
                <w:color w:val="000000" w:themeColor="text1"/>
                <w:kern w:val="1"/>
                <w:sz w:val="28"/>
                <w:szCs w:val="28"/>
                <w:vertAlign w:val="superscript"/>
                <w:lang w:val="en-US" w:eastAsia="zh-CN"/>
                <w14:textFill>
                  <w14:solidFill>
                    <w14:schemeClr w14:val="tx1"/>
                  </w14:solidFill>
                </w14:textFill>
              </w:rPr>
              <w:t>3</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不脱膜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r>
              <w:rPr>
                <w:rFonts w:hint="eastAsia" w:ascii="宋体" w:hAnsi="宋体" w:cs="宋体"/>
                <w:color w:val="000000" w:themeColor="text1"/>
                <w:kern w:val="1"/>
                <w:sz w:val="18"/>
                <w:lang w:val="en-US" w:eastAsia="zh-CN"/>
                <w14:textFill>
                  <w14:solidFill>
                    <w14:schemeClr w14:val="tx1"/>
                  </w14:solidFill>
                </w14:textFill>
              </w:rPr>
              <w:t>4</w:t>
            </w:r>
            <w:r>
              <w:rPr>
                <w:rFonts w:ascii="宋体" w:hAnsi="宋体" w:cs="宋体"/>
                <w:color w:val="000000" w:themeColor="text1"/>
                <w:kern w:val="1"/>
                <w:sz w:val="18"/>
                <w14:textFill>
                  <w14:solidFill>
                    <w14:schemeClr w14:val="tx1"/>
                  </w14:solidFill>
                </w14:textFill>
              </w:rPr>
              <w:t>H</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kern w:val="1"/>
                <w:sz w:val="18"/>
                <w14:textFill>
                  <w14:solidFill>
                    <w14:schemeClr w14:val="tx1"/>
                  </w14:solidFill>
                </w14:textFill>
              </w:rPr>
            </w:pPr>
            <w:r>
              <w:rPr>
                <w:rFonts w:ascii="宋体" w:hAnsi="宋体" w:cs="宋体"/>
                <w:color w:val="000000" w:themeColor="text1"/>
                <w:kern w:val="1"/>
                <w:sz w:val="18"/>
                <w14:textFill>
                  <w14:solidFill>
                    <w14:schemeClr w14:val="tx1"/>
                  </w14:solidFill>
                </w14:textFill>
              </w:rPr>
              <w:t>——</w:t>
            </w:r>
          </w:p>
        </w:tc>
      </w:tr>
    </w:tbl>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编制依据：</w:t>
      </w:r>
      <w:r>
        <w:rPr>
          <w:rFonts w:hint="eastAsia" w:ascii="宋体" w:hAnsi="Calibri" w:eastAsia="宋体" w:cs="Times New Roman"/>
          <w:kern w:val="2"/>
          <w:sz w:val="24"/>
          <w:szCs w:val="22"/>
          <w:lang w:val="en-US" w:eastAsia="zh-CN" w:bidi="ar-SA"/>
        </w:rPr>
        <w:t>经过调研，目前膜片开关银浆的方阻在40m</w:t>
      </w:r>
      <w:r>
        <w:rPr>
          <w:rFonts w:hint="eastAsia" w:ascii="微软雅黑" w:hAnsi="微软雅黑" w:eastAsia="微软雅黑" w:cs="微软雅黑"/>
          <w:kern w:val="2"/>
          <w:sz w:val="24"/>
          <w:szCs w:val="22"/>
          <w:lang w:val="en-US" w:eastAsia="zh-CN" w:bidi="ar-SA"/>
        </w:rPr>
        <w:t>Ω</w:t>
      </w:r>
      <w:r>
        <w:rPr>
          <w:rFonts w:hint="eastAsia" w:ascii="宋体" w:hAnsi="Calibri" w:eastAsia="宋体" w:cs="Times New Roman"/>
          <w:kern w:val="2"/>
          <w:sz w:val="24"/>
          <w:szCs w:val="22"/>
          <w:lang w:val="en-US" w:eastAsia="zh-CN" w:bidi="ar-SA"/>
        </w:rPr>
        <w:t>/</w:t>
      </w:r>
      <w:r>
        <w:rPr>
          <w:rFonts w:hint="eastAsia" w:ascii="宋体" w:hAnsi="Calibri" w:eastAsia="宋体" w:cs="Times New Roman"/>
          <w:kern w:val="2"/>
          <w:sz w:val="24"/>
          <w:szCs w:val="22"/>
          <w:lang w:val="en-US" w:eastAsia="zh-CN" w:bidi="ar-SA"/>
        </w:rPr>
        <w:sym w:font="Wingdings" w:char="00A8"/>
      </w:r>
      <w:r>
        <w:rPr>
          <w:rFonts w:hint="eastAsia" w:ascii="宋体" w:hAnsi="Calibri" w:eastAsia="宋体" w:cs="Times New Roman"/>
          <w:kern w:val="2"/>
          <w:sz w:val="24"/>
          <w:szCs w:val="22"/>
          <w:lang w:val="en-US" w:eastAsia="zh-CN" w:bidi="ar-SA"/>
        </w:rPr>
        <w:t>/mil以内，所以将原标准中的膜片开关银浆的方阻范围进行修改。目前无卤的膜片开关银浆由于树脂变化，硬度随之降低，所以无卤膜片开关银浆的硬度要求随之下降至≥2H，所以将膜片开关用低温银浆的硬度改为≥2H，新增单组分银导电胶的硬度为≥4H，新增双组分银导电胶的硬度为≥4H。抗挠折性现在测试方法有所改变，所以修改膜片开关用低温银浆的抗挠折性为△R</w:t>
      </w:r>
      <w:r>
        <w:rPr>
          <w:rFonts w:hint="eastAsia" w:ascii="宋体" w:hAnsi="Calibri" w:eastAsia="宋体" w:cs="Times New Roman"/>
          <w:kern w:val="2"/>
          <w:sz w:val="24"/>
          <w:szCs w:val="22"/>
          <w:vertAlign w:val="subscript"/>
          <w:lang w:val="en-US" w:eastAsia="zh-CN" w:bidi="ar-SA"/>
        </w:rPr>
        <w:t>1</w:t>
      </w:r>
      <w:r>
        <w:rPr>
          <w:rFonts w:hint="eastAsia" w:ascii="宋体" w:hAnsi="Calibri" w:eastAsia="宋体" w:cs="Times New Roman"/>
          <w:kern w:val="2"/>
          <w:sz w:val="24"/>
          <w:szCs w:val="22"/>
          <w:lang w:val="en-US" w:eastAsia="zh-CN" w:bidi="ar-SA"/>
        </w:rPr>
        <w:t>≤300%。</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cs="Times New Roman"/>
          <w:kern w:val="2"/>
          <w:sz w:val="24"/>
          <w:szCs w:val="22"/>
          <w:lang w:val="en-US" w:eastAsia="zh-CN" w:bidi="ar-SA"/>
        </w:rPr>
        <w:t>（6）</w:t>
      </w:r>
      <w:r>
        <w:rPr>
          <w:rFonts w:hint="eastAsia" w:ascii="宋体" w:hAnsi="Calibri" w:eastAsia="宋体" w:cs="Times New Roman"/>
          <w:kern w:val="2"/>
          <w:sz w:val="24"/>
          <w:szCs w:val="22"/>
          <w:lang w:val="en-US" w:eastAsia="zh-CN" w:bidi="ar-SA"/>
        </w:rPr>
        <w:t>删除附录D粘度的测试条件，在</w:t>
      </w:r>
      <w:r>
        <w:rPr>
          <w:rFonts w:hint="eastAsia" w:ascii="宋体" w:cs="Times New Roman"/>
          <w:kern w:val="2"/>
          <w:sz w:val="24"/>
          <w:szCs w:val="22"/>
          <w:lang w:val="en-US" w:eastAsia="zh-CN" w:bidi="ar-SA"/>
        </w:rPr>
        <w:t>5.3.2</w:t>
      </w:r>
      <w:r>
        <w:rPr>
          <w:rFonts w:hint="eastAsia" w:ascii="宋体" w:hAnsi="Calibri" w:eastAsia="宋体" w:cs="Times New Roman"/>
          <w:kern w:val="2"/>
          <w:sz w:val="24"/>
          <w:szCs w:val="22"/>
          <w:lang w:val="en-US" w:eastAsia="zh-CN" w:bidi="ar-SA"/>
        </w:rPr>
        <w:t>性能表2中新增粘度测试条件为剪切速率为10/s。</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编制依据：</w:t>
      </w:r>
      <w:r>
        <w:rPr>
          <w:rFonts w:hint="eastAsia" w:ascii="宋体" w:hAnsi="Calibri" w:eastAsia="宋体" w:cs="Times New Roman"/>
          <w:kern w:val="2"/>
          <w:sz w:val="24"/>
          <w:szCs w:val="22"/>
          <w:lang w:val="en-US" w:eastAsia="zh-CN" w:bidi="ar-SA"/>
        </w:rPr>
        <w:t>由于现在标准不能规定设备仪器型号，规定粘度检测条件为剪切速率10/s，根据各单位使用需求自行换算。</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w:t>
      </w:r>
      <w:r>
        <w:rPr>
          <w:rFonts w:hint="eastAsia" w:ascii="宋体" w:cs="Times New Roman"/>
          <w:kern w:val="2"/>
          <w:sz w:val="24"/>
          <w:szCs w:val="22"/>
          <w:lang w:val="en-US" w:eastAsia="zh-CN" w:bidi="ar-SA"/>
        </w:rPr>
        <w:t>7</w:t>
      </w:r>
      <w:r>
        <w:rPr>
          <w:rFonts w:hint="eastAsia" w:ascii="宋体" w:hAnsi="Calibri" w:eastAsia="宋体" w:cs="Times New Roman"/>
          <w:kern w:val="2"/>
          <w:sz w:val="24"/>
          <w:szCs w:val="22"/>
          <w:lang w:val="en-US" w:eastAsia="zh-CN" w:bidi="ar-SA"/>
        </w:rPr>
        <w:t>）修改原标准7.2 包装、运输和贮存</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7.2.1  检验合格的银浆用带密封盖的塑料瓶分装，包装瓶应耐腐蚀，不易破损，瓶口加密封带，再用塑料袋密封，装入结实牢固的包装箱中。塑料瓶四周应充填安全物质。</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7.2.2  运输应避免污染和机械破损。</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7.2.3  需方收到银浆应在5℃～25℃下密闭贮存，自生产之日起有效贮存期为6个月。</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cs="Times New Roman"/>
          <w:kern w:val="2"/>
          <w:sz w:val="24"/>
          <w:szCs w:val="22"/>
          <w:lang w:val="en-US" w:eastAsia="zh-CN" w:bidi="ar-SA"/>
        </w:rPr>
        <w:t>将原标准修改</w:t>
      </w:r>
      <w:r>
        <w:rPr>
          <w:rFonts w:hint="eastAsia" w:ascii="宋体" w:hAnsi="Calibri" w:eastAsia="宋体" w:cs="Times New Roman"/>
          <w:kern w:val="2"/>
          <w:sz w:val="24"/>
          <w:szCs w:val="22"/>
          <w:lang w:val="en-US" w:eastAsia="zh-CN" w:bidi="ar-SA"/>
        </w:rPr>
        <w:t>为</w:t>
      </w:r>
      <w:r>
        <w:rPr>
          <w:rFonts w:hint="eastAsia" w:ascii="宋体" w:cs="Times New Roman"/>
          <w:kern w:val="2"/>
          <w:sz w:val="24"/>
          <w:szCs w:val="22"/>
          <w:lang w:val="en-US" w:eastAsia="zh-CN" w:bidi="ar-SA"/>
        </w:rPr>
        <w:t>8</w:t>
      </w:r>
      <w:r>
        <w:rPr>
          <w:rFonts w:hint="eastAsia" w:ascii="宋体" w:hAnsi="Calibri" w:eastAsia="宋体" w:cs="Times New Roman"/>
          <w:kern w:val="2"/>
          <w:sz w:val="24"/>
          <w:szCs w:val="22"/>
          <w:lang w:val="en-US" w:eastAsia="zh-CN" w:bidi="ar-SA"/>
        </w:rPr>
        <w:t>.2 包装、运输和贮存</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cs="Times New Roman"/>
          <w:kern w:val="2"/>
          <w:sz w:val="24"/>
          <w:szCs w:val="22"/>
          <w:lang w:val="en-US" w:eastAsia="zh-CN" w:bidi="ar-SA"/>
        </w:rPr>
        <w:t>8</w:t>
      </w:r>
      <w:r>
        <w:rPr>
          <w:rFonts w:hint="eastAsia" w:ascii="宋体" w:hAnsi="Calibri" w:eastAsia="宋体" w:cs="Times New Roman"/>
          <w:kern w:val="2"/>
          <w:sz w:val="24"/>
          <w:szCs w:val="22"/>
          <w:lang w:val="en-US" w:eastAsia="zh-CN" w:bidi="ar-SA"/>
        </w:rPr>
        <w:t>.2.1  包装瓶应耐浆料腐蚀，不易破损。瓶口应用胶带缠绕密封，然后装入包装箱中，包装瓶四周应充填安全物质。外包装参照GB/T 19445的规定进行。</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cs="Times New Roman"/>
          <w:kern w:val="2"/>
          <w:sz w:val="24"/>
          <w:szCs w:val="22"/>
          <w:lang w:val="en-US" w:eastAsia="zh-CN" w:bidi="ar-SA"/>
        </w:rPr>
        <w:t>8</w:t>
      </w:r>
      <w:r>
        <w:rPr>
          <w:rFonts w:hint="eastAsia" w:ascii="宋体" w:hAnsi="Calibri" w:eastAsia="宋体" w:cs="Times New Roman"/>
          <w:kern w:val="2"/>
          <w:sz w:val="24"/>
          <w:szCs w:val="22"/>
          <w:lang w:val="en-US" w:eastAsia="zh-CN" w:bidi="ar-SA"/>
        </w:rPr>
        <w:t>.2.2  运输应防污染、防火、防潮、防热。有特殊需求时，在订货合同中注明。</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cs="Times New Roman"/>
          <w:kern w:val="2"/>
          <w:sz w:val="24"/>
          <w:szCs w:val="22"/>
          <w:lang w:val="en-US" w:eastAsia="zh-CN" w:bidi="ar-SA"/>
        </w:rPr>
        <w:t>8</w:t>
      </w:r>
      <w:r>
        <w:rPr>
          <w:rFonts w:hint="eastAsia" w:ascii="宋体" w:hAnsi="Calibri" w:eastAsia="宋体" w:cs="Times New Roman"/>
          <w:kern w:val="2"/>
          <w:sz w:val="24"/>
          <w:szCs w:val="22"/>
          <w:lang w:val="en-US" w:eastAsia="zh-CN" w:bidi="ar-SA"/>
        </w:rPr>
        <w:t>.2.3  浆料一般应在5 ℃～25 ℃下贮存，保质期限为6个月，对于特殊要求浆料的运输及贮存条件需双方协商，并在订货合同中注明。</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编制依据：</w:t>
      </w:r>
      <w:r>
        <w:rPr>
          <w:rFonts w:hint="eastAsia" w:ascii="宋体" w:hAnsi="Calibri" w:eastAsia="宋体" w:cs="Times New Roman"/>
          <w:kern w:val="2"/>
          <w:sz w:val="24"/>
          <w:szCs w:val="22"/>
          <w:lang w:val="en-US" w:eastAsia="zh-CN" w:bidi="ar-SA"/>
        </w:rPr>
        <w:t>原标准包装要求未参照国标进行规定，现参考GB/T 17472—2008、GB/T 19445进行修改，其他修改规定依据来自市场调研。</w:t>
      </w:r>
    </w:p>
    <w:p>
      <w:pPr>
        <w:pStyle w:val="12"/>
        <w:keepNext w:val="0"/>
        <w:keepLines w:val="0"/>
        <w:pageBreakBefore w:val="0"/>
        <w:kinsoku/>
        <w:wordWrap/>
        <w:overflowPunct/>
        <w:topLinePunct w:val="0"/>
        <w:bidi w:val="0"/>
        <w:adjustRightInd/>
        <w:snapToGrid/>
        <w:spacing w:line="360" w:lineRule="auto"/>
        <w:textAlignment w:val="auto"/>
        <w:rPr>
          <w:rFonts w:hint="eastAsia" w:ascii="宋体" w:hAnsi="Calibri" w:eastAsia="宋体" w:cs="Times New Roman"/>
          <w:kern w:val="2"/>
          <w:sz w:val="24"/>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2022年8月1日至2022年月1日，由起草工作组成员了解固化型银导体浆料的生产及应用情况，与企业技术人员深入讨论技术标准的具体技术要求，根据此次调研情况，由主编单位整理并修订形成标准讨论稿。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Calibri" w:eastAsia="宋体" w:cs="Times New Roman"/>
          <w:kern w:val="2"/>
          <w:sz w:val="24"/>
          <w:szCs w:val="22"/>
          <w:lang w:val="en-US" w:eastAsia="zh-CN" w:bidi="ar-SA"/>
        </w:rPr>
      </w:pPr>
      <w:r>
        <w:rPr>
          <w:rFonts w:hint="eastAsia" w:ascii="宋体" w:hAnsi="Calibri" w:eastAsia="宋体" w:cs="Times New Roman"/>
          <w:kern w:val="2"/>
          <w:sz w:val="24"/>
          <w:szCs w:val="22"/>
          <w:lang w:val="en-US" w:eastAsia="zh-CN" w:bidi="ar-SA"/>
        </w:rPr>
        <w:t>根据工作计划，贵研铂业股份有限公司公司于2022年4月组织相关技术人员组成了《固化型银导体浆料》标准制定起草小组，主要进行如下工作：标准起草成员深入生产现场调研生产工艺、设备、检验工艺过程，了解产品性能，建立本标准的技术依据。同时组织人员查阅和检索国内外有关该产品技术标准和资料，开展对用户的调研工作，确定了不同厂家对使用工艺的要求及性能应用的范围，相关技术指标</w:t>
      </w:r>
      <w:r>
        <w:rPr>
          <w:rFonts w:hint="eastAsia" w:ascii="宋体" w:cs="Times New Roman"/>
          <w:kern w:val="2"/>
          <w:sz w:val="24"/>
          <w:szCs w:val="22"/>
          <w:lang w:val="en-US" w:eastAsia="zh-CN" w:bidi="ar-SA"/>
        </w:rPr>
        <w:t>如下表：</w:t>
      </w:r>
    </w:p>
    <w:p>
      <w:pPr>
        <w:pStyle w:val="12"/>
        <w:spacing w:line="360" w:lineRule="exact"/>
        <w:jc w:val="center"/>
        <w:rPr>
          <w:rFonts w:ascii="Times New Roman" w:hAnsi="Times New Roman" w:cs="黑体"/>
          <w:bCs/>
          <w:szCs w:val="21"/>
        </w:rPr>
      </w:pPr>
      <w:r>
        <w:rPr>
          <w:rFonts w:hint="eastAsia" w:ascii="Times New Roman" w:hAnsi="Times New Roman"/>
        </w:rPr>
        <w:t>不同使用厂家技术要求</w:t>
      </w:r>
    </w:p>
    <w:tbl>
      <w:tblPr>
        <w:tblStyle w:val="8"/>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61"/>
        <w:gridCol w:w="661"/>
        <w:gridCol w:w="661"/>
        <w:gridCol w:w="661"/>
        <w:gridCol w:w="661"/>
        <w:gridCol w:w="661"/>
        <w:gridCol w:w="661"/>
        <w:gridCol w:w="661"/>
        <w:gridCol w:w="661"/>
        <w:gridCol w:w="661"/>
        <w:gridCol w:w="66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tcPr>
          <w:p>
            <w:pPr>
              <w:pStyle w:val="12"/>
              <w:spacing w:line="360" w:lineRule="exact"/>
              <w:ind w:firstLine="0" w:firstLineChars="0"/>
              <w:jc w:val="center"/>
              <w:rPr>
                <w:rFonts w:ascii="宋体" w:hAnsi="宋体" w:cs="宋体"/>
                <w:kern w:val="1"/>
                <w:sz w:val="18"/>
              </w:rPr>
            </w:pPr>
            <w:r>
              <w:rPr>
                <w:rFonts w:hint="eastAsia" w:ascii="宋体" w:hAnsi="宋体" w:cs="宋体"/>
                <w:kern w:val="1"/>
                <w:sz w:val="18"/>
              </w:rPr>
              <w:t>指</w:t>
            </w:r>
          </w:p>
          <w:p>
            <w:pPr>
              <w:pStyle w:val="12"/>
              <w:spacing w:line="360" w:lineRule="exact"/>
              <w:ind w:firstLine="0" w:firstLineChars="0"/>
              <w:jc w:val="center"/>
              <w:rPr>
                <w:rFonts w:ascii="宋体" w:hAnsi="宋体" w:cs="宋体"/>
                <w:kern w:val="1"/>
                <w:sz w:val="18"/>
              </w:rPr>
            </w:pPr>
            <w:r>
              <w:rPr>
                <w:rFonts w:hint="eastAsia" w:ascii="宋体" w:hAnsi="宋体" w:cs="宋体"/>
                <w:kern w:val="1"/>
                <w:sz w:val="18"/>
              </w:rPr>
              <w:t>标</w:t>
            </w:r>
          </w:p>
          <w:p>
            <w:pPr>
              <w:pStyle w:val="12"/>
              <w:spacing w:line="360" w:lineRule="exact"/>
              <w:ind w:firstLine="0" w:firstLineChars="0"/>
              <w:jc w:val="center"/>
              <w:rPr>
                <w:rFonts w:ascii="宋体" w:hAnsi="宋体" w:cs="宋体"/>
                <w:kern w:val="1"/>
                <w:sz w:val="18"/>
              </w:rPr>
            </w:pPr>
            <w:r>
              <w:rPr>
                <w:rFonts w:hint="eastAsia" w:ascii="宋体" w:hAnsi="宋体" w:cs="宋体"/>
                <w:kern w:val="1"/>
                <w:sz w:val="18"/>
              </w:rPr>
              <w:t>项</w:t>
            </w:r>
          </w:p>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8"/>
              </w:rPr>
              <w:t>目</w:t>
            </w:r>
          </w:p>
        </w:tc>
        <w:tc>
          <w:tcPr>
            <w:tcW w:w="652" w:type="dxa"/>
            <w:gridSpan w:val="12"/>
          </w:tcPr>
          <w:p>
            <w:pPr>
              <w:pStyle w:val="12"/>
              <w:spacing w:line="360" w:lineRule="exact"/>
              <w:ind w:firstLine="360"/>
              <w:jc w:val="center"/>
              <w:rPr>
                <w:rFonts w:ascii="Times New Roman" w:hAnsi="Times New Roman" w:eastAsia="黑体" w:cs="黑体"/>
                <w:bCs/>
                <w:szCs w:val="21"/>
              </w:rPr>
            </w:pPr>
            <w:r>
              <w:rPr>
                <w:rFonts w:hint="eastAsia" w:ascii="宋体" w:hAnsi="宋体" w:cs="宋体"/>
                <w:kern w:val="1"/>
                <w:sz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pStyle w:val="12"/>
              <w:spacing w:line="360" w:lineRule="exact"/>
              <w:rPr>
                <w:rFonts w:ascii="Times New Roman" w:hAnsi="Times New Roman" w:eastAsia="黑体" w:cs="黑体"/>
                <w:bCs/>
                <w:szCs w:val="21"/>
              </w:rPr>
            </w:pPr>
          </w:p>
        </w:tc>
        <w:tc>
          <w:tcPr>
            <w:tcW w:w="652" w:type="dxa"/>
            <w:gridSpan w:val="3"/>
          </w:tcPr>
          <w:p>
            <w:pPr>
              <w:pStyle w:val="12"/>
              <w:spacing w:line="360" w:lineRule="exact"/>
              <w:ind w:firstLine="0" w:firstLineChars="0"/>
              <w:jc w:val="center"/>
              <w:rPr>
                <w:rFonts w:ascii="Times New Roman" w:hAnsi="Times New Roman" w:eastAsia="黑体" w:cs="黑体"/>
                <w:bCs/>
                <w:szCs w:val="21"/>
              </w:rPr>
            </w:pPr>
            <w:r>
              <w:rPr>
                <w:rFonts w:ascii="宋体" w:hAnsi="宋体" w:cs="宋体"/>
                <w:kern w:val="1"/>
                <w:sz w:val="18"/>
              </w:rPr>
              <w:t>膜片开关用低温银浆</w:t>
            </w:r>
          </w:p>
        </w:tc>
        <w:tc>
          <w:tcPr>
            <w:tcW w:w="652" w:type="dxa"/>
            <w:gridSpan w:val="3"/>
          </w:tcPr>
          <w:p>
            <w:pPr>
              <w:pStyle w:val="12"/>
              <w:spacing w:line="360" w:lineRule="exact"/>
              <w:ind w:firstLine="0" w:firstLineChars="0"/>
              <w:jc w:val="center"/>
              <w:rPr>
                <w:rFonts w:ascii="Times New Roman" w:hAnsi="Times New Roman" w:eastAsia="黑体" w:cs="黑体"/>
                <w:bCs/>
                <w:szCs w:val="21"/>
              </w:rPr>
            </w:pPr>
            <w:r>
              <w:rPr>
                <w:rFonts w:ascii="宋体" w:hAnsi="宋体" w:cs="宋体"/>
                <w:kern w:val="1"/>
                <w:sz w:val="18"/>
              </w:rPr>
              <w:t>碳膜电位器用银浆</w:t>
            </w:r>
          </w:p>
        </w:tc>
        <w:tc>
          <w:tcPr>
            <w:tcW w:w="652" w:type="dxa"/>
            <w:gridSpan w:val="3"/>
          </w:tcPr>
          <w:p>
            <w:pPr>
              <w:pStyle w:val="12"/>
              <w:spacing w:line="360" w:lineRule="exact"/>
              <w:ind w:firstLine="360"/>
              <w:jc w:val="center"/>
              <w:rPr>
                <w:rFonts w:ascii="Times New Roman" w:hAnsi="Times New Roman" w:eastAsia="黑体" w:cs="黑体"/>
                <w:bCs/>
                <w:szCs w:val="21"/>
              </w:rPr>
            </w:pPr>
            <w:r>
              <w:rPr>
                <w:rFonts w:hint="eastAsia" w:ascii="宋体" w:hAnsi="宋体" w:cs="宋体"/>
                <w:kern w:val="1"/>
                <w:sz w:val="18"/>
              </w:rPr>
              <w:t>单组分银导电胶</w:t>
            </w:r>
          </w:p>
        </w:tc>
        <w:tc>
          <w:tcPr>
            <w:tcW w:w="652" w:type="dxa"/>
            <w:gridSpan w:val="3"/>
          </w:tcPr>
          <w:p>
            <w:pPr>
              <w:pStyle w:val="12"/>
              <w:spacing w:line="360" w:lineRule="exact"/>
              <w:ind w:firstLine="360"/>
              <w:jc w:val="center"/>
              <w:rPr>
                <w:rFonts w:ascii="Times New Roman" w:hAnsi="Times New Roman" w:eastAsia="黑体" w:cs="黑体"/>
                <w:bCs/>
                <w:szCs w:val="21"/>
              </w:rPr>
            </w:pPr>
            <w:r>
              <w:rPr>
                <w:rFonts w:hint="eastAsia" w:ascii="宋体" w:hAnsi="宋体" w:cs="宋体"/>
                <w:kern w:val="1"/>
                <w:sz w:val="18"/>
              </w:rPr>
              <w:t>双组分银导电胶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0" w:type="dxa"/>
            <w:vMerge w:val="continue"/>
          </w:tcPr>
          <w:p>
            <w:pPr>
              <w:pStyle w:val="12"/>
              <w:spacing w:line="360" w:lineRule="exact"/>
              <w:rPr>
                <w:rFonts w:ascii="Times New Roman" w:hAnsi="Times New Roman" w:eastAsia="黑体" w:cs="黑体"/>
                <w:bCs/>
                <w:szCs w:val="21"/>
              </w:rPr>
            </w:pP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A用户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B用户</w:t>
            </w:r>
          </w:p>
        </w:tc>
        <w:tc>
          <w:tcPr>
            <w:tcW w:w="652" w:type="dxa"/>
          </w:tcPr>
          <w:p>
            <w:pPr>
              <w:pStyle w:val="12"/>
              <w:spacing w:line="360" w:lineRule="exact"/>
              <w:ind w:firstLine="0" w:firstLineChars="0"/>
              <w:jc w:val="center"/>
              <w:rPr>
                <w:rFonts w:ascii="Times New Roman" w:hAnsi="Times New Roman" w:eastAsia="黑体" w:cs="黑体"/>
                <w:bCs/>
                <w:szCs w:val="21"/>
              </w:rPr>
            </w:pPr>
            <w:r>
              <w:rPr>
                <w:rFonts w:hint="eastAsia" w:ascii="宋体" w:hAnsi="宋体" w:cs="宋体"/>
                <w:kern w:val="1"/>
                <w:sz w:val="15"/>
                <w:szCs w:val="15"/>
              </w:rPr>
              <w:t>C用户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rPr>
            </w:pPr>
            <w:r>
              <w:rPr>
                <w:rFonts w:hint="eastAsia" w:ascii="Times New Roman" w:hAnsi="Times New Roman"/>
              </w:rPr>
              <w:t>固化温度</w:t>
            </w:r>
          </w:p>
          <w:p>
            <w:pPr>
              <w:pStyle w:val="12"/>
              <w:spacing w:line="360" w:lineRule="exact"/>
              <w:ind w:firstLine="0" w:firstLineChars="0"/>
              <w:jc w:val="center"/>
              <w:rPr>
                <w:rFonts w:ascii="Times New Roman" w:hAnsi="Times New Roman"/>
              </w:rPr>
            </w:pPr>
            <w:r>
              <w:rPr>
                <w:rFonts w:hint="eastAsia" w:ascii="Times New Roman" w:hAnsi="Times New Roman"/>
              </w:rPr>
              <w:t>(℃）</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80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160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130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180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200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210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120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150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200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80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150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rPr>
            </w:pPr>
            <w:r>
              <w:rPr>
                <w:rFonts w:hint="eastAsia" w:ascii="Times New Roman" w:hAnsi="Times New Roman"/>
              </w:rPr>
              <w:t>固化时间</w:t>
            </w:r>
          </w:p>
          <w:p>
            <w:pPr>
              <w:pStyle w:val="12"/>
              <w:spacing w:line="360" w:lineRule="exact"/>
              <w:ind w:firstLine="0" w:firstLineChars="0"/>
              <w:jc w:val="center"/>
              <w:rPr>
                <w:rFonts w:ascii="Times New Roman" w:hAnsi="Times New Roman"/>
              </w:rPr>
            </w:pPr>
            <w:r>
              <w:rPr>
                <w:rFonts w:hint="eastAsia" w:ascii="Times New Roman" w:hAnsi="Times New Roman"/>
              </w:rPr>
              <w:t>(min)</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90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30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25</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25</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30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15</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30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60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30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90</w:t>
            </w:r>
          </w:p>
        </w:tc>
        <w:tc>
          <w:tcPr>
            <w:tcW w:w="652" w:type="dxa"/>
          </w:tcPr>
          <w:p>
            <w:pPr>
              <w:pStyle w:val="12"/>
              <w:spacing w:line="360" w:lineRule="exact"/>
              <w:ind w:firstLine="0" w:firstLineChars="0"/>
              <w:jc w:val="center"/>
              <w:rPr>
                <w:rFonts w:hint="default"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720-1440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rPr>
            </w:pPr>
            <w:r>
              <w:rPr>
                <w:rFonts w:hint="eastAsia" w:ascii="Times New Roman" w:hAnsi="Times New Roman"/>
              </w:rPr>
              <w:t>细度</w:t>
            </w:r>
          </w:p>
          <w:p>
            <w:pPr>
              <w:pStyle w:val="12"/>
              <w:spacing w:line="360" w:lineRule="exact"/>
              <w:ind w:firstLine="0" w:firstLineChars="0"/>
              <w:jc w:val="center"/>
              <w:rPr>
                <w:rFonts w:ascii="Times New Roman" w:hAnsi="Times New Roman"/>
              </w:rPr>
            </w:pPr>
            <w:r>
              <w:rPr>
                <w:rFonts w:hint="eastAsia" w:ascii="Times New Roman" w:hAnsi="Times New Roman"/>
              </w:rPr>
              <w:t>(</w:t>
            </w:r>
            <w:r>
              <w:rPr>
                <w:rFonts w:hint="eastAsia" w:ascii="微软雅黑" w:hAnsi="微软雅黑" w:eastAsia="微软雅黑" w:cs="微软雅黑"/>
              </w:rPr>
              <w:t>μ</w:t>
            </w:r>
            <w:r>
              <w:rPr>
                <w:rFonts w:hint="eastAsia" w:ascii="Times New Roman" w:hAnsi="Times New Roman"/>
              </w:rPr>
              <w:t>m)</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&lt;10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&lt;10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&lt;10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&lt;30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&lt;30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&lt;30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&lt;15</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&lt;15</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&lt;15</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&lt;20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&lt;20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60" w:type="dxa"/>
          </w:tcPr>
          <w:p>
            <w:pPr>
              <w:pStyle w:val="12"/>
              <w:spacing w:line="240" w:lineRule="auto"/>
              <w:ind w:firstLine="0" w:firstLineChars="0"/>
              <w:jc w:val="center"/>
              <w:rPr>
                <w:rFonts w:ascii="Times New Roman" w:hAnsi="Times New Roman"/>
              </w:rPr>
            </w:pPr>
            <w:r>
              <w:rPr>
                <w:rFonts w:hint="eastAsia" w:ascii="Times New Roman" w:hAnsi="Times New Roman"/>
              </w:rPr>
              <w:t>粘度</w:t>
            </w:r>
          </w:p>
          <w:p>
            <w:pPr>
              <w:pStyle w:val="12"/>
              <w:spacing w:line="240" w:lineRule="auto"/>
              <w:ind w:firstLine="0" w:firstLineChars="0"/>
              <w:jc w:val="center"/>
              <w:rPr>
                <w:rFonts w:ascii="Times New Roman" w:hAnsi="Times New Roman"/>
              </w:rPr>
            </w:pPr>
            <w:r>
              <w:rPr>
                <w:rFonts w:hint="eastAsia" w:ascii="Times New Roman" w:hAnsi="Times New Roman"/>
              </w:rPr>
              <w:t>(dPa·S)</w:t>
            </w:r>
          </w:p>
          <w:p>
            <w:pPr>
              <w:pStyle w:val="12"/>
              <w:spacing w:line="240" w:lineRule="auto"/>
              <w:ind w:firstLine="0" w:firstLineChars="0"/>
              <w:jc w:val="center"/>
              <w:rPr>
                <w:rFonts w:ascii="Times New Roman" w:hAnsi="Times New Roman"/>
              </w:rPr>
            </w:pPr>
            <w:r>
              <w:rPr>
                <w:rFonts w:hint="eastAsia" w:ascii="Times New Roman" w:hAnsi="Times New Roman"/>
                <w:sz w:val="13"/>
                <w:szCs w:val="13"/>
              </w:rPr>
              <w:t xml:space="preserve">剪切速率10/s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180～200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250～300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50～100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160～200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50～100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200～300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200～300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250～300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400～500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250～300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450～500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rPr>
            </w:pPr>
            <w:r>
              <w:rPr>
                <w:rFonts w:hint="eastAsia" w:ascii="Times New Roman" w:hAnsi="Times New Roman"/>
              </w:rPr>
              <w:t>方阻</w:t>
            </w:r>
          </w:p>
          <w:p>
            <w:pPr>
              <w:pStyle w:val="12"/>
              <w:spacing w:line="360" w:lineRule="exact"/>
              <w:ind w:firstLine="0" w:firstLineChars="0"/>
              <w:jc w:val="center"/>
              <w:rPr>
                <w:rFonts w:ascii="Times New Roman" w:hAnsi="Times New Roman"/>
              </w:rPr>
            </w:pPr>
            <w:r>
              <w:rPr>
                <w:rFonts w:hint="eastAsia" w:ascii="Times New Roman" w:hAnsi="Times New Roman"/>
                <w:sz w:val="15"/>
                <w:szCs w:val="15"/>
              </w:rPr>
              <w:t>(m</w:t>
            </w:r>
            <w:r>
              <w:rPr>
                <w:rFonts w:hint="eastAsia" w:ascii="微软雅黑" w:hAnsi="微软雅黑" w:eastAsia="微软雅黑" w:cs="微软雅黑"/>
                <w:sz w:val="15"/>
                <w:szCs w:val="15"/>
              </w:rPr>
              <w:t>Ω</w:t>
            </w:r>
            <w:r>
              <w:rPr>
                <w:rFonts w:hint="eastAsia" w:ascii="Times New Roman" w:hAnsi="Times New Roman"/>
                <w:sz w:val="15"/>
                <w:szCs w:val="15"/>
              </w:rPr>
              <w:t>/</w:t>
            </w:r>
            <w:r>
              <w:rPr>
                <w:rFonts w:hint="eastAsia" w:ascii="Times New Roman" w:hAnsi="Times New Roman"/>
                <w:sz w:val="15"/>
                <w:szCs w:val="15"/>
              </w:rPr>
              <w:sym w:font="Wingdings" w:char="00A8"/>
            </w:r>
            <w:r>
              <w:rPr>
                <w:rFonts w:hint="eastAsia" w:ascii="Times New Roman" w:hAnsi="Times New Roman"/>
                <w:sz w:val="15"/>
                <w:szCs w:val="15"/>
              </w:rPr>
              <w:t>/mil)</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≤40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≤40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≤40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&lt;200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&lt;200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&lt;200</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sz w:val="15"/>
                <w:szCs w:val="15"/>
              </w:rPr>
            </w:pPr>
            <w:r>
              <w:rPr>
                <w:rFonts w:hint="eastAsia" w:ascii="宋体" w:hAnsi="宋体" w:cs="宋体"/>
                <w:kern w:val="1"/>
                <w:sz w:val="15"/>
                <w:szCs w:val="15"/>
              </w:rPr>
              <w:t>体积</w:t>
            </w:r>
            <w:r>
              <w:rPr>
                <w:rFonts w:hint="eastAsia" w:ascii="Times New Roman" w:hAnsi="Times New Roman"/>
                <w:sz w:val="15"/>
                <w:szCs w:val="15"/>
              </w:rPr>
              <w:t>电阻率</w:t>
            </w:r>
          </w:p>
          <w:p>
            <w:pPr>
              <w:pStyle w:val="12"/>
              <w:spacing w:line="360" w:lineRule="exact"/>
              <w:ind w:firstLine="0" w:firstLineChars="0"/>
              <w:jc w:val="center"/>
              <w:rPr>
                <w:rFonts w:ascii="Times New Roman" w:hAnsi="Times New Roman"/>
              </w:rPr>
            </w:pPr>
            <w:r>
              <w:rPr>
                <w:rFonts w:hint="eastAsia" w:ascii="Times New Roman" w:hAnsi="Times New Roman"/>
              </w:rPr>
              <w:t>(</w:t>
            </w:r>
            <w:r>
              <w:rPr>
                <w:rFonts w:hint="eastAsia" w:ascii="微软雅黑" w:hAnsi="微软雅黑" w:eastAsia="微软雅黑" w:cs="微软雅黑"/>
              </w:rPr>
              <w:t>Ω</w:t>
            </w:r>
            <w:r>
              <w:rPr>
                <w:rFonts w:hint="eastAsia" w:ascii="Times New Roman" w:hAnsi="Times New Roman"/>
              </w:rPr>
              <w:t>·cm)</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≤1×10</w:t>
            </w:r>
            <w:r>
              <w:rPr>
                <w:rFonts w:hint="eastAsia" w:ascii="Times New Roman" w:hAnsi="Times New Roman" w:eastAsia="黑体" w:cs="黑体"/>
                <w:bCs/>
                <w:sz w:val="21"/>
                <w:szCs w:val="21"/>
                <w:vertAlign w:val="superscript"/>
                <w:lang w:val="en-US" w:eastAsia="zh-CN"/>
              </w:rPr>
              <w:t>-4</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≤1×10</w:t>
            </w:r>
            <w:r>
              <w:rPr>
                <w:rFonts w:hint="eastAsia" w:ascii="Times New Roman" w:hAnsi="Times New Roman" w:eastAsia="黑体" w:cs="黑体"/>
                <w:bCs/>
                <w:sz w:val="21"/>
                <w:szCs w:val="21"/>
                <w:vertAlign w:val="superscript"/>
                <w:lang w:val="en-US" w:eastAsia="zh-CN"/>
              </w:rPr>
              <w:t>-4</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≤1×10</w:t>
            </w:r>
            <w:r>
              <w:rPr>
                <w:rFonts w:hint="eastAsia" w:ascii="Times New Roman" w:hAnsi="Times New Roman" w:eastAsia="黑体" w:cs="黑体"/>
                <w:bCs/>
                <w:sz w:val="21"/>
                <w:szCs w:val="21"/>
                <w:vertAlign w:val="superscript"/>
                <w:lang w:val="en-US" w:eastAsia="zh-CN"/>
              </w:rPr>
              <w:t>-4</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≤1×10</w:t>
            </w:r>
            <w:r>
              <w:rPr>
                <w:rFonts w:hint="eastAsia" w:ascii="Times New Roman" w:hAnsi="Times New Roman" w:eastAsia="黑体" w:cs="黑体"/>
                <w:bCs/>
                <w:sz w:val="21"/>
                <w:szCs w:val="21"/>
                <w:vertAlign w:val="superscript"/>
                <w:lang w:val="en-US" w:eastAsia="zh-CN"/>
              </w:rPr>
              <w:t>-3</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≤1×10</w:t>
            </w:r>
            <w:r>
              <w:rPr>
                <w:rFonts w:hint="eastAsia" w:ascii="Times New Roman" w:hAnsi="Times New Roman" w:eastAsia="黑体" w:cs="黑体"/>
                <w:bCs/>
                <w:sz w:val="21"/>
                <w:szCs w:val="21"/>
                <w:vertAlign w:val="superscript"/>
                <w:lang w:val="en-US" w:eastAsia="zh-CN"/>
              </w:rPr>
              <w:t>-3</w:t>
            </w:r>
          </w:p>
        </w:tc>
        <w:tc>
          <w:tcPr>
            <w:tcW w:w="652" w:type="dxa"/>
          </w:tcPr>
          <w:p>
            <w:pPr>
              <w:pStyle w:val="12"/>
              <w:spacing w:line="360" w:lineRule="exact"/>
              <w:ind w:firstLine="0" w:firstLineChars="0"/>
              <w:jc w:val="center"/>
              <w:rPr>
                <w:rFonts w:hint="eastAsia" w:ascii="Times New Roman" w:hAnsi="Times New Roman" w:eastAsia="黑体" w:cs="黑体"/>
                <w:bCs/>
                <w:sz w:val="15"/>
                <w:szCs w:val="15"/>
                <w:lang w:val="en-US" w:eastAsia="zh-CN"/>
              </w:rPr>
            </w:pPr>
            <w:r>
              <w:rPr>
                <w:rFonts w:hint="eastAsia" w:ascii="Times New Roman" w:hAnsi="Times New Roman" w:eastAsia="黑体" w:cs="黑体"/>
                <w:bCs/>
                <w:sz w:val="15"/>
                <w:szCs w:val="15"/>
                <w:lang w:val="en-US" w:eastAsia="zh-CN"/>
              </w:rPr>
              <w:t>≤1×10</w:t>
            </w:r>
            <w:r>
              <w:rPr>
                <w:rFonts w:hint="eastAsia" w:ascii="Times New Roman" w:hAnsi="Times New Roman" w:eastAsia="黑体" w:cs="黑体"/>
                <w:bCs/>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rPr>
            </w:pPr>
            <w:r>
              <w:rPr>
                <w:rFonts w:hint="eastAsia" w:ascii="Times New Roman" w:hAnsi="Times New Roman"/>
              </w:rPr>
              <w:t>附着力</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c>
          <w:tcPr>
            <w:tcW w:w="652" w:type="dxa"/>
          </w:tcPr>
          <w:p>
            <w:pPr>
              <w:pStyle w:val="12"/>
              <w:spacing w:line="360" w:lineRule="exact"/>
              <w:ind w:firstLine="0" w:firstLineChars="0"/>
              <w:jc w:val="center"/>
              <w:rPr>
                <w:rFonts w:hint="eastAsia" w:ascii="宋体" w:hAnsi="宋体" w:cs="宋体"/>
                <w:kern w:val="1"/>
                <w:sz w:val="21"/>
                <w:szCs w:val="21"/>
                <w:lang w:val="en-US" w:eastAsia="zh-CN"/>
              </w:rPr>
            </w:pPr>
            <w:r>
              <w:rPr>
                <w:rFonts w:hint="eastAsia" w:ascii="宋体" w:hAnsi="宋体" w:cs="宋体"/>
                <w:kern w:val="1"/>
                <w:sz w:val="21"/>
                <w:szCs w:val="21"/>
                <w:lang w:val="en-US" w:eastAsia="zh-CN"/>
              </w:rPr>
              <w:t>不脱膜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rPr>
            </w:pPr>
            <w:r>
              <w:rPr>
                <w:rFonts w:hint="eastAsia" w:ascii="Times New Roman" w:hAnsi="Times New Roman"/>
              </w:rPr>
              <w:t>硬度</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≥2H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≥2H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≥2H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≥4H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≥4H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≥4H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≥4H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≥4H</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宋体" w:hAnsi="宋体" w:cs="宋体"/>
                <w:kern w:val="1"/>
                <w:sz w:val="18"/>
                <w:lang w:val="en-US" w:eastAsia="zh-CN"/>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tcPr>
          <w:p>
            <w:pPr>
              <w:pStyle w:val="12"/>
              <w:spacing w:line="360" w:lineRule="exact"/>
              <w:ind w:firstLine="0" w:firstLineChars="0"/>
              <w:jc w:val="center"/>
              <w:rPr>
                <w:rFonts w:ascii="Times New Roman" w:hAnsi="Times New Roman"/>
              </w:rPr>
            </w:pPr>
            <w:r>
              <w:rPr>
                <w:rFonts w:hint="eastAsia" w:ascii="Times New Roman" w:hAnsi="Times New Roman"/>
              </w:rPr>
              <w:t>抗挠折性</w:t>
            </w:r>
          </w:p>
        </w:tc>
        <w:tc>
          <w:tcPr>
            <w:tcW w:w="652" w:type="dxa"/>
          </w:tcPr>
          <w:p>
            <w:pPr>
              <w:pStyle w:val="12"/>
              <w:spacing w:line="360" w:lineRule="exact"/>
              <w:ind w:firstLine="0" w:firstLineChars="0"/>
              <w:jc w:val="center"/>
              <w:rPr>
                <w:rFonts w:hint="eastAsia" w:ascii="宋体" w:hAnsi="宋体" w:cs="宋体"/>
                <w:kern w:val="1"/>
                <w:sz w:val="13"/>
                <w:szCs w:val="13"/>
                <w:lang w:val="en-US" w:eastAsia="zh-CN"/>
              </w:rPr>
            </w:pPr>
            <w:r>
              <w:rPr>
                <w:rFonts w:hint="eastAsia" w:ascii="宋体" w:hAnsi="宋体" w:cs="宋体"/>
                <w:kern w:val="1"/>
                <w:sz w:val="13"/>
                <w:szCs w:val="13"/>
                <w:lang w:val="en-US" w:eastAsia="zh-CN"/>
              </w:rPr>
              <w:t>△R</w:t>
            </w:r>
            <w:r>
              <w:rPr>
                <w:rFonts w:hint="eastAsia" w:ascii="宋体" w:hAnsi="宋体" w:cs="宋体"/>
                <w:kern w:val="1"/>
                <w:sz w:val="30"/>
                <w:szCs w:val="30"/>
                <w:vertAlign w:val="subscript"/>
                <w:lang w:val="en-US" w:eastAsia="zh-CN"/>
              </w:rPr>
              <w:t>1</w:t>
            </w:r>
            <w:r>
              <w:rPr>
                <w:rFonts w:hint="eastAsia" w:ascii="宋体" w:hAnsi="宋体" w:cs="宋体"/>
                <w:kern w:val="1"/>
                <w:sz w:val="13"/>
                <w:szCs w:val="13"/>
                <w:lang w:val="en-US" w:eastAsia="zh-CN"/>
              </w:rPr>
              <w:t>≤300%</w:t>
            </w:r>
          </w:p>
        </w:tc>
        <w:tc>
          <w:tcPr>
            <w:tcW w:w="652" w:type="dxa"/>
          </w:tcPr>
          <w:p>
            <w:pPr>
              <w:pStyle w:val="12"/>
              <w:spacing w:line="360" w:lineRule="exact"/>
              <w:ind w:firstLine="0" w:firstLineChars="0"/>
              <w:jc w:val="center"/>
              <w:rPr>
                <w:rFonts w:hint="eastAsia" w:ascii="宋体" w:hAnsi="宋体" w:cs="宋体"/>
                <w:kern w:val="1"/>
                <w:sz w:val="13"/>
                <w:szCs w:val="13"/>
                <w:lang w:val="en-US" w:eastAsia="zh-CN"/>
              </w:rPr>
            </w:pPr>
            <w:r>
              <w:rPr>
                <w:rFonts w:hint="eastAsia" w:ascii="宋体" w:hAnsi="宋体" w:cs="宋体"/>
                <w:kern w:val="1"/>
                <w:sz w:val="13"/>
                <w:szCs w:val="13"/>
                <w:lang w:val="en-US" w:eastAsia="zh-CN"/>
              </w:rPr>
              <w:t>△R</w:t>
            </w:r>
            <w:r>
              <w:rPr>
                <w:rFonts w:hint="eastAsia" w:ascii="宋体" w:hAnsi="宋体" w:cs="宋体"/>
                <w:kern w:val="1"/>
                <w:sz w:val="30"/>
                <w:szCs w:val="30"/>
                <w:vertAlign w:val="subscript"/>
                <w:lang w:val="en-US" w:eastAsia="zh-CN"/>
              </w:rPr>
              <w:t>2</w:t>
            </w:r>
            <w:r>
              <w:rPr>
                <w:rFonts w:hint="eastAsia" w:ascii="宋体" w:hAnsi="宋体" w:cs="宋体"/>
                <w:kern w:val="1"/>
                <w:sz w:val="13"/>
                <w:szCs w:val="13"/>
                <w:lang w:val="en-US" w:eastAsia="zh-CN"/>
              </w:rPr>
              <w:t>≤100%</w:t>
            </w:r>
          </w:p>
        </w:tc>
        <w:tc>
          <w:tcPr>
            <w:tcW w:w="652" w:type="dxa"/>
          </w:tcPr>
          <w:p>
            <w:pPr>
              <w:pStyle w:val="12"/>
              <w:spacing w:line="360" w:lineRule="exact"/>
              <w:ind w:firstLine="0" w:firstLineChars="0"/>
              <w:jc w:val="center"/>
              <w:rPr>
                <w:rFonts w:hint="eastAsia" w:ascii="宋体" w:hAnsi="宋体" w:cs="宋体"/>
                <w:kern w:val="1"/>
                <w:sz w:val="13"/>
                <w:szCs w:val="13"/>
                <w:lang w:val="en-US" w:eastAsia="zh-CN"/>
              </w:rPr>
            </w:pPr>
            <w:r>
              <w:rPr>
                <w:rFonts w:hint="eastAsia" w:ascii="宋体" w:hAnsi="宋体" w:cs="宋体"/>
                <w:kern w:val="1"/>
                <w:sz w:val="13"/>
                <w:szCs w:val="13"/>
                <w:lang w:val="en-US" w:eastAsia="zh-CN"/>
              </w:rPr>
              <w:t>△R</w:t>
            </w:r>
            <w:r>
              <w:rPr>
                <w:rFonts w:hint="eastAsia" w:ascii="宋体" w:hAnsi="宋体" w:cs="宋体"/>
                <w:kern w:val="1"/>
                <w:sz w:val="30"/>
                <w:szCs w:val="30"/>
                <w:vertAlign w:val="subscript"/>
                <w:lang w:val="en-US" w:eastAsia="zh-CN"/>
              </w:rPr>
              <w:t>3</w:t>
            </w:r>
            <w:r>
              <w:rPr>
                <w:rFonts w:hint="eastAsia" w:ascii="宋体" w:hAnsi="宋体" w:cs="宋体"/>
                <w:kern w:val="1"/>
                <w:sz w:val="13"/>
                <w:szCs w:val="13"/>
                <w:lang w:val="en-US" w:eastAsia="zh-CN"/>
              </w:rPr>
              <w:t>≤300%</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c>
          <w:tcPr>
            <w:tcW w:w="652" w:type="dxa"/>
          </w:tcPr>
          <w:p>
            <w:pPr>
              <w:pStyle w:val="12"/>
              <w:spacing w:line="360" w:lineRule="exact"/>
              <w:ind w:firstLine="0" w:firstLineChars="0"/>
              <w:jc w:val="center"/>
              <w:rPr>
                <w:rFonts w:hint="eastAsia" w:ascii="宋体" w:hAnsi="宋体" w:cs="宋体"/>
                <w:kern w:val="1"/>
                <w:sz w:val="18"/>
                <w:lang w:val="en-US" w:eastAsia="zh-CN"/>
              </w:rPr>
            </w:pPr>
            <w:r>
              <w:rPr>
                <w:rFonts w:hint="eastAsia" w:ascii="Times New Roman" w:hAnsi="Times New Roman" w:eastAsia="黑体" w:cs="黑体"/>
                <w:bCs/>
                <w:sz w:val="15"/>
                <w:szCs w:val="15"/>
                <w:lang w:val="en-US" w:eastAsia="zh-CN"/>
              </w:rPr>
              <w:t>— —</w:t>
            </w:r>
          </w:p>
        </w:tc>
      </w:tr>
    </w:tbl>
    <w:p>
      <w:pPr>
        <w:pStyle w:val="12"/>
        <w:spacing w:after="160"/>
        <w:ind w:left="0" w:leftChars="0" w:firstLine="0" w:firstLineChars="0"/>
        <w:rPr>
          <w:rFonts w:ascii="Times New Roman" w:hAnsi="Times New Roman"/>
          <w:kern w:val="0"/>
          <w:sz w:val="24"/>
          <w:szCs w:val="24"/>
        </w:rPr>
      </w:pP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标准中涉及专利的情况</w:t>
      </w:r>
    </w:p>
    <w:p>
      <w:pPr>
        <w:pStyle w:val="12"/>
        <w:spacing w:after="160"/>
        <w:ind w:left="720" w:firstLine="0" w:firstLineChars="0"/>
        <w:rPr>
          <w:rFonts w:ascii="Times New Roman" w:hAnsi="Times New Roman"/>
          <w:kern w:val="0"/>
          <w:sz w:val="24"/>
          <w:szCs w:val="24"/>
        </w:rPr>
      </w:pPr>
      <w:r>
        <w:rPr>
          <w:rFonts w:ascii="Times New Roman" w:hAnsi="Times New Roman"/>
          <w:kern w:val="0"/>
          <w:sz w:val="24"/>
          <w:szCs w:val="24"/>
        </w:rPr>
        <w:t>本标准的主要技术内容</w:t>
      </w:r>
      <w:r>
        <w:rPr>
          <w:rFonts w:hint="eastAsia" w:ascii="Times New Roman" w:hAnsi="Times New Roman"/>
          <w:kern w:val="0"/>
          <w:sz w:val="24"/>
          <w:szCs w:val="24"/>
        </w:rPr>
        <w:t>不</w:t>
      </w:r>
      <w:r>
        <w:rPr>
          <w:rFonts w:ascii="Times New Roman" w:hAnsi="Times New Roman"/>
          <w:kern w:val="0"/>
          <w:sz w:val="24"/>
          <w:szCs w:val="24"/>
        </w:rPr>
        <w:t>涉及专利。</w:t>
      </w: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预期达到的社会效益等情况</w:t>
      </w:r>
    </w:p>
    <w:p>
      <w:pPr>
        <w:pStyle w:val="12"/>
        <w:numPr>
          <w:ilvl w:val="0"/>
          <w:numId w:val="5"/>
        </w:numPr>
        <w:spacing w:after="160"/>
        <w:ind w:firstLineChars="0"/>
        <w:rPr>
          <w:rFonts w:ascii="Times New Roman" w:hAnsi="Times New Roman"/>
          <w:sz w:val="28"/>
          <w:szCs w:val="28"/>
        </w:rPr>
      </w:pPr>
      <w:r>
        <w:rPr>
          <w:rFonts w:hint="eastAsia" w:ascii="Times New Roman" w:hAnsi="Times New Roman"/>
          <w:sz w:val="28"/>
          <w:szCs w:val="28"/>
        </w:rPr>
        <w:t>项目的必要性简述</w:t>
      </w:r>
    </w:p>
    <w:p>
      <w:pPr>
        <w:spacing w:after="160"/>
        <w:ind w:firstLine="480" w:firstLineChars="200"/>
        <w:rPr>
          <w:sz w:val="24"/>
          <w:szCs w:val="24"/>
        </w:rPr>
      </w:pPr>
      <w:r>
        <w:rPr>
          <w:rFonts w:hint="eastAsia" w:ascii="宋体"/>
          <w:sz w:val="24"/>
        </w:rPr>
        <w:t>修订本标准的原则是以中华人民共和国有色金属行业标准YS/T 6</w:t>
      </w:r>
      <w:r>
        <w:rPr>
          <w:rFonts w:hint="eastAsia" w:ascii="宋体"/>
          <w:sz w:val="24"/>
          <w:lang w:val="en-US" w:eastAsia="zh-CN"/>
        </w:rPr>
        <w:t>06</w:t>
      </w:r>
      <w:r>
        <w:rPr>
          <w:rFonts w:hint="eastAsia" w:ascii="宋体"/>
          <w:sz w:val="24"/>
        </w:rPr>
        <w:t>-2006为基础。</w:t>
      </w:r>
      <w:r>
        <w:rPr>
          <w:rFonts w:hint="eastAsia"/>
          <w:sz w:val="24"/>
          <w:szCs w:val="24"/>
        </w:rPr>
        <w:t>随着电子浆料技术的飞速发展，浆料指标的不断优化，行业标准的不断修订，本标准已远远落后于大部分的企业标准，所以有必要对原标准进行系列修订。</w:t>
      </w:r>
    </w:p>
    <w:p>
      <w:pPr>
        <w:pStyle w:val="12"/>
        <w:numPr>
          <w:ilvl w:val="0"/>
          <w:numId w:val="5"/>
        </w:numPr>
        <w:spacing w:after="160"/>
        <w:ind w:firstLineChars="0"/>
        <w:rPr>
          <w:rFonts w:ascii="Times New Roman" w:hAnsi="Times New Roman"/>
          <w:sz w:val="28"/>
          <w:szCs w:val="28"/>
        </w:rPr>
      </w:pPr>
      <w:r>
        <w:rPr>
          <w:rFonts w:hint="eastAsia" w:ascii="Times New Roman" w:hAnsi="Times New Roman"/>
          <w:sz w:val="28"/>
          <w:szCs w:val="28"/>
        </w:rPr>
        <w:t>项目的可行性简述</w:t>
      </w:r>
    </w:p>
    <w:p>
      <w:pPr>
        <w:spacing w:before="156" w:beforeLines="50" w:after="160"/>
        <w:ind w:firstLine="480" w:firstLineChars="200"/>
        <w:rPr>
          <w:rFonts w:hint="eastAsia" w:ascii="Times New Roman" w:hAnsi="Times New Roman"/>
          <w:kern w:val="0"/>
          <w:sz w:val="24"/>
          <w:szCs w:val="24"/>
        </w:rPr>
      </w:pPr>
      <w:r>
        <w:rPr>
          <w:rFonts w:hAnsi="宋体"/>
          <w:sz w:val="24"/>
        </w:rPr>
        <w:t>贵研铂业股份有限公司在该领域内是领先的产品供应商，标准起草人员多次参与整个生产和使用流程，且贵研铂业股份有限公司在国内贵金属及有色金属分析领域具有权威地位，其标准起草团队多次参与有色行业标准的起草、验证等工作，能够胜任标准的编制工作</w:t>
      </w:r>
      <w:r>
        <w:rPr>
          <w:rFonts w:hint="eastAsia" w:ascii="Times New Roman" w:hAnsi="Times New Roman"/>
          <w:kern w:val="0"/>
          <w:sz w:val="24"/>
          <w:szCs w:val="24"/>
        </w:rPr>
        <w:t>。所以，对于标准的修订在研发和应用方面都十分必要，同时该标准中的修订内容，也进行了试验验证和比较，修改内容切实可行。</w:t>
      </w:r>
    </w:p>
    <w:p>
      <w:pPr>
        <w:pStyle w:val="12"/>
        <w:numPr>
          <w:ilvl w:val="0"/>
          <w:numId w:val="5"/>
        </w:numPr>
        <w:spacing w:after="160"/>
        <w:ind w:firstLineChars="0"/>
        <w:rPr>
          <w:rFonts w:hint="eastAsia" w:ascii="Times New Roman" w:hAnsi="Times New Roman" w:eastAsia="宋体" w:cs="Times New Roman"/>
          <w:kern w:val="0"/>
          <w:sz w:val="24"/>
          <w:szCs w:val="24"/>
          <w:lang w:val="en-US" w:eastAsia="zh-CN" w:bidi="ar-SA"/>
        </w:rPr>
      </w:pPr>
      <w:r>
        <w:rPr>
          <w:rFonts w:hint="eastAsia" w:ascii="Times New Roman" w:hAnsi="Times New Roman"/>
          <w:sz w:val="28"/>
          <w:szCs w:val="28"/>
        </w:rPr>
        <w:t>标准的先进性、创新性、标准实施后预期产生的经济效益和社会效益</w:t>
      </w:r>
    </w:p>
    <w:p>
      <w:pPr>
        <w:pStyle w:val="15"/>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近年来随着电子信息技术的快速发展，高集成化、轻量化、智能化、绿色化已然成为国内外电子产品的发展方向，因而对作为核心材料的电子浆料需求增大，性能要求提高，应用范围更加广泛。固化型银导体浆料现已成为国民经济发展和现代国防建设不可或缺的重要产品，也是制造各类电子元器件的关键基础材料，广泛应用于国防军工研发、民用家电制造、农业机械生产、工业自动化升级、5G信息技术产业、汽车产业等领域。</w:t>
      </w:r>
    </w:p>
    <w:p>
      <w:pPr>
        <w:pStyle w:val="15"/>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在电子信息产业快速发展的过程中，固化型银导体浆料作为其基础材料扮演着重要的角色，研发新型高性能、低成本电子浆料已成为当今社会发展的必然趋势。近年来，由于电子浆料使用要求和技术创新水平的提高，固化型银导体浆料的品种急速增多，规模增大，应用领域更广，因此，不同浆料性能差异逐渐增大，尤其固化型银导体浆料的固含量和粘度性能差异较为明显。现行标准在当前环境下应用范围较窄，固化型银导体浆料分类不明确，部分性能指标不具代表性，未完全涵盖当前应用领域下的新型固化型银导体浆料，无法有效提供规范性指导意义，因此需要在现有行业标准的基础上对相关内容进行修订和完善，以便为固化型银导体浆料行业产品的生产和应用提供更加科学、规范和有效的指导。</w:t>
      </w:r>
    </w:p>
    <w:p>
      <w:pPr>
        <w:pStyle w:val="15"/>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本标准的修订是充分考虑了当前市场不同产品现状和应用领域的实际需要，从而对原标准中不完善及不明确的内容做出慎重修订，修订后的标准符合当前市场发展的要求和应用方向，具有可操作性和普遍适用性。</w:t>
      </w:r>
    </w:p>
    <w:p>
      <w:pPr>
        <w:keepNext w:val="0"/>
        <w:keepLines w:val="0"/>
        <w:pageBreakBefore w:val="0"/>
        <w:kinsoku/>
        <w:wordWrap/>
        <w:overflowPunct/>
        <w:topLinePunct w:val="0"/>
        <w:bidi w:val="0"/>
        <w:adjustRightInd/>
        <w:snapToGrid/>
        <w:spacing w:after="160" w:line="360" w:lineRule="auto"/>
        <w:ind w:firstLine="480" w:firstLineChars="200"/>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通过本标准的重新修订，可以完善现阶段固化型银导体浆料的分类、应用领域和性能指标等信息，使行业标准更加符合现阶段固化型银导体浆料的发展需要，并对产品生产、应用和交付提供切实可行的指导意义，从而更好的促进该行业的发展</w:t>
      </w:r>
      <w:r>
        <w:rPr>
          <w:rFonts w:hint="eastAsia" w:ascii="Times New Roman" w:hAnsi="Times New Roman" w:cs="Times New Roman"/>
          <w:kern w:val="0"/>
          <w:sz w:val="24"/>
          <w:szCs w:val="24"/>
          <w:lang w:val="en-US" w:eastAsia="zh-CN" w:bidi="ar-SA"/>
        </w:rPr>
        <w:t>。</w:t>
      </w: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采用国际标准和国外先进标准的情况</w:t>
      </w:r>
    </w:p>
    <w:p>
      <w:pPr>
        <w:pStyle w:val="15"/>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贵研铂业股份有限公司接到制定任务后，认真分析和研究国内外相关标准的基本内容和特点，以YS/T 606-2006《固化型银导体浆料》为基础，参考国内外相关标准，既考虑标准的先进性，也考虑标准的适用性和可操作性，并根据我国原材料加工能力、分析水平等实际情况，力求使该标准与国外先进标准接轨。</w:t>
      </w:r>
    </w:p>
    <w:p>
      <w:pPr>
        <w:pStyle w:val="15"/>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该标准的制定既能体现生产方的技术水平，又能满足使用方的技术要求。</w:t>
      </w:r>
    </w:p>
    <w:p>
      <w:pPr>
        <w:pStyle w:val="15"/>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本标准严格按照GB/T1.1-2020《标准化工作导则》的《国家标准规范编写示例》进行编写，以范围—规范性引用文件—要求等内容的顺序编写，内容规范。</w:t>
      </w:r>
    </w:p>
    <w:p>
      <w:pPr>
        <w:spacing w:after="160"/>
        <w:ind w:firstLine="480" w:firstLineChars="200"/>
        <w:rPr>
          <w:bCs/>
          <w:sz w:val="24"/>
        </w:rPr>
      </w:pPr>
      <w:r>
        <w:rPr>
          <w:rFonts w:hint="eastAsia" w:ascii="宋体" w:hAnsi="宋体"/>
          <w:sz w:val="24"/>
        </w:rPr>
        <w:t xml:space="preserve"> </w:t>
      </w:r>
      <w:r>
        <w:rPr>
          <w:rFonts w:hint="eastAsia" w:ascii="宋体"/>
          <w:sz w:val="24"/>
        </w:rPr>
        <w:t>YS/T 60</w:t>
      </w:r>
      <w:r>
        <w:rPr>
          <w:rFonts w:hint="eastAsia" w:ascii="宋体"/>
          <w:sz w:val="24"/>
          <w:lang w:val="en-US" w:eastAsia="zh-CN"/>
        </w:rPr>
        <w:t>6</w:t>
      </w:r>
      <w:r>
        <w:rPr>
          <w:rFonts w:hint="eastAsia" w:ascii="宋体"/>
          <w:sz w:val="24"/>
        </w:rPr>
        <w:t>-2006《</w:t>
      </w:r>
      <w:r>
        <w:rPr>
          <w:rFonts w:hint="eastAsia" w:ascii="宋体" w:hAnsi="Calibri" w:eastAsia="宋体" w:cs="Times New Roman"/>
          <w:kern w:val="2"/>
          <w:sz w:val="24"/>
          <w:szCs w:val="22"/>
          <w:lang w:val="en-US" w:eastAsia="zh-CN" w:bidi="ar-SA"/>
        </w:rPr>
        <w:t>固化型银导体浆料</w:t>
      </w:r>
      <w:r>
        <w:rPr>
          <w:rFonts w:hint="eastAsia" w:ascii="宋体"/>
          <w:sz w:val="24"/>
        </w:rPr>
        <w:t>》</w:t>
      </w:r>
      <w:r>
        <w:rPr>
          <w:rFonts w:hint="eastAsia" w:ascii="宋体" w:hAnsi="宋体"/>
          <w:sz w:val="24"/>
        </w:rPr>
        <w:t>从发布至今已有十多年，在这期间为规范整个行业起到了巨大的作用，带来了非常大的经济效益。</w:t>
      </w:r>
      <w:r>
        <w:rPr>
          <w:rFonts w:hAnsi="宋体"/>
          <w:sz w:val="24"/>
        </w:rPr>
        <w:t>结合生产实践，拟订具有实用性、可操作性，能够满足生产和使用需要的</w:t>
      </w:r>
      <w:r>
        <w:rPr>
          <w:rFonts w:hint="eastAsia" w:ascii="宋体" w:hAnsi="Calibri" w:eastAsia="宋体" w:cs="Times New Roman"/>
          <w:kern w:val="2"/>
          <w:sz w:val="24"/>
          <w:szCs w:val="22"/>
          <w:lang w:val="en-US" w:eastAsia="zh-CN" w:bidi="ar-SA"/>
        </w:rPr>
        <w:t>固化型银导体浆料</w:t>
      </w:r>
      <w:r>
        <w:rPr>
          <w:rFonts w:hAnsi="宋体"/>
          <w:sz w:val="24"/>
        </w:rPr>
        <w:t>具体技术指标。</w:t>
      </w:r>
    </w:p>
    <w:p>
      <w:pPr>
        <w:pStyle w:val="12"/>
        <w:numPr>
          <w:ilvl w:val="0"/>
          <w:numId w:val="2"/>
        </w:numPr>
        <w:spacing w:after="160"/>
        <w:ind w:firstLineChars="0"/>
        <w:rPr>
          <w:rFonts w:hint="eastAsia" w:ascii="Times New Roman"/>
          <w:sz w:val="24"/>
        </w:rPr>
      </w:pPr>
      <w:r>
        <w:rPr>
          <w:rFonts w:hint="eastAsia" w:ascii="Times New Roman" w:hAnsi="Times New Roman"/>
          <w:sz w:val="28"/>
          <w:szCs w:val="28"/>
        </w:rPr>
        <w:t>与现有相关法律、法规、规章及相关标准，特别是强制性国家标准的协调配套情况</w:t>
      </w:r>
    </w:p>
    <w:p>
      <w:pPr>
        <w:pStyle w:val="15"/>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Times New Roman"/>
          <w:sz w:val="24"/>
        </w:rPr>
      </w:pPr>
      <w:r>
        <w:rPr>
          <w:rFonts w:hint="eastAsia" w:ascii="Times New Roman" w:hAnsi="Calibri" w:eastAsia="宋体" w:cs="Times New Roman"/>
          <w:kern w:val="2"/>
          <w:sz w:val="24"/>
          <w:szCs w:val="22"/>
          <w:lang w:val="en-US" w:eastAsia="zh-CN" w:bidi="ar-SA"/>
        </w:rPr>
        <w:t>本标准属于其它有色金属标准体系“贵金属”类。本标准修订时，考虑到与国际标准和规范接轨，在规范性引用文件上按我国标准体系作了调整和编辑， 新修订的《固化型银导体浆料》在安全性方面直接引用和贯彻执行了国家强制性标准，从技术上保证了方法使用的安全和可靠性，条文精炼表达清楚，技术要求全面、准确、科学、合理，标准的格式和表达方式等方面完全执行了现行的国家标准和有关法规，符合GB/T 1.1 的有关要求。本标准完全满足现行国家法规的要求，与现行标准相比，技术参数要求更合理，格式更规范，可取代原标准。</w:t>
      </w: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重大分歧意见的处理经过和依据</w:t>
      </w:r>
    </w:p>
    <w:p>
      <w:pPr>
        <w:pStyle w:val="12"/>
        <w:spacing w:after="160"/>
        <w:ind w:left="0" w:leftChars="0" w:firstLine="480" w:firstLineChars="200"/>
        <w:rPr>
          <w:rFonts w:ascii="Times New Roman" w:hAnsi="Times New Roman"/>
          <w:sz w:val="28"/>
          <w:szCs w:val="28"/>
        </w:rPr>
      </w:pPr>
      <w:r>
        <w:rPr>
          <w:rFonts w:ascii="Times New Roman" w:hAnsi="Times New Roman"/>
          <w:kern w:val="0"/>
          <w:sz w:val="24"/>
          <w:szCs w:val="24"/>
        </w:rPr>
        <w:t>该标准编制过程中，无重大分歧意见。</w:t>
      </w: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标志性质的建议说明</w:t>
      </w:r>
    </w:p>
    <w:p>
      <w:pPr>
        <w:spacing w:after="160"/>
        <w:ind w:firstLine="480" w:firstLineChars="200"/>
        <w:rPr>
          <w:rFonts w:ascii="Times New Roman" w:hAnsi="Times New Roman"/>
          <w:sz w:val="28"/>
          <w:szCs w:val="28"/>
        </w:rPr>
      </w:pPr>
      <w:r>
        <w:rPr>
          <w:rFonts w:hint="eastAsia" w:ascii="Times New Roman"/>
          <w:sz w:val="24"/>
        </w:rPr>
        <w:t>根据标准化法和有关规定，建议本标准的性质为推荐性国家行业标准。</w:t>
      </w: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贯彻标准的要求和措施建议</w:t>
      </w:r>
    </w:p>
    <w:p>
      <w:pPr>
        <w:pStyle w:val="12"/>
        <w:spacing w:after="160"/>
        <w:ind w:firstLine="480"/>
        <w:rPr>
          <w:rFonts w:hint="eastAsia" w:ascii="Times New Roman"/>
          <w:sz w:val="24"/>
        </w:rPr>
      </w:pPr>
      <w:r>
        <w:rPr>
          <w:rFonts w:hint="eastAsia" w:ascii="Times New Roman"/>
          <w:sz w:val="24"/>
        </w:rPr>
        <w:t>建议本标准批准发布6个月后实施。</w:t>
      </w:r>
    </w:p>
    <w:p>
      <w:pPr>
        <w:pStyle w:val="12"/>
        <w:spacing w:after="160"/>
        <w:ind w:firstLine="480"/>
        <w:rPr>
          <w:rFonts w:hint="eastAsia" w:ascii="Times New Roman"/>
          <w:sz w:val="24"/>
        </w:rPr>
      </w:pP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废止现行相关标准的建议</w:t>
      </w:r>
    </w:p>
    <w:p>
      <w:pPr>
        <w:spacing w:after="160"/>
        <w:ind w:firstLine="480" w:firstLineChars="200"/>
        <w:jc w:val="left"/>
        <w:rPr>
          <w:rFonts w:ascii="Times New Roman" w:hAnsi="Times New Roman"/>
          <w:sz w:val="28"/>
          <w:szCs w:val="28"/>
        </w:rPr>
      </w:pPr>
      <w:r>
        <w:rPr>
          <w:rFonts w:ascii="Times New Roman" w:hAnsi="宋体"/>
          <w:sz w:val="24"/>
          <w:szCs w:val="24"/>
        </w:rPr>
        <w:t>本标准</w:t>
      </w:r>
      <w:r>
        <w:rPr>
          <w:rFonts w:hint="eastAsia" w:ascii="Times New Roman" w:hAnsi="宋体"/>
          <w:sz w:val="24"/>
          <w:szCs w:val="24"/>
        </w:rPr>
        <w:t>发布实施之日，</w:t>
      </w:r>
      <w:r>
        <w:rPr>
          <w:rFonts w:ascii="Times New Roman" w:hAnsi="宋体"/>
          <w:sz w:val="24"/>
          <w:szCs w:val="24"/>
        </w:rPr>
        <w:t>代替</w:t>
      </w:r>
      <w:r>
        <w:rPr>
          <w:rFonts w:hint="eastAsia" w:ascii="宋体"/>
          <w:sz w:val="24"/>
        </w:rPr>
        <w:t>YS/T 60</w:t>
      </w:r>
      <w:r>
        <w:rPr>
          <w:rFonts w:hint="eastAsia" w:ascii="宋体"/>
          <w:sz w:val="24"/>
          <w:lang w:val="en-US" w:eastAsia="zh-CN"/>
        </w:rPr>
        <w:t>6</w:t>
      </w:r>
      <w:r>
        <w:rPr>
          <w:rFonts w:hint="eastAsia" w:ascii="宋体"/>
          <w:sz w:val="24"/>
        </w:rPr>
        <w:t>-2006《</w:t>
      </w:r>
      <w:r>
        <w:rPr>
          <w:rFonts w:hint="eastAsia" w:ascii="宋体" w:hAnsi="Calibri" w:eastAsia="宋体" w:cs="Times New Roman"/>
          <w:kern w:val="2"/>
          <w:sz w:val="24"/>
          <w:szCs w:val="22"/>
          <w:lang w:val="en-US" w:eastAsia="zh-CN" w:bidi="ar-SA"/>
        </w:rPr>
        <w:t>固化型银导体浆料</w:t>
      </w:r>
      <w:r>
        <w:rPr>
          <w:rFonts w:hint="eastAsia" w:ascii="宋体"/>
          <w:sz w:val="24"/>
        </w:rPr>
        <w:t>》</w:t>
      </w:r>
      <w:r>
        <w:rPr>
          <w:rFonts w:ascii="Times New Roman" w:hAnsi="宋体"/>
          <w:sz w:val="24"/>
          <w:szCs w:val="24"/>
        </w:rPr>
        <w:t>。</w:t>
      </w:r>
    </w:p>
    <w:p>
      <w:pPr>
        <w:pStyle w:val="12"/>
        <w:numPr>
          <w:ilvl w:val="0"/>
          <w:numId w:val="2"/>
        </w:numPr>
        <w:spacing w:after="160"/>
        <w:ind w:firstLineChars="0"/>
        <w:rPr>
          <w:rFonts w:ascii="Times New Roman" w:hAnsi="Times New Roman"/>
          <w:sz w:val="28"/>
          <w:szCs w:val="28"/>
        </w:rPr>
      </w:pPr>
      <w:r>
        <w:rPr>
          <w:rFonts w:hint="eastAsia" w:ascii="Times New Roman" w:hAnsi="Times New Roman"/>
          <w:sz w:val="28"/>
          <w:szCs w:val="28"/>
        </w:rPr>
        <w:t>其它应予说明的事项</w:t>
      </w:r>
    </w:p>
    <w:p>
      <w:pPr>
        <w:spacing w:after="160"/>
        <w:ind w:firstLine="480" w:firstLineChars="200"/>
        <w:rPr>
          <w:rFonts w:ascii="Times New Roman" w:hAnsi="Times New Roman"/>
          <w:kern w:val="0"/>
          <w:sz w:val="24"/>
          <w:szCs w:val="24"/>
        </w:rPr>
      </w:pPr>
      <w:r>
        <w:rPr>
          <w:rFonts w:ascii="Times New Roman"/>
          <w:sz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ascii="Times New Roman" w:hAnsi="Times New Roman"/>
          <w:kern w:val="0"/>
          <w:sz w:val="24"/>
          <w:szCs w:val="24"/>
        </w:rPr>
        <w:t>。</w:t>
      </w:r>
    </w:p>
    <w:p>
      <w:pPr>
        <w:spacing w:after="160"/>
        <w:rPr>
          <w:rFonts w:ascii="Times New Roman" w:hAnsi="Times New Roman"/>
          <w:sz w:val="28"/>
          <w:szCs w:val="28"/>
        </w:rPr>
      </w:pPr>
    </w:p>
    <w:p>
      <w:pPr>
        <w:spacing w:after="160"/>
        <w:ind w:firstLine="140" w:firstLineChars="50"/>
        <w:jc w:val="right"/>
        <w:rPr>
          <w:rFonts w:ascii="Times New Roman" w:hAnsi="Times New Roman"/>
          <w:sz w:val="24"/>
          <w:szCs w:val="24"/>
        </w:rPr>
      </w:pPr>
      <w:r>
        <w:rPr>
          <w:rFonts w:ascii="Times New Roman" w:hAnsi="Times New Roman"/>
          <w:sz w:val="28"/>
          <w:szCs w:val="28"/>
        </w:rPr>
        <w:tab/>
      </w:r>
      <w:r>
        <w:rPr>
          <w:rFonts w:ascii="Times New Roman"/>
          <w:sz w:val="24"/>
          <w:szCs w:val="24"/>
        </w:rPr>
        <w:t>贵研铂业股份有限公司</w:t>
      </w:r>
    </w:p>
    <w:p>
      <w:pPr>
        <w:spacing w:after="160"/>
        <w:ind w:firstLine="120" w:firstLineChars="50"/>
        <w:jc w:val="right"/>
        <w:rPr>
          <w:rFonts w:ascii="Times New Roman" w:hAnsi="Times New Roman"/>
          <w:sz w:val="28"/>
          <w:szCs w:val="28"/>
        </w:rPr>
      </w:pPr>
      <w:r>
        <w:rPr>
          <w:rFonts w:ascii="Times New Roman"/>
          <w:sz w:val="24"/>
          <w:szCs w:val="24"/>
        </w:rPr>
        <w:t>《</w:t>
      </w:r>
      <w:r>
        <w:rPr>
          <w:rFonts w:hint="eastAsia" w:ascii="宋体" w:hAnsi="Calibri" w:eastAsia="宋体" w:cs="Times New Roman"/>
          <w:kern w:val="2"/>
          <w:sz w:val="24"/>
          <w:szCs w:val="22"/>
          <w:lang w:val="en-US" w:eastAsia="zh-CN" w:bidi="ar-SA"/>
        </w:rPr>
        <w:t>固化型银导体浆料</w:t>
      </w:r>
      <w:r>
        <w:rPr>
          <w:rFonts w:ascii="Times New Roman"/>
          <w:sz w:val="24"/>
          <w:szCs w:val="24"/>
        </w:rPr>
        <w:t>》</w:t>
      </w:r>
      <w:r>
        <w:rPr>
          <w:rFonts w:hint="eastAsia" w:ascii="Times New Roman"/>
          <w:sz w:val="24"/>
          <w:szCs w:val="24"/>
        </w:rPr>
        <w:t>行业</w:t>
      </w:r>
      <w:r>
        <w:rPr>
          <w:rFonts w:ascii="Times New Roman"/>
          <w:sz w:val="24"/>
          <w:szCs w:val="24"/>
        </w:rPr>
        <w:t>标准起草小组</w:t>
      </w:r>
      <w:r>
        <w:rPr>
          <w:rFonts w:ascii="Times New Roman" w:hAnsi="Times New Roman"/>
          <w:sz w:val="28"/>
          <w:szCs w:val="28"/>
        </w:rPr>
        <w:tab/>
      </w:r>
    </w:p>
    <w:p>
      <w:pPr>
        <w:pStyle w:val="12"/>
        <w:spacing w:after="160"/>
        <w:ind w:left="780" w:firstLine="0" w:firstLineChars="0"/>
        <w:jc w:val="right"/>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202</w:t>
      </w:r>
      <w:r>
        <w:rPr>
          <w:rFonts w:ascii="Times New Roman" w:hAnsi="Times New Roman"/>
          <w:color w:val="000000" w:themeColor="text1"/>
          <w:sz w:val="28"/>
          <w:szCs w:val="28"/>
          <w14:textFill>
            <w14:solidFill>
              <w14:schemeClr w14:val="tx1"/>
            </w14:solidFill>
          </w14:textFill>
        </w:rPr>
        <w:t>2</w:t>
      </w:r>
      <w:r>
        <w:rPr>
          <w:rFonts w:ascii="Times New Roman"/>
          <w:color w:val="000000" w:themeColor="text1"/>
          <w:sz w:val="28"/>
          <w:szCs w:val="28"/>
          <w14:textFill>
            <w14:solidFill>
              <w14:schemeClr w14:val="tx1"/>
            </w14:solidFill>
          </w14:textFill>
        </w:rPr>
        <w:t>年</w:t>
      </w:r>
      <w:r>
        <w:rPr>
          <w:rFonts w:hint="eastAsia" w:ascii="Times New Roman"/>
          <w:color w:val="000000" w:themeColor="text1"/>
          <w:sz w:val="28"/>
          <w:szCs w:val="28"/>
          <w:lang w:val="en-US" w:eastAsia="zh-CN"/>
          <w14:textFill>
            <w14:solidFill>
              <w14:schemeClr w14:val="tx1"/>
            </w14:solidFill>
          </w14:textFill>
        </w:rPr>
        <w:t>9</w:t>
      </w:r>
      <w:r>
        <w:rPr>
          <w:rFonts w:ascii="Times New Roman"/>
          <w:color w:val="000000" w:themeColor="text1"/>
          <w:sz w:val="28"/>
          <w:szCs w:val="28"/>
          <w14:textFill>
            <w14:solidFill>
              <w14:schemeClr w14:val="tx1"/>
            </w14:solidFill>
          </w14:textFill>
        </w:rPr>
        <w:t>月</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1482"/>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53D6F"/>
    <w:multiLevelType w:val="multilevel"/>
    <w:tmpl w:val="22B53D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3F7758"/>
    <w:multiLevelType w:val="singleLevel"/>
    <w:tmpl w:val="573F7758"/>
    <w:lvl w:ilvl="0" w:tentative="0">
      <w:start w:val="3"/>
      <w:numFmt w:val="decimal"/>
      <w:suff w:val="nothing"/>
      <w:lvlText w:val="（%1）"/>
      <w:lvlJc w:val="left"/>
    </w:lvl>
  </w:abstractNum>
  <w:abstractNum w:abstractNumId="2">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pStyle w:val="19"/>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210" w:firstLine="0"/>
      </w:pPr>
      <w:rPr>
        <w:rFonts w:hint="default" w:ascii="Times New Roman" w:hAnsi="Times New Roman" w:eastAsia="黑体" w:cs="Times New Roman"/>
        <w:b w:val="0"/>
        <w:i w:val="0"/>
        <w:sz w:val="21"/>
      </w:rPr>
    </w:lvl>
    <w:lvl w:ilvl="3" w:tentative="0">
      <w:start w:val="1"/>
      <w:numFmt w:val="decimal"/>
      <w:pStyle w:val="21"/>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pStyle w:val="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F136D27"/>
    <w:multiLevelType w:val="multilevel"/>
    <w:tmpl w:val="6F136D2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8610F9"/>
    <w:multiLevelType w:val="multilevel"/>
    <w:tmpl w:val="7B8610F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DJkMDM2ZGU5ZjAyMTc5MzRhZmM0NDBkYTVmNzQifQ=="/>
  </w:docVars>
  <w:rsids>
    <w:rsidRoot w:val="00D62B07"/>
    <w:rsid w:val="00002D54"/>
    <w:rsid w:val="0000606A"/>
    <w:rsid w:val="00006EC5"/>
    <w:rsid w:val="00007734"/>
    <w:rsid w:val="000214F2"/>
    <w:rsid w:val="00025D34"/>
    <w:rsid w:val="00044D19"/>
    <w:rsid w:val="00067E34"/>
    <w:rsid w:val="00073BB3"/>
    <w:rsid w:val="000741DE"/>
    <w:rsid w:val="0008087C"/>
    <w:rsid w:val="00087B8E"/>
    <w:rsid w:val="000C0043"/>
    <w:rsid w:val="000C387B"/>
    <w:rsid w:val="000C59FC"/>
    <w:rsid w:val="000C69AB"/>
    <w:rsid w:val="000D0926"/>
    <w:rsid w:val="000F65B6"/>
    <w:rsid w:val="0010290B"/>
    <w:rsid w:val="00103A4C"/>
    <w:rsid w:val="00104CA3"/>
    <w:rsid w:val="00111396"/>
    <w:rsid w:val="00114EA5"/>
    <w:rsid w:val="001172D1"/>
    <w:rsid w:val="00127F36"/>
    <w:rsid w:val="00153706"/>
    <w:rsid w:val="00166E5F"/>
    <w:rsid w:val="00182A6B"/>
    <w:rsid w:val="00191E9C"/>
    <w:rsid w:val="001A0104"/>
    <w:rsid w:val="001C1512"/>
    <w:rsid w:val="001D1964"/>
    <w:rsid w:val="001D1CB2"/>
    <w:rsid w:val="001D46C0"/>
    <w:rsid w:val="00207BF2"/>
    <w:rsid w:val="00221755"/>
    <w:rsid w:val="002230BD"/>
    <w:rsid w:val="002246FA"/>
    <w:rsid w:val="00231F96"/>
    <w:rsid w:val="002338DB"/>
    <w:rsid w:val="0024625A"/>
    <w:rsid w:val="00247CE2"/>
    <w:rsid w:val="00250440"/>
    <w:rsid w:val="00250628"/>
    <w:rsid w:val="00255C8E"/>
    <w:rsid w:val="0026046D"/>
    <w:rsid w:val="00263178"/>
    <w:rsid w:val="00267674"/>
    <w:rsid w:val="0028073F"/>
    <w:rsid w:val="00284E69"/>
    <w:rsid w:val="00287508"/>
    <w:rsid w:val="00290AE7"/>
    <w:rsid w:val="002959B3"/>
    <w:rsid w:val="002B2EA9"/>
    <w:rsid w:val="002B51F4"/>
    <w:rsid w:val="002B7D03"/>
    <w:rsid w:val="002D5B0C"/>
    <w:rsid w:val="002E38D4"/>
    <w:rsid w:val="00313566"/>
    <w:rsid w:val="00341D4E"/>
    <w:rsid w:val="003635B0"/>
    <w:rsid w:val="003716BC"/>
    <w:rsid w:val="00380DE8"/>
    <w:rsid w:val="003820B5"/>
    <w:rsid w:val="00383767"/>
    <w:rsid w:val="003864FC"/>
    <w:rsid w:val="003B3F5E"/>
    <w:rsid w:val="003C57A6"/>
    <w:rsid w:val="003E0801"/>
    <w:rsid w:val="003E1F77"/>
    <w:rsid w:val="0041036A"/>
    <w:rsid w:val="00423414"/>
    <w:rsid w:val="00423684"/>
    <w:rsid w:val="00424BD7"/>
    <w:rsid w:val="00444207"/>
    <w:rsid w:val="004517D7"/>
    <w:rsid w:val="00454AF5"/>
    <w:rsid w:val="00465DF6"/>
    <w:rsid w:val="00475914"/>
    <w:rsid w:val="00480C91"/>
    <w:rsid w:val="004918C3"/>
    <w:rsid w:val="004A05D8"/>
    <w:rsid w:val="004E1870"/>
    <w:rsid w:val="004F3ED8"/>
    <w:rsid w:val="004F72EB"/>
    <w:rsid w:val="00501188"/>
    <w:rsid w:val="00501E4C"/>
    <w:rsid w:val="00510772"/>
    <w:rsid w:val="00512DC7"/>
    <w:rsid w:val="0052440F"/>
    <w:rsid w:val="00525E8C"/>
    <w:rsid w:val="0054654F"/>
    <w:rsid w:val="00551F98"/>
    <w:rsid w:val="005653A1"/>
    <w:rsid w:val="00565EC3"/>
    <w:rsid w:val="00567C61"/>
    <w:rsid w:val="00571D33"/>
    <w:rsid w:val="0057330E"/>
    <w:rsid w:val="00573415"/>
    <w:rsid w:val="00593ECC"/>
    <w:rsid w:val="005A0441"/>
    <w:rsid w:val="005B63D9"/>
    <w:rsid w:val="005C1FB3"/>
    <w:rsid w:val="005C2A50"/>
    <w:rsid w:val="005C6796"/>
    <w:rsid w:val="005D1C52"/>
    <w:rsid w:val="005E7C2D"/>
    <w:rsid w:val="00602A54"/>
    <w:rsid w:val="006209F2"/>
    <w:rsid w:val="006325FA"/>
    <w:rsid w:val="006402A5"/>
    <w:rsid w:val="006540CF"/>
    <w:rsid w:val="00667E04"/>
    <w:rsid w:val="0067722D"/>
    <w:rsid w:val="00687F7A"/>
    <w:rsid w:val="006A1DC9"/>
    <w:rsid w:val="006A2383"/>
    <w:rsid w:val="006B23F9"/>
    <w:rsid w:val="006B3390"/>
    <w:rsid w:val="006C1131"/>
    <w:rsid w:val="006C3D43"/>
    <w:rsid w:val="006E29A3"/>
    <w:rsid w:val="006E47CC"/>
    <w:rsid w:val="006F1BE0"/>
    <w:rsid w:val="006F1EA6"/>
    <w:rsid w:val="0072512A"/>
    <w:rsid w:val="00725D30"/>
    <w:rsid w:val="00741BA7"/>
    <w:rsid w:val="0074536F"/>
    <w:rsid w:val="00764F47"/>
    <w:rsid w:val="007659F4"/>
    <w:rsid w:val="00767A0E"/>
    <w:rsid w:val="007911B5"/>
    <w:rsid w:val="00791F11"/>
    <w:rsid w:val="007A1149"/>
    <w:rsid w:val="007B002D"/>
    <w:rsid w:val="007B1A1B"/>
    <w:rsid w:val="007D052C"/>
    <w:rsid w:val="007D12B9"/>
    <w:rsid w:val="007D73EA"/>
    <w:rsid w:val="007E072B"/>
    <w:rsid w:val="007E2243"/>
    <w:rsid w:val="007E69B9"/>
    <w:rsid w:val="007E7B16"/>
    <w:rsid w:val="007F3087"/>
    <w:rsid w:val="007F4D8F"/>
    <w:rsid w:val="007F5471"/>
    <w:rsid w:val="007F6A21"/>
    <w:rsid w:val="00800892"/>
    <w:rsid w:val="00821F6B"/>
    <w:rsid w:val="00822D51"/>
    <w:rsid w:val="008231DA"/>
    <w:rsid w:val="00827A2F"/>
    <w:rsid w:val="00843540"/>
    <w:rsid w:val="00846B9B"/>
    <w:rsid w:val="00852DCF"/>
    <w:rsid w:val="00860B94"/>
    <w:rsid w:val="00865BB4"/>
    <w:rsid w:val="00870F43"/>
    <w:rsid w:val="00880D58"/>
    <w:rsid w:val="0089633D"/>
    <w:rsid w:val="008B04A3"/>
    <w:rsid w:val="008B14C6"/>
    <w:rsid w:val="008C445D"/>
    <w:rsid w:val="008C7DAD"/>
    <w:rsid w:val="008E5E66"/>
    <w:rsid w:val="008E7490"/>
    <w:rsid w:val="008F6756"/>
    <w:rsid w:val="00900F12"/>
    <w:rsid w:val="00905B62"/>
    <w:rsid w:val="0092210A"/>
    <w:rsid w:val="009352C4"/>
    <w:rsid w:val="009415BB"/>
    <w:rsid w:val="00950D29"/>
    <w:rsid w:val="00955C05"/>
    <w:rsid w:val="00972D6B"/>
    <w:rsid w:val="00975AEB"/>
    <w:rsid w:val="009816F7"/>
    <w:rsid w:val="00983ACD"/>
    <w:rsid w:val="00986C29"/>
    <w:rsid w:val="00995048"/>
    <w:rsid w:val="00995B8C"/>
    <w:rsid w:val="009A462E"/>
    <w:rsid w:val="009A59ED"/>
    <w:rsid w:val="009B0C5E"/>
    <w:rsid w:val="009C185D"/>
    <w:rsid w:val="009C5A40"/>
    <w:rsid w:val="009D31AD"/>
    <w:rsid w:val="009F4172"/>
    <w:rsid w:val="00A00193"/>
    <w:rsid w:val="00A07880"/>
    <w:rsid w:val="00A15E6D"/>
    <w:rsid w:val="00A26452"/>
    <w:rsid w:val="00A278B2"/>
    <w:rsid w:val="00A31A04"/>
    <w:rsid w:val="00A349CE"/>
    <w:rsid w:val="00A4073D"/>
    <w:rsid w:val="00A4461A"/>
    <w:rsid w:val="00A45559"/>
    <w:rsid w:val="00A474A1"/>
    <w:rsid w:val="00A57A0B"/>
    <w:rsid w:val="00A60065"/>
    <w:rsid w:val="00A61895"/>
    <w:rsid w:val="00A62FFA"/>
    <w:rsid w:val="00A72804"/>
    <w:rsid w:val="00A735EB"/>
    <w:rsid w:val="00A811D7"/>
    <w:rsid w:val="00A91A10"/>
    <w:rsid w:val="00A94497"/>
    <w:rsid w:val="00A94859"/>
    <w:rsid w:val="00A963F2"/>
    <w:rsid w:val="00A97B34"/>
    <w:rsid w:val="00AA0FBE"/>
    <w:rsid w:val="00AA50D5"/>
    <w:rsid w:val="00AB5D03"/>
    <w:rsid w:val="00AD1975"/>
    <w:rsid w:val="00AD24FA"/>
    <w:rsid w:val="00AE5AB6"/>
    <w:rsid w:val="00AF29D4"/>
    <w:rsid w:val="00B02F59"/>
    <w:rsid w:val="00B05E39"/>
    <w:rsid w:val="00B07E34"/>
    <w:rsid w:val="00B11182"/>
    <w:rsid w:val="00B235B5"/>
    <w:rsid w:val="00B32A9E"/>
    <w:rsid w:val="00B45358"/>
    <w:rsid w:val="00B45EFC"/>
    <w:rsid w:val="00B51C8A"/>
    <w:rsid w:val="00B54D03"/>
    <w:rsid w:val="00B62E82"/>
    <w:rsid w:val="00B7070B"/>
    <w:rsid w:val="00B82568"/>
    <w:rsid w:val="00B92372"/>
    <w:rsid w:val="00BA0C20"/>
    <w:rsid w:val="00BA0EBC"/>
    <w:rsid w:val="00BB71B7"/>
    <w:rsid w:val="00BC04BE"/>
    <w:rsid w:val="00BC5B71"/>
    <w:rsid w:val="00BC6875"/>
    <w:rsid w:val="00BC7072"/>
    <w:rsid w:val="00BE1236"/>
    <w:rsid w:val="00BF0DFB"/>
    <w:rsid w:val="00C03399"/>
    <w:rsid w:val="00C064C1"/>
    <w:rsid w:val="00C172CE"/>
    <w:rsid w:val="00C2294E"/>
    <w:rsid w:val="00C244A9"/>
    <w:rsid w:val="00C25ECB"/>
    <w:rsid w:val="00C27714"/>
    <w:rsid w:val="00C34ED2"/>
    <w:rsid w:val="00C40AFC"/>
    <w:rsid w:val="00C61A41"/>
    <w:rsid w:val="00C64D13"/>
    <w:rsid w:val="00C828D6"/>
    <w:rsid w:val="00C870A8"/>
    <w:rsid w:val="00C91636"/>
    <w:rsid w:val="00CA1801"/>
    <w:rsid w:val="00CA2480"/>
    <w:rsid w:val="00CA5F21"/>
    <w:rsid w:val="00CB188B"/>
    <w:rsid w:val="00CC1A36"/>
    <w:rsid w:val="00CC3074"/>
    <w:rsid w:val="00CC6AC4"/>
    <w:rsid w:val="00CF2F04"/>
    <w:rsid w:val="00D017CA"/>
    <w:rsid w:val="00D04BF6"/>
    <w:rsid w:val="00D161DD"/>
    <w:rsid w:val="00D21BAE"/>
    <w:rsid w:val="00D305D7"/>
    <w:rsid w:val="00D62B07"/>
    <w:rsid w:val="00D6449B"/>
    <w:rsid w:val="00D84E21"/>
    <w:rsid w:val="00D97F30"/>
    <w:rsid w:val="00DB09CD"/>
    <w:rsid w:val="00DB2459"/>
    <w:rsid w:val="00DB2E6A"/>
    <w:rsid w:val="00DC46A9"/>
    <w:rsid w:val="00DD4AE1"/>
    <w:rsid w:val="00DD525E"/>
    <w:rsid w:val="00DD6A4C"/>
    <w:rsid w:val="00DF3A5B"/>
    <w:rsid w:val="00E149AB"/>
    <w:rsid w:val="00E328B4"/>
    <w:rsid w:val="00E37A30"/>
    <w:rsid w:val="00E447CD"/>
    <w:rsid w:val="00E46D4C"/>
    <w:rsid w:val="00E55170"/>
    <w:rsid w:val="00E61062"/>
    <w:rsid w:val="00E62693"/>
    <w:rsid w:val="00E62708"/>
    <w:rsid w:val="00E676B0"/>
    <w:rsid w:val="00E67EC4"/>
    <w:rsid w:val="00E71F1D"/>
    <w:rsid w:val="00E74E82"/>
    <w:rsid w:val="00E77158"/>
    <w:rsid w:val="00E8588C"/>
    <w:rsid w:val="00E92B55"/>
    <w:rsid w:val="00E93630"/>
    <w:rsid w:val="00EC70C7"/>
    <w:rsid w:val="00EC788D"/>
    <w:rsid w:val="00ED4002"/>
    <w:rsid w:val="00EE273B"/>
    <w:rsid w:val="00EE3B6E"/>
    <w:rsid w:val="00EF6501"/>
    <w:rsid w:val="00F05F8F"/>
    <w:rsid w:val="00F12F2B"/>
    <w:rsid w:val="00F14114"/>
    <w:rsid w:val="00F1697D"/>
    <w:rsid w:val="00F276B7"/>
    <w:rsid w:val="00F304C6"/>
    <w:rsid w:val="00F33872"/>
    <w:rsid w:val="00F50F49"/>
    <w:rsid w:val="00F76FCA"/>
    <w:rsid w:val="00F8529C"/>
    <w:rsid w:val="00F92D09"/>
    <w:rsid w:val="00F93A52"/>
    <w:rsid w:val="00FA06AC"/>
    <w:rsid w:val="00FA7B94"/>
    <w:rsid w:val="00FB166C"/>
    <w:rsid w:val="00FB1695"/>
    <w:rsid w:val="00FB6E30"/>
    <w:rsid w:val="00FB7730"/>
    <w:rsid w:val="00FC64BD"/>
    <w:rsid w:val="00FC7F59"/>
    <w:rsid w:val="00FD07EC"/>
    <w:rsid w:val="00FE0573"/>
    <w:rsid w:val="00FF08D3"/>
    <w:rsid w:val="00FF7B99"/>
    <w:rsid w:val="079E4B1B"/>
    <w:rsid w:val="08BA60DD"/>
    <w:rsid w:val="0C0D1AA4"/>
    <w:rsid w:val="0E322EAB"/>
    <w:rsid w:val="130B0266"/>
    <w:rsid w:val="1323348A"/>
    <w:rsid w:val="1F053D85"/>
    <w:rsid w:val="1FB65DB1"/>
    <w:rsid w:val="1FCD30FB"/>
    <w:rsid w:val="212A61FF"/>
    <w:rsid w:val="21616459"/>
    <w:rsid w:val="23B00D6A"/>
    <w:rsid w:val="242E5942"/>
    <w:rsid w:val="257458CE"/>
    <w:rsid w:val="3032290D"/>
    <w:rsid w:val="30470360"/>
    <w:rsid w:val="32544FB6"/>
    <w:rsid w:val="34AE1832"/>
    <w:rsid w:val="34BB3BAA"/>
    <w:rsid w:val="38602906"/>
    <w:rsid w:val="3A461308"/>
    <w:rsid w:val="3D27441B"/>
    <w:rsid w:val="3D48738A"/>
    <w:rsid w:val="44E2437A"/>
    <w:rsid w:val="46CE7F14"/>
    <w:rsid w:val="46FE4EBC"/>
    <w:rsid w:val="48D37A56"/>
    <w:rsid w:val="53955177"/>
    <w:rsid w:val="56293A3C"/>
    <w:rsid w:val="57AD74C8"/>
    <w:rsid w:val="58C223CA"/>
    <w:rsid w:val="5B803D2F"/>
    <w:rsid w:val="5BC539F0"/>
    <w:rsid w:val="5CF12435"/>
    <w:rsid w:val="5D3410FD"/>
    <w:rsid w:val="5E237475"/>
    <w:rsid w:val="62064552"/>
    <w:rsid w:val="660E4EA0"/>
    <w:rsid w:val="6804655B"/>
    <w:rsid w:val="6B5C3A3B"/>
    <w:rsid w:val="6CA4030D"/>
    <w:rsid w:val="6D7C226B"/>
    <w:rsid w:val="6DDE4BD0"/>
    <w:rsid w:val="6F8601ED"/>
    <w:rsid w:val="6FC17DAE"/>
    <w:rsid w:val="70716DA6"/>
    <w:rsid w:val="7AC322A6"/>
    <w:rsid w:val="7B67534D"/>
    <w:rsid w:val="7D4B53C7"/>
    <w:rsid w:val="7FB9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semiHidden/>
    <w:unhideWhenUsed/>
    <w:qFormat/>
    <w:uiPriority w:val="99"/>
    <w:pPr>
      <w:jc w:val="left"/>
    </w:p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29"/>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页眉 字符"/>
    <w:basedOn w:val="9"/>
    <w:link w:val="5"/>
    <w:qFormat/>
    <w:uiPriority w:val="0"/>
    <w:rPr>
      <w:kern w:val="2"/>
      <w:sz w:val="18"/>
      <w:szCs w:val="18"/>
    </w:rPr>
  </w:style>
  <w:style w:type="character" w:customStyle="1" w:styleId="17">
    <w:name w:val="页脚 字符"/>
    <w:basedOn w:val="9"/>
    <w:link w:val="4"/>
    <w:qFormat/>
    <w:uiPriority w:val="99"/>
    <w:rPr>
      <w:kern w:val="2"/>
      <w:sz w:val="18"/>
      <w:szCs w:val="18"/>
    </w:rPr>
  </w:style>
  <w:style w:type="paragraph" w:customStyle="1" w:styleId="18">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9">
    <w:name w:val="章标题"/>
    <w:next w:val="1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0">
    <w:name w:val="一级条标题"/>
    <w:basedOn w:val="19"/>
    <w:next w:val="15"/>
    <w:qFormat/>
    <w:uiPriority w:val="0"/>
    <w:pPr>
      <w:numPr>
        <w:ilvl w:val="2"/>
      </w:numPr>
      <w:spacing w:beforeLines="0" w:afterLines="0"/>
      <w:outlineLvl w:val="2"/>
    </w:pPr>
  </w:style>
  <w:style w:type="paragraph" w:customStyle="1" w:styleId="21">
    <w:name w:val="二级条标题"/>
    <w:basedOn w:val="20"/>
    <w:next w:val="15"/>
    <w:qFormat/>
    <w:uiPriority w:val="0"/>
    <w:pPr>
      <w:numPr>
        <w:ilvl w:val="3"/>
      </w:numPr>
      <w:outlineLvl w:val="3"/>
    </w:pPr>
  </w:style>
  <w:style w:type="paragraph" w:customStyle="1" w:styleId="22">
    <w:name w:val="三级条标题"/>
    <w:basedOn w:val="21"/>
    <w:next w:val="15"/>
    <w:qFormat/>
    <w:uiPriority w:val="0"/>
    <w:pPr>
      <w:numPr>
        <w:ilvl w:val="4"/>
      </w:numPr>
      <w:tabs>
        <w:tab w:val="left" w:pos="360"/>
      </w:tabs>
      <w:outlineLvl w:val="4"/>
    </w:pPr>
  </w:style>
  <w:style w:type="paragraph" w:customStyle="1" w:styleId="23">
    <w:name w:val="四级条标题"/>
    <w:basedOn w:val="22"/>
    <w:next w:val="15"/>
    <w:qFormat/>
    <w:uiPriority w:val="0"/>
    <w:pPr>
      <w:numPr>
        <w:ilvl w:val="5"/>
      </w:numPr>
      <w:outlineLvl w:val="5"/>
    </w:pPr>
  </w:style>
  <w:style w:type="paragraph" w:customStyle="1" w:styleId="24">
    <w:name w:val="五级条标题"/>
    <w:basedOn w:val="23"/>
    <w:next w:val="15"/>
    <w:qFormat/>
    <w:uiPriority w:val="0"/>
    <w:pPr>
      <w:numPr>
        <w:ilvl w:val="6"/>
      </w:numPr>
      <w:outlineLvl w:val="6"/>
    </w:p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styleId="27">
    <w:name w:val="Placeholder Text"/>
    <w:basedOn w:val="9"/>
    <w:semiHidden/>
    <w:qFormat/>
    <w:uiPriority w:val="99"/>
    <w:rPr>
      <w:color w:val="808080"/>
    </w:rPr>
  </w:style>
  <w:style w:type="character" w:customStyle="1" w:styleId="28">
    <w:name w:val="批注文字 字符"/>
    <w:basedOn w:val="9"/>
    <w:link w:val="2"/>
    <w:semiHidden/>
    <w:qFormat/>
    <w:uiPriority w:val="99"/>
    <w:rPr>
      <w:kern w:val="2"/>
      <w:sz w:val="21"/>
      <w:szCs w:val="22"/>
    </w:rPr>
  </w:style>
  <w:style w:type="character" w:customStyle="1" w:styleId="29">
    <w:name w:val="批注主题 字符"/>
    <w:basedOn w:val="28"/>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7240</Words>
  <Characters>8113</Characters>
  <Lines>49</Lines>
  <Paragraphs>13</Paragraphs>
  <TotalTime>19</TotalTime>
  <ScaleCrop>false</ScaleCrop>
  <LinksUpToDate>false</LinksUpToDate>
  <CharactersWithSpaces>8203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2020-09-14T14:43:00Z</dcterms:created>
  <dc:creator>Administrator</dc:creator>
  <cp:lastModifiedBy>李章炜</cp:lastModifiedBy>
  <cp:lastPrinted>2022-10-25T01:05:00Z</cp:lastPrinted>
  <dcterms:modified xsi:type="dcterms:W3CDTF">2022-10-25T03:35:33Z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B993EF774EAA4F6EB8D6F2D301CE94C2</vt:lpwstr>
  </property>
</Properties>
</file>