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eastAsia="黑体"/>
          <w:w w:val="90"/>
          <w:sz w:val="32"/>
          <w:szCs w:val="32"/>
        </w:rPr>
      </w:pPr>
      <w:r>
        <w:rPr>
          <w:rFonts w:eastAsia="黑体"/>
          <w:w w:val="90"/>
          <w:sz w:val="32"/>
          <w:szCs w:val="32"/>
        </w:rPr>
        <w:t>稀土</w:t>
      </w:r>
      <w:r>
        <w:rPr>
          <w:rFonts w:hint="eastAsia" w:eastAsia="黑体"/>
          <w:w w:val="90"/>
          <w:sz w:val="32"/>
          <w:szCs w:val="32"/>
        </w:rPr>
        <w:t>行业</w:t>
      </w:r>
      <w:r>
        <w:rPr>
          <w:rFonts w:eastAsia="黑体"/>
          <w:w w:val="90"/>
          <w:sz w:val="32"/>
          <w:szCs w:val="32"/>
        </w:rPr>
        <w:t>标准《稀土</w:t>
      </w:r>
      <w:r>
        <w:rPr>
          <w:rFonts w:hint="eastAsia" w:eastAsia="黑体"/>
          <w:w w:val="90"/>
          <w:sz w:val="32"/>
          <w:szCs w:val="32"/>
        </w:rPr>
        <w:t>氧化物中杂质元素</w:t>
      </w:r>
      <w:r>
        <w:rPr>
          <w:rFonts w:eastAsia="黑体"/>
          <w:w w:val="90"/>
          <w:sz w:val="32"/>
          <w:szCs w:val="32"/>
        </w:rPr>
        <w:t>化学分析方法</w:t>
      </w:r>
    </w:p>
    <w:p>
      <w:pPr>
        <w:spacing w:line="276" w:lineRule="auto"/>
        <w:jc w:val="center"/>
        <w:rPr>
          <w:rFonts w:eastAsia="黑体"/>
          <w:sz w:val="32"/>
          <w:szCs w:val="32"/>
        </w:rPr>
      </w:pPr>
      <w:r>
        <w:rPr>
          <w:rFonts w:hint="eastAsia" w:eastAsia="黑体"/>
          <w:w w:val="90"/>
          <w:sz w:val="32"/>
          <w:szCs w:val="32"/>
        </w:rPr>
        <w:t>辉光放电质谱法</w:t>
      </w:r>
      <w:r>
        <w:rPr>
          <w:rFonts w:eastAsia="黑体"/>
          <w:w w:val="90"/>
          <w:sz w:val="32"/>
          <w:szCs w:val="32"/>
        </w:rPr>
        <w:t>》（</w:t>
      </w:r>
      <w:r>
        <w:rPr>
          <w:rFonts w:hint="eastAsia" w:eastAsia="黑体"/>
          <w:w w:val="90"/>
          <w:sz w:val="32"/>
          <w:szCs w:val="32"/>
          <w:lang w:val="en-US" w:eastAsia="zh-CN"/>
        </w:rPr>
        <w:t>送</w:t>
      </w:r>
      <w:r>
        <w:rPr>
          <w:rFonts w:hint="eastAsia" w:eastAsia="黑体"/>
          <w:w w:val="90"/>
          <w:sz w:val="32"/>
          <w:szCs w:val="32"/>
        </w:rPr>
        <w:t>审</w:t>
      </w:r>
      <w:r>
        <w:rPr>
          <w:rFonts w:eastAsia="黑体"/>
          <w:w w:val="90"/>
          <w:sz w:val="32"/>
          <w:szCs w:val="32"/>
        </w:rPr>
        <w:t>稿）编制说明</w:t>
      </w:r>
    </w:p>
    <w:p>
      <w:pPr>
        <w:adjustRightInd w:val="0"/>
        <w:snapToGrid w:val="0"/>
        <w:spacing w:before="156" w:beforeLines="50" w:after="156" w:afterLines="50" w:line="276" w:lineRule="auto"/>
        <w:rPr>
          <w:rFonts w:eastAsia="黑体"/>
          <w:sz w:val="24"/>
          <w:szCs w:val="24"/>
        </w:rPr>
      </w:pPr>
      <w:r>
        <w:rPr>
          <w:rFonts w:eastAsia="黑体"/>
          <w:sz w:val="24"/>
          <w:szCs w:val="24"/>
        </w:rPr>
        <w:t>一、工作简况</w:t>
      </w:r>
    </w:p>
    <w:p>
      <w:pPr>
        <w:pStyle w:val="112"/>
        <w:tabs>
          <w:tab w:val="clear" w:pos="675"/>
        </w:tabs>
        <w:adjustRightInd w:val="0"/>
        <w:snapToGrid w:val="0"/>
        <w:spacing w:before="156" w:beforeLines="50" w:after="156" w:afterLines="50" w:line="276" w:lineRule="auto"/>
        <w:ind w:left="0" w:firstLine="0"/>
        <w:rPr>
          <w:rFonts w:ascii="Times New Roman"/>
        </w:rPr>
      </w:pPr>
      <w:r>
        <w:rPr>
          <w:rFonts w:ascii="Times New Roman"/>
        </w:rPr>
        <w:t>（一）任务来源</w:t>
      </w:r>
    </w:p>
    <w:p>
      <w:pPr>
        <w:adjustRightInd w:val="0"/>
        <w:snapToGrid w:val="0"/>
        <w:spacing w:before="156" w:beforeLines="50" w:after="156" w:afterLines="50" w:line="276" w:lineRule="auto"/>
        <w:ind w:firstLine="420" w:firstLineChars="200"/>
      </w:pPr>
      <w:r>
        <w:t>根据《</w:t>
      </w:r>
      <w:r>
        <w:rPr>
          <w:rFonts w:hint="eastAsia"/>
        </w:rPr>
        <w:t>工业和信息化部办公厅关于印发2020年第三批行业标准制修订和外文版项目计划的通知》（工信厅科函〔2020〕263号）</w:t>
      </w:r>
      <w:r>
        <w:t>，</w:t>
      </w:r>
      <w:r>
        <w:rPr>
          <w:rFonts w:hint="eastAsia"/>
        </w:rPr>
        <w:t>稀土行业标准《稀土氧化物中杂质元素化学分析方法 辉光放电质谱法》的任务下达，</w:t>
      </w:r>
      <w:r>
        <w:t>由包头稀土研究院</w:t>
      </w:r>
      <w:r>
        <w:rPr>
          <w:rFonts w:hint="eastAsia"/>
        </w:rPr>
        <w:t>牵头，国合通用测试评价认证股份公司、国标（北京）检验认证有限公司联合</w:t>
      </w:r>
      <w:r>
        <w:t>起草，项目计划编号为</w:t>
      </w:r>
      <w:bookmarkStart w:id="0" w:name="_Hlk58708491"/>
      <w:r>
        <w:t>20</w:t>
      </w:r>
      <w:r>
        <w:rPr>
          <w:rFonts w:hint="eastAsia"/>
        </w:rPr>
        <w:t>20-1617</w:t>
      </w:r>
      <w:r>
        <w:t>T-</w:t>
      </w:r>
      <w:bookmarkEnd w:id="0"/>
      <w:r>
        <w:rPr>
          <w:rFonts w:hint="eastAsia"/>
        </w:rPr>
        <w:t>XB，</w:t>
      </w:r>
      <w:r>
        <w:t>周期为</w:t>
      </w:r>
      <w:r>
        <w:rPr>
          <w:rFonts w:hint="eastAsia"/>
        </w:rPr>
        <w:t>18</w:t>
      </w:r>
      <w:r>
        <w:t>个月。</w:t>
      </w:r>
    </w:p>
    <w:p>
      <w:pPr>
        <w:pStyle w:val="112"/>
        <w:tabs>
          <w:tab w:val="clear" w:pos="675"/>
        </w:tabs>
        <w:adjustRightInd w:val="0"/>
        <w:snapToGrid w:val="0"/>
        <w:spacing w:before="156" w:beforeLines="50" w:after="156" w:afterLines="50" w:line="276" w:lineRule="auto"/>
        <w:ind w:left="0" w:firstLine="0"/>
        <w:rPr>
          <w:rFonts w:ascii="Times New Roman"/>
        </w:rPr>
      </w:pPr>
      <w:r>
        <w:rPr>
          <w:rFonts w:ascii="Times New Roman"/>
        </w:rPr>
        <w:t>（二）</w:t>
      </w:r>
      <w:bookmarkStart w:id="1" w:name="_Toc451633880"/>
      <w:r>
        <w:rPr>
          <w:rFonts w:ascii="Times New Roman"/>
        </w:rPr>
        <w:t>主要参加单位和工作成员及其所做的工作</w:t>
      </w:r>
      <w:bookmarkEnd w:id="1"/>
    </w:p>
    <w:p>
      <w:pPr>
        <w:adjustRightInd w:val="0"/>
        <w:snapToGrid w:val="0"/>
        <w:spacing w:before="156" w:beforeLines="50" w:after="156" w:afterLines="50" w:line="276" w:lineRule="auto"/>
        <w:rPr>
          <w:rFonts w:eastAsia="黑体"/>
        </w:rPr>
      </w:pPr>
      <w:bookmarkStart w:id="2" w:name="_Toc451633881"/>
      <w:r>
        <w:rPr>
          <w:rFonts w:eastAsia="黑体"/>
        </w:rPr>
        <w:t>1、主要参加单位情况</w:t>
      </w:r>
      <w:bookmarkEnd w:id="2"/>
    </w:p>
    <w:p>
      <w:pPr>
        <w:adjustRightInd w:val="0"/>
        <w:snapToGrid w:val="0"/>
        <w:spacing w:before="156" w:beforeLines="50" w:after="156" w:afterLines="50" w:line="276" w:lineRule="auto"/>
        <w:ind w:firstLine="420" w:firstLineChars="200"/>
      </w:pPr>
      <w:r>
        <w:t>本方法拟采用GD-MS法测</w:t>
      </w:r>
      <w:r>
        <w:rPr>
          <w:rFonts w:hint="eastAsia"/>
        </w:rPr>
        <w:t>定氧化镧、氧化铈、氧化镨、氧化钕、氧化钐、氧化铕、氧化钆、氧化铽、氧化镝、氧化钬、氧化铒、氧化铥、氧化镱、氧化镥、氧化钇和氧化钪共16类</w:t>
      </w:r>
      <w:r>
        <w:t>稀土氧化物中Na、Mg 、Al、Si、P、S、Cl、K、Ca 、Ti、V、Cr、Mn、Fe、Co、Ni、Cu、Zn、Ga、Ge、As、Se、Rb、Sr、Cd、Sn、Sb、Te、Ba、Hg、Pb、Bi、Th、U</w:t>
      </w:r>
      <w:r>
        <w:rPr>
          <w:rFonts w:hint="eastAsia"/>
        </w:rPr>
        <w:t>等杂质</w:t>
      </w:r>
      <w:r>
        <w:t>元素。</w:t>
      </w:r>
      <w:r>
        <w:rPr>
          <w:rFonts w:hint="eastAsia"/>
        </w:rPr>
        <w:t>包头稀土研究院、国合通用测试评价认证股份公司、</w:t>
      </w:r>
      <w:r>
        <w:t>国标（北京）检验认证有限公司</w:t>
      </w:r>
      <w:r>
        <w:rPr>
          <w:rFonts w:hint="eastAsia"/>
        </w:rPr>
        <w:t>、</w:t>
      </w:r>
      <w:r>
        <w:t>湖南稀土金属材料研究院</w:t>
      </w:r>
      <w:r>
        <w:rPr>
          <w:rFonts w:hint="eastAsia"/>
        </w:rPr>
        <w:t>有限责任公司、</w:t>
      </w:r>
      <w:r>
        <w:t>国家钨与稀土产品质量监督检验中心</w:t>
      </w:r>
      <w:r>
        <w:rPr>
          <w:rFonts w:hint="eastAsia"/>
        </w:rPr>
        <w:t>、北矿检测技术有限公司、中国科学院海西研究院厦门稀土材料研究所7家单位共同组成标准编制组。编制组</w:t>
      </w:r>
      <w:r>
        <w:t>的共同努力下，20</w:t>
      </w:r>
      <w:r>
        <w:rPr>
          <w:rFonts w:hint="eastAsia"/>
        </w:rPr>
        <w:t>20-1617</w:t>
      </w:r>
      <w:r>
        <w:t>T-</w:t>
      </w:r>
      <w:r>
        <w:rPr>
          <w:rFonts w:hint="eastAsia"/>
        </w:rPr>
        <w:t>XB</w:t>
      </w:r>
      <w:r>
        <w:t>《稀土</w:t>
      </w:r>
      <w:r>
        <w:rPr>
          <w:rFonts w:hint="eastAsia"/>
        </w:rPr>
        <w:t>氧化物中杂质元素的化学</w:t>
      </w:r>
      <w:r>
        <w:t xml:space="preserve">分析方法 </w:t>
      </w:r>
      <w:r>
        <w:rPr>
          <w:rFonts w:hint="eastAsia"/>
        </w:rPr>
        <w:t>辉光放电质谱法</w:t>
      </w:r>
      <w:r>
        <w:t>》必将顺利、高质量</w:t>
      </w:r>
      <w:r>
        <w:rPr>
          <w:rFonts w:hint="eastAsia"/>
        </w:rPr>
        <w:t>地</w:t>
      </w:r>
      <w:r>
        <w:t>完成。</w:t>
      </w:r>
    </w:p>
    <w:p>
      <w:pPr>
        <w:adjustRightInd w:val="0"/>
        <w:snapToGrid w:val="0"/>
        <w:spacing w:before="156" w:beforeLines="50" w:after="156" w:afterLines="50" w:line="276" w:lineRule="auto"/>
        <w:ind w:firstLine="422" w:firstLineChars="200"/>
      </w:pPr>
      <w:r>
        <w:rPr>
          <w:b/>
          <w:bCs/>
        </w:rPr>
        <w:t>包头稀土研究院</w:t>
      </w:r>
      <w:r>
        <w:t>是本项目</w:t>
      </w:r>
      <w:r>
        <w:rPr>
          <w:rFonts w:hint="eastAsia"/>
        </w:rPr>
        <w:t>牵头</w:t>
      </w:r>
      <w:r>
        <w:t>单位，</w:t>
      </w:r>
      <w:r>
        <w:rPr>
          <w:rFonts w:hint="eastAsia"/>
        </w:rPr>
        <w:t>负责氧化镧、氧化铈、氧化镨、氧化钕、氧化钐、氧化铕、氧化钆、氧化铽8类</w:t>
      </w:r>
      <w:r>
        <w:t>稀土氧化物</w:t>
      </w:r>
      <w:r>
        <w:rPr>
          <w:rFonts w:hint="eastAsia"/>
        </w:rPr>
        <w:t>方法的研究和氧化镝、氧化钬、氧化铒、氧化铥、氧化镱、氧化镥、氧化钇和氧化钪8类</w:t>
      </w:r>
      <w:r>
        <w:t>稀土氧化物</w:t>
      </w:r>
      <w:r>
        <w:rPr>
          <w:rFonts w:hint="eastAsia"/>
        </w:rPr>
        <w:t>方法的验证工作，同时负责提供标准研究过程中的统一样品。包头稀土研究院是</w:t>
      </w:r>
      <w:r>
        <w:t>以稀土冶金、环境保护、新型稀土功能材料及在高新技术领域的应用、稀土提升传统产业的技术水平、稀土分析检测、稀土情报信息为研究重点的多专业、多学科的综合性研发机构。拥有雄厚的分析检测技术力量和先进的检测设备，具有中国合格评定国家认可委员会实验室认可（CNAS）和内蒙古市场监督管理局实验室认定（CMA）资质，多年来承担多项国家、行业稀土分析方法标准的起草及国家稀土标准样品的研制工作，积累了丰富的检测经验。在标准</w:t>
      </w:r>
      <w:r>
        <w:rPr>
          <w:rFonts w:hint="eastAsia"/>
        </w:rPr>
        <w:t>制定</w:t>
      </w:r>
      <w:r>
        <w:t>过程中，负责提出标准的试验方案、试验报告，负责统一样品的制备与发放，汇总精密度数据，并进行数据处理，随后与其他标准参加单位共同形成标准征求意见稿，进行广泛的意见征集，并负责在标准预审会、审定会上进行项目介绍与答辩，最终形成报批稿，协助稀土标准化技术委员会秘书处完成标准的报批工作。</w:t>
      </w:r>
    </w:p>
    <w:p>
      <w:pPr>
        <w:adjustRightInd w:val="0"/>
        <w:snapToGrid w:val="0"/>
        <w:spacing w:before="156" w:beforeLines="50" w:after="156" w:afterLines="50" w:line="276" w:lineRule="auto"/>
        <w:ind w:firstLine="422" w:firstLineChars="200"/>
      </w:pPr>
      <w:r>
        <w:rPr>
          <w:rFonts w:hint="eastAsia"/>
          <w:b/>
        </w:rPr>
        <w:t>国合通用测试评价认证股份公司</w:t>
      </w:r>
      <w:r>
        <w:t>是</w:t>
      </w:r>
      <w:r>
        <w:rPr>
          <w:rFonts w:hint="eastAsia"/>
        </w:rPr>
        <w:t>本项目的共同起草</w:t>
      </w:r>
      <w:r>
        <w:t>单位</w:t>
      </w:r>
      <w:r>
        <w:rPr>
          <w:rFonts w:hint="eastAsia"/>
        </w:rPr>
        <w:t>，负责氧化镝、氧化钬、氧化铒、氧化铥、氧化镱、氧化镥、氧化钇和氧化钪8类</w:t>
      </w:r>
      <w:r>
        <w:t>稀土氧化物</w:t>
      </w:r>
      <w:r>
        <w:rPr>
          <w:rFonts w:hint="eastAsia"/>
        </w:rPr>
        <w:t>方法的研究和氧化镧、氧化铈、氧化镨、氧化钕、氧化钐、氧化铕、氧化钆、氧化铽8类</w:t>
      </w:r>
      <w:r>
        <w:t>稀土氧化物</w:t>
      </w:r>
      <w:r>
        <w:rPr>
          <w:rFonts w:hint="eastAsia"/>
        </w:rPr>
        <w:t>方法的验证工作</w:t>
      </w:r>
      <w:r>
        <w:t>。</w:t>
      </w:r>
      <w:r>
        <w:rPr>
          <w:rFonts w:hint="eastAsia"/>
        </w:rPr>
        <w:t>国合通用测试评价认证股份公司是中国权威的第三方检验认证服务机构，是“国家新材料测试评价平台主中心”的建设单位，承担多项国家重点研发计划和国家重大科学仪器设备开发专项等科研任务，是我国稀土和有色金属分析测试行业的龙头单位。起草发布稀土分析方法国家标准40余项项、行业标准30余项，并获相关省部级一等奖1项，二等奖20余项。在本标准项目工作中，该公司与包头稀土院共同组织推进了项目的研究起草工作，并具体承担了从镝到钪共8种稀土氧化物的条件实验研究，汇总统计精密度数据，起草预审稿等工作。</w:t>
      </w:r>
    </w:p>
    <w:p>
      <w:pPr>
        <w:adjustRightInd w:val="0"/>
        <w:snapToGrid w:val="0"/>
        <w:spacing w:before="156" w:beforeLines="50" w:after="156" w:afterLines="50" w:line="276" w:lineRule="auto"/>
        <w:ind w:firstLine="422" w:firstLineChars="200"/>
      </w:pPr>
      <w:r>
        <w:rPr>
          <w:b/>
          <w:bCs/>
        </w:rPr>
        <w:t>国标（北京）检验认证有限公司</w:t>
      </w:r>
      <w:r>
        <w:t>是</w:t>
      </w:r>
      <w:r>
        <w:rPr>
          <w:rFonts w:hint="eastAsia"/>
        </w:rPr>
        <w:t>本项目的共同起草</w:t>
      </w:r>
      <w:r>
        <w:t>单位</w:t>
      </w:r>
      <w:r>
        <w:rPr>
          <w:rFonts w:hint="eastAsia"/>
        </w:rPr>
        <w:t>，负责氧化镝、氧化钬、氧化铒、氧化铥、氧化镱、氧化镥、氧化钇和氧化钪8类</w:t>
      </w:r>
      <w:r>
        <w:t>稀土氧化物</w:t>
      </w:r>
      <w:r>
        <w:rPr>
          <w:rFonts w:hint="eastAsia"/>
        </w:rPr>
        <w:t>方法的研究和氧化镧、氧化铈、氧化镨、氧化钕、氧化钐、氧化铕、氧化钆、氧化铽8类</w:t>
      </w:r>
      <w:r>
        <w:t>稀土氧化物</w:t>
      </w:r>
      <w:r>
        <w:rPr>
          <w:rFonts w:hint="eastAsia"/>
        </w:rPr>
        <w:t>方法的验证工作</w:t>
      </w:r>
      <w:r>
        <w:t>。国标（北京）检验认证有限公司是国资委下属央企有研科技集团有限公司二级单位国合通用测试评价认证股份公司子公司，管理并运营着国家有色金属及电子材料分析测试中心与国家有色金属质量监督检验中心，是我国有色金属及电子材料领域的权威检测机构，同时也是我国有色金属行业分析测试标准的主要起草单位之一。国标检验拥有雄厚的技术力量，专业的人才队伍，先进齐全的仪器装备，以及依据国际标准制定的质量管理体系。公司致力于为广大客户提供全面、优质高效的检测服务</w:t>
      </w:r>
      <w:r>
        <w:rPr>
          <w:rFonts w:hint="eastAsia"/>
        </w:rPr>
        <w:t>。</w:t>
      </w:r>
      <w:r>
        <w:t>在标准起草期间，在标准</w:t>
      </w:r>
      <w:r>
        <w:rPr>
          <w:rFonts w:hint="eastAsia"/>
        </w:rPr>
        <w:t>制定</w:t>
      </w:r>
      <w:r>
        <w:t>过程中，</w:t>
      </w:r>
      <w:r>
        <w:rPr>
          <w:rFonts w:hint="eastAsia"/>
        </w:rPr>
        <w:t>同项目牵头单位</w:t>
      </w:r>
      <w:r>
        <w:t>提出标准的试验方案、试验报告，汇总精密度数据，并进行数据处理，随后与其他标准参加单位共同形成标准征求意见稿，进行广泛的意见征集，并负责在标准预审会、审定会上进行项目介绍与答辩，最终形成报批稿，协助稀土标准化技术委员会秘书处完成标准的报批工作</w:t>
      </w:r>
    </w:p>
    <w:p>
      <w:pPr>
        <w:adjustRightInd w:val="0"/>
        <w:snapToGrid w:val="0"/>
        <w:spacing w:before="156" w:beforeLines="50" w:after="156" w:afterLines="50" w:line="276" w:lineRule="auto"/>
        <w:ind w:firstLine="422" w:firstLineChars="200"/>
      </w:pPr>
      <w:r>
        <w:rPr>
          <w:b/>
          <w:bCs/>
        </w:rPr>
        <w:t>湖南稀土金属材料研究院</w:t>
      </w:r>
      <w:r>
        <w:rPr>
          <w:rFonts w:hint="eastAsia"/>
          <w:b/>
          <w:bCs/>
        </w:rPr>
        <w:t>有限责任公司</w:t>
      </w:r>
      <w:r>
        <w:rPr>
          <w:rFonts w:hint="eastAsia"/>
        </w:rPr>
        <w:t>是该标准方法</w:t>
      </w:r>
      <w:r>
        <w:t>的</w:t>
      </w:r>
      <w:r>
        <w:rPr>
          <w:rFonts w:hint="eastAsia"/>
        </w:rPr>
        <w:t>验证单位。湖南稀土金属材料研究院有限责任公司创建于1958年，一直从事稀土科研和军用稀土新材料研制工作，是我国最早从事稀土材料应用研究开发的科研单位，同时也是有色军工稀土新材料研制开发的定点单位，现有在职职工260人，其中：教授级高级工程师7人、高级工程师48人、工程师等技术骨干77人、享受政府津贴的专家7人，技术力量雄厚，在氧化钪与金属钪、铝钪中间合金，高纯中重稀土氧化物、稀土超细微粉、高纯稀土金属和合金型材(棒、片、粉、粒、丝、管、箔)、稀土储氢材料、六硼化镧阴极材料、稀土激光晶体材料、稀土磁致伸缩材料等方面研究处于国内领先水平。作为长期从事稀土材料开发应用单位，先后主持及参与了《六硼化镧化学分析方法》、《金属钪》、《氧化钪》、《六硼化镧》、《金属钇》、《铝钪中间合金》、《钕镁合金》、《氧化镨》、《钕镁合金化学分析方法》、《钇铝合金》、《独居石精矿》、《金属钇》、《镧铜合金》《稀土产品包装标志运输和贮存》等31项稀土标准的修制订工作。</w:t>
      </w:r>
    </w:p>
    <w:p>
      <w:pPr>
        <w:spacing w:line="276" w:lineRule="auto"/>
        <w:ind w:firstLine="420"/>
      </w:pPr>
      <w:r>
        <w:rPr>
          <w:b/>
          <w:bCs/>
        </w:rPr>
        <w:t>国家钨与稀土产品质量监督检验中心</w:t>
      </w:r>
      <w:r>
        <w:rPr>
          <w:rFonts w:hint="eastAsia"/>
        </w:rPr>
        <w:t>是该标准方法</w:t>
      </w:r>
      <w:r>
        <w:t>的</w:t>
      </w:r>
      <w:r>
        <w:rPr>
          <w:rFonts w:hint="eastAsia"/>
        </w:rPr>
        <w:t>验证单位。国家钨与稀土产品质量检验检测中心于2007年6月经国家质检总局批准筹建，2008年建成，2009年投入运行，2010年10月正式通过国家质检总局和国家认监委验收，是全国唯一的钨与稀土产品质量监督国家级法定技术机构，直属于江西省市场监督管理局，是独立公正的第三方检测机构。中心现有员工76人，其中博士1人，在读博士3人，硕士16人，设备原值达到7000万，包括GD-MS、ICP-MS/MS、XRD、SEM、XRF、TG-QMS、GC-MS、ICP-OES、激光粒度仪等一批具有国际先进的大型仪器设备。中心主要职能是开展钨与稀土等有色金属矿产品检验、地质实验测试、环境监测与检验、检测技术培训和有色金属领域内科学技术研究、开发与推广以及标准研究与制定等工作。目前，中心通过CNAS认证的检测能力有4大类、50种类别、452个参数，通过省级CMA认证的检测能力有7大类、79种类别、956个参数，产品检测范围从钨、稀土等几十种有色金属原矿及前端初级产品，一直延伸至产业链的后端下游产品。中心参与了我国首批1个稀土国际标准的标准制定，以及2个稀土国家标准外文版翻译校核工作；主导制定稀土有色行业等国家标准6项、行业标准5项、省地方标准7项；参与制定国家和行业标准32项。</w:t>
      </w:r>
    </w:p>
    <w:p>
      <w:pPr>
        <w:adjustRightInd w:val="0"/>
        <w:snapToGrid w:val="0"/>
        <w:spacing w:before="156" w:beforeLines="50" w:after="156" w:afterLines="50" w:line="276" w:lineRule="auto"/>
        <w:ind w:firstLine="422" w:firstLineChars="200"/>
      </w:pPr>
      <w:r>
        <w:rPr>
          <w:rFonts w:hint="eastAsia"/>
          <w:b/>
          <w:bCs/>
        </w:rPr>
        <w:t>北矿检测技术有限公司</w:t>
      </w:r>
      <w:r>
        <w:rPr>
          <w:rFonts w:hint="eastAsia"/>
        </w:rPr>
        <w:t>是该标准方法</w:t>
      </w:r>
      <w:r>
        <w:t>的</w:t>
      </w:r>
      <w:r>
        <w:rPr>
          <w:rFonts w:hint="eastAsia"/>
        </w:rPr>
        <w:t>验证单位，</w:t>
      </w:r>
      <w:r>
        <w:t>成立于2016年10月31日，其前身北京矿冶研究总院测试研究所源于1956年建立的北京矿冶研究总院分析研究室，同时为国家重有色金属质量监督检验中心、国家进出口商品检验有色金属认可实验室、中国有色金属工业重金属质检中心、科技成果检测鉴定国家级检测机构，金属矿产资源评价与分析检测北京市重点实验室，在国内有色金属分析领域具有权威地位，在国际上享有一定声誉。</w:t>
      </w:r>
      <w:r>
        <w:rPr>
          <w:rFonts w:hint="eastAsia"/>
        </w:rPr>
        <w:t>一直主导矿石及精矿、重有色金属、选矿药剂等国家和行业标准的制修订，并参与ISO/TC26、ISO/TC155及ISO/TC183 技术委员会的工作，现已发布各种标准300余项。业务涵盖矿石及矿产品分析、冶炼产品分析、环境样品分析、再生资源分析、先进材料成分及性能测试、选冶药剂分析、资源评价与物理检测、测试技术研发及标准化、测试技术推广等领域。</w:t>
      </w:r>
    </w:p>
    <w:p>
      <w:pPr>
        <w:adjustRightInd w:val="0"/>
        <w:snapToGrid w:val="0"/>
        <w:spacing w:before="156" w:beforeLines="50" w:after="156" w:afterLines="50" w:line="276" w:lineRule="auto"/>
        <w:ind w:firstLine="422" w:firstLineChars="200"/>
        <w:rPr>
          <w:b/>
          <w:bCs/>
        </w:rPr>
      </w:pPr>
      <w:r>
        <w:rPr>
          <w:rFonts w:hint="eastAsia"/>
          <w:b/>
          <w:bCs/>
        </w:rPr>
        <w:t>中国科学院海西研究院厦门稀土材料研究所</w:t>
      </w:r>
      <w:r>
        <w:rPr>
          <w:rFonts w:hint="eastAsia"/>
        </w:rPr>
        <w:t>是该标准方法</w:t>
      </w:r>
      <w:r>
        <w:t>的</w:t>
      </w:r>
      <w:r>
        <w:rPr>
          <w:rFonts w:hint="eastAsia"/>
        </w:rPr>
        <w:t xml:space="preserve">验证单位，位于厦门集美区，占地面积97亩，总建设规模约11万平方米，与海西材料所、海西制造所、海西动力所、海峡两岸科技合作交流中心以及福建物质结构研究所（保留）共同组成海西研究院，稀土材料研究所是隶属于中国科学院海西研究院的独立法人机构。厦门稀土材料研究所立足于福建省稀土资源优势和厦门现有稀土企（产）业基础，以稀土功能材料开发应用为导向，着重稀土科学的基础理论和技术研究，前瞻布局稀土科技研发，有效聚集稀土科研力量，打造国家级稀土材料研发基地、稀土材料应用技术研发与产业化示范基地，引领和带动全国稀土产业的健康快速发展。 </w:t>
      </w:r>
    </w:p>
    <w:p>
      <w:pPr>
        <w:adjustRightInd w:val="0"/>
        <w:snapToGrid w:val="0"/>
        <w:spacing w:before="156" w:beforeLines="50" w:after="156" w:afterLines="50" w:line="276" w:lineRule="auto"/>
        <w:rPr>
          <w:rFonts w:eastAsia="黑体"/>
        </w:rPr>
      </w:pPr>
      <w:r>
        <w:rPr>
          <w:rFonts w:eastAsia="黑体"/>
        </w:rPr>
        <w:t>2、主要工作成员所负责的工作情况</w:t>
      </w:r>
    </w:p>
    <w:p>
      <w:pPr>
        <w:adjustRightInd w:val="0"/>
        <w:snapToGrid w:val="0"/>
        <w:spacing w:before="156" w:beforeLines="50" w:after="156" w:afterLines="50" w:line="276" w:lineRule="auto"/>
        <w:ind w:firstLine="420" w:firstLineChars="200"/>
      </w:pPr>
      <w:r>
        <w:t>本标准主要起草人及工作职责见表1。</w:t>
      </w:r>
    </w:p>
    <w:p>
      <w:pPr>
        <w:adjustRightInd w:val="0"/>
        <w:snapToGrid w:val="0"/>
        <w:spacing w:before="156" w:beforeLines="50" w:after="156" w:afterLines="50" w:line="276" w:lineRule="auto"/>
        <w:ind w:firstLine="420" w:firstLineChars="200"/>
        <w:jc w:val="center"/>
        <w:rPr>
          <w:rFonts w:eastAsia="黑体"/>
        </w:rPr>
      </w:pPr>
      <w:r>
        <w:rPr>
          <w:rFonts w:eastAsia="黑体"/>
        </w:rPr>
        <w:t>表1  主要起草人及工作职责</w:t>
      </w:r>
    </w:p>
    <w:tbl>
      <w:tblPr>
        <w:tblStyle w:val="89"/>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4"/>
        <w:gridCol w:w="7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4" w:type="dxa"/>
            <w:vAlign w:val="center"/>
          </w:tcPr>
          <w:p>
            <w:pPr>
              <w:adjustRightInd w:val="0"/>
              <w:snapToGrid w:val="0"/>
              <w:spacing w:before="156" w:beforeLines="50" w:after="156" w:afterLines="50" w:line="276" w:lineRule="auto"/>
              <w:ind w:firstLine="360" w:firstLineChars="200"/>
              <w:jc w:val="center"/>
              <w:rPr>
                <w:rFonts w:eastAsia="黑体"/>
                <w:sz w:val="18"/>
                <w:szCs w:val="18"/>
              </w:rPr>
            </w:pPr>
            <w:r>
              <w:rPr>
                <w:rFonts w:eastAsia="黑体"/>
                <w:sz w:val="18"/>
                <w:szCs w:val="18"/>
              </w:rPr>
              <w:t>起草人</w:t>
            </w:r>
          </w:p>
        </w:tc>
        <w:tc>
          <w:tcPr>
            <w:tcW w:w="7178" w:type="dxa"/>
            <w:vAlign w:val="center"/>
          </w:tcPr>
          <w:p>
            <w:pPr>
              <w:adjustRightInd w:val="0"/>
              <w:snapToGrid w:val="0"/>
              <w:spacing w:before="156" w:beforeLines="50" w:after="156" w:afterLines="50" w:line="276" w:lineRule="auto"/>
              <w:ind w:firstLine="360" w:firstLineChars="200"/>
              <w:jc w:val="center"/>
              <w:rPr>
                <w:rFonts w:eastAsia="黑体"/>
                <w:sz w:val="18"/>
                <w:szCs w:val="18"/>
              </w:rPr>
            </w:pPr>
            <w:r>
              <w:rPr>
                <w:rFonts w:eastAsia="黑体"/>
                <w:sz w:val="18"/>
                <w:szCs w:val="18"/>
              </w:rPr>
              <w:t>工作职责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4" w:type="dxa"/>
            <w:vAlign w:val="center"/>
          </w:tcPr>
          <w:p>
            <w:pPr>
              <w:pStyle w:val="81"/>
              <w:adjustRightInd w:val="0"/>
              <w:snapToGrid w:val="0"/>
              <w:spacing w:before="156" w:beforeLines="50" w:beforeAutospacing="0" w:after="156" w:afterLines="50" w:afterAutospacing="0" w:line="276" w:lineRule="auto"/>
              <w:ind w:firstLine="360" w:firstLineChars="200"/>
              <w:jc w:val="center"/>
              <w:rPr>
                <w:rFonts w:ascii="Times New Roman" w:hAnsi="Times New Roman" w:cs="Times New Roman"/>
                <w:sz w:val="18"/>
                <w:szCs w:val="18"/>
              </w:rPr>
            </w:pPr>
            <w:r>
              <w:rPr>
                <w:rFonts w:hint="eastAsia" w:ascii="Times New Roman" w:hAnsi="Times New Roman" w:cs="Times New Roman"/>
                <w:sz w:val="18"/>
                <w:szCs w:val="18"/>
              </w:rPr>
              <w:t>李建亭</w:t>
            </w:r>
          </w:p>
        </w:tc>
        <w:tc>
          <w:tcPr>
            <w:tcW w:w="7178" w:type="dxa"/>
            <w:vAlign w:val="center"/>
          </w:tcPr>
          <w:p>
            <w:pPr>
              <w:pStyle w:val="81"/>
              <w:adjustRightInd w:val="0"/>
              <w:snapToGrid w:val="0"/>
              <w:spacing w:before="156" w:beforeLines="50" w:beforeAutospacing="0" w:after="156" w:afterLines="50" w:afterAutospacing="0"/>
              <w:rPr>
                <w:rFonts w:ascii="Times New Roman" w:hAnsi="Times New Roman" w:cs="Times New Roman"/>
                <w:sz w:val="18"/>
                <w:szCs w:val="18"/>
              </w:rPr>
            </w:pPr>
            <w:r>
              <w:rPr>
                <w:rFonts w:ascii="Times New Roman" w:hAnsi="Times New Roman" w:cs="Times New Roman"/>
                <w:sz w:val="18"/>
                <w:szCs w:val="18"/>
              </w:rPr>
              <w:t>负责</w:t>
            </w:r>
            <w:r>
              <w:rPr>
                <w:rFonts w:hint="eastAsia" w:ascii="Times New Roman" w:hAnsi="Times New Roman" w:cs="Times New Roman"/>
                <w:sz w:val="18"/>
                <w:szCs w:val="18"/>
              </w:rPr>
              <w:t>本标准的论证和案编写，与共同起草单位一起组织研究工作，负责从氧化镧到氧化铽的8种稀土氧化物前期研究工作。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4" w:type="dxa"/>
            <w:vAlign w:val="center"/>
          </w:tcPr>
          <w:p>
            <w:pPr>
              <w:pStyle w:val="81"/>
              <w:adjustRightInd w:val="0"/>
              <w:snapToGrid w:val="0"/>
              <w:spacing w:before="156" w:beforeLines="50" w:beforeAutospacing="0" w:after="156" w:afterLines="50" w:afterAutospacing="0" w:line="276" w:lineRule="auto"/>
              <w:ind w:firstLine="360" w:firstLineChars="200"/>
              <w:jc w:val="center"/>
              <w:rPr>
                <w:rFonts w:ascii="Times New Roman" w:hAnsi="Times New Roman" w:cs="Times New Roman"/>
                <w:sz w:val="18"/>
                <w:szCs w:val="18"/>
              </w:rPr>
            </w:pPr>
            <w:r>
              <w:rPr>
                <w:rFonts w:hint="eastAsia" w:ascii="Times New Roman" w:hAnsi="Times New Roman" w:cs="Times New Roman"/>
                <w:sz w:val="18"/>
                <w:szCs w:val="18"/>
              </w:rPr>
              <w:t>张秀艳、贾晓琪</w:t>
            </w:r>
          </w:p>
        </w:tc>
        <w:tc>
          <w:tcPr>
            <w:tcW w:w="7178" w:type="dxa"/>
            <w:vAlign w:val="center"/>
          </w:tcPr>
          <w:p>
            <w:pPr>
              <w:pStyle w:val="81"/>
              <w:adjustRightInd w:val="0"/>
              <w:snapToGrid w:val="0"/>
              <w:spacing w:before="156" w:beforeLines="50" w:beforeAutospacing="0" w:after="156" w:afterLines="50" w:afterAutospacing="0"/>
              <w:rPr>
                <w:rFonts w:ascii="Times New Roman" w:hAnsi="Times New Roman" w:cs="Times New Roman"/>
                <w:sz w:val="18"/>
                <w:szCs w:val="18"/>
              </w:rPr>
            </w:pPr>
            <w:r>
              <w:rPr>
                <w:rFonts w:hint="eastAsia" w:ascii="Times New Roman" w:hAnsi="Times New Roman" w:cs="Times New Roman"/>
                <w:sz w:val="18"/>
                <w:szCs w:val="18"/>
              </w:rPr>
              <w:t>研究工作负责从氧化镧到氧化铽的8种稀土氧化物的研究测试和数据统计汇总工作，同时负责氧化镝到氧化钪的8种稀土氧化物的测试工作。负责从氧化镧到氧化铽的8种稀土氧化物的标准样品和控制样品定值，统一样品准备。与共同起草单位一起完成研究报告</w:t>
            </w:r>
            <w:r>
              <w:rPr>
                <w:rFonts w:ascii="Times New Roman" w:hAnsi="Times New Roman" w:cs="Times New Roman"/>
                <w:sz w:val="18"/>
                <w:szCs w:val="18"/>
              </w:rPr>
              <w:t>、编制说明</w:t>
            </w:r>
            <w:r>
              <w:rPr>
                <w:rFonts w:hint="eastAsia" w:ascii="Times New Roman" w:hAnsi="Times New Roman"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4" w:type="dxa"/>
            <w:vAlign w:val="center"/>
          </w:tcPr>
          <w:p>
            <w:pPr>
              <w:pStyle w:val="81"/>
              <w:adjustRightInd w:val="0"/>
              <w:snapToGrid w:val="0"/>
              <w:spacing w:before="156" w:beforeLines="50" w:beforeAutospacing="0" w:after="156" w:afterLines="50" w:afterAutospacing="0" w:line="276" w:lineRule="auto"/>
              <w:ind w:firstLine="360" w:firstLineChars="200"/>
              <w:jc w:val="center"/>
              <w:rPr>
                <w:rFonts w:ascii="Times New Roman" w:hAnsi="Times New Roman" w:cs="Times New Roman"/>
                <w:sz w:val="18"/>
                <w:szCs w:val="18"/>
              </w:rPr>
            </w:pPr>
            <w:r>
              <w:rPr>
                <w:rFonts w:hint="eastAsia" w:ascii="Times New Roman" w:hAnsi="Times New Roman" w:cs="Times New Roman"/>
                <w:sz w:val="18"/>
                <w:szCs w:val="18"/>
              </w:rPr>
              <w:t>刘鹏宇、刘红</w:t>
            </w:r>
          </w:p>
        </w:tc>
        <w:tc>
          <w:tcPr>
            <w:tcW w:w="7178" w:type="dxa"/>
            <w:vAlign w:val="center"/>
          </w:tcPr>
          <w:p>
            <w:pPr>
              <w:pStyle w:val="81"/>
              <w:adjustRightInd w:val="0"/>
              <w:snapToGrid w:val="0"/>
              <w:spacing w:before="156" w:beforeLines="50" w:beforeAutospacing="0" w:after="156" w:afterLines="50" w:afterAutospacing="0" w:line="276" w:lineRule="auto"/>
              <w:rPr>
                <w:rFonts w:ascii="Times New Roman" w:hAnsi="Times New Roman" w:cs="Times New Roman"/>
                <w:sz w:val="18"/>
                <w:szCs w:val="18"/>
              </w:rPr>
            </w:pPr>
            <w:r>
              <w:rPr>
                <w:rFonts w:hint="eastAsia" w:ascii="Times New Roman" w:hAnsi="Times New Roman" w:cs="Times New Roman"/>
                <w:sz w:val="18"/>
                <w:szCs w:val="18"/>
              </w:rPr>
              <w:t>与包院共同组织本标准的起草工作，负责从氧化镝到氧化钪的8种稀土氧化物的研究工作，并编制相应部分的研究报告，起草了预审稿。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4" w:type="dxa"/>
            <w:vAlign w:val="center"/>
          </w:tcPr>
          <w:p>
            <w:pPr>
              <w:pStyle w:val="81"/>
              <w:adjustRightInd w:val="0"/>
              <w:snapToGrid w:val="0"/>
              <w:spacing w:before="156" w:beforeLines="50" w:beforeAutospacing="0" w:after="156" w:afterLines="50" w:afterAutospacing="0" w:line="276" w:lineRule="auto"/>
              <w:ind w:firstLine="360" w:firstLineChars="200"/>
              <w:jc w:val="center"/>
              <w:rPr>
                <w:rFonts w:ascii="Times New Roman" w:hAnsi="Times New Roman" w:cs="Times New Roman"/>
                <w:sz w:val="18"/>
                <w:szCs w:val="18"/>
                <w:highlight w:val="green"/>
              </w:rPr>
            </w:pPr>
            <w:r>
              <w:rPr>
                <w:rFonts w:hint="eastAsia" w:ascii="Times New Roman" w:hAnsi="Times New Roman" w:cs="Times New Roman"/>
                <w:sz w:val="18"/>
                <w:szCs w:val="18"/>
              </w:rPr>
              <w:t>胡芳菲、刘丽媛</w:t>
            </w:r>
          </w:p>
        </w:tc>
        <w:tc>
          <w:tcPr>
            <w:tcW w:w="7178" w:type="dxa"/>
            <w:vAlign w:val="center"/>
          </w:tcPr>
          <w:p>
            <w:pPr>
              <w:pStyle w:val="81"/>
              <w:adjustRightInd w:val="0"/>
              <w:snapToGrid w:val="0"/>
              <w:spacing w:before="156" w:beforeLines="50" w:beforeAutospacing="0" w:after="156" w:afterLines="50" w:afterAutospacing="0" w:line="276" w:lineRule="auto"/>
              <w:rPr>
                <w:rFonts w:ascii="Times New Roman" w:hAnsi="Times New Roman" w:cs="Times New Roman"/>
                <w:sz w:val="18"/>
                <w:szCs w:val="18"/>
                <w:highlight w:val="green"/>
              </w:rPr>
            </w:pPr>
            <w:r>
              <w:rPr>
                <w:rFonts w:hint="eastAsia" w:ascii="Times New Roman" w:hAnsi="Times New Roman" w:cs="Times New Roman"/>
                <w:sz w:val="18"/>
                <w:szCs w:val="18"/>
              </w:rPr>
              <w:t>采用其它方法为</w:t>
            </w:r>
            <w:r>
              <w:rPr>
                <w:rFonts w:ascii="Times New Roman" w:hAnsi="Times New Roman" w:cs="Times New Roman"/>
                <w:sz w:val="18"/>
                <w:szCs w:val="18"/>
              </w:rPr>
              <w:t>8</w:t>
            </w:r>
            <w:r>
              <w:rPr>
                <w:rFonts w:hint="eastAsia" w:ascii="Times New Roman" w:hAnsi="Times New Roman" w:cs="Times New Roman"/>
                <w:sz w:val="18"/>
                <w:szCs w:val="18"/>
              </w:rPr>
              <w:t>种控制样品定值。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4" w:type="dxa"/>
            <w:vAlign w:val="center"/>
          </w:tcPr>
          <w:p>
            <w:pPr>
              <w:pStyle w:val="81"/>
              <w:adjustRightInd w:val="0"/>
              <w:snapToGrid w:val="0"/>
              <w:spacing w:before="156" w:beforeLines="50" w:beforeAutospacing="0" w:after="156" w:afterLines="50" w:afterAutospacing="0" w:line="276" w:lineRule="auto"/>
              <w:ind w:firstLine="360" w:firstLineChars="200"/>
              <w:jc w:val="center"/>
              <w:rPr>
                <w:rFonts w:ascii="Times New Roman" w:hAnsi="Times New Roman" w:cs="Times New Roman"/>
                <w:sz w:val="18"/>
                <w:szCs w:val="18"/>
              </w:rPr>
            </w:pPr>
            <w:r>
              <w:rPr>
                <w:rFonts w:hint="eastAsia" w:ascii="Times New Roman" w:hAnsi="Times New Roman" w:cs="Times New Roman"/>
                <w:sz w:val="18"/>
                <w:szCs w:val="18"/>
              </w:rPr>
              <w:t>刘荣丽</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王贵超</w:t>
            </w:r>
          </w:p>
        </w:tc>
        <w:tc>
          <w:tcPr>
            <w:tcW w:w="7178" w:type="dxa"/>
            <w:vAlign w:val="center"/>
          </w:tcPr>
          <w:p>
            <w:pPr>
              <w:pStyle w:val="81"/>
              <w:adjustRightInd w:val="0"/>
              <w:snapToGrid w:val="0"/>
              <w:spacing w:before="156" w:beforeLines="50" w:beforeAutospacing="0" w:after="156" w:afterLines="50" w:afterAutospacing="0" w:line="276" w:lineRule="auto"/>
              <w:rPr>
                <w:rFonts w:ascii="Times New Roman" w:hAnsi="Times New Roman" w:cs="Times New Roman"/>
                <w:sz w:val="18"/>
                <w:szCs w:val="18"/>
              </w:rPr>
            </w:pPr>
            <w:r>
              <w:rPr>
                <w:rFonts w:ascii="Times New Roman" w:hAnsi="Times New Roman" w:cs="Times New Roman"/>
                <w:sz w:val="18"/>
                <w:szCs w:val="18"/>
              </w:rPr>
              <w:t>验证人员，对</w:t>
            </w:r>
            <w:r>
              <w:rPr>
                <w:rFonts w:hint="eastAsia" w:ascii="Times New Roman" w:hAnsi="Times New Roman" w:cs="Times New Roman"/>
                <w:sz w:val="18"/>
                <w:szCs w:val="18"/>
                <w:lang w:val="en-US" w:eastAsia="zh-CN"/>
              </w:rPr>
              <w:t>方法及</w:t>
            </w:r>
            <w:r>
              <w:rPr>
                <w:rFonts w:ascii="Times New Roman" w:hAnsi="Times New Roman" w:cs="Times New Roman"/>
                <w:sz w:val="18"/>
                <w:szCs w:val="18"/>
              </w:rPr>
              <w:t>条件</w:t>
            </w:r>
            <w:r>
              <w:rPr>
                <w:rFonts w:hint="eastAsia" w:ascii="Times New Roman" w:hAnsi="Times New Roman" w:cs="Times New Roman"/>
                <w:sz w:val="18"/>
                <w:szCs w:val="18"/>
                <w:lang w:val="en-US" w:eastAsia="zh-CN"/>
              </w:rPr>
              <w:t>试</w:t>
            </w:r>
            <w:r>
              <w:rPr>
                <w:rFonts w:ascii="Times New Roman" w:hAnsi="Times New Roman" w:cs="Times New Roman"/>
                <w:sz w:val="18"/>
                <w:szCs w:val="18"/>
              </w:rPr>
              <w:t>验进行了验证，并完成精密度数据</w:t>
            </w:r>
            <w:r>
              <w:rPr>
                <w:rFonts w:hint="eastAsia" w:ascii="Times New Roman" w:hAnsi="Times New Roman" w:cs="Times New Roman"/>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4" w:type="dxa"/>
            <w:vAlign w:val="center"/>
          </w:tcPr>
          <w:p>
            <w:pPr>
              <w:adjustRightInd w:val="0"/>
              <w:snapToGrid w:val="0"/>
              <w:spacing w:before="156" w:beforeLines="50" w:after="156" w:afterLines="50" w:line="276" w:lineRule="auto"/>
              <w:ind w:firstLine="360" w:firstLineChars="200"/>
              <w:jc w:val="center"/>
              <w:rPr>
                <w:sz w:val="18"/>
                <w:szCs w:val="18"/>
              </w:rPr>
            </w:pPr>
            <w:r>
              <w:rPr>
                <w:rFonts w:hint="eastAsia"/>
                <w:sz w:val="18"/>
                <w:szCs w:val="18"/>
              </w:rPr>
              <w:t>冯先进</w:t>
            </w:r>
          </w:p>
        </w:tc>
        <w:tc>
          <w:tcPr>
            <w:tcW w:w="7178" w:type="dxa"/>
            <w:vAlign w:val="center"/>
          </w:tcPr>
          <w:p>
            <w:pPr>
              <w:pStyle w:val="81"/>
              <w:adjustRightInd w:val="0"/>
              <w:snapToGrid w:val="0"/>
              <w:spacing w:before="156" w:beforeLines="50" w:beforeAutospacing="0" w:after="156" w:afterLines="50" w:afterAutospacing="0" w:line="276" w:lineRule="auto"/>
              <w:rPr>
                <w:rFonts w:ascii="Times New Roman" w:hAnsi="Times New Roman" w:cs="Times New Roman"/>
                <w:sz w:val="18"/>
                <w:szCs w:val="18"/>
              </w:rPr>
            </w:pPr>
            <w:r>
              <w:rPr>
                <w:rFonts w:ascii="Times New Roman" w:hAnsi="Times New Roman" w:cs="Times New Roman"/>
                <w:sz w:val="18"/>
                <w:szCs w:val="18"/>
              </w:rPr>
              <w:t>验证人员，对</w:t>
            </w:r>
            <w:r>
              <w:rPr>
                <w:rFonts w:hint="eastAsia" w:ascii="Times New Roman" w:hAnsi="Times New Roman" w:cs="Times New Roman"/>
                <w:sz w:val="18"/>
                <w:szCs w:val="18"/>
                <w:lang w:val="en-US" w:eastAsia="zh-CN"/>
              </w:rPr>
              <w:t>方法</w:t>
            </w:r>
            <w:r>
              <w:rPr>
                <w:rFonts w:ascii="Times New Roman" w:hAnsi="Times New Roman" w:cs="Times New Roman"/>
                <w:sz w:val="18"/>
                <w:szCs w:val="18"/>
              </w:rPr>
              <w:t>进行了验证，并完成精密度数据</w:t>
            </w:r>
            <w:r>
              <w:rPr>
                <w:rFonts w:hint="eastAsia" w:ascii="Times New Roman" w:hAnsi="Times New Roman" w:cs="Times New Roman"/>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2064" w:type="dxa"/>
            <w:vAlign w:val="center"/>
          </w:tcPr>
          <w:p>
            <w:pPr>
              <w:adjustRightInd w:val="0"/>
              <w:snapToGrid w:val="0"/>
              <w:spacing w:before="156" w:beforeLines="50" w:after="156" w:afterLines="50" w:line="276" w:lineRule="auto"/>
              <w:ind w:firstLine="360" w:firstLineChars="200"/>
              <w:jc w:val="center"/>
              <w:rPr>
                <w:sz w:val="18"/>
                <w:szCs w:val="18"/>
              </w:rPr>
            </w:pPr>
            <w:r>
              <w:rPr>
                <w:rFonts w:hint="eastAsia"/>
                <w:sz w:val="18"/>
                <w:szCs w:val="18"/>
              </w:rPr>
              <w:t>宋立军</w:t>
            </w:r>
          </w:p>
        </w:tc>
        <w:tc>
          <w:tcPr>
            <w:tcW w:w="7178" w:type="dxa"/>
            <w:vAlign w:val="center"/>
          </w:tcPr>
          <w:p>
            <w:pPr>
              <w:pStyle w:val="81"/>
              <w:adjustRightInd w:val="0"/>
              <w:snapToGrid w:val="0"/>
              <w:spacing w:before="156" w:beforeLines="50" w:beforeAutospacing="0" w:after="156" w:afterLines="50" w:afterAutospacing="0" w:line="276" w:lineRule="auto"/>
              <w:rPr>
                <w:rFonts w:ascii="Times New Roman" w:hAnsi="Times New Roman" w:cs="Times New Roman"/>
                <w:sz w:val="18"/>
                <w:szCs w:val="18"/>
              </w:rPr>
            </w:pPr>
            <w:r>
              <w:rPr>
                <w:rFonts w:ascii="Times New Roman" w:hAnsi="Times New Roman" w:cs="Times New Roman"/>
                <w:sz w:val="18"/>
                <w:szCs w:val="18"/>
              </w:rPr>
              <w:t>验证人员，对</w:t>
            </w:r>
            <w:r>
              <w:rPr>
                <w:rFonts w:hint="eastAsia" w:ascii="Times New Roman" w:hAnsi="Times New Roman" w:cs="Times New Roman"/>
                <w:sz w:val="18"/>
                <w:szCs w:val="18"/>
                <w:lang w:val="en-US" w:eastAsia="zh-CN"/>
              </w:rPr>
              <w:t>方法</w:t>
            </w:r>
            <w:r>
              <w:rPr>
                <w:rFonts w:ascii="Times New Roman" w:hAnsi="Times New Roman" w:cs="Times New Roman"/>
                <w:sz w:val="18"/>
                <w:szCs w:val="18"/>
              </w:rPr>
              <w:t>进行了验证，并完成精密度数据</w:t>
            </w:r>
            <w:r>
              <w:rPr>
                <w:rFonts w:hint="eastAsia" w:ascii="Times New Roman" w:hAnsi="Times New Roman" w:cs="Times New Roman"/>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2064" w:type="dxa"/>
            <w:vAlign w:val="center"/>
          </w:tcPr>
          <w:p>
            <w:pPr>
              <w:pStyle w:val="81"/>
              <w:adjustRightInd w:val="0"/>
              <w:snapToGrid w:val="0"/>
              <w:spacing w:before="156" w:beforeLines="50" w:beforeAutospacing="0" w:after="156" w:afterLines="50" w:afterAutospacing="0" w:line="276" w:lineRule="auto"/>
              <w:ind w:firstLine="360" w:firstLineChars="200"/>
              <w:jc w:val="center"/>
              <w:rPr>
                <w:rFonts w:ascii="Times New Roman" w:hAnsi="Times New Roman" w:cs="Times New Roman"/>
                <w:sz w:val="18"/>
                <w:szCs w:val="18"/>
              </w:rPr>
            </w:pPr>
            <w:r>
              <w:rPr>
                <w:rFonts w:hint="eastAsia" w:ascii="Times New Roman" w:hAnsi="Times New Roman" w:cs="Times New Roman"/>
                <w:sz w:val="18"/>
                <w:szCs w:val="18"/>
              </w:rPr>
              <w:t>徐娜、蒋威</w:t>
            </w:r>
          </w:p>
        </w:tc>
        <w:tc>
          <w:tcPr>
            <w:tcW w:w="7178" w:type="dxa"/>
            <w:vAlign w:val="center"/>
          </w:tcPr>
          <w:p>
            <w:pPr>
              <w:pStyle w:val="81"/>
              <w:adjustRightInd w:val="0"/>
              <w:snapToGrid w:val="0"/>
              <w:spacing w:before="156" w:beforeLines="50" w:beforeAutospacing="0" w:after="156" w:afterLines="50" w:afterAutospacing="0" w:line="276" w:lineRule="auto"/>
              <w:rPr>
                <w:rFonts w:ascii="Times New Roman" w:hAnsi="Times New Roman" w:cs="Times New Roman"/>
                <w:sz w:val="18"/>
                <w:szCs w:val="18"/>
              </w:rPr>
            </w:pPr>
            <w:r>
              <w:rPr>
                <w:rFonts w:ascii="Times New Roman" w:hAnsi="Times New Roman" w:cs="Times New Roman"/>
                <w:sz w:val="18"/>
                <w:szCs w:val="18"/>
              </w:rPr>
              <w:t>验证人员，对</w:t>
            </w:r>
            <w:r>
              <w:rPr>
                <w:rFonts w:hint="eastAsia" w:ascii="Times New Roman" w:hAnsi="Times New Roman" w:cs="Times New Roman"/>
                <w:sz w:val="18"/>
                <w:szCs w:val="18"/>
                <w:lang w:val="en-US" w:eastAsia="zh-CN"/>
              </w:rPr>
              <w:t>方法</w:t>
            </w:r>
            <w:r>
              <w:rPr>
                <w:rFonts w:ascii="Times New Roman" w:hAnsi="Times New Roman" w:cs="Times New Roman"/>
                <w:sz w:val="18"/>
                <w:szCs w:val="18"/>
              </w:rPr>
              <w:t>进行了验证，并完成精密度数据</w:t>
            </w:r>
            <w:r>
              <w:rPr>
                <w:rFonts w:hint="eastAsia" w:ascii="Times New Roman" w:hAnsi="Times New Roman" w:cs="Times New Roman"/>
                <w:sz w:val="18"/>
                <w:szCs w:val="18"/>
                <w:lang w:eastAsia="zh-CN"/>
              </w:rPr>
              <w:t>。</w:t>
            </w:r>
          </w:p>
        </w:tc>
      </w:tr>
    </w:tbl>
    <w:p>
      <w:pPr>
        <w:pStyle w:val="112"/>
        <w:tabs>
          <w:tab w:val="clear" w:pos="675"/>
        </w:tabs>
        <w:adjustRightInd w:val="0"/>
        <w:snapToGrid w:val="0"/>
        <w:spacing w:before="156" w:beforeLines="50" w:after="156" w:afterLines="50" w:line="276" w:lineRule="auto"/>
        <w:ind w:left="0" w:firstLine="0"/>
        <w:rPr>
          <w:rFonts w:ascii="Times New Roman"/>
        </w:rPr>
      </w:pPr>
      <w:r>
        <w:rPr>
          <w:rFonts w:ascii="Times New Roman"/>
        </w:rPr>
        <w:t>（三）研制背景</w:t>
      </w:r>
    </w:p>
    <w:p>
      <w:pPr>
        <w:pStyle w:val="112"/>
        <w:tabs>
          <w:tab w:val="clear" w:pos="675"/>
        </w:tabs>
        <w:adjustRightInd w:val="0"/>
        <w:snapToGrid w:val="0"/>
        <w:spacing w:before="156" w:beforeLines="50" w:after="156" w:afterLines="50" w:line="276" w:lineRule="auto"/>
        <w:ind w:left="0" w:firstLine="0"/>
        <w:rPr>
          <w:rFonts w:ascii="Times New Roman"/>
        </w:rPr>
      </w:pPr>
      <w:r>
        <w:rPr>
          <w:rFonts w:ascii="Times New Roman"/>
        </w:rPr>
        <w:t>1、项目的必要性简述</w:t>
      </w:r>
    </w:p>
    <w:p>
      <w:pPr>
        <w:adjustRightInd w:val="0"/>
        <w:snapToGrid w:val="0"/>
        <w:spacing w:before="156" w:beforeLines="50" w:after="156" w:afterLines="50" w:line="276" w:lineRule="auto"/>
        <w:ind w:firstLine="420" w:firstLineChars="200"/>
      </w:pPr>
      <w:r>
        <w:rPr>
          <w:rFonts w:hint="eastAsia"/>
        </w:rPr>
        <w:t>近几年，国内外高纯稀土氧化物的需求量和贸易量在不断增加，随之带来的高纯稀土氧化物的测试业务需求量也急剧增加。目前，高纯稀土氧化物的测定方法主要有：GB/T 18115稀土金属及其氧化物中稀土杂质化学分析方法系列（方法2）和GB/T 12690稀土金属及其氧化物中非稀土杂质化学分析方法系列标准。这些标准主要使用了电感耦合等离子体原子发射光谱法（ICP-OES）、电感耦合等离子体质谱法（ICP-MS）、原子吸收光谱法（AAS）以及分光光度法等方法。这些方法对于部分非稀土杂质测定下限无法满足高纯稀土氧化物的指标要求，而且多数需要采用化学法将样品溶解，极易引入新的杂质，污染样品，另外测定一份样品的全部指标，其过程非常繁琐。</w:t>
      </w:r>
    </w:p>
    <w:p>
      <w:pPr>
        <w:adjustRightInd w:val="0"/>
        <w:snapToGrid w:val="0"/>
        <w:spacing w:before="156" w:beforeLines="50" w:after="156" w:afterLines="50" w:line="276" w:lineRule="auto"/>
        <w:ind w:firstLine="420" w:firstLineChars="200"/>
      </w:pPr>
      <w:r>
        <w:rPr>
          <w:rFonts w:hint="eastAsia"/>
        </w:rPr>
        <w:t>辉光放电质谱法（GD-MS）无需化学法溶解样品、可多元素同时测定，利用惰性气体（一般是氩气）在上千伏特电压下电离产生的离子撞击样品表面使之发生溅射，溅射产生的样品原子扩散至等离子体中进一步离子化，进而被质谱分析器收集检测。辉光放电属于低压放电，放电产生的大量电子和亚稳态惰性气体原子与样品原子频繁碰撞，使样品得到极大的溅射和电离。同时，由于GD源中样品的原子化和离子化分别在靠近样品表面的阴极暗区和靠近阳极的负辉区两个不同的区域内进行，也使基体效应大为降低。GD源对不同元素的响应差异较小（一般在10倍以内），并具备很宽的线性动态范围（约10个数量级），因此，即使在没有标样的情况下，也能给出较准确的多元素含量的结果，十分有利于超纯样品的杂质元素含量测定。现已有《GB/T 23275-2009钌粉化学分析方法　铅、铁、镍、铝、铜、银、金、铂、铱、钯、铑、硅量的测定　辉光放电质谱法》、《GB/T 32651-2016采用高质量分辨率辉光放电质谱法测量太阳能级硅中痕量元素的测试方法》等系列标准近23套。辉光放电质谱法用于非导体材料中杂质元素的测定未见相关标准。结合现实需求，本单位拟申请研究建立一套辉光放电质谱法测定稀土氧化物中杂质元素的标准分析方法。本标准无需使用多种测试方法，可多元素同时检测，无需多台设备，可避免大量化学试剂的使用，可节约人工投入。</w:t>
      </w:r>
    </w:p>
    <w:p>
      <w:pPr>
        <w:adjustRightInd w:val="0"/>
        <w:snapToGrid w:val="0"/>
        <w:spacing w:before="156" w:beforeLines="50" w:after="156" w:afterLines="50" w:line="276" w:lineRule="auto"/>
        <w:rPr>
          <w:rFonts w:eastAsia="黑体"/>
        </w:rPr>
      </w:pPr>
      <w:r>
        <w:rPr>
          <w:rFonts w:eastAsia="黑体"/>
        </w:rPr>
        <w:t>2、项目的可行性简述</w:t>
      </w:r>
    </w:p>
    <w:p>
      <w:pPr>
        <w:spacing w:line="276" w:lineRule="auto"/>
        <w:ind w:firstLine="420" w:firstLineChars="200"/>
      </w:pPr>
      <w:r>
        <w:rPr>
          <w:rFonts w:hint="eastAsia" w:hAnsi="宋体" w:eastAsia="宋体"/>
        </w:rPr>
        <w:t>当前，国内外高纯稀土氧化物的需求量和贸易量在不断增加，随之带来的高纯稀土氧化物的测试业务需求量也急剧增加。国内稀土氧化物中杂质元素的测定方法主要采用：GB/T 18115稀土金属及其氧化物中稀土杂质化学分析方法系列和GB/T 12690稀土金属及其氧化物中非稀土杂质化学分析方法系列标准。这些标准主要使用了电感耦合等离子体原子发射光谱法（ICP-OES）、电感耦合等离子体质谱法（ICP-MS）、原子吸收光谱法（AAS）以及分光光度法等方法。这些方法在近些年的使用过程中逐渐显现出了一定不足之处，一是这些方法对于部分非稀土杂质测定下限无法满足高纯稀土氧化物的指标要求。二是这些方法中多数需要采用湿法消解将样品打开，消解过程极易造成待测元素的丢失或引入新的污染。三是测定一份样品的全部指标需要投入多种仪器、多个人员，采用多种方法来完成。另外，</w:t>
      </w:r>
      <w:r>
        <w:rPr>
          <w:rFonts w:hint="eastAsia"/>
        </w:rPr>
        <w:t>稀土行业发展规划（2016-2020年）明确提出了：高纯稀土材料绿色制备工艺技术，包括新型稀土高效提取分离新方法及关键技术、稀土制备过程物料闭路循环利用技术；超高纯稀土材料制备方法及关键技术。这对高纯稀土氧化物的准确分析也提出了更高的要求。</w:t>
      </w:r>
      <w:r>
        <w:rPr>
          <w:rFonts w:hint="eastAsia" w:hAnsi="宋体" w:eastAsia="宋体"/>
        </w:rPr>
        <w:t>本标准的建立不仅可以弥补以上不足，而且也能满足稀土行业发展规划的要求。</w:t>
      </w:r>
    </w:p>
    <w:p>
      <w:pPr>
        <w:pStyle w:val="112"/>
        <w:tabs>
          <w:tab w:val="clear" w:pos="675"/>
        </w:tabs>
        <w:adjustRightInd w:val="0"/>
        <w:snapToGrid w:val="0"/>
        <w:spacing w:before="156" w:beforeLines="50" w:after="156" w:afterLines="50" w:line="276" w:lineRule="auto"/>
        <w:ind w:left="0" w:firstLine="0"/>
        <w:rPr>
          <w:rFonts w:ascii="Times New Roman"/>
        </w:rPr>
      </w:pPr>
      <w:r>
        <w:rPr>
          <w:rFonts w:ascii="Times New Roman"/>
        </w:rPr>
        <w:t>（四）主要工作过程</w:t>
      </w:r>
    </w:p>
    <w:p>
      <w:pPr>
        <w:adjustRightInd w:val="0"/>
        <w:snapToGrid w:val="0"/>
        <w:spacing w:before="156" w:beforeLines="50" w:after="156" w:afterLines="50" w:line="276" w:lineRule="auto"/>
        <w:rPr>
          <w:rFonts w:eastAsia="黑体"/>
        </w:rPr>
      </w:pPr>
      <w:r>
        <w:rPr>
          <w:rFonts w:eastAsia="黑体"/>
        </w:rPr>
        <w:t>1、预研阶段</w:t>
      </w:r>
    </w:p>
    <w:p>
      <w:pPr>
        <w:adjustRightInd w:val="0"/>
        <w:snapToGrid w:val="0"/>
        <w:spacing w:before="156" w:beforeLines="50" w:after="156" w:afterLines="50" w:line="276" w:lineRule="auto"/>
        <w:ind w:firstLine="420" w:firstLineChars="200"/>
        <w:rPr>
          <w:rFonts w:eastAsia="宋体"/>
        </w:rPr>
      </w:pPr>
      <w:r>
        <w:rPr>
          <w:rFonts w:eastAsia="宋体"/>
        </w:rPr>
        <w:t>201</w:t>
      </w:r>
      <w:r>
        <w:rPr>
          <w:rFonts w:hint="eastAsia" w:eastAsia="宋体"/>
        </w:rPr>
        <w:t>8</w:t>
      </w:r>
      <w:r>
        <w:rPr>
          <w:rFonts w:eastAsia="宋体"/>
        </w:rPr>
        <w:t>年</w:t>
      </w:r>
      <w:r>
        <w:rPr>
          <w:rFonts w:hint="eastAsia" w:eastAsia="宋体"/>
        </w:rPr>
        <w:t>1-6月</w:t>
      </w:r>
      <w:r>
        <w:rPr>
          <w:rFonts w:eastAsia="宋体"/>
        </w:rPr>
        <w:t>，针对稀土</w:t>
      </w:r>
      <w:r>
        <w:rPr>
          <w:rFonts w:hint="eastAsia" w:eastAsia="宋体"/>
        </w:rPr>
        <w:t>氧化物中杂质元素</w:t>
      </w:r>
      <w:r>
        <w:rPr>
          <w:rFonts w:eastAsia="宋体"/>
        </w:rPr>
        <w:t>的测定在实际应用中出现的问题，包头稀土研究院</w:t>
      </w:r>
      <w:r>
        <w:rPr>
          <w:rFonts w:hint="eastAsia" w:eastAsia="宋体"/>
        </w:rPr>
        <w:t>、</w:t>
      </w:r>
      <w:r>
        <w:rPr>
          <w:rFonts w:eastAsia="宋体"/>
        </w:rPr>
        <w:t>对现有稀土</w:t>
      </w:r>
      <w:r>
        <w:rPr>
          <w:rFonts w:hint="eastAsia" w:eastAsia="宋体"/>
        </w:rPr>
        <w:t>氧化物中杂质元素的</w:t>
      </w:r>
      <w:r>
        <w:rPr>
          <w:rFonts w:eastAsia="宋体"/>
        </w:rPr>
        <w:t>化学分析方法标准进行梳理整理</w:t>
      </w:r>
      <w:r>
        <w:rPr>
          <w:rFonts w:hint="eastAsia" w:eastAsia="宋体"/>
        </w:rPr>
        <w:t>和文献查阅，</w:t>
      </w:r>
      <w:r>
        <w:rPr>
          <w:rFonts w:eastAsia="宋体"/>
        </w:rPr>
        <w:t>并对稀土</w:t>
      </w:r>
      <w:r>
        <w:rPr>
          <w:rFonts w:hint="eastAsia" w:eastAsia="宋体"/>
        </w:rPr>
        <w:t>氧化物的</w:t>
      </w:r>
      <w:r>
        <w:rPr>
          <w:rFonts w:eastAsia="宋体"/>
        </w:rPr>
        <w:t>应用情况进行了专门的调研，包括稀土</w:t>
      </w:r>
      <w:r>
        <w:rPr>
          <w:rFonts w:hint="eastAsia" w:eastAsia="宋体"/>
        </w:rPr>
        <w:t>氧化物</w:t>
      </w:r>
      <w:r>
        <w:rPr>
          <w:rFonts w:eastAsia="宋体"/>
        </w:rPr>
        <w:t>的种类、主要用途及市场情况、制备工艺、产品标准指标变化情况及对上下游应用产品的影响和稀土含量的差异等内容，形成了稀土</w:t>
      </w:r>
      <w:r>
        <w:rPr>
          <w:rFonts w:hint="eastAsia" w:eastAsia="宋体"/>
        </w:rPr>
        <w:t>氧化物</w:t>
      </w:r>
      <w:r>
        <w:rPr>
          <w:rFonts w:eastAsia="宋体"/>
        </w:rPr>
        <w:t>化学分析方法调研报告。</w:t>
      </w:r>
      <w:r>
        <w:rPr>
          <w:rFonts w:hint="eastAsia" w:eastAsia="宋体"/>
        </w:rPr>
        <w:t>2018</w:t>
      </w:r>
      <w:r>
        <w:rPr>
          <w:rFonts w:eastAsia="宋体"/>
        </w:rPr>
        <w:t>年</w:t>
      </w:r>
      <w:r>
        <w:rPr>
          <w:rFonts w:hint="eastAsia" w:eastAsia="宋体"/>
        </w:rPr>
        <w:t>8</w:t>
      </w:r>
      <w:r>
        <w:rPr>
          <w:rFonts w:eastAsia="宋体"/>
        </w:rPr>
        <w:t>月，在稀标委年会上，关于稀土</w:t>
      </w:r>
      <w:r>
        <w:rPr>
          <w:rFonts w:hint="eastAsia" w:eastAsia="宋体"/>
        </w:rPr>
        <w:t>氧化物中杂质元素的</w:t>
      </w:r>
      <w:r>
        <w:rPr>
          <w:rFonts w:eastAsia="宋体"/>
        </w:rPr>
        <w:t>化学分析方法整合、检测元素及方法确定进行了讨论，与会专家提出了</w:t>
      </w:r>
      <w:r>
        <w:rPr>
          <w:rFonts w:hint="eastAsia" w:eastAsia="宋体"/>
        </w:rPr>
        <w:t>氧化物中杂质元素</w:t>
      </w:r>
      <w:r>
        <w:rPr>
          <w:rFonts w:eastAsia="宋体"/>
        </w:rPr>
        <w:t>的测定需求。</w:t>
      </w:r>
      <w:bookmarkStart w:id="3" w:name="_Hlk529798942"/>
      <w:r>
        <w:rPr>
          <w:rFonts w:eastAsia="宋体"/>
        </w:rPr>
        <w:t>有关稀土</w:t>
      </w:r>
      <w:bookmarkEnd w:id="3"/>
      <w:r>
        <w:rPr>
          <w:rFonts w:hint="eastAsia" w:eastAsia="宋体"/>
        </w:rPr>
        <w:t>氧化物中杂质元素的</w:t>
      </w:r>
      <w:r>
        <w:rPr>
          <w:rFonts w:eastAsia="宋体"/>
        </w:rPr>
        <w:t>测定，包头稀土研究院与生产单位专家、检测专家以及应用专家进行了专门的调研。2018年12月，包头稀土研究院就稀标委及相关专家提出的意见进行讨论，形成了稀土</w:t>
      </w:r>
      <w:r>
        <w:rPr>
          <w:rFonts w:hint="eastAsia" w:eastAsia="宋体"/>
        </w:rPr>
        <w:t>氧化物中杂质元素的</w:t>
      </w:r>
      <w:r>
        <w:rPr>
          <w:rFonts w:eastAsia="宋体"/>
        </w:rPr>
        <w:t>化学分析方法的调研报告，确定了稀土</w:t>
      </w:r>
      <w:r>
        <w:rPr>
          <w:rFonts w:hint="eastAsia" w:eastAsia="宋体"/>
        </w:rPr>
        <w:t>氧化物中杂质元素的化学分析方法</w:t>
      </w:r>
      <w:r>
        <w:rPr>
          <w:rFonts w:eastAsia="宋体"/>
        </w:rPr>
        <w:t>标准中测定元素及分</w:t>
      </w:r>
      <w:r>
        <w:rPr>
          <w:rFonts w:hint="eastAsia" w:eastAsia="宋体"/>
        </w:rPr>
        <w:t>试验方案</w:t>
      </w:r>
      <w:r>
        <w:rPr>
          <w:rFonts w:eastAsia="宋体"/>
        </w:rPr>
        <w:t>，提交立项申请。</w:t>
      </w:r>
    </w:p>
    <w:p>
      <w:pPr>
        <w:adjustRightInd w:val="0"/>
        <w:snapToGrid w:val="0"/>
        <w:spacing w:before="156" w:beforeLines="50" w:after="156" w:afterLines="50" w:line="276" w:lineRule="auto"/>
        <w:rPr>
          <w:rFonts w:eastAsia="黑体"/>
        </w:rPr>
      </w:pPr>
      <w:r>
        <w:rPr>
          <w:rFonts w:eastAsia="黑体"/>
        </w:rPr>
        <w:t>2、立项阶段</w:t>
      </w:r>
    </w:p>
    <w:p>
      <w:pPr>
        <w:adjustRightInd w:val="0"/>
        <w:snapToGrid w:val="0"/>
        <w:spacing w:before="156" w:beforeLines="50" w:after="156" w:afterLines="50" w:line="276" w:lineRule="auto"/>
        <w:ind w:firstLine="420" w:firstLineChars="200"/>
      </w:pPr>
      <w:r>
        <w:rPr>
          <w:rFonts w:eastAsia="宋体"/>
        </w:rPr>
        <w:t>20</w:t>
      </w:r>
      <w:r>
        <w:rPr>
          <w:rFonts w:hint="eastAsia" w:eastAsia="宋体"/>
        </w:rPr>
        <w:t>18</w:t>
      </w:r>
      <w:r>
        <w:rPr>
          <w:rFonts w:eastAsia="宋体"/>
        </w:rPr>
        <w:t>年</w:t>
      </w:r>
      <w:r>
        <w:rPr>
          <w:rFonts w:hint="eastAsia" w:eastAsia="宋体"/>
        </w:rPr>
        <w:t>12</w:t>
      </w:r>
      <w:r>
        <w:rPr>
          <w:rFonts w:eastAsia="宋体"/>
        </w:rPr>
        <w:t>月，包头稀土研究院在稀标委年会上，提出了稀土</w:t>
      </w:r>
      <w:r>
        <w:rPr>
          <w:rFonts w:hint="eastAsia" w:eastAsia="宋体"/>
        </w:rPr>
        <w:t>氧化物中杂质元素的</w:t>
      </w:r>
      <w:r>
        <w:rPr>
          <w:rFonts w:eastAsia="宋体"/>
        </w:rPr>
        <w:t>化学分析方法立项报告并进行了答辩，与会专家就稀土</w:t>
      </w:r>
      <w:r>
        <w:rPr>
          <w:rFonts w:hint="eastAsia" w:eastAsia="宋体"/>
        </w:rPr>
        <w:t>氧化物中杂质元素的</w:t>
      </w:r>
      <w:r>
        <w:rPr>
          <w:rFonts w:eastAsia="宋体"/>
        </w:rPr>
        <w:t>化学分析方法整合、检测元素及方法确定进行了讨论；202</w:t>
      </w:r>
      <w:r>
        <w:rPr>
          <w:rFonts w:hint="eastAsia" w:eastAsia="宋体"/>
        </w:rPr>
        <w:t>1</w:t>
      </w:r>
      <w:r>
        <w:rPr>
          <w:rFonts w:eastAsia="宋体"/>
        </w:rPr>
        <w:t>年</w:t>
      </w:r>
      <w:r>
        <w:rPr>
          <w:rFonts w:hint="eastAsia" w:eastAsia="宋体"/>
        </w:rPr>
        <w:t>4</w:t>
      </w:r>
      <w:r>
        <w:rPr>
          <w:rFonts w:eastAsia="宋体"/>
        </w:rPr>
        <w:t>月</w:t>
      </w:r>
      <w:r>
        <w:rPr>
          <w:rFonts w:hint="eastAsia" w:eastAsia="宋体"/>
        </w:rPr>
        <w:t>27日</w:t>
      </w:r>
      <w:r>
        <w:rPr>
          <w:rFonts w:eastAsia="宋体"/>
        </w:rPr>
        <w:t>，根据</w:t>
      </w:r>
      <w:r>
        <w:rPr>
          <w:rFonts w:hint="eastAsia" w:eastAsia="宋体"/>
        </w:rPr>
        <w:t>《工业</w:t>
      </w:r>
      <w:r>
        <w:rPr>
          <w:rFonts w:hint="eastAsia"/>
        </w:rPr>
        <w:t>和信息化部办公厅关于印发2020年第三批行业标准制修订和外文版项目计划的通知》（工信厅科函〔2020〕263号）</w:t>
      </w:r>
      <w:r>
        <w:t>，</w:t>
      </w:r>
      <w:r>
        <w:rPr>
          <w:rFonts w:hint="eastAsia"/>
        </w:rPr>
        <w:t>稀土行业标准《稀土氧化物中杂质元素化学分析方法 辉光放电质谱法》的下达，</w:t>
      </w:r>
      <w:r>
        <w:t>由包头稀土研究院</w:t>
      </w:r>
      <w:r>
        <w:rPr>
          <w:rFonts w:hint="eastAsia"/>
        </w:rPr>
        <w:t>和国合通用测试评价认证股份公司、国标（北京）检验认证有限公司联合</w:t>
      </w:r>
      <w:r>
        <w:t>起草，项目计划编号为20</w:t>
      </w:r>
      <w:r>
        <w:rPr>
          <w:rFonts w:hint="eastAsia"/>
        </w:rPr>
        <w:t>20-1617</w:t>
      </w:r>
      <w:r>
        <w:t>T-</w:t>
      </w:r>
      <w:r>
        <w:rPr>
          <w:rFonts w:hint="eastAsia"/>
        </w:rPr>
        <w:t>XB，</w:t>
      </w:r>
      <w:r>
        <w:t>周期为</w:t>
      </w:r>
      <w:r>
        <w:rPr>
          <w:rFonts w:hint="eastAsia"/>
        </w:rPr>
        <w:t>18</w:t>
      </w:r>
      <w:r>
        <w:t>个月。</w:t>
      </w:r>
    </w:p>
    <w:p>
      <w:pPr>
        <w:numPr>
          <w:ilvl w:val="0"/>
          <w:numId w:val="0"/>
        </w:numPr>
        <w:adjustRightInd w:val="0"/>
        <w:snapToGrid w:val="0"/>
        <w:spacing w:before="156" w:beforeLines="50" w:after="156" w:afterLines="50" w:line="276" w:lineRule="auto"/>
        <w:rPr>
          <w:rFonts w:eastAsia="黑体"/>
        </w:rPr>
      </w:pPr>
      <w:r>
        <w:rPr>
          <w:rFonts w:hint="eastAsia" w:eastAsia="黑体"/>
        </w:rPr>
        <w:t>3、</w:t>
      </w:r>
      <w:r>
        <w:rPr>
          <w:rFonts w:eastAsia="黑体"/>
        </w:rPr>
        <w:t>起草阶段</w:t>
      </w:r>
    </w:p>
    <w:p>
      <w:pPr>
        <w:numPr>
          <w:ilvl w:val="0"/>
          <w:numId w:val="0"/>
        </w:numPr>
        <w:adjustRightInd w:val="0"/>
        <w:snapToGrid w:val="0"/>
        <w:spacing w:before="156" w:beforeLines="50" w:after="156" w:afterLines="50" w:line="276" w:lineRule="auto"/>
      </w:pPr>
      <w:r>
        <w:rPr>
          <w:rFonts w:hint="eastAsia" w:eastAsia="黑体"/>
        </w:rPr>
        <w:t>3.1 简要过程</w:t>
      </w:r>
    </w:p>
    <w:p>
      <w:pPr>
        <w:ind w:firstLine="420" w:firstLineChars="200"/>
      </w:pPr>
      <w:r>
        <w:t>202</w:t>
      </w:r>
      <w:r>
        <w:rPr>
          <w:rFonts w:hint="eastAsia"/>
        </w:rPr>
        <w:t>1</w:t>
      </w:r>
      <w:r>
        <w:t>年</w:t>
      </w:r>
      <w:r>
        <w:rPr>
          <w:rFonts w:hint="eastAsia"/>
        </w:rPr>
        <w:t>4</w:t>
      </w:r>
      <w:r>
        <w:t>月全国稀土标准化技术委员会</w:t>
      </w:r>
      <w:r>
        <w:rPr>
          <w:rFonts w:hint="eastAsia"/>
        </w:rPr>
        <w:t>分别在湖南省长沙市</w:t>
      </w:r>
      <w:r>
        <w:t>召开了</w:t>
      </w:r>
      <w:r>
        <w:rPr>
          <w:rFonts w:hint="eastAsia"/>
        </w:rPr>
        <w:t>第一次全国稀土标准工作会议。</w:t>
      </w:r>
      <w:r>
        <w:t>202</w:t>
      </w:r>
      <w:r>
        <w:rPr>
          <w:rFonts w:hint="eastAsia"/>
        </w:rPr>
        <w:t>1</w:t>
      </w:r>
      <w:r>
        <w:t>年</w:t>
      </w:r>
      <w:r>
        <w:rPr>
          <w:rFonts w:hint="eastAsia"/>
        </w:rPr>
        <w:t>7</w:t>
      </w:r>
      <w:r>
        <w:t>月</w:t>
      </w:r>
      <w:r>
        <w:rPr>
          <w:rFonts w:hint="eastAsia"/>
        </w:rPr>
        <w:t>会议下达了《稀土氧化物中杂质元素的化学分析方法 辉光放电质谱法》标准的《落实任务书》。</w:t>
      </w:r>
      <w:r>
        <w:t>会议确定</w:t>
      </w:r>
      <w:r>
        <w:rPr>
          <w:rFonts w:hint="eastAsia"/>
        </w:rPr>
        <w:t>该标准由</w:t>
      </w:r>
      <w:r>
        <w:t>包头稀土研究院</w:t>
      </w:r>
      <w:r>
        <w:rPr>
          <w:rFonts w:hint="eastAsia"/>
        </w:rPr>
        <w:t>、国合通用测试评价认证股份公司、</w:t>
      </w:r>
      <w:r>
        <w:t>国标（北京）检验认证有限公司</w:t>
      </w:r>
      <w:r>
        <w:rPr>
          <w:rFonts w:hint="eastAsia"/>
        </w:rPr>
        <w:t>共同牵头起草，</w:t>
      </w:r>
      <w:r>
        <w:t>湖南稀土金属材料研究院</w:t>
      </w:r>
      <w:r>
        <w:rPr>
          <w:rFonts w:hint="eastAsia"/>
        </w:rPr>
        <w:t>有限责任公司、北矿检测技术有限公司、中国科学院海西研究院厦门稀土材料研究所和国家钨与稀土产品质量监督检测中心六</w:t>
      </w:r>
      <w:r>
        <w:t>家单位共同编制。会议确定了项目的时间进度安排。</w:t>
      </w:r>
    </w:p>
    <w:p>
      <w:pPr>
        <w:ind w:firstLine="420" w:firstLineChars="200"/>
      </w:pPr>
      <w:r>
        <w:t>包头稀土研究院</w:t>
      </w:r>
      <w:r>
        <w:rPr>
          <w:rFonts w:hint="eastAsia"/>
        </w:rPr>
        <w:t>、国合通用测试评价认证股份公司、</w:t>
      </w:r>
      <w:r>
        <w:t>国标（北京）检验认证有限公司接受任务后，立即成立20</w:t>
      </w:r>
      <w:r>
        <w:rPr>
          <w:rFonts w:hint="eastAsia"/>
        </w:rPr>
        <w:t>20-1617</w:t>
      </w:r>
      <w:r>
        <w:t>T-</w:t>
      </w:r>
      <w:r>
        <w:rPr>
          <w:rFonts w:hint="eastAsia"/>
        </w:rPr>
        <w:t>XB稀土氧化物中杂质元素化学分析方法 辉光放电质谱法》</w:t>
      </w:r>
      <w:r>
        <w:t>研发小组，认真总结了前期的工作经验，针对</w:t>
      </w:r>
      <w:r>
        <w:rPr>
          <w:rFonts w:hint="eastAsia"/>
        </w:rPr>
        <w:t>高纯稀土氧化物中杂质元素的选择及其同位素的确定</w:t>
      </w:r>
      <w:r>
        <w:t>查阅了大量的文献，利用现有条件试验摸索，形成试验方法。</w:t>
      </w:r>
    </w:p>
    <w:p>
      <w:pPr>
        <w:ind w:firstLine="420" w:firstLineChars="200"/>
      </w:pPr>
      <w:r>
        <w:t>20</w:t>
      </w:r>
      <w:r>
        <w:rPr>
          <w:rFonts w:hint="eastAsia"/>
        </w:rPr>
        <w:t>22</w:t>
      </w:r>
      <w:r>
        <w:t>年</w:t>
      </w:r>
      <w:r>
        <w:rPr>
          <w:rFonts w:hint="eastAsia"/>
        </w:rPr>
        <w:t>1</w:t>
      </w:r>
      <w:r>
        <w:t>月</w:t>
      </w:r>
      <w:r>
        <w:rPr>
          <w:rFonts w:hint="eastAsia"/>
        </w:rPr>
        <w:t>31</w:t>
      </w:r>
      <w:r>
        <w:t>日，包头稀土研究院完成对各参与起草单位筹集的公共样品的精密度试验，完成实验数据进行整理，编写了20</w:t>
      </w:r>
      <w:r>
        <w:rPr>
          <w:rFonts w:hint="eastAsia"/>
        </w:rPr>
        <w:t>20-1617</w:t>
      </w:r>
      <w:r>
        <w:t>T-</w:t>
      </w:r>
      <w:r>
        <w:rPr>
          <w:rFonts w:hint="eastAsia"/>
        </w:rPr>
        <w:t>XB《稀土氧化物中杂质元素化学分析方法 辉光放电质谱法》</w:t>
      </w:r>
      <w:r>
        <w:t>方法研究报告，并将样品和方法研究报告邮寄给验证单位进行数据的验证工作。</w:t>
      </w:r>
    </w:p>
    <w:p>
      <w:pPr>
        <w:ind w:firstLine="420" w:firstLineChars="200"/>
      </w:pPr>
      <w:r>
        <w:t>202</w:t>
      </w:r>
      <w:r>
        <w:rPr>
          <w:rFonts w:hint="eastAsia"/>
        </w:rPr>
        <w:t>2</w:t>
      </w:r>
      <w:r>
        <w:t>年</w:t>
      </w:r>
      <w:r>
        <w:rPr>
          <w:rFonts w:hint="eastAsia"/>
        </w:rPr>
        <w:t>4</w:t>
      </w:r>
      <w:r>
        <w:t>月</w:t>
      </w:r>
      <w:r>
        <w:rPr>
          <w:rFonts w:hint="eastAsia"/>
        </w:rPr>
        <w:t>20</w:t>
      </w:r>
      <w:r>
        <w:t>日，验证单位完成验证实验，并将验证报告返回至起草单位。</w:t>
      </w:r>
    </w:p>
    <w:p>
      <w:pPr>
        <w:ind w:firstLine="420" w:firstLineChars="200"/>
      </w:pPr>
      <w:r>
        <w:rPr>
          <w:rFonts w:hint="eastAsia"/>
        </w:rPr>
        <w:t>2022年5月24日</w:t>
      </w:r>
      <w:r>
        <w:t>全国稀土标准化技术委员会</w:t>
      </w:r>
      <w:r>
        <w:rPr>
          <w:rFonts w:hint="eastAsia"/>
        </w:rPr>
        <w:t>召开网络会议，对《稀土氧化物中杂质元素的化学分析方法 辉光放电质谱法》标准第一阶段的研究报告进行了评审，建议主要是1、明确仪器类型和性能要求；2、补充确定方法测定下限的试验，确定测定范围；3、确定定量分析的准确性试验。</w:t>
      </w:r>
    </w:p>
    <w:p>
      <w:pPr>
        <w:ind w:firstLine="420" w:firstLineChars="200"/>
      </w:pPr>
      <w:r>
        <w:rPr>
          <w:rFonts w:hint="eastAsia"/>
        </w:rPr>
        <w:t>2022年6月起草单位按照第一次专家评审后，进行补充试验讨论会，会议确定了补充试验方案并进行了任务分工。</w:t>
      </w:r>
    </w:p>
    <w:p>
      <w:pPr>
        <w:ind w:firstLine="420" w:firstLineChars="200"/>
      </w:pPr>
      <w:r>
        <w:rPr>
          <w:rFonts w:hint="eastAsia"/>
        </w:rPr>
        <w:t>2022年7月20日项目编制组召开补充试验讨论会，进一步明确确定了补充试验方案任务分工。</w:t>
      </w:r>
    </w:p>
    <w:p>
      <w:pPr>
        <w:ind w:firstLine="420" w:firstLineChars="200"/>
      </w:pPr>
      <w:r>
        <w:rPr>
          <w:rFonts w:hint="eastAsia"/>
        </w:rPr>
        <w:t>2022年8月25日，牵头单位开始对补充试验阶段数据进行分析和汇总。</w:t>
      </w:r>
    </w:p>
    <w:p>
      <w:pPr>
        <w:adjustRightInd w:val="0"/>
        <w:snapToGrid w:val="0"/>
        <w:spacing w:before="156" w:beforeLines="50" w:after="156" w:afterLines="50" w:line="276" w:lineRule="auto"/>
        <w:rPr>
          <w:rFonts w:eastAsia="黑体"/>
        </w:rPr>
      </w:pPr>
      <w:r>
        <w:rPr>
          <w:rFonts w:hint="eastAsia" w:eastAsia="黑体"/>
        </w:rPr>
        <w:t>3.2 参加单位的意见</w:t>
      </w:r>
    </w:p>
    <w:p>
      <w:pPr>
        <w:adjustRightInd w:val="0"/>
        <w:snapToGrid w:val="0"/>
        <w:spacing w:before="156" w:beforeLines="50" w:after="156" w:afterLines="50" w:line="276" w:lineRule="auto"/>
        <w:ind w:firstLine="420" w:firstLineChars="200"/>
      </w:pPr>
      <w:r>
        <w:t>除文字上的修改，在验证过程中各验证单位提出意见如下：</w:t>
      </w:r>
    </w:p>
    <w:p>
      <w:pPr>
        <w:ind w:firstLine="420" w:firstLineChars="200"/>
      </w:pPr>
      <w:r>
        <w:rPr>
          <w:rFonts w:hint="eastAsia"/>
        </w:rPr>
        <w:t>1、中国科学院海西研究院厦门稀土材料研究所建议对于高速流设备样片直径增加到8mm。采纳。</w:t>
      </w:r>
    </w:p>
    <w:p>
      <w:pPr>
        <w:ind w:firstLine="420" w:firstLineChars="200"/>
      </w:pPr>
      <w:r>
        <w:rPr>
          <w:rFonts w:hint="eastAsia"/>
        </w:rPr>
        <w:t>2、中国科学院海西研究院厦门稀土材料研究所建议氧化钕基体增加170Er，氧化钆基体增加177Hf，氧化镝基体增肌155Gd，氧化钇基体增加91Zr，氧化钪基体增加91Zr和87Rb。采纳。</w:t>
      </w:r>
    </w:p>
    <w:p>
      <w:pPr>
        <w:ind w:firstLine="420" w:firstLineChars="200"/>
      </w:pPr>
      <w:r>
        <w:rPr>
          <w:rFonts w:hint="eastAsia"/>
        </w:rPr>
        <w:t>3、湖南稀土金属材料研究院有限责任公司建议稀土氧化物9</w:t>
      </w:r>
      <w:r>
        <w:t>50</w:t>
      </w:r>
      <w:r>
        <w:rPr>
          <w:rFonts w:hint="eastAsia"/>
        </w:rPr>
        <w:t>℃灼烧后再测。未采纳，因为Cl、As等元素灼烧后会有损失，暂未采纳，广泛征集意见后确定。</w:t>
      </w:r>
    </w:p>
    <w:p>
      <w:pPr>
        <w:ind w:firstLine="420" w:firstLineChars="200"/>
      </w:pPr>
      <w:r>
        <w:rPr>
          <w:rFonts w:hint="eastAsia"/>
        </w:rPr>
        <w:t>4、湖南稀土金属材料研究院有限责任公司建议增加预溅射标准和时间等要求。未采纳，在标准文本9.4.1.4中表5已规定。</w:t>
      </w:r>
    </w:p>
    <w:p>
      <w:pPr>
        <w:ind w:firstLine="420" w:firstLineChars="200"/>
      </w:pPr>
      <w:r>
        <w:rPr>
          <w:rFonts w:hint="eastAsia"/>
        </w:rPr>
        <w:t>5、根据湖南稀土金属材料研究院有限责任公司建议将3.1中“</w:t>
      </w:r>
      <w:r>
        <w:t>farady</w:t>
      </w:r>
      <w:r>
        <w:rPr>
          <w:rFonts w:hint="eastAsia"/>
        </w:rPr>
        <w:t>”改为“法拉第杯”；9.4.1.4中“S</w:t>
      </w:r>
      <w:r>
        <w:t>TDRSF</w:t>
      </w:r>
      <w:r>
        <w:rPr>
          <w:rFonts w:hint="eastAsia"/>
        </w:rPr>
        <w:t>”改成“仪器软件自带的相对灵敏度因子（</w:t>
      </w:r>
      <w:r>
        <w:t>RSF</w:t>
      </w:r>
      <w:r>
        <w:rPr>
          <w:rFonts w:hint="eastAsia"/>
        </w:rPr>
        <w:t>）”。采纳。</w:t>
      </w:r>
    </w:p>
    <w:p>
      <w:pPr>
        <w:ind w:firstLine="420" w:firstLineChars="200"/>
        <w:rPr>
          <w:rFonts w:hint="eastAsia"/>
        </w:rPr>
      </w:pPr>
      <w:r>
        <w:rPr>
          <w:rFonts w:hint="eastAsia"/>
        </w:rPr>
        <w:t>6、中国科学院海西研究院厦门稀土材料研究中心建议增加S、Au、Ta。部分采纳，对于离子源部分不涉及Ta材料的仪器，可以加上Au、Ta；之前未加S是因为目前没有S很低的纯基体做测定下限试验，现在用纯In片来替代。</w:t>
      </w:r>
    </w:p>
    <w:p>
      <w:pPr>
        <w:ind w:firstLine="420" w:firstLineChars="200"/>
        <w:rPr>
          <w:rFonts w:hint="eastAsia"/>
        </w:rPr>
      </w:pPr>
      <w:r>
        <w:rPr>
          <w:rFonts w:hint="eastAsia"/>
        </w:rPr>
        <w:t>7、中国科学院海西研究院厦门稀土材料研究中心建议在附录A增加高速流仪器的气流量和放电电流参数。采纳，分别给出低速流和高速流的参数。</w:t>
      </w:r>
    </w:p>
    <w:p>
      <w:pPr>
        <w:spacing w:before="156" w:beforeLines="50" w:after="156" w:afterLines="50" w:line="276" w:lineRule="auto"/>
        <w:rPr>
          <w:rFonts w:hint="eastAsia" w:ascii="黑体" w:hAnsi="黑体" w:eastAsia="黑体"/>
        </w:rPr>
      </w:pPr>
      <w:r>
        <w:rPr>
          <w:rFonts w:hint="eastAsia" w:ascii="黑体" w:hAnsi="黑体" w:eastAsia="黑体"/>
        </w:rPr>
        <w:t>4、征求意见阶段</w:t>
      </w:r>
    </w:p>
    <w:p>
      <w:pPr>
        <w:spacing w:line="276" w:lineRule="auto"/>
        <w:ind w:firstLine="420" w:firstLineChars="200"/>
        <w:rPr>
          <w:rFonts w:hint="eastAsia"/>
          <w:lang w:val="en-US" w:eastAsia="zh-CN"/>
        </w:rPr>
      </w:pPr>
      <w:r>
        <w:rPr>
          <w:rFonts w:hint="eastAsia"/>
          <w:lang w:val="en-US" w:eastAsia="zh-CN"/>
        </w:rPr>
        <w:t>2022年</w:t>
      </w:r>
      <w:r>
        <w:t>编制组通过发函</w:t>
      </w:r>
      <w:r>
        <w:rPr>
          <w:rFonts w:hint="eastAsia"/>
          <w:szCs w:val="21"/>
          <w:lang w:val="en-US" w:eastAsia="zh-CN"/>
        </w:rPr>
        <w:t>金川集团股份股份有限公司等单位专家就</w:t>
      </w:r>
      <w:r>
        <w:t>《稀土</w:t>
      </w:r>
      <w:r>
        <w:rPr>
          <w:rFonts w:hint="eastAsia"/>
        </w:rPr>
        <w:t>氧化物中杂质元素的化学</w:t>
      </w:r>
      <w:r>
        <w:t xml:space="preserve">分析方法 </w:t>
      </w:r>
      <w:r>
        <w:rPr>
          <w:rFonts w:hint="eastAsia"/>
        </w:rPr>
        <w:t>辉光放电质谱法</w:t>
      </w:r>
      <w:r>
        <w:t>》</w:t>
      </w:r>
      <w:r>
        <w:rPr>
          <w:rFonts w:hint="eastAsia"/>
          <w:lang w:val="en-US" w:eastAsia="zh-CN"/>
        </w:rPr>
        <w:t>的试验报告、编制说明和</w:t>
      </w:r>
      <w:r>
        <w:t>征求意见稿征询意见</w:t>
      </w:r>
      <w:r>
        <w:rPr>
          <w:rFonts w:hint="eastAsia"/>
          <w:lang w:eastAsia="zh-CN"/>
        </w:rPr>
        <w:t>。</w:t>
      </w:r>
      <w:r>
        <w:rPr>
          <w:rFonts w:hint="eastAsia"/>
          <w:lang w:val="en-US" w:eastAsia="zh-CN"/>
        </w:rPr>
        <w:t>专家反馈意见及处理情况如下：</w:t>
      </w:r>
    </w:p>
    <w:p>
      <w:pPr>
        <w:numPr>
          <w:ilvl w:val="0"/>
          <w:numId w:val="2"/>
        </w:numPr>
        <w:spacing w:line="276" w:lineRule="auto"/>
        <w:rPr>
          <w:rFonts w:hint="eastAsia"/>
          <w:highlight w:val="none"/>
          <w:lang w:val="en-US" w:eastAsia="zh-CN"/>
        </w:rPr>
      </w:pPr>
      <w:r>
        <w:rPr>
          <w:rFonts w:hint="eastAsia"/>
        </w:rPr>
        <w:t>编制说明中3</w:t>
      </w:r>
      <w:r>
        <w:t>.1</w:t>
      </w:r>
      <w:r>
        <w:rPr>
          <w:rFonts w:hint="eastAsia"/>
        </w:rPr>
        <w:t>中“</w:t>
      </w:r>
      <w:r>
        <w:t>20</w:t>
      </w:r>
      <w:r>
        <w:rPr>
          <w:rFonts w:hint="eastAsia"/>
        </w:rPr>
        <w:t>22</w:t>
      </w:r>
      <w:r>
        <w:t>年</w:t>
      </w:r>
      <w:r>
        <w:rPr>
          <w:rFonts w:hint="eastAsia"/>
        </w:rPr>
        <w:t>1</w:t>
      </w:r>
      <w:r>
        <w:t>月</w:t>
      </w:r>
      <w:r>
        <w:rPr>
          <w:rFonts w:hint="eastAsia"/>
        </w:rPr>
        <w:t>31</w:t>
      </w:r>
      <w:r>
        <w:t>日，包头稀土研究院完成对各参与起草单位筹集的公共样品的</w:t>
      </w:r>
      <w:r>
        <w:rPr>
          <w:highlight w:val="none"/>
        </w:rPr>
        <w:t>精密度、加标回收等试验</w:t>
      </w:r>
      <w:r>
        <w:rPr>
          <w:rFonts w:hint="eastAsia" w:ascii="宋体" w:hAnsi="宋体" w:cs="华文中宋"/>
          <w:sz w:val="24"/>
          <w:szCs w:val="24"/>
          <w:highlight w:val="none"/>
        </w:rPr>
        <w:t>”，</w:t>
      </w:r>
      <w:r>
        <w:rPr>
          <w:rFonts w:hint="eastAsia"/>
          <w:highlight w:val="none"/>
        </w:rPr>
        <w:t>研究报告中没有加标回收实验内容，建议修改</w:t>
      </w:r>
      <w:r>
        <w:rPr>
          <w:rFonts w:hint="eastAsia"/>
          <w:highlight w:val="none"/>
          <w:lang w:eastAsia="zh-CN"/>
        </w:rPr>
        <w:t>。</w:t>
      </w:r>
      <w:r>
        <w:rPr>
          <w:rFonts w:hint="eastAsia"/>
          <w:highlight w:val="none"/>
          <w:lang w:val="en-US" w:eastAsia="zh-CN"/>
        </w:rPr>
        <w:t>采纳，已修改。</w:t>
      </w:r>
    </w:p>
    <w:p>
      <w:pPr>
        <w:numPr>
          <w:ilvl w:val="0"/>
          <w:numId w:val="2"/>
        </w:numPr>
        <w:spacing w:line="276" w:lineRule="auto"/>
        <w:rPr>
          <w:rFonts w:hint="eastAsia"/>
          <w:highlight w:val="none"/>
          <w:lang w:val="en-US" w:eastAsia="zh-CN"/>
        </w:rPr>
      </w:pPr>
      <w:r>
        <w:rPr>
          <w:rFonts w:hint="eastAsia"/>
          <w:lang w:val="en-US" w:eastAsia="zh-CN"/>
        </w:rPr>
        <w:t>试验</w:t>
      </w:r>
      <w:r>
        <w:rPr>
          <w:rFonts w:hint="eastAsia"/>
        </w:rPr>
        <w:t>报告中的精密度试验数据的离群值筛查情况，建议在报告或编制说明中明确哪种样品的什么元素中的哪个数据（或哪组数据）是离群值，删除离群值后的平均值是多少。</w:t>
      </w:r>
      <w:r>
        <w:rPr>
          <w:rFonts w:hint="eastAsia"/>
          <w:lang w:val="en-US" w:eastAsia="zh-CN"/>
        </w:rPr>
        <w:t>采纳，已修改。</w:t>
      </w:r>
    </w:p>
    <w:p>
      <w:pPr>
        <w:numPr>
          <w:ilvl w:val="0"/>
          <w:numId w:val="2"/>
        </w:numPr>
        <w:spacing w:line="276" w:lineRule="auto"/>
        <w:rPr>
          <w:rFonts w:hint="eastAsia"/>
          <w:highlight w:val="none"/>
          <w:lang w:val="en-US" w:eastAsia="zh-CN"/>
        </w:rPr>
      </w:pPr>
      <w:r>
        <w:t>定量分析</w:t>
      </w:r>
      <w:r>
        <w:rPr>
          <w:rFonts w:hint="eastAsia"/>
        </w:rPr>
        <w:t>方法中</w:t>
      </w:r>
      <w:r>
        <w:t>，</w:t>
      </w:r>
      <w:r>
        <w:rPr>
          <w:rFonts w:hint="eastAsia"/>
        </w:rPr>
        <w:t>待测元素含量在</w:t>
      </w:r>
      <w:r>
        <w:t>ICP-MS、ICP-OES、分光光度法等方法</w:t>
      </w:r>
      <w:r>
        <w:rPr>
          <w:rFonts w:hint="eastAsia"/>
        </w:rPr>
        <w:t>的测定范围内时，建议能</w:t>
      </w:r>
      <w:r>
        <w:rPr>
          <w:rFonts w:hint="eastAsia"/>
          <w:highlight w:val="none"/>
        </w:rPr>
        <w:t>补充</w:t>
      </w:r>
      <w:r>
        <w:rPr>
          <w:highlight w:val="none"/>
        </w:rPr>
        <w:t>对照试验</w:t>
      </w:r>
      <w:r>
        <w:rPr>
          <w:rFonts w:hint="eastAsia"/>
          <w:highlight w:val="none"/>
        </w:rPr>
        <w:t>，考察定量分析的准确度</w:t>
      </w:r>
      <w:r>
        <w:rPr>
          <w:highlight w:val="none"/>
        </w:rPr>
        <w:t>。</w:t>
      </w:r>
      <w:r>
        <w:rPr>
          <w:rFonts w:hint="eastAsia"/>
          <w:highlight w:val="none"/>
          <w:lang w:val="en-US" w:eastAsia="zh-CN"/>
        </w:rPr>
        <w:t>采纳，已补充。</w:t>
      </w:r>
    </w:p>
    <w:p>
      <w:pPr>
        <w:numPr>
          <w:ilvl w:val="0"/>
          <w:numId w:val="2"/>
        </w:numPr>
        <w:spacing w:line="276" w:lineRule="auto"/>
        <w:rPr>
          <w:rFonts w:hint="eastAsia"/>
          <w:highlight w:val="none"/>
          <w:lang w:val="en-US" w:eastAsia="zh-CN"/>
        </w:rPr>
      </w:pPr>
      <w:r>
        <w:rPr>
          <w:rFonts w:hint="eastAsia"/>
          <w:highlight w:val="none"/>
          <w:lang w:val="en-US" w:eastAsia="zh-CN"/>
        </w:rPr>
        <w:t>关于征求意见稿的反馈意见及处理情况详见</w:t>
      </w:r>
      <w:r>
        <w:t>《征求意见稿 意见汇总处理表》</w:t>
      </w:r>
      <w:r>
        <w:rPr>
          <w:rFonts w:hint="eastAsia"/>
          <w:lang w:eastAsia="zh-CN"/>
        </w:rPr>
        <w:t>。</w:t>
      </w:r>
    </w:p>
    <w:p>
      <w:pPr>
        <w:spacing w:line="276" w:lineRule="auto"/>
        <w:ind w:firstLine="420" w:firstLineChars="200"/>
      </w:pPr>
      <w:r>
        <w:t>编制组于202</w:t>
      </w:r>
      <w:r>
        <w:rPr>
          <w:rFonts w:hint="eastAsia"/>
          <w:lang w:val="en-US" w:eastAsia="zh-CN"/>
        </w:rPr>
        <w:t>2</w:t>
      </w:r>
      <w:r>
        <w:t>年</w:t>
      </w:r>
      <w:r>
        <w:rPr>
          <w:rFonts w:hint="eastAsia"/>
          <w:lang w:val="en-US" w:eastAsia="zh-CN"/>
        </w:rPr>
        <w:t>10</w:t>
      </w:r>
      <w:r>
        <w:t>月通过发函、中国有色金属</w:t>
      </w:r>
      <w:bookmarkStart w:id="4" w:name="_GoBack"/>
      <w:r>
        <w:rPr>
          <w:highlight w:val="none"/>
        </w:rPr>
        <w:t>标准质量信息网上公开、会议等形式对《稀土</w:t>
      </w:r>
      <w:r>
        <w:rPr>
          <w:rFonts w:hint="eastAsia"/>
          <w:highlight w:val="none"/>
        </w:rPr>
        <w:t>氧化物中杂质元素的化学</w:t>
      </w:r>
      <w:r>
        <w:rPr>
          <w:highlight w:val="none"/>
        </w:rPr>
        <w:t xml:space="preserve">分析方法 </w:t>
      </w:r>
      <w:r>
        <w:rPr>
          <w:rFonts w:hint="eastAsia"/>
          <w:highlight w:val="none"/>
        </w:rPr>
        <w:t>辉光放电质谱法</w:t>
      </w:r>
      <w:r>
        <w:rPr>
          <w:highlight w:val="none"/>
        </w:rPr>
        <w:t>》（征求意见稿）征询意见。通过邮件等方式向1</w:t>
      </w:r>
      <w:r>
        <w:rPr>
          <w:rFonts w:hint="eastAsia"/>
          <w:highlight w:val="none"/>
          <w:lang w:val="en-US" w:eastAsia="zh-CN"/>
        </w:rPr>
        <w:t>8</w:t>
      </w:r>
      <w:r>
        <w:rPr>
          <w:highlight w:val="none"/>
        </w:rPr>
        <w:t>家相关单位发送《稀土</w:t>
      </w:r>
      <w:r>
        <w:rPr>
          <w:rFonts w:hint="eastAsia"/>
          <w:highlight w:val="none"/>
        </w:rPr>
        <w:t>氧化物中杂质元素的化学</w:t>
      </w:r>
      <w:r>
        <w:rPr>
          <w:highlight w:val="none"/>
        </w:rPr>
        <w:t xml:space="preserve">分析方法 </w:t>
      </w:r>
      <w:r>
        <w:rPr>
          <w:rFonts w:hint="eastAsia"/>
          <w:highlight w:val="none"/>
        </w:rPr>
        <w:t>辉光放电质谱法</w:t>
      </w:r>
      <w:r>
        <w:rPr>
          <w:highlight w:val="none"/>
        </w:rPr>
        <w:t>》（征求意见稿），收到回函的单位数</w:t>
      </w:r>
      <w:r>
        <w:rPr>
          <w:rFonts w:hint="eastAsia"/>
          <w:highlight w:val="none"/>
          <w:lang w:val="en-US" w:eastAsia="zh-CN"/>
        </w:rPr>
        <w:t>8</w:t>
      </w:r>
      <w:r>
        <w:rPr>
          <w:highlight w:val="none"/>
        </w:rPr>
        <w:t>家，回函并有建议或意见的单位数</w:t>
      </w:r>
      <w:r>
        <w:rPr>
          <w:rFonts w:hint="eastAsia"/>
          <w:highlight w:val="none"/>
          <w:lang w:val="en-US" w:eastAsia="zh-CN"/>
        </w:rPr>
        <w:t>4</w:t>
      </w:r>
      <w:r>
        <w:rPr>
          <w:highlight w:val="none"/>
        </w:rPr>
        <w:t>家，详见《征求意见稿 意</w:t>
      </w:r>
      <w:bookmarkEnd w:id="4"/>
      <w:r>
        <w:t>见汇总处理表》。征求意见范围广泛且具代表性，编制组根据征求到的专家意见对《征求意见稿》进行修改完善，于202</w:t>
      </w:r>
      <w:r>
        <w:rPr>
          <w:rFonts w:hint="eastAsia"/>
          <w:lang w:val="en-US" w:eastAsia="zh-CN"/>
        </w:rPr>
        <w:t>2</w:t>
      </w:r>
      <w:r>
        <w:t>年</w:t>
      </w:r>
      <w:r>
        <w:rPr>
          <w:rFonts w:hint="eastAsia"/>
          <w:lang w:val="en-US" w:eastAsia="zh-CN"/>
        </w:rPr>
        <w:t>10</w:t>
      </w:r>
      <w:r>
        <w:t>月形成了《稀土</w:t>
      </w:r>
      <w:r>
        <w:rPr>
          <w:rFonts w:hint="eastAsia"/>
        </w:rPr>
        <w:t>氧化物中杂质元素的化学</w:t>
      </w:r>
      <w:r>
        <w:t xml:space="preserve">分析方法 </w:t>
      </w:r>
      <w:r>
        <w:rPr>
          <w:rFonts w:hint="eastAsia"/>
        </w:rPr>
        <w:t>辉光放电质谱法</w:t>
      </w:r>
      <w:r>
        <w:t>》（送审稿）。</w:t>
      </w:r>
    </w:p>
    <w:p>
      <w:pPr>
        <w:spacing w:before="156" w:beforeLines="50" w:after="156" w:afterLines="50" w:line="276" w:lineRule="auto"/>
        <w:rPr>
          <w:rFonts w:ascii="黑体" w:hAnsi="黑体" w:eastAsia="黑体"/>
        </w:rPr>
      </w:pPr>
      <w:r>
        <w:rPr>
          <w:rFonts w:hint="eastAsia" w:ascii="黑体" w:hAnsi="黑体" w:eastAsia="黑体"/>
        </w:rPr>
        <w:t>5、审查阶段</w:t>
      </w:r>
    </w:p>
    <w:p>
      <w:pPr>
        <w:adjustRightInd w:val="0"/>
        <w:snapToGrid w:val="0"/>
        <w:spacing w:before="156" w:beforeLines="50" w:after="156" w:afterLines="50" w:line="276" w:lineRule="auto"/>
        <w:ind w:firstLine="420" w:firstLineChars="200"/>
      </w:pPr>
    </w:p>
    <w:p>
      <w:pPr>
        <w:adjustRightInd w:val="0"/>
        <w:snapToGrid w:val="0"/>
        <w:spacing w:before="156" w:beforeLines="50" w:after="156" w:afterLines="50" w:line="276" w:lineRule="auto"/>
        <w:rPr>
          <w:rFonts w:eastAsia="黑体"/>
          <w:sz w:val="24"/>
          <w:szCs w:val="24"/>
        </w:rPr>
      </w:pPr>
      <w:r>
        <w:rPr>
          <w:rFonts w:eastAsia="黑体"/>
          <w:sz w:val="24"/>
          <w:szCs w:val="24"/>
        </w:rPr>
        <w:t>二、标准编制原则</w:t>
      </w:r>
      <w:r>
        <w:rPr>
          <w:rFonts w:hint="eastAsia" w:eastAsia="黑体"/>
          <w:sz w:val="24"/>
          <w:szCs w:val="24"/>
        </w:rPr>
        <w:t>、主要内容及其确定依据</w:t>
      </w:r>
    </w:p>
    <w:p>
      <w:pPr>
        <w:tabs>
          <w:tab w:val="center" w:pos="5086"/>
        </w:tabs>
        <w:adjustRightInd w:val="0"/>
        <w:snapToGrid w:val="0"/>
        <w:spacing w:before="156" w:beforeLines="50" w:after="156" w:afterLines="50" w:line="276" w:lineRule="auto"/>
      </w:pPr>
      <w:r>
        <w:rPr>
          <w:rFonts w:hint="eastAsia"/>
        </w:rPr>
        <w:t>1、编制原则</w:t>
      </w:r>
    </w:p>
    <w:p>
      <w:pPr>
        <w:tabs>
          <w:tab w:val="center" w:pos="5086"/>
        </w:tabs>
        <w:adjustRightInd w:val="0"/>
        <w:snapToGrid w:val="0"/>
        <w:spacing w:before="156" w:beforeLines="50" w:after="156" w:afterLines="50" w:line="276" w:lineRule="auto"/>
        <w:ind w:firstLine="420" w:firstLineChars="200"/>
      </w:pPr>
      <w:r>
        <w:t>（一）规范性原则：本标准是根据GB/T 1.1-2020《标准化工作导则第1部分:标准化文件的结构和起草规则》的要求进行编写的；</w:t>
      </w:r>
    </w:p>
    <w:p>
      <w:pPr>
        <w:tabs>
          <w:tab w:val="center" w:pos="5086"/>
        </w:tabs>
        <w:adjustRightInd w:val="0"/>
        <w:snapToGrid w:val="0"/>
        <w:spacing w:before="156" w:beforeLines="50" w:after="156" w:afterLines="50" w:line="276" w:lineRule="auto"/>
        <w:ind w:firstLine="420" w:firstLineChars="200"/>
      </w:pPr>
      <w:r>
        <w:t>二）先进性：</w:t>
      </w:r>
      <w:r>
        <w:rPr>
          <w:rFonts w:hint="eastAsia"/>
        </w:rPr>
        <w:t>本标准采用辉光放电质谱法测定16类单一稀土氧化物中痕量杂质元素，</w:t>
      </w:r>
      <w:r>
        <w:t>体现了检测技术的进步，适应稀土产业的发展，对国内稀土生产企业及相关行业的技术进步产生积极的促进作用。</w:t>
      </w:r>
    </w:p>
    <w:p>
      <w:pPr>
        <w:tabs>
          <w:tab w:val="center" w:pos="5086"/>
        </w:tabs>
        <w:adjustRightInd w:val="0"/>
        <w:snapToGrid w:val="0"/>
        <w:spacing w:before="156" w:beforeLines="50" w:after="156" w:afterLines="50" w:line="276" w:lineRule="auto"/>
        <w:ind w:firstLine="420" w:firstLineChars="200"/>
      </w:pPr>
      <w:r>
        <w:t>（三）适用性：本标准以满足我国</w:t>
      </w:r>
      <w:r>
        <w:rPr>
          <w:rFonts w:hint="eastAsia"/>
        </w:rPr>
        <w:t>高纯稀土氧化物</w:t>
      </w:r>
      <w:r>
        <w:t>产品实际检测需求为原则，宜于应用，能够满足企业需求。</w:t>
      </w:r>
    </w:p>
    <w:p>
      <w:pPr>
        <w:tabs>
          <w:tab w:val="center" w:pos="5086"/>
        </w:tabs>
        <w:adjustRightInd w:val="0"/>
        <w:snapToGrid w:val="0"/>
        <w:spacing w:before="156" w:beforeLines="50" w:after="156" w:afterLines="50" w:line="276" w:lineRule="auto"/>
        <w:ind w:firstLine="420" w:firstLineChars="200"/>
      </w:pPr>
      <w:r>
        <w:t>（四）充分考虑国家法律、安全、卫生、环保法规的要求。</w:t>
      </w:r>
    </w:p>
    <w:p>
      <w:pPr>
        <w:adjustRightInd w:val="0"/>
        <w:snapToGrid w:val="0"/>
        <w:spacing w:before="156" w:beforeLines="50" w:after="156" w:afterLines="50" w:line="276" w:lineRule="auto"/>
        <w:rPr>
          <w:rFonts w:eastAsia="黑体"/>
          <w:sz w:val="24"/>
          <w:szCs w:val="24"/>
        </w:rPr>
      </w:pPr>
      <w:r>
        <w:rPr>
          <w:rFonts w:hint="eastAsia" w:eastAsia="黑体"/>
          <w:sz w:val="24"/>
          <w:szCs w:val="24"/>
        </w:rPr>
        <w:t>2、主要技术内容</w:t>
      </w:r>
    </w:p>
    <w:p>
      <w:pPr>
        <w:pStyle w:val="112"/>
        <w:numPr>
          <w:ilvl w:val="0"/>
          <w:numId w:val="0"/>
        </w:numPr>
        <w:tabs>
          <w:tab w:val="clear" w:pos="675"/>
        </w:tabs>
        <w:adjustRightInd w:val="0"/>
        <w:snapToGrid w:val="0"/>
        <w:spacing w:before="156" w:beforeLines="50" w:after="156" w:afterLines="50" w:line="276" w:lineRule="auto"/>
        <w:ind w:left="359" w:hanging="359" w:hangingChars="171"/>
        <w:rPr>
          <w:rFonts w:ascii="Times New Roman"/>
        </w:rPr>
      </w:pPr>
      <w:r>
        <w:rPr>
          <w:rFonts w:hint="eastAsia" w:ascii="Times New Roman"/>
        </w:rPr>
        <w:t>2.1</w:t>
      </w:r>
      <w:r>
        <w:rPr>
          <w:rFonts w:ascii="Times New Roman"/>
        </w:rPr>
        <w:t>测定方法</w:t>
      </w:r>
    </w:p>
    <w:p>
      <w:pPr>
        <w:spacing w:line="276" w:lineRule="auto"/>
        <w:ind w:firstLine="420" w:firstLineChars="200"/>
      </w:pPr>
      <w:r>
        <w:t>稀土氧化物样品经第二阴极法制成样片，作为阴极在辉光离子源中进行辉光放电。其表面原子被等离子体中带电粒子轰击发生溅射，溅射产生的原子被离子化后，离子束通过电场加速进入磁质谱仪进行测定。在每一待测元素的同位素质量处，以预设的扫描点数和积分时间对应谱峰积分，所得面积为谱峰强度。无标准样品时，计算机根据仪器软件自带的“标准相对灵敏度因子”自动计算出各元素的质量分数</w:t>
      </w:r>
      <w:r>
        <w:rPr>
          <w:rFonts w:hint="eastAsia"/>
        </w:rPr>
        <w:t>，得到半定量分析结果</w:t>
      </w:r>
      <w:r>
        <w:t>；</w:t>
      </w:r>
      <w:r>
        <w:rPr>
          <w:rFonts w:hint="eastAsia"/>
        </w:rPr>
        <w:t>可获得</w:t>
      </w:r>
      <w:r>
        <w:t>标准样品时，须在与被测试样相同的分析条件下对标准样品进行独立测定以校正相对灵敏度因子，应用校正后的相对灵敏度因子计算各元素的质量分数</w:t>
      </w:r>
      <w:r>
        <w:rPr>
          <w:rFonts w:hint="eastAsia"/>
        </w:rPr>
        <w:t>，得到定量分析结果</w:t>
      </w:r>
      <w:r>
        <w:rPr>
          <w:rFonts w:hAnsi="宋体"/>
        </w:rPr>
        <w:t>。</w:t>
      </w:r>
    </w:p>
    <w:p>
      <w:pPr>
        <w:pStyle w:val="112"/>
        <w:tabs>
          <w:tab w:val="clear" w:pos="675"/>
        </w:tabs>
        <w:adjustRightInd w:val="0"/>
        <w:snapToGrid w:val="0"/>
        <w:spacing w:before="156" w:beforeLines="50" w:after="156" w:afterLines="50" w:line="276" w:lineRule="auto"/>
        <w:ind w:left="359" w:hanging="359" w:hangingChars="171"/>
        <w:rPr>
          <w:rFonts w:ascii="Times New Roman"/>
        </w:rPr>
      </w:pPr>
      <w:r>
        <w:rPr>
          <w:rFonts w:hint="eastAsia" w:ascii="Times New Roman"/>
        </w:rPr>
        <w:t>2.2</w:t>
      </w:r>
      <w:r>
        <w:rPr>
          <w:rFonts w:ascii="Times New Roman"/>
        </w:rPr>
        <w:t>适用范围</w:t>
      </w:r>
    </w:p>
    <w:p>
      <w:pPr>
        <w:adjustRightInd w:val="0"/>
        <w:snapToGrid w:val="0"/>
        <w:spacing w:before="156" w:beforeLines="50" w:after="156" w:afterLines="50" w:line="276" w:lineRule="auto"/>
        <w:ind w:firstLine="420" w:firstLineChars="200"/>
        <w:rPr>
          <w:b/>
          <w:bCs/>
        </w:rPr>
      </w:pPr>
      <w:r>
        <w:t>本标准规定了</w:t>
      </w:r>
      <w:r>
        <w:rPr>
          <w:rFonts w:hint="eastAsia"/>
        </w:rPr>
        <w:t>氧化镧、氧化铈、氧化镨、氧化钕、氧化钐、氧化铕、氧化钆、氧化铽、氧化镝、氧化钬、氧化铒、氧化铥、氧化镱、氧化镥、氧化钇、氧化钪16个单一稀土氧化物</w:t>
      </w:r>
      <w:r>
        <w:t>中</w:t>
      </w:r>
      <w:r>
        <w:rPr>
          <w:rFonts w:hint="eastAsia"/>
        </w:rPr>
        <w:t>锂、铍、硼、</w:t>
      </w:r>
      <w:r>
        <w:t>钠、镁、铝、硅、</w:t>
      </w:r>
      <w:r>
        <w:rPr>
          <w:rFonts w:hint="eastAsia"/>
        </w:rPr>
        <w:t>磷、硫、</w:t>
      </w:r>
      <w:r>
        <w:t>氯、钾、钙、钪、钛、钒、铬、锰、铁、钴、镍、铜、锌、</w:t>
      </w:r>
      <w:r>
        <w:rPr>
          <w:rFonts w:hint="eastAsia"/>
        </w:rPr>
        <w:t>镓、锗、砷、硒、溴、</w:t>
      </w:r>
      <w:r>
        <w:t>铷、锶、钇、</w:t>
      </w:r>
      <w:r>
        <w:rPr>
          <w:rFonts w:hint="eastAsia"/>
        </w:rPr>
        <w:t>锆、铌、钼、钌、铑、钯、镉、锡、锑、碲、碘、</w:t>
      </w:r>
      <w:r>
        <w:t>铯、钡、镧、铈、镨、钕、钐、铕、钆、铽、镝、钬、铒、铥、镱、镥、</w:t>
      </w:r>
      <w:r>
        <w:rPr>
          <w:rFonts w:hint="eastAsia"/>
        </w:rPr>
        <w:t>铪、钽、钨、铼、锇、铱、铂、金、汞、铊、</w:t>
      </w:r>
      <w:r>
        <w:t>铅、</w:t>
      </w:r>
      <w:r>
        <w:rPr>
          <w:rFonts w:hint="eastAsia"/>
        </w:rPr>
        <w:t>铋、</w:t>
      </w:r>
      <w:r>
        <w:t>钍</w:t>
      </w:r>
      <w:r>
        <w:rPr>
          <w:rFonts w:hint="eastAsia"/>
        </w:rPr>
        <w:t>、铀</w:t>
      </w:r>
      <w:r>
        <w:t xml:space="preserve"> </w:t>
      </w:r>
      <w:r>
        <w:rPr>
          <w:rFonts w:hint="eastAsia"/>
        </w:rPr>
        <w:t>73</w:t>
      </w:r>
      <w:r>
        <w:t>个元素的测定方法。氧化铈</w:t>
      </w:r>
      <w:r>
        <w:rPr>
          <w:rFonts w:hint="eastAsia"/>
        </w:rPr>
        <w:t>中G</w:t>
      </w:r>
      <w:r>
        <w:t>d、</w:t>
      </w:r>
      <w:r>
        <w:rPr>
          <w:rFonts w:hint="eastAsia"/>
        </w:rPr>
        <w:t>T</w:t>
      </w:r>
      <w:r>
        <w:t>b</w:t>
      </w:r>
      <w:r>
        <w:rPr>
          <w:rFonts w:hint="eastAsia"/>
        </w:rPr>
        <w:t>；</w:t>
      </w:r>
      <w:r>
        <w:t>氧化镨</w:t>
      </w:r>
      <w:r>
        <w:rPr>
          <w:rFonts w:hint="eastAsia"/>
        </w:rPr>
        <w:t>中T</w:t>
      </w:r>
      <w:r>
        <w:t>b</w:t>
      </w:r>
      <w:r>
        <w:rPr>
          <w:rFonts w:hint="eastAsia"/>
        </w:rPr>
        <w:t>；</w:t>
      </w:r>
      <w:r>
        <w:t>氧化钕</w:t>
      </w:r>
      <w:r>
        <w:rPr>
          <w:rFonts w:hint="eastAsia"/>
        </w:rPr>
        <w:t>中T</w:t>
      </w:r>
      <w:r>
        <w:t>b、</w:t>
      </w:r>
      <w:r>
        <w:rPr>
          <w:rFonts w:hint="eastAsia"/>
        </w:rPr>
        <w:t>D</w:t>
      </w:r>
      <w:r>
        <w:t>y、</w:t>
      </w:r>
      <w:r>
        <w:rPr>
          <w:rFonts w:hint="eastAsia"/>
        </w:rPr>
        <w:t>H</w:t>
      </w:r>
      <w:r>
        <w:t>o</w:t>
      </w:r>
      <w:r>
        <w:rPr>
          <w:rFonts w:hint="eastAsia"/>
        </w:rPr>
        <w:t>；</w:t>
      </w:r>
      <w:r>
        <w:t>氧化钐</w:t>
      </w:r>
      <w:r>
        <w:rPr>
          <w:rFonts w:hint="eastAsia"/>
        </w:rPr>
        <w:t>中Dy</w:t>
      </w:r>
      <w:r>
        <w:t>、</w:t>
      </w:r>
      <w:r>
        <w:rPr>
          <w:rFonts w:hint="eastAsia"/>
        </w:rPr>
        <w:t>H</w:t>
      </w:r>
      <w:r>
        <w:t>o、</w:t>
      </w:r>
      <w:r>
        <w:rPr>
          <w:rFonts w:hint="eastAsia"/>
        </w:rPr>
        <w:t>E</w:t>
      </w:r>
      <w:r>
        <w:t>r、</w:t>
      </w:r>
      <w:r>
        <w:rPr>
          <w:rFonts w:hint="eastAsia"/>
        </w:rPr>
        <w:t>T</w:t>
      </w:r>
      <w:r>
        <w:t>m</w:t>
      </w:r>
      <w:r>
        <w:rPr>
          <w:rFonts w:hint="eastAsia"/>
        </w:rPr>
        <w:t>；</w:t>
      </w:r>
      <w:r>
        <w:t>氧化铕</w:t>
      </w:r>
      <w:r>
        <w:rPr>
          <w:rFonts w:hint="eastAsia"/>
        </w:rPr>
        <w:t>中T</w:t>
      </w:r>
      <w:r>
        <w:t>m</w:t>
      </w:r>
      <w:r>
        <w:rPr>
          <w:rFonts w:hint="eastAsia"/>
        </w:rPr>
        <w:t>；</w:t>
      </w:r>
      <w:r>
        <w:t>氧化钆</w:t>
      </w:r>
      <w:r>
        <w:rPr>
          <w:rFonts w:hint="eastAsia"/>
        </w:rPr>
        <w:t>中Y</w:t>
      </w:r>
      <w:r>
        <w:t>b、</w:t>
      </w:r>
      <w:r>
        <w:rPr>
          <w:rFonts w:hint="eastAsia"/>
        </w:rPr>
        <w:t>L</w:t>
      </w:r>
      <w:r>
        <w:t>u</w:t>
      </w:r>
      <w:r>
        <w:rPr>
          <w:rFonts w:hint="eastAsia"/>
        </w:rPr>
        <w:t>；</w:t>
      </w:r>
      <w:r>
        <w:t>氧化镝</w:t>
      </w:r>
      <w:r>
        <w:rPr>
          <w:rFonts w:hint="eastAsia"/>
        </w:rPr>
        <w:t>中H</w:t>
      </w:r>
      <w:r>
        <w:t>f</w:t>
      </w:r>
      <w:r>
        <w:rPr>
          <w:rFonts w:hint="eastAsia"/>
        </w:rPr>
        <w:t>；</w:t>
      </w:r>
      <w:r>
        <w:t>氧化铽</w:t>
      </w:r>
      <w:r>
        <w:rPr>
          <w:rFonts w:hint="eastAsia"/>
        </w:rPr>
        <w:t>中L</w:t>
      </w:r>
      <w:r>
        <w:t>u</w:t>
      </w:r>
      <w:r>
        <w:rPr>
          <w:rFonts w:hint="eastAsia"/>
        </w:rPr>
        <w:t>；</w:t>
      </w:r>
      <w:r>
        <w:t>氧化铒</w:t>
      </w:r>
      <w:r>
        <w:rPr>
          <w:rFonts w:hint="eastAsia"/>
        </w:rPr>
        <w:t>中W</w:t>
      </w:r>
      <w:r>
        <w:t>、Re</w:t>
      </w:r>
      <w:r>
        <w:rPr>
          <w:rFonts w:hint="eastAsia"/>
        </w:rPr>
        <w:t>；</w:t>
      </w:r>
      <w:r>
        <w:t>氧化铥</w:t>
      </w:r>
      <w:r>
        <w:rPr>
          <w:rFonts w:hint="eastAsia"/>
        </w:rPr>
        <w:t>中R</w:t>
      </w:r>
      <w:r>
        <w:t>e</w:t>
      </w:r>
      <w:r>
        <w:rPr>
          <w:rFonts w:hint="eastAsia"/>
        </w:rPr>
        <w:t>；</w:t>
      </w:r>
      <w:r>
        <w:t>氧化镱</w:t>
      </w:r>
      <w:r>
        <w:rPr>
          <w:rFonts w:hint="eastAsia"/>
        </w:rPr>
        <w:t>中O</w:t>
      </w:r>
      <w:r>
        <w:t>s、</w:t>
      </w:r>
      <w:r>
        <w:rPr>
          <w:rFonts w:hint="eastAsia"/>
        </w:rPr>
        <w:t>I</w:t>
      </w:r>
      <w:r>
        <w:t>r</w:t>
      </w:r>
      <w:r>
        <w:rPr>
          <w:rFonts w:hint="eastAsia"/>
        </w:rPr>
        <w:t>；</w:t>
      </w:r>
      <w:r>
        <w:t>氧化镥</w:t>
      </w:r>
      <w:r>
        <w:rPr>
          <w:rFonts w:hint="eastAsia"/>
        </w:rPr>
        <w:t>中I</w:t>
      </w:r>
      <w:r>
        <w:t>r</w:t>
      </w:r>
      <w:r>
        <w:rPr>
          <w:rFonts w:hint="eastAsia"/>
        </w:rPr>
        <w:t>纯在干扰，不适用于本方法</w:t>
      </w:r>
      <w:r>
        <w:t>。</w:t>
      </w:r>
    </w:p>
    <w:p>
      <w:pPr>
        <w:widowControl w:val="0"/>
        <w:numPr>
          <w:ilvl w:val="0"/>
          <w:numId w:val="0"/>
        </w:numPr>
        <w:adjustRightInd w:val="0"/>
        <w:snapToGrid w:val="0"/>
        <w:spacing w:before="156" w:beforeLines="50" w:after="156" w:afterLines="50" w:line="276" w:lineRule="auto"/>
        <w:rPr>
          <w:rFonts w:ascii="黑体" w:hAnsi="宋体" w:eastAsia="黑体"/>
          <w:bCs/>
          <w:sz w:val="24"/>
        </w:rPr>
      </w:pPr>
      <w:r>
        <w:rPr>
          <w:rFonts w:hint="eastAsia" w:ascii="黑体" w:hAnsi="宋体" w:eastAsia="黑体"/>
          <w:bCs/>
          <w:sz w:val="24"/>
        </w:rPr>
        <w:t>三、试验验证的分析及预期的经济效果</w:t>
      </w:r>
    </w:p>
    <w:p>
      <w:pPr>
        <w:adjustRightInd w:val="0"/>
        <w:snapToGrid w:val="0"/>
        <w:spacing w:before="156" w:beforeLines="50" w:after="156" w:afterLines="50" w:line="276" w:lineRule="auto"/>
        <w:rPr>
          <w:rFonts w:eastAsia="黑体"/>
          <w:sz w:val="24"/>
          <w:szCs w:val="24"/>
        </w:rPr>
      </w:pPr>
      <w:r>
        <w:rPr>
          <w:rFonts w:hint="eastAsia" w:eastAsia="黑体"/>
          <w:sz w:val="24"/>
          <w:szCs w:val="24"/>
        </w:rPr>
        <w:t>1、</w:t>
      </w:r>
      <w:r>
        <w:rPr>
          <w:rFonts w:eastAsia="黑体"/>
          <w:sz w:val="24"/>
          <w:szCs w:val="24"/>
        </w:rPr>
        <w:t>主要试验和验证情况分析</w:t>
      </w:r>
    </w:p>
    <w:p>
      <w:pPr>
        <w:spacing w:line="276" w:lineRule="auto"/>
        <w:rPr>
          <w:position w:val="-2"/>
        </w:rPr>
      </w:pPr>
      <w:r>
        <w:rPr>
          <w:rFonts w:hint="eastAsia"/>
          <w:position w:val="-2"/>
        </w:rPr>
        <w:t xml:space="preserve">（一） </w:t>
      </w:r>
      <w:r>
        <w:rPr>
          <w:rFonts w:hAnsi="宋体"/>
          <w:position w:val="-2"/>
        </w:rPr>
        <w:t>测定范围</w:t>
      </w:r>
    </w:p>
    <w:p>
      <w:pPr>
        <w:spacing w:line="276" w:lineRule="auto"/>
        <w:ind w:firstLine="420" w:firstLineChars="200"/>
      </w:pPr>
      <w:r>
        <w:t>本</w:t>
      </w:r>
      <w:r>
        <w:rPr>
          <w:rFonts w:hint="eastAsia"/>
        </w:rPr>
        <w:t>标准</w:t>
      </w:r>
      <w:r>
        <w:t>规定了氧化镧、氧化铈、氧化镨、氧化钕、氧化钐、氧化铕、氧化钆、氧化铽、氧化镝、氧化钬、氧化铒、氧化铥、氧化镱、氧化镥、氧化钇和氧化钪中71种杂质元素含量的测定方法。本文件适用于氧化镧、氧化铈、氧化镨、氧化钕、氧化钐、氧化铕、氧化钆、氧化铽、氧化镝、氧化钬、氧化铒、氧化铥、氧化镱、氧化镥、氧化钇和氧化钪中71种杂质元素含量的测定，测定范围见表</w:t>
      </w:r>
      <w:r>
        <w:rPr>
          <w:rFonts w:hint="eastAsia"/>
        </w:rPr>
        <w:t>2</w:t>
      </w:r>
      <w:r>
        <w:t>。本</w:t>
      </w:r>
      <w:r>
        <w:rPr>
          <w:rFonts w:hint="eastAsia"/>
        </w:rPr>
        <w:t>标准</w:t>
      </w:r>
      <w:r>
        <w:t>不适用于表</w:t>
      </w:r>
      <w:r>
        <w:rPr>
          <w:rFonts w:hint="eastAsia"/>
        </w:rPr>
        <w:t>3</w:t>
      </w:r>
      <w:r>
        <w:t>所列稀土氧化物中杂质元素的测定。</w:t>
      </w:r>
    </w:p>
    <w:p>
      <w:pPr>
        <w:jc w:val="center"/>
        <w:rPr>
          <w:b/>
          <w:bCs/>
        </w:rPr>
      </w:pPr>
      <w:r>
        <w:rPr>
          <w:b/>
          <w:bCs/>
        </w:rPr>
        <w:t>表</w:t>
      </w:r>
      <w:r>
        <w:rPr>
          <w:rFonts w:hint="eastAsia"/>
          <w:b/>
          <w:bCs/>
        </w:rPr>
        <w:t>2</w:t>
      </w:r>
      <w:r>
        <w:rPr>
          <w:b/>
          <w:bCs/>
        </w:rPr>
        <w:t xml:space="preserve">  测定范围</w:t>
      </w:r>
    </w:p>
    <w:tbl>
      <w:tblPr>
        <w:tblStyle w:val="88"/>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154"/>
        <w:gridCol w:w="1156"/>
        <w:gridCol w:w="1155"/>
        <w:gridCol w:w="1156"/>
        <w:gridCol w:w="1155"/>
        <w:gridCol w:w="1156"/>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55" w:type="dxa"/>
            <w:vAlign w:val="center"/>
          </w:tcPr>
          <w:p>
            <w:pPr>
              <w:adjustRightInd w:val="0"/>
              <w:snapToGrid w:val="0"/>
              <w:spacing w:line="276" w:lineRule="auto"/>
              <w:jc w:val="center"/>
              <w:rPr>
                <w:b/>
                <w:sz w:val="18"/>
                <w:szCs w:val="18"/>
              </w:rPr>
            </w:pPr>
            <w:r>
              <w:rPr>
                <w:b/>
                <w:sz w:val="18"/>
                <w:szCs w:val="18"/>
              </w:rPr>
              <w:t>元素</w:t>
            </w:r>
          </w:p>
        </w:tc>
        <w:tc>
          <w:tcPr>
            <w:tcW w:w="1154" w:type="dxa"/>
            <w:vAlign w:val="center"/>
          </w:tcPr>
          <w:p>
            <w:pPr>
              <w:adjustRightInd w:val="0"/>
              <w:snapToGrid w:val="0"/>
              <w:spacing w:line="276" w:lineRule="auto"/>
              <w:jc w:val="center"/>
              <w:rPr>
                <w:b/>
                <w:sz w:val="18"/>
                <w:szCs w:val="18"/>
              </w:rPr>
            </w:pPr>
            <w:r>
              <w:rPr>
                <w:b/>
                <w:sz w:val="18"/>
                <w:szCs w:val="18"/>
              </w:rPr>
              <w:t>测定范围</w:t>
            </w:r>
          </w:p>
          <w:p>
            <w:pPr>
              <w:adjustRightInd w:val="0"/>
              <w:snapToGrid w:val="0"/>
              <w:spacing w:line="276" w:lineRule="auto"/>
              <w:jc w:val="center"/>
              <w:rPr>
                <w:b/>
                <w:sz w:val="18"/>
                <w:szCs w:val="18"/>
              </w:rPr>
            </w:pPr>
            <w:r>
              <w:rPr>
                <w:b/>
                <w:sz w:val="18"/>
                <w:szCs w:val="18"/>
              </w:rPr>
              <w:t>/μg/g</w:t>
            </w:r>
          </w:p>
        </w:tc>
        <w:tc>
          <w:tcPr>
            <w:tcW w:w="1156" w:type="dxa"/>
            <w:vAlign w:val="center"/>
          </w:tcPr>
          <w:p>
            <w:pPr>
              <w:adjustRightInd w:val="0"/>
              <w:snapToGrid w:val="0"/>
              <w:spacing w:line="276" w:lineRule="auto"/>
              <w:jc w:val="center"/>
              <w:rPr>
                <w:b/>
                <w:sz w:val="18"/>
                <w:szCs w:val="18"/>
              </w:rPr>
            </w:pPr>
            <w:r>
              <w:rPr>
                <w:b/>
                <w:sz w:val="18"/>
                <w:szCs w:val="18"/>
              </w:rPr>
              <w:t>元素</w:t>
            </w:r>
          </w:p>
        </w:tc>
        <w:tc>
          <w:tcPr>
            <w:tcW w:w="1155" w:type="dxa"/>
            <w:vAlign w:val="center"/>
          </w:tcPr>
          <w:p>
            <w:pPr>
              <w:adjustRightInd w:val="0"/>
              <w:snapToGrid w:val="0"/>
              <w:spacing w:line="276" w:lineRule="auto"/>
              <w:jc w:val="center"/>
              <w:rPr>
                <w:b/>
                <w:sz w:val="18"/>
                <w:szCs w:val="18"/>
              </w:rPr>
            </w:pPr>
            <w:r>
              <w:rPr>
                <w:b/>
                <w:sz w:val="18"/>
                <w:szCs w:val="18"/>
              </w:rPr>
              <w:t>测定范围</w:t>
            </w:r>
          </w:p>
          <w:p>
            <w:pPr>
              <w:adjustRightInd w:val="0"/>
              <w:snapToGrid w:val="0"/>
              <w:spacing w:line="276" w:lineRule="auto"/>
              <w:jc w:val="center"/>
              <w:rPr>
                <w:b/>
                <w:sz w:val="18"/>
                <w:szCs w:val="18"/>
              </w:rPr>
            </w:pPr>
            <w:r>
              <w:rPr>
                <w:b/>
                <w:sz w:val="18"/>
                <w:szCs w:val="18"/>
              </w:rPr>
              <w:t>/μg/g</w:t>
            </w:r>
          </w:p>
        </w:tc>
        <w:tc>
          <w:tcPr>
            <w:tcW w:w="1156" w:type="dxa"/>
            <w:vAlign w:val="center"/>
          </w:tcPr>
          <w:p>
            <w:pPr>
              <w:adjustRightInd w:val="0"/>
              <w:snapToGrid w:val="0"/>
              <w:spacing w:line="276" w:lineRule="auto"/>
              <w:jc w:val="center"/>
              <w:rPr>
                <w:b/>
                <w:sz w:val="18"/>
                <w:szCs w:val="18"/>
              </w:rPr>
            </w:pPr>
            <w:r>
              <w:rPr>
                <w:b/>
                <w:sz w:val="18"/>
                <w:szCs w:val="18"/>
              </w:rPr>
              <w:t>元素</w:t>
            </w:r>
          </w:p>
        </w:tc>
        <w:tc>
          <w:tcPr>
            <w:tcW w:w="1155" w:type="dxa"/>
            <w:vAlign w:val="center"/>
          </w:tcPr>
          <w:p>
            <w:pPr>
              <w:adjustRightInd w:val="0"/>
              <w:snapToGrid w:val="0"/>
              <w:spacing w:line="276" w:lineRule="auto"/>
              <w:jc w:val="center"/>
              <w:rPr>
                <w:b/>
                <w:sz w:val="18"/>
                <w:szCs w:val="18"/>
              </w:rPr>
            </w:pPr>
            <w:r>
              <w:rPr>
                <w:b/>
                <w:sz w:val="18"/>
                <w:szCs w:val="18"/>
              </w:rPr>
              <w:t>测定范围</w:t>
            </w:r>
          </w:p>
          <w:p>
            <w:pPr>
              <w:adjustRightInd w:val="0"/>
              <w:snapToGrid w:val="0"/>
              <w:spacing w:line="276" w:lineRule="auto"/>
              <w:jc w:val="center"/>
              <w:rPr>
                <w:b/>
                <w:sz w:val="18"/>
                <w:szCs w:val="18"/>
              </w:rPr>
            </w:pPr>
            <w:r>
              <w:rPr>
                <w:b/>
                <w:sz w:val="18"/>
                <w:szCs w:val="18"/>
              </w:rPr>
              <w:t>/μg/g</w:t>
            </w:r>
          </w:p>
        </w:tc>
        <w:tc>
          <w:tcPr>
            <w:tcW w:w="1156" w:type="dxa"/>
            <w:vAlign w:val="center"/>
          </w:tcPr>
          <w:p>
            <w:pPr>
              <w:adjustRightInd w:val="0"/>
              <w:snapToGrid w:val="0"/>
              <w:spacing w:line="276" w:lineRule="auto"/>
              <w:jc w:val="center"/>
              <w:rPr>
                <w:b/>
                <w:sz w:val="18"/>
                <w:szCs w:val="18"/>
              </w:rPr>
            </w:pPr>
            <w:r>
              <w:rPr>
                <w:b/>
                <w:sz w:val="18"/>
                <w:szCs w:val="18"/>
              </w:rPr>
              <w:t>元素</w:t>
            </w:r>
          </w:p>
        </w:tc>
        <w:tc>
          <w:tcPr>
            <w:tcW w:w="1155" w:type="dxa"/>
            <w:vAlign w:val="center"/>
          </w:tcPr>
          <w:p>
            <w:pPr>
              <w:adjustRightInd w:val="0"/>
              <w:snapToGrid w:val="0"/>
              <w:spacing w:line="276" w:lineRule="auto"/>
              <w:jc w:val="center"/>
              <w:rPr>
                <w:b/>
                <w:sz w:val="18"/>
                <w:szCs w:val="18"/>
              </w:rPr>
            </w:pPr>
            <w:r>
              <w:rPr>
                <w:b/>
                <w:sz w:val="18"/>
                <w:szCs w:val="18"/>
              </w:rPr>
              <w:t>测定范围</w:t>
            </w:r>
          </w:p>
          <w:p>
            <w:pPr>
              <w:adjustRightInd w:val="0"/>
              <w:snapToGrid w:val="0"/>
              <w:spacing w:line="276" w:lineRule="auto"/>
              <w:jc w:val="center"/>
              <w:rPr>
                <w:b/>
                <w:sz w:val="18"/>
                <w:szCs w:val="18"/>
              </w:rPr>
            </w:pPr>
            <w:r>
              <w:rPr>
                <w:b/>
                <w:sz w:val="18"/>
                <w:szCs w:val="18"/>
              </w:rPr>
              <w:t>/μg/g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55" w:type="dxa"/>
            <w:vAlign w:val="center"/>
          </w:tcPr>
          <w:p>
            <w:pPr>
              <w:adjustRightInd w:val="0"/>
              <w:snapToGrid w:val="0"/>
              <w:spacing w:line="276" w:lineRule="auto"/>
              <w:jc w:val="center"/>
              <w:rPr>
                <w:sz w:val="18"/>
                <w:szCs w:val="18"/>
              </w:rPr>
            </w:pPr>
            <w:r>
              <w:rPr>
                <w:sz w:val="18"/>
                <w:szCs w:val="18"/>
              </w:rPr>
              <w:t>Li</w:t>
            </w:r>
          </w:p>
        </w:tc>
        <w:tc>
          <w:tcPr>
            <w:tcW w:w="1154" w:type="dxa"/>
            <w:vAlign w:val="center"/>
          </w:tcPr>
          <w:p>
            <w:pPr>
              <w:adjustRightInd w:val="0"/>
              <w:snapToGrid w:val="0"/>
              <w:spacing w:line="276" w:lineRule="auto"/>
              <w:jc w:val="center"/>
              <w:rPr>
                <w:sz w:val="18"/>
                <w:szCs w:val="18"/>
              </w:rPr>
            </w:pPr>
            <w:r>
              <w:rPr>
                <w:sz w:val="18"/>
                <w:szCs w:val="18"/>
              </w:rPr>
              <w:t>0.050~10</w:t>
            </w:r>
          </w:p>
        </w:tc>
        <w:tc>
          <w:tcPr>
            <w:tcW w:w="1156" w:type="dxa"/>
            <w:vAlign w:val="center"/>
          </w:tcPr>
          <w:p>
            <w:pPr>
              <w:adjustRightInd w:val="0"/>
              <w:snapToGrid w:val="0"/>
              <w:spacing w:line="276" w:lineRule="auto"/>
              <w:jc w:val="center"/>
              <w:rPr>
                <w:sz w:val="18"/>
                <w:szCs w:val="18"/>
              </w:rPr>
            </w:pPr>
            <w:r>
              <w:rPr>
                <w:sz w:val="18"/>
                <w:szCs w:val="18"/>
              </w:rPr>
              <w:t>Fe</w:t>
            </w:r>
          </w:p>
        </w:tc>
        <w:tc>
          <w:tcPr>
            <w:tcW w:w="1155" w:type="dxa"/>
            <w:vAlign w:val="top"/>
          </w:tcPr>
          <w:p>
            <w:pPr>
              <w:spacing w:line="276" w:lineRule="auto"/>
              <w:jc w:val="center"/>
            </w:pPr>
            <w:r>
              <w:rPr>
                <w:sz w:val="18"/>
                <w:szCs w:val="18"/>
              </w:rPr>
              <w:t>0.50~50</w:t>
            </w:r>
          </w:p>
        </w:tc>
        <w:tc>
          <w:tcPr>
            <w:tcW w:w="1156" w:type="dxa"/>
            <w:vAlign w:val="center"/>
          </w:tcPr>
          <w:p>
            <w:pPr>
              <w:spacing w:line="276" w:lineRule="auto"/>
              <w:jc w:val="center"/>
            </w:pPr>
            <w:r>
              <w:rPr>
                <w:sz w:val="18"/>
                <w:szCs w:val="18"/>
              </w:rPr>
              <w:t>Pd</w:t>
            </w:r>
          </w:p>
        </w:tc>
        <w:tc>
          <w:tcPr>
            <w:tcW w:w="1155" w:type="dxa"/>
            <w:vAlign w:val="top"/>
          </w:tcPr>
          <w:p>
            <w:pPr>
              <w:spacing w:line="276" w:lineRule="auto"/>
              <w:jc w:val="center"/>
            </w:pPr>
            <w:r>
              <w:rPr>
                <w:sz w:val="18"/>
                <w:szCs w:val="18"/>
              </w:rPr>
              <w:t>0.050~10</w:t>
            </w:r>
          </w:p>
        </w:tc>
        <w:tc>
          <w:tcPr>
            <w:tcW w:w="1156" w:type="dxa"/>
            <w:vAlign w:val="center"/>
          </w:tcPr>
          <w:p>
            <w:pPr>
              <w:adjustRightInd w:val="0"/>
              <w:snapToGrid w:val="0"/>
              <w:spacing w:line="276" w:lineRule="auto"/>
              <w:jc w:val="center"/>
              <w:rPr>
                <w:sz w:val="18"/>
                <w:szCs w:val="18"/>
              </w:rPr>
            </w:pPr>
            <w:r>
              <w:rPr>
                <w:sz w:val="18"/>
                <w:szCs w:val="18"/>
              </w:rPr>
              <w:t>Ho</w:t>
            </w:r>
          </w:p>
        </w:tc>
        <w:tc>
          <w:tcPr>
            <w:tcW w:w="1155" w:type="dxa"/>
            <w:vAlign w:val="top"/>
          </w:tcPr>
          <w:p>
            <w:pPr>
              <w:spacing w:line="276" w:lineRule="auto"/>
              <w:jc w:val="center"/>
            </w:pPr>
            <w:r>
              <w:rPr>
                <w:sz w:val="18"/>
                <w:szCs w:val="18"/>
              </w:rPr>
              <w:t>0.050~20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55" w:type="dxa"/>
            <w:vAlign w:val="center"/>
          </w:tcPr>
          <w:p>
            <w:pPr>
              <w:adjustRightInd w:val="0"/>
              <w:snapToGrid w:val="0"/>
              <w:spacing w:line="276" w:lineRule="auto"/>
              <w:jc w:val="center"/>
              <w:rPr>
                <w:sz w:val="18"/>
                <w:szCs w:val="18"/>
              </w:rPr>
            </w:pPr>
            <w:r>
              <w:rPr>
                <w:sz w:val="18"/>
                <w:szCs w:val="18"/>
              </w:rPr>
              <w:t>Be</w:t>
            </w:r>
          </w:p>
        </w:tc>
        <w:tc>
          <w:tcPr>
            <w:tcW w:w="1154" w:type="dxa"/>
            <w:vAlign w:val="top"/>
          </w:tcPr>
          <w:p>
            <w:pPr>
              <w:spacing w:line="276" w:lineRule="auto"/>
              <w:jc w:val="center"/>
            </w:pPr>
            <w:r>
              <w:rPr>
                <w:sz w:val="18"/>
                <w:szCs w:val="18"/>
              </w:rPr>
              <w:t>0.050~10</w:t>
            </w:r>
          </w:p>
        </w:tc>
        <w:tc>
          <w:tcPr>
            <w:tcW w:w="1156" w:type="dxa"/>
            <w:vAlign w:val="center"/>
          </w:tcPr>
          <w:p>
            <w:pPr>
              <w:adjustRightInd w:val="0"/>
              <w:snapToGrid w:val="0"/>
              <w:spacing w:line="276" w:lineRule="auto"/>
              <w:jc w:val="center"/>
              <w:rPr>
                <w:sz w:val="18"/>
                <w:szCs w:val="18"/>
              </w:rPr>
            </w:pPr>
            <w:r>
              <w:rPr>
                <w:sz w:val="18"/>
                <w:szCs w:val="18"/>
              </w:rPr>
              <w:t>Co</w:t>
            </w:r>
          </w:p>
        </w:tc>
        <w:tc>
          <w:tcPr>
            <w:tcW w:w="1155" w:type="dxa"/>
            <w:vAlign w:val="top"/>
          </w:tcPr>
          <w:p>
            <w:pPr>
              <w:spacing w:line="276" w:lineRule="auto"/>
              <w:jc w:val="center"/>
            </w:pPr>
            <w:r>
              <w:rPr>
                <w:sz w:val="18"/>
                <w:szCs w:val="18"/>
              </w:rPr>
              <w:t>0.050~10</w:t>
            </w:r>
          </w:p>
        </w:tc>
        <w:tc>
          <w:tcPr>
            <w:tcW w:w="1156" w:type="dxa"/>
            <w:vAlign w:val="center"/>
          </w:tcPr>
          <w:p>
            <w:pPr>
              <w:spacing w:line="276" w:lineRule="auto"/>
              <w:jc w:val="center"/>
            </w:pPr>
            <w:r>
              <w:rPr>
                <w:sz w:val="18"/>
                <w:szCs w:val="18"/>
              </w:rPr>
              <w:t>Ag</w:t>
            </w:r>
          </w:p>
        </w:tc>
        <w:tc>
          <w:tcPr>
            <w:tcW w:w="1155" w:type="dxa"/>
            <w:vAlign w:val="top"/>
          </w:tcPr>
          <w:p>
            <w:pPr>
              <w:spacing w:line="276" w:lineRule="auto"/>
              <w:jc w:val="center"/>
            </w:pPr>
            <w:r>
              <w:rPr>
                <w:sz w:val="18"/>
                <w:szCs w:val="18"/>
              </w:rPr>
              <w:t>0.050~10</w:t>
            </w:r>
          </w:p>
        </w:tc>
        <w:tc>
          <w:tcPr>
            <w:tcW w:w="1156" w:type="dxa"/>
            <w:vAlign w:val="center"/>
          </w:tcPr>
          <w:p>
            <w:pPr>
              <w:adjustRightInd w:val="0"/>
              <w:snapToGrid w:val="0"/>
              <w:spacing w:line="276" w:lineRule="auto"/>
              <w:jc w:val="center"/>
              <w:rPr>
                <w:sz w:val="18"/>
                <w:szCs w:val="18"/>
              </w:rPr>
            </w:pPr>
            <w:r>
              <w:rPr>
                <w:sz w:val="18"/>
                <w:szCs w:val="18"/>
              </w:rPr>
              <w:t>Er</w:t>
            </w:r>
          </w:p>
        </w:tc>
        <w:tc>
          <w:tcPr>
            <w:tcW w:w="1155" w:type="dxa"/>
            <w:vAlign w:val="top"/>
          </w:tcPr>
          <w:p>
            <w:pPr>
              <w:spacing w:line="276" w:lineRule="auto"/>
              <w:jc w:val="center"/>
            </w:pPr>
            <w:r>
              <w:rPr>
                <w:sz w:val="18"/>
                <w:szCs w:val="18"/>
              </w:rPr>
              <w:t>0.050~20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55" w:type="dxa"/>
            <w:vAlign w:val="center"/>
          </w:tcPr>
          <w:p>
            <w:pPr>
              <w:adjustRightInd w:val="0"/>
              <w:snapToGrid w:val="0"/>
              <w:spacing w:line="276" w:lineRule="auto"/>
              <w:jc w:val="center"/>
              <w:rPr>
                <w:sz w:val="18"/>
                <w:szCs w:val="18"/>
              </w:rPr>
            </w:pPr>
            <w:r>
              <w:rPr>
                <w:sz w:val="18"/>
                <w:szCs w:val="18"/>
              </w:rPr>
              <w:t>B</w:t>
            </w:r>
          </w:p>
        </w:tc>
        <w:tc>
          <w:tcPr>
            <w:tcW w:w="1154" w:type="dxa"/>
            <w:vAlign w:val="top"/>
          </w:tcPr>
          <w:p>
            <w:pPr>
              <w:spacing w:line="276" w:lineRule="auto"/>
              <w:jc w:val="center"/>
            </w:pPr>
            <w:r>
              <w:rPr>
                <w:sz w:val="18"/>
                <w:szCs w:val="18"/>
              </w:rPr>
              <w:t>0.10~10</w:t>
            </w:r>
          </w:p>
        </w:tc>
        <w:tc>
          <w:tcPr>
            <w:tcW w:w="1156" w:type="dxa"/>
            <w:vAlign w:val="center"/>
          </w:tcPr>
          <w:p>
            <w:pPr>
              <w:spacing w:line="276" w:lineRule="auto"/>
              <w:jc w:val="center"/>
            </w:pPr>
            <w:r>
              <w:rPr>
                <w:sz w:val="18"/>
                <w:szCs w:val="18"/>
              </w:rPr>
              <w:t>Ni</w:t>
            </w:r>
          </w:p>
        </w:tc>
        <w:tc>
          <w:tcPr>
            <w:tcW w:w="1155" w:type="dxa"/>
            <w:vAlign w:val="top"/>
          </w:tcPr>
          <w:p>
            <w:pPr>
              <w:spacing w:line="276" w:lineRule="auto"/>
              <w:jc w:val="center"/>
            </w:pPr>
            <w:r>
              <w:rPr>
                <w:sz w:val="18"/>
                <w:szCs w:val="18"/>
              </w:rPr>
              <w:t>0.050~10</w:t>
            </w:r>
          </w:p>
        </w:tc>
        <w:tc>
          <w:tcPr>
            <w:tcW w:w="1156" w:type="dxa"/>
            <w:vAlign w:val="center"/>
          </w:tcPr>
          <w:p>
            <w:pPr>
              <w:adjustRightInd w:val="0"/>
              <w:snapToGrid w:val="0"/>
              <w:spacing w:line="276" w:lineRule="auto"/>
              <w:jc w:val="center"/>
              <w:rPr>
                <w:sz w:val="18"/>
                <w:szCs w:val="18"/>
              </w:rPr>
            </w:pPr>
            <w:r>
              <w:rPr>
                <w:sz w:val="18"/>
                <w:szCs w:val="18"/>
              </w:rPr>
              <w:t>Cd</w:t>
            </w:r>
          </w:p>
        </w:tc>
        <w:tc>
          <w:tcPr>
            <w:tcW w:w="1155" w:type="dxa"/>
            <w:vAlign w:val="top"/>
          </w:tcPr>
          <w:p>
            <w:pPr>
              <w:spacing w:line="276" w:lineRule="auto"/>
              <w:jc w:val="center"/>
            </w:pPr>
            <w:r>
              <w:rPr>
                <w:sz w:val="18"/>
                <w:szCs w:val="18"/>
              </w:rPr>
              <w:t>0.050~10</w:t>
            </w:r>
          </w:p>
        </w:tc>
        <w:tc>
          <w:tcPr>
            <w:tcW w:w="1156" w:type="dxa"/>
            <w:vAlign w:val="center"/>
          </w:tcPr>
          <w:p>
            <w:pPr>
              <w:adjustRightInd w:val="0"/>
              <w:snapToGrid w:val="0"/>
              <w:spacing w:line="276" w:lineRule="auto"/>
              <w:jc w:val="center"/>
              <w:rPr>
                <w:sz w:val="18"/>
                <w:szCs w:val="18"/>
              </w:rPr>
            </w:pPr>
            <w:r>
              <w:rPr>
                <w:sz w:val="18"/>
                <w:szCs w:val="18"/>
              </w:rPr>
              <w:t>Tm</w:t>
            </w:r>
          </w:p>
        </w:tc>
        <w:tc>
          <w:tcPr>
            <w:tcW w:w="1155" w:type="dxa"/>
            <w:vAlign w:val="top"/>
          </w:tcPr>
          <w:p>
            <w:pPr>
              <w:spacing w:line="276" w:lineRule="auto"/>
              <w:jc w:val="center"/>
            </w:pPr>
            <w:r>
              <w:rPr>
                <w:sz w:val="18"/>
                <w:szCs w:val="18"/>
              </w:rPr>
              <w:t>0.050~20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55" w:type="dxa"/>
            <w:vAlign w:val="center"/>
          </w:tcPr>
          <w:p>
            <w:pPr>
              <w:adjustRightInd w:val="0"/>
              <w:snapToGrid w:val="0"/>
              <w:spacing w:line="276" w:lineRule="auto"/>
              <w:jc w:val="center"/>
              <w:rPr>
                <w:sz w:val="18"/>
                <w:szCs w:val="18"/>
              </w:rPr>
            </w:pPr>
            <w:r>
              <w:rPr>
                <w:sz w:val="18"/>
                <w:szCs w:val="18"/>
              </w:rPr>
              <w:t>F</w:t>
            </w:r>
          </w:p>
        </w:tc>
        <w:tc>
          <w:tcPr>
            <w:tcW w:w="1154" w:type="dxa"/>
            <w:vAlign w:val="top"/>
          </w:tcPr>
          <w:p>
            <w:pPr>
              <w:spacing w:line="276" w:lineRule="auto"/>
              <w:jc w:val="center"/>
            </w:pPr>
            <w:r>
              <w:rPr>
                <w:sz w:val="18"/>
                <w:szCs w:val="18"/>
              </w:rPr>
              <w:t>0.50~10</w:t>
            </w:r>
          </w:p>
        </w:tc>
        <w:tc>
          <w:tcPr>
            <w:tcW w:w="1156" w:type="dxa"/>
            <w:vAlign w:val="center"/>
          </w:tcPr>
          <w:p>
            <w:pPr>
              <w:spacing w:line="276" w:lineRule="auto"/>
              <w:jc w:val="center"/>
            </w:pPr>
            <w:r>
              <w:rPr>
                <w:sz w:val="18"/>
                <w:szCs w:val="18"/>
              </w:rPr>
              <w:t>Cu</w:t>
            </w:r>
          </w:p>
        </w:tc>
        <w:tc>
          <w:tcPr>
            <w:tcW w:w="1155" w:type="dxa"/>
            <w:vAlign w:val="top"/>
          </w:tcPr>
          <w:p>
            <w:pPr>
              <w:spacing w:line="276" w:lineRule="auto"/>
              <w:jc w:val="center"/>
            </w:pPr>
            <w:r>
              <w:rPr>
                <w:sz w:val="18"/>
                <w:szCs w:val="18"/>
              </w:rPr>
              <w:t>0.050~10</w:t>
            </w:r>
          </w:p>
        </w:tc>
        <w:tc>
          <w:tcPr>
            <w:tcW w:w="1156" w:type="dxa"/>
            <w:vAlign w:val="center"/>
          </w:tcPr>
          <w:p>
            <w:pPr>
              <w:adjustRightInd w:val="0"/>
              <w:snapToGrid w:val="0"/>
              <w:spacing w:line="276" w:lineRule="auto"/>
              <w:jc w:val="center"/>
              <w:rPr>
                <w:sz w:val="18"/>
                <w:szCs w:val="18"/>
              </w:rPr>
            </w:pPr>
            <w:r>
              <w:rPr>
                <w:sz w:val="18"/>
                <w:szCs w:val="18"/>
              </w:rPr>
              <w:t>Sn</w:t>
            </w:r>
          </w:p>
        </w:tc>
        <w:tc>
          <w:tcPr>
            <w:tcW w:w="1155" w:type="dxa"/>
            <w:vAlign w:val="top"/>
          </w:tcPr>
          <w:p>
            <w:pPr>
              <w:spacing w:line="276" w:lineRule="auto"/>
              <w:jc w:val="center"/>
            </w:pPr>
            <w:r>
              <w:rPr>
                <w:sz w:val="18"/>
                <w:szCs w:val="18"/>
              </w:rPr>
              <w:t>0.10~10</w:t>
            </w:r>
          </w:p>
        </w:tc>
        <w:tc>
          <w:tcPr>
            <w:tcW w:w="1156" w:type="dxa"/>
            <w:vAlign w:val="center"/>
          </w:tcPr>
          <w:p>
            <w:pPr>
              <w:adjustRightInd w:val="0"/>
              <w:snapToGrid w:val="0"/>
              <w:spacing w:line="276" w:lineRule="auto"/>
              <w:jc w:val="center"/>
              <w:rPr>
                <w:sz w:val="18"/>
                <w:szCs w:val="18"/>
              </w:rPr>
            </w:pPr>
            <w:r>
              <w:rPr>
                <w:sz w:val="18"/>
                <w:szCs w:val="18"/>
              </w:rPr>
              <w:t>Yb</w:t>
            </w:r>
          </w:p>
        </w:tc>
        <w:tc>
          <w:tcPr>
            <w:tcW w:w="1155" w:type="dxa"/>
            <w:vAlign w:val="top"/>
          </w:tcPr>
          <w:p>
            <w:pPr>
              <w:spacing w:line="276" w:lineRule="auto"/>
              <w:jc w:val="center"/>
            </w:pPr>
            <w:r>
              <w:rPr>
                <w:sz w:val="18"/>
                <w:szCs w:val="18"/>
              </w:rPr>
              <w:t>0.050~20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55" w:type="dxa"/>
            <w:vAlign w:val="center"/>
          </w:tcPr>
          <w:p>
            <w:pPr>
              <w:adjustRightInd w:val="0"/>
              <w:snapToGrid w:val="0"/>
              <w:spacing w:line="276" w:lineRule="auto"/>
              <w:jc w:val="center"/>
              <w:rPr>
                <w:sz w:val="18"/>
                <w:szCs w:val="18"/>
              </w:rPr>
            </w:pPr>
            <w:r>
              <w:rPr>
                <w:sz w:val="18"/>
                <w:szCs w:val="18"/>
              </w:rPr>
              <w:t>Na</w:t>
            </w:r>
          </w:p>
        </w:tc>
        <w:tc>
          <w:tcPr>
            <w:tcW w:w="1154" w:type="dxa"/>
            <w:vAlign w:val="top"/>
          </w:tcPr>
          <w:p>
            <w:pPr>
              <w:spacing w:line="276" w:lineRule="auto"/>
              <w:jc w:val="center"/>
            </w:pPr>
            <w:r>
              <w:rPr>
                <w:sz w:val="18"/>
                <w:szCs w:val="18"/>
              </w:rPr>
              <w:t>0.50~50</w:t>
            </w:r>
          </w:p>
        </w:tc>
        <w:tc>
          <w:tcPr>
            <w:tcW w:w="1156" w:type="dxa"/>
            <w:vAlign w:val="center"/>
          </w:tcPr>
          <w:p>
            <w:pPr>
              <w:spacing w:line="276" w:lineRule="auto"/>
              <w:jc w:val="center"/>
            </w:pPr>
            <w:r>
              <w:rPr>
                <w:sz w:val="18"/>
                <w:szCs w:val="18"/>
              </w:rPr>
              <w:t>Zn</w:t>
            </w:r>
          </w:p>
        </w:tc>
        <w:tc>
          <w:tcPr>
            <w:tcW w:w="1155" w:type="dxa"/>
            <w:vAlign w:val="top"/>
          </w:tcPr>
          <w:p>
            <w:pPr>
              <w:spacing w:line="276" w:lineRule="auto"/>
              <w:jc w:val="center"/>
            </w:pPr>
            <w:r>
              <w:rPr>
                <w:sz w:val="18"/>
                <w:szCs w:val="18"/>
              </w:rPr>
              <w:t>0.10~20</w:t>
            </w:r>
          </w:p>
        </w:tc>
        <w:tc>
          <w:tcPr>
            <w:tcW w:w="1156" w:type="dxa"/>
            <w:vAlign w:val="center"/>
          </w:tcPr>
          <w:p>
            <w:pPr>
              <w:adjustRightInd w:val="0"/>
              <w:snapToGrid w:val="0"/>
              <w:spacing w:line="276" w:lineRule="auto"/>
              <w:jc w:val="center"/>
              <w:rPr>
                <w:sz w:val="18"/>
                <w:szCs w:val="18"/>
              </w:rPr>
            </w:pPr>
            <w:r>
              <w:rPr>
                <w:sz w:val="18"/>
                <w:szCs w:val="18"/>
              </w:rPr>
              <w:t>Sb</w:t>
            </w:r>
          </w:p>
        </w:tc>
        <w:tc>
          <w:tcPr>
            <w:tcW w:w="1155" w:type="dxa"/>
            <w:vAlign w:val="top"/>
          </w:tcPr>
          <w:p>
            <w:pPr>
              <w:spacing w:line="276" w:lineRule="auto"/>
              <w:jc w:val="center"/>
            </w:pPr>
            <w:r>
              <w:rPr>
                <w:sz w:val="18"/>
                <w:szCs w:val="18"/>
              </w:rPr>
              <w:t>0.050~10</w:t>
            </w:r>
          </w:p>
        </w:tc>
        <w:tc>
          <w:tcPr>
            <w:tcW w:w="1156" w:type="dxa"/>
            <w:vAlign w:val="center"/>
          </w:tcPr>
          <w:p>
            <w:pPr>
              <w:adjustRightInd w:val="0"/>
              <w:snapToGrid w:val="0"/>
              <w:spacing w:line="276" w:lineRule="auto"/>
              <w:jc w:val="center"/>
              <w:rPr>
                <w:sz w:val="18"/>
                <w:szCs w:val="18"/>
              </w:rPr>
            </w:pPr>
            <w:r>
              <w:rPr>
                <w:sz w:val="18"/>
                <w:szCs w:val="18"/>
              </w:rPr>
              <w:t>Lu</w:t>
            </w:r>
          </w:p>
        </w:tc>
        <w:tc>
          <w:tcPr>
            <w:tcW w:w="1155" w:type="dxa"/>
            <w:vAlign w:val="top"/>
          </w:tcPr>
          <w:p>
            <w:pPr>
              <w:spacing w:line="276" w:lineRule="auto"/>
              <w:jc w:val="center"/>
            </w:pPr>
            <w:r>
              <w:rPr>
                <w:sz w:val="18"/>
                <w:szCs w:val="18"/>
              </w:rPr>
              <w:t>0.050~20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55" w:type="dxa"/>
            <w:vAlign w:val="center"/>
          </w:tcPr>
          <w:p>
            <w:pPr>
              <w:adjustRightInd w:val="0"/>
              <w:snapToGrid w:val="0"/>
              <w:spacing w:line="276" w:lineRule="auto"/>
              <w:jc w:val="center"/>
              <w:rPr>
                <w:sz w:val="18"/>
                <w:szCs w:val="18"/>
              </w:rPr>
            </w:pPr>
            <w:r>
              <w:rPr>
                <w:sz w:val="18"/>
                <w:szCs w:val="18"/>
              </w:rPr>
              <w:t>Mg</w:t>
            </w:r>
          </w:p>
        </w:tc>
        <w:tc>
          <w:tcPr>
            <w:tcW w:w="1154" w:type="dxa"/>
            <w:vAlign w:val="top"/>
          </w:tcPr>
          <w:p>
            <w:pPr>
              <w:spacing w:line="276" w:lineRule="auto"/>
              <w:jc w:val="center"/>
            </w:pPr>
            <w:r>
              <w:rPr>
                <w:sz w:val="18"/>
                <w:szCs w:val="18"/>
              </w:rPr>
              <w:t>0.050~10</w:t>
            </w:r>
          </w:p>
        </w:tc>
        <w:tc>
          <w:tcPr>
            <w:tcW w:w="1156" w:type="dxa"/>
            <w:vAlign w:val="center"/>
          </w:tcPr>
          <w:p>
            <w:pPr>
              <w:spacing w:line="276" w:lineRule="auto"/>
              <w:jc w:val="center"/>
            </w:pPr>
            <w:r>
              <w:rPr>
                <w:sz w:val="18"/>
                <w:szCs w:val="18"/>
              </w:rPr>
              <w:t>Ga</w:t>
            </w:r>
          </w:p>
        </w:tc>
        <w:tc>
          <w:tcPr>
            <w:tcW w:w="1155" w:type="dxa"/>
            <w:vAlign w:val="top"/>
          </w:tcPr>
          <w:p>
            <w:pPr>
              <w:spacing w:line="276" w:lineRule="auto"/>
              <w:jc w:val="center"/>
            </w:pPr>
            <w:r>
              <w:rPr>
                <w:sz w:val="18"/>
                <w:szCs w:val="18"/>
              </w:rPr>
              <w:t>0.10~10</w:t>
            </w:r>
          </w:p>
        </w:tc>
        <w:tc>
          <w:tcPr>
            <w:tcW w:w="1156" w:type="dxa"/>
            <w:vAlign w:val="center"/>
          </w:tcPr>
          <w:p>
            <w:pPr>
              <w:adjustRightInd w:val="0"/>
              <w:snapToGrid w:val="0"/>
              <w:spacing w:line="276" w:lineRule="auto"/>
              <w:jc w:val="center"/>
              <w:rPr>
                <w:sz w:val="18"/>
                <w:szCs w:val="18"/>
              </w:rPr>
            </w:pPr>
            <w:r>
              <w:rPr>
                <w:sz w:val="18"/>
                <w:szCs w:val="18"/>
              </w:rPr>
              <w:t>I</w:t>
            </w:r>
          </w:p>
        </w:tc>
        <w:tc>
          <w:tcPr>
            <w:tcW w:w="1155" w:type="dxa"/>
            <w:vAlign w:val="top"/>
          </w:tcPr>
          <w:p>
            <w:pPr>
              <w:spacing w:line="276" w:lineRule="auto"/>
              <w:jc w:val="center"/>
            </w:pPr>
            <w:r>
              <w:rPr>
                <w:sz w:val="18"/>
                <w:szCs w:val="18"/>
              </w:rPr>
              <w:t>0.50~10</w:t>
            </w:r>
          </w:p>
        </w:tc>
        <w:tc>
          <w:tcPr>
            <w:tcW w:w="1156" w:type="dxa"/>
            <w:vAlign w:val="center"/>
          </w:tcPr>
          <w:p>
            <w:pPr>
              <w:adjustRightInd w:val="0"/>
              <w:snapToGrid w:val="0"/>
              <w:spacing w:line="276" w:lineRule="auto"/>
              <w:jc w:val="center"/>
              <w:rPr>
                <w:sz w:val="18"/>
                <w:szCs w:val="18"/>
              </w:rPr>
            </w:pPr>
            <w:r>
              <w:rPr>
                <w:sz w:val="18"/>
                <w:szCs w:val="18"/>
              </w:rPr>
              <w:t>Hf</w:t>
            </w:r>
          </w:p>
        </w:tc>
        <w:tc>
          <w:tcPr>
            <w:tcW w:w="1155" w:type="dxa"/>
            <w:vAlign w:val="top"/>
          </w:tcPr>
          <w:p>
            <w:pPr>
              <w:spacing w:line="276" w:lineRule="auto"/>
              <w:jc w:val="center"/>
            </w:pPr>
            <w:r>
              <w:rPr>
                <w:sz w:val="18"/>
                <w:szCs w:val="18"/>
              </w:rPr>
              <w:t>0.050~10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55" w:type="dxa"/>
            <w:vAlign w:val="center"/>
          </w:tcPr>
          <w:p>
            <w:pPr>
              <w:adjustRightInd w:val="0"/>
              <w:snapToGrid w:val="0"/>
              <w:spacing w:line="276" w:lineRule="auto"/>
              <w:jc w:val="center"/>
              <w:rPr>
                <w:sz w:val="18"/>
                <w:szCs w:val="18"/>
              </w:rPr>
            </w:pPr>
            <w:r>
              <w:rPr>
                <w:sz w:val="18"/>
                <w:szCs w:val="18"/>
              </w:rPr>
              <w:t>Al</w:t>
            </w:r>
          </w:p>
        </w:tc>
        <w:tc>
          <w:tcPr>
            <w:tcW w:w="1154" w:type="dxa"/>
            <w:vAlign w:val="top"/>
          </w:tcPr>
          <w:p>
            <w:pPr>
              <w:spacing w:line="276" w:lineRule="auto"/>
              <w:jc w:val="center"/>
            </w:pPr>
            <w:r>
              <w:rPr>
                <w:sz w:val="18"/>
                <w:szCs w:val="18"/>
              </w:rPr>
              <w:t>0.10~50</w:t>
            </w:r>
          </w:p>
        </w:tc>
        <w:tc>
          <w:tcPr>
            <w:tcW w:w="1156" w:type="dxa"/>
            <w:vAlign w:val="center"/>
          </w:tcPr>
          <w:p>
            <w:pPr>
              <w:spacing w:line="276" w:lineRule="auto"/>
              <w:jc w:val="center"/>
            </w:pPr>
            <w:r>
              <w:rPr>
                <w:sz w:val="18"/>
                <w:szCs w:val="18"/>
              </w:rPr>
              <w:t>Ge</w:t>
            </w:r>
          </w:p>
        </w:tc>
        <w:tc>
          <w:tcPr>
            <w:tcW w:w="1155" w:type="dxa"/>
            <w:vAlign w:val="top"/>
          </w:tcPr>
          <w:p>
            <w:pPr>
              <w:spacing w:line="276" w:lineRule="auto"/>
              <w:jc w:val="center"/>
            </w:pPr>
            <w:r>
              <w:rPr>
                <w:sz w:val="18"/>
                <w:szCs w:val="18"/>
              </w:rPr>
              <w:t>0.10~10</w:t>
            </w:r>
          </w:p>
        </w:tc>
        <w:tc>
          <w:tcPr>
            <w:tcW w:w="1156" w:type="dxa"/>
            <w:vAlign w:val="center"/>
          </w:tcPr>
          <w:p>
            <w:pPr>
              <w:adjustRightInd w:val="0"/>
              <w:snapToGrid w:val="0"/>
              <w:spacing w:line="276" w:lineRule="auto"/>
              <w:jc w:val="center"/>
              <w:rPr>
                <w:sz w:val="18"/>
                <w:szCs w:val="18"/>
              </w:rPr>
            </w:pPr>
            <w:r>
              <w:rPr>
                <w:sz w:val="18"/>
                <w:szCs w:val="18"/>
              </w:rPr>
              <w:t>Te</w:t>
            </w:r>
          </w:p>
        </w:tc>
        <w:tc>
          <w:tcPr>
            <w:tcW w:w="1155" w:type="dxa"/>
            <w:vAlign w:val="top"/>
          </w:tcPr>
          <w:p>
            <w:pPr>
              <w:spacing w:line="276" w:lineRule="auto"/>
              <w:jc w:val="center"/>
            </w:pPr>
            <w:r>
              <w:rPr>
                <w:sz w:val="18"/>
                <w:szCs w:val="18"/>
              </w:rPr>
              <w:t>0.10~10</w:t>
            </w:r>
          </w:p>
        </w:tc>
        <w:tc>
          <w:tcPr>
            <w:tcW w:w="1156" w:type="dxa"/>
            <w:vAlign w:val="center"/>
          </w:tcPr>
          <w:p>
            <w:pPr>
              <w:adjustRightInd w:val="0"/>
              <w:snapToGrid w:val="0"/>
              <w:spacing w:line="276" w:lineRule="auto"/>
              <w:jc w:val="center"/>
              <w:rPr>
                <w:sz w:val="18"/>
                <w:szCs w:val="18"/>
              </w:rPr>
            </w:pPr>
            <w:r>
              <w:rPr>
                <w:sz w:val="18"/>
                <w:szCs w:val="18"/>
              </w:rPr>
              <w:t>W</w:t>
            </w:r>
          </w:p>
        </w:tc>
        <w:tc>
          <w:tcPr>
            <w:tcW w:w="1155" w:type="dxa"/>
            <w:vAlign w:val="top"/>
          </w:tcPr>
          <w:p>
            <w:pPr>
              <w:spacing w:line="276" w:lineRule="auto"/>
              <w:jc w:val="center"/>
            </w:pPr>
            <w:r>
              <w:rPr>
                <w:sz w:val="18"/>
                <w:szCs w:val="18"/>
              </w:rPr>
              <w:t>0.050~10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55" w:type="dxa"/>
            <w:vAlign w:val="center"/>
          </w:tcPr>
          <w:p>
            <w:pPr>
              <w:adjustRightInd w:val="0"/>
              <w:snapToGrid w:val="0"/>
              <w:spacing w:line="276" w:lineRule="auto"/>
              <w:jc w:val="center"/>
              <w:rPr>
                <w:sz w:val="18"/>
                <w:szCs w:val="18"/>
              </w:rPr>
            </w:pPr>
            <w:r>
              <w:rPr>
                <w:sz w:val="18"/>
                <w:szCs w:val="18"/>
              </w:rPr>
              <w:t>Si</w:t>
            </w:r>
          </w:p>
        </w:tc>
        <w:tc>
          <w:tcPr>
            <w:tcW w:w="1154" w:type="dxa"/>
            <w:vAlign w:val="top"/>
          </w:tcPr>
          <w:p>
            <w:pPr>
              <w:spacing w:line="276" w:lineRule="auto"/>
              <w:jc w:val="center"/>
            </w:pPr>
            <w:r>
              <w:rPr>
                <w:sz w:val="18"/>
                <w:szCs w:val="18"/>
              </w:rPr>
              <w:t>1.0~50</w:t>
            </w:r>
          </w:p>
        </w:tc>
        <w:tc>
          <w:tcPr>
            <w:tcW w:w="1156" w:type="dxa"/>
            <w:vAlign w:val="center"/>
          </w:tcPr>
          <w:p>
            <w:pPr>
              <w:spacing w:line="276" w:lineRule="auto"/>
              <w:jc w:val="center"/>
            </w:pPr>
            <w:r>
              <w:rPr>
                <w:sz w:val="18"/>
                <w:szCs w:val="18"/>
              </w:rPr>
              <w:t>As</w:t>
            </w:r>
          </w:p>
        </w:tc>
        <w:tc>
          <w:tcPr>
            <w:tcW w:w="1155" w:type="dxa"/>
            <w:vAlign w:val="top"/>
          </w:tcPr>
          <w:p>
            <w:pPr>
              <w:spacing w:line="276" w:lineRule="auto"/>
              <w:jc w:val="center"/>
            </w:pPr>
            <w:r>
              <w:rPr>
                <w:sz w:val="18"/>
                <w:szCs w:val="18"/>
              </w:rPr>
              <w:t>0.10~10</w:t>
            </w:r>
          </w:p>
        </w:tc>
        <w:tc>
          <w:tcPr>
            <w:tcW w:w="1156" w:type="dxa"/>
            <w:vAlign w:val="center"/>
          </w:tcPr>
          <w:p>
            <w:pPr>
              <w:adjustRightInd w:val="0"/>
              <w:snapToGrid w:val="0"/>
              <w:spacing w:line="276" w:lineRule="auto"/>
              <w:jc w:val="center"/>
              <w:rPr>
                <w:sz w:val="18"/>
                <w:szCs w:val="18"/>
              </w:rPr>
            </w:pPr>
            <w:r>
              <w:rPr>
                <w:sz w:val="18"/>
                <w:szCs w:val="18"/>
              </w:rPr>
              <w:t>Cs</w:t>
            </w:r>
          </w:p>
        </w:tc>
        <w:tc>
          <w:tcPr>
            <w:tcW w:w="1155" w:type="dxa"/>
            <w:vAlign w:val="top"/>
          </w:tcPr>
          <w:p>
            <w:pPr>
              <w:spacing w:line="276" w:lineRule="auto"/>
              <w:jc w:val="center"/>
            </w:pPr>
            <w:r>
              <w:rPr>
                <w:sz w:val="18"/>
                <w:szCs w:val="18"/>
              </w:rPr>
              <w:t>0.10~10</w:t>
            </w:r>
          </w:p>
        </w:tc>
        <w:tc>
          <w:tcPr>
            <w:tcW w:w="1156" w:type="dxa"/>
            <w:vAlign w:val="center"/>
          </w:tcPr>
          <w:p>
            <w:pPr>
              <w:adjustRightInd w:val="0"/>
              <w:snapToGrid w:val="0"/>
              <w:spacing w:line="276" w:lineRule="auto"/>
              <w:jc w:val="center"/>
              <w:rPr>
                <w:sz w:val="18"/>
                <w:szCs w:val="18"/>
              </w:rPr>
            </w:pPr>
            <w:r>
              <w:rPr>
                <w:sz w:val="18"/>
                <w:szCs w:val="18"/>
              </w:rPr>
              <w:t>Re</w:t>
            </w:r>
          </w:p>
        </w:tc>
        <w:tc>
          <w:tcPr>
            <w:tcW w:w="1155" w:type="dxa"/>
            <w:vAlign w:val="top"/>
          </w:tcPr>
          <w:p>
            <w:pPr>
              <w:spacing w:line="276" w:lineRule="auto"/>
              <w:jc w:val="center"/>
            </w:pPr>
            <w:r>
              <w:rPr>
                <w:sz w:val="18"/>
                <w:szCs w:val="18"/>
              </w:rPr>
              <w:t>0.050~10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55" w:type="dxa"/>
            <w:vAlign w:val="center"/>
          </w:tcPr>
          <w:p>
            <w:pPr>
              <w:adjustRightInd w:val="0"/>
              <w:snapToGrid w:val="0"/>
              <w:spacing w:line="276" w:lineRule="auto"/>
              <w:jc w:val="center"/>
              <w:rPr>
                <w:sz w:val="18"/>
                <w:szCs w:val="18"/>
              </w:rPr>
            </w:pPr>
            <w:r>
              <w:rPr>
                <w:sz w:val="18"/>
                <w:szCs w:val="18"/>
              </w:rPr>
              <w:t>P</w:t>
            </w:r>
          </w:p>
        </w:tc>
        <w:tc>
          <w:tcPr>
            <w:tcW w:w="1154" w:type="dxa"/>
            <w:vAlign w:val="top"/>
          </w:tcPr>
          <w:p>
            <w:pPr>
              <w:spacing w:line="276" w:lineRule="auto"/>
              <w:jc w:val="center"/>
            </w:pPr>
            <w:r>
              <w:rPr>
                <w:sz w:val="18"/>
                <w:szCs w:val="18"/>
              </w:rPr>
              <w:t>0.50~50</w:t>
            </w:r>
          </w:p>
        </w:tc>
        <w:tc>
          <w:tcPr>
            <w:tcW w:w="1156" w:type="dxa"/>
            <w:vAlign w:val="center"/>
          </w:tcPr>
          <w:p>
            <w:pPr>
              <w:spacing w:line="276" w:lineRule="auto"/>
              <w:jc w:val="center"/>
            </w:pPr>
            <w:r>
              <w:rPr>
                <w:sz w:val="18"/>
                <w:szCs w:val="18"/>
              </w:rPr>
              <w:t>Br</w:t>
            </w:r>
          </w:p>
        </w:tc>
        <w:tc>
          <w:tcPr>
            <w:tcW w:w="1155" w:type="dxa"/>
            <w:vAlign w:val="top"/>
          </w:tcPr>
          <w:p>
            <w:pPr>
              <w:spacing w:line="276" w:lineRule="auto"/>
              <w:jc w:val="center"/>
            </w:pPr>
            <w:r>
              <w:rPr>
                <w:sz w:val="18"/>
                <w:szCs w:val="18"/>
              </w:rPr>
              <w:t>0.10~10</w:t>
            </w:r>
          </w:p>
        </w:tc>
        <w:tc>
          <w:tcPr>
            <w:tcW w:w="1156" w:type="dxa"/>
            <w:vAlign w:val="center"/>
          </w:tcPr>
          <w:p>
            <w:pPr>
              <w:adjustRightInd w:val="0"/>
              <w:snapToGrid w:val="0"/>
              <w:spacing w:line="276" w:lineRule="auto"/>
              <w:jc w:val="center"/>
              <w:rPr>
                <w:sz w:val="18"/>
                <w:szCs w:val="18"/>
              </w:rPr>
            </w:pPr>
            <w:r>
              <w:rPr>
                <w:sz w:val="18"/>
                <w:szCs w:val="18"/>
              </w:rPr>
              <w:t>Ba</w:t>
            </w:r>
          </w:p>
        </w:tc>
        <w:tc>
          <w:tcPr>
            <w:tcW w:w="1155" w:type="dxa"/>
            <w:vAlign w:val="top"/>
          </w:tcPr>
          <w:p>
            <w:pPr>
              <w:spacing w:line="276" w:lineRule="auto"/>
              <w:jc w:val="center"/>
            </w:pPr>
            <w:r>
              <w:rPr>
                <w:sz w:val="18"/>
                <w:szCs w:val="18"/>
              </w:rPr>
              <w:t>0.10~10</w:t>
            </w:r>
          </w:p>
        </w:tc>
        <w:tc>
          <w:tcPr>
            <w:tcW w:w="1156" w:type="dxa"/>
            <w:vAlign w:val="center"/>
          </w:tcPr>
          <w:p>
            <w:pPr>
              <w:adjustRightInd w:val="0"/>
              <w:snapToGrid w:val="0"/>
              <w:spacing w:line="276" w:lineRule="auto"/>
              <w:jc w:val="center"/>
              <w:rPr>
                <w:sz w:val="18"/>
                <w:szCs w:val="18"/>
              </w:rPr>
            </w:pPr>
            <w:r>
              <w:rPr>
                <w:sz w:val="18"/>
                <w:szCs w:val="18"/>
              </w:rPr>
              <w:t>Os</w:t>
            </w:r>
          </w:p>
        </w:tc>
        <w:tc>
          <w:tcPr>
            <w:tcW w:w="1155" w:type="dxa"/>
            <w:vAlign w:val="top"/>
          </w:tcPr>
          <w:p>
            <w:pPr>
              <w:spacing w:line="276" w:lineRule="auto"/>
              <w:jc w:val="center"/>
            </w:pPr>
            <w:r>
              <w:rPr>
                <w:sz w:val="18"/>
                <w:szCs w:val="18"/>
              </w:rPr>
              <w:t>0.050~10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55" w:type="dxa"/>
            <w:vAlign w:val="center"/>
          </w:tcPr>
          <w:p>
            <w:pPr>
              <w:adjustRightInd w:val="0"/>
              <w:snapToGrid w:val="0"/>
              <w:spacing w:line="276" w:lineRule="auto"/>
              <w:jc w:val="center"/>
              <w:rPr>
                <w:sz w:val="18"/>
                <w:szCs w:val="18"/>
              </w:rPr>
            </w:pPr>
            <w:r>
              <w:rPr>
                <w:sz w:val="18"/>
                <w:szCs w:val="18"/>
              </w:rPr>
              <w:t>S</w:t>
            </w:r>
          </w:p>
        </w:tc>
        <w:tc>
          <w:tcPr>
            <w:tcW w:w="1154" w:type="dxa"/>
            <w:vAlign w:val="top"/>
          </w:tcPr>
          <w:p>
            <w:pPr>
              <w:spacing w:line="276" w:lineRule="auto"/>
              <w:jc w:val="center"/>
            </w:pPr>
            <w:r>
              <w:rPr>
                <w:sz w:val="18"/>
                <w:szCs w:val="18"/>
              </w:rPr>
              <w:t>0.050~</w:t>
            </w:r>
          </w:p>
        </w:tc>
        <w:tc>
          <w:tcPr>
            <w:tcW w:w="1156" w:type="dxa"/>
            <w:vAlign w:val="center"/>
          </w:tcPr>
          <w:p>
            <w:pPr>
              <w:spacing w:line="276" w:lineRule="auto"/>
              <w:jc w:val="center"/>
            </w:pPr>
            <w:r>
              <w:rPr>
                <w:sz w:val="18"/>
                <w:szCs w:val="18"/>
              </w:rPr>
              <w:t>Se</w:t>
            </w:r>
          </w:p>
        </w:tc>
        <w:tc>
          <w:tcPr>
            <w:tcW w:w="1155" w:type="dxa"/>
            <w:vAlign w:val="top"/>
          </w:tcPr>
          <w:p>
            <w:pPr>
              <w:spacing w:line="276" w:lineRule="auto"/>
              <w:jc w:val="center"/>
              <w:rPr>
                <w:b/>
              </w:rPr>
            </w:pPr>
            <w:r>
              <w:rPr>
                <w:sz w:val="18"/>
                <w:szCs w:val="18"/>
              </w:rPr>
              <w:t>0.10~10</w:t>
            </w:r>
          </w:p>
        </w:tc>
        <w:tc>
          <w:tcPr>
            <w:tcW w:w="1156" w:type="dxa"/>
            <w:vAlign w:val="center"/>
          </w:tcPr>
          <w:p>
            <w:pPr>
              <w:adjustRightInd w:val="0"/>
              <w:snapToGrid w:val="0"/>
              <w:spacing w:line="276" w:lineRule="auto"/>
              <w:jc w:val="center"/>
              <w:rPr>
                <w:sz w:val="18"/>
                <w:szCs w:val="18"/>
              </w:rPr>
            </w:pPr>
            <w:r>
              <w:rPr>
                <w:sz w:val="18"/>
                <w:szCs w:val="18"/>
              </w:rPr>
              <w:t>La</w:t>
            </w:r>
          </w:p>
        </w:tc>
        <w:tc>
          <w:tcPr>
            <w:tcW w:w="1155" w:type="dxa"/>
            <w:vAlign w:val="top"/>
          </w:tcPr>
          <w:p>
            <w:pPr>
              <w:spacing w:line="276" w:lineRule="auto"/>
              <w:jc w:val="center"/>
            </w:pPr>
            <w:r>
              <w:rPr>
                <w:sz w:val="18"/>
                <w:szCs w:val="18"/>
              </w:rPr>
              <w:t>0.050~20</w:t>
            </w:r>
          </w:p>
        </w:tc>
        <w:tc>
          <w:tcPr>
            <w:tcW w:w="1156" w:type="dxa"/>
            <w:vAlign w:val="center"/>
          </w:tcPr>
          <w:p>
            <w:pPr>
              <w:adjustRightInd w:val="0"/>
              <w:snapToGrid w:val="0"/>
              <w:spacing w:line="276" w:lineRule="auto"/>
              <w:jc w:val="center"/>
              <w:rPr>
                <w:sz w:val="18"/>
                <w:szCs w:val="18"/>
              </w:rPr>
            </w:pPr>
            <w:r>
              <w:rPr>
                <w:sz w:val="18"/>
                <w:szCs w:val="18"/>
              </w:rPr>
              <w:t>Ir</w:t>
            </w:r>
          </w:p>
        </w:tc>
        <w:tc>
          <w:tcPr>
            <w:tcW w:w="1155" w:type="dxa"/>
            <w:vAlign w:val="top"/>
          </w:tcPr>
          <w:p>
            <w:pPr>
              <w:spacing w:line="276" w:lineRule="auto"/>
              <w:jc w:val="center"/>
            </w:pPr>
            <w:r>
              <w:rPr>
                <w:sz w:val="18"/>
                <w:szCs w:val="18"/>
              </w:rPr>
              <w:t>0.050~10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55" w:type="dxa"/>
            <w:vAlign w:val="center"/>
          </w:tcPr>
          <w:p>
            <w:pPr>
              <w:adjustRightInd w:val="0"/>
              <w:snapToGrid w:val="0"/>
              <w:spacing w:line="276" w:lineRule="auto"/>
              <w:jc w:val="center"/>
              <w:rPr>
                <w:sz w:val="18"/>
                <w:szCs w:val="18"/>
              </w:rPr>
            </w:pPr>
            <w:r>
              <w:rPr>
                <w:sz w:val="18"/>
                <w:szCs w:val="18"/>
              </w:rPr>
              <w:t>K</w:t>
            </w:r>
          </w:p>
        </w:tc>
        <w:tc>
          <w:tcPr>
            <w:tcW w:w="1154" w:type="dxa"/>
            <w:vAlign w:val="top"/>
          </w:tcPr>
          <w:p>
            <w:pPr>
              <w:spacing w:line="276" w:lineRule="auto"/>
              <w:jc w:val="center"/>
            </w:pPr>
            <w:r>
              <w:rPr>
                <w:sz w:val="18"/>
                <w:szCs w:val="18"/>
              </w:rPr>
              <w:t>1.0~50</w:t>
            </w:r>
          </w:p>
        </w:tc>
        <w:tc>
          <w:tcPr>
            <w:tcW w:w="1156" w:type="dxa"/>
            <w:vAlign w:val="center"/>
          </w:tcPr>
          <w:p>
            <w:pPr>
              <w:spacing w:line="276" w:lineRule="auto"/>
              <w:jc w:val="center"/>
            </w:pPr>
            <w:r>
              <w:rPr>
                <w:sz w:val="18"/>
                <w:szCs w:val="18"/>
              </w:rPr>
              <w:t>Rb</w:t>
            </w:r>
          </w:p>
        </w:tc>
        <w:tc>
          <w:tcPr>
            <w:tcW w:w="1155" w:type="dxa"/>
            <w:vAlign w:val="top"/>
          </w:tcPr>
          <w:p>
            <w:pPr>
              <w:spacing w:line="276" w:lineRule="auto"/>
              <w:jc w:val="center"/>
            </w:pPr>
            <w:r>
              <w:rPr>
                <w:sz w:val="18"/>
                <w:szCs w:val="18"/>
              </w:rPr>
              <w:t>0.050~10</w:t>
            </w:r>
          </w:p>
        </w:tc>
        <w:tc>
          <w:tcPr>
            <w:tcW w:w="1156" w:type="dxa"/>
            <w:vAlign w:val="center"/>
          </w:tcPr>
          <w:p>
            <w:pPr>
              <w:adjustRightInd w:val="0"/>
              <w:snapToGrid w:val="0"/>
              <w:spacing w:line="276" w:lineRule="auto"/>
              <w:jc w:val="center"/>
              <w:rPr>
                <w:sz w:val="18"/>
                <w:szCs w:val="18"/>
              </w:rPr>
            </w:pPr>
            <w:r>
              <w:rPr>
                <w:sz w:val="18"/>
                <w:szCs w:val="18"/>
              </w:rPr>
              <w:t>Ce</w:t>
            </w:r>
          </w:p>
        </w:tc>
        <w:tc>
          <w:tcPr>
            <w:tcW w:w="1155" w:type="dxa"/>
            <w:vAlign w:val="top"/>
          </w:tcPr>
          <w:p>
            <w:pPr>
              <w:spacing w:line="276" w:lineRule="auto"/>
              <w:jc w:val="center"/>
            </w:pPr>
            <w:r>
              <w:rPr>
                <w:sz w:val="18"/>
                <w:szCs w:val="18"/>
              </w:rPr>
              <w:t>0.050~20</w:t>
            </w:r>
          </w:p>
        </w:tc>
        <w:tc>
          <w:tcPr>
            <w:tcW w:w="1156" w:type="dxa"/>
            <w:vAlign w:val="center"/>
          </w:tcPr>
          <w:p>
            <w:pPr>
              <w:adjustRightInd w:val="0"/>
              <w:snapToGrid w:val="0"/>
              <w:spacing w:line="276" w:lineRule="auto"/>
              <w:jc w:val="center"/>
              <w:rPr>
                <w:sz w:val="18"/>
                <w:szCs w:val="18"/>
              </w:rPr>
            </w:pPr>
            <w:r>
              <w:rPr>
                <w:sz w:val="18"/>
                <w:szCs w:val="18"/>
              </w:rPr>
              <w:t>Pt</w:t>
            </w:r>
          </w:p>
        </w:tc>
        <w:tc>
          <w:tcPr>
            <w:tcW w:w="1155" w:type="dxa"/>
            <w:vAlign w:val="top"/>
          </w:tcPr>
          <w:p>
            <w:pPr>
              <w:spacing w:line="276" w:lineRule="auto"/>
              <w:jc w:val="center"/>
            </w:pPr>
            <w:r>
              <w:rPr>
                <w:sz w:val="18"/>
                <w:szCs w:val="18"/>
              </w:rPr>
              <w:t>0.050~10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55" w:type="dxa"/>
            <w:vAlign w:val="center"/>
          </w:tcPr>
          <w:p>
            <w:pPr>
              <w:adjustRightInd w:val="0"/>
              <w:snapToGrid w:val="0"/>
              <w:spacing w:line="276" w:lineRule="auto"/>
              <w:jc w:val="center"/>
              <w:rPr>
                <w:sz w:val="18"/>
                <w:szCs w:val="18"/>
              </w:rPr>
            </w:pPr>
            <w:r>
              <w:rPr>
                <w:sz w:val="18"/>
                <w:szCs w:val="18"/>
              </w:rPr>
              <w:t>Cl</w:t>
            </w:r>
          </w:p>
        </w:tc>
        <w:tc>
          <w:tcPr>
            <w:tcW w:w="1154" w:type="dxa"/>
            <w:vAlign w:val="top"/>
          </w:tcPr>
          <w:p>
            <w:pPr>
              <w:spacing w:line="276" w:lineRule="auto"/>
              <w:jc w:val="center"/>
            </w:pPr>
            <w:r>
              <w:rPr>
                <w:sz w:val="18"/>
                <w:szCs w:val="18"/>
              </w:rPr>
              <w:t>0.10~150</w:t>
            </w:r>
          </w:p>
        </w:tc>
        <w:tc>
          <w:tcPr>
            <w:tcW w:w="1156" w:type="dxa"/>
            <w:vAlign w:val="center"/>
          </w:tcPr>
          <w:p>
            <w:pPr>
              <w:spacing w:line="276" w:lineRule="auto"/>
              <w:jc w:val="center"/>
            </w:pPr>
            <w:r>
              <w:rPr>
                <w:sz w:val="18"/>
                <w:szCs w:val="18"/>
              </w:rPr>
              <w:t>Sr</w:t>
            </w:r>
          </w:p>
        </w:tc>
        <w:tc>
          <w:tcPr>
            <w:tcW w:w="1155" w:type="dxa"/>
            <w:vAlign w:val="top"/>
          </w:tcPr>
          <w:p>
            <w:pPr>
              <w:spacing w:line="276" w:lineRule="auto"/>
              <w:jc w:val="center"/>
            </w:pPr>
            <w:r>
              <w:rPr>
                <w:sz w:val="18"/>
                <w:szCs w:val="18"/>
              </w:rPr>
              <w:t>0.050~10</w:t>
            </w:r>
          </w:p>
        </w:tc>
        <w:tc>
          <w:tcPr>
            <w:tcW w:w="1156" w:type="dxa"/>
            <w:vAlign w:val="center"/>
          </w:tcPr>
          <w:p>
            <w:pPr>
              <w:adjustRightInd w:val="0"/>
              <w:snapToGrid w:val="0"/>
              <w:spacing w:line="276" w:lineRule="auto"/>
              <w:jc w:val="center"/>
              <w:rPr>
                <w:sz w:val="18"/>
                <w:szCs w:val="18"/>
              </w:rPr>
            </w:pPr>
            <w:r>
              <w:rPr>
                <w:sz w:val="18"/>
                <w:szCs w:val="18"/>
              </w:rPr>
              <w:t>Pr</w:t>
            </w:r>
          </w:p>
        </w:tc>
        <w:tc>
          <w:tcPr>
            <w:tcW w:w="1155" w:type="dxa"/>
            <w:vAlign w:val="top"/>
          </w:tcPr>
          <w:p>
            <w:pPr>
              <w:spacing w:line="276" w:lineRule="auto"/>
              <w:jc w:val="center"/>
            </w:pPr>
            <w:r>
              <w:rPr>
                <w:sz w:val="18"/>
                <w:szCs w:val="18"/>
              </w:rPr>
              <w:t>0.050~20</w:t>
            </w:r>
          </w:p>
        </w:tc>
        <w:tc>
          <w:tcPr>
            <w:tcW w:w="1156" w:type="dxa"/>
            <w:vAlign w:val="center"/>
          </w:tcPr>
          <w:p>
            <w:pPr>
              <w:adjustRightInd w:val="0"/>
              <w:snapToGrid w:val="0"/>
              <w:spacing w:line="276" w:lineRule="auto"/>
              <w:jc w:val="center"/>
              <w:rPr>
                <w:sz w:val="18"/>
                <w:szCs w:val="18"/>
              </w:rPr>
            </w:pPr>
            <w:r>
              <w:rPr>
                <w:sz w:val="18"/>
                <w:szCs w:val="18"/>
              </w:rPr>
              <w:t>Hg</w:t>
            </w:r>
          </w:p>
        </w:tc>
        <w:tc>
          <w:tcPr>
            <w:tcW w:w="1155" w:type="dxa"/>
            <w:vAlign w:val="top"/>
          </w:tcPr>
          <w:p>
            <w:pPr>
              <w:spacing w:line="276" w:lineRule="auto"/>
              <w:jc w:val="center"/>
            </w:pPr>
            <w:r>
              <w:rPr>
                <w:sz w:val="18"/>
                <w:szCs w:val="18"/>
              </w:rPr>
              <w:t>0.050~10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55" w:type="dxa"/>
            <w:vAlign w:val="center"/>
          </w:tcPr>
          <w:p>
            <w:pPr>
              <w:adjustRightInd w:val="0"/>
              <w:snapToGrid w:val="0"/>
              <w:spacing w:line="276" w:lineRule="auto"/>
              <w:jc w:val="center"/>
              <w:rPr>
                <w:sz w:val="18"/>
                <w:szCs w:val="18"/>
              </w:rPr>
            </w:pPr>
            <w:r>
              <w:rPr>
                <w:sz w:val="18"/>
                <w:szCs w:val="18"/>
              </w:rPr>
              <w:t>Ca</w:t>
            </w:r>
          </w:p>
        </w:tc>
        <w:tc>
          <w:tcPr>
            <w:tcW w:w="1154" w:type="dxa"/>
            <w:vAlign w:val="top"/>
          </w:tcPr>
          <w:p>
            <w:pPr>
              <w:spacing w:line="276" w:lineRule="auto"/>
              <w:jc w:val="center"/>
            </w:pPr>
            <w:r>
              <w:rPr>
                <w:sz w:val="18"/>
                <w:szCs w:val="18"/>
              </w:rPr>
              <w:t>0.050~50</w:t>
            </w:r>
          </w:p>
        </w:tc>
        <w:tc>
          <w:tcPr>
            <w:tcW w:w="1156" w:type="dxa"/>
            <w:vAlign w:val="center"/>
          </w:tcPr>
          <w:p>
            <w:pPr>
              <w:spacing w:line="276" w:lineRule="auto"/>
              <w:jc w:val="center"/>
            </w:pPr>
            <w:r>
              <w:rPr>
                <w:sz w:val="18"/>
                <w:szCs w:val="18"/>
              </w:rPr>
              <w:t>Y</w:t>
            </w:r>
          </w:p>
        </w:tc>
        <w:tc>
          <w:tcPr>
            <w:tcW w:w="1155" w:type="dxa"/>
            <w:vAlign w:val="top"/>
          </w:tcPr>
          <w:p>
            <w:pPr>
              <w:spacing w:line="276" w:lineRule="auto"/>
              <w:jc w:val="center"/>
            </w:pPr>
            <w:r>
              <w:rPr>
                <w:sz w:val="18"/>
                <w:szCs w:val="18"/>
              </w:rPr>
              <w:t>0.050~20</w:t>
            </w:r>
          </w:p>
        </w:tc>
        <w:tc>
          <w:tcPr>
            <w:tcW w:w="1156" w:type="dxa"/>
            <w:vAlign w:val="center"/>
          </w:tcPr>
          <w:p>
            <w:pPr>
              <w:adjustRightInd w:val="0"/>
              <w:snapToGrid w:val="0"/>
              <w:spacing w:line="276" w:lineRule="auto"/>
              <w:jc w:val="center"/>
              <w:rPr>
                <w:sz w:val="18"/>
                <w:szCs w:val="18"/>
              </w:rPr>
            </w:pPr>
            <w:r>
              <w:rPr>
                <w:sz w:val="18"/>
                <w:szCs w:val="18"/>
              </w:rPr>
              <w:t>Nd</w:t>
            </w:r>
          </w:p>
        </w:tc>
        <w:tc>
          <w:tcPr>
            <w:tcW w:w="1155" w:type="dxa"/>
            <w:vAlign w:val="top"/>
          </w:tcPr>
          <w:p>
            <w:pPr>
              <w:spacing w:line="276" w:lineRule="auto"/>
              <w:jc w:val="center"/>
            </w:pPr>
            <w:r>
              <w:rPr>
                <w:sz w:val="18"/>
                <w:szCs w:val="18"/>
              </w:rPr>
              <w:t>0.050~20</w:t>
            </w:r>
          </w:p>
        </w:tc>
        <w:tc>
          <w:tcPr>
            <w:tcW w:w="1156" w:type="dxa"/>
            <w:vAlign w:val="center"/>
          </w:tcPr>
          <w:p>
            <w:pPr>
              <w:adjustRightInd w:val="0"/>
              <w:snapToGrid w:val="0"/>
              <w:spacing w:line="276" w:lineRule="auto"/>
              <w:jc w:val="center"/>
              <w:rPr>
                <w:sz w:val="18"/>
                <w:szCs w:val="18"/>
              </w:rPr>
            </w:pPr>
            <w:r>
              <w:rPr>
                <w:sz w:val="18"/>
                <w:szCs w:val="18"/>
              </w:rPr>
              <w:t>Tl</w:t>
            </w:r>
          </w:p>
        </w:tc>
        <w:tc>
          <w:tcPr>
            <w:tcW w:w="1155" w:type="dxa"/>
            <w:vAlign w:val="top"/>
          </w:tcPr>
          <w:p>
            <w:pPr>
              <w:spacing w:line="276" w:lineRule="auto"/>
              <w:jc w:val="center"/>
            </w:pPr>
            <w:r>
              <w:rPr>
                <w:sz w:val="18"/>
                <w:szCs w:val="18"/>
              </w:rPr>
              <w:t>0.050~10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55" w:type="dxa"/>
            <w:vAlign w:val="center"/>
          </w:tcPr>
          <w:p>
            <w:pPr>
              <w:adjustRightInd w:val="0"/>
              <w:snapToGrid w:val="0"/>
              <w:spacing w:line="276" w:lineRule="auto"/>
              <w:jc w:val="center"/>
              <w:rPr>
                <w:sz w:val="18"/>
                <w:szCs w:val="18"/>
              </w:rPr>
            </w:pPr>
            <w:r>
              <w:rPr>
                <w:sz w:val="18"/>
                <w:szCs w:val="18"/>
              </w:rPr>
              <w:t>Sc</w:t>
            </w:r>
          </w:p>
        </w:tc>
        <w:tc>
          <w:tcPr>
            <w:tcW w:w="1154" w:type="dxa"/>
            <w:vAlign w:val="top"/>
          </w:tcPr>
          <w:p>
            <w:pPr>
              <w:spacing w:line="276" w:lineRule="auto"/>
              <w:jc w:val="center"/>
            </w:pPr>
            <w:r>
              <w:rPr>
                <w:sz w:val="18"/>
                <w:szCs w:val="18"/>
              </w:rPr>
              <w:t>0.050~10</w:t>
            </w:r>
          </w:p>
        </w:tc>
        <w:tc>
          <w:tcPr>
            <w:tcW w:w="1156" w:type="dxa"/>
            <w:vAlign w:val="center"/>
          </w:tcPr>
          <w:p>
            <w:pPr>
              <w:spacing w:line="276" w:lineRule="auto"/>
              <w:jc w:val="center"/>
            </w:pPr>
            <w:r>
              <w:rPr>
                <w:sz w:val="18"/>
                <w:szCs w:val="18"/>
              </w:rPr>
              <w:t>Zr</w:t>
            </w:r>
          </w:p>
        </w:tc>
        <w:tc>
          <w:tcPr>
            <w:tcW w:w="1155" w:type="dxa"/>
            <w:vAlign w:val="top"/>
          </w:tcPr>
          <w:p>
            <w:pPr>
              <w:spacing w:line="276" w:lineRule="auto"/>
              <w:jc w:val="center"/>
            </w:pPr>
            <w:r>
              <w:rPr>
                <w:sz w:val="18"/>
                <w:szCs w:val="18"/>
              </w:rPr>
              <w:t>0.050~10</w:t>
            </w:r>
          </w:p>
        </w:tc>
        <w:tc>
          <w:tcPr>
            <w:tcW w:w="1156" w:type="dxa"/>
            <w:vAlign w:val="center"/>
          </w:tcPr>
          <w:p>
            <w:pPr>
              <w:adjustRightInd w:val="0"/>
              <w:snapToGrid w:val="0"/>
              <w:spacing w:line="276" w:lineRule="auto"/>
              <w:jc w:val="center"/>
              <w:rPr>
                <w:sz w:val="18"/>
                <w:szCs w:val="18"/>
              </w:rPr>
            </w:pPr>
            <w:r>
              <w:rPr>
                <w:sz w:val="18"/>
                <w:szCs w:val="18"/>
              </w:rPr>
              <w:t>Sm</w:t>
            </w:r>
          </w:p>
        </w:tc>
        <w:tc>
          <w:tcPr>
            <w:tcW w:w="1155" w:type="dxa"/>
            <w:vAlign w:val="top"/>
          </w:tcPr>
          <w:p>
            <w:pPr>
              <w:spacing w:line="276" w:lineRule="auto"/>
              <w:jc w:val="center"/>
            </w:pPr>
            <w:r>
              <w:rPr>
                <w:sz w:val="18"/>
                <w:szCs w:val="18"/>
              </w:rPr>
              <w:t>0.050~20</w:t>
            </w:r>
          </w:p>
        </w:tc>
        <w:tc>
          <w:tcPr>
            <w:tcW w:w="1156" w:type="dxa"/>
            <w:vAlign w:val="center"/>
          </w:tcPr>
          <w:p>
            <w:pPr>
              <w:adjustRightInd w:val="0"/>
              <w:snapToGrid w:val="0"/>
              <w:spacing w:line="276" w:lineRule="auto"/>
              <w:jc w:val="center"/>
              <w:rPr>
                <w:sz w:val="18"/>
                <w:szCs w:val="18"/>
              </w:rPr>
            </w:pPr>
            <w:r>
              <w:rPr>
                <w:sz w:val="18"/>
                <w:szCs w:val="18"/>
              </w:rPr>
              <w:t>Pb</w:t>
            </w:r>
          </w:p>
        </w:tc>
        <w:tc>
          <w:tcPr>
            <w:tcW w:w="1155" w:type="dxa"/>
            <w:vAlign w:val="top"/>
          </w:tcPr>
          <w:p>
            <w:pPr>
              <w:spacing w:line="276" w:lineRule="auto"/>
              <w:jc w:val="center"/>
            </w:pPr>
            <w:r>
              <w:rPr>
                <w:sz w:val="18"/>
                <w:szCs w:val="18"/>
              </w:rPr>
              <w:t>0.050~10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55" w:type="dxa"/>
            <w:vAlign w:val="center"/>
          </w:tcPr>
          <w:p>
            <w:pPr>
              <w:adjustRightInd w:val="0"/>
              <w:snapToGrid w:val="0"/>
              <w:spacing w:line="276" w:lineRule="auto"/>
              <w:jc w:val="center"/>
              <w:rPr>
                <w:sz w:val="18"/>
                <w:szCs w:val="18"/>
              </w:rPr>
            </w:pPr>
            <w:r>
              <w:rPr>
                <w:sz w:val="18"/>
                <w:szCs w:val="18"/>
              </w:rPr>
              <w:t>Ti</w:t>
            </w:r>
          </w:p>
        </w:tc>
        <w:tc>
          <w:tcPr>
            <w:tcW w:w="1154" w:type="dxa"/>
            <w:vAlign w:val="top"/>
          </w:tcPr>
          <w:p>
            <w:pPr>
              <w:spacing w:line="276" w:lineRule="auto"/>
              <w:jc w:val="center"/>
            </w:pPr>
            <w:r>
              <w:rPr>
                <w:sz w:val="18"/>
                <w:szCs w:val="18"/>
              </w:rPr>
              <w:t>0.050~10</w:t>
            </w:r>
          </w:p>
        </w:tc>
        <w:tc>
          <w:tcPr>
            <w:tcW w:w="1156" w:type="dxa"/>
            <w:vAlign w:val="center"/>
          </w:tcPr>
          <w:p>
            <w:pPr>
              <w:spacing w:line="276" w:lineRule="auto"/>
              <w:jc w:val="center"/>
            </w:pPr>
            <w:r>
              <w:rPr>
                <w:sz w:val="18"/>
                <w:szCs w:val="18"/>
              </w:rPr>
              <w:t>Nb</w:t>
            </w:r>
          </w:p>
        </w:tc>
        <w:tc>
          <w:tcPr>
            <w:tcW w:w="1155" w:type="dxa"/>
            <w:vAlign w:val="top"/>
          </w:tcPr>
          <w:p>
            <w:pPr>
              <w:spacing w:line="276" w:lineRule="auto"/>
              <w:jc w:val="center"/>
            </w:pPr>
            <w:r>
              <w:rPr>
                <w:sz w:val="18"/>
                <w:szCs w:val="18"/>
              </w:rPr>
              <w:t>0.050~10</w:t>
            </w:r>
          </w:p>
        </w:tc>
        <w:tc>
          <w:tcPr>
            <w:tcW w:w="1156" w:type="dxa"/>
            <w:vAlign w:val="center"/>
          </w:tcPr>
          <w:p>
            <w:pPr>
              <w:adjustRightInd w:val="0"/>
              <w:snapToGrid w:val="0"/>
              <w:spacing w:line="276" w:lineRule="auto"/>
              <w:jc w:val="center"/>
              <w:rPr>
                <w:sz w:val="18"/>
                <w:szCs w:val="18"/>
              </w:rPr>
            </w:pPr>
            <w:r>
              <w:rPr>
                <w:sz w:val="18"/>
                <w:szCs w:val="18"/>
              </w:rPr>
              <w:t>Eu</w:t>
            </w:r>
          </w:p>
        </w:tc>
        <w:tc>
          <w:tcPr>
            <w:tcW w:w="1155" w:type="dxa"/>
            <w:vAlign w:val="top"/>
          </w:tcPr>
          <w:p>
            <w:pPr>
              <w:spacing w:line="276" w:lineRule="auto"/>
              <w:jc w:val="center"/>
            </w:pPr>
            <w:r>
              <w:rPr>
                <w:sz w:val="18"/>
                <w:szCs w:val="18"/>
              </w:rPr>
              <w:t>0.050~20</w:t>
            </w:r>
          </w:p>
        </w:tc>
        <w:tc>
          <w:tcPr>
            <w:tcW w:w="1156" w:type="dxa"/>
            <w:vAlign w:val="center"/>
          </w:tcPr>
          <w:p>
            <w:pPr>
              <w:adjustRightInd w:val="0"/>
              <w:snapToGrid w:val="0"/>
              <w:spacing w:line="276" w:lineRule="auto"/>
              <w:jc w:val="center"/>
              <w:rPr>
                <w:sz w:val="18"/>
                <w:szCs w:val="18"/>
              </w:rPr>
            </w:pPr>
            <w:r>
              <w:rPr>
                <w:sz w:val="18"/>
                <w:szCs w:val="18"/>
              </w:rPr>
              <w:t>Bi</w:t>
            </w:r>
          </w:p>
        </w:tc>
        <w:tc>
          <w:tcPr>
            <w:tcW w:w="1155" w:type="dxa"/>
            <w:vAlign w:val="top"/>
          </w:tcPr>
          <w:p>
            <w:pPr>
              <w:spacing w:line="276" w:lineRule="auto"/>
              <w:jc w:val="center"/>
            </w:pPr>
            <w:r>
              <w:rPr>
                <w:sz w:val="18"/>
                <w:szCs w:val="18"/>
              </w:rPr>
              <w:t>0.050~10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55" w:type="dxa"/>
            <w:vAlign w:val="center"/>
          </w:tcPr>
          <w:p>
            <w:pPr>
              <w:adjustRightInd w:val="0"/>
              <w:snapToGrid w:val="0"/>
              <w:spacing w:line="276" w:lineRule="auto"/>
              <w:jc w:val="center"/>
              <w:rPr>
                <w:sz w:val="18"/>
                <w:szCs w:val="18"/>
              </w:rPr>
            </w:pPr>
            <w:r>
              <w:rPr>
                <w:sz w:val="18"/>
                <w:szCs w:val="18"/>
              </w:rPr>
              <w:t>V</w:t>
            </w:r>
          </w:p>
        </w:tc>
        <w:tc>
          <w:tcPr>
            <w:tcW w:w="1154" w:type="dxa"/>
            <w:vAlign w:val="top"/>
          </w:tcPr>
          <w:p>
            <w:pPr>
              <w:spacing w:line="276" w:lineRule="auto"/>
              <w:jc w:val="center"/>
            </w:pPr>
            <w:r>
              <w:rPr>
                <w:sz w:val="18"/>
                <w:szCs w:val="18"/>
              </w:rPr>
              <w:t>0.050~10</w:t>
            </w:r>
          </w:p>
        </w:tc>
        <w:tc>
          <w:tcPr>
            <w:tcW w:w="1156" w:type="dxa"/>
            <w:vAlign w:val="center"/>
          </w:tcPr>
          <w:p>
            <w:pPr>
              <w:spacing w:line="276" w:lineRule="auto"/>
              <w:jc w:val="center"/>
            </w:pPr>
            <w:r>
              <w:rPr>
                <w:sz w:val="18"/>
                <w:szCs w:val="18"/>
              </w:rPr>
              <w:t>Mo</w:t>
            </w:r>
          </w:p>
        </w:tc>
        <w:tc>
          <w:tcPr>
            <w:tcW w:w="1155" w:type="dxa"/>
            <w:vAlign w:val="top"/>
          </w:tcPr>
          <w:p>
            <w:pPr>
              <w:spacing w:line="276" w:lineRule="auto"/>
              <w:jc w:val="center"/>
            </w:pPr>
            <w:r>
              <w:rPr>
                <w:sz w:val="18"/>
                <w:szCs w:val="18"/>
              </w:rPr>
              <w:t>0.050~10</w:t>
            </w:r>
          </w:p>
        </w:tc>
        <w:tc>
          <w:tcPr>
            <w:tcW w:w="1156" w:type="dxa"/>
            <w:vAlign w:val="center"/>
          </w:tcPr>
          <w:p>
            <w:pPr>
              <w:adjustRightInd w:val="0"/>
              <w:snapToGrid w:val="0"/>
              <w:spacing w:line="276" w:lineRule="auto"/>
              <w:jc w:val="center"/>
              <w:rPr>
                <w:sz w:val="18"/>
                <w:szCs w:val="18"/>
              </w:rPr>
            </w:pPr>
            <w:r>
              <w:rPr>
                <w:sz w:val="18"/>
                <w:szCs w:val="18"/>
              </w:rPr>
              <w:t>Gd</w:t>
            </w:r>
          </w:p>
        </w:tc>
        <w:tc>
          <w:tcPr>
            <w:tcW w:w="1155" w:type="dxa"/>
            <w:vAlign w:val="top"/>
          </w:tcPr>
          <w:p>
            <w:pPr>
              <w:spacing w:line="276" w:lineRule="auto"/>
              <w:jc w:val="center"/>
            </w:pPr>
            <w:r>
              <w:rPr>
                <w:sz w:val="18"/>
                <w:szCs w:val="18"/>
              </w:rPr>
              <w:t>0.050~20</w:t>
            </w:r>
          </w:p>
        </w:tc>
        <w:tc>
          <w:tcPr>
            <w:tcW w:w="1156" w:type="dxa"/>
            <w:vAlign w:val="center"/>
          </w:tcPr>
          <w:p>
            <w:pPr>
              <w:adjustRightInd w:val="0"/>
              <w:snapToGrid w:val="0"/>
              <w:spacing w:line="276" w:lineRule="auto"/>
              <w:jc w:val="center"/>
              <w:rPr>
                <w:sz w:val="18"/>
                <w:szCs w:val="18"/>
              </w:rPr>
            </w:pPr>
            <w:r>
              <w:rPr>
                <w:sz w:val="18"/>
                <w:szCs w:val="18"/>
              </w:rPr>
              <w:t>Th</w:t>
            </w:r>
          </w:p>
        </w:tc>
        <w:tc>
          <w:tcPr>
            <w:tcW w:w="1155" w:type="dxa"/>
            <w:vAlign w:val="top"/>
          </w:tcPr>
          <w:p>
            <w:pPr>
              <w:spacing w:line="276" w:lineRule="auto"/>
              <w:jc w:val="center"/>
            </w:pPr>
            <w:r>
              <w:rPr>
                <w:sz w:val="18"/>
                <w:szCs w:val="18"/>
              </w:rPr>
              <w:t>0.050~10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55" w:type="dxa"/>
            <w:vAlign w:val="center"/>
          </w:tcPr>
          <w:p>
            <w:pPr>
              <w:adjustRightInd w:val="0"/>
              <w:snapToGrid w:val="0"/>
              <w:spacing w:line="276" w:lineRule="auto"/>
              <w:jc w:val="center"/>
              <w:rPr>
                <w:sz w:val="18"/>
                <w:szCs w:val="18"/>
              </w:rPr>
            </w:pPr>
            <w:r>
              <w:rPr>
                <w:sz w:val="18"/>
                <w:szCs w:val="18"/>
              </w:rPr>
              <w:t>Cr</w:t>
            </w:r>
          </w:p>
        </w:tc>
        <w:tc>
          <w:tcPr>
            <w:tcW w:w="1154" w:type="dxa"/>
            <w:vAlign w:val="top"/>
          </w:tcPr>
          <w:p>
            <w:pPr>
              <w:spacing w:line="276" w:lineRule="auto"/>
              <w:jc w:val="center"/>
            </w:pPr>
            <w:r>
              <w:rPr>
                <w:sz w:val="18"/>
                <w:szCs w:val="18"/>
              </w:rPr>
              <w:t>0.050~10</w:t>
            </w:r>
          </w:p>
        </w:tc>
        <w:tc>
          <w:tcPr>
            <w:tcW w:w="1156" w:type="dxa"/>
            <w:vAlign w:val="center"/>
          </w:tcPr>
          <w:p>
            <w:pPr>
              <w:spacing w:line="276" w:lineRule="auto"/>
              <w:jc w:val="center"/>
            </w:pPr>
            <w:r>
              <w:rPr>
                <w:sz w:val="18"/>
                <w:szCs w:val="18"/>
              </w:rPr>
              <w:t>Ru</w:t>
            </w:r>
          </w:p>
        </w:tc>
        <w:tc>
          <w:tcPr>
            <w:tcW w:w="1155" w:type="dxa"/>
            <w:vAlign w:val="top"/>
          </w:tcPr>
          <w:p>
            <w:pPr>
              <w:spacing w:line="276" w:lineRule="auto"/>
              <w:jc w:val="center"/>
            </w:pPr>
            <w:r>
              <w:rPr>
                <w:sz w:val="18"/>
                <w:szCs w:val="18"/>
              </w:rPr>
              <w:t>0.050~10</w:t>
            </w:r>
          </w:p>
        </w:tc>
        <w:tc>
          <w:tcPr>
            <w:tcW w:w="1156" w:type="dxa"/>
            <w:vAlign w:val="center"/>
          </w:tcPr>
          <w:p>
            <w:pPr>
              <w:adjustRightInd w:val="0"/>
              <w:snapToGrid w:val="0"/>
              <w:spacing w:line="276" w:lineRule="auto"/>
              <w:jc w:val="center"/>
              <w:rPr>
                <w:sz w:val="18"/>
                <w:szCs w:val="18"/>
              </w:rPr>
            </w:pPr>
            <w:r>
              <w:rPr>
                <w:sz w:val="18"/>
                <w:szCs w:val="18"/>
              </w:rPr>
              <w:t>Tb</w:t>
            </w:r>
          </w:p>
        </w:tc>
        <w:tc>
          <w:tcPr>
            <w:tcW w:w="1155" w:type="dxa"/>
            <w:vAlign w:val="top"/>
          </w:tcPr>
          <w:p>
            <w:pPr>
              <w:spacing w:line="276" w:lineRule="auto"/>
              <w:jc w:val="center"/>
            </w:pPr>
            <w:r>
              <w:rPr>
                <w:sz w:val="18"/>
                <w:szCs w:val="18"/>
              </w:rPr>
              <w:t>0.050~20</w:t>
            </w:r>
          </w:p>
        </w:tc>
        <w:tc>
          <w:tcPr>
            <w:tcW w:w="1156" w:type="dxa"/>
            <w:vAlign w:val="center"/>
          </w:tcPr>
          <w:p>
            <w:pPr>
              <w:adjustRightInd w:val="0"/>
              <w:snapToGrid w:val="0"/>
              <w:spacing w:line="276" w:lineRule="auto"/>
              <w:jc w:val="center"/>
              <w:rPr>
                <w:sz w:val="18"/>
                <w:szCs w:val="18"/>
              </w:rPr>
            </w:pPr>
            <w:r>
              <w:rPr>
                <w:sz w:val="18"/>
                <w:szCs w:val="18"/>
              </w:rPr>
              <w:t>U</w:t>
            </w:r>
          </w:p>
        </w:tc>
        <w:tc>
          <w:tcPr>
            <w:tcW w:w="1155" w:type="dxa"/>
            <w:vAlign w:val="top"/>
          </w:tcPr>
          <w:p>
            <w:pPr>
              <w:spacing w:line="276" w:lineRule="auto"/>
              <w:jc w:val="center"/>
            </w:pPr>
            <w:r>
              <w:rPr>
                <w:sz w:val="18"/>
                <w:szCs w:val="18"/>
              </w:rPr>
              <w:t>0.050~10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55" w:type="dxa"/>
            <w:vAlign w:val="center"/>
          </w:tcPr>
          <w:p>
            <w:pPr>
              <w:adjustRightInd w:val="0"/>
              <w:snapToGrid w:val="0"/>
              <w:spacing w:line="276" w:lineRule="auto"/>
              <w:jc w:val="center"/>
              <w:rPr>
                <w:sz w:val="18"/>
                <w:szCs w:val="18"/>
              </w:rPr>
            </w:pPr>
            <w:r>
              <w:rPr>
                <w:sz w:val="18"/>
                <w:szCs w:val="18"/>
              </w:rPr>
              <w:t>Mn</w:t>
            </w:r>
          </w:p>
        </w:tc>
        <w:tc>
          <w:tcPr>
            <w:tcW w:w="1154" w:type="dxa"/>
            <w:vAlign w:val="top"/>
          </w:tcPr>
          <w:p>
            <w:pPr>
              <w:spacing w:line="276" w:lineRule="auto"/>
              <w:jc w:val="center"/>
            </w:pPr>
            <w:r>
              <w:rPr>
                <w:sz w:val="18"/>
                <w:szCs w:val="18"/>
              </w:rPr>
              <w:t>0.050~10</w:t>
            </w:r>
          </w:p>
        </w:tc>
        <w:tc>
          <w:tcPr>
            <w:tcW w:w="1156" w:type="dxa"/>
            <w:vAlign w:val="center"/>
          </w:tcPr>
          <w:p>
            <w:pPr>
              <w:spacing w:line="276" w:lineRule="auto"/>
              <w:jc w:val="center"/>
            </w:pPr>
            <w:r>
              <w:rPr>
                <w:sz w:val="18"/>
                <w:szCs w:val="18"/>
              </w:rPr>
              <w:t>Rh</w:t>
            </w:r>
          </w:p>
        </w:tc>
        <w:tc>
          <w:tcPr>
            <w:tcW w:w="1155" w:type="dxa"/>
            <w:vAlign w:val="top"/>
          </w:tcPr>
          <w:p>
            <w:pPr>
              <w:spacing w:line="276" w:lineRule="auto"/>
              <w:jc w:val="center"/>
            </w:pPr>
            <w:r>
              <w:rPr>
                <w:sz w:val="18"/>
                <w:szCs w:val="18"/>
              </w:rPr>
              <w:t>0.050~10</w:t>
            </w:r>
          </w:p>
        </w:tc>
        <w:tc>
          <w:tcPr>
            <w:tcW w:w="1156" w:type="dxa"/>
            <w:vAlign w:val="center"/>
          </w:tcPr>
          <w:p>
            <w:pPr>
              <w:adjustRightInd w:val="0"/>
              <w:snapToGrid w:val="0"/>
              <w:spacing w:line="276" w:lineRule="auto"/>
              <w:jc w:val="center"/>
              <w:rPr>
                <w:sz w:val="18"/>
                <w:szCs w:val="18"/>
              </w:rPr>
            </w:pPr>
            <w:r>
              <w:rPr>
                <w:sz w:val="18"/>
                <w:szCs w:val="18"/>
              </w:rPr>
              <w:t>Dy</w:t>
            </w:r>
          </w:p>
        </w:tc>
        <w:tc>
          <w:tcPr>
            <w:tcW w:w="1155" w:type="dxa"/>
            <w:vAlign w:val="top"/>
          </w:tcPr>
          <w:p>
            <w:pPr>
              <w:spacing w:line="276" w:lineRule="auto"/>
              <w:jc w:val="center"/>
            </w:pPr>
            <w:r>
              <w:rPr>
                <w:sz w:val="18"/>
                <w:szCs w:val="18"/>
              </w:rPr>
              <w:t>0.050~20</w:t>
            </w:r>
          </w:p>
        </w:tc>
        <w:tc>
          <w:tcPr>
            <w:tcW w:w="1156" w:type="dxa"/>
            <w:vAlign w:val="center"/>
          </w:tcPr>
          <w:p>
            <w:pPr>
              <w:adjustRightInd w:val="0"/>
              <w:snapToGrid w:val="0"/>
              <w:spacing w:line="276" w:lineRule="auto"/>
              <w:jc w:val="center"/>
              <w:rPr>
                <w:sz w:val="18"/>
                <w:szCs w:val="18"/>
              </w:rPr>
            </w:pPr>
            <w:r>
              <w:rPr>
                <w:sz w:val="18"/>
                <w:szCs w:val="18"/>
              </w:rPr>
              <w:t>/</w:t>
            </w:r>
          </w:p>
        </w:tc>
        <w:tc>
          <w:tcPr>
            <w:tcW w:w="1155" w:type="dxa"/>
            <w:vAlign w:val="center"/>
          </w:tcPr>
          <w:p>
            <w:pPr>
              <w:spacing w:line="276" w:lineRule="auto"/>
              <w:jc w:val="center"/>
            </w:pPr>
            <w:r>
              <w:rPr>
                <w:sz w:val="18"/>
                <w:szCs w:val="18"/>
              </w:rPr>
              <w:t>/</w:t>
            </w:r>
          </w:p>
        </w:tc>
      </w:tr>
    </w:tbl>
    <w:p>
      <w:pPr>
        <w:jc w:val="center"/>
      </w:pPr>
      <w:r>
        <w:t>表</w:t>
      </w:r>
      <w:r>
        <w:rPr>
          <w:rFonts w:hint="eastAsia"/>
        </w:rPr>
        <w:t>3</w:t>
      </w:r>
      <w:r>
        <w:t xml:space="preserve">   不适用的稀土氧化物中的元素</w:t>
      </w:r>
    </w:p>
    <w:tbl>
      <w:tblPr>
        <w:tblStyle w:val="88"/>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549"/>
        <w:gridCol w:w="1531"/>
        <w:gridCol w:w="1539"/>
        <w:gridCol w:w="1542"/>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4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76" w:lineRule="auto"/>
              <w:jc w:val="center"/>
              <w:rPr>
                <w:b/>
                <w:sz w:val="18"/>
                <w:szCs w:val="18"/>
              </w:rPr>
            </w:pPr>
            <w:r>
              <w:rPr>
                <w:b/>
                <w:sz w:val="18"/>
                <w:szCs w:val="18"/>
              </w:rPr>
              <w:t>基体</w:t>
            </w:r>
          </w:p>
        </w:tc>
        <w:tc>
          <w:tcPr>
            <w:tcW w:w="1549"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76" w:lineRule="auto"/>
              <w:jc w:val="center"/>
              <w:rPr>
                <w:b/>
                <w:sz w:val="18"/>
                <w:szCs w:val="18"/>
              </w:rPr>
            </w:pPr>
            <w:r>
              <w:rPr>
                <w:b/>
                <w:sz w:val="18"/>
                <w:szCs w:val="18"/>
              </w:rPr>
              <w:t>元素</w:t>
            </w:r>
          </w:p>
        </w:tc>
        <w:tc>
          <w:tcPr>
            <w:tcW w:w="1531"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76" w:lineRule="auto"/>
              <w:jc w:val="center"/>
              <w:rPr>
                <w:b/>
                <w:sz w:val="18"/>
                <w:szCs w:val="18"/>
              </w:rPr>
            </w:pPr>
            <w:r>
              <w:rPr>
                <w:b/>
                <w:sz w:val="18"/>
                <w:szCs w:val="18"/>
              </w:rPr>
              <w:t>基体</w:t>
            </w:r>
          </w:p>
        </w:tc>
        <w:tc>
          <w:tcPr>
            <w:tcW w:w="1539"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76" w:lineRule="auto"/>
              <w:jc w:val="center"/>
              <w:rPr>
                <w:b/>
                <w:sz w:val="18"/>
                <w:szCs w:val="18"/>
              </w:rPr>
            </w:pPr>
            <w:r>
              <w:rPr>
                <w:b/>
                <w:sz w:val="18"/>
                <w:szCs w:val="18"/>
              </w:rPr>
              <w:t>元素</w:t>
            </w:r>
          </w:p>
        </w:tc>
        <w:tc>
          <w:tcPr>
            <w:tcW w:w="1542"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76" w:lineRule="auto"/>
              <w:jc w:val="center"/>
              <w:rPr>
                <w:b/>
                <w:sz w:val="18"/>
                <w:szCs w:val="18"/>
              </w:rPr>
            </w:pPr>
            <w:r>
              <w:rPr>
                <w:b/>
                <w:sz w:val="18"/>
                <w:szCs w:val="18"/>
              </w:rPr>
              <w:t>基体</w:t>
            </w:r>
          </w:p>
        </w:tc>
        <w:tc>
          <w:tcPr>
            <w:tcW w:w="1541"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76" w:lineRule="auto"/>
              <w:jc w:val="center"/>
              <w:rPr>
                <w:b/>
                <w:sz w:val="18"/>
                <w:szCs w:val="18"/>
              </w:rPr>
            </w:pPr>
            <w:r>
              <w:rPr>
                <w:b/>
                <w:sz w:val="18"/>
                <w:szCs w:val="18"/>
              </w:rPr>
              <w:t>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40" w:type="dxa"/>
            <w:tcBorders>
              <w:top w:val="single" w:color="auto" w:sz="8" w:space="0"/>
              <w:left w:val="single" w:color="auto" w:sz="8" w:space="0"/>
              <w:bottom w:val="single" w:color="auto" w:sz="4" w:space="0"/>
              <w:right w:val="single" w:color="auto" w:sz="8" w:space="0"/>
            </w:tcBorders>
            <w:vAlign w:val="center"/>
          </w:tcPr>
          <w:p>
            <w:pPr>
              <w:adjustRightInd w:val="0"/>
              <w:snapToGrid w:val="0"/>
              <w:spacing w:line="276" w:lineRule="auto"/>
              <w:jc w:val="center"/>
              <w:rPr>
                <w:sz w:val="18"/>
                <w:szCs w:val="18"/>
              </w:rPr>
            </w:pPr>
            <w:r>
              <w:rPr>
                <w:sz w:val="18"/>
                <w:szCs w:val="18"/>
              </w:rPr>
              <w:t>氧化铈</w:t>
            </w:r>
          </w:p>
        </w:tc>
        <w:tc>
          <w:tcPr>
            <w:tcW w:w="1549" w:type="dxa"/>
            <w:tcBorders>
              <w:top w:val="single" w:color="auto" w:sz="8" w:space="0"/>
              <w:left w:val="single" w:color="auto" w:sz="8" w:space="0"/>
              <w:bottom w:val="single" w:color="auto" w:sz="4" w:space="0"/>
              <w:right w:val="single" w:color="auto" w:sz="8" w:space="0"/>
            </w:tcBorders>
            <w:vAlign w:val="center"/>
          </w:tcPr>
          <w:p>
            <w:pPr>
              <w:adjustRightInd w:val="0"/>
              <w:snapToGrid w:val="0"/>
              <w:spacing w:line="276" w:lineRule="auto"/>
              <w:jc w:val="center"/>
              <w:rPr>
                <w:sz w:val="18"/>
                <w:szCs w:val="18"/>
              </w:rPr>
            </w:pPr>
            <w:r>
              <w:rPr>
                <w:rFonts w:hint="eastAsia"/>
                <w:sz w:val="18"/>
                <w:szCs w:val="18"/>
              </w:rPr>
              <w:t>G</w:t>
            </w:r>
            <w:r>
              <w:rPr>
                <w:sz w:val="18"/>
                <w:szCs w:val="18"/>
              </w:rPr>
              <w:t>d、</w:t>
            </w:r>
            <w:r>
              <w:rPr>
                <w:rFonts w:hint="eastAsia"/>
                <w:sz w:val="18"/>
                <w:szCs w:val="18"/>
              </w:rPr>
              <w:t>T</w:t>
            </w:r>
            <w:r>
              <w:rPr>
                <w:sz w:val="18"/>
                <w:szCs w:val="18"/>
              </w:rPr>
              <w:t>b</w:t>
            </w:r>
          </w:p>
        </w:tc>
        <w:tc>
          <w:tcPr>
            <w:tcW w:w="1531" w:type="dxa"/>
            <w:tcBorders>
              <w:top w:val="single" w:color="auto" w:sz="8" w:space="0"/>
              <w:left w:val="single" w:color="auto" w:sz="8" w:space="0"/>
              <w:bottom w:val="single" w:color="auto" w:sz="4" w:space="0"/>
              <w:right w:val="single" w:color="auto" w:sz="8" w:space="0"/>
            </w:tcBorders>
            <w:vAlign w:val="center"/>
          </w:tcPr>
          <w:p>
            <w:pPr>
              <w:adjustRightInd w:val="0"/>
              <w:snapToGrid w:val="0"/>
              <w:spacing w:line="276" w:lineRule="auto"/>
              <w:jc w:val="center"/>
              <w:rPr>
                <w:sz w:val="18"/>
                <w:szCs w:val="18"/>
              </w:rPr>
            </w:pPr>
            <w:r>
              <w:rPr>
                <w:sz w:val="18"/>
                <w:szCs w:val="18"/>
              </w:rPr>
              <w:t>氧化铕</w:t>
            </w:r>
          </w:p>
        </w:tc>
        <w:tc>
          <w:tcPr>
            <w:tcW w:w="1539" w:type="dxa"/>
            <w:tcBorders>
              <w:top w:val="single" w:color="auto" w:sz="8" w:space="0"/>
              <w:left w:val="single" w:color="auto" w:sz="8" w:space="0"/>
              <w:bottom w:val="single" w:color="auto" w:sz="4" w:space="0"/>
              <w:right w:val="single" w:color="auto" w:sz="8" w:space="0"/>
            </w:tcBorders>
            <w:vAlign w:val="center"/>
          </w:tcPr>
          <w:p>
            <w:pPr>
              <w:adjustRightInd w:val="0"/>
              <w:snapToGrid w:val="0"/>
              <w:spacing w:line="276" w:lineRule="auto"/>
              <w:jc w:val="center"/>
              <w:rPr>
                <w:sz w:val="18"/>
                <w:szCs w:val="18"/>
              </w:rPr>
            </w:pPr>
            <w:r>
              <w:rPr>
                <w:rFonts w:hint="eastAsia"/>
                <w:sz w:val="18"/>
                <w:szCs w:val="18"/>
              </w:rPr>
              <w:t>T</w:t>
            </w:r>
            <w:r>
              <w:rPr>
                <w:sz w:val="18"/>
                <w:szCs w:val="18"/>
              </w:rPr>
              <w:t>m</w:t>
            </w:r>
          </w:p>
        </w:tc>
        <w:tc>
          <w:tcPr>
            <w:tcW w:w="1542" w:type="dxa"/>
            <w:tcBorders>
              <w:top w:val="single" w:color="auto" w:sz="8" w:space="0"/>
              <w:left w:val="single" w:color="auto" w:sz="8" w:space="0"/>
              <w:bottom w:val="single" w:color="auto" w:sz="4" w:space="0"/>
              <w:right w:val="single" w:color="auto" w:sz="8" w:space="0"/>
            </w:tcBorders>
            <w:vAlign w:val="center"/>
          </w:tcPr>
          <w:p>
            <w:pPr>
              <w:adjustRightInd w:val="0"/>
              <w:snapToGrid w:val="0"/>
              <w:spacing w:line="276" w:lineRule="auto"/>
              <w:jc w:val="center"/>
              <w:rPr>
                <w:sz w:val="18"/>
                <w:szCs w:val="18"/>
              </w:rPr>
            </w:pPr>
            <w:r>
              <w:rPr>
                <w:sz w:val="18"/>
                <w:szCs w:val="18"/>
              </w:rPr>
              <w:t>氧化铒</w:t>
            </w:r>
          </w:p>
        </w:tc>
        <w:tc>
          <w:tcPr>
            <w:tcW w:w="1541" w:type="dxa"/>
            <w:tcBorders>
              <w:top w:val="single" w:color="auto" w:sz="8" w:space="0"/>
              <w:left w:val="single" w:color="auto" w:sz="8" w:space="0"/>
              <w:bottom w:val="single" w:color="auto" w:sz="4" w:space="0"/>
              <w:right w:val="single" w:color="auto" w:sz="8" w:space="0"/>
            </w:tcBorders>
            <w:vAlign w:val="center"/>
          </w:tcPr>
          <w:p>
            <w:pPr>
              <w:adjustRightInd w:val="0"/>
              <w:snapToGrid w:val="0"/>
              <w:spacing w:line="276" w:lineRule="auto"/>
              <w:jc w:val="center"/>
              <w:rPr>
                <w:sz w:val="18"/>
                <w:szCs w:val="18"/>
              </w:rPr>
            </w:pPr>
            <w:r>
              <w:rPr>
                <w:rFonts w:hint="eastAsia"/>
                <w:sz w:val="18"/>
                <w:szCs w:val="18"/>
              </w:rPr>
              <w:t>W</w:t>
            </w:r>
            <w:r>
              <w:rPr>
                <w:sz w:val="18"/>
                <w:szCs w:val="18"/>
              </w:rPr>
              <w:t>、Re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40" w:type="dxa"/>
            <w:tcBorders>
              <w:top w:val="single" w:color="auto" w:sz="4" w:space="0"/>
              <w:left w:val="single" w:color="auto" w:sz="8" w:space="0"/>
              <w:right w:val="single" w:color="auto" w:sz="8" w:space="0"/>
            </w:tcBorders>
            <w:vAlign w:val="center"/>
          </w:tcPr>
          <w:p>
            <w:pPr>
              <w:adjustRightInd w:val="0"/>
              <w:snapToGrid w:val="0"/>
              <w:spacing w:line="276" w:lineRule="auto"/>
              <w:jc w:val="center"/>
              <w:rPr>
                <w:sz w:val="18"/>
                <w:szCs w:val="18"/>
              </w:rPr>
            </w:pPr>
            <w:r>
              <w:rPr>
                <w:sz w:val="18"/>
                <w:szCs w:val="18"/>
              </w:rPr>
              <w:t>氧化镨</w:t>
            </w:r>
          </w:p>
        </w:tc>
        <w:tc>
          <w:tcPr>
            <w:tcW w:w="1549" w:type="dxa"/>
            <w:tcBorders>
              <w:top w:val="single" w:color="auto" w:sz="4" w:space="0"/>
              <w:left w:val="single" w:color="auto" w:sz="8" w:space="0"/>
              <w:right w:val="single" w:color="auto" w:sz="8" w:space="0"/>
            </w:tcBorders>
            <w:vAlign w:val="center"/>
          </w:tcPr>
          <w:p>
            <w:pPr>
              <w:adjustRightInd w:val="0"/>
              <w:snapToGrid w:val="0"/>
              <w:spacing w:line="276" w:lineRule="auto"/>
              <w:jc w:val="center"/>
              <w:rPr>
                <w:sz w:val="18"/>
                <w:szCs w:val="18"/>
              </w:rPr>
            </w:pPr>
            <w:r>
              <w:rPr>
                <w:rFonts w:hint="eastAsia"/>
                <w:sz w:val="18"/>
                <w:szCs w:val="18"/>
              </w:rPr>
              <w:t>T</w:t>
            </w:r>
            <w:r>
              <w:rPr>
                <w:sz w:val="18"/>
                <w:szCs w:val="18"/>
              </w:rPr>
              <w:t>b</w:t>
            </w:r>
          </w:p>
        </w:tc>
        <w:tc>
          <w:tcPr>
            <w:tcW w:w="1531" w:type="dxa"/>
            <w:tcBorders>
              <w:top w:val="single" w:color="auto" w:sz="4" w:space="0"/>
              <w:left w:val="single" w:color="auto" w:sz="8" w:space="0"/>
              <w:right w:val="single" w:color="auto" w:sz="8" w:space="0"/>
            </w:tcBorders>
            <w:vAlign w:val="center"/>
          </w:tcPr>
          <w:p>
            <w:pPr>
              <w:adjustRightInd w:val="0"/>
              <w:snapToGrid w:val="0"/>
              <w:spacing w:line="276" w:lineRule="auto"/>
              <w:jc w:val="center"/>
              <w:rPr>
                <w:sz w:val="18"/>
                <w:szCs w:val="18"/>
              </w:rPr>
            </w:pPr>
            <w:r>
              <w:rPr>
                <w:sz w:val="18"/>
                <w:szCs w:val="18"/>
              </w:rPr>
              <w:t>氧化钆</w:t>
            </w:r>
          </w:p>
        </w:tc>
        <w:tc>
          <w:tcPr>
            <w:tcW w:w="1539" w:type="dxa"/>
            <w:tcBorders>
              <w:top w:val="single" w:color="auto" w:sz="4" w:space="0"/>
              <w:left w:val="single" w:color="auto" w:sz="8" w:space="0"/>
              <w:right w:val="single" w:color="auto" w:sz="8" w:space="0"/>
            </w:tcBorders>
            <w:vAlign w:val="center"/>
          </w:tcPr>
          <w:p>
            <w:pPr>
              <w:adjustRightInd w:val="0"/>
              <w:snapToGrid w:val="0"/>
              <w:spacing w:line="276" w:lineRule="auto"/>
              <w:jc w:val="center"/>
              <w:rPr>
                <w:sz w:val="18"/>
                <w:szCs w:val="18"/>
              </w:rPr>
            </w:pPr>
            <w:r>
              <w:rPr>
                <w:rFonts w:hint="eastAsia"/>
                <w:sz w:val="18"/>
                <w:szCs w:val="18"/>
              </w:rPr>
              <w:t>Y</w:t>
            </w:r>
            <w:r>
              <w:rPr>
                <w:sz w:val="18"/>
                <w:szCs w:val="18"/>
              </w:rPr>
              <w:t>b、</w:t>
            </w:r>
            <w:r>
              <w:rPr>
                <w:rFonts w:hint="eastAsia"/>
                <w:sz w:val="18"/>
                <w:szCs w:val="18"/>
              </w:rPr>
              <w:t>L</w:t>
            </w:r>
            <w:r>
              <w:rPr>
                <w:sz w:val="18"/>
                <w:szCs w:val="18"/>
              </w:rPr>
              <w:t>u</w:t>
            </w:r>
          </w:p>
        </w:tc>
        <w:tc>
          <w:tcPr>
            <w:tcW w:w="1542" w:type="dxa"/>
            <w:tcBorders>
              <w:top w:val="single" w:color="auto" w:sz="4" w:space="0"/>
              <w:left w:val="single" w:color="auto" w:sz="8" w:space="0"/>
              <w:right w:val="single" w:color="auto" w:sz="8" w:space="0"/>
            </w:tcBorders>
            <w:vAlign w:val="center"/>
          </w:tcPr>
          <w:p>
            <w:pPr>
              <w:adjustRightInd w:val="0"/>
              <w:snapToGrid w:val="0"/>
              <w:spacing w:line="276" w:lineRule="auto"/>
              <w:jc w:val="center"/>
              <w:rPr>
                <w:sz w:val="18"/>
                <w:szCs w:val="18"/>
              </w:rPr>
            </w:pPr>
            <w:r>
              <w:rPr>
                <w:sz w:val="18"/>
                <w:szCs w:val="18"/>
              </w:rPr>
              <w:t>氧化铥</w:t>
            </w:r>
          </w:p>
        </w:tc>
        <w:tc>
          <w:tcPr>
            <w:tcW w:w="1541" w:type="dxa"/>
            <w:tcBorders>
              <w:top w:val="single" w:color="auto" w:sz="4" w:space="0"/>
              <w:left w:val="single" w:color="auto" w:sz="8" w:space="0"/>
              <w:right w:val="single" w:color="auto" w:sz="8" w:space="0"/>
            </w:tcBorders>
            <w:vAlign w:val="center"/>
          </w:tcPr>
          <w:p>
            <w:pPr>
              <w:adjustRightInd w:val="0"/>
              <w:snapToGrid w:val="0"/>
              <w:spacing w:line="276" w:lineRule="auto"/>
              <w:jc w:val="center"/>
              <w:rPr>
                <w:sz w:val="18"/>
                <w:szCs w:val="18"/>
              </w:rPr>
            </w:pPr>
            <w:r>
              <w:rPr>
                <w:rFonts w:hint="eastAsia"/>
                <w:sz w:val="18"/>
                <w:szCs w:val="18"/>
              </w:rPr>
              <w:t>R</w:t>
            </w:r>
            <w:r>
              <w:rPr>
                <w:sz w:val="18"/>
                <w:szCs w:val="18"/>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40" w:type="dxa"/>
            <w:tcBorders>
              <w:left w:val="single" w:color="auto" w:sz="8" w:space="0"/>
              <w:right w:val="single" w:color="auto" w:sz="8" w:space="0"/>
            </w:tcBorders>
            <w:vAlign w:val="center"/>
          </w:tcPr>
          <w:p>
            <w:pPr>
              <w:adjustRightInd w:val="0"/>
              <w:snapToGrid w:val="0"/>
              <w:spacing w:line="276" w:lineRule="auto"/>
              <w:jc w:val="center"/>
              <w:rPr>
                <w:sz w:val="18"/>
                <w:szCs w:val="18"/>
              </w:rPr>
            </w:pPr>
            <w:r>
              <w:rPr>
                <w:sz w:val="18"/>
                <w:szCs w:val="18"/>
              </w:rPr>
              <w:t>氧化钕</w:t>
            </w:r>
          </w:p>
        </w:tc>
        <w:tc>
          <w:tcPr>
            <w:tcW w:w="1549" w:type="dxa"/>
            <w:tcBorders>
              <w:left w:val="single" w:color="auto" w:sz="8" w:space="0"/>
              <w:right w:val="single" w:color="auto" w:sz="8" w:space="0"/>
            </w:tcBorders>
            <w:vAlign w:val="center"/>
          </w:tcPr>
          <w:p>
            <w:pPr>
              <w:adjustRightInd w:val="0"/>
              <w:snapToGrid w:val="0"/>
              <w:spacing w:line="276" w:lineRule="auto"/>
              <w:jc w:val="center"/>
              <w:rPr>
                <w:sz w:val="18"/>
                <w:szCs w:val="18"/>
              </w:rPr>
            </w:pPr>
            <w:r>
              <w:rPr>
                <w:rFonts w:hint="eastAsia"/>
                <w:sz w:val="18"/>
                <w:szCs w:val="18"/>
              </w:rPr>
              <w:t>T</w:t>
            </w:r>
            <w:r>
              <w:rPr>
                <w:sz w:val="18"/>
                <w:szCs w:val="18"/>
              </w:rPr>
              <w:t>b、</w:t>
            </w:r>
            <w:r>
              <w:rPr>
                <w:rFonts w:hint="eastAsia"/>
                <w:sz w:val="18"/>
                <w:szCs w:val="18"/>
              </w:rPr>
              <w:t>D</w:t>
            </w:r>
            <w:r>
              <w:rPr>
                <w:sz w:val="18"/>
                <w:szCs w:val="18"/>
              </w:rPr>
              <w:t>y、</w:t>
            </w:r>
            <w:r>
              <w:rPr>
                <w:rFonts w:hint="eastAsia"/>
                <w:sz w:val="18"/>
                <w:szCs w:val="18"/>
              </w:rPr>
              <w:t>H</w:t>
            </w:r>
            <w:r>
              <w:rPr>
                <w:sz w:val="18"/>
                <w:szCs w:val="18"/>
              </w:rPr>
              <w:t>o</w:t>
            </w:r>
          </w:p>
        </w:tc>
        <w:tc>
          <w:tcPr>
            <w:tcW w:w="1531" w:type="dxa"/>
            <w:tcBorders>
              <w:left w:val="single" w:color="auto" w:sz="8" w:space="0"/>
              <w:right w:val="single" w:color="auto" w:sz="8" w:space="0"/>
            </w:tcBorders>
            <w:vAlign w:val="center"/>
          </w:tcPr>
          <w:p>
            <w:pPr>
              <w:spacing w:line="276" w:lineRule="auto"/>
              <w:jc w:val="center"/>
            </w:pPr>
            <w:r>
              <w:rPr>
                <w:sz w:val="18"/>
                <w:szCs w:val="18"/>
              </w:rPr>
              <w:t>氧化镝</w:t>
            </w:r>
          </w:p>
        </w:tc>
        <w:tc>
          <w:tcPr>
            <w:tcW w:w="1539" w:type="dxa"/>
            <w:tcBorders>
              <w:left w:val="single" w:color="auto" w:sz="8" w:space="0"/>
              <w:right w:val="single" w:color="auto" w:sz="8" w:space="0"/>
            </w:tcBorders>
            <w:vAlign w:val="center"/>
          </w:tcPr>
          <w:p>
            <w:pPr>
              <w:adjustRightInd w:val="0"/>
              <w:snapToGrid w:val="0"/>
              <w:spacing w:line="276" w:lineRule="auto"/>
              <w:jc w:val="center"/>
              <w:rPr>
                <w:sz w:val="18"/>
                <w:szCs w:val="18"/>
              </w:rPr>
            </w:pPr>
            <w:r>
              <w:rPr>
                <w:rFonts w:hint="eastAsia"/>
                <w:sz w:val="18"/>
                <w:szCs w:val="18"/>
              </w:rPr>
              <w:t>H</w:t>
            </w:r>
            <w:r>
              <w:rPr>
                <w:sz w:val="18"/>
                <w:szCs w:val="18"/>
              </w:rPr>
              <w:t>f</w:t>
            </w:r>
          </w:p>
        </w:tc>
        <w:tc>
          <w:tcPr>
            <w:tcW w:w="1542" w:type="dxa"/>
            <w:tcBorders>
              <w:left w:val="single" w:color="auto" w:sz="8" w:space="0"/>
              <w:right w:val="single" w:color="auto" w:sz="8" w:space="0"/>
            </w:tcBorders>
            <w:vAlign w:val="center"/>
          </w:tcPr>
          <w:p>
            <w:pPr>
              <w:adjustRightInd w:val="0"/>
              <w:snapToGrid w:val="0"/>
              <w:spacing w:line="276" w:lineRule="auto"/>
              <w:jc w:val="center"/>
              <w:rPr>
                <w:sz w:val="18"/>
                <w:szCs w:val="18"/>
              </w:rPr>
            </w:pPr>
            <w:r>
              <w:rPr>
                <w:sz w:val="18"/>
                <w:szCs w:val="18"/>
              </w:rPr>
              <w:t>氧化镱</w:t>
            </w:r>
          </w:p>
        </w:tc>
        <w:tc>
          <w:tcPr>
            <w:tcW w:w="1541" w:type="dxa"/>
            <w:tcBorders>
              <w:left w:val="single" w:color="auto" w:sz="8" w:space="0"/>
              <w:right w:val="single" w:color="auto" w:sz="8" w:space="0"/>
            </w:tcBorders>
            <w:vAlign w:val="center"/>
          </w:tcPr>
          <w:p>
            <w:pPr>
              <w:adjustRightInd w:val="0"/>
              <w:snapToGrid w:val="0"/>
              <w:spacing w:line="276" w:lineRule="auto"/>
              <w:jc w:val="center"/>
              <w:rPr>
                <w:sz w:val="18"/>
                <w:szCs w:val="18"/>
              </w:rPr>
            </w:pPr>
            <w:r>
              <w:rPr>
                <w:rFonts w:hint="eastAsia"/>
                <w:sz w:val="18"/>
                <w:szCs w:val="18"/>
              </w:rPr>
              <w:t>O</w:t>
            </w:r>
            <w:r>
              <w:rPr>
                <w:sz w:val="18"/>
                <w:szCs w:val="18"/>
              </w:rPr>
              <w:t>s、</w:t>
            </w:r>
            <w:r>
              <w:rPr>
                <w:rFonts w:hint="eastAsia"/>
                <w:sz w:val="18"/>
                <w:szCs w:val="18"/>
              </w:rPr>
              <w:t>I</w:t>
            </w:r>
            <w:r>
              <w:rPr>
                <w:sz w:val="18"/>
                <w:szCs w:val="18"/>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40" w:type="dxa"/>
            <w:tcBorders>
              <w:left w:val="single" w:color="auto" w:sz="8" w:space="0"/>
              <w:right w:val="single" w:color="auto" w:sz="8" w:space="0"/>
            </w:tcBorders>
            <w:vAlign w:val="center"/>
          </w:tcPr>
          <w:p>
            <w:pPr>
              <w:adjustRightInd w:val="0"/>
              <w:snapToGrid w:val="0"/>
              <w:spacing w:line="276" w:lineRule="auto"/>
              <w:jc w:val="center"/>
              <w:rPr>
                <w:sz w:val="18"/>
                <w:szCs w:val="18"/>
              </w:rPr>
            </w:pPr>
            <w:r>
              <w:rPr>
                <w:sz w:val="18"/>
                <w:szCs w:val="18"/>
              </w:rPr>
              <w:t>氧化钐</w:t>
            </w:r>
          </w:p>
        </w:tc>
        <w:tc>
          <w:tcPr>
            <w:tcW w:w="1549" w:type="dxa"/>
            <w:tcBorders>
              <w:left w:val="single" w:color="auto" w:sz="8" w:space="0"/>
              <w:right w:val="single" w:color="auto" w:sz="8" w:space="0"/>
            </w:tcBorders>
            <w:vAlign w:val="center"/>
          </w:tcPr>
          <w:p>
            <w:pPr>
              <w:adjustRightInd w:val="0"/>
              <w:snapToGrid w:val="0"/>
              <w:spacing w:line="276" w:lineRule="auto"/>
              <w:jc w:val="center"/>
              <w:rPr>
                <w:sz w:val="18"/>
                <w:szCs w:val="18"/>
              </w:rPr>
            </w:pPr>
            <w:r>
              <w:rPr>
                <w:rFonts w:hint="eastAsia"/>
                <w:sz w:val="18"/>
                <w:szCs w:val="18"/>
              </w:rPr>
              <w:t>Dy</w:t>
            </w:r>
            <w:r>
              <w:rPr>
                <w:sz w:val="18"/>
                <w:szCs w:val="18"/>
              </w:rPr>
              <w:t>、</w:t>
            </w:r>
            <w:r>
              <w:rPr>
                <w:rFonts w:hint="eastAsia"/>
                <w:sz w:val="18"/>
                <w:szCs w:val="18"/>
              </w:rPr>
              <w:t>H</w:t>
            </w:r>
            <w:r>
              <w:rPr>
                <w:sz w:val="18"/>
                <w:szCs w:val="18"/>
              </w:rPr>
              <w:t>o、</w:t>
            </w:r>
            <w:r>
              <w:rPr>
                <w:rFonts w:hint="eastAsia"/>
                <w:sz w:val="18"/>
                <w:szCs w:val="18"/>
              </w:rPr>
              <w:t>E</w:t>
            </w:r>
            <w:r>
              <w:rPr>
                <w:sz w:val="18"/>
                <w:szCs w:val="18"/>
              </w:rPr>
              <w:t>r、</w:t>
            </w:r>
            <w:r>
              <w:rPr>
                <w:rFonts w:hint="eastAsia"/>
                <w:sz w:val="18"/>
                <w:szCs w:val="18"/>
              </w:rPr>
              <w:t>T</w:t>
            </w:r>
            <w:r>
              <w:rPr>
                <w:sz w:val="18"/>
                <w:szCs w:val="18"/>
              </w:rPr>
              <w:t>m</w:t>
            </w:r>
          </w:p>
        </w:tc>
        <w:tc>
          <w:tcPr>
            <w:tcW w:w="1531" w:type="dxa"/>
            <w:tcBorders>
              <w:left w:val="single" w:color="auto" w:sz="8" w:space="0"/>
              <w:right w:val="single" w:color="auto" w:sz="8" w:space="0"/>
            </w:tcBorders>
            <w:vAlign w:val="center"/>
          </w:tcPr>
          <w:p>
            <w:pPr>
              <w:spacing w:line="276" w:lineRule="auto"/>
              <w:jc w:val="center"/>
            </w:pPr>
            <w:r>
              <w:rPr>
                <w:sz w:val="18"/>
                <w:szCs w:val="18"/>
              </w:rPr>
              <w:t>氧化铽</w:t>
            </w:r>
          </w:p>
        </w:tc>
        <w:tc>
          <w:tcPr>
            <w:tcW w:w="1539" w:type="dxa"/>
            <w:tcBorders>
              <w:left w:val="single" w:color="auto" w:sz="8" w:space="0"/>
              <w:right w:val="single" w:color="auto" w:sz="8" w:space="0"/>
            </w:tcBorders>
            <w:vAlign w:val="center"/>
          </w:tcPr>
          <w:p>
            <w:pPr>
              <w:adjustRightInd w:val="0"/>
              <w:snapToGrid w:val="0"/>
              <w:spacing w:line="276" w:lineRule="auto"/>
              <w:jc w:val="center"/>
              <w:rPr>
                <w:sz w:val="18"/>
                <w:szCs w:val="18"/>
              </w:rPr>
            </w:pPr>
            <w:r>
              <w:rPr>
                <w:rFonts w:hint="eastAsia"/>
                <w:sz w:val="18"/>
                <w:szCs w:val="18"/>
              </w:rPr>
              <w:t>L</w:t>
            </w:r>
            <w:r>
              <w:rPr>
                <w:sz w:val="18"/>
                <w:szCs w:val="18"/>
              </w:rPr>
              <w:t>u</w:t>
            </w:r>
          </w:p>
        </w:tc>
        <w:tc>
          <w:tcPr>
            <w:tcW w:w="1542" w:type="dxa"/>
            <w:tcBorders>
              <w:left w:val="single" w:color="auto" w:sz="8" w:space="0"/>
              <w:right w:val="single" w:color="auto" w:sz="8" w:space="0"/>
            </w:tcBorders>
            <w:vAlign w:val="center"/>
          </w:tcPr>
          <w:p>
            <w:pPr>
              <w:adjustRightInd w:val="0"/>
              <w:snapToGrid w:val="0"/>
              <w:spacing w:line="276" w:lineRule="auto"/>
              <w:jc w:val="center"/>
              <w:rPr>
                <w:sz w:val="18"/>
                <w:szCs w:val="18"/>
              </w:rPr>
            </w:pPr>
            <w:r>
              <w:rPr>
                <w:sz w:val="18"/>
                <w:szCs w:val="18"/>
              </w:rPr>
              <w:t>氧化镥</w:t>
            </w:r>
          </w:p>
        </w:tc>
        <w:tc>
          <w:tcPr>
            <w:tcW w:w="1541" w:type="dxa"/>
            <w:tcBorders>
              <w:left w:val="single" w:color="auto" w:sz="8" w:space="0"/>
              <w:right w:val="single" w:color="auto" w:sz="8" w:space="0"/>
            </w:tcBorders>
            <w:vAlign w:val="center"/>
          </w:tcPr>
          <w:p>
            <w:pPr>
              <w:adjustRightInd w:val="0"/>
              <w:snapToGrid w:val="0"/>
              <w:spacing w:line="276" w:lineRule="auto"/>
              <w:jc w:val="center"/>
              <w:rPr>
                <w:sz w:val="18"/>
                <w:szCs w:val="18"/>
              </w:rPr>
            </w:pPr>
            <w:r>
              <w:rPr>
                <w:rFonts w:hint="eastAsia"/>
                <w:sz w:val="18"/>
                <w:szCs w:val="18"/>
              </w:rPr>
              <w:t>I</w:t>
            </w:r>
            <w:r>
              <w:rPr>
                <w:sz w:val="18"/>
                <w:szCs w:val="18"/>
              </w:rPr>
              <w:t>r</w:t>
            </w:r>
          </w:p>
        </w:tc>
      </w:tr>
    </w:tbl>
    <w:p>
      <w:pPr>
        <w:spacing w:line="276" w:lineRule="auto"/>
        <w:rPr>
          <w:rFonts w:hAnsi="宋体"/>
        </w:rPr>
      </w:pPr>
      <w:r>
        <w:rPr>
          <w:rFonts w:hint="eastAsia"/>
          <w:position w:val="-2"/>
        </w:rPr>
        <w:t>（二）</w:t>
      </w:r>
      <w:r>
        <w:rPr>
          <w:rFonts w:hAnsi="宋体"/>
        </w:rPr>
        <w:t>方法</w:t>
      </w:r>
      <w:r>
        <w:rPr>
          <w:rFonts w:hint="eastAsia" w:hAnsi="宋体"/>
        </w:rPr>
        <w:t>提要</w:t>
      </w:r>
    </w:p>
    <w:p>
      <w:pPr>
        <w:spacing w:line="276" w:lineRule="auto"/>
        <w:ind w:firstLine="420" w:firstLineChars="200"/>
      </w:pPr>
      <w:r>
        <w:t>稀土氧化物样品经第二阴极法制成样片，作为阴极在辉光离子源中进行辉光放电。其表面原子被等离子体中带电粒子轰击发生溅射，溅射产生的原子被离子化后，离子束通过电场加速进入磁质谱仪进行测定。在每一待测元素的同位素质量处，以预设的扫描点数和积分时间对应谱峰积分，所得面积为谱峰强度。无标准样品时，计算机根据仪器软件自带的“标准相对灵敏度因子”自动计算出各元素的质量分数</w:t>
      </w:r>
      <w:r>
        <w:rPr>
          <w:rFonts w:hint="eastAsia"/>
        </w:rPr>
        <w:t>，得到半定量分析结果</w:t>
      </w:r>
      <w:r>
        <w:t>；</w:t>
      </w:r>
      <w:r>
        <w:rPr>
          <w:rFonts w:hint="eastAsia"/>
        </w:rPr>
        <w:t>可获得</w:t>
      </w:r>
      <w:r>
        <w:t>标准样品时，须在与被测试样相同的分析条件下对标准样品进行独立测定以校正相对灵敏度因子，应用校正后的相对灵敏度因子计算各元素的质量分数</w:t>
      </w:r>
      <w:r>
        <w:rPr>
          <w:rFonts w:hint="eastAsia"/>
        </w:rPr>
        <w:t>，得到定量分析结果</w:t>
      </w:r>
      <w:r>
        <w:t>。</w:t>
      </w:r>
      <w:r>
        <w:rPr>
          <w:rFonts w:hAnsi="宋体"/>
        </w:rPr>
        <w:t>。</w:t>
      </w:r>
    </w:p>
    <w:p>
      <w:pPr>
        <w:spacing w:line="276" w:lineRule="auto"/>
        <w:rPr>
          <w:rFonts w:hAnsi="宋体"/>
        </w:rPr>
      </w:pPr>
      <w:r>
        <w:rPr>
          <w:rFonts w:hint="eastAsia"/>
        </w:rPr>
        <w:t>（三）</w:t>
      </w:r>
      <w:r>
        <w:rPr>
          <w:rFonts w:hAnsi="宋体"/>
        </w:rPr>
        <w:t>试剂及材料</w:t>
      </w:r>
    </w:p>
    <w:p>
      <w:pPr>
        <w:spacing w:line="276" w:lineRule="auto"/>
        <w:ind w:firstLine="420" w:firstLineChars="200"/>
      </w:pPr>
      <w:r>
        <w:rPr>
          <w:rFonts w:hAnsi="宋体"/>
        </w:rPr>
        <w:t>钽片（固体金属，纯度大于</w:t>
      </w:r>
      <w:r>
        <w:t>99.99%</w:t>
      </w:r>
      <w:r>
        <w:rPr>
          <w:rFonts w:hAnsi="宋体"/>
        </w:rPr>
        <w:t>，</w:t>
      </w:r>
      <w:r>
        <w:t xml:space="preserve"> 2mm*2mm*1mm</w:t>
      </w:r>
      <w:r>
        <w:rPr>
          <w:rFonts w:hAnsi="宋体"/>
        </w:rPr>
        <w:t>）</w:t>
      </w:r>
      <w:r>
        <w:rPr>
          <w:rFonts w:hint="eastAsia" w:hAnsi="宋体"/>
        </w:rPr>
        <w:t>；</w:t>
      </w:r>
      <w:r>
        <w:rPr>
          <w:rFonts w:hAnsi="宋体"/>
        </w:rPr>
        <w:t>金属铟（固体金属，纯度大于</w:t>
      </w:r>
      <w:r>
        <w:t>99.9999%)</w:t>
      </w:r>
      <w:r>
        <w:rPr>
          <w:rFonts w:hint="eastAsia" w:hAnsi="宋体"/>
        </w:rPr>
        <w:t>；</w:t>
      </w:r>
      <w:r>
        <w:rPr>
          <w:rFonts w:hAnsi="宋体"/>
        </w:rPr>
        <w:t>硝酸（</w:t>
      </w:r>
      <w:r>
        <w:t>ρ1.42 g/mL</w:t>
      </w:r>
      <w:r>
        <w:rPr>
          <w:rFonts w:hAnsi="宋体"/>
        </w:rPr>
        <w:t>），优级纯</w:t>
      </w:r>
      <w:r>
        <w:rPr>
          <w:rFonts w:hint="eastAsia" w:hAnsi="宋体"/>
        </w:rPr>
        <w:t>；</w:t>
      </w:r>
      <w:r>
        <w:rPr>
          <w:rFonts w:hAnsi="宋体"/>
        </w:rPr>
        <w:t>盐酸（</w:t>
      </w:r>
      <w:r>
        <w:t>ρ1.19 g/mL</w:t>
      </w:r>
      <w:r>
        <w:rPr>
          <w:rFonts w:hAnsi="宋体"/>
        </w:rPr>
        <w:t>），优级纯</w:t>
      </w:r>
      <w:r>
        <w:rPr>
          <w:rFonts w:hint="eastAsia" w:hAnsi="宋体"/>
        </w:rPr>
        <w:t>；</w:t>
      </w:r>
      <w:r>
        <w:rPr>
          <w:rFonts w:hAnsi="宋体"/>
        </w:rPr>
        <w:t>氢氟酸（</w:t>
      </w:r>
      <w:r>
        <w:t>ρ1.14g/mL</w:t>
      </w:r>
      <w:r>
        <w:rPr>
          <w:rFonts w:hAnsi="宋体"/>
        </w:rPr>
        <w:t>），优级纯</w:t>
      </w:r>
      <w:r>
        <w:rPr>
          <w:rFonts w:hint="eastAsia"/>
        </w:rPr>
        <w:t>；</w:t>
      </w:r>
      <w:r>
        <w:rPr>
          <w:rFonts w:hAnsi="宋体"/>
        </w:rPr>
        <w:t>无水乙醇（</w:t>
      </w:r>
      <w:r>
        <w:t>CH</w:t>
      </w:r>
      <w:r>
        <w:rPr>
          <w:vertAlign w:val="subscript"/>
        </w:rPr>
        <w:t>3</w:t>
      </w:r>
      <w:r>
        <w:t>CH</w:t>
      </w:r>
      <w:r>
        <w:rPr>
          <w:vertAlign w:val="subscript"/>
        </w:rPr>
        <w:t>2</w:t>
      </w:r>
      <w:r>
        <w:t>OH</w:t>
      </w:r>
      <w:r>
        <w:rPr>
          <w:rFonts w:hAnsi="宋体"/>
        </w:rPr>
        <w:t>大于</w:t>
      </w:r>
      <w:r>
        <w:t>99.9%</w:t>
      </w:r>
      <w:r>
        <w:rPr>
          <w:rFonts w:hAnsi="宋体"/>
        </w:rPr>
        <w:t>），色谱纯</w:t>
      </w:r>
      <w:r>
        <w:rPr>
          <w:rFonts w:hint="eastAsia" w:hAnsi="宋体"/>
        </w:rPr>
        <w:t>；</w:t>
      </w:r>
      <w:r>
        <w:rPr>
          <w:rFonts w:hAnsi="宋体"/>
        </w:rPr>
        <w:t>去离子水（电阻率应达到</w:t>
      </w:r>
      <w:r>
        <w:t>18.0MΩ*cm</w:t>
      </w:r>
      <w:r>
        <w:rPr>
          <w:rFonts w:hAnsi="宋体"/>
        </w:rPr>
        <w:t>）</w:t>
      </w:r>
      <w:r>
        <w:rPr>
          <w:rFonts w:hint="eastAsia" w:hAnsi="宋体"/>
        </w:rPr>
        <w:t>；</w:t>
      </w:r>
      <w:r>
        <w:rPr>
          <w:rFonts w:hAnsi="宋体"/>
        </w:rPr>
        <w:t>氩气（纯度不低于</w:t>
      </w:r>
      <w:r>
        <w:t>99.9999%</w:t>
      </w:r>
      <w:r>
        <w:rPr>
          <w:rFonts w:hAnsi="宋体"/>
        </w:rPr>
        <w:t>）</w:t>
      </w:r>
      <w:r>
        <w:rPr>
          <w:rFonts w:hint="eastAsia" w:hAnsi="宋体"/>
        </w:rPr>
        <w:t>；</w:t>
      </w:r>
      <w:r>
        <w:rPr>
          <w:rFonts w:hAnsi="宋体"/>
        </w:rPr>
        <w:t>液氮</w:t>
      </w:r>
    </w:p>
    <w:p>
      <w:pPr>
        <w:spacing w:line="276" w:lineRule="auto"/>
      </w:pPr>
      <w:r>
        <w:rPr>
          <w:rFonts w:hint="eastAsia"/>
        </w:rPr>
        <w:t>（四）</w:t>
      </w:r>
      <w:r>
        <w:rPr>
          <w:rFonts w:hAnsi="宋体"/>
        </w:rPr>
        <w:t>仪器及参数</w:t>
      </w:r>
    </w:p>
    <w:p>
      <w:pPr>
        <w:spacing w:line="276" w:lineRule="auto"/>
        <w:ind w:firstLine="420" w:firstLineChars="200"/>
      </w:pPr>
      <w:r>
        <w:rPr>
          <w:rFonts w:hAnsi="宋体"/>
        </w:rPr>
        <w:t>高分辨辉光放电质谱仪。</w:t>
      </w:r>
    </w:p>
    <w:p>
      <w:pPr>
        <w:spacing w:line="276" w:lineRule="auto"/>
        <w:jc w:val="center"/>
        <w:rPr>
          <w:b/>
          <w:bCs/>
        </w:rPr>
      </w:pPr>
      <w:r>
        <w:rPr>
          <w:rFonts w:hint="eastAsia" w:hAnsi="宋体"/>
          <w:b/>
          <w:bCs/>
        </w:rPr>
        <w:t xml:space="preserve">表4 </w:t>
      </w:r>
      <w:r>
        <w:rPr>
          <w:rFonts w:hAnsi="宋体"/>
          <w:b/>
          <w:bCs/>
        </w:rPr>
        <w:t>仪器工作参数</w:t>
      </w:r>
    </w:p>
    <w:tbl>
      <w:tblPr>
        <w:tblStyle w:val="88"/>
        <w:tblW w:w="9314" w:type="dxa"/>
        <w:tblInd w:w="-1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99"/>
        <w:gridCol w:w="4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4999"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276" w:lineRule="auto"/>
              <w:jc w:val="center"/>
              <w:rPr>
                <w:sz w:val="18"/>
                <w:szCs w:val="18"/>
              </w:rPr>
            </w:pPr>
            <w:r>
              <w:rPr>
                <w:rFonts w:hAnsi="宋体"/>
                <w:sz w:val="18"/>
                <w:szCs w:val="18"/>
              </w:rPr>
              <w:t>仪器参数</w:t>
            </w:r>
          </w:p>
        </w:tc>
        <w:tc>
          <w:tcPr>
            <w:tcW w:w="4315"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276" w:lineRule="auto"/>
              <w:jc w:val="center"/>
              <w:rPr>
                <w:sz w:val="18"/>
                <w:szCs w:val="18"/>
              </w:rPr>
            </w:pPr>
            <w:r>
              <w:rPr>
                <w:rFonts w:hAnsi="宋体"/>
                <w:sz w:val="18"/>
                <w:szCs w:val="18"/>
              </w:rPr>
              <w:t>参数设置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99"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276" w:lineRule="auto"/>
              <w:jc w:val="center"/>
              <w:rPr>
                <w:sz w:val="18"/>
                <w:szCs w:val="18"/>
              </w:rPr>
            </w:pPr>
            <w:r>
              <w:rPr>
                <w:rFonts w:hAnsi="宋体"/>
                <w:sz w:val="18"/>
                <w:szCs w:val="18"/>
              </w:rPr>
              <w:t>辉光放电气体流量</w:t>
            </w:r>
          </w:p>
        </w:tc>
        <w:tc>
          <w:tcPr>
            <w:tcW w:w="4315"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276" w:lineRule="auto"/>
              <w:jc w:val="center"/>
              <w:rPr>
                <w:sz w:val="18"/>
                <w:szCs w:val="18"/>
              </w:rPr>
            </w:pPr>
            <w:r>
              <w:rPr>
                <w:sz w:val="18"/>
                <w:szCs w:val="18"/>
              </w:rPr>
              <w:t>0.15~0.35 SCCM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99"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276" w:lineRule="auto"/>
              <w:jc w:val="center"/>
              <w:rPr>
                <w:sz w:val="18"/>
                <w:szCs w:val="18"/>
              </w:rPr>
            </w:pPr>
            <w:r>
              <w:rPr>
                <w:rFonts w:hAnsi="宋体"/>
                <w:sz w:val="18"/>
                <w:szCs w:val="18"/>
              </w:rPr>
              <w:t>辉光放电电压</w:t>
            </w:r>
          </w:p>
        </w:tc>
        <w:tc>
          <w:tcPr>
            <w:tcW w:w="4315"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276" w:lineRule="auto"/>
              <w:jc w:val="center"/>
              <w:rPr>
                <w:sz w:val="18"/>
                <w:szCs w:val="18"/>
              </w:rPr>
            </w:pPr>
            <w:r>
              <w:rPr>
                <w:sz w:val="18"/>
                <w:szCs w:val="18"/>
              </w:rPr>
              <w:t>900~1200 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99"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276" w:lineRule="auto"/>
              <w:jc w:val="center"/>
              <w:rPr>
                <w:sz w:val="18"/>
                <w:szCs w:val="18"/>
              </w:rPr>
            </w:pPr>
            <w:r>
              <w:rPr>
                <w:rFonts w:hAnsi="宋体"/>
                <w:sz w:val="18"/>
                <w:szCs w:val="18"/>
              </w:rPr>
              <w:t>辉光放电电流</w:t>
            </w:r>
          </w:p>
        </w:tc>
        <w:tc>
          <w:tcPr>
            <w:tcW w:w="4315"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276" w:lineRule="auto"/>
              <w:jc w:val="center"/>
              <w:rPr>
                <w:sz w:val="18"/>
                <w:szCs w:val="18"/>
              </w:rPr>
            </w:pPr>
            <w:r>
              <w:rPr>
                <w:sz w:val="18"/>
                <w:szCs w:val="18"/>
              </w:rPr>
              <w:t>2.0 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99"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276" w:lineRule="auto"/>
              <w:jc w:val="center"/>
              <w:rPr>
                <w:sz w:val="18"/>
                <w:szCs w:val="18"/>
              </w:rPr>
            </w:pPr>
            <w:r>
              <w:rPr>
                <w:rFonts w:hAnsi="宋体"/>
                <w:sz w:val="18"/>
                <w:szCs w:val="18"/>
              </w:rPr>
              <w:t>典型分辨率</w:t>
            </w:r>
          </w:p>
        </w:tc>
        <w:tc>
          <w:tcPr>
            <w:tcW w:w="4315"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276" w:lineRule="auto"/>
              <w:jc w:val="center"/>
              <w:rPr>
                <w:sz w:val="18"/>
                <w:szCs w:val="18"/>
              </w:rPr>
            </w:pPr>
            <w:r>
              <w:rPr>
                <w:sz w:val="18"/>
                <w:szCs w:val="18"/>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99"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276" w:lineRule="auto"/>
              <w:jc w:val="center"/>
              <w:rPr>
                <w:sz w:val="18"/>
                <w:szCs w:val="18"/>
              </w:rPr>
            </w:pPr>
            <w:r>
              <w:rPr>
                <w:rFonts w:hAnsi="宋体"/>
                <w:sz w:val="18"/>
                <w:szCs w:val="18"/>
              </w:rPr>
              <w:t>离子计数效率</w:t>
            </w:r>
          </w:p>
        </w:tc>
        <w:tc>
          <w:tcPr>
            <w:tcW w:w="4315"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spacing w:line="276" w:lineRule="auto"/>
              <w:jc w:val="center"/>
              <w:rPr>
                <w:sz w:val="18"/>
                <w:szCs w:val="18"/>
              </w:rPr>
            </w:pPr>
            <w:r>
              <w:rPr>
                <w:sz w:val="18"/>
                <w:szCs w:val="18"/>
              </w:rPr>
              <w:t>&gt;0.80</w:t>
            </w:r>
          </w:p>
        </w:tc>
      </w:tr>
    </w:tbl>
    <w:p>
      <w:pPr>
        <w:spacing w:line="276" w:lineRule="auto"/>
        <w:rPr>
          <w:rFonts w:hAnsi="宋体"/>
        </w:rPr>
      </w:pPr>
      <w:r>
        <w:rPr>
          <w:rFonts w:hint="eastAsia"/>
        </w:rPr>
        <w:t>（五）</w:t>
      </w:r>
      <w:r>
        <w:rPr>
          <w:rFonts w:hAnsi="宋体"/>
        </w:rPr>
        <w:t>同位素的选择</w:t>
      </w:r>
    </w:p>
    <w:p>
      <w:pPr>
        <w:spacing w:line="276" w:lineRule="auto"/>
        <w:ind w:firstLine="420" w:firstLineChars="200"/>
      </w:pPr>
      <w:r>
        <w:rPr>
          <w:rFonts w:hint="eastAsia"/>
        </w:rPr>
        <w:t>首先根据同位素丰度和多原子离</w:t>
      </w:r>
      <w:r>
        <w:t>子</w:t>
      </w:r>
      <w:r>
        <w:rPr>
          <w:rFonts w:hint="eastAsia"/>
        </w:rPr>
        <w:t>等</w:t>
      </w:r>
      <w:r>
        <w:t>干扰</w:t>
      </w:r>
      <w:r>
        <w:rPr>
          <w:rFonts w:hint="eastAsia"/>
        </w:rPr>
        <w:t>情况，推荐适用于多数基体的通用同位素，对于存在多原子离</w:t>
      </w:r>
      <w:r>
        <w:t>子</w:t>
      </w:r>
      <w:r>
        <w:rPr>
          <w:rFonts w:hint="eastAsia"/>
        </w:rPr>
        <w:t>、双电荷等因素</w:t>
      </w:r>
      <w:r>
        <w:t>干扰</w:t>
      </w:r>
      <w:r>
        <w:rPr>
          <w:rFonts w:hint="eastAsia"/>
        </w:rPr>
        <w:t>，不适用于通用同位素的基体，单独推荐同位素。见表5。</w:t>
      </w:r>
    </w:p>
    <w:p>
      <w:pPr>
        <w:spacing w:line="276" w:lineRule="auto"/>
        <w:ind w:firstLine="422" w:firstLineChars="200"/>
        <w:jc w:val="center"/>
        <w:rPr>
          <w:b/>
          <w:bCs/>
        </w:rPr>
      </w:pPr>
      <w:r>
        <w:rPr>
          <w:rFonts w:hint="eastAsia"/>
          <w:b/>
          <w:bCs/>
        </w:rPr>
        <w:t>表</w:t>
      </w:r>
      <w:r>
        <w:rPr>
          <w:b/>
          <w:bCs/>
        </w:rPr>
        <w:t xml:space="preserve">5 </w:t>
      </w:r>
      <w:r>
        <w:rPr>
          <w:rFonts w:hint="eastAsia"/>
          <w:b/>
          <w:bCs/>
        </w:rPr>
        <w:t>同位素选择</w:t>
      </w:r>
    </w:p>
    <w:tbl>
      <w:tblPr>
        <w:tblStyle w:val="88"/>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546"/>
        <w:gridCol w:w="1590"/>
        <w:gridCol w:w="509"/>
        <w:gridCol w:w="916"/>
        <w:gridCol w:w="1745"/>
        <w:gridCol w:w="637"/>
        <w:gridCol w:w="71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3" w:type="dxa"/>
            <w:vAlign w:val="center"/>
          </w:tcPr>
          <w:p>
            <w:pPr>
              <w:adjustRightInd w:val="0"/>
              <w:snapToGrid w:val="0"/>
              <w:spacing w:line="240" w:lineRule="auto"/>
              <w:jc w:val="center"/>
              <w:rPr>
                <w:sz w:val="18"/>
                <w:szCs w:val="18"/>
              </w:rPr>
            </w:pPr>
            <w:r>
              <w:rPr>
                <w:sz w:val="18"/>
                <w:szCs w:val="18"/>
              </w:rPr>
              <w:t>元素</w:t>
            </w:r>
          </w:p>
        </w:tc>
        <w:tc>
          <w:tcPr>
            <w:tcW w:w="546" w:type="dxa"/>
            <w:vAlign w:val="center"/>
          </w:tcPr>
          <w:p>
            <w:pPr>
              <w:adjustRightInd w:val="0"/>
              <w:snapToGrid w:val="0"/>
              <w:spacing w:line="240" w:lineRule="auto"/>
              <w:jc w:val="center"/>
              <w:rPr>
                <w:sz w:val="18"/>
                <w:szCs w:val="18"/>
              </w:rPr>
            </w:pPr>
            <w:r>
              <w:rPr>
                <w:sz w:val="18"/>
                <w:szCs w:val="18"/>
              </w:rPr>
              <w:t>通用</w:t>
            </w:r>
          </w:p>
        </w:tc>
        <w:tc>
          <w:tcPr>
            <w:tcW w:w="1590" w:type="dxa"/>
            <w:vAlign w:val="center"/>
          </w:tcPr>
          <w:p>
            <w:pPr>
              <w:adjustRightInd w:val="0"/>
              <w:snapToGrid w:val="0"/>
              <w:spacing w:line="240" w:lineRule="auto"/>
              <w:jc w:val="center"/>
              <w:rPr>
                <w:sz w:val="18"/>
                <w:szCs w:val="18"/>
              </w:rPr>
            </w:pPr>
            <w:r>
              <w:rPr>
                <w:rFonts w:hint="eastAsia"/>
                <w:sz w:val="18"/>
                <w:szCs w:val="18"/>
              </w:rPr>
              <w:t>不适用基体</w:t>
            </w:r>
            <w:r>
              <w:rPr>
                <w:sz w:val="18"/>
                <w:szCs w:val="18"/>
              </w:rPr>
              <w:t>及</w:t>
            </w:r>
            <w:r>
              <w:rPr>
                <w:rFonts w:hint="eastAsia"/>
                <w:sz w:val="18"/>
                <w:szCs w:val="18"/>
              </w:rPr>
              <w:t>干扰</w:t>
            </w:r>
          </w:p>
        </w:tc>
        <w:tc>
          <w:tcPr>
            <w:tcW w:w="509" w:type="dxa"/>
            <w:vAlign w:val="center"/>
          </w:tcPr>
          <w:p>
            <w:pPr>
              <w:adjustRightInd w:val="0"/>
              <w:snapToGrid w:val="0"/>
              <w:spacing w:line="240" w:lineRule="auto"/>
              <w:jc w:val="center"/>
              <w:rPr>
                <w:sz w:val="18"/>
                <w:szCs w:val="18"/>
              </w:rPr>
            </w:pPr>
            <w:r>
              <w:rPr>
                <w:sz w:val="18"/>
                <w:szCs w:val="18"/>
              </w:rPr>
              <w:t>元素</w:t>
            </w:r>
          </w:p>
        </w:tc>
        <w:tc>
          <w:tcPr>
            <w:tcW w:w="916" w:type="dxa"/>
            <w:vAlign w:val="center"/>
          </w:tcPr>
          <w:p>
            <w:pPr>
              <w:adjustRightInd w:val="0"/>
              <w:snapToGrid w:val="0"/>
              <w:spacing w:line="240" w:lineRule="auto"/>
              <w:jc w:val="center"/>
              <w:rPr>
                <w:sz w:val="18"/>
                <w:szCs w:val="18"/>
              </w:rPr>
            </w:pPr>
            <w:r>
              <w:rPr>
                <w:sz w:val="18"/>
                <w:szCs w:val="18"/>
              </w:rPr>
              <w:t>通用</w:t>
            </w:r>
          </w:p>
        </w:tc>
        <w:tc>
          <w:tcPr>
            <w:tcW w:w="1745" w:type="dxa"/>
            <w:vAlign w:val="center"/>
          </w:tcPr>
          <w:p>
            <w:pPr>
              <w:adjustRightInd w:val="0"/>
              <w:snapToGrid w:val="0"/>
              <w:spacing w:line="240" w:lineRule="auto"/>
              <w:jc w:val="center"/>
              <w:rPr>
                <w:sz w:val="18"/>
                <w:szCs w:val="18"/>
              </w:rPr>
            </w:pPr>
            <w:r>
              <w:rPr>
                <w:rFonts w:hint="eastAsia"/>
                <w:sz w:val="18"/>
                <w:szCs w:val="18"/>
              </w:rPr>
              <w:t>不适用基体</w:t>
            </w:r>
            <w:r>
              <w:rPr>
                <w:sz w:val="18"/>
                <w:szCs w:val="18"/>
              </w:rPr>
              <w:t>及</w:t>
            </w:r>
            <w:r>
              <w:rPr>
                <w:rFonts w:hint="eastAsia"/>
                <w:sz w:val="18"/>
                <w:szCs w:val="18"/>
              </w:rPr>
              <w:t>干扰</w:t>
            </w:r>
          </w:p>
        </w:tc>
        <w:tc>
          <w:tcPr>
            <w:tcW w:w="637" w:type="dxa"/>
            <w:vAlign w:val="center"/>
          </w:tcPr>
          <w:p>
            <w:pPr>
              <w:adjustRightInd w:val="0"/>
              <w:snapToGrid w:val="0"/>
              <w:spacing w:line="240" w:lineRule="auto"/>
              <w:jc w:val="center"/>
              <w:rPr>
                <w:sz w:val="18"/>
                <w:szCs w:val="18"/>
              </w:rPr>
            </w:pPr>
            <w:r>
              <w:rPr>
                <w:sz w:val="18"/>
                <w:szCs w:val="18"/>
              </w:rPr>
              <w:t>元素</w:t>
            </w:r>
          </w:p>
        </w:tc>
        <w:tc>
          <w:tcPr>
            <w:tcW w:w="718" w:type="dxa"/>
            <w:vAlign w:val="center"/>
          </w:tcPr>
          <w:p>
            <w:pPr>
              <w:adjustRightInd w:val="0"/>
              <w:snapToGrid w:val="0"/>
              <w:spacing w:line="240" w:lineRule="auto"/>
              <w:jc w:val="center"/>
              <w:rPr>
                <w:sz w:val="18"/>
                <w:szCs w:val="18"/>
              </w:rPr>
            </w:pPr>
            <w:r>
              <w:rPr>
                <w:sz w:val="18"/>
                <w:szCs w:val="18"/>
              </w:rPr>
              <w:t>通用</w:t>
            </w:r>
          </w:p>
        </w:tc>
        <w:tc>
          <w:tcPr>
            <w:tcW w:w="2138" w:type="dxa"/>
            <w:vAlign w:val="center"/>
          </w:tcPr>
          <w:p>
            <w:pPr>
              <w:adjustRightInd w:val="0"/>
              <w:snapToGrid w:val="0"/>
              <w:spacing w:line="240" w:lineRule="auto"/>
              <w:jc w:val="center"/>
              <w:rPr>
                <w:sz w:val="18"/>
                <w:szCs w:val="18"/>
              </w:rPr>
            </w:pPr>
            <w:r>
              <w:rPr>
                <w:rFonts w:hint="eastAsia"/>
                <w:sz w:val="18"/>
                <w:szCs w:val="18"/>
              </w:rPr>
              <w:t>不适用基体</w:t>
            </w:r>
            <w:r>
              <w:rPr>
                <w:sz w:val="18"/>
                <w:szCs w:val="18"/>
              </w:rPr>
              <w:t>及</w:t>
            </w:r>
            <w:r>
              <w:rPr>
                <w:rFonts w:hint="eastAsia"/>
                <w:sz w:val="18"/>
                <w:szCs w:val="18"/>
              </w:rPr>
              <w:t>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3" w:type="dxa"/>
            <w:vAlign w:val="center"/>
          </w:tcPr>
          <w:p>
            <w:pPr>
              <w:adjustRightInd w:val="0"/>
              <w:snapToGrid w:val="0"/>
              <w:spacing w:line="240" w:lineRule="auto"/>
              <w:jc w:val="center"/>
              <w:rPr>
                <w:sz w:val="18"/>
                <w:szCs w:val="18"/>
              </w:rPr>
            </w:pPr>
            <w:r>
              <w:rPr>
                <w:rFonts w:eastAsia="等线"/>
                <w:sz w:val="18"/>
                <w:szCs w:val="18"/>
              </w:rPr>
              <w:t>Li</w:t>
            </w:r>
          </w:p>
        </w:tc>
        <w:tc>
          <w:tcPr>
            <w:tcW w:w="546" w:type="dxa"/>
            <w:vAlign w:val="center"/>
          </w:tcPr>
          <w:p>
            <w:pPr>
              <w:adjustRightInd w:val="0"/>
              <w:snapToGrid w:val="0"/>
              <w:spacing w:line="240" w:lineRule="auto"/>
              <w:jc w:val="center"/>
              <w:rPr>
                <w:sz w:val="18"/>
                <w:szCs w:val="18"/>
              </w:rPr>
            </w:pPr>
            <w:r>
              <w:rPr>
                <w:rFonts w:eastAsia="等线"/>
                <w:sz w:val="18"/>
                <w:szCs w:val="18"/>
              </w:rPr>
              <w:t>7</w:t>
            </w:r>
          </w:p>
        </w:tc>
        <w:tc>
          <w:tcPr>
            <w:tcW w:w="1590"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509" w:type="dxa"/>
            <w:vAlign w:val="center"/>
          </w:tcPr>
          <w:p>
            <w:pPr>
              <w:adjustRightInd w:val="0"/>
              <w:snapToGrid w:val="0"/>
              <w:spacing w:line="240" w:lineRule="auto"/>
              <w:jc w:val="center"/>
              <w:rPr>
                <w:sz w:val="18"/>
                <w:szCs w:val="18"/>
              </w:rPr>
            </w:pPr>
            <w:r>
              <w:rPr>
                <w:rFonts w:eastAsia="等线"/>
                <w:sz w:val="18"/>
                <w:szCs w:val="18"/>
              </w:rPr>
              <w:t>As</w:t>
            </w:r>
          </w:p>
        </w:tc>
        <w:tc>
          <w:tcPr>
            <w:tcW w:w="916" w:type="dxa"/>
            <w:vAlign w:val="center"/>
          </w:tcPr>
          <w:p>
            <w:pPr>
              <w:adjustRightInd w:val="0"/>
              <w:snapToGrid w:val="0"/>
              <w:spacing w:line="240" w:lineRule="auto"/>
              <w:jc w:val="center"/>
              <w:rPr>
                <w:sz w:val="18"/>
                <w:szCs w:val="18"/>
              </w:rPr>
            </w:pPr>
            <w:r>
              <w:rPr>
                <w:rFonts w:eastAsia="等线"/>
                <w:sz w:val="18"/>
                <w:szCs w:val="18"/>
              </w:rPr>
              <w:t>75</w:t>
            </w:r>
          </w:p>
        </w:tc>
        <w:tc>
          <w:tcPr>
            <w:tcW w:w="1745"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637" w:type="dxa"/>
            <w:vAlign w:val="center"/>
          </w:tcPr>
          <w:p>
            <w:pPr>
              <w:adjustRightInd w:val="0"/>
              <w:snapToGrid w:val="0"/>
              <w:spacing w:line="240" w:lineRule="auto"/>
              <w:jc w:val="center"/>
              <w:rPr>
                <w:sz w:val="18"/>
                <w:szCs w:val="18"/>
              </w:rPr>
            </w:pPr>
            <w:r>
              <w:rPr>
                <w:rFonts w:eastAsia="等线"/>
                <w:sz w:val="18"/>
                <w:szCs w:val="18"/>
              </w:rPr>
              <w:t>Eu</w:t>
            </w:r>
          </w:p>
        </w:tc>
        <w:tc>
          <w:tcPr>
            <w:tcW w:w="718" w:type="dxa"/>
            <w:vAlign w:val="center"/>
          </w:tcPr>
          <w:p>
            <w:pPr>
              <w:adjustRightInd w:val="0"/>
              <w:snapToGrid w:val="0"/>
              <w:spacing w:line="240" w:lineRule="auto"/>
              <w:jc w:val="center"/>
              <w:rPr>
                <w:sz w:val="18"/>
                <w:szCs w:val="18"/>
              </w:rPr>
            </w:pPr>
            <w:r>
              <w:rPr>
                <w:rFonts w:eastAsia="等线"/>
                <w:sz w:val="18"/>
                <w:szCs w:val="18"/>
              </w:rPr>
              <w:t>151153</w:t>
            </w:r>
          </w:p>
        </w:tc>
        <w:tc>
          <w:tcPr>
            <w:tcW w:w="2138"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3" w:type="dxa"/>
            <w:vAlign w:val="center"/>
          </w:tcPr>
          <w:p>
            <w:pPr>
              <w:adjustRightInd w:val="0"/>
              <w:snapToGrid w:val="0"/>
              <w:spacing w:line="240" w:lineRule="auto"/>
              <w:jc w:val="center"/>
              <w:rPr>
                <w:sz w:val="18"/>
                <w:szCs w:val="18"/>
              </w:rPr>
            </w:pPr>
            <w:r>
              <w:rPr>
                <w:rFonts w:eastAsia="等线"/>
                <w:sz w:val="18"/>
                <w:szCs w:val="18"/>
              </w:rPr>
              <w:t>Be</w:t>
            </w:r>
          </w:p>
        </w:tc>
        <w:tc>
          <w:tcPr>
            <w:tcW w:w="546" w:type="dxa"/>
            <w:vAlign w:val="center"/>
          </w:tcPr>
          <w:p>
            <w:pPr>
              <w:adjustRightInd w:val="0"/>
              <w:snapToGrid w:val="0"/>
              <w:spacing w:line="240" w:lineRule="auto"/>
              <w:jc w:val="center"/>
              <w:rPr>
                <w:sz w:val="18"/>
                <w:szCs w:val="18"/>
              </w:rPr>
            </w:pPr>
            <w:r>
              <w:rPr>
                <w:rFonts w:eastAsia="等线"/>
                <w:sz w:val="18"/>
                <w:szCs w:val="18"/>
              </w:rPr>
              <w:t>9</w:t>
            </w:r>
          </w:p>
        </w:tc>
        <w:tc>
          <w:tcPr>
            <w:tcW w:w="1590"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509" w:type="dxa"/>
            <w:vAlign w:val="center"/>
          </w:tcPr>
          <w:p>
            <w:pPr>
              <w:adjustRightInd w:val="0"/>
              <w:snapToGrid w:val="0"/>
              <w:spacing w:line="240" w:lineRule="auto"/>
              <w:jc w:val="center"/>
              <w:rPr>
                <w:sz w:val="18"/>
                <w:szCs w:val="18"/>
              </w:rPr>
            </w:pPr>
            <w:r>
              <w:rPr>
                <w:rFonts w:eastAsia="等线"/>
                <w:sz w:val="18"/>
                <w:szCs w:val="18"/>
              </w:rPr>
              <w:t>Br</w:t>
            </w:r>
          </w:p>
        </w:tc>
        <w:tc>
          <w:tcPr>
            <w:tcW w:w="916" w:type="dxa"/>
            <w:vAlign w:val="center"/>
          </w:tcPr>
          <w:p>
            <w:pPr>
              <w:adjustRightInd w:val="0"/>
              <w:snapToGrid w:val="0"/>
              <w:spacing w:line="240" w:lineRule="auto"/>
              <w:jc w:val="center"/>
              <w:rPr>
                <w:sz w:val="18"/>
                <w:szCs w:val="18"/>
              </w:rPr>
            </w:pPr>
            <w:r>
              <w:rPr>
                <w:rFonts w:eastAsia="等线"/>
                <w:sz w:val="18"/>
                <w:szCs w:val="18"/>
              </w:rPr>
              <w:t>79</w:t>
            </w:r>
          </w:p>
        </w:tc>
        <w:tc>
          <w:tcPr>
            <w:tcW w:w="1745"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637" w:type="dxa"/>
            <w:vAlign w:val="center"/>
          </w:tcPr>
          <w:p>
            <w:pPr>
              <w:adjustRightInd w:val="0"/>
              <w:snapToGrid w:val="0"/>
              <w:spacing w:line="240" w:lineRule="auto"/>
              <w:jc w:val="center"/>
              <w:rPr>
                <w:sz w:val="18"/>
                <w:szCs w:val="18"/>
              </w:rPr>
            </w:pPr>
            <w:r>
              <w:rPr>
                <w:rFonts w:eastAsia="等线"/>
                <w:sz w:val="18"/>
                <w:szCs w:val="18"/>
              </w:rPr>
              <w:t>Gd</w:t>
            </w:r>
          </w:p>
        </w:tc>
        <w:tc>
          <w:tcPr>
            <w:tcW w:w="718" w:type="dxa"/>
            <w:vAlign w:val="center"/>
          </w:tcPr>
          <w:p>
            <w:pPr>
              <w:spacing w:line="240" w:lineRule="auto"/>
              <w:jc w:val="center"/>
              <w:rPr>
                <w:sz w:val="18"/>
                <w:szCs w:val="18"/>
              </w:rPr>
            </w:pPr>
            <w:r>
              <w:rPr>
                <w:rFonts w:eastAsia="等线"/>
                <w:sz w:val="18"/>
                <w:szCs w:val="18"/>
              </w:rPr>
              <w:t>157</w:t>
            </w:r>
          </w:p>
        </w:tc>
        <w:tc>
          <w:tcPr>
            <w:tcW w:w="2138" w:type="dxa"/>
            <w:vAlign w:val="center"/>
          </w:tcPr>
          <w:p>
            <w:pPr>
              <w:spacing w:line="240" w:lineRule="auto"/>
              <w:jc w:val="center"/>
              <w:rPr>
                <w:rFonts w:eastAsia="等线"/>
                <w:sz w:val="18"/>
                <w:szCs w:val="18"/>
              </w:rPr>
            </w:pPr>
            <w:r>
              <w:rPr>
                <w:rFonts w:hAnsi="宋体" w:eastAsia="宋体"/>
                <w:sz w:val="18"/>
                <w:szCs w:val="18"/>
              </w:rPr>
              <w:t>氧化镧</w:t>
            </w:r>
            <w:r>
              <w:rPr>
                <w:rFonts w:eastAsia="宋体"/>
                <w:sz w:val="18"/>
                <w:szCs w:val="18"/>
                <w:vertAlign w:val="superscript"/>
              </w:rPr>
              <w:t>139</w:t>
            </w:r>
            <w:r>
              <w:rPr>
                <w:rFonts w:eastAsia="宋体"/>
                <w:sz w:val="18"/>
                <w:szCs w:val="18"/>
              </w:rPr>
              <w:t>La</w:t>
            </w:r>
            <w:r>
              <w:rPr>
                <w:rFonts w:eastAsia="宋体"/>
                <w:sz w:val="18"/>
                <w:szCs w:val="18"/>
                <w:vertAlign w:val="superscript"/>
              </w:rPr>
              <w:t>18</w:t>
            </w:r>
            <w:r>
              <w:rPr>
                <w:rFonts w:eastAsia="宋体"/>
                <w:sz w:val="18"/>
                <w:szCs w:val="18"/>
              </w:rPr>
              <w:t>O</w:t>
            </w:r>
            <w:r>
              <w:rPr>
                <w:rFonts w:hAnsi="宋体" w:eastAsia="宋体"/>
                <w:sz w:val="18"/>
                <w:szCs w:val="18"/>
              </w:rPr>
              <w:t>，选</w:t>
            </w:r>
            <w:r>
              <w:rPr>
                <w:rFonts w:eastAsia="宋体"/>
                <w:sz w:val="18"/>
                <w:szCs w:val="18"/>
                <w:vertAlign w:val="superscript"/>
              </w:rPr>
              <w:t>160</w:t>
            </w:r>
            <w:r>
              <w:rPr>
                <w:rFonts w:eastAsia="等线"/>
                <w:sz w:val="18"/>
                <w:szCs w:val="18"/>
              </w:rPr>
              <w:t>Gd</w:t>
            </w:r>
          </w:p>
          <w:p>
            <w:pPr>
              <w:spacing w:line="240" w:lineRule="auto"/>
              <w:jc w:val="center"/>
              <w:rPr>
                <w:rFonts w:eastAsia="等线"/>
                <w:sz w:val="18"/>
                <w:szCs w:val="18"/>
              </w:rPr>
            </w:pPr>
            <w:r>
              <w:rPr>
                <w:rFonts w:hAnsi="宋体" w:eastAsia="宋体"/>
                <w:sz w:val="18"/>
                <w:szCs w:val="18"/>
              </w:rPr>
              <w:t>氧化镨、氧化钕</w:t>
            </w:r>
            <w:r>
              <w:rPr>
                <w:rFonts w:eastAsia="宋体"/>
                <w:sz w:val="18"/>
                <w:szCs w:val="18"/>
                <w:vertAlign w:val="superscript"/>
              </w:rPr>
              <w:t>141</w:t>
            </w:r>
            <w:r>
              <w:rPr>
                <w:rFonts w:eastAsia="宋体"/>
                <w:sz w:val="18"/>
                <w:szCs w:val="18"/>
              </w:rPr>
              <w:t>Pr</w:t>
            </w:r>
            <w:r>
              <w:rPr>
                <w:rFonts w:eastAsia="宋体"/>
                <w:sz w:val="18"/>
                <w:szCs w:val="18"/>
                <w:vertAlign w:val="superscript"/>
              </w:rPr>
              <w:t>16</w:t>
            </w:r>
            <w:r>
              <w:rPr>
                <w:rFonts w:eastAsia="宋体"/>
                <w:sz w:val="18"/>
                <w:szCs w:val="18"/>
              </w:rPr>
              <w:t>O</w:t>
            </w:r>
            <w:r>
              <w:rPr>
                <w:rFonts w:hAnsi="宋体" w:eastAsia="宋体"/>
                <w:sz w:val="18"/>
                <w:szCs w:val="18"/>
              </w:rPr>
              <w:t>，选</w:t>
            </w:r>
            <w:r>
              <w:rPr>
                <w:rFonts w:eastAsia="宋体"/>
                <w:sz w:val="18"/>
                <w:szCs w:val="18"/>
                <w:vertAlign w:val="superscript"/>
              </w:rPr>
              <w:t>156</w:t>
            </w:r>
            <w:r>
              <w:rPr>
                <w:rFonts w:eastAsia="等线"/>
                <w:sz w:val="18"/>
                <w:szCs w:val="18"/>
                <w:vertAlign w:val="superscript"/>
              </w:rPr>
              <w:t xml:space="preserve"> </w:t>
            </w:r>
            <w:r>
              <w:rPr>
                <w:rFonts w:eastAsia="等线"/>
                <w:sz w:val="18"/>
                <w:szCs w:val="18"/>
              </w:rPr>
              <w:t>Gd</w:t>
            </w:r>
          </w:p>
          <w:p>
            <w:pPr>
              <w:spacing w:line="240" w:lineRule="auto"/>
              <w:jc w:val="center"/>
              <w:rPr>
                <w:rFonts w:eastAsia="宋体"/>
                <w:sz w:val="18"/>
                <w:szCs w:val="18"/>
                <w:highlight w:val="yellow"/>
              </w:rPr>
            </w:pPr>
            <w:r>
              <w:rPr>
                <w:rFonts w:hAnsi="宋体" w:eastAsia="宋体"/>
                <w:sz w:val="18"/>
                <w:szCs w:val="18"/>
              </w:rPr>
              <w:t>氧化镝</w:t>
            </w:r>
            <w:r>
              <w:rPr>
                <w:rFonts w:eastAsia="宋体"/>
                <w:sz w:val="18"/>
                <w:szCs w:val="18"/>
                <w:vertAlign w:val="superscript"/>
              </w:rPr>
              <w:t>156</w:t>
            </w:r>
            <w:r>
              <w:rPr>
                <w:rFonts w:eastAsia="宋体"/>
                <w:sz w:val="18"/>
                <w:szCs w:val="18"/>
              </w:rPr>
              <w:t>Dy</w:t>
            </w:r>
            <w:r>
              <w:rPr>
                <w:rFonts w:eastAsia="宋体"/>
                <w:sz w:val="18"/>
                <w:szCs w:val="18"/>
                <w:vertAlign w:val="superscript"/>
              </w:rPr>
              <w:t>1</w:t>
            </w:r>
            <w:r>
              <w:rPr>
                <w:rFonts w:eastAsia="宋体"/>
                <w:sz w:val="18"/>
                <w:szCs w:val="18"/>
              </w:rPr>
              <w:t>H</w:t>
            </w:r>
            <w:r>
              <w:rPr>
                <w:rFonts w:hAnsi="宋体" w:eastAsia="宋体"/>
                <w:sz w:val="18"/>
                <w:szCs w:val="18"/>
              </w:rPr>
              <w:t>干扰，选</w:t>
            </w:r>
            <w:r>
              <w:rPr>
                <w:rFonts w:eastAsia="宋体"/>
                <w:sz w:val="18"/>
                <w:szCs w:val="18"/>
                <w:vertAlign w:val="superscript"/>
              </w:rPr>
              <w:t>155</w:t>
            </w:r>
            <w:r>
              <w:rPr>
                <w:rFonts w:eastAsia="等线"/>
                <w:sz w:val="18"/>
                <w:szCs w:val="18"/>
                <w:vertAlign w:val="superscript"/>
              </w:rPr>
              <w:t xml:space="preserve"> </w:t>
            </w:r>
            <w:r>
              <w:rPr>
                <w:rFonts w:eastAsia="等线"/>
                <w:sz w:val="18"/>
                <w:szCs w:val="18"/>
              </w:rPr>
              <w:t>Gd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3" w:type="dxa"/>
            <w:vAlign w:val="center"/>
          </w:tcPr>
          <w:p>
            <w:pPr>
              <w:adjustRightInd w:val="0"/>
              <w:snapToGrid w:val="0"/>
              <w:spacing w:line="240" w:lineRule="auto"/>
              <w:jc w:val="center"/>
              <w:rPr>
                <w:sz w:val="18"/>
                <w:szCs w:val="18"/>
              </w:rPr>
            </w:pPr>
            <w:r>
              <w:rPr>
                <w:rFonts w:eastAsia="等线"/>
                <w:sz w:val="18"/>
                <w:szCs w:val="18"/>
              </w:rPr>
              <w:t>B</w:t>
            </w:r>
          </w:p>
        </w:tc>
        <w:tc>
          <w:tcPr>
            <w:tcW w:w="546" w:type="dxa"/>
            <w:vAlign w:val="center"/>
          </w:tcPr>
          <w:p>
            <w:pPr>
              <w:adjustRightInd w:val="0"/>
              <w:snapToGrid w:val="0"/>
              <w:spacing w:line="240" w:lineRule="auto"/>
              <w:jc w:val="center"/>
              <w:rPr>
                <w:sz w:val="18"/>
                <w:szCs w:val="18"/>
              </w:rPr>
            </w:pPr>
            <w:r>
              <w:rPr>
                <w:rFonts w:eastAsia="等线"/>
                <w:sz w:val="18"/>
                <w:szCs w:val="18"/>
              </w:rPr>
              <w:t>11</w:t>
            </w:r>
          </w:p>
        </w:tc>
        <w:tc>
          <w:tcPr>
            <w:tcW w:w="1590"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509" w:type="dxa"/>
            <w:vAlign w:val="center"/>
          </w:tcPr>
          <w:p>
            <w:pPr>
              <w:adjustRightInd w:val="0"/>
              <w:snapToGrid w:val="0"/>
              <w:spacing w:line="240" w:lineRule="auto"/>
              <w:jc w:val="center"/>
              <w:rPr>
                <w:sz w:val="18"/>
                <w:szCs w:val="18"/>
              </w:rPr>
            </w:pPr>
            <w:r>
              <w:rPr>
                <w:rFonts w:eastAsia="等线"/>
                <w:sz w:val="18"/>
                <w:szCs w:val="18"/>
              </w:rPr>
              <w:t>Se</w:t>
            </w:r>
          </w:p>
        </w:tc>
        <w:tc>
          <w:tcPr>
            <w:tcW w:w="916" w:type="dxa"/>
            <w:vAlign w:val="center"/>
          </w:tcPr>
          <w:p>
            <w:pPr>
              <w:adjustRightInd w:val="0"/>
              <w:snapToGrid w:val="0"/>
              <w:spacing w:line="240" w:lineRule="auto"/>
              <w:jc w:val="center"/>
              <w:rPr>
                <w:sz w:val="18"/>
                <w:szCs w:val="18"/>
              </w:rPr>
            </w:pPr>
            <w:r>
              <w:rPr>
                <w:rFonts w:eastAsia="等线"/>
                <w:sz w:val="18"/>
                <w:szCs w:val="18"/>
              </w:rPr>
              <w:t>82</w:t>
            </w:r>
          </w:p>
        </w:tc>
        <w:tc>
          <w:tcPr>
            <w:tcW w:w="1745"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637" w:type="dxa"/>
            <w:vAlign w:val="center"/>
          </w:tcPr>
          <w:p>
            <w:pPr>
              <w:adjustRightInd w:val="0"/>
              <w:snapToGrid w:val="0"/>
              <w:spacing w:line="240" w:lineRule="auto"/>
              <w:jc w:val="center"/>
              <w:rPr>
                <w:sz w:val="18"/>
                <w:szCs w:val="18"/>
              </w:rPr>
            </w:pPr>
            <w:r>
              <w:rPr>
                <w:rFonts w:eastAsia="等线"/>
                <w:sz w:val="18"/>
                <w:szCs w:val="18"/>
              </w:rPr>
              <w:t>Tb</w:t>
            </w:r>
          </w:p>
        </w:tc>
        <w:tc>
          <w:tcPr>
            <w:tcW w:w="718" w:type="dxa"/>
            <w:vAlign w:val="center"/>
          </w:tcPr>
          <w:p>
            <w:pPr>
              <w:spacing w:line="240" w:lineRule="auto"/>
              <w:jc w:val="center"/>
              <w:rPr>
                <w:sz w:val="18"/>
                <w:szCs w:val="18"/>
              </w:rPr>
            </w:pPr>
            <w:r>
              <w:rPr>
                <w:rFonts w:eastAsia="等线"/>
                <w:sz w:val="18"/>
                <w:szCs w:val="18"/>
              </w:rPr>
              <w:t>159</w:t>
            </w:r>
          </w:p>
        </w:tc>
        <w:tc>
          <w:tcPr>
            <w:tcW w:w="2138" w:type="dxa"/>
            <w:vAlign w:val="center"/>
          </w:tcPr>
          <w:p>
            <w:pPr>
              <w:spacing w:line="240" w:lineRule="auto"/>
              <w:jc w:val="center"/>
              <w:rPr>
                <w:rFonts w:eastAsia="等线"/>
                <w:sz w:val="18"/>
                <w:szCs w:val="18"/>
              </w:rPr>
            </w:pPr>
            <w:r>
              <w:rPr>
                <w:rFonts w:hint="eastAsia" w:eastAsia="等线"/>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3" w:type="dxa"/>
            <w:vAlign w:val="center"/>
          </w:tcPr>
          <w:p>
            <w:pPr>
              <w:adjustRightInd w:val="0"/>
              <w:snapToGrid w:val="0"/>
              <w:spacing w:line="240" w:lineRule="auto"/>
              <w:jc w:val="center"/>
              <w:rPr>
                <w:sz w:val="18"/>
                <w:szCs w:val="18"/>
              </w:rPr>
            </w:pPr>
            <w:r>
              <w:rPr>
                <w:rFonts w:eastAsia="等线"/>
                <w:sz w:val="18"/>
                <w:szCs w:val="18"/>
              </w:rPr>
              <w:t>F</w:t>
            </w:r>
          </w:p>
        </w:tc>
        <w:tc>
          <w:tcPr>
            <w:tcW w:w="546" w:type="dxa"/>
            <w:vAlign w:val="center"/>
          </w:tcPr>
          <w:p>
            <w:pPr>
              <w:adjustRightInd w:val="0"/>
              <w:snapToGrid w:val="0"/>
              <w:spacing w:line="240" w:lineRule="auto"/>
              <w:jc w:val="center"/>
              <w:rPr>
                <w:sz w:val="18"/>
                <w:szCs w:val="18"/>
              </w:rPr>
            </w:pPr>
            <w:r>
              <w:rPr>
                <w:rFonts w:eastAsia="等线"/>
                <w:sz w:val="18"/>
                <w:szCs w:val="18"/>
              </w:rPr>
              <w:t>19</w:t>
            </w:r>
          </w:p>
        </w:tc>
        <w:tc>
          <w:tcPr>
            <w:tcW w:w="1590"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509" w:type="dxa"/>
            <w:vAlign w:val="center"/>
          </w:tcPr>
          <w:p>
            <w:pPr>
              <w:adjustRightInd w:val="0"/>
              <w:snapToGrid w:val="0"/>
              <w:spacing w:line="240" w:lineRule="auto"/>
              <w:jc w:val="center"/>
              <w:rPr>
                <w:sz w:val="18"/>
                <w:szCs w:val="18"/>
              </w:rPr>
            </w:pPr>
            <w:r>
              <w:rPr>
                <w:rFonts w:eastAsia="等线"/>
                <w:sz w:val="18"/>
                <w:szCs w:val="18"/>
              </w:rPr>
              <w:t>Rb</w:t>
            </w:r>
          </w:p>
        </w:tc>
        <w:tc>
          <w:tcPr>
            <w:tcW w:w="916" w:type="dxa"/>
            <w:vAlign w:val="center"/>
          </w:tcPr>
          <w:p>
            <w:pPr>
              <w:adjustRightInd w:val="0"/>
              <w:snapToGrid w:val="0"/>
              <w:spacing w:line="240" w:lineRule="auto"/>
              <w:jc w:val="center"/>
              <w:rPr>
                <w:sz w:val="18"/>
                <w:szCs w:val="18"/>
              </w:rPr>
            </w:pPr>
            <w:r>
              <w:rPr>
                <w:rFonts w:eastAsia="等线"/>
                <w:sz w:val="18"/>
                <w:szCs w:val="18"/>
              </w:rPr>
              <w:t>85</w:t>
            </w:r>
          </w:p>
        </w:tc>
        <w:tc>
          <w:tcPr>
            <w:tcW w:w="1745" w:type="dxa"/>
            <w:vAlign w:val="center"/>
          </w:tcPr>
          <w:p>
            <w:pPr>
              <w:adjustRightInd w:val="0"/>
              <w:snapToGrid w:val="0"/>
              <w:spacing w:line="240" w:lineRule="auto"/>
              <w:jc w:val="center"/>
              <w:rPr>
                <w:rFonts w:eastAsia="等线"/>
                <w:sz w:val="18"/>
                <w:szCs w:val="18"/>
              </w:rPr>
            </w:pPr>
            <w:r>
              <w:rPr>
                <w:rFonts w:hAnsi="宋体" w:eastAsia="宋体"/>
                <w:sz w:val="18"/>
                <w:szCs w:val="18"/>
              </w:rPr>
              <w:t>氧化钪</w:t>
            </w:r>
            <w:r>
              <w:rPr>
                <w:rFonts w:hint="eastAsia" w:hAnsi="宋体" w:eastAsia="宋体"/>
                <w:sz w:val="18"/>
                <w:szCs w:val="18"/>
                <w:vertAlign w:val="superscript"/>
              </w:rPr>
              <w:t>45</w:t>
            </w:r>
            <w:r>
              <w:rPr>
                <w:rFonts w:hint="eastAsia" w:hAnsi="宋体" w:eastAsia="宋体"/>
                <w:sz w:val="18"/>
                <w:szCs w:val="18"/>
              </w:rPr>
              <w:t>Sc</w:t>
            </w:r>
            <w:r>
              <w:rPr>
                <w:rFonts w:hint="eastAsia" w:hAnsi="宋体" w:eastAsia="宋体"/>
                <w:sz w:val="18"/>
                <w:szCs w:val="18"/>
                <w:vertAlign w:val="superscript"/>
              </w:rPr>
              <w:t>40</w:t>
            </w:r>
            <w:r>
              <w:rPr>
                <w:rFonts w:hint="eastAsia" w:hAnsi="宋体" w:eastAsia="宋体"/>
                <w:sz w:val="18"/>
                <w:szCs w:val="18"/>
              </w:rPr>
              <w:t>Ar干扰，选</w:t>
            </w:r>
            <w:r>
              <w:rPr>
                <w:rFonts w:eastAsia="宋体"/>
                <w:sz w:val="18"/>
                <w:szCs w:val="18"/>
                <w:vertAlign w:val="superscript"/>
              </w:rPr>
              <w:t>87</w:t>
            </w:r>
            <w:r>
              <w:rPr>
                <w:rFonts w:eastAsia="等线"/>
                <w:sz w:val="18"/>
                <w:szCs w:val="18"/>
              </w:rPr>
              <w:t>Rb</w:t>
            </w:r>
          </w:p>
        </w:tc>
        <w:tc>
          <w:tcPr>
            <w:tcW w:w="637" w:type="dxa"/>
            <w:vAlign w:val="center"/>
          </w:tcPr>
          <w:p>
            <w:pPr>
              <w:adjustRightInd w:val="0"/>
              <w:snapToGrid w:val="0"/>
              <w:spacing w:line="240" w:lineRule="auto"/>
              <w:jc w:val="center"/>
              <w:rPr>
                <w:sz w:val="18"/>
                <w:szCs w:val="18"/>
              </w:rPr>
            </w:pPr>
            <w:r>
              <w:rPr>
                <w:rFonts w:eastAsia="等线"/>
                <w:sz w:val="18"/>
                <w:szCs w:val="18"/>
              </w:rPr>
              <w:t>Dy</w:t>
            </w:r>
          </w:p>
        </w:tc>
        <w:tc>
          <w:tcPr>
            <w:tcW w:w="718" w:type="dxa"/>
            <w:vAlign w:val="center"/>
          </w:tcPr>
          <w:p>
            <w:pPr>
              <w:spacing w:line="240" w:lineRule="auto"/>
              <w:jc w:val="center"/>
              <w:rPr>
                <w:sz w:val="18"/>
                <w:szCs w:val="18"/>
              </w:rPr>
            </w:pPr>
            <w:r>
              <w:rPr>
                <w:rFonts w:eastAsia="等线"/>
                <w:sz w:val="18"/>
                <w:szCs w:val="18"/>
              </w:rPr>
              <w:t>163</w:t>
            </w:r>
          </w:p>
        </w:tc>
        <w:tc>
          <w:tcPr>
            <w:tcW w:w="2138" w:type="dxa"/>
            <w:vAlign w:val="center"/>
          </w:tcPr>
          <w:p>
            <w:pPr>
              <w:spacing w:line="240" w:lineRule="auto"/>
              <w:jc w:val="center"/>
              <w:rPr>
                <w:rFonts w:eastAsia="等线"/>
                <w:sz w:val="18"/>
                <w:szCs w:val="18"/>
              </w:rPr>
            </w:pPr>
            <w:r>
              <w:rPr>
                <w:rFonts w:hAnsi="宋体" w:eastAsia="宋体"/>
                <w:sz w:val="18"/>
                <w:szCs w:val="18"/>
              </w:rPr>
              <w:t>氧化铒</w:t>
            </w:r>
            <w:r>
              <w:rPr>
                <w:rFonts w:eastAsia="宋体"/>
                <w:sz w:val="18"/>
                <w:szCs w:val="18"/>
                <w:vertAlign w:val="superscript"/>
              </w:rPr>
              <w:t>162</w:t>
            </w:r>
            <w:r>
              <w:rPr>
                <w:rFonts w:eastAsia="宋体"/>
                <w:sz w:val="18"/>
                <w:szCs w:val="18"/>
              </w:rPr>
              <w:t>Er</w:t>
            </w:r>
            <w:r>
              <w:rPr>
                <w:rFonts w:eastAsia="宋体"/>
                <w:sz w:val="18"/>
                <w:szCs w:val="18"/>
                <w:vertAlign w:val="superscript"/>
              </w:rPr>
              <w:t>1</w:t>
            </w:r>
            <w:r>
              <w:rPr>
                <w:rFonts w:eastAsia="宋体"/>
                <w:sz w:val="18"/>
                <w:szCs w:val="18"/>
              </w:rPr>
              <w:t>H</w:t>
            </w:r>
            <w:r>
              <w:rPr>
                <w:rFonts w:hAnsi="宋体" w:eastAsia="宋体"/>
                <w:sz w:val="18"/>
                <w:szCs w:val="18"/>
              </w:rPr>
              <w:t>干扰，选</w:t>
            </w:r>
            <w:r>
              <w:rPr>
                <w:rFonts w:eastAsia="宋体"/>
                <w:sz w:val="18"/>
                <w:szCs w:val="18"/>
                <w:vertAlign w:val="superscript"/>
              </w:rPr>
              <w:t>161</w:t>
            </w:r>
            <w:r>
              <w:rPr>
                <w:rFonts w:eastAsia="等线"/>
                <w:sz w:val="18"/>
                <w:szCs w:val="18"/>
              </w:rPr>
              <w:t>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3" w:type="dxa"/>
            <w:vAlign w:val="center"/>
          </w:tcPr>
          <w:p>
            <w:pPr>
              <w:adjustRightInd w:val="0"/>
              <w:snapToGrid w:val="0"/>
              <w:spacing w:line="240" w:lineRule="auto"/>
              <w:jc w:val="center"/>
              <w:rPr>
                <w:sz w:val="18"/>
                <w:szCs w:val="18"/>
              </w:rPr>
            </w:pPr>
            <w:r>
              <w:rPr>
                <w:rFonts w:eastAsia="等线"/>
                <w:sz w:val="18"/>
                <w:szCs w:val="18"/>
              </w:rPr>
              <w:t>Na</w:t>
            </w:r>
          </w:p>
        </w:tc>
        <w:tc>
          <w:tcPr>
            <w:tcW w:w="546" w:type="dxa"/>
            <w:vAlign w:val="center"/>
          </w:tcPr>
          <w:p>
            <w:pPr>
              <w:adjustRightInd w:val="0"/>
              <w:snapToGrid w:val="0"/>
              <w:spacing w:line="240" w:lineRule="auto"/>
              <w:jc w:val="center"/>
              <w:rPr>
                <w:sz w:val="18"/>
                <w:szCs w:val="18"/>
              </w:rPr>
            </w:pPr>
            <w:r>
              <w:rPr>
                <w:rFonts w:eastAsia="等线"/>
                <w:sz w:val="18"/>
                <w:szCs w:val="18"/>
              </w:rPr>
              <w:t>23</w:t>
            </w:r>
          </w:p>
        </w:tc>
        <w:tc>
          <w:tcPr>
            <w:tcW w:w="1590"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509" w:type="dxa"/>
            <w:vAlign w:val="center"/>
          </w:tcPr>
          <w:p>
            <w:pPr>
              <w:adjustRightInd w:val="0"/>
              <w:snapToGrid w:val="0"/>
              <w:spacing w:line="240" w:lineRule="auto"/>
              <w:jc w:val="center"/>
              <w:rPr>
                <w:sz w:val="18"/>
                <w:szCs w:val="18"/>
              </w:rPr>
            </w:pPr>
            <w:r>
              <w:rPr>
                <w:rFonts w:eastAsia="等线"/>
                <w:sz w:val="18"/>
                <w:szCs w:val="18"/>
              </w:rPr>
              <w:t>Sr</w:t>
            </w:r>
          </w:p>
        </w:tc>
        <w:tc>
          <w:tcPr>
            <w:tcW w:w="916" w:type="dxa"/>
            <w:vAlign w:val="center"/>
          </w:tcPr>
          <w:p>
            <w:pPr>
              <w:adjustRightInd w:val="0"/>
              <w:snapToGrid w:val="0"/>
              <w:spacing w:line="240" w:lineRule="auto"/>
              <w:jc w:val="center"/>
              <w:rPr>
                <w:sz w:val="18"/>
                <w:szCs w:val="18"/>
              </w:rPr>
            </w:pPr>
            <w:r>
              <w:rPr>
                <w:rFonts w:eastAsia="等线"/>
                <w:sz w:val="18"/>
                <w:szCs w:val="18"/>
              </w:rPr>
              <w:t>88</w:t>
            </w:r>
          </w:p>
        </w:tc>
        <w:tc>
          <w:tcPr>
            <w:tcW w:w="1745"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637" w:type="dxa"/>
            <w:vAlign w:val="center"/>
          </w:tcPr>
          <w:p>
            <w:pPr>
              <w:adjustRightInd w:val="0"/>
              <w:snapToGrid w:val="0"/>
              <w:spacing w:line="240" w:lineRule="auto"/>
              <w:jc w:val="center"/>
              <w:rPr>
                <w:sz w:val="18"/>
                <w:szCs w:val="18"/>
              </w:rPr>
            </w:pPr>
            <w:r>
              <w:rPr>
                <w:rFonts w:eastAsia="等线"/>
                <w:sz w:val="18"/>
                <w:szCs w:val="18"/>
              </w:rPr>
              <w:t>Ho</w:t>
            </w:r>
          </w:p>
        </w:tc>
        <w:tc>
          <w:tcPr>
            <w:tcW w:w="718" w:type="dxa"/>
            <w:vAlign w:val="center"/>
          </w:tcPr>
          <w:p>
            <w:pPr>
              <w:spacing w:line="240" w:lineRule="auto"/>
              <w:jc w:val="center"/>
              <w:rPr>
                <w:sz w:val="18"/>
                <w:szCs w:val="18"/>
              </w:rPr>
            </w:pPr>
            <w:r>
              <w:rPr>
                <w:rFonts w:eastAsia="等线"/>
                <w:sz w:val="18"/>
                <w:szCs w:val="18"/>
              </w:rPr>
              <w:t>165</w:t>
            </w:r>
          </w:p>
        </w:tc>
        <w:tc>
          <w:tcPr>
            <w:tcW w:w="2138" w:type="dxa"/>
            <w:vAlign w:val="center"/>
          </w:tcPr>
          <w:p>
            <w:pPr>
              <w:spacing w:line="240" w:lineRule="auto"/>
              <w:jc w:val="center"/>
              <w:rPr>
                <w:rFonts w:eastAsia="等线"/>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3" w:type="dxa"/>
            <w:vAlign w:val="center"/>
          </w:tcPr>
          <w:p>
            <w:pPr>
              <w:adjustRightInd w:val="0"/>
              <w:snapToGrid w:val="0"/>
              <w:spacing w:line="240" w:lineRule="auto"/>
              <w:jc w:val="center"/>
              <w:rPr>
                <w:sz w:val="18"/>
                <w:szCs w:val="18"/>
              </w:rPr>
            </w:pPr>
            <w:r>
              <w:rPr>
                <w:rFonts w:eastAsia="等线"/>
                <w:sz w:val="18"/>
                <w:szCs w:val="18"/>
              </w:rPr>
              <w:t>Mg</w:t>
            </w:r>
          </w:p>
        </w:tc>
        <w:tc>
          <w:tcPr>
            <w:tcW w:w="546" w:type="dxa"/>
            <w:vAlign w:val="center"/>
          </w:tcPr>
          <w:p>
            <w:pPr>
              <w:adjustRightInd w:val="0"/>
              <w:snapToGrid w:val="0"/>
              <w:spacing w:line="240" w:lineRule="auto"/>
              <w:jc w:val="center"/>
              <w:rPr>
                <w:sz w:val="18"/>
                <w:szCs w:val="18"/>
              </w:rPr>
            </w:pPr>
            <w:r>
              <w:rPr>
                <w:rFonts w:eastAsia="等线"/>
                <w:sz w:val="18"/>
                <w:szCs w:val="18"/>
              </w:rPr>
              <w:t>24</w:t>
            </w:r>
          </w:p>
        </w:tc>
        <w:tc>
          <w:tcPr>
            <w:tcW w:w="1590"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509" w:type="dxa"/>
            <w:vAlign w:val="center"/>
          </w:tcPr>
          <w:p>
            <w:pPr>
              <w:adjustRightInd w:val="0"/>
              <w:snapToGrid w:val="0"/>
              <w:spacing w:line="240" w:lineRule="auto"/>
              <w:jc w:val="center"/>
              <w:rPr>
                <w:sz w:val="18"/>
                <w:szCs w:val="18"/>
              </w:rPr>
            </w:pPr>
            <w:r>
              <w:rPr>
                <w:rFonts w:eastAsia="等线"/>
                <w:sz w:val="18"/>
                <w:szCs w:val="18"/>
              </w:rPr>
              <w:t>Y</w:t>
            </w:r>
          </w:p>
        </w:tc>
        <w:tc>
          <w:tcPr>
            <w:tcW w:w="916" w:type="dxa"/>
            <w:vAlign w:val="center"/>
          </w:tcPr>
          <w:p>
            <w:pPr>
              <w:adjustRightInd w:val="0"/>
              <w:snapToGrid w:val="0"/>
              <w:spacing w:line="240" w:lineRule="auto"/>
              <w:jc w:val="center"/>
              <w:rPr>
                <w:sz w:val="18"/>
                <w:szCs w:val="18"/>
              </w:rPr>
            </w:pPr>
            <w:r>
              <w:rPr>
                <w:rFonts w:eastAsia="等线"/>
                <w:sz w:val="18"/>
                <w:szCs w:val="18"/>
              </w:rPr>
              <w:t>89</w:t>
            </w:r>
          </w:p>
        </w:tc>
        <w:tc>
          <w:tcPr>
            <w:tcW w:w="1745"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637" w:type="dxa"/>
            <w:vAlign w:val="center"/>
          </w:tcPr>
          <w:p>
            <w:pPr>
              <w:adjustRightInd w:val="0"/>
              <w:snapToGrid w:val="0"/>
              <w:spacing w:line="240" w:lineRule="auto"/>
              <w:jc w:val="center"/>
              <w:rPr>
                <w:sz w:val="18"/>
                <w:szCs w:val="18"/>
              </w:rPr>
            </w:pPr>
            <w:r>
              <w:rPr>
                <w:rFonts w:eastAsia="等线"/>
                <w:sz w:val="18"/>
                <w:szCs w:val="18"/>
              </w:rPr>
              <w:t>Er</w:t>
            </w:r>
          </w:p>
        </w:tc>
        <w:tc>
          <w:tcPr>
            <w:tcW w:w="718" w:type="dxa"/>
            <w:vAlign w:val="center"/>
          </w:tcPr>
          <w:p>
            <w:pPr>
              <w:spacing w:line="240" w:lineRule="auto"/>
              <w:jc w:val="center"/>
              <w:rPr>
                <w:sz w:val="18"/>
                <w:szCs w:val="18"/>
              </w:rPr>
            </w:pPr>
            <w:r>
              <w:rPr>
                <w:rFonts w:eastAsia="等线"/>
                <w:sz w:val="18"/>
                <w:szCs w:val="18"/>
              </w:rPr>
              <w:t>166</w:t>
            </w:r>
          </w:p>
        </w:tc>
        <w:tc>
          <w:tcPr>
            <w:tcW w:w="2138" w:type="dxa"/>
            <w:vAlign w:val="center"/>
          </w:tcPr>
          <w:p>
            <w:pPr>
              <w:spacing w:line="240" w:lineRule="auto"/>
              <w:jc w:val="center"/>
              <w:rPr>
                <w:rFonts w:eastAsia="等线"/>
                <w:sz w:val="18"/>
                <w:szCs w:val="18"/>
              </w:rPr>
            </w:pPr>
            <w:r>
              <w:rPr>
                <w:rFonts w:hAnsi="宋体" w:eastAsia="宋体"/>
                <w:sz w:val="18"/>
                <w:szCs w:val="18"/>
              </w:rPr>
              <w:t>氧化钕</w:t>
            </w:r>
            <w:r>
              <w:rPr>
                <w:rFonts w:eastAsia="宋体"/>
                <w:sz w:val="18"/>
                <w:szCs w:val="18"/>
              </w:rPr>
              <w:t xml:space="preserve"> </w:t>
            </w:r>
            <w:r>
              <w:rPr>
                <w:rFonts w:eastAsia="宋体"/>
                <w:sz w:val="18"/>
                <w:szCs w:val="18"/>
                <w:vertAlign w:val="superscript"/>
              </w:rPr>
              <w:t>150</w:t>
            </w:r>
            <w:r>
              <w:rPr>
                <w:rFonts w:eastAsia="宋体"/>
                <w:sz w:val="18"/>
                <w:szCs w:val="18"/>
              </w:rPr>
              <w:t>Nd</w:t>
            </w:r>
            <w:r>
              <w:rPr>
                <w:rFonts w:eastAsia="宋体"/>
                <w:sz w:val="18"/>
                <w:szCs w:val="18"/>
                <w:vertAlign w:val="superscript"/>
              </w:rPr>
              <w:t>16</w:t>
            </w:r>
            <w:r>
              <w:rPr>
                <w:rFonts w:eastAsia="宋体"/>
                <w:sz w:val="18"/>
                <w:szCs w:val="18"/>
              </w:rPr>
              <w:t>O</w:t>
            </w:r>
            <w:r>
              <w:rPr>
                <w:rFonts w:hAnsi="宋体" w:eastAsia="宋体"/>
                <w:sz w:val="18"/>
                <w:szCs w:val="18"/>
              </w:rPr>
              <w:t>干扰，选</w:t>
            </w:r>
            <w:r>
              <w:rPr>
                <w:rFonts w:eastAsia="宋体"/>
                <w:sz w:val="18"/>
                <w:szCs w:val="18"/>
                <w:vertAlign w:val="superscript"/>
              </w:rPr>
              <w:t>170</w:t>
            </w:r>
            <w:r>
              <w:rPr>
                <w:rFonts w:eastAsia="宋体"/>
                <w:sz w:val="18"/>
                <w:szCs w:val="18"/>
              </w:rPr>
              <w: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43" w:type="dxa"/>
            <w:vAlign w:val="center"/>
          </w:tcPr>
          <w:p>
            <w:pPr>
              <w:adjustRightInd w:val="0"/>
              <w:snapToGrid w:val="0"/>
              <w:spacing w:line="240" w:lineRule="auto"/>
              <w:jc w:val="center"/>
              <w:rPr>
                <w:sz w:val="18"/>
                <w:szCs w:val="18"/>
              </w:rPr>
            </w:pPr>
            <w:r>
              <w:rPr>
                <w:rFonts w:eastAsia="等线"/>
                <w:sz w:val="18"/>
                <w:szCs w:val="18"/>
              </w:rPr>
              <w:t>Al</w:t>
            </w:r>
          </w:p>
        </w:tc>
        <w:tc>
          <w:tcPr>
            <w:tcW w:w="546" w:type="dxa"/>
            <w:vAlign w:val="center"/>
          </w:tcPr>
          <w:p>
            <w:pPr>
              <w:adjustRightInd w:val="0"/>
              <w:snapToGrid w:val="0"/>
              <w:spacing w:line="240" w:lineRule="auto"/>
              <w:jc w:val="center"/>
              <w:rPr>
                <w:sz w:val="18"/>
                <w:szCs w:val="18"/>
              </w:rPr>
            </w:pPr>
            <w:r>
              <w:rPr>
                <w:rFonts w:eastAsia="等线"/>
                <w:sz w:val="18"/>
                <w:szCs w:val="18"/>
              </w:rPr>
              <w:t>27</w:t>
            </w:r>
          </w:p>
        </w:tc>
        <w:tc>
          <w:tcPr>
            <w:tcW w:w="1590"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509" w:type="dxa"/>
            <w:vAlign w:val="center"/>
          </w:tcPr>
          <w:p>
            <w:pPr>
              <w:adjustRightInd w:val="0"/>
              <w:snapToGrid w:val="0"/>
              <w:spacing w:line="240" w:lineRule="auto"/>
              <w:jc w:val="center"/>
              <w:rPr>
                <w:sz w:val="18"/>
                <w:szCs w:val="18"/>
              </w:rPr>
            </w:pPr>
            <w:r>
              <w:rPr>
                <w:rFonts w:eastAsia="等线"/>
                <w:sz w:val="18"/>
                <w:szCs w:val="18"/>
              </w:rPr>
              <w:t>Zr</w:t>
            </w:r>
          </w:p>
        </w:tc>
        <w:tc>
          <w:tcPr>
            <w:tcW w:w="916" w:type="dxa"/>
            <w:vAlign w:val="center"/>
          </w:tcPr>
          <w:p>
            <w:pPr>
              <w:adjustRightInd w:val="0"/>
              <w:snapToGrid w:val="0"/>
              <w:spacing w:line="240" w:lineRule="auto"/>
              <w:jc w:val="center"/>
              <w:rPr>
                <w:sz w:val="18"/>
                <w:szCs w:val="18"/>
              </w:rPr>
            </w:pPr>
            <w:r>
              <w:rPr>
                <w:rFonts w:eastAsia="等线"/>
                <w:sz w:val="18"/>
                <w:szCs w:val="18"/>
              </w:rPr>
              <w:t>90</w:t>
            </w:r>
          </w:p>
        </w:tc>
        <w:tc>
          <w:tcPr>
            <w:tcW w:w="1745" w:type="dxa"/>
            <w:vAlign w:val="center"/>
          </w:tcPr>
          <w:p>
            <w:pPr>
              <w:adjustRightInd w:val="0"/>
              <w:snapToGrid w:val="0"/>
              <w:spacing w:line="240" w:lineRule="auto"/>
              <w:jc w:val="center"/>
              <w:rPr>
                <w:rFonts w:eastAsia="等线"/>
                <w:sz w:val="18"/>
                <w:szCs w:val="18"/>
              </w:rPr>
            </w:pPr>
            <w:r>
              <w:rPr>
                <w:rFonts w:hAnsi="宋体" w:eastAsia="宋体"/>
                <w:sz w:val="18"/>
                <w:szCs w:val="18"/>
              </w:rPr>
              <w:t>氧化钇</w:t>
            </w:r>
            <w:r>
              <w:rPr>
                <w:rFonts w:eastAsia="宋体"/>
                <w:sz w:val="18"/>
                <w:szCs w:val="18"/>
                <w:vertAlign w:val="superscript"/>
              </w:rPr>
              <w:t>89</w:t>
            </w:r>
            <w:r>
              <w:rPr>
                <w:rFonts w:eastAsia="宋体"/>
                <w:sz w:val="18"/>
                <w:szCs w:val="18"/>
              </w:rPr>
              <w:t>Y</w:t>
            </w:r>
            <w:r>
              <w:rPr>
                <w:rFonts w:eastAsia="宋体"/>
                <w:sz w:val="18"/>
                <w:szCs w:val="18"/>
                <w:vertAlign w:val="superscript"/>
              </w:rPr>
              <w:t>1</w:t>
            </w:r>
            <w:r>
              <w:rPr>
                <w:rFonts w:eastAsia="宋体"/>
                <w:sz w:val="18"/>
                <w:szCs w:val="18"/>
              </w:rPr>
              <w:t>H</w:t>
            </w:r>
            <w:r>
              <w:rPr>
                <w:rFonts w:hint="eastAsia" w:eastAsia="宋体"/>
                <w:sz w:val="18"/>
                <w:szCs w:val="18"/>
              </w:rPr>
              <w:t>干扰</w:t>
            </w:r>
            <w:r>
              <w:rPr>
                <w:rFonts w:hint="eastAsia" w:hAnsi="宋体" w:eastAsia="宋体"/>
                <w:sz w:val="18"/>
                <w:szCs w:val="18"/>
              </w:rPr>
              <w:t>，</w:t>
            </w:r>
            <w:r>
              <w:rPr>
                <w:rFonts w:hAnsi="宋体" w:eastAsia="宋体"/>
                <w:sz w:val="18"/>
                <w:szCs w:val="18"/>
              </w:rPr>
              <w:t>氧化钪</w:t>
            </w:r>
            <w:r>
              <w:rPr>
                <w:rFonts w:eastAsia="宋体"/>
                <w:sz w:val="18"/>
                <w:szCs w:val="18"/>
                <w:vertAlign w:val="superscript"/>
              </w:rPr>
              <w:t>45</w:t>
            </w:r>
            <w:r>
              <w:rPr>
                <w:rFonts w:eastAsia="宋体"/>
                <w:sz w:val="18"/>
                <w:szCs w:val="18"/>
              </w:rPr>
              <w:t>Sc</w:t>
            </w:r>
            <w:r>
              <w:rPr>
                <w:rFonts w:eastAsia="宋体"/>
                <w:sz w:val="18"/>
                <w:szCs w:val="18"/>
                <w:vertAlign w:val="superscript"/>
              </w:rPr>
              <w:t>45</w:t>
            </w:r>
            <w:r>
              <w:rPr>
                <w:rFonts w:eastAsia="宋体"/>
                <w:sz w:val="18"/>
                <w:szCs w:val="18"/>
              </w:rPr>
              <w:t>Sc</w:t>
            </w:r>
            <w:r>
              <w:rPr>
                <w:rFonts w:hAnsi="宋体" w:eastAsia="宋体"/>
                <w:sz w:val="18"/>
                <w:szCs w:val="18"/>
              </w:rPr>
              <w:t>干扰，选</w:t>
            </w:r>
            <w:r>
              <w:rPr>
                <w:rFonts w:eastAsia="宋体"/>
                <w:sz w:val="18"/>
                <w:szCs w:val="18"/>
                <w:vertAlign w:val="superscript"/>
              </w:rPr>
              <w:t>91</w:t>
            </w:r>
            <w:r>
              <w:rPr>
                <w:rFonts w:eastAsia="宋体"/>
                <w:sz w:val="18"/>
                <w:szCs w:val="18"/>
              </w:rPr>
              <w:t>Zr</w:t>
            </w:r>
          </w:p>
        </w:tc>
        <w:tc>
          <w:tcPr>
            <w:tcW w:w="637" w:type="dxa"/>
            <w:vAlign w:val="center"/>
          </w:tcPr>
          <w:p>
            <w:pPr>
              <w:adjustRightInd w:val="0"/>
              <w:snapToGrid w:val="0"/>
              <w:spacing w:line="240" w:lineRule="auto"/>
              <w:jc w:val="center"/>
              <w:rPr>
                <w:sz w:val="18"/>
                <w:szCs w:val="18"/>
              </w:rPr>
            </w:pPr>
            <w:r>
              <w:rPr>
                <w:rFonts w:eastAsia="等线"/>
                <w:sz w:val="18"/>
                <w:szCs w:val="18"/>
              </w:rPr>
              <w:t>Tm</w:t>
            </w:r>
          </w:p>
        </w:tc>
        <w:tc>
          <w:tcPr>
            <w:tcW w:w="718" w:type="dxa"/>
            <w:vAlign w:val="center"/>
          </w:tcPr>
          <w:p>
            <w:pPr>
              <w:spacing w:line="240" w:lineRule="auto"/>
              <w:jc w:val="center"/>
              <w:rPr>
                <w:sz w:val="18"/>
                <w:szCs w:val="18"/>
              </w:rPr>
            </w:pPr>
            <w:r>
              <w:rPr>
                <w:rFonts w:eastAsia="等线"/>
                <w:sz w:val="18"/>
                <w:szCs w:val="18"/>
              </w:rPr>
              <w:t>169</w:t>
            </w:r>
          </w:p>
        </w:tc>
        <w:tc>
          <w:tcPr>
            <w:tcW w:w="2138" w:type="dxa"/>
            <w:vAlign w:val="center"/>
          </w:tcPr>
          <w:p>
            <w:pPr>
              <w:spacing w:line="240" w:lineRule="auto"/>
              <w:jc w:val="center"/>
              <w:rPr>
                <w:rFonts w:eastAsia="等线"/>
                <w:sz w:val="18"/>
                <w:szCs w:val="18"/>
              </w:rPr>
            </w:pPr>
            <w:r>
              <w:rPr>
                <w:rFonts w:hint="eastAsia" w:eastAsia="等线"/>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3" w:type="dxa"/>
            <w:vAlign w:val="center"/>
          </w:tcPr>
          <w:p>
            <w:pPr>
              <w:adjustRightInd w:val="0"/>
              <w:snapToGrid w:val="0"/>
              <w:spacing w:line="240" w:lineRule="auto"/>
              <w:jc w:val="center"/>
              <w:rPr>
                <w:sz w:val="18"/>
                <w:szCs w:val="18"/>
              </w:rPr>
            </w:pPr>
            <w:r>
              <w:rPr>
                <w:rFonts w:eastAsia="等线"/>
                <w:sz w:val="18"/>
                <w:szCs w:val="18"/>
              </w:rPr>
              <w:t>Si</w:t>
            </w:r>
          </w:p>
        </w:tc>
        <w:tc>
          <w:tcPr>
            <w:tcW w:w="546" w:type="dxa"/>
            <w:vAlign w:val="center"/>
          </w:tcPr>
          <w:p>
            <w:pPr>
              <w:adjustRightInd w:val="0"/>
              <w:snapToGrid w:val="0"/>
              <w:spacing w:line="240" w:lineRule="auto"/>
              <w:jc w:val="center"/>
              <w:rPr>
                <w:sz w:val="18"/>
                <w:szCs w:val="18"/>
              </w:rPr>
            </w:pPr>
            <w:r>
              <w:rPr>
                <w:rFonts w:eastAsia="等线"/>
                <w:sz w:val="18"/>
                <w:szCs w:val="18"/>
              </w:rPr>
              <w:t>28</w:t>
            </w:r>
          </w:p>
        </w:tc>
        <w:tc>
          <w:tcPr>
            <w:tcW w:w="1590"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509" w:type="dxa"/>
            <w:vAlign w:val="center"/>
          </w:tcPr>
          <w:p>
            <w:pPr>
              <w:adjustRightInd w:val="0"/>
              <w:snapToGrid w:val="0"/>
              <w:spacing w:line="240" w:lineRule="auto"/>
              <w:jc w:val="center"/>
              <w:rPr>
                <w:sz w:val="18"/>
                <w:szCs w:val="18"/>
              </w:rPr>
            </w:pPr>
            <w:r>
              <w:rPr>
                <w:rFonts w:eastAsia="等线"/>
                <w:sz w:val="18"/>
                <w:szCs w:val="18"/>
              </w:rPr>
              <w:t>Nb</w:t>
            </w:r>
          </w:p>
        </w:tc>
        <w:tc>
          <w:tcPr>
            <w:tcW w:w="916" w:type="dxa"/>
            <w:vAlign w:val="center"/>
          </w:tcPr>
          <w:p>
            <w:pPr>
              <w:adjustRightInd w:val="0"/>
              <w:snapToGrid w:val="0"/>
              <w:spacing w:line="240" w:lineRule="auto"/>
              <w:jc w:val="center"/>
              <w:rPr>
                <w:sz w:val="18"/>
                <w:szCs w:val="18"/>
              </w:rPr>
            </w:pPr>
            <w:r>
              <w:rPr>
                <w:rFonts w:eastAsia="等线"/>
                <w:sz w:val="18"/>
                <w:szCs w:val="18"/>
              </w:rPr>
              <w:t>93</w:t>
            </w:r>
          </w:p>
        </w:tc>
        <w:tc>
          <w:tcPr>
            <w:tcW w:w="1745"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637" w:type="dxa"/>
            <w:vAlign w:val="center"/>
          </w:tcPr>
          <w:p>
            <w:pPr>
              <w:adjustRightInd w:val="0"/>
              <w:snapToGrid w:val="0"/>
              <w:spacing w:line="240" w:lineRule="auto"/>
              <w:jc w:val="center"/>
              <w:rPr>
                <w:sz w:val="18"/>
                <w:szCs w:val="18"/>
              </w:rPr>
            </w:pPr>
            <w:r>
              <w:rPr>
                <w:rFonts w:eastAsia="等线"/>
                <w:sz w:val="18"/>
                <w:szCs w:val="18"/>
              </w:rPr>
              <w:t>Yb</w:t>
            </w:r>
          </w:p>
        </w:tc>
        <w:tc>
          <w:tcPr>
            <w:tcW w:w="718" w:type="dxa"/>
            <w:vAlign w:val="center"/>
          </w:tcPr>
          <w:p>
            <w:pPr>
              <w:spacing w:line="240" w:lineRule="auto"/>
              <w:jc w:val="center"/>
              <w:rPr>
                <w:sz w:val="18"/>
                <w:szCs w:val="18"/>
              </w:rPr>
            </w:pPr>
            <w:r>
              <w:rPr>
                <w:rFonts w:eastAsia="等线"/>
                <w:sz w:val="18"/>
                <w:szCs w:val="18"/>
              </w:rPr>
              <w:t>174</w:t>
            </w:r>
          </w:p>
        </w:tc>
        <w:tc>
          <w:tcPr>
            <w:tcW w:w="2138" w:type="dxa"/>
            <w:vAlign w:val="center"/>
          </w:tcPr>
          <w:p>
            <w:pPr>
              <w:spacing w:line="240" w:lineRule="auto"/>
              <w:jc w:val="center"/>
              <w:rPr>
                <w:rFonts w:eastAsia="等线"/>
                <w:sz w:val="18"/>
                <w:szCs w:val="18"/>
              </w:rPr>
            </w:pPr>
            <w:r>
              <w:rPr>
                <w:rFonts w:hAnsi="宋体" w:eastAsia="宋体"/>
                <w:sz w:val="18"/>
                <w:szCs w:val="18"/>
              </w:rPr>
              <w:t>氧化镝</w:t>
            </w:r>
            <w:r>
              <w:rPr>
                <w:rFonts w:eastAsia="宋体"/>
                <w:sz w:val="18"/>
                <w:szCs w:val="18"/>
                <w:vertAlign w:val="superscript"/>
              </w:rPr>
              <w:t>158</w:t>
            </w:r>
            <w:r>
              <w:rPr>
                <w:rFonts w:eastAsia="等线"/>
                <w:sz w:val="18"/>
                <w:szCs w:val="18"/>
              </w:rPr>
              <w:t>Dy</w:t>
            </w:r>
            <w:r>
              <w:rPr>
                <w:rFonts w:eastAsia="宋体"/>
                <w:sz w:val="18"/>
                <w:szCs w:val="18"/>
                <w:vertAlign w:val="superscript"/>
              </w:rPr>
              <w:t>16</w:t>
            </w:r>
            <w:r>
              <w:rPr>
                <w:rFonts w:eastAsia="宋体"/>
                <w:sz w:val="18"/>
                <w:szCs w:val="18"/>
              </w:rPr>
              <w:t>O</w:t>
            </w:r>
            <w:r>
              <w:rPr>
                <w:rFonts w:hAnsi="宋体" w:eastAsia="宋体"/>
                <w:sz w:val="18"/>
                <w:szCs w:val="18"/>
              </w:rPr>
              <w:t>干扰，选</w:t>
            </w:r>
            <w:r>
              <w:rPr>
                <w:rFonts w:eastAsia="宋体"/>
                <w:sz w:val="18"/>
                <w:szCs w:val="18"/>
                <w:vertAlign w:val="superscript"/>
              </w:rPr>
              <w:t>171</w:t>
            </w:r>
            <w:r>
              <w:rPr>
                <w:rFonts w:eastAsia="宋体"/>
                <w:sz w:val="18"/>
                <w:szCs w:val="18"/>
              </w:rPr>
              <w:t>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3" w:type="dxa"/>
            <w:vAlign w:val="center"/>
          </w:tcPr>
          <w:p>
            <w:pPr>
              <w:adjustRightInd w:val="0"/>
              <w:snapToGrid w:val="0"/>
              <w:spacing w:line="240" w:lineRule="auto"/>
              <w:jc w:val="center"/>
              <w:rPr>
                <w:sz w:val="18"/>
                <w:szCs w:val="18"/>
              </w:rPr>
            </w:pPr>
            <w:r>
              <w:rPr>
                <w:rFonts w:eastAsia="等线"/>
                <w:sz w:val="18"/>
                <w:szCs w:val="18"/>
              </w:rPr>
              <w:t>P</w:t>
            </w:r>
          </w:p>
        </w:tc>
        <w:tc>
          <w:tcPr>
            <w:tcW w:w="546" w:type="dxa"/>
            <w:vAlign w:val="center"/>
          </w:tcPr>
          <w:p>
            <w:pPr>
              <w:adjustRightInd w:val="0"/>
              <w:snapToGrid w:val="0"/>
              <w:spacing w:line="240" w:lineRule="auto"/>
              <w:jc w:val="center"/>
              <w:rPr>
                <w:sz w:val="18"/>
                <w:szCs w:val="18"/>
              </w:rPr>
            </w:pPr>
            <w:r>
              <w:rPr>
                <w:rFonts w:eastAsia="等线"/>
                <w:sz w:val="18"/>
                <w:szCs w:val="18"/>
              </w:rPr>
              <w:t>31</w:t>
            </w:r>
          </w:p>
        </w:tc>
        <w:tc>
          <w:tcPr>
            <w:tcW w:w="1590"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509" w:type="dxa"/>
            <w:vAlign w:val="center"/>
          </w:tcPr>
          <w:p>
            <w:pPr>
              <w:adjustRightInd w:val="0"/>
              <w:snapToGrid w:val="0"/>
              <w:spacing w:line="240" w:lineRule="auto"/>
              <w:jc w:val="center"/>
              <w:rPr>
                <w:sz w:val="18"/>
                <w:szCs w:val="18"/>
              </w:rPr>
            </w:pPr>
            <w:r>
              <w:rPr>
                <w:rFonts w:eastAsia="等线"/>
                <w:sz w:val="18"/>
                <w:szCs w:val="18"/>
              </w:rPr>
              <w:t>Mo</w:t>
            </w:r>
          </w:p>
        </w:tc>
        <w:tc>
          <w:tcPr>
            <w:tcW w:w="916" w:type="dxa"/>
            <w:vAlign w:val="center"/>
          </w:tcPr>
          <w:p>
            <w:pPr>
              <w:adjustRightInd w:val="0"/>
              <w:snapToGrid w:val="0"/>
              <w:spacing w:line="240" w:lineRule="auto"/>
              <w:jc w:val="center"/>
              <w:rPr>
                <w:sz w:val="18"/>
                <w:szCs w:val="18"/>
              </w:rPr>
            </w:pPr>
            <w:r>
              <w:rPr>
                <w:rFonts w:eastAsia="等线"/>
                <w:sz w:val="18"/>
                <w:szCs w:val="18"/>
              </w:rPr>
              <w:t>95</w:t>
            </w:r>
          </w:p>
        </w:tc>
        <w:tc>
          <w:tcPr>
            <w:tcW w:w="1745"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637" w:type="dxa"/>
            <w:vAlign w:val="center"/>
          </w:tcPr>
          <w:p>
            <w:pPr>
              <w:adjustRightInd w:val="0"/>
              <w:snapToGrid w:val="0"/>
              <w:spacing w:line="240" w:lineRule="auto"/>
              <w:jc w:val="center"/>
              <w:rPr>
                <w:sz w:val="18"/>
                <w:szCs w:val="18"/>
              </w:rPr>
            </w:pPr>
            <w:r>
              <w:rPr>
                <w:rFonts w:eastAsia="等线"/>
                <w:sz w:val="18"/>
                <w:szCs w:val="18"/>
              </w:rPr>
              <w:t>Lu</w:t>
            </w:r>
          </w:p>
        </w:tc>
        <w:tc>
          <w:tcPr>
            <w:tcW w:w="718" w:type="dxa"/>
            <w:vAlign w:val="center"/>
          </w:tcPr>
          <w:p>
            <w:pPr>
              <w:spacing w:line="240" w:lineRule="auto"/>
              <w:jc w:val="center"/>
              <w:rPr>
                <w:sz w:val="18"/>
                <w:szCs w:val="18"/>
              </w:rPr>
            </w:pPr>
            <w:r>
              <w:rPr>
                <w:rFonts w:eastAsia="等线"/>
                <w:sz w:val="18"/>
                <w:szCs w:val="18"/>
              </w:rPr>
              <w:t>175</w:t>
            </w:r>
          </w:p>
        </w:tc>
        <w:tc>
          <w:tcPr>
            <w:tcW w:w="2138" w:type="dxa"/>
            <w:vAlign w:val="center"/>
          </w:tcPr>
          <w:p>
            <w:pPr>
              <w:spacing w:line="240" w:lineRule="auto"/>
              <w:jc w:val="center"/>
              <w:rPr>
                <w:rFonts w:eastAsia="等线"/>
                <w:sz w:val="18"/>
                <w:szCs w:val="18"/>
              </w:rPr>
            </w:pPr>
            <w:r>
              <w:rPr>
                <w:rFonts w:hint="eastAsia" w:eastAsia="等线"/>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3" w:type="dxa"/>
            <w:vAlign w:val="center"/>
          </w:tcPr>
          <w:p>
            <w:pPr>
              <w:adjustRightInd w:val="0"/>
              <w:snapToGrid w:val="0"/>
              <w:spacing w:line="240" w:lineRule="auto"/>
              <w:jc w:val="center"/>
              <w:rPr>
                <w:sz w:val="18"/>
                <w:szCs w:val="18"/>
              </w:rPr>
            </w:pPr>
            <w:r>
              <w:rPr>
                <w:rFonts w:eastAsia="等线"/>
                <w:sz w:val="18"/>
                <w:szCs w:val="18"/>
              </w:rPr>
              <w:t>S</w:t>
            </w:r>
          </w:p>
        </w:tc>
        <w:tc>
          <w:tcPr>
            <w:tcW w:w="546" w:type="dxa"/>
            <w:vAlign w:val="center"/>
          </w:tcPr>
          <w:p>
            <w:pPr>
              <w:adjustRightInd w:val="0"/>
              <w:snapToGrid w:val="0"/>
              <w:spacing w:line="240" w:lineRule="auto"/>
              <w:jc w:val="center"/>
              <w:rPr>
                <w:sz w:val="18"/>
                <w:szCs w:val="18"/>
              </w:rPr>
            </w:pPr>
            <w:r>
              <w:rPr>
                <w:rFonts w:eastAsia="等线"/>
                <w:sz w:val="18"/>
                <w:szCs w:val="18"/>
              </w:rPr>
              <w:t>32</w:t>
            </w:r>
          </w:p>
        </w:tc>
        <w:tc>
          <w:tcPr>
            <w:tcW w:w="1590"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509" w:type="dxa"/>
            <w:vAlign w:val="center"/>
          </w:tcPr>
          <w:p>
            <w:pPr>
              <w:adjustRightInd w:val="0"/>
              <w:snapToGrid w:val="0"/>
              <w:spacing w:line="240" w:lineRule="auto"/>
              <w:jc w:val="center"/>
              <w:rPr>
                <w:sz w:val="18"/>
                <w:szCs w:val="18"/>
              </w:rPr>
            </w:pPr>
            <w:r>
              <w:rPr>
                <w:rFonts w:eastAsia="等线"/>
                <w:sz w:val="18"/>
                <w:szCs w:val="18"/>
              </w:rPr>
              <w:t>Ru</w:t>
            </w:r>
          </w:p>
        </w:tc>
        <w:tc>
          <w:tcPr>
            <w:tcW w:w="916" w:type="dxa"/>
            <w:vAlign w:val="center"/>
          </w:tcPr>
          <w:p>
            <w:pPr>
              <w:adjustRightInd w:val="0"/>
              <w:snapToGrid w:val="0"/>
              <w:spacing w:line="240" w:lineRule="auto"/>
              <w:jc w:val="center"/>
              <w:rPr>
                <w:sz w:val="18"/>
                <w:szCs w:val="18"/>
              </w:rPr>
            </w:pPr>
            <w:r>
              <w:rPr>
                <w:rFonts w:eastAsia="等线"/>
                <w:sz w:val="18"/>
                <w:szCs w:val="18"/>
              </w:rPr>
              <w:t>102</w:t>
            </w:r>
          </w:p>
        </w:tc>
        <w:tc>
          <w:tcPr>
            <w:tcW w:w="1745"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637" w:type="dxa"/>
            <w:vAlign w:val="center"/>
          </w:tcPr>
          <w:p>
            <w:pPr>
              <w:adjustRightInd w:val="0"/>
              <w:snapToGrid w:val="0"/>
              <w:spacing w:line="240" w:lineRule="auto"/>
              <w:jc w:val="center"/>
              <w:rPr>
                <w:sz w:val="18"/>
                <w:szCs w:val="18"/>
              </w:rPr>
            </w:pPr>
            <w:r>
              <w:rPr>
                <w:rFonts w:eastAsia="等线"/>
                <w:sz w:val="18"/>
                <w:szCs w:val="18"/>
              </w:rPr>
              <w:t>Hf</w:t>
            </w:r>
          </w:p>
        </w:tc>
        <w:tc>
          <w:tcPr>
            <w:tcW w:w="718" w:type="dxa"/>
            <w:vAlign w:val="center"/>
          </w:tcPr>
          <w:p>
            <w:pPr>
              <w:adjustRightInd w:val="0"/>
              <w:snapToGrid w:val="0"/>
              <w:spacing w:line="240" w:lineRule="auto"/>
              <w:jc w:val="center"/>
              <w:rPr>
                <w:sz w:val="18"/>
                <w:szCs w:val="18"/>
              </w:rPr>
            </w:pPr>
            <w:r>
              <w:rPr>
                <w:rFonts w:eastAsia="等线"/>
                <w:sz w:val="18"/>
                <w:szCs w:val="18"/>
              </w:rPr>
              <w:t>178</w:t>
            </w:r>
          </w:p>
        </w:tc>
        <w:tc>
          <w:tcPr>
            <w:tcW w:w="2138" w:type="dxa"/>
            <w:vAlign w:val="center"/>
          </w:tcPr>
          <w:p>
            <w:pPr>
              <w:adjustRightInd w:val="0"/>
              <w:snapToGrid w:val="0"/>
              <w:spacing w:line="240" w:lineRule="auto"/>
              <w:jc w:val="center"/>
              <w:rPr>
                <w:rFonts w:eastAsia="等线"/>
                <w:sz w:val="18"/>
                <w:szCs w:val="18"/>
              </w:rPr>
            </w:pPr>
            <w:r>
              <w:rPr>
                <w:rFonts w:hAnsi="宋体" w:eastAsia="宋体"/>
                <w:sz w:val="18"/>
                <w:szCs w:val="18"/>
              </w:rPr>
              <w:t>氧化铒</w:t>
            </w:r>
            <w:r>
              <w:rPr>
                <w:rFonts w:eastAsia="宋体"/>
                <w:sz w:val="18"/>
                <w:szCs w:val="18"/>
                <w:vertAlign w:val="superscript"/>
              </w:rPr>
              <w:t>162</w:t>
            </w:r>
            <w:r>
              <w:rPr>
                <w:rFonts w:eastAsia="宋体"/>
                <w:sz w:val="18"/>
                <w:szCs w:val="18"/>
              </w:rPr>
              <w:t>Er</w:t>
            </w:r>
            <w:r>
              <w:rPr>
                <w:rFonts w:eastAsia="宋体"/>
                <w:sz w:val="18"/>
                <w:szCs w:val="18"/>
                <w:vertAlign w:val="superscript"/>
              </w:rPr>
              <w:t>16O</w:t>
            </w:r>
            <w:r>
              <w:rPr>
                <w:rFonts w:hAnsi="宋体" w:eastAsia="宋体"/>
                <w:sz w:val="18"/>
                <w:szCs w:val="18"/>
              </w:rPr>
              <w:t>干扰</w:t>
            </w:r>
            <w:r>
              <w:rPr>
                <w:rFonts w:eastAsia="宋体"/>
                <w:sz w:val="18"/>
                <w:szCs w:val="18"/>
              </w:rPr>
              <w:t>,</w:t>
            </w:r>
            <w:r>
              <w:rPr>
                <w:rFonts w:hAnsi="宋体" w:eastAsia="宋体"/>
                <w:sz w:val="18"/>
                <w:szCs w:val="18"/>
              </w:rPr>
              <w:t>选</w:t>
            </w:r>
            <w:r>
              <w:rPr>
                <w:rFonts w:eastAsia="宋体"/>
                <w:sz w:val="18"/>
                <w:szCs w:val="18"/>
                <w:vertAlign w:val="superscript"/>
              </w:rPr>
              <w:t>177</w:t>
            </w:r>
            <w:r>
              <w:rPr>
                <w:rFonts w:eastAsia="等线"/>
                <w:sz w:val="18"/>
                <w:szCs w:val="18"/>
              </w:rPr>
              <w:t>Hf</w:t>
            </w:r>
            <w:r>
              <w:rPr>
                <w:rFonts w:hint="eastAsia" w:hAnsi="宋体" w:eastAsia="宋体"/>
                <w:sz w:val="18"/>
                <w:szCs w:val="18"/>
              </w:rPr>
              <w:t>；</w:t>
            </w:r>
            <w:r>
              <w:rPr>
                <w:rFonts w:hAnsi="宋体" w:eastAsia="宋体"/>
                <w:sz w:val="18"/>
                <w:szCs w:val="18"/>
              </w:rPr>
              <w:t>氧化钆</w:t>
            </w:r>
            <w:r>
              <w:rPr>
                <w:rFonts w:eastAsia="宋体"/>
                <w:sz w:val="18"/>
                <w:szCs w:val="18"/>
                <w:vertAlign w:val="superscript"/>
              </w:rPr>
              <w:t>160</w:t>
            </w:r>
            <w:r>
              <w:rPr>
                <w:rFonts w:eastAsia="宋体"/>
                <w:sz w:val="18"/>
                <w:szCs w:val="18"/>
              </w:rPr>
              <w:t>Gd</w:t>
            </w:r>
            <w:r>
              <w:rPr>
                <w:rFonts w:eastAsia="宋体"/>
                <w:sz w:val="18"/>
                <w:szCs w:val="18"/>
                <w:vertAlign w:val="superscript"/>
              </w:rPr>
              <w:t>18</w:t>
            </w:r>
            <w:r>
              <w:rPr>
                <w:rFonts w:eastAsia="宋体"/>
                <w:sz w:val="18"/>
                <w:szCs w:val="18"/>
              </w:rPr>
              <w:t>O</w:t>
            </w:r>
            <w:r>
              <w:rPr>
                <w:rFonts w:hAnsi="宋体" w:eastAsia="宋体"/>
                <w:sz w:val="18"/>
                <w:szCs w:val="18"/>
              </w:rPr>
              <w:t>，选</w:t>
            </w:r>
            <w:r>
              <w:rPr>
                <w:rFonts w:eastAsia="宋体"/>
                <w:sz w:val="18"/>
                <w:szCs w:val="18"/>
                <w:vertAlign w:val="superscript"/>
              </w:rPr>
              <w:t>180</w:t>
            </w:r>
            <w:r>
              <w:rPr>
                <w:rFonts w:eastAsia="宋体"/>
                <w:sz w:val="18"/>
                <w:szCs w:val="18"/>
              </w:rPr>
              <w:t>Hf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3" w:type="dxa"/>
            <w:vAlign w:val="center"/>
          </w:tcPr>
          <w:p>
            <w:pPr>
              <w:adjustRightInd w:val="0"/>
              <w:snapToGrid w:val="0"/>
              <w:spacing w:line="240" w:lineRule="auto"/>
              <w:jc w:val="center"/>
              <w:rPr>
                <w:sz w:val="18"/>
                <w:szCs w:val="18"/>
              </w:rPr>
            </w:pPr>
            <w:r>
              <w:rPr>
                <w:rFonts w:eastAsia="等线"/>
                <w:sz w:val="18"/>
                <w:szCs w:val="18"/>
              </w:rPr>
              <w:t>K</w:t>
            </w:r>
          </w:p>
        </w:tc>
        <w:tc>
          <w:tcPr>
            <w:tcW w:w="546" w:type="dxa"/>
            <w:vAlign w:val="center"/>
          </w:tcPr>
          <w:p>
            <w:pPr>
              <w:adjustRightInd w:val="0"/>
              <w:snapToGrid w:val="0"/>
              <w:spacing w:line="240" w:lineRule="auto"/>
              <w:jc w:val="center"/>
              <w:rPr>
                <w:sz w:val="18"/>
                <w:szCs w:val="18"/>
              </w:rPr>
            </w:pPr>
            <w:r>
              <w:rPr>
                <w:rFonts w:eastAsia="等线"/>
                <w:sz w:val="18"/>
                <w:szCs w:val="18"/>
              </w:rPr>
              <w:t>39</w:t>
            </w:r>
          </w:p>
        </w:tc>
        <w:tc>
          <w:tcPr>
            <w:tcW w:w="1590"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509" w:type="dxa"/>
            <w:vAlign w:val="center"/>
          </w:tcPr>
          <w:p>
            <w:pPr>
              <w:adjustRightInd w:val="0"/>
              <w:snapToGrid w:val="0"/>
              <w:spacing w:line="240" w:lineRule="auto"/>
              <w:jc w:val="center"/>
              <w:rPr>
                <w:sz w:val="18"/>
                <w:szCs w:val="18"/>
              </w:rPr>
            </w:pPr>
            <w:r>
              <w:rPr>
                <w:rFonts w:eastAsia="等线"/>
                <w:sz w:val="18"/>
                <w:szCs w:val="18"/>
              </w:rPr>
              <w:t>Rh</w:t>
            </w:r>
          </w:p>
        </w:tc>
        <w:tc>
          <w:tcPr>
            <w:tcW w:w="916" w:type="dxa"/>
            <w:vAlign w:val="center"/>
          </w:tcPr>
          <w:p>
            <w:pPr>
              <w:adjustRightInd w:val="0"/>
              <w:snapToGrid w:val="0"/>
              <w:spacing w:line="240" w:lineRule="auto"/>
              <w:jc w:val="center"/>
              <w:rPr>
                <w:sz w:val="18"/>
                <w:szCs w:val="18"/>
              </w:rPr>
            </w:pPr>
            <w:r>
              <w:rPr>
                <w:rFonts w:eastAsia="等线"/>
                <w:sz w:val="18"/>
                <w:szCs w:val="18"/>
              </w:rPr>
              <w:t>103</w:t>
            </w:r>
          </w:p>
        </w:tc>
        <w:tc>
          <w:tcPr>
            <w:tcW w:w="1745"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637" w:type="dxa"/>
            <w:vAlign w:val="center"/>
          </w:tcPr>
          <w:p>
            <w:pPr>
              <w:adjustRightInd w:val="0"/>
              <w:snapToGrid w:val="0"/>
              <w:spacing w:line="240" w:lineRule="auto"/>
              <w:jc w:val="center"/>
              <w:rPr>
                <w:sz w:val="18"/>
                <w:szCs w:val="18"/>
              </w:rPr>
            </w:pPr>
            <w:r>
              <w:rPr>
                <w:rFonts w:eastAsia="等线"/>
                <w:sz w:val="18"/>
                <w:szCs w:val="18"/>
              </w:rPr>
              <w:t>Ta</w:t>
            </w:r>
          </w:p>
        </w:tc>
        <w:tc>
          <w:tcPr>
            <w:tcW w:w="718" w:type="dxa"/>
            <w:vAlign w:val="center"/>
          </w:tcPr>
          <w:p>
            <w:pPr>
              <w:adjustRightInd w:val="0"/>
              <w:snapToGrid w:val="0"/>
              <w:spacing w:line="240" w:lineRule="auto"/>
              <w:jc w:val="center"/>
              <w:rPr>
                <w:sz w:val="18"/>
                <w:szCs w:val="18"/>
              </w:rPr>
            </w:pPr>
            <w:r>
              <w:rPr>
                <w:rFonts w:eastAsia="等线"/>
                <w:sz w:val="18"/>
                <w:szCs w:val="18"/>
              </w:rPr>
              <w:t>181</w:t>
            </w:r>
          </w:p>
        </w:tc>
        <w:tc>
          <w:tcPr>
            <w:tcW w:w="2138"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3" w:type="dxa"/>
            <w:vAlign w:val="center"/>
          </w:tcPr>
          <w:p>
            <w:pPr>
              <w:adjustRightInd w:val="0"/>
              <w:snapToGrid w:val="0"/>
              <w:spacing w:line="240" w:lineRule="auto"/>
              <w:jc w:val="center"/>
              <w:rPr>
                <w:sz w:val="18"/>
                <w:szCs w:val="18"/>
              </w:rPr>
            </w:pPr>
            <w:r>
              <w:rPr>
                <w:rFonts w:eastAsia="等线"/>
                <w:sz w:val="18"/>
                <w:szCs w:val="18"/>
              </w:rPr>
              <w:t>Cl</w:t>
            </w:r>
          </w:p>
        </w:tc>
        <w:tc>
          <w:tcPr>
            <w:tcW w:w="546" w:type="dxa"/>
            <w:vAlign w:val="center"/>
          </w:tcPr>
          <w:p>
            <w:pPr>
              <w:adjustRightInd w:val="0"/>
              <w:snapToGrid w:val="0"/>
              <w:spacing w:line="240" w:lineRule="auto"/>
              <w:jc w:val="center"/>
              <w:rPr>
                <w:sz w:val="18"/>
                <w:szCs w:val="18"/>
              </w:rPr>
            </w:pPr>
            <w:r>
              <w:rPr>
                <w:rFonts w:eastAsia="等线"/>
                <w:sz w:val="18"/>
                <w:szCs w:val="18"/>
              </w:rPr>
              <w:t>35</w:t>
            </w:r>
          </w:p>
        </w:tc>
        <w:tc>
          <w:tcPr>
            <w:tcW w:w="1590"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509" w:type="dxa"/>
            <w:vAlign w:val="center"/>
          </w:tcPr>
          <w:p>
            <w:pPr>
              <w:adjustRightInd w:val="0"/>
              <w:snapToGrid w:val="0"/>
              <w:spacing w:line="240" w:lineRule="auto"/>
              <w:jc w:val="center"/>
              <w:rPr>
                <w:sz w:val="18"/>
                <w:szCs w:val="18"/>
              </w:rPr>
            </w:pPr>
            <w:r>
              <w:rPr>
                <w:rFonts w:eastAsia="等线"/>
                <w:sz w:val="18"/>
                <w:szCs w:val="18"/>
              </w:rPr>
              <w:t>Pd</w:t>
            </w:r>
          </w:p>
        </w:tc>
        <w:tc>
          <w:tcPr>
            <w:tcW w:w="916" w:type="dxa"/>
            <w:vAlign w:val="center"/>
          </w:tcPr>
          <w:p>
            <w:pPr>
              <w:adjustRightInd w:val="0"/>
              <w:snapToGrid w:val="0"/>
              <w:spacing w:line="240" w:lineRule="auto"/>
              <w:jc w:val="center"/>
              <w:rPr>
                <w:sz w:val="18"/>
                <w:szCs w:val="18"/>
              </w:rPr>
            </w:pPr>
            <w:r>
              <w:rPr>
                <w:rFonts w:eastAsia="等线"/>
                <w:sz w:val="18"/>
                <w:szCs w:val="18"/>
              </w:rPr>
              <w:t>106</w:t>
            </w:r>
          </w:p>
        </w:tc>
        <w:tc>
          <w:tcPr>
            <w:tcW w:w="1745" w:type="dxa"/>
            <w:vAlign w:val="center"/>
          </w:tcPr>
          <w:p>
            <w:pPr>
              <w:adjustRightInd w:val="0"/>
              <w:snapToGrid w:val="0"/>
              <w:spacing w:line="240" w:lineRule="auto"/>
              <w:jc w:val="center"/>
              <w:rPr>
                <w:rFonts w:eastAsia="等线"/>
                <w:sz w:val="18"/>
                <w:szCs w:val="18"/>
              </w:rPr>
            </w:pPr>
            <w:r>
              <w:rPr>
                <w:rFonts w:hAnsi="宋体" w:eastAsia="宋体"/>
                <w:sz w:val="18"/>
                <w:szCs w:val="18"/>
              </w:rPr>
              <w:t>氧化钇</w:t>
            </w:r>
            <w:r>
              <w:rPr>
                <w:rFonts w:eastAsia="宋体"/>
                <w:sz w:val="18"/>
                <w:szCs w:val="18"/>
                <w:vertAlign w:val="superscript"/>
              </w:rPr>
              <w:t>89</w:t>
            </w:r>
            <w:r>
              <w:rPr>
                <w:rFonts w:eastAsia="宋体"/>
                <w:sz w:val="18"/>
                <w:szCs w:val="18"/>
              </w:rPr>
              <w:t>Y</w:t>
            </w:r>
            <w:r>
              <w:rPr>
                <w:rFonts w:eastAsia="宋体"/>
                <w:sz w:val="18"/>
                <w:szCs w:val="18"/>
                <w:vertAlign w:val="superscript"/>
              </w:rPr>
              <w:t>17</w:t>
            </w:r>
            <w:r>
              <w:rPr>
                <w:rFonts w:eastAsia="宋体"/>
                <w:sz w:val="18"/>
                <w:szCs w:val="18"/>
              </w:rPr>
              <w:t>O</w:t>
            </w:r>
            <w:r>
              <w:rPr>
                <w:rFonts w:hAnsi="宋体" w:eastAsia="宋体"/>
                <w:sz w:val="18"/>
                <w:szCs w:val="18"/>
              </w:rPr>
              <w:t>干扰，选</w:t>
            </w:r>
            <w:r>
              <w:rPr>
                <w:rFonts w:eastAsia="宋体"/>
                <w:sz w:val="18"/>
                <w:szCs w:val="18"/>
                <w:vertAlign w:val="superscript"/>
              </w:rPr>
              <w:t>108</w:t>
            </w:r>
            <w:r>
              <w:rPr>
                <w:rFonts w:eastAsia="等线"/>
                <w:sz w:val="18"/>
                <w:szCs w:val="18"/>
              </w:rPr>
              <w:t>Pd</w:t>
            </w:r>
          </w:p>
        </w:tc>
        <w:tc>
          <w:tcPr>
            <w:tcW w:w="637" w:type="dxa"/>
            <w:vAlign w:val="center"/>
          </w:tcPr>
          <w:p>
            <w:pPr>
              <w:adjustRightInd w:val="0"/>
              <w:snapToGrid w:val="0"/>
              <w:spacing w:line="240" w:lineRule="auto"/>
              <w:jc w:val="center"/>
              <w:rPr>
                <w:sz w:val="18"/>
                <w:szCs w:val="18"/>
              </w:rPr>
            </w:pPr>
            <w:r>
              <w:rPr>
                <w:rFonts w:eastAsia="等线"/>
                <w:sz w:val="18"/>
                <w:szCs w:val="18"/>
              </w:rPr>
              <w:t>W</w:t>
            </w:r>
          </w:p>
        </w:tc>
        <w:tc>
          <w:tcPr>
            <w:tcW w:w="718" w:type="dxa"/>
            <w:vAlign w:val="center"/>
          </w:tcPr>
          <w:p>
            <w:pPr>
              <w:adjustRightInd w:val="0"/>
              <w:snapToGrid w:val="0"/>
              <w:spacing w:line="240" w:lineRule="auto"/>
              <w:jc w:val="center"/>
              <w:rPr>
                <w:sz w:val="18"/>
                <w:szCs w:val="18"/>
              </w:rPr>
            </w:pPr>
            <w:r>
              <w:rPr>
                <w:rFonts w:eastAsia="等线"/>
                <w:sz w:val="18"/>
                <w:szCs w:val="18"/>
              </w:rPr>
              <w:t>184186</w:t>
            </w:r>
          </w:p>
        </w:tc>
        <w:tc>
          <w:tcPr>
            <w:tcW w:w="2138" w:type="dxa"/>
            <w:vAlign w:val="center"/>
          </w:tcPr>
          <w:p>
            <w:pPr>
              <w:adjustRightInd w:val="0"/>
              <w:snapToGrid w:val="0"/>
              <w:spacing w:line="240" w:lineRule="auto"/>
              <w:jc w:val="center"/>
              <w:rPr>
                <w:rFonts w:eastAsia="等线"/>
                <w:sz w:val="18"/>
                <w:szCs w:val="18"/>
              </w:rPr>
            </w:pPr>
            <w:r>
              <w:rPr>
                <w:rFonts w:hAnsi="宋体" w:eastAsia="宋体"/>
                <w:sz w:val="18"/>
                <w:szCs w:val="18"/>
              </w:rPr>
              <w:t>氧化镱</w:t>
            </w:r>
            <w:r>
              <w:rPr>
                <w:rFonts w:eastAsia="宋体"/>
                <w:sz w:val="18"/>
                <w:szCs w:val="18"/>
                <w:vertAlign w:val="superscript"/>
              </w:rPr>
              <w:t>168</w:t>
            </w:r>
            <w:r>
              <w:rPr>
                <w:rFonts w:eastAsia="宋体"/>
                <w:sz w:val="18"/>
                <w:szCs w:val="18"/>
              </w:rPr>
              <w:t>Yb</w:t>
            </w:r>
            <w:r>
              <w:rPr>
                <w:rFonts w:eastAsia="宋体"/>
                <w:sz w:val="18"/>
                <w:szCs w:val="18"/>
                <w:vertAlign w:val="superscript"/>
              </w:rPr>
              <w:t>16</w:t>
            </w:r>
            <w:r>
              <w:rPr>
                <w:rFonts w:eastAsia="宋体"/>
                <w:sz w:val="18"/>
                <w:szCs w:val="18"/>
              </w:rPr>
              <w:t>O</w:t>
            </w:r>
            <w:r>
              <w:rPr>
                <w:rFonts w:hAnsi="宋体" w:eastAsia="宋体"/>
                <w:sz w:val="18"/>
                <w:szCs w:val="18"/>
              </w:rPr>
              <w:t>，</w:t>
            </w:r>
            <w:r>
              <w:rPr>
                <w:rFonts w:eastAsia="宋体"/>
                <w:sz w:val="18"/>
                <w:szCs w:val="18"/>
                <w:vertAlign w:val="superscript"/>
              </w:rPr>
              <w:t>168</w:t>
            </w:r>
            <w:r>
              <w:rPr>
                <w:rFonts w:eastAsia="宋体"/>
                <w:sz w:val="18"/>
                <w:szCs w:val="18"/>
              </w:rPr>
              <w:t>Yb</w:t>
            </w:r>
            <w:r>
              <w:rPr>
                <w:rFonts w:eastAsia="宋体"/>
                <w:sz w:val="18"/>
                <w:szCs w:val="18"/>
                <w:vertAlign w:val="superscript"/>
              </w:rPr>
              <w:t>18</w:t>
            </w:r>
            <w:r>
              <w:rPr>
                <w:rFonts w:eastAsia="宋体"/>
                <w:sz w:val="18"/>
                <w:szCs w:val="18"/>
              </w:rPr>
              <w:t>O</w:t>
            </w:r>
            <w:r>
              <w:rPr>
                <w:rFonts w:hAnsi="宋体" w:eastAsia="宋体"/>
                <w:sz w:val="18"/>
                <w:szCs w:val="18"/>
              </w:rPr>
              <w:t>干扰，选</w:t>
            </w:r>
            <w:r>
              <w:rPr>
                <w:rFonts w:eastAsia="宋体"/>
                <w:sz w:val="18"/>
                <w:szCs w:val="18"/>
                <w:vertAlign w:val="superscript"/>
              </w:rPr>
              <w:t>182</w:t>
            </w:r>
            <w:r>
              <w:rPr>
                <w:rFonts w:eastAsia="宋体"/>
                <w:sz w:val="18"/>
                <w:szCs w:val="18"/>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3" w:type="dxa"/>
            <w:vAlign w:val="center"/>
          </w:tcPr>
          <w:p>
            <w:pPr>
              <w:adjustRightInd w:val="0"/>
              <w:snapToGrid w:val="0"/>
              <w:spacing w:line="240" w:lineRule="auto"/>
              <w:jc w:val="center"/>
              <w:rPr>
                <w:sz w:val="18"/>
                <w:szCs w:val="18"/>
              </w:rPr>
            </w:pPr>
            <w:r>
              <w:rPr>
                <w:rFonts w:eastAsia="等线"/>
                <w:sz w:val="18"/>
                <w:szCs w:val="18"/>
              </w:rPr>
              <w:t>Ca</w:t>
            </w:r>
          </w:p>
        </w:tc>
        <w:tc>
          <w:tcPr>
            <w:tcW w:w="546" w:type="dxa"/>
            <w:vAlign w:val="center"/>
          </w:tcPr>
          <w:p>
            <w:pPr>
              <w:adjustRightInd w:val="0"/>
              <w:snapToGrid w:val="0"/>
              <w:spacing w:line="240" w:lineRule="auto"/>
              <w:jc w:val="center"/>
              <w:rPr>
                <w:sz w:val="18"/>
                <w:szCs w:val="18"/>
              </w:rPr>
            </w:pPr>
            <w:r>
              <w:rPr>
                <w:rFonts w:eastAsia="等线"/>
                <w:sz w:val="18"/>
                <w:szCs w:val="18"/>
              </w:rPr>
              <w:t>44</w:t>
            </w:r>
          </w:p>
        </w:tc>
        <w:tc>
          <w:tcPr>
            <w:tcW w:w="1590"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509" w:type="dxa"/>
            <w:vAlign w:val="center"/>
          </w:tcPr>
          <w:p>
            <w:pPr>
              <w:adjustRightInd w:val="0"/>
              <w:snapToGrid w:val="0"/>
              <w:spacing w:line="240" w:lineRule="auto"/>
              <w:jc w:val="center"/>
              <w:rPr>
                <w:sz w:val="18"/>
                <w:szCs w:val="18"/>
              </w:rPr>
            </w:pPr>
            <w:r>
              <w:rPr>
                <w:rFonts w:eastAsia="等线"/>
                <w:sz w:val="18"/>
                <w:szCs w:val="18"/>
              </w:rPr>
              <w:t>Ag</w:t>
            </w:r>
          </w:p>
        </w:tc>
        <w:tc>
          <w:tcPr>
            <w:tcW w:w="916" w:type="dxa"/>
            <w:vAlign w:val="center"/>
          </w:tcPr>
          <w:p>
            <w:pPr>
              <w:adjustRightInd w:val="0"/>
              <w:snapToGrid w:val="0"/>
              <w:spacing w:line="240" w:lineRule="auto"/>
              <w:jc w:val="center"/>
              <w:rPr>
                <w:sz w:val="18"/>
                <w:szCs w:val="18"/>
              </w:rPr>
            </w:pPr>
            <w:r>
              <w:rPr>
                <w:rFonts w:eastAsia="等线"/>
                <w:sz w:val="18"/>
                <w:szCs w:val="18"/>
              </w:rPr>
              <w:t>107</w:t>
            </w:r>
          </w:p>
        </w:tc>
        <w:tc>
          <w:tcPr>
            <w:tcW w:w="1745" w:type="dxa"/>
            <w:vAlign w:val="center"/>
          </w:tcPr>
          <w:p>
            <w:pPr>
              <w:adjustRightInd w:val="0"/>
              <w:snapToGrid w:val="0"/>
              <w:spacing w:line="240" w:lineRule="auto"/>
              <w:jc w:val="center"/>
              <w:rPr>
                <w:rFonts w:eastAsia="等线"/>
                <w:sz w:val="18"/>
                <w:szCs w:val="18"/>
              </w:rPr>
            </w:pPr>
            <w:r>
              <w:rPr>
                <w:rFonts w:hAnsi="宋体" w:eastAsia="宋体"/>
                <w:sz w:val="18"/>
                <w:szCs w:val="18"/>
              </w:rPr>
              <w:t>氧化钇</w:t>
            </w:r>
            <w:r>
              <w:rPr>
                <w:rFonts w:eastAsia="宋体"/>
                <w:sz w:val="18"/>
                <w:szCs w:val="18"/>
                <w:vertAlign w:val="superscript"/>
              </w:rPr>
              <w:t>89</w:t>
            </w:r>
            <w:r>
              <w:rPr>
                <w:rFonts w:eastAsia="宋体"/>
                <w:sz w:val="18"/>
                <w:szCs w:val="18"/>
              </w:rPr>
              <w:t>Y</w:t>
            </w:r>
            <w:r>
              <w:rPr>
                <w:rFonts w:eastAsia="宋体"/>
                <w:sz w:val="18"/>
                <w:szCs w:val="18"/>
                <w:vertAlign w:val="superscript"/>
              </w:rPr>
              <w:t>18</w:t>
            </w:r>
            <w:r>
              <w:rPr>
                <w:rFonts w:eastAsia="宋体"/>
                <w:sz w:val="18"/>
                <w:szCs w:val="18"/>
              </w:rPr>
              <w:t>O</w:t>
            </w:r>
            <w:r>
              <w:rPr>
                <w:rFonts w:hAnsi="宋体" w:eastAsia="宋体"/>
                <w:sz w:val="18"/>
                <w:szCs w:val="18"/>
              </w:rPr>
              <w:t>干扰，选</w:t>
            </w:r>
            <w:r>
              <w:rPr>
                <w:rFonts w:eastAsia="宋体"/>
                <w:sz w:val="18"/>
                <w:szCs w:val="18"/>
                <w:vertAlign w:val="superscript"/>
              </w:rPr>
              <w:t>109</w:t>
            </w:r>
            <w:r>
              <w:rPr>
                <w:rFonts w:eastAsia="等线"/>
                <w:sz w:val="18"/>
                <w:szCs w:val="18"/>
              </w:rPr>
              <w:t>Ag</w:t>
            </w:r>
          </w:p>
        </w:tc>
        <w:tc>
          <w:tcPr>
            <w:tcW w:w="637" w:type="dxa"/>
            <w:vAlign w:val="center"/>
          </w:tcPr>
          <w:p>
            <w:pPr>
              <w:adjustRightInd w:val="0"/>
              <w:snapToGrid w:val="0"/>
              <w:spacing w:line="240" w:lineRule="auto"/>
              <w:jc w:val="center"/>
              <w:rPr>
                <w:sz w:val="18"/>
                <w:szCs w:val="18"/>
              </w:rPr>
            </w:pPr>
            <w:r>
              <w:rPr>
                <w:rFonts w:eastAsia="等线"/>
                <w:sz w:val="18"/>
                <w:szCs w:val="18"/>
              </w:rPr>
              <w:t>Re</w:t>
            </w:r>
          </w:p>
        </w:tc>
        <w:tc>
          <w:tcPr>
            <w:tcW w:w="718" w:type="dxa"/>
            <w:vAlign w:val="center"/>
          </w:tcPr>
          <w:p>
            <w:pPr>
              <w:adjustRightInd w:val="0"/>
              <w:snapToGrid w:val="0"/>
              <w:spacing w:line="240" w:lineRule="auto"/>
              <w:jc w:val="center"/>
              <w:rPr>
                <w:sz w:val="18"/>
                <w:szCs w:val="18"/>
              </w:rPr>
            </w:pPr>
            <w:r>
              <w:rPr>
                <w:rFonts w:eastAsia="等线"/>
                <w:sz w:val="18"/>
                <w:szCs w:val="18"/>
              </w:rPr>
              <w:t>185187</w:t>
            </w:r>
          </w:p>
        </w:tc>
        <w:tc>
          <w:tcPr>
            <w:tcW w:w="2138"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3" w:type="dxa"/>
            <w:vAlign w:val="center"/>
          </w:tcPr>
          <w:p>
            <w:pPr>
              <w:adjustRightInd w:val="0"/>
              <w:snapToGrid w:val="0"/>
              <w:spacing w:line="240" w:lineRule="auto"/>
              <w:jc w:val="center"/>
              <w:rPr>
                <w:sz w:val="18"/>
                <w:szCs w:val="18"/>
              </w:rPr>
            </w:pPr>
            <w:r>
              <w:rPr>
                <w:rFonts w:eastAsia="等线"/>
                <w:sz w:val="18"/>
                <w:szCs w:val="18"/>
              </w:rPr>
              <w:t>Sc</w:t>
            </w:r>
          </w:p>
        </w:tc>
        <w:tc>
          <w:tcPr>
            <w:tcW w:w="546" w:type="dxa"/>
            <w:vAlign w:val="center"/>
          </w:tcPr>
          <w:p>
            <w:pPr>
              <w:adjustRightInd w:val="0"/>
              <w:snapToGrid w:val="0"/>
              <w:spacing w:line="240" w:lineRule="auto"/>
              <w:jc w:val="center"/>
              <w:rPr>
                <w:sz w:val="18"/>
                <w:szCs w:val="18"/>
              </w:rPr>
            </w:pPr>
            <w:r>
              <w:rPr>
                <w:rFonts w:eastAsia="等线"/>
                <w:sz w:val="18"/>
                <w:szCs w:val="18"/>
              </w:rPr>
              <w:t>45</w:t>
            </w:r>
          </w:p>
        </w:tc>
        <w:tc>
          <w:tcPr>
            <w:tcW w:w="1590"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509" w:type="dxa"/>
            <w:vAlign w:val="center"/>
          </w:tcPr>
          <w:p>
            <w:pPr>
              <w:adjustRightInd w:val="0"/>
              <w:snapToGrid w:val="0"/>
              <w:spacing w:line="240" w:lineRule="auto"/>
              <w:jc w:val="center"/>
              <w:rPr>
                <w:sz w:val="18"/>
                <w:szCs w:val="18"/>
              </w:rPr>
            </w:pPr>
            <w:r>
              <w:rPr>
                <w:rFonts w:eastAsia="等线"/>
                <w:sz w:val="18"/>
                <w:szCs w:val="18"/>
              </w:rPr>
              <w:t>Cd</w:t>
            </w:r>
          </w:p>
        </w:tc>
        <w:tc>
          <w:tcPr>
            <w:tcW w:w="916" w:type="dxa"/>
            <w:vAlign w:val="center"/>
          </w:tcPr>
          <w:p>
            <w:pPr>
              <w:adjustRightInd w:val="0"/>
              <w:snapToGrid w:val="0"/>
              <w:spacing w:line="240" w:lineRule="auto"/>
              <w:jc w:val="center"/>
              <w:rPr>
                <w:sz w:val="18"/>
                <w:szCs w:val="18"/>
              </w:rPr>
            </w:pPr>
            <w:r>
              <w:rPr>
                <w:rFonts w:eastAsia="等线"/>
                <w:sz w:val="18"/>
                <w:szCs w:val="18"/>
              </w:rPr>
              <w:t>111</w:t>
            </w:r>
          </w:p>
        </w:tc>
        <w:tc>
          <w:tcPr>
            <w:tcW w:w="1745"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637" w:type="dxa"/>
            <w:vAlign w:val="center"/>
          </w:tcPr>
          <w:p>
            <w:pPr>
              <w:adjustRightInd w:val="0"/>
              <w:snapToGrid w:val="0"/>
              <w:spacing w:line="240" w:lineRule="auto"/>
              <w:jc w:val="center"/>
              <w:rPr>
                <w:sz w:val="18"/>
                <w:szCs w:val="18"/>
              </w:rPr>
            </w:pPr>
            <w:r>
              <w:rPr>
                <w:rFonts w:eastAsia="等线"/>
                <w:sz w:val="18"/>
                <w:szCs w:val="18"/>
              </w:rPr>
              <w:t>Os</w:t>
            </w:r>
          </w:p>
        </w:tc>
        <w:tc>
          <w:tcPr>
            <w:tcW w:w="718" w:type="dxa"/>
            <w:vAlign w:val="center"/>
          </w:tcPr>
          <w:p>
            <w:pPr>
              <w:adjustRightInd w:val="0"/>
              <w:snapToGrid w:val="0"/>
              <w:spacing w:line="240" w:lineRule="auto"/>
              <w:jc w:val="center"/>
              <w:rPr>
                <w:sz w:val="18"/>
                <w:szCs w:val="18"/>
              </w:rPr>
            </w:pPr>
            <w:r>
              <w:rPr>
                <w:rFonts w:eastAsia="等线"/>
                <w:sz w:val="18"/>
                <w:szCs w:val="18"/>
              </w:rPr>
              <w:t>192</w:t>
            </w:r>
          </w:p>
        </w:tc>
        <w:tc>
          <w:tcPr>
            <w:tcW w:w="2138" w:type="dxa"/>
            <w:vAlign w:val="center"/>
          </w:tcPr>
          <w:p>
            <w:pPr>
              <w:adjustRightInd w:val="0"/>
              <w:snapToGrid w:val="0"/>
              <w:spacing w:line="240" w:lineRule="auto"/>
              <w:jc w:val="center"/>
              <w:rPr>
                <w:rFonts w:eastAsia="等线"/>
                <w:sz w:val="18"/>
                <w:szCs w:val="18"/>
              </w:rPr>
            </w:pPr>
            <w:r>
              <w:rPr>
                <w:rFonts w:hAnsi="宋体" w:eastAsia="宋体"/>
                <w:sz w:val="18"/>
                <w:szCs w:val="18"/>
              </w:rPr>
              <w:t>氧化镥</w:t>
            </w:r>
            <w:r>
              <w:rPr>
                <w:rFonts w:eastAsia="宋体"/>
                <w:sz w:val="18"/>
                <w:szCs w:val="18"/>
                <w:vertAlign w:val="superscript"/>
              </w:rPr>
              <w:t>176</w:t>
            </w:r>
            <w:r>
              <w:rPr>
                <w:rFonts w:eastAsia="宋体"/>
                <w:sz w:val="18"/>
                <w:szCs w:val="18"/>
              </w:rPr>
              <w:t>Lu</w:t>
            </w:r>
            <w:r>
              <w:rPr>
                <w:rFonts w:eastAsia="宋体"/>
                <w:sz w:val="18"/>
                <w:szCs w:val="18"/>
                <w:vertAlign w:val="superscript"/>
              </w:rPr>
              <w:t>16</w:t>
            </w:r>
            <w:r>
              <w:rPr>
                <w:rFonts w:eastAsia="宋体"/>
                <w:sz w:val="18"/>
                <w:szCs w:val="18"/>
              </w:rPr>
              <w:t>O</w:t>
            </w:r>
            <w:r>
              <w:rPr>
                <w:rFonts w:hAnsi="宋体" w:eastAsia="宋体"/>
                <w:sz w:val="18"/>
                <w:szCs w:val="18"/>
              </w:rPr>
              <w:t>干扰，选</w:t>
            </w:r>
            <w:r>
              <w:rPr>
                <w:rFonts w:eastAsia="宋体"/>
                <w:sz w:val="18"/>
                <w:szCs w:val="18"/>
                <w:vertAlign w:val="superscript"/>
              </w:rPr>
              <w:t>189</w:t>
            </w:r>
            <w:r>
              <w:rPr>
                <w:rFonts w:eastAsia="等线"/>
                <w:sz w:val="18"/>
                <w:szCs w:val="18"/>
              </w:rPr>
              <w: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3" w:type="dxa"/>
            <w:vAlign w:val="center"/>
          </w:tcPr>
          <w:p>
            <w:pPr>
              <w:adjustRightInd w:val="0"/>
              <w:snapToGrid w:val="0"/>
              <w:spacing w:line="240" w:lineRule="auto"/>
              <w:jc w:val="center"/>
              <w:rPr>
                <w:sz w:val="18"/>
                <w:szCs w:val="18"/>
              </w:rPr>
            </w:pPr>
            <w:r>
              <w:rPr>
                <w:rFonts w:eastAsia="等线"/>
                <w:sz w:val="18"/>
                <w:szCs w:val="18"/>
              </w:rPr>
              <w:t>Ti</w:t>
            </w:r>
          </w:p>
        </w:tc>
        <w:tc>
          <w:tcPr>
            <w:tcW w:w="546" w:type="dxa"/>
            <w:vAlign w:val="center"/>
          </w:tcPr>
          <w:p>
            <w:pPr>
              <w:adjustRightInd w:val="0"/>
              <w:snapToGrid w:val="0"/>
              <w:spacing w:line="240" w:lineRule="auto"/>
              <w:jc w:val="center"/>
              <w:rPr>
                <w:sz w:val="18"/>
                <w:szCs w:val="18"/>
              </w:rPr>
            </w:pPr>
            <w:r>
              <w:rPr>
                <w:rFonts w:eastAsia="等线"/>
                <w:sz w:val="18"/>
                <w:szCs w:val="18"/>
              </w:rPr>
              <w:t>48</w:t>
            </w:r>
          </w:p>
        </w:tc>
        <w:tc>
          <w:tcPr>
            <w:tcW w:w="1590"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509" w:type="dxa"/>
            <w:vAlign w:val="center"/>
          </w:tcPr>
          <w:p>
            <w:pPr>
              <w:adjustRightInd w:val="0"/>
              <w:snapToGrid w:val="0"/>
              <w:spacing w:line="240" w:lineRule="auto"/>
              <w:jc w:val="center"/>
              <w:rPr>
                <w:sz w:val="18"/>
                <w:szCs w:val="18"/>
              </w:rPr>
            </w:pPr>
            <w:r>
              <w:rPr>
                <w:rFonts w:eastAsia="等线"/>
                <w:sz w:val="18"/>
                <w:szCs w:val="18"/>
              </w:rPr>
              <w:t>Sn</w:t>
            </w:r>
          </w:p>
        </w:tc>
        <w:tc>
          <w:tcPr>
            <w:tcW w:w="916" w:type="dxa"/>
            <w:vAlign w:val="center"/>
          </w:tcPr>
          <w:p>
            <w:pPr>
              <w:adjustRightInd w:val="0"/>
              <w:snapToGrid w:val="0"/>
              <w:spacing w:line="240" w:lineRule="auto"/>
              <w:jc w:val="center"/>
              <w:rPr>
                <w:sz w:val="18"/>
                <w:szCs w:val="18"/>
              </w:rPr>
            </w:pPr>
            <w:r>
              <w:rPr>
                <w:rFonts w:eastAsia="等线"/>
                <w:sz w:val="18"/>
                <w:szCs w:val="18"/>
              </w:rPr>
              <w:t>119</w:t>
            </w:r>
          </w:p>
        </w:tc>
        <w:tc>
          <w:tcPr>
            <w:tcW w:w="1745"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637" w:type="dxa"/>
            <w:vAlign w:val="center"/>
          </w:tcPr>
          <w:p>
            <w:pPr>
              <w:adjustRightInd w:val="0"/>
              <w:snapToGrid w:val="0"/>
              <w:spacing w:line="240" w:lineRule="auto"/>
              <w:jc w:val="center"/>
              <w:rPr>
                <w:sz w:val="18"/>
                <w:szCs w:val="18"/>
              </w:rPr>
            </w:pPr>
            <w:r>
              <w:rPr>
                <w:rFonts w:eastAsia="等线"/>
                <w:sz w:val="18"/>
                <w:szCs w:val="18"/>
              </w:rPr>
              <w:t>Ir</w:t>
            </w:r>
          </w:p>
        </w:tc>
        <w:tc>
          <w:tcPr>
            <w:tcW w:w="718" w:type="dxa"/>
            <w:vAlign w:val="center"/>
          </w:tcPr>
          <w:p>
            <w:pPr>
              <w:adjustRightInd w:val="0"/>
              <w:snapToGrid w:val="0"/>
              <w:spacing w:line="240" w:lineRule="auto"/>
              <w:jc w:val="center"/>
              <w:rPr>
                <w:sz w:val="18"/>
                <w:szCs w:val="18"/>
              </w:rPr>
            </w:pPr>
            <w:r>
              <w:rPr>
                <w:rFonts w:eastAsia="等线"/>
                <w:sz w:val="18"/>
                <w:szCs w:val="18"/>
              </w:rPr>
              <w:t>191193</w:t>
            </w:r>
          </w:p>
        </w:tc>
        <w:tc>
          <w:tcPr>
            <w:tcW w:w="2138"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3" w:type="dxa"/>
            <w:vAlign w:val="center"/>
          </w:tcPr>
          <w:p>
            <w:pPr>
              <w:adjustRightInd w:val="0"/>
              <w:snapToGrid w:val="0"/>
              <w:spacing w:line="240" w:lineRule="auto"/>
              <w:jc w:val="center"/>
              <w:rPr>
                <w:sz w:val="18"/>
                <w:szCs w:val="18"/>
              </w:rPr>
            </w:pPr>
            <w:r>
              <w:rPr>
                <w:rFonts w:eastAsia="等线"/>
                <w:sz w:val="18"/>
                <w:szCs w:val="18"/>
              </w:rPr>
              <w:t>V</w:t>
            </w:r>
          </w:p>
        </w:tc>
        <w:tc>
          <w:tcPr>
            <w:tcW w:w="546" w:type="dxa"/>
            <w:vAlign w:val="center"/>
          </w:tcPr>
          <w:p>
            <w:pPr>
              <w:adjustRightInd w:val="0"/>
              <w:snapToGrid w:val="0"/>
              <w:spacing w:line="240" w:lineRule="auto"/>
              <w:jc w:val="center"/>
              <w:rPr>
                <w:sz w:val="18"/>
                <w:szCs w:val="18"/>
              </w:rPr>
            </w:pPr>
            <w:r>
              <w:rPr>
                <w:rFonts w:eastAsia="等线"/>
                <w:sz w:val="18"/>
                <w:szCs w:val="18"/>
              </w:rPr>
              <w:t>51</w:t>
            </w:r>
          </w:p>
        </w:tc>
        <w:tc>
          <w:tcPr>
            <w:tcW w:w="1590"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509" w:type="dxa"/>
            <w:vAlign w:val="center"/>
          </w:tcPr>
          <w:p>
            <w:pPr>
              <w:adjustRightInd w:val="0"/>
              <w:snapToGrid w:val="0"/>
              <w:spacing w:line="240" w:lineRule="auto"/>
              <w:jc w:val="center"/>
              <w:rPr>
                <w:sz w:val="18"/>
                <w:szCs w:val="18"/>
              </w:rPr>
            </w:pPr>
            <w:r>
              <w:rPr>
                <w:rFonts w:eastAsia="等线"/>
                <w:sz w:val="18"/>
                <w:szCs w:val="18"/>
              </w:rPr>
              <w:t>Sb</w:t>
            </w:r>
          </w:p>
        </w:tc>
        <w:tc>
          <w:tcPr>
            <w:tcW w:w="916" w:type="dxa"/>
            <w:vAlign w:val="center"/>
          </w:tcPr>
          <w:p>
            <w:pPr>
              <w:adjustRightInd w:val="0"/>
              <w:snapToGrid w:val="0"/>
              <w:spacing w:line="240" w:lineRule="auto"/>
              <w:jc w:val="center"/>
              <w:rPr>
                <w:sz w:val="18"/>
                <w:szCs w:val="18"/>
              </w:rPr>
            </w:pPr>
            <w:r>
              <w:rPr>
                <w:rFonts w:eastAsia="等线"/>
                <w:sz w:val="18"/>
                <w:szCs w:val="18"/>
              </w:rPr>
              <w:t>121123</w:t>
            </w:r>
          </w:p>
        </w:tc>
        <w:tc>
          <w:tcPr>
            <w:tcW w:w="1745"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637" w:type="dxa"/>
            <w:vAlign w:val="center"/>
          </w:tcPr>
          <w:p>
            <w:pPr>
              <w:adjustRightInd w:val="0"/>
              <w:snapToGrid w:val="0"/>
              <w:spacing w:line="240" w:lineRule="auto"/>
              <w:jc w:val="center"/>
              <w:rPr>
                <w:sz w:val="18"/>
                <w:szCs w:val="18"/>
              </w:rPr>
            </w:pPr>
            <w:r>
              <w:rPr>
                <w:rFonts w:eastAsia="等线"/>
                <w:sz w:val="18"/>
                <w:szCs w:val="18"/>
              </w:rPr>
              <w:t>Pt</w:t>
            </w:r>
          </w:p>
        </w:tc>
        <w:tc>
          <w:tcPr>
            <w:tcW w:w="718" w:type="dxa"/>
            <w:vAlign w:val="center"/>
          </w:tcPr>
          <w:p>
            <w:pPr>
              <w:adjustRightInd w:val="0"/>
              <w:snapToGrid w:val="0"/>
              <w:spacing w:line="240" w:lineRule="auto"/>
              <w:jc w:val="center"/>
              <w:rPr>
                <w:sz w:val="18"/>
                <w:szCs w:val="18"/>
              </w:rPr>
            </w:pPr>
            <w:r>
              <w:rPr>
                <w:rFonts w:eastAsia="等线"/>
                <w:sz w:val="18"/>
                <w:szCs w:val="18"/>
              </w:rPr>
              <w:t>195</w:t>
            </w:r>
          </w:p>
        </w:tc>
        <w:tc>
          <w:tcPr>
            <w:tcW w:w="2138"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3" w:type="dxa"/>
            <w:vAlign w:val="center"/>
          </w:tcPr>
          <w:p>
            <w:pPr>
              <w:adjustRightInd w:val="0"/>
              <w:snapToGrid w:val="0"/>
              <w:spacing w:line="240" w:lineRule="auto"/>
              <w:jc w:val="center"/>
              <w:rPr>
                <w:sz w:val="18"/>
                <w:szCs w:val="18"/>
              </w:rPr>
            </w:pPr>
            <w:r>
              <w:rPr>
                <w:rFonts w:eastAsia="等线"/>
                <w:sz w:val="18"/>
                <w:szCs w:val="18"/>
              </w:rPr>
              <w:t>Cr</w:t>
            </w:r>
          </w:p>
        </w:tc>
        <w:tc>
          <w:tcPr>
            <w:tcW w:w="546" w:type="dxa"/>
            <w:vAlign w:val="center"/>
          </w:tcPr>
          <w:p>
            <w:pPr>
              <w:adjustRightInd w:val="0"/>
              <w:snapToGrid w:val="0"/>
              <w:spacing w:line="240" w:lineRule="auto"/>
              <w:jc w:val="center"/>
              <w:rPr>
                <w:sz w:val="18"/>
                <w:szCs w:val="18"/>
              </w:rPr>
            </w:pPr>
            <w:r>
              <w:rPr>
                <w:rFonts w:eastAsia="等线"/>
                <w:sz w:val="18"/>
                <w:szCs w:val="18"/>
              </w:rPr>
              <w:t>52</w:t>
            </w:r>
          </w:p>
        </w:tc>
        <w:tc>
          <w:tcPr>
            <w:tcW w:w="1590"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509" w:type="dxa"/>
            <w:vAlign w:val="center"/>
          </w:tcPr>
          <w:p>
            <w:pPr>
              <w:adjustRightInd w:val="0"/>
              <w:snapToGrid w:val="0"/>
              <w:spacing w:line="240" w:lineRule="auto"/>
              <w:jc w:val="center"/>
              <w:rPr>
                <w:sz w:val="18"/>
                <w:szCs w:val="18"/>
              </w:rPr>
            </w:pPr>
            <w:r>
              <w:rPr>
                <w:rFonts w:eastAsia="等线"/>
                <w:sz w:val="18"/>
                <w:szCs w:val="18"/>
              </w:rPr>
              <w:t>I</w:t>
            </w:r>
          </w:p>
        </w:tc>
        <w:tc>
          <w:tcPr>
            <w:tcW w:w="916" w:type="dxa"/>
            <w:vAlign w:val="center"/>
          </w:tcPr>
          <w:p>
            <w:pPr>
              <w:adjustRightInd w:val="0"/>
              <w:snapToGrid w:val="0"/>
              <w:spacing w:line="240" w:lineRule="auto"/>
              <w:jc w:val="center"/>
              <w:rPr>
                <w:sz w:val="18"/>
                <w:szCs w:val="18"/>
              </w:rPr>
            </w:pPr>
            <w:r>
              <w:rPr>
                <w:rFonts w:eastAsia="等线"/>
                <w:sz w:val="18"/>
                <w:szCs w:val="18"/>
              </w:rPr>
              <w:t>127</w:t>
            </w:r>
          </w:p>
        </w:tc>
        <w:tc>
          <w:tcPr>
            <w:tcW w:w="1745"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637" w:type="dxa"/>
            <w:vAlign w:val="center"/>
          </w:tcPr>
          <w:p>
            <w:pPr>
              <w:adjustRightInd w:val="0"/>
              <w:snapToGrid w:val="0"/>
              <w:spacing w:line="240" w:lineRule="auto"/>
              <w:jc w:val="center"/>
              <w:rPr>
                <w:sz w:val="18"/>
                <w:szCs w:val="18"/>
              </w:rPr>
            </w:pPr>
            <w:r>
              <w:rPr>
                <w:rFonts w:eastAsia="等线"/>
                <w:sz w:val="18"/>
                <w:szCs w:val="18"/>
              </w:rPr>
              <w:t>Au</w:t>
            </w:r>
          </w:p>
        </w:tc>
        <w:tc>
          <w:tcPr>
            <w:tcW w:w="718" w:type="dxa"/>
            <w:vAlign w:val="center"/>
          </w:tcPr>
          <w:p>
            <w:pPr>
              <w:adjustRightInd w:val="0"/>
              <w:snapToGrid w:val="0"/>
              <w:spacing w:line="240" w:lineRule="auto"/>
              <w:jc w:val="center"/>
              <w:rPr>
                <w:sz w:val="18"/>
                <w:szCs w:val="18"/>
              </w:rPr>
            </w:pPr>
            <w:r>
              <w:rPr>
                <w:rFonts w:eastAsia="等线"/>
                <w:sz w:val="18"/>
                <w:szCs w:val="18"/>
              </w:rPr>
              <w:t>197</w:t>
            </w:r>
          </w:p>
        </w:tc>
        <w:tc>
          <w:tcPr>
            <w:tcW w:w="2138"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3" w:type="dxa"/>
            <w:vAlign w:val="center"/>
          </w:tcPr>
          <w:p>
            <w:pPr>
              <w:adjustRightInd w:val="0"/>
              <w:snapToGrid w:val="0"/>
              <w:spacing w:line="240" w:lineRule="auto"/>
              <w:jc w:val="center"/>
              <w:rPr>
                <w:sz w:val="18"/>
                <w:szCs w:val="18"/>
              </w:rPr>
            </w:pPr>
            <w:r>
              <w:rPr>
                <w:rFonts w:eastAsia="等线"/>
                <w:sz w:val="18"/>
                <w:szCs w:val="18"/>
              </w:rPr>
              <w:t>Mn</w:t>
            </w:r>
          </w:p>
        </w:tc>
        <w:tc>
          <w:tcPr>
            <w:tcW w:w="546" w:type="dxa"/>
            <w:vAlign w:val="center"/>
          </w:tcPr>
          <w:p>
            <w:pPr>
              <w:adjustRightInd w:val="0"/>
              <w:snapToGrid w:val="0"/>
              <w:spacing w:line="240" w:lineRule="auto"/>
              <w:jc w:val="center"/>
              <w:rPr>
                <w:sz w:val="18"/>
                <w:szCs w:val="18"/>
              </w:rPr>
            </w:pPr>
            <w:r>
              <w:rPr>
                <w:rFonts w:eastAsia="等线"/>
                <w:sz w:val="18"/>
                <w:szCs w:val="18"/>
              </w:rPr>
              <w:t>55</w:t>
            </w:r>
          </w:p>
        </w:tc>
        <w:tc>
          <w:tcPr>
            <w:tcW w:w="1590"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509" w:type="dxa"/>
            <w:vAlign w:val="center"/>
          </w:tcPr>
          <w:p>
            <w:pPr>
              <w:adjustRightInd w:val="0"/>
              <w:snapToGrid w:val="0"/>
              <w:spacing w:line="240" w:lineRule="auto"/>
              <w:jc w:val="center"/>
              <w:rPr>
                <w:sz w:val="18"/>
                <w:szCs w:val="18"/>
              </w:rPr>
            </w:pPr>
            <w:r>
              <w:rPr>
                <w:rFonts w:eastAsia="等线"/>
                <w:sz w:val="18"/>
                <w:szCs w:val="18"/>
              </w:rPr>
              <w:t>Te</w:t>
            </w:r>
          </w:p>
        </w:tc>
        <w:tc>
          <w:tcPr>
            <w:tcW w:w="916" w:type="dxa"/>
            <w:vAlign w:val="center"/>
          </w:tcPr>
          <w:p>
            <w:pPr>
              <w:adjustRightInd w:val="0"/>
              <w:snapToGrid w:val="0"/>
              <w:spacing w:line="240" w:lineRule="auto"/>
              <w:jc w:val="center"/>
              <w:rPr>
                <w:sz w:val="18"/>
                <w:szCs w:val="18"/>
              </w:rPr>
            </w:pPr>
            <w:r>
              <w:rPr>
                <w:rFonts w:eastAsia="等线"/>
                <w:sz w:val="18"/>
                <w:szCs w:val="18"/>
              </w:rPr>
              <w:t>128130</w:t>
            </w:r>
          </w:p>
        </w:tc>
        <w:tc>
          <w:tcPr>
            <w:tcW w:w="1745"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637" w:type="dxa"/>
            <w:vAlign w:val="center"/>
          </w:tcPr>
          <w:p>
            <w:pPr>
              <w:adjustRightInd w:val="0"/>
              <w:snapToGrid w:val="0"/>
              <w:spacing w:line="240" w:lineRule="auto"/>
              <w:jc w:val="center"/>
              <w:rPr>
                <w:sz w:val="18"/>
                <w:szCs w:val="18"/>
              </w:rPr>
            </w:pPr>
            <w:r>
              <w:rPr>
                <w:rFonts w:eastAsia="等线"/>
                <w:sz w:val="18"/>
                <w:szCs w:val="18"/>
              </w:rPr>
              <w:t>Hg</w:t>
            </w:r>
          </w:p>
        </w:tc>
        <w:tc>
          <w:tcPr>
            <w:tcW w:w="718" w:type="dxa"/>
            <w:vAlign w:val="center"/>
          </w:tcPr>
          <w:p>
            <w:pPr>
              <w:adjustRightInd w:val="0"/>
              <w:snapToGrid w:val="0"/>
              <w:spacing w:line="240" w:lineRule="auto"/>
              <w:jc w:val="center"/>
              <w:rPr>
                <w:sz w:val="18"/>
                <w:szCs w:val="18"/>
              </w:rPr>
            </w:pPr>
            <w:r>
              <w:rPr>
                <w:rFonts w:eastAsia="等线"/>
                <w:sz w:val="18"/>
                <w:szCs w:val="18"/>
              </w:rPr>
              <w:t>202</w:t>
            </w:r>
          </w:p>
        </w:tc>
        <w:tc>
          <w:tcPr>
            <w:tcW w:w="2138"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3" w:type="dxa"/>
            <w:vAlign w:val="center"/>
          </w:tcPr>
          <w:p>
            <w:pPr>
              <w:adjustRightInd w:val="0"/>
              <w:snapToGrid w:val="0"/>
              <w:spacing w:line="240" w:lineRule="auto"/>
              <w:jc w:val="center"/>
              <w:rPr>
                <w:sz w:val="18"/>
                <w:szCs w:val="18"/>
              </w:rPr>
            </w:pPr>
            <w:r>
              <w:rPr>
                <w:rFonts w:eastAsia="等线"/>
                <w:sz w:val="18"/>
                <w:szCs w:val="18"/>
              </w:rPr>
              <w:t>Fe</w:t>
            </w:r>
          </w:p>
        </w:tc>
        <w:tc>
          <w:tcPr>
            <w:tcW w:w="546" w:type="dxa"/>
            <w:vAlign w:val="center"/>
          </w:tcPr>
          <w:p>
            <w:pPr>
              <w:adjustRightInd w:val="0"/>
              <w:snapToGrid w:val="0"/>
              <w:spacing w:line="240" w:lineRule="auto"/>
              <w:jc w:val="center"/>
              <w:rPr>
                <w:sz w:val="18"/>
                <w:szCs w:val="18"/>
              </w:rPr>
            </w:pPr>
            <w:r>
              <w:rPr>
                <w:rFonts w:eastAsia="等线"/>
                <w:sz w:val="18"/>
                <w:szCs w:val="18"/>
              </w:rPr>
              <w:t>56</w:t>
            </w:r>
          </w:p>
        </w:tc>
        <w:tc>
          <w:tcPr>
            <w:tcW w:w="1590"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509" w:type="dxa"/>
            <w:vAlign w:val="center"/>
          </w:tcPr>
          <w:p>
            <w:pPr>
              <w:adjustRightInd w:val="0"/>
              <w:snapToGrid w:val="0"/>
              <w:spacing w:line="240" w:lineRule="auto"/>
              <w:jc w:val="center"/>
              <w:rPr>
                <w:sz w:val="18"/>
                <w:szCs w:val="18"/>
              </w:rPr>
            </w:pPr>
            <w:r>
              <w:rPr>
                <w:rFonts w:eastAsia="等线"/>
                <w:sz w:val="18"/>
                <w:szCs w:val="18"/>
              </w:rPr>
              <w:t>Cs</w:t>
            </w:r>
          </w:p>
        </w:tc>
        <w:tc>
          <w:tcPr>
            <w:tcW w:w="916" w:type="dxa"/>
            <w:vAlign w:val="center"/>
          </w:tcPr>
          <w:p>
            <w:pPr>
              <w:adjustRightInd w:val="0"/>
              <w:snapToGrid w:val="0"/>
              <w:spacing w:line="240" w:lineRule="auto"/>
              <w:jc w:val="center"/>
              <w:rPr>
                <w:sz w:val="18"/>
                <w:szCs w:val="18"/>
              </w:rPr>
            </w:pPr>
            <w:r>
              <w:rPr>
                <w:rFonts w:eastAsia="等线"/>
                <w:sz w:val="18"/>
                <w:szCs w:val="18"/>
              </w:rPr>
              <w:t>133</w:t>
            </w:r>
          </w:p>
        </w:tc>
        <w:tc>
          <w:tcPr>
            <w:tcW w:w="1745"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637" w:type="dxa"/>
            <w:vAlign w:val="center"/>
          </w:tcPr>
          <w:p>
            <w:pPr>
              <w:adjustRightInd w:val="0"/>
              <w:snapToGrid w:val="0"/>
              <w:spacing w:line="240" w:lineRule="auto"/>
              <w:jc w:val="center"/>
              <w:rPr>
                <w:sz w:val="18"/>
                <w:szCs w:val="18"/>
              </w:rPr>
            </w:pPr>
            <w:r>
              <w:rPr>
                <w:rFonts w:eastAsia="等线"/>
                <w:sz w:val="18"/>
                <w:szCs w:val="18"/>
              </w:rPr>
              <w:t>Tl</w:t>
            </w:r>
          </w:p>
        </w:tc>
        <w:tc>
          <w:tcPr>
            <w:tcW w:w="718" w:type="dxa"/>
            <w:vAlign w:val="center"/>
          </w:tcPr>
          <w:p>
            <w:pPr>
              <w:adjustRightInd w:val="0"/>
              <w:snapToGrid w:val="0"/>
              <w:spacing w:line="240" w:lineRule="auto"/>
              <w:jc w:val="center"/>
              <w:rPr>
                <w:sz w:val="18"/>
                <w:szCs w:val="18"/>
              </w:rPr>
            </w:pPr>
            <w:r>
              <w:rPr>
                <w:rFonts w:eastAsia="等线"/>
                <w:sz w:val="18"/>
                <w:szCs w:val="18"/>
              </w:rPr>
              <w:t>205</w:t>
            </w:r>
          </w:p>
        </w:tc>
        <w:tc>
          <w:tcPr>
            <w:tcW w:w="2138"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3" w:type="dxa"/>
            <w:vAlign w:val="center"/>
          </w:tcPr>
          <w:p>
            <w:pPr>
              <w:adjustRightInd w:val="0"/>
              <w:snapToGrid w:val="0"/>
              <w:spacing w:line="240" w:lineRule="auto"/>
              <w:jc w:val="center"/>
              <w:rPr>
                <w:sz w:val="18"/>
                <w:szCs w:val="18"/>
              </w:rPr>
            </w:pPr>
            <w:r>
              <w:rPr>
                <w:rFonts w:eastAsia="等线"/>
                <w:sz w:val="18"/>
                <w:szCs w:val="18"/>
              </w:rPr>
              <w:t>Co</w:t>
            </w:r>
          </w:p>
        </w:tc>
        <w:tc>
          <w:tcPr>
            <w:tcW w:w="546" w:type="dxa"/>
            <w:vAlign w:val="center"/>
          </w:tcPr>
          <w:p>
            <w:pPr>
              <w:adjustRightInd w:val="0"/>
              <w:snapToGrid w:val="0"/>
              <w:spacing w:line="240" w:lineRule="auto"/>
              <w:jc w:val="center"/>
              <w:rPr>
                <w:sz w:val="18"/>
                <w:szCs w:val="18"/>
              </w:rPr>
            </w:pPr>
            <w:r>
              <w:rPr>
                <w:rFonts w:eastAsia="等线"/>
                <w:sz w:val="18"/>
                <w:szCs w:val="18"/>
              </w:rPr>
              <w:t>59</w:t>
            </w:r>
          </w:p>
        </w:tc>
        <w:tc>
          <w:tcPr>
            <w:tcW w:w="1590"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509" w:type="dxa"/>
            <w:vAlign w:val="center"/>
          </w:tcPr>
          <w:p>
            <w:pPr>
              <w:adjustRightInd w:val="0"/>
              <w:snapToGrid w:val="0"/>
              <w:spacing w:line="240" w:lineRule="auto"/>
              <w:jc w:val="center"/>
              <w:rPr>
                <w:sz w:val="18"/>
                <w:szCs w:val="18"/>
              </w:rPr>
            </w:pPr>
            <w:r>
              <w:rPr>
                <w:rFonts w:eastAsia="等线"/>
                <w:sz w:val="18"/>
                <w:szCs w:val="18"/>
              </w:rPr>
              <w:t>Ba</w:t>
            </w:r>
          </w:p>
        </w:tc>
        <w:tc>
          <w:tcPr>
            <w:tcW w:w="916" w:type="dxa"/>
            <w:vAlign w:val="center"/>
          </w:tcPr>
          <w:p>
            <w:pPr>
              <w:adjustRightInd w:val="0"/>
              <w:snapToGrid w:val="0"/>
              <w:spacing w:line="240" w:lineRule="auto"/>
              <w:jc w:val="center"/>
              <w:rPr>
                <w:sz w:val="18"/>
                <w:szCs w:val="18"/>
              </w:rPr>
            </w:pPr>
            <w:r>
              <w:rPr>
                <w:rFonts w:eastAsia="等线"/>
                <w:sz w:val="18"/>
                <w:szCs w:val="18"/>
              </w:rPr>
              <w:t>138</w:t>
            </w:r>
          </w:p>
        </w:tc>
        <w:tc>
          <w:tcPr>
            <w:tcW w:w="1745"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637" w:type="dxa"/>
            <w:vAlign w:val="center"/>
          </w:tcPr>
          <w:p>
            <w:pPr>
              <w:adjustRightInd w:val="0"/>
              <w:snapToGrid w:val="0"/>
              <w:spacing w:line="240" w:lineRule="auto"/>
              <w:jc w:val="center"/>
              <w:rPr>
                <w:sz w:val="18"/>
                <w:szCs w:val="18"/>
              </w:rPr>
            </w:pPr>
            <w:r>
              <w:rPr>
                <w:rFonts w:eastAsia="等线"/>
                <w:sz w:val="18"/>
                <w:szCs w:val="18"/>
              </w:rPr>
              <w:t>Pb</w:t>
            </w:r>
          </w:p>
        </w:tc>
        <w:tc>
          <w:tcPr>
            <w:tcW w:w="718" w:type="dxa"/>
            <w:vAlign w:val="center"/>
          </w:tcPr>
          <w:p>
            <w:pPr>
              <w:adjustRightInd w:val="0"/>
              <w:snapToGrid w:val="0"/>
              <w:spacing w:line="240" w:lineRule="auto"/>
              <w:jc w:val="center"/>
              <w:rPr>
                <w:sz w:val="18"/>
                <w:szCs w:val="18"/>
              </w:rPr>
            </w:pPr>
            <w:r>
              <w:rPr>
                <w:rFonts w:eastAsia="等线"/>
                <w:sz w:val="18"/>
                <w:szCs w:val="18"/>
              </w:rPr>
              <w:t>208</w:t>
            </w:r>
          </w:p>
        </w:tc>
        <w:tc>
          <w:tcPr>
            <w:tcW w:w="2138"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3" w:type="dxa"/>
            <w:vAlign w:val="center"/>
          </w:tcPr>
          <w:p>
            <w:pPr>
              <w:adjustRightInd w:val="0"/>
              <w:snapToGrid w:val="0"/>
              <w:spacing w:line="240" w:lineRule="auto"/>
              <w:jc w:val="center"/>
              <w:rPr>
                <w:sz w:val="18"/>
                <w:szCs w:val="18"/>
              </w:rPr>
            </w:pPr>
            <w:r>
              <w:rPr>
                <w:rFonts w:eastAsia="等线"/>
                <w:sz w:val="18"/>
                <w:szCs w:val="18"/>
              </w:rPr>
              <w:t>Ni</w:t>
            </w:r>
          </w:p>
        </w:tc>
        <w:tc>
          <w:tcPr>
            <w:tcW w:w="546" w:type="dxa"/>
            <w:vAlign w:val="center"/>
          </w:tcPr>
          <w:p>
            <w:pPr>
              <w:adjustRightInd w:val="0"/>
              <w:snapToGrid w:val="0"/>
              <w:spacing w:line="240" w:lineRule="auto"/>
              <w:jc w:val="center"/>
              <w:rPr>
                <w:sz w:val="18"/>
                <w:szCs w:val="18"/>
              </w:rPr>
            </w:pPr>
            <w:r>
              <w:rPr>
                <w:rFonts w:eastAsia="等线"/>
                <w:sz w:val="18"/>
                <w:szCs w:val="18"/>
              </w:rPr>
              <w:t>58</w:t>
            </w:r>
          </w:p>
        </w:tc>
        <w:tc>
          <w:tcPr>
            <w:tcW w:w="1590"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509" w:type="dxa"/>
            <w:vAlign w:val="center"/>
          </w:tcPr>
          <w:p>
            <w:pPr>
              <w:adjustRightInd w:val="0"/>
              <w:snapToGrid w:val="0"/>
              <w:spacing w:line="240" w:lineRule="auto"/>
              <w:jc w:val="center"/>
              <w:rPr>
                <w:sz w:val="18"/>
                <w:szCs w:val="18"/>
              </w:rPr>
            </w:pPr>
            <w:r>
              <w:rPr>
                <w:rFonts w:eastAsia="等线"/>
                <w:sz w:val="18"/>
                <w:szCs w:val="18"/>
              </w:rPr>
              <w:t>La</w:t>
            </w:r>
          </w:p>
        </w:tc>
        <w:tc>
          <w:tcPr>
            <w:tcW w:w="916" w:type="dxa"/>
            <w:vAlign w:val="center"/>
          </w:tcPr>
          <w:p>
            <w:pPr>
              <w:adjustRightInd w:val="0"/>
              <w:snapToGrid w:val="0"/>
              <w:spacing w:line="240" w:lineRule="auto"/>
              <w:jc w:val="center"/>
              <w:rPr>
                <w:sz w:val="18"/>
                <w:szCs w:val="18"/>
              </w:rPr>
            </w:pPr>
            <w:r>
              <w:rPr>
                <w:rFonts w:eastAsia="等线"/>
                <w:sz w:val="18"/>
                <w:szCs w:val="18"/>
              </w:rPr>
              <w:t>139</w:t>
            </w:r>
          </w:p>
        </w:tc>
        <w:tc>
          <w:tcPr>
            <w:tcW w:w="1745"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637" w:type="dxa"/>
            <w:vAlign w:val="center"/>
          </w:tcPr>
          <w:p>
            <w:pPr>
              <w:adjustRightInd w:val="0"/>
              <w:snapToGrid w:val="0"/>
              <w:spacing w:line="240" w:lineRule="auto"/>
              <w:jc w:val="center"/>
              <w:rPr>
                <w:sz w:val="18"/>
                <w:szCs w:val="18"/>
              </w:rPr>
            </w:pPr>
            <w:r>
              <w:rPr>
                <w:rFonts w:eastAsia="等线"/>
                <w:sz w:val="18"/>
                <w:szCs w:val="18"/>
              </w:rPr>
              <w:t>Bi</w:t>
            </w:r>
          </w:p>
        </w:tc>
        <w:tc>
          <w:tcPr>
            <w:tcW w:w="718" w:type="dxa"/>
            <w:vAlign w:val="center"/>
          </w:tcPr>
          <w:p>
            <w:pPr>
              <w:adjustRightInd w:val="0"/>
              <w:snapToGrid w:val="0"/>
              <w:spacing w:line="240" w:lineRule="auto"/>
              <w:jc w:val="center"/>
              <w:rPr>
                <w:sz w:val="18"/>
                <w:szCs w:val="18"/>
              </w:rPr>
            </w:pPr>
            <w:r>
              <w:rPr>
                <w:rFonts w:eastAsia="等线"/>
                <w:sz w:val="18"/>
                <w:szCs w:val="18"/>
              </w:rPr>
              <w:t>209</w:t>
            </w:r>
          </w:p>
        </w:tc>
        <w:tc>
          <w:tcPr>
            <w:tcW w:w="2138"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3" w:type="dxa"/>
            <w:vAlign w:val="center"/>
          </w:tcPr>
          <w:p>
            <w:pPr>
              <w:adjustRightInd w:val="0"/>
              <w:snapToGrid w:val="0"/>
              <w:spacing w:line="240" w:lineRule="auto"/>
              <w:jc w:val="center"/>
              <w:rPr>
                <w:sz w:val="18"/>
                <w:szCs w:val="18"/>
              </w:rPr>
            </w:pPr>
            <w:r>
              <w:rPr>
                <w:rFonts w:eastAsia="等线"/>
                <w:sz w:val="18"/>
                <w:szCs w:val="18"/>
              </w:rPr>
              <w:t>Cu</w:t>
            </w:r>
          </w:p>
        </w:tc>
        <w:tc>
          <w:tcPr>
            <w:tcW w:w="546" w:type="dxa"/>
            <w:vAlign w:val="center"/>
          </w:tcPr>
          <w:p>
            <w:pPr>
              <w:adjustRightInd w:val="0"/>
              <w:snapToGrid w:val="0"/>
              <w:spacing w:line="240" w:lineRule="auto"/>
              <w:jc w:val="center"/>
              <w:rPr>
                <w:sz w:val="18"/>
                <w:szCs w:val="18"/>
              </w:rPr>
            </w:pPr>
            <w:r>
              <w:rPr>
                <w:rFonts w:eastAsia="等线"/>
                <w:sz w:val="18"/>
                <w:szCs w:val="18"/>
              </w:rPr>
              <w:t>63</w:t>
            </w:r>
          </w:p>
        </w:tc>
        <w:tc>
          <w:tcPr>
            <w:tcW w:w="1590" w:type="dxa"/>
            <w:vAlign w:val="center"/>
          </w:tcPr>
          <w:p>
            <w:pPr>
              <w:adjustRightInd w:val="0"/>
              <w:snapToGrid w:val="0"/>
              <w:spacing w:line="240" w:lineRule="auto"/>
              <w:jc w:val="center"/>
              <w:rPr>
                <w:rFonts w:eastAsia="等线"/>
                <w:sz w:val="18"/>
                <w:szCs w:val="18"/>
              </w:rPr>
            </w:pPr>
            <w:r>
              <w:rPr>
                <w:rFonts w:hAnsi="宋体" w:eastAsia="宋体"/>
                <w:sz w:val="18"/>
                <w:szCs w:val="18"/>
              </w:rPr>
              <w:t>氧化钪</w:t>
            </w:r>
            <w:r>
              <w:rPr>
                <w:rFonts w:eastAsia="等线"/>
                <w:sz w:val="18"/>
                <w:szCs w:val="18"/>
                <w:vertAlign w:val="superscript"/>
              </w:rPr>
              <w:t>47</w:t>
            </w:r>
            <w:r>
              <w:rPr>
                <w:rFonts w:eastAsia="等线"/>
                <w:sz w:val="18"/>
                <w:szCs w:val="18"/>
              </w:rPr>
              <w:t>Sc</w:t>
            </w:r>
            <w:r>
              <w:rPr>
                <w:rFonts w:eastAsia="等线"/>
                <w:sz w:val="18"/>
                <w:szCs w:val="18"/>
                <w:vertAlign w:val="superscript"/>
              </w:rPr>
              <w:t>18</w:t>
            </w:r>
            <w:r>
              <w:rPr>
                <w:rFonts w:eastAsia="等线"/>
                <w:sz w:val="18"/>
                <w:szCs w:val="18"/>
              </w:rPr>
              <w:t>O</w:t>
            </w:r>
            <w:r>
              <w:rPr>
                <w:rFonts w:hAnsi="宋体" w:eastAsia="宋体"/>
                <w:sz w:val="18"/>
                <w:szCs w:val="18"/>
              </w:rPr>
              <w:t>干扰，选</w:t>
            </w:r>
            <w:r>
              <w:rPr>
                <w:rFonts w:eastAsia="宋体"/>
                <w:sz w:val="18"/>
                <w:szCs w:val="18"/>
                <w:vertAlign w:val="superscript"/>
              </w:rPr>
              <w:t>65</w:t>
            </w:r>
            <w:r>
              <w:rPr>
                <w:rFonts w:eastAsia="等线"/>
                <w:sz w:val="18"/>
                <w:szCs w:val="18"/>
              </w:rPr>
              <w:t>Cu</w:t>
            </w:r>
          </w:p>
        </w:tc>
        <w:tc>
          <w:tcPr>
            <w:tcW w:w="509" w:type="dxa"/>
            <w:vAlign w:val="center"/>
          </w:tcPr>
          <w:p>
            <w:pPr>
              <w:adjustRightInd w:val="0"/>
              <w:snapToGrid w:val="0"/>
              <w:spacing w:line="240" w:lineRule="auto"/>
              <w:jc w:val="center"/>
              <w:rPr>
                <w:sz w:val="18"/>
                <w:szCs w:val="18"/>
              </w:rPr>
            </w:pPr>
            <w:r>
              <w:rPr>
                <w:rFonts w:eastAsia="等线"/>
                <w:sz w:val="18"/>
                <w:szCs w:val="18"/>
              </w:rPr>
              <w:t>Ce</w:t>
            </w:r>
          </w:p>
        </w:tc>
        <w:tc>
          <w:tcPr>
            <w:tcW w:w="916" w:type="dxa"/>
            <w:vAlign w:val="center"/>
          </w:tcPr>
          <w:p>
            <w:pPr>
              <w:adjustRightInd w:val="0"/>
              <w:snapToGrid w:val="0"/>
              <w:spacing w:line="240" w:lineRule="auto"/>
              <w:jc w:val="center"/>
              <w:rPr>
                <w:sz w:val="18"/>
                <w:szCs w:val="18"/>
              </w:rPr>
            </w:pPr>
            <w:r>
              <w:rPr>
                <w:rFonts w:eastAsia="等线"/>
                <w:sz w:val="18"/>
                <w:szCs w:val="18"/>
              </w:rPr>
              <w:t>140</w:t>
            </w:r>
          </w:p>
        </w:tc>
        <w:tc>
          <w:tcPr>
            <w:tcW w:w="1745"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637" w:type="dxa"/>
            <w:vAlign w:val="center"/>
          </w:tcPr>
          <w:p>
            <w:pPr>
              <w:adjustRightInd w:val="0"/>
              <w:snapToGrid w:val="0"/>
              <w:spacing w:line="240" w:lineRule="auto"/>
              <w:jc w:val="center"/>
              <w:rPr>
                <w:sz w:val="18"/>
                <w:szCs w:val="18"/>
              </w:rPr>
            </w:pPr>
            <w:r>
              <w:rPr>
                <w:rFonts w:eastAsia="等线"/>
                <w:sz w:val="18"/>
                <w:szCs w:val="18"/>
              </w:rPr>
              <w:t>Th</w:t>
            </w:r>
          </w:p>
        </w:tc>
        <w:tc>
          <w:tcPr>
            <w:tcW w:w="718" w:type="dxa"/>
            <w:vAlign w:val="center"/>
          </w:tcPr>
          <w:p>
            <w:pPr>
              <w:adjustRightInd w:val="0"/>
              <w:snapToGrid w:val="0"/>
              <w:spacing w:line="240" w:lineRule="auto"/>
              <w:jc w:val="center"/>
              <w:rPr>
                <w:sz w:val="18"/>
                <w:szCs w:val="18"/>
              </w:rPr>
            </w:pPr>
            <w:r>
              <w:rPr>
                <w:rFonts w:eastAsia="等线"/>
                <w:sz w:val="18"/>
                <w:szCs w:val="18"/>
              </w:rPr>
              <w:t>232</w:t>
            </w:r>
          </w:p>
        </w:tc>
        <w:tc>
          <w:tcPr>
            <w:tcW w:w="2138"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3" w:type="dxa"/>
            <w:vAlign w:val="center"/>
          </w:tcPr>
          <w:p>
            <w:pPr>
              <w:adjustRightInd w:val="0"/>
              <w:snapToGrid w:val="0"/>
              <w:spacing w:line="240" w:lineRule="auto"/>
              <w:jc w:val="center"/>
              <w:rPr>
                <w:sz w:val="18"/>
                <w:szCs w:val="18"/>
              </w:rPr>
            </w:pPr>
            <w:r>
              <w:rPr>
                <w:rFonts w:eastAsia="等线"/>
                <w:sz w:val="18"/>
                <w:szCs w:val="18"/>
              </w:rPr>
              <w:t>Zn</w:t>
            </w:r>
          </w:p>
        </w:tc>
        <w:tc>
          <w:tcPr>
            <w:tcW w:w="546" w:type="dxa"/>
            <w:vAlign w:val="center"/>
          </w:tcPr>
          <w:p>
            <w:pPr>
              <w:adjustRightInd w:val="0"/>
              <w:snapToGrid w:val="0"/>
              <w:spacing w:line="240" w:lineRule="auto"/>
              <w:jc w:val="center"/>
              <w:rPr>
                <w:sz w:val="18"/>
                <w:szCs w:val="18"/>
              </w:rPr>
            </w:pPr>
            <w:r>
              <w:rPr>
                <w:rFonts w:eastAsia="等线"/>
                <w:sz w:val="18"/>
                <w:szCs w:val="18"/>
              </w:rPr>
              <w:t>6466</w:t>
            </w:r>
          </w:p>
        </w:tc>
        <w:tc>
          <w:tcPr>
            <w:tcW w:w="1590"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509" w:type="dxa"/>
            <w:vAlign w:val="center"/>
          </w:tcPr>
          <w:p>
            <w:pPr>
              <w:adjustRightInd w:val="0"/>
              <w:snapToGrid w:val="0"/>
              <w:spacing w:line="240" w:lineRule="auto"/>
              <w:jc w:val="center"/>
              <w:rPr>
                <w:sz w:val="18"/>
                <w:szCs w:val="18"/>
              </w:rPr>
            </w:pPr>
            <w:r>
              <w:rPr>
                <w:rFonts w:eastAsia="等线"/>
                <w:sz w:val="18"/>
                <w:szCs w:val="18"/>
              </w:rPr>
              <w:t>Pr</w:t>
            </w:r>
          </w:p>
        </w:tc>
        <w:tc>
          <w:tcPr>
            <w:tcW w:w="916" w:type="dxa"/>
            <w:vAlign w:val="center"/>
          </w:tcPr>
          <w:p>
            <w:pPr>
              <w:adjustRightInd w:val="0"/>
              <w:snapToGrid w:val="0"/>
              <w:spacing w:line="240" w:lineRule="auto"/>
              <w:jc w:val="center"/>
              <w:rPr>
                <w:sz w:val="18"/>
                <w:szCs w:val="18"/>
              </w:rPr>
            </w:pPr>
            <w:r>
              <w:rPr>
                <w:rFonts w:eastAsia="等线"/>
                <w:sz w:val="18"/>
                <w:szCs w:val="18"/>
              </w:rPr>
              <w:t>141</w:t>
            </w:r>
          </w:p>
        </w:tc>
        <w:tc>
          <w:tcPr>
            <w:tcW w:w="1745"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637" w:type="dxa"/>
            <w:vAlign w:val="center"/>
          </w:tcPr>
          <w:p>
            <w:pPr>
              <w:adjustRightInd w:val="0"/>
              <w:snapToGrid w:val="0"/>
              <w:spacing w:line="240" w:lineRule="auto"/>
              <w:jc w:val="center"/>
              <w:rPr>
                <w:sz w:val="18"/>
                <w:szCs w:val="18"/>
              </w:rPr>
            </w:pPr>
            <w:r>
              <w:rPr>
                <w:rFonts w:eastAsia="等线"/>
                <w:sz w:val="18"/>
                <w:szCs w:val="18"/>
              </w:rPr>
              <w:t>U</w:t>
            </w:r>
          </w:p>
        </w:tc>
        <w:tc>
          <w:tcPr>
            <w:tcW w:w="718" w:type="dxa"/>
            <w:vAlign w:val="center"/>
          </w:tcPr>
          <w:p>
            <w:pPr>
              <w:adjustRightInd w:val="0"/>
              <w:snapToGrid w:val="0"/>
              <w:spacing w:line="240" w:lineRule="auto"/>
              <w:jc w:val="center"/>
              <w:rPr>
                <w:sz w:val="18"/>
                <w:szCs w:val="18"/>
              </w:rPr>
            </w:pPr>
            <w:r>
              <w:rPr>
                <w:rFonts w:eastAsia="等线"/>
                <w:sz w:val="18"/>
                <w:szCs w:val="18"/>
              </w:rPr>
              <w:t>238</w:t>
            </w:r>
          </w:p>
        </w:tc>
        <w:tc>
          <w:tcPr>
            <w:tcW w:w="2138"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3" w:type="dxa"/>
            <w:vAlign w:val="center"/>
          </w:tcPr>
          <w:p>
            <w:pPr>
              <w:adjustRightInd w:val="0"/>
              <w:snapToGrid w:val="0"/>
              <w:spacing w:line="240" w:lineRule="auto"/>
              <w:jc w:val="center"/>
              <w:rPr>
                <w:sz w:val="18"/>
                <w:szCs w:val="18"/>
              </w:rPr>
            </w:pPr>
            <w:r>
              <w:rPr>
                <w:rFonts w:eastAsia="等线"/>
                <w:sz w:val="18"/>
                <w:szCs w:val="18"/>
              </w:rPr>
              <w:t>Ga</w:t>
            </w:r>
          </w:p>
        </w:tc>
        <w:tc>
          <w:tcPr>
            <w:tcW w:w="546" w:type="dxa"/>
            <w:vAlign w:val="center"/>
          </w:tcPr>
          <w:p>
            <w:pPr>
              <w:adjustRightInd w:val="0"/>
              <w:snapToGrid w:val="0"/>
              <w:spacing w:line="240" w:lineRule="auto"/>
              <w:jc w:val="center"/>
              <w:rPr>
                <w:sz w:val="18"/>
                <w:szCs w:val="18"/>
              </w:rPr>
            </w:pPr>
            <w:r>
              <w:rPr>
                <w:rFonts w:eastAsia="等线"/>
                <w:sz w:val="18"/>
                <w:szCs w:val="18"/>
              </w:rPr>
              <w:t>69</w:t>
            </w:r>
          </w:p>
        </w:tc>
        <w:tc>
          <w:tcPr>
            <w:tcW w:w="1590"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509" w:type="dxa"/>
            <w:vAlign w:val="center"/>
          </w:tcPr>
          <w:p>
            <w:pPr>
              <w:adjustRightInd w:val="0"/>
              <w:snapToGrid w:val="0"/>
              <w:spacing w:line="240" w:lineRule="auto"/>
              <w:jc w:val="center"/>
              <w:rPr>
                <w:sz w:val="18"/>
                <w:szCs w:val="18"/>
              </w:rPr>
            </w:pPr>
            <w:r>
              <w:rPr>
                <w:rFonts w:eastAsia="等线"/>
                <w:sz w:val="18"/>
                <w:szCs w:val="18"/>
              </w:rPr>
              <w:t>Nd</w:t>
            </w:r>
          </w:p>
        </w:tc>
        <w:tc>
          <w:tcPr>
            <w:tcW w:w="916" w:type="dxa"/>
            <w:vAlign w:val="center"/>
          </w:tcPr>
          <w:p>
            <w:pPr>
              <w:adjustRightInd w:val="0"/>
              <w:snapToGrid w:val="0"/>
              <w:spacing w:line="240" w:lineRule="auto"/>
              <w:jc w:val="center"/>
              <w:rPr>
                <w:sz w:val="18"/>
                <w:szCs w:val="18"/>
              </w:rPr>
            </w:pPr>
            <w:r>
              <w:rPr>
                <w:rFonts w:eastAsia="等线"/>
                <w:sz w:val="18"/>
                <w:szCs w:val="18"/>
              </w:rPr>
              <w:t>146</w:t>
            </w:r>
          </w:p>
        </w:tc>
        <w:tc>
          <w:tcPr>
            <w:tcW w:w="1745" w:type="dxa"/>
            <w:vAlign w:val="center"/>
          </w:tcPr>
          <w:p>
            <w:pPr>
              <w:adjustRightInd w:val="0"/>
              <w:snapToGrid w:val="0"/>
              <w:spacing w:line="240" w:lineRule="auto"/>
              <w:jc w:val="center"/>
              <w:rPr>
                <w:rFonts w:eastAsia="等线"/>
                <w:sz w:val="18"/>
                <w:szCs w:val="18"/>
              </w:rPr>
            </w:pPr>
            <w:r>
              <w:rPr>
                <w:rFonts w:hAnsi="宋体" w:eastAsia="宋体"/>
                <w:sz w:val="18"/>
                <w:szCs w:val="18"/>
              </w:rPr>
              <w:t>氧化钐</w:t>
            </w:r>
            <w:r>
              <w:rPr>
                <w:rFonts w:eastAsia="宋体"/>
                <w:sz w:val="18"/>
                <w:szCs w:val="18"/>
                <w:vertAlign w:val="superscript"/>
              </w:rPr>
              <w:t>144</w:t>
            </w:r>
            <w:r>
              <w:rPr>
                <w:rFonts w:eastAsia="宋体"/>
                <w:sz w:val="18"/>
                <w:szCs w:val="18"/>
              </w:rPr>
              <w:t>Sm</w:t>
            </w:r>
            <w:r>
              <w:rPr>
                <w:rFonts w:eastAsia="宋体"/>
                <w:sz w:val="18"/>
                <w:szCs w:val="18"/>
                <w:vertAlign w:val="superscript"/>
              </w:rPr>
              <w:t>2</w:t>
            </w:r>
            <w:r>
              <w:rPr>
                <w:rFonts w:eastAsia="宋体"/>
                <w:sz w:val="18"/>
                <w:szCs w:val="18"/>
              </w:rPr>
              <w:t>H</w:t>
            </w:r>
            <w:r>
              <w:rPr>
                <w:rFonts w:hAnsi="宋体" w:eastAsia="宋体"/>
                <w:sz w:val="18"/>
                <w:szCs w:val="18"/>
              </w:rPr>
              <w:t>，选</w:t>
            </w:r>
            <w:r>
              <w:rPr>
                <w:rFonts w:eastAsia="宋体"/>
                <w:sz w:val="18"/>
                <w:szCs w:val="18"/>
                <w:vertAlign w:val="superscript"/>
              </w:rPr>
              <w:t>142</w:t>
            </w:r>
            <w:r>
              <w:rPr>
                <w:rFonts w:eastAsia="宋体"/>
                <w:sz w:val="18"/>
                <w:szCs w:val="18"/>
              </w:rPr>
              <w:t>Nd</w:t>
            </w:r>
          </w:p>
        </w:tc>
        <w:tc>
          <w:tcPr>
            <w:tcW w:w="637" w:type="dxa"/>
            <w:vAlign w:val="center"/>
          </w:tcPr>
          <w:p>
            <w:pPr>
              <w:adjustRightInd w:val="0"/>
              <w:snapToGrid w:val="0"/>
              <w:spacing w:line="240" w:lineRule="auto"/>
              <w:jc w:val="center"/>
              <w:rPr>
                <w:sz w:val="18"/>
                <w:szCs w:val="18"/>
              </w:rPr>
            </w:pPr>
          </w:p>
        </w:tc>
        <w:tc>
          <w:tcPr>
            <w:tcW w:w="718" w:type="dxa"/>
            <w:vAlign w:val="center"/>
          </w:tcPr>
          <w:p>
            <w:pPr>
              <w:adjustRightInd w:val="0"/>
              <w:snapToGrid w:val="0"/>
              <w:spacing w:line="240" w:lineRule="auto"/>
              <w:jc w:val="center"/>
              <w:rPr>
                <w:sz w:val="18"/>
                <w:szCs w:val="18"/>
              </w:rPr>
            </w:pPr>
          </w:p>
        </w:tc>
        <w:tc>
          <w:tcPr>
            <w:tcW w:w="2138"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3" w:type="dxa"/>
            <w:vAlign w:val="center"/>
          </w:tcPr>
          <w:p>
            <w:pPr>
              <w:adjustRightInd w:val="0"/>
              <w:snapToGrid w:val="0"/>
              <w:spacing w:line="240" w:lineRule="auto"/>
              <w:jc w:val="center"/>
              <w:rPr>
                <w:sz w:val="18"/>
                <w:szCs w:val="18"/>
              </w:rPr>
            </w:pPr>
            <w:r>
              <w:rPr>
                <w:rFonts w:eastAsia="等线"/>
                <w:sz w:val="18"/>
                <w:szCs w:val="18"/>
              </w:rPr>
              <w:t>Ge</w:t>
            </w:r>
          </w:p>
        </w:tc>
        <w:tc>
          <w:tcPr>
            <w:tcW w:w="546" w:type="dxa"/>
            <w:vAlign w:val="center"/>
          </w:tcPr>
          <w:p>
            <w:pPr>
              <w:adjustRightInd w:val="0"/>
              <w:snapToGrid w:val="0"/>
              <w:spacing w:line="240" w:lineRule="auto"/>
              <w:jc w:val="center"/>
              <w:rPr>
                <w:sz w:val="18"/>
                <w:szCs w:val="18"/>
              </w:rPr>
            </w:pPr>
            <w:r>
              <w:rPr>
                <w:rFonts w:eastAsia="等线"/>
                <w:sz w:val="18"/>
                <w:szCs w:val="18"/>
              </w:rPr>
              <w:t>70</w:t>
            </w:r>
          </w:p>
        </w:tc>
        <w:tc>
          <w:tcPr>
            <w:tcW w:w="1590" w:type="dxa"/>
            <w:vAlign w:val="center"/>
          </w:tcPr>
          <w:p>
            <w:pPr>
              <w:adjustRightInd w:val="0"/>
              <w:snapToGrid w:val="0"/>
              <w:spacing w:line="240" w:lineRule="auto"/>
              <w:jc w:val="center"/>
              <w:rPr>
                <w:rFonts w:eastAsia="等线"/>
                <w:sz w:val="18"/>
                <w:szCs w:val="18"/>
              </w:rPr>
            </w:pPr>
            <w:r>
              <w:rPr>
                <w:rFonts w:hAnsi="宋体" w:eastAsia="宋体"/>
                <w:sz w:val="18"/>
                <w:szCs w:val="18"/>
              </w:rPr>
              <w:t>氧化铈</w:t>
            </w:r>
            <w:r>
              <w:rPr>
                <w:rFonts w:eastAsia="宋体"/>
                <w:sz w:val="18"/>
                <w:szCs w:val="18"/>
                <w:vertAlign w:val="superscript"/>
              </w:rPr>
              <w:t>140</w:t>
            </w:r>
            <w:r>
              <w:rPr>
                <w:rFonts w:eastAsia="宋体"/>
                <w:sz w:val="18"/>
                <w:szCs w:val="18"/>
              </w:rPr>
              <w:t>Ce</w:t>
            </w:r>
            <w:r>
              <w:rPr>
                <w:rFonts w:hAnsi="宋体" w:eastAsia="宋体"/>
                <w:sz w:val="18"/>
                <w:szCs w:val="18"/>
              </w:rPr>
              <w:t>双电荷干扰，选</w:t>
            </w:r>
            <w:r>
              <w:rPr>
                <w:rFonts w:eastAsia="宋体"/>
                <w:sz w:val="18"/>
                <w:szCs w:val="18"/>
              </w:rPr>
              <w:t xml:space="preserve"> </w:t>
            </w:r>
            <w:r>
              <w:rPr>
                <w:rFonts w:eastAsia="宋体"/>
                <w:sz w:val="18"/>
                <w:szCs w:val="18"/>
                <w:vertAlign w:val="superscript"/>
              </w:rPr>
              <w:t>73</w:t>
            </w:r>
            <w:r>
              <w:rPr>
                <w:rFonts w:eastAsia="等线"/>
                <w:sz w:val="18"/>
                <w:szCs w:val="18"/>
                <w:vertAlign w:val="superscript"/>
              </w:rPr>
              <w:t xml:space="preserve"> </w:t>
            </w:r>
            <w:r>
              <w:rPr>
                <w:rFonts w:eastAsia="等线"/>
                <w:sz w:val="18"/>
                <w:szCs w:val="18"/>
              </w:rPr>
              <w:t>Ge</w:t>
            </w:r>
          </w:p>
        </w:tc>
        <w:tc>
          <w:tcPr>
            <w:tcW w:w="509" w:type="dxa"/>
            <w:vAlign w:val="center"/>
          </w:tcPr>
          <w:p>
            <w:pPr>
              <w:adjustRightInd w:val="0"/>
              <w:snapToGrid w:val="0"/>
              <w:spacing w:line="240" w:lineRule="auto"/>
              <w:jc w:val="center"/>
              <w:rPr>
                <w:sz w:val="18"/>
                <w:szCs w:val="18"/>
              </w:rPr>
            </w:pPr>
            <w:r>
              <w:rPr>
                <w:rFonts w:eastAsia="等线"/>
                <w:sz w:val="18"/>
                <w:szCs w:val="18"/>
              </w:rPr>
              <w:t>Sm</w:t>
            </w:r>
          </w:p>
        </w:tc>
        <w:tc>
          <w:tcPr>
            <w:tcW w:w="916" w:type="dxa"/>
            <w:vAlign w:val="center"/>
          </w:tcPr>
          <w:p>
            <w:pPr>
              <w:adjustRightInd w:val="0"/>
              <w:snapToGrid w:val="0"/>
              <w:spacing w:line="240" w:lineRule="auto"/>
              <w:jc w:val="center"/>
              <w:rPr>
                <w:sz w:val="18"/>
                <w:szCs w:val="18"/>
              </w:rPr>
            </w:pPr>
            <w:r>
              <w:rPr>
                <w:rFonts w:eastAsia="等线"/>
                <w:sz w:val="18"/>
                <w:szCs w:val="18"/>
              </w:rPr>
              <w:t>147</w:t>
            </w:r>
          </w:p>
        </w:tc>
        <w:tc>
          <w:tcPr>
            <w:tcW w:w="1745"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c>
          <w:tcPr>
            <w:tcW w:w="637" w:type="dxa"/>
            <w:vAlign w:val="center"/>
          </w:tcPr>
          <w:p>
            <w:pPr>
              <w:adjustRightInd w:val="0"/>
              <w:snapToGrid w:val="0"/>
              <w:spacing w:line="240" w:lineRule="auto"/>
              <w:jc w:val="center"/>
              <w:rPr>
                <w:sz w:val="18"/>
                <w:szCs w:val="18"/>
              </w:rPr>
            </w:pPr>
          </w:p>
        </w:tc>
        <w:tc>
          <w:tcPr>
            <w:tcW w:w="718" w:type="dxa"/>
            <w:vAlign w:val="center"/>
          </w:tcPr>
          <w:p>
            <w:pPr>
              <w:adjustRightInd w:val="0"/>
              <w:snapToGrid w:val="0"/>
              <w:spacing w:line="240" w:lineRule="auto"/>
              <w:jc w:val="center"/>
              <w:rPr>
                <w:sz w:val="18"/>
                <w:szCs w:val="18"/>
              </w:rPr>
            </w:pPr>
          </w:p>
        </w:tc>
        <w:tc>
          <w:tcPr>
            <w:tcW w:w="2138" w:type="dxa"/>
            <w:vAlign w:val="center"/>
          </w:tcPr>
          <w:p>
            <w:pPr>
              <w:adjustRightInd w:val="0"/>
              <w:snapToGrid w:val="0"/>
              <w:spacing w:line="240" w:lineRule="auto"/>
              <w:jc w:val="center"/>
              <w:rPr>
                <w:rFonts w:eastAsia="等线"/>
                <w:sz w:val="18"/>
                <w:szCs w:val="18"/>
              </w:rPr>
            </w:pPr>
            <w:r>
              <w:rPr>
                <w:rFonts w:hint="eastAsia" w:eastAsia="等线"/>
                <w:sz w:val="18"/>
                <w:szCs w:val="18"/>
              </w:rPr>
              <w:t>--</w:t>
            </w:r>
          </w:p>
        </w:tc>
      </w:tr>
    </w:tbl>
    <w:p>
      <w:pPr>
        <w:spacing w:line="276" w:lineRule="auto"/>
      </w:pPr>
      <w:r>
        <w:rPr>
          <w:rFonts w:hint="eastAsia"/>
        </w:rPr>
        <w:t>（六）</w:t>
      </w:r>
      <w:r>
        <w:t>试样</w:t>
      </w:r>
    </w:p>
    <w:p>
      <w:pPr>
        <w:spacing w:line="276" w:lineRule="auto"/>
        <w:ind w:firstLine="420" w:firstLineChars="200"/>
      </w:pPr>
      <w:r>
        <w:t>稀土氧化物试样要具有均匀性和代表性，并于</w:t>
      </w:r>
      <w:r>
        <w:rPr>
          <w:rFonts w:hint="eastAsia"/>
        </w:rPr>
        <w:t>105</w:t>
      </w:r>
      <w:r>
        <w:rPr>
          <w:rFonts w:hint="eastAsia" w:ascii="宋体" w:hAnsi="宋体" w:cs="宋体"/>
        </w:rPr>
        <w:t>℃</w:t>
      </w:r>
      <w:r>
        <w:rPr>
          <w:rFonts w:hint="eastAsia"/>
        </w:rPr>
        <w:t>烘</w:t>
      </w:r>
      <w:r>
        <w:t>1h，置于干燥器中，冷却至室温后立即进行测试。</w:t>
      </w:r>
    </w:p>
    <w:p>
      <w:pPr>
        <w:tabs>
          <w:tab w:val="left" w:pos="315"/>
        </w:tabs>
        <w:autoSpaceDE w:val="0"/>
        <w:autoSpaceDN w:val="0"/>
        <w:adjustRightInd w:val="0"/>
        <w:spacing w:line="276" w:lineRule="auto"/>
        <w:jc w:val="left"/>
      </w:pPr>
      <w:r>
        <w:rPr>
          <w:rFonts w:hint="eastAsia"/>
        </w:rPr>
        <w:t>（七）样片大小试验</w:t>
      </w:r>
    </w:p>
    <w:p>
      <w:pPr>
        <w:tabs>
          <w:tab w:val="left" w:pos="315"/>
        </w:tabs>
        <w:autoSpaceDE w:val="0"/>
        <w:autoSpaceDN w:val="0"/>
        <w:adjustRightInd w:val="0"/>
        <w:spacing w:line="276" w:lineRule="auto"/>
        <w:ind w:firstLine="420" w:firstLineChars="200"/>
        <w:jc w:val="left"/>
      </w:pPr>
      <w:r>
        <w:rPr>
          <w:rFonts w:hint="eastAsia"/>
        </w:rPr>
        <w:t>选取氧化钪、氧化钇、氧化镧、氧化铒作为取样量试验用样品，将样品制备到铟箔表面，摊开成不同面积薄层，进行辉光放电，当信号强度最高时为最佳取样量。由结果可知，当薄层直径为</w:t>
      </w:r>
      <w:r>
        <w:t>3 mm~5 mm</w:t>
      </w:r>
      <w:r>
        <w:rPr>
          <w:rFonts w:hint="eastAsia"/>
        </w:rPr>
        <w:t>范围内，样品面积和剩余的铟箔面积为最佳配比，获得的信号强度最高，因此试验中确定最佳样品制备条件为直径为约</w:t>
      </w:r>
      <w:r>
        <w:t>3 mm~5 mm</w:t>
      </w:r>
      <w:r>
        <w:rPr>
          <w:rFonts w:hint="eastAsia"/>
        </w:rPr>
        <w:t>的圆形薄层。</w:t>
      </w:r>
    </w:p>
    <w:p>
      <w:pPr>
        <w:spacing w:line="276" w:lineRule="auto"/>
      </w:pPr>
      <w:r>
        <w:rPr>
          <w:rFonts w:hint="eastAsia"/>
        </w:rPr>
        <w:t>（八）RSF校准</w:t>
      </w:r>
    </w:p>
    <w:p>
      <w:pPr>
        <w:pStyle w:val="110"/>
        <w:spacing w:line="276" w:lineRule="auto"/>
        <w:ind w:firstLine="420" w:firstLineChars="200"/>
        <w:jc w:val="both"/>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为了保证定量分析结果的溯源性，使用经过ICP-MS法、分光光度法、ICP-OES法等方法定制的氧化铈、氧化铕、氧化铽标准样品（已通过鉴定，待报批发布）和氧化镧、氧化镨、氧化钕、氧化钐、氧化钆、氧化镝、氧化钬、氧化铒、氧化铥、氧化镱、氧化镥、氧化钇、氧化钪质控样推荐值校正仪器的RSF。没有标准样品或质控样的元素，采用仪器推荐RSF进行半定量分析。</w:t>
      </w:r>
    </w:p>
    <w:p>
      <w:pPr>
        <w:pStyle w:val="110"/>
        <w:spacing w:line="276" w:lineRule="auto"/>
        <w:jc w:val="both"/>
        <w:rPr>
          <w:rFonts w:hint="eastAsia" w:ascii="Times New Roman" w:hAnsi="Times New Roman" w:eastAsia="宋体" w:cs="Times New Roman"/>
          <w:sz w:val="21"/>
          <w:szCs w:val="21"/>
          <w:lang w:val="en-US" w:eastAsia="zh-CN" w:bidi="ar-SA"/>
        </w:rPr>
      </w:pPr>
      <w:r>
        <w:rPr>
          <w:rFonts w:hint="eastAsia" w:cs="Times New Roman"/>
          <w:sz w:val="21"/>
          <w:szCs w:val="21"/>
          <w:lang w:val="en-US" w:eastAsia="zh-CN" w:bidi="ar-SA"/>
        </w:rPr>
        <w:t>（九）</w:t>
      </w:r>
      <w:r>
        <w:rPr>
          <w:rFonts w:hint="eastAsia" w:ascii="Times New Roman" w:hAnsi="Times New Roman" w:eastAsia="宋体" w:cs="Times New Roman"/>
          <w:sz w:val="21"/>
          <w:szCs w:val="21"/>
          <w:lang w:val="en-US" w:eastAsia="zh-CN" w:bidi="ar-SA"/>
        </w:rPr>
        <w:t>测定下限及正确度试验</w:t>
      </w:r>
    </w:p>
    <w:p>
      <w:pPr>
        <w:pStyle w:val="110"/>
        <w:spacing w:line="276" w:lineRule="auto"/>
        <w:ind w:firstLine="420" w:firstLineChars="200"/>
        <w:jc w:val="both"/>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 xml:space="preserve"> 分别选择可获得的高纯氧化铕和氧化钇进行方法测定下限研究。取六次数据计算其平均值、SD值以及3SD值和10SD，确定测定下限。为了保证定量分析结果的溯源性，使用经过ICP-MS法、分光光度法、ICP-OES法等方法定值的氧化铈、氧化铕、氧化铽标准样品（已通过鉴定，待报批发布）和氧化镧、氧化镨、氧化钕、氧化钐、氧化钆、氧化镝、氧化钬、氧化铒、氧化铥、氧化镱、氧化镥、氧化钇、氧化钪的质控样，校正仪器的RSF后，再进行测定统一样品。</w:t>
      </w:r>
      <w:r>
        <w:rPr>
          <w:rFonts w:hint="default" w:ascii="Times New Roman" w:hAnsi="Times New Roman" w:eastAsia="宋体" w:cs="Times New Roman"/>
          <w:sz w:val="21"/>
          <w:szCs w:val="21"/>
          <w:lang w:val="en-US" w:eastAsia="zh-CN" w:bidi="ar-SA"/>
        </w:rPr>
        <w:t>起草单位根据现行有效的GB/T 18115系列《稀土金属及其氧化物中稀土杂质化学分析方法》和GB/T 12690系列《稀土金属及其氧化物中非稀土杂质化学分析方法》，采用ICP-MS、ICP-OES、AAS、分光光度法等方法对各稀土氧化物统一样</w:t>
      </w:r>
      <w:r>
        <w:rPr>
          <w:rFonts w:hint="eastAsia" w:ascii="Times New Roman" w:hAnsi="Times New Roman" w:eastAsia="宋体" w:cs="Times New Roman"/>
          <w:sz w:val="21"/>
          <w:szCs w:val="21"/>
          <w:lang w:val="en-US" w:eastAsia="zh-CN" w:bidi="ar-SA"/>
        </w:rPr>
        <w:t>定量分析结果</w:t>
      </w:r>
      <w:r>
        <w:rPr>
          <w:rFonts w:hint="default" w:ascii="Times New Roman" w:hAnsi="Times New Roman" w:eastAsia="宋体" w:cs="Times New Roman"/>
          <w:sz w:val="21"/>
          <w:szCs w:val="21"/>
          <w:lang w:val="en-US" w:eastAsia="zh-CN" w:bidi="ar-SA"/>
        </w:rPr>
        <w:t>进行了</w:t>
      </w:r>
      <w:r>
        <w:rPr>
          <w:rFonts w:hint="eastAsia" w:ascii="Times New Roman" w:hAnsi="Times New Roman" w:eastAsia="宋体" w:cs="Times New Roman"/>
          <w:sz w:val="21"/>
          <w:szCs w:val="21"/>
          <w:lang w:val="en-US" w:eastAsia="zh-CN" w:bidi="ar-SA"/>
        </w:rPr>
        <w:t>方法</w:t>
      </w:r>
      <w:r>
        <w:rPr>
          <w:rFonts w:hint="default" w:ascii="Times New Roman" w:hAnsi="Times New Roman" w:eastAsia="宋体" w:cs="Times New Roman"/>
          <w:sz w:val="21"/>
          <w:szCs w:val="21"/>
          <w:lang w:val="en-US" w:eastAsia="zh-CN" w:bidi="ar-SA"/>
        </w:rPr>
        <w:t>比对试验。通过对照试验结果可见，经过标准样品或质控样品校正RSF后，在方法测定范围内，本方法的分析结果正确度良好。</w:t>
      </w:r>
    </w:p>
    <w:p>
      <w:pPr>
        <w:pStyle w:val="110"/>
        <w:spacing w:line="276" w:lineRule="auto"/>
        <w:jc w:val="both"/>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（十）测定</w:t>
      </w:r>
    </w:p>
    <w:p>
      <w:pPr>
        <w:pStyle w:val="110"/>
        <w:spacing w:line="276" w:lineRule="auto"/>
        <w:jc w:val="both"/>
        <w:rPr>
          <w:rFonts w:hint="eastAsia" w:ascii="Times New Roman" w:hAnsi="Times New Roman" w:eastAsia="宋体" w:cs="Times New Roman"/>
          <w:sz w:val="21"/>
          <w:szCs w:val="21"/>
          <w:lang w:val="en-US" w:eastAsia="zh-CN" w:bidi="ar-SA"/>
        </w:rPr>
      </w:pPr>
      <w:r>
        <w:rPr>
          <w:rFonts w:hint="eastAsia" w:cs="Times New Roman"/>
          <w:sz w:val="21"/>
          <w:szCs w:val="21"/>
          <w:lang w:val="en-US" w:eastAsia="zh-CN" w:bidi="ar-SA"/>
        </w:rPr>
        <w:t xml:space="preserve">    </w:t>
      </w:r>
      <w:r>
        <w:rPr>
          <w:rFonts w:hint="eastAsia" w:ascii="Times New Roman" w:hAnsi="Times New Roman" w:eastAsia="宋体" w:cs="Times New Roman"/>
          <w:sz w:val="21"/>
          <w:szCs w:val="21"/>
          <w:lang w:val="en-US" w:eastAsia="zh-CN" w:bidi="ar-SA"/>
        </w:rPr>
        <w:t>将压有稀土氧化物样品的金属铟片至于样品池中进行辉光放电，将辉光放电离子源溅射条件调节到分析所需的条件，质谱仪对待测元素的离子信号进行分析，预溅射30min后，连续采集3次测量数据，软件通过相对灵敏度因子校正后，给出检测平均结果，含量以μg/g表示。由6家实验室对16种单一稀土氧化物中的34个元素进行协同定量分析，每个实验室在重复性条件下独立测定6次。试验数据按GBT 6379.2进行统计分析，获得方法的重复性限和再现性限。</w:t>
      </w:r>
    </w:p>
    <w:p>
      <w:pPr>
        <w:spacing w:line="360" w:lineRule="auto"/>
        <w:jc w:val="left"/>
        <w:rPr>
          <w:rFonts w:eastAsia="黑体"/>
          <w:sz w:val="24"/>
          <w:szCs w:val="24"/>
        </w:rPr>
      </w:pPr>
      <w:r>
        <w:rPr>
          <w:rFonts w:hint="eastAsia" w:eastAsia="黑体"/>
          <w:sz w:val="24"/>
          <w:szCs w:val="24"/>
        </w:rPr>
        <w:t>2、预期的经济效果</w:t>
      </w:r>
    </w:p>
    <w:p>
      <w:pPr>
        <w:adjustRightInd w:val="0"/>
        <w:snapToGrid w:val="0"/>
        <w:spacing w:line="276" w:lineRule="auto"/>
        <w:ind w:firstLine="420" w:firstLineChars="200"/>
      </w:pPr>
      <w:r>
        <w:rPr>
          <w:rFonts w:hint="eastAsia"/>
        </w:rPr>
        <w:t>本方法可以实现多元素同时测试，大大节约测试时间和成本，</w:t>
      </w:r>
      <w:r>
        <w:t>提高</w:t>
      </w:r>
      <w:r>
        <w:rPr>
          <w:rFonts w:hint="eastAsia"/>
        </w:rPr>
        <w:t>测试效率。本方法的推广使用，可减少稀土氧化物产品的贸易争端，促进稀土氧化物产品的快速市场流通。</w:t>
      </w:r>
    </w:p>
    <w:p>
      <w:pPr>
        <w:adjustRightInd w:val="0"/>
        <w:snapToGrid w:val="0"/>
        <w:spacing w:before="156" w:beforeLines="50" w:after="156" w:afterLines="50" w:line="276" w:lineRule="auto"/>
        <w:rPr>
          <w:rFonts w:eastAsia="黑体"/>
          <w:sz w:val="24"/>
          <w:szCs w:val="24"/>
        </w:rPr>
      </w:pPr>
      <w:r>
        <w:rPr>
          <w:rFonts w:eastAsia="黑体"/>
          <w:sz w:val="24"/>
          <w:szCs w:val="24"/>
        </w:rPr>
        <w:t>四、与国际、国外同类标准技术内容的对比情况</w:t>
      </w:r>
    </w:p>
    <w:p>
      <w:pPr>
        <w:spacing w:line="276" w:lineRule="auto"/>
        <w:ind w:firstLine="420" w:firstLineChars="200"/>
        <w:rPr>
          <w:rFonts w:hAnsi="宋体"/>
        </w:rPr>
      </w:pPr>
      <w:r>
        <w:rPr>
          <w:rFonts w:hint="eastAsia" w:hAnsi="宋体"/>
        </w:rPr>
        <w:t>国内外相关标准有《使用高质量分辨率辉光放电质谱仪测量高纯度铜中痕量金属杂质的标准试验方法》、《使用高质量分辨率辉光放电质谱仪测量电子级铝铜、铝硅和铝铜硅中微量金属杂质的标准试验方法》和《采用高质量分辨率辉光放电质谱法测量太阳能级硅中痕量元素的测试方法》等近23种分析方法。</w:t>
      </w:r>
    </w:p>
    <w:p>
      <w:pPr>
        <w:spacing w:line="276" w:lineRule="auto"/>
        <w:ind w:firstLine="420" w:firstLineChars="200"/>
        <w:rPr>
          <w:rFonts w:hAnsi="宋体"/>
        </w:rPr>
      </w:pPr>
      <w:r>
        <w:rPr>
          <w:rFonts w:hint="eastAsia" w:hAnsi="宋体"/>
        </w:rPr>
        <w:t>辉光放电质谱法测试非导体样品的相关文献有：</w:t>
      </w:r>
      <w:r>
        <w:rPr>
          <w:rFonts w:hAnsi="宋体"/>
        </w:rPr>
        <w:t>《</w:t>
      </w:r>
      <w:r>
        <w:rPr>
          <w:rFonts w:hint="eastAsia" w:hAnsi="宋体"/>
        </w:rPr>
        <w:t>直流辉光放电质谱法测定高纯氧化镧中25种杂质元素</w:t>
      </w:r>
      <w:r>
        <w:rPr>
          <w:rFonts w:hAnsi="宋体"/>
        </w:rPr>
        <w:t>》</w:t>
      </w:r>
      <w:r>
        <w:rPr>
          <w:rFonts w:hint="eastAsia" w:hAnsi="宋体"/>
        </w:rPr>
        <w:t>、</w:t>
      </w:r>
      <w:r>
        <w:rPr>
          <w:rFonts w:hAnsi="宋体"/>
        </w:rPr>
        <w:t>《</w:t>
      </w:r>
      <w:r>
        <w:rPr>
          <w:rFonts w:hint="eastAsia" w:hAnsi="宋体"/>
        </w:rPr>
        <w:t>直流辉光放电质谱法测定氧化铝中的杂质元素</w:t>
      </w:r>
      <w:r>
        <w:rPr>
          <w:rFonts w:hAnsi="宋体"/>
        </w:rPr>
        <w:t>》</w:t>
      </w:r>
      <w:r>
        <w:rPr>
          <w:rFonts w:hint="eastAsia" w:hAnsi="宋体"/>
        </w:rPr>
        <w:t>、</w:t>
      </w:r>
      <w:r>
        <w:rPr>
          <w:rFonts w:hAnsi="宋体"/>
        </w:rPr>
        <w:t>《</w:t>
      </w:r>
      <w:r>
        <w:rPr>
          <w:rFonts w:hint="eastAsia" w:hAnsi="宋体"/>
        </w:rPr>
        <w:t>辉光放电质谱法测定镍锌铁氧体材料中的杂质元素</w:t>
      </w:r>
      <w:r>
        <w:rPr>
          <w:rFonts w:hAnsi="宋体"/>
        </w:rPr>
        <w:t>》</w:t>
      </w:r>
      <w:r>
        <w:rPr>
          <w:rFonts w:hint="eastAsia" w:hAnsi="宋体"/>
        </w:rPr>
        <w:t>等。</w:t>
      </w:r>
      <w:r>
        <w:rPr>
          <w:rFonts w:hAnsi="宋体"/>
        </w:rPr>
        <w:t>未查找到关于GD-MS应用于稀土氧化物中杂质</w:t>
      </w:r>
      <w:r>
        <w:rPr>
          <w:rFonts w:hint="eastAsia" w:hAnsi="宋体"/>
        </w:rPr>
        <w:t>元素</w:t>
      </w:r>
      <w:r>
        <w:rPr>
          <w:rFonts w:hAnsi="宋体"/>
        </w:rPr>
        <w:t>检测的相关标准。</w:t>
      </w:r>
    </w:p>
    <w:p>
      <w:pPr>
        <w:adjustRightInd w:val="0"/>
        <w:snapToGrid w:val="0"/>
        <w:spacing w:before="156" w:beforeLines="50" w:after="156" w:afterLines="50" w:line="276" w:lineRule="auto"/>
        <w:rPr>
          <w:rFonts w:eastAsia="黑体"/>
          <w:bCs/>
          <w:sz w:val="24"/>
        </w:rPr>
      </w:pPr>
      <w:r>
        <w:rPr>
          <w:rFonts w:eastAsia="黑体"/>
          <w:bCs/>
          <w:sz w:val="24"/>
        </w:rPr>
        <w:t>五、采用国际标准和国外先进标准的情况</w:t>
      </w:r>
    </w:p>
    <w:p>
      <w:pPr>
        <w:adjustRightInd w:val="0"/>
        <w:snapToGrid w:val="0"/>
        <w:spacing w:before="156" w:beforeLines="50" w:after="156" w:afterLines="50" w:line="276" w:lineRule="auto"/>
        <w:ind w:firstLine="420" w:firstLineChars="200"/>
      </w:pPr>
      <w:r>
        <w:t>该标准项目没发现有关知识产权的问题。国外无相同类型的标准。本标准未采用（包括等同采用、修改采用及非等效采用）国际标准或国外先进标准。</w:t>
      </w:r>
    </w:p>
    <w:p>
      <w:pPr>
        <w:adjustRightInd w:val="0"/>
        <w:snapToGrid w:val="0"/>
        <w:spacing w:before="156" w:beforeLines="50" w:after="156" w:afterLines="50" w:line="276" w:lineRule="auto"/>
        <w:rPr>
          <w:rFonts w:eastAsia="黑体"/>
          <w:bCs/>
          <w:sz w:val="24"/>
        </w:rPr>
      </w:pPr>
      <w:r>
        <w:rPr>
          <w:rFonts w:eastAsia="黑体"/>
          <w:bCs/>
          <w:sz w:val="24"/>
        </w:rPr>
        <w:t>六、与现行法律、法规、强制性国家标准及相关标准的关系</w:t>
      </w:r>
    </w:p>
    <w:p>
      <w:pPr>
        <w:adjustRightInd w:val="0"/>
        <w:snapToGrid w:val="0"/>
        <w:spacing w:before="156" w:beforeLines="50" w:after="156" w:afterLines="50" w:line="276" w:lineRule="auto"/>
        <w:ind w:firstLine="420" w:firstLineChars="200"/>
      </w:pPr>
      <w:r>
        <w:t>本标准与现行法律、法规和相关标准相协调、无冲突。</w:t>
      </w:r>
    </w:p>
    <w:p>
      <w:pPr>
        <w:adjustRightInd w:val="0"/>
        <w:snapToGrid w:val="0"/>
        <w:spacing w:before="156" w:beforeLines="50" w:after="156" w:afterLines="50" w:line="276" w:lineRule="auto"/>
        <w:rPr>
          <w:rFonts w:eastAsia="黑体"/>
          <w:bCs/>
          <w:sz w:val="24"/>
        </w:rPr>
      </w:pPr>
      <w:r>
        <w:rPr>
          <w:rFonts w:eastAsia="黑体"/>
          <w:bCs/>
          <w:sz w:val="24"/>
        </w:rPr>
        <w:t>七、重大分歧意见的处理和依据</w:t>
      </w:r>
    </w:p>
    <w:p>
      <w:pPr>
        <w:adjustRightInd w:val="0"/>
        <w:snapToGrid w:val="0"/>
        <w:spacing w:before="156" w:beforeLines="50" w:after="156" w:afterLines="50" w:line="276" w:lineRule="auto"/>
        <w:ind w:firstLine="420" w:firstLineChars="200"/>
      </w:pPr>
      <w:r>
        <w:t>无重大分歧。</w:t>
      </w:r>
    </w:p>
    <w:p>
      <w:pPr>
        <w:adjustRightInd w:val="0"/>
        <w:snapToGrid w:val="0"/>
        <w:spacing w:before="156" w:beforeLines="50" w:after="156" w:afterLines="50" w:line="276" w:lineRule="auto"/>
        <w:rPr>
          <w:rFonts w:eastAsia="黑体"/>
          <w:bCs/>
          <w:sz w:val="24"/>
        </w:rPr>
      </w:pPr>
      <w:r>
        <w:rPr>
          <w:rFonts w:eastAsia="黑体"/>
          <w:bCs/>
          <w:sz w:val="24"/>
        </w:rPr>
        <w:t>八、标准中涉及专利的情况</w:t>
      </w:r>
    </w:p>
    <w:p>
      <w:pPr>
        <w:adjustRightInd w:val="0"/>
        <w:snapToGrid w:val="0"/>
        <w:spacing w:before="156" w:beforeLines="50" w:after="156" w:afterLines="50" w:line="276" w:lineRule="auto"/>
        <w:ind w:firstLine="420" w:firstLineChars="200"/>
      </w:pPr>
      <w:r>
        <w:t>本标准不涉及专利和知识产权问题。</w:t>
      </w:r>
    </w:p>
    <w:p>
      <w:pPr>
        <w:adjustRightInd w:val="0"/>
        <w:snapToGrid w:val="0"/>
        <w:spacing w:before="156" w:beforeLines="50" w:after="156" w:afterLines="50" w:line="276" w:lineRule="auto"/>
        <w:rPr>
          <w:rFonts w:eastAsia="黑体"/>
          <w:bCs/>
          <w:sz w:val="24"/>
        </w:rPr>
      </w:pPr>
      <w:r>
        <w:rPr>
          <w:rFonts w:eastAsia="黑体"/>
          <w:bCs/>
          <w:sz w:val="24"/>
        </w:rPr>
        <w:t>九、贯彻国家标准的要求及措施建议</w:t>
      </w:r>
    </w:p>
    <w:p>
      <w:pPr>
        <w:adjustRightInd w:val="0"/>
        <w:snapToGrid w:val="0"/>
        <w:spacing w:before="156" w:beforeLines="50" w:after="156" w:afterLines="50" w:line="276" w:lineRule="auto"/>
        <w:ind w:firstLine="630" w:firstLineChars="300"/>
      </w:pPr>
      <w:r>
        <w:t>建议稀土产品的生产和检测单位积极组织本标准的学习与宣贯，可向企业、公司和科研院校（所）推荐本标准。</w:t>
      </w:r>
    </w:p>
    <w:p>
      <w:pPr>
        <w:adjustRightInd w:val="0"/>
        <w:snapToGrid w:val="0"/>
        <w:spacing w:before="156" w:beforeLines="50" w:after="156" w:afterLines="50" w:line="276" w:lineRule="auto"/>
        <w:rPr>
          <w:rFonts w:eastAsia="黑体"/>
          <w:bCs/>
          <w:sz w:val="24"/>
        </w:rPr>
      </w:pPr>
      <w:r>
        <w:rPr>
          <w:rFonts w:eastAsia="黑体"/>
          <w:bCs/>
          <w:sz w:val="24"/>
        </w:rPr>
        <w:t>十、其它应予说明的事项</w:t>
      </w:r>
    </w:p>
    <w:p>
      <w:pPr>
        <w:adjustRightInd w:val="0"/>
        <w:snapToGrid w:val="0"/>
        <w:spacing w:before="156" w:beforeLines="50" w:after="156" w:afterLines="50" w:line="276" w:lineRule="auto"/>
        <w:ind w:firstLine="420" w:firstLineChars="200"/>
        <w:jc w:val="center"/>
      </w:pPr>
    </w:p>
    <w:p>
      <w:pPr>
        <w:adjustRightInd w:val="0"/>
        <w:snapToGrid w:val="0"/>
        <w:spacing w:before="156" w:beforeLines="50" w:after="156" w:afterLines="50" w:line="276" w:lineRule="auto"/>
        <w:ind w:firstLine="420" w:firstLineChars="200"/>
        <w:jc w:val="center"/>
      </w:pPr>
    </w:p>
    <w:p>
      <w:pPr>
        <w:adjustRightInd w:val="0"/>
        <w:snapToGrid w:val="0"/>
        <w:spacing w:before="156" w:beforeLines="50" w:after="156" w:afterLines="50" w:line="276" w:lineRule="auto"/>
        <w:ind w:firstLine="420" w:firstLineChars="200"/>
        <w:jc w:val="center"/>
      </w:pPr>
    </w:p>
    <w:p>
      <w:pPr>
        <w:rPr>
          <w:rFonts w:hint="eastAsia"/>
        </w:rPr>
      </w:pPr>
      <w:r>
        <w:rPr>
          <w:b/>
        </w:rPr>
        <w:t xml:space="preserve">                               </w:t>
      </w:r>
      <w:r>
        <w:rPr>
          <w:rFonts w:hint="eastAsia"/>
          <w:b/>
          <w:lang w:val="en-US" w:eastAsia="zh-CN"/>
        </w:rPr>
        <w:t xml:space="preserve">    </w:t>
      </w:r>
      <w:r>
        <w:rPr>
          <w:rFonts w:hint="eastAsia"/>
        </w:rPr>
        <w:t xml:space="preserve"> 《稀土氧化物中杂质元素化学分析方法 辉光放电质谱法》</w:t>
      </w:r>
    </w:p>
    <w:p>
      <w:pPr>
        <w:rPr>
          <w:lang w:val="en-US"/>
        </w:rPr>
      </w:pPr>
      <w:r>
        <w:rPr>
          <w:rFonts w:hint="eastAsia"/>
        </w:rPr>
        <w:t xml:space="preserve"> </w:t>
      </w:r>
      <w:r>
        <w:rPr>
          <w:rFonts w:hint="eastAsia"/>
          <w:lang w:val="en-US" w:eastAsia="zh-CN"/>
        </w:rPr>
        <w:t xml:space="preserve">                                                      标准编制组</w:t>
      </w:r>
    </w:p>
    <w:p>
      <w:pPr>
        <w:adjustRightInd w:val="0"/>
        <w:snapToGrid w:val="0"/>
        <w:spacing w:before="156" w:beforeLines="50" w:after="156" w:afterLines="50" w:line="276" w:lineRule="auto"/>
        <w:jc w:val="both"/>
        <w:rPr>
          <w:b/>
        </w:rPr>
      </w:pPr>
      <w:r>
        <w:rPr>
          <w:rFonts w:hint="eastAsia"/>
          <w:lang w:val="en-US" w:eastAsia="zh-CN"/>
        </w:rPr>
        <w:t xml:space="preserve">                                                   </w:t>
      </w:r>
      <w:r>
        <w:rPr>
          <w:rFonts w:hint="eastAsia"/>
        </w:rPr>
        <w:t xml:space="preserve"> </w:t>
      </w:r>
      <w:r>
        <w:t>202</w:t>
      </w:r>
      <w:r>
        <w:rPr>
          <w:rFonts w:hint="eastAsia"/>
        </w:rPr>
        <w:t>2</w:t>
      </w:r>
      <w:r>
        <w:t>年</w:t>
      </w:r>
      <w:r>
        <w:rPr>
          <w:rFonts w:hint="eastAsia"/>
          <w:lang w:val="en-US" w:eastAsia="zh-CN"/>
        </w:rPr>
        <w:t>10</w:t>
      </w:r>
      <w:r>
        <w:t>月</w:t>
      </w:r>
      <w:r>
        <w:rPr>
          <w:rFonts w:hint="eastAsia"/>
          <w:lang w:val="en-US" w:eastAsia="zh-CN"/>
        </w:rPr>
        <w:t>12</w:t>
      </w:r>
      <w:r>
        <w:t>日</w:t>
      </w:r>
    </w:p>
    <w:sectPr>
      <w:pgSz w:w="11906" w:h="16838"/>
      <w:pgMar w:top="1800" w:right="1440" w:bottom="1800" w:left="144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auto"/>
    <w:pitch w:val="default"/>
    <w:sig w:usb0="A00002AF" w:usb1="400078FB" w:usb2="00000000" w:usb3="00000000" w:csb0="6000009F" w:csb1="DFD70000"/>
  </w:font>
  <w:font w:name="Verdana">
    <w:panose1 w:val="020B0604030504040204"/>
    <w:charset w:val="00"/>
    <w:family w:val="auto"/>
    <w:pitch w:val="default"/>
    <w:sig w:usb0="A00006FF" w:usb1="4000205B" w:usb2="00000010"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3"/>
    <w:multiLevelType w:val="multilevel"/>
    <w:tmpl w:val="2F000003"/>
    <w:lvl w:ilvl="0" w:tentative="0">
      <w:start w:val="1"/>
      <w:numFmt w:val="upperLetter"/>
      <w:pStyle w:val="187"/>
      <w:suff w:val="nothing"/>
      <w:lvlText w:val="附　录　%1"/>
      <w:lvlJc w:val="left"/>
      <w:pPr>
        <w:ind w:left="0" w:firstLine="0"/>
      </w:pPr>
      <w:rPr>
        <w:rFonts w:hint="eastAsia" w:ascii="黑体" w:hAnsi="Times New Roman" w:eastAsia="黑体"/>
        <w:b w:val="0"/>
        <w:i w:val="0"/>
        <w:sz w:val="21"/>
        <w:szCs w:val="21"/>
      </w:rPr>
    </w:lvl>
    <w:lvl w:ilvl="1" w:tentative="0">
      <w:start w:val="1"/>
      <w:numFmt w:val="japaneseCounting"/>
      <w:pStyle w:val="188"/>
      <w:lvlText w:val="（%2）"/>
      <w:lvlJc w:val="left"/>
      <w:pPr>
        <w:ind w:left="0" w:firstLine="0"/>
      </w:pPr>
      <w:rPr>
        <w:rFonts w:hint="default"/>
        <w:b w:val="0"/>
        <w:i w:val="0"/>
        <w:spacing w:val="0"/>
        <w:sz w:val="21"/>
        <w:szCs w:val="21"/>
        <w:lang w:val="en-US"/>
      </w:rPr>
    </w:lvl>
    <w:lvl w:ilvl="2" w:tentative="0">
      <w:start w:val="1"/>
      <w:numFmt w:val="decimal"/>
      <w:suff w:val="nothing"/>
      <w:lvlText w:val="%1.%2.%3　"/>
      <w:lvlJc w:val="left"/>
      <w:pPr>
        <w:ind w:left="0" w:firstLine="0"/>
      </w:pPr>
      <w:rPr>
        <w:rFonts w:hint="eastAsia" w:ascii="黑体" w:hAnsi="Times New Roman" w:eastAsia="黑体"/>
        <w:b w:val="0"/>
        <w:i w:val="0"/>
        <w:sz w:val="21"/>
        <w:szCs w:val="21"/>
      </w:rPr>
    </w:lvl>
    <w:lvl w:ilvl="3" w:tentative="0">
      <w:start w:val="1"/>
      <w:numFmt w:val="decimal"/>
      <w:suff w:val="nothing"/>
      <w:lvlText w:val="%1.%2.%3.%4　"/>
      <w:lvlJc w:val="left"/>
      <w:pPr>
        <w:ind w:left="0" w:firstLine="0"/>
      </w:pPr>
      <w:rPr>
        <w:rFonts w:hint="eastAsia" w:ascii="黑体" w:hAnsi="Times New Roman" w:eastAsia="黑体"/>
        <w:b w:val="0"/>
        <w:i w:val="0"/>
        <w:sz w:val="21"/>
        <w:szCs w:val="21"/>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b w:val="0"/>
        <w:i w:val="0"/>
        <w:sz w:val="21"/>
        <w:szCs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634670E8"/>
    <w:multiLevelType w:val="singleLevel"/>
    <w:tmpl w:val="634670E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6B4F45"/>
    <w:rsid w:val="00007598"/>
    <w:rsid w:val="00014883"/>
    <w:rsid w:val="00030B4B"/>
    <w:rsid w:val="0007061A"/>
    <w:rsid w:val="0008215F"/>
    <w:rsid w:val="000943A3"/>
    <w:rsid w:val="00096B90"/>
    <w:rsid w:val="000A6DD7"/>
    <w:rsid w:val="000A7C36"/>
    <w:rsid w:val="000B6D3C"/>
    <w:rsid w:val="000C7CBC"/>
    <w:rsid w:val="000D0D64"/>
    <w:rsid w:val="000D355A"/>
    <w:rsid w:val="00116108"/>
    <w:rsid w:val="00160985"/>
    <w:rsid w:val="00164FF9"/>
    <w:rsid w:val="0018235E"/>
    <w:rsid w:val="001858DC"/>
    <w:rsid w:val="001B4429"/>
    <w:rsid w:val="001C4A14"/>
    <w:rsid w:val="001F10AD"/>
    <w:rsid w:val="00200200"/>
    <w:rsid w:val="00221C49"/>
    <w:rsid w:val="00232961"/>
    <w:rsid w:val="00245616"/>
    <w:rsid w:val="00251EBA"/>
    <w:rsid w:val="00266EC8"/>
    <w:rsid w:val="002707D2"/>
    <w:rsid w:val="00272D87"/>
    <w:rsid w:val="0028183E"/>
    <w:rsid w:val="00292E9C"/>
    <w:rsid w:val="002A3499"/>
    <w:rsid w:val="002B1AF6"/>
    <w:rsid w:val="002B2D22"/>
    <w:rsid w:val="002B7F3D"/>
    <w:rsid w:val="002D606F"/>
    <w:rsid w:val="002F4FC1"/>
    <w:rsid w:val="00313BCC"/>
    <w:rsid w:val="003223F1"/>
    <w:rsid w:val="0033408E"/>
    <w:rsid w:val="003408A1"/>
    <w:rsid w:val="00352AA1"/>
    <w:rsid w:val="00353288"/>
    <w:rsid w:val="00357180"/>
    <w:rsid w:val="00362B59"/>
    <w:rsid w:val="0037497E"/>
    <w:rsid w:val="00374F9E"/>
    <w:rsid w:val="003755E2"/>
    <w:rsid w:val="00384ECB"/>
    <w:rsid w:val="00391343"/>
    <w:rsid w:val="00393B9B"/>
    <w:rsid w:val="00396747"/>
    <w:rsid w:val="003D51E2"/>
    <w:rsid w:val="003D5214"/>
    <w:rsid w:val="004303FF"/>
    <w:rsid w:val="00436720"/>
    <w:rsid w:val="00463586"/>
    <w:rsid w:val="004644B8"/>
    <w:rsid w:val="004720F9"/>
    <w:rsid w:val="00473D59"/>
    <w:rsid w:val="004A097C"/>
    <w:rsid w:val="004A2C6F"/>
    <w:rsid w:val="004B4129"/>
    <w:rsid w:val="004B7A28"/>
    <w:rsid w:val="004C1847"/>
    <w:rsid w:val="004C191D"/>
    <w:rsid w:val="004D71E7"/>
    <w:rsid w:val="005057BA"/>
    <w:rsid w:val="00506E44"/>
    <w:rsid w:val="00511D5C"/>
    <w:rsid w:val="0051687A"/>
    <w:rsid w:val="00527368"/>
    <w:rsid w:val="0054475A"/>
    <w:rsid w:val="005472C8"/>
    <w:rsid w:val="00574778"/>
    <w:rsid w:val="00574ACD"/>
    <w:rsid w:val="00581AC9"/>
    <w:rsid w:val="00595D75"/>
    <w:rsid w:val="005C763F"/>
    <w:rsid w:val="005D1521"/>
    <w:rsid w:val="005D7301"/>
    <w:rsid w:val="005E4A94"/>
    <w:rsid w:val="005F2403"/>
    <w:rsid w:val="005F668F"/>
    <w:rsid w:val="00614769"/>
    <w:rsid w:val="00621FC0"/>
    <w:rsid w:val="00622631"/>
    <w:rsid w:val="0063082B"/>
    <w:rsid w:val="00636CB6"/>
    <w:rsid w:val="00640B7C"/>
    <w:rsid w:val="00651418"/>
    <w:rsid w:val="00651D6E"/>
    <w:rsid w:val="006678C2"/>
    <w:rsid w:val="00671FB9"/>
    <w:rsid w:val="006731BE"/>
    <w:rsid w:val="0068250F"/>
    <w:rsid w:val="006B4F45"/>
    <w:rsid w:val="006C1AA7"/>
    <w:rsid w:val="006C3D43"/>
    <w:rsid w:val="006D13D4"/>
    <w:rsid w:val="006E5DAC"/>
    <w:rsid w:val="006F6CFB"/>
    <w:rsid w:val="0070104F"/>
    <w:rsid w:val="007017E7"/>
    <w:rsid w:val="00707586"/>
    <w:rsid w:val="007170EA"/>
    <w:rsid w:val="007175FD"/>
    <w:rsid w:val="00725C59"/>
    <w:rsid w:val="00741941"/>
    <w:rsid w:val="0074451E"/>
    <w:rsid w:val="00754A21"/>
    <w:rsid w:val="007A25E7"/>
    <w:rsid w:val="007C35BC"/>
    <w:rsid w:val="007C56B9"/>
    <w:rsid w:val="007E7EB6"/>
    <w:rsid w:val="0083163D"/>
    <w:rsid w:val="00843993"/>
    <w:rsid w:val="00856CCC"/>
    <w:rsid w:val="0088799D"/>
    <w:rsid w:val="008A548C"/>
    <w:rsid w:val="008B1F9F"/>
    <w:rsid w:val="008B6545"/>
    <w:rsid w:val="008C4F30"/>
    <w:rsid w:val="008E217A"/>
    <w:rsid w:val="008E220A"/>
    <w:rsid w:val="008F10B0"/>
    <w:rsid w:val="008F6714"/>
    <w:rsid w:val="009252EB"/>
    <w:rsid w:val="009253C1"/>
    <w:rsid w:val="00931A5B"/>
    <w:rsid w:val="00937B29"/>
    <w:rsid w:val="00957326"/>
    <w:rsid w:val="009655B5"/>
    <w:rsid w:val="009656F8"/>
    <w:rsid w:val="00976FB0"/>
    <w:rsid w:val="0098387A"/>
    <w:rsid w:val="00992DBD"/>
    <w:rsid w:val="009F056D"/>
    <w:rsid w:val="00A013C7"/>
    <w:rsid w:val="00A03922"/>
    <w:rsid w:val="00A12FD9"/>
    <w:rsid w:val="00A41D8F"/>
    <w:rsid w:val="00A476BF"/>
    <w:rsid w:val="00A76873"/>
    <w:rsid w:val="00A90D26"/>
    <w:rsid w:val="00A92342"/>
    <w:rsid w:val="00A9516A"/>
    <w:rsid w:val="00A9771D"/>
    <w:rsid w:val="00AA1B8C"/>
    <w:rsid w:val="00AB33E3"/>
    <w:rsid w:val="00AD231A"/>
    <w:rsid w:val="00AD24E2"/>
    <w:rsid w:val="00AF2B8E"/>
    <w:rsid w:val="00AF79BF"/>
    <w:rsid w:val="00B0565A"/>
    <w:rsid w:val="00B1287C"/>
    <w:rsid w:val="00B3201A"/>
    <w:rsid w:val="00B34168"/>
    <w:rsid w:val="00B370C9"/>
    <w:rsid w:val="00B442A8"/>
    <w:rsid w:val="00B61683"/>
    <w:rsid w:val="00B66F6E"/>
    <w:rsid w:val="00B67439"/>
    <w:rsid w:val="00B8551E"/>
    <w:rsid w:val="00BA42D6"/>
    <w:rsid w:val="00BB24AF"/>
    <w:rsid w:val="00BB25A6"/>
    <w:rsid w:val="00BF73C3"/>
    <w:rsid w:val="00C1129D"/>
    <w:rsid w:val="00C31BBF"/>
    <w:rsid w:val="00C322F5"/>
    <w:rsid w:val="00C32C50"/>
    <w:rsid w:val="00C435D8"/>
    <w:rsid w:val="00C54AC9"/>
    <w:rsid w:val="00C564E2"/>
    <w:rsid w:val="00C623A3"/>
    <w:rsid w:val="00C66474"/>
    <w:rsid w:val="00C669E7"/>
    <w:rsid w:val="00C66E69"/>
    <w:rsid w:val="00C7422F"/>
    <w:rsid w:val="00C81CAB"/>
    <w:rsid w:val="00CA65B2"/>
    <w:rsid w:val="00CA65F2"/>
    <w:rsid w:val="00CB7C2B"/>
    <w:rsid w:val="00CC4FF0"/>
    <w:rsid w:val="00CE5EFC"/>
    <w:rsid w:val="00CF3458"/>
    <w:rsid w:val="00CF4F7F"/>
    <w:rsid w:val="00D222E3"/>
    <w:rsid w:val="00D24F52"/>
    <w:rsid w:val="00D36093"/>
    <w:rsid w:val="00D45CD9"/>
    <w:rsid w:val="00D50DDD"/>
    <w:rsid w:val="00D67061"/>
    <w:rsid w:val="00D67437"/>
    <w:rsid w:val="00D70272"/>
    <w:rsid w:val="00D77F51"/>
    <w:rsid w:val="00D87140"/>
    <w:rsid w:val="00D91608"/>
    <w:rsid w:val="00D93F9F"/>
    <w:rsid w:val="00DA54EB"/>
    <w:rsid w:val="00DC7ACC"/>
    <w:rsid w:val="00DD1A07"/>
    <w:rsid w:val="00DE1081"/>
    <w:rsid w:val="00DE2D1D"/>
    <w:rsid w:val="00E0514C"/>
    <w:rsid w:val="00E053BA"/>
    <w:rsid w:val="00E2611E"/>
    <w:rsid w:val="00E40676"/>
    <w:rsid w:val="00E70C20"/>
    <w:rsid w:val="00EC3995"/>
    <w:rsid w:val="00EE75A3"/>
    <w:rsid w:val="00EF5F67"/>
    <w:rsid w:val="00F01AD0"/>
    <w:rsid w:val="00F268D3"/>
    <w:rsid w:val="00F377B5"/>
    <w:rsid w:val="00F40254"/>
    <w:rsid w:val="00F44AC5"/>
    <w:rsid w:val="00F4745E"/>
    <w:rsid w:val="00F607CF"/>
    <w:rsid w:val="00F6604B"/>
    <w:rsid w:val="00F66854"/>
    <w:rsid w:val="00F7271A"/>
    <w:rsid w:val="00F75E3A"/>
    <w:rsid w:val="00F80147"/>
    <w:rsid w:val="00F86342"/>
    <w:rsid w:val="00FB25FC"/>
    <w:rsid w:val="00FC55EA"/>
    <w:rsid w:val="00FC6689"/>
    <w:rsid w:val="00FE4E90"/>
    <w:rsid w:val="00FF076B"/>
    <w:rsid w:val="00FF0AF6"/>
    <w:rsid w:val="00FF7D91"/>
    <w:rsid w:val="012A7AF5"/>
    <w:rsid w:val="03517284"/>
    <w:rsid w:val="052467E0"/>
    <w:rsid w:val="07807BB9"/>
    <w:rsid w:val="08A96CC2"/>
    <w:rsid w:val="0D3835BD"/>
    <w:rsid w:val="12121328"/>
    <w:rsid w:val="12AE4934"/>
    <w:rsid w:val="1A507136"/>
    <w:rsid w:val="1D39247F"/>
    <w:rsid w:val="1D5A03F0"/>
    <w:rsid w:val="25C7728B"/>
    <w:rsid w:val="2D5653ED"/>
    <w:rsid w:val="2D5E027B"/>
    <w:rsid w:val="34EA3831"/>
    <w:rsid w:val="35840B6D"/>
    <w:rsid w:val="35E52FC2"/>
    <w:rsid w:val="39AE222F"/>
    <w:rsid w:val="3BD77753"/>
    <w:rsid w:val="405D33AF"/>
    <w:rsid w:val="409A440B"/>
    <w:rsid w:val="410B35D0"/>
    <w:rsid w:val="43383853"/>
    <w:rsid w:val="43F06FDC"/>
    <w:rsid w:val="460F6F62"/>
    <w:rsid w:val="47F31E1F"/>
    <w:rsid w:val="4B55485B"/>
    <w:rsid w:val="4BC42284"/>
    <w:rsid w:val="4C760FEF"/>
    <w:rsid w:val="503E2F33"/>
    <w:rsid w:val="54587870"/>
    <w:rsid w:val="5B5F5279"/>
    <w:rsid w:val="63750978"/>
    <w:rsid w:val="68282BEF"/>
    <w:rsid w:val="6E946A7C"/>
    <w:rsid w:val="7548311D"/>
    <w:rsid w:val="7C2845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28" w:semiHidden="0" w:name="toc 1"/>
    <w:lsdException w:qFormat="1" w:unhideWhenUsed="0" w:uiPriority="29" w:semiHidden="0" w:name="toc 2"/>
    <w:lsdException w:qFormat="1" w:unhideWhenUsed="0" w:uiPriority="30" w:semiHidden="0" w:name="toc 3"/>
    <w:lsdException w:qFormat="1" w:unhideWhenUsed="0" w:uiPriority="31" w:semiHidden="0" w:name="toc 4"/>
    <w:lsdException w:qFormat="1" w:unhideWhenUsed="0" w:uiPriority="32" w:semiHidden="0" w:name="toc 5"/>
    <w:lsdException w:qFormat="1" w:unhideWhenUsed="0" w:uiPriority="33" w:semiHidden="0" w:name="toc 6"/>
    <w:lsdException w:qFormat="1" w:unhideWhenUsed="0" w:uiPriority="34" w:semiHidden="0" w:name="toc 7"/>
    <w:lsdException w:qFormat="1" w:unhideWhenUsed="0" w:uiPriority="35" w:semiHidden="0" w:name="toc 8"/>
    <w:lsdException w:qFormat="1" w:unhideWhenUsed="0" w:uiPriority="36" w:semiHidden="0" w:name="toc 9"/>
    <w:lsdException w:qFormat="1"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6"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6"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0" w:semiHidden="0" w:name="Strong"/>
    <w:lsdException w:qFormat="1" w:unhideWhenUsed="0" w:uiPriority="18"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imes New Roman" w:hAnsi="Times New Roman" w:eastAsia="宋体" w:cs="Times New Roman"/>
      <w:sz w:val="21"/>
      <w:szCs w:val="21"/>
      <w:lang w:val="en-US" w:eastAsia="zh-CN" w:bidi="ar-SA"/>
    </w:rPr>
  </w:style>
  <w:style w:type="paragraph" w:styleId="3">
    <w:name w:val="heading 1"/>
    <w:basedOn w:val="1"/>
    <w:next w:val="1"/>
    <w:link w:val="202"/>
    <w:qFormat/>
    <w:uiPriority w:val="7"/>
    <w:pPr>
      <w:spacing w:before="340" w:after="330" w:line="578" w:lineRule="auto"/>
      <w:outlineLvl w:val="0"/>
    </w:pPr>
    <w:rPr>
      <w:b/>
      <w:sz w:val="44"/>
      <w:szCs w:val="44"/>
    </w:rPr>
  </w:style>
  <w:style w:type="paragraph" w:styleId="4">
    <w:name w:val="heading 2"/>
    <w:basedOn w:val="1"/>
    <w:next w:val="1"/>
    <w:link w:val="203"/>
    <w:qFormat/>
    <w:uiPriority w:val="8"/>
    <w:pPr>
      <w:spacing w:before="260" w:after="260" w:line="415" w:lineRule="auto"/>
      <w:outlineLvl w:val="1"/>
    </w:pPr>
    <w:rPr>
      <w:rFonts w:ascii="Arial" w:hAnsi="Arial" w:eastAsia="黑体"/>
      <w:b/>
      <w:sz w:val="32"/>
      <w:szCs w:val="32"/>
    </w:rPr>
  </w:style>
  <w:style w:type="paragraph" w:styleId="5">
    <w:name w:val="heading 3"/>
    <w:basedOn w:val="1"/>
    <w:next w:val="1"/>
    <w:link w:val="204"/>
    <w:qFormat/>
    <w:uiPriority w:val="9"/>
    <w:pPr>
      <w:spacing w:before="260" w:after="260" w:line="415" w:lineRule="auto"/>
      <w:outlineLvl w:val="2"/>
    </w:pPr>
    <w:rPr>
      <w:b/>
      <w:sz w:val="32"/>
      <w:szCs w:val="32"/>
    </w:rPr>
  </w:style>
  <w:style w:type="paragraph" w:styleId="6">
    <w:name w:val="heading 4"/>
    <w:basedOn w:val="1"/>
    <w:next w:val="1"/>
    <w:link w:val="205"/>
    <w:qFormat/>
    <w:uiPriority w:val="10"/>
    <w:pPr>
      <w:spacing w:before="280" w:after="290" w:line="376" w:lineRule="auto"/>
      <w:outlineLvl w:val="3"/>
    </w:pPr>
    <w:rPr>
      <w:rFonts w:ascii="Arial" w:hAnsi="Arial" w:eastAsia="黑体"/>
      <w:b/>
      <w:sz w:val="28"/>
      <w:szCs w:val="28"/>
    </w:rPr>
  </w:style>
  <w:style w:type="paragraph" w:styleId="7">
    <w:name w:val="heading 5"/>
    <w:basedOn w:val="1"/>
    <w:next w:val="1"/>
    <w:link w:val="206"/>
    <w:qFormat/>
    <w:uiPriority w:val="11"/>
    <w:pPr>
      <w:spacing w:before="280" w:after="290" w:line="376" w:lineRule="auto"/>
      <w:outlineLvl w:val="4"/>
    </w:pPr>
    <w:rPr>
      <w:b/>
      <w:sz w:val="28"/>
      <w:szCs w:val="28"/>
    </w:rPr>
  </w:style>
  <w:style w:type="paragraph" w:styleId="8">
    <w:name w:val="heading 6"/>
    <w:basedOn w:val="1"/>
    <w:next w:val="1"/>
    <w:link w:val="207"/>
    <w:qFormat/>
    <w:uiPriority w:val="12"/>
    <w:pPr>
      <w:spacing w:before="240" w:after="64" w:line="319" w:lineRule="auto"/>
      <w:outlineLvl w:val="5"/>
    </w:pPr>
    <w:rPr>
      <w:rFonts w:ascii="Arial" w:hAnsi="Arial" w:eastAsia="黑体"/>
      <w:b/>
      <w:sz w:val="24"/>
      <w:szCs w:val="24"/>
    </w:rPr>
  </w:style>
  <w:style w:type="paragraph" w:styleId="9">
    <w:name w:val="heading 7"/>
    <w:basedOn w:val="1"/>
    <w:next w:val="1"/>
    <w:link w:val="208"/>
    <w:qFormat/>
    <w:uiPriority w:val="13"/>
    <w:pPr>
      <w:spacing w:before="240" w:after="64" w:line="319" w:lineRule="auto"/>
      <w:outlineLvl w:val="6"/>
    </w:pPr>
    <w:rPr>
      <w:b/>
      <w:sz w:val="24"/>
      <w:szCs w:val="24"/>
    </w:rPr>
  </w:style>
  <w:style w:type="paragraph" w:styleId="10">
    <w:name w:val="heading 8"/>
    <w:basedOn w:val="1"/>
    <w:next w:val="1"/>
    <w:link w:val="209"/>
    <w:qFormat/>
    <w:uiPriority w:val="14"/>
    <w:pPr>
      <w:spacing w:before="240" w:after="64" w:line="319" w:lineRule="auto"/>
      <w:outlineLvl w:val="7"/>
    </w:pPr>
    <w:rPr>
      <w:rFonts w:ascii="Arial" w:hAnsi="Arial" w:eastAsia="黑体"/>
      <w:sz w:val="24"/>
      <w:szCs w:val="24"/>
    </w:rPr>
  </w:style>
  <w:style w:type="paragraph" w:styleId="11">
    <w:name w:val="heading 9"/>
    <w:basedOn w:val="1"/>
    <w:next w:val="1"/>
    <w:link w:val="210"/>
    <w:qFormat/>
    <w:uiPriority w:val="15"/>
    <w:pPr>
      <w:spacing w:before="240" w:after="64" w:line="319" w:lineRule="auto"/>
      <w:outlineLvl w:val="8"/>
    </w:pPr>
    <w:rPr>
      <w:rFonts w:ascii="Arial" w:hAnsi="Arial" w:eastAsia="黑体"/>
    </w:rPr>
  </w:style>
  <w:style w:type="character" w:default="1" w:styleId="90">
    <w:name w:val="Default Paragraph Font"/>
    <w:unhideWhenUsed/>
    <w:qFormat/>
    <w:uiPriority w:val="1"/>
  </w:style>
  <w:style w:type="table" w:default="1" w:styleId="88">
    <w:name w:val="Normal Table"/>
    <w:unhideWhenUsed/>
    <w:qFormat/>
    <w:uiPriority w:val="99"/>
    <w:tblPr>
      <w:tblCellMar>
        <w:top w:w="0" w:type="dxa"/>
        <w:left w:w="108" w:type="dxa"/>
        <w:bottom w:w="0" w:type="dxa"/>
        <w:right w:w="108" w:type="dxa"/>
      </w:tblCellMar>
    </w:tblPr>
  </w:style>
  <w:style w:type="paragraph" w:styleId="2">
    <w:name w:val="macro"/>
    <w:link w:val="238"/>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paragraph" w:styleId="12">
    <w:name w:val="List 3"/>
    <w:basedOn w:val="1"/>
    <w:qFormat/>
    <w:uiPriority w:val="0"/>
    <w:pPr>
      <w:ind w:left="100" w:leftChars="-100" w:hanging="200"/>
    </w:pPr>
  </w:style>
  <w:style w:type="paragraph" w:styleId="13">
    <w:name w:val="toc 7"/>
    <w:basedOn w:val="1"/>
    <w:next w:val="1"/>
    <w:qFormat/>
    <w:uiPriority w:val="34"/>
    <w:pPr>
      <w:ind w:left="2520" w:leftChars="2520"/>
    </w:pPr>
  </w:style>
  <w:style w:type="paragraph" w:styleId="14">
    <w:name w:val="List Number 2"/>
    <w:basedOn w:val="1"/>
    <w:qFormat/>
    <w:uiPriority w:val="0"/>
    <w:pPr>
      <w:tabs>
        <w:tab w:val="left" w:pos="675"/>
        <w:tab w:val="left" w:pos="780"/>
      </w:tabs>
      <w:ind w:left="675" w:hanging="360"/>
    </w:pPr>
  </w:style>
  <w:style w:type="paragraph" w:styleId="15">
    <w:name w:val="table of authorities"/>
    <w:basedOn w:val="1"/>
    <w:next w:val="1"/>
    <w:qFormat/>
    <w:uiPriority w:val="0"/>
    <w:pPr>
      <w:ind w:left="420" w:leftChars="420"/>
    </w:pPr>
  </w:style>
  <w:style w:type="paragraph" w:styleId="16">
    <w:name w:val="Note Heading"/>
    <w:basedOn w:val="1"/>
    <w:next w:val="1"/>
    <w:link w:val="250"/>
    <w:qFormat/>
    <w:uiPriority w:val="0"/>
    <w:pPr>
      <w:jc w:val="center"/>
    </w:pPr>
  </w:style>
  <w:style w:type="paragraph" w:styleId="17">
    <w:name w:val="List Bullet 4"/>
    <w:basedOn w:val="1"/>
    <w:qFormat/>
    <w:uiPriority w:val="0"/>
    <w:pPr>
      <w:tabs>
        <w:tab w:val="left" w:pos="750"/>
        <w:tab w:val="left" w:pos="1620"/>
      </w:tabs>
      <w:ind w:left="750" w:hanging="750"/>
    </w:pPr>
  </w:style>
  <w:style w:type="paragraph" w:styleId="18">
    <w:name w:val="index 8"/>
    <w:basedOn w:val="1"/>
    <w:next w:val="1"/>
    <w:qFormat/>
    <w:uiPriority w:val="0"/>
    <w:pPr>
      <w:ind w:left="1400" w:leftChars="1400"/>
    </w:pPr>
  </w:style>
  <w:style w:type="paragraph" w:styleId="19">
    <w:name w:val="E-mail Signature"/>
    <w:basedOn w:val="1"/>
    <w:link w:val="247"/>
    <w:qFormat/>
    <w:uiPriority w:val="0"/>
  </w:style>
  <w:style w:type="paragraph" w:styleId="20">
    <w:name w:val="List Number"/>
    <w:basedOn w:val="1"/>
    <w:qFormat/>
    <w:uiPriority w:val="0"/>
    <w:pPr>
      <w:tabs>
        <w:tab w:val="left" w:pos="360"/>
        <w:tab w:val="left" w:pos="720"/>
      </w:tabs>
      <w:ind w:left="720" w:hanging="720"/>
    </w:pPr>
  </w:style>
  <w:style w:type="paragraph" w:styleId="21">
    <w:name w:val="Normal Indent"/>
    <w:basedOn w:val="1"/>
    <w:unhideWhenUsed/>
    <w:qFormat/>
    <w:uiPriority w:val="0"/>
    <w:pPr>
      <w:ind w:firstLine="200"/>
    </w:pPr>
  </w:style>
  <w:style w:type="paragraph" w:styleId="22">
    <w:name w:val="caption"/>
    <w:basedOn w:val="1"/>
    <w:next w:val="1"/>
    <w:qFormat/>
    <w:uiPriority w:val="0"/>
    <w:pPr>
      <w:jc w:val="center"/>
    </w:pPr>
    <w:rPr>
      <w:rFonts w:ascii="Arial" w:hAnsi="Arial" w:eastAsia="黑体" w:cs="Arial"/>
      <w:sz w:val="24"/>
      <w:szCs w:val="24"/>
    </w:rPr>
  </w:style>
  <w:style w:type="paragraph" w:styleId="23">
    <w:name w:val="index 5"/>
    <w:basedOn w:val="1"/>
    <w:next w:val="1"/>
    <w:qFormat/>
    <w:uiPriority w:val="0"/>
    <w:pPr>
      <w:ind w:left="800" w:leftChars="800"/>
    </w:pPr>
  </w:style>
  <w:style w:type="paragraph" w:styleId="24">
    <w:name w:val="List Bullet"/>
    <w:basedOn w:val="1"/>
    <w:qFormat/>
    <w:uiPriority w:val="0"/>
    <w:pPr>
      <w:tabs>
        <w:tab w:val="left" w:pos="360"/>
        <w:tab w:val="left" w:pos="720"/>
      </w:tabs>
      <w:ind w:left="720" w:hanging="720"/>
    </w:pPr>
  </w:style>
  <w:style w:type="paragraph" w:styleId="25">
    <w:name w:val="envelope address"/>
    <w:basedOn w:val="1"/>
    <w:qFormat/>
    <w:uiPriority w:val="0"/>
    <w:pPr>
      <w:snapToGrid w:val="0"/>
      <w:ind w:left="100" w:leftChars="100"/>
    </w:pPr>
    <w:rPr>
      <w:rFonts w:ascii="Arial" w:hAnsi="Arial" w:cs="Arial"/>
      <w:sz w:val="24"/>
      <w:szCs w:val="24"/>
    </w:rPr>
  </w:style>
  <w:style w:type="paragraph" w:styleId="26">
    <w:name w:val="Document Map"/>
    <w:basedOn w:val="1"/>
    <w:link w:val="243"/>
    <w:qFormat/>
    <w:uiPriority w:val="0"/>
    <w:pPr>
      <w:shd w:val="clear" w:color="000000" w:fill="000080"/>
    </w:pPr>
  </w:style>
  <w:style w:type="paragraph" w:styleId="27">
    <w:name w:val="toa heading"/>
    <w:basedOn w:val="1"/>
    <w:next w:val="1"/>
    <w:qFormat/>
    <w:uiPriority w:val="0"/>
    <w:pPr>
      <w:spacing w:before="120"/>
    </w:pPr>
    <w:rPr>
      <w:rFonts w:ascii="Arial" w:hAnsi="Arial" w:cs="Arial"/>
      <w:sz w:val="24"/>
      <w:szCs w:val="24"/>
    </w:rPr>
  </w:style>
  <w:style w:type="paragraph" w:styleId="28">
    <w:name w:val="annotation text"/>
    <w:basedOn w:val="1"/>
    <w:link w:val="211"/>
    <w:unhideWhenUsed/>
    <w:qFormat/>
    <w:uiPriority w:val="99"/>
    <w:pPr>
      <w:jc w:val="left"/>
    </w:pPr>
  </w:style>
  <w:style w:type="paragraph" w:styleId="29">
    <w:name w:val="index 6"/>
    <w:basedOn w:val="1"/>
    <w:next w:val="1"/>
    <w:qFormat/>
    <w:uiPriority w:val="0"/>
    <w:pPr>
      <w:ind w:left="1000" w:leftChars="1000"/>
    </w:pPr>
  </w:style>
  <w:style w:type="paragraph" w:styleId="30">
    <w:name w:val="Salutation"/>
    <w:basedOn w:val="1"/>
    <w:next w:val="1"/>
    <w:link w:val="252"/>
    <w:qFormat/>
    <w:uiPriority w:val="0"/>
  </w:style>
  <w:style w:type="paragraph" w:styleId="31">
    <w:name w:val="Body Text 3"/>
    <w:basedOn w:val="1"/>
    <w:link w:val="244"/>
    <w:qFormat/>
    <w:uiPriority w:val="0"/>
    <w:pPr>
      <w:spacing w:after="120"/>
    </w:pPr>
    <w:rPr>
      <w:sz w:val="16"/>
      <w:szCs w:val="16"/>
    </w:rPr>
  </w:style>
  <w:style w:type="paragraph" w:styleId="32">
    <w:name w:val="Closing"/>
    <w:basedOn w:val="1"/>
    <w:link w:val="254"/>
    <w:qFormat/>
    <w:uiPriority w:val="0"/>
    <w:pPr>
      <w:ind w:left="100" w:leftChars="100"/>
    </w:pPr>
  </w:style>
  <w:style w:type="paragraph" w:styleId="33">
    <w:name w:val="List Bullet 3"/>
    <w:basedOn w:val="1"/>
    <w:qFormat/>
    <w:uiPriority w:val="0"/>
    <w:pPr>
      <w:tabs>
        <w:tab w:val="left" w:pos="480"/>
        <w:tab w:val="left" w:pos="1200"/>
      </w:tabs>
      <w:ind w:left="480" w:hanging="480"/>
    </w:pPr>
  </w:style>
  <w:style w:type="paragraph" w:styleId="34">
    <w:name w:val="Body Text"/>
    <w:basedOn w:val="1"/>
    <w:link w:val="239"/>
    <w:qFormat/>
    <w:uiPriority w:val="0"/>
    <w:pPr>
      <w:spacing w:after="120"/>
    </w:pPr>
  </w:style>
  <w:style w:type="paragraph" w:styleId="35">
    <w:name w:val="Body Text Indent"/>
    <w:basedOn w:val="1"/>
    <w:link w:val="241"/>
    <w:qFormat/>
    <w:uiPriority w:val="0"/>
    <w:pPr>
      <w:spacing w:after="120"/>
      <w:ind w:left="420" w:leftChars="420"/>
    </w:pPr>
  </w:style>
  <w:style w:type="paragraph" w:styleId="36">
    <w:name w:val="List Number 3"/>
    <w:basedOn w:val="1"/>
    <w:qFormat/>
    <w:uiPriority w:val="0"/>
    <w:pPr>
      <w:tabs>
        <w:tab w:val="left" w:pos="360"/>
        <w:tab w:val="left" w:pos="1200"/>
      </w:tabs>
      <w:ind w:left="360" w:hanging="360"/>
    </w:pPr>
  </w:style>
  <w:style w:type="paragraph" w:styleId="37">
    <w:name w:val="List 2"/>
    <w:basedOn w:val="1"/>
    <w:qFormat/>
    <w:uiPriority w:val="0"/>
    <w:pPr>
      <w:ind w:left="100" w:leftChars="-100" w:hanging="200"/>
      <w:contextualSpacing/>
    </w:pPr>
  </w:style>
  <w:style w:type="paragraph" w:styleId="38">
    <w:name w:val="List Continue"/>
    <w:basedOn w:val="1"/>
    <w:qFormat/>
    <w:uiPriority w:val="0"/>
    <w:pPr>
      <w:spacing w:after="120"/>
      <w:ind w:left="420" w:leftChars="420"/>
    </w:pPr>
  </w:style>
  <w:style w:type="paragraph" w:styleId="39">
    <w:name w:val="Block Text"/>
    <w:basedOn w:val="1"/>
    <w:qFormat/>
    <w:uiPriority w:val="0"/>
    <w:pPr>
      <w:spacing w:after="120"/>
      <w:ind w:left="1440" w:leftChars="1440" w:right="1440"/>
    </w:pPr>
  </w:style>
  <w:style w:type="paragraph" w:styleId="40">
    <w:name w:val="List Bullet 2"/>
    <w:basedOn w:val="1"/>
    <w:qFormat/>
    <w:uiPriority w:val="0"/>
    <w:pPr>
      <w:tabs>
        <w:tab w:val="left" w:pos="720"/>
        <w:tab w:val="left" w:pos="780"/>
      </w:tabs>
      <w:ind w:left="720" w:hanging="360"/>
    </w:pPr>
  </w:style>
  <w:style w:type="paragraph" w:styleId="41">
    <w:name w:val="HTML Address"/>
    <w:basedOn w:val="1"/>
    <w:link w:val="245"/>
    <w:qFormat/>
    <w:uiPriority w:val="0"/>
    <w:rPr>
      <w:i/>
    </w:rPr>
  </w:style>
  <w:style w:type="paragraph" w:styleId="42">
    <w:name w:val="index 4"/>
    <w:basedOn w:val="1"/>
    <w:next w:val="1"/>
    <w:qFormat/>
    <w:uiPriority w:val="0"/>
    <w:pPr>
      <w:ind w:left="600" w:leftChars="600"/>
    </w:pPr>
  </w:style>
  <w:style w:type="paragraph" w:styleId="43">
    <w:name w:val="toc 5"/>
    <w:basedOn w:val="1"/>
    <w:next w:val="1"/>
    <w:qFormat/>
    <w:uiPriority w:val="32"/>
    <w:pPr>
      <w:ind w:left="1680" w:leftChars="1680"/>
    </w:pPr>
  </w:style>
  <w:style w:type="paragraph" w:styleId="44">
    <w:name w:val="toc 3"/>
    <w:basedOn w:val="1"/>
    <w:next w:val="1"/>
    <w:qFormat/>
    <w:uiPriority w:val="30"/>
    <w:pPr>
      <w:tabs>
        <w:tab w:val="right" w:leader="dot" w:pos="8296"/>
      </w:tabs>
      <w:spacing w:line="312" w:lineRule="auto"/>
      <w:ind w:left="400" w:leftChars="400"/>
    </w:pPr>
    <w:rPr>
      <w:sz w:val="24"/>
      <w:szCs w:val="24"/>
    </w:rPr>
  </w:style>
  <w:style w:type="paragraph" w:styleId="45">
    <w:name w:val="Plain Text"/>
    <w:basedOn w:val="1"/>
    <w:link w:val="220"/>
    <w:qFormat/>
    <w:uiPriority w:val="0"/>
    <w:rPr>
      <w:rFonts w:ascii="宋体" w:hAnsi="Courier New" w:cs="Courier New"/>
    </w:rPr>
  </w:style>
  <w:style w:type="paragraph" w:styleId="46">
    <w:name w:val="List Bullet 5"/>
    <w:basedOn w:val="1"/>
    <w:qFormat/>
    <w:uiPriority w:val="0"/>
    <w:pPr>
      <w:tabs>
        <w:tab w:val="left" w:pos="840"/>
        <w:tab w:val="left" w:pos="2040"/>
      </w:tabs>
      <w:ind w:left="840" w:hanging="420"/>
    </w:pPr>
  </w:style>
  <w:style w:type="paragraph" w:styleId="47">
    <w:name w:val="List Number 4"/>
    <w:basedOn w:val="1"/>
    <w:qFormat/>
    <w:uiPriority w:val="0"/>
    <w:pPr>
      <w:tabs>
        <w:tab w:val="left" w:pos="960"/>
        <w:tab w:val="left" w:pos="1620"/>
      </w:tabs>
      <w:ind w:left="960" w:hanging="720"/>
    </w:pPr>
  </w:style>
  <w:style w:type="paragraph" w:styleId="48">
    <w:name w:val="toc 8"/>
    <w:basedOn w:val="1"/>
    <w:next w:val="1"/>
    <w:qFormat/>
    <w:uiPriority w:val="35"/>
    <w:pPr>
      <w:ind w:left="2940" w:leftChars="2940"/>
    </w:pPr>
  </w:style>
  <w:style w:type="paragraph" w:styleId="49">
    <w:name w:val="index 3"/>
    <w:basedOn w:val="1"/>
    <w:next w:val="1"/>
    <w:qFormat/>
    <w:uiPriority w:val="0"/>
    <w:pPr>
      <w:ind w:left="400" w:leftChars="400"/>
    </w:pPr>
  </w:style>
  <w:style w:type="paragraph" w:styleId="50">
    <w:name w:val="Date"/>
    <w:basedOn w:val="1"/>
    <w:next w:val="1"/>
    <w:link w:val="218"/>
    <w:qFormat/>
    <w:uiPriority w:val="0"/>
    <w:pPr>
      <w:ind w:left="100" w:leftChars="100"/>
    </w:pPr>
  </w:style>
  <w:style w:type="paragraph" w:styleId="51">
    <w:name w:val="Body Text Indent 2"/>
    <w:basedOn w:val="1"/>
    <w:link w:val="255"/>
    <w:qFormat/>
    <w:uiPriority w:val="0"/>
    <w:pPr>
      <w:spacing w:after="120" w:line="480" w:lineRule="auto"/>
      <w:ind w:left="420" w:leftChars="420"/>
    </w:pPr>
  </w:style>
  <w:style w:type="paragraph" w:styleId="52">
    <w:name w:val="endnote text"/>
    <w:basedOn w:val="1"/>
    <w:link w:val="253"/>
    <w:qFormat/>
    <w:uiPriority w:val="0"/>
    <w:pPr>
      <w:snapToGrid w:val="0"/>
      <w:jc w:val="left"/>
    </w:pPr>
  </w:style>
  <w:style w:type="paragraph" w:styleId="53">
    <w:name w:val="List Continue 5"/>
    <w:basedOn w:val="1"/>
    <w:qFormat/>
    <w:uiPriority w:val="0"/>
    <w:pPr>
      <w:spacing w:after="120"/>
      <w:ind w:left="2100" w:leftChars="2100"/>
    </w:pPr>
  </w:style>
  <w:style w:type="paragraph" w:styleId="54">
    <w:name w:val="Balloon Text"/>
    <w:basedOn w:val="1"/>
    <w:link w:val="222"/>
    <w:qFormat/>
    <w:uiPriority w:val="0"/>
    <w:rPr>
      <w:sz w:val="18"/>
      <w:szCs w:val="18"/>
    </w:rPr>
  </w:style>
  <w:style w:type="paragraph" w:styleId="55">
    <w:name w:val="footer"/>
    <w:basedOn w:val="1"/>
    <w:link w:val="213"/>
    <w:qFormat/>
    <w:uiPriority w:val="0"/>
    <w:pPr>
      <w:tabs>
        <w:tab w:val="center" w:pos="4153"/>
        <w:tab w:val="right" w:pos="8306"/>
      </w:tabs>
      <w:snapToGrid w:val="0"/>
      <w:jc w:val="left"/>
    </w:pPr>
    <w:rPr>
      <w:sz w:val="18"/>
      <w:szCs w:val="18"/>
    </w:rPr>
  </w:style>
  <w:style w:type="paragraph" w:styleId="56">
    <w:name w:val="envelope return"/>
    <w:basedOn w:val="1"/>
    <w:qFormat/>
    <w:uiPriority w:val="0"/>
    <w:pPr>
      <w:snapToGrid w:val="0"/>
    </w:pPr>
    <w:rPr>
      <w:rFonts w:ascii="Arial" w:hAnsi="Arial" w:cs="Arial"/>
    </w:rPr>
  </w:style>
  <w:style w:type="paragraph" w:styleId="57">
    <w:name w:val="header"/>
    <w:basedOn w:val="1"/>
    <w:link w:val="212"/>
    <w:qFormat/>
    <w:uiPriority w:val="0"/>
    <w:pPr>
      <w:tabs>
        <w:tab w:val="center" w:pos="4153"/>
        <w:tab w:val="right" w:pos="8306"/>
      </w:tabs>
      <w:snapToGrid w:val="0"/>
    </w:pPr>
    <w:rPr>
      <w:sz w:val="18"/>
      <w:szCs w:val="18"/>
    </w:rPr>
  </w:style>
  <w:style w:type="paragraph" w:styleId="58">
    <w:name w:val="Signature"/>
    <w:basedOn w:val="1"/>
    <w:link w:val="248"/>
    <w:qFormat/>
    <w:uiPriority w:val="0"/>
    <w:pPr>
      <w:ind w:left="100" w:leftChars="100"/>
    </w:pPr>
  </w:style>
  <w:style w:type="paragraph" w:styleId="59">
    <w:name w:val="toc 1"/>
    <w:basedOn w:val="1"/>
    <w:next w:val="1"/>
    <w:qFormat/>
    <w:uiPriority w:val="28"/>
    <w:pPr>
      <w:tabs>
        <w:tab w:val="right" w:leader="dot" w:pos="8296"/>
      </w:tabs>
      <w:spacing w:line="312" w:lineRule="auto"/>
    </w:pPr>
    <w:rPr>
      <w:sz w:val="24"/>
      <w:szCs w:val="24"/>
    </w:rPr>
  </w:style>
  <w:style w:type="paragraph" w:styleId="60">
    <w:name w:val="List Continue 4"/>
    <w:basedOn w:val="1"/>
    <w:qFormat/>
    <w:uiPriority w:val="0"/>
    <w:pPr>
      <w:spacing w:after="120"/>
      <w:ind w:left="1680" w:leftChars="1680"/>
    </w:pPr>
  </w:style>
  <w:style w:type="paragraph" w:styleId="61">
    <w:name w:val="toc 4"/>
    <w:basedOn w:val="1"/>
    <w:next w:val="1"/>
    <w:qFormat/>
    <w:uiPriority w:val="31"/>
    <w:pPr>
      <w:ind w:left="1260" w:leftChars="1260"/>
    </w:pPr>
  </w:style>
  <w:style w:type="paragraph" w:styleId="62">
    <w:name w:val="index heading"/>
    <w:basedOn w:val="1"/>
    <w:next w:val="63"/>
    <w:qFormat/>
    <w:uiPriority w:val="0"/>
    <w:rPr>
      <w:rFonts w:ascii="Arial" w:hAnsi="Arial" w:cs="Arial"/>
      <w:b/>
    </w:rPr>
  </w:style>
  <w:style w:type="paragraph" w:styleId="63">
    <w:name w:val="index 1"/>
    <w:basedOn w:val="1"/>
    <w:next w:val="1"/>
    <w:qFormat/>
    <w:uiPriority w:val="0"/>
  </w:style>
  <w:style w:type="paragraph" w:styleId="64">
    <w:name w:val="Subtitle"/>
    <w:basedOn w:val="1"/>
    <w:link w:val="256"/>
    <w:qFormat/>
    <w:uiPriority w:val="16"/>
    <w:pPr>
      <w:spacing w:before="240" w:after="60" w:line="312" w:lineRule="auto"/>
      <w:jc w:val="center"/>
      <w:outlineLvl w:val="1"/>
    </w:pPr>
    <w:rPr>
      <w:rFonts w:ascii="Arial" w:hAnsi="Arial" w:cs="Arial"/>
      <w:b/>
      <w:sz w:val="32"/>
      <w:szCs w:val="32"/>
    </w:rPr>
  </w:style>
  <w:style w:type="paragraph" w:styleId="65">
    <w:name w:val="List Number 5"/>
    <w:basedOn w:val="1"/>
    <w:qFormat/>
    <w:uiPriority w:val="0"/>
    <w:pPr>
      <w:tabs>
        <w:tab w:val="left" w:pos="2040"/>
      </w:tabs>
    </w:pPr>
  </w:style>
  <w:style w:type="paragraph" w:styleId="66">
    <w:name w:val="List"/>
    <w:basedOn w:val="1"/>
    <w:qFormat/>
    <w:uiPriority w:val="0"/>
    <w:pPr>
      <w:ind w:left="200" w:hanging="200"/>
    </w:pPr>
  </w:style>
  <w:style w:type="paragraph" w:styleId="67">
    <w:name w:val="footnote text"/>
    <w:basedOn w:val="1"/>
    <w:link w:val="249"/>
    <w:qFormat/>
    <w:uiPriority w:val="0"/>
    <w:pPr>
      <w:snapToGrid w:val="0"/>
      <w:jc w:val="left"/>
    </w:pPr>
    <w:rPr>
      <w:sz w:val="18"/>
      <w:szCs w:val="18"/>
    </w:rPr>
  </w:style>
  <w:style w:type="paragraph" w:styleId="68">
    <w:name w:val="toc 6"/>
    <w:basedOn w:val="1"/>
    <w:next w:val="1"/>
    <w:qFormat/>
    <w:uiPriority w:val="33"/>
    <w:pPr>
      <w:ind w:left="2100" w:leftChars="2100"/>
    </w:pPr>
  </w:style>
  <w:style w:type="paragraph" w:styleId="69">
    <w:name w:val="List 5"/>
    <w:basedOn w:val="1"/>
    <w:qFormat/>
    <w:uiPriority w:val="0"/>
    <w:pPr>
      <w:ind w:left="100" w:leftChars="-100" w:hanging="200"/>
    </w:pPr>
  </w:style>
  <w:style w:type="paragraph" w:styleId="70">
    <w:name w:val="Body Text Indent 3"/>
    <w:basedOn w:val="1"/>
    <w:link w:val="246"/>
    <w:qFormat/>
    <w:uiPriority w:val="0"/>
    <w:pPr>
      <w:spacing w:after="120"/>
      <w:ind w:left="420" w:leftChars="42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hanging="200"/>
    </w:pPr>
  </w:style>
  <w:style w:type="paragraph" w:styleId="74">
    <w:name w:val="toc 2"/>
    <w:basedOn w:val="1"/>
    <w:next w:val="1"/>
    <w:qFormat/>
    <w:uiPriority w:val="29"/>
    <w:pPr>
      <w:tabs>
        <w:tab w:val="right" w:leader="dot" w:pos="8296"/>
      </w:tabs>
      <w:spacing w:line="312" w:lineRule="auto"/>
      <w:ind w:left="420" w:leftChars="420"/>
    </w:pPr>
    <w:rPr>
      <w:sz w:val="24"/>
      <w:szCs w:val="24"/>
    </w:rPr>
  </w:style>
  <w:style w:type="paragraph" w:styleId="75">
    <w:name w:val="toc 9"/>
    <w:basedOn w:val="1"/>
    <w:next w:val="1"/>
    <w:qFormat/>
    <w:uiPriority w:val="36"/>
    <w:pPr>
      <w:ind w:left="3360" w:leftChars="3360"/>
    </w:pPr>
  </w:style>
  <w:style w:type="paragraph" w:styleId="76">
    <w:name w:val="Body Text 2"/>
    <w:basedOn w:val="1"/>
    <w:link w:val="251"/>
    <w:qFormat/>
    <w:uiPriority w:val="0"/>
    <w:pPr>
      <w:spacing w:after="120" w:line="480" w:lineRule="auto"/>
    </w:pPr>
  </w:style>
  <w:style w:type="paragraph" w:styleId="77">
    <w:name w:val="List 4"/>
    <w:basedOn w:val="1"/>
    <w:qFormat/>
    <w:uiPriority w:val="0"/>
    <w:pPr>
      <w:ind w:left="100" w:leftChars="-100" w:hanging="200"/>
    </w:pPr>
  </w:style>
  <w:style w:type="paragraph" w:styleId="78">
    <w:name w:val="List Continue 2"/>
    <w:basedOn w:val="1"/>
    <w:qFormat/>
    <w:uiPriority w:val="0"/>
    <w:pPr>
      <w:spacing w:after="120"/>
      <w:ind w:left="840" w:leftChars="840"/>
    </w:pPr>
  </w:style>
  <w:style w:type="paragraph" w:styleId="79">
    <w:name w:val="Message Header"/>
    <w:basedOn w:val="1"/>
    <w:link w:val="257"/>
    <w:qFormat/>
    <w:uiPriority w:val="0"/>
    <w:pPr>
      <w:pBdr>
        <w:top w:val="single" w:color="000000" w:sz="6" w:space="1"/>
        <w:left w:val="single" w:color="000000" w:sz="6" w:space="1"/>
        <w:bottom w:val="single" w:color="000000" w:sz="6" w:space="1"/>
        <w:right w:val="single" w:color="000000" w:sz="6" w:space="1"/>
      </w:pBdr>
      <w:shd w:val="pct20" w:color="000000" w:fill="auto"/>
      <w:ind w:left="1080" w:hanging="1080"/>
    </w:pPr>
    <w:rPr>
      <w:rFonts w:ascii="Arial" w:hAnsi="Arial" w:cs="Arial"/>
      <w:sz w:val="24"/>
      <w:szCs w:val="24"/>
    </w:rPr>
  </w:style>
  <w:style w:type="paragraph" w:styleId="80">
    <w:name w:val="HTML Preformatted"/>
    <w:basedOn w:val="1"/>
    <w:link w:val="21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81">
    <w:name w:val="Normal (Web)"/>
    <w:basedOn w:val="1"/>
    <w:unhideWhenUsed/>
    <w:qFormat/>
    <w:uiPriority w:val="0"/>
    <w:pPr>
      <w:spacing w:before="100" w:beforeAutospacing="1" w:after="100" w:afterAutospacing="1"/>
      <w:jc w:val="left"/>
    </w:pPr>
    <w:rPr>
      <w:rFonts w:ascii="宋体" w:hAnsi="宋体" w:cs="宋体"/>
      <w:sz w:val="24"/>
      <w:szCs w:val="24"/>
    </w:rPr>
  </w:style>
  <w:style w:type="paragraph" w:styleId="82">
    <w:name w:val="List Continue 3"/>
    <w:basedOn w:val="1"/>
    <w:qFormat/>
    <w:uiPriority w:val="0"/>
    <w:pPr>
      <w:spacing w:after="120"/>
      <w:ind w:left="1260" w:leftChars="1260"/>
    </w:pPr>
  </w:style>
  <w:style w:type="paragraph" w:styleId="83">
    <w:name w:val="index 2"/>
    <w:basedOn w:val="1"/>
    <w:next w:val="1"/>
    <w:qFormat/>
    <w:uiPriority w:val="0"/>
    <w:pPr>
      <w:ind w:left="200" w:leftChars="200"/>
    </w:pPr>
  </w:style>
  <w:style w:type="paragraph" w:styleId="84">
    <w:name w:val="Title"/>
    <w:basedOn w:val="1"/>
    <w:link w:val="214"/>
    <w:qFormat/>
    <w:uiPriority w:val="6"/>
    <w:pPr>
      <w:spacing w:before="240" w:after="60"/>
      <w:jc w:val="center"/>
      <w:outlineLvl w:val="0"/>
    </w:pPr>
    <w:rPr>
      <w:rFonts w:ascii="Arial" w:hAnsi="Arial" w:cs="Arial"/>
      <w:b/>
      <w:sz w:val="32"/>
      <w:szCs w:val="32"/>
    </w:rPr>
  </w:style>
  <w:style w:type="paragraph" w:styleId="85">
    <w:name w:val="annotation subject"/>
    <w:basedOn w:val="28"/>
    <w:next w:val="28"/>
    <w:link w:val="221"/>
    <w:qFormat/>
    <w:uiPriority w:val="0"/>
    <w:rPr>
      <w:b/>
    </w:rPr>
  </w:style>
  <w:style w:type="paragraph" w:styleId="86">
    <w:name w:val="Body Text First Indent"/>
    <w:basedOn w:val="34"/>
    <w:link w:val="240"/>
    <w:qFormat/>
    <w:uiPriority w:val="0"/>
    <w:pPr>
      <w:ind w:firstLine="100"/>
    </w:pPr>
  </w:style>
  <w:style w:type="paragraph" w:styleId="87">
    <w:name w:val="Body Text First Indent 2"/>
    <w:basedOn w:val="35"/>
    <w:link w:val="242"/>
    <w:qFormat/>
    <w:uiPriority w:val="0"/>
    <w:pPr>
      <w:ind w:firstLine="200"/>
    </w:pPr>
  </w:style>
  <w:style w:type="table" w:styleId="89">
    <w:name w:val="Table Grid"/>
    <w:basedOn w:val="88"/>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20"/>
    <w:rPr>
      <w:b/>
    </w:rPr>
  </w:style>
  <w:style w:type="character" w:styleId="92">
    <w:name w:val="endnote reference"/>
    <w:qFormat/>
    <w:uiPriority w:val="0"/>
    <w:rPr>
      <w:vertAlign w:val="superscript"/>
    </w:rPr>
  </w:style>
  <w:style w:type="character" w:styleId="93">
    <w:name w:val="page number"/>
    <w:basedOn w:val="90"/>
    <w:unhideWhenUsed/>
    <w:qFormat/>
    <w:uiPriority w:val="0"/>
    <w:rPr>
      <w:rFonts w:ascii="Times New Roman" w:hAnsi="Times New Roman" w:eastAsia="宋体"/>
      <w:sz w:val="18"/>
      <w:szCs w:val="18"/>
    </w:rPr>
  </w:style>
  <w:style w:type="character" w:styleId="94">
    <w:name w:val="FollowedHyperlink"/>
    <w:basedOn w:val="90"/>
    <w:qFormat/>
    <w:uiPriority w:val="0"/>
    <w:rPr>
      <w:color w:val="800080"/>
      <w:u w:val="single"/>
    </w:rPr>
  </w:style>
  <w:style w:type="character" w:styleId="95">
    <w:name w:val="Emphasis"/>
    <w:qFormat/>
    <w:uiPriority w:val="18"/>
    <w:rPr>
      <w:i/>
    </w:rPr>
  </w:style>
  <w:style w:type="character" w:styleId="96">
    <w:name w:val="line number"/>
    <w:basedOn w:val="90"/>
    <w:qFormat/>
    <w:uiPriority w:val="0"/>
  </w:style>
  <w:style w:type="character" w:styleId="97">
    <w:name w:val="HTML Definition"/>
    <w:qFormat/>
    <w:uiPriority w:val="0"/>
    <w:rPr>
      <w:i/>
    </w:rPr>
  </w:style>
  <w:style w:type="character" w:styleId="98">
    <w:name w:val="HTML Typewriter"/>
    <w:qFormat/>
    <w:uiPriority w:val="0"/>
    <w:rPr>
      <w:rFonts w:ascii="Courier New" w:hAnsi="Courier New" w:cs="Courier New"/>
      <w:sz w:val="20"/>
      <w:szCs w:val="20"/>
    </w:rPr>
  </w:style>
  <w:style w:type="character" w:styleId="99">
    <w:name w:val="HTML Acronym"/>
    <w:basedOn w:val="90"/>
    <w:qFormat/>
    <w:uiPriority w:val="0"/>
  </w:style>
  <w:style w:type="character" w:styleId="100">
    <w:name w:val="HTML Variable"/>
    <w:qFormat/>
    <w:uiPriority w:val="0"/>
    <w:rPr>
      <w:i/>
    </w:rPr>
  </w:style>
  <w:style w:type="character" w:styleId="101">
    <w:name w:val="Hyperlink"/>
    <w:basedOn w:val="90"/>
    <w:qFormat/>
    <w:uiPriority w:val="0"/>
    <w:rPr>
      <w:color w:val="0000FF"/>
      <w:u w:val="single"/>
    </w:rPr>
  </w:style>
  <w:style w:type="character" w:styleId="102">
    <w:name w:val="HTML Code"/>
    <w:qFormat/>
    <w:uiPriority w:val="0"/>
    <w:rPr>
      <w:rFonts w:ascii="Courier New" w:hAnsi="Courier New" w:cs="Courier New"/>
      <w:sz w:val="20"/>
      <w:szCs w:val="20"/>
    </w:rPr>
  </w:style>
  <w:style w:type="character" w:styleId="103">
    <w:name w:val="annotation reference"/>
    <w:basedOn w:val="90"/>
    <w:qFormat/>
    <w:uiPriority w:val="99"/>
    <w:rPr>
      <w:sz w:val="21"/>
      <w:szCs w:val="21"/>
    </w:rPr>
  </w:style>
  <w:style w:type="character" w:styleId="104">
    <w:name w:val="HTML Cite"/>
    <w:qFormat/>
    <w:uiPriority w:val="0"/>
    <w:rPr>
      <w:i/>
    </w:rPr>
  </w:style>
  <w:style w:type="character" w:styleId="105">
    <w:name w:val="footnote reference"/>
    <w:qFormat/>
    <w:uiPriority w:val="0"/>
    <w:rPr>
      <w:vertAlign w:val="superscript"/>
    </w:rPr>
  </w:style>
  <w:style w:type="character" w:styleId="106">
    <w:name w:val="HTML Keyboard"/>
    <w:qFormat/>
    <w:uiPriority w:val="0"/>
    <w:rPr>
      <w:rFonts w:ascii="Courier New" w:hAnsi="Courier New" w:cs="Courier New"/>
      <w:sz w:val="20"/>
      <w:szCs w:val="20"/>
    </w:rPr>
  </w:style>
  <w:style w:type="character" w:styleId="107">
    <w:name w:val="HTML Sample"/>
    <w:qFormat/>
    <w:uiPriority w:val="0"/>
    <w:rPr>
      <w:rFonts w:ascii="Courier New" w:hAnsi="Courier New" w:cs="Courier New"/>
    </w:rPr>
  </w:style>
  <w:style w:type="paragraph" w:customStyle="1" w:styleId="108">
    <w:name w:val="List Paragraph"/>
    <w:basedOn w:val="1"/>
    <w:qFormat/>
    <w:uiPriority w:val="99"/>
    <w:pPr>
      <w:ind w:firstLine="200"/>
    </w:pPr>
  </w:style>
  <w:style w:type="paragraph" w:customStyle="1" w:styleId="109">
    <w:name w:val="封面标准英文名称"/>
    <w:qFormat/>
    <w:uiPriority w:val="0"/>
    <w:pPr>
      <w:spacing w:before="370" w:line="400" w:lineRule="exact"/>
      <w:ind w:firstLine="200"/>
      <w:jc w:val="center"/>
    </w:pPr>
    <w:rPr>
      <w:rFonts w:ascii="Times New Roman" w:hAnsi="Times New Roman" w:eastAsia="宋体" w:cs="Times New Roman"/>
      <w:sz w:val="28"/>
      <w:szCs w:val="28"/>
      <w:lang w:val="en-US" w:eastAsia="zh-CN" w:bidi="ar-SA"/>
    </w:rPr>
  </w:style>
  <w:style w:type="paragraph" w:customStyle="1" w:styleId="110">
    <w:name w:val="标准"/>
    <w:basedOn w:val="1"/>
    <w:qFormat/>
    <w:uiPriority w:val="0"/>
    <w:pPr>
      <w:spacing w:line="312" w:lineRule="atLeast"/>
      <w:jc w:val="center"/>
    </w:pPr>
  </w:style>
  <w:style w:type="paragraph" w:customStyle="1" w:styleId="111">
    <w:name w:val="封面标准号2"/>
    <w:basedOn w:val="1"/>
    <w:qFormat/>
    <w:uiPriority w:val="0"/>
  </w:style>
  <w:style w:type="paragraph" w:customStyle="1" w:styleId="112">
    <w:name w:val="章标题"/>
    <w:next w:val="1"/>
    <w:link w:val="265"/>
    <w:qFormat/>
    <w:uiPriority w:val="0"/>
    <w:pPr>
      <w:tabs>
        <w:tab w:val="left" w:pos="675"/>
      </w:tabs>
      <w:spacing w:before="240" w:after="240"/>
      <w:ind w:left="675" w:hanging="360"/>
      <w:jc w:val="both"/>
      <w:outlineLvl w:val="1"/>
    </w:pPr>
    <w:rPr>
      <w:rFonts w:ascii="黑体" w:hAnsi="Times New Roman" w:eastAsia="黑体" w:cs="Times New Roman"/>
      <w:sz w:val="21"/>
      <w:szCs w:val="21"/>
      <w:lang w:val="en-US" w:eastAsia="zh-CN" w:bidi="ar-SA"/>
    </w:rPr>
  </w:style>
  <w:style w:type="paragraph" w:customStyle="1" w:styleId="113">
    <w:name w:val="段"/>
    <w:link w:val="223"/>
    <w:qFormat/>
    <w:uiPriority w:val="0"/>
    <w:pPr>
      <w:autoSpaceDE w:val="0"/>
      <w:autoSpaceDN w:val="0"/>
      <w:ind w:firstLine="200"/>
      <w:jc w:val="both"/>
    </w:pPr>
    <w:rPr>
      <w:rFonts w:ascii="宋体" w:hAnsi="宋体" w:eastAsia="宋体" w:cs="Times New Roman"/>
      <w:sz w:val="21"/>
      <w:szCs w:val="21"/>
      <w:lang w:val="en-US" w:eastAsia="zh-CN" w:bidi="ar-SA"/>
    </w:rPr>
  </w:style>
  <w:style w:type="paragraph" w:customStyle="1" w:styleId="114">
    <w:name w:val="列出段落1"/>
    <w:basedOn w:val="1"/>
    <w:qFormat/>
    <w:uiPriority w:val="0"/>
    <w:pPr>
      <w:ind w:firstLine="200"/>
    </w:pPr>
    <w:rPr>
      <w:rFonts w:ascii="Calibri" w:hAnsi="Calibri" w:cs="黑体"/>
    </w:rPr>
  </w:style>
  <w:style w:type="paragraph" w:customStyle="1" w:styleId="115">
    <w:name w:val="Char Char Char Char"/>
    <w:basedOn w:val="1"/>
    <w:qFormat/>
    <w:uiPriority w:val="0"/>
    <w:pPr>
      <w:spacing w:after="160" w:line="240" w:lineRule="exact"/>
      <w:jc w:val="left"/>
    </w:pPr>
  </w:style>
  <w:style w:type="paragraph" w:customStyle="1" w:styleId="116">
    <w:name w:val="2"/>
    <w:unhideWhenUsed/>
    <w:qFormat/>
    <w:uiPriority w:val="0"/>
    <w:pPr>
      <w:jc w:val="both"/>
    </w:pPr>
    <w:rPr>
      <w:rFonts w:ascii="Times New Roman" w:hAnsi="Times New Roman" w:eastAsia="宋体" w:cs="Times New Roman"/>
      <w:sz w:val="21"/>
      <w:szCs w:val="21"/>
      <w:lang w:val="en-US" w:eastAsia="zh-CN" w:bidi="ar-SA"/>
    </w:rPr>
  </w:style>
  <w:style w:type="paragraph" w:customStyle="1" w:styleId="117">
    <w:name w:val="u正文 Char"/>
    <w:basedOn w:val="1"/>
    <w:link w:val="234"/>
    <w:qFormat/>
    <w:uiPriority w:val="0"/>
    <w:pPr>
      <w:spacing w:before="24" w:after="24" w:line="312" w:lineRule="auto"/>
      <w:ind w:firstLine="200"/>
    </w:pPr>
    <w:rPr>
      <w:rFonts w:cs="宋体"/>
      <w:sz w:val="24"/>
      <w:szCs w:val="24"/>
    </w:rPr>
  </w:style>
  <w:style w:type="paragraph" w:customStyle="1" w:styleId="118">
    <w:name w:val="u页眉"/>
    <w:basedOn w:val="1"/>
    <w:qFormat/>
    <w:uiPriority w:val="0"/>
    <w:pPr>
      <w:pBdr>
        <w:bottom w:val="single" w:color="000000" w:sz="4" w:space="1"/>
      </w:pBdr>
      <w:jc w:val="center"/>
    </w:pPr>
  </w:style>
  <w:style w:type="paragraph" w:customStyle="1" w:styleId="119">
    <w:name w:val="连续正文文字"/>
    <w:basedOn w:val="34"/>
    <w:qFormat/>
    <w:uiPriority w:val="0"/>
    <w:pPr>
      <w:spacing w:after="220" w:line="180" w:lineRule="atLeast"/>
      <w:ind w:firstLine="476"/>
      <w:jc w:val="center"/>
    </w:pPr>
    <w:rPr>
      <w:spacing w:val="-5"/>
      <w:sz w:val="30"/>
      <w:szCs w:val="30"/>
    </w:rPr>
  </w:style>
  <w:style w:type="paragraph" w:customStyle="1" w:styleId="120">
    <w:name w:val="正文（结尾部分）"/>
    <w:basedOn w:val="1"/>
    <w:qFormat/>
    <w:uiPriority w:val="0"/>
    <w:pPr>
      <w:snapToGrid w:val="0"/>
      <w:spacing w:line="320" w:lineRule="exact"/>
      <w:ind w:firstLine="200"/>
    </w:pPr>
  </w:style>
  <w:style w:type="paragraph" w:customStyle="1" w:styleId="121">
    <w:name w:val="基准页眉样式"/>
    <w:basedOn w:val="34"/>
    <w:qFormat/>
    <w:uiPriority w:val="0"/>
    <w:pPr>
      <w:tabs>
        <w:tab w:val="center" w:pos="4320"/>
        <w:tab w:val="right" w:pos="8640"/>
      </w:tabs>
      <w:spacing w:after="0" w:line="180" w:lineRule="atLeast"/>
      <w:ind w:firstLine="476"/>
      <w:jc w:val="center"/>
    </w:pPr>
    <w:rPr>
      <w:spacing w:val="-5"/>
      <w:sz w:val="30"/>
      <w:szCs w:val="30"/>
    </w:rPr>
  </w:style>
  <w:style w:type="paragraph" w:customStyle="1" w:styleId="122">
    <w:name w:val="图标题"/>
    <w:basedOn w:val="1"/>
    <w:next w:val="1"/>
    <w:qFormat/>
    <w:uiPriority w:val="0"/>
    <w:pPr>
      <w:spacing w:before="200" w:after="400" w:line="312" w:lineRule="auto"/>
      <w:ind w:firstLine="476"/>
      <w:jc w:val="center"/>
    </w:pPr>
    <w:rPr>
      <w:b/>
      <w:spacing w:val="-5"/>
      <w:sz w:val="24"/>
      <w:szCs w:val="24"/>
    </w:rPr>
  </w:style>
  <w:style w:type="paragraph" w:customStyle="1" w:styleId="123">
    <w:name w:val="五级条标题"/>
    <w:next w:val="113"/>
    <w:qFormat/>
    <w:uiPriority w:val="0"/>
    <w:pPr>
      <w:tabs>
        <w:tab w:val="left" w:pos="1680"/>
        <w:tab w:val="left" w:pos="2100"/>
        <w:tab w:val="left" w:pos="2520"/>
        <w:tab w:val="left" w:pos="2940"/>
        <w:tab w:val="left" w:pos="3360"/>
      </w:tabs>
      <w:ind w:left="3360"/>
      <w:outlineLvl w:val="6"/>
    </w:pPr>
    <w:rPr>
      <w:rFonts w:ascii="Times New Roman" w:hAnsi="Times New Roman" w:eastAsia="宋体" w:cs="Times New Roman"/>
      <w:lang w:val="en-US" w:eastAsia="zh-CN" w:bidi="ar-SA"/>
    </w:rPr>
  </w:style>
  <w:style w:type="paragraph" w:customStyle="1" w:styleId="124">
    <w:name w:val="四级条标题"/>
    <w:next w:val="113"/>
    <w:qFormat/>
    <w:uiPriority w:val="0"/>
    <w:pPr>
      <w:tabs>
        <w:tab w:val="left" w:pos="1680"/>
        <w:tab w:val="left" w:pos="2100"/>
        <w:tab w:val="left" w:pos="2520"/>
        <w:tab w:val="left" w:pos="2940"/>
      </w:tabs>
      <w:ind w:left="2940"/>
      <w:outlineLvl w:val="5"/>
    </w:pPr>
    <w:rPr>
      <w:rFonts w:ascii="Times New Roman" w:hAnsi="Times New Roman" w:eastAsia="宋体" w:cs="Times New Roman"/>
      <w:lang w:val="en-US" w:eastAsia="zh-CN" w:bidi="ar-SA"/>
    </w:rPr>
  </w:style>
  <w:style w:type="paragraph" w:customStyle="1" w:styleId="125">
    <w:name w:val="三级条标题"/>
    <w:next w:val="113"/>
    <w:qFormat/>
    <w:uiPriority w:val="0"/>
    <w:pPr>
      <w:tabs>
        <w:tab w:val="left" w:pos="1680"/>
        <w:tab w:val="left" w:pos="2100"/>
        <w:tab w:val="left" w:pos="2520"/>
      </w:tabs>
      <w:ind w:left="2520"/>
      <w:outlineLvl w:val="4"/>
    </w:pPr>
    <w:rPr>
      <w:rFonts w:ascii="Times New Roman" w:hAnsi="Times New Roman" w:eastAsia="宋体" w:cs="Times New Roman"/>
      <w:lang w:val="en-US" w:eastAsia="zh-CN" w:bidi="ar-SA"/>
    </w:rPr>
  </w:style>
  <w:style w:type="paragraph" w:customStyle="1" w:styleId="126">
    <w:name w:val="二级条标题"/>
    <w:next w:val="113"/>
    <w:qFormat/>
    <w:uiPriority w:val="0"/>
    <w:pPr>
      <w:tabs>
        <w:tab w:val="left" w:pos="1680"/>
        <w:tab w:val="left" w:pos="2100"/>
      </w:tabs>
      <w:ind w:left="2100"/>
      <w:outlineLvl w:val="3"/>
    </w:pPr>
    <w:rPr>
      <w:rFonts w:ascii="Times New Roman" w:hAnsi="Times New Roman" w:eastAsia="宋体" w:cs="Times New Roman"/>
      <w:lang w:val="en-US" w:eastAsia="zh-CN" w:bidi="ar-SA"/>
    </w:rPr>
  </w:style>
  <w:style w:type="paragraph" w:customStyle="1" w:styleId="127">
    <w:name w:val="一级条标题"/>
    <w:basedOn w:val="112"/>
    <w:next w:val="113"/>
    <w:qFormat/>
    <w:uiPriority w:val="0"/>
    <w:pPr>
      <w:tabs>
        <w:tab w:val="left" w:pos="1680"/>
        <w:tab w:val="clear" w:pos="675"/>
      </w:tabs>
      <w:spacing w:before="0" w:after="0"/>
      <w:ind w:left="1680" w:hanging="420"/>
      <w:outlineLvl w:val="2"/>
    </w:pPr>
  </w:style>
  <w:style w:type="paragraph" w:customStyle="1" w:styleId="128">
    <w:name w:val="附录"/>
    <w:basedOn w:val="3"/>
    <w:next w:val="1"/>
    <w:qFormat/>
    <w:uiPriority w:val="0"/>
    <w:pPr>
      <w:tabs>
        <w:tab w:val="left" w:pos="360"/>
        <w:tab w:val="left" w:pos="720"/>
      </w:tabs>
      <w:spacing w:before="0" w:after="220" w:line="360" w:lineRule="auto"/>
      <w:ind w:left="360" w:hanging="360"/>
      <w:jc w:val="center"/>
    </w:pPr>
    <w:rPr>
      <w:spacing w:val="-10"/>
      <w:sz w:val="30"/>
      <w:szCs w:val="30"/>
    </w:rPr>
  </w:style>
  <w:style w:type="paragraph" w:customStyle="1" w:styleId="129">
    <w:name w:val="样式 u正文 + 首行缩进:  2 字符 段前: 0.5 行 段后: 0.5 行"/>
    <w:qFormat/>
    <w:uiPriority w:val="0"/>
    <w:rPr>
      <w:rFonts w:ascii="Times New Roman" w:hAnsi="Times New Roman" w:eastAsia="宋体" w:cs="Times New Roman"/>
      <w:lang w:val="en-US" w:eastAsia="zh-CN" w:bidi="ar-SA"/>
    </w:rPr>
  </w:style>
  <w:style w:type="paragraph" w:customStyle="1" w:styleId="130">
    <w:name w:val="u正文"/>
    <w:basedOn w:val="1"/>
    <w:qFormat/>
    <w:uiPriority w:val="0"/>
    <w:pPr>
      <w:spacing w:before="24" w:after="24" w:line="312" w:lineRule="auto"/>
      <w:ind w:firstLine="200"/>
    </w:pPr>
    <w:rPr>
      <w:rFonts w:cs="宋体"/>
      <w:sz w:val="24"/>
      <w:szCs w:val="24"/>
    </w:rPr>
  </w:style>
  <w:style w:type="paragraph" w:customStyle="1" w:styleId="131">
    <w:name w:val="u标题 自动分页"/>
    <w:next w:val="130"/>
    <w:qFormat/>
    <w:uiPriority w:val="0"/>
    <w:pPr>
      <w:pageBreakBefore/>
    </w:pPr>
    <w:rPr>
      <w:rFonts w:ascii="Times New Roman" w:hAnsi="Times New Roman" w:eastAsia="宋体" w:cs="Times New Roman"/>
      <w:lang w:val="en-US" w:eastAsia="zh-CN" w:bidi="ar-SA"/>
    </w:rPr>
  </w:style>
  <w:style w:type="paragraph" w:customStyle="1" w:styleId="132">
    <w:name w:val="u标题"/>
    <w:basedOn w:val="3"/>
    <w:next w:val="117"/>
    <w:qFormat/>
    <w:uiPriority w:val="0"/>
    <w:pPr>
      <w:spacing w:line="576" w:lineRule="auto"/>
      <w:jc w:val="center"/>
    </w:pPr>
    <w:rPr>
      <w:rFonts w:eastAsia="黑体"/>
      <w:sz w:val="30"/>
      <w:szCs w:val="30"/>
    </w:rPr>
  </w:style>
  <w:style w:type="paragraph" w:customStyle="1" w:styleId="133">
    <w:name w:val="基准页脚样式"/>
    <w:basedOn w:val="34"/>
    <w:qFormat/>
    <w:uiPriority w:val="0"/>
    <w:pPr>
      <w:spacing w:after="220" w:line="200" w:lineRule="atLeast"/>
      <w:ind w:firstLine="476"/>
      <w:jc w:val="center"/>
    </w:pPr>
    <w:rPr>
      <w:spacing w:val="-5"/>
      <w:sz w:val="16"/>
      <w:szCs w:val="16"/>
    </w:rPr>
  </w:style>
  <w:style w:type="paragraph" w:customStyle="1" w:styleId="13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35">
    <w:name w:val="样式 u正文 + 首行缩进:  2 字符 段前: 0.5 行 段后: 0.5 行1"/>
    <w:basedOn w:val="130"/>
    <w:qFormat/>
    <w:uiPriority w:val="0"/>
  </w:style>
  <w:style w:type="paragraph" w:customStyle="1" w:styleId="136">
    <w:name w:val="前言、引言标题"/>
    <w:next w:val="1"/>
    <w:qFormat/>
    <w:uiPriority w:val="0"/>
    <w:pPr>
      <w:shd w:val="clear" w:color="FFFFFF" w:fill="FFFFFF"/>
      <w:tabs>
        <w:tab w:val="left" w:pos="780"/>
      </w:tabs>
      <w:spacing w:before="640" w:after="560"/>
      <w:ind w:left="780" w:hanging="360"/>
      <w:jc w:val="center"/>
      <w:outlineLvl w:val="0"/>
    </w:pPr>
    <w:rPr>
      <w:rFonts w:ascii="黑体" w:hAnsi="Times New Roman" w:eastAsia="黑体" w:cs="Times New Roman"/>
      <w:sz w:val="32"/>
      <w:szCs w:val="32"/>
      <w:lang w:val="en-US" w:eastAsia="zh-CN" w:bidi="ar-SA"/>
    </w:rPr>
  </w:style>
  <w:style w:type="paragraph" w:customStyle="1" w:styleId="137">
    <w:name w:val="ustb bt1"/>
    <w:basedOn w:val="3"/>
    <w:qFormat/>
    <w:uiPriority w:val="0"/>
    <w:pPr>
      <w:spacing w:line="576" w:lineRule="auto"/>
    </w:pPr>
  </w:style>
  <w:style w:type="paragraph" w:customStyle="1" w:styleId="138">
    <w:name w:val="u正文2级标题"/>
    <w:basedOn w:val="4"/>
    <w:next w:val="1"/>
    <w:qFormat/>
    <w:uiPriority w:val="0"/>
    <w:pPr>
      <w:spacing w:line="312" w:lineRule="auto"/>
      <w:ind w:left="360"/>
    </w:pPr>
    <w:rPr>
      <w:rFonts w:ascii="Times New Roman" w:hAnsi="Times New Roman" w:eastAsia="Times New Roman"/>
      <w:sz w:val="28"/>
      <w:szCs w:val="28"/>
    </w:rPr>
  </w:style>
  <w:style w:type="paragraph" w:customStyle="1" w:styleId="139">
    <w:name w:val="u参考文献条目著者出版年制"/>
    <w:basedOn w:val="1"/>
    <w:qFormat/>
    <w:uiPriority w:val="0"/>
    <w:pPr>
      <w:spacing w:line="312" w:lineRule="auto"/>
      <w:ind w:left="200" w:hanging="200"/>
    </w:pPr>
    <w:rPr>
      <w:sz w:val="24"/>
      <w:szCs w:val="24"/>
    </w:rPr>
  </w:style>
  <w:style w:type="paragraph" w:customStyle="1" w:styleId="140">
    <w:name w:val="基准标题"/>
    <w:basedOn w:val="34"/>
    <w:next w:val="34"/>
    <w:qFormat/>
    <w:uiPriority w:val="0"/>
    <w:pPr>
      <w:spacing w:after="0" w:line="180" w:lineRule="atLeast"/>
      <w:ind w:firstLine="476"/>
      <w:jc w:val="left"/>
    </w:pPr>
    <w:rPr>
      <w:rFonts w:ascii="Arial Black" w:hAnsi="Arial Black"/>
      <w:spacing w:val="-10"/>
      <w:sz w:val="30"/>
      <w:szCs w:val="30"/>
    </w:rPr>
  </w:style>
  <w:style w:type="paragraph" w:customStyle="1" w:styleId="141">
    <w:name w:val="Char"/>
    <w:basedOn w:val="1"/>
    <w:qFormat/>
    <w:uiPriority w:val="0"/>
    <w:pPr>
      <w:spacing w:after="160" w:line="240" w:lineRule="exact"/>
      <w:jc w:val="left"/>
    </w:pPr>
    <w:rPr>
      <w:rFonts w:ascii="Verdana" w:hAnsi="Verdana"/>
      <w:sz w:val="20"/>
      <w:szCs w:val="20"/>
      <w:lang w:eastAsia="en-US"/>
    </w:rPr>
  </w:style>
  <w:style w:type="paragraph" w:customStyle="1" w:styleId="142">
    <w:name w:val="u附录标题"/>
    <w:basedOn w:val="131"/>
    <w:qFormat/>
    <w:uiPriority w:val="0"/>
    <w:pPr>
      <w:tabs>
        <w:tab w:val="left" w:pos="735"/>
        <w:tab w:val="left" w:pos="907"/>
      </w:tabs>
      <w:ind w:left="735" w:hanging="735"/>
    </w:pPr>
  </w:style>
  <w:style w:type="paragraph" w:customStyle="1" w:styleId="143">
    <w:name w:val="样式 u正文 + 首行缩进:  2 字符 段前: 0.5 行1"/>
    <w:basedOn w:val="130"/>
    <w:qFormat/>
    <w:uiPriority w:val="0"/>
    <w:pPr>
      <w:spacing w:before="48"/>
    </w:pPr>
  </w:style>
  <w:style w:type="paragraph" w:customStyle="1" w:styleId="144">
    <w:name w:val="u表标题"/>
    <w:basedOn w:val="1"/>
    <w:qFormat/>
    <w:uiPriority w:val="0"/>
    <w:pPr>
      <w:spacing w:before="360" w:after="120" w:line="360" w:lineRule="auto"/>
      <w:jc w:val="center"/>
    </w:pPr>
    <w:rPr>
      <w:rFonts w:eastAsia="黑体"/>
      <w:b/>
    </w:rPr>
  </w:style>
  <w:style w:type="paragraph" w:customStyle="1" w:styleId="145">
    <w:name w:val="图表题"/>
    <w:basedOn w:val="1"/>
    <w:qFormat/>
    <w:uiPriority w:val="0"/>
    <w:pPr>
      <w:snapToGrid w:val="0"/>
      <w:spacing w:line="400" w:lineRule="exact"/>
      <w:jc w:val="center"/>
    </w:pPr>
  </w:style>
  <w:style w:type="paragraph" w:customStyle="1" w:styleId="146">
    <w:name w:val="样式 u正文 + 首行缩进:  2 字符 段前: 0.5 行"/>
    <w:basedOn w:val="130"/>
    <w:qFormat/>
    <w:uiPriority w:val="0"/>
    <w:pPr>
      <w:spacing w:before="0" w:beforeAutospacing="1"/>
    </w:pPr>
  </w:style>
  <w:style w:type="paragraph" w:customStyle="1" w:styleId="147">
    <w:name w:val="u正文1级标题"/>
    <w:basedOn w:val="3"/>
    <w:next w:val="1"/>
    <w:qFormat/>
    <w:uiPriority w:val="0"/>
    <w:pPr>
      <w:pageBreakBefore/>
      <w:spacing w:after="340" w:line="312" w:lineRule="auto"/>
    </w:pPr>
    <w:rPr>
      <w:rFonts w:eastAsia="黑体"/>
      <w:sz w:val="30"/>
      <w:szCs w:val="30"/>
    </w:rPr>
  </w:style>
  <w:style w:type="paragraph" w:customStyle="1" w:styleId="148">
    <w:name w:val="u脚注"/>
    <w:basedOn w:val="1"/>
    <w:qFormat/>
    <w:uiPriority w:val="0"/>
    <w:pPr>
      <w:spacing w:before="100" w:beforeAutospacing="1" w:after="100" w:afterAutospacing="1"/>
    </w:pPr>
  </w:style>
  <w:style w:type="paragraph" w:customStyle="1" w:styleId="14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50">
    <w:name w:val="尾消息标题"/>
    <w:basedOn w:val="1"/>
    <w:next w:val="34"/>
    <w:qFormat/>
    <w:uiPriority w:val="0"/>
    <w:pPr>
      <w:pBdr>
        <w:bottom w:val="single" w:color="000000" w:sz="6" w:space="19"/>
        <w:between w:val="single" w:color="000000" w:sz="6" w:space="19"/>
      </w:pBdr>
      <w:tabs>
        <w:tab w:val="left" w:pos="1260"/>
        <w:tab w:val="left" w:pos="2940"/>
      </w:tabs>
      <w:spacing w:before="120" w:after="120" w:line="312" w:lineRule="auto"/>
      <w:jc w:val="left"/>
    </w:pPr>
    <w:rPr>
      <w:spacing w:val="-5"/>
      <w:sz w:val="24"/>
      <w:szCs w:val="24"/>
    </w:rPr>
  </w:style>
  <w:style w:type="paragraph" w:customStyle="1" w:styleId="151">
    <w:name w:val="u正文3级标题"/>
    <w:basedOn w:val="5"/>
    <w:next w:val="1"/>
    <w:qFormat/>
    <w:uiPriority w:val="0"/>
    <w:pPr>
      <w:spacing w:line="312" w:lineRule="auto"/>
      <w:ind w:left="2160"/>
    </w:pPr>
    <w:rPr>
      <w:rFonts w:eastAsia="Times New Roman"/>
      <w:sz w:val="28"/>
      <w:szCs w:val="28"/>
    </w:rPr>
  </w:style>
  <w:style w:type="paragraph" w:customStyle="1" w:styleId="152">
    <w:name w:val="表标题"/>
    <w:basedOn w:val="1"/>
    <w:next w:val="1"/>
    <w:qFormat/>
    <w:uiPriority w:val="0"/>
    <w:pPr>
      <w:spacing w:before="400" w:after="200" w:line="312" w:lineRule="auto"/>
      <w:jc w:val="left"/>
    </w:pPr>
    <w:rPr>
      <w:b/>
      <w:spacing w:val="-5"/>
      <w:sz w:val="24"/>
      <w:szCs w:val="24"/>
    </w:rPr>
  </w:style>
  <w:style w:type="paragraph" w:customStyle="1" w:styleId="153">
    <w:name w:val="其他"/>
    <w:basedOn w:val="1"/>
    <w:qFormat/>
    <w:uiPriority w:val="0"/>
  </w:style>
  <w:style w:type="paragraph" w:customStyle="1" w:styleId="154">
    <w:name w:val="u参考文献条目顺序编码制"/>
    <w:basedOn w:val="1"/>
    <w:qFormat/>
    <w:uiPriority w:val="0"/>
    <w:pPr>
      <w:tabs>
        <w:tab w:val="left" w:pos="525"/>
        <w:tab w:val="left" w:pos="927"/>
      </w:tabs>
      <w:spacing w:before="100" w:beforeAutospacing="1" w:after="100" w:afterAutospacing="1" w:line="312" w:lineRule="auto"/>
      <w:ind w:left="525" w:hanging="525"/>
    </w:pPr>
    <w:rPr>
      <w:sz w:val="24"/>
      <w:szCs w:val="24"/>
    </w:rPr>
  </w:style>
  <w:style w:type="paragraph" w:customStyle="1" w:styleId="155">
    <w:name w:val="u正文 + 首行缩进:  2 字符 段前: 0.5 行2"/>
    <w:basedOn w:val="130"/>
    <w:qFormat/>
    <w:uiPriority w:val="0"/>
    <w:pPr>
      <w:spacing w:before="48"/>
    </w:pPr>
  </w:style>
  <w:style w:type="paragraph" w:customStyle="1" w:styleId="156">
    <w:name w:val="u图标题"/>
    <w:basedOn w:val="1"/>
    <w:next w:val="130"/>
    <w:qFormat/>
    <w:uiPriority w:val="0"/>
    <w:pPr>
      <w:spacing w:before="120" w:after="360" w:line="360" w:lineRule="auto"/>
      <w:jc w:val="center"/>
    </w:pPr>
    <w:rPr>
      <w:rFonts w:eastAsia="黑体"/>
      <w:b/>
    </w:rPr>
  </w:style>
  <w:style w:type="paragraph" w:customStyle="1" w:styleId="157">
    <w:name w:val="样式 u表标题 + 段前: 1.5 行"/>
    <w:basedOn w:val="144"/>
    <w:qFormat/>
    <w:uiPriority w:val="0"/>
    <w:rPr>
      <w:rFonts w:cs="宋体"/>
    </w:rPr>
  </w:style>
  <w:style w:type="paragraph" w:customStyle="1" w:styleId="158">
    <w:name w:val="图片"/>
    <w:basedOn w:val="1"/>
    <w:next w:val="22"/>
    <w:qFormat/>
    <w:uiPriority w:val="0"/>
    <w:pPr>
      <w:spacing w:line="312" w:lineRule="auto"/>
      <w:ind w:firstLine="476"/>
      <w:jc w:val="left"/>
    </w:pPr>
    <w:rPr>
      <w:spacing w:val="-5"/>
      <w:sz w:val="24"/>
      <w:szCs w:val="24"/>
    </w:rPr>
  </w:style>
  <w:style w:type="paragraph" w:customStyle="1" w:styleId="159">
    <w:name w:val="Char Char Char Char Char Char Char Char Char"/>
    <w:basedOn w:val="1"/>
    <w:qFormat/>
    <w:uiPriority w:val="0"/>
    <w:pPr>
      <w:spacing w:after="160" w:line="240" w:lineRule="exact"/>
      <w:jc w:val="left"/>
    </w:pPr>
    <w:rPr>
      <w:rFonts w:ascii="Verdana" w:hAnsi="Verdana" w:eastAsia="仿宋_GB2312"/>
      <w:sz w:val="24"/>
      <w:szCs w:val="24"/>
      <w:lang w:eastAsia="en-US"/>
    </w:rPr>
  </w:style>
  <w:style w:type="paragraph" w:customStyle="1" w:styleId="160">
    <w:name w:val="样式1"/>
    <w:basedOn w:val="1"/>
    <w:qFormat/>
    <w:uiPriority w:val="0"/>
    <w:pPr>
      <w:spacing w:before="24" w:after="24" w:line="312" w:lineRule="auto"/>
      <w:ind w:firstLine="200"/>
    </w:pPr>
    <w:rPr>
      <w:rFonts w:hAnsi="宋体" w:cs="宋体"/>
      <w:sz w:val="24"/>
      <w:szCs w:val="24"/>
    </w:rPr>
  </w:style>
  <w:style w:type="paragraph" w:customStyle="1" w:styleId="161">
    <w:name w:val="u标题 不入目录"/>
    <w:basedOn w:val="1"/>
    <w:qFormat/>
    <w:uiPriority w:val="0"/>
    <w:pPr>
      <w:jc w:val="center"/>
    </w:pPr>
    <w:rPr>
      <w:rFonts w:eastAsia="黑体"/>
      <w:b/>
      <w:sz w:val="30"/>
      <w:szCs w:val="30"/>
    </w:rPr>
  </w:style>
  <w:style w:type="paragraph" w:customStyle="1" w:styleId="162">
    <w:name w:val="xl63"/>
    <w:basedOn w:val="1"/>
    <w:qFormat/>
    <w:uiPriority w:val="0"/>
    <w:pPr>
      <w:spacing w:before="100" w:beforeAutospacing="1" w:after="100" w:afterAutospacing="1"/>
      <w:jc w:val="center"/>
    </w:pPr>
    <w:rPr>
      <w:rFonts w:ascii="宋体" w:hAnsi="宋体" w:cs="宋体"/>
      <w:sz w:val="24"/>
      <w:szCs w:val="24"/>
    </w:rPr>
  </w:style>
  <w:style w:type="paragraph" w:customStyle="1" w:styleId="163">
    <w:name w:val="xl6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szCs w:val="24"/>
    </w:rPr>
  </w:style>
  <w:style w:type="paragraph" w:customStyle="1" w:styleId="164">
    <w:name w:val="xl6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szCs w:val="24"/>
    </w:rPr>
  </w:style>
  <w:style w:type="paragraph" w:customStyle="1" w:styleId="165">
    <w:name w:val="xl6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szCs w:val="24"/>
    </w:rPr>
  </w:style>
  <w:style w:type="paragraph" w:customStyle="1" w:styleId="166">
    <w:name w:val="xl6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szCs w:val="24"/>
    </w:rPr>
  </w:style>
  <w:style w:type="paragraph" w:customStyle="1" w:styleId="167">
    <w:name w:val="xl6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168">
    <w:name w:val="xl6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szCs w:val="24"/>
    </w:rPr>
  </w:style>
  <w:style w:type="paragraph" w:customStyle="1" w:styleId="169">
    <w:name w:val="xl7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170">
    <w:name w:val="font5"/>
    <w:basedOn w:val="1"/>
    <w:qFormat/>
    <w:uiPriority w:val="0"/>
    <w:pPr>
      <w:spacing w:before="100" w:beforeAutospacing="1" w:after="100" w:afterAutospacing="1"/>
      <w:jc w:val="left"/>
    </w:pPr>
    <w:rPr>
      <w:rFonts w:ascii="宋体" w:hAnsi="宋体" w:cs="宋体"/>
      <w:sz w:val="18"/>
      <w:szCs w:val="18"/>
    </w:rPr>
  </w:style>
  <w:style w:type="paragraph" w:customStyle="1" w:styleId="171">
    <w:name w:val="xl71"/>
    <w:basedOn w:val="1"/>
    <w:qFormat/>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sz w:val="18"/>
      <w:szCs w:val="18"/>
    </w:rPr>
  </w:style>
  <w:style w:type="paragraph" w:customStyle="1" w:styleId="172">
    <w:name w:val="xl72"/>
    <w:basedOn w:val="1"/>
    <w:qFormat/>
    <w:uiPriority w:val="0"/>
    <w:pPr>
      <w:pBdr>
        <w:left w:val="single" w:color="000000" w:sz="8" w:space="0"/>
        <w:right w:val="single" w:color="000000" w:sz="8" w:space="0"/>
      </w:pBdr>
      <w:spacing w:before="100" w:beforeAutospacing="1" w:after="100" w:afterAutospacing="1"/>
      <w:jc w:val="center"/>
    </w:pPr>
    <w:rPr>
      <w:sz w:val="18"/>
      <w:szCs w:val="18"/>
    </w:rPr>
  </w:style>
  <w:style w:type="paragraph" w:customStyle="1" w:styleId="173">
    <w:name w:val="xl73"/>
    <w:basedOn w:val="1"/>
    <w:qFormat/>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sz w:val="20"/>
      <w:szCs w:val="20"/>
    </w:rPr>
  </w:style>
  <w:style w:type="paragraph" w:customStyle="1" w:styleId="174">
    <w:name w:val="xl74"/>
    <w:basedOn w:val="1"/>
    <w:qFormat/>
    <w:uiPriority w:val="0"/>
    <w:pPr>
      <w:pBdr>
        <w:bottom w:val="single" w:color="000000" w:sz="8" w:space="0"/>
        <w:right w:val="single" w:color="000000" w:sz="8" w:space="0"/>
      </w:pBdr>
      <w:spacing w:before="100" w:beforeAutospacing="1" w:after="100" w:afterAutospacing="1"/>
      <w:jc w:val="center"/>
    </w:pPr>
    <w:rPr>
      <w:sz w:val="18"/>
      <w:szCs w:val="18"/>
    </w:rPr>
  </w:style>
  <w:style w:type="paragraph" w:customStyle="1" w:styleId="175">
    <w:name w:val="xl75"/>
    <w:basedOn w:val="1"/>
    <w:qFormat/>
    <w:uiPriority w:val="0"/>
    <w:pPr>
      <w:pBdr>
        <w:top w:val="single" w:color="000000" w:sz="8" w:space="0"/>
        <w:left w:val="single" w:color="000000" w:sz="8" w:space="0"/>
        <w:bottom w:val="single" w:color="000000" w:sz="8" w:space="0"/>
        <w:right w:val="single" w:color="000000" w:sz="8" w:space="0"/>
      </w:pBdr>
      <w:shd w:val="clear" w:color="000000" w:fill="FF8080"/>
      <w:spacing w:before="100" w:beforeAutospacing="1" w:after="100" w:afterAutospacing="1"/>
      <w:jc w:val="center"/>
    </w:pPr>
    <w:rPr>
      <w:sz w:val="20"/>
      <w:szCs w:val="20"/>
    </w:rPr>
  </w:style>
  <w:style w:type="paragraph" w:customStyle="1" w:styleId="176">
    <w:name w:val="xl76"/>
    <w:basedOn w:val="1"/>
    <w:qFormat/>
    <w:uiPriority w:val="0"/>
    <w:pPr>
      <w:pBdr>
        <w:top w:val="single" w:color="000000" w:sz="8" w:space="0"/>
        <w:left w:val="single" w:color="000000" w:sz="8" w:space="0"/>
        <w:bottom w:val="single" w:color="000000" w:sz="8" w:space="0"/>
        <w:right w:val="single" w:color="000000" w:sz="8" w:space="0"/>
      </w:pBdr>
      <w:shd w:val="clear" w:color="000000" w:fill="FFCC99"/>
      <w:spacing w:before="100" w:beforeAutospacing="1" w:after="100" w:afterAutospacing="1"/>
      <w:jc w:val="center"/>
    </w:pPr>
    <w:rPr>
      <w:sz w:val="20"/>
      <w:szCs w:val="20"/>
    </w:rPr>
  </w:style>
  <w:style w:type="paragraph" w:customStyle="1" w:styleId="177">
    <w:name w:val="xl77"/>
    <w:basedOn w:val="1"/>
    <w:qFormat/>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sz w:val="20"/>
      <w:szCs w:val="20"/>
    </w:rPr>
  </w:style>
  <w:style w:type="paragraph" w:customStyle="1" w:styleId="178">
    <w:name w:val="xl78"/>
    <w:basedOn w:val="1"/>
    <w:qFormat/>
    <w:uiPriority w:val="0"/>
    <w:pPr>
      <w:pBdr>
        <w:top w:val="single" w:color="000000" w:sz="8" w:space="0"/>
        <w:left w:val="single" w:color="000000" w:sz="8" w:space="0"/>
        <w:bottom w:val="single" w:color="000000" w:sz="8" w:space="0"/>
        <w:right w:val="single" w:color="000000" w:sz="8" w:space="0"/>
      </w:pBdr>
      <w:shd w:val="clear" w:color="000000" w:fill="C0C0C0"/>
      <w:spacing w:before="100" w:beforeAutospacing="1" w:after="100" w:afterAutospacing="1"/>
      <w:jc w:val="center"/>
    </w:pPr>
    <w:rPr>
      <w:sz w:val="20"/>
      <w:szCs w:val="20"/>
    </w:rPr>
  </w:style>
  <w:style w:type="paragraph" w:customStyle="1" w:styleId="179">
    <w:name w:val="xl79"/>
    <w:basedOn w:val="1"/>
    <w:qFormat/>
    <w:uiPriority w:val="0"/>
    <w:pPr>
      <w:pBdr>
        <w:top w:val="single" w:color="000000" w:sz="8" w:space="0"/>
        <w:left w:val="single" w:color="000000" w:sz="8" w:space="0"/>
        <w:right w:val="single" w:color="000000" w:sz="8" w:space="0"/>
      </w:pBdr>
      <w:spacing w:before="100" w:beforeAutospacing="1" w:after="100" w:afterAutospacing="1"/>
      <w:jc w:val="center"/>
    </w:pPr>
    <w:rPr>
      <w:rFonts w:ascii="宋体" w:hAnsi="宋体" w:cs="宋体"/>
      <w:sz w:val="18"/>
      <w:szCs w:val="18"/>
    </w:rPr>
  </w:style>
  <w:style w:type="paragraph" w:customStyle="1" w:styleId="180">
    <w:name w:val="xl80"/>
    <w:basedOn w:val="1"/>
    <w:qFormat/>
    <w:uiPriority w:val="0"/>
    <w:pPr>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sz w:val="18"/>
      <w:szCs w:val="18"/>
    </w:rPr>
  </w:style>
  <w:style w:type="paragraph" w:customStyle="1" w:styleId="181">
    <w:name w:val="xl81"/>
    <w:basedOn w:val="1"/>
    <w:qFormat/>
    <w:uiPriority w:val="0"/>
    <w:pPr>
      <w:pBdr>
        <w:top w:val="single" w:color="000000" w:sz="8" w:space="0"/>
        <w:left w:val="single" w:color="000000" w:sz="8" w:space="0"/>
        <w:right w:val="single" w:color="000000" w:sz="8" w:space="0"/>
      </w:pBdr>
      <w:spacing w:before="100" w:beforeAutospacing="1" w:after="100" w:afterAutospacing="1"/>
      <w:jc w:val="center"/>
    </w:pPr>
    <w:rPr>
      <w:sz w:val="18"/>
      <w:szCs w:val="18"/>
    </w:rPr>
  </w:style>
  <w:style w:type="paragraph" w:customStyle="1" w:styleId="182">
    <w:name w:val="xl82"/>
    <w:basedOn w:val="1"/>
    <w:qFormat/>
    <w:uiPriority w:val="0"/>
    <w:pPr>
      <w:pBdr>
        <w:left w:val="single" w:color="000000" w:sz="8" w:space="0"/>
        <w:bottom w:val="single" w:color="000000" w:sz="8" w:space="0"/>
        <w:right w:val="single" w:color="000000" w:sz="8" w:space="0"/>
      </w:pBdr>
      <w:spacing w:before="100" w:beforeAutospacing="1" w:after="100" w:afterAutospacing="1"/>
      <w:jc w:val="center"/>
    </w:pPr>
    <w:rPr>
      <w:sz w:val="18"/>
      <w:szCs w:val="18"/>
    </w:rPr>
  </w:style>
  <w:style w:type="paragraph" w:customStyle="1" w:styleId="183">
    <w:name w:val="xl83"/>
    <w:basedOn w:val="1"/>
    <w:qFormat/>
    <w:uiPriority w:val="0"/>
    <w:pPr>
      <w:pBdr>
        <w:top w:val="single" w:color="000000" w:sz="8" w:space="0"/>
        <w:right w:val="single" w:color="000000" w:sz="8" w:space="0"/>
      </w:pBdr>
      <w:spacing w:before="100" w:beforeAutospacing="1" w:after="100" w:afterAutospacing="1"/>
      <w:jc w:val="center"/>
    </w:pPr>
    <w:rPr>
      <w:sz w:val="18"/>
      <w:szCs w:val="18"/>
    </w:rPr>
  </w:style>
  <w:style w:type="paragraph" w:customStyle="1" w:styleId="184">
    <w:name w:val="xl84"/>
    <w:basedOn w:val="1"/>
    <w:qFormat/>
    <w:uiPriority w:val="0"/>
    <w:pPr>
      <w:pBdr>
        <w:left w:val="single" w:color="000000" w:sz="8" w:space="0"/>
        <w:bottom w:val="single" w:color="000000" w:sz="8" w:space="0"/>
        <w:right w:val="single" w:color="000000" w:sz="8" w:space="0"/>
      </w:pBdr>
      <w:spacing w:before="100" w:beforeAutospacing="1" w:after="100" w:afterAutospacing="1"/>
      <w:jc w:val="center"/>
    </w:pPr>
    <w:rPr>
      <w:sz w:val="18"/>
      <w:szCs w:val="18"/>
    </w:rPr>
  </w:style>
  <w:style w:type="paragraph" w:customStyle="1" w:styleId="185">
    <w:name w:val="xl85"/>
    <w:basedOn w:val="1"/>
    <w:qFormat/>
    <w:uiPriority w:val="0"/>
    <w:pPr>
      <w:pBdr>
        <w:top w:val="single" w:color="000000" w:sz="8" w:space="0"/>
        <w:right w:val="single" w:color="000000" w:sz="8" w:space="0"/>
      </w:pBdr>
      <w:spacing w:before="100" w:beforeAutospacing="1" w:after="100" w:afterAutospacing="1"/>
      <w:jc w:val="center"/>
    </w:pPr>
    <w:rPr>
      <w:sz w:val="18"/>
      <w:szCs w:val="18"/>
    </w:rPr>
  </w:style>
  <w:style w:type="paragraph" w:customStyle="1" w:styleId="186">
    <w:name w:val="1"/>
    <w:qFormat/>
    <w:uiPriority w:val="0"/>
    <w:pPr>
      <w:jc w:val="both"/>
    </w:pPr>
    <w:rPr>
      <w:rFonts w:ascii="Times New Roman" w:hAnsi="Times New Roman" w:eastAsia="宋体" w:cs="Times New Roman"/>
      <w:sz w:val="21"/>
      <w:szCs w:val="21"/>
      <w:lang w:val="en-US" w:eastAsia="zh-CN" w:bidi="ar-SA"/>
    </w:rPr>
  </w:style>
  <w:style w:type="paragraph" w:customStyle="1" w:styleId="187">
    <w:name w:val="附录标识"/>
    <w:basedOn w:val="136"/>
    <w:qFormat/>
    <w:uiPriority w:val="0"/>
    <w:pPr>
      <w:numPr>
        <w:ilvl w:val="0"/>
        <w:numId w:val="1"/>
      </w:numPr>
      <w:tabs>
        <w:tab w:val="left" w:pos="6405"/>
        <w:tab w:val="clear" w:pos="780"/>
      </w:tabs>
      <w:spacing w:after="200"/>
    </w:pPr>
    <w:rPr>
      <w:sz w:val="21"/>
      <w:szCs w:val="21"/>
    </w:rPr>
  </w:style>
  <w:style w:type="paragraph" w:customStyle="1" w:styleId="188">
    <w:name w:val="附录章标题"/>
    <w:next w:val="113"/>
    <w:qFormat/>
    <w:uiPriority w:val="0"/>
    <w:pPr>
      <w:numPr>
        <w:ilvl w:val="1"/>
        <w:numId w:val="1"/>
      </w:numPr>
      <w:wordWrap w:val="0"/>
      <w:overflowPunct w:val="0"/>
      <w:autoSpaceDE w:val="0"/>
      <w:spacing w:before="120" w:after="120"/>
      <w:jc w:val="both"/>
      <w:outlineLvl w:val="1"/>
    </w:pPr>
    <w:rPr>
      <w:rFonts w:ascii="黑体" w:hAnsi="Times New Roman" w:eastAsia="黑体" w:cs="Times New Roman"/>
      <w:sz w:val="21"/>
      <w:szCs w:val="21"/>
      <w:lang w:val="en-US" w:eastAsia="zh-CN" w:bidi="ar-SA"/>
    </w:rPr>
  </w:style>
  <w:style w:type="paragraph" w:customStyle="1" w:styleId="189">
    <w:name w:val="附录五级条标题"/>
    <w:next w:val="113"/>
    <w:qFormat/>
    <w:uiPriority w:val="0"/>
    <w:pPr>
      <w:outlineLvl w:val="6"/>
    </w:pPr>
    <w:rPr>
      <w:rFonts w:ascii="Times New Roman" w:hAnsi="Times New Roman" w:eastAsia="宋体" w:cs="Times New Roman"/>
      <w:lang w:val="en-US" w:eastAsia="zh-CN" w:bidi="ar-SA"/>
    </w:rPr>
  </w:style>
  <w:style w:type="paragraph" w:customStyle="1" w:styleId="190">
    <w:name w:val="附录四级条标题"/>
    <w:next w:val="113"/>
    <w:qFormat/>
    <w:uiPriority w:val="0"/>
    <w:pPr>
      <w:outlineLvl w:val="5"/>
    </w:pPr>
    <w:rPr>
      <w:rFonts w:ascii="Times New Roman" w:hAnsi="Times New Roman" w:eastAsia="宋体" w:cs="Times New Roman"/>
      <w:lang w:val="en-US" w:eastAsia="zh-CN" w:bidi="ar-SA"/>
    </w:rPr>
  </w:style>
  <w:style w:type="paragraph" w:customStyle="1" w:styleId="191">
    <w:name w:val="附录三级条标题"/>
    <w:next w:val="113"/>
    <w:qFormat/>
    <w:uiPriority w:val="0"/>
    <w:pPr>
      <w:outlineLvl w:val="4"/>
    </w:pPr>
    <w:rPr>
      <w:rFonts w:ascii="Times New Roman" w:hAnsi="Times New Roman" w:eastAsia="宋体" w:cs="Times New Roman"/>
      <w:lang w:val="en-US" w:eastAsia="zh-CN" w:bidi="ar-SA"/>
    </w:rPr>
  </w:style>
  <w:style w:type="paragraph" w:customStyle="1" w:styleId="192">
    <w:name w:val="附录二级条标题"/>
    <w:next w:val="113"/>
    <w:qFormat/>
    <w:uiPriority w:val="0"/>
    <w:pPr>
      <w:outlineLvl w:val="3"/>
    </w:pPr>
    <w:rPr>
      <w:rFonts w:ascii="Times New Roman" w:hAnsi="Times New Roman" w:eastAsia="宋体" w:cs="Times New Roman"/>
      <w:lang w:val="en-US" w:eastAsia="zh-CN" w:bidi="ar-SA"/>
    </w:rPr>
  </w:style>
  <w:style w:type="paragraph" w:customStyle="1" w:styleId="193">
    <w:name w:val="附录一级条标题"/>
    <w:basedOn w:val="188"/>
    <w:next w:val="113"/>
    <w:qFormat/>
    <w:uiPriority w:val="0"/>
    <w:pPr>
      <w:numPr>
        <w:ilvl w:val="1"/>
        <w:numId w:val="0"/>
      </w:numPr>
      <w:autoSpaceDN w:val="0"/>
      <w:spacing w:before="0" w:after="0"/>
      <w:outlineLvl w:val="2"/>
    </w:pPr>
  </w:style>
  <w:style w:type="paragraph" w:customStyle="1" w:styleId="194">
    <w:name w:val="p15"/>
    <w:basedOn w:val="1"/>
    <w:qFormat/>
    <w:uiPriority w:val="0"/>
    <w:pPr>
      <w:ind w:firstLine="420"/>
    </w:pPr>
    <w:rPr>
      <w:rFonts w:cs="宋体"/>
    </w:rPr>
  </w:style>
  <w:style w:type="paragraph" w:customStyle="1" w:styleId="195">
    <w:name w:val="日期1"/>
    <w:basedOn w:val="1"/>
    <w:next w:val="1"/>
    <w:qFormat/>
    <w:uiPriority w:val="0"/>
    <w:pPr>
      <w:ind w:left="100" w:leftChars="100"/>
    </w:pPr>
    <w:rPr>
      <w:rFonts w:cs="黑体"/>
    </w:rPr>
  </w:style>
  <w:style w:type="paragraph" w:customStyle="1" w:styleId="196">
    <w:name w:val="Default"/>
    <w:unhideWhenUsed/>
    <w:qFormat/>
    <w:uiPriority w:val="0"/>
    <w:pPr>
      <w:autoSpaceDE w:val="0"/>
      <w:autoSpaceDN w:val="0"/>
    </w:pPr>
    <w:rPr>
      <w:rFonts w:hint="eastAsia" w:ascii="仿宋_GB2312" w:hAnsi="仿宋_GB2312" w:eastAsia="仿宋_GB2312" w:cs="Times New Roman"/>
      <w:color w:val="000000"/>
      <w:sz w:val="24"/>
      <w:szCs w:val="24"/>
      <w:lang w:val="en-US" w:eastAsia="zh-CN" w:bidi="ar-SA"/>
    </w:rPr>
  </w:style>
  <w:style w:type="paragraph" w:customStyle="1" w:styleId="197">
    <w:name w:val="p0"/>
    <w:basedOn w:val="1"/>
    <w:qFormat/>
    <w:uiPriority w:val="0"/>
    <w:rPr>
      <w:rFonts w:cs="宋体"/>
    </w:rPr>
  </w:style>
  <w:style w:type="paragraph" w:customStyle="1" w:styleId="198">
    <w:name w:val="p16"/>
    <w:basedOn w:val="1"/>
    <w:qFormat/>
    <w:uiPriority w:val="0"/>
    <w:rPr>
      <w:rFonts w:cs="宋体"/>
    </w:rPr>
  </w:style>
  <w:style w:type="paragraph" w:customStyle="1" w:styleId="199">
    <w:name w:val="封面标准名称"/>
    <w:qFormat/>
    <w:uiPriority w:val="0"/>
    <w:pPr>
      <w:spacing w:line="680" w:lineRule="exact"/>
      <w:ind w:left="400" w:leftChars="200" w:right="210" w:hanging="200"/>
      <w:jc w:val="center"/>
    </w:pPr>
    <w:rPr>
      <w:rFonts w:ascii="黑体" w:hAnsi="Times New Roman" w:eastAsia="黑体" w:cs="Times New Roman"/>
      <w:sz w:val="52"/>
      <w:szCs w:val="52"/>
      <w:lang w:val="en-US" w:eastAsia="zh-CN" w:bidi="ar-SA"/>
    </w:rPr>
  </w:style>
  <w:style w:type="paragraph" w:customStyle="1" w:styleId="200">
    <w:name w:val="p17"/>
    <w:basedOn w:val="1"/>
    <w:qFormat/>
    <w:uiPriority w:val="0"/>
    <w:pPr>
      <w:ind w:firstLine="420"/>
    </w:pPr>
    <w:rPr>
      <w:rFonts w:cs="宋体"/>
    </w:rPr>
  </w:style>
  <w:style w:type="paragraph" w:customStyle="1" w:styleId="201">
    <w:name w:val="列出段落2"/>
    <w:basedOn w:val="1"/>
    <w:qFormat/>
    <w:uiPriority w:val="0"/>
    <w:pPr>
      <w:ind w:firstLine="200"/>
    </w:pPr>
  </w:style>
  <w:style w:type="character" w:customStyle="1" w:styleId="202">
    <w:name w:val="标题 1 字符"/>
    <w:basedOn w:val="90"/>
    <w:link w:val="3"/>
    <w:qFormat/>
    <w:uiPriority w:val="0"/>
    <w:rPr>
      <w:b/>
      <w:sz w:val="44"/>
      <w:szCs w:val="44"/>
    </w:rPr>
  </w:style>
  <w:style w:type="character" w:customStyle="1" w:styleId="203">
    <w:name w:val="标题 2 字符"/>
    <w:basedOn w:val="90"/>
    <w:link w:val="4"/>
    <w:qFormat/>
    <w:uiPriority w:val="0"/>
    <w:rPr>
      <w:rFonts w:ascii="Arial" w:hAnsi="Arial" w:eastAsia="黑体"/>
      <w:b/>
      <w:sz w:val="32"/>
      <w:szCs w:val="32"/>
    </w:rPr>
  </w:style>
  <w:style w:type="character" w:customStyle="1" w:styleId="204">
    <w:name w:val="标题 3 字符"/>
    <w:basedOn w:val="90"/>
    <w:link w:val="5"/>
    <w:qFormat/>
    <w:uiPriority w:val="0"/>
    <w:rPr>
      <w:b/>
      <w:sz w:val="32"/>
      <w:szCs w:val="32"/>
    </w:rPr>
  </w:style>
  <w:style w:type="character" w:customStyle="1" w:styleId="205">
    <w:name w:val="标题 4 字符"/>
    <w:basedOn w:val="90"/>
    <w:link w:val="6"/>
    <w:qFormat/>
    <w:uiPriority w:val="0"/>
    <w:rPr>
      <w:rFonts w:ascii="Arial" w:hAnsi="Arial" w:eastAsia="黑体"/>
      <w:b/>
      <w:sz w:val="28"/>
      <w:szCs w:val="28"/>
    </w:rPr>
  </w:style>
  <w:style w:type="character" w:customStyle="1" w:styleId="206">
    <w:name w:val="标题 5 字符"/>
    <w:basedOn w:val="90"/>
    <w:link w:val="7"/>
    <w:qFormat/>
    <w:uiPriority w:val="0"/>
    <w:rPr>
      <w:b/>
      <w:sz w:val="28"/>
      <w:szCs w:val="28"/>
    </w:rPr>
  </w:style>
  <w:style w:type="character" w:customStyle="1" w:styleId="207">
    <w:name w:val="标题 6 字符"/>
    <w:basedOn w:val="90"/>
    <w:link w:val="8"/>
    <w:qFormat/>
    <w:uiPriority w:val="0"/>
    <w:rPr>
      <w:rFonts w:ascii="Arial" w:hAnsi="Arial" w:eastAsia="黑体"/>
      <w:b/>
      <w:sz w:val="24"/>
      <w:szCs w:val="24"/>
    </w:rPr>
  </w:style>
  <w:style w:type="character" w:customStyle="1" w:styleId="208">
    <w:name w:val="标题 7 字符"/>
    <w:basedOn w:val="90"/>
    <w:link w:val="9"/>
    <w:qFormat/>
    <w:uiPriority w:val="0"/>
    <w:rPr>
      <w:b/>
      <w:sz w:val="24"/>
      <w:szCs w:val="24"/>
    </w:rPr>
  </w:style>
  <w:style w:type="character" w:customStyle="1" w:styleId="209">
    <w:name w:val="标题 8 字符"/>
    <w:basedOn w:val="90"/>
    <w:link w:val="10"/>
    <w:qFormat/>
    <w:uiPriority w:val="0"/>
    <w:rPr>
      <w:rFonts w:ascii="Arial" w:hAnsi="Arial" w:eastAsia="黑体"/>
      <w:sz w:val="24"/>
      <w:szCs w:val="24"/>
    </w:rPr>
  </w:style>
  <w:style w:type="character" w:customStyle="1" w:styleId="210">
    <w:name w:val="标题 9 字符"/>
    <w:basedOn w:val="90"/>
    <w:link w:val="11"/>
    <w:qFormat/>
    <w:uiPriority w:val="0"/>
    <w:rPr>
      <w:rFonts w:ascii="Arial" w:hAnsi="Arial" w:eastAsia="黑体"/>
      <w:sz w:val="21"/>
      <w:szCs w:val="21"/>
    </w:rPr>
  </w:style>
  <w:style w:type="character" w:customStyle="1" w:styleId="211">
    <w:name w:val="批注文字 字符"/>
    <w:basedOn w:val="90"/>
    <w:link w:val="28"/>
    <w:qFormat/>
    <w:uiPriority w:val="99"/>
    <w:rPr>
      <w:sz w:val="21"/>
      <w:szCs w:val="21"/>
    </w:rPr>
  </w:style>
  <w:style w:type="character" w:customStyle="1" w:styleId="212">
    <w:name w:val="页眉 字符"/>
    <w:basedOn w:val="90"/>
    <w:link w:val="57"/>
    <w:qFormat/>
    <w:uiPriority w:val="0"/>
    <w:rPr>
      <w:sz w:val="18"/>
      <w:szCs w:val="18"/>
    </w:rPr>
  </w:style>
  <w:style w:type="character" w:customStyle="1" w:styleId="213">
    <w:name w:val="页脚 字符"/>
    <w:basedOn w:val="90"/>
    <w:link w:val="55"/>
    <w:qFormat/>
    <w:uiPriority w:val="0"/>
    <w:rPr>
      <w:sz w:val="18"/>
      <w:szCs w:val="18"/>
    </w:rPr>
  </w:style>
  <w:style w:type="character" w:customStyle="1" w:styleId="214">
    <w:name w:val="标题 字符"/>
    <w:basedOn w:val="90"/>
    <w:link w:val="84"/>
    <w:qFormat/>
    <w:uiPriority w:val="0"/>
    <w:rPr>
      <w:rFonts w:ascii="Arial" w:hAnsi="Arial" w:cs="Arial"/>
      <w:b/>
      <w:sz w:val="32"/>
      <w:szCs w:val="32"/>
    </w:rPr>
  </w:style>
  <w:style w:type="character" w:customStyle="1" w:styleId="215">
    <w:name w:val="t_tag"/>
    <w:basedOn w:val="90"/>
    <w:qFormat/>
    <w:uiPriority w:val="0"/>
  </w:style>
  <w:style w:type="character" w:customStyle="1" w:styleId="216">
    <w:name w:val="apple-converted-space"/>
    <w:basedOn w:val="90"/>
    <w:qFormat/>
    <w:uiPriority w:val="0"/>
  </w:style>
  <w:style w:type="character" w:customStyle="1" w:styleId="217">
    <w:name w:val="apple-style-span"/>
    <w:basedOn w:val="90"/>
    <w:qFormat/>
    <w:uiPriority w:val="0"/>
  </w:style>
  <w:style w:type="character" w:customStyle="1" w:styleId="218">
    <w:name w:val="日期 字符"/>
    <w:basedOn w:val="90"/>
    <w:link w:val="50"/>
    <w:qFormat/>
    <w:uiPriority w:val="0"/>
    <w:rPr>
      <w:sz w:val="21"/>
      <w:szCs w:val="21"/>
    </w:rPr>
  </w:style>
  <w:style w:type="character" w:customStyle="1" w:styleId="219">
    <w:name w:val="HTML 预设格式 字符"/>
    <w:basedOn w:val="90"/>
    <w:link w:val="80"/>
    <w:qFormat/>
    <w:uiPriority w:val="0"/>
    <w:rPr>
      <w:rFonts w:ascii="宋体" w:hAnsi="宋体" w:cs="宋体"/>
      <w:sz w:val="24"/>
      <w:szCs w:val="24"/>
    </w:rPr>
  </w:style>
  <w:style w:type="character" w:customStyle="1" w:styleId="220">
    <w:name w:val="纯文本 字符"/>
    <w:basedOn w:val="90"/>
    <w:link w:val="45"/>
    <w:qFormat/>
    <w:uiPriority w:val="0"/>
    <w:rPr>
      <w:rFonts w:ascii="宋体" w:hAnsi="Courier New" w:cs="Courier New"/>
      <w:sz w:val="21"/>
      <w:szCs w:val="21"/>
    </w:rPr>
  </w:style>
  <w:style w:type="character" w:customStyle="1" w:styleId="221">
    <w:name w:val="批注主题 字符"/>
    <w:basedOn w:val="211"/>
    <w:link w:val="85"/>
    <w:qFormat/>
    <w:uiPriority w:val="0"/>
    <w:rPr>
      <w:b/>
      <w:sz w:val="21"/>
      <w:szCs w:val="21"/>
    </w:rPr>
  </w:style>
  <w:style w:type="character" w:customStyle="1" w:styleId="222">
    <w:name w:val="批注框文本 字符"/>
    <w:basedOn w:val="90"/>
    <w:link w:val="54"/>
    <w:qFormat/>
    <w:uiPriority w:val="0"/>
    <w:rPr>
      <w:sz w:val="18"/>
      <w:szCs w:val="18"/>
    </w:rPr>
  </w:style>
  <w:style w:type="character" w:customStyle="1" w:styleId="223">
    <w:name w:val="段 Char Char"/>
    <w:basedOn w:val="90"/>
    <w:link w:val="113"/>
    <w:qFormat/>
    <w:uiPriority w:val="0"/>
    <w:rPr>
      <w:rFonts w:ascii="宋体" w:hAnsi="宋体"/>
      <w:sz w:val="21"/>
      <w:szCs w:val="21"/>
    </w:rPr>
  </w:style>
  <w:style w:type="character" w:customStyle="1" w:styleId="224">
    <w:name w:val="short_text1"/>
    <w:basedOn w:val="90"/>
    <w:qFormat/>
    <w:uiPriority w:val="0"/>
    <w:rPr>
      <w:sz w:val="19"/>
      <w:szCs w:val="19"/>
    </w:rPr>
  </w:style>
  <w:style w:type="character" w:customStyle="1" w:styleId="225">
    <w:name w:val="上标"/>
    <w:qFormat/>
    <w:uiPriority w:val="0"/>
    <w:rPr>
      <w:vertAlign w:val="superscript"/>
    </w:rPr>
  </w:style>
  <w:style w:type="character" w:customStyle="1" w:styleId="226">
    <w:name w:val="z题名页日期"/>
    <w:qFormat/>
    <w:uiPriority w:val="0"/>
    <w:rPr>
      <w:rFonts w:ascii="Times New Roman" w:hAnsi="Times New Roman" w:eastAsia="宋体"/>
      <w:spacing w:val="0"/>
      <w:sz w:val="28"/>
      <w:szCs w:val="28"/>
    </w:rPr>
  </w:style>
  <w:style w:type="character" w:customStyle="1" w:styleId="227">
    <w:name w:val="z题名页其他"/>
    <w:qFormat/>
    <w:uiPriority w:val="0"/>
    <w:rPr>
      <w:rFonts w:ascii="Times New Roman" w:hAnsi="Times New Roman" w:eastAsia="宋体"/>
      <w:sz w:val="21"/>
      <w:szCs w:val="21"/>
    </w:rPr>
  </w:style>
  <w:style w:type="character" w:customStyle="1" w:styleId="228">
    <w:name w:val="datatitle1"/>
    <w:qFormat/>
    <w:uiPriority w:val="0"/>
    <w:rPr>
      <w:b/>
      <w:color w:val="10619F"/>
      <w:sz w:val="21"/>
      <w:szCs w:val="21"/>
    </w:rPr>
  </w:style>
  <w:style w:type="character" w:customStyle="1" w:styleId="229">
    <w:name w:val="z题名页作者"/>
    <w:qFormat/>
    <w:uiPriority w:val="0"/>
    <w:rPr>
      <w:rFonts w:ascii="Times New Roman" w:hAnsi="Times New Roman" w:eastAsia="宋体"/>
      <w:sz w:val="28"/>
      <w:szCs w:val="28"/>
    </w:rPr>
  </w:style>
  <w:style w:type="character" w:customStyle="1" w:styleId="230">
    <w:name w:val="z题名页题名"/>
    <w:qFormat/>
    <w:uiPriority w:val="0"/>
    <w:rPr>
      <w:rFonts w:ascii="Times New Roman" w:hAnsi="Times New Roman" w:eastAsia="宋体"/>
      <w:sz w:val="28"/>
      <w:szCs w:val="28"/>
    </w:rPr>
  </w:style>
  <w:style w:type="character" w:customStyle="1" w:styleId="231">
    <w:name w:val="z封面题名"/>
    <w:qFormat/>
    <w:uiPriority w:val="0"/>
    <w:rPr>
      <w:rFonts w:ascii="Times New Roman" w:hAnsi="Times New Roman" w:eastAsia="宋体"/>
      <w:b/>
      <w:spacing w:val="0"/>
      <w:sz w:val="36"/>
      <w:szCs w:val="36"/>
    </w:rPr>
  </w:style>
  <w:style w:type="character" w:customStyle="1" w:styleId="232">
    <w:name w:val="z封面其他"/>
    <w:qFormat/>
    <w:uiPriority w:val="0"/>
    <w:rPr>
      <w:rFonts w:ascii="Times New Roman" w:hAnsi="Times New Roman" w:eastAsia="宋体"/>
      <w:spacing w:val="0"/>
      <w:sz w:val="30"/>
      <w:szCs w:val="30"/>
    </w:rPr>
  </w:style>
  <w:style w:type="character" w:customStyle="1" w:styleId="233">
    <w:name w:val="u关键词"/>
    <w:qFormat/>
    <w:uiPriority w:val="0"/>
    <w:rPr>
      <w:rFonts w:ascii="Times New Roman" w:hAnsi="Times New Roman" w:eastAsia="黑体"/>
      <w:b/>
      <w:sz w:val="24"/>
      <w:szCs w:val="24"/>
    </w:rPr>
  </w:style>
  <w:style w:type="character" w:customStyle="1" w:styleId="234">
    <w:name w:val="u正文 Char Char"/>
    <w:link w:val="117"/>
    <w:qFormat/>
    <w:uiPriority w:val="0"/>
    <w:rPr>
      <w:rFonts w:cs="宋体"/>
      <w:sz w:val="24"/>
      <w:szCs w:val="24"/>
    </w:rPr>
  </w:style>
  <w:style w:type="character" w:customStyle="1" w:styleId="235">
    <w:name w:val="z封二题名"/>
    <w:qFormat/>
    <w:uiPriority w:val="0"/>
    <w:rPr>
      <w:rFonts w:ascii="Times New Roman" w:hAnsi="Times New Roman" w:eastAsia="宋体"/>
      <w:sz w:val="36"/>
      <w:szCs w:val="36"/>
    </w:rPr>
  </w:style>
  <w:style w:type="character" w:customStyle="1" w:styleId="236">
    <w:name w:val="z书脊"/>
    <w:qFormat/>
    <w:uiPriority w:val="0"/>
    <w:rPr>
      <w:rFonts w:ascii="Times New Roman" w:hAnsi="Times New Roman" w:eastAsia="宋体"/>
      <w:b/>
      <w:sz w:val="32"/>
      <w:szCs w:val="32"/>
    </w:rPr>
  </w:style>
  <w:style w:type="character" w:customStyle="1" w:styleId="237">
    <w:name w:val="z封二其他"/>
    <w:qFormat/>
    <w:uiPriority w:val="0"/>
    <w:rPr>
      <w:rFonts w:ascii="Times New Roman" w:hAnsi="Times New Roman" w:eastAsia="宋体"/>
      <w:sz w:val="24"/>
      <w:szCs w:val="24"/>
    </w:rPr>
  </w:style>
  <w:style w:type="character" w:customStyle="1" w:styleId="238">
    <w:name w:val="宏文本 字符"/>
    <w:basedOn w:val="90"/>
    <w:link w:val="2"/>
    <w:qFormat/>
    <w:uiPriority w:val="0"/>
    <w:rPr>
      <w:rFonts w:ascii="Courier New" w:hAnsi="Courier New" w:cs="Courier New"/>
      <w:sz w:val="24"/>
      <w:szCs w:val="24"/>
    </w:rPr>
  </w:style>
  <w:style w:type="character" w:customStyle="1" w:styleId="239">
    <w:name w:val="正文文本 字符"/>
    <w:basedOn w:val="90"/>
    <w:link w:val="34"/>
    <w:qFormat/>
    <w:uiPriority w:val="0"/>
    <w:rPr>
      <w:sz w:val="21"/>
      <w:szCs w:val="21"/>
    </w:rPr>
  </w:style>
  <w:style w:type="character" w:customStyle="1" w:styleId="240">
    <w:name w:val="正文首行缩进 字符"/>
    <w:basedOn w:val="239"/>
    <w:link w:val="86"/>
    <w:qFormat/>
    <w:uiPriority w:val="0"/>
    <w:rPr>
      <w:sz w:val="21"/>
      <w:szCs w:val="21"/>
    </w:rPr>
  </w:style>
  <w:style w:type="character" w:customStyle="1" w:styleId="241">
    <w:name w:val="正文文本缩进 字符"/>
    <w:basedOn w:val="90"/>
    <w:link w:val="35"/>
    <w:qFormat/>
    <w:uiPriority w:val="0"/>
    <w:rPr>
      <w:sz w:val="21"/>
      <w:szCs w:val="21"/>
    </w:rPr>
  </w:style>
  <w:style w:type="character" w:customStyle="1" w:styleId="242">
    <w:name w:val="正文首行缩进 2 字符"/>
    <w:basedOn w:val="241"/>
    <w:link w:val="87"/>
    <w:qFormat/>
    <w:uiPriority w:val="0"/>
    <w:rPr>
      <w:sz w:val="21"/>
      <w:szCs w:val="21"/>
    </w:rPr>
  </w:style>
  <w:style w:type="character" w:customStyle="1" w:styleId="243">
    <w:name w:val="文档结构图 字符"/>
    <w:basedOn w:val="90"/>
    <w:link w:val="26"/>
    <w:qFormat/>
    <w:uiPriority w:val="0"/>
    <w:rPr>
      <w:sz w:val="21"/>
      <w:szCs w:val="21"/>
      <w:shd w:val="clear" w:color="000000" w:fill="000080"/>
    </w:rPr>
  </w:style>
  <w:style w:type="character" w:customStyle="1" w:styleId="244">
    <w:name w:val="正文文本 3 字符"/>
    <w:basedOn w:val="90"/>
    <w:link w:val="31"/>
    <w:qFormat/>
    <w:uiPriority w:val="0"/>
    <w:rPr>
      <w:sz w:val="16"/>
      <w:szCs w:val="16"/>
    </w:rPr>
  </w:style>
  <w:style w:type="character" w:customStyle="1" w:styleId="245">
    <w:name w:val="HTML 地址 字符"/>
    <w:basedOn w:val="90"/>
    <w:link w:val="41"/>
    <w:qFormat/>
    <w:uiPriority w:val="0"/>
    <w:rPr>
      <w:i/>
      <w:sz w:val="21"/>
      <w:szCs w:val="21"/>
    </w:rPr>
  </w:style>
  <w:style w:type="character" w:customStyle="1" w:styleId="246">
    <w:name w:val="正文文本缩进 3 字符"/>
    <w:basedOn w:val="90"/>
    <w:link w:val="70"/>
    <w:qFormat/>
    <w:uiPriority w:val="0"/>
    <w:rPr>
      <w:sz w:val="16"/>
      <w:szCs w:val="16"/>
    </w:rPr>
  </w:style>
  <w:style w:type="character" w:customStyle="1" w:styleId="247">
    <w:name w:val="电子邮件签名 字符"/>
    <w:basedOn w:val="90"/>
    <w:link w:val="19"/>
    <w:qFormat/>
    <w:uiPriority w:val="0"/>
    <w:rPr>
      <w:sz w:val="21"/>
      <w:szCs w:val="21"/>
    </w:rPr>
  </w:style>
  <w:style w:type="character" w:customStyle="1" w:styleId="248">
    <w:name w:val="签名 字符"/>
    <w:basedOn w:val="90"/>
    <w:link w:val="58"/>
    <w:qFormat/>
    <w:uiPriority w:val="0"/>
    <w:rPr>
      <w:sz w:val="21"/>
      <w:szCs w:val="21"/>
    </w:rPr>
  </w:style>
  <w:style w:type="character" w:customStyle="1" w:styleId="249">
    <w:name w:val="脚注文本 字符"/>
    <w:basedOn w:val="90"/>
    <w:link w:val="67"/>
    <w:qFormat/>
    <w:uiPriority w:val="0"/>
    <w:rPr>
      <w:sz w:val="18"/>
      <w:szCs w:val="18"/>
    </w:rPr>
  </w:style>
  <w:style w:type="character" w:customStyle="1" w:styleId="250">
    <w:name w:val="注释标题 字符"/>
    <w:basedOn w:val="90"/>
    <w:link w:val="16"/>
    <w:qFormat/>
    <w:uiPriority w:val="0"/>
    <w:rPr>
      <w:sz w:val="21"/>
      <w:szCs w:val="21"/>
    </w:rPr>
  </w:style>
  <w:style w:type="character" w:customStyle="1" w:styleId="251">
    <w:name w:val="正文文本 2 字符"/>
    <w:basedOn w:val="90"/>
    <w:link w:val="76"/>
    <w:qFormat/>
    <w:uiPriority w:val="0"/>
    <w:rPr>
      <w:sz w:val="21"/>
      <w:szCs w:val="21"/>
    </w:rPr>
  </w:style>
  <w:style w:type="character" w:customStyle="1" w:styleId="252">
    <w:name w:val="称呼 字符"/>
    <w:basedOn w:val="90"/>
    <w:link w:val="30"/>
    <w:qFormat/>
    <w:uiPriority w:val="0"/>
    <w:rPr>
      <w:sz w:val="21"/>
      <w:szCs w:val="21"/>
    </w:rPr>
  </w:style>
  <w:style w:type="character" w:customStyle="1" w:styleId="253">
    <w:name w:val="尾注文本 字符"/>
    <w:basedOn w:val="90"/>
    <w:link w:val="52"/>
    <w:qFormat/>
    <w:uiPriority w:val="0"/>
    <w:rPr>
      <w:sz w:val="21"/>
      <w:szCs w:val="21"/>
    </w:rPr>
  </w:style>
  <w:style w:type="character" w:customStyle="1" w:styleId="254">
    <w:name w:val="结束语 字符"/>
    <w:basedOn w:val="90"/>
    <w:link w:val="32"/>
    <w:qFormat/>
    <w:uiPriority w:val="0"/>
    <w:rPr>
      <w:sz w:val="21"/>
      <w:szCs w:val="21"/>
    </w:rPr>
  </w:style>
  <w:style w:type="character" w:customStyle="1" w:styleId="255">
    <w:name w:val="正文文本缩进 2 字符"/>
    <w:basedOn w:val="90"/>
    <w:link w:val="51"/>
    <w:qFormat/>
    <w:uiPriority w:val="0"/>
    <w:rPr>
      <w:sz w:val="21"/>
      <w:szCs w:val="21"/>
    </w:rPr>
  </w:style>
  <w:style w:type="character" w:customStyle="1" w:styleId="256">
    <w:name w:val="副标题 字符"/>
    <w:basedOn w:val="90"/>
    <w:link w:val="64"/>
    <w:qFormat/>
    <w:uiPriority w:val="0"/>
    <w:rPr>
      <w:rFonts w:ascii="Arial" w:hAnsi="Arial" w:cs="Arial"/>
      <w:b/>
      <w:sz w:val="32"/>
      <w:szCs w:val="32"/>
    </w:rPr>
  </w:style>
  <w:style w:type="character" w:customStyle="1" w:styleId="257">
    <w:name w:val="信息标题 字符"/>
    <w:basedOn w:val="90"/>
    <w:link w:val="79"/>
    <w:qFormat/>
    <w:uiPriority w:val="0"/>
    <w:rPr>
      <w:rFonts w:ascii="Arial" w:hAnsi="Arial" w:cs="Arial"/>
      <w:sz w:val="24"/>
      <w:szCs w:val="24"/>
      <w:shd w:val="pct20" w:color="000000" w:fill="auto"/>
    </w:rPr>
  </w:style>
  <w:style w:type="character" w:customStyle="1" w:styleId="258">
    <w:name w:val="Placeholder Text"/>
    <w:basedOn w:val="90"/>
    <w:semiHidden/>
    <w:qFormat/>
    <w:uiPriority w:val="0"/>
    <w:rPr>
      <w:color w:val="808080"/>
    </w:rPr>
  </w:style>
  <w:style w:type="character" w:customStyle="1" w:styleId="259">
    <w:name w:val="段 Char"/>
    <w:qFormat/>
    <w:uiPriority w:val="0"/>
    <w:rPr>
      <w:rFonts w:ascii="宋体"/>
      <w:sz w:val="21"/>
      <w:szCs w:val="21"/>
      <w:lang w:bidi="ar-SA"/>
    </w:rPr>
  </w:style>
  <w:style w:type="character" w:customStyle="1" w:styleId="260">
    <w:name w:val="font31"/>
    <w:basedOn w:val="90"/>
    <w:qFormat/>
    <w:uiPriority w:val="0"/>
    <w:rPr>
      <w:rFonts w:hint="default" w:ascii="Times New Roman" w:hAnsi="Times New Roman" w:cs="Times New Roman"/>
      <w:color w:val="000000"/>
      <w:sz w:val="28"/>
      <w:szCs w:val="28"/>
      <w:u w:val="none"/>
    </w:rPr>
  </w:style>
  <w:style w:type="character" w:customStyle="1" w:styleId="261">
    <w:name w:val="font21"/>
    <w:basedOn w:val="90"/>
    <w:qFormat/>
    <w:uiPriority w:val="0"/>
    <w:rPr>
      <w:rFonts w:hint="eastAsia" w:ascii="宋体" w:hAnsi="宋体" w:eastAsia="宋体" w:cs="宋体"/>
      <w:color w:val="000000"/>
      <w:sz w:val="28"/>
      <w:szCs w:val="28"/>
      <w:u w:val="none"/>
    </w:rPr>
  </w:style>
  <w:style w:type="character" w:customStyle="1" w:styleId="262">
    <w:name w:val="end"/>
    <w:basedOn w:val="90"/>
    <w:qFormat/>
    <w:uiPriority w:val="0"/>
    <w:rPr>
      <w:shd w:val="clear" w:color="000000" w:fill="EBEFF5"/>
    </w:rPr>
  </w:style>
  <w:style w:type="character" w:customStyle="1" w:styleId="263">
    <w:name w:val="first"/>
    <w:basedOn w:val="90"/>
    <w:qFormat/>
    <w:uiPriority w:val="0"/>
    <w:rPr>
      <w:shd w:val="clear" w:color="000000" w:fill="EBEFF5"/>
    </w:rPr>
  </w:style>
  <w:style w:type="character" w:customStyle="1" w:styleId="264">
    <w:name w:val="current"/>
    <w:basedOn w:val="90"/>
    <w:qFormat/>
    <w:uiPriority w:val="0"/>
    <w:rPr>
      <w:shd w:val="clear" w:color="000000" w:fill="666666"/>
    </w:rPr>
  </w:style>
  <w:style w:type="character" w:customStyle="1" w:styleId="265">
    <w:name w:val="章标题 Char1"/>
    <w:link w:val="112"/>
    <w:qFormat/>
    <w:uiPriority w:val="0"/>
    <w:rPr>
      <w:rFonts w:ascii="黑体" w:eastAsia="黑体"/>
      <w:sz w:val="21"/>
      <w:szCs w:val="21"/>
    </w:rPr>
  </w:style>
  <w:style w:type="character" w:customStyle="1" w:styleId="266">
    <w:name w:val="日期 Char1"/>
    <w:semiHidden/>
    <w:qFormat/>
    <w:uiPriority w:val="0"/>
    <w:rPr>
      <w:rFonts w:cs="黑体"/>
      <w:sz w:val="21"/>
      <w:szCs w:val="21"/>
    </w:rPr>
  </w:style>
  <w:style w:type="character" w:customStyle="1" w:styleId="267">
    <w:name w:val="font11"/>
    <w:basedOn w:val="90"/>
    <w:qFormat/>
    <w:uiPriority w:val="0"/>
    <w:rPr>
      <w:rFonts w:hint="eastAsia" w:ascii="黑体" w:hAnsi="宋体" w:eastAsia="黑体" w:cs="黑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10</Pages>
  <Words>1925</Words>
  <Characters>10976</Characters>
  <Lines>91</Lines>
  <Paragraphs>25</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2022-09-29T08:20:00Z</dcterms:created>
  <dc:creator>zljy05</dc:creator>
  <cp:lastModifiedBy>CJW</cp:lastModifiedBy>
  <dcterms:modified xsi:type="dcterms:W3CDTF">2022-10-21T08:05:24Z</dcterms:modified>
  <dc:title>再生锌化学分析方法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BDCB03DDA16A4F21A5D798BA59046835</vt:lpwstr>
  </property>
</Properties>
</file>