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6"/>
        <w:framePr w:wrap="around"/>
        <w:rPr>
          <w:color w:val="000000" w:themeColor="text1"/>
        </w:rPr>
      </w:pPr>
      <w:r>
        <w:rPr>
          <w:rFonts w:ascii="Times New Roman"/>
          <w:color w:val="000000" w:themeColor="text1"/>
        </w:rPr>
        <w:t>ICS</w:t>
      </w:r>
      <w:r>
        <w:rPr>
          <w:color w:val="000000" w:themeColor="text1"/>
        </w:rPr>
        <w:t> 77.040</w:t>
      </w:r>
    </w:p>
    <w:p>
      <w:pPr>
        <w:pStyle w:val="126"/>
        <w:framePr w:wrap="around"/>
        <w:rPr>
          <w:color w:val="000000" w:themeColor="text1"/>
        </w:rPr>
      </w:pPr>
      <w:r>
        <w:rPr>
          <w:color w:val="000000" w:themeColor="text1"/>
        </w:rPr>
        <w:t>CCS H 21</w:t>
      </w:r>
    </w:p>
    <w:p>
      <w:pPr>
        <w:pStyle w:val="69"/>
        <w:framePr w:wrap="around"/>
        <w:rPr>
          <w:color w:val="000000" w:themeColor="text1"/>
        </w:rPr>
      </w:pPr>
      <w:r>
        <w:rPr>
          <w:color w:val="000000" w:themeColor="text1"/>
        </w:rP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6" cstate="print"/>
                    <a:srcRect/>
                    <a:stretch>
                      <a:fillRect/>
                    </a:stretch>
                  </pic:blipFill>
                  <pic:spPr>
                    <a:xfrm>
                      <a:off x="0" y="0"/>
                      <a:ext cx="1438275" cy="723900"/>
                    </a:xfrm>
                    <a:prstGeom prst="rect">
                      <a:avLst/>
                    </a:prstGeom>
                    <a:noFill/>
                    <a:ln w="9525">
                      <a:noFill/>
                      <a:miter lim="800000"/>
                      <a:headEnd/>
                      <a:tailEnd/>
                    </a:ln>
                  </pic:spPr>
                </pic:pic>
              </a:graphicData>
            </a:graphic>
          </wp:inline>
        </w:drawing>
      </w:r>
    </w:p>
    <w:p>
      <w:pPr>
        <w:pStyle w:val="70"/>
        <w:framePr w:wrap="around"/>
        <w:rPr>
          <w:color w:val="000000" w:themeColor="text1"/>
        </w:rPr>
      </w:pPr>
      <w:r>
        <w:rPr>
          <w:rFonts w:hint="eastAsia"/>
          <w:color w:val="000000" w:themeColor="text1"/>
        </w:rPr>
        <w:t>中华人民共和国国家标准</w:t>
      </w:r>
    </w:p>
    <w:p>
      <w:pPr>
        <w:pStyle w:val="50"/>
        <w:framePr w:wrap="around"/>
        <w:rPr>
          <w:color w:val="000000" w:themeColor="text1"/>
        </w:rPr>
      </w:pPr>
      <w:r>
        <w:rPr>
          <w:rFonts w:hAnsi="黑体"/>
          <w:color w:val="000000" w:themeColor="text1"/>
        </w:rPr>
        <w:t>GB/T XXXXX</w:t>
      </w:r>
      <w:r>
        <w:rPr>
          <w:color w:val="000000" w:themeColor="text1"/>
        </w:rPr>
        <w:t>—</w:t>
      </w:r>
      <w:r>
        <w:rPr>
          <w:color w:val="000000" w:themeColor="text1"/>
        </w:rPr>
        <w:fldChar w:fldCharType="begin">
          <w:ffData>
            <w:name w:val="StdNo2"/>
            <w:enabled/>
            <w:calcOnExit w:val="0"/>
            <w:textInput>
              <w:default w:val="XXXX"/>
              <w:maxLength w:val="4"/>
            </w:textInput>
          </w:ffData>
        </w:fldChar>
      </w:r>
      <w:bookmarkStart w:id="0" w:name="StdNo2"/>
      <w:r>
        <w:rPr>
          <w:color w:val="000000" w:themeColor="text1"/>
        </w:rPr>
        <w:instrText xml:space="preserve"> FORMTEXT </w:instrText>
      </w:r>
      <w:r>
        <w:rPr>
          <w:color w:val="000000" w:themeColor="text1"/>
        </w:rPr>
        <w:fldChar w:fldCharType="separate"/>
      </w:r>
      <w:r>
        <w:rPr>
          <w:color w:val="000000" w:themeColor="text1"/>
        </w:rPr>
        <w:t>XXXX</w:t>
      </w:r>
      <w:r>
        <w:rPr>
          <w:color w:val="000000" w:themeColor="text1"/>
        </w:rPr>
        <w:fldChar w:fldCharType="end"/>
      </w:r>
      <w:bookmarkEnd w:id="0"/>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9"/>
              <w:framePr w:wrap="around"/>
              <w:ind w:right="420"/>
              <w:rPr>
                <w:color w:val="000000" w:themeColor="text1"/>
              </w:rPr>
            </w:pPr>
            <w:r>
              <w:rPr>
                <w:color w:val="000000" w:themeColor="text1"/>
              </w:rPr>
              <w:pict>
                <v:rect id="DT" o:spid="_x0000_s1026" o:spt="1" style="position:absolute;left:0pt;margin-left:372.8pt;margin-top:2.7pt;height:18pt;width:90pt;z-index:-251654144;mso-width-relative:page;mso-height-relative:page;"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5g8svWAAAACAEAAA8AAAAAAAAAAQAgAAAA&#10;IgAAAGRycy9kb3ducmV2LnhtbFBLAQIUABQAAAAIAIdO4kCjbQKuDQIAAC4EAAAOAAAAAAAAAAEA&#10;IAAAACUBAABkcnMvZTJvRG9jLnhtbFBLBQYAAAAABgAGAFkBAACkBQAAAAA=&#10;">
                  <v:path/>
                  <v:fill focussize="0,0"/>
                  <v:stroke on="f"/>
                  <v:imagedata o:title=""/>
                  <o:lock v:ext="edit"/>
                </v:rect>
              </w:pict>
            </w:r>
          </w:p>
        </w:tc>
      </w:tr>
    </w:tbl>
    <w:p>
      <w:pPr>
        <w:pStyle w:val="50"/>
        <w:framePr w:wrap="around"/>
        <w:rPr>
          <w:color w:val="000000" w:themeColor="text1"/>
        </w:rPr>
      </w:pPr>
    </w:p>
    <w:p>
      <w:pPr>
        <w:pStyle w:val="50"/>
        <w:framePr w:wrap="around"/>
        <w:rPr>
          <w:color w:val="000000" w:themeColor="text1"/>
        </w:rPr>
      </w:pPr>
    </w:p>
    <w:p>
      <w:pPr>
        <w:pStyle w:val="81"/>
        <w:framePr w:wrap="around" w:x="1126" w:y="6391"/>
        <w:rPr>
          <w:color w:val="000000" w:themeColor="text1"/>
        </w:rPr>
      </w:pPr>
      <w:r>
        <w:rPr>
          <w:rFonts w:hint="eastAsia"/>
          <w:color w:val="000000" w:themeColor="text1"/>
        </w:rPr>
        <w:t>硅片表面光泽度的测试方法</w:t>
      </w:r>
    </w:p>
    <w:p>
      <w:pPr>
        <w:pStyle w:val="82"/>
        <w:framePr w:wrap="around" w:x="1126" w:y="6391"/>
        <w:rPr>
          <w:rFonts w:ascii="黑体" w:hAnsi="黑体"/>
          <w:bCs/>
          <w:color w:val="000000" w:themeColor="text1"/>
        </w:rPr>
      </w:pPr>
      <w:bookmarkStart w:id="1" w:name="OLE_LINK1"/>
      <w:bookmarkStart w:id="2" w:name="OLE_LINK2"/>
      <w:r>
        <w:rPr>
          <w:rFonts w:hint="eastAsia" w:ascii="黑体" w:hAnsi="黑体"/>
          <w:bCs/>
          <w:color w:val="000000" w:themeColor="text1"/>
        </w:rPr>
        <w:t xml:space="preserve">Test </w:t>
      </w:r>
      <w:r>
        <w:rPr>
          <w:rFonts w:hint="eastAsia" w:ascii="黑体" w:hAnsi="黑体"/>
          <w:bCs/>
          <w:color w:val="000000" w:themeColor="text1"/>
          <w:lang w:val="en-US" w:eastAsia="zh-CN"/>
        </w:rPr>
        <w:t>M</w:t>
      </w:r>
      <w:r>
        <w:rPr>
          <w:rFonts w:hint="eastAsia" w:ascii="黑体" w:hAnsi="黑体"/>
          <w:bCs/>
          <w:color w:val="000000" w:themeColor="text1"/>
        </w:rPr>
        <w:t xml:space="preserve">ethod of </w:t>
      </w:r>
      <w:r>
        <w:rPr>
          <w:rFonts w:hint="eastAsia" w:ascii="黑体" w:hAnsi="黑体"/>
          <w:bCs/>
          <w:color w:val="000000" w:themeColor="text1"/>
          <w:lang w:val="en-US" w:eastAsia="zh-CN"/>
        </w:rPr>
        <w:t>G</w:t>
      </w:r>
      <w:r>
        <w:rPr>
          <w:rFonts w:hint="eastAsia" w:ascii="黑体" w:hAnsi="黑体"/>
          <w:bCs/>
          <w:color w:val="000000" w:themeColor="text1"/>
        </w:rPr>
        <w:t xml:space="preserve">loss </w:t>
      </w:r>
      <w:bookmarkEnd w:id="1"/>
      <w:bookmarkEnd w:id="2"/>
      <w:r>
        <w:rPr>
          <w:rFonts w:hint="eastAsia" w:ascii="黑体" w:hAnsi="黑体"/>
          <w:bCs/>
          <w:color w:val="000000" w:themeColor="text1"/>
        </w:rPr>
        <w:t xml:space="preserve">for </w:t>
      </w:r>
      <w:r>
        <w:rPr>
          <w:rFonts w:hint="eastAsia" w:ascii="黑体" w:hAnsi="黑体"/>
          <w:bCs/>
          <w:color w:val="000000" w:themeColor="text1"/>
          <w:lang w:val="en-US" w:eastAsia="zh-CN"/>
        </w:rPr>
        <w:t>S</w:t>
      </w:r>
      <w:r>
        <w:rPr>
          <w:rFonts w:hint="eastAsia" w:ascii="黑体" w:hAnsi="黑体"/>
          <w:bCs/>
          <w:color w:val="000000" w:themeColor="text1"/>
        </w:rPr>
        <w:t xml:space="preserve">ilicon </w:t>
      </w:r>
      <w:r>
        <w:rPr>
          <w:rFonts w:hint="eastAsia" w:ascii="黑体" w:hAnsi="黑体"/>
          <w:bCs/>
          <w:color w:val="000000" w:themeColor="text1"/>
          <w:lang w:val="en-US" w:eastAsia="zh-CN"/>
        </w:rPr>
        <w:t>W</w:t>
      </w:r>
      <w:r>
        <w:rPr>
          <w:rFonts w:hint="eastAsia" w:ascii="黑体" w:hAnsi="黑体"/>
          <w:bCs/>
          <w:color w:val="000000" w:themeColor="text1"/>
        </w:rPr>
        <w:t>afer</w:t>
      </w:r>
    </w:p>
    <w:p>
      <w:pPr>
        <w:pStyle w:val="82"/>
        <w:framePr w:wrap="around" w:x="1126" w:y="6391"/>
        <w:rPr>
          <w:rFonts w:ascii="黑体" w:hAnsi="黑体"/>
          <w:bCs/>
          <w:color w:val="000000" w:themeColor="text1"/>
        </w:rPr>
      </w:pP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4"/>
              <w:framePr w:wrap="around" w:x="1126" w:y="6391"/>
              <w:rPr>
                <w:color w:val="000000" w:themeColor="text1"/>
              </w:rPr>
            </w:pPr>
            <w:r>
              <w:rPr>
                <w:color w:val="000000" w:themeColor="text1"/>
              </w:rPr>
              <w:pict>
                <v:rect id="RQ" o:spid="_x0000_s1032" o:spt="1" style="position:absolute;left:0pt;margin-left:173.3pt;margin-top:45.15pt;height:20pt;width:150pt;z-index:-251652096;mso-width-relative:page;mso-height-relative:page;"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ia6S1QAAAAoBAAAPAAAAAAAAAAEAIAAAACIA&#10;AABkcnMvZG93bnJldi54bWxQSwECFAAUAAAACACHTuJAqYpgJAwCAAAuBAAADgAAAAAAAAABACAA&#10;AAAkAQAAZHJzL2Uyb0RvYy54bWxQSwUGAAAAAAYABgBZAQAAogUAAAAA&#10;">
                  <v:path/>
                  <v:fill focussize="0,0"/>
                  <v:stroke on="f"/>
                  <v:imagedata o:title=""/>
                  <o:lock v:ext="edit"/>
                  <w10:anchorlock/>
                </v:rect>
              </w:pict>
            </w:r>
            <w:r>
              <w:rPr>
                <w:color w:val="000000" w:themeColor="text1"/>
              </w:rPr>
              <w:pict>
                <v:rect id="LB" o:spid="_x0000_s1031" o:spt="1" style="position:absolute;left:0pt;margin-left:193.3pt;margin-top:20.15pt;height:24pt;width:100pt;z-index:-251653120;mso-width-relative:page;mso-height-relative:page;"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GL5dYAAAAJAQAADwAAAAAAAAABACAAAAAi&#10;AAAAZHJzL2Rvd25yZXYueG1sUEsBAhQAFAAAAAgAh07iQDudS0MMAgAALgQAAA4AAAAAAAAAAQAg&#10;AAAAJQEAAGRycy9lMm9Eb2MueG1sUEsFBgAAAAAGAAYAWQEAAKMFAAAAAA==&#10;">
                  <v:path/>
                  <v:fill focussize="0,0"/>
                  <v:stroke on="f"/>
                  <v:imagedata o:title=""/>
                  <o:lock v:ext="edit"/>
                </v:rect>
              </w:pict>
            </w:r>
            <w:r>
              <w:rPr>
                <w:rFonts w:hint="eastAsia"/>
                <w:color w:val="000000" w:themeColor="text1"/>
              </w:rPr>
              <w:t>（</w:t>
            </w:r>
            <w:r>
              <w:rPr>
                <w:rFonts w:hint="eastAsia"/>
                <w:color w:val="000000" w:themeColor="text1"/>
                <w:lang w:val="en-US" w:eastAsia="zh-CN"/>
              </w:rPr>
              <w:t>送审</w:t>
            </w:r>
            <w:r>
              <w:rPr>
                <w:rFonts w:hint="eastAsia"/>
                <w:color w:val="000000" w:themeColor="text1"/>
              </w:rPr>
              <w:t>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5"/>
              <w:framePr w:wrap="around" w:x="1126" w:y="6391"/>
              <w:rPr>
                <w:color w:val="000000" w:themeColor="text1"/>
              </w:rPr>
            </w:pPr>
          </w:p>
          <w:p>
            <w:pPr>
              <w:pStyle w:val="85"/>
              <w:framePr w:wrap="around" w:x="1126" w:y="6391"/>
              <w:rPr>
                <w:color w:val="000000" w:themeColor="text1"/>
              </w:rPr>
            </w:pPr>
          </w:p>
          <w:p>
            <w:pPr>
              <w:pStyle w:val="85"/>
              <w:framePr w:wrap="around" w:x="1126" w:y="6391"/>
              <w:rPr>
                <w:color w:val="000000" w:themeColor="text1"/>
              </w:rPr>
            </w:pPr>
          </w:p>
        </w:tc>
      </w:tr>
    </w:tbl>
    <w:p>
      <w:pPr>
        <w:pStyle w:val="133"/>
        <w:framePr w:wrap="around" w:hAnchor="page" w:x="1246" w:y="13996"/>
        <w:rPr>
          <w:color w:val="000000" w:themeColor="text1"/>
        </w:rPr>
      </w:pPr>
      <w:r>
        <w:rPr>
          <w:rFonts w:ascii="黑体"/>
          <w:color w:val="000000" w:themeColor="text1"/>
        </w:rPr>
        <w:fldChar w:fldCharType="begin">
          <w:ffData>
            <w:name w:val="FY"/>
            <w:enabled/>
            <w:calcOnExit w:val="0"/>
            <w:textInput>
              <w:default w:val="XXXX"/>
              <w:maxLength w:val="4"/>
            </w:textInput>
          </w:ffData>
        </w:fldChar>
      </w:r>
      <w:bookmarkStart w:id="3" w:name="FY"/>
      <w:r>
        <w:rPr>
          <w:rFonts w:ascii="黑体"/>
          <w:color w:val="000000" w:themeColor="text1"/>
        </w:rPr>
        <w:instrText xml:space="preserve"> FORMTEXT </w:instrText>
      </w:r>
      <w:r>
        <w:rPr>
          <w:rFonts w:ascii="黑体"/>
          <w:color w:val="000000" w:themeColor="text1"/>
        </w:rPr>
        <w:fldChar w:fldCharType="separate"/>
      </w:r>
      <w:r>
        <w:rPr>
          <w:rFonts w:ascii="黑体"/>
          <w:color w:val="000000" w:themeColor="text1"/>
        </w:rPr>
        <w:t>XXXX</w:t>
      </w:r>
      <w:r>
        <w:rPr>
          <w:rFonts w:ascii="黑体"/>
          <w:color w:val="000000" w:themeColor="text1"/>
        </w:rPr>
        <w:fldChar w:fldCharType="end"/>
      </w:r>
      <w:bookmarkEnd w:id="3"/>
      <w:r>
        <w:rPr>
          <w:rFonts w:ascii="黑体"/>
          <w:color w:val="000000" w:themeColor="text1"/>
        </w:rPr>
        <w:t>-</w:t>
      </w:r>
      <w:r>
        <w:rPr>
          <w:rFonts w:ascii="黑体"/>
          <w:color w:val="000000" w:themeColor="text1"/>
        </w:rPr>
        <w:fldChar w:fldCharType="begin">
          <w:ffData>
            <w:name w:val="FM"/>
            <w:enabled/>
            <w:calcOnExit w:val="0"/>
            <w:textInput>
              <w:default w:val="XX"/>
              <w:maxLength w:val="2"/>
            </w:textInput>
          </w:ffData>
        </w:fldChar>
      </w:r>
      <w:bookmarkStart w:id="4" w:name="FM"/>
      <w:r>
        <w:rPr>
          <w:rFonts w:ascii="黑体"/>
          <w:color w:val="000000" w:themeColor="text1"/>
        </w:rPr>
        <w:instrText xml:space="preserve"> FORMTEXT </w:instrText>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4"/>
      <w:r>
        <w:rPr>
          <w:rFonts w:ascii="黑体"/>
          <w:color w:val="000000" w:themeColor="text1"/>
        </w:rPr>
        <w:t>-</w:t>
      </w:r>
      <w:r>
        <w:rPr>
          <w:rFonts w:ascii="黑体"/>
          <w:color w:val="000000" w:themeColor="text1"/>
        </w:rPr>
        <w:fldChar w:fldCharType="begin">
          <w:ffData>
            <w:name w:val="FD"/>
            <w:enabled/>
            <w:calcOnExit w:val="0"/>
            <w:textInput>
              <w:default w:val="XX"/>
              <w:maxLength w:val="2"/>
            </w:textInput>
          </w:ffData>
        </w:fldChar>
      </w:r>
      <w:bookmarkStart w:id="5" w:name="FD"/>
      <w:r>
        <w:rPr>
          <w:rFonts w:ascii="黑体"/>
          <w:color w:val="000000" w:themeColor="text1"/>
        </w:rPr>
        <w:instrText xml:space="preserve"> FORMTEXT </w:instrText>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5"/>
      <w:r>
        <w:rPr>
          <w:rFonts w:hint="eastAsia"/>
          <w:color w:val="000000" w:themeColor="text1"/>
        </w:rPr>
        <w:t>发布</w:t>
      </w:r>
      <w:r>
        <w:rPr>
          <w:color w:val="000000" w:themeColor="text1"/>
        </w:rPr>
        <w:pict>
          <v:line id="Line 10" o:spid="_x0000_s1030" o:spt="20" style="position:absolute;left:0pt;margin-left:0.85pt;margin-top:728.5pt;height:0pt;width:481.9pt;mso-position-vertical-relative:page;z-index:251660288;mso-width-relative:page;mso-height-relative:page;" coordsize="21600,21600" o:gfxdata="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&#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5EimX1gAAAAsBAAAPAAAAAAAAAAEAIAAAACIAAABk&#10;cnMvZG93bnJldi54bWxQSwECFAAUAAAACACHTuJAVl16Lc8BAACuAwAADgAAAAAAAAABACAAAAAl&#10;AQAAZHJzL2Uyb0RvYy54bWxQSwUGAAAAAAYABgBZAQAAZgUAAAAA&#10;">
            <v:path arrowok="t"/>
            <v:fill focussize="0,0"/>
            <v:stroke/>
            <v:imagedata o:title=""/>
            <o:lock v:ext="edit"/>
            <w10:anchorlock/>
          </v:line>
        </w:pict>
      </w:r>
    </w:p>
    <w:p>
      <w:pPr>
        <w:pStyle w:val="134"/>
        <w:framePr w:wrap="around" w:hAnchor="page" w:x="6916" w:y="14066"/>
        <w:rPr>
          <w:color w:val="000000" w:themeColor="text1"/>
        </w:rPr>
      </w:pPr>
      <w:r>
        <w:rPr>
          <w:rFonts w:ascii="黑体"/>
          <w:color w:val="000000" w:themeColor="text1"/>
        </w:rPr>
        <w:fldChar w:fldCharType="begin">
          <w:ffData>
            <w:name w:val="SY"/>
            <w:enabled/>
            <w:calcOnExit w:val="0"/>
            <w:textInput>
              <w:default w:val="XXXX"/>
              <w:maxLength w:val="4"/>
            </w:textInput>
          </w:ffData>
        </w:fldChar>
      </w:r>
      <w:bookmarkStart w:id="6" w:name="SY"/>
      <w:r>
        <w:rPr>
          <w:rFonts w:ascii="黑体"/>
          <w:color w:val="000000" w:themeColor="text1"/>
        </w:rPr>
        <w:instrText xml:space="preserve"> FORMTEXT </w:instrText>
      </w:r>
      <w:r>
        <w:rPr>
          <w:rFonts w:ascii="黑体"/>
          <w:color w:val="000000" w:themeColor="text1"/>
        </w:rPr>
        <w:fldChar w:fldCharType="separate"/>
      </w:r>
      <w:r>
        <w:rPr>
          <w:rFonts w:ascii="黑体"/>
          <w:color w:val="000000" w:themeColor="text1"/>
        </w:rPr>
        <w:t>XXXX</w:t>
      </w:r>
      <w:r>
        <w:rPr>
          <w:rFonts w:ascii="黑体"/>
          <w:color w:val="000000" w:themeColor="text1"/>
        </w:rPr>
        <w:fldChar w:fldCharType="end"/>
      </w:r>
      <w:bookmarkEnd w:id="6"/>
      <w:r>
        <w:rPr>
          <w:rFonts w:ascii="黑体"/>
          <w:color w:val="000000" w:themeColor="text1"/>
        </w:rPr>
        <w:t>-</w:t>
      </w:r>
      <w:r>
        <w:rPr>
          <w:rFonts w:ascii="黑体"/>
          <w:color w:val="000000" w:themeColor="text1"/>
        </w:rPr>
        <w:fldChar w:fldCharType="begin">
          <w:ffData>
            <w:name w:val="SM"/>
            <w:enabled/>
            <w:calcOnExit w:val="0"/>
            <w:textInput>
              <w:default w:val="XX"/>
              <w:maxLength w:val="2"/>
            </w:textInput>
          </w:ffData>
        </w:fldChar>
      </w:r>
      <w:bookmarkStart w:id="7" w:name="SM"/>
      <w:r>
        <w:rPr>
          <w:rFonts w:ascii="黑体"/>
          <w:color w:val="000000" w:themeColor="text1"/>
        </w:rPr>
        <w:instrText xml:space="preserve"> FORMTEXT </w:instrText>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7"/>
      <w:r>
        <w:rPr>
          <w:rFonts w:ascii="黑体"/>
          <w:color w:val="000000" w:themeColor="text1"/>
        </w:rPr>
        <w:t>-</w:t>
      </w:r>
      <w:r>
        <w:rPr>
          <w:rFonts w:ascii="黑体"/>
          <w:color w:val="000000" w:themeColor="text1"/>
        </w:rPr>
        <w:fldChar w:fldCharType="begin">
          <w:ffData>
            <w:name w:val="SD"/>
            <w:enabled/>
            <w:calcOnExit w:val="0"/>
            <w:textInput>
              <w:default w:val="XX"/>
              <w:maxLength w:val="2"/>
            </w:textInput>
          </w:ffData>
        </w:fldChar>
      </w:r>
      <w:bookmarkStart w:id="8" w:name="SD"/>
      <w:r>
        <w:rPr>
          <w:rFonts w:ascii="黑体"/>
          <w:color w:val="000000" w:themeColor="text1"/>
        </w:rPr>
        <w:instrText xml:space="preserve"> FORMTEXT </w:instrText>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8"/>
      <w:r>
        <w:rPr>
          <w:rFonts w:hint="eastAsia"/>
          <w:color w:val="000000" w:themeColor="text1"/>
        </w:rPr>
        <w:t>实施</w:t>
      </w:r>
    </w:p>
    <w:p>
      <w:pPr>
        <w:pStyle w:val="77"/>
        <w:framePr w:wrap="around"/>
        <w:rPr>
          <w:color w:val="000000" w:themeColor="text1"/>
        </w:rPr>
      </w:pPr>
      <w:r>
        <w:rPr>
          <w:color w:val="000000" w:themeColor="text1"/>
        </w:rPr>
        <w:drawing>
          <wp:inline distT="0" distB="0" distL="0" distR="0">
            <wp:extent cx="3473450" cy="7200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473450" cy="720090"/>
                    </a:xfrm>
                    <a:prstGeom prst="rect">
                      <a:avLst/>
                    </a:prstGeom>
                  </pic:spPr>
                </pic:pic>
              </a:graphicData>
            </a:graphic>
          </wp:inline>
        </w:drawing>
      </w:r>
    </w:p>
    <w:p>
      <w:pPr>
        <w:pStyle w:val="22"/>
        <w:rPr>
          <w:color w:val="000000" w:themeColor="text1"/>
        </w:rPr>
        <w:sectPr>
          <w:pgSz w:w="11906" w:h="16838"/>
          <w:pgMar w:top="567" w:right="850" w:bottom="1134" w:left="1418" w:header="0" w:footer="0" w:gutter="0"/>
          <w:pgBorders>
            <w:top w:val="none" w:sz="0" w:space="0"/>
            <w:left w:val="none" w:sz="0" w:space="0"/>
            <w:bottom w:val="none" w:sz="0" w:space="0"/>
            <w:right w:val="none" w:sz="0" w:space="0"/>
          </w:pgBorders>
          <w:pgNumType w:fmt="upperRoman" w:start="1"/>
          <w:cols w:space="425" w:num="1"/>
          <w:docGrid w:type="lines" w:linePitch="312" w:charSpace="0"/>
        </w:sectPr>
      </w:pPr>
      <w:r>
        <w:rPr>
          <w:color w:val="000000" w:themeColor="text1"/>
        </w:rPr>
        <w:pict>
          <v:line id="Line 11" o:spid="_x0000_s1028" o:spt="20" style="position:absolute;left:0pt;margin-left:-0.05pt;margin-top:184.25pt;height:0pt;width:481.9pt;z-index:251661312;mso-width-relative:page;mso-height-relative:page;"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CQeJf1wAAAAkBAAAPAAAAAAAAAAEAIAAAACIAAABk&#10;cnMvZG93bnJldi54bWxQSwECFAAUAAAACACHTuJAWFwkdM4BAACuAwAADgAAAAAAAAABACAAAAAm&#10;AQAAZHJzL2Uyb0RvYy54bWxQSwUGAAAAAAYABgBZAQAAZgUAAAAA&#10;">
            <v:path arrowok="t"/>
            <v:fill focussize="0,0"/>
            <v:stroke/>
            <v:imagedata o:title=""/>
            <o:lock v:ext="edit"/>
          </v:line>
        </w:pict>
      </w:r>
    </w:p>
    <w:p>
      <w:pPr>
        <w:pStyle w:val="115"/>
        <w:rPr>
          <w:color w:val="000000" w:themeColor="text1"/>
        </w:rPr>
      </w:pPr>
      <w:r>
        <w:rPr>
          <w:rFonts w:hint="eastAsia"/>
          <w:color w:val="000000" w:themeColor="text1"/>
        </w:rPr>
        <w:t>前</w:t>
      </w:r>
      <w:bookmarkStart w:id="9" w:name="BKQY"/>
      <w:r>
        <w:rPr>
          <w:color w:val="000000" w:themeColor="text1"/>
        </w:rPr>
        <w:t>  </w:t>
      </w:r>
      <w:r>
        <w:rPr>
          <w:rFonts w:hint="eastAsia"/>
          <w:color w:val="000000" w:themeColor="text1"/>
        </w:rPr>
        <w:t>言</w:t>
      </w:r>
      <w:bookmarkEnd w:id="9"/>
    </w:p>
    <w:p>
      <w:pPr>
        <w:pStyle w:val="22"/>
        <w:rPr>
          <w:rFonts w:hAnsi="宋体"/>
          <w:color w:val="000000" w:themeColor="text1"/>
          <w:szCs w:val="21"/>
        </w:rPr>
      </w:pPr>
      <w:r>
        <w:rPr>
          <w:rFonts w:hint="eastAsia" w:hAnsi="宋体"/>
          <w:color w:val="000000" w:themeColor="text1"/>
          <w:szCs w:val="21"/>
        </w:rPr>
        <w:t>本文件按照GB/T 1.1—20</w:t>
      </w:r>
      <w:r>
        <w:rPr>
          <w:rFonts w:hAnsi="宋体"/>
          <w:color w:val="000000" w:themeColor="text1"/>
          <w:szCs w:val="21"/>
        </w:rPr>
        <w:t>20</w:t>
      </w:r>
      <w:r>
        <w:rPr>
          <w:rFonts w:hint="eastAsia" w:hAnsi="宋体"/>
          <w:color w:val="000000" w:themeColor="text1"/>
          <w:szCs w:val="21"/>
        </w:rPr>
        <w:t>《标准化工作导则 第1部分：标准化文件的结构和起草规则》的规定起草。</w:t>
      </w:r>
    </w:p>
    <w:p>
      <w:pPr>
        <w:pStyle w:val="22"/>
        <w:rPr>
          <w:color w:val="000000" w:themeColor="text1"/>
        </w:rPr>
      </w:pPr>
      <w:r>
        <w:rPr>
          <w:rFonts w:hint="eastAsia"/>
          <w:color w:val="000000" w:themeColor="text1"/>
        </w:rPr>
        <w:t>本文件由全国半导体设备和材料标准化技术委员会（SAC/TC203）与全国半导体设备和材料标准化技术委员会材料分技术委员会（SAC/TC203/SC2）共同提出并归口。</w:t>
      </w:r>
    </w:p>
    <w:p>
      <w:pPr>
        <w:pStyle w:val="22"/>
        <w:rPr>
          <w:rFonts w:hint="eastAsia"/>
        </w:rPr>
      </w:pPr>
      <w:r>
        <w:rPr>
          <w:rFonts w:hint="eastAsia"/>
          <w:color w:val="000000" w:themeColor="text1"/>
        </w:rPr>
        <w:t>本文件起草单位：</w:t>
      </w:r>
      <w:r>
        <w:rPr>
          <w:rFonts w:hint="eastAsia"/>
        </w:rPr>
        <w:t>浙江金瑞泓科技股份有限公司</w:t>
      </w:r>
    </w:p>
    <w:p>
      <w:pPr>
        <w:pStyle w:val="22"/>
        <w:rPr>
          <w:color w:val="000000" w:themeColor="text1"/>
        </w:rPr>
      </w:pPr>
      <w:r>
        <w:rPr>
          <w:rFonts w:hint="eastAsia"/>
          <w:color w:val="000000" w:themeColor="text1"/>
        </w:rPr>
        <w:t>本文件主要起草人：</w:t>
      </w:r>
    </w:p>
    <w:p>
      <w:pPr>
        <w:pStyle w:val="22"/>
        <w:rPr>
          <w:rFonts w:hAnsi="宋体"/>
          <w:color w:val="000000" w:themeColor="text1"/>
          <w:szCs w:val="21"/>
        </w:rPr>
      </w:pPr>
    </w:p>
    <w:p>
      <w:pPr>
        <w:pStyle w:val="22"/>
        <w:rPr>
          <w:color w:val="000000" w:themeColor="text1"/>
        </w:rPr>
        <w:sectPr>
          <w:headerReference r:id="rId3" w:type="default"/>
          <w:footerReference r:id="rId4" w:type="default"/>
          <w:pgSz w:w="11906" w:h="16838"/>
          <w:pgMar w:top="567" w:right="1134" w:bottom="1134" w:left="1418" w:header="1418" w:footer="1134" w:gutter="0"/>
          <w:pgBorders>
            <w:top w:val="none" w:sz="0" w:space="0"/>
            <w:left w:val="none" w:sz="0" w:space="0"/>
            <w:bottom w:val="none" w:sz="0" w:space="0"/>
            <w:right w:val="none" w:sz="0" w:space="0"/>
          </w:pgBorders>
          <w:pgNumType w:fmt="upperRoman" w:start="1"/>
          <w:cols w:space="425" w:num="1"/>
          <w:formProt w:val="0"/>
          <w:docGrid w:type="lines" w:linePitch="312" w:charSpace="0"/>
        </w:sectPr>
      </w:pPr>
    </w:p>
    <w:p>
      <w:pPr>
        <w:pStyle w:val="53"/>
        <w:rPr>
          <w:color w:val="000000" w:themeColor="text1"/>
        </w:rPr>
      </w:pPr>
      <w:bookmarkStart w:id="14" w:name="_GoBack"/>
      <w:r>
        <w:rPr>
          <w:rFonts w:hint="eastAsia"/>
          <w:color w:val="000000" w:themeColor="text1"/>
        </w:rPr>
        <w:t>硅片表面光泽度的测试方法</w:t>
      </w:r>
      <w:bookmarkEnd w:id="14"/>
    </w:p>
    <w:p>
      <w:pPr>
        <w:pStyle w:val="48"/>
        <w:numPr>
          <w:ilvl w:val="0"/>
          <w:numId w:val="18"/>
        </w:numPr>
        <w:spacing w:before="312" w:after="312"/>
        <w:rPr>
          <w:color w:val="000000" w:themeColor="text1"/>
        </w:rPr>
      </w:pPr>
      <w:r>
        <w:rPr>
          <w:rFonts w:hint="eastAsia"/>
          <w:color w:val="000000" w:themeColor="text1"/>
        </w:rPr>
        <w:t>范围</w:t>
      </w:r>
    </w:p>
    <w:p>
      <w:pPr>
        <w:pStyle w:val="22"/>
        <w:rPr>
          <w:rFonts w:hAnsi="宋体"/>
          <w:color w:val="000000" w:themeColor="text1"/>
          <w:szCs w:val="21"/>
        </w:rPr>
      </w:pPr>
      <w:r>
        <w:rPr>
          <w:rFonts w:hint="eastAsia" w:hAnsi="宋体"/>
          <w:color w:val="000000" w:themeColor="text1"/>
          <w:szCs w:val="21"/>
        </w:rPr>
        <w:t>本文件规定了采用光反射法以20°、60°或85°几何条件测试硅片表面光泽度的方法。</w:t>
      </w:r>
    </w:p>
    <w:p>
      <w:pPr>
        <w:ind w:firstLine="420" w:firstLineChars="200"/>
        <w:rPr>
          <w:rFonts w:ascii="宋体" w:hAnsi="宋体"/>
          <w:color w:val="000000" w:themeColor="text1"/>
          <w:kern w:val="0"/>
          <w:szCs w:val="21"/>
        </w:rPr>
      </w:pPr>
      <w:r>
        <w:rPr>
          <w:rFonts w:hint="eastAsia" w:ascii="宋体" w:hAnsi="宋体"/>
          <w:color w:val="000000" w:themeColor="text1"/>
          <w:kern w:val="0"/>
          <w:szCs w:val="21"/>
        </w:rPr>
        <w:t>本文件适用于测试硅腐蚀片、硅抛光片背面，也可测试硅抛光片正面，不适用于测试表面有图形的硅片。</w:t>
      </w:r>
    </w:p>
    <w:p>
      <w:pPr>
        <w:pStyle w:val="48"/>
        <w:numPr>
          <w:ilvl w:val="0"/>
          <w:numId w:val="18"/>
        </w:numPr>
        <w:spacing w:before="312" w:after="312"/>
        <w:rPr>
          <w:color w:val="000000" w:themeColor="text1"/>
        </w:rPr>
      </w:pPr>
      <w:r>
        <w:rPr>
          <w:rFonts w:hint="eastAsia"/>
          <w:color w:val="000000" w:themeColor="text1"/>
        </w:rPr>
        <w:t>规范性引用文件</w:t>
      </w:r>
    </w:p>
    <w:p>
      <w:pPr>
        <w:pStyle w:val="22"/>
        <w:rPr>
          <w:rFonts w:hAnsi="宋体"/>
          <w:color w:val="000000" w:themeColor="text1"/>
          <w:szCs w:val="21"/>
        </w:rPr>
      </w:pPr>
      <w:r>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2"/>
        <w:rPr>
          <w:color w:val="000000" w:themeColor="text1"/>
        </w:rPr>
      </w:pPr>
      <w:r>
        <w:rPr>
          <w:color w:val="000000" w:themeColor="text1"/>
        </w:rPr>
        <w:t xml:space="preserve">GB/T </w:t>
      </w:r>
      <w:r>
        <w:rPr>
          <w:rFonts w:hint="eastAsia"/>
          <w:color w:val="000000" w:themeColor="text1"/>
        </w:rPr>
        <w:t>9754   色漆和清漆 不含金属颜料的色漆漆膜的20°、60°和85°镜面光泽的测定</w:t>
      </w:r>
    </w:p>
    <w:p>
      <w:pPr>
        <w:pStyle w:val="22"/>
        <w:rPr>
          <w:color w:val="000000" w:themeColor="text1"/>
        </w:rPr>
      </w:pPr>
      <w:r>
        <w:rPr>
          <w:color w:val="000000" w:themeColor="text1"/>
        </w:rPr>
        <w:t xml:space="preserve">GB/T 14264  </w:t>
      </w:r>
      <w:r>
        <w:rPr>
          <w:rFonts w:hint="eastAsia"/>
          <w:color w:val="000000" w:themeColor="text1"/>
        </w:rPr>
        <w:t>半导体材料术语</w:t>
      </w:r>
    </w:p>
    <w:p>
      <w:pPr>
        <w:pStyle w:val="48"/>
        <w:numPr>
          <w:ilvl w:val="0"/>
          <w:numId w:val="18"/>
        </w:numPr>
        <w:spacing w:before="312" w:after="312"/>
        <w:rPr>
          <w:color w:val="000000" w:themeColor="text1"/>
        </w:rPr>
      </w:pPr>
      <w:r>
        <w:rPr>
          <w:rFonts w:hint="eastAsia"/>
          <w:color w:val="000000" w:themeColor="text1"/>
        </w:rPr>
        <w:t>术语和定义</w:t>
      </w:r>
    </w:p>
    <w:p>
      <w:pPr>
        <w:pStyle w:val="48"/>
        <w:spacing w:before="312" w:after="312"/>
        <w:ind w:left="143" w:leftChars="68" w:firstLine="315" w:firstLineChars="150"/>
        <w:rPr>
          <w:rFonts w:ascii="宋体" w:eastAsia="宋体"/>
          <w:color w:val="000000"/>
        </w:rPr>
      </w:pPr>
      <w:r>
        <w:rPr>
          <w:rFonts w:ascii="宋体" w:eastAsia="宋体"/>
          <w:color w:val="000000"/>
        </w:rPr>
        <w:t>GB/T 9754</w:t>
      </w:r>
      <w:r>
        <w:rPr>
          <w:rFonts w:hint="eastAsia" w:ascii="宋体" w:eastAsia="宋体"/>
          <w:color w:val="000000"/>
        </w:rPr>
        <w:t>、GB/T</w:t>
      </w:r>
      <w:r>
        <w:rPr>
          <w:rFonts w:hint="eastAsia" w:ascii="宋体" w:eastAsia="宋体"/>
          <w:color w:val="000000"/>
          <w:lang w:val="en-US" w:eastAsia="zh-CN"/>
        </w:rPr>
        <w:t xml:space="preserve"> </w:t>
      </w:r>
      <w:r>
        <w:rPr>
          <w:rFonts w:hint="eastAsia" w:ascii="宋体" w:eastAsia="宋体"/>
          <w:color w:val="000000"/>
        </w:rPr>
        <w:t>14264界定的以及下列术语和定义适用于本文件。</w:t>
      </w:r>
    </w:p>
    <w:p>
      <w:pPr>
        <w:pStyle w:val="22"/>
        <w:ind w:firstLine="0" w:firstLineChars="0"/>
        <w:rPr>
          <w:rFonts w:ascii="黑体" w:hAnsi="黑体" w:eastAsia="黑体"/>
          <w:color w:val="000000"/>
        </w:rPr>
      </w:pPr>
      <w:r>
        <w:rPr>
          <w:rFonts w:hint="eastAsia" w:ascii="黑体" w:hAnsi="黑体" w:eastAsia="黑体"/>
          <w:color w:val="000000"/>
        </w:rPr>
        <w:t>3.1</w:t>
      </w:r>
    </w:p>
    <w:p>
      <w:pPr>
        <w:pStyle w:val="22"/>
        <w:ind w:firstLineChars="0"/>
        <w:rPr>
          <w:rFonts w:ascii="黑体" w:hAnsi="黑体" w:eastAsia="黑体"/>
          <w:color w:val="000000"/>
        </w:rPr>
      </w:pPr>
      <w:r>
        <w:rPr>
          <w:rFonts w:hint="eastAsia" w:ascii="黑体" w:hAnsi="黑体" w:eastAsia="黑体"/>
          <w:color w:val="000000"/>
        </w:rPr>
        <w:t>光泽度 gloss</w:t>
      </w:r>
    </w:p>
    <w:p>
      <w:pPr>
        <w:pStyle w:val="22"/>
        <w:ind w:firstLineChars="0"/>
        <w:rPr>
          <w:color w:val="000000"/>
        </w:rPr>
      </w:pPr>
      <w:r>
        <w:rPr>
          <w:rFonts w:hint="eastAsia"/>
          <w:color w:val="000000"/>
          <w:lang w:val="en-US" w:eastAsia="zh-CN"/>
        </w:rPr>
        <w:t>对于</w:t>
      </w:r>
      <w:r>
        <w:rPr>
          <w:rFonts w:hint="eastAsia"/>
          <w:color w:val="000000"/>
        </w:rPr>
        <w:t>规定的光源和接收角，从物体镜</w:t>
      </w:r>
      <w:r>
        <w:rPr>
          <w:rFonts w:hint="eastAsia"/>
          <w:color w:val="000000"/>
          <w:lang w:val="en-US" w:eastAsia="zh-CN"/>
        </w:rPr>
        <w:t>向</w:t>
      </w:r>
      <w:r>
        <w:rPr>
          <w:rFonts w:hint="eastAsia"/>
          <w:color w:val="000000"/>
        </w:rPr>
        <w:t>方向反射</w:t>
      </w:r>
      <w:r>
        <w:rPr>
          <w:rFonts w:hint="eastAsia"/>
          <w:color w:val="000000"/>
          <w:lang w:val="en-US" w:eastAsia="zh-CN"/>
        </w:rPr>
        <w:t>的</w:t>
      </w:r>
      <w:r>
        <w:rPr>
          <w:rFonts w:hint="eastAsia"/>
          <w:color w:val="000000"/>
        </w:rPr>
        <w:t>光通量与</w:t>
      </w:r>
      <w:r>
        <w:rPr>
          <w:rFonts w:hint="eastAsia"/>
          <w:color w:val="000000"/>
          <w:lang w:val="en-US" w:eastAsia="zh-CN"/>
        </w:rPr>
        <w:t>从</w:t>
      </w:r>
      <w:r>
        <w:rPr>
          <w:rFonts w:hint="eastAsia"/>
          <w:color w:val="000000"/>
        </w:rPr>
        <w:t>折射率为1.567的黑玻璃镜</w:t>
      </w:r>
      <w:r>
        <w:rPr>
          <w:rFonts w:hint="eastAsia"/>
          <w:color w:val="000000"/>
          <w:lang w:val="en-US" w:eastAsia="zh-CN"/>
        </w:rPr>
        <w:t>向</w:t>
      </w:r>
      <w:r>
        <w:rPr>
          <w:rFonts w:hint="eastAsia"/>
          <w:color w:val="000000"/>
        </w:rPr>
        <w:t>方向</w:t>
      </w:r>
      <w:r>
        <w:rPr>
          <w:rFonts w:hint="eastAsia"/>
          <w:color w:val="000000"/>
          <w:lang w:val="en-US" w:eastAsia="zh-CN"/>
        </w:rPr>
        <w:t>反射</w:t>
      </w:r>
      <w:r>
        <w:rPr>
          <w:rFonts w:hint="eastAsia"/>
          <w:color w:val="000000"/>
        </w:rPr>
        <w:t>的光通量</w:t>
      </w:r>
      <w:r>
        <w:rPr>
          <w:rFonts w:hint="eastAsia"/>
          <w:color w:val="000000"/>
          <w:lang w:val="en-US" w:eastAsia="zh-CN"/>
        </w:rPr>
        <w:t>之比</w:t>
      </w:r>
      <w:r>
        <w:rPr>
          <w:rFonts w:hint="eastAsia"/>
          <w:color w:val="000000"/>
        </w:rPr>
        <w:t>。</w:t>
      </w:r>
    </w:p>
    <w:p>
      <w:pPr>
        <w:pStyle w:val="22"/>
        <w:ind w:firstLineChars="0"/>
        <w:rPr>
          <w:rFonts w:hint="eastAsia" w:ascii="宋体" w:hAnsi="宋体" w:eastAsia="宋体" w:cs="宋体"/>
          <w:color w:val="000000"/>
          <w:sz w:val="18"/>
          <w:szCs w:val="18"/>
        </w:rPr>
      </w:pPr>
      <w:r>
        <w:rPr>
          <w:rFonts w:hint="eastAsia" w:ascii="黑体" w:hAnsi="黑体" w:eastAsia="黑体" w:cs="黑体"/>
          <w:color w:val="000000"/>
          <w:sz w:val="18"/>
          <w:szCs w:val="18"/>
        </w:rPr>
        <w:t>注：</w:t>
      </w:r>
      <w:r>
        <w:rPr>
          <w:rFonts w:hint="eastAsia" w:ascii="宋体" w:hAnsi="宋体" w:eastAsia="宋体" w:cs="宋体"/>
          <w:color w:val="000000"/>
          <w:sz w:val="18"/>
          <w:szCs w:val="18"/>
        </w:rPr>
        <w:t>为了测定镜</w:t>
      </w:r>
      <w:r>
        <w:rPr>
          <w:rFonts w:hint="eastAsia" w:hAnsi="宋体" w:cs="宋体"/>
          <w:color w:val="000000"/>
          <w:sz w:val="18"/>
          <w:szCs w:val="18"/>
          <w:lang w:val="en-US" w:eastAsia="zh-CN"/>
        </w:rPr>
        <w:t>向</w:t>
      </w:r>
      <w:r>
        <w:rPr>
          <w:rFonts w:hint="eastAsia" w:ascii="宋体" w:hAnsi="宋体" w:eastAsia="宋体" w:cs="宋体"/>
          <w:color w:val="000000"/>
          <w:sz w:val="18"/>
          <w:szCs w:val="18"/>
        </w:rPr>
        <w:t>光泽</w:t>
      </w:r>
      <w:r>
        <w:rPr>
          <w:rFonts w:hint="eastAsia" w:hAnsi="宋体" w:cs="宋体"/>
          <w:color w:val="000000"/>
          <w:sz w:val="18"/>
          <w:szCs w:val="18"/>
          <w:lang w:val="en-US" w:eastAsia="zh-CN"/>
        </w:rPr>
        <w:t>的标度</w:t>
      </w:r>
      <w:r>
        <w:rPr>
          <w:rFonts w:hint="eastAsia" w:ascii="宋体" w:hAnsi="宋体" w:eastAsia="宋体" w:cs="宋体"/>
          <w:color w:val="000000"/>
          <w:sz w:val="18"/>
          <w:szCs w:val="18"/>
        </w:rPr>
        <w:t>，对于20°、60°和85°几何角度采用折射率为1.567的完善抛光黑玻璃规定其光泽度值为100。</w:t>
      </w:r>
    </w:p>
    <w:p>
      <w:pPr>
        <w:pStyle w:val="48"/>
        <w:numPr>
          <w:ilvl w:val="0"/>
          <w:numId w:val="18"/>
        </w:numPr>
        <w:spacing w:before="312" w:after="312"/>
        <w:rPr>
          <w:color w:val="000000" w:themeColor="text1"/>
          <w:highlight w:val="none"/>
        </w:rPr>
      </w:pPr>
      <w:r>
        <w:rPr>
          <w:rFonts w:hint="eastAsia"/>
          <w:color w:val="000000" w:themeColor="text1"/>
          <w:highlight w:val="none"/>
        </w:rPr>
        <w:t>方法原理</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asciiTheme="minorEastAsia" w:hAnsiTheme="minorEastAsia" w:eastAsiaTheme="minorEastAsia"/>
          <w:highlight w:val="none"/>
        </w:rPr>
      </w:pPr>
      <w:r>
        <w:rPr>
          <w:rFonts w:hint="eastAsia" w:asciiTheme="minorEastAsia" w:hAnsiTheme="minorEastAsia" w:eastAsiaTheme="minorEastAsia"/>
          <w:highlight w:val="none"/>
        </w:rPr>
        <w:t>光源G按特定角度射出一束光，经过透镜L1到达被测面P,被测面P将光反射到透镜L2，透镜L2将光束会聚到位于光阑B处光电池，光电池利用光生伏特效应将接收到的光信号转化为电信号送往处理电路进行处理，给出测试结果（见图1）。</w:t>
      </w:r>
    </w:p>
    <w:p>
      <w:pPr>
        <w:pStyle w:val="22"/>
        <w:ind w:firstLine="0" w:firstLineChars="0"/>
        <w:jc w:val="center"/>
        <w:rPr>
          <w:color w:val="000000"/>
        </w:rPr>
      </w:pPr>
      <w:r>
        <w:drawing>
          <wp:inline distT="0" distB="0" distL="114300" distR="114300">
            <wp:extent cx="3879215" cy="2663825"/>
            <wp:effectExtent l="0" t="0" r="6985" b="3175"/>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8"/>
                    <a:stretch>
                      <a:fillRect/>
                    </a:stretch>
                  </pic:blipFill>
                  <pic:spPr>
                    <a:xfrm>
                      <a:off x="0" y="0"/>
                      <a:ext cx="3879215" cy="2663825"/>
                    </a:xfrm>
                    <a:prstGeom prst="rect">
                      <a:avLst/>
                    </a:prstGeom>
                    <a:noFill/>
                    <a:ln>
                      <a:noFill/>
                    </a:ln>
                  </pic:spPr>
                </pic:pic>
              </a:graphicData>
            </a:graphic>
          </wp:inline>
        </w:drawing>
      </w:r>
    </w:p>
    <w:p>
      <w:pPr>
        <w:pStyle w:val="22"/>
        <w:ind w:firstLine="0" w:firstLineChars="0"/>
        <w:jc w:val="center"/>
        <w:rPr>
          <w:rFonts w:hint="eastAsia" w:ascii="黑体" w:hAnsi="黑体" w:eastAsia="黑体" w:cs="黑体"/>
          <w:color w:val="000000"/>
        </w:rPr>
      </w:pPr>
      <w:r>
        <w:rPr>
          <w:rFonts w:hint="eastAsia" w:ascii="黑体" w:hAnsi="黑体" w:eastAsia="黑体" w:cs="黑体"/>
          <w:color w:val="000000"/>
        </w:rPr>
        <w:t>图1 光泽度计原理图</w:t>
      </w:r>
    </w:p>
    <w:p>
      <w:pPr>
        <w:pStyle w:val="22"/>
        <w:ind w:firstLine="0" w:firstLineChars="0"/>
        <w:jc w:val="center"/>
        <w:rPr>
          <w:rFonts w:hint="eastAsia" w:ascii="黑体" w:hAnsi="黑体" w:eastAsia="黑体" w:cs="黑体"/>
          <w:color w:val="000000"/>
        </w:rPr>
      </w:pPr>
    </w:p>
    <w:p>
      <w:pPr>
        <w:pStyle w:val="22"/>
        <w:jc w:val="left"/>
        <w:rPr>
          <w:color w:val="000000"/>
        </w:rPr>
      </w:pPr>
      <w:r>
        <w:rPr>
          <w:rFonts w:hint="eastAsia"/>
          <w:color w:val="000000"/>
        </w:rPr>
        <w:t>图中：</w:t>
      </w:r>
    </w:p>
    <w:p>
      <w:pPr>
        <w:pStyle w:val="22"/>
        <w:rPr>
          <w:rFonts w:ascii="Times New Roman"/>
          <w:color w:val="000000"/>
        </w:rPr>
      </w:pPr>
      <w:r>
        <w:rPr>
          <w:rFonts w:ascii="Times New Roman"/>
          <w:color w:val="000000"/>
        </w:rPr>
        <w:t>G</w:t>
      </w:r>
      <w:r>
        <w:rPr>
          <w:rFonts w:hint="eastAsia" w:ascii="Times New Roman"/>
          <w:color w:val="000000"/>
          <w:lang w:val="en-US" w:eastAsia="zh-CN"/>
        </w:rPr>
        <w:t xml:space="preserve">   </w:t>
      </w:r>
      <w:r>
        <w:rPr>
          <w:rFonts w:ascii="Times New Roman"/>
          <w:color w:val="000000"/>
        </w:rPr>
        <w:t>——</w:t>
      </w:r>
      <w:r>
        <w:rPr>
          <w:rFonts w:hint="eastAsia" w:ascii="Times New Roman"/>
          <w:color w:val="000000"/>
          <w:lang w:val="en-US" w:eastAsia="zh-CN"/>
        </w:rPr>
        <w:t xml:space="preserve"> </w:t>
      </w:r>
      <w:r>
        <w:rPr>
          <w:rFonts w:ascii="Times New Roman"/>
          <w:color w:val="000000"/>
        </w:rPr>
        <w:t>光源；</w:t>
      </w:r>
    </w:p>
    <w:p>
      <w:pPr>
        <w:pStyle w:val="22"/>
        <w:rPr>
          <w:rFonts w:ascii="Times New Roman"/>
          <w:color w:val="000000"/>
        </w:rPr>
      </w:pPr>
      <w:r>
        <w:rPr>
          <w:rFonts w:ascii="Times New Roman"/>
          <w:color w:val="000000"/>
        </w:rPr>
        <w:t>L</w:t>
      </w:r>
      <w:r>
        <w:rPr>
          <w:rFonts w:ascii="Times New Roman"/>
          <w:color w:val="000000"/>
          <w:vertAlign w:val="subscript"/>
        </w:rPr>
        <w:t>1</w:t>
      </w:r>
      <w:r>
        <w:rPr>
          <w:rFonts w:ascii="Times New Roman"/>
          <w:color w:val="000000"/>
        </w:rPr>
        <w:t>/L</w:t>
      </w:r>
      <w:r>
        <w:rPr>
          <w:rFonts w:ascii="Times New Roman"/>
          <w:color w:val="000000"/>
          <w:vertAlign w:val="subscript"/>
        </w:rPr>
        <w:t>2</w:t>
      </w:r>
      <w:r>
        <w:rPr>
          <w:rFonts w:ascii="Times New Roman"/>
          <w:color w:val="000000"/>
        </w:rPr>
        <w:t>——</w:t>
      </w:r>
      <w:r>
        <w:rPr>
          <w:rFonts w:hint="eastAsia" w:ascii="Times New Roman"/>
          <w:color w:val="000000"/>
          <w:lang w:val="en-US" w:eastAsia="zh-CN"/>
        </w:rPr>
        <w:t xml:space="preserve"> </w:t>
      </w:r>
      <w:r>
        <w:rPr>
          <w:rFonts w:ascii="Times New Roman"/>
          <w:color w:val="000000"/>
        </w:rPr>
        <w:t>透镜；</w:t>
      </w:r>
    </w:p>
    <w:p>
      <w:pPr>
        <w:pStyle w:val="22"/>
        <w:rPr>
          <w:rFonts w:ascii="Times New Roman"/>
          <w:color w:val="000000"/>
        </w:rPr>
      </w:pPr>
      <w:r>
        <w:rPr>
          <w:rFonts w:ascii="Times New Roman"/>
          <w:color w:val="000000"/>
        </w:rPr>
        <w:t>B</w:t>
      </w:r>
      <w:r>
        <w:rPr>
          <w:rFonts w:hint="eastAsia" w:ascii="Times New Roman"/>
          <w:color w:val="000000"/>
          <w:lang w:val="en-US" w:eastAsia="zh-CN"/>
        </w:rPr>
        <w:t xml:space="preserve">   </w:t>
      </w:r>
      <w:r>
        <w:rPr>
          <w:rFonts w:ascii="Times New Roman"/>
          <w:color w:val="000000"/>
        </w:rPr>
        <w:t>——</w:t>
      </w:r>
      <w:r>
        <w:rPr>
          <w:rFonts w:hint="eastAsia" w:ascii="Times New Roman"/>
          <w:color w:val="000000"/>
          <w:lang w:val="en-US" w:eastAsia="zh-CN"/>
        </w:rPr>
        <w:t xml:space="preserve"> </w:t>
      </w:r>
      <w:r>
        <w:rPr>
          <w:rFonts w:ascii="Times New Roman"/>
          <w:color w:val="000000"/>
        </w:rPr>
        <w:t>接收器视场</w:t>
      </w:r>
      <w:r>
        <w:rPr>
          <w:rFonts w:hint="eastAsia" w:ascii="Times New Roman"/>
          <w:color w:val="000000"/>
        </w:rPr>
        <w:t>光</w:t>
      </w:r>
      <w:r>
        <w:rPr>
          <w:rFonts w:ascii="Times New Roman"/>
          <w:color w:val="000000"/>
        </w:rPr>
        <w:t>阑；</w:t>
      </w:r>
    </w:p>
    <w:p>
      <w:pPr>
        <w:pStyle w:val="22"/>
        <w:rPr>
          <w:rFonts w:ascii="Times New Roman"/>
          <w:color w:val="000000"/>
        </w:rPr>
      </w:pPr>
      <w:r>
        <w:rPr>
          <w:rFonts w:ascii="Times New Roman"/>
          <w:color w:val="000000"/>
        </w:rPr>
        <w:t>P</w:t>
      </w:r>
      <w:r>
        <w:rPr>
          <w:rFonts w:hint="eastAsia" w:ascii="Times New Roman"/>
          <w:color w:val="000000"/>
          <w:lang w:val="en-US" w:eastAsia="zh-CN"/>
        </w:rPr>
        <w:t xml:space="preserve">   </w:t>
      </w:r>
      <w:r>
        <w:rPr>
          <w:rFonts w:ascii="Times New Roman"/>
          <w:color w:val="000000"/>
        </w:rPr>
        <w:t>——</w:t>
      </w:r>
      <w:r>
        <w:rPr>
          <w:rFonts w:hint="eastAsia" w:ascii="Times New Roman"/>
          <w:color w:val="000000"/>
          <w:lang w:val="en-US" w:eastAsia="zh-CN"/>
        </w:rPr>
        <w:t xml:space="preserve"> </w:t>
      </w:r>
      <w:r>
        <w:rPr>
          <w:rFonts w:ascii="Times New Roman"/>
          <w:color w:val="000000"/>
        </w:rPr>
        <w:t>被测样品；</w:t>
      </w:r>
    </w:p>
    <w:p>
      <w:pPr>
        <w:pStyle w:val="22"/>
        <w:rPr>
          <w:rFonts w:ascii="Times New Roman"/>
          <w:color w:val="000000"/>
        </w:rPr>
      </w:pPr>
      <w:r>
        <w:rPr>
          <w:rFonts w:ascii="Times New Roman"/>
          <w:i/>
          <w:iCs/>
          <w:szCs w:val="21"/>
        </w:rPr>
        <w:t>θ</w:t>
      </w:r>
      <w:r>
        <w:rPr>
          <w:rFonts w:ascii="Times New Roman"/>
          <w:color w:val="000000"/>
          <w:vertAlign w:val="subscript"/>
        </w:rPr>
        <w:t>1</w:t>
      </w:r>
      <w:r>
        <w:rPr>
          <w:rFonts w:hint="eastAsia" w:ascii="Times New Roman"/>
          <w:color w:val="000000"/>
          <w:vertAlign w:val="subscript"/>
          <w:lang w:val="en-US" w:eastAsia="zh-CN"/>
        </w:rPr>
        <w:t xml:space="preserve">    </w:t>
      </w:r>
      <w:r>
        <w:rPr>
          <w:rFonts w:ascii="Times New Roman"/>
          <w:color w:val="000000"/>
        </w:rPr>
        <w:t>——</w:t>
      </w:r>
      <w:r>
        <w:rPr>
          <w:rFonts w:hint="eastAsia" w:ascii="Times New Roman"/>
          <w:color w:val="000000"/>
          <w:lang w:val="en-US" w:eastAsia="zh-CN"/>
        </w:rPr>
        <w:t xml:space="preserve"> </w:t>
      </w:r>
      <w:r>
        <w:rPr>
          <w:rFonts w:ascii="Times New Roman"/>
          <w:color w:val="000000"/>
        </w:rPr>
        <w:t>入射角；</w:t>
      </w:r>
    </w:p>
    <w:p>
      <w:pPr>
        <w:pStyle w:val="22"/>
        <w:rPr>
          <w:rFonts w:ascii="Times New Roman"/>
          <w:color w:val="000000"/>
        </w:rPr>
      </w:pPr>
      <w:r>
        <w:rPr>
          <w:rFonts w:ascii="Times New Roman"/>
          <w:i/>
          <w:iCs/>
          <w:szCs w:val="21"/>
        </w:rPr>
        <w:t>θ</w:t>
      </w:r>
      <w:r>
        <w:rPr>
          <w:rFonts w:ascii="Times New Roman"/>
          <w:color w:val="000000"/>
          <w:vertAlign w:val="subscript"/>
        </w:rPr>
        <w:t>2</w:t>
      </w:r>
      <w:r>
        <w:rPr>
          <w:rFonts w:hint="eastAsia" w:ascii="Times New Roman"/>
          <w:color w:val="000000"/>
          <w:vertAlign w:val="subscript"/>
          <w:lang w:val="en-US" w:eastAsia="zh-CN"/>
        </w:rPr>
        <w:t xml:space="preserve">    </w:t>
      </w:r>
      <w:r>
        <w:rPr>
          <w:rFonts w:ascii="Times New Roman"/>
          <w:color w:val="000000"/>
        </w:rPr>
        <w:t>——</w:t>
      </w:r>
      <w:r>
        <w:rPr>
          <w:rFonts w:hint="eastAsia" w:ascii="Times New Roman"/>
          <w:color w:val="000000"/>
          <w:lang w:val="en-US" w:eastAsia="zh-CN"/>
        </w:rPr>
        <w:t xml:space="preserve"> </w:t>
      </w:r>
      <w:r>
        <w:rPr>
          <w:rFonts w:ascii="Times New Roman"/>
          <w:color w:val="000000"/>
        </w:rPr>
        <w:t>反射角，</w:t>
      </w:r>
      <w:r>
        <w:rPr>
          <w:rFonts w:ascii="Times New Roman"/>
          <w:i/>
          <w:iCs/>
          <w:szCs w:val="21"/>
        </w:rPr>
        <w:t>θ</w:t>
      </w:r>
      <w:r>
        <w:rPr>
          <w:rFonts w:ascii="Times New Roman"/>
          <w:color w:val="000000"/>
          <w:vertAlign w:val="subscript"/>
        </w:rPr>
        <w:t>1</w:t>
      </w:r>
      <w:r>
        <w:rPr>
          <w:rFonts w:ascii="Times New Roman"/>
          <w:color w:val="000000"/>
        </w:rPr>
        <w:t>=</w:t>
      </w:r>
      <w:r>
        <w:rPr>
          <w:rFonts w:ascii="Times New Roman"/>
          <w:i/>
          <w:iCs/>
          <w:szCs w:val="21"/>
        </w:rPr>
        <w:t>θ</w:t>
      </w:r>
      <w:r>
        <w:rPr>
          <w:rFonts w:ascii="Times New Roman"/>
          <w:color w:val="000000"/>
          <w:vertAlign w:val="subscript"/>
        </w:rPr>
        <w:t>2</w:t>
      </w:r>
      <w:r>
        <w:rPr>
          <w:rFonts w:ascii="Times New Roman"/>
          <w:color w:val="000000"/>
        </w:rPr>
        <w:t>；</w:t>
      </w:r>
    </w:p>
    <w:p>
      <w:pPr>
        <w:pStyle w:val="22"/>
        <w:rPr>
          <w:rFonts w:ascii="Times New Roman"/>
          <w:color w:val="000000"/>
        </w:rPr>
      </w:pPr>
      <w:r>
        <w:rPr>
          <w:rFonts w:ascii="Times New Roman"/>
          <w:color w:val="000000"/>
        </w:rPr>
        <w:t>Σ</w:t>
      </w:r>
      <w:r>
        <w:rPr>
          <w:rFonts w:ascii="Times New Roman"/>
          <w:color w:val="000000"/>
          <w:vertAlign w:val="subscript"/>
        </w:rPr>
        <w:t>b</w:t>
      </w:r>
      <w:r>
        <w:rPr>
          <w:rFonts w:hint="eastAsia" w:ascii="Times New Roman"/>
          <w:color w:val="000000"/>
          <w:vertAlign w:val="subscript"/>
          <w:lang w:val="en-US" w:eastAsia="zh-CN"/>
        </w:rPr>
        <w:t xml:space="preserve">   </w:t>
      </w:r>
      <w:r>
        <w:rPr>
          <w:rFonts w:ascii="Times New Roman"/>
          <w:color w:val="000000"/>
        </w:rPr>
        <w:t>——</w:t>
      </w:r>
      <w:r>
        <w:rPr>
          <w:rFonts w:hint="eastAsia" w:ascii="Times New Roman"/>
          <w:color w:val="000000"/>
          <w:lang w:val="en-US" w:eastAsia="zh-CN"/>
        </w:rPr>
        <w:t xml:space="preserve"> </w:t>
      </w:r>
      <w:r>
        <w:rPr>
          <w:rFonts w:ascii="Times New Roman"/>
          <w:color w:val="000000"/>
        </w:rPr>
        <w:t>接收器孔径角；</w:t>
      </w:r>
    </w:p>
    <w:p>
      <w:pPr>
        <w:widowControl/>
        <w:ind w:firstLine="420" w:firstLineChars="200"/>
        <w:rPr>
          <w:rFonts w:hint="eastAsia" w:eastAsia="宋体"/>
          <w:lang w:eastAsia="zh-CN"/>
        </w:rPr>
      </w:pPr>
      <w:r>
        <w:rPr>
          <w:color w:val="000000"/>
        </w:rPr>
        <w:t>σ</w:t>
      </w:r>
      <w:r>
        <w:rPr>
          <w:color w:val="000000"/>
          <w:vertAlign w:val="subscript"/>
        </w:rPr>
        <w:t>S</w:t>
      </w:r>
      <w:r>
        <w:rPr>
          <w:rFonts w:hint="eastAsia"/>
          <w:color w:val="000000"/>
          <w:vertAlign w:val="subscript"/>
          <w:lang w:val="en-US" w:eastAsia="zh-CN"/>
        </w:rPr>
        <w:t xml:space="preserve">   </w:t>
      </w:r>
      <w:r>
        <w:rPr>
          <w:color w:val="000000"/>
        </w:rPr>
        <w:t>——</w:t>
      </w:r>
      <w:r>
        <w:rPr>
          <w:rFonts w:hint="eastAsia"/>
          <w:color w:val="000000"/>
          <w:lang w:val="en-US" w:eastAsia="zh-CN"/>
        </w:rPr>
        <w:t xml:space="preserve"> </w:t>
      </w:r>
      <w:r>
        <w:rPr>
          <w:color w:val="000000"/>
        </w:rPr>
        <w:t>光源</w:t>
      </w:r>
      <w:r>
        <w:rPr>
          <w:rFonts w:hint="eastAsia"/>
          <w:color w:val="000000"/>
        </w:rPr>
        <w:t>像</w:t>
      </w:r>
      <w:r>
        <w:rPr>
          <w:color w:val="000000"/>
        </w:rPr>
        <w:t>孔径角</w:t>
      </w:r>
      <w:r>
        <w:rPr>
          <w:rFonts w:hint="eastAsia"/>
          <w:color w:val="000000"/>
          <w:lang w:eastAsia="zh-CN"/>
        </w:rPr>
        <w:t>。</w:t>
      </w:r>
    </w:p>
    <w:p>
      <w:pPr>
        <w:pStyle w:val="48"/>
        <w:numPr>
          <w:ilvl w:val="0"/>
          <w:numId w:val="18"/>
        </w:numPr>
        <w:spacing w:before="312" w:after="312"/>
        <w:rPr>
          <w:color w:val="000000" w:themeColor="text1"/>
          <w:highlight w:val="none"/>
        </w:rPr>
      </w:pPr>
      <w:r>
        <w:rPr>
          <w:rFonts w:hint="eastAsia"/>
          <w:color w:val="000000" w:themeColor="text1"/>
          <w:highlight w:val="none"/>
        </w:rPr>
        <w:t>干扰因素</w:t>
      </w:r>
    </w:p>
    <w:p>
      <w:pPr>
        <w:pStyle w:val="22"/>
        <w:ind w:firstLine="0" w:firstLineChars="0"/>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rPr>
        <w:t>5.1 校准</w:t>
      </w:r>
      <w:r>
        <w:rPr>
          <w:rFonts w:hint="eastAsia" w:asciiTheme="minorEastAsia" w:hAnsiTheme="minorEastAsia" w:eastAsiaTheme="minorEastAsia"/>
          <w:szCs w:val="21"/>
          <w:highlight w:val="none"/>
          <w:lang w:val="en-US" w:eastAsia="zh-CN"/>
        </w:rPr>
        <w:t>时</w:t>
      </w:r>
      <w:r>
        <w:rPr>
          <w:rFonts w:hint="eastAsia" w:asciiTheme="minorEastAsia" w:hAnsiTheme="minorEastAsia" w:eastAsiaTheme="minorEastAsia"/>
          <w:szCs w:val="21"/>
          <w:highlight w:val="none"/>
        </w:rPr>
        <w:t>有漏光，测试角度选择错误，影响接收的光通量</w:t>
      </w:r>
      <w:r>
        <w:rPr>
          <w:rFonts w:hint="eastAsia" w:asciiTheme="minorEastAsia" w:hAnsiTheme="minorEastAsia" w:eastAsiaTheme="minorEastAsia"/>
          <w:szCs w:val="21"/>
          <w:highlight w:val="none"/>
          <w:lang w:val="en-US" w:eastAsia="zh-CN"/>
        </w:rPr>
        <w:t>从而</w:t>
      </w:r>
      <w:r>
        <w:rPr>
          <w:rFonts w:hint="eastAsia" w:asciiTheme="minorEastAsia" w:hAnsiTheme="minorEastAsia" w:eastAsiaTheme="minorEastAsia"/>
          <w:szCs w:val="21"/>
          <w:highlight w:val="none"/>
        </w:rPr>
        <w:t>影响测试的准确性</w:t>
      </w:r>
      <w:r>
        <w:rPr>
          <w:rFonts w:hint="eastAsia" w:asciiTheme="minorEastAsia" w:hAnsiTheme="minorEastAsia" w:eastAsiaTheme="minorEastAsia"/>
          <w:szCs w:val="21"/>
          <w:highlight w:val="none"/>
          <w:lang w:eastAsia="zh-CN"/>
        </w:rPr>
        <w:t>。</w:t>
      </w:r>
    </w:p>
    <w:p>
      <w:pPr>
        <w:pStyle w:val="22"/>
        <w:ind w:firstLine="0" w:firstLineChars="0"/>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rPr>
        <w:t>5.2 光泽度计校准板沾污、光源不稳定影响标准值</w:t>
      </w:r>
      <w:r>
        <w:rPr>
          <w:rFonts w:hint="eastAsia" w:asciiTheme="minorEastAsia" w:hAnsiTheme="minorEastAsia" w:eastAsiaTheme="minorEastAsia"/>
          <w:szCs w:val="21"/>
          <w:highlight w:val="none"/>
          <w:lang w:val="en-US" w:eastAsia="zh-CN"/>
        </w:rPr>
        <w:t>从而</w:t>
      </w:r>
      <w:r>
        <w:rPr>
          <w:rFonts w:hint="eastAsia" w:asciiTheme="minorEastAsia" w:hAnsiTheme="minorEastAsia" w:eastAsiaTheme="minorEastAsia"/>
          <w:szCs w:val="21"/>
          <w:highlight w:val="none"/>
        </w:rPr>
        <w:t>影响测试准确性</w:t>
      </w:r>
      <w:r>
        <w:rPr>
          <w:rFonts w:hint="eastAsia" w:asciiTheme="minorEastAsia" w:hAnsiTheme="minorEastAsia" w:eastAsiaTheme="minorEastAsia"/>
          <w:szCs w:val="21"/>
          <w:highlight w:val="none"/>
          <w:lang w:eastAsia="zh-CN"/>
        </w:rPr>
        <w:t>。</w:t>
      </w:r>
    </w:p>
    <w:p>
      <w:pPr>
        <w:pStyle w:val="22"/>
        <w:ind w:left="420" w:hanging="420" w:hangingChars="200"/>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rPr>
        <w:t>5.3 样品测试区域的气孔、较多的颗粒、表面沾污覆盖、化学腐蚀产生的雾会影响光反射效果</w:t>
      </w: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lang w:val="en-US" w:eastAsia="zh-CN"/>
        </w:rPr>
        <w:t>其</w:t>
      </w:r>
      <w:r>
        <w:rPr>
          <w:rFonts w:hint="eastAsia" w:asciiTheme="minorEastAsia" w:hAnsiTheme="minorEastAsia" w:eastAsiaTheme="minorEastAsia"/>
          <w:szCs w:val="21"/>
          <w:highlight w:val="none"/>
        </w:rPr>
        <w:t>测试结果不能代表正常区域的光泽度</w:t>
      </w:r>
      <w:r>
        <w:rPr>
          <w:rFonts w:hint="eastAsia" w:asciiTheme="minorEastAsia" w:hAnsiTheme="minorEastAsia" w:eastAsiaTheme="minorEastAsia"/>
          <w:szCs w:val="21"/>
          <w:highlight w:val="none"/>
          <w:lang w:eastAsia="zh-CN"/>
        </w:rPr>
        <w:t>。</w:t>
      </w:r>
    </w:p>
    <w:p>
      <w:pPr>
        <w:pStyle w:val="22"/>
        <w:ind w:firstLine="0" w:firstLineChars="0"/>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rPr>
        <w:t>5.4 环境湿度太大</w:t>
      </w: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lang w:val="en-US" w:eastAsia="zh-CN"/>
        </w:rPr>
        <w:t>透镜可能会结露，</w:t>
      </w:r>
      <w:r>
        <w:rPr>
          <w:rFonts w:hint="eastAsia" w:asciiTheme="minorEastAsia" w:hAnsiTheme="minorEastAsia" w:eastAsiaTheme="minorEastAsia"/>
          <w:szCs w:val="21"/>
          <w:highlight w:val="none"/>
        </w:rPr>
        <w:t>会影响光反射效果，从而影响测试准确</w:t>
      </w:r>
      <w:r>
        <w:rPr>
          <w:rFonts w:hint="eastAsia" w:asciiTheme="minorEastAsia" w:hAnsiTheme="minorEastAsia" w:eastAsiaTheme="minorEastAsia"/>
          <w:szCs w:val="21"/>
          <w:highlight w:val="none"/>
          <w:lang w:val="en-US" w:eastAsia="zh-CN"/>
        </w:rPr>
        <w:t>性</w:t>
      </w:r>
      <w:r>
        <w:rPr>
          <w:rFonts w:hint="eastAsia" w:asciiTheme="minorEastAsia" w:hAnsiTheme="minorEastAsia" w:eastAsiaTheme="minorEastAsia"/>
          <w:szCs w:val="21"/>
          <w:highlight w:val="none"/>
          <w:lang w:eastAsia="zh-CN"/>
        </w:rPr>
        <w:t>。</w:t>
      </w:r>
    </w:p>
    <w:p>
      <w:pPr>
        <w:pStyle w:val="22"/>
        <w:ind w:firstLine="0" w:firstLineChars="0"/>
        <w:rPr>
          <w:rFonts w:hint="default" w:asciiTheme="minorEastAsia" w:hAnsiTheme="minorEastAsia" w:eastAsiaTheme="minorEastAsia"/>
          <w:szCs w:val="21"/>
          <w:highlight w:val="yellow"/>
          <w:lang w:val="en-US" w:eastAsia="zh-CN"/>
        </w:rPr>
      </w:pPr>
      <w:r>
        <w:rPr>
          <w:rFonts w:hint="eastAsia" w:asciiTheme="minorEastAsia" w:hAnsiTheme="minorEastAsia" w:eastAsiaTheme="minorEastAsia"/>
          <w:szCs w:val="21"/>
          <w:highlight w:val="none"/>
          <w:lang w:val="en-US" w:eastAsia="zh-CN"/>
        </w:rPr>
        <w:t>5.5 同一硅片，腐蚀面光泽度大小与测试的方向有关，抛光面则无影响。</w:t>
      </w:r>
    </w:p>
    <w:p>
      <w:pPr>
        <w:pStyle w:val="48"/>
        <w:numPr>
          <w:ilvl w:val="0"/>
          <w:numId w:val="18"/>
        </w:numPr>
        <w:spacing w:before="312" w:after="312"/>
        <w:rPr>
          <w:color w:val="000000" w:themeColor="text1"/>
        </w:rPr>
      </w:pPr>
      <w:r>
        <w:rPr>
          <w:rFonts w:hint="eastAsia"/>
          <w:color w:val="000000" w:themeColor="text1"/>
        </w:rPr>
        <w:t>试验条件</w:t>
      </w:r>
    </w:p>
    <w:p>
      <w:pPr>
        <w:pStyle w:val="22"/>
        <w:ind w:firstLine="0" w:firstLineChars="0"/>
        <w:rPr>
          <w:rFonts w:hAnsi="宋体"/>
        </w:rPr>
      </w:pPr>
      <w:r>
        <w:rPr>
          <w:rFonts w:ascii="黑体" w:hAnsi="黑体" w:eastAsia="黑体"/>
          <w:color w:val="000000" w:themeColor="text1"/>
        </w:rPr>
        <w:t>6</w:t>
      </w:r>
      <w:r>
        <w:rPr>
          <w:rFonts w:hint="eastAsia" w:ascii="黑体" w:hAnsi="黑体" w:eastAsia="黑体"/>
          <w:color w:val="000000" w:themeColor="text1"/>
        </w:rPr>
        <w:t>.1</w:t>
      </w:r>
      <w:r>
        <w:rPr>
          <w:rFonts w:hint="eastAsia" w:hAnsi="宋体"/>
        </w:rPr>
        <w:t>除另有规定外，应在下列条件下进行测试：</w:t>
      </w:r>
    </w:p>
    <w:p>
      <w:pPr>
        <w:pStyle w:val="22"/>
        <w:numPr>
          <w:ilvl w:val="0"/>
          <w:numId w:val="0"/>
        </w:numPr>
        <w:ind w:left="420" w:leftChars="0"/>
        <w:rPr>
          <w:rFonts w:hAnsi="宋体"/>
        </w:rPr>
      </w:pPr>
      <w:r>
        <w:rPr>
          <w:rFonts w:hint="eastAsia" w:hAnsi="宋体"/>
          <w:lang w:val="en-US" w:eastAsia="zh-CN"/>
        </w:rPr>
        <w:t>a)</w:t>
      </w:r>
      <w:r>
        <w:rPr>
          <w:rFonts w:hint="eastAsia" w:hAnsi="宋体"/>
        </w:rPr>
        <w:t>环境温度应保持在（22±5）℃。</w:t>
      </w:r>
    </w:p>
    <w:p>
      <w:pPr>
        <w:pStyle w:val="22"/>
        <w:numPr>
          <w:ilvl w:val="0"/>
          <w:numId w:val="0"/>
        </w:numPr>
        <w:ind w:left="420" w:leftChars="0"/>
        <w:rPr>
          <w:rFonts w:hint="eastAsia" w:hAnsi="宋体"/>
        </w:rPr>
      </w:pPr>
      <w:r>
        <w:rPr>
          <w:rFonts w:hint="eastAsia" w:hAnsi="宋体"/>
          <w:lang w:val="en-US" w:eastAsia="zh-CN"/>
        </w:rPr>
        <w:t>b)</w:t>
      </w:r>
      <w:r>
        <w:rPr>
          <w:rFonts w:hint="eastAsia" w:hAnsi="宋体"/>
        </w:rPr>
        <w:t>环境相对湿度≤80</w:t>
      </w:r>
      <w:r>
        <w:rPr>
          <w:rFonts w:hint="eastAsia" w:hAnsi="宋体"/>
          <w:vertAlign w:val="superscript"/>
          <w:lang w:val="en-US" w:eastAsia="zh-CN"/>
        </w:rPr>
        <w:t xml:space="preserve"> </w:t>
      </w:r>
      <w:r>
        <w:rPr>
          <w:rFonts w:hint="eastAsia" w:hAnsi="宋体"/>
        </w:rPr>
        <w:t>%。</w:t>
      </w:r>
    </w:p>
    <w:p>
      <w:pPr>
        <w:pStyle w:val="48"/>
        <w:numPr>
          <w:ilvl w:val="0"/>
          <w:numId w:val="18"/>
        </w:numPr>
        <w:spacing w:before="312" w:after="312"/>
        <w:rPr>
          <w:color w:val="000000" w:themeColor="text1"/>
        </w:rPr>
      </w:pPr>
      <w:r>
        <w:rPr>
          <w:rFonts w:hint="eastAsia"/>
          <w:color w:val="000000" w:themeColor="text1"/>
        </w:rPr>
        <w:t>仪器设备</w:t>
      </w:r>
    </w:p>
    <w:p>
      <w:pPr>
        <w:pStyle w:val="22"/>
        <w:ind w:firstLine="0" w:firstLineChars="0"/>
        <w:rPr>
          <w:rFonts w:asciiTheme="minorEastAsia" w:hAnsiTheme="minorEastAsia" w:eastAsiaTheme="minorEastAsia"/>
          <w:szCs w:val="21"/>
        </w:rPr>
      </w:pPr>
      <w:r>
        <w:rPr>
          <w:rFonts w:hint="eastAsia" w:asciiTheme="minorEastAsia" w:hAnsiTheme="minorEastAsia" w:eastAsiaTheme="minorEastAsia"/>
          <w:szCs w:val="21"/>
        </w:rPr>
        <w:t>7.1</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光泽度计由光源、透镜、测试口、接收器和计算系统等组成。</w:t>
      </w:r>
    </w:p>
    <w:p>
      <w:pPr>
        <w:pStyle w:val="22"/>
        <w:ind w:firstLine="0" w:firstLineChars="0"/>
        <w:rPr>
          <w:rFonts w:asciiTheme="minorEastAsia" w:hAnsiTheme="minorEastAsia" w:eastAsiaTheme="minorEastAsia"/>
          <w:szCs w:val="21"/>
        </w:rPr>
      </w:pPr>
      <w:r>
        <w:rPr>
          <w:rFonts w:hint="eastAsia" w:asciiTheme="minorEastAsia" w:hAnsiTheme="minorEastAsia" w:eastAsiaTheme="minorEastAsia"/>
          <w:szCs w:val="21"/>
        </w:rPr>
        <w:t>7.2 光源：光泽度计光源应是符合国际照明委员会（CIE）规定的D</w:t>
      </w:r>
      <w:r>
        <w:rPr>
          <w:rFonts w:hint="eastAsia" w:asciiTheme="minorEastAsia" w:hAnsiTheme="minorEastAsia" w:eastAsiaTheme="minorEastAsia"/>
          <w:szCs w:val="21"/>
          <w:vertAlign w:val="subscript"/>
        </w:rPr>
        <w:t>65</w:t>
      </w:r>
      <w:r>
        <w:rPr>
          <w:rFonts w:hint="eastAsia" w:asciiTheme="minorEastAsia" w:hAnsiTheme="minorEastAsia" w:eastAsiaTheme="minorEastAsia"/>
          <w:szCs w:val="21"/>
        </w:rPr>
        <w:t>照明体或A光源。</w:t>
      </w:r>
    </w:p>
    <w:p>
      <w:pPr>
        <w:pStyle w:val="22"/>
        <w:ind w:firstLine="0" w:firstLineChars="0"/>
        <w:rPr>
          <w:rFonts w:asciiTheme="minorEastAsia" w:hAnsiTheme="minorEastAsia" w:eastAsiaTheme="minorEastAsia"/>
          <w:szCs w:val="21"/>
        </w:rPr>
      </w:pPr>
      <w:r>
        <w:rPr>
          <w:rFonts w:hint="eastAsia" w:asciiTheme="minorEastAsia" w:hAnsiTheme="minorEastAsia" w:eastAsiaTheme="minorEastAsia"/>
          <w:szCs w:val="21"/>
        </w:rPr>
        <w:t>7.3 透镜：用于接收和传输入射光和反射光。</w:t>
      </w:r>
    </w:p>
    <w:p>
      <w:pPr>
        <w:pStyle w:val="22"/>
        <w:ind w:firstLine="0" w:firstLineChars="0"/>
        <w:rPr>
          <w:rFonts w:asciiTheme="minorEastAsia" w:hAnsiTheme="minorEastAsia" w:eastAsiaTheme="minorEastAsia"/>
          <w:szCs w:val="21"/>
        </w:rPr>
      </w:pPr>
      <w:r>
        <w:rPr>
          <w:rFonts w:hint="eastAsia" w:asciiTheme="minorEastAsia" w:hAnsiTheme="minorEastAsia" w:eastAsiaTheme="minorEastAsia"/>
          <w:szCs w:val="21"/>
        </w:rPr>
        <w:t>7.3 测试口：测试口限定光测试范围，保证测试环境不透光。</w:t>
      </w:r>
    </w:p>
    <w:p>
      <w:pPr>
        <w:pStyle w:val="22"/>
        <w:ind w:firstLine="0" w:firstLineChars="0"/>
        <w:rPr>
          <w:rFonts w:asciiTheme="minorEastAsia" w:hAnsiTheme="minorEastAsia" w:eastAsiaTheme="minorEastAsia"/>
          <w:szCs w:val="21"/>
        </w:rPr>
      </w:pPr>
      <w:r>
        <w:rPr>
          <w:rFonts w:hint="eastAsia" w:asciiTheme="minorEastAsia" w:hAnsiTheme="minorEastAsia" w:eastAsiaTheme="minorEastAsia"/>
          <w:szCs w:val="21"/>
        </w:rPr>
        <w:t>7.4 接收器：接收光电信号进行光电信号转换和处理。</w:t>
      </w:r>
    </w:p>
    <w:p>
      <w:pPr>
        <w:pStyle w:val="22"/>
        <w:ind w:firstLine="0" w:firstLineChars="0"/>
        <w:rPr>
          <w:rFonts w:asciiTheme="minorEastAsia" w:hAnsiTheme="minorEastAsia" w:eastAsiaTheme="minorEastAsia"/>
          <w:szCs w:val="21"/>
        </w:rPr>
      </w:pPr>
      <w:r>
        <w:rPr>
          <w:rFonts w:hint="eastAsia" w:asciiTheme="minorEastAsia" w:hAnsiTheme="minorEastAsia" w:eastAsiaTheme="minorEastAsia"/>
          <w:szCs w:val="21"/>
        </w:rPr>
        <w:t>7.5 计算系统：对转换的光电信号进行计算和数据处理及显示。</w:t>
      </w:r>
    </w:p>
    <w:p>
      <w:pPr>
        <w:pStyle w:val="48"/>
        <w:numPr>
          <w:ilvl w:val="0"/>
          <w:numId w:val="18"/>
        </w:numPr>
        <w:spacing w:before="312" w:after="312"/>
        <w:rPr>
          <w:color w:val="000000" w:themeColor="text1"/>
        </w:rPr>
      </w:pPr>
      <w:r>
        <w:rPr>
          <w:rFonts w:hint="eastAsia"/>
          <w:color w:val="000000" w:themeColor="text1"/>
        </w:rPr>
        <w:t>样品</w:t>
      </w:r>
    </w:p>
    <w:p>
      <w:pPr>
        <w:pStyle w:val="22"/>
        <w:ind w:firstLine="0" w:firstLineChars="0"/>
        <w:rPr>
          <w:rFonts w:hAnsi="宋体"/>
        </w:rPr>
      </w:pPr>
      <w:bookmarkStart w:id="10" w:name="OLE_LINK44"/>
      <w:bookmarkStart w:id="11" w:name="_Toc41299123"/>
      <w:bookmarkStart w:id="12" w:name="OLE_LINK114"/>
      <w:r>
        <w:rPr>
          <w:rFonts w:hint="eastAsia" w:ascii="黑体" w:hAnsi="黑体" w:eastAsia="黑体"/>
          <w:color w:val="000000" w:themeColor="text1"/>
        </w:rPr>
        <w:t xml:space="preserve">8.1 </w:t>
      </w:r>
      <w:r>
        <w:rPr>
          <w:rFonts w:hint="eastAsia" w:hAnsi="宋体"/>
        </w:rPr>
        <w:t>样品表面应平整、光滑，测试区域无气孔、机械划伤等外观缺陷。</w:t>
      </w:r>
    </w:p>
    <w:p>
      <w:pPr>
        <w:pStyle w:val="22"/>
        <w:ind w:firstLine="0" w:firstLineChars="0"/>
        <w:rPr>
          <w:rFonts w:hAnsi="宋体"/>
        </w:rPr>
      </w:pPr>
      <w:r>
        <w:rPr>
          <w:rFonts w:hint="eastAsia" w:ascii="黑体" w:hAnsi="黑体" w:eastAsia="黑体"/>
          <w:color w:val="000000" w:themeColor="text1"/>
        </w:rPr>
        <w:t xml:space="preserve">8.2 </w:t>
      </w:r>
      <w:r>
        <w:rPr>
          <w:rFonts w:hint="eastAsia" w:hAnsi="宋体"/>
        </w:rPr>
        <w:t>样品表面干净、干燥。</w:t>
      </w:r>
    </w:p>
    <w:p>
      <w:pPr>
        <w:pStyle w:val="22"/>
        <w:ind w:firstLine="0" w:firstLineChars="0"/>
        <w:rPr>
          <w:rFonts w:hAnsi="宋体"/>
        </w:rPr>
      </w:pPr>
      <w:r>
        <w:rPr>
          <w:rFonts w:hint="eastAsia" w:ascii="黑体" w:hAnsi="黑体" w:eastAsia="黑体"/>
          <w:color w:val="000000" w:themeColor="text1"/>
        </w:rPr>
        <w:t xml:space="preserve">8.3 </w:t>
      </w:r>
      <w:r>
        <w:rPr>
          <w:rFonts w:hint="eastAsia" w:hAnsi="宋体"/>
        </w:rPr>
        <w:t>样品大小至少保证测试口区域能完全覆盖。</w:t>
      </w:r>
    </w:p>
    <w:bookmarkEnd w:id="10"/>
    <w:bookmarkEnd w:id="11"/>
    <w:bookmarkEnd w:id="12"/>
    <w:p>
      <w:pPr>
        <w:pStyle w:val="48"/>
        <w:numPr>
          <w:ilvl w:val="0"/>
          <w:numId w:val="18"/>
        </w:numPr>
        <w:spacing w:before="312" w:after="312"/>
        <w:rPr>
          <w:color w:val="000000" w:themeColor="text1"/>
        </w:rPr>
      </w:pPr>
      <w:r>
        <w:rPr>
          <w:rFonts w:hint="eastAsia"/>
          <w:color w:val="000000" w:themeColor="text1"/>
        </w:rPr>
        <w:t>校准</w:t>
      </w:r>
    </w:p>
    <w:p>
      <w:pPr>
        <w:widowControl/>
        <w:jc w:val="left"/>
        <w:rPr>
          <w:rFonts w:ascii="宋体" w:hAnsi="宋体"/>
          <w:kern w:val="0"/>
          <w:szCs w:val="20"/>
        </w:rPr>
      </w:pPr>
      <w:r>
        <w:rPr>
          <w:rFonts w:hint="eastAsia" w:ascii="黑体" w:hAnsi="黑体" w:eastAsia="黑体"/>
          <w:color w:val="000000" w:themeColor="text1"/>
        </w:rPr>
        <w:t>9.1</w:t>
      </w:r>
      <w:r>
        <w:rPr>
          <w:rFonts w:hint="eastAsia" w:ascii="宋体" w:hAnsi="宋体"/>
          <w:kern w:val="0"/>
          <w:szCs w:val="20"/>
        </w:rPr>
        <w:t>自动校准：对于带自动校准功能的光泽度计开机后即自动校准，校准通过即可使用。</w:t>
      </w:r>
    </w:p>
    <w:p>
      <w:pPr>
        <w:widowControl/>
        <w:jc w:val="left"/>
        <w:rPr>
          <w:rFonts w:ascii="黑体" w:hAnsi="黑体" w:eastAsia="黑体"/>
          <w:color w:val="000000" w:themeColor="text1"/>
        </w:rPr>
      </w:pPr>
      <w:r>
        <w:rPr>
          <w:rFonts w:hint="eastAsia" w:ascii="黑体" w:hAnsi="黑体" w:eastAsia="黑体"/>
          <w:color w:val="000000" w:themeColor="text1"/>
        </w:rPr>
        <w:t>9.2</w:t>
      </w:r>
      <w:r>
        <w:rPr>
          <w:rFonts w:hint="eastAsia" w:ascii="宋体" w:hAnsi="宋体"/>
          <w:kern w:val="0"/>
          <w:szCs w:val="20"/>
        </w:rPr>
        <w:t>手动校准仪器需按如下流程校准：</w:t>
      </w:r>
    </w:p>
    <w:p>
      <w:pPr>
        <w:widowControl/>
        <w:jc w:val="left"/>
        <w:rPr>
          <w:rFonts w:ascii="宋体" w:hAnsi="宋体"/>
          <w:kern w:val="0"/>
          <w:szCs w:val="20"/>
        </w:rPr>
      </w:pPr>
      <w:r>
        <w:rPr>
          <w:rFonts w:hint="eastAsia" w:ascii="黑体" w:hAnsi="黑体" w:eastAsia="黑体"/>
          <w:color w:val="000000" w:themeColor="text1"/>
        </w:rPr>
        <w:t xml:space="preserve">a </w:t>
      </w:r>
      <w:r>
        <w:rPr>
          <w:rFonts w:hint="eastAsia" w:ascii="宋体" w:hAnsi="宋体"/>
          <w:kern w:val="0"/>
          <w:szCs w:val="20"/>
        </w:rPr>
        <w:t>选定测试角度：根据测试需求选定测试角度。</w:t>
      </w:r>
    </w:p>
    <w:p>
      <w:pPr>
        <w:widowControl/>
        <w:jc w:val="left"/>
        <w:rPr>
          <w:rFonts w:ascii="黑体" w:hAnsi="黑体"/>
          <w:color w:val="000000" w:themeColor="text1"/>
        </w:rPr>
      </w:pPr>
      <w:r>
        <w:rPr>
          <w:rFonts w:hint="eastAsia" w:ascii="黑体" w:hAnsi="黑体" w:eastAsia="黑体"/>
          <w:color w:val="000000" w:themeColor="text1"/>
        </w:rPr>
        <w:t xml:space="preserve">b </w:t>
      </w:r>
      <w:r>
        <w:rPr>
          <w:rFonts w:hint="eastAsia" w:ascii="宋体" w:hAnsi="宋体"/>
          <w:kern w:val="0"/>
          <w:szCs w:val="20"/>
        </w:rPr>
        <w:t>空白校准：将归零测试板放在测试位置，进行空白校准。</w:t>
      </w:r>
    </w:p>
    <w:p>
      <w:pPr>
        <w:widowControl/>
        <w:jc w:val="left"/>
        <w:rPr>
          <w:rFonts w:ascii="黑体" w:hAnsi="黑体" w:eastAsia="黑体"/>
          <w:color w:val="000000" w:themeColor="text1"/>
        </w:rPr>
      </w:pPr>
      <w:r>
        <w:rPr>
          <w:rFonts w:hint="eastAsia" w:ascii="黑体" w:hAnsi="黑体" w:eastAsia="黑体"/>
          <w:color w:val="000000" w:themeColor="text1"/>
        </w:rPr>
        <w:t xml:space="preserve">c </w:t>
      </w:r>
      <w:r>
        <w:rPr>
          <w:rFonts w:hint="eastAsia" w:ascii="宋体" w:hAnsi="宋体"/>
          <w:kern w:val="0"/>
          <w:szCs w:val="20"/>
        </w:rPr>
        <w:t>标准板校准：将标准版放在测试位置，进行标准校正，测试数值与标准板值差异不超过±0.5%。</w:t>
      </w:r>
    </w:p>
    <w:p>
      <w:pPr>
        <w:widowControl/>
        <w:jc w:val="left"/>
        <w:rPr>
          <w:rFonts w:ascii="宋体" w:hAnsi="宋体"/>
          <w:color w:val="000000" w:themeColor="text1"/>
        </w:rPr>
      </w:pPr>
      <w:r>
        <w:rPr>
          <w:rFonts w:hint="eastAsia" w:ascii="黑体" w:hAnsi="黑体" w:eastAsia="黑体"/>
          <w:color w:val="000000" w:themeColor="text1"/>
        </w:rPr>
        <w:t xml:space="preserve">9.3 </w:t>
      </w:r>
      <w:r>
        <w:rPr>
          <w:rFonts w:hint="eastAsia" w:ascii="宋体" w:hAnsi="宋体"/>
          <w:kern w:val="0"/>
          <w:szCs w:val="20"/>
        </w:rPr>
        <w:t>校准合格后方可使用，若校准不合格，则光泽度计及其附属校准板必须送检。</w:t>
      </w:r>
    </w:p>
    <w:p>
      <w:pPr>
        <w:pStyle w:val="48"/>
        <w:numPr>
          <w:ilvl w:val="0"/>
          <w:numId w:val="18"/>
        </w:numPr>
        <w:spacing w:before="312" w:afterLines="60"/>
        <w:rPr>
          <w:color w:val="000000" w:themeColor="text1"/>
        </w:rPr>
      </w:pPr>
      <w:r>
        <w:rPr>
          <w:rFonts w:hint="eastAsia"/>
          <w:color w:val="000000" w:themeColor="text1"/>
        </w:rPr>
        <w:t>试验步骤</w:t>
      </w:r>
    </w:p>
    <w:p>
      <w:pPr>
        <w:widowControl/>
        <w:jc w:val="left"/>
        <w:rPr>
          <w:rFonts w:ascii="宋体" w:hAnsi="宋体"/>
          <w:kern w:val="0"/>
          <w:szCs w:val="20"/>
        </w:rPr>
      </w:pPr>
      <w:r>
        <w:rPr>
          <w:rFonts w:hint="eastAsia" w:ascii="黑体" w:hAnsi="黑体" w:eastAsia="黑体"/>
          <w:color w:val="000000" w:themeColor="text1"/>
        </w:rPr>
        <w:t>10.1</w:t>
      </w:r>
      <w:r>
        <w:rPr>
          <w:rFonts w:hint="eastAsia" w:ascii="宋体" w:hAnsi="宋体"/>
          <w:kern w:val="0"/>
          <w:szCs w:val="20"/>
        </w:rPr>
        <w:t>将样品水平放置在测试台上，光泽度计测试口</w:t>
      </w:r>
      <w:r>
        <w:rPr>
          <w:rFonts w:hint="eastAsia" w:ascii="宋体" w:hAnsi="宋体" w:cs="宋体"/>
          <w:szCs w:val="21"/>
          <w:shd w:val="clear" w:color="auto" w:fill="FFFFFF"/>
        </w:rPr>
        <w:t>紧贴待测样品表面且</w:t>
      </w:r>
      <w:r>
        <w:rPr>
          <w:rFonts w:hint="eastAsia" w:ascii="宋体" w:hAnsi="宋体"/>
          <w:kern w:val="0"/>
          <w:szCs w:val="20"/>
        </w:rPr>
        <w:t>完全覆盖需测试位置。</w:t>
      </w:r>
    </w:p>
    <w:p>
      <w:pPr>
        <w:widowControl/>
        <w:jc w:val="left"/>
        <w:rPr>
          <w:rFonts w:ascii="宋体"/>
          <w:szCs w:val="20"/>
        </w:rPr>
      </w:pPr>
      <w:r>
        <w:rPr>
          <w:rFonts w:hint="eastAsia" w:ascii="黑体" w:hAnsi="黑体" w:eastAsia="黑体"/>
          <w:color w:val="000000" w:themeColor="text1"/>
        </w:rPr>
        <w:t xml:space="preserve">10.2 </w:t>
      </w:r>
      <w:r>
        <w:rPr>
          <w:rFonts w:hint="eastAsia" w:ascii="宋体" w:hAnsi="宋体"/>
          <w:kern w:val="0"/>
          <w:szCs w:val="20"/>
        </w:rPr>
        <w:t>选择需求的入射角度，在对应测</w:t>
      </w:r>
      <w:r>
        <w:rPr>
          <w:rFonts w:hint="eastAsia" w:ascii="宋体"/>
          <w:szCs w:val="20"/>
        </w:rPr>
        <w:t>试区域进行测量。对于直径150</w:t>
      </w:r>
      <w:r>
        <w:rPr>
          <w:rFonts w:hint="eastAsia" w:ascii="宋体"/>
          <w:szCs w:val="20"/>
          <w:vertAlign w:val="superscript"/>
          <w:lang w:val="en-US" w:eastAsia="zh-CN"/>
        </w:rPr>
        <w:t xml:space="preserve"> </w:t>
      </w:r>
      <w:r>
        <w:rPr>
          <w:rFonts w:hint="eastAsia" w:ascii="宋体"/>
          <w:szCs w:val="20"/>
        </w:rPr>
        <w:t>mm及以下硅片样品，五个测点（如图2），即硅片中心1点、硅片边缘4点。直径大于150</w:t>
      </w:r>
      <w:r>
        <w:rPr>
          <w:rFonts w:hint="eastAsia" w:ascii="宋体"/>
          <w:szCs w:val="20"/>
          <w:vertAlign w:val="superscript"/>
          <w:lang w:val="en-US" w:eastAsia="zh-CN"/>
        </w:rPr>
        <w:t xml:space="preserve"> </w:t>
      </w:r>
      <w:r>
        <w:rPr>
          <w:rFonts w:hint="eastAsia" w:ascii="宋体"/>
          <w:szCs w:val="20"/>
        </w:rPr>
        <w:t>mm的硅片样品，九点测试，即硅片中心1点、R/2四点、硅片边缘4点。测试边缘位置时测试中心距硅片边缘2</w:t>
      </w:r>
      <w:r>
        <w:rPr>
          <w:rFonts w:hint="eastAsia" w:ascii="宋体"/>
          <w:szCs w:val="20"/>
          <w:vertAlign w:val="superscript"/>
          <w:lang w:val="en-US" w:eastAsia="zh-CN"/>
        </w:rPr>
        <w:t xml:space="preserve"> </w:t>
      </w:r>
      <w:r>
        <w:rPr>
          <w:rFonts w:hint="eastAsia" w:ascii="宋体"/>
          <w:szCs w:val="20"/>
        </w:rPr>
        <w:t>cm左右，边缘位置按（NOTCH/OF）位置、顺时针90°、180°、270°依次测试。特殊测试要求，可供需双方协商确定。</w:t>
      </w:r>
    </w:p>
    <w:p>
      <w:pPr>
        <w:pStyle w:val="22"/>
        <w:ind w:left="0" w:leftChars="0" w:firstLine="0" w:firstLineChars="0"/>
        <w:jc w:val="center"/>
      </w:pPr>
      <w:r>
        <w:rPr>
          <w:rFonts w:hint="eastAsia"/>
          <w:lang w:val="en-US" w:eastAsia="zh-CN"/>
        </w:rPr>
        <w:t xml:space="preserve">  </w:t>
      </w:r>
      <w:r>
        <w:drawing>
          <wp:inline distT="0" distB="0" distL="0" distR="0">
            <wp:extent cx="1925955" cy="1934210"/>
            <wp:effectExtent l="0" t="0" r="55245" b="46990"/>
            <wp:docPr id="16" name="对象 1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2539981" cy="2650228"/>
                      <a:chOff x="0" y="0"/>
                      <a:chExt cx="2539981" cy="2650228"/>
                    </a:xfrm>
                  </a:grpSpPr>
                  <a:grpSp>
                    <a:nvGrpSpPr>
                      <a:cNvPr id="137" name="组合 136"/>
                      <a:cNvGrpSpPr/>
                    </a:nvGrpSpPr>
                    <a:grpSpPr>
                      <a:xfrm>
                        <a:off x="0" y="0"/>
                        <a:ext cx="2539981" cy="2650228"/>
                        <a:chOff x="0" y="0"/>
                        <a:chExt cx="2539981" cy="2650228"/>
                      </a:xfrm>
                    </a:grpSpPr>
                    <a:grpSp>
                      <a:nvGrpSpPr>
                        <a:cNvPr id="3" name="组合 55"/>
                        <a:cNvGrpSpPr/>
                      </a:nvGrpSpPr>
                      <a:grpSpPr>
                        <a:xfrm>
                          <a:off x="0" y="0"/>
                          <a:ext cx="2539981" cy="2650228"/>
                          <a:chOff x="0" y="0"/>
                          <a:chExt cx="2543175" cy="2657475"/>
                        </a:xfrm>
                      </a:grpSpPr>
                      <a:grpSp>
                        <a:nvGrpSpPr>
                          <a:cNvPr id="9" name="组合 36"/>
                          <a:cNvGrpSpPr/>
                        </a:nvGrpSpPr>
                        <a:grpSpPr>
                          <a:xfrm>
                            <a:off x="0" y="0"/>
                            <a:ext cx="2543175" cy="2657475"/>
                            <a:chOff x="0" y="0"/>
                            <a:chExt cx="2543175" cy="2657475"/>
                          </a:xfrm>
                        </a:grpSpPr>
                        <a:sp>
                          <a:nvSpPr>
                            <a:cNvPr id="152" name="椭圆 151"/>
                            <a:cNvSpPr/>
                          </a:nvSpPr>
                          <a:spPr>
                            <a:xfrm>
                              <a:off x="0" y="0"/>
                              <a:ext cx="2543175" cy="2524125"/>
                            </a:xfrm>
                            <a:prstGeom prst="ellipse">
                              <a:avLst/>
                            </a:prstGeom>
                            <a:solidFill>
                              <a:schemeClr val="bg1"/>
                            </a:solidFill>
                            <a:ln w="12700">
                              <a:solidFill>
                                <a:sysClr val="windowText" lastClr="000000"/>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53" name="矩形 152"/>
                            <a:cNvSpPr/>
                          </a:nvSpPr>
                          <a:spPr>
                            <a:xfrm>
                              <a:off x="828675" y="2447925"/>
                              <a:ext cx="885825" cy="209550"/>
                            </a:xfrm>
                            <a:prstGeom prst="rect">
                              <a:avLst/>
                            </a:prstGeom>
                            <a:solidFill>
                              <a:schemeClr val="bg1"/>
                            </a:solidFill>
                            <a:ln>
                              <a:solidFill>
                                <a:schemeClr val="bg1"/>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4" name="直接连接符 153"/>
                            <a:cNvCxnSpPr/>
                          </a:nvCxnSpPr>
                          <a:spPr>
                            <a:xfrm>
                              <a:off x="828675" y="2438400"/>
                              <a:ext cx="904875" cy="9525"/>
                            </a:xfrm>
                            <a:prstGeom prst="line">
                              <a:avLst/>
                            </a:prstGeom>
                            <a:ln w="19050">
                              <a:solidFill>
                                <a:sysClr val="windowText" lastClr="000000"/>
                              </a:solidFill>
                            </a:ln>
                          </a:spPr>
                          <a:style>
                            <a:lnRef idx="2">
                              <a:schemeClr val="accent1"/>
                            </a:lnRef>
                            <a:fillRef idx="0">
                              <a:schemeClr val="accent1"/>
                            </a:fillRef>
                            <a:effectRef idx="1">
                              <a:schemeClr val="accent1"/>
                            </a:effectRef>
                            <a:fontRef idx="minor">
                              <a:schemeClr val="tx1"/>
                            </a:fontRef>
                          </a:style>
                        </a:cxnSp>
                        <a:cxnSp>
                          <a:nvCxnSpPr>
                            <a:cNvPr id="155" name="直接连接符 154"/>
                            <a:cNvCxnSpPr>
                              <a:stCxn id="152" idx="2"/>
                              <a:endCxn id="152" idx="6"/>
                            </a:cNvCxnSpPr>
                          </a:nvCxnSpPr>
                          <a:spPr>
                            <a:xfrm>
                              <a:off x="0" y="1262063"/>
                              <a:ext cx="2543175"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6" name="直接连接符 155"/>
                            <a:cNvCxnSpPr>
                              <a:stCxn id="152" idx="0"/>
                              <a:endCxn id="153" idx="0"/>
                            </a:cNvCxnSpPr>
                          </a:nvCxnSpPr>
                          <a:spPr>
                            <a:xfrm>
                              <a:off x="1271588" y="0"/>
                              <a:ext cx="0" cy="2447925"/>
                            </a:xfrm>
                            <a:prstGeom prst="line">
                              <a:avLst/>
                            </a:prstGeom>
                          </a:spPr>
                          <a:style>
                            <a:lnRef idx="1">
                              <a:schemeClr val="accent1"/>
                            </a:lnRef>
                            <a:fillRef idx="0">
                              <a:schemeClr val="accent1"/>
                            </a:fillRef>
                            <a:effectRef idx="0">
                              <a:schemeClr val="accent1"/>
                            </a:effectRef>
                            <a:fontRef idx="minor">
                              <a:schemeClr val="tx1"/>
                            </a:fontRef>
                          </a:style>
                        </a:cxnSp>
                      </a:grpSp>
                      <a:sp>
                        <a:nvSpPr>
                          <a:cNvPr id="145" name="TextBox 144"/>
                          <a:cNvSpPr txBox="1"/>
                        </a:nvSpPr>
                        <a:spPr>
                          <a:xfrm>
                            <a:off x="961939" y="980788"/>
                            <a:ext cx="256160" cy="264560"/>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1</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46" name="TextBox 145"/>
                          <a:cNvSpPr txBox="1"/>
                        </a:nvSpPr>
                        <a:spPr>
                          <a:xfrm>
                            <a:off x="1343107" y="2124074"/>
                            <a:ext cx="256160" cy="264560"/>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2</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47" name="TextBox 146"/>
                          <a:cNvSpPr txBox="1"/>
                        </a:nvSpPr>
                        <a:spPr>
                          <a:xfrm>
                            <a:off x="162103" y="1390883"/>
                            <a:ext cx="304800" cy="293135"/>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3</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48" name="TextBox 147"/>
                          <a:cNvSpPr txBox="1"/>
                        </a:nvSpPr>
                        <a:spPr>
                          <a:xfrm>
                            <a:off x="1343023" y="95249"/>
                            <a:ext cx="256160" cy="264560"/>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4</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49" name="TextBox 148"/>
                          <a:cNvSpPr txBox="1"/>
                        </a:nvSpPr>
                        <a:spPr>
                          <a:xfrm>
                            <a:off x="1961789" y="866019"/>
                            <a:ext cx="256160" cy="264560"/>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5</a:t>
                              </a:r>
                              <a:endParaRPr lang="zh-CN" altLang="en-US" sz="1100"/>
                            </a:p>
                          </a:txBody>
                          <a:useSpRect/>
                        </a:txSp>
                        <a:style>
                          <a:lnRef idx="0">
                            <a:scrgbClr r="0" g="0" b="0"/>
                          </a:lnRef>
                          <a:fillRef idx="0">
                            <a:scrgbClr r="0" g="0" b="0"/>
                          </a:fillRef>
                          <a:effectRef idx="0">
                            <a:scrgbClr r="0" g="0" b="0"/>
                          </a:effectRef>
                          <a:fontRef idx="minor">
                            <a:schemeClr val="tx1"/>
                          </a:fontRef>
                        </a:style>
                      </a:sp>
                    </a:grpSp>
                    <a:sp>
                      <a:nvSpPr>
                        <a:cNvPr id="139" name="矩形 138"/>
                        <a:cNvSpPr/>
                      </a:nvSpPr>
                      <a:spPr>
                        <a:xfrm>
                          <a:off x="1171738" y="1200747"/>
                          <a:ext cx="209550" cy="123825"/>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40" name="矩形 139"/>
                        <a:cNvSpPr/>
                      </a:nvSpPr>
                      <a:spPr>
                        <a:xfrm>
                          <a:off x="1181263" y="2238972"/>
                          <a:ext cx="209550" cy="123825"/>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41" name="矩形 140"/>
                        <a:cNvSpPr/>
                      </a:nvSpPr>
                      <a:spPr>
                        <a:xfrm>
                          <a:off x="1162213" y="76797"/>
                          <a:ext cx="209550" cy="123825"/>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42" name="矩形 141"/>
                        <a:cNvSpPr/>
                      </a:nvSpPr>
                      <a:spPr>
                        <a:xfrm rot="5400000">
                          <a:off x="2286163" y="1191225"/>
                          <a:ext cx="209550" cy="123825"/>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43" name="矩形 142"/>
                        <a:cNvSpPr/>
                      </a:nvSpPr>
                      <a:spPr>
                        <a:xfrm rot="5400000">
                          <a:off x="43026" y="1215037"/>
                          <a:ext cx="209550" cy="123825"/>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r>
        <w:rPr>
          <w:rFonts w:hint="eastAsia"/>
          <w:lang w:val="en-US" w:eastAsia="zh-CN"/>
        </w:rPr>
        <w:t xml:space="preserve">         </w:t>
      </w:r>
      <w:r>
        <w:drawing>
          <wp:inline distT="0" distB="0" distL="0" distR="0">
            <wp:extent cx="2247900" cy="2351405"/>
            <wp:effectExtent l="0" t="0" r="0" b="10795"/>
            <wp:docPr id="18" name="对象 1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2847975" cy="2795307"/>
                      <a:chOff x="0" y="0"/>
                      <a:chExt cx="2847975" cy="2795307"/>
                    </a:xfrm>
                  </a:grpSpPr>
                  <a:grpSp>
                    <a:nvGrpSpPr>
                      <a:cNvPr id="179" name="组合 178"/>
                      <a:cNvGrpSpPr/>
                    </a:nvGrpSpPr>
                    <a:grpSpPr>
                      <a:xfrm>
                        <a:off x="0" y="0"/>
                        <a:ext cx="2847975" cy="2795307"/>
                        <a:chOff x="0" y="0"/>
                        <a:chExt cx="2847975" cy="2795307"/>
                      </a:xfrm>
                    </a:grpSpPr>
                    <a:pic>
                      <a:nvPicPr>
                        <a:cNvPr id="158" name="Picture 20"/>
                        <a:cNvPicPr>
                          <a:picLocks noChangeAspect="1" noChangeArrowheads="1"/>
                        </a:cNvPicPr>
                      </a:nvPicPr>
                      <a:blipFill>
                        <a:blip r:embed="rId9" cstate="print"/>
                        <a:srcRect/>
                        <a:stretch>
                          <a:fillRect/>
                        </a:stretch>
                      </a:blipFill>
                      <a:spPr bwMode="auto">
                        <a:xfrm>
                          <a:off x="0" y="0"/>
                          <a:ext cx="2847975" cy="2795307"/>
                        </a:xfrm>
                        <a:prstGeom prst="rect">
                          <a:avLst/>
                        </a:prstGeom>
                        <a:noFill/>
                        <a:ln w="9525">
                          <a:noFill/>
                          <a:miter lim="800000"/>
                          <a:headEnd/>
                          <a:tailEnd/>
                        </a:ln>
                      </a:spPr>
                    </a:pic>
                    <a:cxnSp>
                      <a:nvCxnSpPr>
                        <a:cNvPr id="159" name="直接连接符 158"/>
                        <a:cNvCxnSpPr/>
                      </a:nvCxnSpPr>
                      <a:spPr>
                        <a:xfrm>
                          <a:off x="247650" y="1393286"/>
                          <a:ext cx="2326141" cy="8763"/>
                        </a:xfrm>
                        <a:prstGeom prst="line">
                          <a:avLst/>
                        </a:prstGeom>
                      </a:spPr>
                      <a:style>
                        <a:lnRef idx="1">
                          <a:schemeClr val="accent1"/>
                        </a:lnRef>
                        <a:fillRef idx="0">
                          <a:schemeClr val="accent1"/>
                        </a:fillRef>
                        <a:effectRef idx="0">
                          <a:schemeClr val="accent1"/>
                        </a:effectRef>
                        <a:fontRef idx="minor">
                          <a:schemeClr val="tx1"/>
                        </a:fontRef>
                      </a:style>
                    </a:cxnSp>
                    <a:cxnSp>
                      <a:nvCxnSpPr>
                        <a:cNvPr id="160" name="直接连接符 159"/>
                        <a:cNvCxnSpPr/>
                      </a:nvCxnSpPr>
                      <a:spPr>
                        <a:xfrm>
                          <a:off x="1397453" y="438150"/>
                          <a:ext cx="17689" cy="2059239"/>
                        </a:xfrm>
                        <a:prstGeom prst="line">
                          <a:avLst/>
                        </a:prstGeom>
                      </a:spPr>
                      <a:style>
                        <a:lnRef idx="1">
                          <a:schemeClr val="accent1"/>
                        </a:lnRef>
                        <a:fillRef idx="0">
                          <a:schemeClr val="accent1"/>
                        </a:fillRef>
                        <a:effectRef idx="0">
                          <a:schemeClr val="accent1"/>
                        </a:effectRef>
                        <a:fontRef idx="minor">
                          <a:schemeClr val="tx1"/>
                        </a:fontRef>
                      </a:style>
                    </a:cxnSp>
                    <a:sp>
                      <a:nvSpPr>
                        <a:cNvPr id="161" name="TextBox 160"/>
                        <a:cNvSpPr txBox="1"/>
                      </a:nvSpPr>
                      <a:spPr>
                        <a:xfrm>
                          <a:off x="1512598" y="1165412"/>
                          <a:ext cx="237863" cy="243387"/>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1</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62" name="TextBox 161"/>
                        <a:cNvSpPr txBox="1"/>
                      </a:nvSpPr>
                      <a:spPr>
                        <a:xfrm>
                          <a:off x="1547958" y="815253"/>
                          <a:ext cx="237863" cy="243387"/>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2</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63" name="TextBox 162"/>
                        <a:cNvSpPr txBox="1"/>
                      </a:nvSpPr>
                      <a:spPr>
                        <a:xfrm>
                          <a:off x="1565658" y="447146"/>
                          <a:ext cx="237863" cy="243387"/>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3</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64" name="TextBox 163"/>
                        <a:cNvSpPr txBox="1"/>
                      </a:nvSpPr>
                      <a:spPr>
                        <a:xfrm>
                          <a:off x="1892714" y="1551656"/>
                          <a:ext cx="237863" cy="243387"/>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4</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65" name="TextBox 164"/>
                        <a:cNvSpPr txBox="1"/>
                      </a:nvSpPr>
                      <a:spPr>
                        <a:xfrm>
                          <a:off x="2316988" y="1569036"/>
                          <a:ext cx="237863" cy="243387"/>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5</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66" name="TextBox 165"/>
                        <a:cNvSpPr txBox="1"/>
                      </a:nvSpPr>
                      <a:spPr>
                        <a:xfrm>
                          <a:off x="1556871" y="1787419"/>
                          <a:ext cx="237863" cy="243387"/>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6</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67" name="TextBox 166"/>
                        <a:cNvSpPr txBox="1"/>
                      </a:nvSpPr>
                      <a:spPr>
                        <a:xfrm>
                          <a:off x="1601084" y="2216719"/>
                          <a:ext cx="237863" cy="243387"/>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7</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68" name="TextBox 167"/>
                        <a:cNvSpPr txBox="1"/>
                      </a:nvSpPr>
                      <a:spPr>
                        <a:xfrm>
                          <a:off x="707659" y="1551627"/>
                          <a:ext cx="237863" cy="243387"/>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8</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69" name="TextBox 168"/>
                        <a:cNvSpPr txBox="1"/>
                      </a:nvSpPr>
                      <a:spPr>
                        <a:xfrm>
                          <a:off x="292135" y="1534029"/>
                          <a:ext cx="237863" cy="243387"/>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altLang="zh-CN" sz="1100"/>
                              <a:t>9</a:t>
                            </a:r>
                            <a:endParaRPr lang="zh-CN" altLang="en-US" sz="1100"/>
                          </a:p>
                        </a:txBody>
                        <a:useSpRect/>
                      </a:txSp>
                      <a:style>
                        <a:lnRef idx="0">
                          <a:scrgbClr r="0" g="0" b="0"/>
                        </a:lnRef>
                        <a:fillRef idx="0">
                          <a:scrgbClr r="0" g="0" b="0"/>
                        </a:fillRef>
                        <a:effectRef idx="0">
                          <a:scrgbClr r="0" g="0" b="0"/>
                        </a:effectRef>
                        <a:fontRef idx="minor">
                          <a:schemeClr val="tx1"/>
                        </a:fontRef>
                      </a:style>
                    </a:sp>
                    <a:sp>
                      <a:nvSpPr>
                        <a:cNvPr id="170" name="矩形 169"/>
                        <a:cNvSpPr/>
                      </a:nvSpPr>
                      <a:spPr>
                        <a:xfrm>
                          <a:off x="1310460" y="2308426"/>
                          <a:ext cx="194795" cy="114105"/>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71" name="矩形 170"/>
                        <a:cNvSpPr/>
                      </a:nvSpPr>
                      <a:spPr>
                        <a:xfrm>
                          <a:off x="1310460" y="1834452"/>
                          <a:ext cx="194795" cy="114105"/>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72" name="矩形 171"/>
                        <a:cNvSpPr/>
                      </a:nvSpPr>
                      <a:spPr>
                        <a:xfrm>
                          <a:off x="1310460" y="1334147"/>
                          <a:ext cx="194795" cy="114105"/>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73" name="矩形 172"/>
                        <a:cNvSpPr/>
                      </a:nvSpPr>
                      <a:spPr>
                        <a:xfrm>
                          <a:off x="1301606" y="860174"/>
                          <a:ext cx="194795" cy="114105"/>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74" name="矩形 173"/>
                        <a:cNvSpPr/>
                      </a:nvSpPr>
                      <a:spPr>
                        <a:xfrm>
                          <a:off x="1319315" y="491528"/>
                          <a:ext cx="194795" cy="114105"/>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75" name="矩形 174"/>
                        <a:cNvSpPr/>
                      </a:nvSpPr>
                      <a:spPr>
                        <a:xfrm rot="10800000">
                          <a:off x="2395114" y="1320982"/>
                          <a:ext cx="115106" cy="193100"/>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76" name="矩形 175"/>
                        <a:cNvSpPr/>
                      </a:nvSpPr>
                      <a:spPr>
                        <a:xfrm>
                          <a:off x="1956825" y="1316593"/>
                          <a:ext cx="115106" cy="193100"/>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77" name="矩形 176"/>
                        <a:cNvSpPr/>
                      </a:nvSpPr>
                      <a:spPr>
                        <a:xfrm>
                          <a:off x="796910" y="1299038"/>
                          <a:ext cx="115106" cy="193100"/>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sp>
                      <a:nvSpPr>
                        <a:cNvPr id="178" name="矩形 177"/>
                        <a:cNvSpPr/>
                      </a:nvSpPr>
                      <a:spPr>
                        <a:xfrm>
                          <a:off x="345339" y="1290261"/>
                          <a:ext cx="115106" cy="193100"/>
                        </a:xfrm>
                        <a:prstGeom prst="rect">
                          <a:avLst/>
                        </a:prstGeom>
                        <a:ln w="6350"/>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pPr>
        <w:pStyle w:val="22"/>
        <w:numPr>
          <w:ilvl w:val="0"/>
          <w:numId w:val="19"/>
        </w:numPr>
        <w:ind w:firstLine="630" w:firstLineChars="300"/>
        <w:jc w:val="both"/>
        <w:rPr>
          <w:rFonts w:hint="eastAsia" w:ascii="黑体" w:hAnsi="黑体" w:eastAsia="黑体" w:cs="黑体"/>
        </w:rPr>
      </w:pPr>
      <w:r>
        <w:rPr>
          <w:rFonts w:hint="eastAsia" w:ascii="黑体" w:hAnsi="黑体" w:eastAsia="黑体" w:cs="黑体"/>
        </w:rPr>
        <w:t xml:space="preserve">6寸及以下硅片表面光泽度测试点 </w:t>
      </w:r>
      <w:r>
        <w:rPr>
          <w:rFonts w:hint="eastAsia"/>
        </w:rPr>
        <w:t xml:space="preserve">      </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黑体" w:hAnsi="黑体" w:eastAsia="黑体" w:cs="黑体"/>
        </w:rPr>
        <w:t>b</w:t>
      </w:r>
      <w:r>
        <w:rPr>
          <w:rFonts w:hint="eastAsia" w:ascii="黑体" w:hAnsi="黑体" w:eastAsia="黑体" w:cs="黑体"/>
          <w:lang w:val="en-US" w:eastAsia="zh-CN"/>
        </w:rPr>
        <w:t xml:space="preserve">) </w:t>
      </w:r>
      <w:r>
        <w:rPr>
          <w:rFonts w:hint="eastAsia" w:ascii="黑体" w:hAnsi="黑体" w:eastAsia="黑体" w:cs="黑体"/>
        </w:rPr>
        <w:t>6寸以上硅片表面光泽度测试点</w:t>
      </w:r>
    </w:p>
    <w:p>
      <w:pPr>
        <w:pStyle w:val="22"/>
        <w:ind w:left="0" w:leftChars="0" w:firstLine="0" w:firstLineChars="0"/>
        <w:jc w:val="center"/>
        <w:rPr>
          <w:rFonts w:ascii="黑体" w:hAnsi="黑体" w:eastAsia="黑体"/>
          <w:color w:val="000000" w:themeColor="text1"/>
        </w:rPr>
      </w:pPr>
      <w:r>
        <w:rPr>
          <w:rFonts w:hint="eastAsia" w:ascii="黑体" w:hAnsi="黑体" w:eastAsia="黑体" w:cs="黑体"/>
        </w:rPr>
        <w:t>图2</w:t>
      </w:r>
      <w:r>
        <w:rPr>
          <w:rFonts w:hint="eastAsia" w:ascii="黑体" w:hAnsi="黑体" w:eastAsia="黑体" w:cs="黑体"/>
          <w:lang w:val="en-US" w:eastAsia="zh-CN"/>
        </w:rPr>
        <w:t xml:space="preserve"> 硅片表面光泽度测试点示意图</w:t>
      </w:r>
    </w:p>
    <w:p>
      <w:pPr>
        <w:widowControl/>
        <w:jc w:val="left"/>
        <w:rPr>
          <w:rFonts w:ascii="宋体"/>
          <w:szCs w:val="20"/>
        </w:rPr>
      </w:pPr>
      <w:r>
        <w:rPr>
          <w:rFonts w:ascii="黑体" w:hAnsi="黑体" w:eastAsia="黑体"/>
          <w:color w:val="000000" w:themeColor="text1"/>
        </w:rPr>
        <w:t>1</w:t>
      </w:r>
      <w:r>
        <w:rPr>
          <w:rFonts w:hint="eastAsia" w:ascii="黑体" w:hAnsi="黑体" w:eastAsia="黑体"/>
          <w:color w:val="000000" w:themeColor="text1"/>
        </w:rPr>
        <w:t xml:space="preserve">0.3  </w:t>
      </w:r>
      <w:r>
        <w:rPr>
          <w:rFonts w:hint="eastAsia" w:ascii="宋体"/>
          <w:szCs w:val="20"/>
        </w:rPr>
        <w:t>在每组样品测量中应该保持相同的几何角度。</w:t>
      </w:r>
    </w:p>
    <w:p>
      <w:pPr>
        <w:pStyle w:val="48"/>
        <w:numPr>
          <w:ilvl w:val="0"/>
          <w:numId w:val="18"/>
        </w:numPr>
        <w:spacing w:before="312" w:after="312"/>
      </w:pPr>
      <w:r>
        <w:rPr>
          <w:rFonts w:hint="eastAsia"/>
        </w:rPr>
        <w:t>试验数据处理</w:t>
      </w:r>
    </w:p>
    <w:p>
      <w:pPr>
        <w:widowControl/>
        <w:numPr>
          <w:ilvl w:val="1"/>
          <w:numId w:val="18"/>
        </w:numPr>
        <w:ind w:left="630" w:leftChars="0" w:hanging="630" w:firstLineChars="0"/>
        <w:jc w:val="left"/>
        <w:rPr>
          <w:rFonts w:hint="eastAsia" w:ascii="宋体"/>
          <w:kern w:val="0"/>
          <w:szCs w:val="21"/>
        </w:rPr>
      </w:pPr>
      <w:r>
        <w:rPr>
          <w:rFonts w:hint="eastAsia" w:ascii="宋体"/>
          <w:kern w:val="0"/>
          <w:szCs w:val="21"/>
        </w:rPr>
        <w:t>表面光泽度</w:t>
      </w:r>
      <w:r>
        <w:rPr>
          <w:kern w:val="0"/>
          <w:szCs w:val="21"/>
        </w:rPr>
        <w:t>Gs（</w:t>
      </w:r>
      <w:r>
        <w:rPr>
          <w:i/>
          <w:iCs/>
          <w:kern w:val="0"/>
          <w:szCs w:val="21"/>
        </w:rPr>
        <w:t>θ</w:t>
      </w:r>
      <w:r>
        <w:rPr>
          <w:kern w:val="0"/>
          <w:szCs w:val="21"/>
        </w:rPr>
        <w:t>）</w:t>
      </w:r>
      <w:r>
        <w:rPr>
          <w:rFonts w:hint="eastAsia" w:ascii="宋体"/>
          <w:kern w:val="0"/>
          <w:szCs w:val="21"/>
        </w:rPr>
        <w:t>应按照下述公式（1）进行计算：</w:t>
      </w:r>
    </w:p>
    <w:p>
      <w:pPr>
        <w:widowControl/>
        <w:numPr>
          <w:ilvl w:val="0"/>
          <w:numId w:val="0"/>
        </w:numPr>
        <w:ind w:leftChars="0"/>
        <w:jc w:val="left"/>
        <w:rPr>
          <w:rFonts w:hint="eastAsia" w:ascii="宋体"/>
          <w:kern w:val="0"/>
          <w:szCs w:val="21"/>
        </w:rPr>
      </w:pPr>
    </w:p>
    <w:p>
      <w:pPr>
        <w:widowControl/>
        <w:numPr>
          <w:ilvl w:val="255"/>
          <w:numId w:val="0"/>
        </w:numPr>
        <w:jc w:val="right"/>
        <w:rPr>
          <w:rFonts w:hint="eastAsia"/>
          <w:color w:val="000000"/>
          <w:szCs w:val="21"/>
        </w:rPr>
      </w:pPr>
      <w:r>
        <w:rPr>
          <w:rFonts w:hint="eastAsia" w:ascii="宋体" w:hAnsi="宋体" w:cs="宋体"/>
          <w:color w:val="000000"/>
          <w:kern w:val="0"/>
          <w:position w:val="-30"/>
          <w:szCs w:val="21"/>
        </w:rPr>
        <w:object>
          <v:shape id="_x0000_i1025" o:spt="75" type="#_x0000_t75" style="height:33.75pt;width:99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hAnsi="宋体" w:cs="Malgun Gothic"/>
          <w:szCs w:val="21"/>
        </w:rPr>
        <w:t>…………………………………………</w:t>
      </w:r>
      <w:r>
        <w:rPr>
          <w:rFonts w:hint="eastAsia"/>
          <w:color w:val="000000"/>
          <w:szCs w:val="21"/>
        </w:rPr>
        <w:t>（1）</w:t>
      </w:r>
    </w:p>
    <w:p>
      <w:pPr>
        <w:widowControl/>
        <w:numPr>
          <w:ilvl w:val="255"/>
          <w:numId w:val="0"/>
        </w:numPr>
        <w:jc w:val="center"/>
        <w:rPr>
          <w:rFonts w:hint="eastAsia"/>
          <w:color w:val="000000"/>
          <w:szCs w:val="21"/>
        </w:rPr>
      </w:pPr>
    </w:p>
    <w:p>
      <w:pPr>
        <w:widowControl/>
        <w:ind w:firstLine="420" w:firstLineChars="200"/>
        <w:jc w:val="left"/>
        <w:rPr>
          <w:color w:val="000000"/>
          <w:kern w:val="0"/>
          <w:szCs w:val="21"/>
        </w:rPr>
      </w:pPr>
      <w:r>
        <w:rPr>
          <w:rFonts w:hint="eastAsia"/>
          <w:color w:val="000000"/>
          <w:kern w:val="0"/>
          <w:szCs w:val="21"/>
        </w:rPr>
        <w:t>式中：</w:t>
      </w:r>
    </w:p>
    <w:p>
      <w:pPr>
        <w:widowControl/>
        <w:ind w:firstLine="420" w:firstLineChars="200"/>
        <w:jc w:val="left"/>
        <w:rPr>
          <w:rFonts w:hint="eastAsia" w:eastAsia="宋体"/>
          <w:kern w:val="0"/>
          <w:szCs w:val="21"/>
          <w:lang w:eastAsia="zh-CN"/>
        </w:rPr>
      </w:pPr>
      <w:r>
        <w:rPr>
          <w:kern w:val="0"/>
          <w:szCs w:val="21"/>
        </w:rPr>
        <w:t>Gs（</w:t>
      </w:r>
      <w:r>
        <w:rPr>
          <w:i/>
          <w:iCs/>
          <w:kern w:val="0"/>
          <w:szCs w:val="21"/>
        </w:rPr>
        <w:t>θ</w:t>
      </w:r>
      <w:r>
        <w:rPr>
          <w:kern w:val="0"/>
          <w:szCs w:val="21"/>
        </w:rPr>
        <w:t>）</w:t>
      </w:r>
      <w:r>
        <w:rPr>
          <w:rFonts w:hint="eastAsia"/>
          <w:kern w:val="0"/>
          <w:szCs w:val="21"/>
          <w:lang w:val="en-US" w:eastAsia="zh-CN"/>
        </w:rPr>
        <w:t xml:space="preserve"> </w:t>
      </w:r>
      <w:r>
        <w:rPr>
          <w:rFonts w:hint="eastAsia"/>
          <w:kern w:val="0"/>
          <w:szCs w:val="21"/>
        </w:rPr>
        <w:t>——</w:t>
      </w:r>
      <w:r>
        <w:rPr>
          <w:rFonts w:hint="eastAsia"/>
          <w:kern w:val="0"/>
          <w:szCs w:val="21"/>
          <w:lang w:val="en-US" w:eastAsia="zh-CN"/>
        </w:rPr>
        <w:t xml:space="preserve"> </w:t>
      </w:r>
      <w:r>
        <w:rPr>
          <w:rFonts w:hint="eastAsia"/>
          <w:kern w:val="0"/>
          <w:szCs w:val="21"/>
        </w:rPr>
        <w:t>光泽度，单</w:t>
      </w:r>
      <w:r>
        <w:rPr>
          <w:rFonts w:hint="eastAsia" w:ascii="宋体" w:hAnsi="宋体" w:cs="宋体"/>
          <w:kern w:val="0"/>
          <w:szCs w:val="21"/>
        </w:rPr>
        <w:t>位GU</w:t>
      </w:r>
      <w:r>
        <w:rPr>
          <w:rFonts w:hint="eastAsia" w:ascii="宋体" w:hAnsi="宋体" w:cs="宋体"/>
          <w:kern w:val="0"/>
          <w:szCs w:val="21"/>
          <w:lang w:eastAsia="zh-CN"/>
        </w:rPr>
        <w:t>；</w:t>
      </w:r>
    </w:p>
    <w:p>
      <w:pPr>
        <w:widowControl/>
        <w:ind w:firstLine="420" w:firstLineChars="200"/>
        <w:jc w:val="left"/>
        <w:rPr>
          <w:rFonts w:hint="eastAsia" w:eastAsia="宋体"/>
          <w:kern w:val="0"/>
          <w:szCs w:val="21"/>
          <w:lang w:eastAsia="zh-CN"/>
        </w:rPr>
      </w:pPr>
      <w:r>
        <w:rPr>
          <w:i/>
          <w:iCs/>
          <w:kern w:val="0"/>
          <w:szCs w:val="21"/>
        </w:rPr>
        <w:t>Θ</w:t>
      </w:r>
      <w:r>
        <w:rPr>
          <w:rFonts w:hint="eastAsia"/>
          <w:i/>
          <w:iCs/>
          <w:kern w:val="0"/>
          <w:szCs w:val="21"/>
          <w:lang w:val="en-US" w:eastAsia="zh-CN"/>
        </w:rPr>
        <w:t xml:space="preserve">       </w:t>
      </w:r>
      <w:r>
        <w:rPr>
          <w:rFonts w:hint="eastAsia"/>
          <w:kern w:val="0"/>
          <w:szCs w:val="21"/>
        </w:rPr>
        <w:t>——</w:t>
      </w:r>
      <w:r>
        <w:rPr>
          <w:rFonts w:hint="eastAsia"/>
          <w:kern w:val="0"/>
          <w:szCs w:val="21"/>
          <w:lang w:val="en-US" w:eastAsia="zh-CN"/>
        </w:rPr>
        <w:t xml:space="preserve"> </w:t>
      </w:r>
      <w:r>
        <w:rPr>
          <w:rFonts w:hint="eastAsia"/>
          <w:kern w:val="0"/>
          <w:szCs w:val="21"/>
        </w:rPr>
        <w:t>入射角</w:t>
      </w:r>
      <w:r>
        <w:rPr>
          <w:rFonts w:hint="eastAsia"/>
          <w:kern w:val="0"/>
          <w:szCs w:val="21"/>
          <w:lang w:eastAsia="zh-CN"/>
        </w:rPr>
        <w:t>；</w:t>
      </w:r>
    </w:p>
    <w:p>
      <w:pPr>
        <w:widowControl/>
        <w:ind w:firstLine="420" w:firstLineChars="200"/>
        <w:jc w:val="both"/>
        <w:rPr>
          <w:rFonts w:hint="eastAsia" w:eastAsia="宋体"/>
          <w:szCs w:val="21"/>
          <w:lang w:eastAsia="zh-CN"/>
        </w:rPr>
      </w:pPr>
      <w:r>
        <w:rPr>
          <w:color w:val="000000"/>
          <w:kern w:val="0"/>
          <w:szCs w:val="21"/>
        </w:rPr>
        <w:t>Φ</w:t>
      </w:r>
      <w:r>
        <w:rPr>
          <w:rFonts w:hint="eastAsia"/>
          <w:color w:val="000000"/>
          <w:kern w:val="0"/>
          <w:szCs w:val="21"/>
          <w:vertAlign w:val="subscript"/>
        </w:rPr>
        <w:t>S</w:t>
      </w:r>
      <w:r>
        <w:rPr>
          <w:rFonts w:hint="eastAsia"/>
          <w:color w:val="000000"/>
          <w:kern w:val="0"/>
          <w:szCs w:val="21"/>
          <w:vertAlign w:val="subscript"/>
          <w:lang w:val="en-US" w:eastAsia="zh-CN"/>
        </w:rPr>
        <w:t xml:space="preserve">          </w:t>
      </w:r>
      <w:r>
        <w:rPr>
          <w:rFonts w:hint="eastAsia"/>
          <w:color w:val="000000"/>
          <w:kern w:val="0"/>
          <w:szCs w:val="21"/>
        </w:rPr>
        <w:t>——</w:t>
      </w:r>
      <w:r>
        <w:rPr>
          <w:rFonts w:hint="eastAsia"/>
          <w:color w:val="000000"/>
          <w:kern w:val="0"/>
          <w:szCs w:val="21"/>
          <w:lang w:val="en-US" w:eastAsia="zh-CN"/>
        </w:rPr>
        <w:t xml:space="preserve"> </w:t>
      </w:r>
      <w:r>
        <w:rPr>
          <w:rFonts w:hint="eastAsia" w:ascii="宋体" w:hAnsi="宋体" w:cs="宋体"/>
          <w:color w:val="000000"/>
          <w:kern w:val="0"/>
          <w:szCs w:val="21"/>
        </w:rPr>
        <w:t xml:space="preserve">相对于设定入射角 </w:t>
      </w:r>
      <w:r>
        <w:rPr>
          <w:i/>
          <w:iCs/>
          <w:color w:val="000000"/>
          <w:kern w:val="0"/>
          <w:szCs w:val="21"/>
        </w:rPr>
        <w:t>θ</w:t>
      </w:r>
      <w:r>
        <w:rPr>
          <w:rFonts w:hint="eastAsia" w:ascii="宋体" w:hAnsi="宋体" w:cs="宋体"/>
          <w:color w:val="000000"/>
          <w:kern w:val="0"/>
          <w:szCs w:val="21"/>
        </w:rPr>
        <w:t>的样品表面反射光通量</w:t>
      </w:r>
      <w:r>
        <w:rPr>
          <w:rFonts w:hint="eastAsia" w:ascii="宋体" w:hAnsi="宋体" w:cs="宋体"/>
          <w:color w:val="000000"/>
          <w:kern w:val="0"/>
          <w:szCs w:val="21"/>
          <w:lang w:eastAsia="zh-CN"/>
        </w:rPr>
        <w:t>；</w:t>
      </w:r>
    </w:p>
    <w:p>
      <w:pPr>
        <w:widowControl/>
        <w:ind w:firstLine="420" w:firstLineChars="200"/>
        <w:jc w:val="left"/>
        <w:rPr>
          <w:rFonts w:hint="eastAsia" w:eastAsia="宋体"/>
          <w:szCs w:val="21"/>
          <w:lang w:eastAsia="zh-CN"/>
        </w:rPr>
      </w:pPr>
      <w:r>
        <w:rPr>
          <w:color w:val="000000"/>
          <w:kern w:val="0"/>
          <w:szCs w:val="21"/>
        </w:rPr>
        <w:t>Φ</w:t>
      </w:r>
      <w:r>
        <w:rPr>
          <w:rFonts w:hint="eastAsia"/>
          <w:color w:val="000000"/>
          <w:kern w:val="0"/>
          <w:szCs w:val="21"/>
          <w:vertAlign w:val="subscript"/>
        </w:rPr>
        <w:t>OS</w:t>
      </w:r>
      <w:r>
        <w:rPr>
          <w:rFonts w:hint="eastAsia"/>
          <w:color w:val="000000"/>
          <w:kern w:val="0"/>
          <w:szCs w:val="21"/>
          <w:vertAlign w:val="subscript"/>
          <w:lang w:val="en-US" w:eastAsia="zh-CN"/>
        </w:rPr>
        <w:t xml:space="preserve">        </w:t>
      </w:r>
      <w:r>
        <w:rPr>
          <w:rFonts w:hint="eastAsia"/>
          <w:color w:val="000000"/>
          <w:kern w:val="0"/>
          <w:szCs w:val="21"/>
        </w:rPr>
        <w:t>——</w:t>
      </w:r>
      <w:r>
        <w:rPr>
          <w:rFonts w:hint="eastAsia"/>
          <w:color w:val="000000"/>
          <w:kern w:val="0"/>
          <w:szCs w:val="21"/>
          <w:lang w:val="en-US" w:eastAsia="zh-CN"/>
        </w:rPr>
        <w:t xml:space="preserve"> </w:t>
      </w:r>
      <w:r>
        <w:rPr>
          <w:rFonts w:hint="eastAsia" w:ascii="宋体" w:hAnsi="宋体" w:cs="宋体"/>
          <w:color w:val="000000"/>
          <w:kern w:val="0"/>
          <w:szCs w:val="21"/>
        </w:rPr>
        <w:t xml:space="preserve">相对于设定入射角 </w:t>
      </w:r>
      <w:r>
        <w:rPr>
          <w:i/>
          <w:iCs/>
          <w:color w:val="000000"/>
          <w:kern w:val="0"/>
          <w:szCs w:val="21"/>
        </w:rPr>
        <w:t>θ</w:t>
      </w:r>
      <w:r>
        <w:rPr>
          <w:rFonts w:hint="eastAsia" w:ascii="宋体" w:hAnsi="宋体" w:cs="宋体"/>
          <w:color w:val="000000"/>
          <w:kern w:val="0"/>
          <w:szCs w:val="21"/>
        </w:rPr>
        <w:t>的标准板表面反射光通量</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color w:val="000000"/>
          <w:kern w:val="0"/>
          <w:szCs w:val="21"/>
        </w:rPr>
        <w:t>G</w:t>
      </w:r>
      <w:r>
        <w:rPr>
          <w:rFonts w:hint="eastAsia"/>
          <w:color w:val="000000"/>
          <w:kern w:val="0"/>
          <w:szCs w:val="21"/>
          <w:vertAlign w:val="subscript"/>
        </w:rPr>
        <w:t>OS</w:t>
      </w:r>
      <w:r>
        <w:rPr>
          <w:rFonts w:hint="eastAsia" w:ascii="宋体" w:hAnsi="宋体" w:cs="宋体"/>
          <w:color w:val="000000"/>
          <w:kern w:val="0"/>
          <w:szCs w:val="21"/>
        </w:rPr>
        <w:t>（</w:t>
      </w:r>
      <w:r>
        <w:rPr>
          <w:i/>
          <w:iCs/>
          <w:color w:val="000000"/>
          <w:kern w:val="0"/>
          <w:szCs w:val="21"/>
        </w:rPr>
        <w:t>θ</w:t>
      </w:r>
      <w:r>
        <w:rPr>
          <w:rFonts w:hint="eastAsia" w:ascii="宋体" w:hAnsi="宋体" w:cs="宋体"/>
          <w:color w:val="000000"/>
          <w:kern w:val="0"/>
          <w:szCs w:val="21"/>
        </w:rPr>
        <w:t>）——</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所采用的标准板表面光泽度，单位GU</w:t>
      </w:r>
      <w:r>
        <w:rPr>
          <w:rFonts w:hint="eastAsia" w:ascii="宋体" w:hAnsi="宋体" w:cs="宋体"/>
          <w:color w:val="000000"/>
          <w:kern w:val="0"/>
          <w:szCs w:val="21"/>
          <w:lang w:eastAsia="zh-CN"/>
        </w:rPr>
        <w:t>。</w:t>
      </w:r>
    </w:p>
    <w:p>
      <w:pPr>
        <w:widowControl/>
        <w:ind w:firstLine="420" w:firstLineChars="200"/>
        <w:jc w:val="left"/>
        <w:rPr>
          <w:rFonts w:ascii="宋体" w:hAnsi="宋体" w:cs="宋体"/>
          <w:color w:val="000000"/>
          <w:kern w:val="0"/>
          <w:szCs w:val="21"/>
        </w:rPr>
      </w:pPr>
    </w:p>
    <w:p>
      <w:pPr>
        <w:widowControl/>
        <w:jc w:val="left"/>
        <w:rPr>
          <w:rFonts w:ascii="宋体" w:hAnsi="宋体" w:cs="宋体"/>
          <w:color w:val="000000"/>
          <w:kern w:val="0"/>
          <w:szCs w:val="21"/>
        </w:rPr>
      </w:pPr>
      <w:r>
        <w:rPr>
          <w:rFonts w:hint="eastAsia" w:ascii="宋体" w:hAnsi="宋体" w:cs="宋体"/>
          <w:color w:val="000000"/>
          <w:kern w:val="0"/>
          <w:szCs w:val="21"/>
        </w:rPr>
        <w:t>11.2 标准板表面光泽度G</w:t>
      </w:r>
      <w:r>
        <w:rPr>
          <w:rFonts w:hint="eastAsia" w:ascii="宋体" w:hAnsi="宋体" w:cs="宋体"/>
          <w:color w:val="000000"/>
          <w:kern w:val="0"/>
          <w:szCs w:val="21"/>
          <w:vertAlign w:val="subscript"/>
        </w:rPr>
        <w:t>OS</w:t>
      </w:r>
      <w:r>
        <w:rPr>
          <w:rFonts w:hint="eastAsia" w:ascii="宋体" w:hAnsi="宋体" w:cs="宋体"/>
          <w:color w:val="000000"/>
          <w:kern w:val="0"/>
          <w:szCs w:val="21"/>
        </w:rPr>
        <w:t>（</w:t>
      </w:r>
      <w:r>
        <w:rPr>
          <w:i/>
          <w:iCs/>
          <w:color w:val="000000"/>
          <w:kern w:val="0"/>
          <w:szCs w:val="21"/>
        </w:rPr>
        <w:t>θ</w:t>
      </w:r>
      <w:r>
        <w:rPr>
          <w:rFonts w:hint="eastAsia" w:ascii="宋体" w:hAnsi="宋体" w:cs="宋体"/>
          <w:color w:val="000000"/>
          <w:kern w:val="0"/>
          <w:szCs w:val="21"/>
        </w:rPr>
        <w:t>）：</w:t>
      </w:r>
      <w:r>
        <w:rPr>
          <w:rFonts w:hint="eastAsia" w:ascii="宋体" w:hAnsi="宋体" w:cs="宋体"/>
          <w:szCs w:val="18"/>
        </w:rPr>
        <w:t>波长587.6</w:t>
      </w:r>
      <w:r>
        <w:rPr>
          <w:rFonts w:hint="eastAsia" w:ascii="宋体" w:hAnsi="宋体" w:cs="宋体"/>
          <w:szCs w:val="18"/>
          <w:vertAlign w:val="superscript"/>
          <w:lang w:val="en-US" w:eastAsia="zh-CN"/>
        </w:rPr>
        <w:t xml:space="preserve"> </w:t>
      </w:r>
      <w:r>
        <w:rPr>
          <w:rFonts w:hint="eastAsia" w:ascii="宋体" w:hAnsi="宋体" w:cs="宋体"/>
          <w:szCs w:val="18"/>
        </w:rPr>
        <w:t>nm单色光测量时折射率n=1.567的</w:t>
      </w:r>
      <w:r>
        <w:rPr>
          <w:rFonts w:hint="eastAsia" w:ascii="宋体" w:hAnsi="宋体" w:cs="宋体"/>
          <w:color w:val="000000"/>
        </w:rPr>
        <w:t>完善抛光黑玻璃，其光泽度值规定为100，不同折射率的抛光黑玻璃在以20°、60°、85°入射角给出的光泽度值见表1。</w:t>
      </w:r>
    </w:p>
    <w:p>
      <w:pPr>
        <w:pStyle w:val="22"/>
        <w:tabs>
          <w:tab w:val="left" w:pos="1198"/>
          <w:tab w:val="clear" w:pos="4201"/>
        </w:tabs>
        <w:ind w:firstLine="0" w:firstLineChars="0"/>
        <w:jc w:val="right"/>
        <w:rPr>
          <w:rFonts w:hint="default" w:ascii="黑体" w:hAnsi="黑体" w:eastAsia="黑体" w:cs="黑体"/>
          <w:lang w:val="en-US" w:eastAsia="zh-CN"/>
        </w:rPr>
      </w:pPr>
      <w:r>
        <w:rPr>
          <w:rFonts w:hint="eastAsia" w:ascii="黑体" w:hAnsi="黑体" w:eastAsia="黑体" w:cs="黑体"/>
        </w:rPr>
        <w:t>表1  抛光黑玻璃光泽度值</w:t>
      </w:r>
      <w:r>
        <w:rPr>
          <w:rFonts w:hint="eastAsia" w:ascii="黑体" w:hAnsi="黑体" w:eastAsia="黑体" w:cs="黑体"/>
          <w:lang w:val="en-US" w:eastAsia="zh-CN"/>
        </w:rPr>
        <w:t xml:space="preserve">                         </w:t>
      </w:r>
      <w:r>
        <w:rPr>
          <w:rFonts w:hint="eastAsia" w:asciiTheme="majorEastAsia" w:hAnsiTheme="majorEastAsia" w:eastAsiaTheme="majorEastAsia" w:cstheme="majorEastAsia"/>
          <w:b w:val="0"/>
          <w:bCs w:val="0"/>
          <w:sz w:val="18"/>
          <w:szCs w:val="18"/>
          <w:lang w:val="en-US" w:eastAsia="zh-CN"/>
        </w:rPr>
        <w:t>单位为GU</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2"/>
        <w:gridCol w:w="2389"/>
        <w:gridCol w:w="4"/>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92" w:type="dxa"/>
            <w:vMerge w:val="restart"/>
            <w:tcBorders>
              <w:top w:val="single" w:color="auto" w:sz="8" w:space="0"/>
              <w:left w:val="single" w:color="auto" w:sz="8" w:space="0"/>
            </w:tcBorders>
            <w:vAlign w:val="top"/>
          </w:tcPr>
          <w:p>
            <w:pPr>
              <w:pStyle w:val="22"/>
              <w:tabs>
                <w:tab w:val="clear" w:pos="4201"/>
              </w:tabs>
              <w:ind w:firstLine="0" w:firstLineChars="0"/>
              <w:jc w:val="center"/>
              <w:rPr>
                <w:rFonts w:hint="eastAsia" w:ascii="宋体" w:hAnsi="宋体" w:eastAsia="宋体" w:cs="宋体"/>
                <w:sz w:val="18"/>
                <w:szCs w:val="18"/>
              </w:rPr>
            </w:pPr>
            <w:r>
              <w:rPr>
                <w:rFonts w:hint="eastAsia" w:ascii="宋体" w:hAnsi="宋体" w:eastAsia="宋体" w:cs="宋体"/>
                <w:sz w:val="18"/>
                <w:szCs w:val="18"/>
              </w:rPr>
              <w:t>折射率</w:t>
            </w:r>
          </w:p>
          <w:p>
            <w:pPr>
              <w:pStyle w:val="22"/>
              <w:tabs>
                <w:tab w:val="clear" w:pos="4201"/>
              </w:tabs>
              <w:ind w:firstLine="0" w:firstLineChars="0"/>
              <w:jc w:val="center"/>
              <w:rPr>
                <w:rFonts w:hint="eastAsia" w:ascii="黑体" w:hAnsi="黑体" w:eastAsia="黑体" w:cs="黑体"/>
                <w:szCs w:val="18"/>
                <w:vertAlign w:val="baseline"/>
              </w:rPr>
            </w:pPr>
            <w:r>
              <w:rPr>
                <w:rFonts w:hint="eastAsia" w:ascii="宋体" w:hAnsi="宋体" w:eastAsia="宋体" w:cs="宋体"/>
                <w:sz w:val="18"/>
                <w:szCs w:val="18"/>
              </w:rPr>
              <w:t>n</w:t>
            </w:r>
          </w:p>
        </w:tc>
        <w:tc>
          <w:tcPr>
            <w:tcW w:w="7178" w:type="dxa"/>
            <w:gridSpan w:val="4"/>
            <w:tcBorders>
              <w:top w:val="single" w:color="auto" w:sz="8" w:space="0"/>
              <w:right w:val="single" w:color="auto" w:sz="8" w:space="0"/>
            </w:tcBorders>
            <w:vAlign w:val="top"/>
          </w:tcPr>
          <w:p>
            <w:pPr>
              <w:pStyle w:val="22"/>
              <w:tabs>
                <w:tab w:val="left" w:pos="1198"/>
                <w:tab w:val="clear" w:pos="4201"/>
              </w:tabs>
              <w:ind w:firstLine="360" w:firstLineChars="200"/>
              <w:jc w:val="center"/>
              <w:rPr>
                <w:rFonts w:hint="eastAsia" w:ascii="黑体" w:hAnsi="黑体" w:eastAsia="黑体" w:cs="黑体"/>
                <w:szCs w:val="18"/>
                <w:vertAlign w:val="baseline"/>
              </w:rPr>
            </w:pPr>
            <w:r>
              <w:rPr>
                <w:rFonts w:hint="eastAsia" w:ascii="宋体" w:hAnsi="宋体" w:eastAsia="宋体" w:cs="宋体"/>
                <w:sz w:val="18"/>
                <w:szCs w:val="18"/>
              </w:rPr>
              <w:t>入射角（</w:t>
            </w:r>
            <w:r>
              <w:rPr>
                <w:rFonts w:hint="eastAsia" w:ascii="宋体" w:hAnsi="宋体" w:eastAsia="宋体" w:cs="宋体"/>
                <w:i/>
                <w:iCs/>
                <w:color w:val="000000"/>
                <w:sz w:val="18"/>
                <w:szCs w:val="18"/>
              </w:rPr>
              <w:t>θ</w:t>
            </w: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92" w:type="dxa"/>
            <w:vMerge w:val="continue"/>
            <w:tcBorders>
              <w:left w:val="single" w:color="auto" w:sz="8" w:space="0"/>
            </w:tcBorders>
            <w:vAlign w:val="top"/>
          </w:tcPr>
          <w:p>
            <w:pPr>
              <w:pStyle w:val="22"/>
              <w:tabs>
                <w:tab w:val="left" w:pos="1198"/>
                <w:tab w:val="clear" w:pos="4201"/>
              </w:tabs>
              <w:jc w:val="center"/>
              <w:rPr>
                <w:rFonts w:hint="eastAsia" w:ascii="黑体" w:hAnsi="黑体" w:eastAsia="黑体" w:cs="黑体"/>
                <w:szCs w:val="18"/>
                <w:vertAlign w:val="baseline"/>
              </w:rPr>
            </w:pPr>
          </w:p>
        </w:tc>
        <w:tc>
          <w:tcPr>
            <w:tcW w:w="2392" w:type="dxa"/>
            <w:vAlign w:val="top"/>
          </w:tcPr>
          <w:p>
            <w:pPr>
              <w:pStyle w:val="22"/>
              <w:tabs>
                <w:tab w:val="clear" w:pos="4201"/>
              </w:tabs>
              <w:ind w:firstLine="0" w:firstLineChars="0"/>
              <w:jc w:val="center"/>
              <w:rPr>
                <w:rFonts w:hint="eastAsia" w:ascii="黑体" w:hAnsi="黑体" w:eastAsia="黑体" w:cs="黑体"/>
                <w:szCs w:val="18"/>
                <w:vertAlign w:val="baseline"/>
              </w:rPr>
            </w:pPr>
            <w:r>
              <w:rPr>
                <w:rFonts w:hint="eastAsia" w:ascii="宋体" w:hAnsi="宋体" w:eastAsia="宋体" w:cs="宋体"/>
                <w:sz w:val="18"/>
                <w:szCs w:val="18"/>
              </w:rPr>
              <w:t>20°</w:t>
            </w:r>
          </w:p>
        </w:tc>
        <w:tc>
          <w:tcPr>
            <w:tcW w:w="2389" w:type="dxa"/>
            <w:vAlign w:val="top"/>
          </w:tcPr>
          <w:p>
            <w:pPr>
              <w:pStyle w:val="22"/>
              <w:tabs>
                <w:tab w:val="left" w:pos="1198"/>
                <w:tab w:val="clear" w:pos="4201"/>
              </w:tabs>
              <w:ind w:firstLine="0" w:firstLineChars="0"/>
              <w:jc w:val="center"/>
              <w:rPr>
                <w:rFonts w:hint="eastAsia" w:ascii="黑体" w:hAnsi="黑体" w:eastAsia="黑体" w:cs="黑体"/>
                <w:szCs w:val="18"/>
                <w:vertAlign w:val="baseline"/>
              </w:rPr>
            </w:pPr>
            <w:r>
              <w:rPr>
                <w:rFonts w:hint="eastAsia" w:ascii="宋体" w:hAnsi="宋体" w:eastAsia="宋体" w:cs="宋体"/>
                <w:sz w:val="18"/>
                <w:szCs w:val="18"/>
              </w:rPr>
              <w:t>60°</w:t>
            </w:r>
          </w:p>
        </w:tc>
        <w:tc>
          <w:tcPr>
            <w:tcW w:w="2397" w:type="dxa"/>
            <w:gridSpan w:val="2"/>
            <w:tcBorders>
              <w:right w:val="single" w:color="auto" w:sz="8" w:space="0"/>
            </w:tcBorders>
            <w:vAlign w:val="top"/>
          </w:tcPr>
          <w:p>
            <w:pPr>
              <w:pStyle w:val="22"/>
              <w:tabs>
                <w:tab w:val="left" w:pos="1198"/>
                <w:tab w:val="clear" w:pos="4201"/>
              </w:tabs>
              <w:ind w:firstLine="0" w:firstLineChars="0"/>
              <w:jc w:val="center"/>
              <w:rPr>
                <w:rFonts w:hint="eastAsia" w:ascii="黑体" w:hAnsi="黑体" w:eastAsia="黑体" w:cs="黑体"/>
                <w:szCs w:val="18"/>
                <w:vertAlign w:val="baseline"/>
              </w:rPr>
            </w:pPr>
            <w:r>
              <w:rPr>
                <w:rFonts w:hint="eastAsia" w:ascii="宋体" w:hAnsi="宋体" w:eastAsia="宋体" w:cs="宋体"/>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57</w:t>
            </w:r>
          </w:p>
        </w:tc>
        <w:tc>
          <w:tcPr>
            <w:tcW w:w="2393" w:type="dxa"/>
            <w:gridSpan w:val="2"/>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71.9</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1.41</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59.4</w:t>
            </w:r>
          </w:p>
        </w:tc>
        <w:tc>
          <w:tcPr>
            <w:tcW w:w="2393" w:type="dxa"/>
            <w:gridSpan w:val="2"/>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73.7</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1.42</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61.8</w:t>
            </w:r>
          </w:p>
        </w:tc>
        <w:tc>
          <w:tcPr>
            <w:tcW w:w="2393" w:type="dxa"/>
            <w:gridSpan w:val="2"/>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75.5</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1.43</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64.3</w:t>
            </w:r>
          </w:p>
        </w:tc>
        <w:tc>
          <w:tcPr>
            <w:tcW w:w="2393" w:type="dxa"/>
            <w:gridSpan w:val="2"/>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77.2</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1.44</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66.7</w:t>
            </w:r>
          </w:p>
        </w:tc>
        <w:tc>
          <w:tcPr>
            <w:tcW w:w="2393" w:type="dxa"/>
            <w:gridSpan w:val="2"/>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79</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1.45</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69.2</w:t>
            </w:r>
          </w:p>
        </w:tc>
        <w:tc>
          <w:tcPr>
            <w:tcW w:w="2393" w:type="dxa"/>
            <w:gridSpan w:val="2"/>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80.7</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1.46</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71.8</w:t>
            </w:r>
          </w:p>
        </w:tc>
        <w:tc>
          <w:tcPr>
            <w:tcW w:w="2393" w:type="dxa"/>
            <w:gridSpan w:val="2"/>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82.4</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1.47</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74.3</w:t>
            </w:r>
          </w:p>
        </w:tc>
        <w:tc>
          <w:tcPr>
            <w:tcW w:w="2393" w:type="dxa"/>
            <w:gridSpan w:val="2"/>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84.1</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1.48</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76.9</w:t>
            </w:r>
          </w:p>
        </w:tc>
        <w:tc>
          <w:tcPr>
            <w:tcW w:w="2393" w:type="dxa"/>
            <w:gridSpan w:val="2"/>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85.8</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1.49</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79.5</w:t>
            </w:r>
          </w:p>
        </w:tc>
        <w:tc>
          <w:tcPr>
            <w:tcW w:w="2393" w:type="dxa"/>
            <w:gridSpan w:val="2"/>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87.5</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82</w:t>
            </w:r>
          </w:p>
        </w:tc>
        <w:tc>
          <w:tcPr>
            <w:tcW w:w="2393" w:type="dxa"/>
            <w:gridSpan w:val="2"/>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89.1</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1.51</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84.7</w:t>
            </w:r>
          </w:p>
        </w:tc>
        <w:tc>
          <w:tcPr>
            <w:tcW w:w="2393" w:type="dxa"/>
            <w:gridSpan w:val="2"/>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90.8</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1.52</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87.3</w:t>
            </w:r>
          </w:p>
        </w:tc>
        <w:tc>
          <w:tcPr>
            <w:tcW w:w="2393" w:type="dxa"/>
            <w:gridSpan w:val="2"/>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92.4</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1.53</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90</w:t>
            </w:r>
          </w:p>
        </w:tc>
        <w:tc>
          <w:tcPr>
            <w:tcW w:w="2393" w:type="dxa"/>
            <w:gridSpan w:val="2"/>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94.1</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1.54</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92.7</w:t>
            </w:r>
          </w:p>
        </w:tc>
        <w:tc>
          <w:tcPr>
            <w:tcW w:w="2393" w:type="dxa"/>
            <w:gridSpan w:val="2"/>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95.7</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1.55</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95.4</w:t>
            </w:r>
          </w:p>
        </w:tc>
        <w:tc>
          <w:tcPr>
            <w:tcW w:w="2393" w:type="dxa"/>
            <w:gridSpan w:val="2"/>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97.3</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1.56</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98.1</w:t>
            </w:r>
          </w:p>
        </w:tc>
        <w:tc>
          <w:tcPr>
            <w:tcW w:w="2393" w:type="dxa"/>
            <w:gridSpan w:val="2"/>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98.9</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1.567</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2393" w:type="dxa"/>
            <w:gridSpan w:val="2"/>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1.57</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100.8</w:t>
            </w:r>
          </w:p>
        </w:tc>
        <w:tc>
          <w:tcPr>
            <w:tcW w:w="2393" w:type="dxa"/>
            <w:gridSpan w:val="2"/>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100.5</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r>
    </w:tbl>
    <w:p>
      <w:pPr>
        <w:rPr>
          <w:rFonts w:hint="eastAsia" w:ascii="黑体" w:hAnsi="黑体" w:eastAsia="黑体" w:cs="黑体"/>
          <w:kern w:val="0"/>
          <w:sz w:val="21"/>
          <w:szCs w:val="20"/>
          <w:lang w:val="en-US" w:eastAsia="zh-CN" w:bidi="ar-SA"/>
        </w:rPr>
      </w:pPr>
    </w:p>
    <w:p>
      <w:pPr>
        <w:rPr>
          <w:rFonts w:hint="default" w:ascii="黑体" w:hAnsi="黑体" w:eastAsia="黑体" w:cs="黑体"/>
          <w:kern w:val="0"/>
          <w:sz w:val="21"/>
          <w:szCs w:val="20"/>
          <w:lang w:val="en-US" w:eastAsia="zh-CN" w:bidi="ar-SA"/>
        </w:rPr>
      </w:pPr>
      <w:r>
        <w:rPr>
          <w:rFonts w:hint="eastAsia" w:ascii="黑体" w:hAnsi="黑体" w:eastAsia="黑体" w:cs="黑体"/>
          <w:kern w:val="0"/>
          <w:sz w:val="21"/>
          <w:szCs w:val="20"/>
          <w:lang w:val="en-US" w:eastAsia="zh-CN" w:bidi="ar-SA"/>
        </w:rPr>
        <w:t>续表1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2"/>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Merge w:val="restart"/>
            <w:tcBorders>
              <w:left w:val="single" w:color="auto" w:sz="8" w:space="0"/>
            </w:tcBorders>
            <w:vAlign w:val="top"/>
          </w:tcPr>
          <w:p>
            <w:pPr>
              <w:pStyle w:val="22"/>
              <w:tabs>
                <w:tab w:val="clear" w:pos="4201"/>
              </w:tabs>
              <w:ind w:firstLine="0" w:firstLineChars="0"/>
              <w:jc w:val="center"/>
              <w:rPr>
                <w:rFonts w:hint="eastAsia" w:ascii="宋体" w:hAnsi="宋体" w:eastAsia="宋体" w:cs="宋体"/>
                <w:sz w:val="18"/>
                <w:szCs w:val="18"/>
              </w:rPr>
            </w:pPr>
            <w:r>
              <w:rPr>
                <w:rFonts w:hint="eastAsia" w:ascii="宋体" w:hAnsi="宋体" w:eastAsia="宋体" w:cs="宋体"/>
                <w:sz w:val="18"/>
                <w:szCs w:val="18"/>
              </w:rPr>
              <w:t>折射率</w:t>
            </w:r>
          </w:p>
          <w:p>
            <w:pPr>
              <w:pStyle w:val="22"/>
              <w:tabs>
                <w:tab w:val="clear" w:pos="4201"/>
              </w:tabs>
              <w:ind w:firstLine="0" w:firstLineChars="0"/>
              <w:jc w:val="center"/>
              <w:rPr>
                <w:rFonts w:hint="eastAsia" w:ascii="黑体" w:hAnsi="黑体" w:eastAsia="黑体" w:cs="黑体"/>
                <w:sz w:val="21"/>
                <w:szCs w:val="18"/>
                <w:vertAlign w:val="baseline"/>
                <w:lang w:val="en-US" w:eastAsia="zh-CN" w:bidi="ar-SA"/>
              </w:rPr>
            </w:pPr>
            <w:r>
              <w:rPr>
                <w:rFonts w:hint="eastAsia" w:ascii="宋体" w:hAnsi="宋体" w:eastAsia="宋体" w:cs="宋体"/>
                <w:sz w:val="18"/>
                <w:szCs w:val="18"/>
              </w:rPr>
              <w:t>n</w:t>
            </w:r>
          </w:p>
        </w:tc>
        <w:tc>
          <w:tcPr>
            <w:tcW w:w="7178" w:type="dxa"/>
            <w:gridSpan w:val="3"/>
            <w:tcBorders>
              <w:bottom w:val="single" w:color="auto" w:sz="8" w:space="0"/>
              <w:right w:val="single" w:color="auto" w:sz="8" w:space="0"/>
            </w:tcBorders>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18"/>
                <w:szCs w:val="18"/>
              </w:rPr>
              <w:t>入射角（</w:t>
            </w:r>
            <w:r>
              <w:rPr>
                <w:rFonts w:hint="eastAsia" w:ascii="宋体" w:hAnsi="宋体" w:eastAsia="宋体" w:cs="宋体"/>
                <w:i/>
                <w:iCs/>
                <w:color w:val="000000"/>
                <w:sz w:val="18"/>
                <w:szCs w:val="18"/>
              </w:rPr>
              <w:t>θ</w:t>
            </w: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Merge w:val="continue"/>
            <w:tcBorders>
              <w:left w:val="single" w:color="auto" w:sz="8" w:space="0"/>
              <w:bottom w:val="single" w:color="auto" w:sz="8" w:space="0"/>
            </w:tcBorders>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p>
        </w:tc>
        <w:tc>
          <w:tcPr>
            <w:tcW w:w="2392" w:type="dxa"/>
            <w:tcBorders>
              <w:bottom w:val="single" w:color="auto" w:sz="8" w:space="0"/>
            </w:tcBorders>
            <w:vAlign w:val="top"/>
          </w:tcPr>
          <w:p>
            <w:pPr>
              <w:pStyle w:val="22"/>
              <w:tabs>
                <w:tab w:val="clear" w:pos="4201"/>
              </w:tabs>
              <w:ind w:firstLine="0" w:firstLineChars="0"/>
              <w:jc w:val="center"/>
              <w:rPr>
                <w:rFonts w:hint="eastAsia" w:ascii="黑体" w:hAnsi="黑体" w:eastAsia="黑体" w:cs="黑体"/>
                <w:sz w:val="21"/>
                <w:szCs w:val="18"/>
                <w:vertAlign w:val="baseline"/>
                <w:lang w:val="en-US" w:eastAsia="zh-CN" w:bidi="ar-SA"/>
              </w:rPr>
            </w:pPr>
            <w:r>
              <w:rPr>
                <w:rFonts w:hint="eastAsia" w:ascii="宋体" w:hAnsi="宋体" w:eastAsia="宋体" w:cs="宋体"/>
                <w:sz w:val="18"/>
                <w:szCs w:val="18"/>
              </w:rPr>
              <w:t>20°</w:t>
            </w:r>
          </w:p>
        </w:tc>
        <w:tc>
          <w:tcPr>
            <w:tcW w:w="2393" w:type="dxa"/>
            <w:tcBorders>
              <w:bottom w:val="single" w:color="auto" w:sz="8" w:space="0"/>
            </w:tcBorders>
            <w:vAlign w:val="top"/>
          </w:tcPr>
          <w:p>
            <w:pPr>
              <w:pStyle w:val="22"/>
              <w:tabs>
                <w:tab w:val="left" w:pos="1198"/>
                <w:tab w:val="clear" w:pos="4201"/>
              </w:tabs>
              <w:ind w:firstLine="0" w:firstLineChars="0"/>
              <w:jc w:val="center"/>
              <w:rPr>
                <w:rFonts w:hint="eastAsia" w:ascii="黑体" w:hAnsi="黑体" w:eastAsia="黑体" w:cs="黑体"/>
                <w:sz w:val="21"/>
                <w:szCs w:val="18"/>
                <w:vertAlign w:val="baseline"/>
                <w:lang w:val="en-US" w:eastAsia="zh-CN" w:bidi="ar-SA"/>
              </w:rPr>
            </w:pPr>
            <w:r>
              <w:rPr>
                <w:rFonts w:hint="eastAsia" w:ascii="宋体" w:hAnsi="宋体" w:eastAsia="宋体" w:cs="宋体"/>
                <w:sz w:val="18"/>
                <w:szCs w:val="18"/>
              </w:rPr>
              <w:t>60°</w:t>
            </w:r>
          </w:p>
        </w:tc>
        <w:tc>
          <w:tcPr>
            <w:tcW w:w="2393" w:type="dxa"/>
            <w:tcBorders>
              <w:bottom w:val="single" w:color="auto" w:sz="8" w:space="0"/>
              <w:right w:val="single" w:color="auto" w:sz="8" w:space="0"/>
            </w:tcBorders>
            <w:vAlign w:val="top"/>
          </w:tcPr>
          <w:p>
            <w:pPr>
              <w:pStyle w:val="22"/>
              <w:tabs>
                <w:tab w:val="left" w:pos="1198"/>
                <w:tab w:val="clear" w:pos="4201"/>
              </w:tabs>
              <w:ind w:firstLine="0" w:firstLineChars="0"/>
              <w:jc w:val="center"/>
              <w:rPr>
                <w:rFonts w:hint="eastAsia" w:ascii="黑体" w:hAnsi="黑体" w:eastAsia="黑体" w:cs="黑体"/>
                <w:sz w:val="21"/>
                <w:szCs w:val="18"/>
                <w:vertAlign w:val="baseline"/>
                <w:lang w:val="en-US" w:eastAsia="zh-CN" w:bidi="ar-SA"/>
              </w:rPr>
            </w:pPr>
            <w:r>
              <w:rPr>
                <w:rFonts w:hint="eastAsia" w:ascii="宋体" w:hAnsi="宋体" w:eastAsia="宋体" w:cs="宋体"/>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bottom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1.58</w:t>
            </w:r>
          </w:p>
        </w:tc>
        <w:tc>
          <w:tcPr>
            <w:tcW w:w="2392" w:type="dxa"/>
            <w:tcBorders>
              <w:bottom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103.6</w:t>
            </w:r>
          </w:p>
        </w:tc>
        <w:tc>
          <w:tcPr>
            <w:tcW w:w="2393" w:type="dxa"/>
            <w:tcBorders>
              <w:bottom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102.1</w:t>
            </w:r>
          </w:p>
        </w:tc>
        <w:tc>
          <w:tcPr>
            <w:tcW w:w="2393" w:type="dxa"/>
            <w:tcBorders>
              <w:bottom w:val="single" w:color="auto" w:sz="8" w:space="0"/>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1.59</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106.3</w:t>
            </w:r>
          </w:p>
        </w:tc>
        <w:tc>
          <w:tcPr>
            <w:tcW w:w="2393"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103.6</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109.1</w:t>
            </w:r>
          </w:p>
        </w:tc>
        <w:tc>
          <w:tcPr>
            <w:tcW w:w="2393"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105.2</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1.61</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111.9</w:t>
            </w:r>
          </w:p>
        </w:tc>
        <w:tc>
          <w:tcPr>
            <w:tcW w:w="2393"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106.7</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1.62</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114.3</w:t>
            </w:r>
          </w:p>
        </w:tc>
        <w:tc>
          <w:tcPr>
            <w:tcW w:w="2393"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108.4</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1.63</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117.5</w:t>
            </w:r>
          </w:p>
        </w:tc>
        <w:tc>
          <w:tcPr>
            <w:tcW w:w="2393"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109.8</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1.64</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120.4</w:t>
            </w:r>
          </w:p>
        </w:tc>
        <w:tc>
          <w:tcPr>
            <w:tcW w:w="2393"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111.3</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1.65</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123.2</w:t>
            </w:r>
          </w:p>
        </w:tc>
        <w:tc>
          <w:tcPr>
            <w:tcW w:w="2393"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112.8</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1.66</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126.1</w:t>
            </w:r>
          </w:p>
        </w:tc>
        <w:tc>
          <w:tcPr>
            <w:tcW w:w="2393"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114.3</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1.67</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129</w:t>
            </w:r>
          </w:p>
        </w:tc>
        <w:tc>
          <w:tcPr>
            <w:tcW w:w="2393"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115.8</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1.68</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131.8</w:t>
            </w:r>
          </w:p>
        </w:tc>
        <w:tc>
          <w:tcPr>
            <w:tcW w:w="2393"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117.3</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1.69</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134.7</w:t>
            </w:r>
          </w:p>
        </w:tc>
        <w:tc>
          <w:tcPr>
            <w:tcW w:w="2393"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118.8</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137.6</w:t>
            </w:r>
          </w:p>
        </w:tc>
        <w:tc>
          <w:tcPr>
            <w:tcW w:w="2393"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120.3</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1.71</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140.5</w:t>
            </w:r>
          </w:p>
        </w:tc>
        <w:tc>
          <w:tcPr>
            <w:tcW w:w="2393"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121.7</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1.72</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142.4</w:t>
            </w:r>
          </w:p>
        </w:tc>
        <w:tc>
          <w:tcPr>
            <w:tcW w:w="2393"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123.2</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1.73</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146.4</w:t>
            </w:r>
          </w:p>
        </w:tc>
        <w:tc>
          <w:tcPr>
            <w:tcW w:w="2393"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124.6</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1.74</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149.3</w:t>
            </w:r>
          </w:p>
        </w:tc>
        <w:tc>
          <w:tcPr>
            <w:tcW w:w="2393"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126.1</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1.75</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152.2</w:t>
            </w:r>
          </w:p>
        </w:tc>
        <w:tc>
          <w:tcPr>
            <w:tcW w:w="2393"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127.5</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1.76</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155.2</w:t>
            </w:r>
          </w:p>
        </w:tc>
        <w:tc>
          <w:tcPr>
            <w:tcW w:w="2393"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128.9</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1.77</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158.1</w:t>
            </w:r>
          </w:p>
        </w:tc>
        <w:tc>
          <w:tcPr>
            <w:tcW w:w="2393"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130.4</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1.78</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161.1</w:t>
            </w:r>
          </w:p>
        </w:tc>
        <w:tc>
          <w:tcPr>
            <w:tcW w:w="2393"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131.8</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1.79</w:t>
            </w:r>
          </w:p>
        </w:tc>
        <w:tc>
          <w:tcPr>
            <w:tcW w:w="2392"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164</w:t>
            </w:r>
          </w:p>
        </w:tc>
        <w:tc>
          <w:tcPr>
            <w:tcW w:w="2393" w:type="dxa"/>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133.2</w:t>
            </w:r>
          </w:p>
        </w:tc>
        <w:tc>
          <w:tcPr>
            <w:tcW w:w="2393" w:type="dxa"/>
            <w:tcBorders>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Borders>
              <w:left w:val="single" w:color="auto" w:sz="8" w:space="0"/>
              <w:bottom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2392" w:type="dxa"/>
            <w:tcBorders>
              <w:bottom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167</w:t>
            </w:r>
          </w:p>
        </w:tc>
        <w:tc>
          <w:tcPr>
            <w:tcW w:w="2393" w:type="dxa"/>
            <w:tcBorders>
              <w:bottom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134.6</w:t>
            </w:r>
          </w:p>
        </w:tc>
        <w:tc>
          <w:tcPr>
            <w:tcW w:w="2393" w:type="dxa"/>
            <w:tcBorders>
              <w:bottom w:val="single" w:color="auto" w:sz="8" w:space="0"/>
              <w:right w:val="single" w:color="auto" w:sz="8" w:space="0"/>
            </w:tcBorders>
            <w:vAlign w:val="top"/>
          </w:tcPr>
          <w:p>
            <w:pPr>
              <w:keepNext w:val="0"/>
              <w:keepLines w:val="0"/>
              <w:widowControl/>
              <w:suppressLineNumbers w:val="0"/>
              <w:jc w:val="center"/>
              <w:textAlignment w:val="top"/>
              <w:rPr>
                <w:rFonts w:hint="eastAsia" w:ascii="宋体" w:hAnsi="宋体" w:eastAsia="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101.7</w:t>
            </w:r>
          </w:p>
        </w:tc>
      </w:tr>
    </w:tbl>
    <w:p>
      <w:pPr>
        <w:pStyle w:val="48"/>
        <w:numPr>
          <w:ilvl w:val="0"/>
          <w:numId w:val="18"/>
        </w:numPr>
        <w:spacing w:before="312" w:after="312"/>
        <w:rPr>
          <w:color w:val="000000" w:themeColor="text1"/>
        </w:rPr>
      </w:pPr>
      <w:bookmarkStart w:id="13" w:name="_Toc41299125"/>
      <w:r>
        <w:rPr>
          <w:rFonts w:hint="eastAsia"/>
          <w:color w:val="000000" w:themeColor="text1"/>
        </w:rPr>
        <w:t>精密度</w:t>
      </w:r>
    </w:p>
    <w:p>
      <w:pPr>
        <w:ind w:firstLine="420" w:firstLineChars="200"/>
        <w:rPr>
          <w:rFonts w:ascii="宋体" w:hAnsi="宋体" w:cs="宋体"/>
          <w:color w:val="000000" w:themeColor="text1"/>
        </w:rPr>
      </w:pPr>
      <w:r>
        <w:rPr>
          <w:rFonts w:hint="eastAsia" w:ascii="宋体" w:hAnsi="宋体" w:cs="宋体"/>
          <w:color w:val="000000" w:themeColor="text1"/>
        </w:rPr>
        <w:t>选用12片样片，其中，3片直径为200</w:t>
      </w:r>
      <w:r>
        <w:rPr>
          <w:rFonts w:hint="eastAsia" w:ascii="宋体" w:hAnsi="宋体" w:cs="宋体"/>
          <w:color w:val="000000" w:themeColor="text1"/>
          <w:vertAlign w:val="superscript"/>
          <w:lang w:val="en-US" w:eastAsia="zh-CN"/>
        </w:rPr>
        <w:t xml:space="preserve"> </w:t>
      </w:r>
      <w:r>
        <w:rPr>
          <w:rFonts w:hint="eastAsia" w:ascii="宋体" w:hAnsi="宋体" w:cs="宋体"/>
          <w:color w:val="000000" w:themeColor="text1"/>
        </w:rPr>
        <w:t>mm</w:t>
      </w:r>
      <w:r>
        <w:rPr>
          <w:rFonts w:hint="eastAsia" w:ascii="宋体" w:hAnsi="宋体" w:cs="宋体"/>
          <w:color w:val="000000" w:themeColor="text1"/>
          <w:vertAlign w:val="superscript"/>
          <w:lang w:val="en-US" w:eastAsia="zh-CN"/>
        </w:rPr>
        <w:t xml:space="preserve"> </w:t>
      </w:r>
      <w:r>
        <w:rPr>
          <w:rFonts w:hint="eastAsia" w:ascii="宋体" w:hAnsi="宋体" w:cs="宋体"/>
          <w:color w:val="000000" w:themeColor="text1"/>
        </w:rPr>
        <w:t>&lt;100&gt;晶向碱腐蚀硅片，3片直径150</w:t>
      </w:r>
      <w:r>
        <w:rPr>
          <w:rFonts w:hint="eastAsia" w:ascii="宋体" w:hAnsi="宋体" w:cs="宋体"/>
          <w:color w:val="000000" w:themeColor="text1"/>
          <w:vertAlign w:val="superscript"/>
          <w:lang w:val="en-US" w:eastAsia="zh-CN"/>
        </w:rPr>
        <w:t xml:space="preserve"> </w:t>
      </w:r>
      <w:r>
        <w:rPr>
          <w:rFonts w:hint="eastAsia" w:ascii="宋体" w:hAnsi="宋体" w:cs="宋体"/>
          <w:color w:val="000000" w:themeColor="text1"/>
        </w:rPr>
        <w:t>mm</w:t>
      </w:r>
      <w:r>
        <w:rPr>
          <w:rFonts w:hint="eastAsia" w:ascii="宋体" w:hAnsi="宋体" w:cs="宋体"/>
          <w:color w:val="000000" w:themeColor="text1"/>
          <w:vertAlign w:val="superscript"/>
          <w:lang w:val="en-US" w:eastAsia="zh-CN"/>
        </w:rPr>
        <w:t xml:space="preserve"> </w:t>
      </w:r>
      <w:r>
        <w:rPr>
          <w:rFonts w:hint="eastAsia" w:ascii="宋体" w:hAnsi="宋体" w:cs="宋体"/>
          <w:color w:val="000000" w:themeColor="text1"/>
        </w:rPr>
        <w:t>&lt;100&gt;晶向酸腐蚀硅片，1片直径200</w:t>
      </w:r>
      <w:r>
        <w:rPr>
          <w:rFonts w:hint="eastAsia" w:ascii="宋体" w:hAnsi="宋体" w:cs="宋体"/>
          <w:color w:val="000000" w:themeColor="text1"/>
          <w:vertAlign w:val="superscript"/>
          <w:lang w:val="en-US" w:eastAsia="zh-CN"/>
        </w:rPr>
        <w:t xml:space="preserve"> </w:t>
      </w:r>
      <w:r>
        <w:rPr>
          <w:rFonts w:hint="eastAsia" w:ascii="宋体" w:hAnsi="宋体" w:cs="宋体"/>
          <w:color w:val="000000" w:themeColor="text1"/>
        </w:rPr>
        <w:t>mm硅单晶抛光片，2片直径150</w:t>
      </w:r>
      <w:r>
        <w:rPr>
          <w:rFonts w:hint="eastAsia" w:ascii="宋体" w:hAnsi="宋体" w:cs="宋体"/>
          <w:color w:val="000000" w:themeColor="text1"/>
          <w:vertAlign w:val="superscript"/>
          <w:lang w:val="en-US" w:eastAsia="zh-CN"/>
        </w:rPr>
        <w:t xml:space="preserve"> </w:t>
      </w:r>
      <w:r>
        <w:rPr>
          <w:rFonts w:hint="eastAsia" w:ascii="宋体" w:hAnsi="宋体" w:cs="宋体"/>
          <w:color w:val="000000" w:themeColor="text1"/>
        </w:rPr>
        <w:t>mm &lt;111&gt;晶向碱腐蚀硅片：2片直径150</w:t>
      </w:r>
      <w:r>
        <w:rPr>
          <w:rFonts w:hint="eastAsia" w:ascii="宋体" w:hAnsi="宋体" w:cs="宋体"/>
          <w:color w:val="000000" w:themeColor="text1"/>
          <w:vertAlign w:val="superscript"/>
          <w:lang w:val="en-US" w:eastAsia="zh-CN"/>
        </w:rPr>
        <w:t xml:space="preserve"> </w:t>
      </w:r>
      <w:r>
        <w:rPr>
          <w:rFonts w:hint="eastAsia" w:ascii="宋体" w:hAnsi="宋体" w:cs="宋体"/>
          <w:color w:val="000000" w:themeColor="text1"/>
        </w:rPr>
        <w:t>mm &lt;111&gt;晶向酸腐蚀硅片，1片直径150</w:t>
      </w:r>
      <w:r>
        <w:rPr>
          <w:rFonts w:hint="eastAsia" w:ascii="宋体" w:hAnsi="宋体" w:cs="宋体"/>
          <w:color w:val="000000" w:themeColor="text1"/>
          <w:vertAlign w:val="superscript"/>
          <w:lang w:val="en-US" w:eastAsia="zh-CN"/>
        </w:rPr>
        <w:t xml:space="preserve"> </w:t>
      </w:r>
      <w:r>
        <w:rPr>
          <w:rFonts w:hint="eastAsia" w:ascii="宋体" w:hAnsi="宋体" w:cs="宋体"/>
          <w:color w:val="000000" w:themeColor="text1"/>
        </w:rPr>
        <w:t>mm硅单晶抛光片。在7个实验室进行巡回测试，每片样片测试10次，测试方向与参考面平行，每次测试重新取放片。</w:t>
      </w:r>
    </w:p>
    <w:p>
      <w:pPr>
        <w:pStyle w:val="22"/>
        <w:rPr>
          <w:rFonts w:hAnsi="宋体" w:cs="宋体"/>
        </w:rPr>
      </w:pPr>
      <w:r>
        <w:rPr>
          <w:rFonts w:hint="eastAsia" w:hAnsi="宋体" w:cs="宋体"/>
          <w:color w:val="000000" w:themeColor="text1"/>
        </w:rPr>
        <w:t>单个实验室光泽度测试的标准偏差不大于11.10</w:t>
      </w:r>
      <w:r>
        <w:rPr>
          <w:rFonts w:hint="eastAsia" w:hAnsi="宋体" w:cs="宋体"/>
          <w:color w:val="000000" w:themeColor="text1"/>
          <w:vertAlign w:val="superscript"/>
          <w:lang w:val="en-US" w:eastAsia="zh-CN"/>
        </w:rPr>
        <w:t xml:space="preserve"> </w:t>
      </w:r>
      <w:r>
        <w:rPr>
          <w:rFonts w:hint="eastAsia" w:hAnsi="宋体" w:cs="宋体"/>
          <w:color w:val="000000" w:themeColor="text1"/>
        </w:rPr>
        <w:t>GU，单个实验室光泽度测试的相对标准偏差不大于2.92</w:t>
      </w:r>
      <w:r>
        <w:rPr>
          <w:rFonts w:hint="eastAsia" w:hAnsi="宋体" w:cs="宋体"/>
          <w:color w:val="000000" w:themeColor="text1"/>
          <w:vertAlign w:val="superscript"/>
          <w:lang w:val="en-US" w:eastAsia="zh-CN"/>
        </w:rPr>
        <w:t xml:space="preserve"> </w:t>
      </w:r>
      <w:r>
        <w:rPr>
          <w:rFonts w:hint="eastAsia" w:hAnsi="宋体" w:cs="宋体"/>
          <w:color w:val="000000" w:themeColor="text1"/>
        </w:rPr>
        <w:t>%；多个实验室光泽度测试的标准偏差不大于24.22</w:t>
      </w:r>
      <w:r>
        <w:rPr>
          <w:rFonts w:hint="eastAsia" w:hAnsi="宋体" w:cs="宋体"/>
          <w:color w:val="000000" w:themeColor="text1"/>
          <w:vertAlign w:val="superscript"/>
          <w:lang w:val="en-US" w:eastAsia="zh-CN"/>
        </w:rPr>
        <w:t xml:space="preserve"> </w:t>
      </w:r>
      <w:r>
        <w:rPr>
          <w:rFonts w:hint="eastAsia" w:hAnsi="宋体" w:cs="宋体"/>
          <w:color w:val="000000" w:themeColor="text1"/>
        </w:rPr>
        <w:t>GU，多个实验室光泽度测试的相对标准偏差不大于17.32</w:t>
      </w:r>
      <w:r>
        <w:rPr>
          <w:rFonts w:hint="eastAsia" w:hAnsi="宋体" w:cs="宋体"/>
          <w:color w:val="000000" w:themeColor="text1"/>
          <w:vertAlign w:val="superscript"/>
          <w:lang w:val="en-US" w:eastAsia="zh-CN"/>
        </w:rPr>
        <w:t xml:space="preserve"> </w:t>
      </w:r>
      <w:r>
        <w:rPr>
          <w:rFonts w:hint="eastAsia" w:hAnsi="宋体" w:cs="宋体"/>
          <w:color w:val="000000" w:themeColor="text1"/>
        </w:rPr>
        <w:t>%。</w:t>
      </w:r>
    </w:p>
    <w:p>
      <w:pPr>
        <w:pStyle w:val="48"/>
        <w:numPr>
          <w:ilvl w:val="0"/>
          <w:numId w:val="18"/>
        </w:numPr>
        <w:spacing w:before="312" w:after="312"/>
        <w:rPr>
          <w:color w:val="000000" w:themeColor="text1"/>
        </w:rPr>
      </w:pPr>
      <w:r>
        <w:rPr>
          <w:rFonts w:hint="eastAsia"/>
          <w:color w:val="000000" w:themeColor="text1"/>
        </w:rPr>
        <w:t>试验报告</w:t>
      </w:r>
    </w:p>
    <w:p>
      <w:pPr>
        <w:ind w:firstLine="420" w:firstLineChars="200"/>
        <w:rPr>
          <w:color w:val="000000" w:themeColor="text1"/>
          <w:szCs w:val="22"/>
        </w:rPr>
      </w:pPr>
      <w:r>
        <w:rPr>
          <w:rFonts w:hint="eastAsia"/>
          <w:color w:val="000000" w:themeColor="text1"/>
          <w:szCs w:val="22"/>
        </w:rPr>
        <w:t>试验报告应至少包括以下内容：</w:t>
      </w:r>
    </w:p>
    <w:p>
      <w:pPr>
        <w:numPr>
          <w:ilvl w:val="0"/>
          <w:numId w:val="20"/>
        </w:numPr>
        <w:jc w:val="left"/>
        <w:outlineLvl w:val="2"/>
        <w:rPr>
          <w:rFonts w:ascii="宋体" w:hAnsi="宋体"/>
          <w:color w:val="000000" w:themeColor="text1"/>
          <w:szCs w:val="22"/>
        </w:rPr>
      </w:pPr>
      <w:r>
        <w:rPr>
          <w:rFonts w:hint="eastAsia" w:ascii="宋体" w:hAnsi="宋体"/>
          <w:color w:val="000000" w:themeColor="text1"/>
          <w:szCs w:val="22"/>
        </w:rPr>
        <w:t xml:space="preserve"> 测试日期；</w:t>
      </w:r>
    </w:p>
    <w:p>
      <w:pPr>
        <w:numPr>
          <w:ilvl w:val="0"/>
          <w:numId w:val="20"/>
        </w:numPr>
        <w:jc w:val="left"/>
        <w:outlineLvl w:val="2"/>
        <w:rPr>
          <w:rFonts w:ascii="宋体" w:hAnsi="宋体"/>
          <w:color w:val="000000" w:themeColor="text1"/>
          <w:szCs w:val="22"/>
        </w:rPr>
      </w:pPr>
      <w:r>
        <w:rPr>
          <w:rFonts w:hint="eastAsia" w:ascii="宋体" w:hAnsi="宋体"/>
          <w:color w:val="000000" w:themeColor="text1"/>
          <w:szCs w:val="22"/>
        </w:rPr>
        <w:t xml:space="preserve"> 操作者；</w:t>
      </w:r>
    </w:p>
    <w:p>
      <w:pPr>
        <w:pStyle w:val="162"/>
        <w:numPr>
          <w:ilvl w:val="0"/>
          <w:numId w:val="20"/>
        </w:numPr>
        <w:ind w:firstLineChars="0"/>
        <w:rPr>
          <w:rFonts w:ascii="宋体" w:hAnsi="宋体"/>
          <w:color w:val="000000" w:themeColor="text1"/>
          <w:szCs w:val="22"/>
        </w:rPr>
      </w:pPr>
      <w:r>
        <w:rPr>
          <w:rFonts w:hint="eastAsia" w:ascii="宋体" w:hAnsi="宋体"/>
          <w:color w:val="000000" w:themeColor="text1"/>
          <w:szCs w:val="22"/>
        </w:rPr>
        <w:t xml:space="preserve"> 测试设备及型号；</w:t>
      </w:r>
    </w:p>
    <w:p>
      <w:pPr>
        <w:pStyle w:val="162"/>
        <w:numPr>
          <w:ilvl w:val="0"/>
          <w:numId w:val="20"/>
        </w:numPr>
        <w:ind w:firstLineChars="0"/>
        <w:rPr>
          <w:rFonts w:ascii="宋体" w:hAnsi="宋体"/>
          <w:color w:val="000000" w:themeColor="text1"/>
          <w:szCs w:val="22"/>
        </w:rPr>
      </w:pPr>
      <w:r>
        <w:rPr>
          <w:rFonts w:hint="eastAsia" w:ascii="宋体" w:hAnsi="宋体"/>
          <w:color w:val="000000" w:themeColor="text1"/>
          <w:szCs w:val="22"/>
        </w:rPr>
        <w:t xml:space="preserve"> 样品名称及类型；</w:t>
      </w:r>
    </w:p>
    <w:p>
      <w:pPr>
        <w:pStyle w:val="162"/>
        <w:numPr>
          <w:ilvl w:val="0"/>
          <w:numId w:val="20"/>
        </w:numPr>
        <w:ind w:firstLineChars="0"/>
        <w:rPr>
          <w:rFonts w:ascii="宋体" w:hAnsi="宋体"/>
          <w:color w:val="000000" w:themeColor="text1"/>
          <w:szCs w:val="22"/>
        </w:rPr>
      </w:pPr>
      <w:r>
        <w:rPr>
          <w:rFonts w:hint="eastAsia" w:ascii="宋体" w:hAnsi="宋体"/>
          <w:color w:val="000000" w:themeColor="text1"/>
          <w:szCs w:val="22"/>
        </w:rPr>
        <w:t xml:space="preserve"> 样品编号；</w:t>
      </w:r>
    </w:p>
    <w:p>
      <w:pPr>
        <w:pStyle w:val="162"/>
        <w:numPr>
          <w:ilvl w:val="0"/>
          <w:numId w:val="20"/>
        </w:numPr>
        <w:ind w:firstLineChars="0"/>
        <w:rPr>
          <w:rFonts w:ascii="宋体" w:hAnsi="宋体"/>
          <w:color w:val="000000" w:themeColor="text1"/>
          <w:szCs w:val="22"/>
        </w:rPr>
      </w:pPr>
      <w:r>
        <w:rPr>
          <w:rFonts w:hint="eastAsia" w:ascii="宋体" w:hAnsi="宋体"/>
          <w:color w:val="000000" w:themeColor="text1"/>
          <w:szCs w:val="22"/>
        </w:rPr>
        <w:t xml:space="preserve"> 测试角度；</w:t>
      </w:r>
    </w:p>
    <w:p>
      <w:pPr>
        <w:pStyle w:val="162"/>
        <w:numPr>
          <w:ilvl w:val="0"/>
          <w:numId w:val="20"/>
        </w:numPr>
        <w:ind w:firstLineChars="0"/>
        <w:rPr>
          <w:rFonts w:ascii="宋体" w:hAnsi="宋体"/>
          <w:color w:val="000000" w:themeColor="text1"/>
          <w:szCs w:val="22"/>
        </w:rPr>
      </w:pPr>
      <w:r>
        <w:rPr>
          <w:rFonts w:hint="eastAsia" w:ascii="宋体" w:hAnsi="宋体"/>
          <w:color w:val="000000" w:themeColor="text1"/>
          <w:szCs w:val="22"/>
        </w:rPr>
        <w:t xml:space="preserve"> 试验条件；</w:t>
      </w:r>
    </w:p>
    <w:p>
      <w:pPr>
        <w:pStyle w:val="162"/>
        <w:numPr>
          <w:ilvl w:val="0"/>
          <w:numId w:val="20"/>
        </w:numPr>
        <w:ind w:firstLineChars="0"/>
        <w:rPr>
          <w:rFonts w:ascii="宋体" w:hAnsi="宋体"/>
          <w:color w:val="000000" w:themeColor="text1"/>
          <w:szCs w:val="22"/>
        </w:rPr>
      </w:pPr>
      <w:r>
        <w:rPr>
          <w:rFonts w:hint="eastAsia" w:ascii="宋体" w:hAnsi="宋体"/>
          <w:color w:val="000000" w:themeColor="text1"/>
          <w:szCs w:val="22"/>
        </w:rPr>
        <w:t xml:space="preserve"> 测试结果；</w:t>
      </w:r>
    </w:p>
    <w:p>
      <w:pPr>
        <w:pStyle w:val="162"/>
        <w:numPr>
          <w:ilvl w:val="0"/>
          <w:numId w:val="20"/>
        </w:numPr>
        <w:ind w:firstLineChars="0"/>
        <w:rPr>
          <w:rFonts w:ascii="宋体" w:hAnsi="宋体" w:cs="宋体"/>
          <w:color w:val="000000" w:themeColor="text1"/>
          <w:szCs w:val="22"/>
        </w:rPr>
      </w:pPr>
      <w:r>
        <w:rPr>
          <w:rFonts w:hint="eastAsia" w:ascii="宋体" w:hAnsi="宋体"/>
          <w:color w:val="000000" w:themeColor="text1"/>
          <w:szCs w:val="22"/>
        </w:rPr>
        <w:t xml:space="preserve"> 本文件编号。</w:t>
      </w:r>
    </w:p>
    <w:bookmarkEnd w:id="13"/>
    <w:p>
      <w:pPr>
        <w:pStyle w:val="162"/>
        <w:ind w:firstLine="0" w:firstLineChars="0"/>
        <w:rPr>
          <w:rFonts w:ascii="宋体" w:hAnsi="宋体"/>
          <w:color w:val="000000" w:themeColor="text1"/>
          <w:szCs w:val="22"/>
        </w:rPr>
      </w:pPr>
    </w:p>
    <w:p>
      <w:pPr>
        <w:pStyle w:val="162"/>
        <w:ind w:firstLine="0" w:firstLineChars="0"/>
        <w:rPr>
          <w:rFonts w:ascii="宋体" w:hAnsi="宋体"/>
          <w:color w:val="000000" w:themeColor="text1"/>
          <w:szCs w:val="22"/>
        </w:rPr>
      </w:pPr>
    </w:p>
    <w:p>
      <w:pPr>
        <w:pStyle w:val="162"/>
        <w:ind w:firstLine="0" w:firstLineChars="0"/>
        <w:rPr>
          <w:rFonts w:ascii="宋体" w:hAnsi="宋体"/>
          <w:color w:val="000000" w:themeColor="text1"/>
          <w:szCs w:val="22"/>
        </w:rPr>
      </w:pPr>
    </w:p>
    <w:p>
      <w:pPr>
        <w:pStyle w:val="162"/>
        <w:ind w:firstLine="0" w:firstLineChars="0"/>
        <w:rPr>
          <w:rFonts w:ascii="宋体" w:hAnsi="宋体"/>
          <w:color w:val="000000" w:themeColor="text1"/>
          <w:szCs w:val="22"/>
        </w:rPr>
      </w:pPr>
    </w:p>
    <w:p>
      <w:pPr>
        <w:pStyle w:val="162"/>
        <w:ind w:firstLine="0" w:firstLineChars="0"/>
        <w:rPr>
          <w:rFonts w:ascii="宋体" w:hAnsi="宋体"/>
          <w:color w:val="000000" w:themeColor="text1"/>
          <w:szCs w:val="22"/>
        </w:rPr>
      </w:pPr>
      <w:r>
        <w:rPr>
          <w:rFonts w:hint="eastAsia" w:ascii="宋体" w:hAnsi="宋体"/>
          <w:bCs/>
          <w:szCs w:val="21"/>
        </w:rPr>
        <w:pict>
          <v:shape id="AutoShape 49" o:spid="_x0000_s1034" o:spt="32" type="#_x0000_t32" style="position:absolute;left:0pt;margin-left:135.35pt;margin-top:6.6pt;height:0pt;width:163.4pt;z-index:251665408;mso-width-relative:page;mso-height-relative:page;" filled="f" stroked="t" coordsize="21600,21600" o:gfxdata="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e2/u1AAAAAkB&#10;AAAPAAAAAAAAAAEAIAAAACIAAABkcnMvZG93bnJldi54bWxQSwECFAAUAAAACACHTuJAOLcaV+YB&#10;AADAAwAADgAAAAAAAAABACAAAAAjAQAAZHJzL2Uyb0RvYy54bWxQSwUGAAAAAAYABgBZAQAAewUA&#10;AAAA&#10;">
            <v:path arrowok="t"/>
            <v:fill on="f" focussize="0,0"/>
            <v:stroke weight="1pt" color="#000000" joinstyle="round"/>
            <v:imagedata o:title=""/>
            <o:lock v:ext="edit" aspectratio="f"/>
          </v:shape>
        </w:pict>
      </w:r>
    </w:p>
    <w:sectPr>
      <w:pgSz w:w="11906" w:h="16838"/>
      <w:pgMar w:top="567" w:right="1134" w:bottom="1134" w:left="1418" w:header="1418" w:footer="1134" w:gutter="0"/>
      <w:pgBorders>
        <w:top w:val="none" w:sz="0" w:space="0"/>
        <w:left w:val="none" w:sz="0" w:space="0"/>
        <w:bottom w:val="none" w:sz="0" w:space="0"/>
        <w:right w:val="none" w:sz="0" w:space="0"/>
      </w:pgBorders>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GB/T XXXXX</w:t>
    </w:r>
    <w:r>
      <w:rPr>
        <w:rFonts w:hint="eastAsia" w:asciiTheme="minorEastAsia" w:hAnsiTheme="minorEastAsia" w:eastAsiaTheme="minorEastAsia"/>
      </w:rP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67"/>
      <w:suff w:val="nothing"/>
      <w:lvlText w:val="%1%2.%3　"/>
      <w:lvlJc w:val="left"/>
      <w:pPr>
        <w:ind w:left="0" w:firstLine="0"/>
      </w:pPr>
      <w:rPr>
        <w:rFonts w:hint="eastAsia" w:ascii="黑体" w:hAnsi="Times New Roman" w:eastAsia="黑体"/>
        <w:b w:val="0"/>
        <w:i w:val="0"/>
        <w:sz w:val="21"/>
      </w:rPr>
    </w:lvl>
    <w:lvl w:ilvl="3" w:tentative="0">
      <w:start w:val="1"/>
      <w:numFmt w:val="decimal"/>
      <w:pStyle w:val="163"/>
      <w:suff w:val="nothing"/>
      <w:lvlText w:val="%1%2.%3.%4　"/>
      <w:lvlJc w:val="left"/>
      <w:pPr>
        <w:ind w:left="0" w:firstLine="0"/>
      </w:pPr>
      <w:rPr>
        <w:rFonts w:hint="eastAsia" w:ascii="黑体" w:hAnsi="Times New Roman" w:eastAsia="黑体"/>
        <w:b w:val="0"/>
        <w:i w:val="0"/>
        <w:sz w:val="21"/>
      </w:rPr>
    </w:lvl>
    <w:lvl w:ilvl="4" w:tentative="0">
      <w:start w:val="1"/>
      <w:numFmt w:val="decimal"/>
      <w:pStyle w:val="164"/>
      <w:suff w:val="nothing"/>
      <w:lvlText w:val="%1%2.%3.%4.%5　"/>
      <w:lvlJc w:val="left"/>
      <w:pPr>
        <w:ind w:left="0" w:firstLine="0"/>
      </w:pPr>
      <w:rPr>
        <w:rFonts w:hint="eastAsia" w:ascii="黑体" w:hAnsi="Times New Roman" w:eastAsia="黑体"/>
        <w:b w:val="0"/>
        <w:i w:val="0"/>
        <w:sz w:val="21"/>
      </w:rPr>
    </w:lvl>
    <w:lvl w:ilvl="5" w:tentative="0">
      <w:start w:val="1"/>
      <w:numFmt w:val="decimal"/>
      <w:pStyle w:val="165"/>
      <w:suff w:val="nothing"/>
      <w:lvlText w:val="%1%2.%3.%4.%5.%6　"/>
      <w:lvlJc w:val="left"/>
      <w:pPr>
        <w:ind w:left="0" w:firstLine="0"/>
      </w:pPr>
      <w:rPr>
        <w:rFonts w:hint="eastAsia" w:ascii="黑体" w:hAnsi="Times New Roman" w:eastAsia="黑体"/>
        <w:b w:val="0"/>
        <w:i w:val="0"/>
        <w:sz w:val="21"/>
      </w:rPr>
    </w:lvl>
    <w:lvl w:ilvl="6" w:tentative="0">
      <w:start w:val="1"/>
      <w:numFmt w:val="decimal"/>
      <w:pStyle w:val="16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79102AD"/>
    <w:multiLevelType w:val="multilevel"/>
    <w:tmpl w:val="079102AD"/>
    <w:lvl w:ilvl="0" w:tentative="0">
      <w:start w:val="1"/>
      <w:numFmt w:val="decimal"/>
      <w:pStyle w:val="61"/>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1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5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2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6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2A8F7113"/>
    <w:multiLevelType w:val="multilevel"/>
    <w:tmpl w:val="2A8F7113"/>
    <w:lvl w:ilvl="0" w:tentative="0">
      <w:start w:val="1"/>
      <w:numFmt w:val="upperLetter"/>
      <w:pStyle w:val="101"/>
      <w:suff w:val="space"/>
      <w:lvlText w:val="%1"/>
      <w:lvlJc w:val="left"/>
      <w:pPr>
        <w:ind w:left="623" w:hanging="425"/>
      </w:pPr>
      <w:rPr>
        <w:rFonts w:hint="eastAsia"/>
      </w:rPr>
    </w:lvl>
    <w:lvl w:ilvl="1" w:tentative="0">
      <w:start w:val="1"/>
      <w:numFmt w:val="decimal"/>
      <w:pStyle w:val="10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51"/>
      <w:suff w:val="nothing"/>
      <w:lvlText w:val="%1——"/>
      <w:lvlJc w:val="left"/>
      <w:pPr>
        <w:ind w:left="976" w:hanging="408"/>
      </w:pPr>
      <w:rPr>
        <w:rFonts w:hint="eastAsia"/>
        <w:lang w:val="en-US"/>
      </w:rPr>
    </w:lvl>
    <w:lvl w:ilvl="1" w:tentative="0">
      <w:start w:val="1"/>
      <w:numFmt w:val="bullet"/>
      <w:pStyle w:val="52"/>
      <w:lvlText w:val=""/>
      <w:lvlJc w:val="left"/>
      <w:pPr>
        <w:tabs>
          <w:tab w:val="left" w:pos="903"/>
        </w:tabs>
        <w:ind w:left="1407" w:hanging="413"/>
      </w:pPr>
      <w:rPr>
        <w:rFonts w:hint="default" w:ascii="Symbol" w:hAnsi="Symbol"/>
        <w:color w:val="auto"/>
      </w:rPr>
    </w:lvl>
    <w:lvl w:ilvl="2" w:tentative="0">
      <w:start w:val="1"/>
      <w:numFmt w:val="bullet"/>
      <w:pStyle w:val="63"/>
      <w:lvlText w:val=""/>
      <w:lvlJc w:val="left"/>
      <w:pPr>
        <w:tabs>
          <w:tab w:val="left" w:pos="1821"/>
        </w:tabs>
        <w:ind w:left="1821" w:hanging="414"/>
      </w:pPr>
      <w:rPr>
        <w:rFonts w:hint="default" w:ascii="Symbol" w:hAnsi="Symbol"/>
        <w:color w:val="auto"/>
      </w:rPr>
    </w:lvl>
    <w:lvl w:ilvl="3" w:tentative="0">
      <w:start w:val="1"/>
      <w:numFmt w:val="decimal"/>
      <w:lvlText w:val="%4."/>
      <w:lvlJc w:val="left"/>
      <w:pPr>
        <w:tabs>
          <w:tab w:val="left" w:pos="2214"/>
        </w:tabs>
        <w:ind w:left="2027" w:hanging="528"/>
      </w:pPr>
      <w:rPr>
        <w:rFonts w:hint="eastAsia"/>
      </w:rPr>
    </w:lvl>
    <w:lvl w:ilvl="4" w:tentative="0">
      <w:start w:val="1"/>
      <w:numFmt w:val="lowerLetter"/>
      <w:lvlText w:val="%5)"/>
      <w:lvlJc w:val="left"/>
      <w:pPr>
        <w:tabs>
          <w:tab w:val="left" w:pos="2526"/>
        </w:tabs>
        <w:ind w:left="2339" w:hanging="528"/>
      </w:pPr>
      <w:rPr>
        <w:rFonts w:hint="eastAsia"/>
      </w:rPr>
    </w:lvl>
    <w:lvl w:ilvl="5" w:tentative="0">
      <w:start w:val="1"/>
      <w:numFmt w:val="lowerRoman"/>
      <w:lvlText w:val="%6."/>
      <w:lvlJc w:val="right"/>
      <w:pPr>
        <w:tabs>
          <w:tab w:val="left" w:pos="2838"/>
        </w:tabs>
        <w:ind w:left="2651" w:hanging="528"/>
      </w:pPr>
      <w:rPr>
        <w:rFonts w:hint="eastAsia"/>
      </w:rPr>
    </w:lvl>
    <w:lvl w:ilvl="6" w:tentative="0">
      <w:start w:val="1"/>
      <w:numFmt w:val="decimal"/>
      <w:lvlText w:val="%7."/>
      <w:lvlJc w:val="left"/>
      <w:pPr>
        <w:tabs>
          <w:tab w:val="left" w:pos="3150"/>
        </w:tabs>
        <w:ind w:left="2963" w:hanging="528"/>
      </w:pPr>
      <w:rPr>
        <w:rFonts w:hint="eastAsia"/>
      </w:rPr>
    </w:lvl>
    <w:lvl w:ilvl="7" w:tentative="0">
      <w:start w:val="1"/>
      <w:numFmt w:val="lowerLetter"/>
      <w:lvlText w:val="%8)"/>
      <w:lvlJc w:val="left"/>
      <w:pPr>
        <w:tabs>
          <w:tab w:val="left" w:pos="3462"/>
        </w:tabs>
        <w:ind w:left="3275" w:hanging="528"/>
      </w:pPr>
      <w:rPr>
        <w:rFonts w:hint="eastAsia"/>
      </w:rPr>
    </w:lvl>
    <w:lvl w:ilvl="8" w:tentative="0">
      <w:start w:val="1"/>
      <w:numFmt w:val="lowerRoman"/>
      <w:lvlText w:val="%9."/>
      <w:lvlJc w:val="right"/>
      <w:pPr>
        <w:tabs>
          <w:tab w:val="left" w:pos="3774"/>
        </w:tabs>
        <w:ind w:left="3587"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32CA83A"/>
    <w:multiLevelType w:val="singleLevel"/>
    <w:tmpl w:val="432CA83A"/>
    <w:lvl w:ilvl="0" w:tentative="0">
      <w:start w:val="1"/>
      <w:numFmt w:val="lowerLetter"/>
      <w:suff w:val="space"/>
      <w:lvlText w:val="%1)"/>
      <w:lvlJc w:val="left"/>
    </w:lvl>
  </w:abstractNum>
  <w:abstractNum w:abstractNumId="10">
    <w:nsid w:val="44C50F90"/>
    <w:multiLevelType w:val="multilevel"/>
    <w:tmpl w:val="44C50F90"/>
    <w:lvl w:ilvl="0" w:tentative="0">
      <w:start w:val="1"/>
      <w:numFmt w:val="lowerLetter"/>
      <w:pStyle w:val="6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7"/>
      <w:lvlText w:val="%2)"/>
      <w:lvlJc w:val="left"/>
      <w:pPr>
        <w:tabs>
          <w:tab w:val="left" w:pos="1260"/>
        </w:tabs>
        <w:ind w:left="1259" w:hanging="419"/>
      </w:pPr>
      <w:rPr>
        <w:rFonts w:hint="eastAsia"/>
      </w:rPr>
    </w:lvl>
    <w:lvl w:ilvl="2" w:tentative="0">
      <w:start w:val="1"/>
      <w:numFmt w:val="decimal"/>
      <w:pStyle w:val="64"/>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136420"/>
    <w:multiLevelType w:val="multilevel"/>
    <w:tmpl w:val="4B136420"/>
    <w:lvl w:ilvl="0" w:tentative="0">
      <w:start w:val="1"/>
      <w:numFmt w:val="decimal"/>
      <w:lvlText w:val="%1"/>
      <w:lvlJc w:val="left"/>
      <w:pPr>
        <w:ind w:left="420" w:hanging="420"/>
      </w:pPr>
      <w:rPr>
        <w:rFonts w:hint="eastAsia"/>
        <w:color w:val="auto"/>
      </w:rPr>
    </w:lvl>
    <w:lvl w:ilvl="1" w:tentative="0">
      <w:start w:val="2"/>
      <w:numFmt w:val="decimal"/>
      <w:isLgl/>
      <w:lvlText w:val="%1.%2"/>
      <w:lvlJc w:val="left"/>
      <w:pPr>
        <w:ind w:left="630" w:hanging="630"/>
      </w:pPr>
      <w:rPr>
        <w:rFonts w:hint="default" w:ascii="黑体" w:hAnsi="黑体" w:eastAsia="黑体"/>
      </w:rPr>
    </w:lvl>
    <w:lvl w:ilvl="2" w:tentative="0">
      <w:start w:val="1"/>
      <w:numFmt w:val="decimal"/>
      <w:isLgl/>
      <w:lvlText w:val="%1.%2.%3"/>
      <w:lvlJc w:val="left"/>
      <w:pPr>
        <w:ind w:left="720" w:hanging="720"/>
      </w:pPr>
      <w:rPr>
        <w:rFonts w:hint="default" w:ascii="黑体" w:hAnsi="黑体" w:eastAsia="黑体"/>
      </w:rPr>
    </w:lvl>
    <w:lvl w:ilvl="3" w:tentative="0">
      <w:start w:val="1"/>
      <w:numFmt w:val="decimal"/>
      <w:isLgl/>
      <w:lvlText w:val="%1.%2.%3.%4"/>
      <w:lvlJc w:val="left"/>
      <w:pPr>
        <w:ind w:left="1080" w:hanging="1080"/>
      </w:pPr>
      <w:rPr>
        <w:rFonts w:hint="default" w:ascii="黑体" w:hAnsi="黑体" w:eastAsia="黑体"/>
      </w:rPr>
    </w:lvl>
    <w:lvl w:ilvl="4" w:tentative="0">
      <w:start w:val="1"/>
      <w:numFmt w:val="decimal"/>
      <w:isLgl/>
      <w:lvlText w:val="%1.%2.%3.%4.%5"/>
      <w:lvlJc w:val="left"/>
      <w:pPr>
        <w:ind w:left="1080" w:hanging="1080"/>
      </w:pPr>
      <w:rPr>
        <w:rFonts w:hint="default" w:ascii="黑体" w:hAnsi="黑体" w:eastAsia="黑体"/>
      </w:rPr>
    </w:lvl>
    <w:lvl w:ilvl="5" w:tentative="0">
      <w:start w:val="1"/>
      <w:numFmt w:val="decimal"/>
      <w:isLgl/>
      <w:lvlText w:val="%1.%2.%3.%4.%5.%6"/>
      <w:lvlJc w:val="left"/>
      <w:pPr>
        <w:ind w:left="1440" w:hanging="1440"/>
      </w:pPr>
      <w:rPr>
        <w:rFonts w:hint="default" w:ascii="黑体" w:hAnsi="黑体" w:eastAsia="黑体"/>
      </w:rPr>
    </w:lvl>
    <w:lvl w:ilvl="6" w:tentative="0">
      <w:start w:val="1"/>
      <w:numFmt w:val="decimal"/>
      <w:isLgl/>
      <w:lvlText w:val="%1.%2.%3.%4.%5.%6.%7"/>
      <w:lvlJc w:val="left"/>
      <w:pPr>
        <w:ind w:left="1440" w:hanging="1440"/>
      </w:pPr>
      <w:rPr>
        <w:rFonts w:hint="default" w:ascii="黑体" w:hAnsi="黑体" w:eastAsia="黑体"/>
      </w:rPr>
    </w:lvl>
    <w:lvl w:ilvl="7" w:tentative="0">
      <w:start w:val="1"/>
      <w:numFmt w:val="decimal"/>
      <w:isLgl/>
      <w:lvlText w:val="%1.%2.%3.%4.%5.%6.%7.%8"/>
      <w:lvlJc w:val="left"/>
      <w:pPr>
        <w:ind w:left="1800" w:hanging="1800"/>
      </w:pPr>
      <w:rPr>
        <w:rFonts w:hint="default" w:ascii="黑体" w:hAnsi="黑体" w:eastAsia="黑体"/>
      </w:rPr>
    </w:lvl>
    <w:lvl w:ilvl="8" w:tentative="0">
      <w:start w:val="1"/>
      <w:numFmt w:val="decimal"/>
      <w:isLgl/>
      <w:lvlText w:val="%1.%2.%3.%4.%5.%6.%7.%8.%9"/>
      <w:lvlJc w:val="left"/>
      <w:pPr>
        <w:ind w:left="1800" w:hanging="1800"/>
      </w:pPr>
      <w:rPr>
        <w:rFonts w:hint="default" w:ascii="黑体" w:hAnsi="黑体" w:eastAsia="黑体"/>
      </w:rPr>
    </w:lvl>
  </w:abstractNum>
  <w:abstractNum w:abstractNumId="12">
    <w:nsid w:val="4B733A5F"/>
    <w:multiLevelType w:val="multilevel"/>
    <w:tmpl w:val="4B733A5F"/>
    <w:lvl w:ilvl="0" w:tentative="0">
      <w:start w:val="1"/>
      <w:numFmt w:val="decimal"/>
      <w:pStyle w:val="6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tentative="0">
      <w:start w:val="1"/>
      <w:numFmt w:val="decimal"/>
      <w:pStyle w:val="13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57AC33AE"/>
    <w:multiLevelType w:val="multilevel"/>
    <w:tmpl w:val="57AC33AE"/>
    <w:lvl w:ilvl="0" w:tentative="0">
      <w:start w:val="1"/>
      <w:numFmt w:val="lowerLetter"/>
      <w:lvlText w:val="%1)"/>
      <w:lvlJc w:val="left"/>
      <w:pPr>
        <w:ind w:left="780" w:hanging="360"/>
      </w:pPr>
      <w:rPr>
        <w:rFonts w:ascii="宋体" w:hAnsi="宋体" w:eastAsia="宋体"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0B55DC2"/>
    <w:multiLevelType w:val="multilevel"/>
    <w:tmpl w:val="60B55DC2"/>
    <w:lvl w:ilvl="0" w:tentative="0">
      <w:start w:val="1"/>
      <w:numFmt w:val="upperLetter"/>
      <w:pStyle w:val="89"/>
      <w:lvlText w:val="%1"/>
      <w:lvlJc w:val="left"/>
      <w:pPr>
        <w:tabs>
          <w:tab w:val="left" w:pos="0"/>
        </w:tabs>
        <w:ind w:left="0" w:hanging="425"/>
      </w:pPr>
      <w:rPr>
        <w:rFonts w:hint="eastAsia"/>
      </w:rPr>
    </w:lvl>
    <w:lvl w:ilvl="1" w:tentative="0">
      <w:start w:val="1"/>
      <w:numFmt w:val="decimal"/>
      <w:pStyle w:val="90"/>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57D3FBC"/>
    <w:multiLevelType w:val="multilevel"/>
    <w:tmpl w:val="657D3FBC"/>
    <w:lvl w:ilvl="0" w:tentative="0">
      <w:start w:val="1"/>
      <w:numFmt w:val="upperLetter"/>
      <w:pStyle w:val="8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6"/>
      <w:suff w:val="nothing"/>
      <w:lvlText w:val="%1.%2.%3　"/>
      <w:lvlJc w:val="left"/>
      <w:pPr>
        <w:ind w:left="0" w:firstLine="0"/>
      </w:pPr>
      <w:rPr>
        <w:rFonts w:hint="eastAsia" w:ascii="黑体" w:hAnsi="Times New Roman" w:eastAsia="黑体"/>
        <w:b w:val="0"/>
        <w:i w:val="0"/>
        <w:sz w:val="21"/>
      </w:rPr>
    </w:lvl>
    <w:lvl w:ilvl="3" w:tentative="0">
      <w:start w:val="1"/>
      <w:numFmt w:val="decimal"/>
      <w:pStyle w:val="91"/>
      <w:suff w:val="nothing"/>
      <w:lvlText w:val="%1.%2.%3.%4　"/>
      <w:lvlJc w:val="left"/>
      <w:pPr>
        <w:ind w:left="0" w:firstLine="0"/>
      </w:pPr>
      <w:rPr>
        <w:rFonts w:hint="eastAsia" w:ascii="黑体" w:hAnsi="Times New Roman" w:eastAsia="黑体"/>
        <w:b w:val="0"/>
        <w:i w:val="0"/>
        <w:sz w:val="21"/>
      </w:rPr>
    </w:lvl>
    <w:lvl w:ilvl="4" w:tentative="0">
      <w:start w:val="1"/>
      <w:numFmt w:val="decimal"/>
      <w:pStyle w:val="96"/>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10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08"/>
      <w:lvlText w:val="%1)"/>
      <w:lvlJc w:val="left"/>
      <w:pPr>
        <w:tabs>
          <w:tab w:val="left" w:pos="839"/>
        </w:tabs>
        <w:ind w:left="839" w:hanging="419"/>
      </w:pPr>
      <w:rPr>
        <w:rFonts w:hint="eastAsia" w:ascii="宋体" w:eastAsia="宋体"/>
        <w:b w:val="0"/>
        <w:i w:val="0"/>
        <w:sz w:val="21"/>
      </w:rPr>
    </w:lvl>
    <w:lvl w:ilvl="1" w:tentative="0">
      <w:start w:val="1"/>
      <w:numFmt w:val="decimal"/>
      <w:pStyle w:val="9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6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6FEB54F0"/>
    <w:multiLevelType w:val="multilevel"/>
    <w:tmpl w:val="6FEB54F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pStyle w:val="3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8"/>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10"/>
  </w:num>
  <w:num w:numId="6">
    <w:abstractNumId w:val="18"/>
  </w:num>
  <w:num w:numId="7">
    <w:abstractNumId w:val="1"/>
  </w:num>
  <w:num w:numId="8">
    <w:abstractNumId w:val="12"/>
  </w:num>
  <w:num w:numId="9">
    <w:abstractNumId w:val="5"/>
  </w:num>
  <w:num w:numId="10">
    <w:abstractNumId w:val="16"/>
  </w:num>
  <w:num w:numId="11">
    <w:abstractNumId w:val="15"/>
  </w:num>
  <w:num w:numId="12">
    <w:abstractNumId w:val="17"/>
  </w:num>
  <w:num w:numId="13">
    <w:abstractNumId w:val="6"/>
  </w:num>
  <w:num w:numId="14">
    <w:abstractNumId w:val="2"/>
  </w:num>
  <w:num w:numId="15">
    <w:abstractNumId w:val="4"/>
  </w:num>
  <w:num w:numId="16">
    <w:abstractNumId w:val="13"/>
  </w:num>
  <w:num w:numId="17">
    <w:abstractNumId w:val="0"/>
  </w:num>
  <w:num w:numId="18">
    <w:abstractNumId w:val="11"/>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YxNDk3ZWFkNmRhNWE5ODMzNzE5OTQxMTA3M2NjZDkifQ=="/>
  </w:docVars>
  <w:rsids>
    <w:rsidRoot w:val="00172A27"/>
    <w:rsid w:val="00000244"/>
    <w:rsid w:val="000007D2"/>
    <w:rsid w:val="0000185F"/>
    <w:rsid w:val="0000586F"/>
    <w:rsid w:val="00011107"/>
    <w:rsid w:val="00013D86"/>
    <w:rsid w:val="00013E02"/>
    <w:rsid w:val="00015AD6"/>
    <w:rsid w:val="0002143C"/>
    <w:rsid w:val="00021F4A"/>
    <w:rsid w:val="0002386A"/>
    <w:rsid w:val="00025A65"/>
    <w:rsid w:val="00026C31"/>
    <w:rsid w:val="00027280"/>
    <w:rsid w:val="00027646"/>
    <w:rsid w:val="00031BDE"/>
    <w:rsid w:val="000320A7"/>
    <w:rsid w:val="00032B64"/>
    <w:rsid w:val="00033EAC"/>
    <w:rsid w:val="000342F2"/>
    <w:rsid w:val="00035925"/>
    <w:rsid w:val="00035EA5"/>
    <w:rsid w:val="000406F0"/>
    <w:rsid w:val="00045AEA"/>
    <w:rsid w:val="00053F01"/>
    <w:rsid w:val="00056A6B"/>
    <w:rsid w:val="00056C60"/>
    <w:rsid w:val="00057C16"/>
    <w:rsid w:val="00067B30"/>
    <w:rsid w:val="00067CDF"/>
    <w:rsid w:val="00070FED"/>
    <w:rsid w:val="00072A37"/>
    <w:rsid w:val="000735D3"/>
    <w:rsid w:val="00074193"/>
    <w:rsid w:val="00074FBE"/>
    <w:rsid w:val="00082335"/>
    <w:rsid w:val="00082689"/>
    <w:rsid w:val="00083A09"/>
    <w:rsid w:val="0009005E"/>
    <w:rsid w:val="000911B0"/>
    <w:rsid w:val="00092857"/>
    <w:rsid w:val="00093CBA"/>
    <w:rsid w:val="0009402B"/>
    <w:rsid w:val="00096CF9"/>
    <w:rsid w:val="000973C3"/>
    <w:rsid w:val="000973DA"/>
    <w:rsid w:val="000976FF"/>
    <w:rsid w:val="00097AEE"/>
    <w:rsid w:val="000A0483"/>
    <w:rsid w:val="000A1B6D"/>
    <w:rsid w:val="000A20A9"/>
    <w:rsid w:val="000A48B1"/>
    <w:rsid w:val="000A7935"/>
    <w:rsid w:val="000B2103"/>
    <w:rsid w:val="000B3143"/>
    <w:rsid w:val="000B5D17"/>
    <w:rsid w:val="000C677C"/>
    <w:rsid w:val="000C6B05"/>
    <w:rsid w:val="000C6DD6"/>
    <w:rsid w:val="000C73D4"/>
    <w:rsid w:val="000D0B73"/>
    <w:rsid w:val="000D3D4C"/>
    <w:rsid w:val="000D3E09"/>
    <w:rsid w:val="000D4F51"/>
    <w:rsid w:val="000D703C"/>
    <w:rsid w:val="000D718B"/>
    <w:rsid w:val="000E0C46"/>
    <w:rsid w:val="000E108A"/>
    <w:rsid w:val="000E3CFA"/>
    <w:rsid w:val="000E6F73"/>
    <w:rsid w:val="000F030C"/>
    <w:rsid w:val="000F129C"/>
    <w:rsid w:val="000F1ABD"/>
    <w:rsid w:val="000F5E7C"/>
    <w:rsid w:val="000F6B60"/>
    <w:rsid w:val="00102B74"/>
    <w:rsid w:val="00102B7C"/>
    <w:rsid w:val="00102C88"/>
    <w:rsid w:val="001056DE"/>
    <w:rsid w:val="00107C50"/>
    <w:rsid w:val="001124C0"/>
    <w:rsid w:val="00113192"/>
    <w:rsid w:val="001139F4"/>
    <w:rsid w:val="00116795"/>
    <w:rsid w:val="001176B7"/>
    <w:rsid w:val="0013175F"/>
    <w:rsid w:val="00132536"/>
    <w:rsid w:val="00133058"/>
    <w:rsid w:val="00143370"/>
    <w:rsid w:val="00150E08"/>
    <w:rsid w:val="001511E1"/>
    <w:rsid w:val="001512B4"/>
    <w:rsid w:val="001563FA"/>
    <w:rsid w:val="00156B07"/>
    <w:rsid w:val="001620A5"/>
    <w:rsid w:val="0016225F"/>
    <w:rsid w:val="0016370D"/>
    <w:rsid w:val="00164B49"/>
    <w:rsid w:val="00164E53"/>
    <w:rsid w:val="0016699D"/>
    <w:rsid w:val="001677B2"/>
    <w:rsid w:val="001678BB"/>
    <w:rsid w:val="00171149"/>
    <w:rsid w:val="001723B3"/>
    <w:rsid w:val="00172A27"/>
    <w:rsid w:val="00175159"/>
    <w:rsid w:val="00176208"/>
    <w:rsid w:val="00177569"/>
    <w:rsid w:val="0018211B"/>
    <w:rsid w:val="0018274A"/>
    <w:rsid w:val="001832D8"/>
    <w:rsid w:val="001840D3"/>
    <w:rsid w:val="001855C6"/>
    <w:rsid w:val="00185784"/>
    <w:rsid w:val="00185C8C"/>
    <w:rsid w:val="001900F8"/>
    <w:rsid w:val="001902AE"/>
    <w:rsid w:val="00191258"/>
    <w:rsid w:val="001922DF"/>
    <w:rsid w:val="00192680"/>
    <w:rsid w:val="00193037"/>
    <w:rsid w:val="00193A2C"/>
    <w:rsid w:val="001942FC"/>
    <w:rsid w:val="001A288E"/>
    <w:rsid w:val="001A29D6"/>
    <w:rsid w:val="001B11C3"/>
    <w:rsid w:val="001B1E3B"/>
    <w:rsid w:val="001B1E9B"/>
    <w:rsid w:val="001B5C59"/>
    <w:rsid w:val="001B6DC2"/>
    <w:rsid w:val="001B79DA"/>
    <w:rsid w:val="001C0D55"/>
    <w:rsid w:val="001C149C"/>
    <w:rsid w:val="001C21AC"/>
    <w:rsid w:val="001C2B54"/>
    <w:rsid w:val="001C47BA"/>
    <w:rsid w:val="001C59EA"/>
    <w:rsid w:val="001D406C"/>
    <w:rsid w:val="001D41EE"/>
    <w:rsid w:val="001E0380"/>
    <w:rsid w:val="001E13B1"/>
    <w:rsid w:val="001E24AC"/>
    <w:rsid w:val="001E2F7E"/>
    <w:rsid w:val="001E4BE3"/>
    <w:rsid w:val="001F04C8"/>
    <w:rsid w:val="001F12F6"/>
    <w:rsid w:val="001F2E61"/>
    <w:rsid w:val="001F3A19"/>
    <w:rsid w:val="001F4178"/>
    <w:rsid w:val="001F45BB"/>
    <w:rsid w:val="00213EFD"/>
    <w:rsid w:val="00215491"/>
    <w:rsid w:val="00216646"/>
    <w:rsid w:val="00216D2A"/>
    <w:rsid w:val="00221113"/>
    <w:rsid w:val="00224BA5"/>
    <w:rsid w:val="0022537D"/>
    <w:rsid w:val="00230F64"/>
    <w:rsid w:val="00234467"/>
    <w:rsid w:val="00237D8D"/>
    <w:rsid w:val="00241DA2"/>
    <w:rsid w:val="0024303C"/>
    <w:rsid w:val="00247875"/>
    <w:rsid w:val="00247FEE"/>
    <w:rsid w:val="002503A7"/>
    <w:rsid w:val="00250E7D"/>
    <w:rsid w:val="002565D5"/>
    <w:rsid w:val="00260BCB"/>
    <w:rsid w:val="002622C0"/>
    <w:rsid w:val="00262E7B"/>
    <w:rsid w:val="00263ECE"/>
    <w:rsid w:val="00264321"/>
    <w:rsid w:val="002656BC"/>
    <w:rsid w:val="002674DC"/>
    <w:rsid w:val="00270637"/>
    <w:rsid w:val="00273653"/>
    <w:rsid w:val="002758B1"/>
    <w:rsid w:val="002778AE"/>
    <w:rsid w:val="00277D2B"/>
    <w:rsid w:val="00280A52"/>
    <w:rsid w:val="0028269A"/>
    <w:rsid w:val="00283590"/>
    <w:rsid w:val="002838FB"/>
    <w:rsid w:val="002847B5"/>
    <w:rsid w:val="0028482E"/>
    <w:rsid w:val="00284D2E"/>
    <w:rsid w:val="002857B0"/>
    <w:rsid w:val="0028655B"/>
    <w:rsid w:val="00286973"/>
    <w:rsid w:val="00287980"/>
    <w:rsid w:val="0029194C"/>
    <w:rsid w:val="00294E70"/>
    <w:rsid w:val="002A07FA"/>
    <w:rsid w:val="002A1528"/>
    <w:rsid w:val="002A1924"/>
    <w:rsid w:val="002A3BEC"/>
    <w:rsid w:val="002A6D5E"/>
    <w:rsid w:val="002A7420"/>
    <w:rsid w:val="002B003B"/>
    <w:rsid w:val="002B023D"/>
    <w:rsid w:val="002B0F12"/>
    <w:rsid w:val="002B1308"/>
    <w:rsid w:val="002B4554"/>
    <w:rsid w:val="002B4EEE"/>
    <w:rsid w:val="002B5A91"/>
    <w:rsid w:val="002C1D71"/>
    <w:rsid w:val="002C3891"/>
    <w:rsid w:val="002C4261"/>
    <w:rsid w:val="002C4891"/>
    <w:rsid w:val="002C5773"/>
    <w:rsid w:val="002C5D9D"/>
    <w:rsid w:val="002C6F1A"/>
    <w:rsid w:val="002C7146"/>
    <w:rsid w:val="002C72D8"/>
    <w:rsid w:val="002D11FA"/>
    <w:rsid w:val="002D4067"/>
    <w:rsid w:val="002D6351"/>
    <w:rsid w:val="002D67C9"/>
    <w:rsid w:val="002D6A44"/>
    <w:rsid w:val="002D7CCB"/>
    <w:rsid w:val="002E0DDF"/>
    <w:rsid w:val="002E1886"/>
    <w:rsid w:val="002E19AC"/>
    <w:rsid w:val="002E2906"/>
    <w:rsid w:val="002E5635"/>
    <w:rsid w:val="002E63E9"/>
    <w:rsid w:val="002E64C3"/>
    <w:rsid w:val="002E6A2C"/>
    <w:rsid w:val="002E7B15"/>
    <w:rsid w:val="002F019F"/>
    <w:rsid w:val="002F1D8C"/>
    <w:rsid w:val="002F21DA"/>
    <w:rsid w:val="002F3DF0"/>
    <w:rsid w:val="002F45A5"/>
    <w:rsid w:val="002F4B8A"/>
    <w:rsid w:val="00301F39"/>
    <w:rsid w:val="00303030"/>
    <w:rsid w:val="00313C8E"/>
    <w:rsid w:val="00314768"/>
    <w:rsid w:val="00315A25"/>
    <w:rsid w:val="00316218"/>
    <w:rsid w:val="00320EAC"/>
    <w:rsid w:val="00325926"/>
    <w:rsid w:val="00327A8A"/>
    <w:rsid w:val="00333B21"/>
    <w:rsid w:val="00336610"/>
    <w:rsid w:val="00343F73"/>
    <w:rsid w:val="00344571"/>
    <w:rsid w:val="00345060"/>
    <w:rsid w:val="00345846"/>
    <w:rsid w:val="003458B4"/>
    <w:rsid w:val="00345AAB"/>
    <w:rsid w:val="00345E65"/>
    <w:rsid w:val="0035323B"/>
    <w:rsid w:val="00353FA6"/>
    <w:rsid w:val="003561FC"/>
    <w:rsid w:val="00357EDC"/>
    <w:rsid w:val="003609D2"/>
    <w:rsid w:val="0036321D"/>
    <w:rsid w:val="003632BA"/>
    <w:rsid w:val="00363F22"/>
    <w:rsid w:val="00364177"/>
    <w:rsid w:val="003672EF"/>
    <w:rsid w:val="00375564"/>
    <w:rsid w:val="00381344"/>
    <w:rsid w:val="0038298C"/>
    <w:rsid w:val="00383191"/>
    <w:rsid w:val="00384A68"/>
    <w:rsid w:val="00385510"/>
    <w:rsid w:val="00386DED"/>
    <w:rsid w:val="0038798C"/>
    <w:rsid w:val="003912E7"/>
    <w:rsid w:val="00393947"/>
    <w:rsid w:val="003A2275"/>
    <w:rsid w:val="003A311B"/>
    <w:rsid w:val="003A5F1C"/>
    <w:rsid w:val="003A6A4F"/>
    <w:rsid w:val="003A7088"/>
    <w:rsid w:val="003A770D"/>
    <w:rsid w:val="003B00DF"/>
    <w:rsid w:val="003B0E42"/>
    <w:rsid w:val="003B1275"/>
    <w:rsid w:val="003B1778"/>
    <w:rsid w:val="003B4D0C"/>
    <w:rsid w:val="003C11CB"/>
    <w:rsid w:val="003C1C92"/>
    <w:rsid w:val="003C4CCB"/>
    <w:rsid w:val="003C519A"/>
    <w:rsid w:val="003C75F3"/>
    <w:rsid w:val="003C78A3"/>
    <w:rsid w:val="003D0C53"/>
    <w:rsid w:val="003D5C1B"/>
    <w:rsid w:val="003E14F9"/>
    <w:rsid w:val="003E1867"/>
    <w:rsid w:val="003E361A"/>
    <w:rsid w:val="003E44E1"/>
    <w:rsid w:val="003E5729"/>
    <w:rsid w:val="003E6B50"/>
    <w:rsid w:val="003F4EA1"/>
    <w:rsid w:val="003F4EE0"/>
    <w:rsid w:val="003F7E0D"/>
    <w:rsid w:val="00402153"/>
    <w:rsid w:val="00402E90"/>
    <w:rsid w:val="00402FC1"/>
    <w:rsid w:val="00403802"/>
    <w:rsid w:val="004058EB"/>
    <w:rsid w:val="0040701D"/>
    <w:rsid w:val="00407859"/>
    <w:rsid w:val="004122B3"/>
    <w:rsid w:val="004123FB"/>
    <w:rsid w:val="00414AEA"/>
    <w:rsid w:val="00421E34"/>
    <w:rsid w:val="00422A11"/>
    <w:rsid w:val="004240F5"/>
    <w:rsid w:val="004245F4"/>
    <w:rsid w:val="00425082"/>
    <w:rsid w:val="00431DEB"/>
    <w:rsid w:val="00432BB9"/>
    <w:rsid w:val="00434213"/>
    <w:rsid w:val="00435366"/>
    <w:rsid w:val="004356AF"/>
    <w:rsid w:val="00441006"/>
    <w:rsid w:val="00441961"/>
    <w:rsid w:val="004423D7"/>
    <w:rsid w:val="00443AE6"/>
    <w:rsid w:val="0044584E"/>
    <w:rsid w:val="00446B29"/>
    <w:rsid w:val="00450B0B"/>
    <w:rsid w:val="00451865"/>
    <w:rsid w:val="00453F9A"/>
    <w:rsid w:val="00455125"/>
    <w:rsid w:val="00460F35"/>
    <w:rsid w:val="00462CAA"/>
    <w:rsid w:val="004649AB"/>
    <w:rsid w:val="00467D07"/>
    <w:rsid w:val="00467D09"/>
    <w:rsid w:val="00470549"/>
    <w:rsid w:val="00471E91"/>
    <w:rsid w:val="00471F35"/>
    <w:rsid w:val="00474675"/>
    <w:rsid w:val="0047470C"/>
    <w:rsid w:val="00474D32"/>
    <w:rsid w:val="00483E82"/>
    <w:rsid w:val="00485C11"/>
    <w:rsid w:val="00485CE5"/>
    <w:rsid w:val="00495C02"/>
    <w:rsid w:val="004A35F9"/>
    <w:rsid w:val="004A5953"/>
    <w:rsid w:val="004A705F"/>
    <w:rsid w:val="004B24C1"/>
    <w:rsid w:val="004B6191"/>
    <w:rsid w:val="004B7C3D"/>
    <w:rsid w:val="004B7C77"/>
    <w:rsid w:val="004C0154"/>
    <w:rsid w:val="004C1B03"/>
    <w:rsid w:val="004C1F96"/>
    <w:rsid w:val="004C292F"/>
    <w:rsid w:val="004C2A39"/>
    <w:rsid w:val="004C3D9A"/>
    <w:rsid w:val="004C5980"/>
    <w:rsid w:val="004D3A26"/>
    <w:rsid w:val="004D3ACC"/>
    <w:rsid w:val="004D3EB8"/>
    <w:rsid w:val="004D45DF"/>
    <w:rsid w:val="004D645E"/>
    <w:rsid w:val="004D79BF"/>
    <w:rsid w:val="004E045B"/>
    <w:rsid w:val="004E363E"/>
    <w:rsid w:val="004E3F0E"/>
    <w:rsid w:val="004E4773"/>
    <w:rsid w:val="004E490D"/>
    <w:rsid w:val="004E568C"/>
    <w:rsid w:val="004E5AB3"/>
    <w:rsid w:val="004F346D"/>
    <w:rsid w:val="004F4201"/>
    <w:rsid w:val="00510280"/>
    <w:rsid w:val="00510F17"/>
    <w:rsid w:val="00511118"/>
    <w:rsid w:val="00511BA9"/>
    <w:rsid w:val="00513D73"/>
    <w:rsid w:val="00513E54"/>
    <w:rsid w:val="00514A43"/>
    <w:rsid w:val="0051543B"/>
    <w:rsid w:val="005161D7"/>
    <w:rsid w:val="005174E5"/>
    <w:rsid w:val="00521E4F"/>
    <w:rsid w:val="00522393"/>
    <w:rsid w:val="00522620"/>
    <w:rsid w:val="00525656"/>
    <w:rsid w:val="005274E6"/>
    <w:rsid w:val="00527A35"/>
    <w:rsid w:val="005308C6"/>
    <w:rsid w:val="00534A1B"/>
    <w:rsid w:val="00534C02"/>
    <w:rsid w:val="005408A7"/>
    <w:rsid w:val="0054264B"/>
    <w:rsid w:val="00542B40"/>
    <w:rsid w:val="00543786"/>
    <w:rsid w:val="005474BB"/>
    <w:rsid w:val="00547603"/>
    <w:rsid w:val="00547DDF"/>
    <w:rsid w:val="00551DBD"/>
    <w:rsid w:val="005533D7"/>
    <w:rsid w:val="00556DFB"/>
    <w:rsid w:val="005632FC"/>
    <w:rsid w:val="00563BFD"/>
    <w:rsid w:val="0056738D"/>
    <w:rsid w:val="00567C14"/>
    <w:rsid w:val="005703DE"/>
    <w:rsid w:val="00576508"/>
    <w:rsid w:val="0057762F"/>
    <w:rsid w:val="00582165"/>
    <w:rsid w:val="005823BA"/>
    <w:rsid w:val="0058464E"/>
    <w:rsid w:val="005862BE"/>
    <w:rsid w:val="00594248"/>
    <w:rsid w:val="005A01CB"/>
    <w:rsid w:val="005A28F3"/>
    <w:rsid w:val="005A3B3F"/>
    <w:rsid w:val="005A58FF"/>
    <w:rsid w:val="005A5EAF"/>
    <w:rsid w:val="005A604B"/>
    <w:rsid w:val="005A64C0"/>
    <w:rsid w:val="005A73B2"/>
    <w:rsid w:val="005A7D86"/>
    <w:rsid w:val="005A7F2C"/>
    <w:rsid w:val="005B2C7B"/>
    <w:rsid w:val="005B3A29"/>
    <w:rsid w:val="005B3A76"/>
    <w:rsid w:val="005B3C11"/>
    <w:rsid w:val="005B65AC"/>
    <w:rsid w:val="005C177F"/>
    <w:rsid w:val="005C18EE"/>
    <w:rsid w:val="005C1C28"/>
    <w:rsid w:val="005C25F5"/>
    <w:rsid w:val="005C27B9"/>
    <w:rsid w:val="005C4220"/>
    <w:rsid w:val="005C6DB5"/>
    <w:rsid w:val="005C6FC2"/>
    <w:rsid w:val="005D0F7E"/>
    <w:rsid w:val="005D29D2"/>
    <w:rsid w:val="005D677A"/>
    <w:rsid w:val="005D6B6D"/>
    <w:rsid w:val="005E19E7"/>
    <w:rsid w:val="005E1DA2"/>
    <w:rsid w:val="005E5D12"/>
    <w:rsid w:val="005F068F"/>
    <w:rsid w:val="005F281E"/>
    <w:rsid w:val="005F5202"/>
    <w:rsid w:val="005F7580"/>
    <w:rsid w:val="00604F20"/>
    <w:rsid w:val="00615672"/>
    <w:rsid w:val="0061571C"/>
    <w:rsid w:val="0061716C"/>
    <w:rsid w:val="00617C5E"/>
    <w:rsid w:val="006230EA"/>
    <w:rsid w:val="006239DF"/>
    <w:rsid w:val="00623C93"/>
    <w:rsid w:val="006243A1"/>
    <w:rsid w:val="00632E56"/>
    <w:rsid w:val="0063315E"/>
    <w:rsid w:val="00635CBA"/>
    <w:rsid w:val="00636E40"/>
    <w:rsid w:val="00637A59"/>
    <w:rsid w:val="0064338B"/>
    <w:rsid w:val="00645C38"/>
    <w:rsid w:val="00646542"/>
    <w:rsid w:val="0064719F"/>
    <w:rsid w:val="006504F4"/>
    <w:rsid w:val="00650C79"/>
    <w:rsid w:val="00651790"/>
    <w:rsid w:val="006536B0"/>
    <w:rsid w:val="00654BC9"/>
    <w:rsid w:val="006552FD"/>
    <w:rsid w:val="006562E4"/>
    <w:rsid w:val="00656F27"/>
    <w:rsid w:val="006601B3"/>
    <w:rsid w:val="00660BCE"/>
    <w:rsid w:val="00661749"/>
    <w:rsid w:val="00661938"/>
    <w:rsid w:val="00663356"/>
    <w:rsid w:val="00663AF3"/>
    <w:rsid w:val="00665669"/>
    <w:rsid w:val="00666B6C"/>
    <w:rsid w:val="006704D9"/>
    <w:rsid w:val="0067097E"/>
    <w:rsid w:val="00671F31"/>
    <w:rsid w:val="00672CFB"/>
    <w:rsid w:val="00674527"/>
    <w:rsid w:val="006802F3"/>
    <w:rsid w:val="0068237B"/>
    <w:rsid w:val="00682682"/>
    <w:rsid w:val="00682702"/>
    <w:rsid w:val="006914EA"/>
    <w:rsid w:val="00691E21"/>
    <w:rsid w:val="00692368"/>
    <w:rsid w:val="006945FB"/>
    <w:rsid w:val="006947B1"/>
    <w:rsid w:val="00696DE6"/>
    <w:rsid w:val="006A2EBC"/>
    <w:rsid w:val="006A52A9"/>
    <w:rsid w:val="006A5EA0"/>
    <w:rsid w:val="006A6F64"/>
    <w:rsid w:val="006A783B"/>
    <w:rsid w:val="006A78C1"/>
    <w:rsid w:val="006A7B33"/>
    <w:rsid w:val="006B4BE6"/>
    <w:rsid w:val="006B4E13"/>
    <w:rsid w:val="006B75DD"/>
    <w:rsid w:val="006C149F"/>
    <w:rsid w:val="006C67E0"/>
    <w:rsid w:val="006C7ABA"/>
    <w:rsid w:val="006C7D7F"/>
    <w:rsid w:val="006D0578"/>
    <w:rsid w:val="006D0D60"/>
    <w:rsid w:val="006D1122"/>
    <w:rsid w:val="006D1933"/>
    <w:rsid w:val="006D2B37"/>
    <w:rsid w:val="006D3C00"/>
    <w:rsid w:val="006D66C6"/>
    <w:rsid w:val="006D719D"/>
    <w:rsid w:val="006E0739"/>
    <w:rsid w:val="006E2508"/>
    <w:rsid w:val="006E3675"/>
    <w:rsid w:val="006E4A7F"/>
    <w:rsid w:val="006F11CC"/>
    <w:rsid w:val="006F11DE"/>
    <w:rsid w:val="006F2A4C"/>
    <w:rsid w:val="006F2BB6"/>
    <w:rsid w:val="006F3B58"/>
    <w:rsid w:val="006F44D6"/>
    <w:rsid w:val="0070045B"/>
    <w:rsid w:val="00700E9C"/>
    <w:rsid w:val="007028BF"/>
    <w:rsid w:val="007039F5"/>
    <w:rsid w:val="00704DF6"/>
    <w:rsid w:val="00705356"/>
    <w:rsid w:val="0070651C"/>
    <w:rsid w:val="00707FE4"/>
    <w:rsid w:val="007132A3"/>
    <w:rsid w:val="00714A55"/>
    <w:rsid w:val="0071546E"/>
    <w:rsid w:val="00716421"/>
    <w:rsid w:val="00716657"/>
    <w:rsid w:val="00722A7F"/>
    <w:rsid w:val="007238BF"/>
    <w:rsid w:val="007246C2"/>
    <w:rsid w:val="00724EFB"/>
    <w:rsid w:val="007254C5"/>
    <w:rsid w:val="0072604B"/>
    <w:rsid w:val="007268BE"/>
    <w:rsid w:val="00727F77"/>
    <w:rsid w:val="00731DA3"/>
    <w:rsid w:val="007419C3"/>
    <w:rsid w:val="00743F1C"/>
    <w:rsid w:val="0074581A"/>
    <w:rsid w:val="007467A7"/>
    <w:rsid w:val="007469DD"/>
    <w:rsid w:val="0074741B"/>
    <w:rsid w:val="0074759E"/>
    <w:rsid w:val="007478D6"/>
    <w:rsid w:val="007478EA"/>
    <w:rsid w:val="00752FFC"/>
    <w:rsid w:val="0075415C"/>
    <w:rsid w:val="007572B2"/>
    <w:rsid w:val="0076140A"/>
    <w:rsid w:val="007614D7"/>
    <w:rsid w:val="00761F71"/>
    <w:rsid w:val="007625E4"/>
    <w:rsid w:val="007626BC"/>
    <w:rsid w:val="00762AAA"/>
    <w:rsid w:val="00763502"/>
    <w:rsid w:val="00770C0D"/>
    <w:rsid w:val="00774FB3"/>
    <w:rsid w:val="007759C1"/>
    <w:rsid w:val="00777BCC"/>
    <w:rsid w:val="00781056"/>
    <w:rsid w:val="007826C9"/>
    <w:rsid w:val="007841CF"/>
    <w:rsid w:val="0078639F"/>
    <w:rsid w:val="007913AB"/>
    <w:rsid w:val="007914F7"/>
    <w:rsid w:val="00792BE8"/>
    <w:rsid w:val="007947A4"/>
    <w:rsid w:val="007964D0"/>
    <w:rsid w:val="007965B0"/>
    <w:rsid w:val="00797A6C"/>
    <w:rsid w:val="007A1EFF"/>
    <w:rsid w:val="007A3233"/>
    <w:rsid w:val="007A5A87"/>
    <w:rsid w:val="007A6016"/>
    <w:rsid w:val="007A670E"/>
    <w:rsid w:val="007A6E42"/>
    <w:rsid w:val="007A73E4"/>
    <w:rsid w:val="007B1625"/>
    <w:rsid w:val="007B4D35"/>
    <w:rsid w:val="007B584C"/>
    <w:rsid w:val="007B6129"/>
    <w:rsid w:val="007B706E"/>
    <w:rsid w:val="007B71EB"/>
    <w:rsid w:val="007C194F"/>
    <w:rsid w:val="007C506B"/>
    <w:rsid w:val="007C6205"/>
    <w:rsid w:val="007C686A"/>
    <w:rsid w:val="007C728E"/>
    <w:rsid w:val="007C78DB"/>
    <w:rsid w:val="007D0325"/>
    <w:rsid w:val="007D2888"/>
    <w:rsid w:val="007D2C53"/>
    <w:rsid w:val="007D3D60"/>
    <w:rsid w:val="007D4A44"/>
    <w:rsid w:val="007D4C8F"/>
    <w:rsid w:val="007D5176"/>
    <w:rsid w:val="007E1980"/>
    <w:rsid w:val="007E37DE"/>
    <w:rsid w:val="007E4B76"/>
    <w:rsid w:val="007E5EA8"/>
    <w:rsid w:val="007E68D6"/>
    <w:rsid w:val="007E6CBA"/>
    <w:rsid w:val="007F0514"/>
    <w:rsid w:val="007F0BB9"/>
    <w:rsid w:val="007F0CF1"/>
    <w:rsid w:val="007F12A5"/>
    <w:rsid w:val="007F1EB7"/>
    <w:rsid w:val="007F25D7"/>
    <w:rsid w:val="007F2EEB"/>
    <w:rsid w:val="007F4CF1"/>
    <w:rsid w:val="007F5AF3"/>
    <w:rsid w:val="007F5D4E"/>
    <w:rsid w:val="007F758D"/>
    <w:rsid w:val="007F7D52"/>
    <w:rsid w:val="00800530"/>
    <w:rsid w:val="00801CE3"/>
    <w:rsid w:val="00803416"/>
    <w:rsid w:val="0080399C"/>
    <w:rsid w:val="0080654C"/>
    <w:rsid w:val="008071C6"/>
    <w:rsid w:val="008073FA"/>
    <w:rsid w:val="0081107F"/>
    <w:rsid w:val="0081581C"/>
    <w:rsid w:val="00817A00"/>
    <w:rsid w:val="00817D9F"/>
    <w:rsid w:val="008205A9"/>
    <w:rsid w:val="00821CBF"/>
    <w:rsid w:val="00821F44"/>
    <w:rsid w:val="0082323D"/>
    <w:rsid w:val="008236EF"/>
    <w:rsid w:val="00824CBB"/>
    <w:rsid w:val="00830F44"/>
    <w:rsid w:val="00834974"/>
    <w:rsid w:val="00835DB3"/>
    <w:rsid w:val="00835DE7"/>
    <w:rsid w:val="0083617B"/>
    <w:rsid w:val="008371BD"/>
    <w:rsid w:val="00846CF7"/>
    <w:rsid w:val="008504A8"/>
    <w:rsid w:val="0085282E"/>
    <w:rsid w:val="00852C65"/>
    <w:rsid w:val="00855FAF"/>
    <w:rsid w:val="008575D8"/>
    <w:rsid w:val="00862612"/>
    <w:rsid w:val="00863982"/>
    <w:rsid w:val="00864F47"/>
    <w:rsid w:val="0087198C"/>
    <w:rsid w:val="008724BA"/>
    <w:rsid w:val="00872C1F"/>
    <w:rsid w:val="00873B42"/>
    <w:rsid w:val="008749E4"/>
    <w:rsid w:val="00877D2E"/>
    <w:rsid w:val="00882197"/>
    <w:rsid w:val="008851BD"/>
    <w:rsid w:val="008856D8"/>
    <w:rsid w:val="00886462"/>
    <w:rsid w:val="00887EEA"/>
    <w:rsid w:val="00892E82"/>
    <w:rsid w:val="008A478E"/>
    <w:rsid w:val="008A4800"/>
    <w:rsid w:val="008A4A42"/>
    <w:rsid w:val="008A62C1"/>
    <w:rsid w:val="008A70E1"/>
    <w:rsid w:val="008B0C42"/>
    <w:rsid w:val="008B5DC2"/>
    <w:rsid w:val="008B7AE0"/>
    <w:rsid w:val="008C0FFC"/>
    <w:rsid w:val="008C1B58"/>
    <w:rsid w:val="008C1D10"/>
    <w:rsid w:val="008C29CC"/>
    <w:rsid w:val="008C35F6"/>
    <w:rsid w:val="008C39AE"/>
    <w:rsid w:val="008C590D"/>
    <w:rsid w:val="008C6C29"/>
    <w:rsid w:val="008C7F1C"/>
    <w:rsid w:val="008D30ED"/>
    <w:rsid w:val="008E031B"/>
    <w:rsid w:val="008E0BD7"/>
    <w:rsid w:val="008E3BB5"/>
    <w:rsid w:val="008E7029"/>
    <w:rsid w:val="008E7EF6"/>
    <w:rsid w:val="008F0E16"/>
    <w:rsid w:val="008F12CE"/>
    <w:rsid w:val="008F1F98"/>
    <w:rsid w:val="008F24FA"/>
    <w:rsid w:val="008F2782"/>
    <w:rsid w:val="008F586A"/>
    <w:rsid w:val="008F6758"/>
    <w:rsid w:val="008F7587"/>
    <w:rsid w:val="009040DD"/>
    <w:rsid w:val="00905B47"/>
    <w:rsid w:val="00912538"/>
    <w:rsid w:val="0091331C"/>
    <w:rsid w:val="0091631F"/>
    <w:rsid w:val="00923750"/>
    <w:rsid w:val="009279DE"/>
    <w:rsid w:val="00930116"/>
    <w:rsid w:val="009302F3"/>
    <w:rsid w:val="0093240A"/>
    <w:rsid w:val="0093281E"/>
    <w:rsid w:val="009335B9"/>
    <w:rsid w:val="00933DEC"/>
    <w:rsid w:val="0093436D"/>
    <w:rsid w:val="009365CB"/>
    <w:rsid w:val="00936969"/>
    <w:rsid w:val="00937445"/>
    <w:rsid w:val="00941E47"/>
    <w:rsid w:val="0094212C"/>
    <w:rsid w:val="009437F7"/>
    <w:rsid w:val="0095244D"/>
    <w:rsid w:val="009534A5"/>
    <w:rsid w:val="00953B13"/>
    <w:rsid w:val="00954689"/>
    <w:rsid w:val="00955B6F"/>
    <w:rsid w:val="009569CB"/>
    <w:rsid w:val="009617C9"/>
    <w:rsid w:val="00961C93"/>
    <w:rsid w:val="00962BD3"/>
    <w:rsid w:val="00965324"/>
    <w:rsid w:val="00965563"/>
    <w:rsid w:val="00966ECF"/>
    <w:rsid w:val="0097091E"/>
    <w:rsid w:val="00971D0F"/>
    <w:rsid w:val="00974AF6"/>
    <w:rsid w:val="009760D3"/>
    <w:rsid w:val="00977132"/>
    <w:rsid w:val="009772F6"/>
    <w:rsid w:val="00980052"/>
    <w:rsid w:val="0098067D"/>
    <w:rsid w:val="00981A4B"/>
    <w:rsid w:val="00982501"/>
    <w:rsid w:val="009850C3"/>
    <w:rsid w:val="009877D3"/>
    <w:rsid w:val="00987B50"/>
    <w:rsid w:val="00990A46"/>
    <w:rsid w:val="00990C80"/>
    <w:rsid w:val="00994E8F"/>
    <w:rsid w:val="009951DC"/>
    <w:rsid w:val="009959BB"/>
    <w:rsid w:val="00997158"/>
    <w:rsid w:val="009976E4"/>
    <w:rsid w:val="009A062C"/>
    <w:rsid w:val="009A0785"/>
    <w:rsid w:val="009A3A7C"/>
    <w:rsid w:val="009A51C7"/>
    <w:rsid w:val="009A5E2C"/>
    <w:rsid w:val="009B2ADB"/>
    <w:rsid w:val="009B3A05"/>
    <w:rsid w:val="009B432E"/>
    <w:rsid w:val="009B603A"/>
    <w:rsid w:val="009C0A29"/>
    <w:rsid w:val="009C116A"/>
    <w:rsid w:val="009C2AE0"/>
    <w:rsid w:val="009C2D0E"/>
    <w:rsid w:val="009C3DAC"/>
    <w:rsid w:val="009C4138"/>
    <w:rsid w:val="009C42E0"/>
    <w:rsid w:val="009C669B"/>
    <w:rsid w:val="009C7192"/>
    <w:rsid w:val="009C72D5"/>
    <w:rsid w:val="009C7C4E"/>
    <w:rsid w:val="009D31DC"/>
    <w:rsid w:val="009D5362"/>
    <w:rsid w:val="009D66FB"/>
    <w:rsid w:val="009D6A7C"/>
    <w:rsid w:val="009D6D8D"/>
    <w:rsid w:val="009E1415"/>
    <w:rsid w:val="009E2A98"/>
    <w:rsid w:val="009E4D11"/>
    <w:rsid w:val="009E6116"/>
    <w:rsid w:val="009F1D28"/>
    <w:rsid w:val="009F7AF9"/>
    <w:rsid w:val="00A02E43"/>
    <w:rsid w:val="00A0431C"/>
    <w:rsid w:val="00A065F9"/>
    <w:rsid w:val="00A069CB"/>
    <w:rsid w:val="00A07F34"/>
    <w:rsid w:val="00A156E5"/>
    <w:rsid w:val="00A22154"/>
    <w:rsid w:val="00A23012"/>
    <w:rsid w:val="00A25C38"/>
    <w:rsid w:val="00A31629"/>
    <w:rsid w:val="00A334D6"/>
    <w:rsid w:val="00A35532"/>
    <w:rsid w:val="00A3607E"/>
    <w:rsid w:val="00A36BBE"/>
    <w:rsid w:val="00A376E9"/>
    <w:rsid w:val="00A4307A"/>
    <w:rsid w:val="00A43806"/>
    <w:rsid w:val="00A43877"/>
    <w:rsid w:val="00A444AE"/>
    <w:rsid w:val="00A4470A"/>
    <w:rsid w:val="00A47EBB"/>
    <w:rsid w:val="00A50526"/>
    <w:rsid w:val="00A51CDD"/>
    <w:rsid w:val="00A525C7"/>
    <w:rsid w:val="00A53329"/>
    <w:rsid w:val="00A638CD"/>
    <w:rsid w:val="00A64A73"/>
    <w:rsid w:val="00A6730D"/>
    <w:rsid w:val="00A70C53"/>
    <w:rsid w:val="00A71625"/>
    <w:rsid w:val="00A71659"/>
    <w:rsid w:val="00A71B9B"/>
    <w:rsid w:val="00A73CDE"/>
    <w:rsid w:val="00A751C7"/>
    <w:rsid w:val="00A75422"/>
    <w:rsid w:val="00A7543C"/>
    <w:rsid w:val="00A759E3"/>
    <w:rsid w:val="00A819FD"/>
    <w:rsid w:val="00A81B70"/>
    <w:rsid w:val="00A81E4B"/>
    <w:rsid w:val="00A87844"/>
    <w:rsid w:val="00A92259"/>
    <w:rsid w:val="00A94092"/>
    <w:rsid w:val="00A9443E"/>
    <w:rsid w:val="00A9796E"/>
    <w:rsid w:val="00AA038C"/>
    <w:rsid w:val="00AA3849"/>
    <w:rsid w:val="00AA57BC"/>
    <w:rsid w:val="00AA7A09"/>
    <w:rsid w:val="00AB0858"/>
    <w:rsid w:val="00AB2C33"/>
    <w:rsid w:val="00AB3B50"/>
    <w:rsid w:val="00AB4277"/>
    <w:rsid w:val="00AB5386"/>
    <w:rsid w:val="00AC05B1"/>
    <w:rsid w:val="00AC105D"/>
    <w:rsid w:val="00AD1AA6"/>
    <w:rsid w:val="00AD356C"/>
    <w:rsid w:val="00AD5EFF"/>
    <w:rsid w:val="00AE015D"/>
    <w:rsid w:val="00AE09E2"/>
    <w:rsid w:val="00AE2914"/>
    <w:rsid w:val="00AE362B"/>
    <w:rsid w:val="00AE6D15"/>
    <w:rsid w:val="00AF2115"/>
    <w:rsid w:val="00AF2B3B"/>
    <w:rsid w:val="00AF5445"/>
    <w:rsid w:val="00AF70C4"/>
    <w:rsid w:val="00B01302"/>
    <w:rsid w:val="00B013F3"/>
    <w:rsid w:val="00B04182"/>
    <w:rsid w:val="00B07729"/>
    <w:rsid w:val="00B07AE3"/>
    <w:rsid w:val="00B11430"/>
    <w:rsid w:val="00B13902"/>
    <w:rsid w:val="00B17CB1"/>
    <w:rsid w:val="00B2474C"/>
    <w:rsid w:val="00B252CC"/>
    <w:rsid w:val="00B253D3"/>
    <w:rsid w:val="00B316E0"/>
    <w:rsid w:val="00B31F84"/>
    <w:rsid w:val="00B3515F"/>
    <w:rsid w:val="00B353EB"/>
    <w:rsid w:val="00B3780B"/>
    <w:rsid w:val="00B40FB2"/>
    <w:rsid w:val="00B413E5"/>
    <w:rsid w:val="00B416AA"/>
    <w:rsid w:val="00B41E72"/>
    <w:rsid w:val="00B4324D"/>
    <w:rsid w:val="00B439C4"/>
    <w:rsid w:val="00B43EB6"/>
    <w:rsid w:val="00B4420A"/>
    <w:rsid w:val="00B442D3"/>
    <w:rsid w:val="00B44869"/>
    <w:rsid w:val="00B449F1"/>
    <w:rsid w:val="00B44BD0"/>
    <w:rsid w:val="00B4535E"/>
    <w:rsid w:val="00B47BF0"/>
    <w:rsid w:val="00B52A8C"/>
    <w:rsid w:val="00B60F75"/>
    <w:rsid w:val="00B636A8"/>
    <w:rsid w:val="00B665C6"/>
    <w:rsid w:val="00B71AA4"/>
    <w:rsid w:val="00B73889"/>
    <w:rsid w:val="00B76494"/>
    <w:rsid w:val="00B7659C"/>
    <w:rsid w:val="00B805AF"/>
    <w:rsid w:val="00B80F3B"/>
    <w:rsid w:val="00B81093"/>
    <w:rsid w:val="00B81719"/>
    <w:rsid w:val="00B85352"/>
    <w:rsid w:val="00B859CD"/>
    <w:rsid w:val="00B869EC"/>
    <w:rsid w:val="00B92BD5"/>
    <w:rsid w:val="00B9397A"/>
    <w:rsid w:val="00B9633D"/>
    <w:rsid w:val="00BA1CA0"/>
    <w:rsid w:val="00BA2EBE"/>
    <w:rsid w:val="00BA38E8"/>
    <w:rsid w:val="00BA5AEB"/>
    <w:rsid w:val="00BA6854"/>
    <w:rsid w:val="00BB0F28"/>
    <w:rsid w:val="00BB291D"/>
    <w:rsid w:val="00BB458A"/>
    <w:rsid w:val="00BB4591"/>
    <w:rsid w:val="00BB49D5"/>
    <w:rsid w:val="00BB4C8D"/>
    <w:rsid w:val="00BB799B"/>
    <w:rsid w:val="00BB7DF0"/>
    <w:rsid w:val="00BC06AA"/>
    <w:rsid w:val="00BC094F"/>
    <w:rsid w:val="00BC09EE"/>
    <w:rsid w:val="00BC3490"/>
    <w:rsid w:val="00BC5BAC"/>
    <w:rsid w:val="00BC64F8"/>
    <w:rsid w:val="00BC6BF0"/>
    <w:rsid w:val="00BD00D3"/>
    <w:rsid w:val="00BD0830"/>
    <w:rsid w:val="00BD1659"/>
    <w:rsid w:val="00BD3AA9"/>
    <w:rsid w:val="00BD4A18"/>
    <w:rsid w:val="00BD6DB2"/>
    <w:rsid w:val="00BE00CC"/>
    <w:rsid w:val="00BE079D"/>
    <w:rsid w:val="00BE11CF"/>
    <w:rsid w:val="00BE21AB"/>
    <w:rsid w:val="00BE3F71"/>
    <w:rsid w:val="00BE4AF2"/>
    <w:rsid w:val="00BE55CB"/>
    <w:rsid w:val="00BE7105"/>
    <w:rsid w:val="00BF2CD1"/>
    <w:rsid w:val="00BF617A"/>
    <w:rsid w:val="00C02136"/>
    <w:rsid w:val="00C02915"/>
    <w:rsid w:val="00C0379D"/>
    <w:rsid w:val="00C03931"/>
    <w:rsid w:val="00C05FE3"/>
    <w:rsid w:val="00C075C3"/>
    <w:rsid w:val="00C1014A"/>
    <w:rsid w:val="00C108F8"/>
    <w:rsid w:val="00C15291"/>
    <w:rsid w:val="00C17BC8"/>
    <w:rsid w:val="00C2136D"/>
    <w:rsid w:val="00C214EE"/>
    <w:rsid w:val="00C2314B"/>
    <w:rsid w:val="00C24971"/>
    <w:rsid w:val="00C2586A"/>
    <w:rsid w:val="00C26BE5"/>
    <w:rsid w:val="00C26E4D"/>
    <w:rsid w:val="00C272B8"/>
    <w:rsid w:val="00C27909"/>
    <w:rsid w:val="00C27B03"/>
    <w:rsid w:val="00C30F22"/>
    <w:rsid w:val="00C314E1"/>
    <w:rsid w:val="00C32936"/>
    <w:rsid w:val="00C332D6"/>
    <w:rsid w:val="00C34011"/>
    <w:rsid w:val="00C34397"/>
    <w:rsid w:val="00C34578"/>
    <w:rsid w:val="00C35341"/>
    <w:rsid w:val="00C35EF2"/>
    <w:rsid w:val="00C36506"/>
    <w:rsid w:val="00C4095D"/>
    <w:rsid w:val="00C43BB8"/>
    <w:rsid w:val="00C46360"/>
    <w:rsid w:val="00C47C7F"/>
    <w:rsid w:val="00C51358"/>
    <w:rsid w:val="00C52689"/>
    <w:rsid w:val="00C53DC5"/>
    <w:rsid w:val="00C54C8A"/>
    <w:rsid w:val="00C554F3"/>
    <w:rsid w:val="00C601D2"/>
    <w:rsid w:val="00C654FC"/>
    <w:rsid w:val="00C657AB"/>
    <w:rsid w:val="00C65BCC"/>
    <w:rsid w:val="00C66970"/>
    <w:rsid w:val="00C73ECE"/>
    <w:rsid w:val="00C8691C"/>
    <w:rsid w:val="00C9297E"/>
    <w:rsid w:val="00C94300"/>
    <w:rsid w:val="00C9754B"/>
    <w:rsid w:val="00CA112C"/>
    <w:rsid w:val="00CA168A"/>
    <w:rsid w:val="00CA171E"/>
    <w:rsid w:val="00CA357E"/>
    <w:rsid w:val="00CA3C44"/>
    <w:rsid w:val="00CA41A0"/>
    <w:rsid w:val="00CA44F9"/>
    <w:rsid w:val="00CA4A69"/>
    <w:rsid w:val="00CA603C"/>
    <w:rsid w:val="00CB0AFE"/>
    <w:rsid w:val="00CB3617"/>
    <w:rsid w:val="00CB6135"/>
    <w:rsid w:val="00CB75B5"/>
    <w:rsid w:val="00CC138B"/>
    <w:rsid w:val="00CC249C"/>
    <w:rsid w:val="00CC3E0C"/>
    <w:rsid w:val="00CC58D3"/>
    <w:rsid w:val="00CC6DED"/>
    <w:rsid w:val="00CC784D"/>
    <w:rsid w:val="00CD2167"/>
    <w:rsid w:val="00CD6300"/>
    <w:rsid w:val="00CD7136"/>
    <w:rsid w:val="00CD7B6C"/>
    <w:rsid w:val="00CE1E98"/>
    <w:rsid w:val="00CE212E"/>
    <w:rsid w:val="00CE2137"/>
    <w:rsid w:val="00CE5C20"/>
    <w:rsid w:val="00CE5ED9"/>
    <w:rsid w:val="00CE6B9D"/>
    <w:rsid w:val="00CF1D1D"/>
    <w:rsid w:val="00CF2C01"/>
    <w:rsid w:val="00CF349B"/>
    <w:rsid w:val="00D0337B"/>
    <w:rsid w:val="00D05A34"/>
    <w:rsid w:val="00D079B2"/>
    <w:rsid w:val="00D11478"/>
    <w:rsid w:val="00D114E9"/>
    <w:rsid w:val="00D1291A"/>
    <w:rsid w:val="00D160ED"/>
    <w:rsid w:val="00D20699"/>
    <w:rsid w:val="00D22141"/>
    <w:rsid w:val="00D22845"/>
    <w:rsid w:val="00D23613"/>
    <w:rsid w:val="00D24F68"/>
    <w:rsid w:val="00D26827"/>
    <w:rsid w:val="00D31CF3"/>
    <w:rsid w:val="00D429C6"/>
    <w:rsid w:val="00D45B96"/>
    <w:rsid w:val="00D47748"/>
    <w:rsid w:val="00D47F36"/>
    <w:rsid w:val="00D51AF0"/>
    <w:rsid w:val="00D5311A"/>
    <w:rsid w:val="00D54CC3"/>
    <w:rsid w:val="00D5678B"/>
    <w:rsid w:val="00D6041A"/>
    <w:rsid w:val="00D62005"/>
    <w:rsid w:val="00D633EB"/>
    <w:rsid w:val="00D67DA6"/>
    <w:rsid w:val="00D725BA"/>
    <w:rsid w:val="00D72BB1"/>
    <w:rsid w:val="00D72BF8"/>
    <w:rsid w:val="00D82FF7"/>
    <w:rsid w:val="00D846E3"/>
    <w:rsid w:val="00D847FE"/>
    <w:rsid w:val="00D9296A"/>
    <w:rsid w:val="00D92BB6"/>
    <w:rsid w:val="00D964EA"/>
    <w:rsid w:val="00D966D0"/>
    <w:rsid w:val="00D973CC"/>
    <w:rsid w:val="00DA0B7E"/>
    <w:rsid w:val="00DA0C59"/>
    <w:rsid w:val="00DA3991"/>
    <w:rsid w:val="00DA505C"/>
    <w:rsid w:val="00DA7073"/>
    <w:rsid w:val="00DB152F"/>
    <w:rsid w:val="00DB7E6C"/>
    <w:rsid w:val="00DC03F2"/>
    <w:rsid w:val="00DC224E"/>
    <w:rsid w:val="00DC5AAD"/>
    <w:rsid w:val="00DD14DA"/>
    <w:rsid w:val="00DD5A29"/>
    <w:rsid w:val="00DD5D9D"/>
    <w:rsid w:val="00DE07BE"/>
    <w:rsid w:val="00DE2C79"/>
    <w:rsid w:val="00DE35CB"/>
    <w:rsid w:val="00DF13E9"/>
    <w:rsid w:val="00DF1E24"/>
    <w:rsid w:val="00DF21E9"/>
    <w:rsid w:val="00DF4669"/>
    <w:rsid w:val="00DF6822"/>
    <w:rsid w:val="00DF72B3"/>
    <w:rsid w:val="00E00896"/>
    <w:rsid w:val="00E00F14"/>
    <w:rsid w:val="00E01F68"/>
    <w:rsid w:val="00E04AAF"/>
    <w:rsid w:val="00E06386"/>
    <w:rsid w:val="00E0728D"/>
    <w:rsid w:val="00E07C31"/>
    <w:rsid w:val="00E10A64"/>
    <w:rsid w:val="00E13476"/>
    <w:rsid w:val="00E13547"/>
    <w:rsid w:val="00E13E44"/>
    <w:rsid w:val="00E2398E"/>
    <w:rsid w:val="00E24EB4"/>
    <w:rsid w:val="00E320ED"/>
    <w:rsid w:val="00E33650"/>
    <w:rsid w:val="00E33AFB"/>
    <w:rsid w:val="00E34218"/>
    <w:rsid w:val="00E35F8A"/>
    <w:rsid w:val="00E361EC"/>
    <w:rsid w:val="00E43F3A"/>
    <w:rsid w:val="00E45228"/>
    <w:rsid w:val="00E46282"/>
    <w:rsid w:val="00E50658"/>
    <w:rsid w:val="00E5216E"/>
    <w:rsid w:val="00E5724B"/>
    <w:rsid w:val="00E632F1"/>
    <w:rsid w:val="00E6480F"/>
    <w:rsid w:val="00E7041C"/>
    <w:rsid w:val="00E73F30"/>
    <w:rsid w:val="00E7583F"/>
    <w:rsid w:val="00E82344"/>
    <w:rsid w:val="00E84C82"/>
    <w:rsid w:val="00E84D64"/>
    <w:rsid w:val="00E87408"/>
    <w:rsid w:val="00E879F9"/>
    <w:rsid w:val="00E914C4"/>
    <w:rsid w:val="00E91CD2"/>
    <w:rsid w:val="00E934F5"/>
    <w:rsid w:val="00E9581B"/>
    <w:rsid w:val="00E95CAC"/>
    <w:rsid w:val="00E96961"/>
    <w:rsid w:val="00EA092A"/>
    <w:rsid w:val="00EA146C"/>
    <w:rsid w:val="00EA27C9"/>
    <w:rsid w:val="00EA5211"/>
    <w:rsid w:val="00EA5285"/>
    <w:rsid w:val="00EA72EC"/>
    <w:rsid w:val="00EB11CB"/>
    <w:rsid w:val="00EB2219"/>
    <w:rsid w:val="00EB275A"/>
    <w:rsid w:val="00EB6E41"/>
    <w:rsid w:val="00EB786A"/>
    <w:rsid w:val="00EC1578"/>
    <w:rsid w:val="00EC1C72"/>
    <w:rsid w:val="00EC22D9"/>
    <w:rsid w:val="00EC3CC9"/>
    <w:rsid w:val="00EC680A"/>
    <w:rsid w:val="00ED2242"/>
    <w:rsid w:val="00ED31F0"/>
    <w:rsid w:val="00ED3596"/>
    <w:rsid w:val="00ED794E"/>
    <w:rsid w:val="00EE0A6A"/>
    <w:rsid w:val="00EE1DF3"/>
    <w:rsid w:val="00EE2819"/>
    <w:rsid w:val="00EE2BED"/>
    <w:rsid w:val="00EE374B"/>
    <w:rsid w:val="00EE5A7F"/>
    <w:rsid w:val="00EE7133"/>
    <w:rsid w:val="00EE7636"/>
    <w:rsid w:val="00EF2586"/>
    <w:rsid w:val="00EF26C7"/>
    <w:rsid w:val="00EF2DD3"/>
    <w:rsid w:val="00EF2FAD"/>
    <w:rsid w:val="00EF768F"/>
    <w:rsid w:val="00F0124A"/>
    <w:rsid w:val="00F06FC1"/>
    <w:rsid w:val="00F1075A"/>
    <w:rsid w:val="00F109DC"/>
    <w:rsid w:val="00F10C4D"/>
    <w:rsid w:val="00F11BB5"/>
    <w:rsid w:val="00F11F9F"/>
    <w:rsid w:val="00F1417B"/>
    <w:rsid w:val="00F15F56"/>
    <w:rsid w:val="00F20323"/>
    <w:rsid w:val="00F208C3"/>
    <w:rsid w:val="00F31B08"/>
    <w:rsid w:val="00F33816"/>
    <w:rsid w:val="00F34B99"/>
    <w:rsid w:val="00F353A4"/>
    <w:rsid w:val="00F35C4B"/>
    <w:rsid w:val="00F4096E"/>
    <w:rsid w:val="00F43BA1"/>
    <w:rsid w:val="00F46FDC"/>
    <w:rsid w:val="00F52B3C"/>
    <w:rsid w:val="00F52DAB"/>
    <w:rsid w:val="00F543F0"/>
    <w:rsid w:val="00F54A34"/>
    <w:rsid w:val="00F62B70"/>
    <w:rsid w:val="00F64441"/>
    <w:rsid w:val="00F651C0"/>
    <w:rsid w:val="00F660E6"/>
    <w:rsid w:val="00F72B89"/>
    <w:rsid w:val="00F737BC"/>
    <w:rsid w:val="00F73BBC"/>
    <w:rsid w:val="00F74443"/>
    <w:rsid w:val="00F74608"/>
    <w:rsid w:val="00F7572E"/>
    <w:rsid w:val="00F81D29"/>
    <w:rsid w:val="00F871AD"/>
    <w:rsid w:val="00F87B2B"/>
    <w:rsid w:val="00F91C4D"/>
    <w:rsid w:val="00F92272"/>
    <w:rsid w:val="00F92FD9"/>
    <w:rsid w:val="00F934B5"/>
    <w:rsid w:val="00F936EC"/>
    <w:rsid w:val="00FA143E"/>
    <w:rsid w:val="00FA3021"/>
    <w:rsid w:val="00FA6684"/>
    <w:rsid w:val="00FA731E"/>
    <w:rsid w:val="00FB2B38"/>
    <w:rsid w:val="00FB2C8B"/>
    <w:rsid w:val="00FB2F7C"/>
    <w:rsid w:val="00FB302D"/>
    <w:rsid w:val="00FC1921"/>
    <w:rsid w:val="00FC6358"/>
    <w:rsid w:val="00FC7E22"/>
    <w:rsid w:val="00FD2E56"/>
    <w:rsid w:val="00FD320D"/>
    <w:rsid w:val="00FD6BF8"/>
    <w:rsid w:val="00FE10CE"/>
    <w:rsid w:val="00FE23DE"/>
    <w:rsid w:val="00FE531F"/>
    <w:rsid w:val="00FF252E"/>
    <w:rsid w:val="00FF25BA"/>
    <w:rsid w:val="00FF38A3"/>
    <w:rsid w:val="00FF4892"/>
    <w:rsid w:val="00FF68BF"/>
    <w:rsid w:val="00FF6FCB"/>
    <w:rsid w:val="00FF7C07"/>
    <w:rsid w:val="02A05F9B"/>
    <w:rsid w:val="034A78A9"/>
    <w:rsid w:val="03AE473D"/>
    <w:rsid w:val="04934A97"/>
    <w:rsid w:val="065A7E78"/>
    <w:rsid w:val="07434552"/>
    <w:rsid w:val="08DA133C"/>
    <w:rsid w:val="0B270413"/>
    <w:rsid w:val="0C31142C"/>
    <w:rsid w:val="0D3F2EB3"/>
    <w:rsid w:val="0E110869"/>
    <w:rsid w:val="10A20971"/>
    <w:rsid w:val="162F2FE6"/>
    <w:rsid w:val="16E30DEC"/>
    <w:rsid w:val="18395DDD"/>
    <w:rsid w:val="1A8C2119"/>
    <w:rsid w:val="1DEC3303"/>
    <w:rsid w:val="1FE779F9"/>
    <w:rsid w:val="29194841"/>
    <w:rsid w:val="2A110F2A"/>
    <w:rsid w:val="2E4F2F2D"/>
    <w:rsid w:val="2F123D08"/>
    <w:rsid w:val="2F7E3251"/>
    <w:rsid w:val="32BA00EF"/>
    <w:rsid w:val="35DD7031"/>
    <w:rsid w:val="38DB3D3B"/>
    <w:rsid w:val="396A50BF"/>
    <w:rsid w:val="39C22E82"/>
    <w:rsid w:val="3EB77760"/>
    <w:rsid w:val="44DA080C"/>
    <w:rsid w:val="463B3421"/>
    <w:rsid w:val="46410AC4"/>
    <w:rsid w:val="482F01F9"/>
    <w:rsid w:val="48C7608A"/>
    <w:rsid w:val="4B847DAE"/>
    <w:rsid w:val="4D6252EC"/>
    <w:rsid w:val="509A5455"/>
    <w:rsid w:val="51C71446"/>
    <w:rsid w:val="52555C12"/>
    <w:rsid w:val="53B271C1"/>
    <w:rsid w:val="53B55880"/>
    <w:rsid w:val="544F1492"/>
    <w:rsid w:val="56364784"/>
    <w:rsid w:val="59D17CD0"/>
    <w:rsid w:val="5DDE4221"/>
    <w:rsid w:val="610E263B"/>
    <w:rsid w:val="628D11A7"/>
    <w:rsid w:val="63104E6A"/>
    <w:rsid w:val="635C21B5"/>
    <w:rsid w:val="6373595F"/>
    <w:rsid w:val="648961FC"/>
    <w:rsid w:val="67810F1B"/>
    <w:rsid w:val="68984155"/>
    <w:rsid w:val="6A5B0152"/>
    <w:rsid w:val="6A5D37B2"/>
    <w:rsid w:val="6E053885"/>
    <w:rsid w:val="6E8E2312"/>
    <w:rsid w:val="70A32A5E"/>
    <w:rsid w:val="70BA58DD"/>
    <w:rsid w:val="71C13B33"/>
    <w:rsid w:val="74306383"/>
    <w:rsid w:val="76391AC6"/>
    <w:rsid w:val="76CF38E0"/>
    <w:rsid w:val="776E5735"/>
    <w:rsid w:val="78AA05EA"/>
    <w:rsid w:val="7AC6278D"/>
    <w:rsid w:val="7B4C161B"/>
    <w:rsid w:val="7EDA1521"/>
    <w:rsid w:val="7EF75A1F"/>
    <w:rsid w:val="7FAE44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AutoShape 4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qFormat="1" w:unhideWhenUsed="0" w:uiPriority="0" w:name="HTML Acronym"/>
    <w:lsdException w:uiPriority="0" w:name="HTML Address"/>
    <w:lsdException w:qFormat="1" w:unhideWhenUsed="0" w:uiPriority="0" w:name="HTML Cite"/>
    <w:lsdException w:qFormat="1" w:unhideWhenUsed="0"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0"/>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0"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142"/>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semiHidden/>
    <w:qFormat/>
    <w:uiPriority w:val="0"/>
    <w:pPr>
      <w:tabs>
        <w:tab w:val="right" w:leader="dot" w:pos="9242"/>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200"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0"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2"/>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Title"/>
    <w:basedOn w:val="1"/>
    <w:link w:val="168"/>
    <w:qFormat/>
    <w:uiPriority w:val="0"/>
    <w:pPr>
      <w:numPr>
        <w:ilvl w:val="2"/>
        <w:numId w:val="2"/>
      </w:numPr>
      <w:tabs>
        <w:tab w:val="clear" w:pos="0"/>
      </w:tabs>
      <w:spacing w:before="240" w:after="60"/>
      <w:ind w:left="0" w:firstLine="0"/>
      <w:jc w:val="center"/>
      <w:outlineLvl w:val="0"/>
    </w:pPr>
    <w:rPr>
      <w:rFonts w:ascii="Arial" w:hAnsi="Arial" w:cs="Arial"/>
      <w:b/>
      <w:bCs/>
      <w:sz w:val="32"/>
      <w:szCs w:val="32"/>
    </w:rPr>
  </w:style>
  <w:style w:type="paragraph" w:styleId="31">
    <w:name w:val="annotation subject"/>
    <w:basedOn w:val="7"/>
    <w:next w:val="7"/>
    <w:link w:val="141"/>
    <w:qFormat/>
    <w:uiPriority w:val="0"/>
    <w:rPr>
      <w:b/>
      <w:bCs/>
    </w:rPr>
  </w:style>
  <w:style w:type="table" w:styleId="33">
    <w:name w:val="Table Grid"/>
    <w:basedOn w:val="32"/>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endnote reference"/>
    <w:semiHidden/>
    <w:qFormat/>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FollowedHyperlink"/>
    <w:qFormat/>
    <w:uiPriority w:val="0"/>
    <w:rPr>
      <w:color w:val="800080"/>
      <w:u w:val="single"/>
    </w:rPr>
  </w:style>
  <w:style w:type="character" w:styleId="38">
    <w:name w:val="HTML Acronym"/>
    <w:basedOn w:val="34"/>
    <w:semiHidden/>
    <w:qFormat/>
    <w:uiPriority w:val="0"/>
  </w:style>
  <w:style w:type="character" w:styleId="39">
    <w:name w:val="Hyperlink"/>
    <w:qFormat/>
    <w:uiPriority w:val="0"/>
    <w:rPr>
      <w:color w:val="0000FF"/>
      <w:spacing w:val="0"/>
      <w:w w:val="100"/>
      <w:szCs w:val="21"/>
      <w:u w:val="single"/>
    </w:rPr>
  </w:style>
  <w:style w:type="character" w:styleId="40">
    <w:name w:val="HTML Code"/>
    <w:semiHidden/>
    <w:qFormat/>
    <w:uiPriority w:val="0"/>
    <w:rPr>
      <w:rFonts w:ascii="Courier New" w:hAnsi="Courier New"/>
      <w:sz w:val="20"/>
      <w:szCs w:val="20"/>
    </w:rPr>
  </w:style>
  <w:style w:type="character" w:styleId="41">
    <w:name w:val="annotation reference"/>
    <w:qFormat/>
    <w:uiPriority w:val="0"/>
    <w:rPr>
      <w:sz w:val="21"/>
      <w:szCs w:val="21"/>
    </w:rPr>
  </w:style>
  <w:style w:type="character" w:styleId="42">
    <w:name w:val="HTML Cite"/>
    <w:semiHidden/>
    <w:qFormat/>
    <w:uiPriority w:val="0"/>
    <w:rPr>
      <w:i/>
      <w:iCs/>
    </w:rPr>
  </w:style>
  <w:style w:type="character" w:styleId="43">
    <w:name w:val="footnote reference"/>
    <w:semiHidden/>
    <w:qFormat/>
    <w:uiPriority w:val="0"/>
    <w:rPr>
      <w:vertAlign w:val="superscript"/>
    </w:rPr>
  </w:style>
  <w:style w:type="character" w:customStyle="1" w:styleId="44">
    <w:name w:val="段 Char"/>
    <w:link w:val="22"/>
    <w:qFormat/>
    <w:uiPriority w:val="0"/>
    <w:rPr>
      <w:rFonts w:ascii="宋体"/>
      <w:sz w:val="21"/>
      <w:lang w:val="en-US" w:eastAsia="zh-CN" w:bidi="ar-SA"/>
    </w:rPr>
  </w:style>
  <w:style w:type="paragraph" w:customStyle="1" w:styleId="45">
    <w:name w:val="一级条标题"/>
    <w:next w:val="22"/>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4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8">
    <w:name w:val="章标题"/>
    <w:next w:val="22"/>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49">
    <w:name w:val="二级条标题"/>
    <w:basedOn w:val="45"/>
    <w:next w:val="22"/>
    <w:qFormat/>
    <w:uiPriority w:val="0"/>
    <w:pPr>
      <w:spacing w:before="50" w:after="50"/>
      <w:outlineLvl w:val="3"/>
    </w:pPr>
  </w:style>
  <w:style w:type="paragraph" w:customStyle="1" w:styleId="5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1">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2">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3">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4">
    <w:name w:val="三级条标题"/>
    <w:basedOn w:val="49"/>
    <w:next w:val="22"/>
    <w:qFormat/>
    <w:uiPriority w:val="0"/>
    <w:pPr>
      <w:outlineLvl w:val="4"/>
    </w:pPr>
  </w:style>
  <w:style w:type="paragraph" w:customStyle="1" w:styleId="55">
    <w:name w:val="示例"/>
    <w:next w:val="56"/>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7">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8">
    <w:name w:val="四级条标题"/>
    <w:basedOn w:val="54"/>
    <w:next w:val="22"/>
    <w:qFormat/>
    <w:uiPriority w:val="0"/>
    <w:pPr>
      <w:outlineLvl w:val="5"/>
    </w:pPr>
  </w:style>
  <w:style w:type="paragraph" w:customStyle="1" w:styleId="59">
    <w:name w:val="五级条标题"/>
    <w:basedOn w:val="58"/>
    <w:next w:val="22"/>
    <w:qFormat/>
    <w:uiPriority w:val="0"/>
    <w:pPr>
      <w:outlineLvl w:val="6"/>
    </w:pPr>
  </w:style>
  <w:style w:type="paragraph" w:customStyle="1" w:styleId="60">
    <w:name w:val="注："/>
    <w:next w:val="22"/>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1">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2">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3">
    <w:name w:val="列项◆（三级）"/>
    <w:basedOn w:val="1"/>
    <w:qFormat/>
    <w:uiPriority w:val="0"/>
    <w:pPr>
      <w:numPr>
        <w:ilvl w:val="2"/>
        <w:numId w:val="3"/>
      </w:numPr>
    </w:pPr>
    <w:rPr>
      <w:rFonts w:ascii="宋体"/>
      <w:szCs w:val="21"/>
    </w:rPr>
  </w:style>
  <w:style w:type="paragraph" w:customStyle="1" w:styleId="64">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5">
    <w:name w:val="示例×："/>
    <w:basedOn w:val="48"/>
    <w:qFormat/>
    <w:uiPriority w:val="0"/>
    <w:pPr>
      <w:numPr>
        <w:ilvl w:val="0"/>
        <w:numId w:val="8"/>
      </w:numPr>
      <w:spacing w:beforeLines="0" w:afterLines="0"/>
      <w:outlineLvl w:val="9"/>
    </w:pPr>
    <w:rPr>
      <w:rFonts w:ascii="宋体" w:eastAsia="宋体"/>
      <w:sz w:val="18"/>
      <w:szCs w:val="18"/>
    </w:rPr>
  </w:style>
  <w:style w:type="paragraph" w:customStyle="1" w:styleId="66">
    <w:name w:val="二级无"/>
    <w:basedOn w:val="49"/>
    <w:qFormat/>
    <w:uiPriority w:val="0"/>
    <w:pPr>
      <w:spacing w:beforeLines="0" w:afterLines="0"/>
    </w:pPr>
    <w:rPr>
      <w:rFonts w:ascii="宋体" w:eastAsia="宋体"/>
    </w:rPr>
  </w:style>
  <w:style w:type="paragraph" w:customStyle="1" w:styleId="67">
    <w:name w:val="注：（正文）"/>
    <w:basedOn w:val="60"/>
    <w:next w:val="22"/>
    <w:qFormat/>
    <w:uiPriority w:val="0"/>
  </w:style>
  <w:style w:type="paragraph" w:customStyle="1" w:styleId="68">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2">
    <w:name w:val="标准书眉_偶数页"/>
    <w:basedOn w:val="47"/>
    <w:next w:val="1"/>
    <w:qFormat/>
    <w:uiPriority w:val="0"/>
    <w:pPr>
      <w:jc w:val="left"/>
    </w:p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5">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6">
    <w:name w:val="发布"/>
    <w:qFormat/>
    <w:uiPriority w:val="0"/>
    <w:rPr>
      <w:rFonts w:ascii="黑体" w:eastAsia="黑体"/>
      <w:spacing w:val="85"/>
      <w:w w:val="100"/>
      <w:position w:val="3"/>
      <w:sz w:val="28"/>
      <w:szCs w:val="28"/>
    </w:rPr>
  </w:style>
  <w:style w:type="paragraph" w:customStyle="1" w:styleId="77">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2">
    <w:name w:val="封面标准英文名称"/>
    <w:basedOn w:val="81"/>
    <w:qFormat/>
    <w:uiPriority w:val="0"/>
    <w:pPr>
      <w:framePr w:wrap="around"/>
      <w:spacing w:before="370" w:line="400" w:lineRule="exact"/>
    </w:pPr>
    <w:rPr>
      <w:rFonts w:ascii="Times New Roman"/>
      <w:sz w:val="28"/>
      <w:szCs w:val="28"/>
    </w:rPr>
  </w:style>
  <w:style w:type="paragraph" w:customStyle="1" w:styleId="83">
    <w:name w:val="封面一致性程度标识"/>
    <w:basedOn w:val="82"/>
    <w:qFormat/>
    <w:uiPriority w:val="0"/>
    <w:pPr>
      <w:framePr w:wrap="around"/>
      <w:spacing w:before="440"/>
    </w:pPr>
    <w:rPr>
      <w:rFonts w:ascii="宋体" w:eastAsia="宋体"/>
    </w:rPr>
  </w:style>
  <w:style w:type="paragraph" w:customStyle="1" w:styleId="84">
    <w:name w:val="封面标准文稿类别"/>
    <w:basedOn w:val="83"/>
    <w:qFormat/>
    <w:uiPriority w:val="0"/>
    <w:pPr>
      <w:framePr w:wrap="around"/>
      <w:spacing w:after="160" w:line="240" w:lineRule="auto"/>
    </w:pPr>
    <w:rPr>
      <w:sz w:val="24"/>
    </w:rPr>
  </w:style>
  <w:style w:type="paragraph" w:customStyle="1" w:styleId="85">
    <w:name w:val="封面标准文稿编辑信息"/>
    <w:basedOn w:val="84"/>
    <w:qFormat/>
    <w:uiPriority w:val="0"/>
    <w:pPr>
      <w:framePr w:wrap="around"/>
      <w:spacing w:before="180" w:line="180" w:lineRule="exact"/>
    </w:pPr>
    <w:rPr>
      <w:sz w:val="21"/>
    </w:rPr>
  </w:style>
  <w:style w:type="paragraph" w:customStyle="1" w:styleId="86">
    <w:name w:val="封面正文"/>
    <w:qFormat/>
    <w:uiPriority w:val="0"/>
    <w:pPr>
      <w:jc w:val="both"/>
    </w:pPr>
    <w:rPr>
      <w:rFonts w:ascii="Times New Roman" w:hAnsi="Times New Roman" w:eastAsia="宋体" w:cs="Times New Roman"/>
      <w:lang w:val="en-US" w:eastAsia="zh-CN" w:bidi="ar-SA"/>
    </w:rPr>
  </w:style>
  <w:style w:type="paragraph" w:customStyle="1" w:styleId="87">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8">
    <w:name w:val="附录标题"/>
    <w:basedOn w:val="22"/>
    <w:next w:val="22"/>
    <w:qFormat/>
    <w:uiPriority w:val="0"/>
    <w:pPr>
      <w:ind w:firstLine="0" w:firstLineChars="0"/>
      <w:jc w:val="center"/>
    </w:pPr>
    <w:rPr>
      <w:rFonts w:ascii="黑体" w:eastAsia="黑体"/>
    </w:rPr>
  </w:style>
  <w:style w:type="paragraph" w:customStyle="1" w:styleId="89">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90">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91">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2">
    <w:name w:val="附录二级无"/>
    <w:basedOn w:val="91"/>
    <w:qFormat/>
    <w:uiPriority w:val="0"/>
    <w:pPr>
      <w:tabs>
        <w:tab w:val="clear" w:pos="360"/>
      </w:tabs>
      <w:spacing w:beforeLines="0" w:afterLines="0"/>
    </w:pPr>
    <w:rPr>
      <w:rFonts w:ascii="宋体" w:eastAsia="宋体"/>
      <w:szCs w:val="21"/>
    </w:rPr>
  </w:style>
  <w:style w:type="paragraph" w:customStyle="1" w:styleId="93">
    <w:name w:val="附录公式"/>
    <w:basedOn w:val="22"/>
    <w:next w:val="22"/>
    <w:link w:val="94"/>
    <w:qFormat/>
    <w:uiPriority w:val="0"/>
  </w:style>
  <w:style w:type="character" w:customStyle="1" w:styleId="94">
    <w:name w:val="附录公式 Char"/>
    <w:basedOn w:val="44"/>
    <w:link w:val="93"/>
    <w:qFormat/>
    <w:uiPriority w:val="0"/>
    <w:rPr>
      <w:rFonts w:ascii="宋体"/>
      <w:sz w:val="21"/>
      <w:lang w:val="en-US" w:eastAsia="zh-CN" w:bidi="ar-SA"/>
    </w:rPr>
  </w:style>
  <w:style w:type="paragraph" w:customStyle="1" w:styleId="95">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6">
    <w:name w:val="附录三级条标题"/>
    <w:basedOn w:val="91"/>
    <w:next w:val="22"/>
    <w:qFormat/>
    <w:uiPriority w:val="0"/>
    <w:pPr>
      <w:numPr>
        <w:ilvl w:val="4"/>
      </w:numPr>
      <w:outlineLvl w:val="4"/>
    </w:pPr>
  </w:style>
  <w:style w:type="paragraph" w:customStyle="1" w:styleId="97">
    <w:name w:val="附录三级无"/>
    <w:basedOn w:val="96"/>
    <w:qFormat/>
    <w:uiPriority w:val="0"/>
    <w:pPr>
      <w:tabs>
        <w:tab w:val="clear" w:pos="360"/>
      </w:tabs>
      <w:spacing w:beforeLines="0" w:afterLines="0"/>
    </w:pPr>
    <w:rPr>
      <w:rFonts w:ascii="宋体" w:eastAsia="宋体"/>
      <w:szCs w:val="21"/>
    </w:rPr>
  </w:style>
  <w:style w:type="paragraph" w:customStyle="1" w:styleId="98">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9">
    <w:name w:val="附录四级条标题"/>
    <w:basedOn w:val="96"/>
    <w:next w:val="22"/>
    <w:qFormat/>
    <w:uiPriority w:val="0"/>
    <w:pPr>
      <w:numPr>
        <w:ilvl w:val="5"/>
      </w:numPr>
      <w:outlineLvl w:val="5"/>
    </w:pPr>
  </w:style>
  <w:style w:type="paragraph" w:customStyle="1" w:styleId="100">
    <w:name w:val="附录四级无"/>
    <w:basedOn w:val="99"/>
    <w:qFormat/>
    <w:uiPriority w:val="0"/>
    <w:pPr>
      <w:tabs>
        <w:tab w:val="clear" w:pos="360"/>
      </w:tabs>
      <w:spacing w:beforeLines="0" w:afterLines="0"/>
    </w:pPr>
    <w:rPr>
      <w:rFonts w:ascii="宋体" w:eastAsia="宋体"/>
      <w:szCs w:val="21"/>
    </w:rPr>
  </w:style>
  <w:style w:type="paragraph" w:customStyle="1" w:styleId="101">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2">
    <w:name w:val="附录图标题"/>
    <w:basedOn w:val="1"/>
    <w:next w:val="22"/>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3">
    <w:name w:val="附录五级条标题"/>
    <w:basedOn w:val="99"/>
    <w:next w:val="22"/>
    <w:qFormat/>
    <w:uiPriority w:val="0"/>
    <w:pPr>
      <w:numPr>
        <w:ilvl w:val="6"/>
      </w:numPr>
      <w:outlineLvl w:val="6"/>
    </w:pPr>
  </w:style>
  <w:style w:type="paragraph" w:customStyle="1" w:styleId="104">
    <w:name w:val="附录五级无"/>
    <w:basedOn w:val="103"/>
    <w:qFormat/>
    <w:uiPriority w:val="0"/>
    <w:pPr>
      <w:tabs>
        <w:tab w:val="clear" w:pos="360"/>
      </w:tabs>
      <w:spacing w:beforeLines="0" w:afterLines="0"/>
    </w:pPr>
    <w:rPr>
      <w:rFonts w:ascii="宋体" w:eastAsia="宋体"/>
      <w:szCs w:val="21"/>
    </w:rPr>
  </w:style>
  <w:style w:type="paragraph" w:customStyle="1" w:styleId="105">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6">
    <w:name w:val="附录一级条标题"/>
    <w:basedOn w:val="105"/>
    <w:next w:val="22"/>
    <w:qFormat/>
    <w:uiPriority w:val="0"/>
    <w:pPr>
      <w:numPr>
        <w:ilvl w:val="2"/>
      </w:numPr>
      <w:autoSpaceDN w:val="0"/>
      <w:spacing w:beforeLines="50" w:afterLines="50"/>
      <w:outlineLvl w:val="2"/>
    </w:pPr>
  </w:style>
  <w:style w:type="paragraph" w:customStyle="1" w:styleId="107">
    <w:name w:val="附录一级无"/>
    <w:basedOn w:val="106"/>
    <w:qFormat/>
    <w:uiPriority w:val="0"/>
    <w:pPr>
      <w:tabs>
        <w:tab w:val="clear" w:pos="360"/>
      </w:tabs>
      <w:spacing w:beforeLines="0" w:afterLines="0"/>
    </w:pPr>
    <w:rPr>
      <w:rFonts w:ascii="宋体" w:eastAsia="宋体"/>
      <w:szCs w:val="21"/>
    </w:rPr>
  </w:style>
  <w:style w:type="paragraph" w:customStyle="1" w:styleId="108">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2">
    <w:name w:val="其他标准标志"/>
    <w:basedOn w:val="69"/>
    <w:qFormat/>
    <w:uiPriority w:val="0"/>
    <w:pPr>
      <w:framePr w:w="6101" w:wrap="around" w:vAnchor="page" w:hAnchor="page" w:x="4673" w:y="942"/>
    </w:pPr>
    <w:rPr>
      <w:w w:val="130"/>
    </w:rPr>
  </w:style>
  <w:style w:type="paragraph" w:customStyle="1" w:styleId="11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4">
    <w:name w:val="其他发布部门"/>
    <w:basedOn w:val="77"/>
    <w:qFormat/>
    <w:uiPriority w:val="0"/>
    <w:pPr>
      <w:framePr w:wrap="around" w:y="15310"/>
      <w:spacing w:line="0" w:lineRule="atLeast"/>
    </w:pPr>
    <w:rPr>
      <w:rFonts w:ascii="黑体" w:eastAsia="黑体"/>
      <w:b w:val="0"/>
    </w:rPr>
  </w:style>
  <w:style w:type="paragraph" w:customStyle="1" w:styleId="115">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6">
    <w:name w:val="三级无"/>
    <w:basedOn w:val="54"/>
    <w:qFormat/>
    <w:uiPriority w:val="0"/>
    <w:pPr>
      <w:spacing w:beforeLines="0" w:afterLines="0"/>
    </w:pPr>
    <w:rPr>
      <w:rFonts w:ascii="宋体" w:eastAsia="宋体"/>
    </w:rPr>
  </w:style>
  <w:style w:type="paragraph" w:customStyle="1" w:styleId="117">
    <w:name w:val="实施日期"/>
    <w:basedOn w:val="78"/>
    <w:qFormat/>
    <w:uiPriority w:val="0"/>
    <w:pPr>
      <w:framePr w:wrap="around" w:vAnchor="page" w:hAnchor="text"/>
      <w:jc w:val="right"/>
    </w:pPr>
  </w:style>
  <w:style w:type="paragraph" w:customStyle="1" w:styleId="118">
    <w:name w:val="示例后文字"/>
    <w:basedOn w:val="22"/>
    <w:next w:val="22"/>
    <w:qFormat/>
    <w:uiPriority w:val="0"/>
    <w:pPr>
      <w:ind w:firstLine="360"/>
    </w:pPr>
    <w:rPr>
      <w:sz w:val="18"/>
    </w:rPr>
  </w:style>
  <w:style w:type="paragraph" w:customStyle="1" w:styleId="119">
    <w:name w:val="首示例"/>
    <w:next w:val="22"/>
    <w:link w:val="120"/>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0">
    <w:name w:val="首示例 Char"/>
    <w:link w:val="119"/>
    <w:qFormat/>
    <w:uiPriority w:val="0"/>
    <w:rPr>
      <w:rFonts w:ascii="宋体" w:hAnsi="宋体"/>
      <w:kern w:val="2"/>
      <w:sz w:val="18"/>
      <w:szCs w:val="18"/>
    </w:rPr>
  </w:style>
  <w:style w:type="paragraph" w:customStyle="1" w:styleId="121">
    <w:name w:val="四级无"/>
    <w:basedOn w:val="58"/>
    <w:qFormat/>
    <w:uiPriority w:val="0"/>
    <w:pPr>
      <w:spacing w:beforeLines="0" w:afterLines="0"/>
    </w:pPr>
    <w:rPr>
      <w:rFonts w:ascii="宋体" w:eastAsia="宋体"/>
    </w:rPr>
  </w:style>
  <w:style w:type="paragraph" w:customStyle="1" w:styleId="122">
    <w:name w:val="条文脚注"/>
    <w:basedOn w:val="23"/>
    <w:qFormat/>
    <w:uiPriority w:val="0"/>
    <w:pPr>
      <w:numPr>
        <w:numId w:val="0"/>
      </w:numPr>
      <w:jc w:val="both"/>
    </w:pPr>
  </w:style>
  <w:style w:type="paragraph" w:customStyle="1" w:styleId="123">
    <w:name w:val="图标脚注说明"/>
    <w:basedOn w:val="22"/>
    <w:qFormat/>
    <w:uiPriority w:val="0"/>
    <w:pPr>
      <w:ind w:left="840" w:hanging="420" w:firstLineChars="0"/>
    </w:pPr>
    <w:rPr>
      <w:sz w:val="18"/>
      <w:szCs w:val="18"/>
    </w:rPr>
  </w:style>
  <w:style w:type="paragraph" w:customStyle="1" w:styleId="124">
    <w:name w:val="图表脚注说明"/>
    <w:basedOn w:val="1"/>
    <w:qFormat/>
    <w:uiPriority w:val="0"/>
    <w:pPr>
      <w:numPr>
        <w:ilvl w:val="0"/>
        <w:numId w:val="15"/>
      </w:numPr>
    </w:pPr>
    <w:rPr>
      <w:rFonts w:ascii="宋体"/>
      <w:sz w:val="18"/>
      <w:szCs w:val="18"/>
    </w:rPr>
  </w:style>
  <w:style w:type="paragraph" w:customStyle="1" w:styleId="125">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7">
    <w:name w:val="五级无"/>
    <w:basedOn w:val="59"/>
    <w:qFormat/>
    <w:uiPriority w:val="0"/>
    <w:pPr>
      <w:spacing w:beforeLines="0" w:afterLines="0"/>
    </w:pPr>
    <w:rPr>
      <w:rFonts w:ascii="宋体" w:eastAsia="宋体"/>
    </w:rPr>
  </w:style>
  <w:style w:type="paragraph" w:customStyle="1" w:styleId="128">
    <w:name w:val="一级无"/>
    <w:basedOn w:val="45"/>
    <w:qFormat/>
    <w:uiPriority w:val="0"/>
    <w:pPr>
      <w:spacing w:beforeLines="0" w:afterLines="0"/>
    </w:pPr>
    <w:rPr>
      <w:rFonts w:ascii="宋体" w:eastAsia="宋体"/>
    </w:rPr>
  </w:style>
  <w:style w:type="paragraph" w:customStyle="1" w:styleId="129">
    <w:name w:val="正文表标题"/>
    <w:next w:val="22"/>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130">
    <w:name w:val="正文公式编号制表符"/>
    <w:basedOn w:val="22"/>
    <w:next w:val="22"/>
    <w:qFormat/>
    <w:uiPriority w:val="0"/>
    <w:pPr>
      <w:ind w:firstLine="0" w:firstLineChars="0"/>
    </w:pPr>
  </w:style>
  <w:style w:type="paragraph" w:customStyle="1" w:styleId="131">
    <w:name w:val="正文图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2">
    <w:name w:val="终结线"/>
    <w:basedOn w:val="1"/>
    <w:qFormat/>
    <w:uiPriority w:val="0"/>
    <w:pPr>
      <w:framePr w:hSpace="181" w:vSpace="181" w:wrap="around" w:vAnchor="text" w:hAnchor="margin" w:xAlign="center" w:y="285"/>
    </w:pPr>
  </w:style>
  <w:style w:type="paragraph" w:customStyle="1" w:styleId="133">
    <w:name w:val="其他发布日期"/>
    <w:basedOn w:val="78"/>
    <w:qFormat/>
    <w:uiPriority w:val="0"/>
    <w:pPr>
      <w:framePr w:wrap="around" w:vAnchor="page" w:hAnchor="text" w:x="1419"/>
    </w:pPr>
  </w:style>
  <w:style w:type="paragraph" w:customStyle="1" w:styleId="134">
    <w:name w:val="其他实施日期"/>
    <w:basedOn w:val="117"/>
    <w:qFormat/>
    <w:uiPriority w:val="0"/>
    <w:pPr>
      <w:framePr w:wrap="around"/>
    </w:pPr>
  </w:style>
  <w:style w:type="paragraph" w:customStyle="1" w:styleId="135">
    <w:name w:val="封面标准名称2"/>
    <w:basedOn w:val="81"/>
    <w:qFormat/>
    <w:uiPriority w:val="0"/>
    <w:pPr>
      <w:framePr w:wrap="around" w:y="4469"/>
      <w:spacing w:beforeLines="630"/>
    </w:pPr>
  </w:style>
  <w:style w:type="paragraph" w:customStyle="1" w:styleId="136">
    <w:name w:val="封面标准英文名称2"/>
    <w:basedOn w:val="82"/>
    <w:qFormat/>
    <w:uiPriority w:val="0"/>
    <w:pPr>
      <w:framePr w:wrap="around" w:y="4469"/>
    </w:pPr>
  </w:style>
  <w:style w:type="paragraph" w:customStyle="1" w:styleId="137">
    <w:name w:val="封面一致性程度标识2"/>
    <w:basedOn w:val="83"/>
    <w:qFormat/>
    <w:uiPriority w:val="0"/>
    <w:pPr>
      <w:framePr w:wrap="around" w:y="4469"/>
    </w:pPr>
  </w:style>
  <w:style w:type="paragraph" w:customStyle="1" w:styleId="138">
    <w:name w:val="封面标准文稿类别2"/>
    <w:basedOn w:val="84"/>
    <w:qFormat/>
    <w:uiPriority w:val="0"/>
    <w:pPr>
      <w:framePr w:wrap="around" w:y="4469"/>
    </w:pPr>
  </w:style>
  <w:style w:type="paragraph" w:customStyle="1" w:styleId="139">
    <w:name w:val="封面标准文稿编辑信息2"/>
    <w:basedOn w:val="85"/>
    <w:qFormat/>
    <w:uiPriority w:val="0"/>
    <w:pPr>
      <w:framePr w:wrap="around" w:y="4469"/>
    </w:pPr>
  </w:style>
  <w:style w:type="character" w:customStyle="1" w:styleId="140">
    <w:name w:val="批注文字 Char"/>
    <w:link w:val="7"/>
    <w:qFormat/>
    <w:uiPriority w:val="0"/>
    <w:rPr>
      <w:kern w:val="2"/>
      <w:sz w:val="21"/>
      <w:szCs w:val="24"/>
    </w:rPr>
  </w:style>
  <w:style w:type="character" w:customStyle="1" w:styleId="141">
    <w:name w:val="批注主题 Char"/>
    <w:link w:val="31"/>
    <w:qFormat/>
    <w:uiPriority w:val="0"/>
    <w:rPr>
      <w:b/>
      <w:bCs/>
      <w:kern w:val="2"/>
      <w:sz w:val="21"/>
      <w:szCs w:val="24"/>
    </w:rPr>
  </w:style>
  <w:style w:type="character" w:customStyle="1" w:styleId="142">
    <w:name w:val="批注框文本 Char"/>
    <w:link w:val="15"/>
    <w:qFormat/>
    <w:uiPriority w:val="0"/>
    <w:rPr>
      <w:kern w:val="2"/>
      <w:sz w:val="18"/>
      <w:szCs w:val="18"/>
    </w:rPr>
  </w:style>
  <w:style w:type="paragraph" w:customStyle="1" w:styleId="143">
    <w:name w:val="StdsHead3"/>
    <w:qFormat/>
    <w:uiPriority w:val="0"/>
    <w:pPr>
      <w:spacing w:before="120" w:after="120"/>
      <w:jc w:val="both"/>
    </w:pPr>
    <w:rPr>
      <w:rFonts w:ascii="Times New Roman" w:hAnsi="Times New Roman" w:eastAsia="MS Mincho" w:cs="Times New Roman"/>
      <w:lang w:val="en-US" w:eastAsia="ja-JP" w:bidi="ar-SA"/>
    </w:rPr>
  </w:style>
  <w:style w:type="paragraph" w:customStyle="1" w:styleId="144">
    <w:name w:val="StdsHead1"/>
    <w:qFormat/>
    <w:uiPriority w:val="0"/>
    <w:pPr>
      <w:keepNext/>
      <w:spacing w:before="180" w:after="60"/>
    </w:pPr>
    <w:rPr>
      <w:rFonts w:ascii="Arial" w:hAnsi="Arial" w:eastAsia="Arial Unicode MS" w:cs="Times New Roman"/>
      <w:b/>
      <w:lang w:val="en-US" w:eastAsia="ja-JP" w:bidi="ar-SA"/>
    </w:rPr>
  </w:style>
  <w:style w:type="paragraph" w:customStyle="1" w:styleId="145">
    <w:name w:val="StdsHead2"/>
    <w:link w:val="161"/>
    <w:qFormat/>
    <w:uiPriority w:val="0"/>
    <w:pPr>
      <w:spacing w:before="120" w:after="120"/>
      <w:jc w:val="both"/>
    </w:pPr>
    <w:rPr>
      <w:rFonts w:ascii="Times New Roman" w:hAnsi="Times New Roman" w:eastAsia="MS Mincho" w:cs="Times New Roman"/>
      <w:lang w:val="en-US" w:eastAsia="ja-JP" w:bidi="ar-SA"/>
    </w:rPr>
  </w:style>
  <w:style w:type="paragraph" w:customStyle="1" w:styleId="146">
    <w:name w:val="StdsHead4"/>
    <w:qFormat/>
    <w:uiPriority w:val="0"/>
    <w:pPr>
      <w:spacing w:before="120" w:after="120"/>
      <w:jc w:val="both"/>
    </w:pPr>
    <w:rPr>
      <w:rFonts w:ascii="Times New Roman" w:hAnsi="Times New Roman" w:eastAsia="MS Mincho" w:cs="Times New Roman"/>
      <w:lang w:val="en-US" w:eastAsia="ja-JP" w:bidi="ar-SA"/>
    </w:rPr>
  </w:style>
  <w:style w:type="paragraph" w:customStyle="1" w:styleId="147">
    <w:name w:val="StdsHead5"/>
    <w:qFormat/>
    <w:uiPriority w:val="0"/>
    <w:pPr>
      <w:spacing w:before="120" w:after="120"/>
      <w:jc w:val="both"/>
    </w:pPr>
    <w:rPr>
      <w:rFonts w:ascii="Times New Roman" w:hAnsi="Times New Roman" w:eastAsia="MS Mincho" w:cs="Times New Roman"/>
      <w:lang w:val="en-US" w:eastAsia="ja-JP" w:bidi="ar-SA"/>
    </w:rPr>
  </w:style>
  <w:style w:type="paragraph" w:customStyle="1" w:styleId="148">
    <w:name w:val="StdsHead6"/>
    <w:qFormat/>
    <w:uiPriority w:val="0"/>
    <w:pPr>
      <w:spacing w:before="120" w:after="120"/>
      <w:jc w:val="both"/>
    </w:pPr>
    <w:rPr>
      <w:rFonts w:ascii="Times New Roman" w:hAnsi="Times New Roman" w:eastAsia="MS Mincho" w:cs="Times New Roman"/>
      <w:lang w:val="en-US" w:eastAsia="ja-JP" w:bidi="ar-SA"/>
    </w:rPr>
  </w:style>
  <w:style w:type="paragraph" w:customStyle="1" w:styleId="149">
    <w:name w:val="StdsHead7"/>
    <w:qFormat/>
    <w:uiPriority w:val="0"/>
    <w:pPr>
      <w:spacing w:before="120" w:after="120"/>
      <w:jc w:val="both"/>
    </w:pPr>
    <w:rPr>
      <w:rFonts w:ascii="Times New Roman" w:hAnsi="Times New Roman" w:eastAsia="MS Mincho" w:cs="Times New Roman"/>
      <w:lang w:val="en-US" w:eastAsia="ja-JP" w:bidi="ar-SA"/>
    </w:rPr>
  </w:style>
  <w:style w:type="paragraph" w:customStyle="1" w:styleId="150">
    <w:name w:val="StdsHead8"/>
    <w:qFormat/>
    <w:uiPriority w:val="0"/>
    <w:pPr>
      <w:spacing w:before="120" w:after="120"/>
      <w:jc w:val="both"/>
    </w:pPr>
    <w:rPr>
      <w:rFonts w:ascii="Times New Roman" w:hAnsi="Times New Roman" w:eastAsia="MS Mincho" w:cs="Times New Roman"/>
      <w:lang w:val="en-US" w:eastAsia="ja-JP" w:bidi="ar-SA"/>
    </w:rPr>
  </w:style>
  <w:style w:type="paragraph" w:customStyle="1" w:styleId="151">
    <w:name w:val="Stds H1"/>
    <w:qFormat/>
    <w:uiPriority w:val="0"/>
    <w:pPr>
      <w:keepNext/>
      <w:spacing w:before="180" w:after="60"/>
    </w:pPr>
    <w:rPr>
      <w:rFonts w:ascii="Arial" w:hAnsi="Arial" w:eastAsia="Arial Unicode MS" w:cs="Times New Roman"/>
      <w:b/>
      <w:lang w:val="en-US" w:eastAsia="ja-JP" w:bidi="ar-SA"/>
    </w:rPr>
  </w:style>
  <w:style w:type="paragraph" w:customStyle="1" w:styleId="152">
    <w:name w:val="Stds H2"/>
    <w:qFormat/>
    <w:uiPriority w:val="0"/>
    <w:pPr>
      <w:spacing w:before="120" w:after="120"/>
      <w:jc w:val="both"/>
    </w:pPr>
    <w:rPr>
      <w:rFonts w:ascii="Times New Roman" w:hAnsi="Times New Roman" w:eastAsia="MS Mincho" w:cs="Times New Roman"/>
      <w:lang w:val="en-US" w:eastAsia="ja-JP" w:bidi="ar-SA"/>
    </w:rPr>
  </w:style>
  <w:style w:type="paragraph" w:customStyle="1" w:styleId="153">
    <w:name w:val="Stds H3"/>
    <w:qFormat/>
    <w:uiPriority w:val="0"/>
    <w:pPr>
      <w:spacing w:before="120" w:after="120"/>
      <w:jc w:val="both"/>
    </w:pPr>
    <w:rPr>
      <w:rFonts w:ascii="Times New Roman" w:hAnsi="Times New Roman" w:eastAsia="MS Mincho" w:cs="Times New Roman"/>
      <w:lang w:val="en-US" w:eastAsia="ja-JP" w:bidi="ar-SA"/>
    </w:rPr>
  </w:style>
  <w:style w:type="paragraph" w:customStyle="1" w:styleId="154">
    <w:name w:val="Stds H4"/>
    <w:qFormat/>
    <w:uiPriority w:val="0"/>
    <w:pPr>
      <w:spacing w:before="120" w:after="120"/>
      <w:jc w:val="both"/>
    </w:pPr>
    <w:rPr>
      <w:rFonts w:ascii="Times New Roman" w:hAnsi="Times New Roman" w:eastAsia="MS Mincho" w:cs="Times New Roman"/>
      <w:lang w:val="en-US" w:eastAsia="ja-JP" w:bidi="ar-SA"/>
    </w:rPr>
  </w:style>
  <w:style w:type="paragraph" w:customStyle="1" w:styleId="155">
    <w:name w:val="Stds H5"/>
    <w:qFormat/>
    <w:uiPriority w:val="0"/>
    <w:pPr>
      <w:spacing w:before="120" w:after="120"/>
      <w:jc w:val="both"/>
    </w:pPr>
    <w:rPr>
      <w:rFonts w:ascii="Times New Roman" w:hAnsi="Times New Roman" w:eastAsia="MS Mincho" w:cs="Times New Roman"/>
      <w:lang w:val="en-US" w:eastAsia="ja-JP" w:bidi="ar-SA"/>
    </w:rPr>
  </w:style>
  <w:style w:type="paragraph" w:customStyle="1" w:styleId="156">
    <w:name w:val="Stds H6"/>
    <w:qFormat/>
    <w:uiPriority w:val="0"/>
    <w:pPr>
      <w:spacing w:before="120" w:after="120"/>
      <w:jc w:val="both"/>
    </w:pPr>
    <w:rPr>
      <w:rFonts w:ascii="Times New Roman" w:hAnsi="Times New Roman" w:eastAsia="MS Mincho" w:cs="Times New Roman"/>
      <w:lang w:val="en-US" w:eastAsia="ja-JP" w:bidi="ar-SA"/>
    </w:rPr>
  </w:style>
  <w:style w:type="paragraph" w:customStyle="1" w:styleId="157">
    <w:name w:val="Stds H7"/>
    <w:qFormat/>
    <w:uiPriority w:val="0"/>
    <w:pPr>
      <w:spacing w:before="120" w:after="120"/>
      <w:jc w:val="both"/>
    </w:pPr>
    <w:rPr>
      <w:rFonts w:ascii="Times New Roman" w:hAnsi="Times New Roman" w:eastAsia="MS Mincho" w:cs="Times New Roman"/>
      <w:lang w:val="en-US" w:eastAsia="ja-JP" w:bidi="ar-SA"/>
    </w:rPr>
  </w:style>
  <w:style w:type="paragraph" w:customStyle="1" w:styleId="158">
    <w:name w:val="Stds H8"/>
    <w:qFormat/>
    <w:uiPriority w:val="0"/>
    <w:pPr>
      <w:spacing w:before="120" w:after="120"/>
      <w:jc w:val="both"/>
    </w:pPr>
    <w:rPr>
      <w:rFonts w:ascii="Times New Roman" w:hAnsi="Times New Roman" w:eastAsia="MS Mincho" w:cs="Times New Roman"/>
      <w:lang w:val="en-US" w:eastAsia="ja-JP" w:bidi="ar-SA"/>
    </w:rPr>
  </w:style>
  <w:style w:type="character" w:customStyle="1" w:styleId="159">
    <w:name w:val="StdsText Char"/>
    <w:link w:val="160"/>
    <w:qFormat/>
    <w:locked/>
    <w:uiPriority w:val="0"/>
    <w:rPr>
      <w:lang w:eastAsia="ja-JP"/>
    </w:rPr>
  </w:style>
  <w:style w:type="paragraph" w:customStyle="1" w:styleId="160">
    <w:name w:val="StdsText"/>
    <w:link w:val="159"/>
    <w:qFormat/>
    <w:uiPriority w:val="0"/>
    <w:pPr>
      <w:spacing w:before="120" w:after="120"/>
      <w:jc w:val="both"/>
    </w:pPr>
    <w:rPr>
      <w:rFonts w:ascii="Times New Roman" w:hAnsi="Times New Roman" w:eastAsia="宋体" w:cs="Times New Roman"/>
      <w:lang w:val="en-US" w:eastAsia="ja-JP" w:bidi="ar-SA"/>
    </w:rPr>
  </w:style>
  <w:style w:type="character" w:customStyle="1" w:styleId="161">
    <w:name w:val="StdsHead2 Char"/>
    <w:link w:val="145"/>
    <w:qFormat/>
    <w:locked/>
    <w:uiPriority w:val="0"/>
    <w:rPr>
      <w:rFonts w:eastAsia="MS Mincho"/>
      <w:lang w:eastAsia="ja-JP"/>
    </w:rPr>
  </w:style>
  <w:style w:type="paragraph" w:styleId="162">
    <w:name w:val="List Paragraph"/>
    <w:basedOn w:val="1"/>
    <w:qFormat/>
    <w:uiPriority w:val="34"/>
    <w:pPr>
      <w:ind w:firstLine="420" w:firstLineChars="200"/>
    </w:pPr>
  </w:style>
  <w:style w:type="paragraph" w:customStyle="1" w:styleId="163">
    <w:name w:val="二级无标题条"/>
    <w:basedOn w:val="1"/>
    <w:qFormat/>
    <w:uiPriority w:val="0"/>
    <w:pPr>
      <w:numPr>
        <w:ilvl w:val="3"/>
        <w:numId w:val="17"/>
      </w:numPr>
    </w:pPr>
  </w:style>
  <w:style w:type="paragraph" w:customStyle="1" w:styleId="164">
    <w:name w:val="三级无标题条"/>
    <w:basedOn w:val="1"/>
    <w:qFormat/>
    <w:uiPriority w:val="0"/>
    <w:pPr>
      <w:numPr>
        <w:ilvl w:val="4"/>
        <w:numId w:val="17"/>
      </w:numPr>
    </w:pPr>
  </w:style>
  <w:style w:type="paragraph" w:customStyle="1" w:styleId="165">
    <w:name w:val="四级无标题条"/>
    <w:basedOn w:val="1"/>
    <w:qFormat/>
    <w:uiPriority w:val="0"/>
    <w:pPr>
      <w:numPr>
        <w:ilvl w:val="5"/>
        <w:numId w:val="17"/>
      </w:numPr>
    </w:pPr>
  </w:style>
  <w:style w:type="paragraph" w:customStyle="1" w:styleId="166">
    <w:name w:val="五级无标题条"/>
    <w:basedOn w:val="1"/>
    <w:qFormat/>
    <w:uiPriority w:val="0"/>
    <w:pPr>
      <w:numPr>
        <w:ilvl w:val="6"/>
        <w:numId w:val="17"/>
      </w:numPr>
    </w:pPr>
  </w:style>
  <w:style w:type="paragraph" w:customStyle="1" w:styleId="167">
    <w:name w:val="一级无标题条"/>
    <w:basedOn w:val="1"/>
    <w:qFormat/>
    <w:uiPriority w:val="0"/>
    <w:pPr>
      <w:numPr>
        <w:ilvl w:val="2"/>
        <w:numId w:val="17"/>
      </w:numPr>
    </w:pPr>
  </w:style>
  <w:style w:type="character" w:customStyle="1" w:styleId="168">
    <w:name w:val="标题 Char"/>
    <w:basedOn w:val="34"/>
    <w:link w:val="30"/>
    <w:qFormat/>
    <w:uiPriority w:val="0"/>
    <w:rPr>
      <w:rFonts w:ascii="Arial" w:hAnsi="Arial" w:cs="Arial"/>
      <w:b/>
      <w:bCs/>
      <w:kern w:val="2"/>
      <w:sz w:val="32"/>
      <w:szCs w:val="32"/>
    </w:rPr>
  </w:style>
  <w:style w:type="character" w:customStyle="1" w:styleId="169">
    <w:name w:val="fontstyle01"/>
    <w:qFormat/>
    <w:uiPriority w:val="0"/>
    <w:rPr>
      <w:color w:val="242021"/>
      <w:sz w:val="22"/>
      <w:szCs w:val="22"/>
    </w:rPr>
  </w:style>
  <w:style w:type="character" w:styleId="170">
    <w:name w:val="Placeholder Text"/>
    <w:basedOn w:val="34"/>
    <w:semiHidden/>
    <w:qFormat/>
    <w:uiPriority w:val="99"/>
    <w:rPr>
      <w:color w:val="808080"/>
    </w:rPr>
  </w:style>
  <w:style w:type="paragraph" w:customStyle="1" w:styleId="171">
    <w:name w:val="修订1"/>
    <w:hidden/>
    <w:semiHidden/>
    <w:qFormat/>
    <w:uiPriority w:val="99"/>
    <w:rPr>
      <w:rFonts w:ascii="Times New Roman" w:hAnsi="Times New Roman" w:eastAsia="宋体" w:cs="Times New Roman"/>
      <w:kern w:val="2"/>
      <w:sz w:val="21"/>
      <w:szCs w:val="24"/>
      <w:lang w:val="en-US" w:eastAsia="zh-CN" w:bidi="ar-SA"/>
    </w:rPr>
  </w:style>
  <w:style w:type="table" w:customStyle="1" w:styleId="172">
    <w:name w:val="网格型1"/>
    <w:basedOn w:val="32"/>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2"/>
    <customShpInfo spid="_x0000_s1031"/>
    <customShpInfo spid="_x0000_s1030"/>
    <customShpInfo spid="_x0000_s1028"/>
    <customShpInfo spid="_x0000_s103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14A2F3-C595-4196-B4A4-35B063B47407}">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2491</Words>
  <Characters>3378</Characters>
  <Lines>27</Lines>
  <Paragraphs>7</Paragraphs>
  <TotalTime>0</TotalTime>
  <ScaleCrop>false</ScaleCrop>
  <LinksUpToDate>false</LinksUpToDate>
  <CharactersWithSpaces>3566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2021-02-03T04:42:00Z</dcterms:created>
  <dcterms:modified xsi:type="dcterms:W3CDTF">2022-10-09T06:03:22Z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D975AA24CFA64FB3BEE160B38DE2FAB9</vt:lpwstr>
  </property>
</Properties>
</file>