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Cs/>
          <w:sz w:val="24"/>
        </w:rPr>
      </w:pPr>
      <w:r>
        <w:rPr>
          <w:rFonts w:ascii="黑体" w:eastAsia="黑体"/>
          <w:bCs/>
          <w:sz w:val="24"/>
        </w:rPr>
        <w:t>JJF</w:t>
      </w:r>
      <w:r>
        <w:rPr>
          <w:rFonts w:hint="eastAsia" w:ascii="黑体" w:eastAsia="黑体"/>
          <w:bCs/>
          <w:sz w:val="24"/>
        </w:rPr>
        <w:t>（有色金属）0</w:t>
      </w:r>
      <w:r>
        <w:rPr>
          <w:rFonts w:ascii="黑体" w:eastAsia="黑体"/>
          <w:bCs/>
          <w:sz w:val="24"/>
        </w:rPr>
        <w:t>04-</w:t>
      </w:r>
      <w:r>
        <w:rPr>
          <w:rFonts w:hint="eastAsia" w:ascii="黑体" w:eastAsia="黑体"/>
          <w:bCs/>
          <w:sz w:val="24"/>
        </w:rPr>
        <w:t>2</w:t>
      </w:r>
      <w:r>
        <w:rPr>
          <w:rFonts w:ascii="黑体" w:eastAsia="黑体"/>
          <w:bCs/>
          <w:sz w:val="24"/>
        </w:rPr>
        <w:t>02</w:t>
      </w:r>
      <w:r>
        <w:rPr>
          <w:rFonts w:hint="eastAsia" w:ascii="黑体" w:eastAsia="黑体"/>
          <w:bCs/>
          <w:sz w:val="24"/>
          <w:lang w:val="en-US" w:eastAsia="zh-CN"/>
        </w:rPr>
        <w:t>1</w:t>
      </w:r>
      <w:r>
        <w:rPr>
          <w:rFonts w:hint="eastAsia" w:ascii="黑体" w:eastAsia="黑体"/>
          <w:bCs/>
          <w:sz w:val="24"/>
          <w:lang w:val="en-GB"/>
        </w:rPr>
        <w:t>《</w:t>
      </w:r>
      <w:r>
        <w:rPr>
          <w:rFonts w:hint="eastAsia" w:ascii="黑体" w:eastAsia="黑体"/>
          <w:bCs/>
          <w:sz w:val="24"/>
          <w:lang w:val="en-US" w:eastAsia="zh-CN"/>
        </w:rPr>
        <w:t>电子式温湿度计</w:t>
      </w:r>
      <w:r>
        <w:rPr>
          <w:rFonts w:hint="eastAsia" w:ascii="黑体" w:eastAsia="黑体"/>
          <w:bCs/>
          <w:sz w:val="24"/>
        </w:rPr>
        <w:t>校准规范》</w:t>
      </w:r>
    </w:p>
    <w:p>
      <w:pPr>
        <w:spacing w:line="360" w:lineRule="auto"/>
        <w:jc w:val="center"/>
        <w:rPr>
          <w:rFonts w:ascii="黑体" w:eastAsia="黑体"/>
          <w:bCs/>
          <w:sz w:val="24"/>
        </w:rPr>
      </w:pPr>
      <w:r>
        <w:rPr>
          <w:rFonts w:hint="eastAsia" w:ascii="黑体" w:eastAsia="黑体"/>
          <w:bCs/>
          <w:sz w:val="24"/>
        </w:rPr>
        <w:t>行业计量技术规范编制说明</w:t>
      </w:r>
    </w:p>
    <w:p>
      <w:pPr>
        <w:spacing w:line="360" w:lineRule="auto"/>
        <w:rPr>
          <w:bCs/>
        </w:rPr>
      </w:pPr>
      <w:r>
        <w:rPr>
          <w:rFonts w:hint="eastAsia"/>
          <w:bCs/>
        </w:rPr>
        <w:t>一、工作简况</w:t>
      </w:r>
    </w:p>
    <w:p>
      <w:pPr>
        <w:spacing w:line="360" w:lineRule="auto"/>
        <w:rPr>
          <w:rFonts w:ascii="黑体" w:eastAsia="黑体"/>
          <w:bCs/>
          <w:szCs w:val="21"/>
        </w:rPr>
      </w:pPr>
      <w:r>
        <w:rPr>
          <w:rFonts w:ascii="黑体" w:eastAsia="黑体"/>
          <w:bCs/>
          <w:szCs w:val="21"/>
        </w:rPr>
        <w:t>1</w:t>
      </w:r>
      <w:r>
        <w:rPr>
          <w:rFonts w:hint="eastAsia" w:ascii="黑体" w:eastAsia="黑体"/>
          <w:bCs/>
          <w:szCs w:val="21"/>
        </w:rPr>
        <w:t>.1</w:t>
      </w:r>
      <w:r>
        <w:rPr>
          <w:rFonts w:hint="eastAsia" w:ascii="黑体" w:hAnsi="宋体" w:eastAsia="黑体"/>
          <w:bCs/>
          <w:szCs w:val="21"/>
        </w:rPr>
        <w:t>任务来源</w:t>
      </w:r>
    </w:p>
    <w:p>
      <w:pPr>
        <w:pStyle w:val="11"/>
        <w:spacing w:after="0" w:line="360" w:lineRule="auto"/>
        <w:ind w:firstLine="420" w:firstLineChars="200"/>
        <w:rPr>
          <w:rFonts w:hAnsi="宋体"/>
          <w:bCs/>
          <w:szCs w:val="21"/>
        </w:rPr>
      </w:pPr>
      <w:r>
        <w:rPr>
          <w:rFonts w:hint="eastAsia" w:hAnsi="宋体"/>
          <w:bCs/>
          <w:szCs w:val="21"/>
        </w:rPr>
        <w:t>根据工业和信息化部《关于印发2021年行业计量技术规范制修订计划的通知》（工信厅科函［2021］181号）文的要求，行业计量技术规范《</w:t>
      </w:r>
      <w:r>
        <w:rPr>
          <w:rFonts w:hint="eastAsia" w:hAnsi="宋体"/>
          <w:bCs/>
          <w:szCs w:val="21"/>
          <w:lang w:eastAsia="zh-CN"/>
        </w:rPr>
        <w:t>电子式温湿度计校准规范</w:t>
      </w:r>
      <w:r>
        <w:rPr>
          <w:rFonts w:hint="eastAsia" w:hAnsi="宋体"/>
          <w:bCs/>
          <w:szCs w:val="21"/>
        </w:rPr>
        <w:t>》由</w:t>
      </w:r>
      <w:r>
        <w:rPr>
          <w:rFonts w:hint="eastAsia" w:hAnsi="宋体"/>
          <w:bCs/>
          <w:szCs w:val="21"/>
          <w:lang w:val="en-US" w:eastAsia="zh-CN"/>
        </w:rPr>
        <w:t>西南铝业（集团）有限责任公司</w:t>
      </w:r>
      <w:r>
        <w:rPr>
          <w:rFonts w:hint="eastAsia" w:hAnsi="宋体"/>
          <w:bCs/>
          <w:szCs w:val="21"/>
        </w:rPr>
        <w:t>负责起草。该项目计划编号为</w:t>
      </w:r>
      <w:r>
        <w:rPr>
          <w:rFonts w:hAnsi="宋体"/>
          <w:bCs/>
          <w:szCs w:val="21"/>
        </w:rPr>
        <w:t>JJF</w:t>
      </w:r>
      <w:r>
        <w:rPr>
          <w:rFonts w:hint="eastAsia" w:hAnsi="宋体"/>
          <w:bCs/>
          <w:szCs w:val="21"/>
        </w:rPr>
        <w:t>（有色金属）0</w:t>
      </w:r>
      <w:r>
        <w:rPr>
          <w:rFonts w:hAnsi="宋体"/>
          <w:bCs/>
          <w:szCs w:val="21"/>
        </w:rPr>
        <w:t>04</w:t>
      </w:r>
      <w:r>
        <w:rPr>
          <w:rFonts w:hint="eastAsia" w:hAnsi="宋体"/>
          <w:bCs/>
          <w:szCs w:val="21"/>
        </w:rPr>
        <w:t>-2</w:t>
      </w:r>
      <w:r>
        <w:rPr>
          <w:rFonts w:hAnsi="宋体"/>
          <w:bCs/>
          <w:szCs w:val="21"/>
        </w:rPr>
        <w:t>02</w:t>
      </w:r>
      <w:r>
        <w:rPr>
          <w:rFonts w:hint="eastAsia" w:hAnsi="宋体"/>
          <w:bCs/>
          <w:szCs w:val="21"/>
          <w:lang w:val="en-US" w:eastAsia="zh-CN"/>
        </w:rPr>
        <w:t>1</w:t>
      </w:r>
      <w:r>
        <w:rPr>
          <w:rFonts w:hint="eastAsia" w:hAnsi="宋体"/>
          <w:bCs/>
          <w:szCs w:val="21"/>
        </w:rPr>
        <w:t>。按计划要求，本计量规范应于</w:t>
      </w:r>
      <w:r>
        <w:rPr>
          <w:rFonts w:hAnsi="宋体"/>
          <w:bCs/>
          <w:szCs w:val="21"/>
        </w:rPr>
        <w:t>202</w:t>
      </w:r>
      <w:r>
        <w:rPr>
          <w:rFonts w:hint="eastAsia" w:hAnsi="宋体"/>
          <w:bCs/>
          <w:szCs w:val="21"/>
          <w:lang w:val="en-US" w:eastAsia="zh-CN"/>
        </w:rPr>
        <w:t>3</w:t>
      </w:r>
      <w:r>
        <w:rPr>
          <w:rFonts w:hint="eastAsia" w:hAnsi="宋体"/>
          <w:bCs/>
          <w:szCs w:val="21"/>
        </w:rPr>
        <w:t>年完成。</w:t>
      </w:r>
    </w:p>
    <w:p>
      <w:pPr>
        <w:pStyle w:val="11"/>
        <w:spacing w:after="0" w:line="360" w:lineRule="auto"/>
        <w:rPr>
          <w:rFonts w:ascii="黑体" w:hAnsi="宋体" w:eastAsia="黑体"/>
          <w:bCs/>
          <w:szCs w:val="21"/>
        </w:rPr>
      </w:pPr>
      <w:r>
        <w:rPr>
          <w:rFonts w:ascii="黑体" w:hAnsi="宋体" w:eastAsia="黑体"/>
          <w:bCs/>
          <w:szCs w:val="21"/>
        </w:rPr>
        <w:t>1.2</w:t>
      </w:r>
      <w:r>
        <w:rPr>
          <w:rFonts w:hint="eastAsia" w:ascii="黑体" w:hAnsi="宋体" w:eastAsia="黑体"/>
          <w:bCs/>
          <w:szCs w:val="21"/>
        </w:rPr>
        <w:t>承担单位情况</w:t>
      </w:r>
    </w:p>
    <w:p>
      <w:pPr>
        <w:spacing w:line="360" w:lineRule="auto"/>
        <w:ind w:firstLine="420" w:firstLineChars="200"/>
        <w:rPr>
          <w:rFonts w:hint="eastAsia"/>
          <w:bCs/>
          <w:lang w:val="en-US" w:eastAsia="zh-CN"/>
        </w:rPr>
      </w:pPr>
      <w:r>
        <w:rPr>
          <w:rFonts w:hint="eastAsia"/>
          <w:bCs/>
        </w:rPr>
        <w:t>西南铝业(集团)有限责任公司(简称西南铝)位于重庆市九龙坡区西彭镇,前身为冶金部112厂、西南铝加工厂, 始建于1965年7月, 2000年12月改制成立有限责任公司,是我国为生产重点项目、航空航天所需大规格、新品种、高质量铝及铝合金材料而建设的大型企业。西南铝培养了中国工程院院士1人、两江学者1人、国家级技能大师1人、享受国务院政府特殊津贴专家30余人,建有院士工作站,拥有国家级企业技术中心。</w:t>
      </w:r>
      <w:r>
        <w:rPr>
          <w:rFonts w:hint="eastAsia"/>
          <w:bCs/>
          <w:lang w:eastAsia="zh-CN"/>
        </w:rPr>
        <w:t>西南铝建有校准实验室与检测实验室，均通过了</w:t>
      </w:r>
      <w:r>
        <w:rPr>
          <w:rFonts w:hint="eastAsia"/>
          <w:bCs/>
          <w:lang w:val="en-US" w:eastAsia="zh-CN"/>
        </w:rPr>
        <w:t>CNAS认可，具备</w:t>
      </w:r>
      <w:bookmarkStart w:id="0" w:name="_GoBack"/>
      <w:bookmarkEnd w:id="0"/>
      <w:r>
        <w:rPr>
          <w:rFonts w:hint="eastAsia"/>
          <w:bCs/>
          <w:lang w:val="en-US" w:eastAsia="zh-CN"/>
        </w:rPr>
        <w:t>对数字式温湿度计、温湿度传感器、机械式温湿度计的CNAS校准能力。西南铝累计申请专利722件，其中授权发明专利249件、授权实用新型专利473件，主持和参与国家、行业标准277项。</w:t>
      </w:r>
    </w:p>
    <w:p>
      <w:pPr>
        <w:spacing w:line="360" w:lineRule="auto"/>
        <w:ind w:firstLine="420" w:firstLineChars="200"/>
        <w:rPr>
          <w:rFonts w:hint="eastAsia"/>
          <w:lang w:val="en-US" w:eastAsia="zh-CN"/>
        </w:rPr>
      </w:pPr>
      <w:r>
        <w:rPr>
          <w:rFonts w:hint="eastAsia"/>
          <w:lang w:val="en-US" w:eastAsia="zh-CN"/>
        </w:rPr>
        <w:t>广东省科学院工业分析检测中心始建于1971 年，先后隶属于广州有色金属研究院、广东省工业技术研究院（广州有色金属研究院），2015年12月经广东省机构编制委员会批准成为广东省科学院属下的独立二级事业法人单位。是我国从事矿产品、金属材料、冶金产品、化工产品、再生资源质量检测和性能评价，欧盟环保（RoHS）指令的有害物质检测、金属材料综合利用检测以及分析测试技术研究与技术咨询的专业机构。中心现有高、中、初级专业技术和管理人员100余人，其中教授有15人，高级工程师24人，硕博士20人，具有中级职称以上科技人员占80%。累计申请专利19件，其中授权发明专利8件、授权实用新型专利2件。承担国家、省级各类项目50余项，主持和参与国家、行业标准200余项，发表专著5部，发表论文300余篇。</w:t>
      </w:r>
    </w:p>
    <w:p>
      <w:pPr>
        <w:spacing w:line="360" w:lineRule="auto"/>
        <w:ind w:firstLine="420" w:firstLineChars="200"/>
        <w:rPr>
          <w:rFonts w:hint="eastAsia"/>
          <w:highlight w:val="yellow"/>
          <w:lang w:val="en-US" w:eastAsia="zh-CN"/>
        </w:rPr>
      </w:pPr>
      <w:r>
        <w:rPr>
          <w:rFonts w:hint="eastAsia"/>
          <w:highlight w:val="none"/>
          <w:lang w:val="en-US" w:eastAsia="zh-CN"/>
        </w:rPr>
        <w:t>山东南山铝业股份有限公司拥有目前全球最短最完整的铝加工产业链，拥有国家级企业技术中心，南山科学技术研究院等一流研发机构，其中国家铝合金压力加工工程技术研究中心是行业唯一国家级工程技术研究中心，公司主持起草十几项国家标准，获得全国有色金属标准化技术委员会“技术标准优秀奖”。计量中心为山东南山铝业股份有限公司设立的计量技术机构，计量中心拥有国际、国内先进的精密标准装置和仪器30多台（套），经质量技术监督等部门的考核建立了长、热、力、电等企业最高计量标准，并通过中国合格评定国家认可委员会实验室认可（CNAS）。计量中心建有“精密露点仪标准装置”企业最高计量标准，该标准装置由Optidew Vision 401型冷镜式露点仪、PR710A型精密数字温度计、PR381A型温湿度标准箱以及数显温湿度计、空盒气压表等组成，能够开展各类温湿度计的量值传递工作。</w:t>
      </w:r>
    </w:p>
    <w:p>
      <w:pPr>
        <w:spacing w:line="360" w:lineRule="auto"/>
        <w:ind w:firstLine="420" w:firstLineChars="200"/>
        <w:rPr>
          <w:rFonts w:hint="eastAsia"/>
          <w:lang w:val="en-US" w:eastAsia="zh-CN"/>
        </w:rPr>
      </w:pPr>
      <w:r>
        <w:rPr>
          <w:rFonts w:hint="eastAsia"/>
          <w:lang w:val="en-US" w:eastAsia="zh-CN"/>
        </w:rPr>
        <w:t>国标（北京）检验认证有限公司是我国有色行业的材料研究和材料检测的权威机构。该公司运行着国家有色金属质量监督检验中心，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pStyle w:val="12"/>
        <w:shd w:val="clear" w:color="auto" w:fill="FFFFFF"/>
        <w:spacing w:before="0" w:beforeAutospacing="0" w:after="0" w:afterAutospacing="0" w:line="360" w:lineRule="auto"/>
        <w:ind w:firstLine="480"/>
        <w:jc w:val="both"/>
        <w:rPr>
          <w:sz w:val="21"/>
          <w:szCs w:val="21"/>
        </w:rPr>
      </w:pPr>
      <w:r>
        <w:rPr>
          <w:rFonts w:hint="eastAsia"/>
          <w:sz w:val="21"/>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先后承担了国家、省市多项重大课题，目前已建成国内唯一的核电堆芯材料分析检测平台、多层金属复合材料测试和评价平台、钛及钛合金专业检测平台。近10年起草有色金属国家/行业规范共80余项、发表论文120余篇、授权专利30余项。先后荣获中国有色金属工业一等奖、二等奖20余次。</w:t>
      </w:r>
    </w:p>
    <w:p>
      <w:pPr>
        <w:spacing w:line="360" w:lineRule="auto"/>
        <w:ind w:firstLine="420" w:firstLineChars="200"/>
        <w:rPr>
          <w:rFonts w:hint="eastAsia"/>
          <w:lang w:val="en-US" w:eastAsia="zh-CN"/>
        </w:rPr>
      </w:pPr>
      <w:r>
        <w:rPr>
          <w:rFonts w:hint="eastAsia"/>
        </w:rPr>
        <w:t>中铝材料应用研究院有限公司是中国高端制造直属的核心研究院，现有员工165人，其中科研人员134人，“千人计划”专家4人，高级以上职称41人，硕士88人，博士41人。试验检验中心（北京、苏州各设一个）为国家CNAS认可机构，具备开展有色金属材料研究和应用技术开发的基本硬件条件。累计承担科研项目98项，其中国家级项目3项，省部级项目4项</w:t>
      </w:r>
      <w:r>
        <w:rPr>
          <w:rFonts w:hint="eastAsia"/>
          <w:lang w:eastAsia="zh-CN"/>
        </w:rPr>
        <w:t>。</w:t>
      </w:r>
    </w:p>
    <w:p>
      <w:pPr>
        <w:pStyle w:val="11"/>
        <w:spacing w:after="0" w:line="360" w:lineRule="auto"/>
        <w:rPr>
          <w:rFonts w:ascii="黑体" w:eastAsia="黑体"/>
          <w:bCs/>
          <w:szCs w:val="21"/>
        </w:rPr>
      </w:pPr>
      <w:r>
        <w:rPr>
          <w:rFonts w:ascii="黑体" w:eastAsia="黑体"/>
          <w:bCs/>
          <w:szCs w:val="21"/>
        </w:rPr>
        <w:t>1.3</w:t>
      </w:r>
      <w:r>
        <w:rPr>
          <w:rFonts w:hint="eastAsia" w:ascii="黑体" w:hAnsi="宋体" w:eastAsia="黑体"/>
          <w:bCs/>
          <w:szCs w:val="21"/>
        </w:rPr>
        <w:t>主要工作过程</w:t>
      </w:r>
    </w:p>
    <w:p>
      <w:pPr>
        <w:spacing w:line="360" w:lineRule="auto"/>
        <w:ind w:firstLine="420" w:firstLineChars="200"/>
        <w:rPr>
          <w:bCs/>
        </w:rPr>
      </w:pPr>
      <w:r>
        <w:rPr>
          <w:rFonts w:hint="eastAsia"/>
          <w:bCs/>
          <w:lang w:val="en-US" w:eastAsia="zh-CN"/>
        </w:rPr>
        <w:t>西南铝业（集团）有限责任公司计量</w:t>
      </w:r>
      <w:r>
        <w:rPr>
          <w:rFonts w:hint="eastAsia"/>
          <w:bCs/>
        </w:rPr>
        <w:t>检测中心接到有色金属行业计量技术委员会转发下达的制定任务后，成立了计量规范编制组，对计量技术规范编写工作进行了部署和分工，制定了制定原则及计划工作。本项目主要工作过程经过了以下几个阶段：</w:t>
      </w:r>
    </w:p>
    <w:p>
      <w:pPr>
        <w:spacing w:line="360" w:lineRule="auto"/>
        <w:ind w:firstLine="210" w:firstLineChars="100"/>
        <w:rPr>
          <w:bCs/>
        </w:rPr>
      </w:pPr>
      <w:r>
        <w:rPr>
          <w:bCs/>
        </w:rPr>
        <w:t>1</w:t>
      </w:r>
      <w:r>
        <w:rPr>
          <w:rFonts w:hint="eastAsia"/>
          <w:bCs/>
        </w:rPr>
        <w:t>）</w:t>
      </w:r>
      <w:r>
        <w:rPr>
          <w:bCs/>
        </w:rPr>
        <w:t>20</w:t>
      </w:r>
      <w:r>
        <w:rPr>
          <w:rFonts w:hint="eastAsia"/>
          <w:bCs/>
        </w:rPr>
        <w:t>21年</w:t>
      </w:r>
      <w:r>
        <w:rPr>
          <w:rFonts w:hint="eastAsia"/>
          <w:bCs/>
          <w:lang w:val="en-US" w:eastAsia="zh-CN"/>
        </w:rPr>
        <w:t>7</w:t>
      </w:r>
      <w:r>
        <w:rPr>
          <w:rFonts w:hint="eastAsia"/>
          <w:bCs/>
        </w:rPr>
        <w:t>月成立</w:t>
      </w:r>
      <w:r>
        <w:rPr>
          <w:rFonts w:hint="eastAsia"/>
          <w:bCs/>
          <w:lang w:eastAsia="zh-CN"/>
        </w:rPr>
        <w:t>了</w:t>
      </w:r>
      <w:r>
        <w:rPr>
          <w:rFonts w:hint="eastAsia"/>
          <w:bCs/>
        </w:rPr>
        <w:t>计量规范编制组，</w:t>
      </w:r>
      <w:r>
        <w:rPr>
          <w:rFonts w:hint="eastAsia"/>
          <w:bCs/>
          <w:lang w:eastAsia="zh-CN"/>
        </w:rPr>
        <w:t>参与单位有</w:t>
      </w:r>
      <w:r>
        <w:rPr>
          <w:rFonts w:hint="eastAsia"/>
          <w:bCs/>
          <w:lang w:val="en-US" w:eastAsia="zh-CN"/>
        </w:rPr>
        <w:t>广东省科学院工业分析检测中心、山东南山铝业股份有限公司、国标（北京）检验认证有限公司、西安汉唐分析检测有限公司和中铝材料应用研究院有限公司，并</w:t>
      </w:r>
      <w:r>
        <w:rPr>
          <w:rFonts w:hint="eastAsia"/>
          <w:bCs/>
        </w:rPr>
        <w:t>明确了编制组</w:t>
      </w:r>
      <w:r>
        <w:rPr>
          <w:rFonts w:hint="eastAsia"/>
          <w:bCs/>
          <w:lang w:eastAsia="zh-CN"/>
        </w:rPr>
        <w:t>成员</w:t>
      </w:r>
      <w:r>
        <w:rPr>
          <w:rFonts w:hint="eastAsia"/>
          <w:bCs/>
        </w:rPr>
        <w:t>各自的工作内容和任务。</w:t>
      </w:r>
    </w:p>
    <w:p>
      <w:pPr>
        <w:spacing w:line="360" w:lineRule="auto"/>
        <w:ind w:firstLine="210" w:firstLineChars="100"/>
        <w:rPr>
          <w:rFonts w:hint="eastAsia"/>
          <w:bCs/>
        </w:rPr>
      </w:pPr>
      <w:r>
        <w:rPr>
          <w:bCs/>
        </w:rPr>
        <w:t>2</w:t>
      </w:r>
      <w:r>
        <w:rPr>
          <w:rFonts w:hint="eastAsia"/>
          <w:bCs/>
        </w:rPr>
        <w:t>）</w:t>
      </w:r>
      <w:r>
        <w:rPr>
          <w:bCs/>
        </w:rPr>
        <w:t>20</w:t>
      </w:r>
      <w:r>
        <w:rPr>
          <w:rFonts w:hint="eastAsia"/>
          <w:bCs/>
        </w:rPr>
        <w:t>21年</w:t>
      </w:r>
      <w:r>
        <w:rPr>
          <w:rFonts w:hint="eastAsia"/>
          <w:bCs/>
          <w:lang w:val="en-US" w:eastAsia="zh-CN"/>
        </w:rPr>
        <w:t>8</w:t>
      </w:r>
      <w:r>
        <w:rPr>
          <w:rFonts w:hint="eastAsia"/>
          <w:bCs/>
        </w:rPr>
        <w:t>月</w:t>
      </w:r>
      <w:r>
        <w:rPr>
          <w:rFonts w:hint="eastAsia"/>
          <w:bCs/>
          <w:lang w:val="en-US" w:eastAsia="zh-CN"/>
        </w:rPr>
        <w:t>～2021年10月</w:t>
      </w:r>
      <w:r>
        <w:rPr>
          <w:rFonts w:hint="eastAsia"/>
          <w:bCs/>
        </w:rPr>
        <w:t>计量规范编制组成员对有</w:t>
      </w:r>
      <w:r>
        <w:rPr>
          <w:rFonts w:hint="eastAsia"/>
          <w:bCs/>
          <w:lang w:eastAsia="zh-CN"/>
        </w:rPr>
        <w:t>电子式温湿度计校准规范</w:t>
      </w:r>
      <w:r>
        <w:rPr>
          <w:rFonts w:hint="eastAsia"/>
          <w:bCs/>
        </w:rPr>
        <w:t>中的计量特性及校准方法进行了讨论，确定了校准项目和方法，在</w:t>
      </w:r>
      <w:r>
        <w:rPr>
          <w:bCs/>
        </w:rPr>
        <w:t>202</w:t>
      </w:r>
      <w:r>
        <w:rPr>
          <w:rFonts w:hint="eastAsia"/>
          <w:bCs/>
          <w:lang w:val="en-US" w:eastAsia="zh-CN"/>
        </w:rPr>
        <w:t>2</w:t>
      </w:r>
      <w:r>
        <w:rPr>
          <w:rFonts w:hint="eastAsia"/>
          <w:bCs/>
        </w:rPr>
        <w:t>年</w:t>
      </w:r>
      <w:r>
        <w:rPr>
          <w:rFonts w:hint="eastAsia"/>
          <w:bCs/>
          <w:lang w:val="en-US" w:eastAsia="zh-CN"/>
        </w:rPr>
        <w:t>08</w:t>
      </w:r>
      <w:r>
        <w:rPr>
          <w:rFonts w:hint="eastAsia"/>
          <w:bCs/>
        </w:rPr>
        <w:t>月形成了计量规范讨论稿。</w:t>
      </w:r>
    </w:p>
    <w:p>
      <w:pPr>
        <w:spacing w:line="360" w:lineRule="auto"/>
        <w:ind w:firstLine="210" w:firstLineChars="100"/>
        <w:rPr>
          <w:rFonts w:hint="eastAsia"/>
          <w:bCs/>
          <w:lang w:eastAsia="zh-CN"/>
        </w:rPr>
      </w:pPr>
      <w:r>
        <w:rPr>
          <w:rFonts w:hint="eastAsia"/>
          <w:bCs/>
          <w:lang w:val="en-US" w:eastAsia="zh-CN"/>
        </w:rPr>
        <w:t>3）2022年8月23日</w:t>
      </w:r>
      <w:r>
        <w:rPr>
          <w:rFonts w:hint="eastAsia" w:ascii="仿宋" w:hAnsi="仿宋" w:eastAsia="仿宋" w:cs="仿宋"/>
          <w:bCs/>
          <w:lang w:val="en-US" w:eastAsia="zh-CN"/>
        </w:rPr>
        <w:t>～</w:t>
      </w:r>
      <w:r>
        <w:rPr>
          <w:rFonts w:hint="eastAsia"/>
          <w:bCs/>
          <w:lang w:val="en-US" w:eastAsia="zh-CN"/>
        </w:rPr>
        <w:t>25日，</w:t>
      </w:r>
      <w:r>
        <w:rPr>
          <w:rFonts w:hint="eastAsia"/>
          <w:bCs/>
        </w:rPr>
        <w:t>计量规范编制组成员参加了由有色金属行业计量技术委员会组织的在</w:t>
      </w:r>
      <w:r>
        <w:rPr>
          <w:rFonts w:hint="eastAsia"/>
          <w:bCs/>
          <w:lang w:val="en-US" w:eastAsia="zh-CN"/>
        </w:rPr>
        <w:t>云南建水</w:t>
      </w:r>
      <w:r>
        <w:rPr>
          <w:rFonts w:hint="eastAsia"/>
          <w:bCs/>
        </w:rPr>
        <w:t>召开的</w:t>
      </w:r>
      <w:r>
        <w:rPr>
          <w:bCs/>
        </w:rPr>
        <w:t>202</w:t>
      </w:r>
      <w:r>
        <w:rPr>
          <w:rFonts w:hint="eastAsia"/>
          <w:bCs/>
          <w:lang w:val="en-US" w:eastAsia="zh-CN"/>
        </w:rPr>
        <w:t>2</w:t>
      </w:r>
      <w:r>
        <w:rPr>
          <w:rFonts w:hint="eastAsia"/>
          <w:bCs/>
        </w:rPr>
        <w:t>年有色金属行业计量技术规范讨论会，与会专家、代表对本</w:t>
      </w:r>
      <w:r>
        <w:rPr>
          <w:rFonts w:hint="eastAsia"/>
          <w:bCs/>
          <w:lang w:eastAsia="zh-CN"/>
        </w:rPr>
        <w:t>校准</w:t>
      </w:r>
      <w:r>
        <w:rPr>
          <w:rFonts w:hint="eastAsia"/>
          <w:bCs/>
        </w:rPr>
        <w:t>规范的讨论稿提出了宝贵的意见和建议</w:t>
      </w:r>
      <w:r>
        <w:rPr>
          <w:rFonts w:hint="eastAsia"/>
          <w:bCs/>
          <w:lang w:eastAsia="zh-CN"/>
        </w:rPr>
        <w:t>。</w:t>
      </w:r>
    </w:p>
    <w:p>
      <w:pPr>
        <w:spacing w:line="360" w:lineRule="auto"/>
        <w:ind w:firstLine="210" w:firstLineChars="100"/>
        <w:rPr>
          <w:bCs/>
        </w:rPr>
      </w:pPr>
      <w:r>
        <w:rPr>
          <w:rFonts w:hint="eastAsia"/>
          <w:bCs/>
        </w:rPr>
        <w:t>4）202</w:t>
      </w:r>
      <w:r>
        <w:rPr>
          <w:rFonts w:hint="eastAsia"/>
          <w:bCs/>
          <w:lang w:val="en-US" w:eastAsia="zh-CN"/>
        </w:rPr>
        <w:t>2</w:t>
      </w:r>
      <w:r>
        <w:rPr>
          <w:rFonts w:hint="eastAsia"/>
          <w:bCs/>
        </w:rPr>
        <w:t>年</w:t>
      </w:r>
      <w:r>
        <w:rPr>
          <w:rFonts w:hint="eastAsia"/>
          <w:bCs/>
          <w:lang w:val="en-US" w:eastAsia="zh-CN"/>
        </w:rPr>
        <w:t>8</w:t>
      </w:r>
      <w:r>
        <w:rPr>
          <w:rFonts w:hint="eastAsia"/>
          <w:bCs/>
        </w:rPr>
        <w:t>月</w:t>
      </w:r>
      <w:r>
        <w:rPr>
          <w:rFonts w:hint="eastAsia" w:ascii="仿宋" w:hAnsi="仿宋" w:eastAsia="仿宋" w:cs="仿宋"/>
          <w:bCs/>
        </w:rPr>
        <w:t>～</w:t>
      </w:r>
      <w:r>
        <w:rPr>
          <w:rFonts w:hint="eastAsia" w:ascii="宋体" w:hAnsi="宋体" w:cs="宋体"/>
          <w:bCs/>
          <w:lang w:val="en-US" w:eastAsia="zh-CN"/>
        </w:rPr>
        <w:t>9月</w:t>
      </w:r>
      <w:r>
        <w:rPr>
          <w:rFonts w:hint="eastAsia"/>
          <w:bCs/>
        </w:rPr>
        <w:t>，针对</w:t>
      </w:r>
      <w:r>
        <w:rPr>
          <w:rFonts w:hint="eastAsia"/>
          <w:bCs/>
          <w:lang w:val="en-US" w:eastAsia="zh-CN"/>
        </w:rPr>
        <w:t>8</w:t>
      </w:r>
      <w:r>
        <w:rPr>
          <w:rFonts w:hint="eastAsia"/>
          <w:bCs/>
        </w:rPr>
        <w:t>月的</w:t>
      </w:r>
      <w:r>
        <w:rPr>
          <w:rFonts w:hint="eastAsia"/>
          <w:bCs/>
          <w:lang w:eastAsia="zh-CN"/>
        </w:rPr>
        <w:t>云南建水</w:t>
      </w:r>
      <w:r>
        <w:rPr>
          <w:rFonts w:hint="eastAsia"/>
          <w:bCs/>
        </w:rPr>
        <w:t>讨论会中代表们提出的修改意见和建议，编制组开会讨论并修改了校准规范，形成了征求意见稿。</w:t>
      </w:r>
    </w:p>
    <w:p>
      <w:pPr>
        <w:spacing w:line="360" w:lineRule="auto"/>
        <w:rPr>
          <w:rFonts w:ascii="黑体" w:eastAsia="黑体"/>
          <w:bCs/>
          <w:color w:val="FF0000"/>
          <w:szCs w:val="21"/>
        </w:rPr>
      </w:pPr>
      <w:r>
        <w:rPr>
          <w:rFonts w:hint="eastAsia"/>
          <w:bCs/>
          <w:color w:val="000000"/>
          <w:szCs w:val="21"/>
        </w:rPr>
        <w:t>二、</w:t>
      </w:r>
      <w:r>
        <w:rPr>
          <w:rFonts w:hint="eastAsia" w:ascii="黑体" w:hAnsi="宋体" w:eastAsia="黑体"/>
          <w:bCs/>
          <w:szCs w:val="21"/>
        </w:rPr>
        <w:t>编制原则和依据</w:t>
      </w:r>
    </w:p>
    <w:p>
      <w:pPr>
        <w:pStyle w:val="11"/>
        <w:spacing w:after="0" w:line="360" w:lineRule="auto"/>
        <w:rPr>
          <w:rFonts w:ascii="黑体" w:eastAsia="黑体"/>
          <w:bCs/>
          <w:szCs w:val="21"/>
        </w:rPr>
      </w:pPr>
      <w:r>
        <w:rPr>
          <w:rFonts w:ascii="黑体" w:eastAsia="黑体"/>
          <w:bCs/>
          <w:szCs w:val="21"/>
        </w:rPr>
        <w:t>2.1</w:t>
      </w:r>
      <w:r>
        <w:rPr>
          <w:rFonts w:hint="eastAsia" w:ascii="黑体" w:hAnsi="宋体" w:eastAsia="黑体"/>
          <w:bCs/>
          <w:szCs w:val="21"/>
        </w:rPr>
        <w:t>规范编制原则</w:t>
      </w:r>
    </w:p>
    <w:p>
      <w:pPr>
        <w:spacing w:line="360" w:lineRule="auto"/>
        <w:ind w:firstLine="435"/>
        <w:rPr>
          <w:bCs/>
          <w:szCs w:val="21"/>
        </w:rPr>
      </w:pPr>
      <w:r>
        <w:rPr>
          <w:rFonts w:ascii="宋体" w:hAnsi="宋体"/>
          <w:bCs/>
          <w:szCs w:val="21"/>
        </w:rPr>
        <w:t>1</w:t>
      </w:r>
      <w:r>
        <w:rPr>
          <w:rFonts w:hint="eastAsia" w:ascii="宋体" w:hAnsi="宋体"/>
          <w:bCs/>
          <w:szCs w:val="21"/>
        </w:rPr>
        <w:t>）</w:t>
      </w:r>
      <w:r>
        <w:rPr>
          <w:rFonts w:hint="eastAsia" w:hAnsi="宋体"/>
          <w:bCs/>
          <w:szCs w:val="21"/>
        </w:rPr>
        <w:t>该规范按照</w:t>
      </w:r>
      <w:r>
        <w:rPr>
          <w:bCs/>
          <w:szCs w:val="21"/>
        </w:rPr>
        <w:t>JJF 1071-2010</w:t>
      </w:r>
      <w:r>
        <w:rPr>
          <w:rFonts w:hint="eastAsia" w:hAnsi="宋体"/>
          <w:bCs/>
          <w:szCs w:val="21"/>
        </w:rPr>
        <w:t>《国家计量校准规范编写规则》、</w:t>
      </w:r>
      <w:r>
        <w:rPr>
          <w:bCs/>
          <w:szCs w:val="21"/>
        </w:rPr>
        <w:t>JJF 1001—2011</w:t>
      </w:r>
      <w:r>
        <w:rPr>
          <w:rFonts w:hint="eastAsia" w:hAnsi="宋体"/>
          <w:bCs/>
          <w:szCs w:val="21"/>
        </w:rPr>
        <w:t>《通用计量术语及定义》和</w:t>
      </w:r>
      <w:r>
        <w:rPr>
          <w:bCs/>
          <w:szCs w:val="21"/>
        </w:rPr>
        <w:t>JJF 1059.1—2012</w:t>
      </w:r>
      <w:r>
        <w:rPr>
          <w:rFonts w:hint="eastAsia" w:hAnsi="宋体"/>
          <w:bCs/>
          <w:szCs w:val="21"/>
        </w:rPr>
        <w:t>《测量不确定度评定与表示》编写。</w:t>
      </w:r>
    </w:p>
    <w:p>
      <w:pPr>
        <w:spacing w:line="360" w:lineRule="auto"/>
        <w:ind w:firstLine="420" w:firstLineChars="200"/>
        <w:rPr>
          <w:rFonts w:hint="eastAsia" w:ascii="宋体" w:hAnsi="宋体"/>
          <w:bCs/>
          <w:szCs w:val="21"/>
        </w:rPr>
      </w:pPr>
      <w:r>
        <w:rPr>
          <w:bCs/>
          <w:szCs w:val="21"/>
        </w:rPr>
        <w:t>2</w:t>
      </w:r>
      <w:r>
        <w:rPr>
          <w:rFonts w:hint="eastAsia" w:hAnsi="宋体"/>
          <w:bCs/>
          <w:szCs w:val="21"/>
        </w:rPr>
        <w:t>）先进性：本规范依据</w:t>
      </w:r>
      <w:r>
        <w:rPr>
          <w:rFonts w:hint="eastAsia"/>
          <w:bCs/>
          <w:szCs w:val="21"/>
          <w:lang w:val="en-US" w:eastAsia="zh-CN"/>
        </w:rPr>
        <w:t>JJF1076-2020</w:t>
      </w:r>
      <w:r>
        <w:rPr>
          <w:rFonts w:hint="eastAsia" w:hAnsi="宋体"/>
          <w:bCs/>
          <w:szCs w:val="21"/>
        </w:rPr>
        <w:t>《</w:t>
      </w:r>
      <w:r>
        <w:rPr>
          <w:rFonts w:hint="eastAsia"/>
          <w:bCs/>
          <w:szCs w:val="21"/>
          <w:lang w:val="en-US" w:eastAsia="zh-CN"/>
        </w:rPr>
        <w:t>数字式温湿度计校准规范</w:t>
      </w:r>
      <w:r>
        <w:rPr>
          <w:rFonts w:hint="eastAsia" w:hAnsi="宋体"/>
          <w:bCs/>
          <w:szCs w:val="21"/>
        </w:rPr>
        <w:t>》</w:t>
      </w:r>
      <w:r>
        <w:rPr>
          <w:rFonts w:hint="eastAsia"/>
          <w:bCs/>
          <w:szCs w:val="21"/>
        </w:rPr>
        <w:t>的</w:t>
      </w:r>
      <w:r>
        <w:rPr>
          <w:rFonts w:hint="eastAsia" w:hAnsi="宋体"/>
          <w:bCs/>
          <w:szCs w:val="21"/>
          <w:lang w:val="en-US" w:eastAsia="zh-CN"/>
        </w:rPr>
        <w:t>校准</w:t>
      </w:r>
      <w:r>
        <w:rPr>
          <w:rFonts w:hint="eastAsia" w:hAnsi="宋体"/>
          <w:bCs/>
          <w:szCs w:val="21"/>
        </w:rPr>
        <w:t>要求，</w:t>
      </w:r>
      <w:r>
        <w:rPr>
          <w:rFonts w:hint="eastAsia" w:ascii="宋体" w:hAnsi="宋体"/>
          <w:bCs/>
          <w:szCs w:val="21"/>
        </w:rPr>
        <w:t>制订了基本原则和编制依据，</w:t>
      </w:r>
      <w:r>
        <w:rPr>
          <w:rFonts w:hint="eastAsia" w:ascii="宋体" w:hAnsi="宋体"/>
          <w:bCs/>
          <w:szCs w:val="21"/>
          <w:lang w:val="en-US" w:eastAsia="zh-CN"/>
        </w:rPr>
        <w:t>弥补了现有校准规范对模拟量型温湿度计校准操作性不强的问题</w:t>
      </w:r>
      <w:r>
        <w:rPr>
          <w:rFonts w:hint="eastAsia" w:ascii="宋体" w:hAnsi="宋体"/>
          <w:bCs/>
          <w:szCs w:val="21"/>
        </w:rPr>
        <w:t>。</w:t>
      </w:r>
    </w:p>
    <w:p>
      <w:pPr>
        <w:spacing w:line="360" w:lineRule="auto"/>
        <w:ind w:firstLine="420" w:firstLineChars="200"/>
        <w:rPr>
          <w:rFonts w:hint="default" w:ascii="宋体"/>
          <w:bCs/>
          <w:szCs w:val="21"/>
          <w:lang w:val="en-US"/>
        </w:rPr>
      </w:pPr>
      <w:r>
        <w:rPr>
          <w:rFonts w:ascii="宋体" w:hAnsi="宋体"/>
          <w:bCs/>
          <w:szCs w:val="21"/>
        </w:rPr>
        <w:t>3</w:t>
      </w:r>
      <w:r>
        <w:rPr>
          <w:rFonts w:hint="eastAsia" w:ascii="宋体" w:hAnsi="宋体"/>
          <w:bCs/>
          <w:szCs w:val="21"/>
        </w:rPr>
        <w:t>）创新性：</w:t>
      </w:r>
      <w:r>
        <w:rPr>
          <w:rFonts w:hint="eastAsia" w:ascii="宋体" w:hAnsi="宋体"/>
          <w:bCs/>
          <w:szCs w:val="21"/>
          <w:lang w:val="en-US" w:eastAsia="zh-CN"/>
        </w:rPr>
        <w:t>对模拟量型温湿度计的校准方法和误差计算方法进行了详细的描述；对校准标准装置进行了详细的规定，对校准点也明确列出规定。</w:t>
      </w:r>
    </w:p>
    <w:p>
      <w:pPr>
        <w:spacing w:line="360" w:lineRule="auto"/>
        <w:rPr>
          <w:rFonts w:ascii="黑体" w:hAnsi="宋体" w:eastAsia="黑体"/>
          <w:bCs/>
          <w:szCs w:val="21"/>
        </w:rPr>
      </w:pPr>
      <w:r>
        <w:rPr>
          <w:rFonts w:ascii="黑体" w:eastAsia="黑体"/>
          <w:bCs/>
          <w:szCs w:val="21"/>
        </w:rPr>
        <w:t>2.2</w:t>
      </w:r>
      <w:r>
        <w:rPr>
          <w:rFonts w:hint="eastAsia" w:ascii="黑体" w:hAnsi="宋体" w:eastAsia="黑体"/>
          <w:bCs/>
          <w:szCs w:val="21"/>
        </w:rPr>
        <w:t>制定规范主要内容的论据</w:t>
      </w:r>
    </w:p>
    <w:p>
      <w:pPr>
        <w:spacing w:line="360" w:lineRule="auto"/>
        <w:rPr>
          <w:rFonts w:ascii="黑体" w:hAnsi="黑体" w:eastAsia="黑体"/>
          <w:bCs/>
          <w:szCs w:val="21"/>
        </w:rPr>
      </w:pPr>
      <w:r>
        <w:rPr>
          <w:rFonts w:ascii="黑体" w:hAnsi="黑体" w:eastAsia="黑体"/>
          <w:bCs/>
          <w:szCs w:val="21"/>
        </w:rPr>
        <w:t>2.2.1</w:t>
      </w:r>
      <w:r>
        <w:rPr>
          <w:rFonts w:hint="eastAsia" w:ascii="黑体" w:hAnsi="黑体" w:eastAsia="黑体"/>
          <w:bCs/>
          <w:szCs w:val="21"/>
        </w:rPr>
        <w:t>范围</w:t>
      </w:r>
    </w:p>
    <w:p>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rPr>
        <w:t>本规范</w:t>
      </w:r>
      <w:r>
        <w:rPr>
          <w:rFonts w:hint="eastAsia" w:ascii="宋体" w:hAnsi="宋体" w:cs="宋体"/>
          <w:bCs/>
          <w:szCs w:val="21"/>
          <w:lang w:val="en-US" w:eastAsia="zh-CN"/>
        </w:rPr>
        <w:t>适用于电参数型数字式温湿度计、温湿度记录仪、温湿度存储器、温湿度巡检仪、温湿度传感器、温湿度变送器等的校准。</w:t>
      </w:r>
    </w:p>
    <w:p>
      <w:pPr>
        <w:spacing w:line="360" w:lineRule="auto"/>
        <w:rPr>
          <w:rFonts w:ascii="黑体" w:hAnsi="宋体" w:eastAsia="黑体"/>
          <w:bCs/>
          <w:szCs w:val="21"/>
        </w:rPr>
      </w:pPr>
      <w:r>
        <w:rPr>
          <w:rFonts w:ascii="黑体" w:hAnsi="宋体" w:eastAsia="黑体"/>
          <w:bCs/>
          <w:szCs w:val="21"/>
        </w:rPr>
        <w:t>2.2.2</w:t>
      </w:r>
      <w:r>
        <w:rPr>
          <w:rFonts w:ascii="黑体" w:eastAsia="黑体"/>
          <w:bCs/>
          <w:szCs w:val="21"/>
        </w:rPr>
        <w:t xml:space="preserve"> </w:t>
      </w:r>
      <w:r>
        <w:rPr>
          <w:rFonts w:hint="eastAsia" w:ascii="黑体" w:hAnsi="宋体" w:eastAsia="黑体"/>
          <w:bCs/>
          <w:szCs w:val="21"/>
        </w:rPr>
        <w:t>引用文件</w:t>
      </w:r>
    </w:p>
    <w:p>
      <w:pPr>
        <w:adjustRightInd w:val="0"/>
        <w:snapToGrid w:val="0"/>
        <w:spacing w:line="360" w:lineRule="auto"/>
        <w:ind w:firstLine="210" w:firstLineChars="100"/>
        <w:rPr>
          <w:rFonts w:hint="default" w:hAnsi="宋体" w:eastAsia="宋体"/>
          <w:bCs/>
          <w:szCs w:val="21"/>
          <w:lang w:val="en-US" w:eastAsia="zh-CN"/>
        </w:rPr>
      </w:pPr>
      <w:r>
        <w:rPr>
          <w:rFonts w:hint="eastAsia"/>
          <w:bCs/>
          <w:szCs w:val="21"/>
        </w:rPr>
        <w:t xml:space="preserve"> </w:t>
      </w:r>
      <w:r>
        <w:rPr>
          <w:bCs/>
          <w:szCs w:val="21"/>
        </w:rPr>
        <w:t xml:space="preserve"> </w:t>
      </w:r>
      <w:r>
        <w:rPr>
          <w:rFonts w:hint="eastAsia" w:hAnsi="宋体"/>
          <w:bCs/>
          <w:szCs w:val="21"/>
        </w:rPr>
        <w:t>本规范没有引用文件</w:t>
      </w:r>
      <w:r>
        <w:rPr>
          <w:rFonts w:hint="eastAsia" w:hAnsi="宋体"/>
          <w:bCs/>
          <w:szCs w:val="21"/>
          <w:lang w:val="en-US" w:eastAsia="zh-CN"/>
        </w:rPr>
        <w:t>。</w:t>
      </w:r>
    </w:p>
    <w:p>
      <w:pPr>
        <w:spacing w:line="360" w:lineRule="auto"/>
        <w:rPr>
          <w:rFonts w:ascii="黑体" w:hAnsi="宋体" w:eastAsia="黑体"/>
          <w:bCs/>
          <w:szCs w:val="21"/>
        </w:rPr>
      </w:pPr>
      <w:r>
        <w:rPr>
          <w:rFonts w:ascii="黑体" w:hAnsi="宋体" w:eastAsia="黑体"/>
          <w:bCs/>
          <w:szCs w:val="21"/>
        </w:rPr>
        <w:t>2.2.3</w:t>
      </w:r>
      <w:r>
        <w:rPr>
          <w:rFonts w:ascii="黑体" w:eastAsia="黑体"/>
          <w:bCs/>
          <w:szCs w:val="21"/>
        </w:rPr>
        <w:t xml:space="preserve"> </w:t>
      </w:r>
      <w:r>
        <w:rPr>
          <w:rFonts w:hint="eastAsia" w:ascii="黑体" w:hAnsi="宋体" w:eastAsia="黑体"/>
          <w:bCs/>
          <w:szCs w:val="21"/>
        </w:rPr>
        <w:t>概述</w:t>
      </w:r>
    </w:p>
    <w:p>
      <w:pPr>
        <w:adjustRightInd w:val="0"/>
        <w:snapToGrid w:val="0"/>
        <w:spacing w:line="360" w:lineRule="auto"/>
        <w:ind w:firstLine="420" w:firstLineChars="200"/>
        <w:rPr>
          <w:rFonts w:hint="eastAsia" w:ascii="Times New Roman" w:hAnsi="宋体" w:cs="Times New Roman"/>
          <w:bCs/>
          <w:szCs w:val="21"/>
          <w:lang w:val="en-US" w:eastAsia="zh-CN"/>
        </w:rPr>
      </w:pPr>
      <w:r>
        <w:rPr>
          <w:rFonts w:hint="eastAsia" w:ascii="Times New Roman" w:hAnsi="宋体" w:cs="Times New Roman"/>
          <w:bCs/>
          <w:szCs w:val="21"/>
          <w:lang w:val="en-US" w:eastAsia="zh-CN"/>
        </w:rPr>
        <w:t>根据讨论稿的意见</w:t>
      </w:r>
      <w:r>
        <w:rPr>
          <w:rFonts w:hint="eastAsia" w:hAnsi="宋体" w:cs="Times New Roman"/>
          <w:bCs/>
          <w:szCs w:val="21"/>
          <w:lang w:val="en-US" w:eastAsia="zh-CN"/>
        </w:rPr>
        <w:t>，对概述进行了修改，如下描述：</w:t>
      </w:r>
    </w:p>
    <w:p>
      <w:pPr>
        <w:adjustRightInd w:val="0"/>
        <w:snapToGrid w:val="0"/>
        <w:spacing w:line="360" w:lineRule="auto"/>
        <w:ind w:firstLine="420" w:firstLineChars="200"/>
        <w:rPr>
          <w:rFonts w:hint="default" w:ascii="Times New Roman" w:hAnsi="宋体" w:cs="Times New Roman"/>
          <w:bCs/>
          <w:szCs w:val="21"/>
          <w:lang w:val="en-US" w:eastAsia="zh-CN"/>
        </w:rPr>
      </w:pPr>
      <w:r>
        <w:rPr>
          <w:rFonts w:hint="eastAsia" w:ascii="Times New Roman" w:hAnsi="宋体" w:cs="Times New Roman"/>
          <w:bCs/>
          <w:szCs w:val="21"/>
          <w:lang w:val="en-US" w:eastAsia="zh-CN"/>
        </w:rPr>
        <w:t>电子式温湿度计（以下简称温湿度计）主要由感温元件、感湿元件、测量电路等部分组成。有的温湿度计具备显示功能，以数字形式直接显示出温度值和湿度值，称之为数字量型温湿度计；有的温湿度计将采集的温度、湿度转换为模拟信号输出，该模拟信号与温度、湿度变量之间有一给定的连续函数关系（通常为线性函数），称之为模拟量型温湿度计（比如温湿度传感器、温湿度变送器）。</w:t>
      </w:r>
    </w:p>
    <w:p>
      <w:pPr>
        <w:spacing w:line="360" w:lineRule="auto"/>
        <w:rPr>
          <w:rFonts w:ascii="黑体" w:hAnsi="宋体" w:eastAsia="黑体"/>
          <w:bCs/>
          <w:szCs w:val="21"/>
        </w:rPr>
      </w:pPr>
      <w:r>
        <w:rPr>
          <w:rFonts w:ascii="黑体" w:hAnsi="宋体" w:eastAsia="黑体"/>
          <w:bCs/>
          <w:szCs w:val="21"/>
        </w:rPr>
        <w:t>2.2.4</w:t>
      </w:r>
      <w:r>
        <w:rPr>
          <w:rFonts w:ascii="黑体" w:eastAsia="黑体"/>
          <w:bCs/>
          <w:szCs w:val="21"/>
        </w:rPr>
        <w:t xml:space="preserve"> </w:t>
      </w:r>
      <w:r>
        <w:rPr>
          <w:rFonts w:hint="eastAsia" w:ascii="黑体" w:hAnsi="宋体" w:eastAsia="黑体"/>
          <w:bCs/>
          <w:szCs w:val="21"/>
        </w:rPr>
        <w:t>计量特性</w:t>
      </w:r>
    </w:p>
    <w:p>
      <w:pPr>
        <w:adjustRightInd w:val="0"/>
        <w:snapToGrid w:val="0"/>
        <w:spacing w:line="360" w:lineRule="auto"/>
        <w:ind w:firstLine="420" w:firstLineChars="200"/>
        <w:rPr>
          <w:rFonts w:hint="default" w:ascii="黑体" w:hAnsi="宋体" w:eastAsia="黑体"/>
          <w:bCs/>
          <w:szCs w:val="21"/>
          <w:lang w:val="en-US" w:eastAsia="zh-CN"/>
        </w:rPr>
      </w:pPr>
    </w:p>
    <w:p>
      <w:pPr>
        <w:spacing w:line="360" w:lineRule="auto"/>
        <w:rPr>
          <w:rFonts w:ascii="黑体" w:hAnsi="宋体" w:eastAsia="黑体"/>
          <w:bCs/>
          <w:szCs w:val="21"/>
        </w:rPr>
      </w:pPr>
      <w:r>
        <w:rPr>
          <w:rFonts w:ascii="黑体" w:hAnsi="宋体" w:eastAsia="黑体"/>
          <w:bCs/>
          <w:szCs w:val="21"/>
        </w:rPr>
        <w:t>2.2.5</w:t>
      </w:r>
      <w:r>
        <w:rPr>
          <w:rFonts w:ascii="黑体" w:eastAsia="黑体"/>
          <w:bCs/>
          <w:szCs w:val="21"/>
        </w:rPr>
        <w:t xml:space="preserve"> </w:t>
      </w:r>
      <w:r>
        <w:rPr>
          <w:rFonts w:hint="eastAsia" w:ascii="黑体" w:hAnsi="宋体" w:eastAsia="黑体"/>
          <w:bCs/>
          <w:szCs w:val="21"/>
        </w:rPr>
        <w:t>校准条件</w:t>
      </w:r>
    </w:p>
    <w:p>
      <w:pPr>
        <w:spacing w:line="360" w:lineRule="auto"/>
        <w:ind w:firstLine="420" w:firstLineChars="200"/>
        <w:rPr>
          <w:rFonts w:hint="eastAsia" w:eastAsia="宋体"/>
          <w:bCs/>
          <w:lang w:val="en-US" w:eastAsia="zh-CN"/>
        </w:rPr>
      </w:pPr>
      <w:r>
        <w:rPr>
          <w:rFonts w:hint="eastAsia"/>
          <w:bCs/>
          <w:lang w:eastAsia="zh-CN"/>
        </w:rPr>
        <w:t>根据讨论稿的意见，将精密露点仪的</w:t>
      </w:r>
      <w:r>
        <w:rPr>
          <w:rStyle w:val="42"/>
          <w:rFonts w:hint="eastAsia"/>
          <w:lang w:val="en-US" w:eastAsia="zh-CN"/>
        </w:rPr>
        <w:t>露点温度测量范围，从（-20～40）℃DP改变为</w:t>
      </w:r>
      <w:r>
        <w:rPr>
          <w:rStyle w:val="42"/>
          <w:rFonts w:hint="eastAsia"/>
          <w:highlight w:val="none"/>
          <w:lang w:val="en-US" w:eastAsia="zh-CN"/>
        </w:rPr>
        <w:t>（-30～50）℃DP。</w:t>
      </w:r>
    </w:p>
    <w:p>
      <w:pPr>
        <w:spacing w:line="360" w:lineRule="auto"/>
        <w:rPr>
          <w:rFonts w:ascii="黑体" w:hAnsi="宋体" w:eastAsia="黑体"/>
          <w:bCs/>
          <w:szCs w:val="21"/>
        </w:rPr>
      </w:pPr>
      <w:r>
        <w:rPr>
          <w:rFonts w:ascii="黑体" w:hAnsi="宋体" w:eastAsia="黑体"/>
          <w:bCs/>
          <w:szCs w:val="21"/>
        </w:rPr>
        <w:t>2.2.6</w:t>
      </w:r>
      <w:r>
        <w:rPr>
          <w:rFonts w:ascii="黑体" w:eastAsia="黑体"/>
          <w:bCs/>
          <w:szCs w:val="21"/>
        </w:rPr>
        <w:t xml:space="preserve"> </w:t>
      </w:r>
      <w:r>
        <w:rPr>
          <w:rFonts w:hint="eastAsia" w:ascii="黑体" w:hAnsi="宋体" w:eastAsia="黑体"/>
          <w:bCs/>
          <w:szCs w:val="21"/>
        </w:rPr>
        <w:t>校准项目和校准方法</w:t>
      </w:r>
    </w:p>
    <w:p>
      <w:pPr>
        <w:spacing w:line="360" w:lineRule="auto"/>
        <w:rPr>
          <w:rFonts w:ascii="黑体" w:hAnsi="宋体" w:eastAsia="黑体"/>
          <w:bCs/>
          <w:szCs w:val="21"/>
        </w:rPr>
      </w:pPr>
    </w:p>
    <w:p>
      <w:pPr>
        <w:spacing w:line="360" w:lineRule="auto"/>
        <w:rPr>
          <w:rFonts w:ascii="黑体" w:hAnsi="宋体" w:eastAsia="黑体"/>
          <w:bCs/>
          <w:szCs w:val="21"/>
        </w:rPr>
      </w:pPr>
      <w:r>
        <w:rPr>
          <w:rFonts w:ascii="黑体" w:hAnsi="宋体" w:eastAsia="黑体"/>
          <w:bCs/>
          <w:szCs w:val="21"/>
        </w:rPr>
        <w:t xml:space="preserve">2.2.7 </w:t>
      </w:r>
      <w:r>
        <w:rPr>
          <w:rFonts w:hint="eastAsia" w:ascii="黑体" w:hAnsi="宋体" w:eastAsia="黑体"/>
          <w:bCs/>
          <w:szCs w:val="21"/>
        </w:rPr>
        <w:t>校准结果表达</w:t>
      </w:r>
    </w:p>
    <w:p>
      <w:pPr>
        <w:spacing w:line="360" w:lineRule="auto"/>
        <w:ind w:firstLine="420" w:firstLineChars="200"/>
        <w:rPr>
          <w:rFonts w:hint="eastAsia" w:ascii="宋体" w:hAnsi="宋体"/>
          <w:bCs/>
          <w:szCs w:val="21"/>
        </w:rPr>
      </w:pPr>
      <w:r>
        <w:rPr>
          <w:rFonts w:hint="eastAsia" w:ascii="宋体" w:hAnsi="宋体"/>
          <w:bCs/>
          <w:szCs w:val="21"/>
          <w:lang w:val="en-US" w:eastAsia="zh-CN"/>
        </w:rPr>
        <w:t>详细列出了校准证书应具备的信息和说明</w:t>
      </w:r>
      <w:r>
        <w:rPr>
          <w:rFonts w:hint="eastAsia" w:ascii="宋体" w:hAnsi="宋体"/>
          <w:bCs/>
          <w:szCs w:val="21"/>
        </w:rPr>
        <w:t>。</w:t>
      </w:r>
    </w:p>
    <w:p>
      <w:pPr>
        <w:spacing w:line="360" w:lineRule="auto"/>
        <w:rPr>
          <w:rFonts w:hint="eastAsia" w:ascii="黑体" w:hAnsi="宋体" w:eastAsia="黑体"/>
          <w:bCs/>
          <w:szCs w:val="21"/>
        </w:rPr>
      </w:pPr>
      <w:r>
        <w:rPr>
          <w:rFonts w:hint="eastAsia" w:ascii="黑体" w:hAnsi="宋体" w:eastAsia="黑体"/>
          <w:bCs/>
          <w:szCs w:val="21"/>
          <w:lang w:val="en-US" w:eastAsia="zh-CN"/>
        </w:rPr>
        <w:t xml:space="preserve">2.2.9 </w:t>
      </w:r>
      <w:r>
        <w:rPr>
          <w:rFonts w:hint="eastAsia" w:ascii="黑体" w:hAnsi="宋体" w:eastAsia="黑体"/>
          <w:bCs/>
          <w:szCs w:val="21"/>
        </w:rPr>
        <w:t>复校时间间隔</w:t>
      </w:r>
    </w:p>
    <w:p>
      <w:pPr>
        <w:adjustRightInd w:val="0"/>
        <w:snapToGrid w:val="0"/>
        <w:spacing w:line="360" w:lineRule="auto"/>
        <w:ind w:firstLine="420" w:firstLineChars="200"/>
        <w:rPr>
          <w:rFonts w:hint="eastAsia"/>
          <w:bCs/>
          <w:lang w:val="en-US" w:eastAsia="zh-CN"/>
        </w:rPr>
      </w:pPr>
      <w:r>
        <w:rPr>
          <w:rFonts w:hint="eastAsia"/>
          <w:bCs/>
          <w:lang w:val="en-US" w:eastAsia="zh-CN"/>
        </w:rPr>
        <w:t>根据讨论稿的意见，将“复校周期”更改为“复校时间间隔”。</w:t>
      </w:r>
    </w:p>
    <w:p>
      <w:pPr>
        <w:spacing w:line="360" w:lineRule="auto"/>
        <w:rPr>
          <w:rFonts w:ascii="黑体" w:hAnsi="宋体" w:eastAsia="黑体"/>
          <w:bCs/>
          <w:szCs w:val="21"/>
        </w:rPr>
      </w:pPr>
      <w:r>
        <w:rPr>
          <w:rFonts w:ascii="黑体" w:hAnsi="宋体" w:eastAsia="黑体"/>
          <w:bCs/>
          <w:szCs w:val="21"/>
        </w:rPr>
        <w:t>2.2.8</w:t>
      </w:r>
      <w:r>
        <w:rPr>
          <w:rFonts w:ascii="黑体" w:eastAsia="黑体"/>
          <w:bCs/>
          <w:szCs w:val="21"/>
        </w:rPr>
        <w:t xml:space="preserve"> </w:t>
      </w:r>
      <w:r>
        <w:rPr>
          <w:rFonts w:hint="eastAsia" w:ascii="黑体" w:hAnsi="宋体" w:eastAsia="黑体"/>
          <w:bCs/>
          <w:szCs w:val="21"/>
        </w:rPr>
        <w:t>附录</w:t>
      </w:r>
    </w:p>
    <w:p>
      <w:pPr>
        <w:numPr>
          <w:ilvl w:val="0"/>
          <w:numId w:val="0"/>
        </w:numPr>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1）根据讨论稿的意见，将附录A 校准记录中各校准项目的编号“1、2、3、4”，改为了“A.1、A.2、A.3、A.4”。</w:t>
      </w:r>
    </w:p>
    <w:p>
      <w:pPr>
        <w:numPr>
          <w:ilvl w:val="0"/>
          <w:numId w:val="0"/>
        </w:numPr>
        <w:ind w:firstLine="420" w:firstLineChars="200"/>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2）根据讨论稿的意见，将附录B 校准证书内页参考格式校准结果中各校准项目的编号“1、2”，改为了“B.1、B.2”。</w:t>
      </w:r>
    </w:p>
    <w:p>
      <w:pPr>
        <w:numPr>
          <w:ilvl w:val="0"/>
          <w:numId w:val="0"/>
        </w:numPr>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3）根据讨论稿的意见，将附录C、附录D的标题“不确定度评定报告”更改为了“不确定度评定示例”。</w:t>
      </w:r>
    </w:p>
    <w:p>
      <w:pPr>
        <w:adjustRightInd w:val="0"/>
        <w:spacing w:line="360" w:lineRule="auto"/>
        <w:rPr>
          <w:rFonts w:ascii="黑体" w:hAnsi="宋体" w:eastAsia="黑体"/>
          <w:bCs/>
          <w:szCs w:val="21"/>
        </w:rPr>
      </w:pPr>
      <w:r>
        <w:rPr>
          <w:rFonts w:hint="eastAsia" w:ascii="黑体" w:hAnsi="宋体" w:eastAsia="黑体"/>
          <w:bCs/>
          <w:szCs w:val="21"/>
        </w:rPr>
        <w:t>三、规范水平分析</w:t>
      </w:r>
    </w:p>
    <w:p>
      <w:pPr>
        <w:adjustRightInd w:val="0"/>
        <w:spacing w:line="360" w:lineRule="auto"/>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本规范在现有国内</w:t>
      </w:r>
      <w:r>
        <w:rPr>
          <w:rFonts w:hint="eastAsia" w:hAnsi="宋体"/>
          <w:bCs/>
          <w:szCs w:val="21"/>
          <w:lang w:val="en-US" w:eastAsia="zh-CN"/>
        </w:rPr>
        <w:t>温湿度</w:t>
      </w:r>
      <w:r>
        <w:rPr>
          <w:rFonts w:hint="eastAsia" w:ascii="宋体" w:hAnsi="宋体"/>
          <w:bCs/>
          <w:color w:val="auto"/>
          <w:sz w:val="21"/>
          <w:szCs w:val="21"/>
          <w:highlight w:val="none"/>
          <w:lang w:val="en-US" w:eastAsia="zh-CN"/>
        </w:rPr>
        <w:t>计校准规范的基础上新增了对模拟量型温湿度计的校准方法，更具有可操作性，水平达到国内领先。</w:t>
      </w:r>
    </w:p>
    <w:p>
      <w:pPr>
        <w:adjustRightInd w:val="0"/>
        <w:spacing w:line="360" w:lineRule="auto"/>
        <w:rPr>
          <w:rFonts w:ascii="黑体" w:hAnsi="宋体" w:eastAsia="黑体"/>
          <w:bCs/>
          <w:szCs w:val="21"/>
        </w:rPr>
      </w:pPr>
      <w:r>
        <w:rPr>
          <w:rFonts w:hint="eastAsia" w:ascii="黑体" w:hAnsi="宋体" w:eastAsia="黑体"/>
          <w:bCs/>
          <w:szCs w:val="21"/>
        </w:rPr>
        <w:t>四、与有关的现行法律、法规和强制性国家标准的关系</w:t>
      </w:r>
    </w:p>
    <w:p>
      <w:pPr>
        <w:adjustRightInd w:val="0"/>
        <w:spacing w:line="360" w:lineRule="auto"/>
        <w:ind w:firstLine="420" w:firstLineChars="200"/>
        <w:rPr>
          <w:rFonts w:hAnsi="宋体"/>
          <w:bCs/>
          <w:szCs w:val="21"/>
        </w:rPr>
      </w:pPr>
      <w:r>
        <w:rPr>
          <w:rFonts w:hint="eastAsia" w:hAnsi="宋体"/>
          <w:bCs/>
          <w:szCs w:val="21"/>
        </w:rPr>
        <w:t>本规范与有关的现行法律、法规和国家计量技术规范具有一致性，无冲突之处。</w:t>
      </w:r>
    </w:p>
    <w:p>
      <w:pPr>
        <w:adjustRightInd w:val="0"/>
        <w:spacing w:line="360" w:lineRule="auto"/>
        <w:rPr>
          <w:rFonts w:ascii="黑体" w:hAnsi="宋体" w:eastAsia="黑体"/>
          <w:bCs/>
          <w:szCs w:val="21"/>
        </w:rPr>
      </w:pPr>
      <w:r>
        <w:rPr>
          <w:rFonts w:hint="eastAsia" w:ascii="黑体" w:hAnsi="宋体" w:eastAsia="黑体"/>
          <w:bCs/>
          <w:szCs w:val="21"/>
        </w:rPr>
        <w:t>五、重大分歧意见的处理经过和依据</w:t>
      </w:r>
    </w:p>
    <w:p>
      <w:pPr>
        <w:adjustRightInd w:val="0"/>
        <w:spacing w:line="360" w:lineRule="auto"/>
        <w:ind w:firstLine="420" w:firstLineChars="200"/>
        <w:rPr>
          <w:rFonts w:hint="eastAsia" w:hAnsi="宋体" w:eastAsia="宋体"/>
          <w:bCs/>
          <w:szCs w:val="21"/>
          <w:lang w:eastAsia="zh-CN"/>
        </w:rPr>
      </w:pPr>
      <w:r>
        <w:rPr>
          <w:rFonts w:hint="eastAsia" w:hAnsi="宋体"/>
          <w:bCs/>
          <w:szCs w:val="21"/>
        </w:rPr>
        <w:t>无</w:t>
      </w:r>
      <w:r>
        <w:rPr>
          <w:rFonts w:hint="eastAsia" w:hAnsi="宋体"/>
          <w:bCs/>
          <w:szCs w:val="21"/>
          <w:lang w:eastAsia="zh-CN"/>
        </w:rPr>
        <w:t>。</w:t>
      </w:r>
    </w:p>
    <w:p>
      <w:pPr>
        <w:adjustRightInd w:val="0"/>
        <w:spacing w:line="360" w:lineRule="auto"/>
        <w:rPr>
          <w:rFonts w:ascii="黑体" w:hAnsi="宋体" w:eastAsia="黑体"/>
          <w:bCs/>
          <w:szCs w:val="21"/>
        </w:rPr>
      </w:pPr>
      <w:r>
        <w:rPr>
          <w:rFonts w:hint="eastAsia" w:ascii="黑体" w:hAnsi="宋体" w:eastAsia="黑体"/>
          <w:bCs/>
          <w:szCs w:val="21"/>
        </w:rPr>
        <w:t>六、规范作为强制性或推荐性国家（或行业）</w:t>
      </w:r>
      <w:r>
        <w:rPr>
          <w:rFonts w:hint="eastAsia" w:ascii="黑体" w:hAnsi="宋体" w:eastAsia="黑体"/>
          <w:bCs/>
          <w:szCs w:val="21"/>
          <w:lang w:val="en-US" w:eastAsia="zh-CN"/>
        </w:rPr>
        <w:t>技术规范</w:t>
      </w:r>
      <w:r>
        <w:rPr>
          <w:rFonts w:hint="eastAsia" w:ascii="黑体" w:hAnsi="宋体" w:eastAsia="黑体"/>
          <w:bCs/>
          <w:szCs w:val="21"/>
        </w:rPr>
        <w:t>的建议</w:t>
      </w:r>
    </w:p>
    <w:p>
      <w:pPr>
        <w:adjustRightInd w:val="0"/>
        <w:spacing w:line="360" w:lineRule="auto"/>
        <w:ind w:firstLine="420" w:firstLineChars="200"/>
        <w:rPr>
          <w:rFonts w:hAnsi="宋体"/>
          <w:bCs/>
          <w:szCs w:val="21"/>
        </w:rPr>
      </w:pPr>
      <w:r>
        <w:rPr>
          <w:rFonts w:hint="eastAsia" w:hAnsi="宋体"/>
          <w:bCs/>
          <w:szCs w:val="21"/>
        </w:rPr>
        <w:t>建议本规范作为推荐性行业计量技术规范，供相关行业参考采用。</w:t>
      </w:r>
    </w:p>
    <w:p>
      <w:pPr>
        <w:adjustRightInd w:val="0"/>
        <w:spacing w:line="360" w:lineRule="auto"/>
        <w:rPr>
          <w:rFonts w:ascii="黑体" w:hAnsi="宋体" w:eastAsia="黑体"/>
          <w:bCs/>
          <w:szCs w:val="21"/>
        </w:rPr>
      </w:pPr>
      <w:r>
        <w:rPr>
          <w:rFonts w:hint="eastAsia" w:ascii="黑体" w:hAnsi="宋体" w:eastAsia="黑体"/>
          <w:bCs/>
          <w:szCs w:val="21"/>
        </w:rPr>
        <w:t>七、贯彻</w:t>
      </w:r>
      <w:r>
        <w:rPr>
          <w:rFonts w:hint="eastAsia" w:ascii="黑体" w:hAnsi="宋体" w:eastAsia="黑体"/>
          <w:bCs/>
          <w:szCs w:val="21"/>
          <w:lang w:val="en-US" w:eastAsia="zh-CN"/>
        </w:rPr>
        <w:t>技术规范</w:t>
      </w:r>
      <w:r>
        <w:rPr>
          <w:rFonts w:hint="eastAsia" w:ascii="黑体" w:hAnsi="宋体" w:eastAsia="黑体"/>
          <w:bCs/>
          <w:szCs w:val="21"/>
        </w:rPr>
        <w:t>的要求和措施建议</w:t>
      </w:r>
    </w:p>
    <w:p>
      <w:pPr>
        <w:adjustRightInd w:val="0"/>
        <w:spacing w:line="360" w:lineRule="auto"/>
        <w:ind w:firstLine="420" w:firstLineChars="200"/>
        <w:rPr>
          <w:rFonts w:hint="eastAsia" w:hAnsi="宋体" w:eastAsia="宋体"/>
          <w:bCs/>
          <w:szCs w:val="21"/>
          <w:lang w:eastAsia="zh-CN"/>
        </w:rPr>
      </w:pPr>
      <w:r>
        <w:rPr>
          <w:rFonts w:hint="eastAsia" w:hAnsi="宋体"/>
          <w:bCs/>
          <w:szCs w:val="21"/>
        </w:rPr>
        <w:t>无</w:t>
      </w:r>
      <w:r>
        <w:rPr>
          <w:rFonts w:hint="eastAsia" w:hAnsi="宋体"/>
          <w:bCs/>
          <w:szCs w:val="21"/>
          <w:lang w:eastAsia="zh-CN"/>
        </w:rPr>
        <w:t>。</w:t>
      </w:r>
    </w:p>
    <w:p>
      <w:pPr>
        <w:adjustRightInd w:val="0"/>
        <w:snapToGrid w:val="0"/>
        <w:spacing w:line="360" w:lineRule="auto"/>
        <w:rPr>
          <w:rFonts w:ascii="黑体" w:hAnsi="宋体" w:eastAsia="黑体"/>
          <w:bCs/>
          <w:szCs w:val="21"/>
        </w:rPr>
      </w:pPr>
      <w:r>
        <w:rPr>
          <w:rFonts w:hint="eastAsia" w:ascii="黑体" w:hAnsi="宋体" w:eastAsia="黑体"/>
          <w:bCs/>
          <w:szCs w:val="21"/>
        </w:rPr>
        <w:t>八、废止现行有关</w:t>
      </w:r>
      <w:r>
        <w:rPr>
          <w:rFonts w:hint="eastAsia" w:ascii="黑体" w:hAnsi="宋体" w:eastAsia="黑体"/>
          <w:bCs/>
          <w:szCs w:val="21"/>
          <w:lang w:val="en-US" w:eastAsia="zh-CN"/>
        </w:rPr>
        <w:t>技术规范</w:t>
      </w:r>
      <w:r>
        <w:rPr>
          <w:rFonts w:hint="eastAsia" w:ascii="黑体" w:hAnsi="宋体" w:eastAsia="黑体"/>
          <w:bCs/>
          <w:szCs w:val="21"/>
        </w:rPr>
        <w:t>的建议</w:t>
      </w:r>
    </w:p>
    <w:p>
      <w:pPr>
        <w:adjustRightInd w:val="0"/>
        <w:snapToGrid w:val="0"/>
        <w:spacing w:line="360" w:lineRule="auto"/>
        <w:ind w:firstLine="420" w:firstLineChars="200"/>
        <w:rPr>
          <w:rFonts w:hint="eastAsia" w:hAnsi="宋体" w:eastAsia="宋体"/>
          <w:bCs/>
          <w:szCs w:val="21"/>
          <w:lang w:eastAsia="zh-CN"/>
        </w:rPr>
      </w:pPr>
      <w:r>
        <w:rPr>
          <w:rFonts w:hint="eastAsia" w:hAnsi="宋体"/>
          <w:bCs/>
          <w:szCs w:val="21"/>
        </w:rPr>
        <w:t>无</w:t>
      </w:r>
      <w:r>
        <w:rPr>
          <w:rFonts w:hint="eastAsia" w:hAnsi="宋体"/>
          <w:bCs/>
          <w:szCs w:val="21"/>
          <w:lang w:eastAsia="zh-CN"/>
        </w:rPr>
        <w:t>。</w:t>
      </w:r>
    </w:p>
    <w:p>
      <w:pPr>
        <w:spacing w:line="360" w:lineRule="auto"/>
        <w:rPr>
          <w:rFonts w:ascii="黑体" w:eastAsia="黑体"/>
          <w:bCs/>
        </w:rPr>
      </w:pPr>
      <w:r>
        <w:rPr>
          <w:rFonts w:hint="eastAsia" w:ascii="黑体" w:eastAsia="黑体"/>
          <w:bCs/>
        </w:rPr>
        <w:t>九、预期效果</w:t>
      </w:r>
    </w:p>
    <w:p>
      <w:pPr>
        <w:adjustRightInd w:val="0"/>
        <w:snapToGrid w:val="0"/>
        <w:spacing w:line="360" w:lineRule="auto"/>
        <w:ind w:firstLine="420" w:firstLineChars="200"/>
        <w:rPr>
          <w:rFonts w:eastAsia="方正行楷简体"/>
          <w:bCs/>
        </w:rPr>
      </w:pPr>
      <w:r>
        <w:rPr>
          <w:rFonts w:hint="eastAsia"/>
          <w:bCs/>
        </w:rPr>
        <w:t>本规范的制定使</w:t>
      </w:r>
      <w:r>
        <w:rPr>
          <w:rFonts w:hint="eastAsia" w:ascii="宋体" w:hAnsi="宋体"/>
          <w:bCs/>
          <w:szCs w:val="21"/>
          <w:lang w:val="en-US" w:eastAsia="zh-CN"/>
        </w:rPr>
        <w:t>电子式温湿度计的</w:t>
      </w:r>
      <w:r>
        <w:rPr>
          <w:rFonts w:hint="eastAsia" w:ascii="宋体" w:hAnsi="宋体"/>
          <w:bCs/>
          <w:szCs w:val="21"/>
        </w:rPr>
        <w:t>的</w:t>
      </w:r>
      <w:r>
        <w:rPr>
          <w:rFonts w:hint="eastAsia" w:ascii="宋体" w:eastAsia="方正行楷简体"/>
          <w:bCs/>
          <w:kern w:val="0"/>
          <w:szCs w:val="21"/>
        </w:rPr>
        <w:t>校准</w:t>
      </w:r>
      <w:r>
        <w:rPr>
          <w:rFonts w:hint="eastAsia" w:ascii="宋体" w:eastAsia="方正行楷简体"/>
          <w:bCs/>
          <w:kern w:val="0"/>
          <w:szCs w:val="21"/>
          <w:lang w:val="en-US" w:eastAsia="zh-CN"/>
        </w:rPr>
        <w:t>更加全面、明确，且</w:t>
      </w:r>
      <w:r>
        <w:rPr>
          <w:rFonts w:hint="eastAsia" w:ascii="宋体" w:eastAsia="方正行楷简体"/>
          <w:bCs/>
          <w:kern w:val="0"/>
          <w:szCs w:val="21"/>
        </w:rPr>
        <w:t>有了可靠依据。</w:t>
      </w:r>
    </w:p>
    <w:p>
      <w:pPr>
        <w:adjustRightInd w:val="0"/>
        <w:snapToGrid w:val="0"/>
        <w:spacing w:line="360" w:lineRule="auto"/>
        <w:rPr>
          <w:rFonts w:ascii="黑体" w:hAnsi="宋体" w:eastAsia="黑体"/>
          <w:bCs/>
          <w:szCs w:val="21"/>
        </w:rPr>
      </w:pPr>
      <w:r>
        <w:rPr>
          <w:rFonts w:hint="eastAsia" w:ascii="黑体" w:hAnsi="宋体" w:eastAsia="黑体"/>
          <w:bCs/>
          <w:szCs w:val="21"/>
        </w:rPr>
        <w:t>十、其他应予说明的事项</w:t>
      </w:r>
    </w:p>
    <w:p>
      <w:pPr>
        <w:spacing w:line="360" w:lineRule="auto"/>
        <w:ind w:firstLine="420" w:firstLineChars="200"/>
        <w:rPr>
          <w:rFonts w:hint="eastAsia" w:eastAsia="宋体"/>
          <w:bCs/>
          <w:lang w:eastAsia="zh-CN"/>
        </w:rPr>
      </w:pPr>
      <w:r>
        <w:rPr>
          <w:rFonts w:hint="eastAsia"/>
          <w:bCs/>
        </w:rPr>
        <w:t>无</w:t>
      </w:r>
      <w:r>
        <w:rPr>
          <w:rFonts w:hint="eastAsia"/>
          <w:bCs/>
          <w:lang w:eastAsia="zh-CN"/>
        </w:rPr>
        <w:t>。</w:t>
      </w:r>
    </w:p>
    <w:p>
      <w:pPr>
        <w:spacing w:line="360" w:lineRule="auto"/>
        <w:jc w:val="right"/>
        <w:rPr>
          <w:rFonts w:hint="eastAsia" w:asciiTheme="minorEastAsia" w:hAnsiTheme="minorEastAsia" w:eastAsiaTheme="minorEastAsia" w:cstheme="minorEastAsia"/>
          <w:bCs/>
          <w:sz w:val="21"/>
          <w:szCs w:val="21"/>
        </w:rPr>
      </w:pPr>
      <w:r>
        <w:rPr>
          <w:rFonts w:ascii="黑体" w:eastAsia="黑体"/>
          <w:bCs/>
        </w:rPr>
        <w:t xml:space="preserve">         </w:t>
      </w:r>
      <w:r>
        <w:rPr>
          <w:rFonts w:ascii="黑体" w:hAnsi="黑体" w:eastAsia="黑体"/>
          <w:bCs/>
        </w:rPr>
        <w:t xml:space="preserve">     </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eastAsia="zh-CN"/>
        </w:rPr>
        <w:t>电子式温湿度计校准规范</w:t>
      </w:r>
      <w:r>
        <w:rPr>
          <w:rFonts w:hint="eastAsia" w:asciiTheme="minorEastAsia" w:hAnsiTheme="minorEastAsia" w:eastAsiaTheme="minorEastAsia" w:cstheme="minorEastAsia"/>
          <w:bCs/>
          <w:kern w:val="0"/>
          <w:sz w:val="21"/>
          <w:szCs w:val="21"/>
        </w:rPr>
        <w:t>》规范编制组</w:t>
      </w:r>
    </w:p>
    <w:p>
      <w:pPr>
        <w:adjustRightInd w:val="0"/>
        <w:snapToGrid w:val="0"/>
        <w:spacing w:line="360" w:lineRule="auto"/>
        <w:ind w:right="105"/>
        <w:jc w:val="right"/>
        <w:textAlignment w:val="top"/>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202</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lang w:val="en-US" w:eastAsia="zh-CN"/>
        </w:rPr>
        <w:t>09</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13</w:t>
      </w:r>
      <w:r>
        <w:rPr>
          <w:rFonts w:hint="eastAsia" w:asciiTheme="minorEastAsia" w:hAnsiTheme="minorEastAsia" w:eastAsiaTheme="minorEastAsia" w:cstheme="minorEastAsia"/>
          <w:bCs/>
        </w:rPr>
        <w:t>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行楷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rPr>
                              <w:rFonts w:hint="eastAsia"/>
                            </w:rPr>
                            <w:t>第</w:t>
                          </w: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r>
                            <w:rPr>
                              <w:rFonts w:hint="eastAsia"/>
                            </w:rPr>
                            <w:t>页</w:t>
                          </w:r>
                          <w:r>
                            <w:rPr>
                              <w:rFonts w:hint="eastAsia"/>
                              <w:lang w:eastAsia="zh-CN"/>
                            </w:rPr>
                            <w:t>，</w:t>
                          </w:r>
                          <w:r>
                            <w:rPr>
                              <w:rFonts w:hint="eastAsia"/>
                            </w:rPr>
                            <w:t>共</w:t>
                          </w:r>
                          <w:r>
                            <w:rPr>
                              <w:rFonts w:hint="eastAsia"/>
                              <w:lang w:val="en-US" w:eastAsia="zh-CN"/>
                            </w:rPr>
                            <w:t>5</w:t>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7.65pt;margin-top:-8.15pt;height:144pt;width:144pt;mso-position-horizontal-relative:margin;mso-wrap-style:none;z-index:251659264;mso-width-relative:page;mso-height-relative:page;" filled="f" stroked="f" coordsize="21600,21600" o:gfxdata="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W4JHz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9"/>
                      <w:jc w:val="center"/>
                    </w:pPr>
                    <w:r>
                      <w:rPr>
                        <w:rFonts w:hint="eastAsia"/>
                      </w:rPr>
                      <w:t>第</w:t>
                    </w: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r>
                      <w:rPr>
                        <w:rFonts w:hint="eastAsia"/>
                      </w:rPr>
                      <w:t>页</w:t>
                    </w:r>
                    <w:r>
                      <w:rPr>
                        <w:rFonts w:hint="eastAsia"/>
                        <w:lang w:eastAsia="zh-CN"/>
                      </w:rPr>
                      <w:t>，</w:t>
                    </w:r>
                    <w:r>
                      <w:rPr>
                        <w:rFonts w:hint="eastAsia"/>
                      </w:rPr>
                      <w:t>共</w:t>
                    </w:r>
                    <w:r>
                      <w:rPr>
                        <w:rFonts w:hint="eastAsia"/>
                        <w:lang w:val="en-US" w:eastAsia="zh-CN"/>
                      </w:rPr>
                      <w:t>5</w:t>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29"/>
      <w:suff w:val="nothing"/>
      <w:lvlText w:val="%1"/>
      <w:lvlJc w:val="left"/>
      <w:rPr>
        <w:rFonts w:hint="default" w:ascii="Times New Roman" w:hAnsi="Times New Roman" w:cs="Times New Roman"/>
        <w:b/>
        <w:i w:val="0"/>
        <w:sz w:val="21"/>
      </w:rPr>
    </w:lvl>
    <w:lvl w:ilvl="1" w:tentative="0">
      <w:start w:val="1"/>
      <w:numFmt w:val="decimal"/>
      <w:pStyle w:val="30"/>
      <w:suff w:val="nothing"/>
      <w:lvlText w:val="%1%2　"/>
      <w:lvlJc w:val="left"/>
      <w:rPr>
        <w:rFonts w:hint="eastAsia" w:ascii="黑体" w:hAnsi="Times New Roman" w:eastAsia="黑体" w:cs="Times New Roman"/>
        <w:b w:val="0"/>
        <w:i w:val="0"/>
        <w:sz w:val="21"/>
      </w:rPr>
    </w:lvl>
    <w:lvl w:ilvl="2" w:tentative="0">
      <w:start w:val="1"/>
      <w:numFmt w:val="decimal"/>
      <w:pStyle w:val="31"/>
      <w:suff w:val="nothing"/>
      <w:lvlText w:val="%1%2.%3　"/>
      <w:lvlJc w:val="left"/>
      <w:rPr>
        <w:rFonts w:hint="eastAsia" w:ascii="黑体" w:hAnsi="Times New Roman" w:eastAsia="黑体" w:cs="Times New Roman"/>
        <w:b w:val="0"/>
        <w:i w:val="0"/>
        <w:sz w:val="21"/>
      </w:rPr>
    </w:lvl>
    <w:lvl w:ilvl="3" w:tentative="0">
      <w:start w:val="1"/>
      <w:numFmt w:val="decimal"/>
      <w:pStyle w:val="32"/>
      <w:suff w:val="nothing"/>
      <w:lvlText w:val="%1%2.%3.%4　"/>
      <w:lvlJc w:val="left"/>
      <w:rPr>
        <w:rFonts w:hint="eastAsia" w:ascii="黑体" w:hAnsi="Times New Roman" w:eastAsia="黑体" w:cs="Times New Roman"/>
        <w:b w:val="0"/>
        <w:i w:val="0"/>
        <w:sz w:val="21"/>
      </w:rPr>
    </w:lvl>
    <w:lvl w:ilvl="4" w:tentative="0">
      <w:start w:val="1"/>
      <w:numFmt w:val="decimal"/>
      <w:pStyle w:val="33"/>
      <w:suff w:val="nothing"/>
      <w:lvlText w:val="%1%2.%3.%4.%5　"/>
      <w:lvlJc w:val="left"/>
      <w:rPr>
        <w:rFonts w:hint="eastAsia" w:ascii="黑体" w:hAnsi="Times New Roman" w:eastAsia="黑体" w:cs="Times New Roman"/>
        <w:b w:val="0"/>
        <w:i w:val="0"/>
        <w:sz w:val="21"/>
      </w:rPr>
    </w:lvl>
    <w:lvl w:ilvl="5" w:tentative="0">
      <w:start w:val="1"/>
      <w:numFmt w:val="decimal"/>
      <w:pStyle w:val="34"/>
      <w:suff w:val="nothing"/>
      <w:lvlText w:val="%1%2.%3.%4.%5.%6　"/>
      <w:lvlJc w:val="left"/>
      <w:rPr>
        <w:rFonts w:hint="eastAsia" w:ascii="黑体" w:hAnsi="Times New Roman" w:eastAsia="黑体" w:cs="Times New Roman"/>
        <w:b w:val="0"/>
        <w:i w:val="0"/>
        <w:sz w:val="21"/>
      </w:rPr>
    </w:lvl>
    <w:lvl w:ilvl="6" w:tentative="0">
      <w:start w:val="1"/>
      <w:numFmt w:val="decimal"/>
      <w:pStyle w:val="3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5OGE5ZmJiY2QzNjI4MzQ3ODk3MDEzMmRhYTI5ZmM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52C6AB8"/>
    <w:rsid w:val="054363E9"/>
    <w:rsid w:val="09402D37"/>
    <w:rsid w:val="0DB62202"/>
    <w:rsid w:val="11580B6C"/>
    <w:rsid w:val="126E7A09"/>
    <w:rsid w:val="154C457C"/>
    <w:rsid w:val="163F2D2D"/>
    <w:rsid w:val="196656B5"/>
    <w:rsid w:val="1B3E222D"/>
    <w:rsid w:val="236269FD"/>
    <w:rsid w:val="24500F51"/>
    <w:rsid w:val="264362D5"/>
    <w:rsid w:val="2B6A69EA"/>
    <w:rsid w:val="31D30F8D"/>
    <w:rsid w:val="32CF2B4C"/>
    <w:rsid w:val="34915439"/>
    <w:rsid w:val="36294EFF"/>
    <w:rsid w:val="366B4F50"/>
    <w:rsid w:val="3A6A7A9F"/>
    <w:rsid w:val="42CD2859"/>
    <w:rsid w:val="46E43C6C"/>
    <w:rsid w:val="49ED573E"/>
    <w:rsid w:val="519E65DF"/>
    <w:rsid w:val="55CC27F2"/>
    <w:rsid w:val="57415D20"/>
    <w:rsid w:val="588B31DD"/>
    <w:rsid w:val="5B9F2DFD"/>
    <w:rsid w:val="5BBE3B49"/>
    <w:rsid w:val="5E361946"/>
    <w:rsid w:val="62C244A7"/>
    <w:rsid w:val="635C4B8E"/>
    <w:rsid w:val="66471C44"/>
    <w:rsid w:val="6AD2505B"/>
    <w:rsid w:val="6C0D48EE"/>
    <w:rsid w:val="6C715A3C"/>
    <w:rsid w:val="6D4F6A9B"/>
    <w:rsid w:val="6FE72B43"/>
    <w:rsid w:val="74145A7A"/>
    <w:rsid w:val="75411574"/>
    <w:rsid w:val="76657642"/>
    <w:rsid w:val="77266CAE"/>
    <w:rsid w:val="7E0D45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99"/>
    <w:pPr>
      <w:jc w:val="left"/>
    </w:pPr>
  </w:style>
  <w:style w:type="paragraph" w:styleId="4">
    <w:name w:val="Body Text"/>
    <w:basedOn w:val="1"/>
    <w:link w:val="40"/>
    <w:qFormat/>
    <w:uiPriority w:val="99"/>
    <w:pPr>
      <w:spacing w:after="120"/>
    </w:pPr>
  </w:style>
  <w:style w:type="paragraph" w:styleId="5">
    <w:name w:val="Body Text Indent"/>
    <w:basedOn w:val="1"/>
    <w:link w:val="38"/>
    <w:qFormat/>
    <w:uiPriority w:val="99"/>
    <w:pPr>
      <w:spacing w:after="120"/>
      <w:ind w:left="420" w:leftChars="200"/>
    </w:pPr>
  </w:style>
  <w:style w:type="paragraph" w:styleId="6">
    <w:name w:val="Date"/>
    <w:basedOn w:val="1"/>
    <w:next w:val="1"/>
    <w:link w:val="20"/>
    <w:qFormat/>
    <w:uiPriority w:val="99"/>
    <w:pPr>
      <w:ind w:left="100" w:leftChars="2500"/>
    </w:pPr>
  </w:style>
  <w:style w:type="paragraph" w:styleId="7">
    <w:name w:val="Body Text Indent 2"/>
    <w:basedOn w:val="1"/>
    <w:link w:val="37"/>
    <w:qFormat/>
    <w:uiPriority w:val="99"/>
    <w:pPr>
      <w:spacing w:after="120" w:line="480" w:lineRule="auto"/>
      <w:ind w:left="420" w:leftChars="200"/>
    </w:pPr>
  </w:style>
  <w:style w:type="paragraph" w:styleId="8">
    <w:name w:val="Balloon Text"/>
    <w:basedOn w:val="1"/>
    <w:link w:val="21"/>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4"/>
    <w:qFormat/>
    <w:uiPriority w:val="99"/>
    <w:pPr>
      <w:spacing w:after="120" w:line="480" w:lineRule="auto"/>
    </w:p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4"/>
    <w:link w:val="41"/>
    <w:qFormat/>
    <w:uiPriority w:val="99"/>
    <w:pPr>
      <w:ind w:firstLine="420" w:firstLineChars="100"/>
    </w:pPr>
  </w:style>
  <w:style w:type="paragraph" w:styleId="14">
    <w:name w:val="Body Text First Indent 2"/>
    <w:basedOn w:val="5"/>
    <w:link w:val="39"/>
    <w:qFormat/>
    <w:uiPriority w:val="99"/>
    <w:pPr>
      <w:ind w:firstLine="420" w:firstLineChars="200"/>
    </w:pPr>
  </w:style>
  <w:style w:type="table" w:styleId="16">
    <w:name w:val="Table Grid"/>
    <w:basedOn w:val="1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annotation reference"/>
    <w:basedOn w:val="17"/>
    <w:semiHidden/>
    <w:qFormat/>
    <w:uiPriority w:val="99"/>
    <w:rPr>
      <w:rFonts w:cs="Times New Roman"/>
      <w:sz w:val="21"/>
      <w:szCs w:val="21"/>
    </w:rPr>
  </w:style>
  <w:style w:type="character" w:customStyle="1" w:styleId="19">
    <w:name w:val="标题 2 字符"/>
    <w:basedOn w:val="17"/>
    <w:link w:val="2"/>
    <w:qFormat/>
    <w:locked/>
    <w:uiPriority w:val="99"/>
    <w:rPr>
      <w:rFonts w:ascii="Arial" w:hAnsi="Arial" w:eastAsia="黑体" w:cs="Times New Roman"/>
      <w:b/>
      <w:bCs/>
      <w:kern w:val="2"/>
      <w:sz w:val="32"/>
      <w:szCs w:val="32"/>
    </w:rPr>
  </w:style>
  <w:style w:type="character" w:customStyle="1" w:styleId="20">
    <w:name w:val="日期 字符"/>
    <w:basedOn w:val="17"/>
    <w:link w:val="6"/>
    <w:qFormat/>
    <w:locked/>
    <w:uiPriority w:val="99"/>
    <w:rPr>
      <w:rFonts w:cs="Times New Roman"/>
      <w:kern w:val="2"/>
      <w:sz w:val="24"/>
      <w:szCs w:val="24"/>
    </w:rPr>
  </w:style>
  <w:style w:type="character" w:customStyle="1" w:styleId="21">
    <w:name w:val="批注框文本 字符"/>
    <w:basedOn w:val="17"/>
    <w:link w:val="8"/>
    <w:qFormat/>
    <w:locked/>
    <w:uiPriority w:val="99"/>
    <w:rPr>
      <w:rFonts w:cs="Times New Roman"/>
      <w:kern w:val="2"/>
      <w:sz w:val="18"/>
      <w:szCs w:val="18"/>
    </w:rPr>
  </w:style>
  <w:style w:type="character" w:customStyle="1" w:styleId="22">
    <w:name w:val="页脚 字符"/>
    <w:basedOn w:val="17"/>
    <w:link w:val="9"/>
    <w:qFormat/>
    <w:locked/>
    <w:uiPriority w:val="99"/>
    <w:rPr>
      <w:rFonts w:cs="Times New Roman"/>
      <w:kern w:val="2"/>
      <w:sz w:val="18"/>
      <w:szCs w:val="18"/>
    </w:rPr>
  </w:style>
  <w:style w:type="character" w:customStyle="1" w:styleId="23">
    <w:name w:val="页眉 字符"/>
    <w:basedOn w:val="17"/>
    <w:link w:val="10"/>
    <w:semiHidden/>
    <w:qFormat/>
    <w:locked/>
    <w:uiPriority w:val="99"/>
    <w:rPr>
      <w:rFonts w:cs="Times New Roman"/>
      <w:sz w:val="18"/>
      <w:szCs w:val="18"/>
    </w:rPr>
  </w:style>
  <w:style w:type="character" w:customStyle="1" w:styleId="24">
    <w:name w:val="正文文本 2 字符"/>
    <w:basedOn w:val="17"/>
    <w:link w:val="11"/>
    <w:semiHidden/>
    <w:qFormat/>
    <w:locked/>
    <w:uiPriority w:val="99"/>
    <w:rPr>
      <w:rFonts w:cs="Times New Roman"/>
      <w:sz w:val="24"/>
      <w:szCs w:val="24"/>
    </w:rPr>
  </w:style>
  <w:style w:type="paragraph" w:customStyle="1" w:styleId="25">
    <w:name w:val="段"/>
    <w:link w:val="26"/>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段 Char"/>
    <w:basedOn w:val="17"/>
    <w:link w:val="25"/>
    <w:qFormat/>
    <w:locked/>
    <w:uiPriority w:val="99"/>
    <w:rPr>
      <w:rFonts w:ascii="宋体" w:cs="Times New Roman"/>
      <w:sz w:val="21"/>
      <w:lang w:val="en-US" w:eastAsia="zh-CN" w:bidi="ar-SA"/>
    </w:rPr>
  </w:style>
  <w:style w:type="character" w:styleId="27">
    <w:name w:val="Placeholder Text"/>
    <w:basedOn w:val="17"/>
    <w:semiHidden/>
    <w:qFormat/>
    <w:uiPriority w:val="99"/>
    <w:rPr>
      <w:rFonts w:cs="Times New Roman"/>
      <w:color w:val="808080"/>
    </w:rPr>
  </w:style>
  <w:style w:type="paragraph" w:styleId="28">
    <w:name w:val="List Paragraph"/>
    <w:basedOn w:val="1"/>
    <w:qFormat/>
    <w:uiPriority w:val="99"/>
    <w:pPr>
      <w:ind w:firstLine="420" w:firstLineChars="200"/>
    </w:pPr>
  </w:style>
  <w:style w:type="paragraph" w:customStyle="1" w:styleId="29">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章标题"/>
    <w:next w:val="25"/>
    <w:qFormat/>
    <w:uiPriority w:val="99"/>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31">
    <w:name w:val="一级条标题"/>
    <w:basedOn w:val="30"/>
    <w:next w:val="25"/>
    <w:link w:val="36"/>
    <w:qFormat/>
    <w:uiPriority w:val="99"/>
    <w:pPr>
      <w:numPr>
        <w:ilvl w:val="2"/>
      </w:numPr>
      <w:spacing w:beforeLines="0" w:afterLines="0"/>
      <w:outlineLvl w:val="2"/>
    </w:pPr>
    <w:rPr>
      <w:sz w:val="21"/>
    </w:rPr>
  </w:style>
  <w:style w:type="paragraph" w:customStyle="1" w:styleId="32">
    <w:name w:val="二级条标题"/>
    <w:basedOn w:val="31"/>
    <w:next w:val="25"/>
    <w:qFormat/>
    <w:uiPriority w:val="99"/>
    <w:pPr>
      <w:numPr>
        <w:ilvl w:val="3"/>
      </w:numPr>
      <w:ind w:left="2310" w:hanging="420"/>
      <w:outlineLvl w:val="3"/>
    </w:pPr>
  </w:style>
  <w:style w:type="paragraph" w:customStyle="1" w:styleId="33">
    <w:name w:val="三级条标题"/>
    <w:basedOn w:val="32"/>
    <w:next w:val="25"/>
    <w:qFormat/>
    <w:uiPriority w:val="99"/>
    <w:pPr>
      <w:numPr>
        <w:ilvl w:val="4"/>
      </w:numPr>
      <w:ind w:left="2730"/>
      <w:outlineLvl w:val="4"/>
    </w:pPr>
  </w:style>
  <w:style w:type="paragraph" w:customStyle="1" w:styleId="34">
    <w:name w:val="四级条标题"/>
    <w:basedOn w:val="33"/>
    <w:next w:val="25"/>
    <w:qFormat/>
    <w:uiPriority w:val="99"/>
    <w:pPr>
      <w:numPr>
        <w:ilvl w:val="5"/>
      </w:numPr>
      <w:ind w:left="3150"/>
      <w:outlineLvl w:val="5"/>
    </w:pPr>
  </w:style>
  <w:style w:type="paragraph" w:customStyle="1" w:styleId="35">
    <w:name w:val="五级条标题"/>
    <w:basedOn w:val="34"/>
    <w:next w:val="25"/>
    <w:qFormat/>
    <w:uiPriority w:val="99"/>
    <w:pPr>
      <w:numPr>
        <w:ilvl w:val="6"/>
      </w:numPr>
      <w:ind w:left="3570"/>
      <w:outlineLvl w:val="6"/>
    </w:pPr>
  </w:style>
  <w:style w:type="character" w:customStyle="1" w:styleId="36">
    <w:name w:val="一级条标题 Char"/>
    <w:link w:val="31"/>
    <w:qFormat/>
    <w:locked/>
    <w:uiPriority w:val="99"/>
    <w:rPr>
      <w:rFonts w:ascii="黑体" w:eastAsia="黑体"/>
      <w:sz w:val="21"/>
      <w:lang w:val="en-US" w:eastAsia="zh-CN"/>
    </w:rPr>
  </w:style>
  <w:style w:type="character" w:customStyle="1" w:styleId="37">
    <w:name w:val="正文文本缩进 2 字符"/>
    <w:basedOn w:val="17"/>
    <w:link w:val="7"/>
    <w:semiHidden/>
    <w:qFormat/>
    <w:locked/>
    <w:uiPriority w:val="99"/>
    <w:rPr>
      <w:rFonts w:cs="Times New Roman"/>
      <w:sz w:val="24"/>
      <w:szCs w:val="24"/>
    </w:rPr>
  </w:style>
  <w:style w:type="character" w:customStyle="1" w:styleId="38">
    <w:name w:val="正文文本缩进 字符"/>
    <w:basedOn w:val="17"/>
    <w:link w:val="5"/>
    <w:semiHidden/>
    <w:qFormat/>
    <w:locked/>
    <w:uiPriority w:val="99"/>
    <w:rPr>
      <w:rFonts w:cs="Times New Roman"/>
      <w:sz w:val="24"/>
      <w:szCs w:val="24"/>
    </w:rPr>
  </w:style>
  <w:style w:type="character" w:customStyle="1" w:styleId="39">
    <w:name w:val="正文文本首行缩进 2 字符"/>
    <w:basedOn w:val="38"/>
    <w:link w:val="14"/>
    <w:semiHidden/>
    <w:qFormat/>
    <w:locked/>
    <w:uiPriority w:val="99"/>
    <w:rPr>
      <w:rFonts w:cs="Times New Roman"/>
      <w:sz w:val="24"/>
      <w:szCs w:val="24"/>
    </w:rPr>
  </w:style>
  <w:style w:type="character" w:customStyle="1" w:styleId="40">
    <w:name w:val="正文文本 字符"/>
    <w:basedOn w:val="17"/>
    <w:link w:val="4"/>
    <w:semiHidden/>
    <w:qFormat/>
    <w:locked/>
    <w:uiPriority w:val="99"/>
    <w:rPr>
      <w:rFonts w:cs="Times New Roman"/>
      <w:sz w:val="24"/>
      <w:szCs w:val="24"/>
    </w:rPr>
  </w:style>
  <w:style w:type="character" w:customStyle="1" w:styleId="41">
    <w:name w:val="正文文本首行缩进 字符"/>
    <w:basedOn w:val="40"/>
    <w:link w:val="13"/>
    <w:semiHidden/>
    <w:qFormat/>
    <w:locked/>
    <w:uiPriority w:val="99"/>
    <w:rPr>
      <w:rFonts w:cs="Times New Roman"/>
      <w:sz w:val="24"/>
      <w:szCs w:val="24"/>
    </w:rPr>
  </w:style>
  <w:style w:type="character" w:customStyle="1" w:styleId="42">
    <w:name w:val="图题及表格"/>
    <w:basedOn w:val="17"/>
    <w:qFormat/>
    <w:uiPriority w:val="0"/>
    <w:rPr>
      <w:rFonts w:ascii="Times New Roman" w:hAnsi="Times New Roman" w:eastAsia="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3224</Words>
  <Characters>3484</Characters>
  <Lines>3</Lines>
  <Paragraphs>8</Paragraphs>
  <TotalTime>14</TotalTime>
  <ScaleCrop>false</ScaleCrop>
  <LinksUpToDate>false</LinksUpToDate>
  <CharactersWithSpaces>3518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2021-03-22T07:27:00Z</dcterms:created>
  <dc:creator>USER</dc:creator>
  <cp:lastModifiedBy>张国栋</cp:lastModifiedBy>
  <cp:lastPrinted>2013-05-26T06:25:00Z</cp:lastPrinted>
  <dcterms:modified xsi:type="dcterms:W3CDTF">2022-09-15T09:35:08Z</dcterms:modified>
  <dc:title>GB/T11105-2011《金属粉末-压坯的拉托拉试验》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D288A65B6754457FA62681385A5BA86D</vt:lpwstr>
  </property>
</Properties>
</file>