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rPr>
      </w:pPr>
      <w:r>
        <w:rPr>
          <w:rFonts w:ascii="黑体" w:eastAsia="黑体"/>
          <w:bCs/>
          <w:sz w:val="24"/>
        </w:rPr>
        <w:t>JJFZ</w:t>
      </w:r>
      <w:r>
        <w:rPr>
          <w:rFonts w:hint="eastAsia" w:ascii="黑体" w:eastAsia="黑体"/>
          <w:bCs/>
          <w:sz w:val="24"/>
        </w:rPr>
        <w:t>（有色金属）</w:t>
      </w:r>
      <w:r>
        <w:rPr>
          <w:rFonts w:hint="eastAsia" w:ascii="黑体" w:eastAsia="黑体"/>
          <w:bCs/>
          <w:sz w:val="24"/>
          <w:lang w:val="en-US" w:eastAsia="zh-CN"/>
        </w:rPr>
        <w:t>003</w:t>
      </w:r>
      <w:r>
        <w:rPr>
          <w:rFonts w:ascii="黑体" w:eastAsia="黑体"/>
          <w:bCs/>
          <w:sz w:val="24"/>
        </w:rPr>
        <w:t>-</w:t>
      </w:r>
      <w:r>
        <w:rPr>
          <w:rFonts w:hint="eastAsia" w:ascii="黑体" w:eastAsia="黑体"/>
          <w:bCs/>
          <w:sz w:val="24"/>
          <w:lang w:val="en-US" w:eastAsia="zh-CN"/>
        </w:rPr>
        <w:t>2021</w:t>
      </w:r>
      <w:r>
        <w:rPr>
          <w:rFonts w:hint="eastAsia" w:ascii="黑体" w:eastAsia="黑体"/>
          <w:bCs/>
          <w:sz w:val="24"/>
          <w:lang w:val="en-GB"/>
        </w:rPr>
        <w:t>《</w:t>
      </w:r>
      <w:r>
        <w:rPr>
          <w:rFonts w:hint="eastAsia" w:ascii="黑体" w:eastAsia="黑体"/>
          <w:bCs/>
          <w:sz w:val="24"/>
        </w:rPr>
        <w:t>电热恒温水浴锅校准规范》</w:t>
      </w:r>
    </w:p>
    <w:p>
      <w:pPr>
        <w:spacing w:line="360" w:lineRule="auto"/>
        <w:jc w:val="center"/>
        <w:rPr>
          <w:rFonts w:ascii="黑体" w:eastAsia="黑体"/>
          <w:bCs/>
          <w:sz w:val="24"/>
        </w:rPr>
      </w:pPr>
      <w:r>
        <w:rPr>
          <w:rFonts w:hint="eastAsia" w:ascii="黑体" w:eastAsia="黑体"/>
          <w:bCs/>
          <w:sz w:val="24"/>
        </w:rPr>
        <w:t>行业计量技术规范编制说明</w:t>
      </w:r>
    </w:p>
    <w:p>
      <w:pPr>
        <w:spacing w:line="360" w:lineRule="auto"/>
        <w:rPr>
          <w:bCs/>
        </w:rPr>
      </w:pPr>
      <w:r>
        <w:rPr>
          <w:rFonts w:hint="eastAsia"/>
          <w:bCs/>
        </w:rPr>
        <w:t>一、工作简况</w:t>
      </w:r>
    </w:p>
    <w:p>
      <w:pPr>
        <w:spacing w:line="360" w:lineRule="auto"/>
        <w:rPr>
          <w:rFonts w:ascii="黑体" w:eastAsia="黑体"/>
          <w:bCs/>
          <w:szCs w:val="21"/>
        </w:rPr>
      </w:pPr>
      <w:r>
        <w:rPr>
          <w:rFonts w:ascii="黑体" w:eastAsia="黑体"/>
          <w:bCs/>
          <w:szCs w:val="21"/>
        </w:rPr>
        <w:t>1</w:t>
      </w:r>
      <w:r>
        <w:rPr>
          <w:rFonts w:hint="eastAsia" w:ascii="黑体" w:eastAsia="黑体"/>
          <w:bCs/>
          <w:szCs w:val="21"/>
        </w:rPr>
        <w:t>.1</w:t>
      </w:r>
      <w:r>
        <w:rPr>
          <w:rFonts w:hint="eastAsia" w:ascii="黑体" w:hAnsi="宋体" w:eastAsia="黑体"/>
          <w:bCs/>
          <w:szCs w:val="21"/>
        </w:rPr>
        <w:t>任务来源</w:t>
      </w:r>
    </w:p>
    <w:p>
      <w:pPr>
        <w:pStyle w:val="11"/>
        <w:spacing w:after="0" w:line="360" w:lineRule="auto"/>
        <w:ind w:firstLine="420" w:firstLineChars="200"/>
        <w:rPr>
          <w:rFonts w:hAnsi="宋体"/>
          <w:bCs/>
          <w:color w:val="auto"/>
          <w:szCs w:val="21"/>
        </w:rPr>
      </w:pPr>
      <w:r>
        <w:rPr>
          <w:rFonts w:hint="eastAsia" w:hAnsi="宋体"/>
          <w:bCs/>
          <w:color w:val="auto"/>
          <w:szCs w:val="21"/>
        </w:rPr>
        <w:t>根据工业和信息化部《关于印发2021年行业计量技术规范制修订计划的通知》（工信厅科函［2021］181号）文的要求，行业计量技术规范《电热恒温水浴锅校准规范》由西南铝业（集团）有限责任公司计量检测中心校准实验室负责起草。该项目计划编号为</w:t>
      </w:r>
      <w:r>
        <w:rPr>
          <w:rFonts w:hAnsi="宋体"/>
          <w:bCs/>
          <w:color w:val="auto"/>
          <w:szCs w:val="21"/>
        </w:rPr>
        <w:t>JJF</w:t>
      </w:r>
      <w:r>
        <w:rPr>
          <w:rFonts w:hint="eastAsia" w:hAnsi="宋体"/>
          <w:bCs/>
          <w:color w:val="auto"/>
          <w:szCs w:val="21"/>
        </w:rPr>
        <w:t>（有色金属）0</w:t>
      </w:r>
      <w:r>
        <w:rPr>
          <w:rFonts w:hAnsi="宋体"/>
          <w:bCs/>
          <w:color w:val="auto"/>
          <w:szCs w:val="21"/>
        </w:rPr>
        <w:t>0</w:t>
      </w:r>
      <w:r>
        <w:rPr>
          <w:rFonts w:hint="eastAsia" w:hAnsi="宋体"/>
          <w:bCs/>
          <w:color w:val="auto"/>
          <w:szCs w:val="21"/>
          <w:lang w:val="en-US" w:eastAsia="zh-CN"/>
        </w:rPr>
        <w:t>3</w:t>
      </w:r>
      <w:r>
        <w:rPr>
          <w:rFonts w:hint="eastAsia" w:hAnsi="宋体"/>
          <w:bCs/>
          <w:color w:val="auto"/>
          <w:szCs w:val="21"/>
        </w:rPr>
        <w:t>-2</w:t>
      </w:r>
      <w:r>
        <w:rPr>
          <w:rFonts w:hAnsi="宋体"/>
          <w:bCs/>
          <w:color w:val="auto"/>
          <w:szCs w:val="21"/>
        </w:rPr>
        <w:t>02</w:t>
      </w:r>
      <w:r>
        <w:rPr>
          <w:rFonts w:hint="eastAsia" w:hAnsi="宋体"/>
          <w:bCs/>
          <w:color w:val="auto"/>
          <w:szCs w:val="21"/>
          <w:lang w:val="en-US" w:eastAsia="zh-CN"/>
        </w:rPr>
        <w:t>1</w:t>
      </w:r>
      <w:r>
        <w:rPr>
          <w:rFonts w:hint="eastAsia" w:hAnsi="宋体"/>
          <w:bCs/>
          <w:color w:val="auto"/>
          <w:szCs w:val="21"/>
        </w:rPr>
        <w:t>。按计划要求，本计量规范应于</w:t>
      </w:r>
      <w:r>
        <w:rPr>
          <w:rFonts w:hAnsi="宋体"/>
          <w:bCs/>
          <w:color w:val="auto"/>
          <w:szCs w:val="21"/>
        </w:rPr>
        <w:t>202</w:t>
      </w:r>
      <w:r>
        <w:rPr>
          <w:rFonts w:hint="eastAsia" w:hAnsi="宋体"/>
          <w:bCs/>
          <w:color w:val="auto"/>
          <w:szCs w:val="21"/>
          <w:lang w:val="en-US" w:eastAsia="zh-CN"/>
        </w:rPr>
        <w:t>3</w:t>
      </w:r>
      <w:r>
        <w:rPr>
          <w:rFonts w:hint="eastAsia" w:hAnsi="宋体"/>
          <w:bCs/>
          <w:color w:val="auto"/>
          <w:szCs w:val="21"/>
        </w:rPr>
        <w:t>年完成。</w:t>
      </w:r>
    </w:p>
    <w:p>
      <w:pPr>
        <w:pStyle w:val="11"/>
        <w:spacing w:after="0" w:line="360" w:lineRule="auto"/>
        <w:rPr>
          <w:rFonts w:ascii="黑体" w:hAnsi="宋体" w:eastAsia="黑体"/>
          <w:bCs/>
          <w:szCs w:val="21"/>
        </w:rPr>
      </w:pPr>
      <w:r>
        <w:rPr>
          <w:rFonts w:ascii="黑体" w:hAnsi="宋体" w:eastAsia="黑体"/>
          <w:bCs/>
          <w:szCs w:val="21"/>
        </w:rPr>
        <w:t>1.2</w:t>
      </w:r>
      <w:r>
        <w:rPr>
          <w:rFonts w:hint="eastAsia" w:ascii="黑体" w:hAnsi="宋体" w:eastAsia="黑体"/>
          <w:bCs/>
          <w:szCs w:val="21"/>
        </w:rPr>
        <w:t>承担单位情况</w:t>
      </w:r>
    </w:p>
    <w:p>
      <w:pPr>
        <w:spacing w:line="360" w:lineRule="auto"/>
        <w:ind w:firstLine="420" w:firstLineChars="200"/>
        <w:rPr>
          <w:rFonts w:hint="eastAsia"/>
          <w:bCs/>
          <w:lang w:val="en-US" w:eastAsia="zh-CN"/>
        </w:rPr>
      </w:pPr>
      <w:r>
        <w:rPr>
          <w:rFonts w:hint="eastAsia"/>
          <w:bCs/>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w:t>
      </w:r>
      <w:r>
        <w:rPr>
          <w:rFonts w:hint="eastAsia"/>
          <w:bCs/>
          <w:lang w:eastAsia="zh-CN"/>
        </w:rPr>
        <w:t>西南铝建有校准实验室与检测实验室，均通过了</w:t>
      </w:r>
      <w:r>
        <w:rPr>
          <w:rFonts w:hint="eastAsia"/>
          <w:bCs/>
          <w:lang w:val="en-US" w:eastAsia="zh-CN"/>
        </w:rPr>
        <w:t>CNAS认可，具备对电热恒温水浴锅的CNAS校准能力。西南铝累计申请专利722件，其中授权发明专利249件、授权实用新型专利473件，主持和参与国家、行业标准277项。</w:t>
      </w:r>
    </w:p>
    <w:p>
      <w:pPr>
        <w:spacing w:line="360" w:lineRule="auto"/>
        <w:ind w:firstLine="420" w:firstLineChars="200"/>
        <w:rPr>
          <w:rFonts w:hint="eastAsia"/>
          <w:lang w:val="en-US" w:eastAsia="zh-CN"/>
        </w:rPr>
      </w:pPr>
      <w:r>
        <w:rPr>
          <w:rFonts w:hint="eastAsia"/>
          <w:lang w:val="en-US"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pPr>
        <w:pStyle w:val="12"/>
        <w:shd w:val="clear" w:color="auto" w:fill="FFFFFF"/>
        <w:spacing w:before="0" w:beforeAutospacing="0" w:after="0" w:afterAutospacing="0" w:line="360" w:lineRule="auto"/>
        <w:ind w:firstLine="480"/>
        <w:jc w:val="both"/>
        <w:rPr>
          <w:rFonts w:hint="eastAsia"/>
          <w:sz w:val="21"/>
          <w:szCs w:val="21"/>
        </w:rPr>
      </w:pPr>
      <w:r>
        <w:rPr>
          <w:rFonts w:hint="eastAsia"/>
          <w:sz w:val="21"/>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pStyle w:val="12"/>
        <w:shd w:val="clear" w:color="auto" w:fill="FFFFFF"/>
        <w:spacing w:before="0" w:beforeAutospacing="0" w:after="0" w:afterAutospacing="0" w:line="360" w:lineRule="auto"/>
        <w:ind w:firstLine="480"/>
        <w:jc w:val="both"/>
        <w:rPr>
          <w:rFonts w:hint="eastAsia"/>
          <w:sz w:val="21"/>
          <w:szCs w:val="21"/>
          <w:lang w:eastAsia="zh-CN"/>
        </w:rPr>
      </w:pPr>
      <w:r>
        <w:rPr>
          <w:rFonts w:hint="eastAsia"/>
          <w:sz w:val="21"/>
          <w:szCs w:val="21"/>
        </w:rPr>
        <w:t>中铝材料应用研究院有限公司是中国高端制造直属的核心研究院，现有员工165人，其中科研人员134人，“千人计划”专家4人，高级以上职称41人，硕士88人，博士41人。试验检验中心（北京、苏州各设一个）为国家CNAS认可机构，具备开展有色金属材料研究和应用技术开发的基本硬件条件。累计承担科研项目98项，其中国家级项目3项，省部级项目4项</w:t>
      </w:r>
      <w:r>
        <w:rPr>
          <w:rFonts w:hint="eastAsia"/>
          <w:sz w:val="21"/>
          <w:szCs w:val="21"/>
          <w:lang w:eastAsia="zh-CN"/>
        </w:rPr>
        <w:t>。</w:t>
      </w:r>
    </w:p>
    <w:p>
      <w:pPr>
        <w:spacing w:line="360" w:lineRule="auto"/>
        <w:ind w:firstLine="420" w:firstLineChars="200"/>
        <w:rPr>
          <w:rFonts w:hint="eastAsia"/>
          <w:lang w:val="en-US" w:eastAsia="zh-CN"/>
        </w:rPr>
      </w:pPr>
      <w:r>
        <w:rPr>
          <w:rFonts w:hint="eastAsia"/>
          <w:lang w:val="en-US" w:eastAsia="zh-CN"/>
        </w:rPr>
        <w:t>国标（北京）检验认证有限公司是我国有色行业的材料研究和材料检测的权威机构。该公司运行着国家有色金属质量监督检验中心，是我国有色行业金属材料检测的权威机构。中心拥有雄厚的技术力量，先进的仪器</w:t>
      </w:r>
      <w:bookmarkStart w:id="0" w:name="_GoBack"/>
      <w:bookmarkEnd w:id="0"/>
      <w:r>
        <w:rPr>
          <w:rFonts w:hint="eastAsia"/>
          <w:lang w:val="en-US" w:eastAsia="zh-CN"/>
        </w:rPr>
        <w:t>，齐全的分析方法，以及与国际接轨的质量管理体系（ISO/IEC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60" w:lineRule="auto"/>
        <w:ind w:firstLine="420" w:firstLineChars="200"/>
        <w:rPr>
          <w:rFonts w:hint="eastAsia"/>
          <w:lang w:val="en-US" w:eastAsia="zh-CN"/>
        </w:rPr>
      </w:pPr>
      <w:r>
        <w:rPr>
          <w:rFonts w:hint="eastAsia"/>
          <w:lang w:val="en-US" w:eastAsia="zh-CN"/>
        </w:rPr>
        <w:t>天津新艾隆科技有限公司是我国铝合金建筑型材用丙烯酸电泳涂料的主要供货厂家之一，成立于2003年，是在天津滨海经济开发区注册的一家拥有高新技术及人才的独资企业，主要生产、销售铝型材专用阳极电泳涂料。公司现在拥有外籍专家4名，高级工程师6名，工程师及技术人员12名。用于涂料的生产、分析及检测的原装进口或国产生产设备、检测仪器共23台套。以综合的技术实力为各地的铝型材厂提供品质技术支持和服务。铝型材电泳涂漆复合膜全部达到国家和国际标准的最高等级。</w:t>
      </w:r>
    </w:p>
    <w:p>
      <w:pPr>
        <w:pStyle w:val="11"/>
        <w:spacing w:after="0" w:line="360" w:lineRule="auto"/>
        <w:rPr>
          <w:rFonts w:ascii="黑体" w:eastAsia="黑体"/>
          <w:bCs/>
          <w:szCs w:val="21"/>
        </w:rPr>
      </w:pPr>
      <w:r>
        <w:rPr>
          <w:rFonts w:ascii="黑体" w:eastAsia="黑体"/>
          <w:bCs/>
          <w:szCs w:val="21"/>
        </w:rPr>
        <w:t>1.3</w:t>
      </w:r>
      <w:r>
        <w:rPr>
          <w:rFonts w:hint="eastAsia" w:ascii="黑体" w:hAnsi="宋体" w:eastAsia="黑体"/>
          <w:bCs/>
          <w:szCs w:val="21"/>
        </w:rPr>
        <w:t>主要工作过程</w:t>
      </w:r>
    </w:p>
    <w:p>
      <w:pPr>
        <w:spacing w:line="360" w:lineRule="auto"/>
        <w:ind w:firstLine="420" w:firstLineChars="200"/>
        <w:rPr>
          <w:bCs/>
        </w:rPr>
      </w:pPr>
      <w:r>
        <w:rPr>
          <w:rFonts w:hint="eastAsia"/>
          <w:bCs/>
          <w:lang w:eastAsia="zh-CN"/>
        </w:rPr>
        <w:t>西南铝业（集团）有限责任公司</w:t>
      </w:r>
      <w:r>
        <w:rPr>
          <w:rFonts w:hint="eastAsia"/>
          <w:bCs/>
        </w:rPr>
        <w:t>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210" w:firstLineChars="100"/>
        <w:rPr>
          <w:rFonts w:hint="eastAsia"/>
          <w:bCs/>
        </w:rPr>
      </w:pPr>
      <w:r>
        <w:rPr>
          <w:bCs/>
        </w:rPr>
        <w:t>1</w:t>
      </w:r>
      <w:r>
        <w:rPr>
          <w:rFonts w:hint="eastAsia"/>
          <w:bCs/>
        </w:rPr>
        <w:t>）</w:t>
      </w:r>
      <w:r>
        <w:rPr>
          <w:bCs/>
        </w:rPr>
        <w:t>20</w:t>
      </w:r>
      <w:r>
        <w:rPr>
          <w:rFonts w:hint="eastAsia"/>
          <w:bCs/>
        </w:rPr>
        <w:t>21年</w:t>
      </w:r>
      <w:r>
        <w:rPr>
          <w:rFonts w:hint="eastAsia"/>
          <w:bCs/>
          <w:lang w:val="en-US" w:eastAsia="zh-CN"/>
        </w:rPr>
        <w:t>6</w:t>
      </w:r>
      <w:r>
        <w:rPr>
          <w:rFonts w:hint="eastAsia"/>
          <w:bCs/>
        </w:rPr>
        <w:t>月成立</w:t>
      </w:r>
      <w:r>
        <w:rPr>
          <w:rFonts w:hint="eastAsia"/>
          <w:bCs/>
          <w:lang w:eastAsia="zh-CN"/>
        </w:rPr>
        <w:t>了</w:t>
      </w:r>
      <w:r>
        <w:rPr>
          <w:rFonts w:hint="eastAsia"/>
          <w:bCs/>
        </w:rPr>
        <w:t>计量规范编制组，</w:t>
      </w:r>
      <w:r>
        <w:rPr>
          <w:rFonts w:hint="eastAsia"/>
          <w:bCs/>
          <w:lang w:eastAsia="zh-CN"/>
        </w:rPr>
        <w:t>参与单位有</w:t>
      </w:r>
      <w:r>
        <w:rPr>
          <w:rFonts w:hint="eastAsia"/>
          <w:bCs/>
          <w:lang w:val="en-US" w:eastAsia="zh-CN"/>
        </w:rPr>
        <w:t>广东省科学院工业分析检测中心、西安汉唐分析检测有限公司、中铝材料应用研究院有限公司、国标（北京）检验认证有限公司和天津新艾隆科技有限公司，并</w:t>
      </w:r>
      <w:r>
        <w:rPr>
          <w:rFonts w:hint="eastAsia"/>
          <w:bCs/>
        </w:rPr>
        <w:t>明确了编制组</w:t>
      </w:r>
      <w:r>
        <w:rPr>
          <w:rFonts w:hint="eastAsia"/>
          <w:bCs/>
          <w:lang w:eastAsia="zh-CN"/>
        </w:rPr>
        <w:t>成员</w:t>
      </w:r>
      <w:r>
        <w:rPr>
          <w:rFonts w:hint="eastAsia"/>
          <w:bCs/>
        </w:rPr>
        <w:t>各自的工作内容和任务。</w:t>
      </w:r>
    </w:p>
    <w:p>
      <w:pPr>
        <w:spacing w:line="360" w:lineRule="auto"/>
        <w:ind w:firstLine="210" w:firstLineChars="100"/>
        <w:rPr>
          <w:color w:val="FF0000"/>
          <w:szCs w:val="21"/>
        </w:rPr>
      </w:pPr>
      <w:r>
        <w:rPr>
          <w:rFonts w:hint="eastAsia"/>
          <w:bCs/>
          <w:lang w:val="en-US" w:eastAsia="zh-CN"/>
        </w:rPr>
        <w:t>2）2021年8月～2021年10月计量规范编制组成员对电热恒温水浴锅校准规范中的计量特性及校准方法进行了讨论，确定了校准项目和方法，在2022年08月形成了计量规范讨论稿。</w:t>
      </w:r>
    </w:p>
    <w:p>
      <w:pPr>
        <w:spacing w:line="360" w:lineRule="auto"/>
        <w:rPr>
          <w:rFonts w:ascii="黑体" w:eastAsia="黑体"/>
          <w:bCs/>
          <w:color w:val="FF0000"/>
          <w:szCs w:val="21"/>
        </w:rPr>
      </w:pPr>
      <w:r>
        <w:rPr>
          <w:rFonts w:hint="eastAsia"/>
          <w:bCs/>
          <w:color w:val="000000"/>
          <w:szCs w:val="21"/>
        </w:rPr>
        <w:t>二、</w:t>
      </w:r>
      <w:r>
        <w:rPr>
          <w:rFonts w:hint="eastAsia" w:ascii="黑体" w:hAnsi="宋体" w:eastAsia="黑体"/>
          <w:bCs/>
          <w:szCs w:val="21"/>
        </w:rPr>
        <w:t>编制原则和依据</w:t>
      </w:r>
    </w:p>
    <w:p>
      <w:pPr>
        <w:pStyle w:val="11"/>
        <w:spacing w:after="0" w:line="360" w:lineRule="auto"/>
        <w:rPr>
          <w:rFonts w:ascii="黑体" w:eastAsia="黑体"/>
          <w:bCs/>
          <w:szCs w:val="21"/>
        </w:rPr>
      </w:pPr>
      <w:r>
        <w:rPr>
          <w:rFonts w:ascii="黑体" w:eastAsia="黑体"/>
          <w:bCs/>
          <w:szCs w:val="21"/>
        </w:rPr>
        <w:t>2.1</w:t>
      </w:r>
      <w:r>
        <w:rPr>
          <w:rFonts w:hint="eastAsia" w:ascii="黑体" w:hAnsi="宋体" w:eastAsia="黑体"/>
          <w:bCs/>
          <w:szCs w:val="21"/>
        </w:rPr>
        <w:t>规范编制原则</w:t>
      </w:r>
    </w:p>
    <w:p>
      <w:pPr>
        <w:spacing w:line="360" w:lineRule="auto"/>
        <w:ind w:firstLine="435"/>
        <w:rPr>
          <w:bCs/>
          <w:szCs w:val="21"/>
        </w:rPr>
      </w:pPr>
      <w:r>
        <w:rPr>
          <w:rFonts w:ascii="宋体" w:hAnsi="宋体"/>
          <w:bCs/>
          <w:szCs w:val="21"/>
        </w:rPr>
        <w:t>1</w:t>
      </w:r>
      <w:r>
        <w:rPr>
          <w:rFonts w:hint="eastAsia" w:ascii="宋体" w:hAnsi="宋体"/>
          <w:bCs/>
          <w:szCs w:val="21"/>
        </w:rPr>
        <w:t>）</w:t>
      </w:r>
      <w:r>
        <w:rPr>
          <w:rFonts w:hint="eastAsia" w:hAnsi="宋体"/>
          <w:bCs/>
          <w:szCs w:val="21"/>
        </w:rPr>
        <w:t>该规范按照</w:t>
      </w:r>
      <w:r>
        <w:rPr>
          <w:bCs/>
          <w:szCs w:val="21"/>
        </w:rPr>
        <w:t>JJF 1071-2010</w:t>
      </w:r>
      <w:r>
        <w:rPr>
          <w:rFonts w:hint="eastAsia" w:hAnsi="宋体"/>
          <w:bCs/>
          <w:szCs w:val="21"/>
        </w:rPr>
        <w:t>《国家计量校准规范编写规则》、</w:t>
      </w:r>
      <w:r>
        <w:rPr>
          <w:bCs/>
          <w:szCs w:val="21"/>
        </w:rPr>
        <w:t>JJF 1001—2011</w:t>
      </w:r>
      <w:r>
        <w:rPr>
          <w:rFonts w:hint="eastAsia" w:hAnsi="宋体"/>
          <w:bCs/>
          <w:szCs w:val="21"/>
        </w:rPr>
        <w:t>《通用计量术语及定义》和</w:t>
      </w:r>
      <w:r>
        <w:rPr>
          <w:bCs/>
          <w:szCs w:val="21"/>
        </w:rPr>
        <w:t>JJF 1059.1—2012</w:t>
      </w:r>
      <w:r>
        <w:rPr>
          <w:rFonts w:hint="eastAsia" w:hAnsi="宋体"/>
          <w:bCs/>
          <w:szCs w:val="21"/>
        </w:rPr>
        <w:t>《测量不确定度评定与表示》编写。</w:t>
      </w:r>
    </w:p>
    <w:p>
      <w:pPr>
        <w:spacing w:line="360" w:lineRule="auto"/>
        <w:ind w:firstLine="420" w:firstLineChars="200"/>
        <w:rPr>
          <w:rFonts w:hAnsi="宋体"/>
          <w:bCs/>
          <w:szCs w:val="21"/>
        </w:rPr>
      </w:pPr>
      <w:r>
        <w:rPr>
          <w:bCs/>
          <w:szCs w:val="21"/>
        </w:rPr>
        <w:t>2</w:t>
      </w:r>
      <w:r>
        <w:rPr>
          <w:rFonts w:hint="eastAsia" w:hAnsi="宋体"/>
          <w:bCs/>
          <w:szCs w:val="21"/>
        </w:rPr>
        <w:t>）先进性：本规范参照了J</w:t>
      </w:r>
      <w:r>
        <w:rPr>
          <w:rFonts w:hAnsi="宋体"/>
          <w:bCs/>
          <w:szCs w:val="21"/>
        </w:rPr>
        <w:t>JF 1101-2019</w:t>
      </w:r>
      <w:r>
        <w:rPr>
          <w:rFonts w:hint="eastAsia" w:hAnsi="宋体"/>
          <w:bCs/>
          <w:szCs w:val="21"/>
        </w:rPr>
        <w:t>《环境试验设备温度、湿度参数校准规范》的相关内容，结合有色金属行业电热恒温水浴锅使用现状，</w:t>
      </w:r>
      <w:r>
        <w:rPr>
          <w:rFonts w:hint="eastAsia" w:ascii="宋体" w:hAnsi="宋体"/>
          <w:bCs/>
          <w:szCs w:val="21"/>
        </w:rPr>
        <w:t>制订了基本原则和编制依据，规范了电热恒温水浴锅温度偏差、温度波动度和温度均匀性等性能指标的数据处理公式。</w:t>
      </w:r>
    </w:p>
    <w:p>
      <w:pPr>
        <w:spacing w:line="360" w:lineRule="auto"/>
        <w:ind w:firstLine="420" w:firstLineChars="200"/>
        <w:rPr>
          <w:rFonts w:hAnsi="宋体"/>
          <w:bCs/>
          <w:szCs w:val="21"/>
        </w:rPr>
      </w:pPr>
      <w:r>
        <w:rPr>
          <w:rFonts w:ascii="宋体" w:hAnsi="宋体"/>
          <w:bCs/>
          <w:szCs w:val="21"/>
        </w:rPr>
        <w:t>3</w:t>
      </w:r>
      <w:r>
        <w:rPr>
          <w:rFonts w:hint="eastAsia" w:ascii="宋体" w:hAnsi="宋体"/>
          <w:bCs/>
          <w:szCs w:val="21"/>
        </w:rPr>
        <w:t>）创新性：</w:t>
      </w:r>
      <w:r>
        <w:rPr>
          <w:rFonts w:hint="eastAsia" w:hAnsi="宋体"/>
          <w:bCs/>
          <w:szCs w:val="21"/>
        </w:rPr>
        <w:t>电热恒温水浴锅形状、样式多样，规范详细规定了单列孔、双列孔、无孔、圆形内腔、方形内腔等不同样式电热恒温水浴锅性能指标的校准方法，并使温度校准点的布置尽可能覆盖整个电热恒温水浴锅的工作区域，更加真实全面的反映电热恒温水浴锅的性能指标。</w:t>
      </w:r>
    </w:p>
    <w:p>
      <w:pPr>
        <w:spacing w:line="360" w:lineRule="auto"/>
        <w:rPr>
          <w:rFonts w:ascii="黑体" w:hAnsi="宋体" w:eastAsia="黑体"/>
          <w:bCs/>
          <w:szCs w:val="21"/>
        </w:rPr>
      </w:pPr>
      <w:r>
        <w:rPr>
          <w:rFonts w:ascii="黑体" w:eastAsia="黑体"/>
          <w:bCs/>
          <w:szCs w:val="21"/>
        </w:rPr>
        <w:t>2.2</w:t>
      </w:r>
      <w:r>
        <w:rPr>
          <w:rFonts w:hint="eastAsia" w:ascii="黑体" w:hAnsi="宋体" w:eastAsia="黑体"/>
          <w:bCs/>
          <w:szCs w:val="21"/>
        </w:rPr>
        <w:t>制定规范主要内容的论据</w:t>
      </w:r>
    </w:p>
    <w:p>
      <w:pPr>
        <w:spacing w:line="360" w:lineRule="auto"/>
        <w:rPr>
          <w:rFonts w:ascii="黑体" w:hAnsi="黑体" w:eastAsia="黑体"/>
          <w:bCs/>
          <w:szCs w:val="21"/>
        </w:rPr>
      </w:pPr>
      <w:r>
        <w:rPr>
          <w:rFonts w:ascii="黑体" w:hAnsi="黑体" w:eastAsia="黑体"/>
          <w:bCs/>
          <w:szCs w:val="21"/>
        </w:rPr>
        <w:t>2.2.1</w:t>
      </w:r>
      <w:r>
        <w:rPr>
          <w:rFonts w:hint="eastAsia" w:ascii="黑体" w:hAnsi="黑体" w:eastAsia="黑体"/>
          <w:bCs/>
          <w:szCs w:val="21"/>
        </w:rPr>
        <w:t>范围</w:t>
      </w:r>
    </w:p>
    <w:p>
      <w:pPr>
        <w:spacing w:line="360" w:lineRule="auto"/>
        <w:ind w:firstLine="420" w:firstLineChars="200"/>
        <w:rPr>
          <w:rFonts w:hAnsi="宋体"/>
          <w:bCs/>
          <w:szCs w:val="21"/>
        </w:rPr>
      </w:pPr>
      <w:r>
        <w:rPr>
          <w:rFonts w:hAnsi="宋体"/>
          <w:bCs/>
          <w:szCs w:val="21"/>
        </w:rPr>
        <w:t>本规范适</w:t>
      </w:r>
      <w:r>
        <w:rPr>
          <w:rFonts w:hint="eastAsia" w:hAnsi="宋体"/>
          <w:bCs/>
          <w:szCs w:val="21"/>
        </w:rPr>
        <w:t>用于温度范围</w:t>
      </w:r>
      <w:r>
        <w:rPr>
          <w:rFonts w:hAnsi="宋体"/>
          <w:bCs/>
          <w:szCs w:val="21"/>
        </w:rPr>
        <w:t>（0～100）℃电热恒温水浴锅（以下简称水浴锅）计量性能的校准</w:t>
      </w:r>
      <w:r>
        <w:rPr>
          <w:rFonts w:hint="eastAsia" w:hAnsi="宋体"/>
          <w:bCs/>
          <w:szCs w:val="21"/>
        </w:rPr>
        <w:t>，其他范围的类似设备也可参照本规范。</w:t>
      </w:r>
    </w:p>
    <w:p>
      <w:pPr>
        <w:spacing w:line="360" w:lineRule="auto"/>
        <w:rPr>
          <w:rFonts w:ascii="黑体" w:hAnsi="宋体" w:eastAsia="黑体"/>
          <w:bCs/>
          <w:szCs w:val="21"/>
        </w:rPr>
      </w:pPr>
      <w:r>
        <w:rPr>
          <w:rFonts w:ascii="黑体" w:hAnsi="宋体" w:eastAsia="黑体"/>
          <w:bCs/>
          <w:szCs w:val="21"/>
        </w:rPr>
        <w:t>2.2.2</w:t>
      </w:r>
      <w:r>
        <w:rPr>
          <w:rFonts w:ascii="黑体" w:eastAsia="黑体"/>
          <w:bCs/>
          <w:szCs w:val="21"/>
        </w:rPr>
        <w:t xml:space="preserve"> </w:t>
      </w:r>
      <w:r>
        <w:rPr>
          <w:rFonts w:hint="eastAsia" w:ascii="黑体" w:hAnsi="宋体" w:eastAsia="黑体"/>
          <w:bCs/>
          <w:szCs w:val="21"/>
        </w:rPr>
        <w:t>引用文件</w:t>
      </w:r>
    </w:p>
    <w:p>
      <w:pPr>
        <w:adjustRightInd w:val="0"/>
        <w:snapToGrid w:val="0"/>
        <w:spacing w:line="360" w:lineRule="auto"/>
        <w:ind w:firstLine="210" w:firstLineChars="100"/>
        <w:rPr>
          <w:rFonts w:hAnsi="宋体"/>
          <w:bCs/>
          <w:szCs w:val="21"/>
        </w:rPr>
      </w:pPr>
      <w:r>
        <w:rPr>
          <w:rFonts w:hint="eastAsia"/>
          <w:bCs/>
          <w:szCs w:val="21"/>
        </w:rPr>
        <w:t xml:space="preserve"> </w:t>
      </w:r>
      <w:r>
        <w:rPr>
          <w:bCs/>
          <w:szCs w:val="21"/>
        </w:rPr>
        <w:t xml:space="preserve"> </w:t>
      </w:r>
      <w:r>
        <w:rPr>
          <w:rFonts w:hint="eastAsia"/>
          <w:bCs/>
          <w:szCs w:val="21"/>
        </w:rPr>
        <w:t>本规范没有引用文件</w:t>
      </w:r>
      <w:r>
        <w:rPr>
          <w:rFonts w:hint="eastAsia" w:hAnsi="宋体"/>
          <w:bCs/>
          <w:szCs w:val="21"/>
        </w:rPr>
        <w:t>。</w:t>
      </w:r>
    </w:p>
    <w:p>
      <w:pPr>
        <w:spacing w:line="360" w:lineRule="auto"/>
        <w:rPr>
          <w:rFonts w:ascii="黑体" w:eastAsia="黑体"/>
          <w:bCs/>
          <w:szCs w:val="21"/>
        </w:rPr>
      </w:pPr>
      <w:r>
        <w:rPr>
          <w:rFonts w:ascii="黑体" w:hAnsi="宋体" w:eastAsia="黑体"/>
          <w:bCs/>
          <w:szCs w:val="21"/>
        </w:rPr>
        <w:t>2.2.3</w:t>
      </w:r>
      <w:r>
        <w:rPr>
          <w:rFonts w:ascii="黑体" w:eastAsia="黑体"/>
          <w:bCs/>
          <w:szCs w:val="21"/>
        </w:rPr>
        <w:t xml:space="preserve"> </w:t>
      </w:r>
      <w:r>
        <w:rPr>
          <w:rFonts w:hint="eastAsia" w:ascii="黑体" w:eastAsia="黑体"/>
          <w:bCs/>
          <w:szCs w:val="21"/>
        </w:rPr>
        <w:t>术语和计量单位</w:t>
      </w:r>
    </w:p>
    <w:p>
      <w:pPr>
        <w:spacing w:line="360" w:lineRule="auto"/>
        <w:ind w:firstLine="420" w:firstLineChars="200"/>
        <w:rPr>
          <w:rFonts w:hint="eastAsia" w:ascii="Times New Roman" w:hAnsi="宋体" w:cs="Times New Roman"/>
          <w:bCs/>
          <w:szCs w:val="21"/>
          <w:lang w:eastAsia="zh-CN"/>
        </w:rPr>
      </w:pPr>
      <w:r>
        <w:rPr>
          <w:rFonts w:hint="eastAsia" w:ascii="Times New Roman" w:hAnsi="宋体" w:cs="Times New Roman"/>
          <w:bCs/>
          <w:szCs w:val="21"/>
        </w:rPr>
        <w:t>根据讨论稿的意见，</w:t>
      </w:r>
      <w:r>
        <w:rPr>
          <w:rFonts w:hint="eastAsia" w:ascii="Times New Roman" w:hAnsi="宋体" w:cs="Times New Roman"/>
          <w:bCs/>
          <w:szCs w:val="21"/>
          <w:lang w:eastAsia="zh-CN"/>
        </w:rPr>
        <w:t>删除了该章节内容。</w:t>
      </w:r>
    </w:p>
    <w:p>
      <w:pPr>
        <w:spacing w:line="360" w:lineRule="auto"/>
        <w:rPr>
          <w:rFonts w:ascii="黑体" w:hAnsi="宋体" w:eastAsia="黑体"/>
          <w:bCs/>
          <w:szCs w:val="21"/>
        </w:rPr>
      </w:pPr>
      <w:r>
        <w:rPr>
          <w:rFonts w:hint="eastAsia" w:ascii="黑体" w:eastAsia="黑体"/>
          <w:bCs/>
          <w:szCs w:val="21"/>
          <w:lang w:val="en-US" w:eastAsia="zh-CN"/>
        </w:rPr>
        <w:t xml:space="preserve">2.2.4 </w:t>
      </w:r>
      <w:r>
        <w:rPr>
          <w:rFonts w:hint="eastAsia" w:ascii="黑体" w:hAnsi="宋体" w:eastAsia="黑体"/>
          <w:bCs/>
          <w:szCs w:val="21"/>
        </w:rPr>
        <w:t>概述</w:t>
      </w:r>
    </w:p>
    <w:p>
      <w:pPr>
        <w:adjustRightInd w:val="0"/>
        <w:snapToGrid w:val="0"/>
        <w:spacing w:line="360" w:lineRule="auto"/>
        <w:ind w:firstLine="420" w:firstLineChars="200"/>
        <w:rPr>
          <w:rFonts w:hint="eastAsia"/>
          <w:bCs/>
          <w:szCs w:val="21"/>
        </w:rPr>
      </w:pPr>
      <w:r>
        <w:rPr>
          <w:rFonts w:hint="eastAsia" w:ascii="Times New Roman" w:hAnsi="宋体" w:cs="Times New Roman"/>
          <w:bCs/>
          <w:szCs w:val="21"/>
          <w:lang w:val="en-US" w:eastAsia="zh-CN"/>
        </w:rPr>
        <w:t>根据讨论稿的意见</w:t>
      </w:r>
      <w:r>
        <w:rPr>
          <w:rFonts w:hint="eastAsia" w:hAnsi="宋体" w:cs="Times New Roman"/>
          <w:bCs/>
          <w:szCs w:val="21"/>
          <w:lang w:val="en-US" w:eastAsia="zh-CN"/>
        </w:rPr>
        <w:t>，对概述进行了修改，如下描述：</w:t>
      </w:r>
    </w:p>
    <w:p>
      <w:pPr>
        <w:adjustRightInd w:val="0"/>
        <w:snapToGrid w:val="0"/>
        <w:spacing w:line="360" w:lineRule="auto"/>
        <w:ind w:firstLine="420" w:firstLineChars="200"/>
        <w:rPr>
          <w:bCs/>
          <w:szCs w:val="21"/>
        </w:rPr>
      </w:pPr>
      <w:r>
        <w:rPr>
          <w:rFonts w:hint="eastAsia"/>
          <w:bCs/>
          <w:szCs w:val="21"/>
        </w:rPr>
        <w:t>水浴锅通常由水槽、管状加热器、托架、温度控制器、放水管等组成。现代水浴锅一般采用矩形、圆形水槽式结构比较多，通过温度控制器控制温度。水浴锅的种类按所使用孔位的需求分为有孔和无孔两种结构，有孔的又分为单孔、单列多孔和双列多孔等形式。</w:t>
      </w:r>
    </w:p>
    <w:p>
      <w:pPr>
        <w:spacing w:line="360" w:lineRule="auto"/>
        <w:rPr>
          <w:rFonts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5</w:t>
      </w:r>
      <w:r>
        <w:rPr>
          <w:rFonts w:ascii="黑体" w:eastAsia="黑体"/>
          <w:bCs/>
          <w:szCs w:val="21"/>
        </w:rPr>
        <w:t xml:space="preserve"> </w:t>
      </w:r>
      <w:r>
        <w:rPr>
          <w:rFonts w:hint="eastAsia" w:ascii="黑体" w:hAnsi="宋体" w:eastAsia="黑体"/>
          <w:bCs/>
          <w:szCs w:val="21"/>
        </w:rPr>
        <w:t>计量特性</w:t>
      </w:r>
    </w:p>
    <w:p>
      <w:pPr>
        <w:spacing w:line="360" w:lineRule="auto"/>
        <w:ind w:firstLine="420" w:firstLineChars="200"/>
        <w:rPr>
          <w:rFonts w:hint="eastAsia" w:eastAsia="宋体"/>
          <w:bCs/>
          <w:szCs w:val="21"/>
          <w:lang w:eastAsia="zh-CN"/>
        </w:rPr>
      </w:pPr>
      <w:r>
        <w:rPr>
          <w:rFonts w:hint="eastAsia"/>
          <w:bCs/>
          <w:szCs w:val="21"/>
        </w:rPr>
        <w:t>根据讨论稿的意见，</w:t>
      </w:r>
      <w:r>
        <w:rPr>
          <w:rFonts w:hint="eastAsia"/>
          <w:bCs/>
          <w:szCs w:val="21"/>
          <w:lang w:eastAsia="zh-CN"/>
        </w:rPr>
        <w:t>将“温度偏差、温度波动度、温度均匀度”</w:t>
      </w:r>
      <w:r>
        <w:rPr>
          <w:rFonts w:hint="eastAsia"/>
          <w:bCs/>
          <w:szCs w:val="21"/>
          <w:lang w:val="en-US" w:eastAsia="zh-CN"/>
        </w:rPr>
        <w:t>3个计量特性，删除了“</w:t>
      </w:r>
      <w:r>
        <w:rPr>
          <w:rFonts w:hint="eastAsia"/>
          <w:bCs/>
          <w:szCs w:val="21"/>
        </w:rPr>
        <w:t>通常应不超过产品说明书的技术要求，没有明确技术要求的，应满足用户使用要求</w:t>
      </w:r>
      <w:r>
        <w:rPr>
          <w:rFonts w:hint="eastAsia"/>
          <w:bCs/>
          <w:szCs w:val="21"/>
          <w:lang w:eastAsia="zh-CN"/>
        </w:rPr>
        <w:t>”等内容，增加了“注：以上指标不是用于合格性判别，仅供参考。”等内容。</w:t>
      </w:r>
    </w:p>
    <w:p>
      <w:pPr>
        <w:spacing w:line="360" w:lineRule="auto"/>
        <w:rPr>
          <w:rFonts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6</w:t>
      </w:r>
      <w:r>
        <w:rPr>
          <w:rFonts w:ascii="黑体" w:eastAsia="黑体"/>
          <w:bCs/>
          <w:szCs w:val="21"/>
        </w:rPr>
        <w:t xml:space="preserve"> </w:t>
      </w:r>
      <w:r>
        <w:rPr>
          <w:rFonts w:hint="eastAsia" w:ascii="黑体" w:hAnsi="宋体" w:eastAsia="黑体"/>
          <w:bCs/>
          <w:szCs w:val="21"/>
        </w:rPr>
        <w:t>校准条件</w:t>
      </w:r>
    </w:p>
    <w:p>
      <w:pPr>
        <w:spacing w:line="360" w:lineRule="auto"/>
        <w:ind w:firstLine="420" w:firstLineChars="200"/>
        <w:rPr>
          <w:rFonts w:hint="eastAsia" w:eastAsia="宋体"/>
          <w:bCs/>
          <w:lang w:eastAsia="zh-CN"/>
        </w:rPr>
      </w:pPr>
      <w:r>
        <w:rPr>
          <w:rFonts w:hint="eastAsia"/>
          <w:bCs/>
          <w:lang w:eastAsia="zh-CN"/>
        </w:rPr>
        <w:t>根据讨论稿的意见，将“</w:t>
      </w:r>
      <w:r>
        <w:rPr>
          <w:rFonts w:hint="eastAsia"/>
          <w:bCs/>
        </w:rPr>
        <w:t>多通道温度数据采集器</w:t>
      </w:r>
      <w:r>
        <w:rPr>
          <w:rFonts w:hint="eastAsia"/>
          <w:bCs/>
          <w:lang w:eastAsia="zh-CN"/>
        </w:rPr>
        <w:t>”更改为“多通道测温仪”。</w:t>
      </w:r>
    </w:p>
    <w:p>
      <w:pPr>
        <w:spacing w:line="360" w:lineRule="auto"/>
        <w:rPr>
          <w:rFonts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7</w:t>
      </w:r>
      <w:r>
        <w:rPr>
          <w:rFonts w:ascii="黑体" w:eastAsia="黑体"/>
          <w:bCs/>
          <w:szCs w:val="21"/>
        </w:rPr>
        <w:t xml:space="preserve"> </w:t>
      </w:r>
      <w:r>
        <w:rPr>
          <w:rFonts w:hint="eastAsia" w:ascii="黑体" w:hAnsi="宋体" w:eastAsia="黑体"/>
          <w:bCs/>
          <w:szCs w:val="21"/>
        </w:rPr>
        <w:t>校准项目和校准方法</w:t>
      </w:r>
    </w:p>
    <w:p>
      <w:pPr>
        <w:spacing w:line="360" w:lineRule="auto"/>
        <w:ind w:firstLine="420" w:firstLineChars="200"/>
        <w:rPr>
          <w:bCs/>
        </w:rPr>
      </w:pPr>
    </w:p>
    <w:p>
      <w:pPr>
        <w:spacing w:line="360" w:lineRule="auto"/>
        <w:rPr>
          <w:rFonts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8</w:t>
      </w:r>
      <w:r>
        <w:rPr>
          <w:rFonts w:ascii="黑体" w:hAnsi="宋体" w:eastAsia="黑体"/>
          <w:bCs/>
          <w:szCs w:val="21"/>
        </w:rPr>
        <w:t xml:space="preserve"> </w:t>
      </w:r>
      <w:r>
        <w:rPr>
          <w:rFonts w:hint="eastAsia" w:ascii="黑体" w:hAnsi="宋体" w:eastAsia="黑体"/>
          <w:bCs/>
          <w:szCs w:val="21"/>
        </w:rPr>
        <w:t>校准结果表达</w:t>
      </w:r>
    </w:p>
    <w:p>
      <w:pPr>
        <w:ind w:firstLine="420" w:firstLineChars="200"/>
        <w:rPr>
          <w:rFonts w:hint="eastAsia" w:ascii="宋体" w:hAnsi="宋体" w:cs="宋体"/>
          <w:szCs w:val="21"/>
        </w:rPr>
      </w:pPr>
      <w:r>
        <w:rPr>
          <w:rFonts w:hint="eastAsia" w:ascii="宋体" w:hAnsi="宋体" w:cs="宋体"/>
          <w:szCs w:val="21"/>
        </w:rPr>
        <w:t>规范中规定了校准证书中应包含被校对象信息、性能指标数据、环境条件等详细的校准结果内容信息。</w:t>
      </w:r>
    </w:p>
    <w:p>
      <w:pPr>
        <w:spacing w:line="360" w:lineRule="auto"/>
        <w:rPr>
          <w:rFonts w:hint="eastAsia" w:ascii="黑体" w:hAnsi="宋体" w:eastAsia="黑体"/>
          <w:bCs/>
          <w:szCs w:val="21"/>
        </w:rPr>
      </w:pPr>
      <w:r>
        <w:rPr>
          <w:rFonts w:hint="eastAsia" w:ascii="黑体" w:hAnsi="宋体" w:eastAsia="黑体"/>
          <w:bCs/>
          <w:szCs w:val="21"/>
          <w:lang w:val="en-US" w:eastAsia="zh-CN"/>
        </w:rPr>
        <w:t xml:space="preserve">2.2.9 </w:t>
      </w:r>
      <w:r>
        <w:rPr>
          <w:rFonts w:hint="eastAsia" w:ascii="黑体" w:hAnsi="宋体" w:eastAsia="黑体"/>
          <w:bCs/>
          <w:szCs w:val="21"/>
        </w:rPr>
        <w:t>复校时间间隔</w:t>
      </w:r>
    </w:p>
    <w:p>
      <w:pPr>
        <w:adjustRightInd w:val="0"/>
        <w:snapToGrid w:val="0"/>
        <w:spacing w:line="360" w:lineRule="auto"/>
        <w:ind w:firstLine="420" w:firstLineChars="200"/>
        <w:rPr>
          <w:rFonts w:hint="eastAsia"/>
          <w:bCs/>
          <w:lang w:val="en-US" w:eastAsia="zh-CN"/>
        </w:rPr>
      </w:pPr>
      <w:r>
        <w:rPr>
          <w:rFonts w:hint="eastAsia"/>
          <w:bCs/>
          <w:lang w:val="en-US" w:eastAsia="zh-CN"/>
        </w:rPr>
        <w:t>根据讨论稿的意见，将“复校周期”更改为“复校时间间隔”。</w:t>
      </w:r>
    </w:p>
    <w:p>
      <w:pPr>
        <w:spacing w:line="360" w:lineRule="auto"/>
        <w:rPr>
          <w:rFonts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10</w:t>
      </w:r>
      <w:r>
        <w:rPr>
          <w:rFonts w:ascii="黑体" w:eastAsia="黑体"/>
          <w:bCs/>
          <w:szCs w:val="21"/>
        </w:rPr>
        <w:t xml:space="preserve"> </w:t>
      </w:r>
      <w:r>
        <w:rPr>
          <w:rFonts w:hint="eastAsia" w:ascii="黑体" w:hAnsi="宋体" w:eastAsia="黑体"/>
          <w:bCs/>
          <w:szCs w:val="21"/>
        </w:rPr>
        <w:t>附录</w:t>
      </w:r>
    </w:p>
    <w:p>
      <w:pPr>
        <w:numPr>
          <w:ilvl w:val="0"/>
          <w:numId w:val="0"/>
        </w:numPr>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1）根据讨论稿的意见，将附录C、附录D、附录E的标题“不确定度评定报告”更改为了“不确定度评定示例”。</w:t>
      </w:r>
    </w:p>
    <w:p>
      <w:pPr>
        <w:numPr>
          <w:ilvl w:val="0"/>
          <w:numId w:val="0"/>
        </w:numPr>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2）根据讨论稿的意见，删除了不确定度评定示例中被测对象的型号。</w:t>
      </w:r>
    </w:p>
    <w:p>
      <w:pPr>
        <w:numPr>
          <w:ilvl w:val="0"/>
          <w:numId w:val="0"/>
        </w:numPr>
        <w:ind w:firstLine="420" w:firstLineChars="200"/>
        <w:rPr>
          <w:rFonts w:hint="eastAsia"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3）根据讨论稿的意见，将不确定度评定示例中各标准不确定度符号“</w:t>
      </w:r>
      <m:oMath>
        <m:r>
          <m:rPr/>
          <w:rPr>
            <w:rFonts w:hint="default" w:ascii="Cambria Math" w:hAnsi="Cambria Math"/>
            <w:color w:val="auto"/>
            <w:sz w:val="21"/>
            <w:szCs w:val="21"/>
            <w:highlight w:val="none"/>
            <w:lang w:val="en-US"/>
          </w:rPr>
          <m:t>μ</m:t>
        </m:r>
      </m:oMath>
      <w:r>
        <w:rPr>
          <w:rFonts w:hint="eastAsia" w:ascii="宋体" w:hAnsi="宋体"/>
          <w:bCs/>
          <w:color w:val="auto"/>
          <w:sz w:val="21"/>
          <w:szCs w:val="21"/>
          <w:highlight w:val="none"/>
          <w:lang w:val="en-US" w:eastAsia="zh-CN"/>
        </w:rPr>
        <w:t>”更改为了“</w:t>
      </w:r>
      <m:oMath>
        <m:r>
          <m:rPr/>
          <w:rPr>
            <w:rFonts w:hint="default" w:ascii="Cambria Math" w:hAnsi="Cambria Math" w:cs="Times New Roman"/>
            <w:color w:val="auto"/>
            <w:kern w:val="2"/>
            <w:sz w:val="21"/>
            <w:szCs w:val="21"/>
            <w:highlight w:val="none"/>
            <w:lang w:val="en-US" w:eastAsia="zh-CN" w:bidi="ar-SA"/>
          </w:rPr>
          <m:t>u</m:t>
        </m:r>
      </m:oMath>
      <w:r>
        <w:rPr>
          <w:rFonts w:hint="eastAsia" w:ascii="宋体" w:hAnsi="宋体"/>
          <w:bCs/>
          <w:color w:val="auto"/>
          <w:sz w:val="21"/>
          <w:szCs w:val="21"/>
          <w:highlight w:val="none"/>
          <w:lang w:val="en-US" w:eastAsia="zh-CN"/>
        </w:rPr>
        <w:t>”。</w:t>
      </w:r>
    </w:p>
    <w:p>
      <w:pPr>
        <w:adjustRightInd w:val="0"/>
        <w:spacing w:line="360" w:lineRule="auto"/>
        <w:rPr>
          <w:rFonts w:ascii="黑体" w:hAnsi="宋体" w:eastAsia="黑体"/>
          <w:bCs/>
          <w:szCs w:val="21"/>
        </w:rPr>
      </w:pPr>
      <w:r>
        <w:rPr>
          <w:rFonts w:hint="eastAsia" w:ascii="黑体" w:hAnsi="宋体" w:eastAsia="黑体"/>
          <w:bCs/>
          <w:szCs w:val="21"/>
        </w:rPr>
        <w:t>三、规范水平分析</w:t>
      </w:r>
    </w:p>
    <w:p>
      <w:pPr>
        <w:spacing w:line="360" w:lineRule="auto"/>
        <w:ind w:firstLine="420" w:firstLineChars="200"/>
        <w:rPr>
          <w:rFonts w:ascii="宋体"/>
          <w:bCs/>
          <w:szCs w:val="21"/>
        </w:rPr>
      </w:pPr>
      <w:r>
        <w:rPr>
          <w:rFonts w:hint="eastAsia" w:ascii="宋体" w:hAnsi="宋体"/>
          <w:bCs/>
          <w:szCs w:val="21"/>
        </w:rPr>
        <w:t>本规范系统性规定了不同形状、不同开孔方式的水浴锅校准方法，</w:t>
      </w:r>
      <w:r>
        <w:rPr>
          <w:rFonts w:hint="eastAsia" w:ascii="宋体" w:hAnsi="宋体"/>
          <w:bCs/>
          <w:szCs w:val="21"/>
          <w:lang w:eastAsia="zh-CN"/>
        </w:rPr>
        <w:t>能</w:t>
      </w:r>
      <w:r>
        <w:rPr>
          <w:rFonts w:hint="eastAsia" w:ascii="宋体" w:hAnsi="宋体"/>
          <w:bCs/>
          <w:szCs w:val="21"/>
        </w:rPr>
        <w:t>更加全面真实准确的反应电热恒温水浴锅的性能指标。</w:t>
      </w:r>
      <w:r>
        <w:rPr>
          <w:rFonts w:hint="eastAsia"/>
          <w:bCs/>
        </w:rPr>
        <w:t>据查，电热恒温水浴锅还没有国家检定规程或校准规范</w:t>
      </w:r>
      <w:r>
        <w:rPr>
          <w:rFonts w:hint="eastAsia"/>
          <w:bCs/>
          <w:lang w:eastAsia="zh-CN"/>
        </w:rPr>
        <w:t>，水平达到国内领先</w:t>
      </w:r>
      <w:r>
        <w:rPr>
          <w:rFonts w:hint="eastAsia"/>
          <w:bCs/>
        </w:rPr>
        <w:t>。</w:t>
      </w:r>
      <w:r>
        <w:rPr>
          <w:rFonts w:ascii="宋体"/>
          <w:bCs/>
          <w:szCs w:val="21"/>
        </w:rPr>
        <w:t xml:space="preserve"> </w:t>
      </w:r>
    </w:p>
    <w:p>
      <w:pPr>
        <w:adjustRightInd w:val="0"/>
        <w:spacing w:line="360" w:lineRule="auto"/>
        <w:rPr>
          <w:rFonts w:ascii="黑体" w:hAnsi="宋体" w:eastAsia="黑体"/>
          <w:bCs/>
          <w:szCs w:val="21"/>
        </w:rPr>
      </w:pPr>
      <w:r>
        <w:rPr>
          <w:rFonts w:hint="eastAsia" w:ascii="黑体" w:hAnsi="宋体" w:eastAsia="黑体"/>
          <w:bCs/>
          <w:szCs w:val="21"/>
        </w:rPr>
        <w:t>四、与有关的现行法律、法规和强制性国家标准的关系</w:t>
      </w:r>
    </w:p>
    <w:p>
      <w:pPr>
        <w:adjustRightInd w:val="0"/>
        <w:spacing w:line="360" w:lineRule="auto"/>
        <w:ind w:firstLine="420" w:firstLineChars="200"/>
        <w:rPr>
          <w:rFonts w:hAnsi="宋体"/>
          <w:bCs/>
          <w:szCs w:val="21"/>
        </w:rPr>
      </w:pPr>
      <w:r>
        <w:rPr>
          <w:rFonts w:hint="eastAsia" w:hAnsi="宋体"/>
          <w:bCs/>
          <w:szCs w:val="21"/>
        </w:rPr>
        <w:t>本规范与有关的现行法律、法规和国家计量技术规范具有一致性，无冲突之处。</w:t>
      </w:r>
    </w:p>
    <w:p>
      <w:pPr>
        <w:adjustRightInd w:val="0"/>
        <w:spacing w:line="360" w:lineRule="auto"/>
        <w:rPr>
          <w:rFonts w:ascii="黑体" w:hAnsi="宋体" w:eastAsia="黑体"/>
          <w:bCs/>
          <w:szCs w:val="21"/>
        </w:rPr>
      </w:pPr>
      <w:r>
        <w:rPr>
          <w:rFonts w:hint="eastAsia" w:ascii="黑体" w:hAnsi="宋体" w:eastAsia="黑体"/>
          <w:bCs/>
          <w:szCs w:val="21"/>
        </w:rPr>
        <w:t>五、重大分歧意见的处理经过和依据</w:t>
      </w:r>
    </w:p>
    <w:p>
      <w:pPr>
        <w:adjustRightInd w:val="0"/>
        <w:spacing w:line="360" w:lineRule="auto"/>
        <w:ind w:firstLine="420" w:firstLineChars="200"/>
        <w:rPr>
          <w:rFonts w:hAnsi="宋体"/>
          <w:bCs/>
          <w:szCs w:val="21"/>
        </w:rPr>
      </w:pPr>
      <w:r>
        <w:rPr>
          <w:rFonts w:hint="eastAsia" w:hAnsi="宋体"/>
          <w:bCs/>
          <w:szCs w:val="21"/>
        </w:rPr>
        <w:t>无。</w:t>
      </w:r>
    </w:p>
    <w:p>
      <w:pPr>
        <w:adjustRightInd w:val="0"/>
        <w:spacing w:line="360" w:lineRule="auto"/>
        <w:rPr>
          <w:rFonts w:ascii="黑体" w:hAnsi="宋体" w:eastAsia="黑体"/>
          <w:bCs/>
          <w:szCs w:val="21"/>
        </w:rPr>
      </w:pPr>
      <w:r>
        <w:rPr>
          <w:rFonts w:hint="eastAsia" w:ascii="黑体" w:hAnsi="宋体" w:eastAsia="黑体"/>
          <w:bCs/>
          <w:szCs w:val="21"/>
        </w:rPr>
        <w:t>六、规范作为强制性或推荐性国家（或行业）技术规范的建议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adjustRightInd w:val="0"/>
        <w:spacing w:line="360" w:lineRule="auto"/>
        <w:rPr>
          <w:rFonts w:ascii="黑体" w:hAnsi="宋体" w:eastAsia="黑体"/>
          <w:bCs/>
          <w:szCs w:val="21"/>
        </w:rPr>
      </w:pPr>
      <w:r>
        <w:rPr>
          <w:rFonts w:hint="eastAsia" w:ascii="黑体" w:hAnsi="宋体" w:eastAsia="黑体"/>
          <w:bCs/>
          <w:szCs w:val="21"/>
        </w:rPr>
        <w:t>七、贯彻技术规范的要求和措施建议</w:t>
      </w:r>
    </w:p>
    <w:p>
      <w:pPr>
        <w:adjustRightInd w:val="0"/>
        <w:spacing w:line="360" w:lineRule="auto"/>
        <w:ind w:firstLine="420" w:firstLineChars="200"/>
        <w:rPr>
          <w:rFonts w:hAnsi="宋体"/>
          <w:bCs/>
          <w:szCs w:val="21"/>
        </w:rPr>
      </w:pPr>
      <w:r>
        <w:rPr>
          <w:rFonts w:hint="eastAsia" w:hAnsi="宋体"/>
          <w:bCs/>
          <w:szCs w:val="21"/>
        </w:rPr>
        <w:t>无。</w:t>
      </w:r>
    </w:p>
    <w:p>
      <w:pPr>
        <w:adjustRightInd w:val="0"/>
        <w:snapToGrid w:val="0"/>
        <w:spacing w:line="360" w:lineRule="auto"/>
        <w:rPr>
          <w:rFonts w:ascii="黑体" w:hAnsi="宋体" w:eastAsia="黑体"/>
          <w:bCs/>
          <w:szCs w:val="21"/>
        </w:rPr>
      </w:pPr>
      <w:r>
        <w:rPr>
          <w:rFonts w:hint="eastAsia" w:ascii="黑体" w:hAnsi="宋体" w:eastAsia="黑体"/>
          <w:bCs/>
          <w:szCs w:val="21"/>
        </w:rPr>
        <w:t>八、废止现行有关技术规范的建议</w:t>
      </w:r>
    </w:p>
    <w:p>
      <w:pPr>
        <w:adjustRightInd w:val="0"/>
        <w:snapToGrid w:val="0"/>
        <w:spacing w:line="360" w:lineRule="auto"/>
        <w:ind w:firstLine="420" w:firstLineChars="200"/>
        <w:rPr>
          <w:rFonts w:hAnsi="宋体"/>
          <w:bCs/>
          <w:szCs w:val="21"/>
        </w:rPr>
      </w:pPr>
      <w:r>
        <w:rPr>
          <w:rFonts w:hint="eastAsia" w:hAnsi="宋体"/>
          <w:bCs/>
          <w:szCs w:val="21"/>
        </w:rPr>
        <w:t>无。</w:t>
      </w:r>
    </w:p>
    <w:p>
      <w:pPr>
        <w:spacing w:line="360" w:lineRule="auto"/>
        <w:rPr>
          <w:rFonts w:ascii="黑体" w:eastAsia="黑体"/>
          <w:bCs/>
        </w:rPr>
      </w:pPr>
      <w:r>
        <w:rPr>
          <w:rFonts w:hint="eastAsia" w:ascii="黑体" w:eastAsia="黑体"/>
          <w:bCs/>
        </w:rPr>
        <w:t>九、预期效果</w:t>
      </w:r>
    </w:p>
    <w:p>
      <w:pPr>
        <w:adjustRightInd w:val="0"/>
        <w:snapToGrid w:val="0"/>
        <w:spacing w:line="360" w:lineRule="auto"/>
        <w:ind w:firstLine="420" w:firstLineChars="200"/>
        <w:rPr>
          <w:rFonts w:eastAsia="方正行楷简体"/>
          <w:bCs/>
        </w:rPr>
      </w:pPr>
      <w:r>
        <w:rPr>
          <w:rFonts w:hint="eastAsia"/>
          <w:bCs/>
        </w:rPr>
        <w:t>本规范的制定使</w:t>
      </w:r>
      <w:r>
        <w:rPr>
          <w:rFonts w:hint="eastAsia" w:ascii="宋体" w:hAnsi="宋体"/>
          <w:bCs/>
          <w:szCs w:val="21"/>
        </w:rPr>
        <w:t>电热恒温水浴锅的</w:t>
      </w:r>
      <w:r>
        <w:rPr>
          <w:rFonts w:hint="eastAsia" w:ascii="宋体" w:eastAsia="方正行楷简体"/>
          <w:bCs/>
          <w:kern w:val="0"/>
          <w:szCs w:val="21"/>
        </w:rPr>
        <w:t>校准更加全面、明确</w:t>
      </w:r>
      <w:r>
        <w:rPr>
          <w:rFonts w:hint="eastAsia" w:ascii="宋体" w:eastAsia="方正行楷简体"/>
          <w:bCs/>
          <w:kern w:val="0"/>
          <w:szCs w:val="21"/>
          <w:lang w:eastAsia="zh-CN"/>
        </w:rPr>
        <w:t>，</w:t>
      </w:r>
      <w:r>
        <w:rPr>
          <w:rFonts w:hint="eastAsia" w:ascii="宋体" w:eastAsia="方正行楷简体"/>
          <w:bCs/>
          <w:kern w:val="0"/>
          <w:szCs w:val="21"/>
        </w:rPr>
        <w:t>有了可靠依据。</w:t>
      </w:r>
    </w:p>
    <w:p>
      <w:pPr>
        <w:adjustRightInd w:val="0"/>
        <w:snapToGrid w:val="0"/>
        <w:spacing w:line="360" w:lineRule="auto"/>
        <w:rPr>
          <w:rFonts w:ascii="黑体" w:hAnsi="宋体" w:eastAsia="黑体"/>
          <w:bCs/>
          <w:szCs w:val="21"/>
        </w:rPr>
      </w:pPr>
      <w:r>
        <w:rPr>
          <w:rFonts w:hint="eastAsia" w:ascii="黑体" w:hAnsi="宋体" w:eastAsia="黑体"/>
          <w:bCs/>
          <w:szCs w:val="21"/>
        </w:rPr>
        <w:t>十、其他应予说明的事项</w:t>
      </w:r>
    </w:p>
    <w:p>
      <w:pPr>
        <w:spacing w:line="360" w:lineRule="auto"/>
        <w:ind w:firstLine="420" w:firstLineChars="200"/>
        <w:rPr>
          <w:bCs/>
        </w:rPr>
      </w:pPr>
      <w:r>
        <w:rPr>
          <w:rFonts w:hint="eastAsia"/>
          <w:bCs/>
        </w:rPr>
        <w:t>无。</w:t>
      </w:r>
    </w:p>
    <w:p>
      <w:pPr>
        <w:spacing w:line="360" w:lineRule="auto"/>
        <w:jc w:val="right"/>
        <w:rPr>
          <w:rFonts w:asciiTheme="minorEastAsia" w:hAnsiTheme="minorEastAsia" w:eastAsiaTheme="minorEastAsia" w:cstheme="minorEastAsia"/>
          <w:bCs/>
          <w:szCs w:val="21"/>
        </w:rPr>
      </w:pPr>
      <w:r>
        <w:rPr>
          <w:rFonts w:ascii="黑体" w:eastAsia="黑体"/>
          <w:bCs/>
        </w:rPr>
        <w:t xml:space="preserve">         </w:t>
      </w:r>
      <w:r>
        <w:rPr>
          <w:rFonts w:ascii="黑体" w:hAnsi="黑体" w:eastAsia="黑体"/>
          <w:bCs/>
        </w:rPr>
        <w:t xml:space="preserve">     </w:t>
      </w:r>
      <w:r>
        <w:rPr>
          <w:rFonts w:hint="eastAsia" w:asciiTheme="minorEastAsia" w:hAnsiTheme="minorEastAsia" w:eastAsiaTheme="minorEastAsia" w:cstheme="minorEastAsia"/>
          <w:bCs/>
          <w:szCs w:val="21"/>
        </w:rPr>
        <w:t xml:space="preserve"> 《电热恒温水浴锅校准规范</w:t>
      </w:r>
      <w:r>
        <w:rPr>
          <w:rFonts w:hint="eastAsia" w:asciiTheme="minorEastAsia" w:hAnsiTheme="minorEastAsia" w:eastAsiaTheme="minorEastAsia" w:cstheme="minorEastAsia"/>
          <w:bCs/>
          <w:kern w:val="0"/>
          <w:szCs w:val="21"/>
        </w:rPr>
        <w:t>》规范编制组</w:t>
      </w:r>
    </w:p>
    <w:p>
      <w:pPr>
        <w:adjustRightInd w:val="0"/>
        <w:snapToGrid w:val="0"/>
        <w:spacing w:line="360" w:lineRule="auto"/>
        <w:ind w:right="105"/>
        <w:jc w:val="right"/>
        <w:textAlignment w:val="top"/>
        <w:rPr>
          <w:rFonts w:asciiTheme="minorEastAsia" w:hAnsiTheme="minorEastAsia" w:eastAsiaTheme="minorEastAsia" w:cstheme="minorEastAsia"/>
          <w:bCs/>
        </w:rPr>
      </w:pPr>
      <w:r>
        <w:rPr>
          <w:rFonts w:hint="eastAsia" w:asciiTheme="minorEastAsia" w:hAnsiTheme="minorEastAsia" w:eastAsiaTheme="minorEastAsia" w:cstheme="minorEastAsia"/>
          <w:bCs/>
        </w:rPr>
        <w:t>202</w:t>
      </w:r>
      <w:r>
        <w:rPr>
          <w:rFonts w:asciiTheme="minorEastAsia" w:hAnsiTheme="minorEastAsia" w:eastAsiaTheme="minorEastAsia" w:cstheme="minorEastAsia"/>
          <w:bCs/>
        </w:rPr>
        <w:t>2</w:t>
      </w:r>
      <w:r>
        <w:rPr>
          <w:rFonts w:hint="eastAsia" w:asciiTheme="minorEastAsia" w:hAnsiTheme="minorEastAsia" w:eastAsiaTheme="minorEastAsia" w:cstheme="minorEastAsia"/>
          <w:bCs/>
        </w:rPr>
        <w:t>年</w:t>
      </w:r>
      <w:r>
        <w:rPr>
          <w:rFonts w:asciiTheme="minorEastAsia" w:hAnsiTheme="minorEastAsia" w:eastAsiaTheme="minorEastAsia" w:cstheme="minorEastAsia"/>
          <w:bCs/>
        </w:rPr>
        <w:t>0</w:t>
      </w:r>
      <w:r>
        <w:rPr>
          <w:rFonts w:hint="eastAsia" w:asciiTheme="minorEastAsia" w:hAnsiTheme="minorEastAsia" w:eastAsiaTheme="minorEastAsia" w:cstheme="minorEastAsia"/>
          <w:bCs/>
          <w:lang w:val="en-US" w:eastAsia="zh-CN"/>
        </w:rPr>
        <w:t>9</w:t>
      </w:r>
      <w:r>
        <w:rPr>
          <w:rFonts w:hint="eastAsia" w:asciiTheme="minorEastAsia" w:hAnsiTheme="minorEastAsia" w:eastAsiaTheme="minorEastAsia" w:cstheme="minorEastAsia"/>
          <w:bCs/>
        </w:rPr>
        <w:t>月</w:t>
      </w:r>
      <w:r>
        <w:rPr>
          <w:rFonts w:asciiTheme="minorEastAsia" w:hAnsiTheme="minorEastAsia" w:eastAsiaTheme="minorEastAsia" w:cstheme="minorEastAsia"/>
          <w:bCs/>
        </w:rPr>
        <w:t>1</w:t>
      </w:r>
      <w:r>
        <w:rPr>
          <w:rFonts w:hint="eastAsia" w:asciiTheme="minorEastAsia" w:hAnsiTheme="minorEastAsia" w:eastAsiaTheme="minorEastAsia" w:cstheme="minorEastAsia"/>
          <w:bCs/>
          <w:lang w:val="en-US" w:eastAsia="zh-CN"/>
        </w:rPr>
        <w:t>3</w:t>
      </w:r>
      <w:r>
        <w:rPr>
          <w:rFonts w:hint="eastAsia" w:asciiTheme="minorEastAsia" w:hAnsiTheme="minorEastAsia" w:eastAsiaTheme="minorEastAsia" w:cstheme="minorEastAsia"/>
          <w:bCs/>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r>
                            <w:rPr>
                              <w:rFonts w:hint="eastAsia"/>
                            </w:rPr>
                            <w:t>页，共</w:t>
                          </w:r>
                          <w:r>
                            <w:t>4</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bgkfNkAAAAL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pPr>
                      <w:pStyle w:val="9"/>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r>
                      <w:rPr>
                        <w:rFonts w:hint="eastAsia"/>
                      </w:rPr>
                      <w:t>页，共</w:t>
                    </w:r>
                    <w:r>
                      <w:t>4</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5OGE5ZmJiY2QzNjI4MzQ3ODk3MDEzMmRhYTI5ZmMifQ=="/>
  </w:docVars>
  <w:rsids>
    <w:rsidRoot w:val="00184578"/>
    <w:rsid w:val="000022A2"/>
    <w:rsid w:val="00002AB6"/>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4CE6"/>
    <w:rsid w:val="00116240"/>
    <w:rsid w:val="00122FE4"/>
    <w:rsid w:val="001264EF"/>
    <w:rsid w:val="00126A4A"/>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D628C"/>
    <w:rsid w:val="001E079E"/>
    <w:rsid w:val="001E0C66"/>
    <w:rsid w:val="001E21B2"/>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B38"/>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122"/>
    <w:rsid w:val="003D056A"/>
    <w:rsid w:val="003D1E1B"/>
    <w:rsid w:val="003D4705"/>
    <w:rsid w:val="003D706F"/>
    <w:rsid w:val="003D7247"/>
    <w:rsid w:val="003E2274"/>
    <w:rsid w:val="003E3803"/>
    <w:rsid w:val="003E6710"/>
    <w:rsid w:val="003E77E9"/>
    <w:rsid w:val="003E7B50"/>
    <w:rsid w:val="003F2355"/>
    <w:rsid w:val="004013EB"/>
    <w:rsid w:val="0040310A"/>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19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192"/>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4BC2"/>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241BB"/>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0600"/>
    <w:rsid w:val="00733D70"/>
    <w:rsid w:val="007340CB"/>
    <w:rsid w:val="0073543C"/>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A6CB1"/>
    <w:rsid w:val="007B207A"/>
    <w:rsid w:val="007B25E6"/>
    <w:rsid w:val="007B3254"/>
    <w:rsid w:val="007B6793"/>
    <w:rsid w:val="007C38A9"/>
    <w:rsid w:val="007D68C6"/>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13AA1"/>
    <w:rsid w:val="0092030F"/>
    <w:rsid w:val="009205A2"/>
    <w:rsid w:val="00920C9B"/>
    <w:rsid w:val="00921F51"/>
    <w:rsid w:val="00924AD8"/>
    <w:rsid w:val="00926568"/>
    <w:rsid w:val="00926C8D"/>
    <w:rsid w:val="009270CC"/>
    <w:rsid w:val="00927191"/>
    <w:rsid w:val="00930619"/>
    <w:rsid w:val="00930955"/>
    <w:rsid w:val="00930C82"/>
    <w:rsid w:val="009324E9"/>
    <w:rsid w:val="009330E6"/>
    <w:rsid w:val="00933BAF"/>
    <w:rsid w:val="009371D8"/>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1F8"/>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1EF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37B8"/>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57D"/>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46E3"/>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D4452"/>
    <w:rsid w:val="00EE2011"/>
    <w:rsid w:val="00EF1E33"/>
    <w:rsid w:val="00EF236D"/>
    <w:rsid w:val="00EF4636"/>
    <w:rsid w:val="00EF651A"/>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41975A7"/>
    <w:rsid w:val="052C6AB8"/>
    <w:rsid w:val="07CD20C3"/>
    <w:rsid w:val="08562AA2"/>
    <w:rsid w:val="0A71361E"/>
    <w:rsid w:val="0B1A63C4"/>
    <w:rsid w:val="13DB5F89"/>
    <w:rsid w:val="154C457C"/>
    <w:rsid w:val="163F2D2D"/>
    <w:rsid w:val="19861DD0"/>
    <w:rsid w:val="19F42F17"/>
    <w:rsid w:val="236269FD"/>
    <w:rsid w:val="24500F51"/>
    <w:rsid w:val="2B6A69EA"/>
    <w:rsid w:val="2C4C5CAE"/>
    <w:rsid w:val="2E000648"/>
    <w:rsid w:val="31A70C60"/>
    <w:rsid w:val="34915439"/>
    <w:rsid w:val="35C8165E"/>
    <w:rsid w:val="36294EFF"/>
    <w:rsid w:val="3A6A7A9F"/>
    <w:rsid w:val="3CBA442C"/>
    <w:rsid w:val="42CD2859"/>
    <w:rsid w:val="480219DC"/>
    <w:rsid w:val="49A12140"/>
    <w:rsid w:val="49ED573E"/>
    <w:rsid w:val="519E65DF"/>
    <w:rsid w:val="55CC27F2"/>
    <w:rsid w:val="588B31DD"/>
    <w:rsid w:val="5BBE3B49"/>
    <w:rsid w:val="635C4B8E"/>
    <w:rsid w:val="66471C44"/>
    <w:rsid w:val="665C5C0C"/>
    <w:rsid w:val="67B53E29"/>
    <w:rsid w:val="6C0D48EE"/>
    <w:rsid w:val="6C715A3C"/>
    <w:rsid w:val="76E41FD4"/>
    <w:rsid w:val="77266CAE"/>
    <w:rsid w:val="7BF57417"/>
    <w:rsid w:val="7DAE1479"/>
    <w:rsid w:val="7E0D45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0"/>
    <w:qFormat/>
    <w:uiPriority w:val="99"/>
    <w:pPr>
      <w:spacing w:after="120"/>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qFormat/>
    <w:uiPriority w:val="99"/>
    <w:pPr>
      <w:spacing w:after="120" w:line="480" w:lineRule="auto"/>
      <w:ind w:left="420" w:leftChars="200"/>
    </w:p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qFormat/>
    <w:uiPriority w:val="99"/>
    <w:pPr>
      <w:ind w:firstLine="420" w:firstLineChars="100"/>
    </w:pPr>
  </w:style>
  <w:style w:type="paragraph" w:styleId="14">
    <w:name w:val="Body Text First Indent 2"/>
    <w:basedOn w:val="5"/>
    <w:link w:val="39"/>
    <w:qFormat/>
    <w:uiPriority w:val="99"/>
    <w:pPr>
      <w:ind w:firstLine="420" w:firstLineChars="200"/>
    </w:p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semiHidden/>
    <w:qFormat/>
    <w:uiPriority w:val="99"/>
    <w:rPr>
      <w:rFonts w:cs="Times New Roman"/>
      <w:sz w:val="21"/>
      <w:szCs w:val="21"/>
    </w:rPr>
  </w:style>
  <w:style w:type="character" w:customStyle="1" w:styleId="19">
    <w:name w:val="标题 2 字符"/>
    <w:basedOn w:val="17"/>
    <w:link w:val="2"/>
    <w:qFormat/>
    <w:locked/>
    <w:uiPriority w:val="99"/>
    <w:rPr>
      <w:rFonts w:ascii="Arial" w:hAnsi="Arial" w:eastAsia="黑体" w:cs="Times New Roman"/>
      <w:b/>
      <w:bCs/>
      <w:kern w:val="2"/>
      <w:sz w:val="32"/>
      <w:szCs w:val="32"/>
    </w:rPr>
  </w:style>
  <w:style w:type="character" w:customStyle="1" w:styleId="20">
    <w:name w:val="日期 字符"/>
    <w:basedOn w:val="17"/>
    <w:link w:val="6"/>
    <w:qFormat/>
    <w:locked/>
    <w:uiPriority w:val="99"/>
    <w:rPr>
      <w:rFonts w:cs="Times New Roman"/>
      <w:kern w:val="2"/>
      <w:sz w:val="24"/>
      <w:szCs w:val="24"/>
    </w:rPr>
  </w:style>
  <w:style w:type="character" w:customStyle="1" w:styleId="21">
    <w:name w:val="批注框文本 字符"/>
    <w:basedOn w:val="17"/>
    <w:link w:val="8"/>
    <w:qFormat/>
    <w:locked/>
    <w:uiPriority w:val="99"/>
    <w:rPr>
      <w:rFonts w:cs="Times New Roman"/>
      <w:kern w:val="2"/>
      <w:sz w:val="18"/>
      <w:szCs w:val="18"/>
    </w:rPr>
  </w:style>
  <w:style w:type="character" w:customStyle="1" w:styleId="22">
    <w:name w:val="页脚 字符"/>
    <w:basedOn w:val="17"/>
    <w:link w:val="9"/>
    <w:qFormat/>
    <w:locked/>
    <w:uiPriority w:val="99"/>
    <w:rPr>
      <w:rFonts w:cs="Times New Roman"/>
      <w:kern w:val="2"/>
      <w:sz w:val="18"/>
      <w:szCs w:val="18"/>
    </w:rPr>
  </w:style>
  <w:style w:type="character" w:customStyle="1" w:styleId="23">
    <w:name w:val="页眉 字符"/>
    <w:basedOn w:val="17"/>
    <w:link w:val="10"/>
    <w:semiHidden/>
    <w:qFormat/>
    <w:locked/>
    <w:uiPriority w:val="99"/>
    <w:rPr>
      <w:rFonts w:cs="Times New Roman"/>
      <w:sz w:val="18"/>
      <w:szCs w:val="18"/>
    </w:rPr>
  </w:style>
  <w:style w:type="character" w:customStyle="1" w:styleId="24">
    <w:name w:val="正文文本 2 字符"/>
    <w:basedOn w:val="17"/>
    <w:link w:val="11"/>
    <w:semiHidden/>
    <w:qFormat/>
    <w:locked/>
    <w:uiPriority w:val="99"/>
    <w:rPr>
      <w:rFonts w:cs="Times New Roman"/>
      <w:sz w:val="24"/>
      <w:szCs w:val="24"/>
    </w:rPr>
  </w:style>
  <w:style w:type="paragraph" w:customStyle="1" w:styleId="25">
    <w:name w:val="段"/>
    <w:link w:val="2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99"/>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字符"/>
    <w:basedOn w:val="17"/>
    <w:link w:val="7"/>
    <w:semiHidden/>
    <w:qFormat/>
    <w:locked/>
    <w:uiPriority w:val="99"/>
    <w:rPr>
      <w:rFonts w:cs="Times New Roman"/>
      <w:sz w:val="24"/>
      <w:szCs w:val="24"/>
    </w:rPr>
  </w:style>
  <w:style w:type="character" w:customStyle="1" w:styleId="38">
    <w:name w:val="正文文本缩进 字符"/>
    <w:basedOn w:val="17"/>
    <w:link w:val="5"/>
    <w:semiHidden/>
    <w:qFormat/>
    <w:locked/>
    <w:uiPriority w:val="99"/>
    <w:rPr>
      <w:rFonts w:cs="Times New Roman"/>
      <w:sz w:val="24"/>
      <w:szCs w:val="24"/>
    </w:rPr>
  </w:style>
  <w:style w:type="character" w:customStyle="1" w:styleId="39">
    <w:name w:val="正文文本首行缩进 2 字符"/>
    <w:basedOn w:val="38"/>
    <w:link w:val="14"/>
    <w:semiHidden/>
    <w:qFormat/>
    <w:locked/>
    <w:uiPriority w:val="99"/>
    <w:rPr>
      <w:rFonts w:cs="Times New Roman"/>
      <w:sz w:val="24"/>
      <w:szCs w:val="24"/>
    </w:rPr>
  </w:style>
  <w:style w:type="character" w:customStyle="1" w:styleId="40">
    <w:name w:val="正文文本 字符"/>
    <w:basedOn w:val="17"/>
    <w:link w:val="4"/>
    <w:semiHidden/>
    <w:qFormat/>
    <w:locked/>
    <w:uiPriority w:val="99"/>
    <w:rPr>
      <w:rFonts w:cs="Times New Roman"/>
      <w:sz w:val="24"/>
      <w:szCs w:val="24"/>
    </w:rPr>
  </w:style>
  <w:style w:type="character" w:customStyle="1" w:styleId="41">
    <w:name w:val="正文文本首行缩进 字符"/>
    <w:basedOn w:val="40"/>
    <w:link w:val="13"/>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3464</Words>
  <Characters>3705</Characters>
  <Lines>27</Lines>
  <Paragraphs>7</Paragraphs>
  <TotalTime>1</TotalTime>
  <ScaleCrop>false</ScaleCrop>
  <LinksUpToDate>false</LinksUpToDate>
  <CharactersWithSpaces>3740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张国栋</cp:lastModifiedBy>
  <cp:lastPrinted>2013-05-26T06:25:00Z</cp:lastPrinted>
  <dcterms:modified xsi:type="dcterms:W3CDTF">2022-09-16T07:37:57Z</dcterms:modified>
  <dc:title>GB/T11105-2011《金属粉末-压坯的拉托拉试验》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B6E21F2E61EC40828BC6EBB47809E4E1</vt:lpwstr>
  </property>
</Properties>
</file>