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rPr>
      </w:pPr>
      <w:r>
        <w:rPr>
          <w:rFonts w:ascii="黑体" w:eastAsia="黑体"/>
          <w:bCs/>
          <w:sz w:val="24"/>
        </w:rPr>
        <w:t>JJF</w:t>
      </w:r>
      <w:r>
        <w:rPr>
          <w:rFonts w:hint="eastAsia" w:ascii="黑体" w:eastAsia="黑体"/>
          <w:bCs/>
          <w:sz w:val="24"/>
          <w:lang w:val="en-US" w:eastAsia="zh-CN"/>
        </w:rPr>
        <w:t>Z</w:t>
      </w:r>
      <w:r>
        <w:rPr>
          <w:rFonts w:hint="eastAsia" w:ascii="黑体" w:eastAsia="黑体"/>
          <w:bCs/>
          <w:sz w:val="24"/>
        </w:rPr>
        <w:t>（有色金属）0</w:t>
      </w:r>
      <w:r>
        <w:rPr>
          <w:rFonts w:ascii="黑体" w:eastAsia="黑体"/>
          <w:bCs/>
          <w:sz w:val="24"/>
        </w:rPr>
        <w:t>0</w:t>
      </w:r>
      <w:r>
        <w:rPr>
          <w:rFonts w:hint="eastAsia" w:ascii="黑体" w:eastAsia="黑体"/>
          <w:bCs/>
          <w:sz w:val="24"/>
          <w:lang w:val="en-US" w:eastAsia="zh-CN"/>
        </w:rPr>
        <w:t>2</w:t>
      </w:r>
      <w:r>
        <w:rPr>
          <w:rFonts w:ascii="黑体" w:eastAsia="黑体"/>
          <w:bCs/>
          <w:sz w:val="24"/>
        </w:rPr>
        <w:t>-</w:t>
      </w:r>
      <w:r>
        <w:rPr>
          <w:rFonts w:hint="eastAsia" w:ascii="黑体" w:eastAsia="黑体"/>
          <w:bCs/>
          <w:sz w:val="24"/>
        </w:rPr>
        <w:t>2</w:t>
      </w:r>
      <w:r>
        <w:rPr>
          <w:rFonts w:ascii="黑体" w:eastAsia="黑体"/>
          <w:bCs/>
          <w:sz w:val="24"/>
        </w:rPr>
        <w:t>02</w:t>
      </w:r>
      <w:r>
        <w:rPr>
          <w:rFonts w:hint="eastAsia" w:ascii="黑体" w:eastAsia="黑体"/>
          <w:bCs/>
          <w:sz w:val="24"/>
          <w:lang w:val="en-US" w:eastAsia="zh-CN"/>
        </w:rPr>
        <w:t>1</w:t>
      </w:r>
      <w:r>
        <w:rPr>
          <w:rFonts w:hint="eastAsia" w:ascii="黑体" w:eastAsia="黑体"/>
          <w:bCs/>
          <w:sz w:val="24"/>
          <w:lang w:val="en-GB"/>
        </w:rPr>
        <w:t>《</w:t>
      </w:r>
      <w:r>
        <w:rPr>
          <w:rFonts w:hint="eastAsia" w:ascii="黑体" w:eastAsia="黑体"/>
          <w:bCs/>
          <w:sz w:val="24"/>
        </w:rPr>
        <w:t>闭路循环法铝及铝合金液态测氢仪校准规范》</w:t>
      </w:r>
    </w:p>
    <w:p>
      <w:pPr>
        <w:spacing w:line="360" w:lineRule="auto"/>
        <w:jc w:val="center"/>
        <w:rPr>
          <w:rFonts w:ascii="黑体" w:eastAsia="黑体"/>
          <w:bCs/>
          <w:sz w:val="24"/>
        </w:rPr>
      </w:pPr>
      <w:r>
        <w:rPr>
          <w:rFonts w:hint="eastAsia" w:ascii="黑体" w:eastAsia="黑体"/>
          <w:bCs/>
          <w:sz w:val="24"/>
        </w:rPr>
        <w:t>行业计量技术规范编制说明</w:t>
      </w:r>
    </w:p>
    <w:p>
      <w:pPr>
        <w:spacing w:line="360" w:lineRule="auto"/>
        <w:rPr>
          <w:bCs/>
        </w:rPr>
      </w:pPr>
      <w:r>
        <w:rPr>
          <w:rFonts w:hint="eastAsia"/>
          <w:bCs/>
        </w:rPr>
        <w:t>一、工作简况</w:t>
      </w:r>
    </w:p>
    <w:p>
      <w:pPr>
        <w:spacing w:line="360" w:lineRule="auto"/>
        <w:rPr>
          <w:rFonts w:ascii="黑体" w:eastAsia="黑体"/>
          <w:bCs/>
          <w:szCs w:val="21"/>
        </w:rPr>
      </w:pPr>
      <w:r>
        <w:rPr>
          <w:rFonts w:ascii="黑体" w:eastAsia="黑体"/>
          <w:bCs/>
          <w:szCs w:val="21"/>
        </w:rPr>
        <w:t>1</w:t>
      </w:r>
      <w:r>
        <w:rPr>
          <w:rFonts w:hint="eastAsia" w:ascii="黑体" w:eastAsia="黑体"/>
          <w:bCs/>
          <w:szCs w:val="21"/>
        </w:rPr>
        <w:t>.1</w:t>
      </w:r>
      <w:r>
        <w:rPr>
          <w:rFonts w:hint="eastAsia" w:ascii="黑体" w:hAnsi="宋体" w:eastAsia="黑体"/>
          <w:bCs/>
          <w:szCs w:val="21"/>
        </w:rPr>
        <w:t>任务来源</w:t>
      </w:r>
    </w:p>
    <w:p>
      <w:pPr>
        <w:pStyle w:val="11"/>
        <w:spacing w:after="0" w:line="360" w:lineRule="auto"/>
        <w:ind w:firstLine="420" w:firstLineChars="200"/>
        <w:rPr>
          <w:rFonts w:hAnsi="宋体"/>
          <w:bCs/>
          <w:szCs w:val="21"/>
        </w:rPr>
      </w:pPr>
      <w:r>
        <w:rPr>
          <w:rFonts w:hint="eastAsia" w:hAnsi="宋体"/>
          <w:bCs/>
          <w:szCs w:val="21"/>
        </w:rPr>
        <w:t>根据工业和信息化部《关于印发</w:t>
      </w:r>
      <w:r>
        <w:rPr>
          <w:rFonts w:hAnsi="宋体"/>
          <w:bCs/>
          <w:szCs w:val="21"/>
        </w:rPr>
        <w:t>20</w:t>
      </w:r>
      <w:r>
        <w:rPr>
          <w:rFonts w:hint="eastAsia" w:hAnsi="宋体"/>
          <w:bCs/>
          <w:szCs w:val="21"/>
          <w:lang w:val="en-US" w:eastAsia="zh-CN"/>
        </w:rPr>
        <w:t>21</w:t>
      </w:r>
      <w:r>
        <w:rPr>
          <w:rFonts w:hint="eastAsia" w:hAnsi="宋体"/>
          <w:bCs/>
          <w:szCs w:val="21"/>
        </w:rPr>
        <w:t>年行业计量技术规范制修订计划的通知》（工信厅科函［</w:t>
      </w:r>
      <w:r>
        <w:rPr>
          <w:rFonts w:hAnsi="宋体"/>
          <w:bCs/>
          <w:szCs w:val="21"/>
        </w:rPr>
        <w:t>20</w:t>
      </w:r>
      <w:r>
        <w:rPr>
          <w:rFonts w:hint="eastAsia" w:hAnsi="宋体"/>
          <w:bCs/>
          <w:szCs w:val="21"/>
          <w:lang w:val="en-US" w:eastAsia="zh-CN"/>
        </w:rPr>
        <w:t>21</w:t>
      </w:r>
      <w:r>
        <w:rPr>
          <w:rFonts w:hint="eastAsia" w:hAnsi="宋体"/>
          <w:bCs/>
          <w:szCs w:val="21"/>
        </w:rPr>
        <w:t>］</w:t>
      </w:r>
      <w:r>
        <w:rPr>
          <w:rFonts w:hAnsi="宋体"/>
          <w:bCs/>
          <w:szCs w:val="21"/>
        </w:rPr>
        <w:t>1</w:t>
      </w:r>
      <w:r>
        <w:rPr>
          <w:rFonts w:hint="eastAsia" w:hAnsi="宋体"/>
          <w:bCs/>
          <w:szCs w:val="21"/>
          <w:lang w:val="en-US" w:eastAsia="zh-CN"/>
        </w:rPr>
        <w:t>81</w:t>
      </w:r>
      <w:r>
        <w:rPr>
          <w:rFonts w:hint="eastAsia" w:hAnsi="宋体"/>
          <w:bCs/>
          <w:szCs w:val="21"/>
        </w:rPr>
        <w:t>号）文的要求，行业计量技术规范《闭路循环法铝及铝合金液态测氢仪校准规范》由西南铝业（集团）有限责任公司负责起草。该项目计划编号为</w:t>
      </w:r>
      <w:r>
        <w:rPr>
          <w:rFonts w:hAnsi="宋体"/>
          <w:bCs/>
          <w:szCs w:val="21"/>
        </w:rPr>
        <w:t>JJF</w:t>
      </w:r>
      <w:r>
        <w:rPr>
          <w:rFonts w:hint="eastAsia" w:hAnsi="宋体"/>
          <w:bCs/>
          <w:szCs w:val="21"/>
          <w:lang w:val="en-US" w:eastAsia="zh-CN"/>
        </w:rPr>
        <w:t>Z</w:t>
      </w:r>
      <w:r>
        <w:rPr>
          <w:rFonts w:hint="eastAsia" w:hAnsi="宋体"/>
          <w:bCs/>
          <w:szCs w:val="21"/>
        </w:rPr>
        <w:t>（有色金属）0</w:t>
      </w:r>
      <w:r>
        <w:rPr>
          <w:rFonts w:hAnsi="宋体"/>
          <w:bCs/>
          <w:szCs w:val="21"/>
        </w:rPr>
        <w:t>0</w:t>
      </w:r>
      <w:r>
        <w:rPr>
          <w:rFonts w:hint="eastAsia" w:hAnsi="宋体"/>
          <w:bCs/>
          <w:szCs w:val="21"/>
          <w:lang w:val="en-US" w:eastAsia="zh-CN"/>
        </w:rPr>
        <w:t>2</w:t>
      </w:r>
      <w:r>
        <w:rPr>
          <w:rFonts w:hint="eastAsia" w:hAnsi="宋体"/>
          <w:bCs/>
          <w:szCs w:val="21"/>
        </w:rPr>
        <w:t>-2</w:t>
      </w:r>
      <w:r>
        <w:rPr>
          <w:rFonts w:hAnsi="宋体"/>
          <w:bCs/>
          <w:szCs w:val="21"/>
        </w:rPr>
        <w:t>02</w:t>
      </w:r>
      <w:r>
        <w:rPr>
          <w:rFonts w:hint="eastAsia" w:hAnsi="宋体"/>
          <w:bCs/>
          <w:szCs w:val="21"/>
          <w:lang w:val="en-US" w:eastAsia="zh-CN"/>
        </w:rPr>
        <w:t>1</w:t>
      </w:r>
      <w:r>
        <w:rPr>
          <w:rFonts w:hint="eastAsia" w:hAnsi="宋体"/>
          <w:bCs/>
          <w:szCs w:val="21"/>
        </w:rPr>
        <w:t>。按计划要求，本计量规范应于</w:t>
      </w:r>
      <w:r>
        <w:rPr>
          <w:rFonts w:hAnsi="宋体"/>
          <w:bCs/>
          <w:szCs w:val="21"/>
        </w:rPr>
        <w:t>202</w:t>
      </w:r>
      <w:r>
        <w:rPr>
          <w:rFonts w:hint="eastAsia" w:hAnsi="宋体"/>
          <w:bCs/>
          <w:szCs w:val="21"/>
          <w:lang w:val="en-US" w:eastAsia="zh-CN"/>
        </w:rPr>
        <w:t>3</w:t>
      </w:r>
      <w:r>
        <w:rPr>
          <w:rFonts w:hint="eastAsia" w:hAnsi="宋体"/>
          <w:bCs/>
          <w:szCs w:val="21"/>
        </w:rPr>
        <w:t>年完成。</w:t>
      </w:r>
    </w:p>
    <w:p>
      <w:pPr>
        <w:pStyle w:val="11"/>
        <w:spacing w:after="0" w:line="360" w:lineRule="auto"/>
        <w:rPr>
          <w:rFonts w:ascii="黑体" w:hAnsi="宋体" w:eastAsia="黑体"/>
          <w:bCs/>
          <w:szCs w:val="21"/>
        </w:rPr>
      </w:pPr>
      <w:r>
        <w:rPr>
          <w:rFonts w:ascii="黑体" w:hAnsi="宋体" w:eastAsia="黑体"/>
          <w:bCs/>
          <w:szCs w:val="21"/>
        </w:rPr>
        <w:t>1.2</w:t>
      </w:r>
      <w:r>
        <w:rPr>
          <w:rFonts w:hint="eastAsia" w:ascii="黑体" w:hAnsi="宋体" w:eastAsia="黑体"/>
          <w:bCs/>
          <w:szCs w:val="21"/>
        </w:rPr>
        <w:t>承担单位情况</w:t>
      </w:r>
    </w:p>
    <w:p>
      <w:pPr>
        <w:spacing w:line="360" w:lineRule="auto"/>
        <w:ind w:firstLine="420" w:firstLineChars="200"/>
        <w:rPr>
          <w:rFonts w:hint="eastAsia"/>
          <w:bCs/>
          <w:lang w:val="en-US" w:eastAsia="zh-CN"/>
        </w:rPr>
      </w:pPr>
      <w:r>
        <w:rPr>
          <w:rFonts w:hint="eastAsia"/>
          <w:bCs/>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lang w:eastAsia="zh-CN"/>
        </w:rPr>
        <w:t>西南铝建有校准实验室与检测实验室，均通过了</w:t>
      </w:r>
      <w:r>
        <w:rPr>
          <w:rFonts w:hint="eastAsia"/>
          <w:bCs/>
          <w:lang w:val="en-US" w:eastAsia="zh-CN"/>
        </w:rPr>
        <w:t>CNAS认可，具备闭路循环法铝及铝合金液态测氢仪生产能力，一直在开展对闭路循环法铝及铝合金液态测氢仪的校准。西南铝累计申请专利722件，其中授权发明专利249件、授权实用新型专利473件，主持和参与国家、行业标准277项。</w:t>
      </w:r>
    </w:p>
    <w:p>
      <w:pPr>
        <w:spacing w:line="360" w:lineRule="auto"/>
        <w:ind w:firstLine="420" w:firstLineChars="200"/>
        <w:rPr>
          <w:rFonts w:hint="eastAsia"/>
          <w:bCs/>
          <w:lang w:val="en-US" w:eastAsia="zh-CN"/>
        </w:rPr>
      </w:pPr>
      <w:r>
        <w:rPr>
          <w:rFonts w:hint="eastAsia"/>
          <w:bCs/>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AAA级测量管理体系认证证书。</w:t>
      </w:r>
    </w:p>
    <w:p>
      <w:pPr>
        <w:spacing w:line="360" w:lineRule="auto"/>
        <w:ind w:firstLine="420" w:firstLineChars="200"/>
        <w:rPr>
          <w:rFonts w:hint="eastAsia"/>
          <w:lang w:eastAsia="zh-CN"/>
        </w:rPr>
      </w:pPr>
      <w:r>
        <w:rPr>
          <w:rFonts w:hint="eastAsia"/>
        </w:rPr>
        <w:t>中铝材料应用研究院有限公司是中国高端制造直属的核心研究院，现有员工165人，其中科研人员134人，“千人计划”专家4人，高级以上职称41人，硕士88人，博士41人。试验检验中心（北京、苏州各设一个）为国家CNAS认可机构，具备开展有色金属材料研究和应用技术开发的基本硬件条件。累计承担科研项目98项，其中国家级项目3项，省部级项目4项</w:t>
      </w:r>
      <w:r>
        <w:rPr>
          <w:rFonts w:hint="eastAsia"/>
          <w:lang w:eastAsia="zh-CN"/>
        </w:rPr>
        <w:t>。</w:t>
      </w:r>
    </w:p>
    <w:p>
      <w:pPr>
        <w:spacing w:line="360" w:lineRule="auto"/>
        <w:ind w:firstLine="420" w:firstLineChars="200"/>
        <w:rPr>
          <w:rFonts w:hint="eastAsia"/>
          <w:lang w:val="en-US" w:eastAsia="zh-CN"/>
        </w:rPr>
      </w:pPr>
      <w:r>
        <w:rPr>
          <w:rFonts w:hint="eastAsia"/>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spacing w:line="360" w:lineRule="auto"/>
        <w:ind w:firstLine="420" w:firstLineChars="200"/>
        <w:rPr>
          <w:rFonts w:hint="eastAsia"/>
          <w:lang w:val="en-US" w:eastAsia="zh-CN"/>
        </w:rPr>
      </w:pPr>
      <w:r>
        <w:rPr>
          <w:rFonts w:hint="eastAsia"/>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pStyle w:val="12"/>
        <w:shd w:val="clear" w:color="auto" w:fill="FFFFFF"/>
        <w:spacing w:before="0" w:beforeAutospacing="0" w:after="0" w:afterAutospacing="0" w:line="360" w:lineRule="auto"/>
        <w:ind w:firstLine="480"/>
        <w:jc w:val="both"/>
        <w:rPr>
          <w:sz w:val="21"/>
          <w:szCs w:val="21"/>
        </w:rPr>
      </w:pPr>
      <w:r>
        <w:rPr>
          <w:rFonts w:hint="eastAsia"/>
          <w:sz w:val="21"/>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pStyle w:val="11"/>
        <w:spacing w:after="0" w:line="360" w:lineRule="auto"/>
        <w:rPr>
          <w:rFonts w:ascii="黑体" w:eastAsia="黑体"/>
          <w:bCs/>
          <w:szCs w:val="21"/>
        </w:rPr>
      </w:pPr>
      <w:r>
        <w:rPr>
          <w:rFonts w:ascii="黑体" w:eastAsia="黑体"/>
          <w:bCs/>
          <w:szCs w:val="21"/>
        </w:rPr>
        <w:t>1.3</w:t>
      </w:r>
      <w:r>
        <w:rPr>
          <w:rFonts w:hint="eastAsia" w:ascii="黑体" w:hAnsi="宋体" w:eastAsia="黑体"/>
          <w:bCs/>
          <w:szCs w:val="21"/>
        </w:rPr>
        <w:t>主要工作过程</w:t>
      </w:r>
    </w:p>
    <w:p>
      <w:pPr>
        <w:spacing w:line="360" w:lineRule="auto"/>
        <w:ind w:firstLine="420" w:firstLineChars="200"/>
        <w:rPr>
          <w:bCs/>
        </w:rPr>
      </w:pPr>
      <w:r>
        <w:rPr>
          <w:rFonts w:hint="eastAsia"/>
          <w:bCs/>
          <w:lang w:eastAsia="zh-CN"/>
        </w:rPr>
        <w:t>西南铝业（集团）有限责任公司</w:t>
      </w:r>
      <w:r>
        <w:rPr>
          <w:rFonts w:hint="eastAsia"/>
          <w:bCs/>
        </w:rPr>
        <w:t>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rFonts w:hint="eastAsia"/>
          <w:bCs/>
        </w:rPr>
      </w:pPr>
      <w:r>
        <w:rPr>
          <w:bCs/>
        </w:rPr>
        <w:t>1</w:t>
      </w:r>
      <w:r>
        <w:rPr>
          <w:rFonts w:hint="eastAsia"/>
          <w:bCs/>
        </w:rPr>
        <w:t>）</w:t>
      </w:r>
      <w:r>
        <w:rPr>
          <w:bCs/>
        </w:rPr>
        <w:t>20</w:t>
      </w:r>
      <w:r>
        <w:rPr>
          <w:rFonts w:hint="eastAsia"/>
          <w:bCs/>
        </w:rPr>
        <w:t>21年</w:t>
      </w:r>
      <w:r>
        <w:rPr>
          <w:rFonts w:hint="eastAsia"/>
          <w:bCs/>
          <w:lang w:val="en-US" w:eastAsia="zh-CN"/>
        </w:rPr>
        <w:t>6</w:t>
      </w:r>
      <w:r>
        <w:rPr>
          <w:rFonts w:hint="eastAsia"/>
          <w:bCs/>
        </w:rPr>
        <w:t>月成立</w:t>
      </w:r>
      <w:r>
        <w:rPr>
          <w:rFonts w:hint="eastAsia"/>
          <w:bCs/>
          <w:lang w:eastAsia="zh-CN"/>
        </w:rPr>
        <w:t>了</w:t>
      </w:r>
      <w:r>
        <w:rPr>
          <w:rFonts w:hint="eastAsia"/>
          <w:bCs/>
        </w:rPr>
        <w:t>计量规范编制组，</w:t>
      </w:r>
      <w:r>
        <w:rPr>
          <w:rFonts w:hint="eastAsia"/>
          <w:bCs/>
          <w:lang w:eastAsia="zh-CN"/>
        </w:rPr>
        <w:t>参与单位有</w:t>
      </w:r>
      <w:r>
        <w:rPr>
          <w:rFonts w:hint="eastAsia"/>
          <w:bCs/>
          <w:lang w:val="en-US" w:eastAsia="zh-CN"/>
        </w:rPr>
        <w:t>东北轻合金有限责任公司、中铝材料应用研究院有限公司、广东省科学院工业分析检测中心、国标（北京）检验认证有限公司和西安汉唐分析检测有限公司，并</w:t>
      </w:r>
      <w:r>
        <w:rPr>
          <w:rFonts w:hint="eastAsia"/>
          <w:bCs/>
        </w:rPr>
        <w:t>明确了编制组</w:t>
      </w:r>
      <w:r>
        <w:rPr>
          <w:rFonts w:hint="eastAsia"/>
          <w:bCs/>
          <w:lang w:eastAsia="zh-CN"/>
        </w:rPr>
        <w:t>成员</w:t>
      </w:r>
      <w:r>
        <w:rPr>
          <w:rFonts w:hint="eastAsia"/>
          <w:bCs/>
        </w:rPr>
        <w:t>各自的工作内容和任务。</w:t>
      </w:r>
    </w:p>
    <w:p>
      <w:pPr>
        <w:spacing w:line="360" w:lineRule="auto"/>
        <w:ind w:firstLine="210" w:firstLineChars="100"/>
        <w:rPr>
          <w:rFonts w:hint="eastAsia"/>
          <w:bCs/>
          <w:lang w:val="en-US" w:eastAsia="zh-CN"/>
        </w:rPr>
      </w:pPr>
      <w:r>
        <w:rPr>
          <w:rFonts w:hint="eastAsia"/>
          <w:bCs/>
          <w:lang w:val="en-US" w:eastAsia="zh-CN"/>
        </w:rPr>
        <w:t>2）2021年8月～2021年10月计量规范编制组成员对闭路循环法铝及铝合金液态测氢仪校准规范中的计量特性及校准方法进行了讨论，确定了校准项目和方法，在2022年08月形成了计量规范讨论稿。</w:t>
      </w:r>
    </w:p>
    <w:p>
      <w:pPr>
        <w:spacing w:line="360" w:lineRule="auto"/>
        <w:ind w:firstLine="210" w:firstLineChars="100"/>
        <w:rPr>
          <w:rFonts w:hint="eastAsia"/>
          <w:bCs/>
          <w:lang w:eastAsia="zh-CN"/>
        </w:rPr>
      </w:pPr>
      <w:r>
        <w:rPr>
          <w:rFonts w:hint="eastAsia"/>
          <w:bCs/>
          <w:lang w:val="en-US" w:eastAsia="zh-CN"/>
        </w:rPr>
        <w:t>3）2022年8月23日</w:t>
      </w:r>
      <w:r>
        <w:rPr>
          <w:rFonts w:hint="eastAsia" w:ascii="仿宋" w:hAnsi="仿宋" w:eastAsia="仿宋" w:cs="仿宋"/>
          <w:bCs/>
          <w:lang w:val="en-US" w:eastAsia="zh-CN"/>
        </w:rPr>
        <w:t>～</w:t>
      </w:r>
      <w:r>
        <w:rPr>
          <w:rFonts w:hint="eastAsia"/>
          <w:bCs/>
          <w:lang w:val="en-US" w:eastAsia="zh-CN"/>
        </w:rPr>
        <w:t>25日，</w:t>
      </w:r>
      <w:r>
        <w:rPr>
          <w:rFonts w:hint="eastAsia"/>
          <w:bCs/>
        </w:rPr>
        <w:t>计量规范编制组成员参加了由有色金属行业计量技术委员会组织的在</w:t>
      </w:r>
      <w:r>
        <w:rPr>
          <w:rFonts w:hint="eastAsia"/>
          <w:bCs/>
          <w:lang w:val="en-US" w:eastAsia="zh-CN"/>
        </w:rPr>
        <w:t>云南建水</w:t>
      </w:r>
      <w:r>
        <w:rPr>
          <w:rFonts w:hint="eastAsia"/>
          <w:bCs/>
        </w:rPr>
        <w:t>召开的</w:t>
      </w:r>
      <w:r>
        <w:rPr>
          <w:bCs/>
        </w:rPr>
        <w:t>202</w:t>
      </w:r>
      <w:r>
        <w:rPr>
          <w:rFonts w:hint="eastAsia"/>
          <w:bCs/>
          <w:lang w:val="en-US" w:eastAsia="zh-CN"/>
        </w:rPr>
        <w:t>2</w:t>
      </w:r>
      <w:r>
        <w:rPr>
          <w:rFonts w:hint="eastAsia"/>
          <w:bCs/>
        </w:rPr>
        <w:t>年有色金属行业计量技术规范讨论会，与会专家、代表对本</w:t>
      </w:r>
      <w:r>
        <w:rPr>
          <w:rFonts w:hint="eastAsia"/>
          <w:bCs/>
          <w:lang w:eastAsia="zh-CN"/>
        </w:rPr>
        <w:t>校准</w:t>
      </w:r>
      <w:r>
        <w:rPr>
          <w:rFonts w:hint="eastAsia"/>
          <w:bCs/>
        </w:rPr>
        <w:t>规范的讨论稿提出了宝贵的意见和建议</w:t>
      </w:r>
      <w:r>
        <w:rPr>
          <w:rFonts w:hint="eastAsia"/>
          <w:bCs/>
          <w:lang w:eastAsia="zh-CN"/>
        </w:rPr>
        <w:t>。</w:t>
      </w:r>
    </w:p>
    <w:p>
      <w:pPr>
        <w:spacing w:line="360" w:lineRule="auto"/>
        <w:ind w:firstLine="210" w:firstLineChars="100"/>
        <w:rPr>
          <w:bCs/>
        </w:rPr>
      </w:pPr>
      <w:r>
        <w:rPr>
          <w:rFonts w:hint="eastAsia"/>
          <w:bCs/>
        </w:rPr>
        <w:t>4）202</w:t>
      </w:r>
      <w:r>
        <w:rPr>
          <w:rFonts w:hint="eastAsia"/>
          <w:bCs/>
          <w:lang w:val="en-US" w:eastAsia="zh-CN"/>
        </w:rPr>
        <w:t>2</w:t>
      </w:r>
      <w:r>
        <w:rPr>
          <w:rFonts w:hint="eastAsia"/>
          <w:bCs/>
        </w:rPr>
        <w:t>年</w:t>
      </w:r>
      <w:r>
        <w:rPr>
          <w:rFonts w:hint="eastAsia"/>
          <w:bCs/>
          <w:lang w:val="en-US" w:eastAsia="zh-CN"/>
        </w:rPr>
        <w:t>8</w:t>
      </w:r>
      <w:r>
        <w:rPr>
          <w:rFonts w:hint="eastAsia"/>
          <w:bCs/>
        </w:rPr>
        <w:t>月</w:t>
      </w:r>
      <w:r>
        <w:rPr>
          <w:rFonts w:hint="eastAsia" w:ascii="仿宋" w:hAnsi="仿宋" w:eastAsia="仿宋" w:cs="仿宋"/>
          <w:bCs/>
        </w:rPr>
        <w:t>～</w:t>
      </w:r>
      <w:r>
        <w:rPr>
          <w:rFonts w:hint="eastAsia" w:ascii="宋体" w:hAnsi="宋体" w:cs="宋体"/>
          <w:bCs/>
          <w:lang w:val="en-US" w:eastAsia="zh-CN"/>
        </w:rPr>
        <w:t>9月</w:t>
      </w:r>
      <w:r>
        <w:rPr>
          <w:rFonts w:hint="eastAsia"/>
          <w:bCs/>
        </w:rPr>
        <w:t>，针对</w:t>
      </w:r>
      <w:r>
        <w:rPr>
          <w:rFonts w:hint="eastAsia"/>
          <w:bCs/>
          <w:lang w:val="en-US" w:eastAsia="zh-CN"/>
        </w:rPr>
        <w:t>8</w:t>
      </w:r>
      <w:r>
        <w:rPr>
          <w:rFonts w:hint="eastAsia"/>
          <w:bCs/>
        </w:rPr>
        <w:t>月的</w:t>
      </w:r>
      <w:r>
        <w:rPr>
          <w:rFonts w:hint="eastAsia"/>
          <w:bCs/>
          <w:lang w:eastAsia="zh-CN"/>
        </w:rPr>
        <w:t>云南建水</w:t>
      </w:r>
      <w:r>
        <w:rPr>
          <w:rFonts w:hint="eastAsia"/>
          <w:bCs/>
        </w:rPr>
        <w:t>讨论会中代表们提出的修改意见和建议，编制组开会讨论并修改了校准规范，形成了征求意见稿。</w:t>
      </w:r>
    </w:p>
    <w:p>
      <w:pPr>
        <w:spacing w:line="360" w:lineRule="auto"/>
        <w:rPr>
          <w:rFonts w:ascii="黑体" w:eastAsia="黑体"/>
          <w:bCs/>
          <w:color w:val="FF0000"/>
          <w:szCs w:val="21"/>
        </w:rPr>
      </w:pPr>
      <w:r>
        <w:rPr>
          <w:rFonts w:hint="eastAsia"/>
          <w:bCs/>
          <w:color w:val="000000"/>
          <w:szCs w:val="21"/>
        </w:rPr>
        <w:t>二、</w:t>
      </w:r>
      <w:r>
        <w:rPr>
          <w:rFonts w:hint="eastAsia" w:ascii="黑体" w:hAnsi="宋体" w:eastAsia="黑体"/>
          <w:bCs/>
          <w:szCs w:val="21"/>
        </w:rPr>
        <w:t>编制原则和依据</w:t>
      </w:r>
    </w:p>
    <w:p>
      <w:pPr>
        <w:pStyle w:val="11"/>
        <w:spacing w:after="0" w:line="360" w:lineRule="auto"/>
        <w:rPr>
          <w:rFonts w:ascii="黑体" w:eastAsia="黑体"/>
          <w:bCs/>
          <w:szCs w:val="21"/>
        </w:rPr>
      </w:pPr>
      <w:r>
        <w:rPr>
          <w:rFonts w:ascii="黑体" w:eastAsia="黑体"/>
          <w:bCs/>
          <w:szCs w:val="21"/>
        </w:rPr>
        <w:t>2.1</w:t>
      </w:r>
      <w:r>
        <w:rPr>
          <w:rFonts w:hint="eastAsia" w:ascii="黑体" w:hAnsi="宋体" w:eastAsia="黑体"/>
          <w:bCs/>
          <w:szCs w:val="21"/>
        </w:rPr>
        <w:t>规范编制原则</w:t>
      </w:r>
    </w:p>
    <w:p>
      <w:pPr>
        <w:spacing w:line="360" w:lineRule="auto"/>
        <w:ind w:firstLine="435"/>
        <w:rPr>
          <w:bCs/>
          <w:szCs w:val="21"/>
        </w:rPr>
      </w:pPr>
      <w:r>
        <w:rPr>
          <w:rFonts w:ascii="宋体" w:hAnsi="宋体"/>
          <w:bCs/>
          <w:szCs w:val="21"/>
        </w:rPr>
        <w:t>1</w:t>
      </w:r>
      <w:r>
        <w:rPr>
          <w:rFonts w:hint="eastAsia" w:ascii="宋体" w:hAnsi="宋体"/>
          <w:bCs/>
          <w:szCs w:val="21"/>
        </w:rPr>
        <w:t>）</w:t>
      </w:r>
      <w:r>
        <w:rPr>
          <w:rFonts w:hint="eastAsia" w:hAnsi="宋体"/>
          <w:bCs/>
          <w:szCs w:val="21"/>
        </w:rPr>
        <w:t>该规范按照</w:t>
      </w:r>
      <w:r>
        <w:rPr>
          <w:bCs/>
          <w:szCs w:val="21"/>
        </w:rPr>
        <w:t>JJF 1071-2010</w:t>
      </w:r>
      <w:r>
        <w:rPr>
          <w:rFonts w:hint="eastAsia" w:hAnsi="宋体"/>
          <w:bCs/>
          <w:szCs w:val="21"/>
        </w:rPr>
        <w:t>《国家计量校准规范编写规则》、</w:t>
      </w:r>
      <w:r>
        <w:rPr>
          <w:bCs/>
          <w:szCs w:val="21"/>
        </w:rPr>
        <w:t>JJF 1001—2011</w:t>
      </w:r>
      <w:r>
        <w:rPr>
          <w:rFonts w:hint="eastAsia" w:hAnsi="宋体"/>
          <w:bCs/>
          <w:szCs w:val="21"/>
        </w:rPr>
        <w:t>《通用计量术语及定义》和</w:t>
      </w:r>
      <w:r>
        <w:rPr>
          <w:bCs/>
          <w:szCs w:val="21"/>
        </w:rPr>
        <w:t>JJF 1059.1—2012</w:t>
      </w:r>
      <w:r>
        <w:rPr>
          <w:rFonts w:hint="eastAsia" w:hAnsi="宋体"/>
          <w:bCs/>
          <w:szCs w:val="21"/>
        </w:rPr>
        <w:t>《测量不确定度评定与表示》编写。</w:t>
      </w:r>
    </w:p>
    <w:p>
      <w:pPr>
        <w:spacing w:line="360" w:lineRule="auto"/>
        <w:ind w:firstLine="420" w:firstLineChars="200"/>
        <w:rPr>
          <w:rFonts w:ascii="宋体"/>
          <w:bCs/>
          <w:szCs w:val="21"/>
        </w:rPr>
      </w:pPr>
      <w:r>
        <w:rPr>
          <w:bCs/>
          <w:szCs w:val="21"/>
        </w:rPr>
        <w:t>2</w:t>
      </w:r>
      <w:r>
        <w:rPr>
          <w:rFonts w:hint="eastAsia" w:hAnsi="宋体"/>
          <w:bCs/>
          <w:szCs w:val="21"/>
        </w:rPr>
        <w:t>）先进性：本规范</w:t>
      </w:r>
      <w:r>
        <w:rPr>
          <w:rFonts w:hint="eastAsia" w:ascii="宋体" w:hAnsi="宋体"/>
          <w:bCs/>
          <w:szCs w:val="21"/>
        </w:rPr>
        <w:t>改变了闭路循环法的铝及铝合金液态测氢仪无校准规范可用的现状。</w:t>
      </w:r>
    </w:p>
    <w:p>
      <w:pPr>
        <w:spacing w:line="360" w:lineRule="auto"/>
        <w:ind w:firstLine="420" w:firstLineChars="200"/>
        <w:rPr>
          <w:rFonts w:ascii="宋体"/>
          <w:bCs/>
          <w:szCs w:val="21"/>
        </w:rPr>
      </w:pPr>
      <w:r>
        <w:rPr>
          <w:rFonts w:ascii="宋体" w:hAnsi="宋体"/>
          <w:bCs/>
          <w:szCs w:val="21"/>
        </w:rPr>
        <w:t>3</w:t>
      </w:r>
      <w:r>
        <w:rPr>
          <w:rFonts w:hint="eastAsia" w:ascii="宋体" w:hAnsi="宋体"/>
          <w:bCs/>
          <w:szCs w:val="21"/>
        </w:rPr>
        <w:t>）创新性：适时引入标准物质来校准闭路循环法的铝及铝合金液态测氢仪。</w:t>
      </w:r>
    </w:p>
    <w:p>
      <w:pPr>
        <w:spacing w:line="360" w:lineRule="auto"/>
        <w:rPr>
          <w:rFonts w:ascii="黑体" w:hAnsi="宋体" w:eastAsia="黑体"/>
          <w:bCs/>
          <w:szCs w:val="21"/>
        </w:rPr>
      </w:pPr>
      <w:r>
        <w:rPr>
          <w:rFonts w:ascii="黑体" w:eastAsia="黑体"/>
          <w:bCs/>
          <w:szCs w:val="21"/>
        </w:rPr>
        <w:t>2.2</w:t>
      </w:r>
      <w:r>
        <w:rPr>
          <w:rFonts w:hint="eastAsia" w:ascii="黑体" w:hAnsi="宋体" w:eastAsia="黑体"/>
          <w:bCs/>
          <w:szCs w:val="21"/>
        </w:rPr>
        <w:t>制定规范主要内容的论据</w:t>
      </w:r>
    </w:p>
    <w:p>
      <w:pPr>
        <w:spacing w:line="360" w:lineRule="auto"/>
        <w:rPr>
          <w:rFonts w:ascii="黑体" w:hAnsi="黑体" w:eastAsia="黑体"/>
          <w:bCs/>
          <w:szCs w:val="21"/>
        </w:rPr>
      </w:pPr>
      <w:r>
        <w:rPr>
          <w:rFonts w:ascii="黑体" w:hAnsi="黑体" w:eastAsia="黑体"/>
          <w:bCs/>
          <w:szCs w:val="21"/>
        </w:rPr>
        <w:t>2.2.1</w:t>
      </w:r>
      <w:r>
        <w:rPr>
          <w:rFonts w:hint="eastAsia" w:ascii="黑体" w:hAnsi="黑体" w:eastAsia="黑体"/>
          <w:bCs/>
          <w:szCs w:val="21"/>
        </w:rPr>
        <w:t>范围</w:t>
      </w:r>
    </w:p>
    <w:p>
      <w:pPr>
        <w:spacing w:line="360" w:lineRule="auto"/>
        <w:ind w:firstLine="420" w:firstLineChars="200"/>
        <w:rPr>
          <w:rFonts w:hint="eastAsia" w:ascii="宋体" w:hAnsi="宋体" w:cs="宋体"/>
          <w:bCs/>
          <w:szCs w:val="21"/>
        </w:rPr>
      </w:pPr>
      <w:r>
        <w:rPr>
          <w:rFonts w:hint="eastAsia" w:ascii="宋体" w:hAnsi="宋体" w:cs="宋体"/>
          <w:bCs/>
          <w:szCs w:val="21"/>
        </w:rPr>
        <w:t>本规范适用于采用闭路循环法的铝及铝合金液态测氢仪的校准。</w:t>
      </w:r>
    </w:p>
    <w:p>
      <w:pPr>
        <w:spacing w:line="360" w:lineRule="auto"/>
        <w:rPr>
          <w:rFonts w:ascii="黑体" w:hAnsi="宋体" w:eastAsia="黑体"/>
          <w:bCs/>
          <w:szCs w:val="21"/>
        </w:rPr>
      </w:pPr>
      <w:r>
        <w:rPr>
          <w:rFonts w:ascii="黑体" w:hAnsi="宋体" w:eastAsia="黑体"/>
          <w:bCs/>
          <w:szCs w:val="21"/>
        </w:rPr>
        <w:t>2.2.2</w:t>
      </w:r>
      <w:r>
        <w:rPr>
          <w:rFonts w:ascii="黑体" w:eastAsia="黑体"/>
          <w:bCs/>
          <w:szCs w:val="21"/>
        </w:rPr>
        <w:t xml:space="preserve"> </w:t>
      </w:r>
      <w:r>
        <w:rPr>
          <w:rFonts w:hint="eastAsia" w:ascii="黑体" w:hAnsi="宋体" w:eastAsia="黑体"/>
          <w:bCs/>
          <w:szCs w:val="21"/>
        </w:rPr>
        <w:t>引用文件</w:t>
      </w:r>
    </w:p>
    <w:p>
      <w:pPr>
        <w:adjustRightInd w:val="0"/>
        <w:snapToGrid w:val="0"/>
        <w:spacing w:line="360" w:lineRule="auto"/>
        <w:ind w:firstLine="210" w:firstLineChars="100"/>
        <w:rPr>
          <w:rFonts w:hint="eastAsia" w:hAnsi="宋体" w:eastAsia="宋体"/>
          <w:bCs/>
          <w:szCs w:val="21"/>
          <w:lang w:eastAsia="zh-CN"/>
        </w:rPr>
      </w:pPr>
      <w:r>
        <w:rPr>
          <w:rFonts w:hint="eastAsia"/>
          <w:bCs/>
          <w:szCs w:val="21"/>
        </w:rPr>
        <w:t xml:space="preserve"> </w:t>
      </w:r>
      <w:r>
        <w:rPr>
          <w:bCs/>
          <w:szCs w:val="21"/>
        </w:rPr>
        <w:t xml:space="preserve"> </w:t>
      </w:r>
      <w:r>
        <w:rPr>
          <w:rFonts w:hint="eastAsia" w:hAnsi="宋体"/>
          <w:bCs/>
          <w:szCs w:val="21"/>
        </w:rPr>
        <w:t>本规范</w:t>
      </w:r>
      <w:r>
        <w:rPr>
          <w:rFonts w:hint="eastAsia" w:hAnsi="宋体"/>
          <w:bCs/>
          <w:szCs w:val="21"/>
          <w:lang w:eastAsia="zh-CN"/>
        </w:rPr>
        <w:t>没有引用文件</w:t>
      </w:r>
      <w:r>
        <w:rPr>
          <w:rFonts w:hint="eastAsia"/>
          <w:bCs/>
          <w:szCs w:val="21"/>
          <w:lang w:eastAsia="zh-CN"/>
        </w:rPr>
        <w:t>。</w:t>
      </w:r>
    </w:p>
    <w:p>
      <w:pPr>
        <w:spacing w:line="360" w:lineRule="auto"/>
        <w:rPr>
          <w:rFonts w:hint="eastAsia" w:ascii="黑体" w:eastAsia="黑体"/>
          <w:bCs/>
          <w:szCs w:val="21"/>
          <w:lang w:eastAsia="zh-CN"/>
        </w:rPr>
      </w:pPr>
      <w:r>
        <w:rPr>
          <w:rFonts w:ascii="黑体" w:hAnsi="宋体" w:eastAsia="黑体"/>
          <w:bCs/>
          <w:szCs w:val="21"/>
        </w:rPr>
        <w:t>2.2.3</w:t>
      </w:r>
      <w:r>
        <w:rPr>
          <w:rFonts w:ascii="黑体" w:eastAsia="黑体"/>
          <w:bCs/>
          <w:szCs w:val="21"/>
        </w:rPr>
        <w:t xml:space="preserve"> </w:t>
      </w:r>
      <w:r>
        <w:rPr>
          <w:rFonts w:hint="eastAsia" w:ascii="黑体" w:eastAsia="黑体"/>
          <w:bCs/>
          <w:szCs w:val="21"/>
          <w:lang w:eastAsia="zh-CN"/>
        </w:rPr>
        <w:t>术语和计量单位</w:t>
      </w:r>
    </w:p>
    <w:p>
      <w:pPr>
        <w:spacing w:line="360" w:lineRule="auto"/>
        <w:ind w:firstLine="420" w:firstLineChars="200"/>
        <w:rPr>
          <w:rFonts w:hint="default" w:ascii="宋体" w:hAnsi="宋体" w:cs="宋体"/>
          <w:bCs/>
          <w:szCs w:val="21"/>
          <w:lang w:val="en-US" w:eastAsia="zh-CN"/>
        </w:rPr>
      </w:pPr>
      <w:r>
        <w:rPr>
          <w:rFonts w:hint="eastAsia" w:ascii="宋体" w:hAnsi="宋体" w:cs="宋体"/>
          <w:bCs/>
          <w:szCs w:val="21"/>
          <w:lang w:eastAsia="zh-CN"/>
        </w:rPr>
        <w:t>根据讨论稿的意见，将术语“真空”更改为“真空度”，将“气密性”、“泵压”、“真空度”、“循环流量”、“吹洗”</w:t>
      </w:r>
      <w:r>
        <w:rPr>
          <w:rFonts w:hint="eastAsia" w:ascii="宋体" w:hAnsi="宋体" w:cs="宋体"/>
          <w:bCs/>
          <w:szCs w:val="21"/>
          <w:lang w:val="en-US" w:eastAsia="zh-CN"/>
        </w:rPr>
        <w:t>5个术语各翻译为了英文，为“气密性gas tightness”、“泵压pump pressure”、“真空度vacuum”、“循环流量Circulating flow Rate”、“吹洗Purge”。</w:t>
      </w:r>
    </w:p>
    <w:p>
      <w:pPr>
        <w:spacing w:line="360" w:lineRule="auto"/>
        <w:rPr>
          <w:rFonts w:ascii="黑体" w:hAnsi="宋体" w:eastAsia="黑体"/>
          <w:bCs/>
          <w:szCs w:val="21"/>
        </w:rPr>
      </w:pPr>
      <w:r>
        <w:rPr>
          <w:rFonts w:hint="eastAsia" w:ascii="黑体" w:eastAsia="黑体"/>
          <w:bCs/>
          <w:szCs w:val="21"/>
          <w:lang w:val="en-US" w:eastAsia="zh-CN"/>
        </w:rPr>
        <w:t>2.2.4</w:t>
      </w:r>
      <w:r>
        <w:rPr>
          <w:rFonts w:hint="eastAsia" w:ascii="黑体" w:hAnsi="宋体" w:eastAsia="黑体"/>
          <w:bCs/>
          <w:szCs w:val="21"/>
        </w:rPr>
        <w:t>概述</w:t>
      </w:r>
    </w:p>
    <w:p>
      <w:pPr>
        <w:adjustRightInd w:val="0"/>
        <w:snapToGrid w:val="0"/>
        <w:spacing w:line="360" w:lineRule="auto"/>
        <w:ind w:firstLine="420" w:firstLineChars="200"/>
        <w:rPr>
          <w:bCs/>
          <w:szCs w:val="21"/>
        </w:rPr>
      </w:pPr>
      <w:r>
        <w:rPr>
          <w:rFonts w:hint="eastAsia"/>
          <w:bCs/>
          <w:szCs w:val="21"/>
        </w:rPr>
        <w:t>闭路循环法铝及铝合金液态测氢仪主要用于测量铝及铝合金溶液内氢气含量，如图1所示，测氢仪与测氢探头、热电偶组成氢含量检测系统。系统工作时，测氢探头与热电偶浸入铝液，测氢仪通过循环系统促使循环气体在测氢探头与测氢仪间循环，循环气体在流经测氢探头时，铝溶液中的氢气向循环气体内扩散，直到铝溶液内的氢分压与循环气体内的氢分压达到平衡，测氢仪根据循环气体热导率的变化检测出铝溶液内的氢分压，再根据Sivert定律计算出铝溶液内的氢含量。</w:t>
      </w:r>
    </w:p>
    <w:p>
      <w:pPr>
        <w:adjustRightInd w:val="0"/>
        <w:snapToGrid w:val="0"/>
        <w:spacing w:line="360" w:lineRule="auto"/>
        <w:ind w:firstLine="420" w:firstLineChars="200"/>
        <w:rPr>
          <w:bCs/>
          <w:szCs w:val="21"/>
        </w:rPr>
      </w:pPr>
      <w:r>
        <w:rPr>
          <w:rFonts w:hint="eastAsia"/>
          <w:bCs/>
          <w:lang w:eastAsia="zh-CN"/>
        </w:rPr>
        <w:t>根据讨论稿的意见，将测氢仪示意图更换为测氢</w:t>
      </w:r>
      <w:r>
        <w:rPr>
          <w:rFonts w:hint="eastAsia"/>
          <w:bCs/>
        </w:rPr>
        <w:t>仪</w:t>
      </w:r>
      <w:r>
        <w:rPr>
          <w:rFonts w:hint="eastAsia"/>
          <w:bCs/>
          <w:lang w:eastAsia="zh-CN"/>
        </w:rPr>
        <w:t>工作</w:t>
      </w:r>
      <w:r>
        <w:rPr>
          <w:rFonts w:hint="eastAsia"/>
          <w:bCs/>
        </w:rPr>
        <w:t>示意图</w:t>
      </w:r>
      <w:r>
        <w:rPr>
          <w:rFonts w:hint="eastAsia"/>
          <w:bCs/>
          <w:lang w:eastAsia="zh-CN"/>
        </w:rPr>
        <w:t>，见图</w:t>
      </w:r>
      <w:r>
        <w:rPr>
          <w:rFonts w:hint="eastAsia"/>
          <w:bCs/>
        </w:rPr>
        <w:t>1。</w:t>
      </w: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5</w:t>
      </w:r>
      <w:r>
        <w:rPr>
          <w:rFonts w:ascii="黑体" w:eastAsia="黑体"/>
          <w:bCs/>
          <w:szCs w:val="21"/>
        </w:rPr>
        <w:t xml:space="preserve"> </w:t>
      </w:r>
      <w:r>
        <w:rPr>
          <w:rFonts w:hint="eastAsia" w:ascii="黑体" w:hAnsi="宋体" w:eastAsia="黑体"/>
          <w:bCs/>
          <w:szCs w:val="21"/>
        </w:rPr>
        <w:t>计量特性</w:t>
      </w: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6</w:t>
      </w:r>
      <w:r>
        <w:rPr>
          <w:rFonts w:ascii="黑体" w:eastAsia="黑体"/>
          <w:bCs/>
          <w:szCs w:val="21"/>
        </w:rPr>
        <w:t xml:space="preserve"> </w:t>
      </w:r>
      <w:r>
        <w:rPr>
          <w:rFonts w:hint="eastAsia" w:ascii="黑体" w:hAnsi="宋体" w:eastAsia="黑体"/>
          <w:bCs/>
          <w:szCs w:val="21"/>
        </w:rPr>
        <w:t>校准条件</w:t>
      </w: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7</w:t>
      </w:r>
      <w:r>
        <w:rPr>
          <w:rFonts w:ascii="黑体" w:eastAsia="黑体"/>
          <w:bCs/>
          <w:szCs w:val="21"/>
        </w:rPr>
        <w:t xml:space="preserve"> </w:t>
      </w:r>
      <w:r>
        <w:rPr>
          <w:rFonts w:hint="eastAsia" w:ascii="黑体" w:hAnsi="宋体" w:eastAsia="黑体"/>
          <w:bCs/>
          <w:szCs w:val="21"/>
        </w:rPr>
        <w:t>校准项目和校准方法</w:t>
      </w:r>
    </w:p>
    <w:p>
      <w:pPr>
        <w:adjustRightInd w:val="0"/>
        <w:snapToGrid w:val="0"/>
        <w:spacing w:line="360" w:lineRule="auto"/>
        <w:ind w:firstLine="420" w:firstLineChars="200"/>
        <w:rPr>
          <w:rFonts w:hint="eastAsia"/>
          <w:bCs/>
          <w:lang w:val="en-US" w:eastAsia="zh-CN"/>
        </w:rPr>
      </w:pPr>
      <w:r>
        <w:rPr>
          <w:rFonts w:hint="eastAsia"/>
          <w:bCs/>
          <w:lang w:val="en-US" w:eastAsia="zh-CN"/>
        </w:rPr>
        <w:t>1）</w:t>
      </w:r>
      <w:r>
        <w:rPr>
          <w:rFonts w:hint="eastAsia"/>
          <w:bCs/>
        </w:rPr>
        <w:t>根据</w:t>
      </w:r>
      <w:r>
        <w:rPr>
          <w:rFonts w:hint="eastAsia"/>
          <w:bCs/>
          <w:lang w:eastAsia="zh-CN"/>
        </w:rPr>
        <w:t>讨论稿</w:t>
      </w:r>
      <w:r>
        <w:rPr>
          <w:rFonts w:hint="eastAsia"/>
          <w:bCs/>
        </w:rPr>
        <w:t>的意见，</w:t>
      </w:r>
      <w:r>
        <w:rPr>
          <w:rFonts w:hint="eastAsia"/>
          <w:bCs/>
          <w:lang w:eastAsia="zh-CN"/>
        </w:rPr>
        <w:t>重新绘制了氢含量示值误差校准过程中的图</w:t>
      </w:r>
      <w:r>
        <w:rPr>
          <w:rFonts w:hint="eastAsia"/>
          <w:bCs/>
          <w:lang w:val="en-US" w:eastAsia="zh-CN"/>
        </w:rPr>
        <w:t>3,以明确与图2的区别。</w:t>
      </w:r>
    </w:p>
    <w:p>
      <w:pPr>
        <w:adjustRightInd w:val="0"/>
        <w:snapToGrid w:val="0"/>
        <w:spacing w:line="360" w:lineRule="auto"/>
        <w:ind w:firstLine="420" w:firstLineChars="200"/>
        <w:rPr>
          <w:rFonts w:hint="eastAsia"/>
          <w:bCs/>
          <w:lang w:val="en-US" w:eastAsia="zh-CN"/>
        </w:rPr>
      </w:pPr>
      <w:r>
        <w:rPr>
          <w:rFonts w:hint="eastAsia"/>
          <w:bCs/>
          <w:lang w:val="en-US" w:eastAsia="zh-CN"/>
        </w:rPr>
        <w:t>2）根据讨论稿的意见，对温度示值误差校准的过程进行了重新描述，明确指出：使用标准直流电压源作为标准器时，按图4接线；使用温度校准仪作为标准器时，按图5接线。</w:t>
      </w:r>
    </w:p>
    <w:p>
      <w:pPr>
        <w:spacing w:line="360" w:lineRule="auto"/>
        <w:rPr>
          <w:rFonts w:hint="eastAsia"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8</w:t>
      </w:r>
      <w:r>
        <w:rPr>
          <w:rFonts w:ascii="黑体" w:hAnsi="宋体" w:eastAsia="黑体"/>
          <w:bCs/>
          <w:szCs w:val="21"/>
        </w:rPr>
        <w:t xml:space="preserve"> </w:t>
      </w:r>
      <w:r>
        <w:rPr>
          <w:rFonts w:hint="eastAsia" w:ascii="黑体" w:hAnsi="宋体" w:eastAsia="黑体"/>
          <w:bCs/>
          <w:szCs w:val="21"/>
        </w:rPr>
        <w:t>校准结果表达</w:t>
      </w:r>
    </w:p>
    <w:p>
      <w:pPr>
        <w:spacing w:line="360" w:lineRule="auto"/>
        <w:rPr>
          <w:rFonts w:hint="eastAsia" w:ascii="黑体" w:hAnsi="宋体" w:eastAsia="黑体"/>
          <w:bCs/>
          <w:szCs w:val="21"/>
        </w:rPr>
      </w:pPr>
      <w:r>
        <w:rPr>
          <w:rFonts w:hint="eastAsia" w:ascii="黑体" w:hAnsi="宋体" w:eastAsia="黑体"/>
          <w:bCs/>
          <w:szCs w:val="21"/>
          <w:lang w:val="en-US" w:eastAsia="zh-CN"/>
        </w:rPr>
        <w:t xml:space="preserve">2.2.9 </w:t>
      </w:r>
      <w:r>
        <w:rPr>
          <w:rFonts w:hint="eastAsia" w:ascii="黑体" w:hAnsi="宋体" w:eastAsia="黑体"/>
          <w:bCs/>
          <w:szCs w:val="21"/>
        </w:rPr>
        <w:t>复校时间间隔</w:t>
      </w:r>
    </w:p>
    <w:p>
      <w:pPr>
        <w:adjustRightInd w:val="0"/>
        <w:snapToGrid w:val="0"/>
        <w:spacing w:line="360" w:lineRule="auto"/>
        <w:ind w:firstLine="420" w:firstLineChars="200"/>
        <w:rPr>
          <w:rFonts w:hint="eastAsia"/>
          <w:bCs/>
          <w:lang w:val="en-US" w:eastAsia="zh-CN"/>
        </w:rPr>
      </w:pPr>
      <w:r>
        <w:rPr>
          <w:rFonts w:hint="eastAsia"/>
          <w:bCs/>
          <w:lang w:val="en-US" w:eastAsia="zh-CN"/>
        </w:rPr>
        <w:t>根据讨论稿的意见，将“复校周期”更改为“复校时间间隔”。</w:t>
      </w: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10</w:t>
      </w:r>
      <w:r>
        <w:rPr>
          <w:rFonts w:ascii="黑体" w:eastAsia="黑体"/>
          <w:bCs/>
          <w:szCs w:val="21"/>
        </w:rPr>
        <w:t xml:space="preserve"> </w:t>
      </w:r>
      <w:r>
        <w:rPr>
          <w:rFonts w:hint="eastAsia" w:ascii="黑体" w:hAnsi="宋体" w:eastAsia="黑体"/>
          <w:bCs/>
          <w:szCs w:val="21"/>
        </w:rPr>
        <w:t>附录</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1）根据讨论稿的意见，将附录A 校准记录中各校准项目的编号“1、2、3、4”，改为了“A.1、A.2、A.3、A.4”。</w:t>
      </w:r>
    </w:p>
    <w:p>
      <w:pPr>
        <w:numPr>
          <w:ilvl w:val="0"/>
          <w:numId w:val="0"/>
        </w:numPr>
        <w:ind w:firstLine="420" w:firstLineChars="200"/>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2）根据讨论稿的意见，将附录B 校准证书内页参考格式校准结果中各校准项目的编号“1、2、3、4”，改为了“B.1、B.2、B.3、B.4”。</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3）根据讨论稿的意见，将附录D、附录E的标题“不确定度评定报告”更改为了“不确定度评定示例”。</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4）根据讨论稿的意见，删除了不确定度评定示例中被测对象的型号。</w:t>
      </w:r>
    </w:p>
    <w:p>
      <w:pPr>
        <w:adjustRightInd w:val="0"/>
        <w:spacing w:line="360" w:lineRule="auto"/>
        <w:rPr>
          <w:rFonts w:ascii="黑体" w:hAnsi="宋体" w:eastAsia="黑体"/>
          <w:bCs/>
          <w:szCs w:val="21"/>
        </w:rPr>
      </w:pPr>
      <w:r>
        <w:rPr>
          <w:rFonts w:hint="eastAsia" w:ascii="黑体" w:hAnsi="宋体" w:eastAsia="黑体"/>
          <w:bCs/>
          <w:szCs w:val="21"/>
        </w:rPr>
        <w:t>三、规范水平分析</w:t>
      </w:r>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adjustRightInd w:val="0"/>
        <w:spacing w:line="360" w:lineRule="auto"/>
        <w:ind w:firstLine="420" w:firstLineChars="200"/>
        <w:rPr>
          <w:rFonts w:ascii="宋体"/>
          <w:bCs/>
          <w:szCs w:val="21"/>
        </w:rPr>
      </w:pPr>
      <w:r>
        <w:rPr>
          <w:rFonts w:hint="eastAsia" w:ascii="宋体" w:hAnsi="宋体"/>
          <w:bCs/>
          <w:szCs w:val="21"/>
        </w:rPr>
        <w:t>据查，目前国内外没有针对闭路循环法铝及铝合金液态测氢仪的校准规范，计量检测机构也未开展该类仪器的检定校准。</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目前国外没有相关技术规范，本规范水平达到</w:t>
      </w:r>
      <w:r>
        <w:rPr>
          <w:rFonts w:hint="eastAsia" w:ascii="宋体" w:hAnsi="宋体"/>
          <w:bCs/>
          <w:szCs w:val="21"/>
          <w:lang w:val="en-US" w:eastAsia="zh-CN"/>
        </w:rPr>
        <w:t>国际</w:t>
      </w:r>
      <w:r>
        <w:rPr>
          <w:rFonts w:hint="eastAsia" w:ascii="宋体" w:hAnsi="宋体"/>
          <w:bCs/>
          <w:szCs w:val="21"/>
        </w:rPr>
        <w:t>先进水平。</w:t>
      </w:r>
    </w:p>
    <w:p>
      <w:pPr>
        <w:adjustRightInd w:val="0"/>
        <w:spacing w:line="360" w:lineRule="auto"/>
        <w:rPr>
          <w:rFonts w:ascii="黑体" w:hAnsi="宋体" w:eastAsia="黑体"/>
          <w:bCs/>
          <w:szCs w:val="21"/>
        </w:rPr>
      </w:pPr>
      <w:r>
        <w:rPr>
          <w:rFonts w:hint="eastAsia" w:ascii="黑体" w:hAnsi="宋体" w:eastAsia="黑体"/>
          <w:bCs/>
          <w:szCs w:val="21"/>
        </w:rPr>
        <w:t>四、与有关的现行法律、法规和强制性国家标准的关系</w:t>
      </w:r>
    </w:p>
    <w:p>
      <w:pPr>
        <w:adjustRightInd w:val="0"/>
        <w:spacing w:line="360" w:lineRule="auto"/>
        <w:ind w:firstLine="420" w:firstLineChars="200"/>
        <w:rPr>
          <w:rFonts w:hAnsi="宋体"/>
          <w:bCs/>
          <w:szCs w:val="21"/>
        </w:rPr>
      </w:pPr>
      <w:r>
        <w:rPr>
          <w:rFonts w:hint="eastAsia" w:hAnsi="宋体"/>
          <w:bCs/>
          <w:szCs w:val="21"/>
        </w:rPr>
        <w:t>本规范与有关的现行法律、法规和国家计量技术规范具有一致性，无冲突之处。</w:t>
      </w:r>
    </w:p>
    <w:p>
      <w:pPr>
        <w:adjustRightInd w:val="0"/>
        <w:spacing w:line="360" w:lineRule="auto"/>
        <w:rPr>
          <w:rFonts w:ascii="黑体" w:hAnsi="宋体" w:eastAsia="黑体"/>
          <w:bCs/>
          <w:szCs w:val="21"/>
        </w:rPr>
      </w:pPr>
      <w:r>
        <w:rPr>
          <w:rFonts w:hint="eastAsia" w:ascii="黑体" w:hAnsi="宋体" w:eastAsia="黑体"/>
          <w:bCs/>
          <w:szCs w:val="21"/>
        </w:rPr>
        <w:t>五、重大分歧意见的处理经过和依据</w:t>
      </w:r>
    </w:p>
    <w:p>
      <w:pPr>
        <w:spacing w:line="360" w:lineRule="auto"/>
        <w:ind w:firstLine="420" w:firstLineChars="200"/>
        <w:rPr>
          <w:rFonts w:hint="eastAsia" w:ascii="宋体" w:hAnsi="宋体"/>
          <w:bCs/>
          <w:szCs w:val="21"/>
          <w:lang w:eastAsia="zh-CN"/>
        </w:rPr>
      </w:pPr>
      <w:r>
        <w:rPr>
          <w:rFonts w:hint="eastAsia" w:ascii="宋体" w:hAnsi="宋体"/>
          <w:bCs/>
          <w:szCs w:val="21"/>
          <w:lang w:eastAsia="zh-CN"/>
        </w:rPr>
        <w:t>无</w:t>
      </w:r>
    </w:p>
    <w:p>
      <w:pPr>
        <w:adjustRightInd w:val="0"/>
        <w:spacing w:line="360" w:lineRule="auto"/>
        <w:rPr>
          <w:rFonts w:ascii="黑体" w:hAnsi="宋体" w:eastAsia="黑体"/>
          <w:bCs/>
          <w:szCs w:val="21"/>
        </w:rPr>
      </w:pPr>
      <w:r>
        <w:rPr>
          <w:rFonts w:hint="eastAsia" w:ascii="黑体" w:hAnsi="宋体" w:eastAsia="黑体"/>
          <w:bCs/>
          <w:szCs w:val="21"/>
        </w:rPr>
        <w:t>六、规范作为强制性或推荐性国家（或行业）</w:t>
      </w:r>
      <w:r>
        <w:rPr>
          <w:rFonts w:hint="eastAsia" w:ascii="黑体" w:hAnsi="宋体" w:eastAsia="黑体"/>
          <w:bCs/>
          <w:szCs w:val="21"/>
          <w:lang w:val="en-US" w:eastAsia="zh-CN"/>
        </w:rPr>
        <w:t>技术规范</w:t>
      </w:r>
      <w:r>
        <w:rPr>
          <w:rFonts w:hint="eastAsia" w:ascii="黑体" w:hAnsi="宋体" w:eastAsia="黑体"/>
          <w:bCs/>
          <w:szCs w:val="21"/>
        </w:rPr>
        <w:t>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adjustRightInd w:val="0"/>
        <w:spacing w:line="360" w:lineRule="auto"/>
        <w:rPr>
          <w:rFonts w:ascii="黑体" w:hAnsi="宋体" w:eastAsia="黑体"/>
          <w:bCs/>
          <w:szCs w:val="21"/>
        </w:rPr>
      </w:pPr>
      <w:r>
        <w:rPr>
          <w:rFonts w:hint="eastAsia" w:ascii="黑体" w:hAnsi="宋体" w:eastAsia="黑体"/>
          <w:bCs/>
          <w:szCs w:val="21"/>
        </w:rPr>
        <w:t>七、贯彻</w:t>
      </w:r>
      <w:r>
        <w:rPr>
          <w:rFonts w:hint="eastAsia" w:ascii="黑体" w:hAnsi="宋体" w:eastAsia="黑体"/>
          <w:bCs/>
          <w:szCs w:val="21"/>
          <w:lang w:val="en-US" w:eastAsia="zh-CN"/>
        </w:rPr>
        <w:t>技术规范</w:t>
      </w:r>
      <w:r>
        <w:rPr>
          <w:rFonts w:hint="eastAsia" w:ascii="黑体" w:hAnsi="宋体" w:eastAsia="黑体"/>
          <w:bCs/>
          <w:szCs w:val="21"/>
        </w:rPr>
        <w:t>的要求和措施建议</w:t>
      </w:r>
    </w:p>
    <w:p>
      <w:pPr>
        <w:spacing w:line="360" w:lineRule="auto"/>
        <w:ind w:firstLine="420" w:firstLineChars="200"/>
        <w:rPr>
          <w:rFonts w:hint="eastAsia" w:ascii="黑体" w:hAnsi="宋体" w:eastAsia="黑体"/>
          <w:bCs/>
          <w:szCs w:val="21"/>
        </w:rPr>
      </w:pPr>
      <w:r>
        <w:rPr>
          <w:rFonts w:hint="eastAsia" w:ascii="宋体" w:hAnsi="宋体"/>
          <w:bCs/>
          <w:szCs w:val="21"/>
          <w:lang w:eastAsia="zh-CN"/>
        </w:rPr>
        <w:t>无</w:t>
      </w:r>
      <w:bookmarkStart w:id="0" w:name="_GoBack"/>
      <w:bookmarkEnd w:id="0"/>
    </w:p>
    <w:p>
      <w:pPr>
        <w:adjustRightInd w:val="0"/>
        <w:snapToGrid w:val="0"/>
        <w:spacing w:line="360" w:lineRule="auto"/>
        <w:rPr>
          <w:rFonts w:ascii="黑体" w:hAnsi="宋体" w:eastAsia="黑体"/>
          <w:bCs/>
          <w:szCs w:val="21"/>
        </w:rPr>
      </w:pPr>
      <w:r>
        <w:rPr>
          <w:rFonts w:hint="eastAsia" w:ascii="黑体" w:hAnsi="宋体" w:eastAsia="黑体"/>
          <w:bCs/>
          <w:szCs w:val="21"/>
        </w:rPr>
        <w:t>八、废止现行有关</w:t>
      </w:r>
      <w:r>
        <w:rPr>
          <w:rFonts w:hint="eastAsia" w:ascii="黑体" w:hAnsi="宋体" w:eastAsia="黑体"/>
          <w:bCs/>
          <w:szCs w:val="21"/>
          <w:lang w:val="en-US" w:eastAsia="zh-CN"/>
        </w:rPr>
        <w:t>技术规范</w:t>
      </w:r>
      <w:r>
        <w:rPr>
          <w:rFonts w:hint="eastAsia" w:ascii="黑体" w:hAnsi="宋体" w:eastAsia="黑体"/>
          <w:bCs/>
          <w:szCs w:val="21"/>
        </w:rPr>
        <w:t>的建议</w:t>
      </w:r>
    </w:p>
    <w:p>
      <w:pPr>
        <w:adjustRightInd w:val="0"/>
        <w:snapToGrid w:val="0"/>
        <w:spacing w:line="360" w:lineRule="auto"/>
        <w:ind w:firstLine="420" w:firstLineChars="200"/>
        <w:rPr>
          <w:rFonts w:hint="eastAsia" w:hAnsi="宋体" w:eastAsia="宋体"/>
          <w:bCs/>
          <w:szCs w:val="21"/>
          <w:lang w:eastAsia="zh-CN"/>
        </w:rPr>
      </w:pPr>
      <w:r>
        <w:rPr>
          <w:rFonts w:hint="eastAsia" w:hAnsi="宋体"/>
          <w:bCs/>
          <w:szCs w:val="21"/>
        </w:rPr>
        <w:t>无</w:t>
      </w:r>
      <w:r>
        <w:rPr>
          <w:rFonts w:hint="eastAsia" w:hAnsi="宋体"/>
          <w:bCs/>
          <w:szCs w:val="21"/>
          <w:lang w:eastAsia="zh-CN"/>
        </w:rPr>
        <w:t>。</w:t>
      </w:r>
    </w:p>
    <w:p>
      <w:pPr>
        <w:spacing w:line="360" w:lineRule="auto"/>
        <w:rPr>
          <w:rFonts w:ascii="黑体" w:eastAsia="黑体"/>
          <w:bCs/>
        </w:rPr>
      </w:pPr>
      <w:r>
        <w:rPr>
          <w:rFonts w:hint="eastAsia" w:ascii="黑体" w:eastAsia="黑体"/>
          <w:bCs/>
        </w:rPr>
        <w:t>九、预期效果</w:t>
      </w:r>
    </w:p>
    <w:p>
      <w:pPr>
        <w:adjustRightInd w:val="0"/>
        <w:snapToGrid w:val="0"/>
        <w:spacing w:line="360" w:lineRule="auto"/>
        <w:ind w:firstLine="420" w:firstLineChars="200"/>
        <w:rPr>
          <w:rFonts w:eastAsia="方正行楷简体"/>
          <w:bCs/>
        </w:rPr>
      </w:pPr>
      <w:r>
        <w:rPr>
          <w:rFonts w:hint="eastAsia"/>
          <w:bCs/>
        </w:rPr>
        <w:t>本规范的制定使</w:t>
      </w:r>
      <w:r>
        <w:rPr>
          <w:rFonts w:hint="eastAsia"/>
          <w:bCs/>
          <w:lang w:eastAsia="zh-CN"/>
        </w:rPr>
        <w:t>采用</w:t>
      </w:r>
      <w:r>
        <w:rPr>
          <w:rFonts w:hint="eastAsia" w:ascii="宋体" w:hAnsi="宋体"/>
          <w:bCs/>
          <w:szCs w:val="21"/>
        </w:rPr>
        <w:t>闭路循环法的铝及铝合金液态测氢仪的</w:t>
      </w:r>
      <w:r>
        <w:rPr>
          <w:rFonts w:hint="eastAsia" w:ascii="宋体" w:eastAsia="方正行楷简体"/>
          <w:bCs/>
          <w:kern w:val="0"/>
          <w:szCs w:val="21"/>
        </w:rPr>
        <w:t>校准有了可靠依据。</w:t>
      </w:r>
    </w:p>
    <w:p>
      <w:pPr>
        <w:adjustRightInd w:val="0"/>
        <w:snapToGrid w:val="0"/>
        <w:spacing w:line="360" w:lineRule="auto"/>
        <w:rPr>
          <w:rFonts w:ascii="黑体" w:hAnsi="宋体" w:eastAsia="黑体"/>
          <w:bCs/>
          <w:szCs w:val="21"/>
        </w:rPr>
      </w:pPr>
      <w:r>
        <w:rPr>
          <w:rFonts w:hint="eastAsia" w:ascii="黑体" w:hAnsi="宋体" w:eastAsia="黑体"/>
          <w:bCs/>
          <w:szCs w:val="21"/>
        </w:rPr>
        <w:t>十、其他应予说明的事项</w:t>
      </w:r>
    </w:p>
    <w:p>
      <w:pPr>
        <w:spacing w:line="360" w:lineRule="auto"/>
        <w:ind w:firstLine="420" w:firstLineChars="200"/>
        <w:rPr>
          <w:rFonts w:hint="eastAsia" w:eastAsia="宋体"/>
          <w:bCs/>
          <w:lang w:eastAsia="zh-CN"/>
        </w:rPr>
      </w:pPr>
      <w:r>
        <w:rPr>
          <w:rFonts w:hint="eastAsia"/>
          <w:bCs/>
        </w:rPr>
        <w:t>无</w:t>
      </w:r>
      <w:r>
        <w:rPr>
          <w:rFonts w:hint="eastAsia"/>
          <w:bCs/>
          <w:lang w:eastAsia="zh-CN"/>
        </w:rPr>
        <w:t>。</w:t>
      </w:r>
    </w:p>
    <w:p>
      <w:pPr>
        <w:spacing w:line="360" w:lineRule="auto"/>
        <w:jc w:val="right"/>
        <w:rPr>
          <w:rFonts w:hint="eastAsia" w:asciiTheme="minorEastAsia" w:hAnsiTheme="minorEastAsia" w:eastAsiaTheme="minorEastAsia" w:cstheme="minorEastAsia"/>
          <w:bCs/>
          <w:sz w:val="21"/>
          <w:szCs w:val="21"/>
        </w:rPr>
      </w:pPr>
      <w:r>
        <w:rPr>
          <w:rFonts w:ascii="黑体" w:eastAsia="黑体"/>
          <w:bCs/>
        </w:rPr>
        <w:t xml:space="preserve">         </w:t>
      </w:r>
      <w:r>
        <w:rPr>
          <w:rFonts w:ascii="黑体" w:hAnsi="黑体" w:eastAsia="黑体"/>
          <w:bCs/>
        </w:rPr>
        <w:t xml:space="preserve">     </w:t>
      </w:r>
      <w:r>
        <w:rPr>
          <w:rFonts w:hint="eastAsia" w:asciiTheme="minorEastAsia" w:hAnsiTheme="minorEastAsia" w:eastAsiaTheme="minorEastAsia" w:cstheme="minorEastAsia"/>
          <w:bCs/>
          <w:sz w:val="21"/>
          <w:szCs w:val="21"/>
        </w:rPr>
        <w:t xml:space="preserve"> 《闭路循环法铝及铝合金液态测氢仪校准规范</w:t>
      </w:r>
      <w:r>
        <w:rPr>
          <w:rFonts w:hint="eastAsia" w:asciiTheme="minorEastAsia" w:hAnsiTheme="minorEastAsia" w:eastAsiaTheme="minorEastAsia" w:cstheme="minorEastAsia"/>
          <w:bCs/>
          <w:kern w:val="0"/>
          <w:sz w:val="21"/>
          <w:szCs w:val="21"/>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202</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09</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w:t>
                          </w:r>
                          <w:r>
                            <w:rPr>
                              <w:rFonts w:hint="eastAsia"/>
                              <w:lang w:eastAsia="zh-CN"/>
                            </w:rPr>
                            <w:t>，</w:t>
                          </w:r>
                          <w:r>
                            <w:rPr>
                              <w:rFonts w:hint="eastAsia"/>
                            </w:rPr>
                            <w:t>共</w:t>
                          </w:r>
                          <w:r>
                            <w:rPr>
                              <w:rFonts w:hint="eastAsia"/>
                              <w:lang w:val="en-US" w:eastAsia="zh-CN"/>
                            </w:rPr>
                            <w:t>5</w:t>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w:t>
                    </w:r>
                    <w:r>
                      <w:rPr>
                        <w:rFonts w:hint="eastAsia"/>
                        <w:lang w:eastAsia="zh-CN"/>
                      </w:rPr>
                      <w:t>，</w:t>
                    </w:r>
                    <w:r>
                      <w:rPr>
                        <w:rFonts w:hint="eastAsia"/>
                      </w:rPr>
                      <w:t>共</w:t>
                    </w:r>
                    <w:r>
                      <w:rPr>
                        <w:rFonts w:hint="eastAsia"/>
                        <w:lang w:val="en-US" w:eastAsia="zh-CN"/>
                      </w:rPr>
                      <w:t>5</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5OGE5ZmJiY2QzNjI4MzQ3ODk3MDEzMmRhYTI5ZmM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6115A22"/>
    <w:rsid w:val="107D20DA"/>
    <w:rsid w:val="11177CEA"/>
    <w:rsid w:val="11361588"/>
    <w:rsid w:val="137173C4"/>
    <w:rsid w:val="140509DA"/>
    <w:rsid w:val="154C457C"/>
    <w:rsid w:val="163F2D2D"/>
    <w:rsid w:val="1E4447E2"/>
    <w:rsid w:val="236269FD"/>
    <w:rsid w:val="24500F51"/>
    <w:rsid w:val="2B6A69EA"/>
    <w:rsid w:val="328D608E"/>
    <w:rsid w:val="33775400"/>
    <w:rsid w:val="34915439"/>
    <w:rsid w:val="36294EFF"/>
    <w:rsid w:val="36D36C96"/>
    <w:rsid w:val="3919095E"/>
    <w:rsid w:val="39EE7972"/>
    <w:rsid w:val="3A4420CD"/>
    <w:rsid w:val="3A6A7A9F"/>
    <w:rsid w:val="3ABF0D49"/>
    <w:rsid w:val="3B257E5C"/>
    <w:rsid w:val="3D7666EB"/>
    <w:rsid w:val="3E6C5004"/>
    <w:rsid w:val="3FFD4E6F"/>
    <w:rsid w:val="42CD2859"/>
    <w:rsid w:val="478C6A81"/>
    <w:rsid w:val="49ED573E"/>
    <w:rsid w:val="4BA4528F"/>
    <w:rsid w:val="4F803125"/>
    <w:rsid w:val="50EB4F43"/>
    <w:rsid w:val="50F608D8"/>
    <w:rsid w:val="519E65DF"/>
    <w:rsid w:val="52011B83"/>
    <w:rsid w:val="55C4507E"/>
    <w:rsid w:val="55CC27F2"/>
    <w:rsid w:val="56D11077"/>
    <w:rsid w:val="572C012C"/>
    <w:rsid w:val="588B31DD"/>
    <w:rsid w:val="5B2161F5"/>
    <w:rsid w:val="5BBE3B49"/>
    <w:rsid w:val="5BC318A6"/>
    <w:rsid w:val="5C3F34A1"/>
    <w:rsid w:val="635C4B8E"/>
    <w:rsid w:val="63824858"/>
    <w:rsid w:val="63963116"/>
    <w:rsid w:val="648F5C89"/>
    <w:rsid w:val="66471C44"/>
    <w:rsid w:val="66C7202B"/>
    <w:rsid w:val="67066B57"/>
    <w:rsid w:val="694A3A05"/>
    <w:rsid w:val="6B582ABA"/>
    <w:rsid w:val="6BE41A8E"/>
    <w:rsid w:val="6C0D48EE"/>
    <w:rsid w:val="6C715A3C"/>
    <w:rsid w:val="6D001F33"/>
    <w:rsid w:val="77266CAE"/>
    <w:rsid w:val="776A03D8"/>
    <w:rsid w:val="79E85EDE"/>
    <w:rsid w:val="7E0D45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字符"/>
    <w:basedOn w:val="17"/>
    <w:link w:val="2"/>
    <w:qFormat/>
    <w:locked/>
    <w:uiPriority w:val="99"/>
    <w:rPr>
      <w:rFonts w:ascii="Arial" w:hAnsi="Arial" w:eastAsia="黑体" w:cs="Times New Roman"/>
      <w:b/>
      <w:bCs/>
      <w:kern w:val="2"/>
      <w:sz w:val="32"/>
      <w:szCs w:val="32"/>
    </w:rPr>
  </w:style>
  <w:style w:type="character" w:customStyle="1" w:styleId="20">
    <w:name w:val="日期 字符"/>
    <w:basedOn w:val="17"/>
    <w:link w:val="6"/>
    <w:qFormat/>
    <w:locked/>
    <w:uiPriority w:val="99"/>
    <w:rPr>
      <w:rFonts w:cs="Times New Roman"/>
      <w:kern w:val="2"/>
      <w:sz w:val="24"/>
      <w:szCs w:val="24"/>
    </w:rPr>
  </w:style>
  <w:style w:type="character" w:customStyle="1" w:styleId="21">
    <w:name w:val="批注框文本 字符"/>
    <w:basedOn w:val="17"/>
    <w:link w:val="8"/>
    <w:qFormat/>
    <w:locked/>
    <w:uiPriority w:val="99"/>
    <w:rPr>
      <w:rFonts w:cs="Times New Roman"/>
      <w:kern w:val="2"/>
      <w:sz w:val="18"/>
      <w:szCs w:val="18"/>
    </w:rPr>
  </w:style>
  <w:style w:type="character" w:customStyle="1" w:styleId="22">
    <w:name w:val="页脚 字符"/>
    <w:basedOn w:val="17"/>
    <w:link w:val="9"/>
    <w:qFormat/>
    <w:locked/>
    <w:uiPriority w:val="99"/>
    <w:rPr>
      <w:rFonts w:cs="Times New Roman"/>
      <w:kern w:val="2"/>
      <w:sz w:val="18"/>
      <w:szCs w:val="18"/>
    </w:rPr>
  </w:style>
  <w:style w:type="character" w:customStyle="1" w:styleId="23">
    <w:name w:val="页眉 字符"/>
    <w:basedOn w:val="17"/>
    <w:link w:val="10"/>
    <w:semiHidden/>
    <w:qFormat/>
    <w:locked/>
    <w:uiPriority w:val="99"/>
    <w:rPr>
      <w:rFonts w:cs="Times New Roman"/>
      <w:sz w:val="18"/>
      <w:szCs w:val="18"/>
    </w:rPr>
  </w:style>
  <w:style w:type="character" w:customStyle="1" w:styleId="24">
    <w:name w:val="正文文本 2 字符"/>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semiHidden/>
    <w:qFormat/>
    <w:locked/>
    <w:uiPriority w:val="99"/>
    <w:rPr>
      <w:rFonts w:cs="Times New Roman"/>
      <w:sz w:val="24"/>
      <w:szCs w:val="24"/>
    </w:rPr>
  </w:style>
  <w:style w:type="character" w:customStyle="1" w:styleId="39">
    <w:name w:val="正文文本首行缩进 2 字符"/>
    <w:basedOn w:val="38"/>
    <w:link w:val="14"/>
    <w:semiHidden/>
    <w:qFormat/>
    <w:locked/>
    <w:uiPriority w:val="99"/>
    <w:rPr>
      <w:rFonts w:cs="Times New Roman"/>
      <w:sz w:val="24"/>
      <w:szCs w:val="24"/>
    </w:rPr>
  </w:style>
  <w:style w:type="character" w:customStyle="1" w:styleId="40">
    <w:name w:val="正文文本 字符"/>
    <w:basedOn w:val="17"/>
    <w:link w:val="4"/>
    <w:semiHidden/>
    <w:qFormat/>
    <w:locked/>
    <w:uiPriority w:val="99"/>
    <w:rPr>
      <w:rFonts w:cs="Times New Roman"/>
      <w:sz w:val="24"/>
      <w:szCs w:val="24"/>
    </w:rPr>
  </w:style>
  <w:style w:type="character" w:customStyle="1" w:styleId="41">
    <w:name w:val="正文文本首行缩进 字符"/>
    <w:basedOn w:val="40"/>
    <w:link w:val="13"/>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3843</Words>
  <Characters>4200</Characters>
  <Lines>3</Lines>
  <Paragraphs>8</Paragraphs>
  <TotalTime>1</TotalTime>
  <ScaleCrop>false</ScaleCrop>
  <LinksUpToDate>false</LinksUpToDate>
  <CharactersWithSpaces>4238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2013-05-26T06:25:00Z</cp:lastPrinted>
  <dcterms:modified xsi:type="dcterms:W3CDTF">2022-09-15T07:04:13Z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4091BFD2E95B40D5914C109ED45F4EA2</vt:lpwstr>
  </property>
</Properties>
</file>