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3A" w:rsidRDefault="00F577EE">
      <w:pPr>
        <w:spacing w:line="360" w:lineRule="auto"/>
        <w:rPr>
          <w:bCs/>
          <w:color w:val="000000"/>
          <w:sz w:val="28"/>
          <w:szCs w:val="28"/>
        </w:rPr>
      </w:pPr>
      <w:r>
        <w:rPr>
          <w:rFonts w:hint="eastAsia"/>
          <w:bCs/>
          <w:color w:val="000000"/>
          <w:sz w:val="28"/>
          <w:szCs w:val="28"/>
        </w:rPr>
        <w:t xml:space="preserve">                                                                                                                                                                                                                   </w:t>
      </w:r>
    </w:p>
    <w:p w:rsidR="00F55E3A" w:rsidRDefault="00F55E3A">
      <w:pPr>
        <w:spacing w:line="360" w:lineRule="auto"/>
        <w:rPr>
          <w:bCs/>
          <w:color w:val="000000"/>
          <w:sz w:val="28"/>
          <w:szCs w:val="28"/>
        </w:rPr>
      </w:pPr>
    </w:p>
    <w:p w:rsidR="00F55E3A" w:rsidRDefault="00F55E3A">
      <w:pPr>
        <w:spacing w:line="360" w:lineRule="auto"/>
        <w:rPr>
          <w:bCs/>
          <w:color w:val="000000"/>
          <w:sz w:val="28"/>
          <w:szCs w:val="28"/>
        </w:rPr>
      </w:pPr>
    </w:p>
    <w:p w:rsidR="00F55E3A" w:rsidRDefault="00F577EE">
      <w:pPr>
        <w:spacing w:line="360" w:lineRule="auto"/>
        <w:jc w:val="center"/>
        <w:rPr>
          <w:bCs/>
          <w:color w:val="000000"/>
          <w:sz w:val="52"/>
          <w:szCs w:val="52"/>
        </w:rPr>
      </w:pPr>
      <w:r>
        <w:rPr>
          <w:rFonts w:eastAsia="黑体"/>
          <w:bCs/>
          <w:color w:val="000000"/>
          <w:sz w:val="52"/>
          <w:szCs w:val="52"/>
        </w:rPr>
        <w:t>有色金属行业标准</w:t>
      </w:r>
    </w:p>
    <w:p w:rsidR="00F55E3A" w:rsidRDefault="00F577EE">
      <w:pPr>
        <w:spacing w:line="360" w:lineRule="auto"/>
        <w:jc w:val="center"/>
        <w:rPr>
          <w:rFonts w:eastAsia="黑体"/>
          <w:bCs/>
          <w:color w:val="000000"/>
          <w:sz w:val="44"/>
          <w:szCs w:val="44"/>
        </w:rPr>
      </w:pPr>
      <w:r>
        <w:rPr>
          <w:rFonts w:eastAsia="黑体" w:hint="eastAsia"/>
          <w:bCs/>
          <w:color w:val="000000"/>
          <w:sz w:val="44"/>
          <w:szCs w:val="44"/>
        </w:rPr>
        <w:t>硫化钴精矿</w:t>
      </w:r>
      <w:r>
        <w:rPr>
          <w:rFonts w:eastAsia="黑体"/>
          <w:bCs/>
          <w:color w:val="000000"/>
          <w:sz w:val="44"/>
          <w:szCs w:val="44"/>
        </w:rPr>
        <w:t>化学分析方法</w:t>
      </w:r>
    </w:p>
    <w:p w:rsidR="00F55E3A" w:rsidRDefault="00F577EE">
      <w:pPr>
        <w:spacing w:line="360" w:lineRule="auto"/>
        <w:jc w:val="center"/>
        <w:rPr>
          <w:rFonts w:eastAsia="黑体"/>
          <w:bCs/>
          <w:color w:val="000000"/>
          <w:sz w:val="44"/>
          <w:szCs w:val="44"/>
        </w:rPr>
      </w:pPr>
      <w:r>
        <w:rPr>
          <w:rFonts w:eastAsia="黑体"/>
          <w:bCs/>
          <w:color w:val="000000"/>
          <w:sz w:val="44"/>
          <w:szCs w:val="44"/>
        </w:rPr>
        <w:t>第</w:t>
      </w:r>
      <w:r>
        <w:rPr>
          <w:rFonts w:eastAsia="黑体" w:hint="eastAsia"/>
          <w:bCs/>
          <w:color w:val="000000"/>
          <w:sz w:val="44"/>
          <w:szCs w:val="44"/>
        </w:rPr>
        <w:t>2</w:t>
      </w:r>
      <w:r>
        <w:rPr>
          <w:rFonts w:eastAsia="黑体"/>
          <w:bCs/>
          <w:color w:val="000000"/>
          <w:sz w:val="44"/>
          <w:szCs w:val="44"/>
        </w:rPr>
        <w:t>部分：</w:t>
      </w:r>
      <w:r>
        <w:rPr>
          <w:rFonts w:eastAsia="黑体" w:hint="eastAsia"/>
          <w:bCs/>
          <w:color w:val="000000"/>
          <w:sz w:val="44"/>
          <w:szCs w:val="44"/>
        </w:rPr>
        <w:t>铜含</w:t>
      </w:r>
      <w:r>
        <w:rPr>
          <w:rFonts w:eastAsia="黑体"/>
          <w:bCs/>
          <w:color w:val="000000"/>
          <w:sz w:val="44"/>
          <w:szCs w:val="44"/>
        </w:rPr>
        <w:t>量的测定</w:t>
      </w:r>
    </w:p>
    <w:p w:rsidR="00F55E3A" w:rsidRDefault="00F577EE">
      <w:pPr>
        <w:spacing w:line="360" w:lineRule="auto"/>
        <w:jc w:val="center"/>
        <w:rPr>
          <w:rFonts w:eastAsia="黑体"/>
          <w:bCs/>
          <w:color w:val="000000"/>
          <w:sz w:val="44"/>
          <w:szCs w:val="44"/>
        </w:rPr>
      </w:pPr>
      <w:r>
        <w:rPr>
          <w:rFonts w:eastAsia="黑体" w:hint="eastAsia"/>
          <w:bCs/>
          <w:color w:val="000000"/>
          <w:sz w:val="44"/>
          <w:szCs w:val="44"/>
        </w:rPr>
        <w:t>火焰原子吸收光谱</w:t>
      </w:r>
      <w:r>
        <w:rPr>
          <w:rFonts w:eastAsia="黑体"/>
          <w:bCs/>
          <w:color w:val="000000"/>
          <w:sz w:val="44"/>
          <w:szCs w:val="44"/>
        </w:rPr>
        <w:t>法</w:t>
      </w:r>
      <w:r>
        <w:rPr>
          <w:rFonts w:eastAsia="黑体" w:hint="eastAsia"/>
          <w:bCs/>
          <w:color w:val="000000"/>
          <w:sz w:val="44"/>
          <w:szCs w:val="44"/>
        </w:rPr>
        <w:t>和碘量法</w:t>
      </w:r>
    </w:p>
    <w:p w:rsidR="00F55E3A" w:rsidRDefault="00F55E3A">
      <w:pPr>
        <w:spacing w:line="360" w:lineRule="auto"/>
        <w:rPr>
          <w:bCs/>
          <w:color w:val="000000"/>
          <w:sz w:val="44"/>
          <w:szCs w:val="44"/>
        </w:rPr>
      </w:pPr>
    </w:p>
    <w:p w:rsidR="00F55E3A" w:rsidRDefault="00F577EE">
      <w:pPr>
        <w:spacing w:line="360" w:lineRule="auto"/>
        <w:jc w:val="center"/>
        <w:rPr>
          <w:rFonts w:eastAsia="黑体"/>
          <w:bCs/>
          <w:color w:val="000000"/>
          <w:sz w:val="36"/>
          <w:szCs w:val="36"/>
        </w:rPr>
      </w:pPr>
      <w:r>
        <w:rPr>
          <w:rFonts w:eastAsia="黑体"/>
          <w:bCs/>
          <w:color w:val="000000"/>
          <w:sz w:val="36"/>
          <w:szCs w:val="36"/>
        </w:rPr>
        <w:t>编制说明</w:t>
      </w:r>
    </w:p>
    <w:p w:rsidR="00F55E3A" w:rsidRDefault="00F55E3A">
      <w:pPr>
        <w:spacing w:line="360" w:lineRule="auto"/>
        <w:rPr>
          <w:bCs/>
          <w:color w:val="000000"/>
          <w:sz w:val="28"/>
          <w:szCs w:val="28"/>
        </w:rPr>
      </w:pPr>
    </w:p>
    <w:p w:rsidR="00F55E3A" w:rsidRDefault="00F55E3A">
      <w:pPr>
        <w:spacing w:line="360" w:lineRule="auto"/>
        <w:rPr>
          <w:bCs/>
          <w:color w:val="000000"/>
          <w:sz w:val="28"/>
          <w:szCs w:val="28"/>
        </w:rPr>
      </w:pPr>
    </w:p>
    <w:p w:rsidR="00F55E3A" w:rsidRDefault="00F55E3A">
      <w:pPr>
        <w:spacing w:line="360" w:lineRule="auto"/>
        <w:rPr>
          <w:bCs/>
          <w:color w:val="000000"/>
          <w:sz w:val="28"/>
          <w:szCs w:val="28"/>
        </w:rPr>
      </w:pPr>
    </w:p>
    <w:p w:rsidR="00F55E3A" w:rsidRDefault="00F55E3A">
      <w:pPr>
        <w:spacing w:line="360" w:lineRule="auto"/>
        <w:rPr>
          <w:bCs/>
          <w:color w:val="000000"/>
          <w:sz w:val="28"/>
          <w:szCs w:val="28"/>
        </w:rPr>
      </w:pPr>
    </w:p>
    <w:p w:rsidR="00F55E3A" w:rsidRDefault="00F55E3A">
      <w:pPr>
        <w:spacing w:line="360" w:lineRule="auto"/>
        <w:rPr>
          <w:bCs/>
          <w:color w:val="000000"/>
          <w:sz w:val="28"/>
          <w:szCs w:val="28"/>
        </w:rPr>
      </w:pPr>
    </w:p>
    <w:p w:rsidR="00F55E3A" w:rsidRDefault="00F55E3A">
      <w:pPr>
        <w:spacing w:line="360" w:lineRule="auto"/>
        <w:rPr>
          <w:bCs/>
          <w:color w:val="000000"/>
          <w:sz w:val="28"/>
          <w:szCs w:val="28"/>
        </w:rPr>
      </w:pPr>
    </w:p>
    <w:p w:rsidR="00F55E3A" w:rsidRDefault="00F55E3A">
      <w:pPr>
        <w:spacing w:line="360" w:lineRule="auto"/>
        <w:rPr>
          <w:bCs/>
          <w:color w:val="000000"/>
          <w:sz w:val="28"/>
          <w:szCs w:val="28"/>
        </w:rPr>
      </w:pPr>
    </w:p>
    <w:p w:rsidR="00F55E3A" w:rsidRDefault="00F55E3A">
      <w:pPr>
        <w:spacing w:line="360" w:lineRule="auto"/>
        <w:rPr>
          <w:bCs/>
          <w:color w:val="000000"/>
          <w:sz w:val="28"/>
          <w:szCs w:val="28"/>
        </w:rPr>
      </w:pPr>
    </w:p>
    <w:p w:rsidR="00F55E3A" w:rsidRDefault="00F55E3A">
      <w:pPr>
        <w:spacing w:line="360" w:lineRule="auto"/>
        <w:rPr>
          <w:bCs/>
          <w:color w:val="000000"/>
          <w:sz w:val="28"/>
          <w:szCs w:val="28"/>
        </w:rPr>
      </w:pPr>
    </w:p>
    <w:p w:rsidR="00F55E3A" w:rsidRDefault="00F55E3A">
      <w:pPr>
        <w:spacing w:line="360" w:lineRule="auto"/>
        <w:jc w:val="center"/>
        <w:rPr>
          <w:bCs/>
          <w:color w:val="000000"/>
          <w:sz w:val="32"/>
          <w:szCs w:val="32"/>
        </w:rPr>
      </w:pPr>
    </w:p>
    <w:p w:rsidR="00F55E3A" w:rsidRDefault="00F577EE">
      <w:pPr>
        <w:spacing w:line="360" w:lineRule="auto"/>
        <w:jc w:val="center"/>
        <w:rPr>
          <w:bCs/>
          <w:color w:val="000000"/>
          <w:sz w:val="32"/>
          <w:szCs w:val="32"/>
        </w:rPr>
      </w:pPr>
      <w:r>
        <w:rPr>
          <w:rFonts w:hint="eastAsia"/>
          <w:bCs/>
          <w:color w:val="000000"/>
          <w:sz w:val="32"/>
          <w:szCs w:val="32"/>
        </w:rPr>
        <w:t>浙江华友钴业股份有限公司</w:t>
      </w:r>
    </w:p>
    <w:p w:rsidR="00F55E3A" w:rsidRDefault="00F577EE">
      <w:pPr>
        <w:spacing w:line="360" w:lineRule="auto"/>
        <w:jc w:val="center"/>
        <w:rPr>
          <w:bCs/>
          <w:color w:val="000000"/>
          <w:sz w:val="32"/>
          <w:szCs w:val="32"/>
        </w:rPr>
      </w:pPr>
      <w:r>
        <w:rPr>
          <w:rFonts w:hint="eastAsia"/>
          <w:bCs/>
          <w:color w:val="000000"/>
          <w:sz w:val="32"/>
          <w:szCs w:val="32"/>
        </w:rPr>
        <w:t>金川集团股份有限公司</w:t>
      </w:r>
    </w:p>
    <w:p w:rsidR="00F55E3A" w:rsidRDefault="00F577EE">
      <w:pPr>
        <w:spacing w:line="360" w:lineRule="auto"/>
        <w:jc w:val="center"/>
        <w:rPr>
          <w:bCs/>
          <w:color w:val="000000"/>
          <w:sz w:val="28"/>
          <w:szCs w:val="28"/>
        </w:rPr>
      </w:pPr>
      <w:r>
        <w:rPr>
          <w:rFonts w:hint="eastAsia"/>
          <w:bCs/>
          <w:color w:val="000000"/>
          <w:sz w:val="32"/>
          <w:szCs w:val="32"/>
        </w:rPr>
        <w:t>标准编制组</w:t>
      </w:r>
    </w:p>
    <w:p w:rsidR="00F55E3A" w:rsidRDefault="00F577EE">
      <w:pPr>
        <w:spacing w:line="360" w:lineRule="auto"/>
        <w:jc w:val="center"/>
        <w:rPr>
          <w:bCs/>
          <w:color w:val="000000"/>
          <w:sz w:val="28"/>
          <w:szCs w:val="28"/>
        </w:rPr>
      </w:pPr>
      <w:r>
        <w:rPr>
          <w:rFonts w:hint="eastAsia"/>
          <w:bCs/>
          <w:color w:val="000000"/>
          <w:sz w:val="28"/>
          <w:szCs w:val="28"/>
        </w:rPr>
        <w:t>202</w:t>
      </w:r>
      <w:r>
        <w:rPr>
          <w:bCs/>
          <w:color w:val="000000"/>
          <w:sz w:val="28"/>
          <w:szCs w:val="28"/>
        </w:rPr>
        <w:t>2</w:t>
      </w:r>
      <w:r>
        <w:rPr>
          <w:rFonts w:hint="eastAsia"/>
          <w:bCs/>
          <w:color w:val="000000"/>
          <w:sz w:val="28"/>
          <w:szCs w:val="28"/>
        </w:rPr>
        <w:t>年</w:t>
      </w:r>
      <w:r>
        <w:rPr>
          <w:rFonts w:hint="eastAsia"/>
          <w:bCs/>
          <w:color w:val="000000"/>
          <w:sz w:val="28"/>
          <w:szCs w:val="28"/>
        </w:rPr>
        <w:t>9</w:t>
      </w:r>
      <w:r>
        <w:rPr>
          <w:rFonts w:hint="eastAsia"/>
          <w:bCs/>
          <w:color w:val="000000"/>
          <w:sz w:val="28"/>
          <w:szCs w:val="28"/>
        </w:rPr>
        <w:t>月</w:t>
      </w:r>
    </w:p>
    <w:p w:rsidR="00F55E3A" w:rsidRDefault="00F55E3A">
      <w:pPr>
        <w:spacing w:line="360" w:lineRule="auto"/>
        <w:jc w:val="center"/>
        <w:rPr>
          <w:bCs/>
          <w:color w:val="000000"/>
          <w:sz w:val="28"/>
          <w:szCs w:val="28"/>
        </w:rPr>
      </w:pPr>
    </w:p>
    <w:p w:rsidR="00F55E3A" w:rsidRDefault="00F577EE">
      <w:pPr>
        <w:widowControl/>
        <w:jc w:val="center"/>
        <w:rPr>
          <w:sz w:val="32"/>
          <w:szCs w:val="32"/>
        </w:rPr>
      </w:pPr>
      <w:r>
        <w:rPr>
          <w:sz w:val="32"/>
          <w:szCs w:val="32"/>
        </w:rPr>
        <w:br w:type="page"/>
      </w:r>
    </w:p>
    <w:sdt>
      <w:sdtPr>
        <w:rPr>
          <w:rFonts w:ascii="Times New Roman" w:eastAsia="宋体" w:hAnsi="Times New Roman" w:cs="Times New Roman"/>
          <w:color w:val="auto"/>
          <w:kern w:val="2"/>
          <w:sz w:val="21"/>
          <w:szCs w:val="24"/>
          <w:lang w:val="zh-CN"/>
        </w:rPr>
        <w:id w:val="298574062"/>
        <w:docPartObj>
          <w:docPartGallery w:val="Table of Contents"/>
          <w:docPartUnique/>
        </w:docPartObj>
      </w:sdtPr>
      <w:sdtEndPr>
        <w:rPr>
          <w:b/>
          <w:bCs/>
        </w:rPr>
      </w:sdtEndPr>
      <w:sdtContent>
        <w:p w:rsidR="00F55E3A" w:rsidRDefault="00F577EE">
          <w:pPr>
            <w:pStyle w:val="TOC1"/>
            <w:jc w:val="center"/>
            <w:rPr>
              <w:rFonts w:ascii="黑体" w:eastAsia="黑体" w:hAnsi="黑体"/>
              <w:color w:val="auto"/>
            </w:rPr>
          </w:pPr>
          <w:r>
            <w:rPr>
              <w:rFonts w:ascii="黑体" w:eastAsia="黑体" w:hAnsi="黑体"/>
              <w:color w:val="auto"/>
              <w:lang w:val="zh-CN"/>
            </w:rPr>
            <w:t>目</w:t>
          </w:r>
          <w:r>
            <w:rPr>
              <w:rFonts w:ascii="黑体" w:eastAsia="黑体" w:hAnsi="黑体" w:hint="eastAsia"/>
              <w:color w:val="auto"/>
              <w:lang w:val="zh-CN"/>
            </w:rPr>
            <w:t xml:space="preserve"> </w:t>
          </w:r>
          <w:r>
            <w:rPr>
              <w:rFonts w:ascii="黑体" w:eastAsia="黑体" w:hAnsi="黑体"/>
              <w:color w:val="auto"/>
              <w:lang w:val="zh-CN"/>
            </w:rPr>
            <w:t xml:space="preserve"> 录</w:t>
          </w:r>
        </w:p>
        <w:p w:rsidR="00F55E3A" w:rsidRDefault="007B68B7">
          <w:pPr>
            <w:pStyle w:val="10"/>
            <w:rPr>
              <w:rFonts w:asciiTheme="minorEastAsia" w:eastAsiaTheme="minorEastAsia" w:hAnsiTheme="minorEastAsia"/>
            </w:rPr>
          </w:pPr>
          <w:r w:rsidRPr="007B68B7">
            <w:fldChar w:fldCharType="begin"/>
          </w:r>
          <w:r w:rsidR="00F577EE">
            <w:instrText xml:space="preserve"> TOC \o "1-3" \h \z \u </w:instrText>
          </w:r>
          <w:r w:rsidRPr="007B68B7">
            <w:fldChar w:fldCharType="separate"/>
          </w:r>
          <w:hyperlink w:anchor="_Toc111022813" w:history="1">
            <w:r w:rsidR="00F577EE">
              <w:rPr>
                <w:rStyle w:val="ac"/>
                <w:rFonts w:asciiTheme="minorEastAsia" w:eastAsiaTheme="minorEastAsia" w:hAnsiTheme="minorEastAsia"/>
              </w:rPr>
              <w:t>一、工作简况</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_Toc111022813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w:t>
            </w:r>
            <w:r>
              <w:rPr>
                <w:rFonts w:asciiTheme="minorEastAsia" w:eastAsiaTheme="minorEastAsia" w:hAnsiTheme="minorEastAsia"/>
              </w:rPr>
              <w:fldChar w:fldCharType="end"/>
            </w:r>
          </w:hyperlink>
        </w:p>
        <w:p w:rsidR="00F55E3A" w:rsidRDefault="007B68B7">
          <w:pPr>
            <w:pStyle w:val="10"/>
            <w:rPr>
              <w:rFonts w:asciiTheme="minorEastAsia" w:eastAsiaTheme="minorEastAsia" w:hAnsiTheme="minorEastAsia"/>
            </w:rPr>
          </w:pPr>
          <w:hyperlink w:anchor="_Toc111022814" w:history="1">
            <w:r w:rsidR="00F577EE">
              <w:rPr>
                <w:rStyle w:val="ac"/>
                <w:rFonts w:asciiTheme="minorEastAsia" w:eastAsiaTheme="minorEastAsia" w:hAnsiTheme="minorEastAsia"/>
              </w:rPr>
              <w:t>（一）任务来源</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_Toc111022814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w:t>
            </w:r>
            <w:r>
              <w:rPr>
                <w:rFonts w:asciiTheme="minorEastAsia" w:eastAsiaTheme="minorEastAsia" w:hAnsiTheme="minorEastAsia"/>
              </w:rPr>
              <w:fldChar w:fldCharType="end"/>
            </w:r>
          </w:hyperlink>
        </w:p>
        <w:p w:rsidR="00F55E3A" w:rsidRDefault="007B68B7">
          <w:pPr>
            <w:pStyle w:val="10"/>
            <w:rPr>
              <w:rFonts w:asciiTheme="minorEastAsia" w:eastAsiaTheme="minorEastAsia" w:hAnsiTheme="minorEastAsia"/>
            </w:rPr>
          </w:pPr>
          <w:hyperlink w:anchor="_Toc111022815" w:history="1">
            <w:r w:rsidR="00F577EE">
              <w:rPr>
                <w:rStyle w:val="ac"/>
                <w:rFonts w:asciiTheme="minorEastAsia" w:eastAsiaTheme="minorEastAsia" w:hAnsiTheme="minorEastAsia"/>
              </w:rPr>
              <w:t>（二）主要参加单位和工作组成员及其所做的工作</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_Toc111022815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w:t>
            </w:r>
            <w:r>
              <w:rPr>
                <w:rFonts w:asciiTheme="minorEastAsia" w:eastAsiaTheme="minorEastAsia" w:hAnsiTheme="minorEastAsia"/>
              </w:rPr>
              <w:fldChar w:fldCharType="end"/>
            </w:r>
          </w:hyperlink>
        </w:p>
        <w:p w:rsidR="00F55E3A" w:rsidRDefault="007B68B7">
          <w:pPr>
            <w:pStyle w:val="3"/>
            <w:tabs>
              <w:tab w:val="right" w:leader="dot" w:pos="9345"/>
            </w:tabs>
            <w:rPr>
              <w:rFonts w:asciiTheme="minorEastAsia" w:eastAsiaTheme="minorEastAsia" w:hAnsiTheme="minorEastAsia"/>
            </w:rPr>
          </w:pPr>
          <w:hyperlink w:anchor="_Toc111022816" w:history="1">
            <w:r w:rsidR="00F577EE">
              <w:rPr>
                <w:rStyle w:val="ac"/>
                <w:rFonts w:asciiTheme="minorEastAsia" w:eastAsiaTheme="minorEastAsia" w:hAnsiTheme="minorEastAsia"/>
              </w:rPr>
              <w:t>1</w:t>
            </w:r>
            <w:r w:rsidR="00F577EE">
              <w:rPr>
                <w:rStyle w:val="ac"/>
                <w:rFonts w:asciiTheme="minorEastAsia" w:eastAsiaTheme="minorEastAsia" w:hAnsiTheme="minorEastAsia" w:hint="eastAsia"/>
              </w:rPr>
              <w:t>、</w:t>
            </w:r>
            <w:r w:rsidR="00F577EE">
              <w:rPr>
                <w:rStyle w:val="ac"/>
                <w:rFonts w:asciiTheme="minorEastAsia" w:eastAsiaTheme="minorEastAsia" w:hAnsiTheme="minorEastAsia"/>
              </w:rPr>
              <w:t>主要参加单位情况</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_Toc111022816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w:t>
            </w:r>
            <w:r>
              <w:rPr>
                <w:rFonts w:asciiTheme="minorEastAsia" w:eastAsiaTheme="minorEastAsia" w:hAnsiTheme="minorEastAsia"/>
              </w:rPr>
              <w:fldChar w:fldCharType="end"/>
            </w:r>
          </w:hyperlink>
        </w:p>
        <w:p w:rsidR="00F55E3A" w:rsidRDefault="007B68B7">
          <w:pPr>
            <w:pStyle w:val="3"/>
            <w:tabs>
              <w:tab w:val="right" w:leader="dot" w:pos="9345"/>
            </w:tabs>
            <w:rPr>
              <w:rFonts w:asciiTheme="minorEastAsia" w:eastAsiaTheme="minorEastAsia" w:hAnsiTheme="minorEastAsia"/>
            </w:rPr>
          </w:pPr>
          <w:hyperlink w:anchor="_Toc111022817" w:history="1">
            <w:r w:rsidR="00F577EE">
              <w:rPr>
                <w:rStyle w:val="ac"/>
                <w:rFonts w:asciiTheme="minorEastAsia" w:eastAsiaTheme="minorEastAsia" w:hAnsiTheme="minorEastAsia"/>
              </w:rPr>
              <w:t>2</w:t>
            </w:r>
            <w:r w:rsidR="00F577EE">
              <w:rPr>
                <w:rStyle w:val="ac"/>
                <w:rFonts w:asciiTheme="minorEastAsia" w:eastAsiaTheme="minorEastAsia" w:hAnsiTheme="minorEastAsia" w:hint="eastAsia"/>
              </w:rPr>
              <w:t>、</w:t>
            </w:r>
            <w:r w:rsidR="00F577EE">
              <w:rPr>
                <w:rStyle w:val="ac"/>
                <w:rFonts w:asciiTheme="minorEastAsia" w:eastAsiaTheme="minorEastAsia" w:hAnsiTheme="minorEastAsia"/>
              </w:rPr>
              <w:t>主要工作成员所负责的工作情况</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_Toc111022817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2</w:t>
            </w:r>
            <w:r>
              <w:rPr>
                <w:rFonts w:asciiTheme="minorEastAsia" w:eastAsiaTheme="minorEastAsia" w:hAnsiTheme="minorEastAsia"/>
              </w:rPr>
              <w:fldChar w:fldCharType="end"/>
            </w:r>
          </w:hyperlink>
        </w:p>
        <w:p w:rsidR="00F55E3A" w:rsidRDefault="007B68B7">
          <w:pPr>
            <w:pStyle w:val="10"/>
            <w:rPr>
              <w:rFonts w:asciiTheme="minorEastAsia" w:eastAsiaTheme="minorEastAsia" w:hAnsiTheme="minorEastAsia"/>
            </w:rPr>
          </w:pPr>
          <w:hyperlink w:anchor="_Toc111022818" w:history="1">
            <w:r w:rsidR="00F577EE">
              <w:rPr>
                <w:rStyle w:val="ac"/>
                <w:rFonts w:asciiTheme="minorEastAsia" w:eastAsiaTheme="minorEastAsia" w:hAnsiTheme="minorEastAsia"/>
              </w:rPr>
              <w:t>（三）主要工作过程</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_Toc111022818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2</w:t>
            </w:r>
            <w:r>
              <w:rPr>
                <w:rFonts w:asciiTheme="minorEastAsia" w:eastAsiaTheme="minorEastAsia" w:hAnsiTheme="minorEastAsia"/>
              </w:rPr>
              <w:fldChar w:fldCharType="end"/>
            </w:r>
          </w:hyperlink>
        </w:p>
        <w:p w:rsidR="00F55E3A" w:rsidRDefault="007B68B7">
          <w:pPr>
            <w:pStyle w:val="3"/>
            <w:tabs>
              <w:tab w:val="right" w:leader="dot" w:pos="9345"/>
            </w:tabs>
            <w:rPr>
              <w:rFonts w:asciiTheme="minorEastAsia" w:eastAsiaTheme="minorEastAsia" w:hAnsiTheme="minorEastAsia"/>
            </w:rPr>
          </w:pPr>
          <w:hyperlink w:anchor="_Toc111022819" w:history="1">
            <w:r w:rsidR="00F577EE">
              <w:rPr>
                <w:rStyle w:val="ac"/>
                <w:rFonts w:asciiTheme="minorEastAsia" w:eastAsiaTheme="minorEastAsia" w:hAnsiTheme="minorEastAsia"/>
              </w:rPr>
              <w:t>1</w:t>
            </w:r>
            <w:r w:rsidR="00F577EE">
              <w:rPr>
                <w:rStyle w:val="ac"/>
                <w:rFonts w:asciiTheme="minorEastAsia" w:eastAsiaTheme="minorEastAsia" w:hAnsiTheme="minorEastAsia" w:hint="eastAsia"/>
              </w:rPr>
              <w:t>、</w:t>
            </w:r>
            <w:r w:rsidR="00F577EE">
              <w:rPr>
                <w:rStyle w:val="ac"/>
                <w:rFonts w:asciiTheme="minorEastAsia" w:eastAsiaTheme="minorEastAsia" w:hAnsiTheme="minorEastAsia"/>
              </w:rPr>
              <w:t>预研阶段</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_Toc111022819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2</w:t>
            </w:r>
            <w:r>
              <w:rPr>
                <w:rFonts w:asciiTheme="minorEastAsia" w:eastAsiaTheme="minorEastAsia" w:hAnsiTheme="minorEastAsia"/>
              </w:rPr>
              <w:fldChar w:fldCharType="end"/>
            </w:r>
          </w:hyperlink>
        </w:p>
        <w:p w:rsidR="00F55E3A" w:rsidRDefault="007B68B7">
          <w:pPr>
            <w:pStyle w:val="3"/>
            <w:tabs>
              <w:tab w:val="right" w:leader="dot" w:pos="9345"/>
            </w:tabs>
            <w:rPr>
              <w:rFonts w:asciiTheme="minorEastAsia" w:eastAsiaTheme="minorEastAsia" w:hAnsiTheme="minorEastAsia"/>
            </w:rPr>
          </w:pPr>
          <w:hyperlink w:anchor="_Toc111022820" w:history="1">
            <w:r w:rsidR="00F577EE">
              <w:rPr>
                <w:rStyle w:val="ac"/>
                <w:rFonts w:asciiTheme="minorEastAsia" w:eastAsiaTheme="minorEastAsia" w:hAnsiTheme="minorEastAsia"/>
              </w:rPr>
              <w:t>2</w:t>
            </w:r>
            <w:r w:rsidR="00F577EE">
              <w:rPr>
                <w:rStyle w:val="ac"/>
                <w:rFonts w:asciiTheme="minorEastAsia" w:eastAsiaTheme="minorEastAsia" w:hAnsiTheme="minorEastAsia" w:hint="eastAsia"/>
              </w:rPr>
              <w:t>、</w:t>
            </w:r>
            <w:r w:rsidR="00F577EE">
              <w:rPr>
                <w:rStyle w:val="ac"/>
                <w:rFonts w:asciiTheme="minorEastAsia" w:eastAsiaTheme="minorEastAsia" w:hAnsiTheme="minorEastAsia"/>
              </w:rPr>
              <w:t>立项阶段</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_Toc111022820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2</w:t>
            </w:r>
            <w:r>
              <w:rPr>
                <w:rFonts w:asciiTheme="minorEastAsia" w:eastAsiaTheme="minorEastAsia" w:hAnsiTheme="minorEastAsia"/>
              </w:rPr>
              <w:fldChar w:fldCharType="end"/>
            </w:r>
          </w:hyperlink>
        </w:p>
        <w:p w:rsidR="00F55E3A" w:rsidRDefault="007B68B7">
          <w:pPr>
            <w:pStyle w:val="3"/>
            <w:tabs>
              <w:tab w:val="right" w:leader="dot" w:pos="9345"/>
            </w:tabs>
            <w:rPr>
              <w:rFonts w:asciiTheme="minorEastAsia" w:eastAsiaTheme="minorEastAsia" w:hAnsiTheme="minorEastAsia"/>
            </w:rPr>
          </w:pPr>
          <w:hyperlink w:anchor="_Toc111022821" w:history="1">
            <w:r w:rsidR="00F577EE">
              <w:rPr>
                <w:rStyle w:val="ac"/>
                <w:rFonts w:asciiTheme="minorEastAsia" w:eastAsiaTheme="minorEastAsia" w:hAnsiTheme="minorEastAsia"/>
              </w:rPr>
              <w:t>3</w:t>
            </w:r>
            <w:r w:rsidR="00F577EE">
              <w:rPr>
                <w:rStyle w:val="ac"/>
                <w:rFonts w:asciiTheme="minorEastAsia" w:eastAsiaTheme="minorEastAsia" w:hAnsiTheme="minorEastAsia" w:hint="eastAsia"/>
              </w:rPr>
              <w:t>、</w:t>
            </w:r>
            <w:r w:rsidR="00F577EE">
              <w:rPr>
                <w:rStyle w:val="ac"/>
                <w:rFonts w:asciiTheme="minorEastAsia" w:eastAsiaTheme="minorEastAsia" w:hAnsiTheme="minorEastAsia"/>
              </w:rPr>
              <w:t>起草阶段</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_Toc111022821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2</w:t>
            </w:r>
            <w:r>
              <w:rPr>
                <w:rFonts w:asciiTheme="minorEastAsia" w:eastAsiaTheme="minorEastAsia" w:hAnsiTheme="minorEastAsia"/>
              </w:rPr>
              <w:fldChar w:fldCharType="end"/>
            </w:r>
          </w:hyperlink>
        </w:p>
        <w:p w:rsidR="00F55E3A" w:rsidRDefault="007B68B7">
          <w:pPr>
            <w:pStyle w:val="3"/>
            <w:tabs>
              <w:tab w:val="right" w:leader="dot" w:pos="9345"/>
            </w:tabs>
            <w:rPr>
              <w:rFonts w:asciiTheme="minorEastAsia" w:eastAsiaTheme="minorEastAsia" w:hAnsiTheme="minorEastAsia"/>
            </w:rPr>
          </w:pPr>
          <w:hyperlink w:anchor="_Toc111022822" w:history="1">
            <w:r w:rsidR="00F577EE">
              <w:rPr>
                <w:rStyle w:val="ac"/>
                <w:rFonts w:asciiTheme="minorEastAsia" w:eastAsiaTheme="minorEastAsia" w:hAnsiTheme="minorEastAsia"/>
              </w:rPr>
              <w:t>4</w:t>
            </w:r>
            <w:r w:rsidR="00F577EE">
              <w:rPr>
                <w:rStyle w:val="ac"/>
                <w:rFonts w:asciiTheme="minorEastAsia" w:eastAsiaTheme="minorEastAsia" w:hAnsiTheme="minorEastAsia" w:hint="eastAsia"/>
              </w:rPr>
              <w:t>、</w:t>
            </w:r>
            <w:r w:rsidR="00F577EE">
              <w:rPr>
                <w:rStyle w:val="ac"/>
                <w:rFonts w:asciiTheme="minorEastAsia" w:eastAsiaTheme="minorEastAsia" w:hAnsiTheme="minorEastAsia"/>
              </w:rPr>
              <w:t>征求意见阶段</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_Toc111022822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5</w:t>
            </w:r>
            <w:r>
              <w:rPr>
                <w:rFonts w:asciiTheme="minorEastAsia" w:eastAsiaTheme="minorEastAsia" w:hAnsiTheme="minorEastAsia"/>
              </w:rPr>
              <w:fldChar w:fldCharType="end"/>
            </w:r>
          </w:hyperlink>
        </w:p>
        <w:p w:rsidR="00F55E3A" w:rsidRDefault="007B68B7">
          <w:pPr>
            <w:pStyle w:val="3"/>
            <w:tabs>
              <w:tab w:val="right" w:leader="dot" w:pos="9345"/>
            </w:tabs>
            <w:rPr>
              <w:rFonts w:asciiTheme="minorEastAsia" w:eastAsiaTheme="minorEastAsia" w:hAnsiTheme="minorEastAsia"/>
            </w:rPr>
          </w:pPr>
          <w:hyperlink w:anchor="_Toc111022823" w:history="1">
            <w:r w:rsidR="00F577EE">
              <w:rPr>
                <w:rStyle w:val="ac"/>
                <w:rFonts w:asciiTheme="minorEastAsia" w:eastAsiaTheme="minorEastAsia" w:hAnsiTheme="minorEastAsia"/>
              </w:rPr>
              <w:t>5</w:t>
            </w:r>
            <w:r w:rsidR="00F577EE">
              <w:rPr>
                <w:rStyle w:val="ac"/>
                <w:rFonts w:asciiTheme="minorEastAsia" w:eastAsiaTheme="minorEastAsia" w:hAnsiTheme="minorEastAsia" w:hint="eastAsia"/>
              </w:rPr>
              <w:t>、</w:t>
            </w:r>
            <w:r w:rsidR="00F577EE">
              <w:rPr>
                <w:rStyle w:val="ac"/>
                <w:rFonts w:asciiTheme="minorEastAsia" w:eastAsiaTheme="minorEastAsia" w:hAnsiTheme="minorEastAsia"/>
              </w:rPr>
              <w:t>审查阶段</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_Toc111022823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5</w:t>
            </w:r>
            <w:r>
              <w:rPr>
                <w:rFonts w:asciiTheme="minorEastAsia" w:eastAsiaTheme="minorEastAsia" w:hAnsiTheme="minorEastAsia"/>
              </w:rPr>
              <w:fldChar w:fldCharType="end"/>
            </w:r>
          </w:hyperlink>
        </w:p>
        <w:p w:rsidR="00F55E3A" w:rsidRDefault="007B68B7">
          <w:pPr>
            <w:pStyle w:val="3"/>
            <w:tabs>
              <w:tab w:val="right" w:leader="dot" w:pos="9345"/>
            </w:tabs>
            <w:rPr>
              <w:rFonts w:asciiTheme="minorEastAsia" w:eastAsiaTheme="minorEastAsia" w:hAnsiTheme="minorEastAsia"/>
            </w:rPr>
          </w:pPr>
          <w:hyperlink w:anchor="_Toc111022824" w:history="1">
            <w:r w:rsidR="00F577EE">
              <w:rPr>
                <w:rStyle w:val="ac"/>
                <w:rFonts w:asciiTheme="minorEastAsia" w:eastAsiaTheme="minorEastAsia" w:hAnsiTheme="minorEastAsia"/>
              </w:rPr>
              <w:t>6</w:t>
            </w:r>
            <w:r w:rsidR="00F577EE">
              <w:rPr>
                <w:rStyle w:val="ac"/>
                <w:rFonts w:asciiTheme="minorEastAsia" w:eastAsiaTheme="minorEastAsia" w:hAnsiTheme="minorEastAsia" w:hint="eastAsia"/>
              </w:rPr>
              <w:t>、</w:t>
            </w:r>
            <w:r w:rsidR="00F577EE">
              <w:rPr>
                <w:rStyle w:val="ac"/>
                <w:rFonts w:asciiTheme="minorEastAsia" w:eastAsiaTheme="minorEastAsia" w:hAnsiTheme="minorEastAsia"/>
              </w:rPr>
              <w:t>报批阶段</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_Toc111022824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6</w:t>
            </w:r>
            <w:r>
              <w:rPr>
                <w:rFonts w:asciiTheme="minorEastAsia" w:eastAsiaTheme="minorEastAsia" w:hAnsiTheme="minorEastAsia"/>
              </w:rPr>
              <w:fldChar w:fldCharType="end"/>
            </w:r>
          </w:hyperlink>
        </w:p>
        <w:p w:rsidR="00F55E3A" w:rsidRDefault="007B68B7">
          <w:pPr>
            <w:pStyle w:val="10"/>
            <w:rPr>
              <w:rFonts w:asciiTheme="minorEastAsia" w:eastAsiaTheme="minorEastAsia" w:hAnsiTheme="minorEastAsia"/>
            </w:rPr>
          </w:pPr>
          <w:hyperlink w:anchor="_Toc111022825" w:history="1">
            <w:r w:rsidR="00F577EE">
              <w:rPr>
                <w:rStyle w:val="ac"/>
                <w:rFonts w:asciiTheme="minorEastAsia" w:eastAsiaTheme="minorEastAsia" w:hAnsiTheme="minorEastAsia"/>
              </w:rPr>
              <w:t>二、标准编制原则</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_Toc111022825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6</w:t>
            </w:r>
            <w:r>
              <w:rPr>
                <w:rFonts w:asciiTheme="minorEastAsia" w:eastAsiaTheme="minorEastAsia" w:hAnsiTheme="minorEastAsia"/>
              </w:rPr>
              <w:fldChar w:fldCharType="end"/>
            </w:r>
          </w:hyperlink>
        </w:p>
        <w:p w:rsidR="00F55E3A" w:rsidRDefault="007B68B7">
          <w:pPr>
            <w:pStyle w:val="2"/>
            <w:tabs>
              <w:tab w:val="right" w:leader="dot" w:pos="9345"/>
            </w:tabs>
            <w:rPr>
              <w:rFonts w:asciiTheme="minorEastAsia" w:eastAsiaTheme="minorEastAsia" w:hAnsiTheme="minorEastAsia"/>
            </w:rPr>
          </w:pPr>
          <w:hyperlink w:anchor="_Toc111022826" w:history="1">
            <w:r w:rsidR="00F577EE">
              <w:rPr>
                <w:rStyle w:val="ac"/>
                <w:rFonts w:asciiTheme="minorEastAsia" w:eastAsiaTheme="minorEastAsia" w:hAnsiTheme="minorEastAsia"/>
              </w:rPr>
              <w:t>（一）预期目标</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_Toc111022826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6</w:t>
            </w:r>
            <w:r>
              <w:rPr>
                <w:rFonts w:asciiTheme="minorEastAsia" w:eastAsiaTheme="minorEastAsia" w:hAnsiTheme="minorEastAsia"/>
              </w:rPr>
              <w:fldChar w:fldCharType="end"/>
            </w:r>
          </w:hyperlink>
        </w:p>
        <w:p w:rsidR="00F55E3A" w:rsidRDefault="007B68B7">
          <w:pPr>
            <w:pStyle w:val="2"/>
            <w:tabs>
              <w:tab w:val="right" w:leader="dot" w:pos="9345"/>
            </w:tabs>
            <w:rPr>
              <w:rFonts w:asciiTheme="minorEastAsia" w:eastAsiaTheme="minorEastAsia" w:hAnsiTheme="minorEastAsia"/>
            </w:rPr>
          </w:pPr>
          <w:hyperlink w:anchor="_Toc111022827" w:history="1">
            <w:r w:rsidR="00F577EE">
              <w:rPr>
                <w:rStyle w:val="ac"/>
                <w:rFonts w:asciiTheme="minorEastAsia" w:eastAsiaTheme="minorEastAsia" w:hAnsiTheme="minorEastAsia"/>
              </w:rPr>
              <w:t>（二）主要技术路线</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_Toc111022827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6</w:t>
            </w:r>
            <w:r>
              <w:rPr>
                <w:rFonts w:asciiTheme="minorEastAsia" w:eastAsiaTheme="minorEastAsia" w:hAnsiTheme="minorEastAsia"/>
              </w:rPr>
              <w:fldChar w:fldCharType="end"/>
            </w:r>
          </w:hyperlink>
        </w:p>
        <w:p w:rsidR="00F55E3A" w:rsidRDefault="007B68B7">
          <w:pPr>
            <w:pStyle w:val="10"/>
            <w:rPr>
              <w:rFonts w:asciiTheme="minorEastAsia" w:eastAsiaTheme="minorEastAsia" w:hAnsiTheme="minorEastAsia"/>
            </w:rPr>
          </w:pPr>
          <w:hyperlink w:anchor="_Toc111022828" w:history="1">
            <w:r w:rsidR="00F577EE">
              <w:rPr>
                <w:rStyle w:val="ac"/>
                <w:rFonts w:asciiTheme="minorEastAsia" w:eastAsiaTheme="minorEastAsia" w:hAnsiTheme="minorEastAsia"/>
              </w:rPr>
              <w:t>三、</w:t>
            </w:r>
            <w:r w:rsidR="00F577EE">
              <w:rPr>
                <w:rFonts w:asciiTheme="minorEastAsia" w:eastAsiaTheme="minorEastAsia" w:hAnsiTheme="minorEastAsia"/>
              </w:rPr>
              <w:tab/>
            </w:r>
            <w:r w:rsidR="00F577EE">
              <w:rPr>
                <w:rStyle w:val="ac"/>
                <w:rFonts w:asciiTheme="minorEastAsia" w:eastAsiaTheme="minorEastAsia" w:hAnsiTheme="minorEastAsia"/>
              </w:rPr>
              <w:t>标准主要内容的确定依据及主要试验和验证情况分析</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_Toc111022828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6</w:t>
            </w:r>
            <w:r>
              <w:rPr>
                <w:rFonts w:asciiTheme="minorEastAsia" w:eastAsiaTheme="minorEastAsia" w:hAnsiTheme="minorEastAsia"/>
              </w:rPr>
              <w:fldChar w:fldCharType="end"/>
            </w:r>
          </w:hyperlink>
        </w:p>
        <w:p w:rsidR="00F55E3A" w:rsidRDefault="007B68B7">
          <w:pPr>
            <w:pStyle w:val="2"/>
            <w:tabs>
              <w:tab w:val="right" w:leader="dot" w:pos="9345"/>
            </w:tabs>
            <w:rPr>
              <w:rFonts w:asciiTheme="minorEastAsia" w:eastAsiaTheme="minorEastAsia" w:hAnsiTheme="minorEastAsia"/>
            </w:rPr>
          </w:pPr>
          <w:hyperlink w:anchor="_Toc111022829" w:history="1">
            <w:r w:rsidR="00F577EE">
              <w:rPr>
                <w:rStyle w:val="ac"/>
                <w:rFonts w:asciiTheme="minorEastAsia" w:eastAsiaTheme="minorEastAsia" w:hAnsiTheme="minorEastAsia"/>
              </w:rPr>
              <w:t>（一）起草、验证阶段</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_Toc111022829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6</w:t>
            </w:r>
            <w:r>
              <w:rPr>
                <w:rFonts w:asciiTheme="minorEastAsia" w:eastAsiaTheme="minorEastAsia" w:hAnsiTheme="minorEastAsia"/>
              </w:rPr>
              <w:fldChar w:fldCharType="end"/>
            </w:r>
          </w:hyperlink>
        </w:p>
        <w:p w:rsidR="00F55E3A" w:rsidRDefault="007B68B7">
          <w:pPr>
            <w:pStyle w:val="3"/>
            <w:tabs>
              <w:tab w:val="right" w:leader="dot" w:pos="9345"/>
            </w:tabs>
            <w:rPr>
              <w:rFonts w:asciiTheme="minorEastAsia" w:eastAsiaTheme="minorEastAsia" w:hAnsiTheme="minorEastAsia"/>
            </w:rPr>
          </w:pPr>
          <w:hyperlink w:anchor="_Toc111022830" w:history="1">
            <w:r w:rsidR="00F577EE">
              <w:rPr>
                <w:rStyle w:val="ac"/>
                <w:rFonts w:asciiTheme="minorEastAsia" w:eastAsiaTheme="minorEastAsia" w:hAnsiTheme="minorEastAsia"/>
              </w:rPr>
              <w:t>1</w:t>
            </w:r>
            <w:r w:rsidR="00F577EE">
              <w:rPr>
                <w:rStyle w:val="ac"/>
                <w:rFonts w:asciiTheme="minorEastAsia" w:eastAsiaTheme="minorEastAsia" w:hAnsiTheme="minorEastAsia" w:hint="eastAsia"/>
              </w:rPr>
              <w:t>、</w:t>
            </w:r>
            <w:r w:rsidR="00F577EE">
              <w:rPr>
                <w:rStyle w:val="ac"/>
                <w:rFonts w:asciiTheme="minorEastAsia" w:eastAsiaTheme="minorEastAsia" w:hAnsiTheme="minorEastAsia"/>
              </w:rPr>
              <w:t>方法1 火焰原子吸收法</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_Toc111022830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6</w:t>
            </w:r>
            <w:r>
              <w:rPr>
                <w:rFonts w:asciiTheme="minorEastAsia" w:eastAsiaTheme="minorEastAsia" w:hAnsiTheme="minorEastAsia"/>
              </w:rPr>
              <w:fldChar w:fldCharType="end"/>
            </w:r>
          </w:hyperlink>
        </w:p>
        <w:p w:rsidR="00F55E3A" w:rsidRDefault="007B68B7">
          <w:pPr>
            <w:pStyle w:val="3"/>
            <w:tabs>
              <w:tab w:val="right" w:leader="dot" w:pos="9345"/>
            </w:tabs>
            <w:rPr>
              <w:rFonts w:asciiTheme="minorEastAsia" w:eastAsiaTheme="minorEastAsia" w:hAnsiTheme="minorEastAsia"/>
            </w:rPr>
          </w:pPr>
          <w:hyperlink w:anchor="_Toc111022831" w:history="1">
            <w:r w:rsidR="00F577EE">
              <w:rPr>
                <w:rStyle w:val="ac"/>
                <w:rFonts w:asciiTheme="minorEastAsia" w:eastAsiaTheme="minorEastAsia" w:hAnsiTheme="minorEastAsia"/>
              </w:rPr>
              <w:t>2、方法2 碘量法</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_Toc111022831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7</w:t>
            </w:r>
            <w:r>
              <w:rPr>
                <w:rFonts w:asciiTheme="minorEastAsia" w:eastAsiaTheme="minorEastAsia" w:hAnsiTheme="minorEastAsia"/>
              </w:rPr>
              <w:fldChar w:fldCharType="end"/>
            </w:r>
          </w:hyperlink>
        </w:p>
        <w:p w:rsidR="00F55E3A" w:rsidRDefault="007B68B7">
          <w:pPr>
            <w:pStyle w:val="2"/>
            <w:tabs>
              <w:tab w:val="right" w:leader="dot" w:pos="9345"/>
            </w:tabs>
            <w:rPr>
              <w:rFonts w:asciiTheme="minorEastAsia" w:eastAsiaTheme="minorEastAsia" w:hAnsiTheme="minorEastAsia"/>
            </w:rPr>
          </w:pPr>
          <w:hyperlink w:anchor="_Toc111022832" w:history="1">
            <w:r w:rsidR="00F577EE">
              <w:rPr>
                <w:rStyle w:val="ac"/>
                <w:rFonts w:asciiTheme="minorEastAsia" w:eastAsiaTheme="minorEastAsia" w:hAnsiTheme="minorEastAsia" w:cs="宋体"/>
              </w:rPr>
              <w:t>（二）重复性及再现性</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_Toc111022832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7</w:t>
            </w:r>
            <w:r>
              <w:rPr>
                <w:rFonts w:asciiTheme="minorEastAsia" w:eastAsiaTheme="minorEastAsia" w:hAnsiTheme="minorEastAsia"/>
              </w:rPr>
              <w:fldChar w:fldCharType="end"/>
            </w:r>
          </w:hyperlink>
        </w:p>
        <w:p w:rsidR="00F55E3A" w:rsidRDefault="007B68B7">
          <w:pPr>
            <w:pStyle w:val="3"/>
            <w:tabs>
              <w:tab w:val="right" w:leader="dot" w:pos="9345"/>
            </w:tabs>
            <w:rPr>
              <w:rFonts w:asciiTheme="minorEastAsia" w:eastAsiaTheme="minorEastAsia" w:hAnsiTheme="minorEastAsia"/>
            </w:rPr>
          </w:pPr>
          <w:hyperlink w:anchor="_Toc111022833" w:history="1">
            <w:r w:rsidR="00F577EE">
              <w:rPr>
                <w:rStyle w:val="ac"/>
                <w:rFonts w:asciiTheme="minorEastAsia" w:eastAsiaTheme="minorEastAsia" w:hAnsiTheme="minorEastAsia" w:cs="宋体"/>
              </w:rPr>
              <w:t>1、方法1 火焰原子吸收法</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_Toc111022833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7</w:t>
            </w:r>
            <w:r>
              <w:rPr>
                <w:rFonts w:asciiTheme="minorEastAsia" w:eastAsiaTheme="minorEastAsia" w:hAnsiTheme="minorEastAsia"/>
              </w:rPr>
              <w:fldChar w:fldCharType="end"/>
            </w:r>
          </w:hyperlink>
        </w:p>
        <w:p w:rsidR="00F55E3A" w:rsidRDefault="007B68B7">
          <w:pPr>
            <w:pStyle w:val="3"/>
            <w:tabs>
              <w:tab w:val="right" w:leader="dot" w:pos="9345"/>
            </w:tabs>
            <w:rPr>
              <w:rFonts w:asciiTheme="minorEastAsia" w:eastAsiaTheme="minorEastAsia" w:hAnsiTheme="minorEastAsia"/>
            </w:rPr>
          </w:pPr>
          <w:hyperlink w:anchor="_Toc111022834" w:history="1">
            <w:r w:rsidR="00F577EE">
              <w:rPr>
                <w:rStyle w:val="ac"/>
                <w:rFonts w:asciiTheme="minorEastAsia" w:eastAsiaTheme="minorEastAsia" w:hAnsiTheme="minorEastAsia" w:cs="宋体"/>
              </w:rPr>
              <w:t>2、方法2 碘量法</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_Toc111022834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10</w:t>
            </w:r>
            <w:r>
              <w:rPr>
                <w:rFonts w:asciiTheme="minorEastAsia" w:eastAsiaTheme="minorEastAsia" w:hAnsiTheme="minorEastAsia"/>
              </w:rPr>
              <w:fldChar w:fldCharType="end"/>
            </w:r>
          </w:hyperlink>
        </w:p>
        <w:p w:rsidR="00F55E3A" w:rsidRDefault="007B68B7">
          <w:pPr>
            <w:pStyle w:val="10"/>
            <w:rPr>
              <w:rFonts w:asciiTheme="minorEastAsia" w:eastAsiaTheme="minorEastAsia" w:hAnsiTheme="minorEastAsia"/>
            </w:rPr>
          </w:pPr>
          <w:hyperlink w:anchor="_Toc111022835" w:history="1">
            <w:r w:rsidR="00F577EE">
              <w:rPr>
                <w:rStyle w:val="ac"/>
                <w:rFonts w:asciiTheme="minorEastAsia" w:eastAsiaTheme="minorEastAsia" w:hAnsiTheme="minorEastAsia"/>
              </w:rPr>
              <w:t>四、标准中涉及专利的情况</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_Toc111022835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12</w:t>
            </w:r>
            <w:r>
              <w:rPr>
                <w:rFonts w:asciiTheme="minorEastAsia" w:eastAsiaTheme="minorEastAsia" w:hAnsiTheme="minorEastAsia"/>
              </w:rPr>
              <w:fldChar w:fldCharType="end"/>
            </w:r>
          </w:hyperlink>
        </w:p>
        <w:p w:rsidR="00F55E3A" w:rsidRDefault="007B68B7">
          <w:pPr>
            <w:pStyle w:val="10"/>
            <w:rPr>
              <w:rFonts w:asciiTheme="minorEastAsia" w:eastAsiaTheme="minorEastAsia" w:hAnsiTheme="minorEastAsia"/>
            </w:rPr>
          </w:pPr>
          <w:hyperlink w:anchor="_Toc111022836" w:history="1">
            <w:r w:rsidR="00F577EE">
              <w:rPr>
                <w:rStyle w:val="ac"/>
                <w:rFonts w:asciiTheme="minorEastAsia" w:eastAsiaTheme="minorEastAsia" w:hAnsiTheme="minorEastAsia"/>
              </w:rPr>
              <w:t>五、预期达到的社会效益</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_Toc111022836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12</w:t>
            </w:r>
            <w:r>
              <w:rPr>
                <w:rFonts w:asciiTheme="minorEastAsia" w:eastAsiaTheme="minorEastAsia" w:hAnsiTheme="minorEastAsia"/>
              </w:rPr>
              <w:fldChar w:fldCharType="end"/>
            </w:r>
          </w:hyperlink>
        </w:p>
        <w:p w:rsidR="00F55E3A" w:rsidRDefault="007B68B7">
          <w:pPr>
            <w:pStyle w:val="2"/>
            <w:tabs>
              <w:tab w:val="right" w:leader="dot" w:pos="9345"/>
            </w:tabs>
            <w:rPr>
              <w:rFonts w:asciiTheme="minorEastAsia" w:eastAsiaTheme="minorEastAsia" w:hAnsiTheme="minorEastAsia"/>
            </w:rPr>
          </w:pPr>
          <w:hyperlink w:anchor="_Toc111022837" w:history="1">
            <w:r w:rsidR="00F577EE">
              <w:rPr>
                <w:rStyle w:val="ac"/>
                <w:rFonts w:asciiTheme="minorEastAsia" w:eastAsiaTheme="minorEastAsia" w:hAnsiTheme="minorEastAsia"/>
              </w:rPr>
              <w:t>（一）项目的必要性简述</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_Toc111022837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12</w:t>
            </w:r>
            <w:r>
              <w:rPr>
                <w:rFonts w:asciiTheme="minorEastAsia" w:eastAsiaTheme="minorEastAsia" w:hAnsiTheme="minorEastAsia"/>
              </w:rPr>
              <w:fldChar w:fldCharType="end"/>
            </w:r>
          </w:hyperlink>
        </w:p>
        <w:p w:rsidR="00F55E3A" w:rsidRDefault="007B68B7">
          <w:pPr>
            <w:pStyle w:val="2"/>
            <w:tabs>
              <w:tab w:val="right" w:leader="dot" w:pos="9345"/>
            </w:tabs>
            <w:rPr>
              <w:rFonts w:asciiTheme="minorEastAsia" w:eastAsiaTheme="minorEastAsia" w:hAnsiTheme="minorEastAsia"/>
            </w:rPr>
          </w:pPr>
          <w:hyperlink w:anchor="_Toc111022838" w:history="1">
            <w:r w:rsidR="00F577EE">
              <w:rPr>
                <w:rStyle w:val="ac"/>
                <w:rFonts w:asciiTheme="minorEastAsia" w:eastAsiaTheme="minorEastAsia" w:hAnsiTheme="minorEastAsia"/>
              </w:rPr>
              <w:t>（二）项目的可行性简述</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_Toc111022838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12</w:t>
            </w:r>
            <w:r>
              <w:rPr>
                <w:rFonts w:asciiTheme="minorEastAsia" w:eastAsiaTheme="minorEastAsia" w:hAnsiTheme="minorEastAsia"/>
              </w:rPr>
              <w:fldChar w:fldCharType="end"/>
            </w:r>
          </w:hyperlink>
        </w:p>
        <w:p w:rsidR="00F55E3A" w:rsidRDefault="007B68B7">
          <w:pPr>
            <w:pStyle w:val="2"/>
            <w:tabs>
              <w:tab w:val="right" w:leader="dot" w:pos="9345"/>
            </w:tabs>
            <w:rPr>
              <w:rFonts w:asciiTheme="minorEastAsia" w:eastAsiaTheme="minorEastAsia" w:hAnsiTheme="minorEastAsia"/>
            </w:rPr>
          </w:pPr>
          <w:hyperlink w:anchor="_Toc111022839" w:history="1">
            <w:r w:rsidR="00F577EE">
              <w:rPr>
                <w:rStyle w:val="ac"/>
                <w:rFonts w:asciiTheme="minorEastAsia" w:eastAsiaTheme="minorEastAsia" w:hAnsiTheme="minorEastAsia"/>
              </w:rPr>
              <w:t>（三）标准的先进性、创新性、标准实施后预期产生的经济效益和社会效益</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_Toc111022839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13</w:t>
            </w:r>
            <w:r>
              <w:rPr>
                <w:rFonts w:asciiTheme="minorEastAsia" w:eastAsiaTheme="minorEastAsia" w:hAnsiTheme="minorEastAsia"/>
              </w:rPr>
              <w:fldChar w:fldCharType="end"/>
            </w:r>
          </w:hyperlink>
        </w:p>
        <w:p w:rsidR="00F55E3A" w:rsidRDefault="007B68B7">
          <w:pPr>
            <w:pStyle w:val="10"/>
            <w:rPr>
              <w:rFonts w:asciiTheme="minorEastAsia" w:eastAsiaTheme="minorEastAsia" w:hAnsiTheme="minorEastAsia"/>
            </w:rPr>
          </w:pPr>
          <w:hyperlink w:anchor="_Toc111022840" w:history="1">
            <w:r w:rsidR="00F577EE">
              <w:rPr>
                <w:rStyle w:val="ac"/>
                <w:rFonts w:asciiTheme="minorEastAsia" w:eastAsiaTheme="minorEastAsia" w:hAnsiTheme="minorEastAsia"/>
              </w:rPr>
              <w:t>六、采用国际标准和国外先进标准的情况</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_Toc111022840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13</w:t>
            </w:r>
            <w:r>
              <w:rPr>
                <w:rFonts w:asciiTheme="minorEastAsia" w:eastAsiaTheme="minorEastAsia" w:hAnsiTheme="minorEastAsia"/>
              </w:rPr>
              <w:fldChar w:fldCharType="end"/>
            </w:r>
          </w:hyperlink>
        </w:p>
        <w:p w:rsidR="00F55E3A" w:rsidRDefault="007B68B7">
          <w:pPr>
            <w:pStyle w:val="10"/>
            <w:rPr>
              <w:rFonts w:asciiTheme="minorEastAsia" w:eastAsiaTheme="minorEastAsia" w:hAnsiTheme="minorEastAsia"/>
            </w:rPr>
          </w:pPr>
          <w:hyperlink w:anchor="_Toc111022841" w:history="1">
            <w:r w:rsidR="00F577EE">
              <w:rPr>
                <w:rStyle w:val="ac"/>
                <w:rFonts w:asciiTheme="minorEastAsia" w:eastAsiaTheme="minorEastAsia" w:hAnsiTheme="minorEastAsia"/>
              </w:rPr>
              <w:t>七、与现行相关法律、法规、规章及相关标准，特别是强制性国家标准的协调配套情况</w:t>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_Toc111022841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13</w:t>
            </w:r>
            <w:r>
              <w:rPr>
                <w:rFonts w:asciiTheme="minorEastAsia" w:eastAsiaTheme="minorEastAsia" w:hAnsiTheme="minorEastAsia"/>
              </w:rPr>
              <w:fldChar w:fldCharType="end"/>
            </w:r>
          </w:hyperlink>
        </w:p>
        <w:p w:rsidR="00F55E3A" w:rsidRDefault="007B68B7">
          <w:pPr>
            <w:pStyle w:val="10"/>
            <w:rPr>
              <w:rFonts w:asciiTheme="minorEastAsia" w:eastAsiaTheme="minorEastAsia" w:hAnsiTheme="minorEastAsia"/>
            </w:rPr>
          </w:pPr>
          <w:hyperlink w:anchor="_Toc111022842" w:history="1">
            <w:r w:rsidR="00F577EE">
              <w:rPr>
                <w:rStyle w:val="ac"/>
                <w:rFonts w:asciiTheme="minorEastAsia" w:eastAsiaTheme="minorEastAsia" w:hAnsiTheme="minorEastAsia"/>
              </w:rPr>
              <w:t>八、重大分歧意见的处理经过和依据</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_Toc111022842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13</w:t>
            </w:r>
            <w:r>
              <w:rPr>
                <w:rFonts w:asciiTheme="minorEastAsia" w:eastAsiaTheme="minorEastAsia" w:hAnsiTheme="minorEastAsia"/>
              </w:rPr>
              <w:fldChar w:fldCharType="end"/>
            </w:r>
          </w:hyperlink>
        </w:p>
        <w:p w:rsidR="00F55E3A" w:rsidRDefault="007B68B7">
          <w:pPr>
            <w:pStyle w:val="10"/>
            <w:rPr>
              <w:rFonts w:asciiTheme="minorEastAsia" w:eastAsiaTheme="minorEastAsia" w:hAnsiTheme="minorEastAsia"/>
            </w:rPr>
          </w:pPr>
          <w:hyperlink w:anchor="_Toc111022843" w:history="1">
            <w:r w:rsidR="00F577EE">
              <w:rPr>
                <w:rStyle w:val="ac"/>
                <w:rFonts w:asciiTheme="minorEastAsia" w:eastAsiaTheme="minorEastAsia" w:hAnsiTheme="minorEastAsia"/>
              </w:rPr>
              <w:t>九、标准性质的建议说明</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_Toc111022843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13</w:t>
            </w:r>
            <w:r>
              <w:rPr>
                <w:rFonts w:asciiTheme="minorEastAsia" w:eastAsiaTheme="minorEastAsia" w:hAnsiTheme="minorEastAsia"/>
              </w:rPr>
              <w:fldChar w:fldCharType="end"/>
            </w:r>
          </w:hyperlink>
        </w:p>
        <w:p w:rsidR="00F55E3A" w:rsidRDefault="007B68B7">
          <w:pPr>
            <w:pStyle w:val="10"/>
            <w:rPr>
              <w:rFonts w:asciiTheme="minorEastAsia" w:eastAsiaTheme="minorEastAsia" w:hAnsiTheme="minorEastAsia"/>
            </w:rPr>
          </w:pPr>
          <w:hyperlink w:anchor="_Toc111022844" w:history="1">
            <w:r w:rsidR="00F577EE">
              <w:rPr>
                <w:rStyle w:val="ac"/>
                <w:rFonts w:asciiTheme="minorEastAsia" w:eastAsiaTheme="minorEastAsia" w:hAnsiTheme="minorEastAsia"/>
              </w:rPr>
              <w:t>十、贯彻标准的要求和措施建议</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_Toc111022844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13</w:t>
            </w:r>
            <w:r>
              <w:rPr>
                <w:rFonts w:asciiTheme="minorEastAsia" w:eastAsiaTheme="minorEastAsia" w:hAnsiTheme="minorEastAsia"/>
              </w:rPr>
              <w:fldChar w:fldCharType="end"/>
            </w:r>
          </w:hyperlink>
        </w:p>
        <w:p w:rsidR="00F55E3A" w:rsidRDefault="007B68B7">
          <w:pPr>
            <w:pStyle w:val="10"/>
            <w:rPr>
              <w:rFonts w:asciiTheme="minorEastAsia" w:eastAsiaTheme="minorEastAsia" w:hAnsiTheme="minorEastAsia"/>
            </w:rPr>
          </w:pPr>
          <w:hyperlink w:anchor="_Toc111022845" w:history="1">
            <w:r w:rsidR="00F577EE">
              <w:rPr>
                <w:rStyle w:val="ac"/>
                <w:rFonts w:asciiTheme="minorEastAsia" w:eastAsiaTheme="minorEastAsia" w:hAnsiTheme="minorEastAsia"/>
              </w:rPr>
              <w:t>十一、废止现行有关标准的建议</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_Toc111022845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13</w:t>
            </w:r>
            <w:r>
              <w:rPr>
                <w:rFonts w:asciiTheme="minorEastAsia" w:eastAsiaTheme="minorEastAsia" w:hAnsiTheme="minorEastAsia"/>
              </w:rPr>
              <w:fldChar w:fldCharType="end"/>
            </w:r>
          </w:hyperlink>
        </w:p>
        <w:p w:rsidR="00F55E3A" w:rsidRDefault="007B68B7">
          <w:pPr>
            <w:pStyle w:val="10"/>
            <w:rPr>
              <w:rFonts w:asciiTheme="minorEastAsia" w:eastAsiaTheme="minorEastAsia" w:hAnsiTheme="minorEastAsia"/>
            </w:rPr>
          </w:pPr>
          <w:hyperlink w:anchor="_Toc111022846" w:history="1">
            <w:r w:rsidR="00F577EE">
              <w:rPr>
                <w:rStyle w:val="ac"/>
                <w:rFonts w:asciiTheme="minorEastAsia" w:eastAsiaTheme="minorEastAsia" w:hAnsiTheme="minorEastAsia"/>
              </w:rPr>
              <w:t>十二、其他应予说明的事项</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_Toc111022846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13</w:t>
            </w:r>
            <w:r>
              <w:rPr>
                <w:rFonts w:asciiTheme="minorEastAsia" w:eastAsiaTheme="minorEastAsia" w:hAnsiTheme="minorEastAsia"/>
              </w:rPr>
              <w:fldChar w:fldCharType="end"/>
            </w:r>
          </w:hyperlink>
        </w:p>
        <w:p w:rsidR="00F55E3A" w:rsidRDefault="007B68B7">
          <w:pPr>
            <w:pStyle w:val="10"/>
            <w:rPr>
              <w:rFonts w:asciiTheme="minorEastAsia" w:eastAsiaTheme="minorEastAsia" w:hAnsiTheme="minorEastAsia"/>
            </w:rPr>
          </w:pPr>
          <w:hyperlink w:anchor="_Toc111022847" w:history="1">
            <w:r w:rsidR="00F577EE">
              <w:rPr>
                <w:rStyle w:val="ac"/>
                <w:rFonts w:asciiTheme="minorEastAsia" w:eastAsiaTheme="minorEastAsia" w:hAnsiTheme="minorEastAsia"/>
              </w:rPr>
              <w:t>附件1：火焰原子吸收法试验报告</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_Toc111022847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14</w:t>
            </w:r>
            <w:r>
              <w:rPr>
                <w:rFonts w:asciiTheme="minorEastAsia" w:eastAsiaTheme="minorEastAsia" w:hAnsiTheme="minorEastAsia"/>
              </w:rPr>
              <w:fldChar w:fldCharType="end"/>
            </w:r>
          </w:hyperlink>
        </w:p>
        <w:p w:rsidR="00F55E3A" w:rsidRDefault="007B68B7">
          <w:pPr>
            <w:pStyle w:val="10"/>
            <w:rPr>
              <w:rFonts w:asciiTheme="minorEastAsia" w:eastAsiaTheme="minorEastAsia" w:hAnsiTheme="minorEastAsia"/>
            </w:rPr>
          </w:pPr>
          <w:hyperlink w:anchor="_Toc111022848" w:history="1">
            <w:r w:rsidR="00F577EE">
              <w:rPr>
                <w:rStyle w:val="ac"/>
                <w:rFonts w:asciiTheme="minorEastAsia" w:eastAsiaTheme="minorEastAsia" w:hAnsiTheme="minorEastAsia"/>
              </w:rPr>
              <w:t>附件2：碘量法试验报告</w:t>
            </w:r>
            <w:r w:rsidR="00F577EE">
              <w:rPr>
                <w:rFonts w:asciiTheme="minorEastAsia" w:eastAsiaTheme="minorEastAsia" w:hAnsiTheme="minorEastAsia"/>
              </w:rPr>
              <w:tab/>
            </w:r>
            <w:r>
              <w:rPr>
                <w:rFonts w:asciiTheme="minorEastAsia" w:eastAsiaTheme="minorEastAsia" w:hAnsiTheme="minorEastAsia"/>
              </w:rPr>
              <w:fldChar w:fldCharType="begin"/>
            </w:r>
            <w:r w:rsidR="00F577EE">
              <w:rPr>
                <w:rFonts w:asciiTheme="minorEastAsia" w:eastAsiaTheme="minorEastAsia" w:hAnsiTheme="minorEastAsia"/>
              </w:rPr>
              <w:instrText xml:space="preserve"> PAGEREF _Toc111022848 \h </w:instrText>
            </w:r>
            <w:r>
              <w:rPr>
                <w:rFonts w:asciiTheme="minorEastAsia" w:eastAsiaTheme="minorEastAsia" w:hAnsiTheme="minorEastAsia"/>
              </w:rPr>
            </w:r>
            <w:r>
              <w:rPr>
                <w:rFonts w:asciiTheme="minorEastAsia" w:eastAsiaTheme="minorEastAsia" w:hAnsiTheme="minorEastAsia"/>
              </w:rPr>
              <w:fldChar w:fldCharType="separate"/>
            </w:r>
            <w:r w:rsidR="00F577EE">
              <w:rPr>
                <w:rFonts w:asciiTheme="minorEastAsia" w:eastAsiaTheme="minorEastAsia" w:hAnsiTheme="minorEastAsia"/>
              </w:rPr>
              <w:t>14</w:t>
            </w:r>
            <w:r>
              <w:rPr>
                <w:rFonts w:asciiTheme="minorEastAsia" w:eastAsiaTheme="minorEastAsia" w:hAnsiTheme="minorEastAsia"/>
              </w:rPr>
              <w:fldChar w:fldCharType="end"/>
            </w:r>
          </w:hyperlink>
        </w:p>
        <w:p w:rsidR="00F55E3A" w:rsidRDefault="007B68B7">
          <w:r>
            <w:rPr>
              <w:b/>
              <w:bCs/>
              <w:lang w:val="zh-CN"/>
            </w:rPr>
            <w:fldChar w:fldCharType="end"/>
          </w:r>
        </w:p>
      </w:sdtContent>
    </w:sdt>
    <w:p w:rsidR="00F55E3A" w:rsidRDefault="00F55E3A">
      <w:pPr>
        <w:spacing w:line="360" w:lineRule="auto"/>
        <w:jc w:val="center"/>
        <w:rPr>
          <w:rFonts w:ascii="黑体" w:eastAsia="黑体" w:hAnsi="黑体"/>
          <w:sz w:val="32"/>
          <w:szCs w:val="32"/>
        </w:rPr>
        <w:sectPr w:rsidR="00F55E3A">
          <w:footerReference w:type="default" r:id="rId11"/>
          <w:pgSz w:w="11907" w:h="16840"/>
          <w:pgMar w:top="1418" w:right="1134" w:bottom="1134" w:left="1418" w:header="851" w:footer="567" w:gutter="0"/>
          <w:pgNumType w:start="0"/>
          <w:cols w:space="720"/>
          <w:titlePg/>
          <w:docGrid w:type="lines" w:linePitch="324"/>
        </w:sectPr>
      </w:pPr>
    </w:p>
    <w:p w:rsidR="00F55E3A" w:rsidRDefault="00F577EE">
      <w:pPr>
        <w:spacing w:line="360" w:lineRule="auto"/>
        <w:jc w:val="center"/>
        <w:rPr>
          <w:rFonts w:ascii="黑体" w:eastAsia="黑体" w:hAnsi="黑体"/>
          <w:sz w:val="32"/>
          <w:szCs w:val="32"/>
        </w:rPr>
      </w:pPr>
      <w:r>
        <w:rPr>
          <w:rFonts w:ascii="黑体" w:eastAsia="黑体" w:hAnsi="黑体" w:hint="eastAsia"/>
          <w:sz w:val="32"/>
          <w:szCs w:val="32"/>
        </w:rPr>
        <w:lastRenderedPageBreak/>
        <w:t>硫化钴精矿</w:t>
      </w:r>
      <w:r>
        <w:rPr>
          <w:rFonts w:ascii="黑体" w:eastAsia="黑体" w:hAnsi="黑体"/>
          <w:sz w:val="32"/>
          <w:szCs w:val="32"/>
        </w:rPr>
        <w:t>化学分析方法</w:t>
      </w:r>
    </w:p>
    <w:p w:rsidR="00F55E3A" w:rsidRDefault="00F577EE">
      <w:pPr>
        <w:spacing w:line="360" w:lineRule="auto"/>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2</w:t>
      </w:r>
      <w:r>
        <w:rPr>
          <w:rFonts w:ascii="黑体" w:eastAsia="黑体" w:hAnsi="黑体"/>
          <w:sz w:val="32"/>
          <w:szCs w:val="32"/>
        </w:rPr>
        <w:t>部分：</w:t>
      </w:r>
      <w:r>
        <w:rPr>
          <w:rFonts w:ascii="黑体" w:eastAsia="黑体" w:hAnsi="黑体" w:hint="eastAsia"/>
          <w:sz w:val="32"/>
          <w:szCs w:val="32"/>
        </w:rPr>
        <w:t>铜含</w:t>
      </w:r>
      <w:r>
        <w:rPr>
          <w:rFonts w:ascii="黑体" w:eastAsia="黑体" w:hAnsi="黑体"/>
          <w:sz w:val="32"/>
          <w:szCs w:val="32"/>
        </w:rPr>
        <w:t>量的测定</w:t>
      </w:r>
      <w:r>
        <w:rPr>
          <w:rFonts w:ascii="黑体" w:eastAsia="黑体" w:hAnsi="黑体" w:hint="eastAsia"/>
          <w:sz w:val="32"/>
          <w:szCs w:val="32"/>
        </w:rPr>
        <w:t xml:space="preserve">  方法1</w:t>
      </w:r>
      <w:r>
        <w:rPr>
          <w:rFonts w:ascii="黑体" w:eastAsia="黑体" w:hAnsi="黑体"/>
          <w:sz w:val="32"/>
          <w:szCs w:val="32"/>
        </w:rPr>
        <w:t xml:space="preserve"> </w:t>
      </w:r>
      <w:r>
        <w:rPr>
          <w:rFonts w:ascii="黑体" w:eastAsia="黑体" w:hAnsi="黑体" w:hint="eastAsia"/>
          <w:sz w:val="32"/>
          <w:szCs w:val="32"/>
        </w:rPr>
        <w:t>火焰原子吸收光谱</w:t>
      </w:r>
      <w:r>
        <w:rPr>
          <w:rFonts w:ascii="黑体" w:eastAsia="黑体" w:hAnsi="黑体"/>
          <w:sz w:val="32"/>
          <w:szCs w:val="32"/>
        </w:rPr>
        <w:t>法</w:t>
      </w:r>
    </w:p>
    <w:p w:rsidR="00F55E3A" w:rsidRDefault="00F577EE">
      <w:pPr>
        <w:spacing w:line="360" w:lineRule="auto"/>
        <w:jc w:val="center"/>
        <w:rPr>
          <w:sz w:val="32"/>
          <w:szCs w:val="32"/>
        </w:rPr>
      </w:pPr>
      <w:r>
        <w:rPr>
          <w:sz w:val="32"/>
          <w:szCs w:val="32"/>
        </w:rPr>
        <w:t>编制说明</w:t>
      </w:r>
    </w:p>
    <w:p w:rsidR="00F55E3A" w:rsidRDefault="00F577EE">
      <w:pPr>
        <w:pStyle w:val="af2"/>
        <w:numPr>
          <w:ilvl w:val="0"/>
          <w:numId w:val="1"/>
        </w:numPr>
        <w:spacing w:line="360" w:lineRule="auto"/>
        <w:ind w:left="482" w:firstLineChars="0" w:hanging="482"/>
        <w:outlineLvl w:val="0"/>
        <w:rPr>
          <w:rFonts w:ascii="黑体" w:eastAsia="黑体" w:hAnsi="宋体"/>
          <w:sz w:val="24"/>
        </w:rPr>
      </w:pPr>
      <w:bookmarkStart w:id="0" w:name="_Toc111022813"/>
      <w:bookmarkStart w:id="1" w:name="_Hlk97110149"/>
      <w:r>
        <w:rPr>
          <w:rFonts w:ascii="黑体" w:eastAsia="黑体" w:hAnsi="宋体" w:hint="eastAsia"/>
          <w:sz w:val="24"/>
        </w:rPr>
        <w:t>工作简况</w:t>
      </w:r>
      <w:bookmarkEnd w:id="0"/>
    </w:p>
    <w:p w:rsidR="00F55E3A" w:rsidRDefault="00F577EE" w:rsidP="00F577EE">
      <w:pPr>
        <w:pStyle w:val="ListParagraph1"/>
        <w:spacing w:beforeLines="50"/>
        <w:ind w:firstLineChars="0" w:firstLine="0"/>
        <w:outlineLvl w:val="0"/>
        <w:rPr>
          <w:b/>
          <w:szCs w:val="21"/>
        </w:rPr>
      </w:pPr>
      <w:bookmarkStart w:id="2" w:name="_Toc111022814"/>
      <w:r>
        <w:rPr>
          <w:rFonts w:hint="eastAsia"/>
          <w:b/>
          <w:szCs w:val="21"/>
        </w:rPr>
        <w:t>（一）任务来源</w:t>
      </w:r>
      <w:bookmarkEnd w:id="2"/>
    </w:p>
    <w:p w:rsidR="00F55E3A" w:rsidRDefault="00F577EE">
      <w:pPr>
        <w:spacing w:line="360" w:lineRule="auto"/>
        <w:rPr>
          <w:rFonts w:ascii="黑体" w:eastAsia="黑体" w:hAnsi="黑体" w:cs="宋体"/>
          <w:szCs w:val="21"/>
        </w:rPr>
      </w:pPr>
      <w:r>
        <w:rPr>
          <w:rFonts w:ascii="黑体" w:eastAsia="黑体" w:hAnsi="黑体" w:cs="宋体" w:hint="eastAsia"/>
          <w:szCs w:val="21"/>
        </w:rPr>
        <w:t>1.1</w:t>
      </w:r>
      <w:r>
        <w:rPr>
          <w:rFonts w:ascii="黑体" w:eastAsia="黑体" w:hAnsi="黑体" w:cs="宋体"/>
          <w:szCs w:val="21"/>
        </w:rPr>
        <w:t xml:space="preserve"> </w:t>
      </w:r>
      <w:r>
        <w:rPr>
          <w:rFonts w:ascii="黑体" w:eastAsia="黑体" w:hAnsi="黑体" w:cs="宋体" w:hint="eastAsia"/>
          <w:szCs w:val="21"/>
        </w:rPr>
        <w:t>计划批准文件名称、文号及项目编号、项目名称、计划完成年限、项目名称更改说明、编制组成员</w:t>
      </w:r>
    </w:p>
    <w:p w:rsidR="00F55E3A" w:rsidRDefault="00F577EE">
      <w:pPr>
        <w:ind w:firstLineChars="200" w:firstLine="420"/>
        <w:rPr>
          <w:color w:val="000000"/>
          <w:szCs w:val="21"/>
        </w:rPr>
      </w:pPr>
      <w:bookmarkStart w:id="3" w:name="_Hlk97110444"/>
      <w:bookmarkEnd w:id="1"/>
      <w:r>
        <w:rPr>
          <w:rFonts w:hint="eastAsia"/>
          <w:color w:val="000000"/>
          <w:szCs w:val="21"/>
        </w:rPr>
        <w:t>根据</w:t>
      </w:r>
      <w:r>
        <w:rPr>
          <w:rFonts w:hint="eastAsia"/>
          <w:szCs w:val="21"/>
        </w:rPr>
        <w:t>工业和信息化部（工信厅科函〔</w:t>
      </w:r>
      <w:r>
        <w:rPr>
          <w:rFonts w:hint="eastAsia"/>
          <w:szCs w:val="21"/>
        </w:rPr>
        <w:t>2020</w:t>
      </w:r>
      <w:r>
        <w:rPr>
          <w:rFonts w:hint="eastAsia"/>
          <w:szCs w:val="21"/>
        </w:rPr>
        <w:t>〕</w:t>
      </w:r>
      <w:r>
        <w:rPr>
          <w:rFonts w:hint="eastAsia"/>
          <w:szCs w:val="21"/>
        </w:rPr>
        <w:t>263</w:t>
      </w:r>
      <w:r>
        <w:rPr>
          <w:rFonts w:hint="eastAsia"/>
          <w:szCs w:val="21"/>
        </w:rPr>
        <w:t>号）</w:t>
      </w:r>
      <w:r>
        <w:rPr>
          <w:rFonts w:hint="eastAsia"/>
          <w:color w:val="000000"/>
          <w:szCs w:val="21"/>
        </w:rPr>
        <w:t>下达的</w:t>
      </w:r>
      <w:r>
        <w:rPr>
          <w:szCs w:val="21"/>
          <w:lang w:val="zh-CN"/>
        </w:rPr>
        <w:t>有色行业标准项目计划</w:t>
      </w:r>
      <w:r>
        <w:rPr>
          <w:rFonts w:hint="eastAsia"/>
          <w:szCs w:val="21"/>
        </w:rPr>
        <w:t>的要求，</w:t>
      </w:r>
      <w:r>
        <w:rPr>
          <w:rFonts w:hint="eastAsia"/>
          <w:color w:val="000000"/>
          <w:szCs w:val="21"/>
        </w:rPr>
        <w:t>全国有色金属标准化技术委员会“关于印发《粗氢氧化镍钴化学分析方法第</w:t>
      </w:r>
      <w:r>
        <w:rPr>
          <w:rFonts w:hint="eastAsia"/>
          <w:color w:val="000000"/>
          <w:szCs w:val="21"/>
        </w:rPr>
        <w:t>9</w:t>
      </w:r>
      <w:r>
        <w:rPr>
          <w:rFonts w:hint="eastAsia"/>
          <w:color w:val="000000"/>
          <w:szCs w:val="21"/>
        </w:rPr>
        <w:t>部分：水分含量的测定烘箱干燥法》等</w:t>
      </w:r>
      <w:r>
        <w:rPr>
          <w:rFonts w:hint="eastAsia"/>
          <w:color w:val="000000"/>
          <w:szCs w:val="21"/>
        </w:rPr>
        <w:t>9</w:t>
      </w:r>
      <w:r>
        <w:rPr>
          <w:rFonts w:hint="eastAsia"/>
          <w:color w:val="000000"/>
          <w:szCs w:val="21"/>
        </w:rPr>
        <w:t>项国家及行业标准任务落实会会议纪要的通知”（有色标秘</w:t>
      </w:r>
      <w:r>
        <w:rPr>
          <w:rFonts w:hint="eastAsia"/>
          <w:color w:val="000000"/>
          <w:szCs w:val="21"/>
        </w:rPr>
        <w:t>[2021]5</w:t>
      </w:r>
      <w:r>
        <w:rPr>
          <w:rFonts w:hint="eastAsia"/>
          <w:color w:val="000000"/>
          <w:szCs w:val="21"/>
        </w:rPr>
        <w:t>号的文件精神</w:t>
      </w:r>
      <w:r>
        <w:rPr>
          <w:color w:val="000000"/>
          <w:szCs w:val="21"/>
        </w:rPr>
        <w:t>，确定</w:t>
      </w:r>
      <w:r>
        <w:rPr>
          <w:rFonts w:hint="eastAsia"/>
          <w:color w:val="000000"/>
          <w:szCs w:val="21"/>
        </w:rPr>
        <w:t>对</w:t>
      </w:r>
      <w:r>
        <w:rPr>
          <w:rFonts w:hint="eastAsia"/>
          <w:color w:val="000000"/>
          <w:szCs w:val="21"/>
        </w:rPr>
        <w:t>YS/T 349.2-2010</w:t>
      </w:r>
      <w:r>
        <w:rPr>
          <w:rFonts w:hint="eastAsia"/>
          <w:color w:val="000000"/>
          <w:szCs w:val="21"/>
        </w:rPr>
        <w:t>《硫化钴精矿化学分析方法</w:t>
      </w:r>
      <w:r>
        <w:rPr>
          <w:rFonts w:hint="eastAsia"/>
          <w:color w:val="000000"/>
          <w:szCs w:val="21"/>
        </w:rPr>
        <w:t xml:space="preserve">  </w:t>
      </w:r>
      <w:r>
        <w:rPr>
          <w:rFonts w:hint="eastAsia"/>
          <w:color w:val="000000"/>
          <w:szCs w:val="21"/>
        </w:rPr>
        <w:t>第</w:t>
      </w:r>
      <w:r>
        <w:rPr>
          <w:rFonts w:hint="eastAsia"/>
          <w:color w:val="000000"/>
          <w:szCs w:val="21"/>
        </w:rPr>
        <w:t>2</w:t>
      </w:r>
      <w:r>
        <w:rPr>
          <w:rFonts w:hint="eastAsia"/>
          <w:color w:val="000000"/>
          <w:szCs w:val="21"/>
        </w:rPr>
        <w:t>部分：铜量的测定</w:t>
      </w:r>
      <w:r>
        <w:rPr>
          <w:rFonts w:hint="eastAsia"/>
          <w:color w:val="000000"/>
          <w:szCs w:val="21"/>
        </w:rPr>
        <w:t xml:space="preserve">  </w:t>
      </w:r>
      <w:r>
        <w:rPr>
          <w:rFonts w:hint="eastAsia"/>
          <w:color w:val="000000"/>
          <w:szCs w:val="21"/>
        </w:rPr>
        <w:t>火焰原子吸收光谱法》进行修订，该标准修订为</w:t>
      </w:r>
      <w:r>
        <w:rPr>
          <w:color w:val="000000"/>
          <w:szCs w:val="21"/>
        </w:rPr>
        <w:t>《</w:t>
      </w:r>
      <w:r>
        <w:rPr>
          <w:rFonts w:hint="eastAsia"/>
          <w:color w:val="000000"/>
          <w:szCs w:val="21"/>
        </w:rPr>
        <w:t>硫化钴精矿精矿</w:t>
      </w:r>
      <w:r>
        <w:rPr>
          <w:color w:val="000000"/>
          <w:szCs w:val="21"/>
        </w:rPr>
        <w:t>化学分析方法</w:t>
      </w:r>
      <w:r>
        <w:rPr>
          <w:rFonts w:hint="eastAsia"/>
          <w:color w:val="000000"/>
          <w:szCs w:val="21"/>
        </w:rPr>
        <w:t xml:space="preserve"> </w:t>
      </w:r>
      <w:r>
        <w:rPr>
          <w:color w:val="000000"/>
          <w:szCs w:val="21"/>
        </w:rPr>
        <w:t>第</w:t>
      </w:r>
      <w:r>
        <w:rPr>
          <w:color w:val="000000"/>
          <w:szCs w:val="21"/>
        </w:rPr>
        <w:t>2</w:t>
      </w:r>
      <w:r>
        <w:rPr>
          <w:color w:val="000000"/>
          <w:szCs w:val="21"/>
        </w:rPr>
        <w:t>部分：</w:t>
      </w:r>
      <w:r>
        <w:rPr>
          <w:rFonts w:hint="eastAsia"/>
          <w:color w:val="000000"/>
          <w:szCs w:val="21"/>
        </w:rPr>
        <w:t>铜含量的测定</w:t>
      </w:r>
      <w:r>
        <w:rPr>
          <w:rFonts w:hint="eastAsia"/>
          <w:color w:val="000000"/>
          <w:szCs w:val="21"/>
        </w:rPr>
        <w:t xml:space="preserve"> </w:t>
      </w:r>
      <w:r>
        <w:rPr>
          <w:color w:val="000000"/>
          <w:szCs w:val="21"/>
        </w:rPr>
        <w:t>碘量法和火焰原子吸收光谱法》</w:t>
      </w:r>
      <w:r>
        <w:rPr>
          <w:rFonts w:hint="eastAsia"/>
          <w:color w:val="000000"/>
          <w:szCs w:val="21"/>
        </w:rPr>
        <w:t>，其中方法</w:t>
      </w:r>
      <w:r>
        <w:rPr>
          <w:rFonts w:hint="eastAsia"/>
          <w:color w:val="000000"/>
          <w:szCs w:val="21"/>
        </w:rPr>
        <w:t>1</w:t>
      </w:r>
      <w:r>
        <w:rPr>
          <w:rFonts w:hint="eastAsia"/>
          <w:color w:val="000000"/>
          <w:szCs w:val="21"/>
        </w:rPr>
        <w:t>为火焰原子吸收法，</w:t>
      </w:r>
      <w:r>
        <w:rPr>
          <w:color w:val="000000"/>
          <w:szCs w:val="21"/>
        </w:rPr>
        <w:t>由金川集团股份有限公司负责起草</w:t>
      </w:r>
      <w:r>
        <w:rPr>
          <w:rFonts w:hint="eastAsia"/>
          <w:color w:val="000000"/>
          <w:szCs w:val="21"/>
        </w:rPr>
        <w:t>，方法</w:t>
      </w:r>
      <w:r>
        <w:rPr>
          <w:rFonts w:hint="eastAsia"/>
          <w:color w:val="000000"/>
          <w:szCs w:val="21"/>
        </w:rPr>
        <w:t>2</w:t>
      </w:r>
      <w:r>
        <w:rPr>
          <w:rFonts w:hint="eastAsia"/>
          <w:color w:val="000000"/>
          <w:szCs w:val="21"/>
        </w:rPr>
        <w:t>为</w:t>
      </w:r>
      <w:r>
        <w:rPr>
          <w:color w:val="000000"/>
          <w:szCs w:val="21"/>
        </w:rPr>
        <w:t>碘量法</w:t>
      </w:r>
      <w:r>
        <w:rPr>
          <w:rFonts w:hint="eastAsia"/>
          <w:color w:val="000000"/>
          <w:szCs w:val="21"/>
        </w:rPr>
        <w:t>，由</w:t>
      </w:r>
      <w:r>
        <w:rPr>
          <w:color w:val="000000"/>
          <w:szCs w:val="21"/>
        </w:rPr>
        <w:t>浙江华友钴业股份有限公司</w:t>
      </w:r>
      <w:r>
        <w:rPr>
          <w:rFonts w:hint="eastAsia"/>
          <w:color w:val="000000"/>
          <w:szCs w:val="21"/>
        </w:rPr>
        <w:t>负责起草。项目计划编号为工信厅科函</w:t>
      </w:r>
      <w:r>
        <w:rPr>
          <w:rFonts w:hint="eastAsia"/>
          <w:color w:val="000000"/>
          <w:szCs w:val="21"/>
        </w:rPr>
        <w:t>[20</w:t>
      </w:r>
      <w:r>
        <w:rPr>
          <w:color w:val="000000"/>
          <w:szCs w:val="21"/>
        </w:rPr>
        <w:t>20</w:t>
      </w:r>
      <w:r>
        <w:rPr>
          <w:rFonts w:hint="eastAsia"/>
          <w:color w:val="000000"/>
          <w:szCs w:val="21"/>
        </w:rPr>
        <w:t xml:space="preserve">] </w:t>
      </w:r>
      <w:r>
        <w:rPr>
          <w:color w:val="000000"/>
          <w:szCs w:val="21"/>
        </w:rPr>
        <w:t>263</w:t>
      </w:r>
      <w:r>
        <w:rPr>
          <w:rFonts w:hint="eastAsia"/>
          <w:color w:val="000000"/>
          <w:szCs w:val="21"/>
        </w:rPr>
        <w:t>号</w:t>
      </w:r>
      <w:r w:rsidR="007B68B7" w:rsidRPr="007B68B7">
        <w:fldChar w:fldCharType="begin"/>
      </w:r>
      <w:r>
        <w:instrText xml:space="preserve"> HYPERLINK "http://219.239.107.155:8080/TaskBook.aspx?id=YSCPXT23512020" </w:instrText>
      </w:r>
      <w:r w:rsidR="007B68B7" w:rsidRPr="007B68B7">
        <w:fldChar w:fldCharType="separate"/>
      </w:r>
      <w:r>
        <w:rPr>
          <w:color w:val="000000"/>
          <w:szCs w:val="21"/>
        </w:rPr>
        <w:t>2020-1547T-YS</w:t>
      </w:r>
      <w:r w:rsidR="007B68B7">
        <w:rPr>
          <w:color w:val="000000"/>
          <w:szCs w:val="21"/>
        </w:rPr>
        <w:fldChar w:fldCharType="end"/>
      </w:r>
      <w:r>
        <w:rPr>
          <w:rFonts w:hint="eastAsia"/>
          <w:color w:val="000000"/>
          <w:szCs w:val="21"/>
        </w:rPr>
        <w:t>，</w:t>
      </w:r>
      <w:r>
        <w:rPr>
          <w:color w:val="000000"/>
          <w:szCs w:val="21"/>
        </w:rPr>
        <w:t>项目计划完成时间为</w:t>
      </w:r>
      <w:r>
        <w:rPr>
          <w:color w:val="000000"/>
          <w:szCs w:val="21"/>
        </w:rPr>
        <w:t>20</w:t>
      </w:r>
      <w:r>
        <w:rPr>
          <w:rFonts w:hint="eastAsia"/>
          <w:color w:val="000000"/>
          <w:szCs w:val="21"/>
        </w:rPr>
        <w:t>2</w:t>
      </w:r>
      <w:r>
        <w:rPr>
          <w:color w:val="000000"/>
          <w:szCs w:val="21"/>
        </w:rPr>
        <w:t>2</w:t>
      </w:r>
      <w:r>
        <w:rPr>
          <w:color w:val="000000"/>
          <w:szCs w:val="21"/>
        </w:rPr>
        <w:t>年。</w:t>
      </w:r>
    </w:p>
    <w:p w:rsidR="00F55E3A" w:rsidRDefault="00F577EE">
      <w:pPr>
        <w:ind w:firstLineChars="200" w:firstLine="420"/>
        <w:rPr>
          <w:color w:val="000000"/>
          <w:szCs w:val="21"/>
        </w:rPr>
      </w:pPr>
      <w:r>
        <w:rPr>
          <w:rFonts w:hint="eastAsia"/>
          <w:color w:val="000000"/>
          <w:szCs w:val="21"/>
        </w:rPr>
        <w:t>方法</w:t>
      </w:r>
      <w:r>
        <w:rPr>
          <w:rFonts w:hint="eastAsia"/>
          <w:color w:val="000000"/>
          <w:szCs w:val="21"/>
        </w:rPr>
        <w:t>1</w:t>
      </w:r>
      <w:r>
        <w:rPr>
          <w:rFonts w:hint="eastAsia"/>
          <w:color w:val="000000"/>
          <w:szCs w:val="21"/>
        </w:rPr>
        <w:t>火焰原子吸收法：协助起草单位有</w:t>
      </w:r>
      <w:r>
        <w:t>北矿检测技术有限公司</w:t>
      </w:r>
      <w:r>
        <w:rPr>
          <w:rFonts w:hint="eastAsia"/>
        </w:rPr>
        <w:t>、</w:t>
      </w:r>
      <w:r>
        <w:t>广东邦普循环科技有限公司</w:t>
      </w:r>
      <w:r>
        <w:rPr>
          <w:rFonts w:hint="eastAsia"/>
        </w:rPr>
        <w:t>、广东省工业分析检测中心、中国检验认证集团广西有限公司、深圳市中金岭南有色金属股份有限公司、</w:t>
      </w:r>
      <w:r>
        <w:t>荆门市格林美新材料有限公司</w:t>
      </w:r>
      <w:r>
        <w:rPr>
          <w:rFonts w:hint="eastAsia"/>
        </w:rPr>
        <w:t>、天津市茂联科技有限公司、北方铜业股份有限公司、浙江华友钴业股份有限公司、</w:t>
      </w:r>
      <w:r>
        <w:t>衢州华友钴</w:t>
      </w:r>
      <w:r>
        <w:rPr>
          <w:rFonts w:hint="eastAsia"/>
        </w:rPr>
        <w:t>业</w:t>
      </w:r>
      <w:r>
        <w:t>新材料有限公司</w:t>
      </w:r>
      <w:r>
        <w:rPr>
          <w:rFonts w:hint="eastAsia"/>
        </w:rPr>
        <w:t>、紫金铜业有限公司、浙江富冶集团有限公司</w:t>
      </w:r>
      <w:r>
        <w:rPr>
          <w:rFonts w:hint="eastAsia"/>
          <w:color w:val="000000"/>
          <w:szCs w:val="21"/>
        </w:rPr>
        <w:t>。</w:t>
      </w:r>
    </w:p>
    <w:p w:rsidR="00F55E3A" w:rsidRDefault="00F577EE">
      <w:pPr>
        <w:ind w:firstLineChars="200" w:firstLine="420"/>
        <w:rPr>
          <w:color w:val="000000"/>
          <w:szCs w:val="21"/>
        </w:rPr>
      </w:pPr>
      <w:r>
        <w:rPr>
          <w:rFonts w:hint="eastAsia"/>
          <w:color w:val="000000"/>
          <w:szCs w:val="21"/>
        </w:rPr>
        <w:t>方法</w:t>
      </w:r>
      <w:r>
        <w:rPr>
          <w:rFonts w:hint="eastAsia"/>
          <w:color w:val="000000"/>
          <w:szCs w:val="21"/>
        </w:rPr>
        <w:t>2</w:t>
      </w:r>
      <w:r>
        <w:rPr>
          <w:rFonts w:hint="eastAsia"/>
          <w:color w:val="000000"/>
          <w:szCs w:val="21"/>
        </w:rPr>
        <w:t>碘量法：协助起草单位有</w:t>
      </w:r>
      <w:r>
        <w:rPr>
          <w:rFonts w:hint="eastAsia"/>
          <w:szCs w:val="21"/>
        </w:rPr>
        <w:t>深圳市中金岭南有色金属股份有限公司、湖南有色金属研究院、云南华联锌铟股份有限公司、广东省工业分析检测中心、</w:t>
      </w:r>
      <w:r>
        <w:rPr>
          <w:szCs w:val="21"/>
        </w:rPr>
        <w:t>衢州华友钴</w:t>
      </w:r>
      <w:r>
        <w:rPr>
          <w:rFonts w:hint="eastAsia"/>
          <w:szCs w:val="21"/>
        </w:rPr>
        <w:t>业</w:t>
      </w:r>
      <w:r>
        <w:rPr>
          <w:szCs w:val="21"/>
        </w:rPr>
        <w:t>新材料有限公司</w:t>
      </w:r>
      <w:r>
        <w:rPr>
          <w:rFonts w:hint="eastAsia"/>
          <w:szCs w:val="21"/>
        </w:rPr>
        <w:t>、</w:t>
      </w:r>
      <w:r>
        <w:rPr>
          <w:szCs w:val="21"/>
        </w:rPr>
        <w:t>广东邦普循环科技有限公司</w:t>
      </w:r>
      <w:r>
        <w:rPr>
          <w:rFonts w:hint="eastAsia"/>
          <w:szCs w:val="21"/>
        </w:rPr>
        <w:t>、天津市茂联科技有限公司、北方铜业股份有限公司、浙江富冶集团有限公司、金川集团股份有限公司、中国检验认证集团广西有限公司、</w:t>
      </w:r>
      <w:r>
        <w:rPr>
          <w:szCs w:val="21"/>
        </w:rPr>
        <w:t>荆门市格林美新材料有限公司</w:t>
      </w:r>
      <w:r>
        <w:rPr>
          <w:rFonts w:hint="eastAsia"/>
          <w:szCs w:val="21"/>
        </w:rPr>
        <w:t>、紫金铜业有限公司、广东佳纳新能源科技有限公司。</w:t>
      </w:r>
    </w:p>
    <w:p w:rsidR="00F55E3A" w:rsidRDefault="00F577EE">
      <w:pPr>
        <w:ind w:firstLineChars="200" w:firstLine="420"/>
        <w:rPr>
          <w:color w:val="000000"/>
          <w:szCs w:val="21"/>
        </w:rPr>
      </w:pPr>
      <w:r>
        <w:rPr>
          <w:rFonts w:hint="eastAsia"/>
          <w:color w:val="000000"/>
          <w:szCs w:val="21"/>
        </w:rPr>
        <w:t>技术归口单位为全国有色金属标准化技术委员会（</w:t>
      </w:r>
      <w:r>
        <w:rPr>
          <w:rFonts w:hint="eastAsia"/>
          <w:color w:val="000000"/>
          <w:szCs w:val="21"/>
        </w:rPr>
        <w:t>SAC/TC243</w:t>
      </w:r>
      <w:r>
        <w:rPr>
          <w:rFonts w:hint="eastAsia"/>
          <w:color w:val="000000"/>
          <w:szCs w:val="21"/>
        </w:rPr>
        <w:t>）。</w:t>
      </w:r>
    </w:p>
    <w:p w:rsidR="00F55E3A" w:rsidRDefault="00F577EE">
      <w:pPr>
        <w:spacing w:line="360" w:lineRule="auto"/>
        <w:rPr>
          <w:rFonts w:ascii="黑体" w:eastAsia="黑体" w:hAnsi="黑体" w:cs="宋体"/>
          <w:szCs w:val="21"/>
        </w:rPr>
      </w:pPr>
      <w:r>
        <w:rPr>
          <w:rFonts w:ascii="黑体" w:eastAsia="黑体" w:hAnsi="黑体" w:cs="宋体" w:hint="eastAsia"/>
          <w:szCs w:val="21"/>
        </w:rPr>
        <w:t>1.2</w:t>
      </w:r>
      <w:r>
        <w:rPr>
          <w:rFonts w:ascii="黑体" w:eastAsia="黑体" w:hAnsi="黑体" w:cs="宋体"/>
          <w:szCs w:val="21"/>
        </w:rPr>
        <w:t xml:space="preserve"> </w:t>
      </w:r>
      <w:r>
        <w:rPr>
          <w:rFonts w:ascii="黑体" w:eastAsia="黑体" w:hAnsi="黑体" w:cs="宋体" w:hint="eastAsia"/>
          <w:szCs w:val="21"/>
        </w:rPr>
        <w:t>项目编制组单位变化情况</w:t>
      </w:r>
    </w:p>
    <w:p w:rsidR="00F55E3A" w:rsidRDefault="00F577EE">
      <w:pPr>
        <w:ind w:firstLineChars="200" w:firstLine="420"/>
        <w:rPr>
          <w:color w:val="000000"/>
          <w:szCs w:val="21"/>
        </w:rPr>
      </w:pPr>
      <w:r>
        <w:rPr>
          <w:rFonts w:hint="eastAsia"/>
          <w:color w:val="000000"/>
          <w:szCs w:val="21"/>
        </w:rPr>
        <w:t>在开展方法验证阶段，</w:t>
      </w:r>
      <w:r>
        <w:rPr>
          <w:rFonts w:hint="eastAsia"/>
        </w:rPr>
        <w:t>浙江富冶集团有限公司主动提出不再参与该标准的验证工作。</w:t>
      </w:r>
    </w:p>
    <w:p w:rsidR="00F55E3A" w:rsidRDefault="00F577EE" w:rsidP="00F577EE">
      <w:pPr>
        <w:pStyle w:val="ListParagraph1"/>
        <w:spacing w:beforeLines="50"/>
        <w:ind w:firstLineChars="0" w:firstLine="0"/>
        <w:outlineLvl w:val="0"/>
        <w:rPr>
          <w:b/>
          <w:szCs w:val="21"/>
        </w:rPr>
      </w:pPr>
      <w:bookmarkStart w:id="4" w:name="_Toc111022815"/>
      <w:bookmarkEnd w:id="3"/>
      <w:r>
        <w:rPr>
          <w:rFonts w:hint="eastAsia"/>
          <w:b/>
          <w:szCs w:val="21"/>
        </w:rPr>
        <w:t>（二）主要参加单位和工作组成员及其所做的工作</w:t>
      </w:r>
      <w:bookmarkEnd w:id="4"/>
    </w:p>
    <w:p w:rsidR="00F55E3A" w:rsidRDefault="00F577EE">
      <w:pPr>
        <w:outlineLvl w:val="2"/>
        <w:rPr>
          <w:rFonts w:ascii="黑体" w:eastAsia="黑体" w:hAnsi="黑体"/>
          <w:color w:val="000000"/>
          <w:szCs w:val="21"/>
        </w:rPr>
      </w:pPr>
      <w:bookmarkStart w:id="5" w:name="_Toc111022816"/>
      <w:r>
        <w:rPr>
          <w:rFonts w:ascii="黑体" w:eastAsia="黑体" w:hAnsi="黑体" w:hint="eastAsia"/>
          <w:color w:val="000000"/>
          <w:szCs w:val="21"/>
        </w:rPr>
        <w:t>1、</w:t>
      </w:r>
      <w:r>
        <w:rPr>
          <w:rFonts w:ascii="黑体" w:eastAsia="黑体" w:hAnsi="黑体"/>
          <w:color w:val="000000"/>
          <w:szCs w:val="21"/>
        </w:rPr>
        <w:t xml:space="preserve"> </w:t>
      </w:r>
      <w:r>
        <w:rPr>
          <w:rFonts w:ascii="黑体" w:eastAsia="黑体" w:hAnsi="黑体" w:hint="eastAsia"/>
          <w:color w:val="000000"/>
          <w:szCs w:val="21"/>
        </w:rPr>
        <w:t>主要参加单位情况</w:t>
      </w:r>
      <w:bookmarkEnd w:id="5"/>
    </w:p>
    <w:p w:rsidR="00F55E3A" w:rsidRDefault="00F577EE">
      <w:pPr>
        <w:outlineLvl w:val="3"/>
        <w:rPr>
          <w:rFonts w:asciiTheme="minorEastAsia" w:eastAsiaTheme="minorEastAsia" w:hAnsiTheme="minorEastAsia"/>
          <w:b/>
          <w:bCs/>
          <w:szCs w:val="21"/>
        </w:rPr>
      </w:pPr>
      <w:r>
        <w:rPr>
          <w:rFonts w:asciiTheme="minorEastAsia" w:eastAsiaTheme="minorEastAsia" w:hAnsiTheme="minorEastAsia"/>
          <w:b/>
          <w:bCs/>
          <w:szCs w:val="21"/>
        </w:rPr>
        <w:t xml:space="preserve">1.1 </w:t>
      </w:r>
      <w:r>
        <w:rPr>
          <w:rFonts w:asciiTheme="minorEastAsia" w:eastAsiaTheme="minorEastAsia" w:hAnsiTheme="minorEastAsia" w:hint="eastAsia"/>
          <w:b/>
          <w:bCs/>
          <w:szCs w:val="21"/>
        </w:rPr>
        <w:t>方法1火焰原子吸收法</w:t>
      </w:r>
    </w:p>
    <w:p w:rsidR="00F55E3A" w:rsidRDefault="00F577EE">
      <w:pPr>
        <w:ind w:firstLineChars="200" w:firstLine="420"/>
        <w:rPr>
          <w:szCs w:val="21"/>
        </w:rPr>
      </w:pPr>
      <w:r>
        <w:rPr>
          <w:rFonts w:hint="eastAsia"/>
          <w:szCs w:val="21"/>
        </w:rPr>
        <w:t>本标准的方法</w:t>
      </w:r>
      <w:r>
        <w:rPr>
          <w:rFonts w:hint="eastAsia"/>
          <w:szCs w:val="21"/>
        </w:rPr>
        <w:t>1</w:t>
      </w:r>
      <w:r>
        <w:rPr>
          <w:rFonts w:hint="eastAsia"/>
          <w:szCs w:val="21"/>
        </w:rPr>
        <w:t>火焰原子吸收法，由</w:t>
      </w:r>
      <w:r>
        <w:rPr>
          <w:szCs w:val="21"/>
        </w:rPr>
        <w:t>金川集团股份有限公司</w:t>
      </w:r>
      <w:r>
        <w:rPr>
          <w:rFonts w:hint="eastAsia"/>
          <w:szCs w:val="21"/>
        </w:rPr>
        <w:t>负责起草。</w:t>
      </w:r>
      <w:r>
        <w:rPr>
          <w:szCs w:val="21"/>
        </w:rPr>
        <w:t xml:space="preserve"> </w:t>
      </w:r>
    </w:p>
    <w:p w:rsidR="00F55E3A" w:rsidRDefault="00F577EE">
      <w:pPr>
        <w:ind w:firstLineChars="200" w:firstLine="420"/>
        <w:rPr>
          <w:szCs w:val="21"/>
        </w:rPr>
      </w:pPr>
      <w:r>
        <w:t>北矿检测技术有限公司</w:t>
      </w:r>
      <w:r>
        <w:rPr>
          <w:rFonts w:hint="eastAsia"/>
        </w:rPr>
        <w:t>、</w:t>
      </w:r>
      <w:r>
        <w:t>广东邦普循环科技有限公司</w:t>
      </w:r>
      <w:r>
        <w:rPr>
          <w:rFonts w:hint="eastAsia"/>
        </w:rPr>
        <w:t>、广东省工业分析检测中心、中国检验认证集团广西有限公司、深圳市中金岭南有色金属股份有限公司、</w:t>
      </w:r>
      <w:r>
        <w:t>荆门市格林美新材料有限公司</w:t>
      </w:r>
      <w:r>
        <w:rPr>
          <w:rFonts w:hint="eastAsia"/>
          <w:szCs w:val="21"/>
          <w:lang w:val="zh-CN"/>
        </w:rPr>
        <w:t>为</w:t>
      </w:r>
      <w:r>
        <w:rPr>
          <w:szCs w:val="21"/>
        </w:rPr>
        <w:t>一验单位</w:t>
      </w:r>
      <w:r>
        <w:rPr>
          <w:rFonts w:hint="eastAsia"/>
          <w:szCs w:val="21"/>
        </w:rPr>
        <w:t>。</w:t>
      </w:r>
    </w:p>
    <w:p w:rsidR="00F55E3A" w:rsidRDefault="00F577EE">
      <w:pPr>
        <w:ind w:firstLineChars="200" w:firstLine="420"/>
        <w:rPr>
          <w:color w:val="000000"/>
          <w:szCs w:val="21"/>
        </w:rPr>
      </w:pPr>
      <w:r>
        <w:rPr>
          <w:rFonts w:hint="eastAsia"/>
        </w:rPr>
        <w:t>天津市茂联科技有限公司、北方铜业股份有限公司、浙江华友钴业股份有限公司、</w:t>
      </w:r>
      <w:r>
        <w:t>衢州华友钴</w:t>
      </w:r>
      <w:r>
        <w:rPr>
          <w:rFonts w:hint="eastAsia"/>
        </w:rPr>
        <w:t>业</w:t>
      </w:r>
      <w:r>
        <w:t>新材料有限公司</w:t>
      </w:r>
      <w:r>
        <w:rPr>
          <w:rFonts w:hint="eastAsia"/>
        </w:rPr>
        <w:t>、紫金铜业有限公司</w:t>
      </w:r>
      <w:r>
        <w:rPr>
          <w:szCs w:val="21"/>
        </w:rPr>
        <w:t>为二验单位</w:t>
      </w:r>
      <w:r>
        <w:rPr>
          <w:rFonts w:hint="eastAsia"/>
          <w:color w:val="000000"/>
          <w:szCs w:val="21"/>
        </w:rPr>
        <w:t>。</w:t>
      </w:r>
    </w:p>
    <w:p w:rsidR="00F55E3A" w:rsidRDefault="00F577EE">
      <w:pPr>
        <w:outlineLvl w:val="3"/>
        <w:rPr>
          <w:rFonts w:asciiTheme="minorEastAsia" w:eastAsiaTheme="minorEastAsia" w:hAnsiTheme="minorEastAsia"/>
          <w:b/>
          <w:bCs/>
          <w:szCs w:val="21"/>
        </w:rPr>
      </w:pPr>
      <w:r>
        <w:rPr>
          <w:rFonts w:asciiTheme="minorEastAsia" w:eastAsiaTheme="minorEastAsia" w:hAnsiTheme="minorEastAsia"/>
          <w:b/>
          <w:bCs/>
          <w:szCs w:val="21"/>
        </w:rPr>
        <w:t xml:space="preserve">1.2 </w:t>
      </w:r>
      <w:r>
        <w:rPr>
          <w:rFonts w:asciiTheme="minorEastAsia" w:eastAsiaTheme="minorEastAsia" w:hAnsiTheme="minorEastAsia" w:hint="eastAsia"/>
          <w:b/>
          <w:bCs/>
          <w:szCs w:val="21"/>
        </w:rPr>
        <w:t>方法</w:t>
      </w:r>
      <w:r>
        <w:rPr>
          <w:rFonts w:asciiTheme="minorEastAsia" w:eastAsiaTheme="minorEastAsia" w:hAnsiTheme="minorEastAsia"/>
          <w:b/>
          <w:bCs/>
          <w:szCs w:val="21"/>
        </w:rPr>
        <w:t>2</w:t>
      </w:r>
      <w:r>
        <w:rPr>
          <w:rFonts w:asciiTheme="minorEastAsia" w:eastAsiaTheme="minorEastAsia" w:hAnsiTheme="minorEastAsia" w:hint="eastAsia"/>
          <w:b/>
          <w:bCs/>
          <w:szCs w:val="21"/>
        </w:rPr>
        <w:t>碘量法</w:t>
      </w:r>
    </w:p>
    <w:p w:rsidR="00F55E3A" w:rsidRDefault="00F577EE">
      <w:pPr>
        <w:ind w:firstLineChars="200" w:firstLine="420"/>
        <w:rPr>
          <w:szCs w:val="21"/>
        </w:rPr>
      </w:pPr>
      <w:r>
        <w:rPr>
          <w:rFonts w:hint="eastAsia"/>
          <w:szCs w:val="21"/>
        </w:rPr>
        <w:t>本标准的方法</w:t>
      </w:r>
      <w:r>
        <w:rPr>
          <w:rFonts w:hint="eastAsia"/>
          <w:szCs w:val="21"/>
        </w:rPr>
        <w:t>1</w:t>
      </w:r>
      <w:r>
        <w:rPr>
          <w:rFonts w:hint="eastAsia"/>
          <w:szCs w:val="21"/>
        </w:rPr>
        <w:t>碘量法，由</w:t>
      </w:r>
      <w:r>
        <w:rPr>
          <w:rFonts w:hint="eastAsia"/>
        </w:rPr>
        <w:t>浙江华友钴业股份有限公司</w:t>
      </w:r>
      <w:r>
        <w:rPr>
          <w:rFonts w:hint="eastAsia"/>
          <w:szCs w:val="21"/>
        </w:rPr>
        <w:t>负责起草。</w:t>
      </w:r>
      <w:r>
        <w:rPr>
          <w:szCs w:val="21"/>
        </w:rPr>
        <w:t xml:space="preserve"> </w:t>
      </w:r>
    </w:p>
    <w:p w:rsidR="00F55E3A" w:rsidRDefault="00F577EE">
      <w:pPr>
        <w:ind w:firstLineChars="200" w:firstLine="420"/>
        <w:rPr>
          <w:szCs w:val="21"/>
        </w:rPr>
      </w:pPr>
      <w:r>
        <w:rPr>
          <w:rFonts w:hint="eastAsia"/>
          <w:szCs w:val="21"/>
        </w:rPr>
        <w:lastRenderedPageBreak/>
        <w:t>深圳市中金岭南有色金属股份有限公司、湖南有色金属研究院、云南华联锌铟股份有限公司、广东省工业分析检测中心</w:t>
      </w:r>
      <w:r>
        <w:rPr>
          <w:rFonts w:hint="eastAsia"/>
          <w:szCs w:val="21"/>
          <w:lang w:val="zh-CN"/>
        </w:rPr>
        <w:t>为</w:t>
      </w:r>
      <w:r>
        <w:rPr>
          <w:szCs w:val="21"/>
        </w:rPr>
        <w:t>一验单位</w:t>
      </w:r>
      <w:r>
        <w:rPr>
          <w:rFonts w:hint="eastAsia"/>
          <w:szCs w:val="21"/>
        </w:rPr>
        <w:t>。</w:t>
      </w:r>
    </w:p>
    <w:p w:rsidR="00F55E3A" w:rsidRDefault="00F577EE">
      <w:pPr>
        <w:ind w:firstLineChars="200" w:firstLine="420"/>
        <w:rPr>
          <w:color w:val="000000"/>
          <w:szCs w:val="21"/>
        </w:rPr>
      </w:pPr>
      <w:r>
        <w:rPr>
          <w:rFonts w:hint="eastAsia"/>
          <w:szCs w:val="21"/>
        </w:rPr>
        <w:t>金川集团股份有限公司、</w:t>
      </w:r>
      <w:r>
        <w:rPr>
          <w:szCs w:val="21"/>
        </w:rPr>
        <w:t>衢州华友钴</w:t>
      </w:r>
      <w:r>
        <w:rPr>
          <w:rFonts w:hint="eastAsia"/>
          <w:szCs w:val="21"/>
        </w:rPr>
        <w:t>业</w:t>
      </w:r>
      <w:r>
        <w:rPr>
          <w:szCs w:val="21"/>
        </w:rPr>
        <w:t>新材料有限公司</w:t>
      </w:r>
      <w:r>
        <w:rPr>
          <w:rFonts w:hint="eastAsia"/>
          <w:szCs w:val="21"/>
        </w:rPr>
        <w:t>、</w:t>
      </w:r>
      <w:r>
        <w:rPr>
          <w:szCs w:val="21"/>
        </w:rPr>
        <w:t>广东邦普循环科技有限公司</w:t>
      </w:r>
      <w:r>
        <w:rPr>
          <w:rFonts w:hint="eastAsia"/>
          <w:szCs w:val="21"/>
        </w:rPr>
        <w:t>、天津市茂联科技有限公司、北方铜业股份有限公司、浙江富冶集团有限公司、中国检验认证集团广西有限公司、</w:t>
      </w:r>
      <w:r>
        <w:rPr>
          <w:szCs w:val="21"/>
        </w:rPr>
        <w:t>荆门市格林美新材料有限公司</w:t>
      </w:r>
      <w:r>
        <w:rPr>
          <w:rFonts w:hint="eastAsia"/>
          <w:szCs w:val="21"/>
        </w:rPr>
        <w:t>、紫金铜业有限公司、广东佳纳新能源科技有限公司</w:t>
      </w:r>
      <w:r>
        <w:rPr>
          <w:szCs w:val="21"/>
        </w:rPr>
        <w:t>为二验单位</w:t>
      </w:r>
      <w:r>
        <w:rPr>
          <w:rFonts w:hint="eastAsia"/>
          <w:color w:val="000000"/>
          <w:szCs w:val="21"/>
        </w:rPr>
        <w:t>。</w:t>
      </w:r>
    </w:p>
    <w:p w:rsidR="00F55E3A" w:rsidRDefault="00F577EE">
      <w:pPr>
        <w:outlineLvl w:val="2"/>
        <w:rPr>
          <w:rFonts w:ascii="黑体" w:eastAsia="黑体" w:hAnsi="黑体"/>
          <w:color w:val="000000"/>
          <w:szCs w:val="21"/>
        </w:rPr>
      </w:pPr>
      <w:bookmarkStart w:id="6" w:name="_Toc111022817"/>
      <w:r>
        <w:rPr>
          <w:rFonts w:ascii="黑体" w:eastAsia="黑体" w:hAnsi="黑体" w:hint="eastAsia"/>
          <w:color w:val="000000"/>
          <w:szCs w:val="21"/>
        </w:rPr>
        <w:t>2</w:t>
      </w:r>
      <w:r>
        <w:rPr>
          <w:rFonts w:ascii="黑体" w:eastAsia="黑体" w:hAnsi="黑体"/>
          <w:color w:val="000000"/>
          <w:szCs w:val="21"/>
        </w:rPr>
        <w:t xml:space="preserve"> </w:t>
      </w:r>
      <w:r>
        <w:rPr>
          <w:rFonts w:ascii="黑体" w:eastAsia="黑体" w:hAnsi="黑体" w:hint="eastAsia"/>
          <w:color w:val="000000"/>
          <w:szCs w:val="21"/>
        </w:rPr>
        <w:t>主要工作成员所负责的工作情况</w:t>
      </w:r>
      <w:bookmarkEnd w:id="6"/>
    </w:p>
    <w:p w:rsidR="00F55E3A" w:rsidRDefault="00F577EE">
      <w:pPr>
        <w:ind w:firstLineChars="200" w:firstLine="420"/>
        <w:rPr>
          <w:szCs w:val="21"/>
        </w:rPr>
      </w:pPr>
      <w:r>
        <w:rPr>
          <w:rFonts w:hint="eastAsia"/>
          <w:szCs w:val="21"/>
        </w:rPr>
        <w:t>本标准主要起草人及工作职责见表</w:t>
      </w:r>
      <w:r>
        <w:rPr>
          <w:rFonts w:hint="eastAsia"/>
          <w:szCs w:val="21"/>
        </w:rPr>
        <w:t>1</w:t>
      </w:r>
      <w:r>
        <w:rPr>
          <w:rFonts w:hint="eastAsia"/>
          <w:szCs w:val="21"/>
        </w:rPr>
        <w:t>和表</w:t>
      </w:r>
      <w:r>
        <w:rPr>
          <w:rFonts w:hint="eastAsia"/>
          <w:szCs w:val="21"/>
        </w:rPr>
        <w:t>2</w:t>
      </w:r>
      <w:r>
        <w:rPr>
          <w:rFonts w:hint="eastAsia"/>
          <w:szCs w:val="21"/>
        </w:rPr>
        <w:t>。</w:t>
      </w:r>
    </w:p>
    <w:p w:rsidR="00F55E3A" w:rsidRDefault="00F577EE">
      <w:pPr>
        <w:spacing w:line="360" w:lineRule="auto"/>
        <w:jc w:val="center"/>
        <w:rPr>
          <w:rFonts w:ascii="黑体" w:eastAsia="黑体" w:hAnsi="宋体"/>
          <w:color w:val="000000"/>
          <w:szCs w:val="21"/>
        </w:rPr>
      </w:pPr>
      <w:r>
        <w:rPr>
          <w:rFonts w:ascii="黑体" w:eastAsia="黑体" w:hAnsi="宋体" w:hint="eastAsia"/>
          <w:color w:val="000000"/>
          <w:szCs w:val="21"/>
        </w:rPr>
        <w:t>表1  方法1火焰原子吸收法</w:t>
      </w:r>
      <w:r>
        <w:rPr>
          <w:rFonts w:ascii="黑体" w:eastAsia="黑体" w:hAnsi="宋体" w:hint="eastAsia"/>
          <w:szCs w:val="21"/>
        </w:rPr>
        <w:t>主要起草人及工作职责</w:t>
      </w:r>
    </w:p>
    <w:tbl>
      <w:tblPr>
        <w:tblStyle w:val="21"/>
        <w:tblW w:w="9569" w:type="dxa"/>
        <w:jc w:val="center"/>
        <w:tblLayout w:type="fixed"/>
        <w:tblLook w:val="04A0"/>
      </w:tblPr>
      <w:tblGrid>
        <w:gridCol w:w="4873"/>
        <w:gridCol w:w="4696"/>
      </w:tblGrid>
      <w:tr w:rsidR="00F55E3A">
        <w:trPr>
          <w:trHeight w:val="293"/>
          <w:jc w:val="center"/>
        </w:trPr>
        <w:tc>
          <w:tcPr>
            <w:tcW w:w="4873" w:type="dxa"/>
            <w:vAlign w:val="center"/>
          </w:tcPr>
          <w:p w:rsidR="00F55E3A" w:rsidRDefault="00F577EE">
            <w:pPr>
              <w:jc w:val="center"/>
              <w:rPr>
                <w:rFonts w:ascii="宋体" w:hAnsi="宋体"/>
                <w:color w:val="000000"/>
                <w:szCs w:val="21"/>
              </w:rPr>
            </w:pPr>
            <w:r>
              <w:rPr>
                <w:rFonts w:ascii="宋体" w:hAnsi="宋体" w:hint="eastAsia"/>
                <w:color w:val="000000"/>
                <w:szCs w:val="21"/>
              </w:rPr>
              <w:t>起草人</w:t>
            </w:r>
          </w:p>
        </w:tc>
        <w:tc>
          <w:tcPr>
            <w:tcW w:w="4696" w:type="dxa"/>
            <w:vAlign w:val="center"/>
          </w:tcPr>
          <w:p w:rsidR="00F55E3A" w:rsidRDefault="00F577EE">
            <w:pPr>
              <w:jc w:val="center"/>
              <w:rPr>
                <w:rFonts w:ascii="宋体" w:hAnsi="宋体"/>
                <w:color w:val="000000"/>
                <w:szCs w:val="21"/>
              </w:rPr>
            </w:pPr>
            <w:r>
              <w:rPr>
                <w:rFonts w:ascii="宋体" w:hAnsi="宋体" w:hint="eastAsia"/>
                <w:color w:val="000000"/>
                <w:szCs w:val="21"/>
              </w:rPr>
              <w:t>工作职责</w:t>
            </w:r>
          </w:p>
        </w:tc>
      </w:tr>
      <w:tr w:rsidR="00F55E3A">
        <w:trPr>
          <w:trHeight w:val="633"/>
          <w:jc w:val="center"/>
        </w:trPr>
        <w:tc>
          <w:tcPr>
            <w:tcW w:w="4873" w:type="dxa"/>
            <w:vAlign w:val="center"/>
          </w:tcPr>
          <w:p w:rsidR="00F55E3A" w:rsidRDefault="00F577EE">
            <w:pPr>
              <w:rPr>
                <w:rFonts w:ascii="宋体" w:hAnsi="宋体"/>
                <w:szCs w:val="21"/>
              </w:rPr>
            </w:pPr>
            <w:r>
              <w:rPr>
                <w:rFonts w:ascii="Calibri" w:hAnsi="Calibri" w:hint="eastAsia"/>
                <w:szCs w:val="21"/>
              </w:rPr>
              <w:t>喻生洁、任利华、赵勇</w:t>
            </w:r>
          </w:p>
        </w:tc>
        <w:tc>
          <w:tcPr>
            <w:tcW w:w="4696" w:type="dxa"/>
            <w:vAlign w:val="center"/>
          </w:tcPr>
          <w:p w:rsidR="00F55E3A" w:rsidRDefault="00F577EE">
            <w:pPr>
              <w:rPr>
                <w:rFonts w:ascii="宋体" w:hAnsi="宋体"/>
                <w:szCs w:val="21"/>
              </w:rPr>
            </w:pPr>
            <w:r>
              <w:rPr>
                <w:rFonts w:ascii="宋体" w:hAnsi="宋体" w:hint="eastAsia"/>
                <w:szCs w:val="21"/>
              </w:rPr>
              <w:t>负责标准起草的组织协调、试验方案的确定和开展试验，以及各类报告、文本、材料的撰写工作。</w:t>
            </w:r>
          </w:p>
        </w:tc>
      </w:tr>
      <w:tr w:rsidR="00F55E3A">
        <w:trPr>
          <w:trHeight w:val="308"/>
          <w:jc w:val="center"/>
        </w:trPr>
        <w:tc>
          <w:tcPr>
            <w:tcW w:w="4873" w:type="dxa"/>
            <w:vAlign w:val="center"/>
          </w:tcPr>
          <w:p w:rsidR="00F55E3A" w:rsidRDefault="00F577EE">
            <w:pPr>
              <w:rPr>
                <w:rFonts w:ascii="宋体" w:hAnsi="宋体"/>
                <w:szCs w:val="21"/>
              </w:rPr>
            </w:pPr>
            <w:r>
              <w:rPr>
                <w:rFonts w:ascii="Calibri" w:hAnsi="Calibri" w:hint="eastAsia"/>
                <w:szCs w:val="21"/>
              </w:rPr>
              <w:t>韩聪美</w:t>
            </w:r>
            <w:r>
              <w:rPr>
                <w:rFonts w:ascii="Calibri" w:hAnsi="Calibri" w:hint="eastAsia"/>
                <w:szCs w:val="21"/>
              </w:rPr>
              <w:t xml:space="preserve"> </w:t>
            </w:r>
            <w:r>
              <w:rPr>
                <w:rFonts w:ascii="Calibri" w:hAnsi="Calibri" w:hint="eastAsia"/>
                <w:szCs w:val="21"/>
              </w:rPr>
              <w:t>冯振华（北矿）、</w:t>
            </w:r>
            <w:r>
              <w:rPr>
                <w:rFonts w:ascii="Calibri" w:hAnsi="Calibri"/>
                <w:szCs w:val="21"/>
              </w:rPr>
              <w:t>…</w:t>
            </w:r>
            <w:r>
              <w:rPr>
                <w:rFonts w:ascii="Calibri" w:hAnsi="Calibri" w:hint="eastAsia"/>
                <w:szCs w:val="21"/>
              </w:rPr>
              <w:t>（邦普）、毕海定、兰淑惠、岑旭（</w:t>
            </w:r>
            <w:r>
              <w:rPr>
                <w:rFonts w:asciiTheme="minorEastAsia" w:eastAsiaTheme="minorEastAsia" w:hAnsiTheme="minorEastAsia" w:hint="eastAsia"/>
                <w:szCs w:val="21"/>
              </w:rPr>
              <w:t>中检广西</w:t>
            </w:r>
            <w:r>
              <w:rPr>
                <w:rFonts w:ascii="Calibri" w:hAnsi="Calibri" w:hint="eastAsia"/>
                <w:szCs w:val="21"/>
              </w:rPr>
              <w:t>）</w:t>
            </w:r>
            <w:r>
              <w:rPr>
                <w:rFonts w:asciiTheme="minorEastAsia" w:eastAsiaTheme="minorEastAsia" w:hAnsiTheme="minorEastAsia" w:hint="eastAsia"/>
                <w:szCs w:val="21"/>
              </w:rPr>
              <w:t>、江敏敏、郭燕瑶（中金岭南）、卢超培（广东检测）、</w:t>
            </w:r>
            <w:r>
              <w:rPr>
                <w:rFonts w:asciiTheme="minorEastAsia" w:eastAsiaTheme="minorEastAsia" w:hAnsiTheme="minorEastAsia"/>
                <w:szCs w:val="21"/>
              </w:rPr>
              <w:t>…</w:t>
            </w:r>
            <w:r>
              <w:rPr>
                <w:rFonts w:asciiTheme="minorEastAsia" w:eastAsiaTheme="minorEastAsia" w:hAnsiTheme="minorEastAsia" w:hint="eastAsia"/>
                <w:szCs w:val="21"/>
              </w:rPr>
              <w:t>（格林美）</w:t>
            </w:r>
          </w:p>
        </w:tc>
        <w:tc>
          <w:tcPr>
            <w:tcW w:w="4696" w:type="dxa"/>
            <w:vAlign w:val="center"/>
          </w:tcPr>
          <w:p w:rsidR="00F55E3A" w:rsidRDefault="00F577EE">
            <w:pPr>
              <w:rPr>
                <w:rFonts w:ascii="宋体" w:hAnsi="宋体"/>
                <w:color w:val="000000"/>
                <w:szCs w:val="21"/>
              </w:rPr>
            </w:pPr>
            <w:r>
              <w:rPr>
                <w:rFonts w:ascii="宋体" w:hAnsi="宋体" w:hint="eastAsia"/>
                <w:color w:val="000000"/>
                <w:szCs w:val="21"/>
              </w:rPr>
              <w:t>参与标准试验一验的验证工作</w:t>
            </w:r>
          </w:p>
        </w:tc>
      </w:tr>
      <w:tr w:rsidR="00F55E3A">
        <w:trPr>
          <w:trHeight w:val="308"/>
          <w:jc w:val="center"/>
        </w:trPr>
        <w:tc>
          <w:tcPr>
            <w:tcW w:w="4873" w:type="dxa"/>
            <w:vAlign w:val="center"/>
          </w:tcPr>
          <w:p w:rsidR="00F55E3A" w:rsidRDefault="00F577EE">
            <w:pPr>
              <w:rPr>
                <w:rFonts w:ascii="宋体" w:hAnsi="宋体"/>
                <w:szCs w:val="21"/>
              </w:rPr>
            </w:pPr>
            <w:r>
              <w:rPr>
                <w:rFonts w:asciiTheme="minorEastAsia" w:eastAsiaTheme="minorEastAsia" w:hAnsiTheme="minorEastAsia"/>
                <w:szCs w:val="21"/>
              </w:rPr>
              <w:t>…</w:t>
            </w:r>
            <w:r>
              <w:rPr>
                <w:rFonts w:asciiTheme="minorEastAsia" w:eastAsiaTheme="minorEastAsia" w:hAnsiTheme="minorEastAsia" w:hint="eastAsia"/>
                <w:szCs w:val="21"/>
              </w:rPr>
              <w:t>（天津茂联）、黄树婷（北方铜业）、</w:t>
            </w:r>
            <w:r>
              <w:rPr>
                <w:rFonts w:asciiTheme="minorEastAsia" w:eastAsiaTheme="minorEastAsia" w:hAnsiTheme="minorEastAsia"/>
                <w:szCs w:val="21"/>
              </w:rPr>
              <w:t>…</w:t>
            </w:r>
            <w:r>
              <w:rPr>
                <w:rFonts w:asciiTheme="minorEastAsia" w:eastAsiaTheme="minorEastAsia" w:hAnsiTheme="minorEastAsia" w:hint="eastAsia"/>
                <w:szCs w:val="21"/>
              </w:rPr>
              <w:t>（浙江华友）、</w:t>
            </w:r>
            <w:r>
              <w:rPr>
                <w:rFonts w:asciiTheme="minorEastAsia" w:eastAsiaTheme="minorEastAsia" w:hAnsiTheme="minorEastAsia"/>
                <w:szCs w:val="21"/>
              </w:rPr>
              <w:t>…</w:t>
            </w:r>
            <w:r>
              <w:rPr>
                <w:rFonts w:asciiTheme="minorEastAsia" w:eastAsiaTheme="minorEastAsia" w:hAnsiTheme="minorEastAsia" w:hint="eastAsia"/>
                <w:szCs w:val="21"/>
              </w:rPr>
              <w:t>（衢州华友）、赖秋祥、李文英（紫金铜业）</w:t>
            </w:r>
          </w:p>
        </w:tc>
        <w:tc>
          <w:tcPr>
            <w:tcW w:w="4696" w:type="dxa"/>
            <w:vAlign w:val="center"/>
          </w:tcPr>
          <w:p w:rsidR="00F55E3A" w:rsidRDefault="00F577EE">
            <w:pPr>
              <w:rPr>
                <w:rFonts w:ascii="宋体" w:hAnsi="宋体"/>
                <w:szCs w:val="21"/>
              </w:rPr>
            </w:pPr>
            <w:r>
              <w:rPr>
                <w:rFonts w:ascii="宋体" w:hAnsi="宋体" w:hint="eastAsia"/>
                <w:szCs w:val="21"/>
              </w:rPr>
              <w:t>参与标准试验二验的验证工作</w:t>
            </w:r>
          </w:p>
        </w:tc>
      </w:tr>
    </w:tbl>
    <w:p w:rsidR="00F55E3A" w:rsidRDefault="00F577EE">
      <w:pPr>
        <w:spacing w:line="360" w:lineRule="auto"/>
        <w:jc w:val="center"/>
        <w:rPr>
          <w:rFonts w:ascii="黑体" w:eastAsia="黑体" w:hAnsi="宋体"/>
          <w:color w:val="000000"/>
          <w:szCs w:val="21"/>
        </w:rPr>
      </w:pPr>
      <w:r>
        <w:rPr>
          <w:rFonts w:ascii="黑体" w:eastAsia="黑体" w:hAnsi="宋体" w:hint="eastAsia"/>
          <w:color w:val="000000"/>
          <w:szCs w:val="21"/>
        </w:rPr>
        <w:t>表</w:t>
      </w:r>
      <w:r>
        <w:rPr>
          <w:rFonts w:ascii="黑体" w:eastAsia="黑体" w:hAnsi="宋体"/>
          <w:color w:val="000000"/>
          <w:szCs w:val="21"/>
        </w:rPr>
        <w:t xml:space="preserve">2 </w:t>
      </w:r>
      <w:r>
        <w:rPr>
          <w:rFonts w:ascii="黑体" w:eastAsia="黑体" w:hAnsi="宋体" w:hint="eastAsia"/>
          <w:color w:val="000000"/>
          <w:szCs w:val="21"/>
        </w:rPr>
        <w:t xml:space="preserve"> 方法2碘量法</w:t>
      </w:r>
      <w:r>
        <w:rPr>
          <w:rFonts w:ascii="黑体" w:eastAsia="黑体" w:hAnsi="宋体" w:hint="eastAsia"/>
          <w:szCs w:val="21"/>
        </w:rPr>
        <w:t>主要起草人及工作职责</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3"/>
        <w:gridCol w:w="4697"/>
      </w:tblGrid>
      <w:tr w:rsidR="00F55E3A">
        <w:trPr>
          <w:trHeight w:val="299"/>
          <w:jc w:val="center"/>
        </w:trPr>
        <w:tc>
          <w:tcPr>
            <w:tcW w:w="4873" w:type="dxa"/>
            <w:shd w:val="clear" w:color="auto" w:fill="auto"/>
            <w:vAlign w:val="center"/>
          </w:tcPr>
          <w:p w:rsidR="00F55E3A" w:rsidRDefault="00F577EE">
            <w:pPr>
              <w:jc w:val="center"/>
              <w:rPr>
                <w:rFonts w:ascii="宋体" w:hAnsi="宋体"/>
                <w:color w:val="000000"/>
                <w:szCs w:val="21"/>
              </w:rPr>
            </w:pPr>
            <w:r>
              <w:rPr>
                <w:rFonts w:ascii="宋体" w:hAnsi="宋体" w:hint="eastAsia"/>
                <w:color w:val="000000"/>
                <w:szCs w:val="21"/>
              </w:rPr>
              <w:t>起草人</w:t>
            </w:r>
          </w:p>
        </w:tc>
        <w:tc>
          <w:tcPr>
            <w:tcW w:w="4697" w:type="dxa"/>
            <w:shd w:val="clear" w:color="auto" w:fill="auto"/>
            <w:vAlign w:val="center"/>
          </w:tcPr>
          <w:p w:rsidR="00F55E3A" w:rsidRDefault="00F577EE">
            <w:pPr>
              <w:jc w:val="center"/>
              <w:rPr>
                <w:rFonts w:ascii="宋体" w:hAnsi="宋体"/>
                <w:color w:val="000000"/>
                <w:szCs w:val="21"/>
              </w:rPr>
            </w:pPr>
            <w:r>
              <w:rPr>
                <w:rFonts w:ascii="宋体" w:hAnsi="宋体" w:hint="eastAsia"/>
                <w:color w:val="000000"/>
                <w:szCs w:val="21"/>
              </w:rPr>
              <w:t>工作职责</w:t>
            </w:r>
          </w:p>
        </w:tc>
      </w:tr>
      <w:tr w:rsidR="00F55E3A">
        <w:trPr>
          <w:jc w:val="center"/>
        </w:trPr>
        <w:tc>
          <w:tcPr>
            <w:tcW w:w="4873" w:type="dxa"/>
            <w:shd w:val="clear" w:color="auto" w:fill="auto"/>
            <w:vAlign w:val="center"/>
          </w:tcPr>
          <w:p w:rsidR="00F55E3A" w:rsidRDefault="00F577EE">
            <w:pPr>
              <w:rPr>
                <w:rFonts w:ascii="宋体" w:hAnsi="宋体"/>
                <w:szCs w:val="21"/>
              </w:rPr>
            </w:pPr>
            <w:r>
              <w:rPr>
                <w:rFonts w:ascii="Calibri" w:hAnsi="Calibri" w:hint="eastAsia"/>
                <w:szCs w:val="21"/>
              </w:rPr>
              <w:t>谢柏华、范娟恵、高娟亚</w:t>
            </w:r>
          </w:p>
        </w:tc>
        <w:tc>
          <w:tcPr>
            <w:tcW w:w="4697" w:type="dxa"/>
            <w:shd w:val="clear" w:color="auto" w:fill="auto"/>
            <w:vAlign w:val="center"/>
          </w:tcPr>
          <w:p w:rsidR="00F55E3A" w:rsidRDefault="00F577EE">
            <w:pPr>
              <w:rPr>
                <w:rFonts w:ascii="宋体" w:hAnsi="宋体"/>
                <w:szCs w:val="21"/>
              </w:rPr>
            </w:pPr>
            <w:r>
              <w:rPr>
                <w:rFonts w:ascii="宋体" w:hAnsi="宋体" w:hint="eastAsia"/>
                <w:szCs w:val="21"/>
              </w:rPr>
              <w:t>负责标准起草的组织协调、试验方案的确定和开展试验，以及各类报告、文本、材料的撰写工作。</w:t>
            </w:r>
          </w:p>
        </w:tc>
      </w:tr>
      <w:tr w:rsidR="00F55E3A">
        <w:trPr>
          <w:jc w:val="center"/>
        </w:trPr>
        <w:tc>
          <w:tcPr>
            <w:tcW w:w="4873" w:type="dxa"/>
            <w:shd w:val="clear" w:color="auto" w:fill="auto"/>
            <w:vAlign w:val="center"/>
          </w:tcPr>
          <w:p w:rsidR="00F55E3A" w:rsidRDefault="00F577EE">
            <w:pPr>
              <w:rPr>
                <w:rFonts w:ascii="宋体" w:hAnsi="宋体"/>
                <w:szCs w:val="21"/>
              </w:rPr>
            </w:pPr>
            <w:r>
              <w:rPr>
                <w:szCs w:val="21"/>
              </w:rPr>
              <w:t>……</w:t>
            </w:r>
            <w:r>
              <w:rPr>
                <w:rFonts w:hint="eastAsia"/>
                <w:szCs w:val="21"/>
              </w:rPr>
              <w:t>、</w:t>
            </w:r>
            <w:r>
              <w:rPr>
                <w:szCs w:val="21"/>
              </w:rPr>
              <w:t>……</w:t>
            </w:r>
            <w:r>
              <w:rPr>
                <w:rFonts w:hint="eastAsia"/>
                <w:szCs w:val="21"/>
              </w:rPr>
              <w:t>、</w:t>
            </w:r>
            <w:r>
              <w:rPr>
                <w:szCs w:val="21"/>
              </w:rPr>
              <w:t>……</w:t>
            </w:r>
          </w:p>
        </w:tc>
        <w:tc>
          <w:tcPr>
            <w:tcW w:w="4697" w:type="dxa"/>
            <w:shd w:val="clear" w:color="auto" w:fill="auto"/>
            <w:vAlign w:val="center"/>
          </w:tcPr>
          <w:p w:rsidR="00F55E3A" w:rsidRDefault="00F577EE">
            <w:pPr>
              <w:rPr>
                <w:rFonts w:ascii="宋体" w:hAnsi="宋体"/>
                <w:color w:val="000000"/>
                <w:szCs w:val="21"/>
              </w:rPr>
            </w:pPr>
            <w:r>
              <w:rPr>
                <w:rFonts w:ascii="宋体" w:hAnsi="宋体" w:hint="eastAsia"/>
                <w:color w:val="000000"/>
                <w:szCs w:val="21"/>
              </w:rPr>
              <w:t>参与标准试验一验的验证工作</w:t>
            </w:r>
          </w:p>
        </w:tc>
      </w:tr>
      <w:tr w:rsidR="00F55E3A">
        <w:trPr>
          <w:jc w:val="center"/>
        </w:trPr>
        <w:tc>
          <w:tcPr>
            <w:tcW w:w="4873" w:type="dxa"/>
            <w:shd w:val="clear" w:color="auto" w:fill="auto"/>
            <w:vAlign w:val="center"/>
          </w:tcPr>
          <w:p w:rsidR="00F55E3A" w:rsidRDefault="00F577EE">
            <w:pPr>
              <w:rPr>
                <w:rFonts w:ascii="宋体" w:hAnsi="宋体"/>
                <w:szCs w:val="21"/>
              </w:rPr>
            </w:pPr>
            <w:r>
              <w:rPr>
                <w:szCs w:val="21"/>
              </w:rPr>
              <w:t>……</w:t>
            </w:r>
            <w:r>
              <w:rPr>
                <w:rFonts w:hint="eastAsia"/>
                <w:szCs w:val="21"/>
              </w:rPr>
              <w:t>、</w:t>
            </w:r>
            <w:r>
              <w:rPr>
                <w:szCs w:val="21"/>
              </w:rPr>
              <w:t>……</w:t>
            </w:r>
            <w:r>
              <w:rPr>
                <w:rFonts w:hint="eastAsia"/>
                <w:szCs w:val="21"/>
              </w:rPr>
              <w:t>、</w:t>
            </w:r>
            <w:r>
              <w:rPr>
                <w:szCs w:val="21"/>
              </w:rPr>
              <w:t>……</w:t>
            </w:r>
          </w:p>
        </w:tc>
        <w:tc>
          <w:tcPr>
            <w:tcW w:w="4697" w:type="dxa"/>
            <w:shd w:val="clear" w:color="auto" w:fill="auto"/>
            <w:vAlign w:val="center"/>
          </w:tcPr>
          <w:p w:rsidR="00F55E3A" w:rsidRDefault="00F577EE">
            <w:pPr>
              <w:rPr>
                <w:rFonts w:ascii="宋体" w:hAnsi="宋体"/>
                <w:szCs w:val="21"/>
              </w:rPr>
            </w:pPr>
            <w:r>
              <w:rPr>
                <w:rFonts w:ascii="宋体" w:hAnsi="宋体" w:hint="eastAsia"/>
                <w:szCs w:val="21"/>
              </w:rPr>
              <w:t>参与标准试验二验的验证工作</w:t>
            </w:r>
          </w:p>
        </w:tc>
      </w:tr>
    </w:tbl>
    <w:p w:rsidR="00F55E3A" w:rsidRDefault="00F577EE" w:rsidP="00F577EE">
      <w:pPr>
        <w:pStyle w:val="ListParagraph1"/>
        <w:spacing w:beforeLines="50"/>
        <w:ind w:firstLineChars="0" w:firstLine="0"/>
        <w:outlineLvl w:val="0"/>
        <w:rPr>
          <w:b/>
          <w:szCs w:val="21"/>
        </w:rPr>
      </w:pPr>
      <w:bookmarkStart w:id="7" w:name="_Toc111022818"/>
      <w:r>
        <w:rPr>
          <w:rFonts w:hint="eastAsia"/>
          <w:b/>
          <w:szCs w:val="21"/>
        </w:rPr>
        <w:t>（三）主要工作过程</w:t>
      </w:r>
      <w:bookmarkEnd w:id="7"/>
    </w:p>
    <w:p w:rsidR="00F55E3A" w:rsidRDefault="00F577EE">
      <w:pPr>
        <w:outlineLvl w:val="2"/>
        <w:rPr>
          <w:rFonts w:ascii="黑体" w:eastAsia="黑体" w:hAnsi="黑体"/>
          <w:color w:val="000000"/>
          <w:szCs w:val="21"/>
        </w:rPr>
      </w:pPr>
      <w:bookmarkStart w:id="8" w:name="_Toc111022819"/>
      <w:r>
        <w:rPr>
          <w:rFonts w:ascii="黑体" w:eastAsia="黑体" w:hAnsi="黑体" w:hint="eastAsia"/>
          <w:color w:val="000000"/>
          <w:szCs w:val="21"/>
        </w:rPr>
        <w:t>1、预研阶段</w:t>
      </w:r>
      <w:bookmarkEnd w:id="8"/>
    </w:p>
    <w:p w:rsidR="00F55E3A" w:rsidRDefault="00F577EE">
      <w:pPr>
        <w:ind w:firstLine="435"/>
        <w:rPr>
          <w:szCs w:val="21"/>
        </w:rPr>
      </w:pPr>
      <w:r>
        <w:rPr>
          <w:rFonts w:hint="eastAsia"/>
          <w:color w:val="000000"/>
          <w:szCs w:val="21"/>
        </w:rPr>
        <w:t>通过对国内外钴精矿中的铜含量调研，近年来，由于我国钴原料主要依赖从刚果</w:t>
      </w:r>
      <w:r>
        <w:rPr>
          <w:rFonts w:hint="eastAsia"/>
          <w:color w:val="000000"/>
          <w:szCs w:val="21"/>
        </w:rPr>
        <w:t>(</w:t>
      </w:r>
      <w:r>
        <w:rPr>
          <w:rFonts w:hint="eastAsia"/>
          <w:color w:val="000000"/>
          <w:szCs w:val="21"/>
        </w:rPr>
        <w:t>金</w:t>
      </w:r>
      <w:r>
        <w:rPr>
          <w:rFonts w:hint="eastAsia"/>
          <w:color w:val="000000"/>
          <w:szCs w:val="21"/>
        </w:rPr>
        <w:t>)</w:t>
      </w:r>
      <w:r>
        <w:rPr>
          <w:rFonts w:hint="eastAsia"/>
          <w:color w:val="000000"/>
          <w:szCs w:val="21"/>
        </w:rPr>
        <w:t>等国进口，贸易中的钴精矿呈现出钴含量较低、铜含量则较高的情况，部分钴精矿中的钴铜比达</w:t>
      </w:r>
      <w:r>
        <w:rPr>
          <w:rFonts w:hint="eastAsia"/>
          <w:color w:val="000000"/>
          <w:szCs w:val="21"/>
        </w:rPr>
        <w:t>1:3</w:t>
      </w:r>
      <w:r>
        <w:rPr>
          <w:rFonts w:hint="eastAsia"/>
          <w:color w:val="000000"/>
          <w:szCs w:val="21"/>
        </w:rPr>
        <w:t>左右，有时铜含</w:t>
      </w:r>
      <w:r>
        <w:rPr>
          <w:rFonts w:hint="eastAsia"/>
          <w:szCs w:val="21"/>
        </w:rPr>
        <w:t>量接近</w:t>
      </w:r>
      <w:r>
        <w:rPr>
          <w:rFonts w:hint="eastAsia"/>
          <w:szCs w:val="21"/>
        </w:rPr>
        <w:t>2</w:t>
      </w:r>
      <w:r>
        <w:rPr>
          <w:szCs w:val="21"/>
        </w:rPr>
        <w:t>0</w:t>
      </w:r>
      <w:r>
        <w:rPr>
          <w:rFonts w:hint="eastAsia"/>
          <w:szCs w:val="21"/>
        </w:rPr>
        <w:t xml:space="preserve"> %</w:t>
      </w:r>
      <w:r>
        <w:rPr>
          <w:rFonts w:hint="eastAsia"/>
          <w:szCs w:val="21"/>
        </w:rPr>
        <w:t>，“</w:t>
      </w:r>
      <w:r>
        <w:rPr>
          <w:rFonts w:hint="eastAsia"/>
          <w:szCs w:val="21"/>
        </w:rPr>
        <w:t xml:space="preserve">YS/T 349.2-2010 </w:t>
      </w:r>
      <w:r>
        <w:rPr>
          <w:rFonts w:hint="eastAsia"/>
          <w:szCs w:val="21"/>
        </w:rPr>
        <w:t>硫化钴精矿化学分析方法</w:t>
      </w:r>
      <w:r w:rsidR="00817AD3">
        <w:rPr>
          <w:rFonts w:hint="eastAsia"/>
          <w:szCs w:val="21"/>
        </w:rPr>
        <w:t xml:space="preserve"> </w:t>
      </w:r>
      <w:r>
        <w:rPr>
          <w:rFonts w:hint="eastAsia"/>
          <w:szCs w:val="21"/>
        </w:rPr>
        <w:t>第</w:t>
      </w:r>
      <w:r>
        <w:rPr>
          <w:rFonts w:hint="eastAsia"/>
          <w:szCs w:val="21"/>
        </w:rPr>
        <w:t>2</w:t>
      </w:r>
      <w:r>
        <w:rPr>
          <w:rFonts w:hint="eastAsia"/>
          <w:szCs w:val="21"/>
        </w:rPr>
        <w:t>部分：铜量的测定</w:t>
      </w:r>
      <w:r>
        <w:rPr>
          <w:rFonts w:hint="eastAsia"/>
          <w:szCs w:val="21"/>
        </w:rPr>
        <w:t xml:space="preserve"> </w:t>
      </w:r>
      <w:r>
        <w:rPr>
          <w:rFonts w:hint="eastAsia"/>
          <w:szCs w:val="21"/>
        </w:rPr>
        <w:t>火焰原子吸收光谱法”标准修订发布实施已有近</w:t>
      </w:r>
      <w:r>
        <w:rPr>
          <w:rFonts w:hint="eastAsia"/>
          <w:szCs w:val="21"/>
        </w:rPr>
        <w:t>9</w:t>
      </w:r>
      <w:r>
        <w:rPr>
          <w:rFonts w:hint="eastAsia"/>
          <w:szCs w:val="21"/>
        </w:rPr>
        <w:t>年的时间，标准规定铜的测定范围为</w:t>
      </w:r>
      <w:r>
        <w:rPr>
          <w:rFonts w:hint="eastAsia"/>
          <w:szCs w:val="21"/>
        </w:rPr>
        <w:t>0.1 %</w:t>
      </w:r>
      <w:r>
        <w:rPr>
          <w:rFonts w:hint="eastAsia"/>
          <w:szCs w:val="21"/>
        </w:rPr>
        <w:t>～</w:t>
      </w:r>
      <w:r>
        <w:rPr>
          <w:rFonts w:hint="eastAsia"/>
          <w:szCs w:val="21"/>
        </w:rPr>
        <w:t>2 %</w:t>
      </w:r>
      <w:r>
        <w:rPr>
          <w:rFonts w:hint="eastAsia"/>
          <w:szCs w:val="21"/>
        </w:rPr>
        <w:t>，与日益变化的钴精矿产品情况已不匹配，</w:t>
      </w:r>
      <w:r w:rsidRPr="00817AD3">
        <w:rPr>
          <w:rFonts w:hint="eastAsia"/>
          <w:szCs w:val="21"/>
        </w:rPr>
        <w:t>因此，</w:t>
      </w:r>
      <w:r w:rsidRPr="00817AD3">
        <w:rPr>
          <w:rFonts w:hint="eastAsia"/>
        </w:rPr>
        <w:t>确定</w:t>
      </w:r>
      <w:r w:rsidRPr="00817AD3">
        <w:rPr>
          <w:rFonts w:hint="eastAsia"/>
          <w:szCs w:val="21"/>
        </w:rPr>
        <w:t>对现行</w:t>
      </w:r>
      <w:r w:rsidRPr="00817AD3">
        <w:rPr>
          <w:rFonts w:hint="eastAsia"/>
          <w:szCs w:val="21"/>
        </w:rPr>
        <w:t>YS/T 349.2-2010</w:t>
      </w:r>
      <w:r w:rsidRPr="00817AD3">
        <w:rPr>
          <w:rFonts w:hint="eastAsia"/>
          <w:szCs w:val="21"/>
        </w:rPr>
        <w:t>版的标准进行修订，</w:t>
      </w:r>
      <w:r w:rsidRPr="00817AD3">
        <w:rPr>
          <w:szCs w:val="21"/>
        </w:rPr>
        <w:t>测定范围</w:t>
      </w:r>
      <w:r w:rsidRPr="00817AD3">
        <w:rPr>
          <w:rFonts w:hint="eastAsia"/>
          <w:szCs w:val="21"/>
        </w:rPr>
        <w:t>由</w:t>
      </w:r>
      <w:r w:rsidRPr="00817AD3">
        <w:rPr>
          <w:rFonts w:hint="eastAsia"/>
          <w:szCs w:val="21"/>
        </w:rPr>
        <w:t>0</w:t>
      </w:r>
      <w:r w:rsidRPr="00817AD3">
        <w:rPr>
          <w:szCs w:val="21"/>
        </w:rPr>
        <w:t>.1</w:t>
      </w:r>
      <w:r w:rsidRPr="00817AD3">
        <w:rPr>
          <w:rFonts w:hint="eastAsia"/>
          <w:szCs w:val="21"/>
        </w:rPr>
        <w:t xml:space="preserve"> %</w:t>
      </w:r>
      <w:r w:rsidRPr="00817AD3">
        <w:rPr>
          <w:rFonts w:hint="eastAsia"/>
          <w:szCs w:val="21"/>
        </w:rPr>
        <w:t>～</w:t>
      </w:r>
      <w:r w:rsidRPr="00817AD3">
        <w:rPr>
          <w:szCs w:val="21"/>
        </w:rPr>
        <w:t>2</w:t>
      </w:r>
      <w:r w:rsidRPr="00817AD3">
        <w:rPr>
          <w:rFonts w:hint="eastAsia"/>
          <w:szCs w:val="21"/>
        </w:rPr>
        <w:t xml:space="preserve"> %</w:t>
      </w:r>
      <w:r w:rsidRPr="00817AD3">
        <w:rPr>
          <w:szCs w:val="21"/>
        </w:rPr>
        <w:t xml:space="preserve"> </w:t>
      </w:r>
      <w:r w:rsidRPr="00817AD3">
        <w:rPr>
          <w:rFonts w:hint="eastAsia"/>
          <w:szCs w:val="21"/>
        </w:rPr>
        <w:t>调整为</w:t>
      </w:r>
      <w:r w:rsidRPr="00817AD3">
        <w:t>0.1</w:t>
      </w:r>
      <w:r w:rsidRPr="00817AD3">
        <w:rPr>
          <w:rFonts w:hint="eastAsia"/>
        </w:rPr>
        <w:t xml:space="preserve"> %</w:t>
      </w:r>
      <w:r w:rsidRPr="00817AD3">
        <w:rPr>
          <w:rFonts w:hAnsi="宋体"/>
        </w:rPr>
        <w:t>～</w:t>
      </w:r>
      <w:r w:rsidRPr="00817AD3">
        <w:t>35</w:t>
      </w:r>
      <w:r w:rsidRPr="00817AD3">
        <w:rPr>
          <w:rFonts w:hint="eastAsia"/>
        </w:rPr>
        <w:t xml:space="preserve"> %</w:t>
      </w:r>
      <w:r w:rsidRPr="00817AD3">
        <w:rPr>
          <w:rFonts w:hint="eastAsia"/>
          <w:szCs w:val="21"/>
        </w:rPr>
        <w:t>；尽管现阶段暂时没有铜含量在</w:t>
      </w:r>
      <w:r w:rsidRPr="00817AD3">
        <w:rPr>
          <w:rFonts w:hint="eastAsia"/>
          <w:szCs w:val="21"/>
        </w:rPr>
        <w:t>0</w:t>
      </w:r>
      <w:r w:rsidRPr="00817AD3">
        <w:rPr>
          <w:szCs w:val="21"/>
        </w:rPr>
        <w:t>.1</w:t>
      </w:r>
      <w:r w:rsidRPr="00817AD3">
        <w:rPr>
          <w:rFonts w:hint="eastAsia"/>
          <w:szCs w:val="21"/>
        </w:rPr>
        <w:t xml:space="preserve"> %</w:t>
      </w:r>
      <w:r w:rsidRPr="00817AD3">
        <w:rPr>
          <w:rFonts w:hint="eastAsia"/>
          <w:szCs w:val="21"/>
        </w:rPr>
        <w:t>～</w:t>
      </w:r>
      <w:r w:rsidRPr="00817AD3">
        <w:rPr>
          <w:szCs w:val="21"/>
        </w:rPr>
        <w:t>1</w:t>
      </w:r>
      <w:r w:rsidRPr="00817AD3">
        <w:rPr>
          <w:rFonts w:hint="eastAsia"/>
          <w:szCs w:val="21"/>
        </w:rPr>
        <w:t xml:space="preserve"> </w:t>
      </w:r>
      <w:r w:rsidRPr="00817AD3">
        <w:rPr>
          <w:szCs w:val="21"/>
        </w:rPr>
        <w:t>%</w:t>
      </w:r>
      <w:r w:rsidRPr="00817AD3">
        <w:rPr>
          <w:rFonts w:hint="eastAsia"/>
          <w:szCs w:val="21"/>
        </w:rPr>
        <w:t>范围的样品，但随着国内外钴精矿资源的变化，仍可能有</w:t>
      </w:r>
      <w:r w:rsidRPr="00817AD3">
        <w:rPr>
          <w:rFonts w:hint="eastAsia"/>
          <w:szCs w:val="21"/>
        </w:rPr>
        <w:t>0</w:t>
      </w:r>
      <w:r w:rsidRPr="00817AD3">
        <w:rPr>
          <w:szCs w:val="21"/>
        </w:rPr>
        <w:t>.1</w:t>
      </w:r>
      <w:r w:rsidRPr="00817AD3">
        <w:rPr>
          <w:rFonts w:hint="eastAsia"/>
          <w:szCs w:val="21"/>
        </w:rPr>
        <w:t xml:space="preserve"> %</w:t>
      </w:r>
      <w:r w:rsidRPr="00817AD3">
        <w:rPr>
          <w:rFonts w:hint="eastAsia"/>
          <w:szCs w:val="21"/>
        </w:rPr>
        <w:t>～</w:t>
      </w:r>
      <w:r w:rsidRPr="00817AD3">
        <w:rPr>
          <w:szCs w:val="21"/>
        </w:rPr>
        <w:t>1</w:t>
      </w:r>
      <w:r w:rsidRPr="00817AD3">
        <w:rPr>
          <w:rFonts w:hint="eastAsia"/>
          <w:szCs w:val="21"/>
        </w:rPr>
        <w:t xml:space="preserve"> </w:t>
      </w:r>
      <w:r w:rsidRPr="00817AD3">
        <w:rPr>
          <w:szCs w:val="21"/>
        </w:rPr>
        <w:t>%</w:t>
      </w:r>
      <w:r w:rsidRPr="00817AD3">
        <w:rPr>
          <w:rFonts w:hint="eastAsia"/>
          <w:szCs w:val="21"/>
        </w:rPr>
        <w:t>范围的钴精矿出现，因此，</w:t>
      </w:r>
      <w:r>
        <w:rPr>
          <w:rFonts w:hint="eastAsia"/>
          <w:color w:val="000000"/>
          <w:szCs w:val="21"/>
        </w:rPr>
        <w:t>火焰原子吸收法作为方法</w:t>
      </w:r>
      <w:r>
        <w:rPr>
          <w:rFonts w:hint="eastAsia"/>
          <w:color w:val="000000"/>
          <w:szCs w:val="21"/>
        </w:rPr>
        <w:t>1</w:t>
      </w:r>
      <w:r>
        <w:rPr>
          <w:rFonts w:hint="eastAsia"/>
          <w:color w:val="000000"/>
          <w:szCs w:val="21"/>
        </w:rPr>
        <w:t>继续保留，分析范围由</w:t>
      </w:r>
      <w:r>
        <w:rPr>
          <w:rFonts w:hint="eastAsia"/>
          <w:color w:val="000000"/>
          <w:szCs w:val="21"/>
        </w:rPr>
        <w:t>0</w:t>
      </w:r>
      <w:r>
        <w:rPr>
          <w:color w:val="000000"/>
          <w:szCs w:val="21"/>
        </w:rPr>
        <w:t>.1</w:t>
      </w:r>
      <w:r>
        <w:rPr>
          <w:rFonts w:hint="eastAsia"/>
          <w:color w:val="000000"/>
          <w:szCs w:val="21"/>
        </w:rPr>
        <w:t xml:space="preserve"> %</w:t>
      </w:r>
      <w:r>
        <w:rPr>
          <w:rFonts w:hint="eastAsia"/>
          <w:color w:val="000000"/>
          <w:szCs w:val="21"/>
        </w:rPr>
        <w:t>～</w:t>
      </w:r>
      <w:r>
        <w:rPr>
          <w:color w:val="000000"/>
          <w:szCs w:val="21"/>
        </w:rPr>
        <w:t>2</w:t>
      </w:r>
      <w:r>
        <w:rPr>
          <w:rFonts w:hint="eastAsia"/>
          <w:color w:val="000000"/>
          <w:szCs w:val="21"/>
        </w:rPr>
        <w:t xml:space="preserve"> %</w:t>
      </w:r>
      <w:r>
        <w:rPr>
          <w:rFonts w:hint="eastAsia"/>
          <w:color w:val="000000"/>
          <w:szCs w:val="21"/>
        </w:rPr>
        <w:t>修订为</w:t>
      </w:r>
      <w:r>
        <w:rPr>
          <w:rFonts w:hint="eastAsia"/>
          <w:color w:val="000000"/>
          <w:szCs w:val="21"/>
        </w:rPr>
        <w:t>0</w:t>
      </w:r>
      <w:r>
        <w:rPr>
          <w:color w:val="000000"/>
          <w:szCs w:val="21"/>
        </w:rPr>
        <w:t>.1</w:t>
      </w:r>
      <w:r>
        <w:rPr>
          <w:rFonts w:hint="eastAsia"/>
          <w:color w:val="000000"/>
          <w:szCs w:val="21"/>
        </w:rPr>
        <w:t xml:space="preserve"> %</w:t>
      </w:r>
      <w:r>
        <w:rPr>
          <w:rFonts w:hint="eastAsia"/>
          <w:color w:val="FF0000"/>
          <w:szCs w:val="21"/>
        </w:rPr>
        <w:t>～</w:t>
      </w:r>
      <w:r>
        <w:rPr>
          <w:color w:val="FF0000"/>
          <w:szCs w:val="21"/>
        </w:rPr>
        <w:t>4.5</w:t>
      </w:r>
      <w:r>
        <w:rPr>
          <w:rFonts w:hint="eastAsia"/>
          <w:color w:val="FF0000"/>
          <w:szCs w:val="21"/>
        </w:rPr>
        <w:t xml:space="preserve"> </w:t>
      </w:r>
      <w:r>
        <w:rPr>
          <w:rFonts w:hint="eastAsia"/>
          <w:color w:val="000000"/>
          <w:szCs w:val="21"/>
        </w:rPr>
        <w:t>%</w:t>
      </w:r>
      <w:r>
        <w:rPr>
          <w:rFonts w:hint="eastAsia"/>
          <w:color w:val="000000"/>
          <w:szCs w:val="21"/>
        </w:rPr>
        <w:t>；增加方法</w:t>
      </w:r>
      <w:r>
        <w:rPr>
          <w:rFonts w:hint="eastAsia"/>
          <w:color w:val="000000"/>
          <w:szCs w:val="21"/>
        </w:rPr>
        <w:t>2</w:t>
      </w:r>
      <w:r>
        <w:rPr>
          <w:rFonts w:hint="eastAsia"/>
          <w:color w:val="000000"/>
          <w:szCs w:val="21"/>
        </w:rPr>
        <w:t>：碘量法，测定范围为</w:t>
      </w:r>
      <w:r>
        <w:rPr>
          <w:color w:val="FF0000"/>
          <w:szCs w:val="21"/>
        </w:rPr>
        <w:t>4.5</w:t>
      </w:r>
      <w:r>
        <w:rPr>
          <w:rFonts w:hint="eastAsia"/>
          <w:color w:val="FF0000"/>
          <w:szCs w:val="21"/>
        </w:rPr>
        <w:t xml:space="preserve"> </w:t>
      </w:r>
      <w:r>
        <w:rPr>
          <w:rFonts w:hint="eastAsia"/>
          <w:color w:val="000000"/>
          <w:szCs w:val="21"/>
        </w:rPr>
        <w:t>%</w:t>
      </w:r>
      <w:r>
        <w:rPr>
          <w:rFonts w:hint="eastAsia"/>
          <w:color w:val="000000"/>
          <w:szCs w:val="21"/>
        </w:rPr>
        <w:t>～</w:t>
      </w:r>
      <w:r>
        <w:rPr>
          <w:color w:val="000000"/>
          <w:szCs w:val="21"/>
        </w:rPr>
        <w:t>35</w:t>
      </w:r>
      <w:r>
        <w:rPr>
          <w:rFonts w:hint="eastAsia"/>
          <w:color w:val="000000"/>
          <w:szCs w:val="21"/>
        </w:rPr>
        <w:t xml:space="preserve"> %</w:t>
      </w:r>
      <w:r>
        <w:rPr>
          <w:rFonts w:hint="eastAsia"/>
          <w:color w:val="000000"/>
          <w:szCs w:val="21"/>
        </w:rPr>
        <w:t>。</w:t>
      </w:r>
    </w:p>
    <w:p w:rsidR="00F55E3A" w:rsidRDefault="00F577EE">
      <w:pPr>
        <w:outlineLvl w:val="2"/>
        <w:rPr>
          <w:rFonts w:ascii="黑体" w:eastAsia="黑体" w:hAnsi="黑体"/>
          <w:color w:val="000000"/>
          <w:szCs w:val="21"/>
        </w:rPr>
      </w:pPr>
      <w:bookmarkStart w:id="9" w:name="_Toc111022820"/>
      <w:r>
        <w:rPr>
          <w:rFonts w:ascii="黑体" w:eastAsia="黑体" w:hAnsi="黑体" w:hint="eastAsia"/>
          <w:color w:val="000000"/>
          <w:szCs w:val="21"/>
        </w:rPr>
        <w:t>2、立项阶段</w:t>
      </w:r>
      <w:bookmarkEnd w:id="9"/>
    </w:p>
    <w:p w:rsidR="00F55E3A" w:rsidRDefault="00F577EE">
      <w:pPr>
        <w:ind w:firstLineChars="200" w:firstLine="420"/>
      </w:pPr>
      <w:r>
        <w:rPr>
          <w:rFonts w:hint="eastAsia"/>
        </w:rPr>
        <w:t>2</w:t>
      </w:r>
      <w:r>
        <w:t>019</w:t>
      </w:r>
      <w:r>
        <w:rPr>
          <w:rFonts w:hint="eastAsia"/>
        </w:rPr>
        <w:t>年</w:t>
      </w:r>
      <w:r>
        <w:rPr>
          <w:rFonts w:hint="eastAsia"/>
        </w:rPr>
        <w:t>1</w:t>
      </w:r>
      <w:r>
        <w:t>1</w:t>
      </w:r>
      <w:r>
        <w:rPr>
          <w:rFonts w:hint="eastAsia"/>
        </w:rPr>
        <w:t>月</w:t>
      </w:r>
      <w:r>
        <w:rPr>
          <w:rFonts w:hint="eastAsia"/>
        </w:rPr>
        <w:t>3</w:t>
      </w:r>
      <w:r>
        <w:rPr>
          <w:rFonts w:hint="eastAsia"/>
        </w:rPr>
        <w:t>日，浙江华友钴业股份有限公司、</w:t>
      </w:r>
      <w:r>
        <w:rPr>
          <w:rFonts w:hint="eastAsia"/>
          <w:szCs w:val="21"/>
        </w:rPr>
        <w:t>金川集团股份有限公司和</w:t>
      </w:r>
      <w:r>
        <w:t>衢州华友钴</w:t>
      </w:r>
      <w:r>
        <w:rPr>
          <w:rFonts w:hint="eastAsia"/>
        </w:rPr>
        <w:t>业</w:t>
      </w:r>
      <w:r>
        <w:t>新材料有限公司</w:t>
      </w:r>
      <w:r>
        <w:rPr>
          <w:rFonts w:hint="eastAsia"/>
        </w:rPr>
        <w:t>向全体委员会提交了《硫化钴精矿化学分析方法第</w:t>
      </w:r>
      <w:r>
        <w:t>2</w:t>
      </w:r>
      <w:r>
        <w:rPr>
          <w:rFonts w:hint="eastAsia"/>
        </w:rPr>
        <w:t>部分：铜含量的测定</w:t>
      </w:r>
      <w:r>
        <w:rPr>
          <w:rFonts w:hint="eastAsia"/>
        </w:rPr>
        <w:t xml:space="preserve"> </w:t>
      </w:r>
      <w:r>
        <w:rPr>
          <w:rFonts w:hint="eastAsia"/>
        </w:rPr>
        <w:t>碘量法和火焰原子吸收法》行业标准修订项目建议书、标准草案及立项说明书等材料，经全体委员会议论证的结论为同意有色金属行业标准立项。</w:t>
      </w:r>
    </w:p>
    <w:p w:rsidR="00F55E3A" w:rsidRDefault="00F577EE">
      <w:pPr>
        <w:ind w:firstLineChars="200" w:firstLine="420"/>
        <w:rPr>
          <w:color w:val="000000"/>
          <w:szCs w:val="21"/>
        </w:rPr>
      </w:pPr>
      <w:r>
        <w:t>2020</w:t>
      </w:r>
      <w:r>
        <w:rPr>
          <w:rFonts w:hint="eastAsia"/>
        </w:rPr>
        <w:t>年</w:t>
      </w:r>
      <w:r>
        <w:rPr>
          <w:rFonts w:hint="eastAsia"/>
        </w:rPr>
        <w:t>1</w:t>
      </w:r>
      <w:r>
        <w:t>2</w:t>
      </w:r>
      <w:r>
        <w:rPr>
          <w:rFonts w:hint="eastAsia"/>
        </w:rPr>
        <w:t>月</w:t>
      </w:r>
      <w:r>
        <w:rPr>
          <w:rFonts w:hint="eastAsia"/>
        </w:rPr>
        <w:t>1</w:t>
      </w:r>
      <w:r>
        <w:rPr>
          <w:rFonts w:hint="eastAsia"/>
        </w:rPr>
        <w:t>日，</w:t>
      </w:r>
      <w:r>
        <w:rPr>
          <w:rFonts w:ascii="宋体" w:hAnsi="宋体"/>
          <w:color w:val="000000"/>
          <w:szCs w:val="21"/>
        </w:rPr>
        <w:t>工信厅科函[2020] 263号</w:t>
      </w:r>
      <w:r>
        <w:rPr>
          <w:rFonts w:hint="eastAsia"/>
        </w:rPr>
        <w:t>文件下达了修订行业标准</w:t>
      </w:r>
      <w:r>
        <w:rPr>
          <w:szCs w:val="21"/>
        </w:rPr>
        <w:t>《</w:t>
      </w:r>
      <w:r>
        <w:rPr>
          <w:rFonts w:hint="eastAsia"/>
          <w:szCs w:val="21"/>
        </w:rPr>
        <w:t>硫化钴精矿化学分析方法</w:t>
      </w:r>
      <w:r>
        <w:rPr>
          <w:rFonts w:hint="eastAsia"/>
          <w:szCs w:val="21"/>
        </w:rPr>
        <w:t xml:space="preserve"> </w:t>
      </w:r>
      <w:r>
        <w:rPr>
          <w:szCs w:val="21"/>
        </w:rPr>
        <w:t>第</w:t>
      </w:r>
      <w:r>
        <w:rPr>
          <w:szCs w:val="21"/>
        </w:rPr>
        <w:t>2</w:t>
      </w:r>
      <w:r>
        <w:rPr>
          <w:szCs w:val="21"/>
        </w:rPr>
        <w:t>部分：</w:t>
      </w:r>
      <w:r>
        <w:rPr>
          <w:rFonts w:hint="eastAsia"/>
          <w:szCs w:val="21"/>
        </w:rPr>
        <w:t>铜含</w:t>
      </w:r>
      <w:r>
        <w:rPr>
          <w:szCs w:val="21"/>
        </w:rPr>
        <w:t>量的测定</w:t>
      </w:r>
      <w:r>
        <w:rPr>
          <w:szCs w:val="21"/>
        </w:rPr>
        <w:t xml:space="preserve"> </w:t>
      </w:r>
      <w:r>
        <w:rPr>
          <w:rFonts w:hint="eastAsia"/>
          <w:szCs w:val="21"/>
        </w:rPr>
        <w:t>火焰原子吸收法和碘量法</w:t>
      </w:r>
      <w:r>
        <w:rPr>
          <w:szCs w:val="21"/>
        </w:rPr>
        <w:t>》</w:t>
      </w:r>
      <w:r>
        <w:rPr>
          <w:rFonts w:hint="eastAsia"/>
          <w:szCs w:val="21"/>
        </w:rPr>
        <w:t>的任务，该项目的</w:t>
      </w:r>
      <w:r>
        <w:rPr>
          <w:rFonts w:ascii="宋体" w:hAnsi="宋体"/>
          <w:color w:val="000000"/>
          <w:szCs w:val="21"/>
        </w:rPr>
        <w:t>项目计划编号为</w:t>
      </w:r>
      <w:hyperlink r:id="rId12" w:history="1">
        <w:r>
          <w:rPr>
            <w:rFonts w:ascii="宋体" w:hAnsi="宋体"/>
            <w:color w:val="000000"/>
            <w:szCs w:val="21"/>
          </w:rPr>
          <w:t>2020-1547T-YS</w:t>
        </w:r>
      </w:hyperlink>
      <w:r>
        <w:rPr>
          <w:rFonts w:hint="eastAsia"/>
          <w:color w:val="000000"/>
          <w:szCs w:val="21"/>
        </w:rPr>
        <w:t>，</w:t>
      </w:r>
      <w:r>
        <w:rPr>
          <w:szCs w:val="21"/>
        </w:rPr>
        <w:t>完成</w:t>
      </w:r>
      <w:r>
        <w:rPr>
          <w:rFonts w:hint="eastAsia"/>
          <w:szCs w:val="21"/>
        </w:rPr>
        <w:t>年限</w:t>
      </w:r>
      <w:r>
        <w:rPr>
          <w:szCs w:val="21"/>
        </w:rPr>
        <w:t>为</w:t>
      </w:r>
      <w:r>
        <w:rPr>
          <w:szCs w:val="21"/>
        </w:rPr>
        <w:t>2022</w:t>
      </w:r>
      <w:r>
        <w:rPr>
          <w:szCs w:val="21"/>
        </w:rPr>
        <w:t>年</w:t>
      </w:r>
      <w:r>
        <w:rPr>
          <w:rFonts w:hint="eastAsia"/>
          <w:szCs w:val="21"/>
        </w:rPr>
        <w:t>。</w:t>
      </w:r>
      <w:r>
        <w:rPr>
          <w:rFonts w:hint="eastAsia"/>
          <w:color w:val="000000"/>
          <w:szCs w:val="21"/>
        </w:rPr>
        <w:t>技术归口单位为全国有色金属标准化技术委员会（</w:t>
      </w:r>
      <w:r>
        <w:rPr>
          <w:rFonts w:hint="eastAsia"/>
          <w:color w:val="000000"/>
          <w:szCs w:val="21"/>
        </w:rPr>
        <w:t>SAC/TC243</w:t>
      </w:r>
      <w:r>
        <w:rPr>
          <w:rFonts w:hint="eastAsia"/>
          <w:color w:val="000000"/>
          <w:szCs w:val="21"/>
        </w:rPr>
        <w:t>）。</w:t>
      </w:r>
    </w:p>
    <w:p w:rsidR="00F55E3A" w:rsidRDefault="00F577EE">
      <w:pPr>
        <w:ind w:firstLineChars="200" w:firstLine="420"/>
      </w:pPr>
      <w:r>
        <w:rPr>
          <w:rFonts w:hint="eastAsia"/>
        </w:rPr>
        <w:t>2021</w:t>
      </w:r>
      <w:r>
        <w:rPr>
          <w:rFonts w:hint="eastAsia"/>
        </w:rPr>
        <w:t>年</w:t>
      </w:r>
      <w:r>
        <w:rPr>
          <w:rFonts w:hint="eastAsia"/>
        </w:rPr>
        <w:t>1</w:t>
      </w:r>
      <w:r>
        <w:rPr>
          <w:rFonts w:hint="eastAsia"/>
        </w:rPr>
        <w:t>月</w:t>
      </w:r>
      <w:r>
        <w:rPr>
          <w:rFonts w:hint="eastAsia"/>
        </w:rPr>
        <w:t>28</w:t>
      </w:r>
      <w:r>
        <w:rPr>
          <w:rFonts w:hint="eastAsia"/>
        </w:rPr>
        <w:t>日，全国有色金属标准化技术委员会通过网络召开了</w:t>
      </w:r>
      <w:bookmarkStart w:id="10" w:name="_Hlk92358012"/>
      <w:r>
        <w:rPr>
          <w:rFonts w:hint="eastAsia"/>
        </w:rPr>
        <w:t>有色金属行业标准《硫化钴</w:t>
      </w:r>
      <w:r>
        <w:rPr>
          <w:rFonts w:hint="eastAsia"/>
        </w:rPr>
        <w:lastRenderedPageBreak/>
        <w:t>精矿化学分析方法</w:t>
      </w:r>
      <w:r>
        <w:rPr>
          <w:rFonts w:hint="eastAsia"/>
        </w:rPr>
        <w:t xml:space="preserve"> </w:t>
      </w:r>
      <w:r>
        <w:rPr>
          <w:rFonts w:hint="eastAsia"/>
        </w:rPr>
        <w:t>第</w:t>
      </w:r>
      <w:r>
        <w:t>2</w:t>
      </w:r>
      <w:r>
        <w:rPr>
          <w:rFonts w:hint="eastAsia"/>
        </w:rPr>
        <w:t>部分：铜含量的测定</w:t>
      </w:r>
      <w:r>
        <w:rPr>
          <w:rFonts w:hint="eastAsia"/>
        </w:rPr>
        <w:t xml:space="preserve"> </w:t>
      </w:r>
      <w:r>
        <w:rPr>
          <w:rFonts w:hint="eastAsia"/>
        </w:rPr>
        <w:t>火焰原子吸收法和碘量法》</w:t>
      </w:r>
      <w:bookmarkEnd w:id="10"/>
      <w:r>
        <w:rPr>
          <w:rFonts w:hint="eastAsia"/>
        </w:rPr>
        <w:t>任务落实会，</w:t>
      </w:r>
      <w:r w:rsidR="00EA0CBC">
        <w:rPr>
          <w:rFonts w:hint="eastAsia"/>
        </w:rPr>
        <w:t>该会议形成“</w:t>
      </w:r>
      <w:r w:rsidR="00EA0CBC">
        <w:rPr>
          <w:rFonts w:hint="eastAsia"/>
          <w:color w:val="000000"/>
          <w:szCs w:val="21"/>
        </w:rPr>
        <w:t>有色标秘</w:t>
      </w:r>
      <w:r w:rsidR="00EA0CBC">
        <w:rPr>
          <w:rFonts w:hint="eastAsia"/>
          <w:color w:val="000000"/>
          <w:szCs w:val="21"/>
        </w:rPr>
        <w:t>[2021]5</w:t>
      </w:r>
      <w:r w:rsidR="00EA0CBC">
        <w:rPr>
          <w:rFonts w:hint="eastAsia"/>
          <w:color w:val="000000"/>
          <w:szCs w:val="21"/>
        </w:rPr>
        <w:t>号</w:t>
      </w:r>
      <w:r w:rsidR="00EA0CBC">
        <w:rPr>
          <w:rFonts w:hint="eastAsia"/>
        </w:rPr>
        <w:t>”</w:t>
      </w:r>
      <w:r w:rsidR="00EA0CBC">
        <w:rPr>
          <w:rFonts w:hint="eastAsia"/>
          <w:color w:val="000000"/>
          <w:szCs w:val="21"/>
        </w:rPr>
        <w:t>的文件，文件中</w:t>
      </w:r>
      <w:r>
        <w:rPr>
          <w:rFonts w:hint="eastAsia"/>
        </w:rPr>
        <w:t>确定了起草单位和验证单位，明确了样品的制备单位以及各项工作时间进度要求，</w:t>
      </w:r>
      <w:r w:rsidR="00EA0CBC">
        <w:rPr>
          <w:rFonts w:hint="eastAsia"/>
          <w:color w:val="000000"/>
          <w:szCs w:val="21"/>
        </w:rPr>
        <w:t>其中</w:t>
      </w:r>
      <w:r w:rsidR="00EA0CBC">
        <w:rPr>
          <w:color w:val="000000"/>
          <w:szCs w:val="21"/>
        </w:rPr>
        <w:t>《</w:t>
      </w:r>
      <w:r w:rsidR="00EA0CBC">
        <w:rPr>
          <w:rFonts w:hint="eastAsia"/>
          <w:color w:val="000000"/>
          <w:szCs w:val="21"/>
        </w:rPr>
        <w:t>硫化钴精矿精矿</w:t>
      </w:r>
      <w:r w:rsidR="00EA0CBC">
        <w:rPr>
          <w:color w:val="000000"/>
          <w:szCs w:val="21"/>
        </w:rPr>
        <w:t>化学分析方法</w:t>
      </w:r>
      <w:r w:rsidR="00EA0CBC">
        <w:rPr>
          <w:rFonts w:hint="eastAsia"/>
          <w:color w:val="000000"/>
          <w:szCs w:val="21"/>
        </w:rPr>
        <w:t xml:space="preserve"> </w:t>
      </w:r>
      <w:r w:rsidR="00EA0CBC">
        <w:rPr>
          <w:color w:val="000000"/>
          <w:szCs w:val="21"/>
        </w:rPr>
        <w:t>第</w:t>
      </w:r>
      <w:r w:rsidR="00EA0CBC">
        <w:rPr>
          <w:color w:val="000000"/>
          <w:szCs w:val="21"/>
        </w:rPr>
        <w:t>2</w:t>
      </w:r>
      <w:r w:rsidR="00EA0CBC">
        <w:rPr>
          <w:color w:val="000000"/>
          <w:szCs w:val="21"/>
        </w:rPr>
        <w:t>部分：</w:t>
      </w:r>
      <w:r w:rsidR="00EA0CBC">
        <w:rPr>
          <w:rFonts w:hint="eastAsia"/>
          <w:color w:val="000000"/>
          <w:szCs w:val="21"/>
        </w:rPr>
        <w:t>铜含量的测定</w:t>
      </w:r>
      <w:r w:rsidR="00EA0CBC">
        <w:rPr>
          <w:rFonts w:hint="eastAsia"/>
          <w:color w:val="000000"/>
          <w:szCs w:val="21"/>
        </w:rPr>
        <w:t xml:space="preserve"> </w:t>
      </w:r>
      <w:r w:rsidR="00EA0CBC">
        <w:rPr>
          <w:color w:val="000000"/>
          <w:szCs w:val="21"/>
        </w:rPr>
        <w:t>碘量法和火焰原子吸收光谱法》</w:t>
      </w:r>
      <w:r w:rsidR="00EA0CBC">
        <w:rPr>
          <w:rFonts w:hint="eastAsia"/>
          <w:color w:val="000000"/>
          <w:szCs w:val="21"/>
        </w:rPr>
        <w:t>的方法</w:t>
      </w:r>
      <w:r w:rsidR="00EA0CBC">
        <w:rPr>
          <w:rFonts w:hint="eastAsia"/>
          <w:color w:val="000000"/>
          <w:szCs w:val="21"/>
        </w:rPr>
        <w:t>1</w:t>
      </w:r>
      <w:r w:rsidR="00EA0CBC">
        <w:rPr>
          <w:rFonts w:hint="eastAsia"/>
          <w:color w:val="000000"/>
          <w:szCs w:val="21"/>
        </w:rPr>
        <w:t>为火焰原子吸收法，</w:t>
      </w:r>
      <w:r w:rsidR="00EA0CBC">
        <w:rPr>
          <w:color w:val="000000"/>
          <w:szCs w:val="21"/>
        </w:rPr>
        <w:t>由金川集团股份有限公司负责起草</w:t>
      </w:r>
      <w:r w:rsidR="00EA0CBC">
        <w:rPr>
          <w:rFonts w:hint="eastAsia"/>
          <w:color w:val="000000"/>
          <w:szCs w:val="21"/>
        </w:rPr>
        <w:t>，方法</w:t>
      </w:r>
      <w:r w:rsidR="00EA0CBC">
        <w:rPr>
          <w:rFonts w:hint="eastAsia"/>
          <w:color w:val="000000"/>
          <w:szCs w:val="21"/>
        </w:rPr>
        <w:t>2</w:t>
      </w:r>
      <w:r w:rsidR="00EA0CBC">
        <w:rPr>
          <w:rFonts w:hint="eastAsia"/>
          <w:color w:val="000000"/>
          <w:szCs w:val="21"/>
        </w:rPr>
        <w:t>为</w:t>
      </w:r>
      <w:r w:rsidR="00EA0CBC">
        <w:rPr>
          <w:color w:val="000000"/>
          <w:szCs w:val="21"/>
        </w:rPr>
        <w:t>碘量法</w:t>
      </w:r>
      <w:r w:rsidR="00EA0CBC">
        <w:rPr>
          <w:rFonts w:hint="eastAsia"/>
          <w:color w:val="000000"/>
          <w:szCs w:val="21"/>
        </w:rPr>
        <w:t>，由</w:t>
      </w:r>
      <w:r w:rsidR="00EA0CBC">
        <w:rPr>
          <w:color w:val="000000"/>
          <w:szCs w:val="21"/>
        </w:rPr>
        <w:t>浙江华友钴业股份有限公司</w:t>
      </w:r>
      <w:r w:rsidR="00EA0CBC">
        <w:rPr>
          <w:rFonts w:hint="eastAsia"/>
          <w:color w:val="000000"/>
          <w:szCs w:val="21"/>
        </w:rPr>
        <w:t>负责起草。</w:t>
      </w:r>
    </w:p>
    <w:p w:rsidR="00F55E3A" w:rsidRDefault="00F577EE">
      <w:pPr>
        <w:outlineLvl w:val="2"/>
        <w:rPr>
          <w:rFonts w:ascii="黑体" w:eastAsia="黑体" w:hAnsi="黑体"/>
          <w:color w:val="000000"/>
          <w:szCs w:val="21"/>
        </w:rPr>
      </w:pPr>
      <w:bookmarkStart w:id="11" w:name="_Toc111022821"/>
      <w:r>
        <w:rPr>
          <w:rFonts w:ascii="黑体" w:eastAsia="黑体" w:hAnsi="黑体" w:hint="eastAsia"/>
          <w:color w:val="000000"/>
          <w:szCs w:val="21"/>
        </w:rPr>
        <w:t>3、起草阶段</w:t>
      </w:r>
      <w:bookmarkEnd w:id="11"/>
    </w:p>
    <w:p w:rsidR="00F55E3A" w:rsidRDefault="00F577EE">
      <w:pPr>
        <w:outlineLvl w:val="3"/>
        <w:rPr>
          <w:rFonts w:asciiTheme="minorEastAsia" w:eastAsiaTheme="minorEastAsia" w:hAnsiTheme="minorEastAsia"/>
          <w:b/>
          <w:bCs/>
          <w:szCs w:val="21"/>
        </w:rPr>
      </w:pPr>
      <w:r>
        <w:rPr>
          <w:rFonts w:asciiTheme="minorEastAsia" w:eastAsiaTheme="minorEastAsia" w:hAnsiTheme="minorEastAsia"/>
          <w:b/>
          <w:bCs/>
          <w:szCs w:val="21"/>
        </w:rPr>
        <w:t xml:space="preserve">3.1 </w:t>
      </w:r>
      <w:r>
        <w:rPr>
          <w:rFonts w:asciiTheme="minorEastAsia" w:eastAsiaTheme="minorEastAsia" w:hAnsiTheme="minorEastAsia" w:hint="eastAsia"/>
          <w:b/>
          <w:bCs/>
          <w:szCs w:val="21"/>
        </w:rPr>
        <w:t>方法1</w:t>
      </w:r>
      <w:r>
        <w:rPr>
          <w:rFonts w:asciiTheme="minorEastAsia" w:eastAsiaTheme="minorEastAsia" w:hAnsiTheme="minorEastAsia"/>
          <w:b/>
          <w:bCs/>
          <w:szCs w:val="21"/>
        </w:rPr>
        <w:t xml:space="preserve"> </w:t>
      </w:r>
      <w:r>
        <w:rPr>
          <w:rFonts w:asciiTheme="minorEastAsia" w:eastAsiaTheme="minorEastAsia" w:hAnsiTheme="minorEastAsia" w:hint="eastAsia"/>
          <w:b/>
          <w:bCs/>
          <w:szCs w:val="21"/>
        </w:rPr>
        <w:t>火焰原子吸收法</w:t>
      </w:r>
    </w:p>
    <w:p w:rsidR="00F55E3A" w:rsidRDefault="00F577EE">
      <w:pPr>
        <w:ind w:firstLineChars="200" w:firstLine="420"/>
        <w:rPr>
          <w:szCs w:val="21"/>
        </w:rPr>
      </w:pPr>
      <w:r>
        <w:rPr>
          <w:rFonts w:hint="eastAsia"/>
          <w:szCs w:val="21"/>
        </w:rPr>
        <w:t>金川集团股份有限公司接到本标准的“方法</w:t>
      </w:r>
      <w:r>
        <w:rPr>
          <w:rFonts w:hint="eastAsia"/>
          <w:szCs w:val="21"/>
        </w:rPr>
        <w:t>1</w:t>
      </w:r>
      <w:r>
        <w:rPr>
          <w:rFonts w:hint="eastAsia"/>
          <w:szCs w:val="21"/>
        </w:rPr>
        <w:t>火焰原子吸收法”的标准修订任务后，组织成立了有色金属行业标准起草小组，明确了标准的进度安排、任务分工、确定了编制标准的工作计划及技术路线，</w:t>
      </w:r>
      <w:r>
        <w:rPr>
          <w:rFonts w:hint="eastAsia"/>
          <w:szCs w:val="21"/>
        </w:rPr>
        <w:t xml:space="preserve"> </w:t>
      </w:r>
      <w:r>
        <w:rPr>
          <w:rFonts w:hint="eastAsia"/>
          <w:szCs w:val="21"/>
        </w:rPr>
        <w:t>具体如下。</w:t>
      </w:r>
    </w:p>
    <w:p w:rsidR="00F55E3A" w:rsidRDefault="00F577EE">
      <w:pPr>
        <w:ind w:firstLineChars="200" w:firstLine="420"/>
        <w:rPr>
          <w:szCs w:val="21"/>
        </w:rPr>
      </w:pPr>
      <w:r>
        <w:rPr>
          <w:rFonts w:hint="eastAsia"/>
          <w:szCs w:val="21"/>
        </w:rPr>
        <w:t>1</w:t>
      </w:r>
      <w:r>
        <w:rPr>
          <w:rFonts w:hint="eastAsia"/>
          <w:szCs w:val="21"/>
        </w:rPr>
        <w:t>）依据样品中铜含量的分布情况，确定“方法</w:t>
      </w:r>
      <w:r>
        <w:rPr>
          <w:rFonts w:hint="eastAsia"/>
          <w:szCs w:val="21"/>
        </w:rPr>
        <w:t>1</w:t>
      </w:r>
      <w:r>
        <w:rPr>
          <w:rFonts w:hint="eastAsia"/>
          <w:szCs w:val="21"/>
        </w:rPr>
        <w:t>火焰原子吸收法”</w:t>
      </w:r>
      <w:r>
        <w:rPr>
          <w:rFonts w:hint="eastAsia"/>
          <w:color w:val="000000"/>
          <w:szCs w:val="21"/>
        </w:rPr>
        <w:t>在原方法的基础上将测定范围由</w:t>
      </w:r>
      <w:r>
        <w:rPr>
          <w:rFonts w:hint="eastAsia"/>
          <w:color w:val="000000"/>
          <w:szCs w:val="21"/>
        </w:rPr>
        <w:t>0</w:t>
      </w:r>
      <w:r>
        <w:rPr>
          <w:color w:val="000000"/>
          <w:szCs w:val="21"/>
        </w:rPr>
        <w:t>.1</w:t>
      </w:r>
      <w:r>
        <w:rPr>
          <w:rFonts w:hint="eastAsia"/>
          <w:color w:val="000000"/>
          <w:szCs w:val="21"/>
        </w:rPr>
        <w:t>%</w:t>
      </w:r>
      <w:r>
        <w:rPr>
          <w:rFonts w:hint="eastAsia"/>
          <w:color w:val="000000"/>
          <w:szCs w:val="21"/>
        </w:rPr>
        <w:t>～</w:t>
      </w:r>
      <w:r>
        <w:rPr>
          <w:color w:val="000000"/>
          <w:szCs w:val="21"/>
        </w:rPr>
        <w:t>2</w:t>
      </w:r>
      <w:r>
        <w:rPr>
          <w:rFonts w:hint="eastAsia"/>
          <w:color w:val="000000"/>
          <w:szCs w:val="21"/>
        </w:rPr>
        <w:t>%</w:t>
      </w:r>
      <w:r>
        <w:rPr>
          <w:rFonts w:hint="eastAsia"/>
          <w:color w:val="000000"/>
          <w:szCs w:val="21"/>
        </w:rPr>
        <w:t>拓展为</w:t>
      </w:r>
      <w:r>
        <w:rPr>
          <w:rFonts w:hint="eastAsia"/>
          <w:color w:val="000000"/>
          <w:szCs w:val="21"/>
        </w:rPr>
        <w:t>0</w:t>
      </w:r>
      <w:r>
        <w:rPr>
          <w:color w:val="000000"/>
          <w:szCs w:val="21"/>
        </w:rPr>
        <w:t>.1</w:t>
      </w:r>
      <w:r>
        <w:rPr>
          <w:rFonts w:hint="eastAsia"/>
          <w:color w:val="000000"/>
          <w:szCs w:val="21"/>
        </w:rPr>
        <w:t>0 %</w:t>
      </w:r>
      <w:r>
        <w:rPr>
          <w:rFonts w:hint="eastAsia"/>
          <w:color w:val="000000"/>
          <w:szCs w:val="21"/>
        </w:rPr>
        <w:t>～</w:t>
      </w:r>
      <w:r>
        <w:rPr>
          <w:color w:val="FF0000"/>
          <w:szCs w:val="21"/>
        </w:rPr>
        <w:t>4.5</w:t>
      </w:r>
      <w:r>
        <w:rPr>
          <w:rFonts w:hint="eastAsia"/>
          <w:color w:val="FF0000"/>
          <w:szCs w:val="21"/>
        </w:rPr>
        <w:t>0 %</w:t>
      </w:r>
      <w:r>
        <w:rPr>
          <w:rFonts w:hint="eastAsia"/>
          <w:color w:val="000000"/>
          <w:szCs w:val="21"/>
        </w:rPr>
        <w:t>。</w:t>
      </w:r>
    </w:p>
    <w:p w:rsidR="00F55E3A" w:rsidRDefault="00F577EE">
      <w:pPr>
        <w:ind w:firstLineChars="200" w:firstLine="420"/>
        <w:rPr>
          <w:szCs w:val="21"/>
        </w:rPr>
      </w:pPr>
      <w:r>
        <w:rPr>
          <w:rFonts w:hint="eastAsia"/>
          <w:szCs w:val="21"/>
        </w:rPr>
        <w:t>2</w:t>
      </w:r>
      <w:r>
        <w:rPr>
          <w:rFonts w:hint="eastAsia"/>
          <w:szCs w:val="21"/>
        </w:rPr>
        <w:t>）收集来自金川集团、浙江华友、衢州华友等硫化钴精矿生产和贸易企业的代表性硫化钴精矿样品，选择了铜含量为</w:t>
      </w:r>
      <w:r>
        <w:rPr>
          <w:rFonts w:hint="eastAsia"/>
          <w:szCs w:val="21"/>
        </w:rPr>
        <w:t>1.00 %</w:t>
      </w:r>
      <w:r w:rsidR="00EA0CBC">
        <w:rPr>
          <w:rFonts w:hint="eastAsia"/>
          <w:szCs w:val="21"/>
        </w:rPr>
        <w:t>、</w:t>
      </w:r>
      <w:r w:rsidR="00EA0CBC">
        <w:rPr>
          <w:rFonts w:hint="eastAsia"/>
          <w:szCs w:val="21"/>
        </w:rPr>
        <w:t>1</w:t>
      </w:r>
      <w:r w:rsidR="00EA0CBC">
        <w:rPr>
          <w:szCs w:val="21"/>
        </w:rPr>
        <w:t>.5</w:t>
      </w:r>
      <w:r w:rsidR="00EA0CBC">
        <w:rPr>
          <w:rFonts w:hint="eastAsia"/>
          <w:szCs w:val="21"/>
        </w:rPr>
        <w:t>%</w:t>
      </w:r>
      <w:r w:rsidR="00EA0CBC">
        <w:rPr>
          <w:rFonts w:hint="eastAsia"/>
          <w:szCs w:val="21"/>
        </w:rPr>
        <w:t>、</w:t>
      </w:r>
      <w:r w:rsidR="00EA0CBC">
        <w:rPr>
          <w:rFonts w:hint="eastAsia"/>
          <w:szCs w:val="21"/>
        </w:rPr>
        <w:t>2</w:t>
      </w:r>
      <w:r w:rsidR="00EA0CBC">
        <w:rPr>
          <w:szCs w:val="21"/>
        </w:rPr>
        <w:t>.5</w:t>
      </w:r>
      <w:r w:rsidR="00EA0CBC">
        <w:rPr>
          <w:rFonts w:hint="eastAsia"/>
          <w:szCs w:val="21"/>
        </w:rPr>
        <w:t>%</w:t>
      </w:r>
      <w:r w:rsidR="00EA0CBC">
        <w:rPr>
          <w:rFonts w:hint="eastAsia"/>
          <w:szCs w:val="21"/>
        </w:rPr>
        <w:t>、</w:t>
      </w:r>
      <w:r w:rsidR="00EA0CBC">
        <w:rPr>
          <w:rFonts w:hint="eastAsia"/>
          <w:szCs w:val="21"/>
        </w:rPr>
        <w:t>3</w:t>
      </w:r>
      <w:r w:rsidR="00EA0CBC">
        <w:rPr>
          <w:szCs w:val="21"/>
        </w:rPr>
        <w:t>.5</w:t>
      </w:r>
      <w:r w:rsidR="00EA0CBC">
        <w:rPr>
          <w:rFonts w:hint="eastAsia"/>
          <w:szCs w:val="21"/>
        </w:rPr>
        <w:t>%</w:t>
      </w:r>
      <w:r w:rsidR="00EA0CBC">
        <w:rPr>
          <w:rFonts w:hint="eastAsia"/>
          <w:szCs w:val="21"/>
        </w:rPr>
        <w:t>和</w:t>
      </w:r>
      <w:r>
        <w:rPr>
          <w:color w:val="FF0000"/>
          <w:szCs w:val="21"/>
        </w:rPr>
        <w:t>4.5</w:t>
      </w:r>
      <w:r>
        <w:rPr>
          <w:rFonts w:hint="eastAsia"/>
          <w:color w:val="FF0000"/>
          <w:szCs w:val="21"/>
        </w:rPr>
        <w:t xml:space="preserve"> </w:t>
      </w:r>
      <w:r>
        <w:rPr>
          <w:rFonts w:hint="eastAsia"/>
          <w:szCs w:val="21"/>
        </w:rPr>
        <w:t>%</w:t>
      </w:r>
      <w:r>
        <w:rPr>
          <w:rFonts w:hint="eastAsia"/>
          <w:szCs w:val="21"/>
        </w:rPr>
        <w:t>的</w:t>
      </w:r>
      <w:r>
        <w:rPr>
          <w:rFonts w:hint="eastAsia"/>
          <w:szCs w:val="21"/>
        </w:rPr>
        <w:t>4</w:t>
      </w:r>
      <w:r>
        <w:rPr>
          <w:rFonts w:hint="eastAsia"/>
          <w:szCs w:val="21"/>
        </w:rPr>
        <w:t>个硫化钴精矿作为验证样品。</w:t>
      </w:r>
    </w:p>
    <w:p w:rsidR="00F55E3A" w:rsidRDefault="00F577EE">
      <w:pPr>
        <w:pStyle w:val="ad"/>
        <w:ind w:firstLine="420"/>
        <w:rPr>
          <w:rFonts w:ascii="Times New Roman" w:hAnsi="Times New Roman"/>
          <w:szCs w:val="21"/>
        </w:rPr>
      </w:pPr>
      <w:r>
        <w:rPr>
          <w:szCs w:val="21"/>
        </w:rPr>
        <w:t>3</w:t>
      </w:r>
      <w:r>
        <w:rPr>
          <w:rFonts w:hint="eastAsia"/>
          <w:szCs w:val="21"/>
        </w:rPr>
        <w:t>）</w:t>
      </w:r>
      <w:r>
        <w:rPr>
          <w:rFonts w:ascii="Times New Roman" w:hAnsi="Times New Roman"/>
          <w:szCs w:val="21"/>
        </w:rPr>
        <w:t>因该方法是在</w:t>
      </w:r>
      <w:r>
        <w:rPr>
          <w:rFonts w:ascii="Times New Roman" w:hAnsi="Times New Roman"/>
          <w:szCs w:val="21"/>
        </w:rPr>
        <w:t>2010</w:t>
      </w:r>
      <w:r>
        <w:rPr>
          <w:rFonts w:ascii="Times New Roman" w:hAnsi="Times New Roman"/>
          <w:szCs w:val="21"/>
        </w:rPr>
        <w:t>版的基础上拓展测定范围，起草单位</w:t>
      </w:r>
      <w:r>
        <w:rPr>
          <w:rFonts w:ascii="Times New Roman" w:hAnsi="Times New Roman"/>
          <w:bCs/>
          <w:color w:val="000000"/>
          <w:szCs w:val="21"/>
        </w:rPr>
        <w:t>金川集团股份有限公司在</w:t>
      </w:r>
      <w:r>
        <w:rPr>
          <w:rFonts w:ascii="Times New Roman" w:hAnsi="Times New Roman"/>
          <w:szCs w:val="21"/>
        </w:rPr>
        <w:t>2010</w:t>
      </w:r>
      <w:r>
        <w:rPr>
          <w:rFonts w:ascii="Times New Roman" w:hAnsi="Times New Roman"/>
          <w:szCs w:val="21"/>
        </w:rPr>
        <w:t>版</w:t>
      </w:r>
      <w:r>
        <w:rPr>
          <w:rFonts w:ascii="Times New Roman" w:hAnsi="Times New Roman"/>
          <w:bCs/>
          <w:color w:val="000000"/>
          <w:szCs w:val="21"/>
        </w:rPr>
        <w:t>方法</w:t>
      </w:r>
      <w:r>
        <w:rPr>
          <w:rFonts w:ascii="Times New Roman" w:hAnsi="Times New Roman" w:hint="eastAsia"/>
          <w:bCs/>
          <w:color w:val="000000"/>
          <w:szCs w:val="21"/>
        </w:rPr>
        <w:t>的</w:t>
      </w:r>
      <w:r>
        <w:rPr>
          <w:rFonts w:ascii="Times New Roman" w:hAnsi="Times New Roman"/>
          <w:bCs/>
          <w:color w:val="000000"/>
          <w:szCs w:val="21"/>
        </w:rPr>
        <w:t>基础上，开展了</w:t>
      </w:r>
      <w:r>
        <w:rPr>
          <w:rFonts w:ascii="Times New Roman" w:hAnsi="Times New Roman"/>
          <w:szCs w:val="21"/>
        </w:rPr>
        <w:t>火焰原子吸收法测定铜含量的</w:t>
      </w:r>
      <w:r>
        <w:rPr>
          <w:rFonts w:ascii="Times New Roman" w:hAnsi="Times New Roman" w:hint="eastAsia"/>
          <w:szCs w:val="21"/>
        </w:rPr>
        <w:t>试验，依据变化后的硫化钴精矿共存组分的含量，试验了样品溶解和共存组分对测定铜的影响，</w:t>
      </w:r>
      <w:r>
        <w:rPr>
          <w:rFonts w:ascii="Times New Roman" w:hAnsi="Times New Roman"/>
          <w:szCs w:val="21"/>
        </w:rPr>
        <w:t>重点考察了</w:t>
      </w:r>
      <w:r>
        <w:rPr>
          <w:rFonts w:ascii="Times New Roman" w:hAnsi="Times New Roman"/>
          <w:szCs w:val="21"/>
        </w:rPr>
        <w:t>1</w:t>
      </w:r>
      <w:r>
        <w:rPr>
          <w:rFonts w:ascii="Times New Roman" w:hAnsi="Times New Roman" w:hint="eastAsia"/>
          <w:szCs w:val="21"/>
        </w:rPr>
        <w:t xml:space="preserve">.00 </w:t>
      </w:r>
      <w:r>
        <w:rPr>
          <w:rFonts w:ascii="Times New Roman" w:hAnsi="Times New Roman"/>
          <w:szCs w:val="21"/>
        </w:rPr>
        <w:t>%</w:t>
      </w:r>
      <w:r>
        <w:rPr>
          <w:rFonts w:ascii="Times New Roman" w:hAnsi="Times New Roman"/>
          <w:szCs w:val="21"/>
        </w:rPr>
        <w:t>～</w:t>
      </w:r>
      <w:r>
        <w:rPr>
          <w:rFonts w:ascii="Times New Roman" w:hAnsi="Times New Roman"/>
          <w:color w:val="FF0000"/>
          <w:szCs w:val="21"/>
        </w:rPr>
        <w:t>4.5</w:t>
      </w:r>
      <w:r>
        <w:rPr>
          <w:rFonts w:ascii="Times New Roman" w:hAnsi="Times New Roman" w:hint="eastAsia"/>
          <w:color w:val="FF0000"/>
          <w:szCs w:val="21"/>
        </w:rPr>
        <w:t xml:space="preserve">0 </w:t>
      </w:r>
      <w:r>
        <w:rPr>
          <w:rFonts w:ascii="Times New Roman" w:hAnsi="Times New Roman"/>
          <w:color w:val="FF0000"/>
          <w:szCs w:val="21"/>
        </w:rPr>
        <w:t>%</w:t>
      </w:r>
      <w:r>
        <w:rPr>
          <w:rFonts w:ascii="Times New Roman" w:hAnsi="Times New Roman"/>
          <w:szCs w:val="21"/>
        </w:rPr>
        <w:t>铜含量的测定，</w:t>
      </w:r>
      <w:r>
        <w:rPr>
          <w:rFonts w:ascii="Times New Roman" w:hAnsi="Times New Roman" w:hint="eastAsia"/>
          <w:szCs w:val="21"/>
        </w:rPr>
        <w:t>原标准的分析条件满足变化后的硫化钴精矿中铜含量的测定，</w:t>
      </w:r>
      <w:r>
        <w:rPr>
          <w:rFonts w:ascii="Times New Roman" w:hAnsi="Times New Roman"/>
          <w:szCs w:val="21"/>
        </w:rPr>
        <w:t>验证样品分析结果的准确度和精密度</w:t>
      </w:r>
      <w:r>
        <w:rPr>
          <w:rFonts w:ascii="Times New Roman" w:hAnsi="Times New Roman" w:hint="eastAsia"/>
          <w:szCs w:val="21"/>
        </w:rPr>
        <w:t>满足测定要求</w:t>
      </w:r>
      <w:r>
        <w:rPr>
          <w:rFonts w:ascii="Times New Roman" w:hAnsi="Times New Roman"/>
          <w:szCs w:val="21"/>
        </w:rPr>
        <w:t>。</w:t>
      </w:r>
    </w:p>
    <w:p w:rsidR="00F55E3A" w:rsidRDefault="00F577EE">
      <w:pPr>
        <w:pStyle w:val="ad"/>
        <w:ind w:firstLine="420"/>
        <w:rPr>
          <w:rFonts w:ascii="Times New Roman"/>
          <w:bCs/>
          <w:color w:val="000000"/>
          <w:szCs w:val="21"/>
        </w:rPr>
      </w:pPr>
      <w:r>
        <w:rPr>
          <w:rFonts w:ascii="Times New Roman"/>
          <w:bCs/>
          <w:color w:val="000000"/>
          <w:szCs w:val="21"/>
        </w:rPr>
        <w:t>4</w:t>
      </w:r>
      <w:r>
        <w:rPr>
          <w:rFonts w:ascii="Times New Roman"/>
          <w:bCs/>
          <w:color w:val="000000"/>
          <w:szCs w:val="21"/>
        </w:rPr>
        <w:t>）</w:t>
      </w:r>
      <w:r>
        <w:rPr>
          <w:rFonts w:ascii="Times New Roman"/>
          <w:szCs w:val="21"/>
        </w:rPr>
        <w:t>各项试验内容完成后，于</w:t>
      </w:r>
      <w:r>
        <w:rPr>
          <w:rFonts w:ascii="Times New Roman"/>
          <w:szCs w:val="21"/>
        </w:rPr>
        <w:t>2021</w:t>
      </w:r>
      <w:r>
        <w:rPr>
          <w:rFonts w:ascii="Times New Roman"/>
          <w:szCs w:val="21"/>
        </w:rPr>
        <w:t>年</w:t>
      </w:r>
      <w:r>
        <w:rPr>
          <w:rFonts w:ascii="Times New Roman"/>
          <w:szCs w:val="21"/>
        </w:rPr>
        <w:t>7</w:t>
      </w:r>
      <w:r>
        <w:rPr>
          <w:rFonts w:ascii="Times New Roman"/>
          <w:szCs w:val="21"/>
        </w:rPr>
        <w:t>月底形成试验报告和标准文本，随即将验证样品、试验报告和标准讨论稿交与各</w:t>
      </w:r>
      <w:r>
        <w:rPr>
          <w:rFonts w:ascii="Times New Roman"/>
          <w:bCs/>
          <w:color w:val="000000"/>
          <w:szCs w:val="21"/>
        </w:rPr>
        <w:t>参加起草单位开展验证工作。</w:t>
      </w:r>
    </w:p>
    <w:p w:rsidR="00F55E3A" w:rsidRDefault="00F577EE">
      <w:pPr>
        <w:pStyle w:val="ad"/>
        <w:ind w:firstLine="420"/>
        <w:rPr>
          <w:rFonts w:ascii="Times New Roman"/>
          <w:szCs w:val="21"/>
        </w:rPr>
      </w:pPr>
      <w:r>
        <w:rPr>
          <w:rFonts w:ascii="Times New Roman"/>
          <w:bCs/>
          <w:color w:val="000000"/>
          <w:szCs w:val="21"/>
        </w:rPr>
        <w:t>5</w:t>
      </w:r>
      <w:r>
        <w:rPr>
          <w:rFonts w:ascii="Times New Roman"/>
          <w:bCs/>
          <w:color w:val="000000"/>
          <w:szCs w:val="21"/>
        </w:rPr>
        <w:t>）各</w:t>
      </w:r>
      <w:r>
        <w:rPr>
          <w:rFonts w:ascii="Times New Roman" w:hint="eastAsia"/>
          <w:bCs/>
          <w:color w:val="000000"/>
          <w:szCs w:val="21"/>
        </w:rPr>
        <w:t>验证单位</w:t>
      </w:r>
      <w:r>
        <w:rPr>
          <w:rFonts w:ascii="Times New Roman"/>
          <w:bCs/>
          <w:color w:val="000000"/>
          <w:szCs w:val="21"/>
        </w:rPr>
        <w:t>于</w:t>
      </w:r>
      <w:r>
        <w:rPr>
          <w:rFonts w:ascii="Times New Roman"/>
          <w:bCs/>
          <w:color w:val="000000"/>
          <w:szCs w:val="21"/>
        </w:rPr>
        <w:t>2021</w:t>
      </w:r>
      <w:r>
        <w:rPr>
          <w:rFonts w:ascii="Times New Roman"/>
          <w:bCs/>
          <w:color w:val="000000"/>
          <w:szCs w:val="21"/>
        </w:rPr>
        <w:t>年</w:t>
      </w:r>
      <w:r>
        <w:rPr>
          <w:rFonts w:ascii="Times New Roman"/>
          <w:bCs/>
          <w:color w:val="000000"/>
          <w:szCs w:val="21"/>
        </w:rPr>
        <w:t>12</w:t>
      </w:r>
      <w:r>
        <w:rPr>
          <w:rFonts w:ascii="Times New Roman"/>
          <w:bCs/>
          <w:color w:val="000000"/>
          <w:szCs w:val="21"/>
        </w:rPr>
        <w:t>月全部完成验证工作，</w:t>
      </w:r>
      <w:r>
        <w:rPr>
          <w:rFonts w:ascii="Times New Roman" w:hint="eastAsia"/>
          <w:bCs/>
          <w:color w:val="000000"/>
          <w:szCs w:val="21"/>
        </w:rPr>
        <w:t>提交了验证报告。</w:t>
      </w:r>
    </w:p>
    <w:p w:rsidR="00F55E3A" w:rsidRDefault="00F577EE">
      <w:pPr>
        <w:pStyle w:val="ad"/>
        <w:ind w:firstLine="420"/>
        <w:rPr>
          <w:rFonts w:ascii="Times New Roman"/>
          <w:bCs/>
          <w:color w:val="000000"/>
          <w:szCs w:val="21"/>
        </w:rPr>
      </w:pPr>
      <w:r>
        <w:rPr>
          <w:rFonts w:ascii="Times New Roman"/>
          <w:bCs/>
          <w:color w:val="000000"/>
          <w:szCs w:val="21"/>
        </w:rPr>
        <w:t>6</w:t>
      </w:r>
      <w:r>
        <w:rPr>
          <w:rFonts w:ascii="Times New Roman"/>
          <w:bCs/>
          <w:color w:val="000000"/>
          <w:szCs w:val="21"/>
        </w:rPr>
        <w:t>）</w:t>
      </w:r>
      <w:r>
        <w:rPr>
          <w:rFonts w:ascii="Times New Roman"/>
          <w:bCs/>
          <w:color w:val="000000"/>
          <w:szCs w:val="21"/>
        </w:rPr>
        <w:t>2021</w:t>
      </w:r>
      <w:r>
        <w:rPr>
          <w:rFonts w:ascii="Times New Roman"/>
          <w:bCs/>
          <w:color w:val="000000"/>
          <w:szCs w:val="21"/>
        </w:rPr>
        <w:t>年</w:t>
      </w:r>
      <w:r>
        <w:rPr>
          <w:rFonts w:ascii="Times New Roman"/>
          <w:bCs/>
          <w:color w:val="000000"/>
          <w:szCs w:val="21"/>
        </w:rPr>
        <w:t>12</w:t>
      </w:r>
      <w:r>
        <w:rPr>
          <w:rFonts w:ascii="Times New Roman"/>
          <w:bCs/>
          <w:color w:val="000000"/>
          <w:szCs w:val="21"/>
        </w:rPr>
        <w:t>月</w:t>
      </w:r>
      <w:r>
        <w:rPr>
          <w:rFonts w:ascii="Times New Roman" w:hint="eastAsia"/>
          <w:bCs/>
          <w:color w:val="000000"/>
          <w:szCs w:val="21"/>
        </w:rPr>
        <w:t>～</w:t>
      </w:r>
      <w:r>
        <w:rPr>
          <w:rFonts w:ascii="Times New Roman"/>
          <w:bCs/>
          <w:color w:val="000000"/>
          <w:szCs w:val="21"/>
        </w:rPr>
        <w:t>2022</w:t>
      </w:r>
      <w:r>
        <w:rPr>
          <w:rFonts w:ascii="Times New Roman" w:hint="eastAsia"/>
          <w:bCs/>
          <w:color w:val="000000"/>
          <w:szCs w:val="21"/>
        </w:rPr>
        <w:t>年</w:t>
      </w:r>
      <w:r>
        <w:rPr>
          <w:rFonts w:ascii="Times New Roman" w:hint="eastAsia"/>
          <w:bCs/>
          <w:color w:val="000000"/>
          <w:szCs w:val="21"/>
        </w:rPr>
        <w:t>1</w:t>
      </w:r>
      <w:r>
        <w:rPr>
          <w:rFonts w:ascii="Times New Roman" w:hint="eastAsia"/>
          <w:bCs/>
          <w:color w:val="000000"/>
          <w:szCs w:val="21"/>
        </w:rPr>
        <w:t>月，</w:t>
      </w:r>
      <w:r>
        <w:rPr>
          <w:rFonts w:ascii="Times New Roman"/>
          <w:bCs/>
          <w:color w:val="000000"/>
          <w:szCs w:val="21"/>
        </w:rPr>
        <w:t>负责起草单位金川集团股份有限公司对验证数据开展统计整理</w:t>
      </w:r>
      <w:r>
        <w:rPr>
          <w:rFonts w:ascii="Times New Roman" w:hint="eastAsia"/>
          <w:bCs/>
          <w:color w:val="000000"/>
          <w:szCs w:val="21"/>
        </w:rPr>
        <w:t>，</w:t>
      </w:r>
    </w:p>
    <w:p w:rsidR="00F55E3A" w:rsidRDefault="00F577EE">
      <w:pPr>
        <w:pStyle w:val="ad"/>
        <w:ind w:firstLine="420"/>
        <w:rPr>
          <w:rFonts w:ascii="Times New Roman"/>
          <w:bCs/>
          <w:color w:val="000000"/>
          <w:szCs w:val="21"/>
        </w:rPr>
      </w:pPr>
      <w:r>
        <w:rPr>
          <w:rFonts w:ascii="Times New Roman" w:hint="eastAsia"/>
          <w:bCs/>
          <w:color w:val="000000"/>
          <w:szCs w:val="21"/>
        </w:rPr>
        <w:t>7</w:t>
      </w:r>
      <w:r>
        <w:rPr>
          <w:rFonts w:ascii="Times New Roman" w:hint="eastAsia"/>
          <w:bCs/>
          <w:color w:val="000000"/>
          <w:szCs w:val="21"/>
        </w:rPr>
        <w:t>）</w:t>
      </w:r>
      <w:r>
        <w:rPr>
          <w:rFonts w:ascii="Times New Roman"/>
          <w:bCs/>
          <w:color w:val="000000"/>
          <w:szCs w:val="21"/>
        </w:rPr>
        <w:t>2020</w:t>
      </w:r>
      <w:r>
        <w:rPr>
          <w:rFonts w:ascii="Times New Roman"/>
          <w:bCs/>
          <w:color w:val="000000"/>
          <w:szCs w:val="21"/>
        </w:rPr>
        <w:t>年</w:t>
      </w:r>
      <w:r>
        <w:rPr>
          <w:rFonts w:ascii="Times New Roman"/>
          <w:bCs/>
          <w:color w:val="000000"/>
          <w:szCs w:val="21"/>
        </w:rPr>
        <w:t>3</w:t>
      </w:r>
      <w:r>
        <w:rPr>
          <w:rFonts w:ascii="Times New Roman" w:hint="eastAsia"/>
          <w:bCs/>
          <w:color w:val="000000"/>
          <w:szCs w:val="21"/>
        </w:rPr>
        <w:t>月初，形成了《硫化钴精矿化学分析方法</w:t>
      </w:r>
      <w:r>
        <w:rPr>
          <w:rFonts w:ascii="Times New Roman" w:hint="eastAsia"/>
          <w:bCs/>
          <w:color w:val="000000"/>
          <w:szCs w:val="21"/>
        </w:rPr>
        <w:t xml:space="preserve"> </w:t>
      </w:r>
      <w:r>
        <w:rPr>
          <w:rFonts w:ascii="Times New Roman"/>
          <w:bCs/>
          <w:color w:val="000000"/>
          <w:szCs w:val="21"/>
        </w:rPr>
        <w:t>第</w:t>
      </w:r>
      <w:r>
        <w:rPr>
          <w:rFonts w:ascii="Times New Roman"/>
          <w:bCs/>
          <w:color w:val="000000"/>
          <w:szCs w:val="21"/>
        </w:rPr>
        <w:t>2</w:t>
      </w:r>
      <w:r>
        <w:rPr>
          <w:rFonts w:ascii="Times New Roman"/>
          <w:bCs/>
          <w:color w:val="000000"/>
          <w:szCs w:val="21"/>
        </w:rPr>
        <w:t>部分：</w:t>
      </w:r>
      <w:r>
        <w:rPr>
          <w:rFonts w:ascii="Times New Roman" w:hint="eastAsia"/>
          <w:bCs/>
          <w:color w:val="000000"/>
          <w:szCs w:val="21"/>
        </w:rPr>
        <w:t>铜含量的测定</w:t>
      </w:r>
      <w:r>
        <w:rPr>
          <w:rFonts w:ascii="Times New Roman"/>
          <w:bCs/>
          <w:color w:val="000000"/>
          <w:szCs w:val="21"/>
        </w:rPr>
        <w:t xml:space="preserve"> </w:t>
      </w:r>
      <w:r>
        <w:rPr>
          <w:rFonts w:ascii="Times New Roman" w:hint="eastAsia"/>
          <w:bCs/>
          <w:color w:val="000000"/>
          <w:szCs w:val="21"/>
        </w:rPr>
        <w:t>火焰原子吸收法和碘量法》中“方法</w:t>
      </w:r>
      <w:r>
        <w:rPr>
          <w:rFonts w:ascii="Times New Roman" w:hint="eastAsia"/>
          <w:bCs/>
          <w:color w:val="000000"/>
          <w:szCs w:val="21"/>
        </w:rPr>
        <w:t>1</w:t>
      </w:r>
      <w:r>
        <w:rPr>
          <w:rFonts w:ascii="Times New Roman"/>
          <w:bCs/>
          <w:color w:val="000000"/>
          <w:szCs w:val="21"/>
        </w:rPr>
        <w:t xml:space="preserve"> </w:t>
      </w:r>
      <w:r>
        <w:rPr>
          <w:rFonts w:ascii="Times New Roman" w:hint="eastAsia"/>
          <w:bCs/>
          <w:color w:val="000000"/>
          <w:szCs w:val="21"/>
        </w:rPr>
        <w:t>火焰原子吸收法”的预审稿。</w:t>
      </w:r>
    </w:p>
    <w:p w:rsidR="00F55E3A" w:rsidRDefault="00F577EE">
      <w:pPr>
        <w:pStyle w:val="ad"/>
        <w:ind w:firstLine="420"/>
        <w:rPr>
          <w:rFonts w:ascii="Times New Roman"/>
          <w:bCs/>
          <w:color w:val="000000"/>
          <w:szCs w:val="21"/>
        </w:rPr>
      </w:pPr>
      <w:r>
        <w:rPr>
          <w:rFonts w:ascii="Times New Roman" w:hint="eastAsia"/>
          <w:bCs/>
          <w:color w:val="000000"/>
          <w:szCs w:val="21"/>
        </w:rPr>
        <w:t>各验证单位在验证过程中提出的意见或建议如下：</w:t>
      </w:r>
    </w:p>
    <w:p w:rsidR="00F55E3A" w:rsidRDefault="00F577EE">
      <w:pPr>
        <w:ind w:firstLineChars="200" w:firstLine="420"/>
        <w:rPr>
          <w:szCs w:val="21"/>
        </w:rPr>
      </w:pPr>
      <w:r>
        <w:rPr>
          <w:rFonts w:eastAsia="黑体"/>
          <w:color w:val="000000"/>
          <w:szCs w:val="21"/>
        </w:rPr>
        <w:t>1</w:t>
      </w:r>
      <w:r>
        <w:rPr>
          <w:rFonts w:eastAsia="黑体"/>
          <w:color w:val="000000"/>
          <w:szCs w:val="21"/>
        </w:rPr>
        <w:t>）</w:t>
      </w:r>
      <w:r>
        <w:rPr>
          <w:rFonts w:hint="eastAsia"/>
          <w:szCs w:val="21"/>
        </w:rPr>
        <w:t>广东省</w:t>
      </w:r>
      <w:r>
        <w:rPr>
          <w:szCs w:val="21"/>
        </w:rPr>
        <w:t>科学院工业分析检测中心</w:t>
      </w:r>
    </w:p>
    <w:p w:rsidR="00F55E3A" w:rsidRDefault="00F577EE">
      <w:pPr>
        <w:ind w:firstLineChars="200" w:firstLine="420"/>
        <w:rPr>
          <w:szCs w:val="21"/>
        </w:rPr>
      </w:pPr>
      <w:r>
        <w:rPr>
          <w:rFonts w:hint="eastAsia"/>
          <w:szCs w:val="21"/>
        </w:rPr>
        <w:t>（</w:t>
      </w:r>
      <w:r>
        <w:rPr>
          <w:rFonts w:hint="eastAsia"/>
          <w:szCs w:val="21"/>
        </w:rPr>
        <w:t>1</w:t>
      </w:r>
      <w:r>
        <w:rPr>
          <w:rFonts w:hint="eastAsia"/>
          <w:szCs w:val="21"/>
        </w:rPr>
        <w:t>）</w:t>
      </w:r>
      <w:r>
        <w:rPr>
          <w:rFonts w:hint="eastAsia"/>
          <w:szCs w:val="21"/>
        </w:rPr>
        <w:t xml:space="preserve"> 4#</w:t>
      </w:r>
      <w:r>
        <w:rPr>
          <w:rFonts w:hint="eastAsia"/>
          <w:szCs w:val="21"/>
        </w:rPr>
        <w:t>试样结果超过方法检测范围，“方法</w:t>
      </w:r>
      <w:r>
        <w:rPr>
          <w:rFonts w:hint="eastAsia"/>
          <w:szCs w:val="21"/>
        </w:rPr>
        <w:t>1</w:t>
      </w:r>
      <w:r>
        <w:rPr>
          <w:rFonts w:hint="eastAsia"/>
          <w:szCs w:val="21"/>
        </w:rPr>
        <w:t>测定范围：</w:t>
      </w:r>
      <w:r>
        <w:rPr>
          <w:rFonts w:hint="eastAsia"/>
          <w:szCs w:val="21"/>
        </w:rPr>
        <w:t>0.10 %</w:t>
      </w:r>
      <w:r>
        <w:rPr>
          <w:rFonts w:hint="eastAsia"/>
          <w:szCs w:val="21"/>
        </w:rPr>
        <w:t>～</w:t>
      </w:r>
      <w:r>
        <w:rPr>
          <w:rFonts w:hint="eastAsia"/>
          <w:szCs w:val="21"/>
        </w:rPr>
        <w:t>4.50 %</w:t>
      </w:r>
      <w:r>
        <w:rPr>
          <w:rFonts w:hint="eastAsia"/>
          <w:szCs w:val="21"/>
        </w:rPr>
        <w:t>”改为“方法</w:t>
      </w:r>
      <w:r>
        <w:rPr>
          <w:rFonts w:hint="eastAsia"/>
          <w:szCs w:val="21"/>
        </w:rPr>
        <w:t>1</w:t>
      </w:r>
      <w:r>
        <w:rPr>
          <w:rFonts w:hint="eastAsia"/>
          <w:szCs w:val="21"/>
        </w:rPr>
        <w:t>测定范围：</w:t>
      </w:r>
      <w:r>
        <w:rPr>
          <w:rFonts w:hint="eastAsia"/>
          <w:szCs w:val="21"/>
        </w:rPr>
        <w:t>0.10 %</w:t>
      </w:r>
      <w:r>
        <w:rPr>
          <w:rFonts w:hint="eastAsia"/>
          <w:szCs w:val="21"/>
        </w:rPr>
        <w:t>～</w:t>
      </w:r>
      <w:r>
        <w:rPr>
          <w:rFonts w:hint="eastAsia"/>
          <w:szCs w:val="21"/>
        </w:rPr>
        <w:t>5.00 %</w:t>
      </w:r>
      <w:r>
        <w:rPr>
          <w:rFonts w:hint="eastAsia"/>
          <w:szCs w:val="21"/>
        </w:rPr>
        <w:t>”；</w:t>
      </w:r>
      <w:r>
        <w:rPr>
          <w:rFonts w:hint="eastAsia"/>
          <w:b/>
          <w:bCs/>
          <w:szCs w:val="21"/>
        </w:rPr>
        <w:t>部分采纳，</w:t>
      </w:r>
      <w:r w:rsidRPr="00F577EE">
        <w:rPr>
          <w:rFonts w:hint="eastAsia"/>
          <w:b/>
          <w:szCs w:val="21"/>
        </w:rPr>
        <w:t>鉴于</w:t>
      </w:r>
      <w:r w:rsidRPr="003275CE">
        <w:rPr>
          <w:rFonts w:hint="eastAsia"/>
          <w:b/>
          <w:bCs/>
          <w:szCs w:val="21"/>
        </w:rPr>
        <w:t>该方法</w:t>
      </w:r>
      <w:r w:rsidR="003275CE">
        <w:rPr>
          <w:rFonts w:hint="eastAsia"/>
          <w:b/>
          <w:bCs/>
          <w:szCs w:val="21"/>
        </w:rPr>
        <w:t>验证</w:t>
      </w:r>
      <w:r w:rsidRPr="003275CE">
        <w:rPr>
          <w:rFonts w:hint="eastAsia"/>
          <w:b/>
          <w:bCs/>
          <w:szCs w:val="21"/>
        </w:rPr>
        <w:t>样品</w:t>
      </w:r>
      <w:r w:rsidR="003275CE" w:rsidRPr="003275CE">
        <w:rPr>
          <w:rFonts w:hint="eastAsia"/>
          <w:b/>
          <w:bCs/>
          <w:szCs w:val="21"/>
        </w:rPr>
        <w:t>的</w:t>
      </w:r>
      <w:r w:rsidRPr="003275CE">
        <w:rPr>
          <w:rFonts w:hint="eastAsia"/>
          <w:b/>
          <w:bCs/>
          <w:szCs w:val="21"/>
        </w:rPr>
        <w:t>第</w:t>
      </w:r>
      <w:r w:rsidRPr="003275CE">
        <w:rPr>
          <w:rFonts w:hint="eastAsia"/>
          <w:b/>
          <w:bCs/>
          <w:szCs w:val="21"/>
        </w:rPr>
        <w:t>3</w:t>
      </w:r>
      <w:r w:rsidRPr="003275CE">
        <w:rPr>
          <w:rFonts w:hint="eastAsia"/>
          <w:b/>
          <w:bCs/>
          <w:szCs w:val="21"/>
        </w:rPr>
        <w:t>水平为</w:t>
      </w:r>
      <w:r w:rsidRPr="003275CE">
        <w:rPr>
          <w:rFonts w:hint="eastAsia"/>
          <w:b/>
          <w:bCs/>
          <w:szCs w:val="21"/>
        </w:rPr>
        <w:t>3</w:t>
      </w:r>
      <w:r w:rsidRPr="003275CE">
        <w:rPr>
          <w:b/>
          <w:bCs/>
          <w:szCs w:val="21"/>
        </w:rPr>
        <w:t>.5</w:t>
      </w:r>
      <w:r w:rsidRPr="003275CE">
        <w:rPr>
          <w:rFonts w:hint="eastAsia"/>
          <w:b/>
          <w:bCs/>
          <w:szCs w:val="21"/>
        </w:rPr>
        <w:t xml:space="preserve"> %</w:t>
      </w:r>
      <w:r w:rsidRPr="003275CE">
        <w:rPr>
          <w:rFonts w:hint="eastAsia"/>
          <w:b/>
          <w:bCs/>
          <w:szCs w:val="21"/>
        </w:rPr>
        <w:t>，第</w:t>
      </w:r>
      <w:r w:rsidRPr="003275CE">
        <w:rPr>
          <w:rFonts w:hint="eastAsia"/>
          <w:b/>
          <w:bCs/>
          <w:szCs w:val="21"/>
        </w:rPr>
        <w:t>4</w:t>
      </w:r>
      <w:r w:rsidRPr="003275CE">
        <w:rPr>
          <w:rFonts w:hint="eastAsia"/>
          <w:b/>
          <w:bCs/>
          <w:szCs w:val="21"/>
        </w:rPr>
        <w:t>个水平为</w:t>
      </w:r>
      <w:r w:rsidRPr="003275CE">
        <w:rPr>
          <w:rFonts w:hint="eastAsia"/>
          <w:b/>
          <w:bCs/>
          <w:szCs w:val="21"/>
        </w:rPr>
        <w:t>4</w:t>
      </w:r>
      <w:r w:rsidRPr="003275CE">
        <w:rPr>
          <w:b/>
          <w:bCs/>
          <w:szCs w:val="21"/>
        </w:rPr>
        <w:t>.5</w:t>
      </w:r>
      <w:r w:rsidRPr="003275CE">
        <w:rPr>
          <w:rFonts w:hint="eastAsia"/>
          <w:b/>
          <w:bCs/>
          <w:szCs w:val="21"/>
        </w:rPr>
        <w:t xml:space="preserve"> %</w:t>
      </w:r>
      <w:r w:rsidRPr="003275CE">
        <w:rPr>
          <w:rFonts w:hint="eastAsia"/>
          <w:b/>
          <w:bCs/>
          <w:szCs w:val="21"/>
        </w:rPr>
        <w:t>，碘量法的第</w:t>
      </w:r>
      <w:r w:rsidRPr="003275CE">
        <w:rPr>
          <w:rFonts w:hint="eastAsia"/>
          <w:b/>
          <w:bCs/>
          <w:szCs w:val="21"/>
        </w:rPr>
        <w:t>1</w:t>
      </w:r>
      <w:r w:rsidRPr="003275CE">
        <w:rPr>
          <w:rFonts w:hint="eastAsia"/>
          <w:b/>
          <w:bCs/>
          <w:szCs w:val="21"/>
        </w:rPr>
        <w:t>个水平为</w:t>
      </w:r>
      <w:r w:rsidRPr="003275CE">
        <w:rPr>
          <w:rFonts w:hint="eastAsia"/>
          <w:b/>
          <w:bCs/>
          <w:szCs w:val="21"/>
        </w:rPr>
        <w:t>3</w:t>
      </w:r>
      <w:r w:rsidRPr="003275CE">
        <w:rPr>
          <w:b/>
          <w:bCs/>
          <w:szCs w:val="21"/>
        </w:rPr>
        <w:t>.2</w:t>
      </w:r>
      <w:r w:rsidRPr="003275CE">
        <w:rPr>
          <w:rFonts w:hint="eastAsia"/>
          <w:b/>
          <w:bCs/>
          <w:szCs w:val="21"/>
        </w:rPr>
        <w:t xml:space="preserve"> %</w:t>
      </w:r>
      <w:r w:rsidRPr="003275CE">
        <w:rPr>
          <w:rFonts w:hint="eastAsia"/>
          <w:b/>
          <w:bCs/>
          <w:szCs w:val="21"/>
        </w:rPr>
        <w:t>，</w:t>
      </w:r>
      <w:r w:rsidR="003275CE">
        <w:rPr>
          <w:rFonts w:hint="eastAsia"/>
          <w:b/>
          <w:bCs/>
          <w:szCs w:val="21"/>
        </w:rPr>
        <w:t>因此，</w:t>
      </w:r>
      <w:r w:rsidRPr="003275CE">
        <w:rPr>
          <w:rFonts w:hint="eastAsia"/>
          <w:b/>
          <w:bCs/>
          <w:szCs w:val="21"/>
        </w:rPr>
        <w:t>将测定范围</w:t>
      </w:r>
      <w:r w:rsidR="003275CE" w:rsidRPr="003275CE">
        <w:rPr>
          <w:rFonts w:hint="eastAsia"/>
          <w:b/>
          <w:bCs/>
          <w:szCs w:val="21"/>
        </w:rPr>
        <w:t>调整为</w:t>
      </w:r>
      <w:r>
        <w:rPr>
          <w:rFonts w:hint="eastAsia"/>
          <w:szCs w:val="21"/>
        </w:rPr>
        <w:t>“方法</w:t>
      </w:r>
      <w:r>
        <w:rPr>
          <w:rFonts w:hint="eastAsia"/>
          <w:szCs w:val="21"/>
        </w:rPr>
        <w:t>1</w:t>
      </w:r>
      <w:r>
        <w:rPr>
          <w:rFonts w:hint="eastAsia"/>
          <w:szCs w:val="21"/>
        </w:rPr>
        <w:t>测定范围：</w:t>
      </w:r>
      <w:r>
        <w:rPr>
          <w:rFonts w:hint="eastAsia"/>
          <w:szCs w:val="21"/>
        </w:rPr>
        <w:t>0.10 %</w:t>
      </w:r>
      <w:r>
        <w:rPr>
          <w:rFonts w:hint="eastAsia"/>
          <w:szCs w:val="21"/>
        </w:rPr>
        <w:t>～</w:t>
      </w:r>
      <w:r>
        <w:rPr>
          <w:szCs w:val="21"/>
        </w:rPr>
        <w:t>3</w:t>
      </w:r>
      <w:r>
        <w:rPr>
          <w:rFonts w:hint="eastAsia"/>
          <w:szCs w:val="21"/>
        </w:rPr>
        <w:t>.50 %</w:t>
      </w:r>
      <w:r>
        <w:rPr>
          <w:rFonts w:hint="eastAsia"/>
          <w:szCs w:val="21"/>
        </w:rPr>
        <w:t>”；“方法</w:t>
      </w:r>
      <w:r>
        <w:rPr>
          <w:szCs w:val="21"/>
        </w:rPr>
        <w:t>2</w:t>
      </w:r>
      <w:r>
        <w:rPr>
          <w:rFonts w:hint="eastAsia"/>
          <w:szCs w:val="21"/>
        </w:rPr>
        <w:t>测定范围：</w:t>
      </w:r>
      <w:r>
        <w:rPr>
          <w:szCs w:val="21"/>
        </w:rPr>
        <w:t>0.35</w:t>
      </w:r>
      <w:r>
        <w:rPr>
          <w:rFonts w:hint="eastAsia"/>
          <w:szCs w:val="21"/>
        </w:rPr>
        <w:t xml:space="preserve"> %</w:t>
      </w:r>
      <w:r>
        <w:rPr>
          <w:rFonts w:hint="eastAsia"/>
          <w:szCs w:val="21"/>
        </w:rPr>
        <w:t>～</w:t>
      </w:r>
      <w:r>
        <w:rPr>
          <w:rFonts w:hint="eastAsia"/>
          <w:szCs w:val="21"/>
        </w:rPr>
        <w:t>35.00 %</w:t>
      </w:r>
      <w:r>
        <w:rPr>
          <w:rFonts w:hint="eastAsia"/>
          <w:szCs w:val="21"/>
        </w:rPr>
        <w:t>”</w:t>
      </w:r>
      <w:r w:rsidRPr="003275CE">
        <w:rPr>
          <w:rFonts w:hint="eastAsia"/>
          <w:b/>
          <w:bCs/>
          <w:szCs w:val="21"/>
        </w:rPr>
        <w:t>。</w:t>
      </w:r>
    </w:p>
    <w:p w:rsidR="00F55E3A" w:rsidRDefault="00F577EE">
      <w:pPr>
        <w:ind w:firstLineChars="200" w:firstLine="420"/>
        <w:rPr>
          <w:b/>
          <w:bCs/>
          <w:szCs w:val="21"/>
        </w:rPr>
      </w:pPr>
      <w:r>
        <w:rPr>
          <w:rFonts w:hint="eastAsia"/>
          <w:szCs w:val="21"/>
        </w:rPr>
        <w:t>（</w:t>
      </w:r>
      <w:r>
        <w:rPr>
          <w:szCs w:val="21"/>
        </w:rPr>
        <w:t>2</w:t>
      </w:r>
      <w:r>
        <w:rPr>
          <w:rFonts w:hint="eastAsia"/>
          <w:szCs w:val="21"/>
        </w:rPr>
        <w:t>）试验报告中</w:t>
      </w:r>
      <w:r>
        <w:rPr>
          <w:rFonts w:hint="eastAsia"/>
          <w:szCs w:val="21"/>
        </w:rPr>
        <w:t>3.1</w:t>
      </w:r>
      <w:r>
        <w:rPr>
          <w:rFonts w:hint="eastAsia"/>
          <w:szCs w:val="21"/>
        </w:rPr>
        <w:t>精密度试验中，标准偏差和相对标准偏差计算有误，建议重新核算。</w:t>
      </w:r>
      <w:r>
        <w:rPr>
          <w:rFonts w:hint="eastAsia"/>
          <w:b/>
          <w:bCs/>
          <w:szCs w:val="21"/>
        </w:rPr>
        <w:t>采纳，</w:t>
      </w:r>
      <w:r>
        <w:rPr>
          <w:rFonts w:hint="eastAsia"/>
          <w:szCs w:val="21"/>
        </w:rPr>
        <w:t>因测定结果遗漏</w:t>
      </w:r>
      <w:r>
        <w:rPr>
          <w:rFonts w:hint="eastAsia"/>
          <w:szCs w:val="21"/>
        </w:rPr>
        <w:t>2</w:t>
      </w:r>
      <w:r>
        <w:rPr>
          <w:rFonts w:hint="eastAsia"/>
          <w:szCs w:val="21"/>
        </w:rPr>
        <w:t>个，导致</w:t>
      </w:r>
      <w:r>
        <w:rPr>
          <w:rFonts w:hint="eastAsia"/>
          <w:szCs w:val="21"/>
        </w:rPr>
        <w:t>SD</w:t>
      </w:r>
      <w:r>
        <w:rPr>
          <w:rFonts w:hint="eastAsia"/>
          <w:szCs w:val="21"/>
        </w:rPr>
        <w:t>和</w:t>
      </w:r>
      <w:r>
        <w:rPr>
          <w:rFonts w:hint="eastAsia"/>
          <w:szCs w:val="21"/>
        </w:rPr>
        <w:t>RSD</w:t>
      </w:r>
      <w:r>
        <w:rPr>
          <w:rFonts w:hint="eastAsia"/>
          <w:szCs w:val="21"/>
        </w:rPr>
        <w:t>数据有误，补充数据并重新计算。</w:t>
      </w:r>
    </w:p>
    <w:p w:rsidR="00F55E3A" w:rsidRDefault="00F577EE">
      <w:pPr>
        <w:ind w:firstLineChars="200" w:firstLine="420"/>
        <w:rPr>
          <w:szCs w:val="21"/>
        </w:rPr>
      </w:pPr>
      <w:r>
        <w:rPr>
          <w:rFonts w:hint="eastAsia"/>
          <w:szCs w:val="21"/>
        </w:rPr>
        <w:t>（</w:t>
      </w:r>
      <w:r>
        <w:rPr>
          <w:szCs w:val="21"/>
        </w:rPr>
        <w:t>3</w:t>
      </w:r>
      <w:r>
        <w:rPr>
          <w:rFonts w:hint="eastAsia"/>
          <w:szCs w:val="21"/>
        </w:rPr>
        <w:t>）试验报告中</w:t>
      </w:r>
      <w:r>
        <w:rPr>
          <w:rFonts w:hint="eastAsia"/>
          <w:szCs w:val="21"/>
        </w:rPr>
        <w:t>3.1</w:t>
      </w:r>
      <w:r>
        <w:rPr>
          <w:rFonts w:hint="eastAsia"/>
          <w:szCs w:val="21"/>
        </w:rPr>
        <w:t>精密度试验中，“按照实验方法对各待测元素不同含量的硫化钴精矿样品中的铜进行</w:t>
      </w:r>
      <w:r>
        <w:rPr>
          <w:rFonts w:hint="eastAsia"/>
          <w:szCs w:val="21"/>
        </w:rPr>
        <w:t>11</w:t>
      </w:r>
      <w:r>
        <w:rPr>
          <w:rFonts w:hint="eastAsia"/>
          <w:szCs w:val="21"/>
        </w:rPr>
        <w:t>次测定”与表</w:t>
      </w:r>
      <w:r>
        <w:rPr>
          <w:rFonts w:hint="eastAsia"/>
          <w:szCs w:val="21"/>
        </w:rPr>
        <w:t>8</w:t>
      </w:r>
      <w:r>
        <w:rPr>
          <w:rFonts w:hint="eastAsia"/>
          <w:szCs w:val="21"/>
        </w:rPr>
        <w:t>中只进行了</w:t>
      </w:r>
      <w:r>
        <w:rPr>
          <w:rFonts w:hint="eastAsia"/>
          <w:szCs w:val="21"/>
        </w:rPr>
        <w:t>9</w:t>
      </w:r>
      <w:r>
        <w:rPr>
          <w:rFonts w:hint="eastAsia"/>
          <w:szCs w:val="21"/>
        </w:rPr>
        <w:t>次测定不一致。</w:t>
      </w:r>
      <w:r>
        <w:rPr>
          <w:rFonts w:hint="eastAsia"/>
          <w:b/>
          <w:bCs/>
          <w:szCs w:val="21"/>
        </w:rPr>
        <w:t>采纳</w:t>
      </w:r>
      <w:r>
        <w:rPr>
          <w:rFonts w:hint="eastAsia"/>
          <w:szCs w:val="21"/>
        </w:rPr>
        <w:t>，补充遗漏数据。</w:t>
      </w:r>
    </w:p>
    <w:p w:rsidR="00F55E3A" w:rsidRDefault="00F577EE">
      <w:pPr>
        <w:ind w:firstLineChars="200" w:firstLine="420"/>
        <w:rPr>
          <w:szCs w:val="21"/>
        </w:rPr>
      </w:pPr>
      <w:r>
        <w:rPr>
          <w:rFonts w:hint="eastAsia"/>
          <w:szCs w:val="21"/>
        </w:rPr>
        <w:t>（</w:t>
      </w:r>
      <w:r>
        <w:rPr>
          <w:rFonts w:hint="eastAsia"/>
          <w:szCs w:val="21"/>
        </w:rPr>
        <w:t>4</w:t>
      </w:r>
      <w:r>
        <w:rPr>
          <w:rFonts w:hint="eastAsia"/>
          <w:szCs w:val="21"/>
        </w:rPr>
        <w:t>）试验报告中</w:t>
      </w:r>
      <w:r>
        <w:rPr>
          <w:rFonts w:hint="eastAsia"/>
          <w:szCs w:val="21"/>
        </w:rPr>
        <w:t>3.2</w:t>
      </w:r>
      <w:r>
        <w:rPr>
          <w:rFonts w:hint="eastAsia"/>
          <w:szCs w:val="21"/>
        </w:rPr>
        <w:t>样品加标回收中，加标回收率计算有误，建议重新核算。</w:t>
      </w:r>
      <w:r>
        <w:rPr>
          <w:rFonts w:hint="eastAsia"/>
          <w:b/>
          <w:bCs/>
          <w:szCs w:val="21"/>
        </w:rPr>
        <w:t>采纳，</w:t>
      </w:r>
      <w:r>
        <w:rPr>
          <w:rFonts w:hint="eastAsia"/>
          <w:szCs w:val="21"/>
        </w:rPr>
        <w:t>已修改。</w:t>
      </w:r>
    </w:p>
    <w:p w:rsidR="00F55E3A" w:rsidRDefault="00F577EE">
      <w:pPr>
        <w:snapToGrid w:val="0"/>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）北矿检测技术有限公司</w:t>
      </w:r>
    </w:p>
    <w:p w:rsidR="00F55E3A" w:rsidRPr="00F577EE" w:rsidRDefault="00F577EE">
      <w:pPr>
        <w:ind w:firstLineChars="200" w:firstLine="420"/>
        <w:rPr>
          <w:b/>
          <w:bCs/>
          <w:color w:val="FF0000"/>
          <w:szCs w:val="21"/>
        </w:rPr>
      </w:pPr>
      <w:r>
        <w:rPr>
          <w:rFonts w:hint="eastAsia"/>
          <w:szCs w:val="21"/>
        </w:rPr>
        <w:t>（</w:t>
      </w:r>
      <w:r>
        <w:rPr>
          <w:rFonts w:hint="eastAsia"/>
          <w:szCs w:val="21"/>
        </w:rPr>
        <w:t>1</w:t>
      </w:r>
      <w:r>
        <w:rPr>
          <w:rFonts w:hint="eastAsia"/>
          <w:szCs w:val="21"/>
        </w:rPr>
        <w:t>）方法</w:t>
      </w:r>
      <w:r>
        <w:rPr>
          <w:rFonts w:hint="eastAsia"/>
          <w:szCs w:val="21"/>
        </w:rPr>
        <w:t>4.5.4.2</w:t>
      </w:r>
      <w:r>
        <w:rPr>
          <w:rFonts w:hint="eastAsia"/>
          <w:szCs w:val="21"/>
        </w:rPr>
        <w:t>中“试料中硅含量较高时”，应给出硅的具体范围。对四个样品分别用不同方法溶样，其中加氟化物的溶样时均有不同含量的白灰色沉淀析出，虽然测试发现沉淀中几乎不含铜，两个方法结果相近，但是溶样方法选择上希望能更细节化。</w:t>
      </w:r>
      <w:r>
        <w:rPr>
          <w:rFonts w:hint="eastAsia"/>
          <w:b/>
          <w:bCs/>
          <w:szCs w:val="21"/>
        </w:rPr>
        <w:t>部分采纳，</w:t>
      </w:r>
      <w:r>
        <w:rPr>
          <w:rFonts w:hint="eastAsia"/>
          <w:szCs w:val="21"/>
        </w:rPr>
        <w:t>在试验报告中补充两种溶解方法的内容，两种溶解方法对验证样品的测定结果无显著影响，但采用氢氟酸溶解样品，残余的灰白色不溶物较少，溶液澄清</w:t>
      </w:r>
      <w:r w:rsidR="00FF5A28" w:rsidRPr="00BF28A8">
        <w:rPr>
          <w:rFonts w:hint="eastAsia"/>
          <w:szCs w:val="21"/>
        </w:rPr>
        <w:t>，</w:t>
      </w:r>
      <w:r w:rsidR="00FF5A28" w:rsidRPr="00F577EE">
        <w:rPr>
          <w:rFonts w:hint="eastAsia"/>
          <w:color w:val="FF0000"/>
          <w:szCs w:val="21"/>
        </w:rPr>
        <w:t>并与碱熔后火焰原子吸收的方法进行对照，结果一致</w:t>
      </w:r>
      <w:r w:rsidRPr="00F577EE">
        <w:rPr>
          <w:rFonts w:hint="eastAsia"/>
          <w:color w:val="FF0000"/>
          <w:szCs w:val="21"/>
        </w:rPr>
        <w:t>。因此，溶解方法仍采用原标准方法。</w:t>
      </w:r>
    </w:p>
    <w:p w:rsidR="00F55E3A" w:rsidRDefault="00F577EE">
      <w:pPr>
        <w:ind w:firstLineChars="200" w:firstLine="420"/>
        <w:rPr>
          <w:szCs w:val="21"/>
        </w:rPr>
      </w:pPr>
      <w:r>
        <w:rPr>
          <w:rFonts w:hint="eastAsia"/>
          <w:szCs w:val="21"/>
        </w:rPr>
        <w:t>（</w:t>
      </w:r>
      <w:r>
        <w:rPr>
          <w:rFonts w:hint="eastAsia"/>
          <w:szCs w:val="21"/>
        </w:rPr>
        <w:t>2</w:t>
      </w:r>
      <w:r>
        <w:rPr>
          <w:rFonts w:hint="eastAsia"/>
          <w:szCs w:val="21"/>
        </w:rPr>
        <w:t>）步骤</w:t>
      </w:r>
      <w:r>
        <w:rPr>
          <w:rFonts w:hint="eastAsia"/>
          <w:szCs w:val="21"/>
        </w:rPr>
        <w:t>4.5.4.1</w:t>
      </w:r>
      <w:r>
        <w:rPr>
          <w:rFonts w:hint="eastAsia"/>
          <w:szCs w:val="21"/>
        </w:rPr>
        <w:t>与</w:t>
      </w:r>
      <w:r>
        <w:rPr>
          <w:rFonts w:hint="eastAsia"/>
          <w:szCs w:val="21"/>
        </w:rPr>
        <w:t>4.5.4.2</w:t>
      </w:r>
      <w:r>
        <w:rPr>
          <w:rFonts w:hint="eastAsia"/>
          <w:szCs w:val="21"/>
        </w:rPr>
        <w:t>是并列的，不是递进顺序。建议将</w:t>
      </w:r>
      <w:r>
        <w:rPr>
          <w:rFonts w:hint="eastAsia"/>
          <w:szCs w:val="21"/>
        </w:rPr>
        <w:t>4.5.4.2</w:t>
      </w:r>
      <w:r>
        <w:rPr>
          <w:rFonts w:hint="eastAsia"/>
          <w:szCs w:val="21"/>
        </w:rPr>
        <w:t>列入注意事项中。</w:t>
      </w:r>
      <w:r>
        <w:rPr>
          <w:rFonts w:hint="eastAsia"/>
          <w:b/>
          <w:bCs/>
          <w:szCs w:val="21"/>
        </w:rPr>
        <w:t>不采纳，</w:t>
      </w:r>
      <w:r w:rsidRPr="003275CE">
        <w:rPr>
          <w:rFonts w:hint="eastAsia"/>
          <w:szCs w:val="21"/>
        </w:rPr>
        <w:t>原标准即是分开描述，在应用中也无歧义发生，且列入注意事项中，反而使描述不够精炼，因此仍保</w:t>
      </w:r>
      <w:r w:rsidRPr="003275CE">
        <w:rPr>
          <w:rFonts w:hint="eastAsia"/>
          <w:szCs w:val="21"/>
        </w:rPr>
        <w:lastRenderedPageBreak/>
        <w:t>留原标准的描述</w:t>
      </w:r>
      <w:r>
        <w:rPr>
          <w:rFonts w:hint="eastAsia"/>
          <w:szCs w:val="21"/>
        </w:rPr>
        <w:t>。</w:t>
      </w:r>
    </w:p>
    <w:p w:rsidR="00F55E3A" w:rsidRDefault="00F577EE">
      <w:pPr>
        <w:ind w:firstLineChars="200" w:firstLine="420"/>
        <w:rPr>
          <w:szCs w:val="21"/>
        </w:rPr>
      </w:pPr>
      <w:r>
        <w:rPr>
          <w:rFonts w:hint="eastAsia"/>
          <w:szCs w:val="21"/>
        </w:rPr>
        <w:t>（</w:t>
      </w:r>
      <w:r>
        <w:rPr>
          <w:rFonts w:hint="eastAsia"/>
          <w:szCs w:val="21"/>
        </w:rPr>
        <w:t>3</w:t>
      </w:r>
      <w:r>
        <w:rPr>
          <w:rFonts w:hint="eastAsia"/>
          <w:szCs w:val="21"/>
        </w:rPr>
        <w:t>）试验报告</w:t>
      </w:r>
      <w:r>
        <w:rPr>
          <w:rFonts w:hint="eastAsia"/>
          <w:szCs w:val="21"/>
        </w:rPr>
        <w:t xml:space="preserve">2.3 </w:t>
      </w:r>
      <w:r>
        <w:rPr>
          <w:rFonts w:hint="eastAsia"/>
          <w:szCs w:val="21"/>
        </w:rPr>
        <w:t>不同介质对铜测定的影响中提及加入硫酸溶液，整个过程未用到硫酸，建议起草单位删除。</w:t>
      </w:r>
      <w:r>
        <w:rPr>
          <w:rFonts w:hint="eastAsia"/>
          <w:b/>
          <w:bCs/>
          <w:szCs w:val="21"/>
        </w:rPr>
        <w:t>采纳，</w:t>
      </w:r>
      <w:r>
        <w:rPr>
          <w:rFonts w:hint="eastAsia"/>
          <w:szCs w:val="21"/>
        </w:rPr>
        <w:t>已修改</w:t>
      </w:r>
      <w:r>
        <w:rPr>
          <w:rFonts w:hint="eastAsia"/>
          <w:b/>
          <w:bCs/>
          <w:szCs w:val="21"/>
        </w:rPr>
        <w:t>。</w:t>
      </w:r>
    </w:p>
    <w:p w:rsidR="00F55E3A" w:rsidRDefault="00F577EE">
      <w:pPr>
        <w:ind w:firstLineChars="200" w:firstLine="420"/>
        <w:rPr>
          <w:szCs w:val="21"/>
        </w:rPr>
      </w:pPr>
      <w:r>
        <w:rPr>
          <w:rFonts w:hint="eastAsia"/>
          <w:szCs w:val="21"/>
        </w:rPr>
        <w:t>（</w:t>
      </w:r>
      <w:r>
        <w:rPr>
          <w:rFonts w:hint="eastAsia"/>
          <w:szCs w:val="21"/>
        </w:rPr>
        <w:t>4</w:t>
      </w:r>
      <w:r>
        <w:rPr>
          <w:rFonts w:hint="eastAsia"/>
          <w:szCs w:val="21"/>
        </w:rPr>
        <w:t>）试验报告</w:t>
      </w:r>
      <w:r>
        <w:rPr>
          <w:rFonts w:hint="eastAsia"/>
          <w:szCs w:val="21"/>
        </w:rPr>
        <w:t>2.3</w:t>
      </w:r>
      <w:r>
        <w:rPr>
          <w:rFonts w:hint="eastAsia"/>
          <w:szCs w:val="21"/>
        </w:rPr>
        <w:t>中“为了和样品测定时保持一致，本文选择</w:t>
      </w:r>
      <w:r>
        <w:rPr>
          <w:rFonts w:hint="eastAsia"/>
          <w:szCs w:val="21"/>
        </w:rPr>
        <w:t>2 %</w:t>
      </w:r>
      <w:r>
        <w:rPr>
          <w:rFonts w:hint="eastAsia"/>
          <w:szCs w:val="21"/>
        </w:rPr>
        <w:t>的盐酸介质进行测定”本末倒置。建议删除此句。</w:t>
      </w:r>
      <w:r>
        <w:rPr>
          <w:rFonts w:hint="eastAsia"/>
          <w:b/>
          <w:bCs/>
          <w:szCs w:val="21"/>
        </w:rPr>
        <w:t>采纳，</w:t>
      </w:r>
      <w:r>
        <w:rPr>
          <w:rFonts w:hint="eastAsia"/>
          <w:szCs w:val="21"/>
        </w:rPr>
        <w:t>已修改</w:t>
      </w:r>
      <w:r>
        <w:rPr>
          <w:rFonts w:hint="eastAsia"/>
          <w:b/>
          <w:bCs/>
          <w:szCs w:val="21"/>
        </w:rPr>
        <w:t>。</w:t>
      </w:r>
    </w:p>
    <w:p w:rsidR="00F55E3A" w:rsidRDefault="00F577EE">
      <w:pPr>
        <w:ind w:firstLineChars="200" w:firstLine="420"/>
        <w:rPr>
          <w:szCs w:val="21"/>
        </w:rPr>
      </w:pPr>
      <w:r>
        <w:rPr>
          <w:rFonts w:hint="eastAsia"/>
          <w:szCs w:val="21"/>
        </w:rPr>
        <w:t>（</w:t>
      </w:r>
      <w:r>
        <w:rPr>
          <w:rFonts w:hint="eastAsia"/>
          <w:szCs w:val="21"/>
        </w:rPr>
        <w:t>5</w:t>
      </w:r>
      <w:r>
        <w:rPr>
          <w:rFonts w:hint="eastAsia"/>
          <w:szCs w:val="21"/>
        </w:rPr>
        <w:t>）步骤</w:t>
      </w:r>
      <w:r>
        <w:rPr>
          <w:rFonts w:hint="eastAsia"/>
          <w:szCs w:val="21"/>
        </w:rPr>
        <w:t>5.8.1</w:t>
      </w:r>
      <w:r>
        <w:rPr>
          <w:rFonts w:hint="eastAsia"/>
          <w:szCs w:val="21"/>
        </w:rPr>
        <w:t>“每个实验室对每个水平的银含量在重复性条件下独立测定</w:t>
      </w:r>
      <w:r>
        <w:rPr>
          <w:rFonts w:hint="eastAsia"/>
          <w:szCs w:val="21"/>
        </w:rPr>
        <w:t>11</w:t>
      </w:r>
      <w:r>
        <w:rPr>
          <w:rFonts w:hint="eastAsia"/>
          <w:szCs w:val="21"/>
        </w:rPr>
        <w:t>次”，将银改成铜。</w:t>
      </w:r>
      <w:r>
        <w:rPr>
          <w:rFonts w:hint="eastAsia"/>
          <w:b/>
          <w:bCs/>
          <w:szCs w:val="21"/>
        </w:rPr>
        <w:t>采纳，</w:t>
      </w:r>
      <w:r>
        <w:rPr>
          <w:rFonts w:hint="eastAsia"/>
          <w:szCs w:val="21"/>
        </w:rPr>
        <w:t>已修改</w:t>
      </w:r>
      <w:r>
        <w:rPr>
          <w:rFonts w:hint="eastAsia"/>
          <w:b/>
          <w:bCs/>
          <w:szCs w:val="21"/>
        </w:rPr>
        <w:t>。</w:t>
      </w:r>
    </w:p>
    <w:p w:rsidR="00F55E3A" w:rsidRDefault="00F577EE">
      <w:pPr>
        <w:ind w:firstLineChars="200" w:firstLine="420"/>
        <w:rPr>
          <w:b/>
          <w:bCs/>
          <w:szCs w:val="21"/>
        </w:rPr>
      </w:pPr>
      <w:r>
        <w:rPr>
          <w:rFonts w:hint="eastAsia"/>
          <w:szCs w:val="21"/>
        </w:rPr>
        <w:t>（</w:t>
      </w:r>
      <w:r>
        <w:rPr>
          <w:szCs w:val="21"/>
        </w:rPr>
        <w:t>6</w:t>
      </w:r>
      <w:r>
        <w:rPr>
          <w:rFonts w:hint="eastAsia"/>
          <w:szCs w:val="21"/>
        </w:rPr>
        <w:t>）样品测定的相对偏差在总结中为</w:t>
      </w:r>
      <w:r>
        <w:rPr>
          <w:rFonts w:hint="eastAsia"/>
          <w:szCs w:val="21"/>
        </w:rPr>
        <w:t>0.51 %</w:t>
      </w:r>
      <w:r>
        <w:rPr>
          <w:rFonts w:hint="eastAsia"/>
          <w:szCs w:val="21"/>
        </w:rPr>
        <w:t>～</w:t>
      </w:r>
      <w:r>
        <w:rPr>
          <w:rFonts w:hint="eastAsia"/>
          <w:szCs w:val="21"/>
        </w:rPr>
        <w:t>1.26 %</w:t>
      </w:r>
      <w:r>
        <w:rPr>
          <w:rFonts w:hint="eastAsia"/>
          <w:szCs w:val="21"/>
        </w:rPr>
        <w:t>之间，在表</w:t>
      </w:r>
      <w:r>
        <w:rPr>
          <w:rFonts w:hint="eastAsia"/>
          <w:szCs w:val="21"/>
        </w:rPr>
        <w:t>8</w:t>
      </w:r>
      <w:r>
        <w:rPr>
          <w:rFonts w:hint="eastAsia"/>
          <w:szCs w:val="21"/>
        </w:rPr>
        <w:t>中为</w:t>
      </w:r>
      <w:r>
        <w:rPr>
          <w:rFonts w:hint="eastAsia"/>
          <w:szCs w:val="21"/>
        </w:rPr>
        <w:t>5.20</w:t>
      </w:r>
      <w:r>
        <w:rPr>
          <w:rFonts w:hint="eastAsia"/>
          <w:szCs w:val="21"/>
        </w:rPr>
        <w:t>～</w:t>
      </w:r>
      <w:r>
        <w:rPr>
          <w:rFonts w:hint="eastAsia"/>
          <w:szCs w:val="21"/>
        </w:rPr>
        <w:t>1.21%</w:t>
      </w:r>
      <w:r>
        <w:rPr>
          <w:rFonts w:hint="eastAsia"/>
          <w:szCs w:val="21"/>
        </w:rPr>
        <w:t>之间。建议起草单位确认。</w:t>
      </w:r>
      <w:r>
        <w:rPr>
          <w:rFonts w:hint="eastAsia"/>
          <w:b/>
          <w:bCs/>
          <w:szCs w:val="21"/>
        </w:rPr>
        <w:t>采纳，</w:t>
      </w:r>
      <w:r>
        <w:rPr>
          <w:rFonts w:hint="eastAsia"/>
          <w:szCs w:val="21"/>
        </w:rPr>
        <w:t>已修改</w:t>
      </w:r>
      <w:r>
        <w:rPr>
          <w:rFonts w:hint="eastAsia"/>
          <w:b/>
          <w:bCs/>
          <w:szCs w:val="21"/>
        </w:rPr>
        <w:t>。</w:t>
      </w:r>
    </w:p>
    <w:p w:rsidR="00F55E3A" w:rsidRDefault="00F577EE">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3）广东邦普</w:t>
      </w:r>
      <w:r>
        <w:rPr>
          <w:rFonts w:asciiTheme="minorEastAsia" w:eastAsiaTheme="minorEastAsia" w:hAnsiTheme="minorEastAsia"/>
          <w:color w:val="000000"/>
          <w:szCs w:val="21"/>
        </w:rPr>
        <w:t>循环科技</w:t>
      </w:r>
      <w:r>
        <w:rPr>
          <w:rFonts w:asciiTheme="minorEastAsia" w:eastAsiaTheme="minorEastAsia" w:hAnsiTheme="minorEastAsia" w:hint="eastAsia"/>
          <w:color w:val="000000"/>
          <w:szCs w:val="21"/>
        </w:rPr>
        <w:t>有限公司</w:t>
      </w:r>
    </w:p>
    <w:p w:rsidR="00F55E3A" w:rsidRDefault="00F577EE">
      <w:pPr>
        <w:ind w:firstLineChars="200" w:firstLine="420"/>
        <w:rPr>
          <w:kern w:val="22"/>
          <w:szCs w:val="21"/>
        </w:rPr>
      </w:pPr>
      <w:r>
        <w:rPr>
          <w:rFonts w:hint="eastAsia"/>
          <w:kern w:val="22"/>
        </w:rPr>
        <w:t>（</w:t>
      </w:r>
      <w:r>
        <w:rPr>
          <w:rFonts w:hint="eastAsia"/>
          <w:kern w:val="22"/>
        </w:rPr>
        <w:t>1</w:t>
      </w:r>
      <w:r>
        <w:rPr>
          <w:rFonts w:hint="eastAsia"/>
          <w:kern w:val="22"/>
        </w:rPr>
        <w:t>）</w:t>
      </w:r>
      <w:r>
        <w:rPr>
          <w:rFonts w:hint="eastAsia"/>
          <w:kern w:val="22"/>
          <w:szCs w:val="21"/>
        </w:rPr>
        <w:t>4.5.5</w:t>
      </w:r>
      <w:r>
        <w:rPr>
          <w:rFonts w:hint="eastAsia"/>
          <w:kern w:val="22"/>
          <w:szCs w:val="21"/>
        </w:rPr>
        <w:t>中“减去空白溶液的吸光度”建议改为“减去零溶液的</w:t>
      </w:r>
      <w:r>
        <w:rPr>
          <w:kern w:val="22"/>
          <w:szCs w:val="21"/>
        </w:rPr>
        <w:t>吸光度</w:t>
      </w:r>
      <w:r>
        <w:rPr>
          <w:kern w:val="22"/>
          <w:szCs w:val="21"/>
        </w:rPr>
        <w:t>”</w:t>
      </w:r>
      <w:r>
        <w:rPr>
          <w:kern w:val="22"/>
          <w:szCs w:val="21"/>
        </w:rPr>
        <w:t>。此处的空白吸光度不是</w:t>
      </w:r>
      <w:r>
        <w:rPr>
          <w:kern w:val="22"/>
          <w:szCs w:val="21"/>
        </w:rPr>
        <w:t>ρ</w:t>
      </w:r>
      <w:r>
        <w:rPr>
          <w:kern w:val="22"/>
          <w:szCs w:val="21"/>
          <w:vertAlign w:val="subscript"/>
        </w:rPr>
        <w:t>0</w:t>
      </w:r>
      <w:r>
        <w:rPr>
          <w:kern w:val="22"/>
          <w:szCs w:val="21"/>
        </w:rPr>
        <w:t>。</w:t>
      </w:r>
      <w:r>
        <w:rPr>
          <w:rFonts w:hint="eastAsia"/>
          <w:b/>
          <w:bCs/>
          <w:kern w:val="22"/>
          <w:szCs w:val="21"/>
        </w:rPr>
        <w:t>采纳，</w:t>
      </w:r>
      <w:r>
        <w:rPr>
          <w:rFonts w:hint="eastAsia"/>
          <w:kern w:val="22"/>
          <w:szCs w:val="21"/>
        </w:rPr>
        <w:t>已修改。</w:t>
      </w:r>
    </w:p>
    <w:p w:rsidR="00F55E3A" w:rsidRDefault="00F577EE">
      <w:pPr>
        <w:ind w:firstLineChars="200" w:firstLine="420"/>
        <w:rPr>
          <w:szCs w:val="21"/>
        </w:rPr>
      </w:pPr>
      <w:r>
        <w:rPr>
          <w:rFonts w:hint="eastAsia"/>
          <w:kern w:val="22"/>
        </w:rPr>
        <w:t>（</w:t>
      </w:r>
      <w:r>
        <w:rPr>
          <w:kern w:val="22"/>
        </w:rPr>
        <w:t>2</w:t>
      </w:r>
      <w:r>
        <w:rPr>
          <w:rFonts w:hint="eastAsia"/>
          <w:kern w:val="22"/>
        </w:rPr>
        <w:t>）</w:t>
      </w:r>
      <w:r>
        <w:rPr>
          <w:rFonts w:hint="eastAsia"/>
          <w:szCs w:val="21"/>
        </w:rPr>
        <w:t>对标准中</w:t>
      </w:r>
      <w:r w:rsidRPr="00F577EE">
        <w:rPr>
          <w:rFonts w:hint="eastAsia"/>
          <w:color w:val="FF0000"/>
          <w:szCs w:val="21"/>
        </w:rPr>
        <w:t>的部分文字描述提出的</w:t>
      </w:r>
      <w:r>
        <w:rPr>
          <w:rFonts w:hint="eastAsia"/>
          <w:szCs w:val="21"/>
        </w:rPr>
        <w:t>修改意见是针对标准草案的，在提供的讨论稿中均已修改。</w:t>
      </w:r>
    </w:p>
    <w:p w:rsidR="00F55E3A" w:rsidRDefault="00F577EE">
      <w:pPr>
        <w:outlineLvl w:val="3"/>
        <w:rPr>
          <w:szCs w:val="21"/>
        </w:rPr>
      </w:pPr>
      <w:r>
        <w:rPr>
          <w:rFonts w:asciiTheme="minorEastAsia" w:eastAsiaTheme="minorEastAsia" w:hAnsiTheme="minorEastAsia"/>
          <w:b/>
          <w:bCs/>
          <w:szCs w:val="21"/>
        </w:rPr>
        <w:t xml:space="preserve">3.2 </w:t>
      </w:r>
      <w:r>
        <w:rPr>
          <w:rFonts w:asciiTheme="minorEastAsia" w:eastAsiaTheme="minorEastAsia" w:hAnsiTheme="minorEastAsia" w:hint="eastAsia"/>
          <w:b/>
          <w:bCs/>
          <w:szCs w:val="21"/>
        </w:rPr>
        <w:t>方法</w:t>
      </w:r>
      <w:r>
        <w:rPr>
          <w:rFonts w:asciiTheme="minorEastAsia" w:eastAsiaTheme="minorEastAsia" w:hAnsiTheme="minorEastAsia"/>
          <w:b/>
          <w:bCs/>
          <w:szCs w:val="21"/>
        </w:rPr>
        <w:t xml:space="preserve">2 </w:t>
      </w:r>
      <w:r>
        <w:rPr>
          <w:rFonts w:asciiTheme="minorEastAsia" w:eastAsiaTheme="minorEastAsia" w:hAnsiTheme="minorEastAsia" w:hint="eastAsia"/>
          <w:b/>
          <w:bCs/>
          <w:szCs w:val="21"/>
        </w:rPr>
        <w:t>碘量法</w:t>
      </w:r>
    </w:p>
    <w:p w:rsidR="00F55E3A" w:rsidRDefault="00F577EE">
      <w:pPr>
        <w:ind w:firstLineChars="200" w:firstLine="420"/>
        <w:rPr>
          <w:szCs w:val="21"/>
        </w:rPr>
      </w:pPr>
      <w:r>
        <w:rPr>
          <w:rFonts w:hint="eastAsia"/>
          <w:szCs w:val="21"/>
        </w:rPr>
        <w:t>浙江华友钴业股份有限公司接到本标准的“方法</w:t>
      </w:r>
      <w:r>
        <w:rPr>
          <w:rFonts w:hint="eastAsia"/>
          <w:szCs w:val="21"/>
        </w:rPr>
        <w:t>2</w:t>
      </w:r>
      <w:r>
        <w:rPr>
          <w:szCs w:val="21"/>
        </w:rPr>
        <w:t xml:space="preserve"> </w:t>
      </w:r>
      <w:r>
        <w:rPr>
          <w:rFonts w:hint="eastAsia"/>
          <w:szCs w:val="21"/>
        </w:rPr>
        <w:t>碘量法”的标准修订任务后，组织成立了有色金属行业标准起草小组，明确了标准的进度安排、任务分工、确定了编制标准的工作计划及技术路线。具体如下。</w:t>
      </w:r>
    </w:p>
    <w:p w:rsidR="00F55E3A" w:rsidRDefault="00F577EE">
      <w:pPr>
        <w:ind w:firstLineChars="200" w:firstLine="420"/>
        <w:rPr>
          <w:szCs w:val="21"/>
        </w:rPr>
      </w:pPr>
      <w:r>
        <w:rPr>
          <w:rFonts w:hint="eastAsia"/>
          <w:szCs w:val="21"/>
        </w:rPr>
        <w:t>1</w:t>
      </w:r>
      <w:r>
        <w:rPr>
          <w:rFonts w:hint="eastAsia"/>
          <w:szCs w:val="21"/>
        </w:rPr>
        <w:t>）依据样品中铜含量的分布情况，确定“方法</w:t>
      </w:r>
      <w:r>
        <w:rPr>
          <w:rFonts w:hint="eastAsia"/>
          <w:szCs w:val="21"/>
        </w:rPr>
        <w:t xml:space="preserve"> 2</w:t>
      </w:r>
      <w:r>
        <w:rPr>
          <w:rFonts w:hint="eastAsia"/>
          <w:szCs w:val="21"/>
        </w:rPr>
        <w:t>：碘量法”</w:t>
      </w:r>
      <w:r>
        <w:rPr>
          <w:rFonts w:hint="eastAsia"/>
          <w:color w:val="000000"/>
          <w:szCs w:val="21"/>
        </w:rPr>
        <w:t>的测定范围由</w:t>
      </w:r>
      <w:r>
        <w:rPr>
          <w:rFonts w:hint="eastAsia"/>
          <w:color w:val="000000"/>
          <w:szCs w:val="21"/>
        </w:rPr>
        <w:t>3.50 %</w:t>
      </w:r>
      <w:r>
        <w:rPr>
          <w:rFonts w:hint="eastAsia"/>
          <w:color w:val="000000"/>
          <w:szCs w:val="21"/>
        </w:rPr>
        <w:t>～</w:t>
      </w:r>
      <w:r>
        <w:rPr>
          <w:rFonts w:hint="eastAsia"/>
          <w:color w:val="000000"/>
          <w:szCs w:val="21"/>
        </w:rPr>
        <w:t>35.00 %</w:t>
      </w:r>
      <w:r>
        <w:rPr>
          <w:rFonts w:hint="eastAsia"/>
          <w:color w:val="000000"/>
          <w:szCs w:val="21"/>
        </w:rPr>
        <w:t>。</w:t>
      </w:r>
    </w:p>
    <w:p w:rsidR="00F55E3A" w:rsidRDefault="00F577EE">
      <w:pPr>
        <w:ind w:firstLineChars="200" w:firstLine="420"/>
        <w:rPr>
          <w:szCs w:val="21"/>
        </w:rPr>
      </w:pPr>
      <w:r>
        <w:rPr>
          <w:rFonts w:hint="eastAsia"/>
          <w:szCs w:val="21"/>
        </w:rPr>
        <w:t>2</w:t>
      </w:r>
      <w:r>
        <w:rPr>
          <w:rFonts w:hint="eastAsia"/>
          <w:szCs w:val="21"/>
        </w:rPr>
        <w:t>）收集来自浙江华友钴业股份有限公司、衢州华友钴新材料公司、金川集团股份有限公司等硫化钴精矿生产和贸易企业的代表性硫化钴精矿样品，确定梯度分别为</w:t>
      </w:r>
      <w:r>
        <w:rPr>
          <w:rFonts w:hint="eastAsia"/>
          <w:szCs w:val="21"/>
        </w:rPr>
        <w:t>3 %</w:t>
      </w:r>
      <w:r>
        <w:rPr>
          <w:rFonts w:hint="eastAsia"/>
          <w:szCs w:val="21"/>
        </w:rPr>
        <w:t>、</w:t>
      </w:r>
      <w:r>
        <w:rPr>
          <w:rFonts w:hint="eastAsia"/>
          <w:szCs w:val="21"/>
        </w:rPr>
        <w:t>10 %</w:t>
      </w:r>
      <w:r>
        <w:rPr>
          <w:rFonts w:hint="eastAsia"/>
          <w:szCs w:val="21"/>
        </w:rPr>
        <w:t>、</w:t>
      </w:r>
      <w:r>
        <w:rPr>
          <w:rFonts w:hint="eastAsia"/>
          <w:szCs w:val="21"/>
        </w:rPr>
        <w:t>20 %</w:t>
      </w:r>
      <w:r>
        <w:rPr>
          <w:rFonts w:hint="eastAsia"/>
          <w:szCs w:val="21"/>
        </w:rPr>
        <w:t>、</w:t>
      </w:r>
      <w:r>
        <w:rPr>
          <w:rFonts w:hint="eastAsia"/>
          <w:szCs w:val="21"/>
        </w:rPr>
        <w:t>30 %</w:t>
      </w:r>
      <w:r>
        <w:rPr>
          <w:rFonts w:hint="eastAsia"/>
          <w:szCs w:val="21"/>
        </w:rPr>
        <w:t>。</w:t>
      </w:r>
    </w:p>
    <w:p w:rsidR="00F55E3A" w:rsidRDefault="00F577EE">
      <w:pPr>
        <w:pStyle w:val="ad"/>
        <w:ind w:firstLine="420"/>
        <w:rPr>
          <w:rFonts w:ascii="Times New Roman"/>
          <w:szCs w:val="21"/>
        </w:rPr>
      </w:pPr>
      <w:r>
        <w:rPr>
          <w:szCs w:val="21"/>
        </w:rPr>
        <w:t>3</w:t>
      </w:r>
      <w:r>
        <w:rPr>
          <w:rFonts w:hint="eastAsia"/>
          <w:szCs w:val="21"/>
        </w:rPr>
        <w:t>）</w:t>
      </w:r>
      <w:r>
        <w:rPr>
          <w:rFonts w:ascii="Times New Roman"/>
          <w:szCs w:val="21"/>
        </w:rPr>
        <w:t>起草单位</w:t>
      </w:r>
      <w:r>
        <w:rPr>
          <w:rFonts w:ascii="Times New Roman" w:hint="eastAsia"/>
          <w:bCs/>
          <w:color w:val="000000"/>
          <w:szCs w:val="21"/>
        </w:rPr>
        <w:t>浙江华友钴业</w:t>
      </w:r>
      <w:r>
        <w:rPr>
          <w:rFonts w:ascii="Times New Roman"/>
          <w:bCs/>
          <w:color w:val="000000"/>
          <w:szCs w:val="21"/>
        </w:rPr>
        <w:t>股份有限公司</w:t>
      </w:r>
      <w:r>
        <w:rPr>
          <w:rFonts w:ascii="Times New Roman"/>
          <w:color w:val="FF0000"/>
          <w:szCs w:val="21"/>
        </w:rPr>
        <w:t>考察了</w:t>
      </w:r>
      <w:r>
        <w:rPr>
          <w:rFonts w:ascii="Times New Roman" w:hint="eastAsia"/>
          <w:color w:val="FF0000"/>
          <w:szCs w:val="21"/>
        </w:rPr>
        <w:t>碘量法测定</w:t>
      </w:r>
      <w:r>
        <w:rPr>
          <w:rFonts w:ascii="Times New Roman" w:hint="eastAsia"/>
          <w:color w:val="FF0000"/>
          <w:szCs w:val="21"/>
        </w:rPr>
        <w:t xml:space="preserve">3.00 </w:t>
      </w:r>
      <w:r>
        <w:rPr>
          <w:rFonts w:ascii="Times New Roman"/>
          <w:color w:val="FF0000"/>
          <w:szCs w:val="21"/>
        </w:rPr>
        <w:t>%</w:t>
      </w:r>
      <w:r>
        <w:rPr>
          <w:rFonts w:ascii="Times New Roman"/>
          <w:color w:val="FF0000"/>
          <w:szCs w:val="21"/>
        </w:rPr>
        <w:t>～</w:t>
      </w:r>
      <w:r>
        <w:rPr>
          <w:rFonts w:ascii="Times New Roman" w:hint="eastAsia"/>
          <w:color w:val="FF0000"/>
          <w:szCs w:val="21"/>
        </w:rPr>
        <w:t xml:space="preserve">35.00 </w:t>
      </w:r>
      <w:r>
        <w:rPr>
          <w:rFonts w:ascii="Times New Roman"/>
          <w:color w:val="FF0000"/>
          <w:szCs w:val="21"/>
        </w:rPr>
        <w:t>%</w:t>
      </w:r>
      <w:r>
        <w:rPr>
          <w:rFonts w:ascii="Times New Roman"/>
          <w:color w:val="FF0000"/>
          <w:szCs w:val="21"/>
        </w:rPr>
        <w:t>铜含量的</w:t>
      </w:r>
      <w:r>
        <w:rPr>
          <w:rFonts w:ascii="Times New Roman" w:hint="eastAsia"/>
          <w:color w:val="FF0000"/>
          <w:szCs w:val="21"/>
        </w:rPr>
        <w:t>实验条件</w:t>
      </w:r>
      <w:r>
        <w:rPr>
          <w:rFonts w:ascii="Times New Roman"/>
          <w:color w:val="FF0000"/>
          <w:szCs w:val="21"/>
        </w:rPr>
        <w:t>，</w:t>
      </w:r>
      <w:r>
        <w:rPr>
          <w:rFonts w:ascii="Times New Roman" w:hint="eastAsia"/>
          <w:szCs w:val="21"/>
        </w:rPr>
        <w:t>实验</w:t>
      </w:r>
      <w:r>
        <w:rPr>
          <w:rFonts w:ascii="Times New Roman"/>
          <w:szCs w:val="21"/>
        </w:rPr>
        <w:t>样品分析结果的准确度和精密度</w:t>
      </w:r>
      <w:r>
        <w:rPr>
          <w:rFonts w:ascii="Times New Roman" w:hint="eastAsia"/>
          <w:szCs w:val="21"/>
        </w:rPr>
        <w:t>满足测定要求</w:t>
      </w:r>
      <w:r>
        <w:rPr>
          <w:rFonts w:ascii="Times New Roman"/>
          <w:szCs w:val="21"/>
        </w:rPr>
        <w:t>。</w:t>
      </w:r>
    </w:p>
    <w:p w:rsidR="00F55E3A" w:rsidRDefault="00F577EE">
      <w:pPr>
        <w:pStyle w:val="ad"/>
        <w:ind w:firstLine="420"/>
        <w:rPr>
          <w:rFonts w:ascii="Times New Roman"/>
          <w:bCs/>
          <w:color w:val="000000"/>
          <w:szCs w:val="21"/>
        </w:rPr>
      </w:pPr>
      <w:r>
        <w:rPr>
          <w:rFonts w:ascii="Times New Roman"/>
          <w:bCs/>
          <w:color w:val="000000"/>
          <w:szCs w:val="21"/>
        </w:rPr>
        <w:t>4</w:t>
      </w:r>
      <w:r>
        <w:rPr>
          <w:rFonts w:ascii="Times New Roman"/>
          <w:bCs/>
          <w:color w:val="000000"/>
          <w:szCs w:val="21"/>
        </w:rPr>
        <w:t>）</w:t>
      </w:r>
      <w:r>
        <w:rPr>
          <w:rFonts w:ascii="Times New Roman"/>
          <w:szCs w:val="21"/>
        </w:rPr>
        <w:t>各项试验内容完成后，于</w:t>
      </w:r>
      <w:r>
        <w:rPr>
          <w:rFonts w:ascii="Times New Roman"/>
          <w:szCs w:val="21"/>
        </w:rPr>
        <w:t>2021</w:t>
      </w:r>
      <w:r>
        <w:rPr>
          <w:rFonts w:ascii="Times New Roman"/>
          <w:szCs w:val="21"/>
        </w:rPr>
        <w:t>年</w:t>
      </w:r>
      <w:r>
        <w:rPr>
          <w:rFonts w:ascii="Times New Roman"/>
          <w:szCs w:val="21"/>
        </w:rPr>
        <w:t>7</w:t>
      </w:r>
      <w:r>
        <w:rPr>
          <w:rFonts w:ascii="Times New Roman"/>
          <w:szCs w:val="21"/>
        </w:rPr>
        <w:t>月底形成试验报告和标准文本，随即将验证样品、试验报告和标准讨论稿交与各</w:t>
      </w:r>
      <w:r>
        <w:rPr>
          <w:rFonts w:ascii="Times New Roman"/>
          <w:bCs/>
          <w:color w:val="000000"/>
          <w:szCs w:val="21"/>
        </w:rPr>
        <w:t>参加起草单位开展验证工作。</w:t>
      </w:r>
    </w:p>
    <w:p w:rsidR="00F55E3A" w:rsidRDefault="00F577EE">
      <w:pPr>
        <w:pStyle w:val="ad"/>
        <w:ind w:firstLine="420"/>
        <w:rPr>
          <w:rFonts w:ascii="Times New Roman"/>
          <w:szCs w:val="21"/>
        </w:rPr>
      </w:pPr>
      <w:r>
        <w:rPr>
          <w:rFonts w:ascii="Times New Roman"/>
          <w:bCs/>
          <w:color w:val="000000"/>
          <w:szCs w:val="21"/>
        </w:rPr>
        <w:t>5</w:t>
      </w:r>
      <w:r>
        <w:rPr>
          <w:rFonts w:ascii="Times New Roman"/>
          <w:bCs/>
          <w:color w:val="000000"/>
          <w:szCs w:val="21"/>
        </w:rPr>
        <w:t>）各</w:t>
      </w:r>
      <w:r>
        <w:rPr>
          <w:rFonts w:ascii="Times New Roman" w:hint="eastAsia"/>
          <w:bCs/>
          <w:color w:val="000000"/>
          <w:szCs w:val="21"/>
        </w:rPr>
        <w:t>验证单位</w:t>
      </w:r>
      <w:r>
        <w:rPr>
          <w:rFonts w:ascii="Times New Roman"/>
          <w:bCs/>
          <w:color w:val="000000"/>
          <w:szCs w:val="21"/>
        </w:rPr>
        <w:t>于</w:t>
      </w:r>
      <w:r>
        <w:rPr>
          <w:rFonts w:ascii="Times New Roman"/>
          <w:bCs/>
          <w:color w:val="000000"/>
          <w:szCs w:val="21"/>
        </w:rPr>
        <w:t>2021</w:t>
      </w:r>
      <w:r>
        <w:rPr>
          <w:rFonts w:ascii="Times New Roman"/>
          <w:bCs/>
          <w:color w:val="000000"/>
          <w:szCs w:val="21"/>
        </w:rPr>
        <w:t>年</w:t>
      </w:r>
      <w:r>
        <w:rPr>
          <w:rFonts w:ascii="Times New Roman"/>
          <w:bCs/>
          <w:color w:val="000000"/>
          <w:szCs w:val="21"/>
        </w:rPr>
        <w:t>12</w:t>
      </w:r>
      <w:r>
        <w:rPr>
          <w:rFonts w:ascii="Times New Roman"/>
          <w:bCs/>
          <w:color w:val="000000"/>
          <w:szCs w:val="21"/>
        </w:rPr>
        <w:t>月全部完成验证工作，</w:t>
      </w:r>
      <w:r>
        <w:rPr>
          <w:rFonts w:ascii="Times New Roman" w:hint="eastAsia"/>
          <w:bCs/>
          <w:color w:val="000000"/>
          <w:szCs w:val="21"/>
        </w:rPr>
        <w:t>提交了验证报告。</w:t>
      </w:r>
    </w:p>
    <w:p w:rsidR="00F55E3A" w:rsidRDefault="00F577EE">
      <w:pPr>
        <w:pStyle w:val="ad"/>
        <w:ind w:firstLine="420"/>
        <w:rPr>
          <w:rFonts w:ascii="Times New Roman"/>
          <w:bCs/>
          <w:color w:val="000000"/>
          <w:szCs w:val="21"/>
        </w:rPr>
      </w:pPr>
      <w:r>
        <w:rPr>
          <w:rFonts w:ascii="Times New Roman"/>
          <w:bCs/>
          <w:color w:val="000000"/>
          <w:szCs w:val="21"/>
        </w:rPr>
        <w:t>6</w:t>
      </w:r>
      <w:r>
        <w:rPr>
          <w:rFonts w:ascii="Times New Roman"/>
          <w:bCs/>
          <w:color w:val="000000"/>
          <w:szCs w:val="21"/>
        </w:rPr>
        <w:t>）</w:t>
      </w:r>
      <w:r>
        <w:rPr>
          <w:rFonts w:ascii="Times New Roman"/>
          <w:bCs/>
          <w:color w:val="000000"/>
          <w:szCs w:val="21"/>
        </w:rPr>
        <w:t>2021</w:t>
      </w:r>
      <w:r>
        <w:rPr>
          <w:rFonts w:ascii="Times New Roman"/>
          <w:bCs/>
          <w:color w:val="000000"/>
          <w:szCs w:val="21"/>
        </w:rPr>
        <w:t>年</w:t>
      </w:r>
      <w:r>
        <w:rPr>
          <w:rFonts w:ascii="Times New Roman" w:hint="eastAsia"/>
          <w:bCs/>
          <w:color w:val="000000"/>
          <w:szCs w:val="21"/>
        </w:rPr>
        <w:t>10</w:t>
      </w:r>
      <w:r>
        <w:rPr>
          <w:rFonts w:ascii="Times New Roman"/>
          <w:bCs/>
          <w:color w:val="000000"/>
          <w:szCs w:val="21"/>
        </w:rPr>
        <w:t>月</w:t>
      </w:r>
      <w:r>
        <w:rPr>
          <w:rFonts w:ascii="Times New Roman" w:hint="eastAsia"/>
          <w:bCs/>
          <w:color w:val="000000"/>
          <w:szCs w:val="21"/>
        </w:rPr>
        <w:t>～</w:t>
      </w:r>
      <w:r>
        <w:rPr>
          <w:rFonts w:ascii="Times New Roman"/>
          <w:bCs/>
          <w:color w:val="000000"/>
          <w:szCs w:val="21"/>
        </w:rPr>
        <w:t>2022</w:t>
      </w:r>
      <w:r>
        <w:rPr>
          <w:rFonts w:ascii="Times New Roman" w:hint="eastAsia"/>
          <w:bCs/>
          <w:color w:val="000000"/>
          <w:szCs w:val="21"/>
        </w:rPr>
        <w:t>年</w:t>
      </w:r>
      <w:r>
        <w:rPr>
          <w:rFonts w:ascii="Times New Roman" w:hint="eastAsia"/>
          <w:bCs/>
          <w:color w:val="000000"/>
          <w:szCs w:val="21"/>
        </w:rPr>
        <w:t>1</w:t>
      </w:r>
      <w:r>
        <w:rPr>
          <w:rFonts w:ascii="Times New Roman" w:hint="eastAsia"/>
          <w:bCs/>
          <w:color w:val="000000"/>
          <w:szCs w:val="21"/>
        </w:rPr>
        <w:t>月，</w:t>
      </w:r>
      <w:r>
        <w:rPr>
          <w:rFonts w:ascii="Times New Roman"/>
          <w:bCs/>
          <w:color w:val="000000"/>
          <w:szCs w:val="21"/>
        </w:rPr>
        <w:t>负责起草单位</w:t>
      </w:r>
      <w:r>
        <w:rPr>
          <w:rFonts w:ascii="Times New Roman" w:hint="eastAsia"/>
          <w:bCs/>
          <w:color w:val="000000"/>
          <w:szCs w:val="21"/>
        </w:rPr>
        <w:t>浙江华友钴业</w:t>
      </w:r>
      <w:r>
        <w:rPr>
          <w:rFonts w:ascii="Times New Roman"/>
          <w:bCs/>
          <w:color w:val="000000"/>
          <w:szCs w:val="21"/>
        </w:rPr>
        <w:t>股份有限公司对</w:t>
      </w:r>
      <w:r>
        <w:rPr>
          <w:rFonts w:ascii="Times New Roman" w:hint="eastAsia"/>
          <w:bCs/>
          <w:color w:val="000000"/>
          <w:szCs w:val="21"/>
        </w:rPr>
        <w:t>实验数据和</w:t>
      </w:r>
      <w:r>
        <w:rPr>
          <w:rFonts w:ascii="Times New Roman"/>
          <w:bCs/>
          <w:color w:val="000000"/>
          <w:szCs w:val="21"/>
        </w:rPr>
        <w:t>验证数据</w:t>
      </w:r>
      <w:r>
        <w:rPr>
          <w:rFonts w:ascii="Times New Roman" w:hint="eastAsia"/>
          <w:bCs/>
          <w:color w:val="000000"/>
          <w:szCs w:val="21"/>
        </w:rPr>
        <w:t>进行了</w:t>
      </w:r>
      <w:r>
        <w:rPr>
          <w:rFonts w:ascii="Times New Roman"/>
          <w:bCs/>
          <w:color w:val="000000"/>
          <w:szCs w:val="21"/>
        </w:rPr>
        <w:t>统计整理</w:t>
      </w:r>
      <w:r>
        <w:rPr>
          <w:rFonts w:ascii="Times New Roman" w:hint="eastAsia"/>
          <w:bCs/>
          <w:color w:val="000000"/>
          <w:szCs w:val="21"/>
        </w:rPr>
        <w:t>，</w:t>
      </w:r>
    </w:p>
    <w:p w:rsidR="00F55E3A" w:rsidRDefault="00F577EE">
      <w:pPr>
        <w:pStyle w:val="ad"/>
        <w:ind w:firstLine="420"/>
        <w:rPr>
          <w:rFonts w:ascii="Times New Roman"/>
          <w:bCs/>
          <w:color w:val="000000"/>
          <w:szCs w:val="21"/>
        </w:rPr>
      </w:pPr>
      <w:r>
        <w:rPr>
          <w:rFonts w:ascii="Times New Roman" w:hint="eastAsia"/>
          <w:bCs/>
          <w:color w:val="000000"/>
          <w:szCs w:val="21"/>
        </w:rPr>
        <w:t>7</w:t>
      </w:r>
      <w:r>
        <w:rPr>
          <w:rFonts w:ascii="Times New Roman" w:hint="eastAsia"/>
          <w:bCs/>
          <w:color w:val="000000"/>
          <w:szCs w:val="21"/>
        </w:rPr>
        <w:t>）</w:t>
      </w:r>
      <w:r>
        <w:rPr>
          <w:rFonts w:ascii="Times New Roman"/>
          <w:bCs/>
          <w:color w:val="000000"/>
          <w:szCs w:val="21"/>
        </w:rPr>
        <w:t>2020</w:t>
      </w:r>
      <w:r>
        <w:rPr>
          <w:rFonts w:ascii="Times New Roman"/>
          <w:bCs/>
          <w:color w:val="000000"/>
          <w:szCs w:val="21"/>
        </w:rPr>
        <w:t>年</w:t>
      </w:r>
      <w:r>
        <w:rPr>
          <w:rFonts w:ascii="Times New Roman"/>
          <w:bCs/>
          <w:color w:val="000000"/>
          <w:szCs w:val="21"/>
        </w:rPr>
        <w:t>3</w:t>
      </w:r>
      <w:r>
        <w:rPr>
          <w:rFonts w:ascii="Times New Roman" w:hint="eastAsia"/>
          <w:bCs/>
          <w:color w:val="000000"/>
          <w:szCs w:val="21"/>
        </w:rPr>
        <w:t>月初，形成了《硫化钴精矿化学分析方法</w:t>
      </w:r>
      <w:r>
        <w:rPr>
          <w:rFonts w:ascii="Times New Roman" w:hint="eastAsia"/>
          <w:bCs/>
          <w:color w:val="000000"/>
          <w:szCs w:val="21"/>
        </w:rPr>
        <w:t xml:space="preserve"> </w:t>
      </w:r>
      <w:r>
        <w:rPr>
          <w:rFonts w:ascii="Times New Roman"/>
          <w:bCs/>
          <w:color w:val="000000"/>
          <w:szCs w:val="21"/>
        </w:rPr>
        <w:t>第</w:t>
      </w:r>
      <w:r>
        <w:rPr>
          <w:rFonts w:ascii="Times New Roman"/>
          <w:bCs/>
          <w:color w:val="000000"/>
          <w:szCs w:val="21"/>
        </w:rPr>
        <w:t>2</w:t>
      </w:r>
      <w:r>
        <w:rPr>
          <w:rFonts w:ascii="Times New Roman"/>
          <w:bCs/>
          <w:color w:val="000000"/>
          <w:szCs w:val="21"/>
        </w:rPr>
        <w:t>部分：</w:t>
      </w:r>
      <w:r>
        <w:rPr>
          <w:rFonts w:ascii="Times New Roman" w:hint="eastAsia"/>
          <w:bCs/>
          <w:color w:val="000000"/>
          <w:szCs w:val="21"/>
        </w:rPr>
        <w:t>铜含量的测定</w:t>
      </w:r>
      <w:r>
        <w:rPr>
          <w:rFonts w:ascii="Times New Roman"/>
          <w:bCs/>
          <w:color w:val="000000"/>
          <w:szCs w:val="21"/>
        </w:rPr>
        <w:t xml:space="preserve"> </w:t>
      </w:r>
      <w:r>
        <w:rPr>
          <w:rFonts w:ascii="Times New Roman" w:hint="eastAsia"/>
          <w:bCs/>
          <w:color w:val="000000"/>
          <w:szCs w:val="21"/>
        </w:rPr>
        <w:t>火焰原子吸收法和碘量法》中“方法</w:t>
      </w:r>
      <w:r>
        <w:rPr>
          <w:rFonts w:ascii="Times New Roman" w:hint="eastAsia"/>
          <w:bCs/>
          <w:color w:val="000000"/>
          <w:szCs w:val="21"/>
        </w:rPr>
        <w:t>2</w:t>
      </w:r>
      <w:r>
        <w:rPr>
          <w:rFonts w:ascii="Times New Roman" w:hint="eastAsia"/>
          <w:bCs/>
          <w:color w:val="000000"/>
          <w:szCs w:val="21"/>
        </w:rPr>
        <w:t>：碘量法”的预审稿。</w:t>
      </w:r>
    </w:p>
    <w:p w:rsidR="00F55E3A" w:rsidRDefault="00F577EE">
      <w:pPr>
        <w:pStyle w:val="ad"/>
        <w:tabs>
          <w:tab w:val="center" w:pos="4201"/>
          <w:tab w:val="right" w:leader="dot" w:pos="9298"/>
        </w:tabs>
        <w:ind w:left="420" w:firstLineChars="0" w:firstLine="0"/>
        <w:rPr>
          <w:rFonts w:ascii="Times New Roman"/>
          <w:bCs/>
          <w:color w:val="000000"/>
          <w:szCs w:val="21"/>
        </w:rPr>
      </w:pPr>
      <w:r>
        <w:rPr>
          <w:rFonts w:ascii="Times New Roman" w:hint="eastAsia"/>
          <w:bCs/>
          <w:color w:val="000000"/>
          <w:szCs w:val="21"/>
        </w:rPr>
        <w:t>各验证单位在验证过程中提出的意见或建议如下：</w:t>
      </w:r>
    </w:p>
    <w:p w:rsidR="00F55E3A" w:rsidRPr="00A41042" w:rsidRDefault="00F577EE">
      <w:pPr>
        <w:pStyle w:val="ad"/>
        <w:tabs>
          <w:tab w:val="center" w:pos="4201"/>
          <w:tab w:val="right" w:leader="dot" w:pos="9298"/>
        </w:tabs>
        <w:ind w:left="420" w:firstLineChars="0" w:firstLine="0"/>
        <w:rPr>
          <w:rFonts w:ascii="Times New Roman"/>
          <w:bCs/>
          <w:szCs w:val="21"/>
        </w:rPr>
      </w:pPr>
      <w:r w:rsidRPr="00A41042">
        <w:rPr>
          <w:rFonts w:ascii="Times New Roman" w:hint="eastAsia"/>
          <w:bCs/>
          <w:szCs w:val="21"/>
        </w:rPr>
        <w:t>1</w:t>
      </w:r>
      <w:r w:rsidRPr="00A41042">
        <w:rPr>
          <w:rFonts w:ascii="Times New Roman" w:hint="eastAsia"/>
          <w:bCs/>
          <w:szCs w:val="21"/>
        </w:rPr>
        <w:t>）</w:t>
      </w:r>
      <w:r w:rsidRPr="00A41042">
        <w:rPr>
          <w:rFonts w:hint="eastAsia"/>
          <w:bCs/>
          <w:szCs w:val="21"/>
        </w:rPr>
        <w:t>格林美股份有限公司</w:t>
      </w:r>
    </w:p>
    <w:p w:rsidR="00F55E3A" w:rsidRDefault="00F577EE">
      <w:pPr>
        <w:pStyle w:val="ad"/>
        <w:ind w:firstLine="420"/>
        <w:rPr>
          <w:rFonts w:ascii="Times New Roman"/>
          <w:bCs/>
          <w:color w:val="000000"/>
          <w:szCs w:val="21"/>
        </w:rPr>
      </w:pPr>
      <w:r>
        <w:rPr>
          <w:rFonts w:ascii="Times New Roman" w:hint="eastAsia"/>
          <w:bCs/>
          <w:color w:val="000000"/>
          <w:szCs w:val="21"/>
        </w:rPr>
        <w:t>（</w:t>
      </w:r>
      <w:r>
        <w:rPr>
          <w:rFonts w:ascii="Times New Roman" w:hint="eastAsia"/>
          <w:bCs/>
          <w:color w:val="000000"/>
          <w:szCs w:val="21"/>
        </w:rPr>
        <w:t>1</w:t>
      </w:r>
      <w:r>
        <w:rPr>
          <w:rFonts w:ascii="Times New Roman" w:hint="eastAsia"/>
          <w:bCs/>
          <w:color w:val="000000"/>
          <w:szCs w:val="21"/>
        </w:rPr>
        <w:t>）“由于样品中均含有钴元素，故滴定终点突变色为淡粉色。”</w:t>
      </w:r>
      <w:r>
        <w:rPr>
          <w:rFonts w:ascii="Times New Roman" w:hint="eastAsia"/>
          <w:b/>
          <w:color w:val="000000"/>
          <w:szCs w:val="21"/>
        </w:rPr>
        <w:t>不采纳</w:t>
      </w:r>
      <w:r>
        <w:rPr>
          <w:rFonts w:ascii="Times New Roman" w:hint="eastAsia"/>
          <w:bCs/>
          <w:color w:val="000000"/>
          <w:szCs w:val="21"/>
        </w:rPr>
        <w:t>，虽说由于钴的存在，终点颜色是淡粉色的，但终点的判断是蓝色刚好消失没有错。</w:t>
      </w:r>
    </w:p>
    <w:p w:rsidR="00F55E3A" w:rsidRDefault="00F577EE">
      <w:pPr>
        <w:pStyle w:val="ad"/>
        <w:ind w:firstLine="420"/>
        <w:rPr>
          <w:rFonts w:ascii="Times New Roman"/>
          <w:bCs/>
          <w:color w:val="000000"/>
          <w:szCs w:val="21"/>
        </w:rPr>
      </w:pPr>
      <w:r>
        <w:rPr>
          <w:rFonts w:ascii="Times New Roman" w:hint="eastAsia"/>
          <w:bCs/>
          <w:color w:val="000000"/>
          <w:szCs w:val="21"/>
        </w:rPr>
        <w:t>（</w:t>
      </w:r>
      <w:r>
        <w:rPr>
          <w:rFonts w:ascii="Times New Roman" w:hint="eastAsia"/>
          <w:bCs/>
          <w:color w:val="000000"/>
          <w:szCs w:val="21"/>
        </w:rPr>
        <w:t>2</w:t>
      </w:r>
      <w:r>
        <w:rPr>
          <w:rFonts w:ascii="Times New Roman" w:hint="eastAsia"/>
          <w:bCs/>
          <w:color w:val="000000"/>
          <w:szCs w:val="21"/>
        </w:rPr>
        <w:t>）“标定硫代硫酸钠中：溶解后的纯铜溶液滴加氨水时以变色为终止现象，并不会出现浑浊。”</w:t>
      </w:r>
      <w:r>
        <w:rPr>
          <w:rFonts w:ascii="Times New Roman" w:hint="eastAsia"/>
          <w:b/>
          <w:color w:val="000000"/>
          <w:szCs w:val="21"/>
        </w:rPr>
        <w:t>不采纳</w:t>
      </w:r>
      <w:r>
        <w:rPr>
          <w:rFonts w:ascii="Times New Roman" w:hint="eastAsia"/>
          <w:bCs/>
          <w:color w:val="000000"/>
          <w:szCs w:val="21"/>
        </w:rPr>
        <w:t>，开始加入氨水是生成蓝色氢氧化铜沉淀，继续加入氨水生成铜氨络离子。</w:t>
      </w:r>
    </w:p>
    <w:p w:rsidR="00F55E3A" w:rsidRDefault="00F577EE">
      <w:pPr>
        <w:pStyle w:val="ad"/>
        <w:ind w:firstLine="420"/>
        <w:rPr>
          <w:rFonts w:ascii="Times New Roman"/>
          <w:bCs/>
          <w:color w:val="000000"/>
          <w:szCs w:val="21"/>
        </w:rPr>
      </w:pPr>
      <w:r>
        <w:rPr>
          <w:rFonts w:ascii="Times New Roman" w:hint="eastAsia"/>
          <w:bCs/>
          <w:color w:val="000000"/>
          <w:szCs w:val="21"/>
        </w:rPr>
        <w:t>（</w:t>
      </w:r>
      <w:r>
        <w:rPr>
          <w:rFonts w:ascii="Times New Roman" w:hint="eastAsia"/>
          <w:bCs/>
          <w:color w:val="000000"/>
          <w:szCs w:val="21"/>
        </w:rPr>
        <w:t>3</w:t>
      </w:r>
      <w:r>
        <w:rPr>
          <w:rFonts w:ascii="Times New Roman" w:hint="eastAsia"/>
          <w:bCs/>
          <w:color w:val="000000"/>
          <w:szCs w:val="21"/>
        </w:rPr>
        <w:t>）“硫代硫酸钠标准溶液配制，硫代硫酸钠滴定标准溶液的浓度降低到</w:t>
      </w:r>
      <w:r>
        <w:rPr>
          <w:rFonts w:ascii="Times New Roman" w:hint="eastAsia"/>
          <w:bCs/>
          <w:color w:val="000000"/>
          <w:szCs w:val="21"/>
        </w:rPr>
        <w:t>c</w:t>
      </w:r>
      <w:r>
        <w:rPr>
          <w:rFonts w:ascii="Times New Roman" w:hint="eastAsia"/>
          <w:bCs/>
          <w:color w:val="000000"/>
          <w:szCs w:val="21"/>
        </w:rPr>
        <w:t>≈</w:t>
      </w:r>
      <w:r>
        <w:rPr>
          <w:rFonts w:ascii="Times New Roman" w:hint="eastAsia"/>
          <w:bCs/>
          <w:color w:val="000000"/>
          <w:szCs w:val="21"/>
        </w:rPr>
        <w:t>0.025mol/L</w:t>
      </w:r>
      <w:r>
        <w:rPr>
          <w:rFonts w:ascii="Times New Roman" w:hint="eastAsia"/>
          <w:bCs/>
          <w:color w:val="000000"/>
          <w:szCs w:val="21"/>
        </w:rPr>
        <w:t>左右。”</w:t>
      </w:r>
      <w:r>
        <w:rPr>
          <w:rFonts w:ascii="Times New Roman" w:hint="eastAsia"/>
          <w:b/>
          <w:color w:val="000000"/>
          <w:szCs w:val="21"/>
        </w:rPr>
        <w:t>不采纳</w:t>
      </w:r>
      <w:r>
        <w:rPr>
          <w:rFonts w:ascii="Times New Roman" w:hint="eastAsia"/>
          <w:bCs/>
          <w:color w:val="000000"/>
          <w:szCs w:val="21"/>
        </w:rPr>
        <w:t>，现在所用的浓度还是合适的。</w:t>
      </w:r>
    </w:p>
    <w:p w:rsidR="00F55E3A" w:rsidRDefault="00F577EE">
      <w:pPr>
        <w:autoSpaceDE w:val="0"/>
        <w:autoSpaceDN w:val="0"/>
        <w:adjustRightInd w:val="0"/>
        <w:ind w:firstLineChars="200" w:firstLine="420"/>
        <w:rPr>
          <w:color w:val="000000"/>
          <w:szCs w:val="21"/>
        </w:rPr>
      </w:pPr>
      <w:r>
        <w:rPr>
          <w:rFonts w:hint="eastAsia"/>
          <w:bCs/>
          <w:color w:val="000000"/>
          <w:szCs w:val="21"/>
        </w:rPr>
        <w:t>（</w:t>
      </w:r>
      <w:r>
        <w:rPr>
          <w:bCs/>
          <w:color w:val="000000"/>
          <w:szCs w:val="21"/>
        </w:rPr>
        <w:t>4</w:t>
      </w:r>
      <w:r>
        <w:rPr>
          <w:rFonts w:hint="eastAsia"/>
          <w:bCs/>
          <w:color w:val="000000"/>
          <w:szCs w:val="21"/>
        </w:rPr>
        <w:t>）</w:t>
      </w:r>
      <w:r>
        <w:rPr>
          <w:rFonts w:hint="eastAsia"/>
          <w:color w:val="000000"/>
          <w:szCs w:val="21"/>
        </w:rPr>
        <w:t>“</w:t>
      </w:r>
      <w:r>
        <w:rPr>
          <w:rFonts w:hint="eastAsia"/>
          <w:bCs/>
          <w:szCs w:val="21"/>
        </w:rPr>
        <w:t>滴加氨水后加入冰乙酸时，体系会放热升温且产生酸雾，应放置冷却后再加入碘化钾。</w:t>
      </w:r>
      <w:r>
        <w:rPr>
          <w:rFonts w:hint="eastAsia"/>
          <w:color w:val="000000"/>
          <w:szCs w:val="21"/>
        </w:rPr>
        <w:t>”</w:t>
      </w:r>
      <w:r>
        <w:rPr>
          <w:rFonts w:hint="eastAsia"/>
          <w:b/>
          <w:bCs/>
          <w:color w:val="000000"/>
          <w:szCs w:val="21"/>
        </w:rPr>
        <w:t>不采纳</w:t>
      </w:r>
      <w:r>
        <w:rPr>
          <w:rFonts w:hint="eastAsia"/>
          <w:color w:val="000000"/>
          <w:szCs w:val="21"/>
        </w:rPr>
        <w:t>。在</w:t>
      </w:r>
      <w:r>
        <w:rPr>
          <w:rFonts w:hint="eastAsia"/>
          <w:color w:val="000000"/>
          <w:szCs w:val="21"/>
        </w:rPr>
        <w:t>pH</w:t>
      </w:r>
      <w:r>
        <w:rPr>
          <w:rFonts w:hint="eastAsia"/>
          <w:color w:val="000000"/>
          <w:szCs w:val="21"/>
        </w:rPr>
        <w:t>调节过程中中间过程可以满足要求。</w:t>
      </w:r>
    </w:p>
    <w:p w:rsidR="00F55E3A" w:rsidRDefault="00F577EE">
      <w:pPr>
        <w:autoSpaceDE w:val="0"/>
        <w:autoSpaceDN w:val="0"/>
        <w:adjustRightInd w:val="0"/>
        <w:ind w:firstLineChars="200" w:firstLine="420"/>
        <w:rPr>
          <w:color w:val="0000FF"/>
          <w:szCs w:val="21"/>
        </w:rPr>
      </w:pPr>
      <w:r>
        <w:rPr>
          <w:rFonts w:hint="eastAsia"/>
          <w:color w:val="000000"/>
          <w:szCs w:val="21"/>
        </w:rPr>
        <w:t>（</w:t>
      </w:r>
      <w:r>
        <w:rPr>
          <w:color w:val="000000"/>
          <w:szCs w:val="21"/>
        </w:rPr>
        <w:t>5</w:t>
      </w:r>
      <w:r>
        <w:rPr>
          <w:rFonts w:hint="eastAsia"/>
          <w:color w:val="000000"/>
          <w:szCs w:val="21"/>
        </w:rPr>
        <w:t>）“</w:t>
      </w:r>
      <w:r>
        <w:rPr>
          <w:rFonts w:hint="eastAsia"/>
          <w:bCs/>
          <w:szCs w:val="21"/>
        </w:rPr>
        <w:t>溶解后溶液并不清亮，在加入冰乙酸时无法判断沉淀是否消失，故冰乙酸的加入量以控制体系在加入氟化氢氨溶液后体系</w:t>
      </w:r>
      <w:r>
        <w:rPr>
          <w:rFonts w:hint="eastAsia"/>
          <w:bCs/>
          <w:szCs w:val="21"/>
        </w:rPr>
        <w:t>p</w:t>
      </w:r>
      <w:r>
        <w:rPr>
          <w:bCs/>
          <w:szCs w:val="21"/>
        </w:rPr>
        <w:t>H</w:t>
      </w:r>
      <w:r>
        <w:rPr>
          <w:rFonts w:hint="eastAsia"/>
          <w:bCs/>
          <w:szCs w:val="21"/>
        </w:rPr>
        <w:t>值在</w:t>
      </w:r>
      <w:r>
        <w:rPr>
          <w:rFonts w:hint="eastAsia"/>
          <w:bCs/>
          <w:szCs w:val="21"/>
        </w:rPr>
        <w:t>3~4</w:t>
      </w:r>
      <w:r>
        <w:rPr>
          <w:rFonts w:hint="eastAsia"/>
          <w:bCs/>
          <w:szCs w:val="21"/>
        </w:rPr>
        <w:t>之间为准。</w:t>
      </w:r>
      <w:r>
        <w:rPr>
          <w:rFonts w:hint="eastAsia"/>
          <w:color w:val="000000"/>
          <w:szCs w:val="21"/>
        </w:rPr>
        <w:t>”</w:t>
      </w:r>
      <w:r>
        <w:rPr>
          <w:rFonts w:hint="eastAsia"/>
          <w:b/>
          <w:bCs/>
          <w:color w:val="000000"/>
          <w:szCs w:val="21"/>
        </w:rPr>
        <w:t>不采纳</w:t>
      </w:r>
      <w:r>
        <w:rPr>
          <w:rFonts w:hint="eastAsia"/>
          <w:color w:val="000000"/>
          <w:szCs w:val="21"/>
        </w:rPr>
        <w:t>，有的样品铁含量很低，红色氢氧化铁沉淀不明显，但是</w:t>
      </w:r>
      <w:r>
        <w:rPr>
          <w:rFonts w:hint="eastAsia"/>
          <w:szCs w:val="21"/>
        </w:rPr>
        <w:t>可以看到蓝色氢氧化铜沉淀消失的。后面补加的乙酸量就是保证</w:t>
      </w:r>
      <w:r>
        <w:rPr>
          <w:rFonts w:hint="eastAsia"/>
          <w:szCs w:val="21"/>
        </w:rPr>
        <w:t>pH</w:t>
      </w:r>
      <w:r>
        <w:rPr>
          <w:rFonts w:hint="eastAsia"/>
          <w:szCs w:val="21"/>
        </w:rPr>
        <w:t>在</w:t>
      </w:r>
      <w:r>
        <w:rPr>
          <w:rFonts w:hint="eastAsia"/>
          <w:szCs w:val="21"/>
        </w:rPr>
        <w:t>3~4</w:t>
      </w:r>
      <w:r>
        <w:rPr>
          <w:rFonts w:hint="eastAsia"/>
          <w:szCs w:val="21"/>
        </w:rPr>
        <w:t>。</w:t>
      </w:r>
    </w:p>
    <w:p w:rsidR="00F55E3A" w:rsidRDefault="00F577EE">
      <w:pPr>
        <w:ind w:firstLine="420"/>
        <w:rPr>
          <w:rFonts w:ascii="宋体" w:hAnsi="宋体" w:cs="宋体"/>
        </w:rPr>
      </w:pPr>
      <w:r>
        <w:rPr>
          <w:rFonts w:ascii="宋体" w:hAnsi="宋体" w:cs="宋体" w:hint="eastAsia"/>
        </w:rPr>
        <w:t>（</w:t>
      </w:r>
      <w:r>
        <w:rPr>
          <w:rFonts w:ascii="宋体" w:hAnsi="宋体" w:cs="宋体"/>
        </w:rPr>
        <w:t>6</w:t>
      </w:r>
      <w:r>
        <w:rPr>
          <w:rFonts w:ascii="宋体" w:hAnsi="宋体" w:cs="宋体" w:hint="eastAsia"/>
        </w:rPr>
        <w:t>）“</w:t>
      </w:r>
      <w:r>
        <w:rPr>
          <w:rFonts w:hint="eastAsia"/>
          <w:bCs/>
          <w:szCs w:val="21"/>
        </w:rPr>
        <w:t>1</w:t>
      </w:r>
      <w:r>
        <w:rPr>
          <w:rFonts w:hint="eastAsia"/>
          <w:bCs/>
          <w:szCs w:val="21"/>
          <w:vertAlign w:val="superscript"/>
        </w:rPr>
        <w:t>#</w:t>
      </w:r>
      <w:r>
        <w:rPr>
          <w:rFonts w:hint="eastAsia"/>
          <w:bCs/>
          <w:szCs w:val="21"/>
        </w:rPr>
        <w:t>样品在进行硝酸溶解时会产生大颗粒沉淀，易发生迸溅。</w:t>
      </w:r>
      <w:r>
        <w:rPr>
          <w:rFonts w:ascii="宋体" w:hAnsi="宋体" w:cs="宋体" w:hint="eastAsia"/>
        </w:rPr>
        <w:t>”</w:t>
      </w:r>
      <w:r>
        <w:rPr>
          <w:rFonts w:ascii="宋体" w:hAnsi="宋体" w:cs="宋体" w:hint="eastAsia"/>
          <w:b/>
          <w:bCs/>
        </w:rPr>
        <w:t>不采纳</w:t>
      </w:r>
      <w:r>
        <w:rPr>
          <w:rFonts w:ascii="宋体" w:hAnsi="宋体" w:cs="宋体" w:hint="eastAsia"/>
        </w:rPr>
        <w:t>，1</w:t>
      </w:r>
      <w:r>
        <w:rPr>
          <w:rFonts w:ascii="宋体" w:hAnsi="宋体" w:cs="宋体" w:hint="eastAsia"/>
          <w:vertAlign w:val="superscript"/>
        </w:rPr>
        <w:t>#</w:t>
      </w:r>
      <w:r>
        <w:rPr>
          <w:rFonts w:ascii="宋体" w:hAnsi="宋体" w:cs="宋体" w:hint="eastAsia"/>
        </w:rPr>
        <w:t>样品是铜低硅高，不溶的二氧化硅会相对较多，但并不影响滴定及滴定终点的判断。</w:t>
      </w:r>
    </w:p>
    <w:p w:rsidR="00F55E3A" w:rsidRPr="00A41042" w:rsidRDefault="00F577EE">
      <w:pPr>
        <w:autoSpaceDE w:val="0"/>
        <w:autoSpaceDN w:val="0"/>
        <w:adjustRightInd w:val="0"/>
        <w:ind w:firstLineChars="200" w:firstLine="420"/>
        <w:rPr>
          <w:bCs/>
          <w:szCs w:val="21"/>
        </w:rPr>
      </w:pPr>
      <w:r w:rsidRPr="00A41042">
        <w:rPr>
          <w:rFonts w:hint="eastAsia"/>
          <w:bCs/>
          <w:szCs w:val="21"/>
        </w:rPr>
        <w:lastRenderedPageBreak/>
        <w:t>2</w:t>
      </w:r>
      <w:r w:rsidRPr="00A41042">
        <w:rPr>
          <w:rFonts w:hint="eastAsia"/>
          <w:bCs/>
          <w:szCs w:val="21"/>
        </w:rPr>
        <w:t>）广东省</w:t>
      </w:r>
      <w:r w:rsidRPr="00A41042">
        <w:rPr>
          <w:bCs/>
          <w:szCs w:val="21"/>
        </w:rPr>
        <w:t>科学院工业分析检测中心</w:t>
      </w:r>
    </w:p>
    <w:p w:rsidR="00F55E3A" w:rsidRDefault="00F577EE">
      <w:pPr>
        <w:pStyle w:val="ad"/>
        <w:ind w:firstLine="420"/>
        <w:rPr>
          <w:rFonts w:ascii="Times New Roman"/>
          <w:bCs/>
          <w:color w:val="000000"/>
          <w:szCs w:val="21"/>
        </w:rPr>
      </w:pPr>
      <w:r>
        <w:rPr>
          <w:rFonts w:ascii="Times New Roman" w:hint="eastAsia"/>
          <w:bCs/>
          <w:color w:val="000000"/>
          <w:szCs w:val="21"/>
        </w:rPr>
        <w:t>“硫代硫酸钠的标定称取纯铜时天平（精确至</w:t>
      </w:r>
      <w:r>
        <w:rPr>
          <w:rFonts w:ascii="Times New Roman" w:hint="eastAsia"/>
          <w:bCs/>
          <w:color w:val="000000"/>
          <w:szCs w:val="21"/>
        </w:rPr>
        <w:t>0</w:t>
      </w:r>
      <w:r>
        <w:rPr>
          <w:rFonts w:ascii="Times New Roman"/>
          <w:bCs/>
          <w:color w:val="000000"/>
          <w:szCs w:val="21"/>
        </w:rPr>
        <w:t>.00001</w:t>
      </w:r>
      <w:r>
        <w:rPr>
          <w:rFonts w:ascii="Times New Roman" w:hint="eastAsia"/>
          <w:bCs/>
          <w:color w:val="000000"/>
          <w:szCs w:val="21"/>
        </w:rPr>
        <w:t>g</w:t>
      </w:r>
      <w:r>
        <w:rPr>
          <w:rFonts w:ascii="Times New Roman" w:hint="eastAsia"/>
          <w:bCs/>
          <w:color w:val="000000"/>
          <w:szCs w:val="21"/>
        </w:rPr>
        <w:t>）。”</w:t>
      </w:r>
      <w:r>
        <w:rPr>
          <w:rFonts w:ascii="Times New Roman" w:hint="eastAsia"/>
          <w:b/>
          <w:color w:val="000000"/>
          <w:szCs w:val="21"/>
        </w:rPr>
        <w:t>采纳</w:t>
      </w:r>
      <w:r>
        <w:rPr>
          <w:rFonts w:ascii="Times New Roman" w:hint="eastAsia"/>
          <w:bCs/>
          <w:color w:val="000000"/>
          <w:szCs w:val="21"/>
        </w:rPr>
        <w:t>。（改成配制成铜标准溶液）</w:t>
      </w:r>
    </w:p>
    <w:p w:rsidR="00F55E3A" w:rsidRPr="00A41042" w:rsidRDefault="00F577EE">
      <w:pPr>
        <w:pStyle w:val="ad"/>
        <w:ind w:firstLine="420"/>
        <w:rPr>
          <w:rFonts w:ascii="Times New Roman"/>
          <w:bCs/>
          <w:szCs w:val="21"/>
        </w:rPr>
      </w:pPr>
      <w:r w:rsidRPr="00A41042">
        <w:rPr>
          <w:rFonts w:ascii="Times New Roman"/>
          <w:bCs/>
          <w:szCs w:val="21"/>
        </w:rPr>
        <w:t>3</w:t>
      </w:r>
      <w:r w:rsidRPr="00A41042">
        <w:rPr>
          <w:rFonts w:ascii="Times New Roman" w:hint="eastAsia"/>
          <w:bCs/>
          <w:szCs w:val="21"/>
        </w:rPr>
        <w:t>）湖南有色金属研究院</w:t>
      </w:r>
    </w:p>
    <w:p w:rsidR="00F55E3A" w:rsidRDefault="00F577EE">
      <w:pPr>
        <w:pStyle w:val="ad"/>
        <w:ind w:firstLine="420"/>
        <w:rPr>
          <w:rFonts w:ascii="Times New Roman"/>
          <w:bCs/>
          <w:color w:val="000000"/>
          <w:szCs w:val="21"/>
        </w:rPr>
      </w:pPr>
      <w:r>
        <w:rPr>
          <w:rFonts w:ascii="Times New Roman" w:hint="eastAsia"/>
          <w:bCs/>
          <w:color w:val="000000"/>
          <w:szCs w:val="21"/>
        </w:rPr>
        <w:t xml:space="preserve"> </w:t>
      </w:r>
      <w:r>
        <w:rPr>
          <w:rFonts w:ascii="Times New Roman" w:hint="eastAsia"/>
          <w:bCs/>
          <w:color w:val="000000"/>
          <w:szCs w:val="21"/>
        </w:rPr>
        <w:t>“硫代硫酸钠标准溶液标定，建议随同样品</w:t>
      </w:r>
      <w:r>
        <w:rPr>
          <w:rFonts w:ascii="Times New Roman"/>
          <w:bCs/>
          <w:color w:val="000000"/>
          <w:szCs w:val="21"/>
        </w:rPr>
        <w:t>，加入</w:t>
      </w:r>
      <w:r>
        <w:rPr>
          <w:rFonts w:ascii="Times New Roman" w:hint="eastAsia"/>
          <w:bCs/>
          <w:color w:val="000000"/>
          <w:szCs w:val="21"/>
        </w:rPr>
        <w:t>2</w:t>
      </w:r>
      <w:r>
        <w:rPr>
          <w:rFonts w:ascii="Times New Roman"/>
          <w:bCs/>
          <w:color w:val="000000"/>
          <w:szCs w:val="21"/>
        </w:rPr>
        <w:t>m</w:t>
      </w:r>
      <w:r>
        <w:rPr>
          <w:rFonts w:ascii="Times New Roman" w:hint="eastAsia"/>
          <w:bCs/>
          <w:color w:val="000000"/>
          <w:szCs w:val="21"/>
        </w:rPr>
        <w:t>L</w:t>
      </w:r>
      <w:r>
        <w:rPr>
          <w:rFonts w:ascii="Times New Roman"/>
          <w:bCs/>
          <w:color w:val="000000"/>
          <w:szCs w:val="21"/>
        </w:rPr>
        <w:t>高氯酸，继续加热冒白烟至</w:t>
      </w:r>
      <w:r>
        <w:rPr>
          <w:rFonts w:ascii="Times New Roman" w:hint="eastAsia"/>
          <w:bCs/>
          <w:color w:val="000000"/>
          <w:szCs w:val="21"/>
        </w:rPr>
        <w:t>湿盐状</w:t>
      </w:r>
      <w:r>
        <w:rPr>
          <w:rFonts w:ascii="Times New Roman"/>
          <w:bCs/>
          <w:color w:val="000000"/>
          <w:szCs w:val="21"/>
        </w:rPr>
        <w:t>。取下，冷却，用少量水吹洗烧杯壁和表面皿，加入</w:t>
      </w:r>
      <w:r>
        <w:rPr>
          <w:rFonts w:ascii="Times New Roman"/>
          <w:bCs/>
          <w:color w:val="000000"/>
          <w:szCs w:val="21"/>
        </w:rPr>
        <w:t>0.5 g</w:t>
      </w:r>
      <w:r>
        <w:rPr>
          <w:rFonts w:ascii="Times New Roman"/>
          <w:bCs/>
          <w:color w:val="000000"/>
          <w:szCs w:val="21"/>
        </w:rPr>
        <w:t>尿素，加热煮沸</w:t>
      </w:r>
      <w:r>
        <w:rPr>
          <w:rFonts w:ascii="Times New Roman"/>
          <w:bCs/>
          <w:color w:val="000000"/>
          <w:szCs w:val="21"/>
        </w:rPr>
        <w:t>1 min</w:t>
      </w:r>
      <w:r>
        <w:rPr>
          <w:rFonts w:ascii="Times New Roman" w:hint="eastAsia"/>
          <w:bCs/>
          <w:color w:val="000000"/>
          <w:szCs w:val="21"/>
        </w:rPr>
        <w:t>。”</w:t>
      </w:r>
      <w:r>
        <w:rPr>
          <w:rFonts w:ascii="Times New Roman" w:hint="eastAsia"/>
          <w:b/>
          <w:color w:val="000000"/>
          <w:szCs w:val="21"/>
        </w:rPr>
        <w:t>不采纳</w:t>
      </w:r>
      <w:r>
        <w:rPr>
          <w:rFonts w:ascii="Times New Roman" w:hint="eastAsia"/>
          <w:bCs/>
          <w:color w:val="000000"/>
          <w:szCs w:val="21"/>
        </w:rPr>
        <w:t>，目前为止也没有这样的操作方式。</w:t>
      </w:r>
    </w:p>
    <w:p w:rsidR="00F55E3A" w:rsidRPr="00A41042" w:rsidRDefault="00F577EE">
      <w:pPr>
        <w:pStyle w:val="ad"/>
        <w:ind w:firstLine="420"/>
        <w:rPr>
          <w:rFonts w:ascii="Times New Roman"/>
          <w:bCs/>
          <w:szCs w:val="21"/>
        </w:rPr>
      </w:pPr>
      <w:r w:rsidRPr="00A41042">
        <w:rPr>
          <w:rFonts w:ascii="Times New Roman" w:hint="eastAsia"/>
          <w:bCs/>
          <w:szCs w:val="21"/>
        </w:rPr>
        <w:t>4</w:t>
      </w:r>
      <w:r w:rsidRPr="00A41042">
        <w:rPr>
          <w:rFonts w:ascii="Times New Roman" w:hint="eastAsia"/>
          <w:bCs/>
          <w:szCs w:val="21"/>
        </w:rPr>
        <w:t>）</w:t>
      </w:r>
      <w:r w:rsidRPr="00A41042">
        <w:rPr>
          <w:rFonts w:ascii="Times New Roman"/>
          <w:bCs/>
          <w:szCs w:val="21"/>
        </w:rPr>
        <w:t>中国检验认证集团广西有限公司</w:t>
      </w:r>
    </w:p>
    <w:p w:rsidR="00F55E3A" w:rsidRDefault="00F577EE">
      <w:pPr>
        <w:pStyle w:val="ad"/>
        <w:ind w:firstLine="420"/>
        <w:rPr>
          <w:rFonts w:cs="宋体"/>
          <w:szCs w:val="21"/>
        </w:rPr>
      </w:pPr>
      <w:r>
        <w:rPr>
          <w:rFonts w:ascii="Times New Roman" w:hint="eastAsia"/>
          <w:bCs/>
          <w:color w:val="000000"/>
          <w:szCs w:val="21"/>
        </w:rPr>
        <w:t>“在溶样过程中，仅用盐酸、硝酸、高氯酸分解试样后，</w:t>
      </w:r>
      <w:r>
        <w:rPr>
          <w:rFonts w:ascii="Times New Roman"/>
          <w:bCs/>
          <w:color w:val="000000"/>
          <w:szCs w:val="21"/>
        </w:rPr>
        <w:t>2#</w:t>
      </w:r>
      <w:r>
        <w:rPr>
          <w:rFonts w:ascii="Times New Roman"/>
          <w:bCs/>
          <w:color w:val="000000"/>
          <w:szCs w:val="21"/>
        </w:rPr>
        <w:t>、</w:t>
      </w:r>
      <w:r>
        <w:rPr>
          <w:rFonts w:ascii="Times New Roman"/>
          <w:bCs/>
          <w:color w:val="000000"/>
          <w:szCs w:val="21"/>
        </w:rPr>
        <w:t>3#</w:t>
      </w:r>
      <w:r>
        <w:rPr>
          <w:rFonts w:ascii="Times New Roman"/>
          <w:bCs/>
          <w:color w:val="000000"/>
          <w:szCs w:val="21"/>
        </w:rPr>
        <w:t>、</w:t>
      </w:r>
      <w:r>
        <w:rPr>
          <w:rFonts w:ascii="Times New Roman"/>
          <w:bCs/>
          <w:color w:val="000000"/>
          <w:szCs w:val="21"/>
        </w:rPr>
        <w:t>4#</w:t>
      </w:r>
      <w:r>
        <w:rPr>
          <w:rFonts w:ascii="Times New Roman" w:hint="eastAsia"/>
          <w:bCs/>
          <w:color w:val="000000"/>
          <w:szCs w:val="21"/>
        </w:rPr>
        <w:t>均有不同程度的不溶物及黑渣，建议溶样增加硫酸，增强除碳效果。”</w:t>
      </w:r>
      <w:r>
        <w:rPr>
          <w:rFonts w:ascii="Times New Roman" w:hint="eastAsia"/>
          <w:b/>
          <w:color w:val="000000"/>
          <w:szCs w:val="21"/>
        </w:rPr>
        <w:t>不采纳</w:t>
      </w:r>
      <w:r>
        <w:rPr>
          <w:rFonts w:ascii="Times New Roman" w:hint="eastAsia"/>
          <w:bCs/>
          <w:color w:val="000000"/>
          <w:szCs w:val="21"/>
        </w:rPr>
        <w:t>，我们认为加高氯酸可以达到除碳的效果，其他验证单位无</w:t>
      </w:r>
      <w:r>
        <w:rPr>
          <w:rFonts w:cs="宋体" w:hint="eastAsia"/>
          <w:szCs w:val="21"/>
        </w:rPr>
        <w:t>异议。</w:t>
      </w:r>
    </w:p>
    <w:p w:rsidR="00F55E3A" w:rsidRPr="00A41042" w:rsidRDefault="00F577EE">
      <w:pPr>
        <w:pStyle w:val="ad"/>
        <w:ind w:firstLine="420"/>
        <w:rPr>
          <w:rFonts w:ascii="Times New Roman"/>
          <w:szCs w:val="21"/>
        </w:rPr>
      </w:pPr>
      <w:r w:rsidRPr="00A41042">
        <w:rPr>
          <w:rFonts w:cs="宋体" w:hint="eastAsia"/>
          <w:szCs w:val="21"/>
        </w:rPr>
        <w:t>5）</w:t>
      </w:r>
      <w:r w:rsidRPr="00A41042">
        <w:rPr>
          <w:rFonts w:ascii="Times New Roman"/>
          <w:szCs w:val="21"/>
        </w:rPr>
        <w:t>深圳市中金岭南有色金属股份有限公司韶关冶炼厂</w:t>
      </w:r>
    </w:p>
    <w:p w:rsidR="00F55E3A" w:rsidRDefault="00F577EE">
      <w:pPr>
        <w:autoSpaceDE w:val="0"/>
        <w:autoSpaceDN w:val="0"/>
        <w:adjustRightInd w:val="0"/>
        <w:ind w:firstLineChars="200" w:firstLine="420"/>
        <w:rPr>
          <w:rFonts w:ascii="宋体" w:hAnsi="宋体" w:cs="宋体"/>
          <w:color w:val="000000"/>
          <w:szCs w:val="21"/>
        </w:rPr>
      </w:pPr>
      <w:r>
        <w:rPr>
          <w:rFonts w:hint="eastAsia"/>
          <w:color w:val="000000"/>
          <w:szCs w:val="21"/>
        </w:rPr>
        <w:t>“</w:t>
      </w:r>
      <w:r>
        <w:rPr>
          <w:rFonts w:ascii="宋体" w:hAnsi="宋体" w:cs="宋体" w:hint="eastAsia"/>
          <w:szCs w:val="21"/>
        </w:rPr>
        <w:t>硅的干扰试验有点不符合理论预期！也不符合经验值，建议应该用实际样品来试验。</w:t>
      </w:r>
      <w:r>
        <w:rPr>
          <w:rFonts w:ascii="宋体" w:hAnsi="宋体" w:cs="宋体" w:hint="eastAsia"/>
          <w:color w:val="000000"/>
          <w:szCs w:val="21"/>
        </w:rPr>
        <w:t>”</w:t>
      </w:r>
      <w:r>
        <w:rPr>
          <w:rFonts w:ascii="宋体" w:hAnsi="宋体" w:cs="宋体" w:hint="eastAsia"/>
          <w:b/>
          <w:bCs/>
          <w:color w:val="000000"/>
          <w:szCs w:val="21"/>
        </w:rPr>
        <w:t>采纳</w:t>
      </w:r>
      <w:r>
        <w:rPr>
          <w:rFonts w:ascii="宋体" w:hAnsi="宋体" w:cs="宋体" w:hint="eastAsia"/>
          <w:color w:val="000000"/>
          <w:szCs w:val="21"/>
        </w:rPr>
        <w:t>。（补充实验见实验报告）</w:t>
      </w:r>
    </w:p>
    <w:p w:rsidR="00F55E3A" w:rsidRDefault="00F55E3A">
      <w:pPr>
        <w:pStyle w:val="ad"/>
        <w:ind w:firstLineChars="95" w:firstLine="199"/>
        <w:rPr>
          <w:rFonts w:ascii="黑体" w:eastAsia="黑体" w:hAnsi="黑体"/>
          <w:color w:val="000000"/>
          <w:szCs w:val="21"/>
        </w:rPr>
      </w:pPr>
    </w:p>
    <w:p w:rsidR="00F55E3A" w:rsidRDefault="00F577EE">
      <w:pPr>
        <w:outlineLvl w:val="2"/>
        <w:rPr>
          <w:rFonts w:ascii="黑体" w:eastAsia="黑体" w:hAnsi="黑体"/>
          <w:color w:val="000000"/>
          <w:szCs w:val="21"/>
        </w:rPr>
      </w:pPr>
      <w:bookmarkStart w:id="12" w:name="_Toc111022822"/>
      <w:r>
        <w:rPr>
          <w:rFonts w:ascii="黑体" w:eastAsia="黑体" w:hAnsi="黑体" w:hint="eastAsia"/>
          <w:color w:val="000000"/>
          <w:szCs w:val="21"/>
        </w:rPr>
        <w:t>4、征求意见阶段</w:t>
      </w:r>
      <w:bookmarkEnd w:id="12"/>
    </w:p>
    <w:p w:rsidR="00F55E3A" w:rsidRDefault="00F577EE">
      <w:pPr>
        <w:outlineLvl w:val="3"/>
        <w:rPr>
          <w:rFonts w:ascii="黑体" w:eastAsia="黑体" w:hAnsi="黑体"/>
          <w:b/>
          <w:bCs/>
          <w:color w:val="000000"/>
          <w:szCs w:val="21"/>
        </w:rPr>
      </w:pPr>
      <w:r>
        <w:rPr>
          <w:rFonts w:ascii="黑体" w:eastAsia="黑体" w:hAnsi="黑体" w:hint="eastAsia"/>
          <w:b/>
          <w:bCs/>
          <w:color w:val="000000"/>
          <w:szCs w:val="21"/>
        </w:rPr>
        <w:t>4</w:t>
      </w:r>
      <w:r>
        <w:rPr>
          <w:rFonts w:ascii="黑体" w:eastAsia="黑体" w:hAnsi="黑体"/>
          <w:b/>
          <w:bCs/>
          <w:color w:val="000000"/>
          <w:szCs w:val="21"/>
        </w:rPr>
        <w:t xml:space="preserve">.1 </w:t>
      </w:r>
      <w:r>
        <w:rPr>
          <w:rFonts w:hint="eastAsia"/>
          <w:b/>
          <w:bCs/>
          <w:szCs w:val="21"/>
        </w:rPr>
        <w:t>标准预审会议</w:t>
      </w:r>
    </w:p>
    <w:p w:rsidR="00F55E3A" w:rsidRDefault="00F577EE">
      <w:pPr>
        <w:ind w:firstLine="560"/>
        <w:rPr>
          <w:szCs w:val="21"/>
        </w:rPr>
      </w:pPr>
      <w:r>
        <w:rPr>
          <w:rFonts w:hint="eastAsia"/>
          <w:szCs w:val="21"/>
        </w:rPr>
        <w:t>2</w:t>
      </w:r>
      <w:r>
        <w:rPr>
          <w:szCs w:val="21"/>
        </w:rPr>
        <w:t>02</w:t>
      </w:r>
      <w:r>
        <w:rPr>
          <w:rFonts w:hint="eastAsia"/>
          <w:szCs w:val="21"/>
        </w:rPr>
        <w:t>2</w:t>
      </w:r>
      <w:r>
        <w:rPr>
          <w:rFonts w:hint="eastAsia"/>
          <w:szCs w:val="21"/>
        </w:rPr>
        <w:t>年</w:t>
      </w:r>
      <w:r>
        <w:rPr>
          <w:rFonts w:hint="eastAsia"/>
          <w:szCs w:val="21"/>
        </w:rPr>
        <w:t>7</w:t>
      </w:r>
      <w:r>
        <w:rPr>
          <w:rFonts w:hint="eastAsia"/>
          <w:szCs w:val="21"/>
        </w:rPr>
        <w:t>月</w:t>
      </w:r>
      <w:r>
        <w:rPr>
          <w:rFonts w:hint="eastAsia"/>
          <w:szCs w:val="21"/>
        </w:rPr>
        <w:t>21</w:t>
      </w:r>
      <w:r>
        <w:rPr>
          <w:rFonts w:hint="eastAsia"/>
          <w:szCs w:val="21"/>
        </w:rPr>
        <w:t>日</w:t>
      </w:r>
      <w:r>
        <w:rPr>
          <w:rFonts w:hint="eastAsia"/>
          <w:szCs w:val="21"/>
        </w:rPr>
        <w:t>~23</w:t>
      </w:r>
      <w:r>
        <w:rPr>
          <w:rFonts w:hint="eastAsia"/>
          <w:szCs w:val="21"/>
        </w:rPr>
        <w:t>日，</w:t>
      </w:r>
      <w:r>
        <w:rPr>
          <w:szCs w:val="21"/>
        </w:rPr>
        <w:t>全国有色金属标准化技术委员会在</w:t>
      </w:r>
      <w:r>
        <w:rPr>
          <w:rFonts w:hint="eastAsia"/>
          <w:szCs w:val="21"/>
        </w:rPr>
        <w:t>河南洛阳</w:t>
      </w:r>
      <w:r>
        <w:rPr>
          <w:szCs w:val="21"/>
        </w:rPr>
        <w:t>召开了</w:t>
      </w:r>
      <w:r>
        <w:rPr>
          <w:rFonts w:hint="eastAsia"/>
          <w:szCs w:val="21"/>
        </w:rPr>
        <w:t>行业标准</w:t>
      </w:r>
      <w:r>
        <w:rPr>
          <w:szCs w:val="21"/>
        </w:rPr>
        <w:t>《</w:t>
      </w:r>
      <w:r>
        <w:rPr>
          <w:rFonts w:hint="eastAsia"/>
          <w:szCs w:val="21"/>
        </w:rPr>
        <w:t>硫化钴精矿化学分析方法</w:t>
      </w:r>
      <w:r>
        <w:rPr>
          <w:rFonts w:hint="eastAsia"/>
          <w:szCs w:val="21"/>
        </w:rPr>
        <w:t xml:space="preserve">  </w:t>
      </w:r>
      <w:r>
        <w:rPr>
          <w:rFonts w:hint="eastAsia"/>
          <w:szCs w:val="21"/>
        </w:rPr>
        <w:t>第</w:t>
      </w:r>
      <w:r>
        <w:rPr>
          <w:rFonts w:hint="eastAsia"/>
          <w:szCs w:val="21"/>
        </w:rPr>
        <w:t>2</w:t>
      </w:r>
      <w:r>
        <w:rPr>
          <w:rFonts w:hint="eastAsia"/>
          <w:szCs w:val="21"/>
        </w:rPr>
        <w:t>部分：火焰原子吸收光谱法和碘量法</w:t>
      </w:r>
      <w:r>
        <w:rPr>
          <w:szCs w:val="21"/>
        </w:rPr>
        <w:t>》（项目计划编号</w:t>
      </w:r>
      <w:r w:rsidR="007B68B7" w:rsidRPr="007B68B7">
        <w:fldChar w:fldCharType="begin"/>
      </w:r>
      <w:r>
        <w:instrText xml:space="preserve"> HYPERLINK "http://219.239.107.155:8080/TaskBook.aspx?id=YSCPXT23512020" </w:instrText>
      </w:r>
      <w:r w:rsidR="007B68B7" w:rsidRPr="007B68B7">
        <w:fldChar w:fldCharType="separate"/>
      </w:r>
      <w:r>
        <w:rPr>
          <w:color w:val="000000"/>
          <w:szCs w:val="21"/>
        </w:rPr>
        <w:t>2020-1547T-YS</w:t>
      </w:r>
      <w:r w:rsidR="007B68B7">
        <w:rPr>
          <w:color w:val="000000"/>
          <w:szCs w:val="21"/>
        </w:rPr>
        <w:fldChar w:fldCharType="end"/>
      </w:r>
      <w:r>
        <w:rPr>
          <w:szCs w:val="21"/>
        </w:rPr>
        <w:t>）标准</w:t>
      </w:r>
      <w:r>
        <w:rPr>
          <w:rFonts w:hint="eastAsia"/>
          <w:szCs w:val="21"/>
        </w:rPr>
        <w:t>预审</w:t>
      </w:r>
      <w:r>
        <w:rPr>
          <w:szCs w:val="21"/>
        </w:rPr>
        <w:t>会，来自全国有色金属标准化技术委员会、浙江华友钴业股份有限公司、深圳中金岭南有色金属股份有限公司、广东邦普循环科技有限公司、荆门格林美新材料有限公司、广东省科学院工业分析检测中心、金川集团股份有限公司、国标（北京）检验认证有限公司、铜陵有色金属集团控股有限公司、广东佳纳能源科技有限公司、大冶有色设计研究院有限公司、衢州华友钴新材料有限公司、紫金矿业集团股份有限公司、紫金铜业有限公司、深圳清华大学研究院、华友新能源科技（衢州）有限公司、湖南邦普循环科技有限公司、瑞士万通中国有限公司、中国有色桂林矿产地质研究院有限公司、中国检验认证集团广东有限公司黄埔分公司、郴州市产商品质量监督检验所、金隆铜业有限公司、广西分析测试研究中心、江西铜业股份有限公司、昆明冶金研究院、山西北方铜业有限公司、中条山有色金属集团有限公司、中金岭南科学技术开发院、北矿检测技术有限公司、山东恒邦冶炼股份有限公司、国合通用（青岛）测试评价有限公司、华南理工大学、黑龙江紫金铜业有限公司、长沙矿冶院检测技术有限责任公司、格林美股份有限公司等全国</w:t>
      </w:r>
      <w:r>
        <w:rPr>
          <w:szCs w:val="21"/>
        </w:rPr>
        <w:t>3</w:t>
      </w:r>
      <w:r>
        <w:rPr>
          <w:rFonts w:hint="eastAsia"/>
          <w:szCs w:val="21"/>
        </w:rPr>
        <w:t>5</w:t>
      </w:r>
      <w:r>
        <w:rPr>
          <w:szCs w:val="21"/>
        </w:rPr>
        <w:t>家单位的</w:t>
      </w:r>
      <w:r>
        <w:rPr>
          <w:szCs w:val="21"/>
        </w:rPr>
        <w:t>40</w:t>
      </w:r>
      <w:r>
        <w:rPr>
          <w:szCs w:val="21"/>
        </w:rPr>
        <w:t>余名代表</w:t>
      </w:r>
      <w:r>
        <w:rPr>
          <w:rFonts w:hint="eastAsia"/>
          <w:szCs w:val="21"/>
        </w:rPr>
        <w:t>参加了会议。会议对浙江华友钴业股份有限公司</w:t>
      </w:r>
      <w:r>
        <w:rPr>
          <w:szCs w:val="21"/>
        </w:rPr>
        <w:t>、</w:t>
      </w:r>
      <w:r>
        <w:rPr>
          <w:rFonts w:hint="eastAsia"/>
          <w:szCs w:val="21"/>
        </w:rPr>
        <w:t>金川集团股份有限公司提出的标准预审稿进行了认真讨论，达成一致意见，形成会议纪要如下：</w:t>
      </w:r>
    </w:p>
    <w:p w:rsidR="00F55E3A" w:rsidRDefault="00F577EE">
      <w:pPr>
        <w:pStyle w:val="ad"/>
        <w:numPr>
          <w:ilvl w:val="0"/>
          <w:numId w:val="2"/>
        </w:numPr>
        <w:tabs>
          <w:tab w:val="center" w:pos="4201"/>
          <w:tab w:val="right" w:leader="dot" w:pos="9298"/>
        </w:tabs>
        <w:ind w:firstLineChars="0"/>
        <w:rPr>
          <w:rFonts w:ascii="Times New Roman"/>
          <w:kern w:val="2"/>
          <w:szCs w:val="21"/>
        </w:rPr>
      </w:pPr>
      <w:r>
        <w:rPr>
          <w:rFonts w:ascii="Times New Roman" w:hint="eastAsia"/>
          <w:kern w:val="2"/>
          <w:szCs w:val="21"/>
        </w:rPr>
        <w:t>《碘量法》部分编制说明中表</w:t>
      </w:r>
      <w:r>
        <w:rPr>
          <w:rFonts w:ascii="Times New Roman" w:hint="eastAsia"/>
          <w:kern w:val="2"/>
          <w:szCs w:val="21"/>
        </w:rPr>
        <w:t>7</w:t>
      </w:r>
      <w:r>
        <w:rPr>
          <w:rFonts w:ascii="Times New Roman" w:hint="eastAsia"/>
          <w:kern w:val="2"/>
          <w:szCs w:val="21"/>
        </w:rPr>
        <w:t>的表格里面测得铜量单位由“</w:t>
      </w:r>
      <w:r>
        <w:rPr>
          <w:rFonts w:ascii="Times New Roman" w:hint="eastAsia"/>
          <w:kern w:val="2"/>
          <w:szCs w:val="21"/>
        </w:rPr>
        <w:t>%</w:t>
      </w:r>
      <w:r>
        <w:rPr>
          <w:rFonts w:ascii="Times New Roman" w:hint="eastAsia"/>
          <w:kern w:val="2"/>
          <w:szCs w:val="21"/>
        </w:rPr>
        <w:t>”改为“</w:t>
      </w:r>
      <w:r>
        <w:rPr>
          <w:rFonts w:ascii="Times New Roman" w:hint="eastAsia"/>
          <w:kern w:val="2"/>
          <w:szCs w:val="21"/>
        </w:rPr>
        <w:t>mg</w:t>
      </w:r>
      <w:r>
        <w:rPr>
          <w:rFonts w:ascii="Times New Roman" w:hint="eastAsia"/>
          <w:kern w:val="2"/>
          <w:szCs w:val="21"/>
        </w:rPr>
        <w:t>”。采纳。</w:t>
      </w:r>
    </w:p>
    <w:p w:rsidR="00F55E3A" w:rsidRDefault="00F577EE">
      <w:pPr>
        <w:pStyle w:val="ad"/>
        <w:numPr>
          <w:ilvl w:val="0"/>
          <w:numId w:val="2"/>
        </w:numPr>
        <w:tabs>
          <w:tab w:val="center" w:pos="4201"/>
          <w:tab w:val="right" w:leader="dot" w:pos="9298"/>
        </w:tabs>
        <w:ind w:firstLineChars="0"/>
        <w:rPr>
          <w:rFonts w:ascii="Times New Roman"/>
          <w:kern w:val="2"/>
          <w:szCs w:val="21"/>
        </w:rPr>
      </w:pPr>
      <w:r>
        <w:rPr>
          <w:rFonts w:ascii="Times New Roman"/>
          <w:kern w:val="2"/>
          <w:szCs w:val="21"/>
        </w:rPr>
        <w:t>建议调整测定范围：方法</w:t>
      </w:r>
      <w:r>
        <w:rPr>
          <w:rFonts w:ascii="Times New Roman"/>
          <w:kern w:val="2"/>
          <w:szCs w:val="21"/>
        </w:rPr>
        <w:t>1</w:t>
      </w:r>
      <w:r>
        <w:rPr>
          <w:rFonts w:ascii="Times New Roman"/>
          <w:kern w:val="2"/>
          <w:szCs w:val="21"/>
        </w:rPr>
        <w:t>改为</w:t>
      </w:r>
      <w:r>
        <w:rPr>
          <w:rFonts w:ascii="Times New Roman"/>
          <w:kern w:val="2"/>
          <w:szCs w:val="21"/>
        </w:rPr>
        <w:t>0.10 %</w:t>
      </w:r>
      <w:r>
        <w:rPr>
          <w:rFonts w:ascii="Times New Roman"/>
          <w:kern w:val="2"/>
          <w:szCs w:val="21"/>
        </w:rPr>
        <w:t>～</w:t>
      </w:r>
      <w:r>
        <w:rPr>
          <w:rFonts w:ascii="Times New Roman"/>
          <w:kern w:val="2"/>
          <w:szCs w:val="21"/>
        </w:rPr>
        <w:t>3.</w:t>
      </w:r>
      <w:r>
        <w:rPr>
          <w:rFonts w:ascii="Times New Roman" w:hint="eastAsia"/>
          <w:kern w:val="2"/>
          <w:szCs w:val="21"/>
        </w:rPr>
        <w:t>0</w:t>
      </w:r>
      <w:r>
        <w:rPr>
          <w:rFonts w:ascii="Times New Roman"/>
          <w:kern w:val="2"/>
          <w:szCs w:val="21"/>
        </w:rPr>
        <w:t>0 %</w:t>
      </w:r>
      <w:r>
        <w:rPr>
          <w:rFonts w:ascii="Times New Roman"/>
          <w:kern w:val="2"/>
          <w:szCs w:val="21"/>
        </w:rPr>
        <w:t>；方法</w:t>
      </w:r>
      <w:r>
        <w:rPr>
          <w:rFonts w:ascii="Times New Roman"/>
          <w:kern w:val="2"/>
          <w:szCs w:val="21"/>
        </w:rPr>
        <w:t>2</w:t>
      </w:r>
      <w:r>
        <w:rPr>
          <w:rFonts w:ascii="Times New Roman"/>
          <w:kern w:val="2"/>
          <w:szCs w:val="21"/>
        </w:rPr>
        <w:t>改为</w:t>
      </w:r>
      <w:r>
        <w:rPr>
          <w:rFonts w:ascii="Times New Roman"/>
          <w:kern w:val="2"/>
          <w:szCs w:val="21"/>
        </w:rPr>
        <w:t>3.</w:t>
      </w:r>
      <w:r>
        <w:rPr>
          <w:rFonts w:ascii="Times New Roman" w:hint="eastAsia"/>
          <w:kern w:val="2"/>
          <w:szCs w:val="21"/>
        </w:rPr>
        <w:t>0</w:t>
      </w:r>
      <w:r>
        <w:rPr>
          <w:rFonts w:ascii="Times New Roman"/>
          <w:kern w:val="2"/>
          <w:szCs w:val="21"/>
        </w:rPr>
        <w:t>0%~35.00%</w:t>
      </w:r>
      <w:r>
        <w:rPr>
          <w:rFonts w:ascii="Times New Roman"/>
          <w:kern w:val="2"/>
          <w:szCs w:val="21"/>
        </w:rPr>
        <w:t>。</w:t>
      </w:r>
      <w:r>
        <w:rPr>
          <w:rFonts w:ascii="Times New Roman" w:hint="eastAsia"/>
          <w:kern w:val="2"/>
          <w:szCs w:val="21"/>
        </w:rPr>
        <w:t>不采纳。（</w:t>
      </w:r>
      <w:r>
        <w:rPr>
          <w:rFonts w:hint="eastAsia"/>
          <w:szCs w:val="21"/>
        </w:rPr>
        <w:t>两个方法的水平都包括了该范围</w:t>
      </w:r>
      <w:r>
        <w:rPr>
          <w:rFonts w:ascii="Times New Roman" w:hint="eastAsia"/>
          <w:kern w:val="2"/>
          <w:szCs w:val="21"/>
        </w:rPr>
        <w:t>）</w:t>
      </w:r>
    </w:p>
    <w:p w:rsidR="00F55E3A" w:rsidRDefault="00F577EE">
      <w:pPr>
        <w:pStyle w:val="ad"/>
        <w:numPr>
          <w:ilvl w:val="0"/>
          <w:numId w:val="2"/>
        </w:numPr>
        <w:tabs>
          <w:tab w:val="center" w:pos="4201"/>
          <w:tab w:val="right" w:leader="dot" w:pos="9298"/>
        </w:tabs>
        <w:ind w:firstLineChars="0"/>
        <w:rPr>
          <w:rFonts w:ascii="Times New Roman"/>
          <w:kern w:val="2"/>
          <w:szCs w:val="21"/>
        </w:rPr>
      </w:pPr>
      <w:r>
        <w:rPr>
          <w:rFonts w:ascii="Times New Roman" w:hint="eastAsia"/>
          <w:kern w:val="2"/>
          <w:szCs w:val="21"/>
        </w:rPr>
        <w:t>4.1</w:t>
      </w:r>
      <w:r>
        <w:rPr>
          <w:rFonts w:ascii="Times New Roman" w:hint="eastAsia"/>
          <w:kern w:val="2"/>
          <w:szCs w:val="21"/>
        </w:rPr>
        <w:t>和</w:t>
      </w:r>
      <w:r>
        <w:rPr>
          <w:rFonts w:ascii="Times New Roman" w:hint="eastAsia"/>
          <w:kern w:val="2"/>
          <w:szCs w:val="21"/>
        </w:rPr>
        <w:t>5.1</w:t>
      </w:r>
      <w:r>
        <w:rPr>
          <w:rFonts w:ascii="Times New Roman" w:hint="eastAsia"/>
          <w:kern w:val="2"/>
          <w:szCs w:val="21"/>
        </w:rPr>
        <w:t>中增加“氟化氢铵”溶解试剂。部分采纳。（</w:t>
      </w:r>
      <w:r>
        <w:rPr>
          <w:rFonts w:ascii="Times New Roman" w:hAnsi="Times New Roman" w:hint="eastAsia"/>
          <w:kern w:val="2"/>
          <w:szCs w:val="21"/>
        </w:rPr>
        <w:t>4.1</w:t>
      </w:r>
      <w:r>
        <w:rPr>
          <w:rFonts w:ascii="Times New Roman" w:hAnsi="Times New Roman" w:hint="eastAsia"/>
          <w:kern w:val="2"/>
          <w:szCs w:val="21"/>
        </w:rPr>
        <w:t>中增加；</w:t>
      </w:r>
      <w:r>
        <w:rPr>
          <w:rFonts w:ascii="Times New Roman" w:hAnsi="Times New Roman" w:hint="eastAsia"/>
          <w:kern w:val="2"/>
          <w:szCs w:val="21"/>
        </w:rPr>
        <w:t>5.1</w:t>
      </w:r>
      <w:r>
        <w:rPr>
          <w:rFonts w:ascii="Times New Roman" w:hAnsi="Times New Roman" w:hint="eastAsia"/>
          <w:kern w:val="2"/>
          <w:szCs w:val="21"/>
        </w:rPr>
        <w:t>中不增加，</w:t>
      </w:r>
      <w:r w:rsidRPr="00532631">
        <w:rPr>
          <w:rFonts w:ascii="Times New Roman" w:hAnsi="Times New Roman" w:hint="eastAsia"/>
          <w:color w:val="FF0000"/>
          <w:kern w:val="2"/>
          <w:szCs w:val="21"/>
        </w:rPr>
        <w:t>经补充实验，对于高含量的铜，溶解时加入氟化氢铵会导致铜的结果偏低，具体见</w:t>
      </w:r>
      <w:r w:rsidR="00532631">
        <w:rPr>
          <w:rFonts w:ascii="Times New Roman" w:hAnsi="Times New Roman" w:hint="eastAsia"/>
          <w:color w:val="FF0000"/>
          <w:kern w:val="2"/>
          <w:szCs w:val="21"/>
        </w:rPr>
        <w:t>碘量法</w:t>
      </w:r>
      <w:r w:rsidRPr="00532631">
        <w:rPr>
          <w:rFonts w:ascii="Times New Roman" w:hAnsi="Times New Roman" w:hint="eastAsia"/>
          <w:color w:val="FF0000"/>
          <w:kern w:val="2"/>
          <w:szCs w:val="21"/>
        </w:rPr>
        <w:t>实验报告</w:t>
      </w:r>
      <w:r w:rsidRPr="00532631">
        <w:rPr>
          <w:rFonts w:ascii="Times New Roman" w:hAnsi="Times New Roman" w:hint="eastAsia"/>
          <w:color w:val="FF0000"/>
          <w:kern w:val="2"/>
          <w:szCs w:val="21"/>
        </w:rPr>
        <w:t>2.1</w:t>
      </w:r>
      <w:r w:rsidRPr="00532631">
        <w:rPr>
          <w:rFonts w:ascii="Times New Roman" w:hAnsi="Times New Roman" w:hint="eastAsia"/>
          <w:color w:val="FF0000"/>
          <w:kern w:val="2"/>
          <w:szCs w:val="21"/>
        </w:rPr>
        <w:t>内容。</w:t>
      </w:r>
      <w:r>
        <w:rPr>
          <w:rFonts w:ascii="Times New Roman" w:hint="eastAsia"/>
          <w:kern w:val="2"/>
          <w:szCs w:val="21"/>
        </w:rPr>
        <w:t>）</w:t>
      </w:r>
    </w:p>
    <w:p w:rsidR="00F55E3A" w:rsidRDefault="00F577EE">
      <w:pPr>
        <w:pStyle w:val="ad"/>
        <w:numPr>
          <w:ilvl w:val="0"/>
          <w:numId w:val="2"/>
        </w:numPr>
        <w:tabs>
          <w:tab w:val="center" w:pos="4201"/>
          <w:tab w:val="right" w:leader="dot" w:pos="9298"/>
        </w:tabs>
        <w:ind w:firstLineChars="0"/>
        <w:rPr>
          <w:rFonts w:ascii="Times New Roman"/>
          <w:kern w:val="2"/>
          <w:szCs w:val="21"/>
        </w:rPr>
      </w:pPr>
      <w:r>
        <w:rPr>
          <w:rFonts w:ascii="Times New Roman" w:hint="eastAsia"/>
          <w:kern w:val="2"/>
          <w:szCs w:val="21"/>
        </w:rPr>
        <w:t>分别将</w:t>
      </w:r>
      <w:r>
        <w:rPr>
          <w:rFonts w:ascii="Times New Roman" w:hint="eastAsia"/>
          <w:kern w:val="2"/>
          <w:szCs w:val="21"/>
        </w:rPr>
        <w:t>4.7.1</w:t>
      </w:r>
      <w:r>
        <w:rPr>
          <w:rFonts w:ascii="Times New Roman" w:hint="eastAsia"/>
          <w:kern w:val="2"/>
          <w:szCs w:val="21"/>
        </w:rPr>
        <w:t>和</w:t>
      </w:r>
      <w:r>
        <w:rPr>
          <w:rFonts w:ascii="Times New Roman" w:hint="eastAsia"/>
          <w:kern w:val="2"/>
          <w:szCs w:val="21"/>
        </w:rPr>
        <w:t>4.7.2</w:t>
      </w:r>
      <w:r>
        <w:rPr>
          <w:rFonts w:ascii="Times New Roman" w:hint="eastAsia"/>
          <w:kern w:val="2"/>
          <w:szCs w:val="21"/>
        </w:rPr>
        <w:t>中的</w:t>
      </w:r>
      <w:r>
        <w:rPr>
          <w:rFonts w:ascii="Times New Roman"/>
          <w:kern w:val="2"/>
          <w:szCs w:val="21"/>
        </w:rPr>
        <w:t>“精密度试验原始数据参见附录</w:t>
      </w:r>
      <w:r>
        <w:rPr>
          <w:rFonts w:ascii="Times New Roman"/>
          <w:kern w:val="2"/>
          <w:szCs w:val="21"/>
        </w:rPr>
        <w:t>A</w:t>
      </w:r>
      <w:r>
        <w:rPr>
          <w:rFonts w:ascii="Times New Roman"/>
          <w:kern w:val="2"/>
          <w:szCs w:val="21"/>
        </w:rPr>
        <w:t>”移至该段末。</w:t>
      </w:r>
      <w:r>
        <w:rPr>
          <w:rFonts w:ascii="Times New Roman" w:hint="eastAsia"/>
          <w:kern w:val="2"/>
          <w:szCs w:val="21"/>
        </w:rPr>
        <w:t>采纳。</w:t>
      </w:r>
    </w:p>
    <w:p w:rsidR="00F55E3A" w:rsidRDefault="00F577EE">
      <w:pPr>
        <w:pStyle w:val="ad"/>
        <w:numPr>
          <w:ilvl w:val="0"/>
          <w:numId w:val="2"/>
        </w:numPr>
        <w:tabs>
          <w:tab w:val="center" w:pos="4201"/>
          <w:tab w:val="right" w:leader="dot" w:pos="9298"/>
        </w:tabs>
        <w:ind w:firstLineChars="0"/>
        <w:rPr>
          <w:rFonts w:ascii="Times New Roman"/>
          <w:kern w:val="2"/>
          <w:szCs w:val="21"/>
        </w:rPr>
      </w:pPr>
      <w:r>
        <w:rPr>
          <w:rFonts w:ascii="Times New Roman" w:hint="eastAsia"/>
          <w:kern w:val="2"/>
          <w:szCs w:val="21"/>
        </w:rPr>
        <w:t>5.5.4</w:t>
      </w:r>
      <w:r>
        <w:rPr>
          <w:rFonts w:ascii="Times New Roman" w:hint="eastAsia"/>
          <w:kern w:val="2"/>
          <w:szCs w:val="21"/>
        </w:rPr>
        <w:t>中的“锥形烧杯”修改为“三角烧杯”。采纳。</w:t>
      </w:r>
    </w:p>
    <w:p w:rsidR="00F55E3A" w:rsidRDefault="00F577EE">
      <w:pPr>
        <w:pStyle w:val="ad"/>
        <w:numPr>
          <w:ilvl w:val="0"/>
          <w:numId w:val="2"/>
        </w:numPr>
        <w:tabs>
          <w:tab w:val="center" w:pos="4201"/>
          <w:tab w:val="right" w:leader="dot" w:pos="9298"/>
        </w:tabs>
        <w:ind w:firstLineChars="0"/>
        <w:rPr>
          <w:rFonts w:ascii="Times New Roman"/>
          <w:kern w:val="2"/>
          <w:szCs w:val="21"/>
        </w:rPr>
      </w:pPr>
      <w:r>
        <w:rPr>
          <w:rFonts w:ascii="Times New Roman"/>
          <w:kern w:val="2"/>
          <w:szCs w:val="21"/>
        </w:rPr>
        <w:t>5.2.12</w:t>
      </w:r>
      <w:r>
        <w:rPr>
          <w:rFonts w:ascii="Times New Roman"/>
          <w:kern w:val="2"/>
          <w:szCs w:val="21"/>
        </w:rPr>
        <w:t>中标定硫代硫酸钠标准滴定溶液时建议使用十万分之一天平称取金属铜质量。</w:t>
      </w:r>
      <w:r>
        <w:rPr>
          <w:rFonts w:ascii="Times New Roman" w:hint="eastAsia"/>
          <w:kern w:val="2"/>
          <w:szCs w:val="21"/>
        </w:rPr>
        <w:t>部分采纳，改用配制铜标准溶液，分取铜标准溶液标定硫代硫酸钠标准滴定溶液。</w:t>
      </w:r>
    </w:p>
    <w:p w:rsidR="00F55E3A" w:rsidRDefault="00F577EE">
      <w:pPr>
        <w:pStyle w:val="ad"/>
        <w:numPr>
          <w:ilvl w:val="0"/>
          <w:numId w:val="2"/>
        </w:numPr>
        <w:tabs>
          <w:tab w:val="center" w:pos="4201"/>
          <w:tab w:val="right" w:leader="dot" w:pos="9298"/>
        </w:tabs>
        <w:ind w:firstLineChars="0"/>
        <w:rPr>
          <w:rFonts w:ascii="Times New Roman"/>
          <w:kern w:val="2"/>
          <w:szCs w:val="21"/>
        </w:rPr>
      </w:pPr>
      <w:r>
        <w:rPr>
          <w:rFonts w:ascii="Times New Roman"/>
          <w:kern w:val="2"/>
          <w:szCs w:val="21"/>
        </w:rPr>
        <w:t>5.5.4</w:t>
      </w:r>
      <w:r>
        <w:rPr>
          <w:rFonts w:ascii="Times New Roman"/>
          <w:kern w:val="2"/>
          <w:szCs w:val="21"/>
        </w:rPr>
        <w:t>中将“加入</w:t>
      </w:r>
      <w:r>
        <w:rPr>
          <w:rFonts w:ascii="Times New Roman"/>
          <w:kern w:val="2"/>
          <w:szCs w:val="21"/>
        </w:rPr>
        <w:t>10</w:t>
      </w:r>
      <w:r>
        <w:rPr>
          <w:rFonts w:ascii="Times New Roman" w:hint="eastAsia"/>
          <w:kern w:val="2"/>
          <w:szCs w:val="21"/>
        </w:rPr>
        <w:t xml:space="preserve"> </w:t>
      </w:r>
      <w:r>
        <w:rPr>
          <w:rFonts w:ascii="Times New Roman"/>
          <w:kern w:val="2"/>
          <w:szCs w:val="21"/>
        </w:rPr>
        <w:t>m</w:t>
      </w:r>
      <w:r>
        <w:rPr>
          <w:rFonts w:ascii="Times New Roman" w:hint="eastAsia"/>
          <w:kern w:val="2"/>
          <w:szCs w:val="21"/>
        </w:rPr>
        <w:t>L</w:t>
      </w:r>
      <w:r>
        <w:rPr>
          <w:rFonts w:ascii="Times New Roman"/>
          <w:kern w:val="2"/>
          <w:szCs w:val="21"/>
        </w:rPr>
        <w:t>硝酸，加热蒸发至湿盐状。取下，冷却。加入</w:t>
      </w:r>
      <w:r>
        <w:rPr>
          <w:rFonts w:ascii="Times New Roman"/>
          <w:kern w:val="2"/>
          <w:szCs w:val="21"/>
        </w:rPr>
        <w:t>5</w:t>
      </w:r>
      <w:r>
        <w:rPr>
          <w:rFonts w:ascii="Times New Roman" w:hint="eastAsia"/>
          <w:kern w:val="2"/>
          <w:szCs w:val="21"/>
        </w:rPr>
        <w:t xml:space="preserve"> </w:t>
      </w:r>
      <w:r>
        <w:rPr>
          <w:rFonts w:ascii="Times New Roman"/>
          <w:kern w:val="2"/>
          <w:szCs w:val="21"/>
        </w:rPr>
        <w:t>m</w:t>
      </w:r>
      <w:r>
        <w:rPr>
          <w:rFonts w:ascii="Times New Roman" w:hint="eastAsia"/>
          <w:kern w:val="2"/>
          <w:szCs w:val="21"/>
        </w:rPr>
        <w:t>L</w:t>
      </w:r>
      <w:r>
        <w:rPr>
          <w:rFonts w:ascii="Times New Roman"/>
          <w:kern w:val="2"/>
          <w:szCs w:val="21"/>
        </w:rPr>
        <w:t>高氯酸，继续加热冒白烟至湿盐状。取下，冷却，”修改为“加入</w:t>
      </w:r>
      <w:r>
        <w:rPr>
          <w:rFonts w:ascii="Times New Roman"/>
          <w:kern w:val="2"/>
          <w:szCs w:val="21"/>
        </w:rPr>
        <w:t>10</w:t>
      </w:r>
      <w:r>
        <w:rPr>
          <w:rFonts w:ascii="Times New Roman" w:hint="eastAsia"/>
          <w:kern w:val="2"/>
          <w:szCs w:val="21"/>
        </w:rPr>
        <w:t xml:space="preserve"> </w:t>
      </w:r>
      <w:r>
        <w:rPr>
          <w:rFonts w:ascii="Times New Roman"/>
          <w:kern w:val="2"/>
          <w:szCs w:val="21"/>
        </w:rPr>
        <w:t>m</w:t>
      </w:r>
      <w:r>
        <w:rPr>
          <w:rFonts w:ascii="Times New Roman" w:hint="eastAsia"/>
          <w:kern w:val="2"/>
          <w:szCs w:val="21"/>
        </w:rPr>
        <w:t>L</w:t>
      </w:r>
      <w:r>
        <w:rPr>
          <w:rFonts w:ascii="Times New Roman"/>
          <w:kern w:val="2"/>
          <w:szCs w:val="21"/>
        </w:rPr>
        <w:t>硝酸，加热溶解至体积</w:t>
      </w:r>
      <w:r>
        <w:rPr>
          <w:rFonts w:ascii="Times New Roman"/>
          <w:kern w:val="2"/>
          <w:szCs w:val="21"/>
        </w:rPr>
        <w:t>3</w:t>
      </w:r>
      <w:r>
        <w:rPr>
          <w:rFonts w:ascii="Times New Roman" w:hint="eastAsia"/>
          <w:kern w:val="2"/>
          <w:szCs w:val="21"/>
        </w:rPr>
        <w:t xml:space="preserve"> </w:t>
      </w:r>
      <w:r>
        <w:rPr>
          <w:rFonts w:ascii="Times New Roman"/>
          <w:kern w:val="2"/>
          <w:szCs w:val="21"/>
        </w:rPr>
        <w:t>m</w:t>
      </w:r>
      <w:r>
        <w:rPr>
          <w:rFonts w:ascii="Times New Roman" w:hint="eastAsia"/>
          <w:kern w:val="2"/>
          <w:szCs w:val="21"/>
        </w:rPr>
        <w:t>L</w:t>
      </w:r>
      <w:r>
        <w:rPr>
          <w:rFonts w:ascii="Times New Roman"/>
          <w:kern w:val="2"/>
          <w:szCs w:val="21"/>
        </w:rPr>
        <w:t>~5</w:t>
      </w:r>
      <w:r>
        <w:rPr>
          <w:rFonts w:ascii="Times New Roman" w:hint="eastAsia"/>
          <w:kern w:val="2"/>
          <w:szCs w:val="21"/>
        </w:rPr>
        <w:t xml:space="preserve"> </w:t>
      </w:r>
      <w:r>
        <w:rPr>
          <w:rFonts w:ascii="Times New Roman"/>
          <w:kern w:val="2"/>
          <w:szCs w:val="21"/>
        </w:rPr>
        <w:t>m</w:t>
      </w:r>
      <w:r>
        <w:rPr>
          <w:rFonts w:ascii="Times New Roman" w:hint="eastAsia"/>
          <w:kern w:val="2"/>
          <w:szCs w:val="21"/>
        </w:rPr>
        <w:t>L</w:t>
      </w:r>
      <w:r>
        <w:rPr>
          <w:rFonts w:ascii="Times New Roman"/>
          <w:kern w:val="2"/>
          <w:szCs w:val="21"/>
        </w:rPr>
        <w:t>，取下，冷却。加入</w:t>
      </w:r>
      <w:r>
        <w:rPr>
          <w:rFonts w:ascii="Times New Roman"/>
          <w:kern w:val="2"/>
          <w:szCs w:val="21"/>
        </w:rPr>
        <w:t>5</w:t>
      </w:r>
      <w:r>
        <w:rPr>
          <w:rFonts w:ascii="Times New Roman" w:hint="eastAsia"/>
          <w:kern w:val="2"/>
          <w:szCs w:val="21"/>
        </w:rPr>
        <w:t xml:space="preserve"> </w:t>
      </w:r>
      <w:r>
        <w:rPr>
          <w:rFonts w:ascii="Times New Roman"/>
          <w:kern w:val="2"/>
          <w:szCs w:val="21"/>
        </w:rPr>
        <w:t>m</w:t>
      </w:r>
      <w:r>
        <w:rPr>
          <w:rFonts w:ascii="Times New Roman" w:hint="eastAsia"/>
          <w:kern w:val="2"/>
          <w:szCs w:val="21"/>
        </w:rPr>
        <w:t>L</w:t>
      </w:r>
      <w:r>
        <w:rPr>
          <w:rFonts w:ascii="Times New Roman"/>
          <w:kern w:val="2"/>
          <w:szCs w:val="21"/>
        </w:rPr>
        <w:t>高氯酸，盖上表面皿，加热至冒浓白烟至碳除尽，继续加热至湿盐状，取下，冷却。”。</w:t>
      </w:r>
      <w:r>
        <w:rPr>
          <w:rFonts w:ascii="Times New Roman" w:hint="eastAsia"/>
          <w:kern w:val="2"/>
          <w:szCs w:val="21"/>
        </w:rPr>
        <w:t>采纳。</w:t>
      </w:r>
    </w:p>
    <w:p w:rsidR="00F55E3A" w:rsidRDefault="00F577EE">
      <w:pPr>
        <w:pStyle w:val="ad"/>
        <w:numPr>
          <w:ilvl w:val="0"/>
          <w:numId w:val="2"/>
        </w:numPr>
        <w:tabs>
          <w:tab w:val="center" w:pos="4201"/>
          <w:tab w:val="right" w:leader="dot" w:pos="9298"/>
        </w:tabs>
        <w:ind w:firstLineChars="0"/>
        <w:rPr>
          <w:rFonts w:ascii="Times New Roman"/>
          <w:kern w:val="2"/>
          <w:szCs w:val="21"/>
        </w:rPr>
      </w:pPr>
      <w:r>
        <w:rPr>
          <w:rFonts w:ascii="Times New Roman" w:hint="eastAsia"/>
          <w:kern w:val="2"/>
          <w:szCs w:val="21"/>
        </w:rPr>
        <w:lastRenderedPageBreak/>
        <w:t>5.5.4</w:t>
      </w:r>
      <w:r>
        <w:rPr>
          <w:rFonts w:ascii="Times New Roman" w:hint="eastAsia"/>
          <w:kern w:val="2"/>
          <w:szCs w:val="21"/>
        </w:rPr>
        <w:t>中参照原子吸收光谱法的方法补充氟化氢铵处理样品的内容，并用实际样品补充实验。采纳。</w:t>
      </w:r>
    </w:p>
    <w:p w:rsidR="00F55E3A" w:rsidRDefault="00F577EE">
      <w:pPr>
        <w:pStyle w:val="ad"/>
        <w:numPr>
          <w:ilvl w:val="0"/>
          <w:numId w:val="2"/>
        </w:numPr>
        <w:tabs>
          <w:tab w:val="center" w:pos="4201"/>
          <w:tab w:val="right" w:leader="dot" w:pos="9298"/>
        </w:tabs>
        <w:ind w:firstLineChars="0"/>
        <w:rPr>
          <w:rFonts w:ascii="Times New Roman"/>
          <w:kern w:val="2"/>
          <w:szCs w:val="21"/>
        </w:rPr>
      </w:pPr>
      <w:r>
        <w:rPr>
          <w:rFonts w:ascii="Times New Roman"/>
          <w:kern w:val="2"/>
          <w:szCs w:val="21"/>
        </w:rPr>
        <w:t>分别将</w:t>
      </w:r>
      <w:r>
        <w:rPr>
          <w:rFonts w:ascii="Times New Roman"/>
          <w:kern w:val="2"/>
          <w:szCs w:val="21"/>
        </w:rPr>
        <w:t>5.7.1</w:t>
      </w:r>
      <w:r>
        <w:rPr>
          <w:rFonts w:ascii="Times New Roman"/>
          <w:kern w:val="2"/>
          <w:szCs w:val="21"/>
        </w:rPr>
        <w:t>和</w:t>
      </w:r>
      <w:r>
        <w:rPr>
          <w:rFonts w:ascii="Times New Roman"/>
          <w:kern w:val="2"/>
          <w:szCs w:val="21"/>
        </w:rPr>
        <w:t>5.7.2</w:t>
      </w:r>
      <w:r>
        <w:rPr>
          <w:rFonts w:ascii="Times New Roman"/>
          <w:kern w:val="2"/>
          <w:szCs w:val="21"/>
        </w:rPr>
        <w:t>中“精密度试验原始数据参见附录</w:t>
      </w:r>
      <w:r>
        <w:rPr>
          <w:rFonts w:ascii="Times New Roman"/>
          <w:kern w:val="2"/>
          <w:szCs w:val="21"/>
        </w:rPr>
        <w:t>B</w:t>
      </w:r>
      <w:r>
        <w:rPr>
          <w:rFonts w:ascii="Times New Roman"/>
          <w:kern w:val="2"/>
          <w:szCs w:val="21"/>
        </w:rPr>
        <w:t>”移至该段末。</w:t>
      </w:r>
      <w:r>
        <w:rPr>
          <w:rFonts w:ascii="Times New Roman" w:hint="eastAsia"/>
          <w:kern w:val="2"/>
          <w:szCs w:val="21"/>
        </w:rPr>
        <w:t>采纳。</w:t>
      </w:r>
    </w:p>
    <w:p w:rsidR="00F55E3A" w:rsidRDefault="00F577EE">
      <w:pPr>
        <w:outlineLvl w:val="3"/>
        <w:rPr>
          <w:rFonts w:ascii="黑体" w:eastAsia="黑体" w:hAnsi="黑体"/>
          <w:b/>
          <w:bCs/>
          <w:color w:val="000000"/>
          <w:szCs w:val="21"/>
        </w:rPr>
      </w:pPr>
      <w:r>
        <w:rPr>
          <w:rFonts w:ascii="黑体" w:eastAsia="黑体" w:hAnsi="黑体" w:hint="eastAsia"/>
          <w:b/>
          <w:bCs/>
          <w:color w:val="000000"/>
          <w:szCs w:val="21"/>
        </w:rPr>
        <w:t>4</w:t>
      </w:r>
      <w:r>
        <w:rPr>
          <w:rFonts w:ascii="黑体" w:eastAsia="黑体" w:hAnsi="黑体"/>
          <w:b/>
          <w:bCs/>
          <w:color w:val="000000"/>
          <w:szCs w:val="21"/>
        </w:rPr>
        <w:t xml:space="preserve">.2 </w:t>
      </w:r>
      <w:r>
        <w:rPr>
          <w:rFonts w:ascii="黑体" w:eastAsia="黑体" w:hAnsi="黑体" w:hint="eastAsia"/>
          <w:b/>
          <w:bCs/>
          <w:color w:val="000000"/>
          <w:szCs w:val="21"/>
        </w:rPr>
        <w:t>标准</w:t>
      </w:r>
      <w:r>
        <w:rPr>
          <w:rFonts w:ascii="黑体" w:eastAsia="黑体" w:hAnsi="黑体"/>
          <w:b/>
          <w:bCs/>
          <w:color w:val="000000"/>
          <w:szCs w:val="21"/>
        </w:rPr>
        <w:t>发函征求意见</w:t>
      </w:r>
    </w:p>
    <w:p w:rsidR="00F55E3A" w:rsidRDefault="00F577EE">
      <w:pPr>
        <w:ind w:firstLineChars="200" w:firstLine="420"/>
        <w:rPr>
          <w:bCs/>
          <w:szCs w:val="21"/>
        </w:rPr>
      </w:pPr>
      <w:r>
        <w:rPr>
          <w:rFonts w:hint="eastAsia"/>
          <w:szCs w:val="21"/>
        </w:rPr>
        <w:t>2022</w:t>
      </w:r>
      <w:r>
        <w:rPr>
          <w:rFonts w:hint="eastAsia"/>
          <w:szCs w:val="21"/>
        </w:rPr>
        <w:t>年</w:t>
      </w:r>
      <w:r>
        <w:rPr>
          <w:rFonts w:hint="eastAsia"/>
          <w:szCs w:val="21"/>
        </w:rPr>
        <w:t>8</w:t>
      </w:r>
      <w:r>
        <w:rPr>
          <w:rFonts w:hint="eastAsia"/>
          <w:szCs w:val="21"/>
        </w:rPr>
        <w:t>月，本标准编制组通过发函、在中国有色金属标准质量信息网上公开和会议讨论等形式对《硫化钴精矿化学分析方法</w:t>
      </w:r>
      <w:r>
        <w:rPr>
          <w:rFonts w:hint="eastAsia"/>
          <w:szCs w:val="21"/>
        </w:rPr>
        <w:t xml:space="preserve">  </w:t>
      </w:r>
      <w:r>
        <w:rPr>
          <w:rFonts w:hint="eastAsia"/>
          <w:szCs w:val="21"/>
        </w:rPr>
        <w:t>第</w:t>
      </w:r>
      <w:r>
        <w:rPr>
          <w:rFonts w:hint="eastAsia"/>
          <w:szCs w:val="21"/>
        </w:rPr>
        <w:t>2</w:t>
      </w:r>
      <w:r>
        <w:rPr>
          <w:rFonts w:hint="eastAsia"/>
          <w:szCs w:val="21"/>
        </w:rPr>
        <w:t>部分：铜含量的测定</w:t>
      </w:r>
      <w:r>
        <w:rPr>
          <w:rFonts w:hint="eastAsia"/>
          <w:szCs w:val="21"/>
        </w:rPr>
        <w:t xml:space="preserve"> </w:t>
      </w:r>
      <w:r>
        <w:rPr>
          <w:rFonts w:hint="eastAsia"/>
          <w:szCs w:val="21"/>
        </w:rPr>
        <w:t>方法</w:t>
      </w:r>
      <w:r>
        <w:rPr>
          <w:rFonts w:hint="eastAsia"/>
          <w:szCs w:val="21"/>
        </w:rPr>
        <w:t xml:space="preserve">2  </w:t>
      </w:r>
      <w:r>
        <w:rPr>
          <w:rFonts w:hint="eastAsia"/>
          <w:szCs w:val="21"/>
        </w:rPr>
        <w:t>碘量法》标准征求意见稿进行意见征询。</w:t>
      </w:r>
      <w:r>
        <w:rPr>
          <w:rFonts w:hint="eastAsia"/>
          <w:color w:val="FF0000"/>
          <w:szCs w:val="21"/>
        </w:rPr>
        <w:t>共发送单位</w:t>
      </w:r>
      <w:r>
        <w:rPr>
          <w:rFonts w:hint="eastAsia"/>
          <w:color w:val="FF0000"/>
          <w:szCs w:val="21"/>
        </w:rPr>
        <w:t>2</w:t>
      </w:r>
      <w:r>
        <w:rPr>
          <w:color w:val="FF0000"/>
          <w:szCs w:val="21"/>
        </w:rPr>
        <w:t>4</w:t>
      </w:r>
      <w:r>
        <w:rPr>
          <w:rFonts w:hint="eastAsia"/>
          <w:color w:val="FF0000"/>
          <w:szCs w:val="21"/>
        </w:rPr>
        <w:t>个，其中</w:t>
      </w:r>
      <w:r>
        <w:rPr>
          <w:color w:val="FF0000"/>
        </w:rPr>
        <w:t>科研院所</w:t>
      </w:r>
      <w:r>
        <w:rPr>
          <w:color w:val="FF0000"/>
        </w:rPr>
        <w:t>8</w:t>
      </w:r>
      <w:r>
        <w:rPr>
          <w:color w:val="FF0000"/>
        </w:rPr>
        <w:t>份，占比</w:t>
      </w:r>
      <w:r>
        <w:rPr>
          <w:rFonts w:hint="eastAsia"/>
          <w:color w:val="FF0000"/>
        </w:rPr>
        <w:t>33</w:t>
      </w:r>
      <w:r>
        <w:rPr>
          <w:color w:val="FF0000"/>
        </w:rPr>
        <w:t>.3 %</w:t>
      </w:r>
      <w:r>
        <w:rPr>
          <w:color w:val="FF0000"/>
        </w:rPr>
        <w:t>，用户</w:t>
      </w:r>
      <w:r>
        <w:rPr>
          <w:color w:val="FF0000"/>
        </w:rPr>
        <w:t>3</w:t>
      </w:r>
      <w:r>
        <w:rPr>
          <w:color w:val="FF0000"/>
        </w:rPr>
        <w:t>份，占比</w:t>
      </w:r>
      <w:r>
        <w:rPr>
          <w:color w:val="FF0000"/>
        </w:rPr>
        <w:t>12.5 %</w:t>
      </w:r>
      <w:r>
        <w:rPr>
          <w:color w:val="FF0000"/>
        </w:rPr>
        <w:t>，其它</w:t>
      </w:r>
      <w:r>
        <w:rPr>
          <w:color w:val="FF0000"/>
        </w:rPr>
        <w:t>13</w:t>
      </w:r>
      <w:r>
        <w:rPr>
          <w:color w:val="FF0000"/>
        </w:rPr>
        <w:t>份，占比</w:t>
      </w:r>
      <w:r>
        <w:rPr>
          <w:color w:val="FF0000"/>
        </w:rPr>
        <w:t>54.2 %</w:t>
      </w:r>
      <w:r>
        <w:rPr>
          <w:color w:val="FF0000"/>
        </w:rPr>
        <w:t>，回函</w:t>
      </w:r>
      <w:r>
        <w:rPr>
          <w:color w:val="FF0000"/>
        </w:rPr>
        <w:t>24</w:t>
      </w:r>
      <w:r>
        <w:rPr>
          <w:color w:val="FF0000"/>
        </w:rPr>
        <w:t>份，回函有意见或建议的单位</w:t>
      </w:r>
      <w:r>
        <w:rPr>
          <w:color w:val="FF0000"/>
        </w:rPr>
        <w:t>10</w:t>
      </w:r>
      <w:r>
        <w:rPr>
          <w:color w:val="FF0000"/>
        </w:rPr>
        <w:t>份。根据征求意见稿的回函情况，针对反馈意见，编写了《标准征求意见稿意见处理汇总表》。</w:t>
      </w:r>
    </w:p>
    <w:p w:rsidR="00F55E3A" w:rsidRDefault="00F577EE">
      <w:pPr>
        <w:outlineLvl w:val="2"/>
        <w:rPr>
          <w:rFonts w:ascii="黑体" w:eastAsia="黑体" w:hAnsi="黑体"/>
          <w:color w:val="000000"/>
          <w:szCs w:val="21"/>
        </w:rPr>
      </w:pPr>
      <w:bookmarkStart w:id="13" w:name="_Toc111022823"/>
      <w:r>
        <w:rPr>
          <w:rFonts w:ascii="黑体" w:eastAsia="黑体" w:hAnsi="黑体"/>
          <w:color w:val="000000"/>
          <w:szCs w:val="21"/>
        </w:rPr>
        <w:t>5</w:t>
      </w:r>
      <w:r>
        <w:rPr>
          <w:rFonts w:ascii="黑体" w:eastAsia="黑体" w:hAnsi="黑体" w:hint="eastAsia"/>
          <w:color w:val="000000"/>
          <w:szCs w:val="21"/>
        </w:rPr>
        <w:t>、审查阶段</w:t>
      </w:r>
      <w:bookmarkEnd w:id="13"/>
    </w:p>
    <w:p w:rsidR="00F55E3A" w:rsidRDefault="00F577EE">
      <w:pPr>
        <w:spacing w:line="360" w:lineRule="auto"/>
        <w:outlineLvl w:val="3"/>
        <w:rPr>
          <w:b/>
          <w:bCs/>
          <w:szCs w:val="21"/>
        </w:rPr>
      </w:pPr>
      <w:r>
        <w:rPr>
          <w:rFonts w:eastAsia="黑体"/>
          <w:b/>
          <w:bCs/>
          <w:color w:val="000000"/>
          <w:szCs w:val="21"/>
        </w:rPr>
        <w:t xml:space="preserve">5.1 </w:t>
      </w:r>
      <w:r>
        <w:rPr>
          <w:b/>
          <w:bCs/>
          <w:szCs w:val="21"/>
        </w:rPr>
        <w:t>标准技术专家审查</w:t>
      </w:r>
    </w:p>
    <w:p w:rsidR="00F55E3A" w:rsidRDefault="00F55E3A">
      <w:pPr>
        <w:spacing w:line="360" w:lineRule="auto"/>
        <w:rPr>
          <w:rFonts w:eastAsia="黑体"/>
          <w:color w:val="000000"/>
          <w:szCs w:val="21"/>
        </w:rPr>
      </w:pPr>
    </w:p>
    <w:p w:rsidR="00F55E3A" w:rsidRDefault="00F577EE">
      <w:pPr>
        <w:spacing w:line="360" w:lineRule="auto"/>
        <w:outlineLvl w:val="3"/>
        <w:rPr>
          <w:rFonts w:eastAsia="黑体"/>
          <w:b/>
          <w:bCs/>
          <w:color w:val="000000"/>
          <w:szCs w:val="21"/>
        </w:rPr>
      </w:pPr>
      <w:r>
        <w:rPr>
          <w:rFonts w:eastAsia="黑体"/>
          <w:b/>
          <w:bCs/>
          <w:color w:val="000000"/>
          <w:szCs w:val="21"/>
        </w:rPr>
        <w:t xml:space="preserve">5.2 </w:t>
      </w:r>
      <w:r>
        <w:rPr>
          <w:rFonts w:eastAsia="黑体"/>
          <w:b/>
          <w:bCs/>
          <w:color w:val="000000"/>
          <w:szCs w:val="21"/>
        </w:rPr>
        <w:t>委员审查会议</w:t>
      </w:r>
    </w:p>
    <w:p w:rsidR="00F55E3A" w:rsidRDefault="00F55E3A">
      <w:pPr>
        <w:spacing w:line="360" w:lineRule="auto"/>
        <w:rPr>
          <w:rFonts w:ascii="黑体" w:eastAsia="黑体" w:hAnsi="黑体"/>
          <w:color w:val="000000"/>
          <w:szCs w:val="21"/>
        </w:rPr>
      </w:pPr>
    </w:p>
    <w:p w:rsidR="00F55E3A" w:rsidRDefault="00F577EE">
      <w:pPr>
        <w:outlineLvl w:val="2"/>
        <w:rPr>
          <w:rFonts w:ascii="黑体" w:eastAsia="黑体" w:hAnsi="黑体"/>
          <w:color w:val="000000"/>
          <w:szCs w:val="21"/>
        </w:rPr>
      </w:pPr>
      <w:bookmarkStart w:id="14" w:name="_Toc111022824"/>
      <w:r>
        <w:rPr>
          <w:rFonts w:ascii="黑体" w:eastAsia="黑体" w:hAnsi="黑体" w:hint="eastAsia"/>
          <w:color w:val="000000"/>
          <w:szCs w:val="21"/>
        </w:rPr>
        <w:t>6、报批阶段</w:t>
      </w:r>
      <w:bookmarkEnd w:id="14"/>
    </w:p>
    <w:p w:rsidR="00F55E3A" w:rsidRDefault="00F55E3A">
      <w:pPr>
        <w:rPr>
          <w:rFonts w:ascii="黑体" w:eastAsia="黑体" w:hAnsi="黑体"/>
          <w:color w:val="000000"/>
          <w:szCs w:val="21"/>
        </w:rPr>
      </w:pPr>
    </w:p>
    <w:p w:rsidR="00F55E3A" w:rsidRDefault="00F577EE">
      <w:pPr>
        <w:pStyle w:val="af2"/>
        <w:numPr>
          <w:ilvl w:val="0"/>
          <w:numId w:val="1"/>
        </w:numPr>
        <w:spacing w:line="360" w:lineRule="auto"/>
        <w:ind w:left="482" w:firstLineChars="0" w:hanging="482"/>
        <w:outlineLvl w:val="0"/>
        <w:rPr>
          <w:rFonts w:ascii="黑体" w:eastAsia="黑体" w:hAnsi="宋体"/>
          <w:sz w:val="24"/>
        </w:rPr>
      </w:pPr>
      <w:bookmarkStart w:id="15" w:name="_Toc111022825"/>
      <w:bookmarkStart w:id="16" w:name="_Hlk92446264"/>
      <w:r>
        <w:rPr>
          <w:rFonts w:ascii="黑体" w:eastAsia="黑体" w:hAnsi="宋体" w:hint="eastAsia"/>
          <w:sz w:val="24"/>
        </w:rPr>
        <w:t>标准编制原则</w:t>
      </w:r>
      <w:bookmarkEnd w:id="15"/>
    </w:p>
    <w:p w:rsidR="00F55E3A" w:rsidRDefault="00F577EE">
      <w:pPr>
        <w:ind w:firstLineChars="200" w:firstLine="420"/>
        <w:rPr>
          <w:szCs w:val="21"/>
        </w:rPr>
      </w:pPr>
      <w:r>
        <w:rPr>
          <w:rFonts w:hint="eastAsia"/>
          <w:szCs w:val="21"/>
        </w:rPr>
        <w:t>1</w:t>
      </w:r>
      <w:r>
        <w:rPr>
          <w:rFonts w:hint="eastAsia"/>
          <w:szCs w:val="21"/>
        </w:rPr>
        <w:t>、本标准是根据</w:t>
      </w:r>
      <w:r>
        <w:rPr>
          <w:rFonts w:hint="eastAsia"/>
          <w:szCs w:val="21"/>
        </w:rPr>
        <w:t>GB/T1.1-2020</w:t>
      </w:r>
      <w:r>
        <w:rPr>
          <w:rFonts w:hint="eastAsia"/>
          <w:szCs w:val="21"/>
        </w:rPr>
        <w:t>《标准化工作导则</w:t>
      </w:r>
      <w:r>
        <w:rPr>
          <w:rFonts w:hint="eastAsia"/>
          <w:szCs w:val="21"/>
        </w:rPr>
        <w:t xml:space="preserve"> </w:t>
      </w:r>
      <w:r>
        <w:rPr>
          <w:rFonts w:hint="eastAsia"/>
          <w:szCs w:val="21"/>
        </w:rPr>
        <w:t>第</w:t>
      </w:r>
      <w:r>
        <w:rPr>
          <w:rFonts w:hint="eastAsia"/>
          <w:szCs w:val="21"/>
        </w:rPr>
        <w:t>1</w:t>
      </w:r>
      <w:r>
        <w:rPr>
          <w:rFonts w:hint="eastAsia"/>
          <w:szCs w:val="21"/>
        </w:rPr>
        <w:t>部分：标准的结构和编写规则》和</w:t>
      </w:r>
      <w:r>
        <w:rPr>
          <w:rFonts w:hint="eastAsia"/>
          <w:szCs w:val="21"/>
        </w:rPr>
        <w:t>GB/T20001.4-2001</w:t>
      </w:r>
      <w:r>
        <w:rPr>
          <w:rFonts w:hint="eastAsia"/>
          <w:szCs w:val="21"/>
        </w:rPr>
        <w:t>《标准编写规则</w:t>
      </w:r>
      <w:r>
        <w:rPr>
          <w:rFonts w:hint="eastAsia"/>
          <w:szCs w:val="21"/>
        </w:rPr>
        <w:t xml:space="preserve"> </w:t>
      </w:r>
      <w:r>
        <w:rPr>
          <w:rFonts w:hint="eastAsia"/>
          <w:szCs w:val="21"/>
        </w:rPr>
        <w:t>第</w:t>
      </w:r>
      <w:r>
        <w:rPr>
          <w:rFonts w:hint="eastAsia"/>
          <w:szCs w:val="21"/>
        </w:rPr>
        <w:t>4</w:t>
      </w:r>
      <w:r>
        <w:rPr>
          <w:rFonts w:hint="eastAsia"/>
          <w:szCs w:val="21"/>
        </w:rPr>
        <w:t>部分：化学分析方法》的要求进行编写，编制本标准的目的是满足硫化钴精矿中铜含量贸易和生产的需求。</w:t>
      </w:r>
    </w:p>
    <w:p w:rsidR="00F55E3A" w:rsidRDefault="00F577EE">
      <w:pPr>
        <w:ind w:firstLineChars="200" w:firstLine="420"/>
        <w:rPr>
          <w:szCs w:val="21"/>
        </w:rPr>
      </w:pPr>
      <w:r>
        <w:rPr>
          <w:szCs w:val="21"/>
        </w:rPr>
        <w:t>2</w:t>
      </w:r>
      <w:r>
        <w:rPr>
          <w:rFonts w:hint="eastAsia"/>
          <w:szCs w:val="21"/>
        </w:rPr>
        <w:t>、</w:t>
      </w:r>
      <w:r>
        <w:rPr>
          <w:rFonts w:hint="eastAsia"/>
          <w:bCs/>
          <w:color w:val="000000"/>
          <w:szCs w:val="21"/>
        </w:rPr>
        <w:t>按照</w:t>
      </w:r>
      <w:r>
        <w:rPr>
          <w:bCs/>
          <w:color w:val="000000"/>
          <w:szCs w:val="21"/>
        </w:rPr>
        <w:t>GB/T 6379.2-2004 </w:t>
      </w:r>
      <w:r>
        <w:rPr>
          <w:rFonts w:hint="eastAsia"/>
          <w:bCs/>
          <w:color w:val="000000"/>
          <w:szCs w:val="21"/>
        </w:rPr>
        <w:t>《测量方法与结果的准确度</w:t>
      </w:r>
      <w:r>
        <w:rPr>
          <w:bCs/>
          <w:color w:val="000000"/>
          <w:szCs w:val="21"/>
        </w:rPr>
        <w:t>(</w:t>
      </w:r>
      <w:r>
        <w:rPr>
          <w:rFonts w:hint="eastAsia"/>
          <w:bCs/>
          <w:color w:val="000000"/>
          <w:szCs w:val="21"/>
        </w:rPr>
        <w:t>正确度与精密度</w:t>
      </w:r>
      <w:r>
        <w:rPr>
          <w:bCs/>
          <w:color w:val="000000"/>
          <w:szCs w:val="21"/>
        </w:rPr>
        <w:t xml:space="preserve">) </w:t>
      </w:r>
      <w:r>
        <w:rPr>
          <w:rFonts w:hint="eastAsia"/>
          <w:bCs/>
          <w:color w:val="000000"/>
          <w:szCs w:val="21"/>
        </w:rPr>
        <w:t>第</w:t>
      </w:r>
      <w:r>
        <w:rPr>
          <w:bCs/>
          <w:color w:val="000000"/>
          <w:szCs w:val="21"/>
        </w:rPr>
        <w:t>2</w:t>
      </w:r>
      <w:r>
        <w:rPr>
          <w:rFonts w:hint="eastAsia"/>
          <w:bCs/>
          <w:color w:val="000000"/>
          <w:szCs w:val="21"/>
        </w:rPr>
        <w:t>部分</w:t>
      </w:r>
      <w:r>
        <w:rPr>
          <w:bCs/>
          <w:color w:val="000000"/>
          <w:szCs w:val="21"/>
        </w:rPr>
        <w:t>:</w:t>
      </w:r>
      <w:r>
        <w:rPr>
          <w:rFonts w:hint="eastAsia"/>
          <w:bCs/>
          <w:color w:val="000000"/>
          <w:szCs w:val="21"/>
        </w:rPr>
        <w:t>确定标准测量方法重复性与再现性的基本方法</w:t>
      </w:r>
      <w:r>
        <w:rPr>
          <w:bCs/>
          <w:color w:val="000000"/>
          <w:szCs w:val="21"/>
        </w:rPr>
        <w:t> </w:t>
      </w:r>
      <w:r>
        <w:rPr>
          <w:rFonts w:hint="eastAsia"/>
          <w:bCs/>
          <w:color w:val="000000"/>
          <w:szCs w:val="21"/>
        </w:rPr>
        <w:t>》确定方法的重现性和再现性。</w:t>
      </w:r>
    </w:p>
    <w:p w:rsidR="00F55E3A" w:rsidRDefault="00F577EE">
      <w:pPr>
        <w:outlineLvl w:val="1"/>
        <w:rPr>
          <w:b/>
          <w:szCs w:val="21"/>
        </w:rPr>
      </w:pPr>
      <w:bookmarkStart w:id="17" w:name="_Toc111022826"/>
      <w:r>
        <w:rPr>
          <w:rFonts w:hint="eastAsia"/>
          <w:b/>
          <w:szCs w:val="21"/>
        </w:rPr>
        <w:t>（一）预期目标</w:t>
      </w:r>
      <w:bookmarkEnd w:id="17"/>
    </w:p>
    <w:p w:rsidR="00F55E3A" w:rsidRDefault="00F577EE">
      <w:pPr>
        <w:ind w:firstLineChars="200" w:firstLine="420"/>
      </w:pPr>
      <w:r>
        <w:rPr>
          <w:rFonts w:hint="eastAsia"/>
          <w:szCs w:val="21"/>
        </w:rPr>
        <w:t>随着国外进口硫化钴精矿的增加，硫化钴精矿中铜含量已发生较大变化，部分厂家的硫化钴精矿中的铜含量接近</w:t>
      </w:r>
      <w:r>
        <w:rPr>
          <w:szCs w:val="21"/>
        </w:rPr>
        <w:t>35</w:t>
      </w:r>
      <w:r>
        <w:rPr>
          <w:rFonts w:hint="eastAsia"/>
          <w:szCs w:val="21"/>
        </w:rPr>
        <w:t>%</w:t>
      </w:r>
      <w:r>
        <w:rPr>
          <w:rFonts w:hint="eastAsia"/>
          <w:szCs w:val="21"/>
        </w:rPr>
        <w:t>，</w:t>
      </w:r>
      <w:r>
        <w:rPr>
          <w:rFonts w:hint="eastAsia"/>
          <w:szCs w:val="21"/>
        </w:rPr>
        <w:t>YS/T 349.2-2010</w:t>
      </w:r>
      <w:r>
        <w:rPr>
          <w:rFonts w:hint="eastAsia"/>
          <w:szCs w:val="21"/>
        </w:rPr>
        <w:t>所规定的铜含量测定范围</w:t>
      </w:r>
      <w:bookmarkStart w:id="18" w:name="_Hlk97111433"/>
      <w:r>
        <w:rPr>
          <w:rFonts w:hint="eastAsia"/>
          <w:szCs w:val="21"/>
        </w:rPr>
        <w:t>0</w:t>
      </w:r>
      <w:r>
        <w:rPr>
          <w:szCs w:val="21"/>
        </w:rPr>
        <w:t>.1</w:t>
      </w:r>
      <w:r>
        <w:rPr>
          <w:rFonts w:hint="eastAsia"/>
          <w:szCs w:val="21"/>
        </w:rPr>
        <w:t>%</w:t>
      </w:r>
      <w:r>
        <w:rPr>
          <w:rFonts w:hint="eastAsia"/>
          <w:szCs w:val="21"/>
        </w:rPr>
        <w:t>～</w:t>
      </w:r>
      <w:r>
        <w:rPr>
          <w:szCs w:val="21"/>
        </w:rPr>
        <w:t>2.00</w:t>
      </w:r>
      <w:r>
        <w:rPr>
          <w:rFonts w:hint="eastAsia"/>
          <w:szCs w:val="21"/>
        </w:rPr>
        <w:t>%</w:t>
      </w:r>
      <w:bookmarkEnd w:id="18"/>
      <w:r>
        <w:rPr>
          <w:rFonts w:hint="eastAsia"/>
          <w:szCs w:val="21"/>
        </w:rPr>
        <w:t>，不能满足进口硫化钴精矿的贸易和生产需求。通过对本标准的修订，</w:t>
      </w:r>
      <w:r>
        <w:rPr>
          <w:rFonts w:hint="eastAsia"/>
        </w:rPr>
        <w:t>建立的硫化钴精矿中铜含量的标准分析方法，测定范围修订为</w:t>
      </w:r>
      <w:r>
        <w:rPr>
          <w:rFonts w:hint="eastAsia"/>
          <w:szCs w:val="21"/>
        </w:rPr>
        <w:t>0</w:t>
      </w:r>
      <w:r>
        <w:rPr>
          <w:szCs w:val="21"/>
        </w:rPr>
        <w:t>.1</w:t>
      </w:r>
      <w:r>
        <w:rPr>
          <w:rFonts w:hint="eastAsia"/>
          <w:szCs w:val="21"/>
        </w:rPr>
        <w:t>0 %</w:t>
      </w:r>
      <w:r>
        <w:rPr>
          <w:rFonts w:hint="eastAsia"/>
          <w:szCs w:val="21"/>
        </w:rPr>
        <w:t>～</w:t>
      </w:r>
      <w:r>
        <w:rPr>
          <w:szCs w:val="21"/>
        </w:rPr>
        <w:t>35</w:t>
      </w:r>
      <w:r>
        <w:rPr>
          <w:rFonts w:hint="eastAsia"/>
          <w:szCs w:val="21"/>
        </w:rPr>
        <w:t>.00 %</w:t>
      </w:r>
      <w:r>
        <w:rPr>
          <w:rFonts w:hint="eastAsia"/>
          <w:szCs w:val="21"/>
        </w:rPr>
        <w:t>，</w:t>
      </w:r>
      <w:r>
        <w:rPr>
          <w:rFonts w:hint="eastAsia"/>
        </w:rPr>
        <w:t>能够更好的满足国内外硫化钴精矿的检测需求，起到指导硫化钴精矿中铜元素的冶炼回收工艺，对今后的进出口贸易带来很好的经济效益和社会效益。</w:t>
      </w:r>
    </w:p>
    <w:p w:rsidR="00F55E3A" w:rsidRDefault="00F577EE">
      <w:pPr>
        <w:outlineLvl w:val="1"/>
        <w:rPr>
          <w:b/>
          <w:szCs w:val="21"/>
        </w:rPr>
      </w:pPr>
      <w:bookmarkStart w:id="19" w:name="_Toc111022827"/>
      <w:r>
        <w:rPr>
          <w:rFonts w:hint="eastAsia"/>
          <w:b/>
          <w:szCs w:val="21"/>
        </w:rPr>
        <w:t>（二）主要技术路线</w:t>
      </w:r>
      <w:bookmarkEnd w:id="19"/>
    </w:p>
    <w:p w:rsidR="00F55E3A" w:rsidRDefault="00F577EE">
      <w:pPr>
        <w:ind w:firstLineChars="200" w:firstLine="420"/>
        <w:rPr>
          <w:color w:val="000000"/>
          <w:szCs w:val="21"/>
        </w:rPr>
      </w:pPr>
      <w:r>
        <w:rPr>
          <w:rFonts w:hint="eastAsia"/>
          <w:szCs w:val="21"/>
        </w:rPr>
        <w:t>“</w:t>
      </w:r>
      <w:r>
        <w:rPr>
          <w:rFonts w:hint="eastAsia"/>
          <w:szCs w:val="21"/>
        </w:rPr>
        <w:t xml:space="preserve">YS/T 349.2-2010 </w:t>
      </w:r>
      <w:r>
        <w:rPr>
          <w:rFonts w:hint="eastAsia"/>
          <w:szCs w:val="21"/>
        </w:rPr>
        <w:t>硫化钴精矿化学分析方法</w:t>
      </w:r>
      <w:r>
        <w:rPr>
          <w:rFonts w:hint="eastAsia"/>
          <w:szCs w:val="21"/>
        </w:rPr>
        <w:t xml:space="preserve">  </w:t>
      </w:r>
      <w:r>
        <w:rPr>
          <w:rFonts w:hint="eastAsia"/>
          <w:szCs w:val="21"/>
        </w:rPr>
        <w:t>第</w:t>
      </w:r>
      <w:r>
        <w:rPr>
          <w:rFonts w:hint="eastAsia"/>
          <w:szCs w:val="21"/>
        </w:rPr>
        <w:t>2</w:t>
      </w:r>
      <w:r>
        <w:rPr>
          <w:rFonts w:hint="eastAsia"/>
          <w:szCs w:val="21"/>
        </w:rPr>
        <w:t>部分：铜量的测定</w:t>
      </w:r>
      <w:r>
        <w:rPr>
          <w:rFonts w:hint="eastAsia"/>
          <w:szCs w:val="21"/>
        </w:rPr>
        <w:t xml:space="preserve">  </w:t>
      </w:r>
      <w:r>
        <w:rPr>
          <w:rFonts w:hint="eastAsia"/>
          <w:szCs w:val="21"/>
        </w:rPr>
        <w:t>火焰原子吸收光谱法”标准规定的铜测定范围为</w:t>
      </w:r>
      <w:r>
        <w:rPr>
          <w:rFonts w:hint="eastAsia"/>
          <w:szCs w:val="21"/>
        </w:rPr>
        <w:t>0.1 %</w:t>
      </w:r>
      <w:r>
        <w:rPr>
          <w:rFonts w:hint="eastAsia"/>
          <w:szCs w:val="21"/>
        </w:rPr>
        <w:t>～</w:t>
      </w:r>
      <w:r>
        <w:rPr>
          <w:rFonts w:hint="eastAsia"/>
          <w:szCs w:val="21"/>
        </w:rPr>
        <w:t>2 %</w:t>
      </w:r>
      <w:r>
        <w:rPr>
          <w:rFonts w:hint="eastAsia"/>
          <w:szCs w:val="21"/>
        </w:rPr>
        <w:t>，随着国外进口硫化钴精矿的增加，硫化钴精矿中铜含量已发生较大变化，部分厂家的硫化钴精矿中的铜含量接近</w:t>
      </w:r>
      <w:r>
        <w:rPr>
          <w:rFonts w:hint="eastAsia"/>
          <w:szCs w:val="21"/>
        </w:rPr>
        <w:t>2</w:t>
      </w:r>
      <w:r>
        <w:rPr>
          <w:szCs w:val="21"/>
        </w:rPr>
        <w:t>0</w:t>
      </w:r>
      <w:r>
        <w:rPr>
          <w:rFonts w:hint="eastAsia"/>
          <w:szCs w:val="21"/>
        </w:rPr>
        <w:t xml:space="preserve"> %</w:t>
      </w:r>
      <w:r>
        <w:rPr>
          <w:rFonts w:hint="eastAsia"/>
          <w:szCs w:val="21"/>
        </w:rPr>
        <w:t>，与日益变化的钴精矿产品情况已不匹配，因此，本次标准的</w:t>
      </w:r>
      <w:r>
        <w:rPr>
          <w:color w:val="000000"/>
          <w:szCs w:val="21"/>
        </w:rPr>
        <w:t>测定范围</w:t>
      </w:r>
      <w:r>
        <w:rPr>
          <w:rFonts w:hint="eastAsia"/>
          <w:color w:val="000000"/>
          <w:szCs w:val="21"/>
        </w:rPr>
        <w:t>由</w:t>
      </w:r>
      <w:r>
        <w:rPr>
          <w:rFonts w:hint="eastAsia"/>
          <w:color w:val="000000"/>
          <w:szCs w:val="21"/>
        </w:rPr>
        <w:t>0</w:t>
      </w:r>
      <w:r>
        <w:rPr>
          <w:color w:val="000000"/>
          <w:szCs w:val="21"/>
        </w:rPr>
        <w:t>.1</w:t>
      </w:r>
      <w:r>
        <w:rPr>
          <w:rFonts w:hint="eastAsia"/>
          <w:color w:val="000000"/>
          <w:szCs w:val="21"/>
        </w:rPr>
        <w:t xml:space="preserve"> %</w:t>
      </w:r>
      <w:r>
        <w:rPr>
          <w:rFonts w:hint="eastAsia"/>
          <w:color w:val="000000"/>
          <w:szCs w:val="21"/>
        </w:rPr>
        <w:t>～</w:t>
      </w:r>
      <w:r>
        <w:rPr>
          <w:color w:val="000000"/>
          <w:szCs w:val="21"/>
        </w:rPr>
        <w:t>2</w:t>
      </w:r>
      <w:r>
        <w:rPr>
          <w:rFonts w:hint="eastAsia"/>
          <w:color w:val="000000"/>
          <w:szCs w:val="21"/>
        </w:rPr>
        <w:t xml:space="preserve"> %</w:t>
      </w:r>
      <w:r>
        <w:rPr>
          <w:color w:val="000000"/>
          <w:szCs w:val="21"/>
        </w:rPr>
        <w:t xml:space="preserve"> </w:t>
      </w:r>
      <w:r>
        <w:rPr>
          <w:rFonts w:hint="eastAsia"/>
          <w:color w:val="000000"/>
          <w:szCs w:val="21"/>
        </w:rPr>
        <w:t>修订为</w:t>
      </w:r>
      <w:r>
        <w:t>0.10</w:t>
      </w:r>
      <w:r>
        <w:rPr>
          <w:rFonts w:hint="eastAsia"/>
        </w:rPr>
        <w:t xml:space="preserve"> %</w:t>
      </w:r>
      <w:r>
        <w:rPr>
          <w:rFonts w:hAnsi="宋体"/>
        </w:rPr>
        <w:t>～</w:t>
      </w:r>
      <w:r>
        <w:rPr>
          <w:color w:val="FF0000"/>
        </w:rPr>
        <w:t>35.00</w:t>
      </w:r>
      <w:r>
        <w:rPr>
          <w:rFonts w:hint="eastAsia"/>
          <w:color w:val="FF0000"/>
        </w:rPr>
        <w:t xml:space="preserve"> %</w:t>
      </w:r>
      <w:r>
        <w:rPr>
          <w:rFonts w:hint="eastAsia"/>
          <w:color w:val="000000"/>
          <w:szCs w:val="21"/>
        </w:rPr>
        <w:t>；测定方法保留</w:t>
      </w:r>
      <w:r>
        <w:rPr>
          <w:rFonts w:hint="eastAsia"/>
          <w:szCs w:val="21"/>
        </w:rPr>
        <w:t>YS/T 349.2-2010</w:t>
      </w:r>
      <w:r>
        <w:rPr>
          <w:rFonts w:hint="eastAsia"/>
          <w:szCs w:val="21"/>
        </w:rPr>
        <w:t>的</w:t>
      </w:r>
      <w:r>
        <w:rPr>
          <w:rFonts w:hint="eastAsia"/>
          <w:color w:val="000000"/>
          <w:szCs w:val="21"/>
        </w:rPr>
        <w:t>火焰原子吸收法，分析范围由</w:t>
      </w:r>
      <w:r>
        <w:rPr>
          <w:rFonts w:hint="eastAsia"/>
          <w:color w:val="000000"/>
          <w:szCs w:val="21"/>
        </w:rPr>
        <w:t>0</w:t>
      </w:r>
      <w:r>
        <w:rPr>
          <w:color w:val="000000"/>
          <w:szCs w:val="21"/>
        </w:rPr>
        <w:t>.1</w:t>
      </w:r>
      <w:r>
        <w:rPr>
          <w:rFonts w:hint="eastAsia"/>
          <w:color w:val="000000"/>
          <w:szCs w:val="21"/>
        </w:rPr>
        <w:t xml:space="preserve"> %</w:t>
      </w:r>
      <w:r>
        <w:rPr>
          <w:rFonts w:hint="eastAsia"/>
          <w:color w:val="000000"/>
          <w:szCs w:val="21"/>
        </w:rPr>
        <w:t>～</w:t>
      </w:r>
      <w:r>
        <w:rPr>
          <w:color w:val="000000"/>
          <w:szCs w:val="21"/>
        </w:rPr>
        <w:t>2</w:t>
      </w:r>
      <w:r>
        <w:rPr>
          <w:rFonts w:hint="eastAsia"/>
          <w:color w:val="000000"/>
          <w:szCs w:val="21"/>
        </w:rPr>
        <w:t xml:space="preserve"> %</w:t>
      </w:r>
      <w:r>
        <w:rPr>
          <w:rFonts w:hint="eastAsia"/>
          <w:color w:val="000000"/>
          <w:szCs w:val="21"/>
        </w:rPr>
        <w:t>修订为</w:t>
      </w:r>
      <w:r>
        <w:rPr>
          <w:rFonts w:hint="eastAsia"/>
          <w:color w:val="000000"/>
          <w:szCs w:val="21"/>
        </w:rPr>
        <w:t>0</w:t>
      </w:r>
      <w:r>
        <w:rPr>
          <w:color w:val="000000"/>
          <w:szCs w:val="21"/>
        </w:rPr>
        <w:t>.10</w:t>
      </w:r>
      <w:r>
        <w:rPr>
          <w:rFonts w:hint="eastAsia"/>
          <w:color w:val="000000"/>
          <w:szCs w:val="21"/>
        </w:rPr>
        <w:t xml:space="preserve"> %</w:t>
      </w:r>
      <w:r>
        <w:rPr>
          <w:rFonts w:hint="eastAsia"/>
          <w:color w:val="000000"/>
          <w:szCs w:val="21"/>
        </w:rPr>
        <w:t>～</w:t>
      </w:r>
      <w:r>
        <w:rPr>
          <w:color w:val="FF0000"/>
          <w:szCs w:val="21"/>
        </w:rPr>
        <w:t>4.50</w:t>
      </w:r>
      <w:r>
        <w:rPr>
          <w:rFonts w:hint="eastAsia"/>
          <w:color w:val="FF0000"/>
          <w:szCs w:val="21"/>
        </w:rPr>
        <w:t xml:space="preserve"> %</w:t>
      </w:r>
      <w:r>
        <w:rPr>
          <w:rFonts w:hint="eastAsia"/>
          <w:color w:val="000000"/>
          <w:szCs w:val="21"/>
        </w:rPr>
        <w:t>，为方法</w:t>
      </w:r>
      <w:r>
        <w:rPr>
          <w:rFonts w:hint="eastAsia"/>
          <w:color w:val="000000"/>
          <w:szCs w:val="21"/>
        </w:rPr>
        <w:t>1</w:t>
      </w:r>
      <w:r>
        <w:rPr>
          <w:rFonts w:hint="eastAsia"/>
          <w:color w:val="000000"/>
          <w:szCs w:val="21"/>
        </w:rPr>
        <w:t>；增加方法</w:t>
      </w:r>
      <w:r>
        <w:rPr>
          <w:rFonts w:hint="eastAsia"/>
          <w:color w:val="000000"/>
          <w:szCs w:val="21"/>
        </w:rPr>
        <w:t>2</w:t>
      </w:r>
      <w:r>
        <w:rPr>
          <w:rFonts w:hint="eastAsia"/>
          <w:color w:val="000000"/>
          <w:szCs w:val="21"/>
        </w:rPr>
        <w:t>：碘量法，测定范围为</w:t>
      </w:r>
      <w:r>
        <w:rPr>
          <w:color w:val="FF0000"/>
          <w:szCs w:val="21"/>
        </w:rPr>
        <w:t>4.50</w:t>
      </w:r>
      <w:r>
        <w:rPr>
          <w:rFonts w:hint="eastAsia"/>
          <w:color w:val="FF0000"/>
          <w:szCs w:val="21"/>
        </w:rPr>
        <w:t>%</w:t>
      </w:r>
      <w:r>
        <w:rPr>
          <w:rFonts w:hint="eastAsia"/>
          <w:color w:val="000000"/>
          <w:szCs w:val="21"/>
        </w:rPr>
        <w:t>～</w:t>
      </w:r>
      <w:r>
        <w:rPr>
          <w:color w:val="000000"/>
          <w:szCs w:val="21"/>
        </w:rPr>
        <w:t>35.00</w:t>
      </w:r>
      <w:r>
        <w:rPr>
          <w:rFonts w:hint="eastAsia"/>
          <w:color w:val="000000"/>
          <w:szCs w:val="21"/>
        </w:rPr>
        <w:t xml:space="preserve"> %</w:t>
      </w:r>
      <w:r>
        <w:rPr>
          <w:rFonts w:hint="eastAsia"/>
          <w:color w:val="000000"/>
          <w:szCs w:val="21"/>
        </w:rPr>
        <w:t>。</w:t>
      </w:r>
    </w:p>
    <w:p w:rsidR="00F55E3A" w:rsidRDefault="00F577EE">
      <w:pPr>
        <w:ind w:firstLineChars="200" w:firstLine="420"/>
        <w:rPr>
          <w:szCs w:val="21"/>
        </w:rPr>
      </w:pPr>
      <w:r>
        <w:rPr>
          <w:rFonts w:hint="eastAsia"/>
          <w:szCs w:val="21"/>
        </w:rPr>
        <w:t>方法</w:t>
      </w:r>
      <w:r>
        <w:rPr>
          <w:rFonts w:hint="eastAsia"/>
          <w:szCs w:val="21"/>
        </w:rPr>
        <w:t>1</w:t>
      </w:r>
      <w:r>
        <w:rPr>
          <w:rFonts w:hint="eastAsia"/>
          <w:szCs w:val="21"/>
        </w:rPr>
        <w:t>火焰原子吸收法：本标准对该方法进行修订，</w:t>
      </w:r>
      <w:r>
        <w:rPr>
          <w:szCs w:val="21"/>
        </w:rPr>
        <w:t>起草单位</w:t>
      </w:r>
      <w:r>
        <w:rPr>
          <w:bCs/>
          <w:szCs w:val="21"/>
        </w:rPr>
        <w:t>金川集团股份有限公司在</w:t>
      </w:r>
      <w:r>
        <w:rPr>
          <w:szCs w:val="21"/>
        </w:rPr>
        <w:t>2010</w:t>
      </w:r>
      <w:r>
        <w:rPr>
          <w:szCs w:val="21"/>
        </w:rPr>
        <w:t>版</w:t>
      </w:r>
      <w:r>
        <w:rPr>
          <w:bCs/>
          <w:szCs w:val="21"/>
        </w:rPr>
        <w:t>样品溶解方法</w:t>
      </w:r>
      <w:r>
        <w:rPr>
          <w:rFonts w:hint="eastAsia"/>
          <w:bCs/>
          <w:szCs w:val="21"/>
        </w:rPr>
        <w:t>的</w:t>
      </w:r>
      <w:r>
        <w:rPr>
          <w:bCs/>
          <w:szCs w:val="21"/>
        </w:rPr>
        <w:t>基础上，开展</w:t>
      </w:r>
      <w:r>
        <w:rPr>
          <w:szCs w:val="21"/>
        </w:rPr>
        <w:t>火焰原子吸收法测定铜含量的仪器条件优化、待测试液介质的选择、方法检出限、共存元素干扰等试验，重点考察硫化钴精矿中</w:t>
      </w:r>
      <w:r>
        <w:rPr>
          <w:szCs w:val="21"/>
        </w:rPr>
        <w:t>1%</w:t>
      </w:r>
      <w:r>
        <w:rPr>
          <w:szCs w:val="21"/>
        </w:rPr>
        <w:t>～</w:t>
      </w:r>
      <w:r>
        <w:rPr>
          <w:szCs w:val="21"/>
        </w:rPr>
        <w:t>4.5%</w:t>
      </w:r>
      <w:r>
        <w:rPr>
          <w:szCs w:val="21"/>
        </w:rPr>
        <w:t>铜含量的测定，</w:t>
      </w:r>
      <w:r>
        <w:rPr>
          <w:rFonts w:hint="eastAsia"/>
          <w:szCs w:val="21"/>
        </w:rPr>
        <w:t>按拟定的分析步骤，对铜含量</w:t>
      </w:r>
      <w:r>
        <w:rPr>
          <w:rFonts w:hint="eastAsia"/>
          <w:szCs w:val="21"/>
        </w:rPr>
        <w:t>1</w:t>
      </w:r>
      <w:r>
        <w:rPr>
          <w:szCs w:val="21"/>
        </w:rPr>
        <w:t>%</w:t>
      </w:r>
      <w:r>
        <w:rPr>
          <w:szCs w:val="21"/>
        </w:rPr>
        <w:t>～</w:t>
      </w:r>
      <w:r>
        <w:rPr>
          <w:szCs w:val="21"/>
        </w:rPr>
        <w:t>4.5%</w:t>
      </w:r>
      <w:r>
        <w:rPr>
          <w:rFonts w:hint="eastAsia"/>
          <w:szCs w:val="21"/>
        </w:rPr>
        <w:t>的验证样品，</w:t>
      </w:r>
      <w:r>
        <w:rPr>
          <w:szCs w:val="21"/>
        </w:rPr>
        <w:t>考察分析结果的准确度和精密度。</w:t>
      </w:r>
    </w:p>
    <w:p w:rsidR="00F55E3A" w:rsidRDefault="00F577EE">
      <w:pPr>
        <w:ind w:firstLineChars="200" w:firstLine="420"/>
      </w:pPr>
      <w:r>
        <w:rPr>
          <w:rFonts w:hint="eastAsia"/>
          <w:szCs w:val="21"/>
        </w:rPr>
        <w:t>方法</w:t>
      </w:r>
      <w:r>
        <w:rPr>
          <w:rFonts w:hint="eastAsia"/>
          <w:szCs w:val="21"/>
        </w:rPr>
        <w:t>2</w:t>
      </w:r>
      <w:r>
        <w:rPr>
          <w:szCs w:val="21"/>
        </w:rPr>
        <w:t xml:space="preserve"> </w:t>
      </w:r>
      <w:r>
        <w:rPr>
          <w:rFonts w:hint="eastAsia"/>
          <w:szCs w:val="21"/>
        </w:rPr>
        <w:t>碘量法：</w:t>
      </w:r>
      <w:r>
        <w:rPr>
          <w:szCs w:val="21"/>
        </w:rPr>
        <w:t>起草单位</w:t>
      </w:r>
      <w:r>
        <w:rPr>
          <w:rFonts w:hint="eastAsia"/>
          <w:szCs w:val="21"/>
        </w:rPr>
        <w:t>浙江华友钴业股份公司对硫化钴精矿的铜大于含量</w:t>
      </w:r>
      <w:r>
        <w:rPr>
          <w:rFonts w:hint="eastAsia"/>
          <w:szCs w:val="21"/>
        </w:rPr>
        <w:t>&gt;3</w:t>
      </w:r>
      <w:r>
        <w:rPr>
          <w:szCs w:val="21"/>
        </w:rPr>
        <w:t>%</w:t>
      </w:r>
      <w:r>
        <w:rPr>
          <w:rFonts w:hint="eastAsia"/>
          <w:szCs w:val="21"/>
        </w:rPr>
        <w:t>进行碘量法的方法试验，开展了样品溶解方法的选择，滴定时尿素、冰乙酸、氟化氢铵、碘化钾、硫氰酸钾的用量优</w:t>
      </w:r>
      <w:r>
        <w:rPr>
          <w:rFonts w:hint="eastAsia"/>
          <w:szCs w:val="21"/>
        </w:rPr>
        <w:lastRenderedPageBreak/>
        <w:t>化、共存组分的干扰考察等试验，</w:t>
      </w:r>
      <w:bookmarkStart w:id="20" w:name="_Hlk110957964"/>
      <w:r>
        <w:rPr>
          <w:rFonts w:hint="eastAsia"/>
          <w:szCs w:val="21"/>
        </w:rPr>
        <w:t>按拟定的分析步骤，对铜含量在</w:t>
      </w:r>
      <w:r>
        <w:rPr>
          <w:rFonts w:hint="eastAsia"/>
          <w:szCs w:val="21"/>
        </w:rPr>
        <w:t>3.00 %</w:t>
      </w:r>
      <w:r>
        <w:rPr>
          <w:szCs w:val="21"/>
        </w:rPr>
        <w:t>～</w:t>
      </w:r>
      <w:r>
        <w:rPr>
          <w:szCs w:val="21"/>
        </w:rPr>
        <w:t>35</w:t>
      </w:r>
      <w:r>
        <w:rPr>
          <w:rFonts w:hint="eastAsia"/>
          <w:szCs w:val="21"/>
        </w:rPr>
        <w:t>.00 %</w:t>
      </w:r>
      <w:r>
        <w:rPr>
          <w:rFonts w:hint="eastAsia"/>
          <w:szCs w:val="21"/>
        </w:rPr>
        <w:t>的样品进行分析，考察分析结果的精密度和准确度</w:t>
      </w:r>
      <w:r>
        <w:rPr>
          <w:szCs w:val="21"/>
        </w:rPr>
        <w:t>。</w:t>
      </w:r>
      <w:bookmarkEnd w:id="20"/>
    </w:p>
    <w:p w:rsidR="00F55E3A" w:rsidRDefault="00F577EE">
      <w:pPr>
        <w:pStyle w:val="af2"/>
        <w:numPr>
          <w:ilvl w:val="0"/>
          <w:numId w:val="1"/>
        </w:numPr>
        <w:spacing w:line="360" w:lineRule="auto"/>
        <w:ind w:left="482" w:firstLineChars="0" w:hanging="482"/>
        <w:outlineLvl w:val="0"/>
        <w:rPr>
          <w:rFonts w:ascii="黑体" w:eastAsia="黑体" w:hAnsi="宋体"/>
          <w:sz w:val="24"/>
        </w:rPr>
      </w:pPr>
      <w:bookmarkStart w:id="21" w:name="_Toc111022828"/>
      <w:r>
        <w:rPr>
          <w:rFonts w:ascii="黑体" w:eastAsia="黑体" w:hAnsi="宋体" w:hint="eastAsia"/>
          <w:sz w:val="24"/>
        </w:rPr>
        <w:t>标准主要内容的确定依据及主要试验和验证情况分析</w:t>
      </w:r>
      <w:bookmarkEnd w:id="21"/>
    </w:p>
    <w:p w:rsidR="00F55E3A" w:rsidRDefault="00F577EE">
      <w:pPr>
        <w:outlineLvl w:val="1"/>
        <w:rPr>
          <w:rFonts w:ascii="宋体" w:hAnsi="宋体"/>
          <w:b/>
        </w:rPr>
      </w:pPr>
      <w:bookmarkStart w:id="22" w:name="_Toc111022829"/>
      <w:r>
        <w:rPr>
          <w:rFonts w:ascii="宋体" w:hAnsi="宋体" w:hint="eastAsia"/>
          <w:b/>
        </w:rPr>
        <w:t>（一）、</w:t>
      </w:r>
      <w:r>
        <w:rPr>
          <w:rFonts w:ascii="宋体" w:hAnsi="宋体"/>
          <w:b/>
        </w:rPr>
        <w:t>起草、验证阶段</w:t>
      </w:r>
      <w:bookmarkEnd w:id="22"/>
    </w:p>
    <w:p w:rsidR="00F55E3A" w:rsidRDefault="00F577EE">
      <w:pPr>
        <w:outlineLvl w:val="2"/>
        <w:rPr>
          <w:rFonts w:ascii="宋体" w:hAnsi="宋体"/>
          <w:b/>
        </w:rPr>
      </w:pPr>
      <w:bookmarkStart w:id="23" w:name="_Toc111022830"/>
      <w:r>
        <w:rPr>
          <w:rFonts w:ascii="宋体" w:hAnsi="宋体"/>
          <w:b/>
        </w:rPr>
        <w:t>1</w:t>
      </w:r>
      <w:r>
        <w:rPr>
          <w:rFonts w:ascii="宋体" w:hAnsi="宋体" w:hint="eastAsia"/>
          <w:b/>
        </w:rPr>
        <w:t>、方法1</w:t>
      </w:r>
      <w:r>
        <w:rPr>
          <w:rFonts w:ascii="宋体" w:hAnsi="宋体"/>
          <w:b/>
        </w:rPr>
        <w:t xml:space="preserve"> </w:t>
      </w:r>
      <w:r>
        <w:rPr>
          <w:rFonts w:ascii="宋体" w:hAnsi="宋体" w:hint="eastAsia"/>
          <w:b/>
        </w:rPr>
        <w:t>火焰原子吸收法</w:t>
      </w:r>
      <w:bookmarkEnd w:id="23"/>
    </w:p>
    <w:p w:rsidR="00F55E3A" w:rsidRDefault="00F577EE">
      <w:pPr>
        <w:ind w:firstLineChars="200" w:firstLine="420"/>
        <w:rPr>
          <w:color w:val="000000" w:themeColor="text1"/>
          <w:szCs w:val="21"/>
        </w:rPr>
      </w:pPr>
      <w:r>
        <w:rPr>
          <w:rFonts w:hint="eastAsia"/>
          <w:color w:val="000000" w:themeColor="text1"/>
          <w:szCs w:val="21"/>
        </w:rPr>
        <w:t>1</w:t>
      </w:r>
      <w:r>
        <w:rPr>
          <w:rFonts w:hint="eastAsia"/>
          <w:color w:val="000000" w:themeColor="text1"/>
          <w:szCs w:val="21"/>
        </w:rPr>
        <w:t>）溶样方式的确定</w:t>
      </w:r>
    </w:p>
    <w:p w:rsidR="00F55E3A" w:rsidRDefault="00F577EE">
      <w:pPr>
        <w:ind w:firstLineChars="200" w:firstLine="420"/>
        <w:rPr>
          <w:szCs w:val="21"/>
        </w:rPr>
      </w:pPr>
      <w:r>
        <w:rPr>
          <w:rFonts w:hint="eastAsia"/>
          <w:szCs w:val="21"/>
        </w:rPr>
        <w:t>YS/T 349.2-2010</w:t>
      </w:r>
      <w:r>
        <w:rPr>
          <w:rFonts w:hint="eastAsia"/>
          <w:szCs w:val="21"/>
        </w:rPr>
        <w:t>规定的样品溶解方法为两种：采用氟化氢铵</w:t>
      </w:r>
      <w:r>
        <w:rPr>
          <w:rFonts w:hint="eastAsia"/>
          <w:szCs w:val="21"/>
        </w:rPr>
        <w:t>+</w:t>
      </w:r>
      <w:r>
        <w:rPr>
          <w:rFonts w:hint="eastAsia"/>
          <w:szCs w:val="21"/>
        </w:rPr>
        <w:t>盐酸</w:t>
      </w:r>
      <w:r>
        <w:rPr>
          <w:rFonts w:hint="eastAsia"/>
          <w:szCs w:val="21"/>
        </w:rPr>
        <w:t>+</w:t>
      </w:r>
      <w:r>
        <w:rPr>
          <w:rFonts w:hint="eastAsia"/>
          <w:szCs w:val="21"/>
        </w:rPr>
        <w:t>硝酸</w:t>
      </w:r>
      <w:r>
        <w:rPr>
          <w:rFonts w:hint="eastAsia"/>
          <w:szCs w:val="21"/>
        </w:rPr>
        <w:t>+</w:t>
      </w:r>
      <w:r>
        <w:rPr>
          <w:szCs w:val="21"/>
        </w:rPr>
        <w:t>高氯酸</w:t>
      </w:r>
      <w:r>
        <w:rPr>
          <w:rFonts w:hint="eastAsia"/>
          <w:szCs w:val="21"/>
        </w:rPr>
        <w:t>分解，当硅含量较高时，采用盐酸</w:t>
      </w:r>
      <w:r>
        <w:rPr>
          <w:rFonts w:hint="eastAsia"/>
          <w:szCs w:val="21"/>
        </w:rPr>
        <w:t>+</w:t>
      </w:r>
      <w:r>
        <w:rPr>
          <w:rFonts w:hint="eastAsia"/>
          <w:szCs w:val="21"/>
        </w:rPr>
        <w:t>硝酸</w:t>
      </w:r>
      <w:r>
        <w:rPr>
          <w:rFonts w:hint="eastAsia"/>
          <w:szCs w:val="21"/>
        </w:rPr>
        <w:t>+</w:t>
      </w:r>
      <w:r>
        <w:rPr>
          <w:szCs w:val="21"/>
        </w:rPr>
        <w:t>高氯酸</w:t>
      </w:r>
      <w:r>
        <w:rPr>
          <w:rFonts w:hint="eastAsia"/>
          <w:szCs w:val="21"/>
        </w:rPr>
        <w:t>+</w:t>
      </w:r>
      <w:r>
        <w:rPr>
          <w:rFonts w:hint="eastAsia"/>
          <w:szCs w:val="21"/>
        </w:rPr>
        <w:t>氢氟</w:t>
      </w:r>
      <w:r>
        <w:rPr>
          <w:szCs w:val="21"/>
        </w:rPr>
        <w:t>酸</w:t>
      </w:r>
      <w:r>
        <w:rPr>
          <w:rFonts w:hint="eastAsia"/>
          <w:szCs w:val="21"/>
        </w:rPr>
        <w:t>分解。试验中验证样品采用两种方法对测定结果无显著影响，保留原标准的两种溶解方法，以适用于不同样品。</w:t>
      </w:r>
    </w:p>
    <w:p w:rsidR="00F55E3A" w:rsidRDefault="00F577EE">
      <w:pPr>
        <w:ind w:firstLineChars="200" w:firstLine="420"/>
        <w:rPr>
          <w:color w:val="000000" w:themeColor="text1"/>
          <w:szCs w:val="21"/>
        </w:rPr>
      </w:pPr>
      <w:r>
        <w:rPr>
          <w:rFonts w:hint="eastAsia"/>
          <w:color w:val="000000" w:themeColor="text1"/>
          <w:szCs w:val="21"/>
        </w:rPr>
        <w:t>2</w:t>
      </w:r>
      <w:r>
        <w:rPr>
          <w:rFonts w:hint="eastAsia"/>
          <w:color w:val="000000" w:themeColor="text1"/>
          <w:szCs w:val="21"/>
        </w:rPr>
        <w:t>）原子吸收光谱仪工作条件的优化</w:t>
      </w:r>
    </w:p>
    <w:p w:rsidR="00F55E3A" w:rsidRDefault="00F577EE">
      <w:pPr>
        <w:ind w:firstLineChars="200" w:firstLine="420"/>
        <w:rPr>
          <w:color w:val="000000" w:themeColor="text1"/>
          <w:szCs w:val="21"/>
        </w:rPr>
      </w:pPr>
      <w:r>
        <w:rPr>
          <w:rFonts w:hint="eastAsia"/>
          <w:color w:val="000000" w:themeColor="text1"/>
          <w:szCs w:val="21"/>
        </w:rPr>
        <w:t>根据原子吸收光谱仪的工作原理，从灯电流、乙炔流量、单色器通带、燃烧器高度四个方面进行了考察，确定了最佳工作条件，确定了工作曲线、特征浓度、最小稳定性、检出限。</w:t>
      </w:r>
    </w:p>
    <w:p w:rsidR="00F55E3A" w:rsidRDefault="00F577EE">
      <w:pPr>
        <w:ind w:firstLineChars="200" w:firstLine="420"/>
        <w:rPr>
          <w:color w:val="000000" w:themeColor="text1"/>
          <w:szCs w:val="21"/>
        </w:rPr>
      </w:pPr>
      <w:r>
        <w:rPr>
          <w:rFonts w:hint="eastAsia"/>
          <w:color w:val="000000" w:themeColor="text1"/>
          <w:szCs w:val="21"/>
        </w:rPr>
        <w:t>3</w:t>
      </w:r>
      <w:r>
        <w:rPr>
          <w:rFonts w:hint="eastAsia"/>
          <w:color w:val="000000" w:themeColor="text1"/>
          <w:szCs w:val="21"/>
        </w:rPr>
        <w:t>）待测溶液介质的确选择</w:t>
      </w:r>
    </w:p>
    <w:p w:rsidR="00F55E3A" w:rsidRDefault="00F577EE">
      <w:pPr>
        <w:ind w:firstLineChars="200" w:firstLine="420"/>
        <w:rPr>
          <w:color w:val="000000" w:themeColor="text1"/>
          <w:szCs w:val="21"/>
        </w:rPr>
      </w:pPr>
      <w:r>
        <w:rPr>
          <w:rFonts w:hint="eastAsia"/>
          <w:color w:val="000000" w:themeColor="text1"/>
          <w:szCs w:val="21"/>
        </w:rPr>
        <w:t>选择了不同浓度的盐酸介质考察测定结果，当盐酸浓度在</w:t>
      </w:r>
      <w:r>
        <w:rPr>
          <w:rFonts w:hint="eastAsia"/>
          <w:color w:val="000000" w:themeColor="text1"/>
          <w:szCs w:val="21"/>
        </w:rPr>
        <w:t>5%</w:t>
      </w:r>
      <w:r>
        <w:rPr>
          <w:color w:val="000000" w:themeColor="text1"/>
          <w:szCs w:val="21"/>
        </w:rPr>
        <w:t>～</w:t>
      </w:r>
      <w:r>
        <w:rPr>
          <w:rFonts w:hint="eastAsia"/>
          <w:color w:val="000000" w:themeColor="text1"/>
          <w:szCs w:val="21"/>
        </w:rPr>
        <w:t>20%</w:t>
      </w:r>
      <w:r>
        <w:rPr>
          <w:color w:val="000000" w:themeColor="text1"/>
          <w:szCs w:val="21"/>
        </w:rPr>
        <w:t>（</w:t>
      </w:r>
      <w:r>
        <w:rPr>
          <w:color w:val="000000" w:themeColor="text1"/>
          <w:szCs w:val="21"/>
        </w:rPr>
        <w:t>V/V</w:t>
      </w:r>
      <w:r>
        <w:rPr>
          <w:color w:val="000000" w:themeColor="text1"/>
          <w:szCs w:val="21"/>
        </w:rPr>
        <w:t>）</w:t>
      </w:r>
      <w:r>
        <w:rPr>
          <w:rFonts w:hint="eastAsia"/>
          <w:color w:val="000000" w:themeColor="text1"/>
          <w:szCs w:val="21"/>
        </w:rPr>
        <w:t>时，铜标准溶液的吸光度值基本不变。实验选择</w:t>
      </w:r>
      <w:r>
        <w:rPr>
          <w:color w:val="000000" w:themeColor="text1"/>
          <w:szCs w:val="21"/>
        </w:rPr>
        <w:t>2</w:t>
      </w:r>
      <w:r>
        <w:rPr>
          <w:rFonts w:hint="eastAsia"/>
          <w:color w:val="000000" w:themeColor="text1"/>
          <w:szCs w:val="21"/>
        </w:rPr>
        <w:t>%</w:t>
      </w:r>
      <w:r>
        <w:rPr>
          <w:rFonts w:hint="eastAsia"/>
          <w:color w:val="000000" w:themeColor="text1"/>
          <w:szCs w:val="21"/>
        </w:rPr>
        <w:t>的盐酸介质。</w:t>
      </w:r>
    </w:p>
    <w:p w:rsidR="00F55E3A" w:rsidRDefault="00F577EE">
      <w:pPr>
        <w:ind w:firstLineChars="200" w:firstLine="420"/>
        <w:rPr>
          <w:color w:val="000000" w:themeColor="text1"/>
          <w:szCs w:val="21"/>
        </w:rPr>
      </w:pPr>
      <w:r>
        <w:rPr>
          <w:rFonts w:hint="eastAsia"/>
          <w:color w:val="000000" w:themeColor="text1"/>
          <w:szCs w:val="21"/>
        </w:rPr>
        <w:t>4</w:t>
      </w:r>
      <w:r>
        <w:rPr>
          <w:rFonts w:hint="eastAsia"/>
          <w:color w:val="000000" w:themeColor="text1"/>
          <w:szCs w:val="21"/>
        </w:rPr>
        <w:t>）干扰及消除</w:t>
      </w:r>
    </w:p>
    <w:p w:rsidR="00F55E3A" w:rsidRDefault="00F577EE">
      <w:pPr>
        <w:ind w:firstLineChars="200" w:firstLine="420"/>
        <w:rPr>
          <w:szCs w:val="21"/>
        </w:rPr>
      </w:pPr>
      <w:r>
        <w:rPr>
          <w:rFonts w:hint="eastAsia"/>
          <w:color w:val="000000" w:themeColor="text1"/>
          <w:szCs w:val="21"/>
        </w:rPr>
        <w:t>根据收</w:t>
      </w:r>
      <w:r>
        <w:rPr>
          <w:rFonts w:hint="eastAsia"/>
          <w:szCs w:val="21"/>
        </w:rPr>
        <w:t>集到的国内外不同品位硫化钴精矿，</w:t>
      </w:r>
      <w:r>
        <w:rPr>
          <w:rFonts w:ascii="宋体" w:hAnsi="宋体" w:hint="eastAsia"/>
          <w:szCs w:val="21"/>
        </w:rPr>
        <w:t>主要存在元素有Co、Ni、</w:t>
      </w:r>
      <w:r>
        <w:rPr>
          <w:rFonts w:ascii="宋体" w:hAnsi="宋体"/>
          <w:szCs w:val="21"/>
        </w:rPr>
        <w:t>Fe</w:t>
      </w:r>
      <w:r>
        <w:rPr>
          <w:rFonts w:ascii="宋体" w:hAnsi="宋体" w:hint="eastAsia"/>
          <w:szCs w:val="21"/>
        </w:rPr>
        <w:t>、</w:t>
      </w:r>
      <w:r>
        <w:rPr>
          <w:rFonts w:ascii="宋体" w:hAnsi="宋体"/>
          <w:szCs w:val="21"/>
        </w:rPr>
        <w:t>S</w:t>
      </w:r>
      <w:r>
        <w:rPr>
          <w:rFonts w:ascii="宋体" w:hAnsi="宋体" w:hint="eastAsia"/>
          <w:szCs w:val="21"/>
        </w:rPr>
        <w:t>iO</w:t>
      </w:r>
      <w:r>
        <w:rPr>
          <w:rFonts w:ascii="宋体" w:hAnsi="宋体" w:hint="eastAsia"/>
          <w:szCs w:val="21"/>
          <w:vertAlign w:val="subscript"/>
        </w:rPr>
        <w:t>2</w:t>
      </w:r>
      <w:r>
        <w:rPr>
          <w:rFonts w:ascii="宋体" w:hAnsi="宋体" w:hint="eastAsia"/>
          <w:szCs w:val="21"/>
        </w:rPr>
        <w:t>、</w:t>
      </w:r>
      <w:r>
        <w:rPr>
          <w:rFonts w:ascii="宋体" w:hAnsi="宋体"/>
          <w:szCs w:val="21"/>
        </w:rPr>
        <w:t>C</w:t>
      </w:r>
      <w:r>
        <w:rPr>
          <w:rFonts w:ascii="宋体" w:hAnsi="宋体" w:hint="eastAsia"/>
          <w:szCs w:val="21"/>
        </w:rPr>
        <w:t>a、Mg、Al、</w:t>
      </w:r>
      <w:r>
        <w:rPr>
          <w:rFonts w:ascii="宋体" w:hAnsi="宋体"/>
          <w:szCs w:val="21"/>
        </w:rPr>
        <w:t>Pb</w:t>
      </w:r>
      <w:r>
        <w:rPr>
          <w:rFonts w:ascii="宋体" w:hAnsi="宋体" w:hint="eastAsia"/>
          <w:szCs w:val="21"/>
        </w:rPr>
        <w:t>、Zn、Cr、Mn及少量的</w:t>
      </w:r>
      <w:r>
        <w:rPr>
          <w:rFonts w:ascii="宋体" w:hAnsi="宋体"/>
          <w:szCs w:val="21"/>
        </w:rPr>
        <w:t>As</w:t>
      </w:r>
      <w:r>
        <w:rPr>
          <w:rFonts w:ascii="宋体" w:hAnsi="宋体" w:hint="eastAsia"/>
          <w:szCs w:val="21"/>
        </w:rPr>
        <w:t>、Cd、S等元素，各元素最大含量为：</w:t>
      </w:r>
      <w:r>
        <w:rPr>
          <w:rFonts w:ascii="宋体" w:hAnsi="宋体"/>
          <w:szCs w:val="21"/>
        </w:rPr>
        <w:t>S</w:t>
      </w:r>
      <w:r>
        <w:rPr>
          <w:rFonts w:ascii="宋体" w:hAnsi="宋体" w:hint="eastAsia"/>
          <w:szCs w:val="21"/>
        </w:rPr>
        <w:t>iO</w:t>
      </w:r>
      <w:r>
        <w:rPr>
          <w:rFonts w:ascii="宋体" w:hAnsi="宋体" w:hint="eastAsia"/>
          <w:szCs w:val="21"/>
          <w:vertAlign w:val="subscript"/>
        </w:rPr>
        <w:t>2</w:t>
      </w:r>
      <w:r>
        <w:rPr>
          <w:rFonts w:ascii="宋体" w:hAnsi="宋体" w:hint="eastAsia"/>
          <w:szCs w:val="21"/>
        </w:rPr>
        <w:t xml:space="preserve"> 70%，Ni 2</w:t>
      </w:r>
      <w:r>
        <w:rPr>
          <w:rFonts w:ascii="宋体" w:hAnsi="宋体"/>
          <w:szCs w:val="21"/>
        </w:rPr>
        <w:t>5%</w:t>
      </w:r>
      <w:r>
        <w:rPr>
          <w:rFonts w:ascii="宋体" w:hAnsi="宋体" w:hint="eastAsia"/>
          <w:szCs w:val="21"/>
        </w:rPr>
        <w:t>，Fe 3</w:t>
      </w:r>
      <w:r>
        <w:rPr>
          <w:rFonts w:ascii="宋体" w:hAnsi="宋体"/>
          <w:szCs w:val="21"/>
        </w:rPr>
        <w:t>0%</w:t>
      </w:r>
      <w:r>
        <w:rPr>
          <w:rFonts w:ascii="宋体" w:hAnsi="宋体" w:hint="eastAsia"/>
          <w:szCs w:val="21"/>
        </w:rPr>
        <w:t>，Co 25%，Ca 3%，Mg 5%，Al 5%，</w:t>
      </w:r>
      <w:r>
        <w:rPr>
          <w:rFonts w:ascii="宋体" w:hAnsi="宋体"/>
          <w:szCs w:val="21"/>
        </w:rPr>
        <w:t>Pb</w:t>
      </w:r>
      <w:r>
        <w:rPr>
          <w:rFonts w:ascii="宋体" w:hAnsi="宋体" w:hint="eastAsia"/>
          <w:szCs w:val="21"/>
        </w:rPr>
        <w:t xml:space="preserve"> 2%，Zn 2%，Cr 2%，Mn 5%，而</w:t>
      </w:r>
      <w:r>
        <w:rPr>
          <w:rFonts w:ascii="宋体" w:hAnsi="宋体"/>
          <w:szCs w:val="21"/>
        </w:rPr>
        <w:t>S</w:t>
      </w:r>
      <w:r>
        <w:rPr>
          <w:rFonts w:ascii="宋体" w:hAnsi="宋体" w:hint="eastAsia"/>
          <w:szCs w:val="21"/>
        </w:rPr>
        <w:t>iO</w:t>
      </w:r>
      <w:r>
        <w:rPr>
          <w:rFonts w:ascii="宋体" w:hAnsi="宋体" w:hint="eastAsia"/>
          <w:szCs w:val="21"/>
          <w:vertAlign w:val="subscript"/>
        </w:rPr>
        <w:t>2</w:t>
      </w:r>
      <w:r>
        <w:rPr>
          <w:rFonts w:ascii="宋体" w:hAnsi="宋体" w:hint="eastAsia"/>
          <w:szCs w:val="21"/>
        </w:rPr>
        <w:t>在样品分解时绝大多数转化为SiF</w:t>
      </w:r>
      <w:r>
        <w:rPr>
          <w:rFonts w:ascii="宋体" w:hAnsi="宋体" w:hint="eastAsia"/>
          <w:szCs w:val="21"/>
          <w:vertAlign w:val="subscript"/>
        </w:rPr>
        <w:t>4</w:t>
      </w:r>
      <w:r>
        <w:rPr>
          <w:rFonts w:ascii="宋体" w:hAnsi="宋体" w:hint="eastAsia"/>
          <w:szCs w:val="21"/>
        </w:rPr>
        <w:t>逸出，其它元素含量均不超过1</w:t>
      </w:r>
      <w:r>
        <w:rPr>
          <w:rFonts w:ascii="宋体" w:hAnsi="宋体"/>
          <w:szCs w:val="21"/>
        </w:rPr>
        <w:t>%</w:t>
      </w:r>
      <w:r>
        <w:rPr>
          <w:rFonts w:ascii="宋体" w:hAnsi="宋体" w:hint="eastAsia"/>
          <w:szCs w:val="21"/>
        </w:rPr>
        <w:t>。</w:t>
      </w:r>
      <w:r>
        <w:rPr>
          <w:rFonts w:hint="eastAsia"/>
          <w:szCs w:val="21"/>
        </w:rPr>
        <w:t>通过考察各干扰元素对铜含量测定结果的影响，共存元素不干扰铜的测定。</w:t>
      </w:r>
    </w:p>
    <w:p w:rsidR="00F55E3A" w:rsidRDefault="00F577EE">
      <w:pPr>
        <w:ind w:firstLineChars="200" w:firstLine="420"/>
        <w:rPr>
          <w:color w:val="000000" w:themeColor="text1"/>
          <w:szCs w:val="21"/>
        </w:rPr>
      </w:pPr>
      <w:r>
        <w:rPr>
          <w:rFonts w:hint="eastAsia"/>
          <w:color w:val="000000" w:themeColor="text1"/>
          <w:szCs w:val="21"/>
        </w:rPr>
        <w:t>5</w:t>
      </w:r>
      <w:r>
        <w:rPr>
          <w:rFonts w:hint="eastAsia"/>
          <w:color w:val="000000" w:themeColor="text1"/>
          <w:szCs w:val="21"/>
        </w:rPr>
        <w:t>）样品分析准确度试验</w:t>
      </w:r>
    </w:p>
    <w:p w:rsidR="00F55E3A" w:rsidRDefault="00F577EE">
      <w:pPr>
        <w:ind w:firstLineChars="200" w:firstLine="420"/>
        <w:rPr>
          <w:szCs w:val="21"/>
        </w:rPr>
      </w:pPr>
      <w:r>
        <w:rPr>
          <w:rFonts w:hint="eastAsia"/>
          <w:szCs w:val="21"/>
        </w:rPr>
        <w:t>对</w:t>
      </w:r>
      <w:r>
        <w:rPr>
          <w:rFonts w:hint="eastAsia"/>
          <w:szCs w:val="21"/>
        </w:rPr>
        <w:t>4</w:t>
      </w:r>
      <w:r>
        <w:rPr>
          <w:rFonts w:hint="eastAsia"/>
          <w:szCs w:val="21"/>
        </w:rPr>
        <w:t>个不同产地，品位分别为</w:t>
      </w:r>
      <w:r>
        <w:rPr>
          <w:rFonts w:hint="eastAsia"/>
          <w:szCs w:val="21"/>
        </w:rPr>
        <w:t>1</w:t>
      </w:r>
      <w:r>
        <w:rPr>
          <w:szCs w:val="21"/>
        </w:rPr>
        <w:t>.2</w:t>
      </w:r>
      <w:r>
        <w:rPr>
          <w:rFonts w:hint="eastAsia"/>
          <w:szCs w:val="21"/>
        </w:rPr>
        <w:t>%</w:t>
      </w:r>
      <w:r>
        <w:rPr>
          <w:rFonts w:hint="eastAsia"/>
          <w:szCs w:val="21"/>
        </w:rPr>
        <w:t>、</w:t>
      </w:r>
      <w:r>
        <w:rPr>
          <w:rFonts w:hint="eastAsia"/>
          <w:szCs w:val="21"/>
        </w:rPr>
        <w:t>2</w:t>
      </w:r>
      <w:r>
        <w:rPr>
          <w:szCs w:val="21"/>
        </w:rPr>
        <w:t>.4</w:t>
      </w:r>
      <w:r>
        <w:rPr>
          <w:rFonts w:hint="eastAsia"/>
          <w:szCs w:val="21"/>
        </w:rPr>
        <w:t>%</w:t>
      </w:r>
      <w:r>
        <w:rPr>
          <w:rFonts w:hint="eastAsia"/>
          <w:szCs w:val="21"/>
        </w:rPr>
        <w:t>、</w:t>
      </w:r>
      <w:r>
        <w:rPr>
          <w:rFonts w:hint="eastAsia"/>
          <w:szCs w:val="21"/>
        </w:rPr>
        <w:t>3</w:t>
      </w:r>
      <w:r>
        <w:rPr>
          <w:szCs w:val="21"/>
        </w:rPr>
        <w:t>.5</w:t>
      </w:r>
      <w:r>
        <w:rPr>
          <w:rFonts w:hint="eastAsia"/>
          <w:szCs w:val="21"/>
        </w:rPr>
        <w:t>%</w:t>
      </w:r>
      <w:r>
        <w:rPr>
          <w:rFonts w:hint="eastAsia"/>
          <w:szCs w:val="21"/>
        </w:rPr>
        <w:t>、</w:t>
      </w:r>
      <w:r>
        <w:rPr>
          <w:rFonts w:hint="eastAsia"/>
          <w:szCs w:val="21"/>
        </w:rPr>
        <w:t>4</w:t>
      </w:r>
      <w:r>
        <w:rPr>
          <w:szCs w:val="21"/>
        </w:rPr>
        <w:t>.5</w:t>
      </w:r>
      <w:r>
        <w:rPr>
          <w:rFonts w:hint="eastAsia"/>
          <w:szCs w:val="21"/>
        </w:rPr>
        <w:t>%</w:t>
      </w:r>
      <w:r>
        <w:rPr>
          <w:rFonts w:hint="eastAsia"/>
          <w:szCs w:val="21"/>
        </w:rPr>
        <w:t>的硫化钴精矿</w:t>
      </w:r>
      <w:r>
        <w:rPr>
          <w:szCs w:val="21"/>
        </w:rPr>
        <w:t>样品进行了</w:t>
      </w:r>
      <w:r>
        <w:rPr>
          <w:rFonts w:hint="eastAsia"/>
          <w:szCs w:val="21"/>
        </w:rPr>
        <w:t>铜含量的</w:t>
      </w:r>
      <w:r>
        <w:rPr>
          <w:szCs w:val="21"/>
        </w:rPr>
        <w:t>精密度实验、加标回收实验，方法的加标</w:t>
      </w:r>
      <w:r>
        <w:rPr>
          <w:rFonts w:hint="eastAsia"/>
        </w:rPr>
        <w:t>回收率在</w:t>
      </w:r>
      <w:r>
        <w:t>98.3</w:t>
      </w:r>
      <w:r>
        <w:rPr>
          <w:rFonts w:hint="eastAsia"/>
        </w:rPr>
        <w:t>%</w:t>
      </w:r>
      <w:r>
        <w:rPr>
          <w:rFonts w:ascii="宋体" w:hAnsi="宋体" w:hint="eastAsia"/>
        </w:rPr>
        <w:t>～</w:t>
      </w:r>
      <w:r>
        <w:rPr>
          <w:rFonts w:hint="eastAsia"/>
        </w:rPr>
        <w:t>10</w:t>
      </w:r>
      <w:r>
        <w:t>1</w:t>
      </w:r>
      <w:r>
        <w:rPr>
          <w:rFonts w:hint="eastAsia"/>
        </w:rPr>
        <w:t>.</w:t>
      </w:r>
      <w:r>
        <w:t>7</w:t>
      </w:r>
      <w:r>
        <w:rPr>
          <w:rFonts w:hint="eastAsia"/>
        </w:rPr>
        <w:t>%</w:t>
      </w:r>
      <w:r>
        <w:rPr>
          <w:rFonts w:hint="eastAsia"/>
        </w:rPr>
        <w:t>之间，</w:t>
      </w:r>
      <w:r>
        <w:rPr>
          <w:rFonts w:hint="eastAsia"/>
        </w:rPr>
        <w:t>RSD</w:t>
      </w:r>
      <w:r>
        <w:t>在</w:t>
      </w:r>
      <w:r>
        <w:rPr>
          <w:rFonts w:hint="eastAsia"/>
          <w:szCs w:val="21"/>
        </w:rPr>
        <w:t>0.51</w:t>
      </w:r>
      <w:r>
        <w:rPr>
          <w:szCs w:val="21"/>
        </w:rPr>
        <w:t xml:space="preserve"> </w:t>
      </w:r>
      <w:r>
        <w:rPr>
          <w:rFonts w:ascii="TimesNewRomanPSMT" w:hAnsi="TimesNewRomanPSMT" w:cs="TimesNewRomanPSMT"/>
          <w:szCs w:val="21"/>
        </w:rPr>
        <w:t>%</w:t>
      </w:r>
      <w:r>
        <w:rPr>
          <w:rFonts w:ascii="TimesNewRomanPSMT" w:hAnsi="TimesNewRomanPSMT" w:cs="TimesNewRomanPSMT"/>
          <w:szCs w:val="21"/>
        </w:rPr>
        <w:t>～</w:t>
      </w:r>
      <w:r>
        <w:rPr>
          <w:rFonts w:ascii="TimesNewRomanPSMT" w:hAnsi="TimesNewRomanPSMT" w:cs="TimesNewRomanPSMT" w:hint="eastAsia"/>
          <w:szCs w:val="21"/>
        </w:rPr>
        <w:t>1.26</w:t>
      </w:r>
      <w:r>
        <w:rPr>
          <w:rFonts w:ascii="TimesNewRomanPSMT" w:hAnsi="TimesNewRomanPSMT" w:cs="TimesNewRomanPSMT"/>
          <w:szCs w:val="21"/>
        </w:rPr>
        <w:t xml:space="preserve"> %</w:t>
      </w:r>
      <w:r>
        <w:t>之间，</w:t>
      </w:r>
      <w:r>
        <w:rPr>
          <w:szCs w:val="21"/>
        </w:rPr>
        <w:t>精密度、准确度</w:t>
      </w:r>
      <w:r>
        <w:rPr>
          <w:rFonts w:hint="eastAsia"/>
          <w:szCs w:val="21"/>
        </w:rPr>
        <w:t>的</w:t>
      </w:r>
      <w:r>
        <w:rPr>
          <w:szCs w:val="21"/>
        </w:rPr>
        <w:t>结果</w:t>
      </w:r>
      <w:r>
        <w:rPr>
          <w:rFonts w:hint="eastAsia"/>
          <w:szCs w:val="21"/>
        </w:rPr>
        <w:t>好。参与起草工作的一验单位</w:t>
      </w:r>
      <w:r>
        <w:rPr>
          <w:szCs w:val="21"/>
        </w:rPr>
        <w:t>加标回收</w:t>
      </w:r>
      <w:r>
        <w:rPr>
          <w:rFonts w:hint="eastAsia"/>
          <w:szCs w:val="21"/>
        </w:rPr>
        <w:t>和</w:t>
      </w:r>
      <w:r>
        <w:rPr>
          <w:szCs w:val="21"/>
        </w:rPr>
        <w:t>精密度实验</w:t>
      </w:r>
      <w:r>
        <w:rPr>
          <w:rFonts w:hint="eastAsia"/>
          <w:szCs w:val="21"/>
        </w:rPr>
        <w:t>结果分别为：北矿检测技术有限公司的加标回收率在</w:t>
      </w:r>
      <w:r>
        <w:rPr>
          <w:rFonts w:hint="eastAsia"/>
          <w:szCs w:val="21"/>
        </w:rPr>
        <w:t>97.7</w:t>
      </w:r>
      <w:r>
        <w:rPr>
          <w:rFonts w:ascii="TimesNewRomanPSMT" w:hAnsi="TimesNewRomanPSMT" w:cs="TimesNewRomanPSMT"/>
          <w:szCs w:val="21"/>
        </w:rPr>
        <w:t>%</w:t>
      </w:r>
      <w:r>
        <w:rPr>
          <w:rFonts w:ascii="TimesNewRomanPSMT" w:hAnsi="TimesNewRomanPSMT" w:cs="TimesNewRomanPSMT"/>
          <w:szCs w:val="21"/>
        </w:rPr>
        <w:t>～</w:t>
      </w:r>
      <w:r>
        <w:rPr>
          <w:rFonts w:ascii="TimesNewRomanPSMT" w:hAnsi="TimesNewRomanPSMT" w:cs="TimesNewRomanPSMT" w:hint="eastAsia"/>
          <w:szCs w:val="21"/>
        </w:rPr>
        <w:t xml:space="preserve">100.3 </w:t>
      </w:r>
      <w:r>
        <w:rPr>
          <w:rFonts w:ascii="TimesNewRomanPSMT" w:hAnsi="TimesNewRomanPSMT" w:cs="TimesNewRomanPSMT"/>
          <w:szCs w:val="21"/>
        </w:rPr>
        <w:t>%</w:t>
      </w:r>
      <w:r>
        <w:rPr>
          <w:rFonts w:hint="eastAsia"/>
          <w:szCs w:val="21"/>
        </w:rPr>
        <w:t>之间、</w:t>
      </w:r>
      <w:r>
        <w:rPr>
          <w:rFonts w:hint="eastAsia"/>
          <w:szCs w:val="21"/>
        </w:rPr>
        <w:t>RSD</w:t>
      </w:r>
      <w:r>
        <w:rPr>
          <w:rFonts w:hint="eastAsia"/>
          <w:szCs w:val="21"/>
        </w:rPr>
        <w:t>为</w:t>
      </w:r>
      <w:r>
        <w:rPr>
          <w:rFonts w:hint="eastAsia"/>
          <w:szCs w:val="21"/>
        </w:rPr>
        <w:t>0.87%</w:t>
      </w:r>
      <w:r>
        <w:rPr>
          <w:rFonts w:hint="eastAsia"/>
          <w:szCs w:val="21"/>
        </w:rPr>
        <w:t>～</w:t>
      </w:r>
      <w:r>
        <w:rPr>
          <w:rFonts w:hint="eastAsia"/>
          <w:szCs w:val="21"/>
        </w:rPr>
        <w:t>1.69%</w:t>
      </w:r>
      <w:r>
        <w:rPr>
          <w:rFonts w:hint="eastAsia"/>
          <w:szCs w:val="21"/>
        </w:rPr>
        <w:t>，广东省工业分析检测中心的加标回收率在</w:t>
      </w:r>
      <w:r>
        <w:t>95.70</w:t>
      </w:r>
      <w:r>
        <w:t>～</w:t>
      </w:r>
      <w:r>
        <w:t>98.58</w:t>
      </w:r>
      <w:r>
        <w:rPr>
          <w:rFonts w:hint="eastAsia"/>
          <w:szCs w:val="21"/>
        </w:rPr>
        <w:t>之间、</w:t>
      </w:r>
      <w:r>
        <w:rPr>
          <w:rFonts w:hint="eastAsia"/>
          <w:szCs w:val="21"/>
        </w:rPr>
        <w:t>RSD</w:t>
      </w:r>
      <w:r>
        <w:rPr>
          <w:rFonts w:hint="eastAsia"/>
          <w:szCs w:val="21"/>
        </w:rPr>
        <w:t>为</w:t>
      </w:r>
      <w:r>
        <w:rPr>
          <w:rFonts w:hint="eastAsia"/>
          <w:szCs w:val="21"/>
        </w:rPr>
        <w:t>0.</w:t>
      </w:r>
      <w:r>
        <w:rPr>
          <w:szCs w:val="21"/>
        </w:rPr>
        <w:t>65</w:t>
      </w:r>
      <w:r>
        <w:rPr>
          <w:rFonts w:hint="eastAsia"/>
          <w:szCs w:val="21"/>
        </w:rPr>
        <w:t>%</w:t>
      </w:r>
      <w:r>
        <w:rPr>
          <w:rFonts w:hint="eastAsia"/>
          <w:szCs w:val="21"/>
        </w:rPr>
        <w:t>～</w:t>
      </w:r>
      <w:r>
        <w:rPr>
          <w:szCs w:val="21"/>
        </w:rPr>
        <w:t>1.63</w:t>
      </w:r>
      <w:r>
        <w:rPr>
          <w:rFonts w:hint="eastAsia"/>
          <w:szCs w:val="21"/>
        </w:rPr>
        <w:t>%</w:t>
      </w:r>
      <w:r>
        <w:rPr>
          <w:rFonts w:hint="eastAsia"/>
          <w:szCs w:val="21"/>
        </w:rPr>
        <w:t>，</w:t>
      </w:r>
      <w:r>
        <w:t>广东邦普循环科技有限公司</w:t>
      </w:r>
      <w:r>
        <w:rPr>
          <w:rFonts w:hint="eastAsia"/>
          <w:szCs w:val="21"/>
        </w:rPr>
        <w:t>的加标回收率在</w:t>
      </w:r>
      <w:r>
        <w:rPr>
          <w:rFonts w:hint="eastAsia"/>
          <w:szCs w:val="21"/>
        </w:rPr>
        <w:t>98.0</w:t>
      </w:r>
      <w:r>
        <w:rPr>
          <w:szCs w:val="21"/>
        </w:rPr>
        <w:t xml:space="preserve"> </w:t>
      </w:r>
      <w:r>
        <w:rPr>
          <w:rFonts w:ascii="TimesNewRomanPSMT" w:hAnsi="TimesNewRomanPSMT" w:cs="TimesNewRomanPSMT"/>
          <w:szCs w:val="21"/>
        </w:rPr>
        <w:t>%</w:t>
      </w:r>
      <w:r>
        <w:rPr>
          <w:rFonts w:ascii="TimesNewRomanPSMT" w:hAnsi="TimesNewRomanPSMT" w:cs="TimesNewRomanPSMT"/>
          <w:szCs w:val="21"/>
        </w:rPr>
        <w:t>～</w:t>
      </w:r>
      <w:r>
        <w:rPr>
          <w:rFonts w:ascii="TimesNewRomanPSMT" w:hAnsi="TimesNewRomanPSMT" w:cs="TimesNewRomanPSMT" w:hint="eastAsia"/>
          <w:szCs w:val="21"/>
        </w:rPr>
        <w:t>100.5</w:t>
      </w:r>
      <w:r>
        <w:rPr>
          <w:rFonts w:ascii="TimesNewRomanPSMT" w:hAnsi="TimesNewRomanPSMT" w:cs="TimesNewRomanPSMT"/>
          <w:szCs w:val="21"/>
        </w:rPr>
        <w:t xml:space="preserve"> %</w:t>
      </w:r>
      <w:r>
        <w:rPr>
          <w:rFonts w:ascii="TimesNewRomanPSMT" w:hAnsi="TimesNewRomanPSMT" w:cs="TimesNewRomanPSMT" w:hint="eastAsia"/>
          <w:szCs w:val="21"/>
        </w:rPr>
        <w:t>之间</w:t>
      </w:r>
      <w:r>
        <w:rPr>
          <w:rFonts w:hint="eastAsia"/>
          <w:szCs w:val="21"/>
        </w:rPr>
        <w:t>、</w:t>
      </w:r>
      <w:r>
        <w:rPr>
          <w:rFonts w:hint="eastAsia"/>
          <w:szCs w:val="21"/>
        </w:rPr>
        <w:t>RSD</w:t>
      </w:r>
      <w:r>
        <w:rPr>
          <w:rFonts w:hint="eastAsia"/>
          <w:szCs w:val="21"/>
        </w:rPr>
        <w:t>为</w:t>
      </w:r>
      <w:r>
        <w:rPr>
          <w:rFonts w:hint="eastAsia"/>
          <w:szCs w:val="21"/>
        </w:rPr>
        <w:t>0.</w:t>
      </w:r>
      <w:r>
        <w:rPr>
          <w:szCs w:val="21"/>
        </w:rPr>
        <w:t>5</w:t>
      </w:r>
      <w:r>
        <w:rPr>
          <w:rFonts w:hint="eastAsia"/>
          <w:szCs w:val="21"/>
        </w:rPr>
        <w:t>5%</w:t>
      </w:r>
      <w:r>
        <w:rPr>
          <w:rFonts w:hint="eastAsia"/>
          <w:szCs w:val="21"/>
        </w:rPr>
        <w:t>～</w:t>
      </w:r>
      <w:r>
        <w:rPr>
          <w:szCs w:val="21"/>
        </w:rPr>
        <w:t>1.07</w:t>
      </w:r>
      <w:r>
        <w:rPr>
          <w:rFonts w:hint="eastAsia"/>
          <w:szCs w:val="21"/>
        </w:rPr>
        <w:t>%</w:t>
      </w:r>
      <w:r>
        <w:rPr>
          <w:rFonts w:hint="eastAsia"/>
          <w:szCs w:val="21"/>
        </w:rPr>
        <w:t>，</w:t>
      </w:r>
      <w:r>
        <w:rPr>
          <w:rFonts w:hint="eastAsia"/>
        </w:rPr>
        <w:t>中国检验认证集团广西有限公司</w:t>
      </w:r>
      <w:r>
        <w:rPr>
          <w:rFonts w:hint="eastAsia"/>
          <w:szCs w:val="21"/>
        </w:rPr>
        <w:t>的加标回收率在</w:t>
      </w:r>
      <w:r>
        <w:rPr>
          <w:rFonts w:hint="eastAsia"/>
          <w:kern w:val="0"/>
          <w:szCs w:val="21"/>
        </w:rPr>
        <w:t xml:space="preserve">99.5 </w:t>
      </w:r>
      <w:r>
        <w:rPr>
          <w:rFonts w:ascii="TimesNewRomanPSMT" w:hAnsi="TimesNewRomanPSMT" w:cs="TimesNewRomanPSMT"/>
          <w:kern w:val="0"/>
          <w:szCs w:val="21"/>
        </w:rPr>
        <w:t>%</w:t>
      </w:r>
      <w:r>
        <w:rPr>
          <w:rFonts w:ascii="TimesNewRomanPSMT" w:hAnsi="TimesNewRomanPSMT" w:cs="TimesNewRomanPSMT"/>
          <w:kern w:val="0"/>
          <w:szCs w:val="21"/>
        </w:rPr>
        <w:t>～</w:t>
      </w:r>
      <w:r>
        <w:rPr>
          <w:rFonts w:ascii="TimesNewRomanPSMT" w:hAnsi="TimesNewRomanPSMT" w:cs="TimesNewRomanPSMT" w:hint="eastAsia"/>
          <w:kern w:val="0"/>
          <w:szCs w:val="21"/>
        </w:rPr>
        <w:t>102.0</w:t>
      </w:r>
      <w:r>
        <w:rPr>
          <w:rFonts w:ascii="TimesNewRomanPSMT" w:hAnsi="TimesNewRomanPSMT" w:cs="TimesNewRomanPSMT" w:hint="eastAsia"/>
          <w:kern w:val="0"/>
          <w:szCs w:val="21"/>
        </w:rPr>
        <w:t>之间</w:t>
      </w:r>
      <w:r>
        <w:rPr>
          <w:rFonts w:hint="eastAsia"/>
          <w:szCs w:val="21"/>
        </w:rPr>
        <w:t>、</w:t>
      </w:r>
      <w:r>
        <w:rPr>
          <w:rFonts w:hint="eastAsia"/>
          <w:szCs w:val="21"/>
        </w:rPr>
        <w:t>RSD</w:t>
      </w:r>
      <w:r>
        <w:rPr>
          <w:rFonts w:hint="eastAsia"/>
          <w:szCs w:val="21"/>
        </w:rPr>
        <w:t>为</w:t>
      </w:r>
      <w:r>
        <w:rPr>
          <w:kern w:val="0"/>
          <w:szCs w:val="21"/>
        </w:rPr>
        <w:t>0.70</w:t>
      </w:r>
      <w:r>
        <w:rPr>
          <w:rFonts w:hint="eastAsia"/>
          <w:kern w:val="0"/>
          <w:szCs w:val="21"/>
        </w:rPr>
        <w:t>%</w:t>
      </w:r>
      <w:r>
        <w:rPr>
          <w:rFonts w:hint="eastAsia"/>
          <w:kern w:val="0"/>
          <w:szCs w:val="21"/>
        </w:rPr>
        <w:t>～</w:t>
      </w:r>
      <w:r>
        <w:rPr>
          <w:kern w:val="0"/>
          <w:szCs w:val="21"/>
        </w:rPr>
        <w:t>2.08</w:t>
      </w:r>
      <w:r>
        <w:rPr>
          <w:rFonts w:hint="eastAsia"/>
          <w:kern w:val="0"/>
          <w:szCs w:val="21"/>
        </w:rPr>
        <w:t>%</w:t>
      </w:r>
      <w:r>
        <w:rPr>
          <w:rFonts w:hint="eastAsia"/>
          <w:kern w:val="0"/>
          <w:szCs w:val="21"/>
        </w:rPr>
        <w:t>，</w:t>
      </w:r>
      <w:r>
        <w:rPr>
          <w:rFonts w:hint="eastAsia"/>
        </w:rPr>
        <w:t>深圳市中金岭南有色金属股份有限公司</w:t>
      </w:r>
      <w:r>
        <w:rPr>
          <w:rFonts w:hint="eastAsia"/>
          <w:szCs w:val="21"/>
        </w:rPr>
        <w:t>的加标回收率在</w:t>
      </w:r>
      <w:r>
        <w:rPr>
          <w:rFonts w:hint="eastAsia"/>
          <w:szCs w:val="21"/>
        </w:rPr>
        <w:t>99.19</w:t>
      </w:r>
      <w:r>
        <w:rPr>
          <w:rFonts w:ascii="TimesNewRomanPSMT" w:hAnsi="TimesNewRomanPSMT" w:cs="TimesNewRomanPSMT"/>
          <w:szCs w:val="21"/>
        </w:rPr>
        <w:t>%</w:t>
      </w:r>
      <w:r>
        <w:rPr>
          <w:rFonts w:ascii="TimesNewRomanPSMT" w:hAnsi="TimesNewRomanPSMT" w:cs="TimesNewRomanPSMT"/>
          <w:szCs w:val="21"/>
        </w:rPr>
        <w:t>～</w:t>
      </w:r>
      <w:r>
        <w:rPr>
          <w:rFonts w:ascii="TimesNewRomanPSMT" w:hAnsi="TimesNewRomanPSMT" w:cs="TimesNewRomanPSMT" w:hint="eastAsia"/>
          <w:szCs w:val="21"/>
        </w:rPr>
        <w:t>100.36</w:t>
      </w:r>
      <w:r>
        <w:rPr>
          <w:rFonts w:ascii="TimesNewRomanPSMT" w:hAnsi="TimesNewRomanPSMT" w:cs="TimesNewRomanPSMT"/>
          <w:szCs w:val="21"/>
        </w:rPr>
        <w:t>%</w:t>
      </w:r>
      <w:r>
        <w:rPr>
          <w:rFonts w:ascii="TimesNewRomanPSMT" w:hAnsi="TimesNewRomanPSMT" w:cs="TimesNewRomanPSMT" w:hint="eastAsia"/>
          <w:kern w:val="0"/>
          <w:szCs w:val="21"/>
        </w:rPr>
        <w:t>之间</w:t>
      </w:r>
      <w:r>
        <w:rPr>
          <w:rFonts w:hint="eastAsia"/>
          <w:szCs w:val="21"/>
        </w:rPr>
        <w:t>、</w:t>
      </w:r>
      <w:r>
        <w:rPr>
          <w:rFonts w:hint="eastAsia"/>
          <w:szCs w:val="21"/>
        </w:rPr>
        <w:t>RSD</w:t>
      </w:r>
      <w:r>
        <w:rPr>
          <w:rFonts w:hint="eastAsia"/>
          <w:szCs w:val="21"/>
        </w:rPr>
        <w:t>为</w:t>
      </w:r>
      <w:r>
        <w:rPr>
          <w:kern w:val="0"/>
          <w:szCs w:val="21"/>
        </w:rPr>
        <w:t>0.83</w:t>
      </w:r>
      <w:r>
        <w:rPr>
          <w:rFonts w:hint="eastAsia"/>
          <w:kern w:val="0"/>
          <w:szCs w:val="21"/>
        </w:rPr>
        <w:t>%</w:t>
      </w:r>
      <w:r>
        <w:rPr>
          <w:rFonts w:hint="eastAsia"/>
          <w:kern w:val="0"/>
          <w:szCs w:val="21"/>
        </w:rPr>
        <w:t>～</w:t>
      </w:r>
      <w:r>
        <w:rPr>
          <w:kern w:val="0"/>
          <w:szCs w:val="21"/>
        </w:rPr>
        <w:t>1.37</w:t>
      </w:r>
      <w:r>
        <w:rPr>
          <w:rFonts w:hint="eastAsia"/>
          <w:kern w:val="0"/>
          <w:szCs w:val="21"/>
        </w:rPr>
        <w:t>%</w:t>
      </w:r>
      <w:r>
        <w:rPr>
          <w:rFonts w:hint="eastAsia"/>
          <w:kern w:val="0"/>
          <w:szCs w:val="21"/>
        </w:rPr>
        <w:t>，</w:t>
      </w:r>
      <w:r>
        <w:t>荆门市格林美新材料有限公司</w:t>
      </w:r>
      <w:r>
        <w:rPr>
          <w:rFonts w:hint="eastAsia"/>
          <w:szCs w:val="21"/>
        </w:rPr>
        <w:t>的加标回收率在</w:t>
      </w:r>
      <w:r>
        <w:rPr>
          <w:rFonts w:hint="eastAsia"/>
          <w:szCs w:val="21"/>
        </w:rPr>
        <w:t>99.2</w:t>
      </w:r>
      <w:r>
        <w:rPr>
          <w:szCs w:val="21"/>
        </w:rPr>
        <w:t xml:space="preserve"> </w:t>
      </w:r>
      <w:r>
        <w:rPr>
          <w:rFonts w:ascii="TimesNewRomanPSMT" w:hAnsi="TimesNewRomanPSMT" w:cs="TimesNewRomanPSMT"/>
          <w:szCs w:val="21"/>
        </w:rPr>
        <w:t>%</w:t>
      </w:r>
      <w:r>
        <w:rPr>
          <w:rFonts w:ascii="TimesNewRomanPSMT" w:hAnsi="TimesNewRomanPSMT" w:cs="TimesNewRomanPSMT"/>
          <w:szCs w:val="21"/>
        </w:rPr>
        <w:t>～</w:t>
      </w:r>
      <w:r>
        <w:rPr>
          <w:rFonts w:ascii="TimesNewRomanPSMT" w:hAnsi="TimesNewRomanPSMT" w:cs="TimesNewRomanPSMT" w:hint="eastAsia"/>
          <w:szCs w:val="21"/>
        </w:rPr>
        <w:t>101.</w:t>
      </w:r>
      <w:r>
        <w:rPr>
          <w:rFonts w:ascii="TimesNewRomanPSMT" w:hAnsi="TimesNewRomanPSMT" w:cs="TimesNewRomanPSMT"/>
          <w:szCs w:val="21"/>
        </w:rPr>
        <w:t>3 %</w:t>
      </w:r>
      <w:r>
        <w:rPr>
          <w:rFonts w:ascii="TimesNewRomanPSMT" w:hAnsi="TimesNewRomanPSMT" w:cs="TimesNewRomanPSMT" w:hint="eastAsia"/>
          <w:szCs w:val="21"/>
        </w:rPr>
        <w:t>之间、</w:t>
      </w:r>
      <w:r>
        <w:rPr>
          <w:rFonts w:hint="eastAsia"/>
          <w:szCs w:val="21"/>
        </w:rPr>
        <w:t>RSD</w:t>
      </w:r>
      <w:r>
        <w:rPr>
          <w:rFonts w:hint="eastAsia"/>
          <w:szCs w:val="21"/>
        </w:rPr>
        <w:t>为</w:t>
      </w:r>
      <w:r>
        <w:rPr>
          <w:rFonts w:hint="eastAsia"/>
          <w:szCs w:val="21"/>
        </w:rPr>
        <w:t>0</w:t>
      </w:r>
      <w:r>
        <w:rPr>
          <w:szCs w:val="21"/>
        </w:rPr>
        <w:t>.75</w:t>
      </w:r>
      <w:r>
        <w:rPr>
          <w:rFonts w:hint="eastAsia"/>
          <w:szCs w:val="21"/>
        </w:rPr>
        <w:t>%</w:t>
      </w:r>
      <w:r>
        <w:rPr>
          <w:rFonts w:hint="eastAsia"/>
          <w:szCs w:val="21"/>
        </w:rPr>
        <w:t>～</w:t>
      </w:r>
      <w:r>
        <w:rPr>
          <w:szCs w:val="21"/>
        </w:rPr>
        <w:t>1.12</w:t>
      </w:r>
      <w:r>
        <w:rPr>
          <w:rFonts w:hint="eastAsia"/>
          <w:szCs w:val="21"/>
        </w:rPr>
        <w:t>%</w:t>
      </w:r>
      <w:r>
        <w:rPr>
          <w:rFonts w:hint="eastAsia"/>
          <w:szCs w:val="21"/>
        </w:rPr>
        <w:t>。</w:t>
      </w:r>
      <w:r>
        <w:rPr>
          <w:szCs w:val="21"/>
        </w:rPr>
        <w:t>精密度、准确度</w:t>
      </w:r>
      <w:r>
        <w:rPr>
          <w:rFonts w:hint="eastAsia"/>
          <w:szCs w:val="21"/>
        </w:rPr>
        <w:t>均</w:t>
      </w:r>
      <w:r>
        <w:rPr>
          <w:szCs w:val="21"/>
        </w:rPr>
        <w:t>得到了满意的结果</w:t>
      </w:r>
      <w:r>
        <w:rPr>
          <w:rFonts w:hint="eastAsia"/>
          <w:szCs w:val="21"/>
        </w:rPr>
        <w:t>。</w:t>
      </w:r>
    </w:p>
    <w:p w:rsidR="00F55E3A" w:rsidRDefault="00F577EE">
      <w:pPr>
        <w:ind w:firstLineChars="200" w:firstLine="422"/>
        <w:rPr>
          <w:b/>
          <w:bCs/>
          <w:szCs w:val="21"/>
        </w:rPr>
      </w:pPr>
      <w:r>
        <w:rPr>
          <w:b/>
          <w:bCs/>
          <w:szCs w:val="21"/>
        </w:rPr>
        <w:t>具体</w:t>
      </w:r>
      <w:r>
        <w:rPr>
          <w:rFonts w:hint="eastAsia"/>
          <w:b/>
          <w:bCs/>
          <w:szCs w:val="21"/>
        </w:rPr>
        <w:t>试验</w:t>
      </w:r>
      <w:r>
        <w:rPr>
          <w:b/>
          <w:bCs/>
          <w:szCs w:val="21"/>
        </w:rPr>
        <w:t>内容详见</w:t>
      </w:r>
      <w:r>
        <w:rPr>
          <w:rFonts w:hint="eastAsia"/>
          <w:b/>
          <w:bCs/>
          <w:szCs w:val="21"/>
        </w:rPr>
        <w:t>附</w:t>
      </w:r>
      <w:r>
        <w:rPr>
          <w:rFonts w:hint="eastAsia"/>
          <w:b/>
          <w:bCs/>
          <w:szCs w:val="21"/>
        </w:rPr>
        <w:t>:</w:t>
      </w:r>
      <w:r>
        <w:rPr>
          <w:b/>
          <w:bCs/>
          <w:szCs w:val="21"/>
        </w:rPr>
        <w:t>1</w:t>
      </w:r>
      <w:r>
        <w:rPr>
          <w:rFonts w:hint="eastAsia"/>
          <w:b/>
          <w:bCs/>
          <w:szCs w:val="21"/>
        </w:rPr>
        <w:t>：火焰原子吸收法</w:t>
      </w:r>
      <w:r>
        <w:rPr>
          <w:b/>
          <w:bCs/>
          <w:szCs w:val="21"/>
        </w:rPr>
        <w:t>试验报告。</w:t>
      </w:r>
    </w:p>
    <w:p w:rsidR="00F55E3A" w:rsidRDefault="00F577EE">
      <w:pPr>
        <w:outlineLvl w:val="2"/>
        <w:rPr>
          <w:rFonts w:ascii="宋体" w:hAnsi="宋体"/>
          <w:b/>
        </w:rPr>
      </w:pPr>
      <w:bookmarkStart w:id="24" w:name="_Toc111022831"/>
      <w:r>
        <w:rPr>
          <w:rFonts w:ascii="宋体" w:hAnsi="宋体" w:hint="eastAsia"/>
          <w:b/>
        </w:rPr>
        <w:t>2、方法2</w:t>
      </w:r>
      <w:r>
        <w:rPr>
          <w:rFonts w:ascii="宋体" w:hAnsi="宋体"/>
          <w:b/>
        </w:rPr>
        <w:t xml:space="preserve"> </w:t>
      </w:r>
      <w:r>
        <w:rPr>
          <w:rFonts w:ascii="宋体" w:hAnsi="宋体" w:hint="eastAsia"/>
          <w:b/>
        </w:rPr>
        <w:t>碘量法</w:t>
      </w:r>
      <w:bookmarkEnd w:id="24"/>
    </w:p>
    <w:p w:rsidR="00F55E3A" w:rsidRDefault="00F577EE">
      <w:pPr>
        <w:ind w:firstLineChars="200" w:firstLine="420"/>
        <w:rPr>
          <w:color w:val="000000" w:themeColor="text1"/>
          <w:szCs w:val="21"/>
        </w:rPr>
      </w:pPr>
      <w:r>
        <w:rPr>
          <w:rFonts w:hint="eastAsia"/>
          <w:color w:val="000000" w:themeColor="text1"/>
          <w:szCs w:val="21"/>
        </w:rPr>
        <w:t>1</w:t>
      </w:r>
      <w:r>
        <w:rPr>
          <w:rFonts w:hint="eastAsia"/>
          <w:color w:val="000000" w:themeColor="text1"/>
          <w:szCs w:val="21"/>
        </w:rPr>
        <w:t>）溶样方式的确定</w:t>
      </w:r>
    </w:p>
    <w:p w:rsidR="00F55E3A" w:rsidRDefault="00F577EE">
      <w:pPr>
        <w:ind w:firstLineChars="200" w:firstLine="420"/>
        <w:rPr>
          <w:color w:val="000000" w:themeColor="text1"/>
          <w:szCs w:val="21"/>
        </w:rPr>
      </w:pPr>
      <w:r>
        <w:rPr>
          <w:rFonts w:ascii="宋体" w:hAnsi="宋体" w:cs="宋体" w:hint="eastAsia"/>
        </w:rPr>
        <w:t>样品用盐酸、硝酸溶解，加高氯酸分解碳。</w:t>
      </w:r>
    </w:p>
    <w:p w:rsidR="00F55E3A" w:rsidRDefault="00F577EE">
      <w:pPr>
        <w:ind w:firstLineChars="200" w:firstLine="420"/>
        <w:rPr>
          <w:color w:val="000000" w:themeColor="text1"/>
          <w:szCs w:val="21"/>
        </w:rPr>
      </w:pPr>
      <w:r>
        <w:rPr>
          <w:rFonts w:hint="eastAsia"/>
          <w:color w:val="000000" w:themeColor="text1"/>
          <w:szCs w:val="21"/>
        </w:rPr>
        <w:t>2</w:t>
      </w:r>
      <w:r>
        <w:rPr>
          <w:rFonts w:hint="eastAsia"/>
          <w:color w:val="000000" w:themeColor="text1"/>
          <w:szCs w:val="21"/>
        </w:rPr>
        <w:t>）滴定条件的优化</w:t>
      </w:r>
    </w:p>
    <w:p w:rsidR="00F55E3A" w:rsidRDefault="00F577EE">
      <w:pPr>
        <w:ind w:firstLineChars="200" w:firstLine="420"/>
        <w:rPr>
          <w:color w:val="000000" w:themeColor="text1"/>
          <w:szCs w:val="21"/>
        </w:rPr>
      </w:pPr>
      <w:r>
        <w:rPr>
          <w:rFonts w:hint="eastAsia"/>
          <w:color w:val="000000" w:themeColor="text1"/>
          <w:szCs w:val="21"/>
        </w:rPr>
        <w:t>进行了尿素、乙酸、氟化氢铵饱和溶液、碘化钾溶液、硫氰酸钾溶液加入量的试验。</w:t>
      </w:r>
    </w:p>
    <w:p w:rsidR="00F55E3A" w:rsidRDefault="00F577EE">
      <w:pPr>
        <w:ind w:firstLineChars="200" w:firstLine="420"/>
        <w:rPr>
          <w:color w:val="000000" w:themeColor="text1"/>
          <w:szCs w:val="21"/>
        </w:rPr>
      </w:pPr>
      <w:r>
        <w:rPr>
          <w:rFonts w:hint="eastAsia"/>
          <w:color w:val="000000" w:themeColor="text1"/>
          <w:szCs w:val="21"/>
        </w:rPr>
        <w:t>3</w:t>
      </w:r>
      <w:r>
        <w:rPr>
          <w:rFonts w:hint="eastAsia"/>
          <w:color w:val="000000" w:themeColor="text1"/>
          <w:szCs w:val="21"/>
        </w:rPr>
        <w:t>）共存组分干扰的考察</w:t>
      </w:r>
    </w:p>
    <w:p w:rsidR="00F55E3A" w:rsidRDefault="00F577EE">
      <w:pPr>
        <w:ind w:firstLineChars="200" w:firstLine="420"/>
        <w:rPr>
          <w:szCs w:val="21"/>
        </w:rPr>
      </w:pPr>
      <w:r>
        <w:rPr>
          <w:rFonts w:hint="eastAsia"/>
          <w:color w:val="000000" w:themeColor="text1"/>
          <w:szCs w:val="21"/>
        </w:rPr>
        <w:t>根据收</w:t>
      </w:r>
      <w:r>
        <w:rPr>
          <w:rFonts w:hint="eastAsia"/>
          <w:szCs w:val="21"/>
        </w:rPr>
        <w:t>集到的国内外不同品位硫化钴精矿，</w:t>
      </w:r>
      <w:r>
        <w:rPr>
          <w:rFonts w:ascii="宋体" w:hAnsi="宋体" w:hint="eastAsia"/>
          <w:szCs w:val="21"/>
        </w:rPr>
        <w:t>主要存在元素有Co、Ni、</w:t>
      </w:r>
      <w:r>
        <w:rPr>
          <w:rFonts w:ascii="宋体" w:hAnsi="宋体"/>
          <w:szCs w:val="21"/>
        </w:rPr>
        <w:t>Fe</w:t>
      </w:r>
      <w:r>
        <w:rPr>
          <w:rFonts w:ascii="宋体" w:hAnsi="宋体" w:hint="eastAsia"/>
          <w:szCs w:val="21"/>
        </w:rPr>
        <w:t>、</w:t>
      </w:r>
      <w:r>
        <w:rPr>
          <w:rFonts w:ascii="宋体" w:hAnsi="宋体"/>
          <w:szCs w:val="21"/>
        </w:rPr>
        <w:t>S</w:t>
      </w:r>
      <w:r>
        <w:rPr>
          <w:rFonts w:ascii="宋体" w:hAnsi="宋体" w:hint="eastAsia"/>
          <w:szCs w:val="21"/>
        </w:rPr>
        <w:t>iO</w:t>
      </w:r>
      <w:r>
        <w:rPr>
          <w:rFonts w:ascii="宋体" w:hAnsi="宋体" w:hint="eastAsia"/>
          <w:szCs w:val="21"/>
          <w:vertAlign w:val="subscript"/>
        </w:rPr>
        <w:t>2</w:t>
      </w:r>
      <w:r>
        <w:rPr>
          <w:rFonts w:ascii="宋体" w:hAnsi="宋体" w:hint="eastAsia"/>
          <w:szCs w:val="21"/>
        </w:rPr>
        <w:t>、</w:t>
      </w:r>
      <w:r>
        <w:rPr>
          <w:rFonts w:ascii="宋体" w:hAnsi="宋体"/>
          <w:szCs w:val="21"/>
        </w:rPr>
        <w:t>C</w:t>
      </w:r>
      <w:r>
        <w:rPr>
          <w:rFonts w:ascii="宋体" w:hAnsi="宋体" w:hint="eastAsia"/>
          <w:szCs w:val="21"/>
        </w:rPr>
        <w:t>a、Mg、Al、</w:t>
      </w:r>
      <w:r>
        <w:rPr>
          <w:rFonts w:ascii="宋体" w:hAnsi="宋体"/>
          <w:szCs w:val="21"/>
        </w:rPr>
        <w:t>Pb</w:t>
      </w:r>
      <w:r>
        <w:rPr>
          <w:rFonts w:ascii="宋体" w:hAnsi="宋体" w:hint="eastAsia"/>
          <w:szCs w:val="21"/>
        </w:rPr>
        <w:t>、Zn、Cr、Mn及少量的</w:t>
      </w:r>
      <w:r>
        <w:rPr>
          <w:rFonts w:ascii="宋体" w:hAnsi="宋体"/>
          <w:szCs w:val="21"/>
        </w:rPr>
        <w:t>As</w:t>
      </w:r>
      <w:r>
        <w:rPr>
          <w:rFonts w:ascii="宋体" w:hAnsi="宋体" w:hint="eastAsia"/>
          <w:szCs w:val="21"/>
        </w:rPr>
        <w:t>、Cd、S等元素，各元素最大含量为：</w:t>
      </w:r>
      <w:r>
        <w:rPr>
          <w:rFonts w:ascii="宋体" w:hAnsi="宋体"/>
          <w:szCs w:val="21"/>
        </w:rPr>
        <w:t>S</w:t>
      </w:r>
      <w:r>
        <w:rPr>
          <w:rFonts w:ascii="宋体" w:hAnsi="宋体" w:hint="eastAsia"/>
          <w:szCs w:val="21"/>
        </w:rPr>
        <w:t>iO</w:t>
      </w:r>
      <w:r>
        <w:rPr>
          <w:rFonts w:ascii="宋体" w:hAnsi="宋体" w:hint="eastAsia"/>
          <w:szCs w:val="21"/>
          <w:vertAlign w:val="subscript"/>
        </w:rPr>
        <w:t>2</w:t>
      </w:r>
      <w:r>
        <w:rPr>
          <w:rFonts w:ascii="宋体" w:hAnsi="宋体" w:hint="eastAsia"/>
          <w:szCs w:val="21"/>
        </w:rPr>
        <w:t xml:space="preserve"> 70%，Ni 2</w:t>
      </w:r>
      <w:r>
        <w:rPr>
          <w:rFonts w:ascii="宋体" w:hAnsi="宋体"/>
          <w:szCs w:val="21"/>
        </w:rPr>
        <w:t>5%</w:t>
      </w:r>
      <w:r>
        <w:rPr>
          <w:rFonts w:ascii="宋体" w:hAnsi="宋体" w:hint="eastAsia"/>
          <w:szCs w:val="21"/>
        </w:rPr>
        <w:t>，Fe 3</w:t>
      </w:r>
      <w:r>
        <w:rPr>
          <w:rFonts w:ascii="宋体" w:hAnsi="宋体"/>
          <w:szCs w:val="21"/>
        </w:rPr>
        <w:t>0%</w:t>
      </w:r>
      <w:r>
        <w:rPr>
          <w:rFonts w:ascii="宋体" w:hAnsi="宋体" w:hint="eastAsia"/>
          <w:szCs w:val="21"/>
        </w:rPr>
        <w:t>，Co 25%，Ca 3%，Mg 5%，Al 5%，</w:t>
      </w:r>
      <w:r>
        <w:rPr>
          <w:rFonts w:ascii="宋体" w:hAnsi="宋体"/>
          <w:szCs w:val="21"/>
        </w:rPr>
        <w:t>Pb</w:t>
      </w:r>
      <w:r>
        <w:rPr>
          <w:rFonts w:ascii="宋体" w:hAnsi="宋体" w:hint="eastAsia"/>
          <w:szCs w:val="21"/>
        </w:rPr>
        <w:t xml:space="preserve"> 2%，Zn 2%，Cr 2%，Mn 5%，经过试验：钴不干扰铜的测定；硅不干扰铜的测定；</w:t>
      </w:r>
      <w:r>
        <w:rPr>
          <w:rFonts w:hint="eastAsia"/>
          <w:szCs w:val="21"/>
        </w:rPr>
        <w:t>共存元素不干扰碘量法测定硫化钴精矿中的铜含量。</w:t>
      </w:r>
    </w:p>
    <w:p w:rsidR="00F55E3A" w:rsidRDefault="00F577EE">
      <w:pPr>
        <w:ind w:firstLineChars="200" w:firstLine="420"/>
        <w:rPr>
          <w:color w:val="000000" w:themeColor="text1"/>
          <w:szCs w:val="21"/>
        </w:rPr>
      </w:pPr>
      <w:r>
        <w:rPr>
          <w:color w:val="000000" w:themeColor="text1"/>
          <w:szCs w:val="21"/>
        </w:rPr>
        <w:t>4</w:t>
      </w:r>
      <w:r>
        <w:rPr>
          <w:rFonts w:hint="eastAsia"/>
          <w:color w:val="000000" w:themeColor="text1"/>
          <w:szCs w:val="21"/>
        </w:rPr>
        <w:t>）样品分析准确度试验</w:t>
      </w:r>
    </w:p>
    <w:p w:rsidR="00F55E3A" w:rsidRPr="00BB6A8A" w:rsidRDefault="00F577EE">
      <w:pPr>
        <w:ind w:firstLineChars="200" w:firstLine="420"/>
        <w:rPr>
          <w:szCs w:val="21"/>
        </w:rPr>
      </w:pPr>
      <w:r w:rsidRPr="00BB6A8A">
        <w:rPr>
          <w:rFonts w:hint="eastAsia"/>
          <w:szCs w:val="21"/>
        </w:rPr>
        <w:lastRenderedPageBreak/>
        <w:t>对</w:t>
      </w:r>
      <w:r w:rsidRPr="00BB6A8A">
        <w:rPr>
          <w:rFonts w:hint="eastAsia"/>
          <w:szCs w:val="21"/>
        </w:rPr>
        <w:t>4</w:t>
      </w:r>
      <w:r w:rsidRPr="00BB6A8A">
        <w:rPr>
          <w:rFonts w:hint="eastAsia"/>
          <w:szCs w:val="21"/>
        </w:rPr>
        <w:t>个不同产地，品位分别为</w:t>
      </w:r>
      <w:r w:rsidRPr="00BB6A8A">
        <w:rPr>
          <w:szCs w:val="21"/>
        </w:rPr>
        <w:t>3</w:t>
      </w:r>
      <w:r w:rsidRPr="00BB6A8A">
        <w:rPr>
          <w:rFonts w:hint="eastAsia"/>
          <w:szCs w:val="21"/>
        </w:rPr>
        <w:t>%</w:t>
      </w:r>
      <w:r w:rsidRPr="00BB6A8A">
        <w:rPr>
          <w:rFonts w:hint="eastAsia"/>
          <w:szCs w:val="21"/>
        </w:rPr>
        <w:t>、</w:t>
      </w:r>
      <w:r w:rsidRPr="00BB6A8A">
        <w:rPr>
          <w:szCs w:val="21"/>
        </w:rPr>
        <w:t>10</w:t>
      </w:r>
      <w:r w:rsidRPr="00BB6A8A">
        <w:rPr>
          <w:rFonts w:hint="eastAsia"/>
          <w:szCs w:val="21"/>
        </w:rPr>
        <w:t>%</w:t>
      </w:r>
      <w:r w:rsidRPr="00BB6A8A">
        <w:rPr>
          <w:rFonts w:hint="eastAsia"/>
          <w:szCs w:val="21"/>
        </w:rPr>
        <w:t>、</w:t>
      </w:r>
      <w:r w:rsidRPr="00BB6A8A">
        <w:rPr>
          <w:szCs w:val="21"/>
        </w:rPr>
        <w:t>20</w:t>
      </w:r>
      <w:r w:rsidRPr="00BB6A8A">
        <w:rPr>
          <w:rFonts w:hint="eastAsia"/>
          <w:szCs w:val="21"/>
        </w:rPr>
        <w:t>%</w:t>
      </w:r>
      <w:r w:rsidRPr="00BB6A8A">
        <w:rPr>
          <w:rFonts w:hint="eastAsia"/>
          <w:szCs w:val="21"/>
        </w:rPr>
        <w:t>、</w:t>
      </w:r>
      <w:r w:rsidRPr="00BB6A8A">
        <w:rPr>
          <w:szCs w:val="21"/>
        </w:rPr>
        <w:t>30</w:t>
      </w:r>
      <w:r w:rsidRPr="00BB6A8A">
        <w:rPr>
          <w:rFonts w:hint="eastAsia"/>
          <w:szCs w:val="21"/>
        </w:rPr>
        <w:t>%</w:t>
      </w:r>
      <w:r w:rsidRPr="00BB6A8A">
        <w:rPr>
          <w:rFonts w:hint="eastAsia"/>
          <w:szCs w:val="21"/>
        </w:rPr>
        <w:t>的硫化钴精矿</w:t>
      </w:r>
      <w:r w:rsidRPr="00BB6A8A">
        <w:rPr>
          <w:szCs w:val="21"/>
        </w:rPr>
        <w:t>样品进行了</w:t>
      </w:r>
      <w:r w:rsidRPr="00BB6A8A">
        <w:rPr>
          <w:rFonts w:hint="eastAsia"/>
          <w:szCs w:val="21"/>
        </w:rPr>
        <w:t>铜含量的</w:t>
      </w:r>
      <w:r w:rsidRPr="00BB6A8A">
        <w:rPr>
          <w:szCs w:val="21"/>
        </w:rPr>
        <w:t>精密度实验、加标回收实验，方法的加标</w:t>
      </w:r>
      <w:r w:rsidRPr="00BB6A8A">
        <w:rPr>
          <w:rFonts w:hint="eastAsia"/>
        </w:rPr>
        <w:t>回收率在</w:t>
      </w:r>
      <w:r w:rsidRPr="00BB6A8A">
        <w:t>95.2</w:t>
      </w:r>
      <w:r w:rsidRPr="00BB6A8A">
        <w:rPr>
          <w:rFonts w:hint="eastAsia"/>
        </w:rPr>
        <w:t>%</w:t>
      </w:r>
      <w:r w:rsidRPr="00BB6A8A">
        <w:rPr>
          <w:rFonts w:ascii="宋体" w:hAnsi="宋体" w:hint="eastAsia"/>
        </w:rPr>
        <w:t>～</w:t>
      </w:r>
      <w:r w:rsidRPr="00BB6A8A">
        <w:rPr>
          <w:rFonts w:hint="eastAsia"/>
        </w:rPr>
        <w:t>10</w:t>
      </w:r>
      <w:r w:rsidRPr="00BB6A8A">
        <w:t>0.4</w:t>
      </w:r>
      <w:r w:rsidRPr="00BB6A8A">
        <w:rPr>
          <w:rFonts w:hint="eastAsia"/>
        </w:rPr>
        <w:t>%</w:t>
      </w:r>
      <w:r w:rsidRPr="00BB6A8A">
        <w:rPr>
          <w:rFonts w:hint="eastAsia"/>
        </w:rPr>
        <w:t>之间，</w:t>
      </w:r>
      <w:r w:rsidRPr="00BB6A8A">
        <w:rPr>
          <w:rFonts w:hint="eastAsia"/>
        </w:rPr>
        <w:t>RSD</w:t>
      </w:r>
      <w:r w:rsidRPr="00BB6A8A">
        <w:t>在</w:t>
      </w:r>
      <w:r w:rsidRPr="00BB6A8A">
        <w:rPr>
          <w:rFonts w:hint="eastAsia"/>
          <w:szCs w:val="21"/>
        </w:rPr>
        <w:t>0.</w:t>
      </w:r>
      <w:r w:rsidRPr="00BB6A8A">
        <w:rPr>
          <w:szCs w:val="21"/>
        </w:rPr>
        <w:t>1</w:t>
      </w:r>
      <w:r w:rsidRPr="00BB6A8A">
        <w:rPr>
          <w:rFonts w:hint="eastAsia"/>
          <w:szCs w:val="21"/>
        </w:rPr>
        <w:t>1</w:t>
      </w:r>
      <w:r w:rsidRPr="00BB6A8A">
        <w:rPr>
          <w:szCs w:val="21"/>
        </w:rPr>
        <w:t xml:space="preserve"> </w:t>
      </w:r>
      <w:r w:rsidRPr="00BB6A8A">
        <w:rPr>
          <w:rFonts w:ascii="TimesNewRomanPSMT" w:hAnsi="TimesNewRomanPSMT" w:cs="TimesNewRomanPSMT"/>
          <w:szCs w:val="21"/>
        </w:rPr>
        <w:t>%</w:t>
      </w:r>
      <w:r w:rsidRPr="00BB6A8A">
        <w:rPr>
          <w:rFonts w:ascii="TimesNewRomanPSMT" w:hAnsi="TimesNewRomanPSMT" w:cs="TimesNewRomanPSMT"/>
          <w:szCs w:val="21"/>
        </w:rPr>
        <w:t>～</w:t>
      </w:r>
      <w:r w:rsidRPr="00BB6A8A">
        <w:rPr>
          <w:rFonts w:ascii="TimesNewRomanPSMT" w:hAnsi="TimesNewRomanPSMT" w:cs="TimesNewRomanPSMT"/>
          <w:szCs w:val="21"/>
        </w:rPr>
        <w:t>0.74 %</w:t>
      </w:r>
      <w:r w:rsidRPr="00BB6A8A">
        <w:t>之间，</w:t>
      </w:r>
      <w:r w:rsidRPr="00BB6A8A">
        <w:rPr>
          <w:szCs w:val="21"/>
        </w:rPr>
        <w:t>精密度、准确度</w:t>
      </w:r>
      <w:r w:rsidRPr="00BB6A8A">
        <w:rPr>
          <w:rFonts w:hint="eastAsia"/>
          <w:szCs w:val="21"/>
        </w:rPr>
        <w:t>的</w:t>
      </w:r>
      <w:r w:rsidRPr="00BB6A8A">
        <w:rPr>
          <w:szCs w:val="21"/>
        </w:rPr>
        <w:t>结果</w:t>
      </w:r>
      <w:r w:rsidRPr="00BB6A8A">
        <w:rPr>
          <w:rFonts w:hint="eastAsia"/>
          <w:szCs w:val="21"/>
        </w:rPr>
        <w:t>好。参与起草工作的一验单位</w:t>
      </w:r>
      <w:r w:rsidRPr="00BB6A8A">
        <w:rPr>
          <w:szCs w:val="21"/>
        </w:rPr>
        <w:t>加标回收</w:t>
      </w:r>
      <w:r w:rsidRPr="00BB6A8A">
        <w:rPr>
          <w:rFonts w:hint="eastAsia"/>
          <w:szCs w:val="21"/>
        </w:rPr>
        <w:t>和</w:t>
      </w:r>
      <w:r w:rsidRPr="00BB6A8A">
        <w:rPr>
          <w:szCs w:val="21"/>
        </w:rPr>
        <w:t>精密度实验</w:t>
      </w:r>
      <w:r w:rsidRPr="00BB6A8A">
        <w:rPr>
          <w:rFonts w:hint="eastAsia"/>
          <w:szCs w:val="21"/>
        </w:rPr>
        <w:t>结果分别为：深圳市中金岭南有色金属股份有限公司的加标回收率在</w:t>
      </w:r>
      <w:r w:rsidRPr="00BB6A8A">
        <w:rPr>
          <w:rFonts w:hint="eastAsia"/>
        </w:rPr>
        <w:t>98.27</w:t>
      </w:r>
      <w:r w:rsidRPr="00BB6A8A">
        <w:t xml:space="preserve"> % ~ </w:t>
      </w:r>
      <w:r w:rsidRPr="00BB6A8A">
        <w:rPr>
          <w:rFonts w:hint="eastAsia"/>
        </w:rPr>
        <w:t>100.00</w:t>
      </w:r>
      <w:r w:rsidRPr="00BB6A8A">
        <w:t>%</w:t>
      </w:r>
      <w:r w:rsidRPr="00BB6A8A">
        <w:rPr>
          <w:rFonts w:hint="eastAsia"/>
          <w:szCs w:val="21"/>
        </w:rPr>
        <w:t>之间、</w:t>
      </w:r>
      <w:r w:rsidRPr="00BB6A8A">
        <w:rPr>
          <w:rFonts w:hint="eastAsia"/>
          <w:szCs w:val="21"/>
        </w:rPr>
        <w:t>RSD</w:t>
      </w:r>
      <w:r w:rsidRPr="00BB6A8A">
        <w:rPr>
          <w:rFonts w:hint="eastAsia"/>
          <w:szCs w:val="21"/>
        </w:rPr>
        <w:t>为</w:t>
      </w:r>
      <w:r w:rsidRPr="00BB6A8A">
        <w:rPr>
          <w:rFonts w:hint="eastAsia"/>
          <w:szCs w:val="21"/>
        </w:rPr>
        <w:t>0.39 %</w:t>
      </w:r>
      <w:r w:rsidRPr="00BB6A8A">
        <w:rPr>
          <w:rFonts w:hint="eastAsia"/>
          <w:szCs w:val="21"/>
        </w:rPr>
        <w:t>～</w:t>
      </w:r>
      <w:r w:rsidRPr="00BB6A8A">
        <w:rPr>
          <w:rFonts w:hint="eastAsia"/>
          <w:szCs w:val="21"/>
        </w:rPr>
        <w:t>0.97 %</w:t>
      </w:r>
      <w:r w:rsidRPr="00BB6A8A">
        <w:rPr>
          <w:rFonts w:hint="eastAsia"/>
          <w:szCs w:val="21"/>
        </w:rPr>
        <w:t>，湖南有色金属研究院的加标回收率在</w:t>
      </w:r>
      <w:r w:rsidRPr="00BB6A8A">
        <w:rPr>
          <w:rFonts w:hint="eastAsia"/>
        </w:rPr>
        <w:t>97.73</w:t>
      </w:r>
      <w:r w:rsidRPr="00BB6A8A">
        <w:t xml:space="preserve"> % ~ </w:t>
      </w:r>
      <w:r w:rsidRPr="00BB6A8A">
        <w:rPr>
          <w:rFonts w:hint="eastAsia"/>
        </w:rPr>
        <w:t>100.28</w:t>
      </w:r>
      <w:r w:rsidRPr="00BB6A8A">
        <w:t xml:space="preserve"> %</w:t>
      </w:r>
      <w:r w:rsidRPr="00BB6A8A">
        <w:rPr>
          <w:rFonts w:hint="eastAsia"/>
          <w:szCs w:val="21"/>
        </w:rPr>
        <w:t>之间、</w:t>
      </w:r>
      <w:r w:rsidRPr="00BB6A8A">
        <w:rPr>
          <w:rFonts w:hint="eastAsia"/>
          <w:szCs w:val="21"/>
        </w:rPr>
        <w:t>RSD</w:t>
      </w:r>
      <w:r w:rsidRPr="00BB6A8A">
        <w:rPr>
          <w:rFonts w:hint="eastAsia"/>
          <w:szCs w:val="21"/>
        </w:rPr>
        <w:t>为</w:t>
      </w:r>
      <w:r w:rsidRPr="00BB6A8A">
        <w:rPr>
          <w:rFonts w:hint="eastAsia"/>
          <w:szCs w:val="21"/>
        </w:rPr>
        <w:t>0.28 %</w:t>
      </w:r>
      <w:r w:rsidRPr="00BB6A8A">
        <w:rPr>
          <w:rFonts w:hint="eastAsia"/>
          <w:szCs w:val="21"/>
        </w:rPr>
        <w:t>～</w:t>
      </w:r>
      <w:r w:rsidRPr="00BB6A8A">
        <w:rPr>
          <w:rFonts w:hint="eastAsia"/>
          <w:szCs w:val="21"/>
        </w:rPr>
        <w:t>0.69 %</w:t>
      </w:r>
      <w:r w:rsidRPr="00BB6A8A">
        <w:rPr>
          <w:rFonts w:hint="eastAsia"/>
          <w:szCs w:val="21"/>
        </w:rPr>
        <w:t>，云南华联锌铟股份有限公司的加标回收率在</w:t>
      </w:r>
      <w:r w:rsidRPr="00BB6A8A">
        <w:rPr>
          <w:rFonts w:hint="eastAsia"/>
        </w:rPr>
        <w:t>99.29</w:t>
      </w:r>
      <w:r w:rsidRPr="00BB6A8A">
        <w:t xml:space="preserve"> % ~ </w:t>
      </w:r>
      <w:r w:rsidRPr="00BB6A8A">
        <w:rPr>
          <w:rFonts w:hint="eastAsia"/>
        </w:rPr>
        <w:t>100.50</w:t>
      </w:r>
      <w:r w:rsidRPr="00BB6A8A">
        <w:t xml:space="preserve"> %</w:t>
      </w:r>
      <w:r w:rsidRPr="00BB6A8A">
        <w:rPr>
          <w:rFonts w:hint="eastAsia"/>
          <w:szCs w:val="21"/>
        </w:rPr>
        <w:t>之间、</w:t>
      </w:r>
      <w:r w:rsidRPr="00BB6A8A">
        <w:rPr>
          <w:rFonts w:hint="eastAsia"/>
          <w:szCs w:val="21"/>
        </w:rPr>
        <w:t>RSD</w:t>
      </w:r>
      <w:r w:rsidRPr="00BB6A8A">
        <w:rPr>
          <w:rFonts w:hint="eastAsia"/>
          <w:szCs w:val="21"/>
        </w:rPr>
        <w:t>为</w:t>
      </w:r>
      <w:r w:rsidRPr="00BB6A8A">
        <w:rPr>
          <w:rFonts w:hint="eastAsia"/>
          <w:szCs w:val="21"/>
        </w:rPr>
        <w:t>0.33 %</w:t>
      </w:r>
      <w:r w:rsidRPr="00BB6A8A">
        <w:rPr>
          <w:rFonts w:hint="eastAsia"/>
          <w:szCs w:val="21"/>
        </w:rPr>
        <w:t>～</w:t>
      </w:r>
      <w:r w:rsidRPr="00BB6A8A">
        <w:rPr>
          <w:rFonts w:hint="eastAsia"/>
          <w:szCs w:val="21"/>
        </w:rPr>
        <w:t>1.66 %</w:t>
      </w:r>
      <w:r w:rsidRPr="00BB6A8A">
        <w:rPr>
          <w:rFonts w:hint="eastAsia"/>
          <w:szCs w:val="21"/>
        </w:rPr>
        <w:t>，广东省工业分析检测中心的加标回收率在</w:t>
      </w:r>
      <w:r w:rsidRPr="00BB6A8A">
        <w:rPr>
          <w:rFonts w:hint="eastAsia"/>
        </w:rPr>
        <w:t>9</w:t>
      </w:r>
      <w:r w:rsidRPr="00BB6A8A">
        <w:t>6</w:t>
      </w:r>
      <w:r w:rsidRPr="00BB6A8A">
        <w:rPr>
          <w:rFonts w:hint="eastAsia"/>
        </w:rPr>
        <w:t>.20</w:t>
      </w:r>
      <w:r w:rsidRPr="00BB6A8A">
        <w:t xml:space="preserve"> % ~ 99.85 %</w:t>
      </w:r>
      <w:r w:rsidRPr="00BB6A8A">
        <w:rPr>
          <w:rFonts w:hint="eastAsia"/>
          <w:szCs w:val="21"/>
        </w:rPr>
        <w:t>之间、</w:t>
      </w:r>
      <w:r w:rsidRPr="00BB6A8A">
        <w:rPr>
          <w:rFonts w:hint="eastAsia"/>
          <w:szCs w:val="21"/>
        </w:rPr>
        <w:t>RSD</w:t>
      </w:r>
      <w:r w:rsidRPr="00BB6A8A">
        <w:rPr>
          <w:rFonts w:hint="eastAsia"/>
          <w:szCs w:val="21"/>
        </w:rPr>
        <w:t>为</w:t>
      </w:r>
      <w:r w:rsidRPr="00BB6A8A">
        <w:rPr>
          <w:rFonts w:hint="eastAsia"/>
          <w:szCs w:val="21"/>
        </w:rPr>
        <w:t>0.11 %</w:t>
      </w:r>
      <w:r w:rsidRPr="00BB6A8A">
        <w:rPr>
          <w:rFonts w:hint="eastAsia"/>
          <w:szCs w:val="21"/>
        </w:rPr>
        <w:t>～</w:t>
      </w:r>
      <w:r w:rsidRPr="00BB6A8A">
        <w:rPr>
          <w:rFonts w:hint="eastAsia"/>
          <w:szCs w:val="21"/>
        </w:rPr>
        <w:t>0.82 %</w:t>
      </w:r>
      <w:r w:rsidRPr="00BB6A8A">
        <w:rPr>
          <w:rFonts w:hint="eastAsia"/>
          <w:szCs w:val="21"/>
        </w:rPr>
        <w:t>。</w:t>
      </w:r>
      <w:r w:rsidRPr="00BB6A8A">
        <w:rPr>
          <w:szCs w:val="21"/>
        </w:rPr>
        <w:t>精密度、准确度</w:t>
      </w:r>
      <w:r w:rsidRPr="00BB6A8A">
        <w:rPr>
          <w:rFonts w:hint="eastAsia"/>
          <w:szCs w:val="21"/>
        </w:rPr>
        <w:t>均</w:t>
      </w:r>
      <w:r w:rsidRPr="00BB6A8A">
        <w:rPr>
          <w:szCs w:val="21"/>
        </w:rPr>
        <w:t>得到了满意的结果</w:t>
      </w:r>
      <w:r w:rsidRPr="00BB6A8A">
        <w:rPr>
          <w:rFonts w:hint="eastAsia"/>
          <w:szCs w:val="21"/>
        </w:rPr>
        <w:t>。</w:t>
      </w:r>
    </w:p>
    <w:p w:rsidR="00F55E3A" w:rsidRDefault="00F577EE">
      <w:pPr>
        <w:ind w:firstLineChars="200" w:firstLine="422"/>
        <w:rPr>
          <w:b/>
          <w:bCs/>
          <w:szCs w:val="21"/>
        </w:rPr>
      </w:pPr>
      <w:r>
        <w:rPr>
          <w:b/>
          <w:bCs/>
          <w:szCs w:val="21"/>
        </w:rPr>
        <w:t>具体</w:t>
      </w:r>
      <w:r>
        <w:rPr>
          <w:rFonts w:hint="eastAsia"/>
          <w:b/>
          <w:bCs/>
          <w:szCs w:val="21"/>
        </w:rPr>
        <w:t>试验</w:t>
      </w:r>
      <w:r>
        <w:rPr>
          <w:b/>
          <w:bCs/>
          <w:szCs w:val="21"/>
        </w:rPr>
        <w:t>内容详见</w:t>
      </w:r>
      <w:r>
        <w:rPr>
          <w:rFonts w:hint="eastAsia"/>
          <w:b/>
          <w:bCs/>
          <w:szCs w:val="21"/>
        </w:rPr>
        <w:t>附件</w:t>
      </w:r>
      <w:r>
        <w:rPr>
          <w:rFonts w:hint="eastAsia"/>
          <w:b/>
          <w:bCs/>
          <w:szCs w:val="21"/>
        </w:rPr>
        <w:t>2</w:t>
      </w:r>
      <w:r>
        <w:rPr>
          <w:rFonts w:hint="eastAsia"/>
          <w:b/>
          <w:bCs/>
          <w:szCs w:val="21"/>
        </w:rPr>
        <w:t>：碘量法</w:t>
      </w:r>
      <w:r>
        <w:rPr>
          <w:b/>
          <w:bCs/>
          <w:szCs w:val="21"/>
        </w:rPr>
        <w:t>试验报告。</w:t>
      </w:r>
    </w:p>
    <w:p w:rsidR="00F55E3A" w:rsidRDefault="00F577EE">
      <w:pPr>
        <w:outlineLvl w:val="1"/>
        <w:rPr>
          <w:rFonts w:ascii="宋体" w:hAnsi="宋体" w:cs="宋体"/>
          <w:b/>
        </w:rPr>
      </w:pPr>
      <w:bookmarkStart w:id="25" w:name="_Toc111022832"/>
      <w:r>
        <w:rPr>
          <w:rFonts w:ascii="宋体" w:hAnsi="宋体" w:cs="宋体" w:hint="eastAsia"/>
          <w:b/>
        </w:rPr>
        <w:t>（二）重复性及再现性</w:t>
      </w:r>
      <w:bookmarkEnd w:id="25"/>
    </w:p>
    <w:p w:rsidR="00F55E3A" w:rsidRDefault="00F577EE">
      <w:pPr>
        <w:outlineLvl w:val="2"/>
        <w:rPr>
          <w:rFonts w:ascii="宋体" w:hAnsi="宋体" w:cs="宋体"/>
          <w:b/>
        </w:rPr>
      </w:pPr>
      <w:bookmarkStart w:id="26" w:name="_Toc111022833"/>
      <w:r>
        <w:rPr>
          <w:rFonts w:ascii="宋体" w:hAnsi="宋体" w:cs="宋体" w:hint="eastAsia"/>
          <w:b/>
        </w:rPr>
        <w:t>1、方法1</w:t>
      </w:r>
      <w:r>
        <w:rPr>
          <w:rFonts w:ascii="宋体" w:hAnsi="宋体" w:cs="宋体"/>
          <w:b/>
        </w:rPr>
        <w:t xml:space="preserve"> </w:t>
      </w:r>
      <w:r>
        <w:rPr>
          <w:rFonts w:ascii="宋体" w:hAnsi="宋体" w:cs="宋体" w:hint="eastAsia"/>
          <w:b/>
        </w:rPr>
        <w:t>火焰原子吸收法</w:t>
      </w:r>
      <w:bookmarkEnd w:id="26"/>
    </w:p>
    <w:p w:rsidR="00F55E3A" w:rsidRDefault="00F577EE">
      <w:pPr>
        <w:ind w:firstLine="435"/>
        <w:rPr>
          <w:color w:val="000000"/>
          <w:szCs w:val="21"/>
        </w:rPr>
      </w:pPr>
      <w:r>
        <w:rPr>
          <w:rFonts w:hint="eastAsia"/>
          <w:color w:val="000000"/>
          <w:szCs w:val="21"/>
        </w:rPr>
        <w:t>对火焰原子吸收法测定铜含量的</w:t>
      </w:r>
      <w:r>
        <w:rPr>
          <w:rFonts w:hint="eastAsia"/>
          <w:color w:val="000000"/>
          <w:szCs w:val="21"/>
        </w:rPr>
        <w:t>4</w:t>
      </w:r>
      <w:r>
        <w:rPr>
          <w:rFonts w:hint="eastAsia"/>
          <w:color w:val="000000"/>
          <w:szCs w:val="21"/>
        </w:rPr>
        <w:t>个硫化钴精矿验证样品，</w:t>
      </w:r>
      <w:r>
        <w:rPr>
          <w:rFonts w:hint="eastAsia"/>
          <w:color w:val="000000"/>
          <w:szCs w:val="21"/>
        </w:rPr>
        <w:t>1</w:t>
      </w:r>
      <w:r>
        <w:rPr>
          <w:color w:val="000000"/>
          <w:szCs w:val="21"/>
        </w:rPr>
        <w:t>2</w:t>
      </w:r>
      <w:r>
        <w:rPr>
          <w:rFonts w:hint="eastAsia"/>
          <w:color w:val="000000"/>
          <w:szCs w:val="21"/>
        </w:rPr>
        <w:t>个实验室进行了协同试验，</w:t>
      </w:r>
      <w:r>
        <w:rPr>
          <w:color w:val="000000"/>
          <w:szCs w:val="21"/>
        </w:rPr>
        <w:t>各实验室对每个水平报告了</w:t>
      </w:r>
      <w:r>
        <w:rPr>
          <w:color w:val="000000"/>
          <w:szCs w:val="21"/>
        </w:rPr>
        <w:t>9</w:t>
      </w:r>
      <w:r>
        <w:rPr>
          <w:color w:val="000000"/>
          <w:szCs w:val="21"/>
        </w:rPr>
        <w:t>～</w:t>
      </w:r>
      <w:r>
        <w:rPr>
          <w:color w:val="000000"/>
          <w:szCs w:val="21"/>
        </w:rPr>
        <w:t>11</w:t>
      </w:r>
      <w:r>
        <w:rPr>
          <w:color w:val="000000"/>
          <w:szCs w:val="21"/>
        </w:rPr>
        <w:t>个试验结果</w:t>
      </w:r>
      <w:r>
        <w:rPr>
          <w:rFonts w:hint="eastAsia"/>
          <w:color w:val="000000"/>
          <w:szCs w:val="21"/>
        </w:rPr>
        <w:t>，</w:t>
      </w:r>
      <w:r>
        <w:rPr>
          <w:color w:val="000000"/>
          <w:szCs w:val="21"/>
        </w:rPr>
        <w:t>根据国家标准</w:t>
      </w:r>
      <w:r>
        <w:rPr>
          <w:color w:val="000000"/>
          <w:szCs w:val="21"/>
        </w:rPr>
        <w:t>GB/T 6379.2-2004</w:t>
      </w:r>
      <w:r>
        <w:rPr>
          <w:color w:val="000000"/>
          <w:szCs w:val="21"/>
        </w:rPr>
        <w:t>确定标准测量方法的重复性和再现性的基本方法（</w:t>
      </w:r>
      <w:r>
        <w:rPr>
          <w:color w:val="000000"/>
          <w:szCs w:val="21"/>
        </w:rPr>
        <w:t>ISO 5725-2</w:t>
      </w:r>
      <w:r>
        <w:rPr>
          <w:color w:val="000000"/>
          <w:szCs w:val="21"/>
        </w:rPr>
        <w:t>：</w:t>
      </w:r>
      <w:r>
        <w:rPr>
          <w:color w:val="000000"/>
          <w:szCs w:val="21"/>
        </w:rPr>
        <w:t>1994</w:t>
      </w:r>
      <w:r>
        <w:rPr>
          <w:color w:val="000000"/>
          <w:szCs w:val="21"/>
        </w:rPr>
        <w:t>，</w:t>
      </w:r>
      <w:r>
        <w:rPr>
          <w:color w:val="000000"/>
          <w:szCs w:val="21"/>
        </w:rPr>
        <w:t>IDT</w:t>
      </w:r>
      <w:r>
        <w:rPr>
          <w:color w:val="000000"/>
          <w:szCs w:val="21"/>
        </w:rPr>
        <w:t>）规定，对收到的全部数据进行了统计分析</w:t>
      </w:r>
      <w:r>
        <w:rPr>
          <w:rFonts w:hint="eastAsia"/>
          <w:color w:val="000000"/>
          <w:szCs w:val="21"/>
        </w:rPr>
        <w:t>。</w:t>
      </w:r>
      <w:r>
        <w:rPr>
          <w:rFonts w:hint="eastAsia"/>
          <w:bCs/>
          <w:szCs w:val="21"/>
        </w:rPr>
        <w:t>各实验室精密度原始数据见试验报告和验证报告，</w:t>
      </w:r>
      <w:r>
        <w:rPr>
          <w:rFonts w:hint="eastAsia"/>
          <w:color w:val="000000"/>
          <w:szCs w:val="21"/>
        </w:rPr>
        <w:t>平均值及标准偏差见表</w:t>
      </w:r>
      <w:r>
        <w:rPr>
          <w:color w:val="000000"/>
          <w:szCs w:val="21"/>
        </w:rPr>
        <w:t>3</w:t>
      </w:r>
      <w:r>
        <w:rPr>
          <w:color w:val="000000"/>
          <w:szCs w:val="21"/>
        </w:rPr>
        <w:t>。</w:t>
      </w:r>
    </w:p>
    <w:p w:rsidR="00F55E3A" w:rsidRDefault="00F577EE">
      <w:pPr>
        <w:jc w:val="center"/>
        <w:rPr>
          <w:color w:val="000000"/>
          <w:szCs w:val="21"/>
        </w:rPr>
      </w:pPr>
      <w:r>
        <w:rPr>
          <w:rFonts w:ascii="黑体" w:eastAsia="黑体" w:hint="eastAsia"/>
          <w:spacing w:val="8"/>
          <w:szCs w:val="21"/>
        </w:rPr>
        <w:t>表</w:t>
      </w:r>
      <w:r>
        <w:rPr>
          <w:rFonts w:ascii="黑体" w:eastAsia="黑体"/>
          <w:spacing w:val="8"/>
          <w:szCs w:val="21"/>
        </w:rPr>
        <w:t>3</w:t>
      </w:r>
      <w:r>
        <w:rPr>
          <w:rFonts w:ascii="黑体" w:eastAsia="黑体" w:hint="eastAsia"/>
          <w:spacing w:val="8"/>
          <w:szCs w:val="21"/>
        </w:rPr>
        <w:t xml:space="preserve">  平均值及标准偏差</w:t>
      </w:r>
    </w:p>
    <w:tbl>
      <w:tblPr>
        <w:tblW w:w="9275" w:type="dxa"/>
        <w:jc w:val="center"/>
        <w:tblLayout w:type="fixed"/>
        <w:tblLook w:val="04A0"/>
      </w:tblPr>
      <w:tblGrid>
        <w:gridCol w:w="3104"/>
        <w:gridCol w:w="493"/>
        <w:gridCol w:w="1135"/>
        <w:gridCol w:w="1135"/>
        <w:gridCol w:w="1135"/>
        <w:gridCol w:w="1135"/>
        <w:gridCol w:w="1138"/>
      </w:tblGrid>
      <w:tr w:rsidR="00F55E3A">
        <w:trPr>
          <w:trHeight w:val="298"/>
          <w:jc w:val="center"/>
        </w:trPr>
        <w:tc>
          <w:tcPr>
            <w:tcW w:w="3597" w:type="dxa"/>
            <w:gridSpan w:val="2"/>
            <w:vMerge w:val="restart"/>
            <w:tcBorders>
              <w:top w:val="single" w:sz="8" w:space="0" w:color="auto"/>
              <w:left w:val="single" w:sz="8" w:space="0" w:color="auto"/>
              <w:right w:val="single" w:sz="4" w:space="0" w:color="auto"/>
            </w:tcBorders>
            <w:shd w:val="clear" w:color="auto" w:fill="auto"/>
            <w:vAlign w:val="center"/>
          </w:tcPr>
          <w:p w:rsidR="00F55E3A" w:rsidRDefault="00F577EE">
            <w:pPr>
              <w:widowControl/>
              <w:snapToGrid w:val="0"/>
              <w:jc w:val="center"/>
              <w:rPr>
                <w:i/>
                <w:iCs/>
                <w:kern w:val="0"/>
                <w:sz w:val="18"/>
                <w:szCs w:val="18"/>
              </w:rPr>
            </w:pPr>
            <w:r>
              <w:rPr>
                <w:rFonts w:ascii="宋体" w:hAnsi="宋体" w:hint="eastAsia"/>
                <w:kern w:val="0"/>
                <w:sz w:val="18"/>
                <w:szCs w:val="18"/>
              </w:rPr>
              <w:t>实验室</w:t>
            </w:r>
            <w:proofErr w:type="spellStart"/>
            <w:r>
              <w:rPr>
                <w:i/>
                <w:iCs/>
                <w:kern w:val="0"/>
                <w:sz w:val="18"/>
                <w:szCs w:val="18"/>
              </w:rPr>
              <w:t>i</w:t>
            </w:r>
            <w:proofErr w:type="spellEnd"/>
            <w:r>
              <w:rPr>
                <w:kern w:val="0"/>
                <w:sz w:val="18"/>
                <w:szCs w:val="18"/>
              </w:rPr>
              <w:t xml:space="preserve"> No.</w:t>
            </w:r>
          </w:p>
        </w:tc>
        <w:tc>
          <w:tcPr>
            <w:tcW w:w="113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rFonts w:ascii="宋体" w:hAnsi="宋体" w:hint="eastAsia"/>
                <w:kern w:val="0"/>
                <w:sz w:val="18"/>
                <w:szCs w:val="18"/>
              </w:rPr>
              <w:t>次数</w:t>
            </w:r>
          </w:p>
        </w:tc>
        <w:tc>
          <w:tcPr>
            <w:tcW w:w="4543" w:type="dxa"/>
            <w:gridSpan w:val="4"/>
            <w:tcBorders>
              <w:top w:val="single" w:sz="8" w:space="0" w:color="auto"/>
              <w:left w:val="nil"/>
              <w:bottom w:val="single" w:sz="4" w:space="0" w:color="auto"/>
              <w:right w:val="single" w:sz="8" w:space="0" w:color="000000"/>
            </w:tcBorders>
            <w:shd w:val="clear" w:color="auto" w:fill="auto"/>
            <w:noWrap/>
            <w:vAlign w:val="center"/>
          </w:tcPr>
          <w:p w:rsidR="00F55E3A" w:rsidRDefault="00F577EE">
            <w:pPr>
              <w:widowControl/>
              <w:snapToGrid w:val="0"/>
              <w:jc w:val="center"/>
              <w:rPr>
                <w:kern w:val="0"/>
                <w:sz w:val="18"/>
                <w:szCs w:val="18"/>
              </w:rPr>
            </w:pPr>
            <w:r>
              <w:rPr>
                <w:rFonts w:ascii="宋体" w:hAnsi="宋体" w:hint="eastAsia"/>
                <w:kern w:val="0"/>
                <w:sz w:val="18"/>
                <w:szCs w:val="18"/>
              </w:rPr>
              <w:t>水平</w:t>
            </w:r>
            <w:r>
              <w:rPr>
                <w:kern w:val="0"/>
                <w:sz w:val="18"/>
                <w:szCs w:val="18"/>
              </w:rPr>
              <w:t xml:space="preserve">  j</w:t>
            </w:r>
          </w:p>
        </w:tc>
      </w:tr>
      <w:tr w:rsidR="00F55E3A">
        <w:trPr>
          <w:trHeight w:val="312"/>
          <w:jc w:val="center"/>
        </w:trPr>
        <w:tc>
          <w:tcPr>
            <w:tcW w:w="3597" w:type="dxa"/>
            <w:gridSpan w:val="2"/>
            <w:vMerge/>
            <w:tcBorders>
              <w:left w:val="single" w:sz="8" w:space="0" w:color="auto"/>
              <w:bottom w:val="single" w:sz="4" w:space="0" w:color="auto"/>
              <w:right w:val="single" w:sz="4" w:space="0" w:color="auto"/>
            </w:tcBorders>
            <w:vAlign w:val="center"/>
          </w:tcPr>
          <w:p w:rsidR="00F55E3A" w:rsidRDefault="00F55E3A">
            <w:pPr>
              <w:widowControl/>
              <w:snapToGrid w:val="0"/>
              <w:jc w:val="left"/>
              <w:rPr>
                <w:i/>
                <w:iCs/>
                <w:kern w:val="0"/>
                <w:sz w:val="18"/>
                <w:szCs w:val="18"/>
              </w:rPr>
            </w:pPr>
          </w:p>
        </w:tc>
        <w:tc>
          <w:tcPr>
            <w:tcW w:w="1135" w:type="dxa"/>
            <w:vMerge/>
            <w:tcBorders>
              <w:top w:val="single" w:sz="8" w:space="0" w:color="auto"/>
              <w:left w:val="single" w:sz="4" w:space="0" w:color="auto"/>
              <w:bottom w:val="single" w:sz="4" w:space="0" w:color="auto"/>
              <w:right w:val="single" w:sz="4" w:space="0" w:color="auto"/>
            </w:tcBorders>
            <w:vAlign w:val="center"/>
          </w:tcPr>
          <w:p w:rsidR="00F55E3A" w:rsidRDefault="00F55E3A">
            <w:pPr>
              <w:widowControl/>
              <w:snapToGrid w:val="0"/>
              <w:jc w:val="center"/>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1</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2</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3</w:t>
            </w:r>
          </w:p>
        </w:tc>
        <w:tc>
          <w:tcPr>
            <w:tcW w:w="1138" w:type="dxa"/>
            <w:tcBorders>
              <w:top w:val="nil"/>
              <w:left w:val="nil"/>
              <w:bottom w:val="single" w:sz="4" w:space="0" w:color="auto"/>
              <w:right w:val="single" w:sz="8"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4</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ascii="宋体" w:hAnsi="宋体" w:hint="eastAsia"/>
                <w:kern w:val="0"/>
                <w:sz w:val="18"/>
                <w:szCs w:val="18"/>
              </w:rPr>
              <w:t>金川集团股份有限公司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1</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rFonts w:ascii="宋体" w:hAnsi="宋体" w:cs="宋体"/>
                <w:kern w:val="0"/>
                <w:sz w:val="18"/>
                <w:szCs w:val="18"/>
              </w:rPr>
            </w:pPr>
            <w:r>
              <w:rPr>
                <w:rFonts w:ascii="宋体" w:hAnsi="宋体" w:cs="宋体" w:hint="eastAsia"/>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1.23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2.46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3.49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4.57 </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rFonts w:ascii="宋体" w:hAnsi="宋体" w:cs="宋体"/>
                <w:kern w:val="0"/>
                <w:sz w:val="18"/>
                <w:szCs w:val="18"/>
              </w:rPr>
            </w:pPr>
            <w:r>
              <w:rPr>
                <w:rFonts w:ascii="宋体" w:hAnsi="宋体" w:cs="宋体" w:hint="eastAsia"/>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0.011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0.031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0.018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0.028 </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ascii="宋体" w:hAnsi="宋体" w:cs="宋体" w:hint="eastAsia"/>
                <w:kern w:val="0"/>
                <w:sz w:val="18"/>
                <w:szCs w:val="18"/>
              </w:rPr>
              <w:t>北矿检测技术有限公司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2</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1.19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2.46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3.41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4.55 </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0.020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0.040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0.029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0.056 </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ascii="宋体" w:hAnsi="宋体" w:cs="宋体" w:hint="eastAsia"/>
                <w:kern w:val="0"/>
                <w:sz w:val="18"/>
                <w:szCs w:val="18"/>
              </w:rPr>
              <w:t>广东省工业分析检测中心</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3</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1.20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2.39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3.49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4.62 </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0.012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0.041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0.027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0.031 </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ascii="宋体" w:hAnsi="宋体" w:cs="宋体" w:hint="eastAsia"/>
                <w:kern w:val="0"/>
                <w:sz w:val="18"/>
                <w:szCs w:val="18"/>
              </w:rPr>
              <w:t>广西中检检测技术服务有限公司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4</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1.25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2.47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3.55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4.63 </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0.026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0.031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0.025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0.038 </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9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9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9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9 </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ascii="宋体" w:hAnsi="宋体" w:cs="宋体" w:hint="eastAsia"/>
                <w:kern w:val="0"/>
                <w:sz w:val="18"/>
                <w:szCs w:val="18"/>
              </w:rPr>
              <w:t>广东邦普循环科技有限公司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5</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1.20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2.40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3.43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4.52 </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0.013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0.024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0.027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0.026 </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ascii="宋体" w:hAnsi="宋体" w:cs="宋体" w:hint="eastAsia"/>
                <w:kern w:val="0"/>
                <w:sz w:val="18"/>
                <w:szCs w:val="18"/>
              </w:rPr>
              <w:t>深圳市中金岭南有色金属股份有限公司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6</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1.23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2.43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3.46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4.47 </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0.017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0.027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0.029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0.051 </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ascii="宋体" w:hAnsi="宋体" w:cs="宋体" w:hint="eastAsia"/>
                <w:kern w:val="0"/>
                <w:sz w:val="18"/>
                <w:szCs w:val="18"/>
              </w:rPr>
              <w:t>格林美股份有限公司</w:t>
            </w:r>
            <w:r>
              <w:rPr>
                <w:kern w:val="0"/>
                <w:sz w:val="18"/>
                <w:szCs w:val="18"/>
              </w:rPr>
              <w:t xml:space="preserve"> </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7</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1.24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2.46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3.47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4.59 </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0.008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0.020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0.030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0.051 </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ascii="宋体" w:hAnsi="宋体" w:cs="宋体" w:hint="eastAsia"/>
                <w:kern w:val="0"/>
                <w:sz w:val="18"/>
                <w:szCs w:val="18"/>
              </w:rPr>
              <w:t>浙江华友钴业股份有限公司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8</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1.21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2.47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3.54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4.55 </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0.014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0.026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0.021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0.032 </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ascii="宋体" w:hAnsi="宋体" w:cs="宋体" w:hint="eastAsia"/>
                <w:kern w:val="0"/>
                <w:sz w:val="18"/>
                <w:szCs w:val="18"/>
              </w:rPr>
              <w:t>天津市茂联科技有限公司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9</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1.22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2.46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3.49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4.54 </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0.025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0.062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0.044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0.060 </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9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9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10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9 </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ascii="宋体" w:hAnsi="宋体" w:cs="宋体" w:hint="eastAsia"/>
                <w:kern w:val="0"/>
                <w:sz w:val="18"/>
                <w:szCs w:val="18"/>
              </w:rPr>
              <w:t>北方铜业股份有限公司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10</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1.20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2.49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3.49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4.64 </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0.018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0.025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0.057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0.053 </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9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9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9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9 </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紫金矿业集团股份有限公司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11</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1.23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2.47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3.49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4.58 </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0.007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0.025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0.023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0.016 </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r>
      <w:tr w:rsidR="00F55E3A">
        <w:trPr>
          <w:trHeight w:val="298"/>
          <w:jc w:val="center"/>
        </w:trPr>
        <w:tc>
          <w:tcPr>
            <w:tcW w:w="3104"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ascii="宋体" w:hAnsi="宋体" w:cs="宋体" w:hint="eastAsia"/>
                <w:kern w:val="0"/>
                <w:sz w:val="18"/>
                <w:szCs w:val="18"/>
              </w:rPr>
              <w:t>衢州华友钴新材料有限公司</w:t>
            </w:r>
          </w:p>
        </w:tc>
        <w:tc>
          <w:tcPr>
            <w:tcW w:w="493"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12</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1.19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2.42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3.50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4.57 </w:t>
            </w:r>
          </w:p>
        </w:tc>
      </w:tr>
      <w:tr w:rsidR="00F55E3A">
        <w:trPr>
          <w:trHeight w:val="298"/>
          <w:jc w:val="center"/>
        </w:trPr>
        <w:tc>
          <w:tcPr>
            <w:tcW w:w="3104" w:type="dxa"/>
            <w:vMerge/>
            <w:tcBorders>
              <w:top w:val="single" w:sz="4" w:space="0" w:color="auto"/>
              <w:left w:val="single" w:sz="8" w:space="0" w:color="auto"/>
              <w:bottom w:val="single" w:sz="8" w:space="0" w:color="000000"/>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single" w:sz="4" w:space="0" w:color="auto"/>
              <w:left w:val="single" w:sz="4" w:space="0" w:color="auto"/>
              <w:bottom w:val="single" w:sz="8" w:space="0" w:color="000000"/>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0.017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0.019 </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0.013 </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0.045 </w:t>
            </w:r>
          </w:p>
        </w:tc>
      </w:tr>
      <w:tr w:rsidR="00F55E3A">
        <w:trPr>
          <w:trHeight w:val="312"/>
          <w:jc w:val="center"/>
        </w:trPr>
        <w:tc>
          <w:tcPr>
            <w:tcW w:w="3104" w:type="dxa"/>
            <w:vMerge/>
            <w:tcBorders>
              <w:top w:val="single" w:sz="4" w:space="0" w:color="auto"/>
              <w:left w:val="single" w:sz="8" w:space="0" w:color="auto"/>
              <w:bottom w:val="single" w:sz="8" w:space="0" w:color="000000"/>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single" w:sz="4" w:space="0" w:color="auto"/>
              <w:left w:val="single" w:sz="4" w:space="0" w:color="auto"/>
              <w:bottom w:val="single" w:sz="8" w:space="0" w:color="000000"/>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8"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8"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8"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5" w:type="dxa"/>
            <w:tcBorders>
              <w:top w:val="nil"/>
              <w:left w:val="nil"/>
              <w:bottom w:val="single" w:sz="8"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c>
          <w:tcPr>
            <w:tcW w:w="1138" w:type="dxa"/>
            <w:tcBorders>
              <w:top w:val="nil"/>
              <w:left w:val="nil"/>
              <w:bottom w:val="single" w:sz="8"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 xml:space="preserve">11 </w:t>
            </w:r>
          </w:p>
        </w:tc>
      </w:tr>
    </w:tbl>
    <w:p w:rsidR="00F55E3A" w:rsidRDefault="00F577EE">
      <w:pPr>
        <w:outlineLvl w:val="3"/>
        <w:rPr>
          <w:b/>
          <w:spacing w:val="8"/>
          <w:szCs w:val="21"/>
        </w:rPr>
      </w:pPr>
      <w:r>
        <w:rPr>
          <w:b/>
          <w:spacing w:val="8"/>
          <w:szCs w:val="21"/>
        </w:rPr>
        <w:t>1</w:t>
      </w:r>
      <w:r>
        <w:rPr>
          <w:rFonts w:hint="eastAsia"/>
          <w:b/>
          <w:spacing w:val="8"/>
          <w:szCs w:val="21"/>
        </w:rPr>
        <w:t>）实验室内数据的检验</w:t>
      </w:r>
    </w:p>
    <w:p w:rsidR="00F55E3A" w:rsidRDefault="00F577EE">
      <w:pPr>
        <w:ind w:firstLine="435"/>
        <w:rPr>
          <w:spacing w:val="8"/>
          <w:szCs w:val="21"/>
        </w:rPr>
      </w:pPr>
      <w:r>
        <w:rPr>
          <w:bCs/>
          <w:szCs w:val="21"/>
        </w:rPr>
        <w:t>对各实验室内每个水平的数据进行格拉布斯检验，防止一个实验室内较高变异来自某一个数据</w:t>
      </w:r>
      <w:r>
        <w:rPr>
          <w:rFonts w:hint="eastAsia"/>
          <w:bCs/>
          <w:szCs w:val="21"/>
        </w:rPr>
        <w:t>。</w:t>
      </w:r>
      <w:r>
        <w:rPr>
          <w:spacing w:val="8"/>
          <w:szCs w:val="21"/>
        </w:rPr>
        <w:t>离群值用</w:t>
      </w:r>
      <w:r>
        <w:rPr>
          <w:spacing w:val="8"/>
          <w:szCs w:val="21"/>
        </w:rPr>
        <w:t>**</w:t>
      </w:r>
      <w:r>
        <w:rPr>
          <w:rFonts w:hint="eastAsia"/>
          <w:spacing w:val="8"/>
          <w:szCs w:val="21"/>
        </w:rPr>
        <w:t>标出、岐离值用</w:t>
      </w:r>
      <w:r>
        <w:rPr>
          <w:spacing w:val="8"/>
          <w:szCs w:val="21"/>
        </w:rPr>
        <w:t>*</w:t>
      </w:r>
      <w:r>
        <w:rPr>
          <w:rFonts w:hint="eastAsia"/>
          <w:spacing w:val="8"/>
          <w:szCs w:val="21"/>
        </w:rPr>
        <w:t>标出，</w:t>
      </w:r>
      <w:r>
        <w:rPr>
          <w:spacing w:val="8"/>
          <w:szCs w:val="21"/>
        </w:rPr>
        <w:t>经检验</w:t>
      </w:r>
      <w:r>
        <w:rPr>
          <w:rFonts w:hint="eastAsia"/>
          <w:spacing w:val="8"/>
          <w:szCs w:val="21"/>
        </w:rPr>
        <w:t>，实验室</w:t>
      </w:r>
      <w:r>
        <w:rPr>
          <w:rFonts w:hint="eastAsia"/>
          <w:spacing w:val="8"/>
          <w:szCs w:val="21"/>
        </w:rPr>
        <w:t>4</w:t>
      </w:r>
      <w:r>
        <w:rPr>
          <w:rFonts w:hint="eastAsia"/>
          <w:spacing w:val="8"/>
          <w:szCs w:val="21"/>
        </w:rPr>
        <w:t>（广西中检）在水平</w:t>
      </w:r>
      <w:r>
        <w:rPr>
          <w:rFonts w:hint="eastAsia"/>
          <w:spacing w:val="8"/>
          <w:szCs w:val="21"/>
        </w:rPr>
        <w:t>1</w:t>
      </w:r>
      <w:r>
        <w:rPr>
          <w:rFonts w:hint="eastAsia"/>
          <w:spacing w:val="8"/>
          <w:szCs w:val="21"/>
        </w:rPr>
        <w:t>的最大值</w:t>
      </w:r>
      <w:r>
        <w:rPr>
          <w:rFonts w:hint="eastAsia"/>
          <w:spacing w:val="8"/>
          <w:szCs w:val="21"/>
        </w:rPr>
        <w:t>1.31</w:t>
      </w:r>
      <w:r>
        <w:rPr>
          <w:rFonts w:hint="eastAsia"/>
          <w:spacing w:val="8"/>
          <w:szCs w:val="21"/>
        </w:rPr>
        <w:t>为岐离值，实验室</w:t>
      </w:r>
      <w:r>
        <w:rPr>
          <w:rFonts w:hint="eastAsia"/>
          <w:spacing w:val="8"/>
          <w:szCs w:val="21"/>
        </w:rPr>
        <w:t>1</w:t>
      </w:r>
      <w:r>
        <w:rPr>
          <w:spacing w:val="8"/>
          <w:szCs w:val="21"/>
        </w:rPr>
        <w:t>1</w:t>
      </w:r>
      <w:r>
        <w:rPr>
          <w:rFonts w:hint="eastAsia"/>
          <w:spacing w:val="8"/>
          <w:szCs w:val="21"/>
        </w:rPr>
        <w:t>（紫金矿业）在</w:t>
      </w:r>
      <w:r>
        <w:rPr>
          <w:spacing w:val="8"/>
          <w:szCs w:val="21"/>
        </w:rPr>
        <w:t>水平</w:t>
      </w:r>
      <w:r>
        <w:rPr>
          <w:spacing w:val="8"/>
          <w:szCs w:val="21"/>
        </w:rPr>
        <w:t>2</w:t>
      </w:r>
      <w:r>
        <w:rPr>
          <w:spacing w:val="8"/>
          <w:szCs w:val="21"/>
        </w:rPr>
        <w:t>的最小值</w:t>
      </w:r>
      <w:r>
        <w:rPr>
          <w:spacing w:val="8"/>
          <w:szCs w:val="21"/>
        </w:rPr>
        <w:t>2.41</w:t>
      </w:r>
      <w:r>
        <w:rPr>
          <w:spacing w:val="8"/>
          <w:szCs w:val="21"/>
        </w:rPr>
        <w:t>为</w:t>
      </w:r>
      <w:r>
        <w:rPr>
          <w:rFonts w:hint="eastAsia"/>
          <w:spacing w:val="8"/>
          <w:szCs w:val="21"/>
        </w:rPr>
        <w:t>岐离</w:t>
      </w:r>
      <w:r>
        <w:rPr>
          <w:spacing w:val="8"/>
          <w:szCs w:val="21"/>
        </w:rPr>
        <w:t>值，</w:t>
      </w:r>
      <w:r>
        <w:rPr>
          <w:rFonts w:hint="eastAsia"/>
          <w:spacing w:val="8"/>
          <w:szCs w:val="21"/>
        </w:rPr>
        <w:t>暂时保留</w:t>
      </w:r>
      <w:r>
        <w:rPr>
          <w:spacing w:val="8"/>
          <w:szCs w:val="21"/>
        </w:rPr>
        <w:t>，</w:t>
      </w:r>
      <w:r>
        <w:rPr>
          <w:rFonts w:hint="eastAsia"/>
          <w:spacing w:val="8"/>
          <w:szCs w:val="21"/>
        </w:rPr>
        <w:t>实验室</w:t>
      </w:r>
      <w:r>
        <w:rPr>
          <w:rFonts w:hint="eastAsia"/>
          <w:spacing w:val="8"/>
          <w:szCs w:val="21"/>
        </w:rPr>
        <w:t>1</w:t>
      </w:r>
      <w:r>
        <w:rPr>
          <w:spacing w:val="8"/>
          <w:szCs w:val="21"/>
        </w:rPr>
        <w:t>2</w:t>
      </w:r>
      <w:r>
        <w:rPr>
          <w:rFonts w:hint="eastAsia"/>
          <w:spacing w:val="8"/>
          <w:szCs w:val="21"/>
        </w:rPr>
        <w:t>（衢州华友）水平</w:t>
      </w:r>
      <w:r>
        <w:rPr>
          <w:rFonts w:hint="eastAsia"/>
          <w:spacing w:val="8"/>
          <w:szCs w:val="21"/>
        </w:rPr>
        <w:t>3</w:t>
      </w:r>
      <w:r>
        <w:rPr>
          <w:rFonts w:hint="eastAsia"/>
          <w:spacing w:val="8"/>
          <w:szCs w:val="21"/>
        </w:rPr>
        <w:t>的最小值</w:t>
      </w:r>
      <w:r>
        <w:rPr>
          <w:rFonts w:hint="eastAsia"/>
          <w:spacing w:val="8"/>
          <w:szCs w:val="21"/>
        </w:rPr>
        <w:t>3.46</w:t>
      </w:r>
      <w:r>
        <w:rPr>
          <w:rFonts w:hint="eastAsia"/>
          <w:spacing w:val="8"/>
          <w:szCs w:val="21"/>
        </w:rPr>
        <w:t>为离群值，删除，继续检验无异常值，</w:t>
      </w:r>
      <w:r>
        <w:rPr>
          <w:spacing w:val="8"/>
          <w:szCs w:val="21"/>
        </w:rPr>
        <w:t>其余实验室内数据无异常值。</w:t>
      </w:r>
    </w:p>
    <w:p w:rsidR="00F55E3A" w:rsidRDefault="00F577EE">
      <w:pPr>
        <w:outlineLvl w:val="3"/>
        <w:rPr>
          <w:b/>
          <w:spacing w:val="8"/>
          <w:szCs w:val="21"/>
        </w:rPr>
      </w:pPr>
      <w:r>
        <w:rPr>
          <w:b/>
          <w:spacing w:val="8"/>
          <w:szCs w:val="21"/>
        </w:rPr>
        <w:t>2</w:t>
      </w:r>
      <w:r>
        <w:rPr>
          <w:rFonts w:hint="eastAsia"/>
          <w:b/>
          <w:spacing w:val="8"/>
          <w:szCs w:val="21"/>
        </w:rPr>
        <w:t>）柯克伦检验</w:t>
      </w:r>
    </w:p>
    <w:p w:rsidR="00F55E3A" w:rsidRDefault="00F577EE">
      <w:pPr>
        <w:ind w:firstLineChars="200" w:firstLine="420"/>
        <w:rPr>
          <w:color w:val="000000"/>
          <w:szCs w:val="21"/>
        </w:rPr>
      </w:pPr>
      <w:r>
        <w:rPr>
          <w:color w:val="000000"/>
          <w:szCs w:val="21"/>
        </w:rPr>
        <w:t>对各实验室每个水平的标准偏差</w:t>
      </w:r>
      <w:r>
        <w:rPr>
          <w:color w:val="000000"/>
          <w:szCs w:val="21"/>
        </w:rPr>
        <w:t>s</w:t>
      </w:r>
      <w:r>
        <w:rPr>
          <w:color w:val="000000"/>
          <w:szCs w:val="21"/>
        </w:rPr>
        <w:t>进行柯克伦检验，离群值用</w:t>
      </w:r>
      <w:r>
        <w:rPr>
          <w:color w:val="000000"/>
          <w:szCs w:val="21"/>
        </w:rPr>
        <w:t>**</w:t>
      </w:r>
      <w:r>
        <w:rPr>
          <w:rFonts w:hint="eastAsia"/>
          <w:color w:val="000000"/>
          <w:szCs w:val="21"/>
        </w:rPr>
        <w:t>标出、岐离值用</w:t>
      </w:r>
      <w:r>
        <w:rPr>
          <w:color w:val="000000"/>
          <w:szCs w:val="21"/>
        </w:rPr>
        <w:t>*</w:t>
      </w:r>
      <w:r>
        <w:rPr>
          <w:rFonts w:hint="eastAsia"/>
          <w:color w:val="000000"/>
          <w:szCs w:val="21"/>
        </w:rPr>
        <w:t>标出。检验结果</w:t>
      </w:r>
      <w:r>
        <w:rPr>
          <w:color w:val="000000"/>
          <w:szCs w:val="21"/>
        </w:rPr>
        <w:t>见表</w:t>
      </w:r>
      <w:r>
        <w:rPr>
          <w:color w:val="000000"/>
          <w:szCs w:val="21"/>
        </w:rPr>
        <w:t>4</w:t>
      </w:r>
      <w:r>
        <w:rPr>
          <w:color w:val="000000"/>
          <w:szCs w:val="21"/>
        </w:rPr>
        <w:t>。</w:t>
      </w:r>
    </w:p>
    <w:p w:rsidR="00F55E3A" w:rsidRDefault="00F577EE">
      <w:pPr>
        <w:ind w:firstLine="435"/>
        <w:jc w:val="center"/>
        <w:rPr>
          <w:rFonts w:ascii="黑体" w:eastAsia="黑体"/>
          <w:spacing w:val="8"/>
          <w:szCs w:val="21"/>
        </w:rPr>
      </w:pPr>
      <w:r>
        <w:rPr>
          <w:rFonts w:ascii="黑体" w:eastAsia="黑体" w:hint="eastAsia"/>
          <w:spacing w:val="8"/>
          <w:szCs w:val="21"/>
        </w:rPr>
        <w:t>表</w:t>
      </w:r>
      <w:r>
        <w:rPr>
          <w:rFonts w:ascii="黑体" w:eastAsia="黑体"/>
          <w:spacing w:val="8"/>
          <w:szCs w:val="21"/>
        </w:rPr>
        <w:t>4</w:t>
      </w:r>
      <w:r>
        <w:rPr>
          <w:rFonts w:ascii="黑体" w:eastAsia="黑体" w:hint="eastAsia"/>
          <w:spacing w:val="8"/>
          <w:szCs w:val="21"/>
        </w:rPr>
        <w:t xml:space="preserve">   </w:t>
      </w:r>
      <w:r>
        <w:rPr>
          <w:rFonts w:ascii="黑体" w:eastAsia="黑体"/>
          <w:spacing w:val="8"/>
          <w:szCs w:val="21"/>
        </w:rPr>
        <w:t>对标准偏差s</w:t>
      </w:r>
      <w:r>
        <w:rPr>
          <w:rFonts w:ascii="黑体" w:eastAsia="黑体" w:hint="eastAsia"/>
          <w:spacing w:val="8"/>
          <w:szCs w:val="21"/>
        </w:rPr>
        <w:t>的柯克伦检验结果</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798"/>
        <w:gridCol w:w="815"/>
        <w:gridCol w:w="1036"/>
        <w:gridCol w:w="1036"/>
        <w:gridCol w:w="1036"/>
        <w:gridCol w:w="1045"/>
      </w:tblGrid>
      <w:tr w:rsidR="00F55E3A">
        <w:trPr>
          <w:trHeight w:val="301"/>
          <w:jc w:val="center"/>
        </w:trPr>
        <w:tc>
          <w:tcPr>
            <w:tcW w:w="4473" w:type="dxa"/>
            <w:gridSpan w:val="2"/>
            <w:vMerge w:val="restart"/>
            <w:vAlign w:val="center"/>
          </w:tcPr>
          <w:p w:rsidR="00F55E3A" w:rsidRDefault="00F577EE">
            <w:pPr>
              <w:widowControl/>
              <w:snapToGrid w:val="0"/>
              <w:jc w:val="center"/>
              <w:rPr>
                <w:color w:val="000000"/>
                <w:kern w:val="0"/>
                <w:sz w:val="18"/>
                <w:szCs w:val="18"/>
              </w:rPr>
            </w:pPr>
            <w:r>
              <w:rPr>
                <w:rFonts w:hint="eastAsia"/>
                <w:color w:val="000000"/>
                <w:kern w:val="0"/>
                <w:sz w:val="18"/>
                <w:szCs w:val="18"/>
              </w:rPr>
              <w:t>实验室</w:t>
            </w:r>
          </w:p>
        </w:tc>
        <w:tc>
          <w:tcPr>
            <w:tcW w:w="815" w:type="dxa"/>
            <w:vMerge w:val="restart"/>
            <w:shd w:val="clear" w:color="auto" w:fill="auto"/>
            <w:vAlign w:val="center"/>
          </w:tcPr>
          <w:p w:rsidR="00F55E3A" w:rsidRDefault="00F577EE">
            <w:pPr>
              <w:widowControl/>
              <w:snapToGrid w:val="0"/>
              <w:jc w:val="left"/>
              <w:rPr>
                <w:color w:val="000000"/>
                <w:kern w:val="0"/>
                <w:sz w:val="18"/>
                <w:szCs w:val="18"/>
              </w:rPr>
            </w:pPr>
            <w:r>
              <w:rPr>
                <w:color w:val="000000"/>
                <w:kern w:val="0"/>
                <w:sz w:val="18"/>
                <w:szCs w:val="18"/>
              </w:rPr>
              <w:t xml:space="preserve">No. </w:t>
            </w:r>
            <w:proofErr w:type="spellStart"/>
            <w:r>
              <w:rPr>
                <w:color w:val="000000"/>
                <w:kern w:val="0"/>
                <w:sz w:val="18"/>
                <w:szCs w:val="18"/>
              </w:rPr>
              <w:t>i</w:t>
            </w:r>
            <w:proofErr w:type="spellEnd"/>
          </w:p>
        </w:tc>
        <w:tc>
          <w:tcPr>
            <w:tcW w:w="4153" w:type="dxa"/>
            <w:gridSpan w:val="4"/>
            <w:shd w:val="clear" w:color="auto" w:fill="auto"/>
            <w:noWrap/>
            <w:vAlign w:val="center"/>
          </w:tcPr>
          <w:p w:rsidR="00F55E3A" w:rsidRDefault="00F577EE">
            <w:pPr>
              <w:widowControl/>
              <w:snapToGrid w:val="0"/>
              <w:jc w:val="center"/>
              <w:rPr>
                <w:color w:val="000000"/>
                <w:kern w:val="0"/>
                <w:sz w:val="18"/>
                <w:szCs w:val="18"/>
              </w:rPr>
            </w:pPr>
            <w:r>
              <w:rPr>
                <w:rFonts w:ascii="宋体" w:hAnsi="宋体" w:hint="eastAsia"/>
                <w:color w:val="000000"/>
                <w:kern w:val="0"/>
                <w:sz w:val="18"/>
                <w:szCs w:val="18"/>
              </w:rPr>
              <w:t>水平</w:t>
            </w:r>
            <w:r>
              <w:rPr>
                <w:color w:val="000000"/>
                <w:kern w:val="0"/>
                <w:sz w:val="18"/>
                <w:szCs w:val="18"/>
              </w:rPr>
              <w:t xml:space="preserve"> j</w:t>
            </w:r>
          </w:p>
        </w:tc>
      </w:tr>
      <w:tr w:rsidR="00F55E3A">
        <w:trPr>
          <w:trHeight w:val="316"/>
          <w:jc w:val="center"/>
        </w:trPr>
        <w:tc>
          <w:tcPr>
            <w:tcW w:w="4473" w:type="dxa"/>
            <w:gridSpan w:val="2"/>
            <w:vMerge/>
          </w:tcPr>
          <w:p w:rsidR="00F55E3A" w:rsidRDefault="00F55E3A">
            <w:pPr>
              <w:widowControl/>
              <w:snapToGrid w:val="0"/>
              <w:jc w:val="left"/>
              <w:rPr>
                <w:color w:val="000000"/>
                <w:kern w:val="0"/>
                <w:sz w:val="18"/>
                <w:szCs w:val="18"/>
              </w:rPr>
            </w:pPr>
          </w:p>
        </w:tc>
        <w:tc>
          <w:tcPr>
            <w:tcW w:w="815" w:type="dxa"/>
            <w:vMerge/>
            <w:shd w:val="clear" w:color="auto" w:fill="auto"/>
            <w:vAlign w:val="center"/>
          </w:tcPr>
          <w:p w:rsidR="00F55E3A" w:rsidRDefault="00F55E3A">
            <w:pPr>
              <w:widowControl/>
              <w:snapToGrid w:val="0"/>
              <w:jc w:val="left"/>
              <w:rPr>
                <w:i/>
                <w:iCs/>
                <w:color w:val="000000"/>
                <w:kern w:val="0"/>
                <w:sz w:val="18"/>
                <w:szCs w:val="18"/>
              </w:rPr>
            </w:pPr>
          </w:p>
        </w:tc>
        <w:tc>
          <w:tcPr>
            <w:tcW w:w="1036" w:type="dxa"/>
            <w:shd w:val="clear" w:color="auto" w:fill="auto"/>
            <w:noWrap/>
            <w:vAlign w:val="center"/>
          </w:tcPr>
          <w:p w:rsidR="00F55E3A" w:rsidRDefault="00F577EE">
            <w:pPr>
              <w:widowControl/>
              <w:snapToGrid w:val="0"/>
              <w:jc w:val="center"/>
              <w:rPr>
                <w:kern w:val="0"/>
                <w:sz w:val="18"/>
                <w:szCs w:val="18"/>
              </w:rPr>
            </w:pPr>
            <w:r>
              <w:rPr>
                <w:kern w:val="0"/>
                <w:sz w:val="18"/>
                <w:szCs w:val="18"/>
              </w:rPr>
              <w:t>1</w:t>
            </w:r>
          </w:p>
        </w:tc>
        <w:tc>
          <w:tcPr>
            <w:tcW w:w="1036" w:type="dxa"/>
            <w:shd w:val="clear" w:color="auto" w:fill="auto"/>
            <w:noWrap/>
            <w:vAlign w:val="center"/>
          </w:tcPr>
          <w:p w:rsidR="00F55E3A" w:rsidRDefault="00F577EE">
            <w:pPr>
              <w:widowControl/>
              <w:snapToGrid w:val="0"/>
              <w:jc w:val="center"/>
              <w:rPr>
                <w:kern w:val="0"/>
                <w:sz w:val="18"/>
                <w:szCs w:val="18"/>
              </w:rPr>
            </w:pPr>
            <w:r>
              <w:rPr>
                <w:kern w:val="0"/>
                <w:sz w:val="18"/>
                <w:szCs w:val="18"/>
              </w:rPr>
              <w:t>2</w:t>
            </w:r>
          </w:p>
        </w:tc>
        <w:tc>
          <w:tcPr>
            <w:tcW w:w="1036" w:type="dxa"/>
            <w:shd w:val="clear" w:color="auto" w:fill="auto"/>
            <w:noWrap/>
            <w:vAlign w:val="center"/>
          </w:tcPr>
          <w:p w:rsidR="00F55E3A" w:rsidRDefault="00F577EE">
            <w:pPr>
              <w:widowControl/>
              <w:snapToGrid w:val="0"/>
              <w:jc w:val="center"/>
              <w:rPr>
                <w:kern w:val="0"/>
                <w:sz w:val="18"/>
                <w:szCs w:val="18"/>
              </w:rPr>
            </w:pPr>
            <w:r>
              <w:rPr>
                <w:kern w:val="0"/>
                <w:sz w:val="18"/>
                <w:szCs w:val="18"/>
              </w:rPr>
              <w:t>3</w:t>
            </w:r>
          </w:p>
        </w:tc>
        <w:tc>
          <w:tcPr>
            <w:tcW w:w="1045" w:type="dxa"/>
            <w:shd w:val="clear" w:color="auto" w:fill="auto"/>
            <w:noWrap/>
            <w:vAlign w:val="center"/>
          </w:tcPr>
          <w:p w:rsidR="00F55E3A" w:rsidRDefault="00F577EE">
            <w:pPr>
              <w:widowControl/>
              <w:snapToGrid w:val="0"/>
              <w:jc w:val="center"/>
              <w:rPr>
                <w:kern w:val="0"/>
                <w:sz w:val="18"/>
                <w:szCs w:val="18"/>
              </w:rPr>
            </w:pPr>
            <w:r>
              <w:rPr>
                <w:kern w:val="0"/>
                <w:sz w:val="18"/>
                <w:szCs w:val="18"/>
              </w:rPr>
              <w:t>4</w:t>
            </w:r>
          </w:p>
        </w:tc>
      </w:tr>
      <w:tr w:rsidR="00F55E3A">
        <w:trPr>
          <w:trHeight w:val="316"/>
          <w:jc w:val="center"/>
        </w:trPr>
        <w:tc>
          <w:tcPr>
            <w:tcW w:w="675" w:type="dxa"/>
            <w:vMerge w:val="restart"/>
            <w:vAlign w:val="center"/>
          </w:tcPr>
          <w:p w:rsidR="00F55E3A" w:rsidRDefault="00F577EE">
            <w:pPr>
              <w:widowControl/>
              <w:snapToGrid w:val="0"/>
              <w:jc w:val="center"/>
              <w:rPr>
                <w:rFonts w:ascii="宋体" w:hAnsi="宋体" w:cs="宋体"/>
                <w:color w:val="000000"/>
                <w:kern w:val="0"/>
                <w:sz w:val="18"/>
                <w:szCs w:val="18"/>
              </w:rPr>
            </w:pPr>
            <w:r>
              <w:rPr>
                <w:color w:val="000000"/>
                <w:kern w:val="0"/>
                <w:sz w:val="18"/>
                <w:szCs w:val="18"/>
              </w:rPr>
              <w:t>各实验室测定结果标准偏差</w:t>
            </w:r>
          </w:p>
        </w:tc>
        <w:tc>
          <w:tcPr>
            <w:tcW w:w="3798" w:type="dxa"/>
            <w:shd w:val="clear" w:color="auto" w:fill="auto"/>
            <w:noWrap/>
            <w:vAlign w:val="center"/>
          </w:tcPr>
          <w:p w:rsidR="00F55E3A" w:rsidRDefault="00F577EE">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金川集团股份有限公司</w:t>
            </w:r>
          </w:p>
        </w:tc>
        <w:tc>
          <w:tcPr>
            <w:tcW w:w="81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0.011</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0.031</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0.018</w:t>
            </w:r>
          </w:p>
        </w:tc>
        <w:tc>
          <w:tcPr>
            <w:tcW w:w="104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0.028</w:t>
            </w:r>
          </w:p>
        </w:tc>
      </w:tr>
      <w:tr w:rsidR="00F55E3A">
        <w:trPr>
          <w:trHeight w:val="316"/>
          <w:jc w:val="center"/>
        </w:trPr>
        <w:tc>
          <w:tcPr>
            <w:tcW w:w="675" w:type="dxa"/>
            <w:vMerge/>
          </w:tcPr>
          <w:p w:rsidR="00F55E3A" w:rsidRDefault="00F55E3A">
            <w:pPr>
              <w:widowControl/>
              <w:snapToGrid w:val="0"/>
              <w:jc w:val="left"/>
              <w:rPr>
                <w:rFonts w:ascii="宋体" w:hAnsi="宋体" w:cs="宋体"/>
                <w:color w:val="000000"/>
                <w:kern w:val="0"/>
                <w:sz w:val="18"/>
                <w:szCs w:val="18"/>
              </w:rPr>
            </w:pPr>
          </w:p>
        </w:tc>
        <w:tc>
          <w:tcPr>
            <w:tcW w:w="3798" w:type="dxa"/>
            <w:shd w:val="clear" w:color="auto" w:fill="auto"/>
            <w:noWrap/>
            <w:vAlign w:val="center"/>
          </w:tcPr>
          <w:p w:rsidR="00F55E3A" w:rsidRDefault="00F577EE">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北矿检测技术有限公司</w:t>
            </w:r>
          </w:p>
        </w:tc>
        <w:tc>
          <w:tcPr>
            <w:tcW w:w="81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0.020</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0.040</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0.029</w:t>
            </w:r>
          </w:p>
        </w:tc>
        <w:tc>
          <w:tcPr>
            <w:tcW w:w="104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0.056</w:t>
            </w:r>
          </w:p>
        </w:tc>
      </w:tr>
      <w:tr w:rsidR="00F55E3A">
        <w:trPr>
          <w:trHeight w:val="316"/>
          <w:jc w:val="center"/>
        </w:trPr>
        <w:tc>
          <w:tcPr>
            <w:tcW w:w="675" w:type="dxa"/>
            <w:vMerge/>
          </w:tcPr>
          <w:p w:rsidR="00F55E3A" w:rsidRDefault="00F55E3A">
            <w:pPr>
              <w:widowControl/>
              <w:snapToGrid w:val="0"/>
              <w:jc w:val="left"/>
              <w:rPr>
                <w:rFonts w:ascii="宋体" w:hAnsi="宋体" w:cs="宋体"/>
                <w:color w:val="000000"/>
                <w:kern w:val="0"/>
                <w:sz w:val="18"/>
                <w:szCs w:val="18"/>
              </w:rPr>
            </w:pPr>
          </w:p>
        </w:tc>
        <w:tc>
          <w:tcPr>
            <w:tcW w:w="3798" w:type="dxa"/>
            <w:shd w:val="clear" w:color="auto" w:fill="auto"/>
            <w:noWrap/>
            <w:vAlign w:val="center"/>
          </w:tcPr>
          <w:p w:rsidR="00F55E3A" w:rsidRDefault="00F577EE">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广东省工业分析检测中心</w:t>
            </w:r>
          </w:p>
        </w:tc>
        <w:tc>
          <w:tcPr>
            <w:tcW w:w="81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0.012</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0.041</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0.027</w:t>
            </w:r>
          </w:p>
        </w:tc>
        <w:tc>
          <w:tcPr>
            <w:tcW w:w="104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0.031</w:t>
            </w:r>
          </w:p>
        </w:tc>
      </w:tr>
      <w:tr w:rsidR="00F55E3A">
        <w:trPr>
          <w:trHeight w:val="316"/>
          <w:jc w:val="center"/>
        </w:trPr>
        <w:tc>
          <w:tcPr>
            <w:tcW w:w="675" w:type="dxa"/>
            <w:vMerge/>
          </w:tcPr>
          <w:p w:rsidR="00F55E3A" w:rsidRDefault="00F55E3A">
            <w:pPr>
              <w:widowControl/>
              <w:snapToGrid w:val="0"/>
              <w:jc w:val="left"/>
              <w:rPr>
                <w:rFonts w:ascii="宋体" w:hAnsi="宋体" w:cs="宋体"/>
                <w:color w:val="000000"/>
                <w:kern w:val="0"/>
                <w:sz w:val="18"/>
                <w:szCs w:val="18"/>
              </w:rPr>
            </w:pPr>
          </w:p>
        </w:tc>
        <w:tc>
          <w:tcPr>
            <w:tcW w:w="3798" w:type="dxa"/>
            <w:shd w:val="clear" w:color="auto" w:fill="auto"/>
            <w:noWrap/>
            <w:vAlign w:val="center"/>
          </w:tcPr>
          <w:p w:rsidR="00F55E3A" w:rsidRDefault="00F577EE">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广西中检检测技术服务有限公司</w:t>
            </w:r>
          </w:p>
        </w:tc>
        <w:tc>
          <w:tcPr>
            <w:tcW w:w="81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0.026</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0.031</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0.025</w:t>
            </w:r>
          </w:p>
        </w:tc>
        <w:tc>
          <w:tcPr>
            <w:tcW w:w="104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0.038</w:t>
            </w:r>
          </w:p>
        </w:tc>
      </w:tr>
      <w:tr w:rsidR="00F55E3A">
        <w:trPr>
          <w:trHeight w:val="316"/>
          <w:jc w:val="center"/>
        </w:trPr>
        <w:tc>
          <w:tcPr>
            <w:tcW w:w="675" w:type="dxa"/>
            <w:vMerge/>
          </w:tcPr>
          <w:p w:rsidR="00F55E3A" w:rsidRDefault="00F55E3A">
            <w:pPr>
              <w:widowControl/>
              <w:snapToGrid w:val="0"/>
              <w:jc w:val="left"/>
              <w:rPr>
                <w:rFonts w:ascii="宋体" w:hAnsi="宋体" w:cs="宋体"/>
                <w:color w:val="000000"/>
                <w:kern w:val="0"/>
                <w:sz w:val="18"/>
                <w:szCs w:val="18"/>
              </w:rPr>
            </w:pPr>
          </w:p>
        </w:tc>
        <w:tc>
          <w:tcPr>
            <w:tcW w:w="3798" w:type="dxa"/>
            <w:shd w:val="clear" w:color="auto" w:fill="auto"/>
            <w:noWrap/>
            <w:vAlign w:val="center"/>
          </w:tcPr>
          <w:p w:rsidR="00F55E3A" w:rsidRDefault="00F577EE">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广东邦普循环科技有限公司</w:t>
            </w:r>
          </w:p>
        </w:tc>
        <w:tc>
          <w:tcPr>
            <w:tcW w:w="81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0.013</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0.024</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0.027</w:t>
            </w:r>
          </w:p>
        </w:tc>
        <w:tc>
          <w:tcPr>
            <w:tcW w:w="104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0.026</w:t>
            </w:r>
          </w:p>
        </w:tc>
      </w:tr>
      <w:tr w:rsidR="00F55E3A">
        <w:trPr>
          <w:trHeight w:val="316"/>
          <w:jc w:val="center"/>
        </w:trPr>
        <w:tc>
          <w:tcPr>
            <w:tcW w:w="675" w:type="dxa"/>
            <w:vMerge/>
          </w:tcPr>
          <w:p w:rsidR="00F55E3A" w:rsidRDefault="00F55E3A">
            <w:pPr>
              <w:widowControl/>
              <w:snapToGrid w:val="0"/>
              <w:jc w:val="left"/>
              <w:rPr>
                <w:rFonts w:ascii="宋体" w:hAnsi="宋体" w:cs="宋体"/>
                <w:color w:val="000000"/>
                <w:kern w:val="0"/>
                <w:sz w:val="18"/>
                <w:szCs w:val="18"/>
              </w:rPr>
            </w:pPr>
          </w:p>
        </w:tc>
        <w:tc>
          <w:tcPr>
            <w:tcW w:w="3798" w:type="dxa"/>
            <w:shd w:val="clear" w:color="auto" w:fill="auto"/>
            <w:noWrap/>
            <w:vAlign w:val="center"/>
          </w:tcPr>
          <w:p w:rsidR="00F55E3A" w:rsidRDefault="00F577EE">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深圳市中金岭南有色金属股份有限公司</w:t>
            </w:r>
          </w:p>
        </w:tc>
        <w:tc>
          <w:tcPr>
            <w:tcW w:w="81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0.017</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0.027</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0.029</w:t>
            </w:r>
          </w:p>
        </w:tc>
        <w:tc>
          <w:tcPr>
            <w:tcW w:w="104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0.051</w:t>
            </w:r>
          </w:p>
        </w:tc>
      </w:tr>
      <w:tr w:rsidR="00F55E3A">
        <w:trPr>
          <w:trHeight w:val="316"/>
          <w:jc w:val="center"/>
        </w:trPr>
        <w:tc>
          <w:tcPr>
            <w:tcW w:w="675" w:type="dxa"/>
            <w:vMerge/>
          </w:tcPr>
          <w:p w:rsidR="00F55E3A" w:rsidRDefault="00F55E3A">
            <w:pPr>
              <w:widowControl/>
              <w:snapToGrid w:val="0"/>
              <w:jc w:val="left"/>
              <w:rPr>
                <w:rFonts w:ascii="宋体" w:hAnsi="宋体" w:cs="宋体"/>
                <w:color w:val="000000"/>
                <w:kern w:val="0"/>
                <w:sz w:val="18"/>
                <w:szCs w:val="18"/>
              </w:rPr>
            </w:pPr>
          </w:p>
        </w:tc>
        <w:tc>
          <w:tcPr>
            <w:tcW w:w="3798" w:type="dxa"/>
            <w:shd w:val="clear" w:color="auto" w:fill="auto"/>
            <w:noWrap/>
            <w:vAlign w:val="center"/>
          </w:tcPr>
          <w:p w:rsidR="00F55E3A" w:rsidRDefault="00F577EE">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格林美股份有限公司</w:t>
            </w:r>
          </w:p>
        </w:tc>
        <w:tc>
          <w:tcPr>
            <w:tcW w:w="81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0.008</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0.020</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0.030</w:t>
            </w:r>
          </w:p>
        </w:tc>
        <w:tc>
          <w:tcPr>
            <w:tcW w:w="104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0.051</w:t>
            </w:r>
          </w:p>
        </w:tc>
      </w:tr>
      <w:tr w:rsidR="00F55E3A">
        <w:trPr>
          <w:trHeight w:val="316"/>
          <w:jc w:val="center"/>
        </w:trPr>
        <w:tc>
          <w:tcPr>
            <w:tcW w:w="675" w:type="dxa"/>
            <w:vMerge/>
          </w:tcPr>
          <w:p w:rsidR="00F55E3A" w:rsidRDefault="00F55E3A">
            <w:pPr>
              <w:widowControl/>
              <w:snapToGrid w:val="0"/>
              <w:jc w:val="left"/>
              <w:rPr>
                <w:rFonts w:ascii="宋体" w:hAnsi="宋体" w:cs="宋体"/>
                <w:color w:val="000000"/>
                <w:kern w:val="0"/>
                <w:sz w:val="18"/>
                <w:szCs w:val="18"/>
              </w:rPr>
            </w:pPr>
          </w:p>
        </w:tc>
        <w:tc>
          <w:tcPr>
            <w:tcW w:w="3798" w:type="dxa"/>
            <w:shd w:val="clear" w:color="auto" w:fill="auto"/>
            <w:noWrap/>
            <w:vAlign w:val="center"/>
          </w:tcPr>
          <w:p w:rsidR="00F55E3A" w:rsidRDefault="00F577EE">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浙江华友钴业股份有限公司</w:t>
            </w:r>
          </w:p>
        </w:tc>
        <w:tc>
          <w:tcPr>
            <w:tcW w:w="81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0.014</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0.026</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0.021</w:t>
            </w:r>
          </w:p>
        </w:tc>
        <w:tc>
          <w:tcPr>
            <w:tcW w:w="104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0.032</w:t>
            </w:r>
          </w:p>
        </w:tc>
      </w:tr>
      <w:tr w:rsidR="00F55E3A">
        <w:trPr>
          <w:trHeight w:val="316"/>
          <w:jc w:val="center"/>
        </w:trPr>
        <w:tc>
          <w:tcPr>
            <w:tcW w:w="675" w:type="dxa"/>
            <w:vMerge/>
          </w:tcPr>
          <w:p w:rsidR="00F55E3A" w:rsidRDefault="00F55E3A">
            <w:pPr>
              <w:widowControl/>
              <w:snapToGrid w:val="0"/>
              <w:jc w:val="left"/>
              <w:rPr>
                <w:rFonts w:ascii="宋体" w:hAnsi="宋体" w:cs="宋体"/>
                <w:color w:val="000000"/>
                <w:kern w:val="0"/>
                <w:sz w:val="18"/>
                <w:szCs w:val="18"/>
              </w:rPr>
            </w:pPr>
          </w:p>
        </w:tc>
        <w:tc>
          <w:tcPr>
            <w:tcW w:w="3798" w:type="dxa"/>
            <w:shd w:val="clear" w:color="auto" w:fill="auto"/>
            <w:noWrap/>
            <w:vAlign w:val="center"/>
          </w:tcPr>
          <w:p w:rsidR="00F55E3A" w:rsidRDefault="00F577EE">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天津茂联</w:t>
            </w:r>
          </w:p>
        </w:tc>
        <w:tc>
          <w:tcPr>
            <w:tcW w:w="81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0.025</w:t>
            </w:r>
          </w:p>
        </w:tc>
        <w:tc>
          <w:tcPr>
            <w:tcW w:w="1036" w:type="dxa"/>
            <w:shd w:val="clear" w:color="auto" w:fill="auto"/>
            <w:noWrap/>
            <w:vAlign w:val="center"/>
          </w:tcPr>
          <w:p w:rsidR="00F55E3A" w:rsidRDefault="00F577EE">
            <w:pPr>
              <w:widowControl/>
              <w:snapToGrid w:val="0"/>
              <w:jc w:val="center"/>
              <w:rPr>
                <w:rFonts w:ascii="宋体" w:hAnsi="宋体" w:cs="宋体"/>
                <w:b/>
                <w:bCs/>
                <w:color w:val="000000"/>
                <w:kern w:val="0"/>
                <w:sz w:val="18"/>
                <w:szCs w:val="18"/>
              </w:rPr>
            </w:pPr>
            <w:r>
              <w:rPr>
                <w:rFonts w:ascii="宋体" w:hAnsi="宋体" w:cs="宋体" w:hint="eastAsia"/>
                <w:b/>
                <w:bCs/>
                <w:color w:val="000000"/>
                <w:kern w:val="0"/>
                <w:sz w:val="18"/>
                <w:szCs w:val="18"/>
              </w:rPr>
              <w:t>0.062</w:t>
            </w:r>
            <w:r>
              <w:rPr>
                <w:rFonts w:ascii="宋体" w:hAnsi="宋体" w:cs="宋体"/>
                <w:b/>
                <w:bCs/>
                <w:color w:val="000000"/>
                <w:kern w:val="0"/>
                <w:sz w:val="18"/>
                <w:szCs w:val="18"/>
              </w:rPr>
              <w:t>*</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0.044</w:t>
            </w:r>
          </w:p>
        </w:tc>
        <w:tc>
          <w:tcPr>
            <w:tcW w:w="104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0.060</w:t>
            </w:r>
          </w:p>
        </w:tc>
      </w:tr>
      <w:tr w:rsidR="00F55E3A">
        <w:trPr>
          <w:trHeight w:val="316"/>
          <w:jc w:val="center"/>
        </w:trPr>
        <w:tc>
          <w:tcPr>
            <w:tcW w:w="675" w:type="dxa"/>
            <w:vMerge/>
          </w:tcPr>
          <w:p w:rsidR="00F55E3A" w:rsidRDefault="00F55E3A">
            <w:pPr>
              <w:widowControl/>
              <w:snapToGrid w:val="0"/>
              <w:jc w:val="left"/>
              <w:rPr>
                <w:rFonts w:ascii="宋体" w:hAnsi="宋体" w:cs="宋体"/>
                <w:color w:val="000000"/>
                <w:kern w:val="0"/>
                <w:sz w:val="18"/>
                <w:szCs w:val="18"/>
              </w:rPr>
            </w:pPr>
          </w:p>
        </w:tc>
        <w:tc>
          <w:tcPr>
            <w:tcW w:w="3798" w:type="dxa"/>
            <w:shd w:val="clear" w:color="auto" w:fill="auto"/>
            <w:noWrap/>
            <w:vAlign w:val="center"/>
          </w:tcPr>
          <w:p w:rsidR="00F55E3A" w:rsidRDefault="00F577EE">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北方铜业</w:t>
            </w:r>
          </w:p>
        </w:tc>
        <w:tc>
          <w:tcPr>
            <w:tcW w:w="81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0.018</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0.025</w:t>
            </w:r>
          </w:p>
        </w:tc>
        <w:tc>
          <w:tcPr>
            <w:tcW w:w="1036" w:type="dxa"/>
            <w:shd w:val="clear" w:color="auto" w:fill="auto"/>
            <w:noWrap/>
            <w:vAlign w:val="center"/>
          </w:tcPr>
          <w:p w:rsidR="00F55E3A" w:rsidRDefault="00F577EE">
            <w:pPr>
              <w:widowControl/>
              <w:snapToGrid w:val="0"/>
              <w:jc w:val="center"/>
              <w:rPr>
                <w:rFonts w:ascii="宋体" w:hAnsi="宋体" w:cs="宋体"/>
                <w:b/>
                <w:bCs/>
                <w:color w:val="000000"/>
                <w:kern w:val="0"/>
                <w:sz w:val="18"/>
                <w:szCs w:val="18"/>
              </w:rPr>
            </w:pPr>
            <w:r>
              <w:rPr>
                <w:rFonts w:ascii="宋体" w:hAnsi="宋体" w:cs="宋体" w:hint="eastAsia"/>
                <w:b/>
                <w:bCs/>
                <w:color w:val="000000"/>
                <w:kern w:val="0"/>
                <w:sz w:val="18"/>
                <w:szCs w:val="18"/>
              </w:rPr>
              <w:t>0.057</w:t>
            </w:r>
            <w:r>
              <w:rPr>
                <w:rFonts w:ascii="宋体" w:hAnsi="宋体" w:cs="宋体"/>
                <w:b/>
                <w:bCs/>
                <w:color w:val="000000"/>
                <w:kern w:val="0"/>
                <w:sz w:val="18"/>
                <w:szCs w:val="18"/>
              </w:rPr>
              <w:t>*</w:t>
            </w:r>
          </w:p>
        </w:tc>
        <w:tc>
          <w:tcPr>
            <w:tcW w:w="104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0.053</w:t>
            </w:r>
          </w:p>
        </w:tc>
      </w:tr>
      <w:tr w:rsidR="00F55E3A">
        <w:trPr>
          <w:trHeight w:val="316"/>
          <w:jc w:val="center"/>
        </w:trPr>
        <w:tc>
          <w:tcPr>
            <w:tcW w:w="675" w:type="dxa"/>
            <w:vMerge/>
          </w:tcPr>
          <w:p w:rsidR="00F55E3A" w:rsidRDefault="00F55E3A">
            <w:pPr>
              <w:widowControl/>
              <w:snapToGrid w:val="0"/>
              <w:jc w:val="left"/>
              <w:rPr>
                <w:rFonts w:ascii="宋体" w:hAnsi="宋体" w:cs="宋体"/>
                <w:color w:val="000000"/>
                <w:kern w:val="0"/>
                <w:sz w:val="18"/>
                <w:szCs w:val="18"/>
              </w:rPr>
            </w:pPr>
          </w:p>
        </w:tc>
        <w:tc>
          <w:tcPr>
            <w:tcW w:w="3798" w:type="dxa"/>
            <w:shd w:val="clear" w:color="auto" w:fill="auto"/>
            <w:noWrap/>
            <w:vAlign w:val="center"/>
          </w:tcPr>
          <w:p w:rsidR="00F55E3A" w:rsidRDefault="00F577EE">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紫金矿业集团股份有限公司</w:t>
            </w:r>
          </w:p>
        </w:tc>
        <w:tc>
          <w:tcPr>
            <w:tcW w:w="81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0.007</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0.025</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0.023</w:t>
            </w:r>
          </w:p>
        </w:tc>
        <w:tc>
          <w:tcPr>
            <w:tcW w:w="104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0.016</w:t>
            </w:r>
          </w:p>
        </w:tc>
      </w:tr>
      <w:tr w:rsidR="00F55E3A">
        <w:trPr>
          <w:trHeight w:val="316"/>
          <w:jc w:val="center"/>
        </w:trPr>
        <w:tc>
          <w:tcPr>
            <w:tcW w:w="675" w:type="dxa"/>
            <w:vMerge/>
          </w:tcPr>
          <w:p w:rsidR="00F55E3A" w:rsidRDefault="00F55E3A">
            <w:pPr>
              <w:widowControl/>
              <w:snapToGrid w:val="0"/>
              <w:jc w:val="left"/>
              <w:rPr>
                <w:rFonts w:ascii="宋体" w:hAnsi="宋体" w:cs="宋体"/>
                <w:color w:val="000000"/>
                <w:kern w:val="0"/>
                <w:sz w:val="18"/>
                <w:szCs w:val="18"/>
              </w:rPr>
            </w:pPr>
          </w:p>
        </w:tc>
        <w:tc>
          <w:tcPr>
            <w:tcW w:w="3798" w:type="dxa"/>
            <w:shd w:val="clear" w:color="auto" w:fill="auto"/>
            <w:noWrap/>
            <w:vAlign w:val="center"/>
          </w:tcPr>
          <w:p w:rsidR="00F55E3A" w:rsidRDefault="00F577EE">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衢州华友</w:t>
            </w:r>
          </w:p>
        </w:tc>
        <w:tc>
          <w:tcPr>
            <w:tcW w:w="81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0.017</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0.019</w:t>
            </w:r>
          </w:p>
        </w:tc>
        <w:tc>
          <w:tcPr>
            <w:tcW w:w="1036"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0.013</w:t>
            </w:r>
          </w:p>
        </w:tc>
        <w:tc>
          <w:tcPr>
            <w:tcW w:w="1045" w:type="dxa"/>
            <w:shd w:val="clear" w:color="auto" w:fill="auto"/>
            <w:noWrap/>
            <w:vAlign w:val="center"/>
          </w:tcPr>
          <w:p w:rsidR="00F55E3A" w:rsidRDefault="00F577EE">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0.045</w:t>
            </w:r>
          </w:p>
        </w:tc>
      </w:tr>
      <w:tr w:rsidR="00F55E3A">
        <w:trPr>
          <w:trHeight w:val="316"/>
          <w:jc w:val="center"/>
        </w:trPr>
        <w:tc>
          <w:tcPr>
            <w:tcW w:w="5288" w:type="dxa"/>
            <w:gridSpan w:val="3"/>
            <w:vAlign w:val="center"/>
          </w:tcPr>
          <w:p w:rsidR="00F55E3A" w:rsidRDefault="00F577EE">
            <w:pPr>
              <w:widowControl/>
              <w:snapToGrid w:val="0"/>
              <w:jc w:val="center"/>
              <w:rPr>
                <w:rFonts w:ascii="宋体" w:hAnsi="宋体" w:cs="宋体"/>
                <w:color w:val="000000"/>
                <w:kern w:val="0"/>
                <w:sz w:val="18"/>
                <w:szCs w:val="18"/>
              </w:rPr>
            </w:pPr>
            <w:r>
              <w:rPr>
                <w:rFonts w:eastAsiaTheme="minorEastAsia"/>
                <w:color w:val="000000"/>
                <w:kern w:val="0"/>
                <w:sz w:val="18"/>
                <w:szCs w:val="18"/>
              </w:rPr>
              <w:t>max</w:t>
            </w:r>
            <w:r>
              <w:rPr>
                <w:rFonts w:eastAsiaTheme="minorEastAsia" w:hAnsiTheme="minorEastAsia"/>
                <w:color w:val="000000"/>
                <w:kern w:val="0"/>
                <w:sz w:val="18"/>
                <w:szCs w:val="18"/>
              </w:rPr>
              <w:t>（</w:t>
            </w:r>
            <w:r>
              <w:rPr>
                <w:rFonts w:eastAsiaTheme="minorEastAsia"/>
                <w:color w:val="000000"/>
                <w:kern w:val="0"/>
                <w:sz w:val="18"/>
                <w:szCs w:val="18"/>
              </w:rPr>
              <w:t>s</w:t>
            </w:r>
            <w:r>
              <w:rPr>
                <w:rFonts w:eastAsiaTheme="minorEastAsia" w:hAnsiTheme="minorEastAsia"/>
                <w:color w:val="000000"/>
                <w:kern w:val="0"/>
                <w:sz w:val="18"/>
                <w:szCs w:val="18"/>
              </w:rPr>
              <w:t>）</w:t>
            </w:r>
          </w:p>
        </w:tc>
        <w:tc>
          <w:tcPr>
            <w:tcW w:w="1036" w:type="dxa"/>
            <w:shd w:val="clear" w:color="auto" w:fill="auto"/>
            <w:noWrap/>
          </w:tcPr>
          <w:p w:rsidR="00F55E3A" w:rsidRDefault="00F577EE">
            <w:pPr>
              <w:widowControl/>
              <w:snapToGrid w:val="0"/>
              <w:jc w:val="center"/>
              <w:rPr>
                <w:rFonts w:ascii="宋体" w:hAnsi="宋体" w:cs="宋体"/>
                <w:color w:val="000000"/>
                <w:kern w:val="0"/>
                <w:sz w:val="18"/>
                <w:szCs w:val="18"/>
              </w:rPr>
            </w:pPr>
            <w:r>
              <w:rPr>
                <w:sz w:val="18"/>
                <w:szCs w:val="18"/>
              </w:rPr>
              <w:t>0.026</w:t>
            </w:r>
          </w:p>
        </w:tc>
        <w:tc>
          <w:tcPr>
            <w:tcW w:w="1036" w:type="dxa"/>
            <w:shd w:val="clear" w:color="auto" w:fill="auto"/>
            <w:noWrap/>
          </w:tcPr>
          <w:p w:rsidR="00F55E3A" w:rsidRDefault="00F577EE">
            <w:pPr>
              <w:widowControl/>
              <w:snapToGrid w:val="0"/>
              <w:jc w:val="center"/>
              <w:rPr>
                <w:rFonts w:ascii="宋体" w:hAnsi="宋体" w:cs="宋体"/>
                <w:color w:val="000000"/>
                <w:kern w:val="0"/>
                <w:sz w:val="18"/>
                <w:szCs w:val="18"/>
              </w:rPr>
            </w:pPr>
            <w:r>
              <w:rPr>
                <w:sz w:val="18"/>
                <w:szCs w:val="18"/>
              </w:rPr>
              <w:t>0.062</w:t>
            </w:r>
          </w:p>
        </w:tc>
        <w:tc>
          <w:tcPr>
            <w:tcW w:w="1036" w:type="dxa"/>
            <w:shd w:val="clear" w:color="auto" w:fill="auto"/>
            <w:noWrap/>
          </w:tcPr>
          <w:p w:rsidR="00F55E3A" w:rsidRDefault="00F577EE">
            <w:pPr>
              <w:widowControl/>
              <w:snapToGrid w:val="0"/>
              <w:jc w:val="center"/>
              <w:rPr>
                <w:rFonts w:ascii="宋体" w:hAnsi="宋体" w:cs="宋体"/>
                <w:color w:val="000000"/>
                <w:kern w:val="0"/>
                <w:sz w:val="18"/>
                <w:szCs w:val="18"/>
              </w:rPr>
            </w:pPr>
            <w:r>
              <w:rPr>
                <w:sz w:val="18"/>
                <w:szCs w:val="18"/>
              </w:rPr>
              <w:t>0.057</w:t>
            </w:r>
          </w:p>
        </w:tc>
        <w:tc>
          <w:tcPr>
            <w:tcW w:w="1045" w:type="dxa"/>
            <w:shd w:val="clear" w:color="auto" w:fill="auto"/>
            <w:noWrap/>
          </w:tcPr>
          <w:p w:rsidR="00F55E3A" w:rsidRDefault="00F577EE">
            <w:pPr>
              <w:widowControl/>
              <w:snapToGrid w:val="0"/>
              <w:jc w:val="center"/>
              <w:rPr>
                <w:rFonts w:ascii="宋体" w:hAnsi="宋体" w:cs="宋体"/>
                <w:color w:val="000000"/>
                <w:kern w:val="0"/>
                <w:sz w:val="18"/>
                <w:szCs w:val="18"/>
              </w:rPr>
            </w:pPr>
            <w:r>
              <w:rPr>
                <w:sz w:val="18"/>
                <w:szCs w:val="18"/>
              </w:rPr>
              <w:t>0.060</w:t>
            </w:r>
          </w:p>
        </w:tc>
      </w:tr>
      <w:tr w:rsidR="00F55E3A">
        <w:trPr>
          <w:trHeight w:val="316"/>
          <w:jc w:val="center"/>
        </w:trPr>
        <w:tc>
          <w:tcPr>
            <w:tcW w:w="5288" w:type="dxa"/>
            <w:gridSpan w:val="3"/>
            <w:vAlign w:val="center"/>
          </w:tcPr>
          <w:p w:rsidR="00F55E3A" w:rsidRDefault="00F577EE">
            <w:pPr>
              <w:widowControl/>
              <w:snapToGrid w:val="0"/>
              <w:jc w:val="center"/>
              <w:rPr>
                <w:rFonts w:ascii="宋体" w:hAnsi="宋体" w:cs="宋体"/>
                <w:color w:val="000000"/>
                <w:kern w:val="0"/>
                <w:sz w:val="18"/>
                <w:szCs w:val="18"/>
              </w:rPr>
            </w:pPr>
            <w:r>
              <w:rPr>
                <w:rFonts w:eastAsiaTheme="minorEastAsia"/>
                <w:color w:val="000000"/>
                <w:kern w:val="0"/>
                <w:sz w:val="18"/>
                <w:szCs w:val="18"/>
              </w:rPr>
              <w:t>max</w:t>
            </w:r>
            <w:r>
              <w:rPr>
                <w:rFonts w:eastAsiaTheme="minorEastAsia" w:hAnsiTheme="minorEastAsia"/>
                <w:color w:val="000000"/>
                <w:kern w:val="0"/>
                <w:sz w:val="18"/>
                <w:szCs w:val="18"/>
              </w:rPr>
              <w:t>（</w:t>
            </w:r>
            <w:r>
              <w:rPr>
                <w:rFonts w:eastAsiaTheme="minorEastAsia"/>
                <w:color w:val="000000"/>
                <w:kern w:val="0"/>
                <w:sz w:val="18"/>
                <w:szCs w:val="18"/>
              </w:rPr>
              <w:t>s</w:t>
            </w:r>
            <w:r>
              <w:rPr>
                <w:rFonts w:eastAsiaTheme="minorEastAsia"/>
                <w:color w:val="000000"/>
                <w:kern w:val="0"/>
                <w:sz w:val="18"/>
                <w:szCs w:val="18"/>
                <w:vertAlign w:val="superscript"/>
              </w:rPr>
              <w:t>2</w:t>
            </w:r>
            <w:r>
              <w:rPr>
                <w:rFonts w:eastAsiaTheme="minorEastAsia" w:hAnsiTheme="minorEastAsia"/>
                <w:color w:val="000000"/>
                <w:kern w:val="0"/>
                <w:sz w:val="18"/>
                <w:szCs w:val="18"/>
              </w:rPr>
              <w:t>）</w:t>
            </w:r>
          </w:p>
        </w:tc>
        <w:tc>
          <w:tcPr>
            <w:tcW w:w="1036" w:type="dxa"/>
            <w:shd w:val="clear" w:color="auto" w:fill="auto"/>
            <w:noWrap/>
          </w:tcPr>
          <w:p w:rsidR="00F55E3A" w:rsidRDefault="00F577EE">
            <w:pPr>
              <w:widowControl/>
              <w:snapToGrid w:val="0"/>
              <w:jc w:val="center"/>
              <w:rPr>
                <w:rFonts w:ascii="宋体" w:hAnsi="宋体" w:cs="宋体"/>
                <w:color w:val="000000"/>
                <w:kern w:val="0"/>
                <w:sz w:val="18"/>
                <w:szCs w:val="18"/>
              </w:rPr>
            </w:pPr>
            <w:r>
              <w:rPr>
                <w:sz w:val="18"/>
                <w:szCs w:val="18"/>
              </w:rPr>
              <w:t>0.0007</w:t>
            </w:r>
          </w:p>
        </w:tc>
        <w:tc>
          <w:tcPr>
            <w:tcW w:w="1036" w:type="dxa"/>
            <w:shd w:val="clear" w:color="auto" w:fill="auto"/>
            <w:noWrap/>
          </w:tcPr>
          <w:p w:rsidR="00F55E3A" w:rsidRDefault="00F577EE">
            <w:pPr>
              <w:widowControl/>
              <w:snapToGrid w:val="0"/>
              <w:jc w:val="center"/>
              <w:rPr>
                <w:rFonts w:ascii="宋体" w:hAnsi="宋体" w:cs="宋体"/>
                <w:color w:val="000000"/>
                <w:kern w:val="0"/>
                <w:sz w:val="18"/>
                <w:szCs w:val="18"/>
              </w:rPr>
            </w:pPr>
            <w:r>
              <w:rPr>
                <w:sz w:val="18"/>
                <w:szCs w:val="18"/>
              </w:rPr>
              <w:t>0.0038</w:t>
            </w:r>
          </w:p>
        </w:tc>
        <w:tc>
          <w:tcPr>
            <w:tcW w:w="1036" w:type="dxa"/>
            <w:shd w:val="clear" w:color="auto" w:fill="auto"/>
            <w:noWrap/>
          </w:tcPr>
          <w:p w:rsidR="00F55E3A" w:rsidRDefault="00F577EE">
            <w:pPr>
              <w:widowControl/>
              <w:snapToGrid w:val="0"/>
              <w:jc w:val="center"/>
              <w:rPr>
                <w:rFonts w:ascii="宋体" w:hAnsi="宋体" w:cs="宋体"/>
                <w:color w:val="000000"/>
                <w:kern w:val="0"/>
                <w:sz w:val="18"/>
                <w:szCs w:val="18"/>
              </w:rPr>
            </w:pPr>
            <w:r>
              <w:rPr>
                <w:sz w:val="18"/>
                <w:szCs w:val="18"/>
              </w:rPr>
              <w:t>0.0033</w:t>
            </w:r>
          </w:p>
        </w:tc>
        <w:tc>
          <w:tcPr>
            <w:tcW w:w="1045" w:type="dxa"/>
            <w:shd w:val="clear" w:color="auto" w:fill="auto"/>
            <w:noWrap/>
          </w:tcPr>
          <w:p w:rsidR="00F55E3A" w:rsidRDefault="00F577EE">
            <w:pPr>
              <w:widowControl/>
              <w:snapToGrid w:val="0"/>
              <w:jc w:val="center"/>
              <w:rPr>
                <w:rFonts w:ascii="宋体" w:hAnsi="宋体" w:cs="宋体"/>
                <w:color w:val="000000"/>
                <w:kern w:val="0"/>
                <w:sz w:val="18"/>
                <w:szCs w:val="18"/>
              </w:rPr>
            </w:pPr>
            <w:r>
              <w:rPr>
                <w:sz w:val="18"/>
                <w:szCs w:val="18"/>
              </w:rPr>
              <w:t>0.0036</w:t>
            </w:r>
          </w:p>
        </w:tc>
      </w:tr>
      <w:tr w:rsidR="00F55E3A">
        <w:trPr>
          <w:trHeight w:val="316"/>
          <w:jc w:val="center"/>
        </w:trPr>
        <w:tc>
          <w:tcPr>
            <w:tcW w:w="5288" w:type="dxa"/>
            <w:gridSpan w:val="3"/>
            <w:vAlign w:val="center"/>
          </w:tcPr>
          <w:p w:rsidR="00F55E3A" w:rsidRDefault="00F577EE">
            <w:pPr>
              <w:widowControl/>
              <w:snapToGrid w:val="0"/>
              <w:jc w:val="center"/>
              <w:rPr>
                <w:rFonts w:ascii="宋体" w:hAnsi="宋体" w:cs="宋体"/>
                <w:color w:val="000000"/>
                <w:kern w:val="0"/>
                <w:sz w:val="18"/>
                <w:szCs w:val="18"/>
              </w:rPr>
            </w:pPr>
            <w:r>
              <w:rPr>
                <w:rFonts w:eastAsiaTheme="minorEastAsia"/>
                <w:color w:val="000000"/>
                <w:kern w:val="0"/>
                <w:sz w:val="18"/>
                <w:szCs w:val="18"/>
              </w:rPr>
              <w:t>S</w:t>
            </w:r>
            <w:r>
              <w:rPr>
                <w:rFonts w:eastAsiaTheme="minorEastAsia"/>
                <w:color w:val="000000"/>
                <w:kern w:val="0"/>
                <w:sz w:val="18"/>
                <w:szCs w:val="18"/>
                <w:vertAlign w:val="superscript"/>
              </w:rPr>
              <w:t>2</w:t>
            </w:r>
            <w:r>
              <w:rPr>
                <w:rFonts w:eastAsiaTheme="minorEastAsia" w:hAnsiTheme="minorEastAsia"/>
                <w:color w:val="000000"/>
                <w:kern w:val="0"/>
                <w:sz w:val="18"/>
                <w:szCs w:val="18"/>
              </w:rPr>
              <w:t>的和</w:t>
            </w:r>
          </w:p>
        </w:tc>
        <w:tc>
          <w:tcPr>
            <w:tcW w:w="1036" w:type="dxa"/>
            <w:shd w:val="clear" w:color="auto" w:fill="auto"/>
            <w:noWrap/>
          </w:tcPr>
          <w:p w:rsidR="00F55E3A" w:rsidRDefault="00F577EE">
            <w:pPr>
              <w:widowControl/>
              <w:snapToGrid w:val="0"/>
              <w:jc w:val="center"/>
              <w:rPr>
                <w:rFonts w:ascii="宋体" w:hAnsi="宋体" w:cs="宋体"/>
                <w:color w:val="000000"/>
                <w:kern w:val="0"/>
                <w:sz w:val="18"/>
                <w:szCs w:val="18"/>
              </w:rPr>
            </w:pPr>
            <w:r>
              <w:rPr>
                <w:sz w:val="18"/>
                <w:szCs w:val="18"/>
              </w:rPr>
              <w:t>0.0034</w:t>
            </w:r>
          </w:p>
        </w:tc>
        <w:tc>
          <w:tcPr>
            <w:tcW w:w="1036" w:type="dxa"/>
            <w:shd w:val="clear" w:color="auto" w:fill="auto"/>
            <w:noWrap/>
          </w:tcPr>
          <w:p w:rsidR="00F55E3A" w:rsidRDefault="00F577EE">
            <w:pPr>
              <w:widowControl/>
              <w:snapToGrid w:val="0"/>
              <w:jc w:val="center"/>
              <w:rPr>
                <w:rFonts w:ascii="宋体" w:hAnsi="宋体" w:cs="宋体"/>
                <w:color w:val="000000"/>
                <w:kern w:val="0"/>
                <w:sz w:val="18"/>
                <w:szCs w:val="18"/>
              </w:rPr>
            </w:pPr>
            <w:r>
              <w:rPr>
                <w:sz w:val="18"/>
                <w:szCs w:val="18"/>
              </w:rPr>
              <w:t>0.0130</w:t>
            </w:r>
          </w:p>
        </w:tc>
        <w:tc>
          <w:tcPr>
            <w:tcW w:w="1036" w:type="dxa"/>
            <w:shd w:val="clear" w:color="auto" w:fill="auto"/>
            <w:noWrap/>
          </w:tcPr>
          <w:p w:rsidR="00F55E3A" w:rsidRDefault="00F577EE">
            <w:pPr>
              <w:widowControl/>
              <w:snapToGrid w:val="0"/>
              <w:jc w:val="center"/>
              <w:rPr>
                <w:rFonts w:ascii="宋体" w:hAnsi="宋体" w:cs="宋体"/>
                <w:color w:val="000000"/>
                <w:kern w:val="0"/>
                <w:sz w:val="18"/>
                <w:szCs w:val="18"/>
              </w:rPr>
            </w:pPr>
            <w:r>
              <w:rPr>
                <w:sz w:val="18"/>
                <w:szCs w:val="18"/>
              </w:rPr>
              <w:t>0.0113</w:t>
            </w:r>
          </w:p>
        </w:tc>
        <w:tc>
          <w:tcPr>
            <w:tcW w:w="1045" w:type="dxa"/>
            <w:shd w:val="clear" w:color="auto" w:fill="auto"/>
            <w:noWrap/>
          </w:tcPr>
          <w:p w:rsidR="00F55E3A" w:rsidRDefault="00F577EE">
            <w:pPr>
              <w:widowControl/>
              <w:snapToGrid w:val="0"/>
              <w:jc w:val="center"/>
              <w:rPr>
                <w:rFonts w:ascii="宋体" w:hAnsi="宋体" w:cs="宋体"/>
                <w:color w:val="000000"/>
                <w:kern w:val="0"/>
                <w:sz w:val="18"/>
                <w:szCs w:val="18"/>
              </w:rPr>
            </w:pPr>
            <w:r>
              <w:rPr>
                <w:sz w:val="18"/>
                <w:szCs w:val="18"/>
              </w:rPr>
              <w:t>0.0219</w:t>
            </w:r>
          </w:p>
        </w:tc>
      </w:tr>
      <w:tr w:rsidR="00F55E3A">
        <w:trPr>
          <w:trHeight w:val="316"/>
          <w:jc w:val="center"/>
        </w:trPr>
        <w:tc>
          <w:tcPr>
            <w:tcW w:w="5288" w:type="dxa"/>
            <w:gridSpan w:val="3"/>
            <w:vAlign w:val="center"/>
          </w:tcPr>
          <w:p w:rsidR="00F55E3A" w:rsidRDefault="00F577EE">
            <w:pPr>
              <w:widowControl/>
              <w:snapToGrid w:val="0"/>
              <w:jc w:val="center"/>
              <w:rPr>
                <w:rFonts w:eastAsiaTheme="minorEastAsia"/>
                <w:color w:val="000000"/>
                <w:kern w:val="0"/>
                <w:sz w:val="18"/>
                <w:szCs w:val="18"/>
              </w:rPr>
            </w:pPr>
            <w:r>
              <w:rPr>
                <w:rFonts w:eastAsiaTheme="minorEastAsia"/>
                <w:color w:val="000000"/>
                <w:kern w:val="0"/>
                <w:sz w:val="18"/>
                <w:szCs w:val="18"/>
              </w:rPr>
              <w:t>C</w:t>
            </w:r>
          </w:p>
        </w:tc>
        <w:tc>
          <w:tcPr>
            <w:tcW w:w="1036" w:type="dxa"/>
            <w:shd w:val="clear" w:color="auto" w:fill="auto"/>
            <w:noWrap/>
          </w:tcPr>
          <w:p w:rsidR="00F55E3A" w:rsidRDefault="00F577EE">
            <w:pPr>
              <w:widowControl/>
              <w:snapToGrid w:val="0"/>
              <w:jc w:val="center"/>
              <w:rPr>
                <w:rFonts w:ascii="宋体" w:hAnsi="宋体" w:cs="宋体"/>
                <w:color w:val="000000"/>
                <w:kern w:val="0"/>
                <w:sz w:val="18"/>
                <w:szCs w:val="18"/>
              </w:rPr>
            </w:pPr>
            <w:r>
              <w:rPr>
                <w:sz w:val="18"/>
                <w:szCs w:val="18"/>
              </w:rPr>
              <w:t>0.205</w:t>
            </w:r>
          </w:p>
        </w:tc>
        <w:tc>
          <w:tcPr>
            <w:tcW w:w="1036" w:type="dxa"/>
            <w:shd w:val="clear" w:color="auto" w:fill="auto"/>
            <w:noWrap/>
          </w:tcPr>
          <w:p w:rsidR="00F55E3A" w:rsidRDefault="00F577EE">
            <w:pPr>
              <w:widowControl/>
              <w:snapToGrid w:val="0"/>
              <w:jc w:val="center"/>
              <w:rPr>
                <w:rFonts w:ascii="宋体" w:hAnsi="宋体" w:cs="宋体"/>
                <w:b/>
                <w:bCs/>
                <w:color w:val="000000"/>
                <w:kern w:val="0"/>
                <w:sz w:val="18"/>
                <w:szCs w:val="18"/>
              </w:rPr>
            </w:pPr>
            <w:r>
              <w:rPr>
                <w:b/>
                <w:bCs/>
                <w:sz w:val="18"/>
                <w:szCs w:val="18"/>
              </w:rPr>
              <w:t>0.295</w:t>
            </w:r>
          </w:p>
        </w:tc>
        <w:tc>
          <w:tcPr>
            <w:tcW w:w="1036" w:type="dxa"/>
            <w:shd w:val="clear" w:color="auto" w:fill="auto"/>
            <w:noWrap/>
          </w:tcPr>
          <w:p w:rsidR="00F55E3A" w:rsidRDefault="00F577EE">
            <w:pPr>
              <w:widowControl/>
              <w:snapToGrid w:val="0"/>
              <w:jc w:val="center"/>
              <w:rPr>
                <w:rFonts w:ascii="宋体" w:hAnsi="宋体" w:cs="宋体"/>
                <w:b/>
                <w:bCs/>
                <w:color w:val="000000"/>
                <w:kern w:val="0"/>
                <w:sz w:val="18"/>
                <w:szCs w:val="18"/>
              </w:rPr>
            </w:pPr>
            <w:r>
              <w:rPr>
                <w:b/>
                <w:bCs/>
                <w:sz w:val="18"/>
                <w:szCs w:val="18"/>
              </w:rPr>
              <w:t>0.289</w:t>
            </w:r>
          </w:p>
        </w:tc>
        <w:tc>
          <w:tcPr>
            <w:tcW w:w="1045" w:type="dxa"/>
            <w:shd w:val="clear" w:color="auto" w:fill="auto"/>
            <w:noWrap/>
          </w:tcPr>
          <w:p w:rsidR="00F55E3A" w:rsidRDefault="00F577EE">
            <w:pPr>
              <w:widowControl/>
              <w:snapToGrid w:val="0"/>
              <w:jc w:val="center"/>
              <w:rPr>
                <w:rFonts w:ascii="宋体" w:hAnsi="宋体" w:cs="宋体"/>
                <w:color w:val="000000"/>
                <w:kern w:val="0"/>
                <w:sz w:val="18"/>
                <w:szCs w:val="18"/>
              </w:rPr>
            </w:pPr>
            <w:r>
              <w:rPr>
                <w:sz w:val="18"/>
                <w:szCs w:val="18"/>
              </w:rPr>
              <w:t>0.164</w:t>
            </w:r>
          </w:p>
        </w:tc>
      </w:tr>
    </w:tbl>
    <w:p w:rsidR="00F55E3A" w:rsidRDefault="00F577EE">
      <w:pPr>
        <w:ind w:firstLine="435"/>
        <w:rPr>
          <w:spacing w:val="8"/>
          <w:szCs w:val="21"/>
        </w:rPr>
      </w:pPr>
      <w:r>
        <w:rPr>
          <w:spacing w:val="8"/>
          <w:szCs w:val="21"/>
        </w:rPr>
        <w:t>各实验室提供的数据有</w:t>
      </w:r>
      <w:r>
        <w:rPr>
          <w:spacing w:val="8"/>
          <w:szCs w:val="21"/>
        </w:rPr>
        <w:t>9</w:t>
      </w:r>
      <w:r>
        <w:rPr>
          <w:spacing w:val="8"/>
          <w:szCs w:val="21"/>
        </w:rPr>
        <w:t>次（</w:t>
      </w:r>
      <w:r>
        <w:rPr>
          <w:spacing w:val="8"/>
          <w:szCs w:val="21"/>
        </w:rPr>
        <w:t>2</w:t>
      </w:r>
      <w:r>
        <w:rPr>
          <w:spacing w:val="8"/>
          <w:szCs w:val="21"/>
        </w:rPr>
        <w:t>家）、</w:t>
      </w:r>
      <w:r>
        <w:rPr>
          <w:spacing w:val="8"/>
          <w:szCs w:val="21"/>
        </w:rPr>
        <w:t>11</w:t>
      </w:r>
      <w:r>
        <w:rPr>
          <w:spacing w:val="8"/>
          <w:szCs w:val="21"/>
        </w:rPr>
        <w:t>次（</w:t>
      </w:r>
      <w:r>
        <w:rPr>
          <w:spacing w:val="8"/>
          <w:szCs w:val="21"/>
        </w:rPr>
        <w:t>1</w:t>
      </w:r>
      <w:r>
        <w:rPr>
          <w:spacing w:val="8"/>
          <w:szCs w:val="21"/>
        </w:rPr>
        <w:t>家）和</w:t>
      </w:r>
      <w:r>
        <w:rPr>
          <w:spacing w:val="8"/>
          <w:szCs w:val="21"/>
        </w:rPr>
        <w:t>10</w:t>
      </w:r>
      <w:r>
        <w:rPr>
          <w:spacing w:val="8"/>
          <w:szCs w:val="21"/>
        </w:rPr>
        <w:t>次（</w:t>
      </w:r>
      <w:r>
        <w:rPr>
          <w:spacing w:val="8"/>
          <w:szCs w:val="21"/>
        </w:rPr>
        <w:t>13</w:t>
      </w:r>
      <w:r>
        <w:rPr>
          <w:spacing w:val="8"/>
          <w:szCs w:val="21"/>
        </w:rPr>
        <w:t>家），因</w:t>
      </w:r>
      <w:r>
        <w:rPr>
          <w:spacing w:val="8"/>
          <w:szCs w:val="21"/>
        </w:rPr>
        <w:t>GB/T 6379.2-2004</w:t>
      </w:r>
      <w:r>
        <w:rPr>
          <w:spacing w:val="8"/>
          <w:szCs w:val="21"/>
        </w:rPr>
        <w:t>只提供到</w:t>
      </w:r>
      <w:r>
        <w:rPr>
          <w:spacing w:val="8"/>
          <w:szCs w:val="21"/>
        </w:rPr>
        <w:t>n=6</w:t>
      </w:r>
      <w:r>
        <w:rPr>
          <w:spacing w:val="8"/>
          <w:szCs w:val="21"/>
        </w:rPr>
        <w:t>的</w:t>
      </w:r>
      <w:r>
        <w:rPr>
          <w:spacing w:val="8"/>
          <w:szCs w:val="21"/>
        </w:rPr>
        <w:t>C</w:t>
      </w:r>
      <w:r>
        <w:rPr>
          <w:spacing w:val="8"/>
          <w:szCs w:val="21"/>
        </w:rPr>
        <w:t>临界值，因此采用</w:t>
      </w:r>
      <w:r>
        <w:rPr>
          <w:spacing w:val="8"/>
          <w:szCs w:val="21"/>
        </w:rPr>
        <w:t>C</w:t>
      </w:r>
      <w:r>
        <w:rPr>
          <w:spacing w:val="8"/>
          <w:szCs w:val="21"/>
        </w:rPr>
        <w:t>临界值为</w:t>
      </w:r>
      <w:r>
        <w:rPr>
          <w:spacing w:val="8"/>
          <w:szCs w:val="21"/>
        </w:rPr>
        <w:t>n=6</w:t>
      </w:r>
      <w:r>
        <w:rPr>
          <w:spacing w:val="8"/>
          <w:szCs w:val="21"/>
        </w:rPr>
        <w:t>，</w:t>
      </w:r>
      <w:r>
        <w:rPr>
          <w:spacing w:val="8"/>
          <w:szCs w:val="21"/>
        </w:rPr>
        <w:t>p=12</w:t>
      </w:r>
      <w:r>
        <w:rPr>
          <w:spacing w:val="8"/>
          <w:szCs w:val="21"/>
        </w:rPr>
        <w:t>，</w:t>
      </w:r>
      <w:r>
        <w:rPr>
          <w:spacing w:val="8"/>
          <w:szCs w:val="21"/>
        </w:rPr>
        <w:t>1%</w:t>
      </w:r>
      <w:r>
        <w:rPr>
          <w:spacing w:val="8"/>
          <w:szCs w:val="21"/>
        </w:rPr>
        <w:t>为</w:t>
      </w:r>
      <w:r>
        <w:rPr>
          <w:spacing w:val="8"/>
          <w:szCs w:val="21"/>
        </w:rPr>
        <w:t>0.310</w:t>
      </w:r>
      <w:r>
        <w:rPr>
          <w:spacing w:val="8"/>
          <w:szCs w:val="21"/>
        </w:rPr>
        <w:t>，</w:t>
      </w:r>
      <w:r>
        <w:rPr>
          <w:spacing w:val="8"/>
          <w:szCs w:val="21"/>
        </w:rPr>
        <w:t>5%</w:t>
      </w:r>
      <w:r>
        <w:rPr>
          <w:spacing w:val="8"/>
          <w:szCs w:val="21"/>
        </w:rPr>
        <w:t>为</w:t>
      </w:r>
      <w:r>
        <w:rPr>
          <w:spacing w:val="8"/>
          <w:szCs w:val="21"/>
        </w:rPr>
        <w:t>0.262</w:t>
      </w:r>
      <w:r>
        <w:rPr>
          <w:spacing w:val="8"/>
          <w:szCs w:val="21"/>
        </w:rPr>
        <w:t>进行检验</w:t>
      </w:r>
      <w:r>
        <w:rPr>
          <w:rFonts w:hint="eastAsia"/>
          <w:spacing w:val="8"/>
          <w:szCs w:val="21"/>
        </w:rPr>
        <w:t>，</w:t>
      </w:r>
      <w:r>
        <w:rPr>
          <w:spacing w:val="8"/>
          <w:szCs w:val="21"/>
        </w:rPr>
        <w:t>检验结果</w:t>
      </w:r>
      <w:r>
        <w:rPr>
          <w:rFonts w:hint="eastAsia"/>
          <w:spacing w:val="8"/>
          <w:szCs w:val="21"/>
        </w:rPr>
        <w:t>为：水平</w:t>
      </w:r>
      <w:r>
        <w:rPr>
          <w:rFonts w:hint="eastAsia"/>
          <w:spacing w:val="8"/>
          <w:szCs w:val="21"/>
        </w:rPr>
        <w:t>2</w:t>
      </w:r>
      <w:r>
        <w:rPr>
          <w:rFonts w:hint="eastAsia"/>
          <w:spacing w:val="8"/>
          <w:szCs w:val="21"/>
        </w:rPr>
        <w:t>，实验室</w:t>
      </w:r>
      <w:r>
        <w:rPr>
          <w:rFonts w:hint="eastAsia"/>
          <w:spacing w:val="8"/>
          <w:szCs w:val="21"/>
        </w:rPr>
        <w:t>9</w:t>
      </w:r>
      <w:r>
        <w:rPr>
          <w:rFonts w:hint="eastAsia"/>
          <w:spacing w:val="8"/>
          <w:szCs w:val="21"/>
        </w:rPr>
        <w:t>（天津茂联）为岐离值，暂时保留，水平</w:t>
      </w:r>
      <w:r>
        <w:rPr>
          <w:rFonts w:hint="eastAsia"/>
          <w:spacing w:val="8"/>
          <w:szCs w:val="21"/>
        </w:rPr>
        <w:t>3</w:t>
      </w:r>
      <w:r>
        <w:rPr>
          <w:rFonts w:hint="eastAsia"/>
          <w:spacing w:val="8"/>
          <w:szCs w:val="21"/>
        </w:rPr>
        <w:t>，实验室</w:t>
      </w:r>
      <w:r>
        <w:rPr>
          <w:rFonts w:hint="eastAsia"/>
          <w:spacing w:val="8"/>
          <w:szCs w:val="21"/>
        </w:rPr>
        <w:t>10</w:t>
      </w:r>
      <w:r>
        <w:rPr>
          <w:rFonts w:hint="eastAsia"/>
          <w:spacing w:val="8"/>
          <w:szCs w:val="21"/>
        </w:rPr>
        <w:t>（北方铜业）为岐离值，暂时保留</w:t>
      </w:r>
      <w:r>
        <w:rPr>
          <w:rFonts w:hint="eastAsia"/>
          <w:spacing w:val="8"/>
          <w:szCs w:val="21"/>
        </w:rPr>
        <w:tab/>
      </w:r>
      <w:r>
        <w:rPr>
          <w:rFonts w:hint="eastAsia"/>
          <w:spacing w:val="8"/>
          <w:szCs w:val="21"/>
        </w:rPr>
        <w:t>，其他实验室无</w:t>
      </w:r>
      <w:r>
        <w:rPr>
          <w:spacing w:val="8"/>
          <w:szCs w:val="21"/>
        </w:rPr>
        <w:t>异常值。</w:t>
      </w:r>
    </w:p>
    <w:p w:rsidR="00F55E3A" w:rsidRDefault="00F577EE">
      <w:pPr>
        <w:outlineLvl w:val="3"/>
        <w:rPr>
          <w:b/>
          <w:spacing w:val="8"/>
          <w:szCs w:val="21"/>
        </w:rPr>
      </w:pPr>
      <w:r>
        <w:rPr>
          <w:b/>
          <w:spacing w:val="8"/>
          <w:szCs w:val="21"/>
        </w:rPr>
        <w:t>3</w:t>
      </w:r>
      <w:r>
        <w:rPr>
          <w:rFonts w:hint="eastAsia"/>
          <w:b/>
          <w:spacing w:val="8"/>
          <w:szCs w:val="21"/>
        </w:rPr>
        <w:t>）实验室间格拉布斯检验</w:t>
      </w:r>
    </w:p>
    <w:p w:rsidR="00F55E3A" w:rsidRDefault="00F577EE">
      <w:pPr>
        <w:ind w:firstLineChars="200" w:firstLine="452"/>
        <w:rPr>
          <w:spacing w:val="8"/>
          <w:szCs w:val="21"/>
        </w:rPr>
      </w:pPr>
      <w:bookmarkStart w:id="27" w:name="_Hlk92965895"/>
      <w:r>
        <w:rPr>
          <w:spacing w:val="8"/>
          <w:szCs w:val="21"/>
        </w:rPr>
        <w:t>对各实验室的均值</w:t>
      </w:r>
      <w:bookmarkEnd w:id="27"/>
      <w:r>
        <w:rPr>
          <w:spacing w:val="8"/>
          <w:szCs w:val="21"/>
        </w:rPr>
        <w:t>进行格拉布斯检验，离群值用</w:t>
      </w:r>
      <w:r>
        <w:rPr>
          <w:spacing w:val="8"/>
          <w:szCs w:val="21"/>
        </w:rPr>
        <w:t>**</w:t>
      </w:r>
      <w:r>
        <w:rPr>
          <w:rFonts w:hint="eastAsia"/>
          <w:spacing w:val="8"/>
          <w:szCs w:val="21"/>
        </w:rPr>
        <w:t>标注、岐离值用</w:t>
      </w:r>
      <w:r>
        <w:rPr>
          <w:spacing w:val="8"/>
          <w:szCs w:val="21"/>
        </w:rPr>
        <w:t>*</w:t>
      </w:r>
      <w:r>
        <w:rPr>
          <w:rFonts w:hint="eastAsia"/>
          <w:spacing w:val="8"/>
          <w:szCs w:val="21"/>
        </w:rPr>
        <w:t>标注</w:t>
      </w:r>
      <w:r>
        <w:rPr>
          <w:spacing w:val="8"/>
          <w:szCs w:val="21"/>
        </w:rPr>
        <w:t>。各实验室的统计检验结果</w:t>
      </w:r>
      <w:r>
        <w:rPr>
          <w:rFonts w:hint="eastAsia"/>
          <w:spacing w:val="8"/>
          <w:szCs w:val="21"/>
        </w:rPr>
        <w:t>见表</w:t>
      </w:r>
      <w:r>
        <w:rPr>
          <w:spacing w:val="8"/>
          <w:szCs w:val="21"/>
        </w:rPr>
        <w:t>5</w:t>
      </w:r>
      <w:r>
        <w:rPr>
          <w:rFonts w:hint="eastAsia"/>
          <w:spacing w:val="8"/>
          <w:szCs w:val="21"/>
        </w:rPr>
        <w:t>、</w:t>
      </w:r>
      <w:r>
        <w:rPr>
          <w:spacing w:val="8"/>
          <w:szCs w:val="21"/>
        </w:rPr>
        <w:t>6</w:t>
      </w:r>
      <w:r>
        <w:rPr>
          <w:rFonts w:hint="eastAsia"/>
          <w:spacing w:val="8"/>
          <w:szCs w:val="21"/>
        </w:rPr>
        <w:t>。</w:t>
      </w:r>
    </w:p>
    <w:p w:rsidR="00532631" w:rsidRDefault="00532631">
      <w:pPr>
        <w:jc w:val="center"/>
        <w:rPr>
          <w:rFonts w:ascii="黑体" w:eastAsia="黑体" w:hint="eastAsia"/>
          <w:bCs/>
          <w:color w:val="000000"/>
          <w:szCs w:val="21"/>
        </w:rPr>
      </w:pPr>
    </w:p>
    <w:p w:rsidR="00F55E3A" w:rsidRDefault="00F577EE">
      <w:pPr>
        <w:jc w:val="center"/>
        <w:rPr>
          <w:rFonts w:ascii="黑体" w:eastAsia="黑体"/>
          <w:bCs/>
          <w:color w:val="000000"/>
          <w:szCs w:val="21"/>
        </w:rPr>
      </w:pPr>
      <w:r>
        <w:rPr>
          <w:rFonts w:ascii="黑体" w:eastAsia="黑体" w:hint="eastAsia"/>
          <w:bCs/>
          <w:color w:val="000000"/>
          <w:szCs w:val="21"/>
        </w:rPr>
        <w:lastRenderedPageBreak/>
        <w:t>表</w:t>
      </w:r>
      <w:r>
        <w:rPr>
          <w:rFonts w:ascii="黑体" w:eastAsia="黑体"/>
          <w:bCs/>
          <w:color w:val="000000"/>
          <w:szCs w:val="21"/>
        </w:rPr>
        <w:t>5</w:t>
      </w:r>
      <w:r>
        <w:rPr>
          <w:rFonts w:ascii="黑体" w:eastAsia="黑体" w:hint="eastAsia"/>
          <w:bCs/>
          <w:color w:val="000000"/>
          <w:szCs w:val="21"/>
        </w:rPr>
        <w:t xml:space="preserve"> 格拉布斯检验（一个离群观测值情形）</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4"/>
        <w:gridCol w:w="1878"/>
        <w:gridCol w:w="1878"/>
        <w:gridCol w:w="1878"/>
        <w:gridCol w:w="1882"/>
      </w:tblGrid>
      <w:tr w:rsidR="00F55E3A">
        <w:trPr>
          <w:trHeight w:val="314"/>
        </w:trPr>
        <w:tc>
          <w:tcPr>
            <w:tcW w:w="1784"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rFonts w:hint="eastAsia"/>
                <w:color w:val="000000"/>
                <w:kern w:val="0"/>
                <w:sz w:val="18"/>
                <w:szCs w:val="18"/>
              </w:rPr>
              <w:t>统计量</w:t>
            </w:r>
          </w:p>
        </w:tc>
        <w:tc>
          <w:tcPr>
            <w:tcW w:w="1878" w:type="dxa"/>
            <w:shd w:val="clear" w:color="auto" w:fill="auto"/>
            <w:noWrap/>
            <w:vAlign w:val="center"/>
          </w:tcPr>
          <w:p w:rsidR="00F55E3A" w:rsidRDefault="00F577EE">
            <w:pPr>
              <w:widowControl/>
              <w:snapToGrid w:val="0"/>
              <w:spacing w:line="200" w:lineRule="exact"/>
              <w:jc w:val="center"/>
              <w:rPr>
                <w:kern w:val="0"/>
                <w:sz w:val="18"/>
                <w:szCs w:val="18"/>
              </w:rPr>
            </w:pPr>
            <w:r>
              <w:rPr>
                <w:rFonts w:ascii="宋体" w:hAnsi="宋体" w:hint="eastAsia"/>
                <w:color w:val="000000"/>
                <w:kern w:val="0"/>
                <w:sz w:val="18"/>
                <w:szCs w:val="18"/>
              </w:rPr>
              <w:t>水平</w:t>
            </w:r>
            <w:r>
              <w:rPr>
                <w:kern w:val="0"/>
                <w:sz w:val="18"/>
                <w:szCs w:val="18"/>
              </w:rPr>
              <w:t>1</w:t>
            </w:r>
          </w:p>
        </w:tc>
        <w:tc>
          <w:tcPr>
            <w:tcW w:w="1878" w:type="dxa"/>
            <w:shd w:val="clear" w:color="auto" w:fill="auto"/>
            <w:noWrap/>
            <w:vAlign w:val="center"/>
          </w:tcPr>
          <w:p w:rsidR="00F55E3A" w:rsidRDefault="00F577EE">
            <w:pPr>
              <w:widowControl/>
              <w:snapToGrid w:val="0"/>
              <w:spacing w:line="200" w:lineRule="exact"/>
              <w:jc w:val="center"/>
              <w:rPr>
                <w:kern w:val="0"/>
                <w:sz w:val="18"/>
                <w:szCs w:val="18"/>
              </w:rPr>
            </w:pPr>
            <w:r>
              <w:rPr>
                <w:rFonts w:ascii="宋体" w:hAnsi="宋体" w:hint="eastAsia"/>
                <w:color w:val="000000"/>
                <w:kern w:val="0"/>
                <w:sz w:val="18"/>
                <w:szCs w:val="18"/>
              </w:rPr>
              <w:t>水平</w:t>
            </w:r>
            <w:r>
              <w:rPr>
                <w:kern w:val="0"/>
                <w:sz w:val="18"/>
                <w:szCs w:val="18"/>
              </w:rPr>
              <w:t>2</w:t>
            </w:r>
          </w:p>
        </w:tc>
        <w:tc>
          <w:tcPr>
            <w:tcW w:w="1878" w:type="dxa"/>
            <w:shd w:val="clear" w:color="auto" w:fill="auto"/>
            <w:noWrap/>
            <w:vAlign w:val="center"/>
          </w:tcPr>
          <w:p w:rsidR="00F55E3A" w:rsidRDefault="00F577EE">
            <w:pPr>
              <w:widowControl/>
              <w:snapToGrid w:val="0"/>
              <w:spacing w:line="200" w:lineRule="exact"/>
              <w:jc w:val="center"/>
              <w:rPr>
                <w:kern w:val="0"/>
                <w:sz w:val="18"/>
                <w:szCs w:val="18"/>
              </w:rPr>
            </w:pPr>
            <w:r>
              <w:rPr>
                <w:rFonts w:ascii="宋体" w:hAnsi="宋体" w:hint="eastAsia"/>
                <w:color w:val="000000"/>
                <w:kern w:val="0"/>
                <w:sz w:val="18"/>
                <w:szCs w:val="18"/>
              </w:rPr>
              <w:t>水平</w:t>
            </w:r>
            <w:r>
              <w:rPr>
                <w:kern w:val="0"/>
                <w:sz w:val="18"/>
                <w:szCs w:val="18"/>
              </w:rPr>
              <w:t>3</w:t>
            </w:r>
          </w:p>
        </w:tc>
        <w:tc>
          <w:tcPr>
            <w:tcW w:w="1882" w:type="dxa"/>
            <w:shd w:val="clear" w:color="auto" w:fill="auto"/>
            <w:noWrap/>
            <w:vAlign w:val="center"/>
          </w:tcPr>
          <w:p w:rsidR="00F55E3A" w:rsidRDefault="00F577EE">
            <w:pPr>
              <w:widowControl/>
              <w:snapToGrid w:val="0"/>
              <w:spacing w:line="200" w:lineRule="exact"/>
              <w:jc w:val="center"/>
              <w:rPr>
                <w:kern w:val="0"/>
                <w:sz w:val="18"/>
                <w:szCs w:val="18"/>
              </w:rPr>
            </w:pPr>
            <w:r>
              <w:rPr>
                <w:rFonts w:ascii="宋体" w:hAnsi="宋体" w:hint="eastAsia"/>
                <w:color w:val="000000"/>
                <w:kern w:val="0"/>
                <w:sz w:val="18"/>
                <w:szCs w:val="18"/>
              </w:rPr>
              <w:t>水平</w:t>
            </w:r>
            <w:r>
              <w:rPr>
                <w:kern w:val="0"/>
                <w:sz w:val="18"/>
                <w:szCs w:val="18"/>
              </w:rPr>
              <w:t>4</w:t>
            </w:r>
          </w:p>
        </w:tc>
      </w:tr>
      <w:tr w:rsidR="00F55E3A">
        <w:trPr>
          <w:trHeight w:val="314"/>
        </w:trPr>
        <w:tc>
          <w:tcPr>
            <w:tcW w:w="1784"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color w:val="000000"/>
                <w:kern w:val="0"/>
                <w:sz w:val="18"/>
                <w:szCs w:val="18"/>
              </w:rPr>
              <w:t>最大值</w:t>
            </w:r>
          </w:p>
        </w:tc>
        <w:tc>
          <w:tcPr>
            <w:tcW w:w="1878"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sz w:val="18"/>
                <w:szCs w:val="18"/>
              </w:rPr>
              <w:t xml:space="preserve">1.25 </w:t>
            </w:r>
          </w:p>
        </w:tc>
        <w:tc>
          <w:tcPr>
            <w:tcW w:w="1878"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sz w:val="18"/>
                <w:szCs w:val="18"/>
              </w:rPr>
              <w:t xml:space="preserve">2.49 </w:t>
            </w:r>
          </w:p>
        </w:tc>
        <w:tc>
          <w:tcPr>
            <w:tcW w:w="1878"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sz w:val="18"/>
                <w:szCs w:val="18"/>
              </w:rPr>
              <w:t xml:space="preserve">3.55 </w:t>
            </w:r>
          </w:p>
        </w:tc>
        <w:tc>
          <w:tcPr>
            <w:tcW w:w="1882"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sz w:val="18"/>
                <w:szCs w:val="18"/>
              </w:rPr>
              <w:t xml:space="preserve">4.64 </w:t>
            </w:r>
          </w:p>
        </w:tc>
      </w:tr>
      <w:tr w:rsidR="00F55E3A">
        <w:trPr>
          <w:trHeight w:val="314"/>
        </w:trPr>
        <w:tc>
          <w:tcPr>
            <w:tcW w:w="1784"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color w:val="000000"/>
                <w:kern w:val="0"/>
                <w:sz w:val="18"/>
                <w:szCs w:val="18"/>
              </w:rPr>
              <w:t>最小值</w:t>
            </w:r>
          </w:p>
        </w:tc>
        <w:tc>
          <w:tcPr>
            <w:tcW w:w="1878"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sz w:val="18"/>
                <w:szCs w:val="18"/>
              </w:rPr>
              <w:t xml:space="preserve">1.19 </w:t>
            </w:r>
          </w:p>
        </w:tc>
        <w:tc>
          <w:tcPr>
            <w:tcW w:w="1878"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sz w:val="18"/>
                <w:szCs w:val="18"/>
              </w:rPr>
              <w:t xml:space="preserve">2.39 </w:t>
            </w:r>
          </w:p>
        </w:tc>
        <w:tc>
          <w:tcPr>
            <w:tcW w:w="1878"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sz w:val="18"/>
                <w:szCs w:val="18"/>
              </w:rPr>
              <w:t xml:space="preserve">3.41 </w:t>
            </w:r>
          </w:p>
        </w:tc>
        <w:tc>
          <w:tcPr>
            <w:tcW w:w="1882"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sz w:val="18"/>
                <w:szCs w:val="18"/>
              </w:rPr>
              <w:t xml:space="preserve">4.47 </w:t>
            </w:r>
          </w:p>
        </w:tc>
      </w:tr>
      <w:tr w:rsidR="00F55E3A">
        <w:trPr>
          <w:trHeight w:val="314"/>
        </w:trPr>
        <w:tc>
          <w:tcPr>
            <w:tcW w:w="1784" w:type="dxa"/>
            <w:shd w:val="clear" w:color="auto" w:fill="auto"/>
            <w:noWrap/>
            <w:vAlign w:val="center"/>
          </w:tcPr>
          <w:p w:rsidR="00F55E3A" w:rsidRDefault="00F577EE">
            <w:pPr>
              <w:widowControl/>
              <w:snapToGrid w:val="0"/>
              <w:spacing w:line="200" w:lineRule="exact"/>
              <w:jc w:val="center"/>
              <w:rPr>
                <w:color w:val="000000"/>
                <w:kern w:val="0"/>
                <w:sz w:val="18"/>
                <w:szCs w:val="18"/>
              </w:rPr>
            </w:pPr>
            <w:proofErr w:type="spellStart"/>
            <w:r>
              <w:rPr>
                <w:color w:val="000000"/>
                <w:kern w:val="0"/>
                <w:sz w:val="18"/>
                <w:szCs w:val="18"/>
              </w:rPr>
              <w:t>Gmax</w:t>
            </w:r>
            <w:proofErr w:type="spellEnd"/>
          </w:p>
        </w:tc>
        <w:tc>
          <w:tcPr>
            <w:tcW w:w="1878" w:type="dxa"/>
            <w:shd w:val="clear" w:color="auto" w:fill="auto"/>
            <w:noWrap/>
            <w:vAlign w:val="center"/>
          </w:tcPr>
          <w:p w:rsidR="00F55E3A" w:rsidRDefault="00F577EE">
            <w:pPr>
              <w:widowControl/>
              <w:snapToGrid w:val="0"/>
              <w:spacing w:line="200" w:lineRule="exact"/>
              <w:jc w:val="center"/>
              <w:rPr>
                <w:bCs/>
                <w:kern w:val="0"/>
                <w:sz w:val="18"/>
                <w:szCs w:val="18"/>
              </w:rPr>
            </w:pPr>
            <w:r>
              <w:rPr>
                <w:sz w:val="18"/>
                <w:szCs w:val="18"/>
              </w:rPr>
              <w:t xml:space="preserve">1.799 </w:t>
            </w:r>
          </w:p>
        </w:tc>
        <w:tc>
          <w:tcPr>
            <w:tcW w:w="1878" w:type="dxa"/>
            <w:shd w:val="clear" w:color="auto" w:fill="auto"/>
            <w:noWrap/>
            <w:vAlign w:val="center"/>
          </w:tcPr>
          <w:p w:rsidR="00F55E3A" w:rsidRDefault="00F577EE">
            <w:pPr>
              <w:widowControl/>
              <w:snapToGrid w:val="0"/>
              <w:spacing w:line="200" w:lineRule="exact"/>
              <w:jc w:val="center"/>
              <w:rPr>
                <w:bCs/>
                <w:kern w:val="0"/>
                <w:sz w:val="18"/>
                <w:szCs w:val="18"/>
              </w:rPr>
            </w:pPr>
            <w:r>
              <w:rPr>
                <w:sz w:val="18"/>
                <w:szCs w:val="18"/>
              </w:rPr>
              <w:t xml:space="preserve">1.341 </w:t>
            </w:r>
          </w:p>
        </w:tc>
        <w:tc>
          <w:tcPr>
            <w:tcW w:w="1878" w:type="dxa"/>
            <w:shd w:val="clear" w:color="auto" w:fill="auto"/>
            <w:noWrap/>
            <w:vAlign w:val="center"/>
          </w:tcPr>
          <w:p w:rsidR="00F55E3A" w:rsidRDefault="00F577EE">
            <w:pPr>
              <w:widowControl/>
              <w:snapToGrid w:val="0"/>
              <w:spacing w:line="200" w:lineRule="exact"/>
              <w:jc w:val="center"/>
              <w:rPr>
                <w:bCs/>
                <w:kern w:val="0"/>
                <w:sz w:val="18"/>
                <w:szCs w:val="18"/>
              </w:rPr>
            </w:pPr>
            <w:r>
              <w:rPr>
                <w:sz w:val="18"/>
                <w:szCs w:val="18"/>
              </w:rPr>
              <w:t xml:space="preserve">1.688 </w:t>
            </w:r>
          </w:p>
        </w:tc>
        <w:tc>
          <w:tcPr>
            <w:tcW w:w="1882" w:type="dxa"/>
            <w:shd w:val="clear" w:color="auto" w:fill="auto"/>
            <w:noWrap/>
            <w:vAlign w:val="center"/>
          </w:tcPr>
          <w:p w:rsidR="00F55E3A" w:rsidRDefault="00F577EE">
            <w:pPr>
              <w:widowControl/>
              <w:snapToGrid w:val="0"/>
              <w:spacing w:line="200" w:lineRule="exact"/>
              <w:jc w:val="center"/>
              <w:rPr>
                <w:bCs/>
                <w:kern w:val="0"/>
                <w:sz w:val="18"/>
                <w:szCs w:val="18"/>
              </w:rPr>
            </w:pPr>
            <w:r>
              <w:rPr>
                <w:sz w:val="18"/>
                <w:szCs w:val="18"/>
              </w:rPr>
              <w:t xml:space="preserve">1.560 </w:t>
            </w:r>
          </w:p>
        </w:tc>
      </w:tr>
      <w:tr w:rsidR="00F55E3A">
        <w:trPr>
          <w:trHeight w:val="314"/>
        </w:trPr>
        <w:tc>
          <w:tcPr>
            <w:tcW w:w="1784" w:type="dxa"/>
            <w:shd w:val="clear" w:color="auto" w:fill="auto"/>
            <w:noWrap/>
            <w:vAlign w:val="center"/>
          </w:tcPr>
          <w:p w:rsidR="00F55E3A" w:rsidRDefault="00F577EE">
            <w:pPr>
              <w:widowControl/>
              <w:snapToGrid w:val="0"/>
              <w:spacing w:line="200" w:lineRule="exact"/>
              <w:jc w:val="center"/>
              <w:rPr>
                <w:color w:val="000000"/>
                <w:kern w:val="0"/>
                <w:sz w:val="18"/>
                <w:szCs w:val="18"/>
              </w:rPr>
            </w:pPr>
            <w:proofErr w:type="spellStart"/>
            <w:r>
              <w:rPr>
                <w:color w:val="000000"/>
                <w:kern w:val="0"/>
                <w:sz w:val="18"/>
                <w:szCs w:val="18"/>
              </w:rPr>
              <w:t>Gmin</w:t>
            </w:r>
            <w:proofErr w:type="spellEnd"/>
          </w:p>
        </w:tc>
        <w:tc>
          <w:tcPr>
            <w:tcW w:w="1878" w:type="dxa"/>
            <w:shd w:val="clear" w:color="auto" w:fill="auto"/>
            <w:noWrap/>
            <w:vAlign w:val="center"/>
          </w:tcPr>
          <w:p w:rsidR="00F55E3A" w:rsidRDefault="00F577EE">
            <w:pPr>
              <w:widowControl/>
              <w:snapToGrid w:val="0"/>
              <w:spacing w:line="200" w:lineRule="exact"/>
              <w:jc w:val="center"/>
              <w:rPr>
                <w:bCs/>
                <w:kern w:val="0"/>
                <w:sz w:val="18"/>
                <w:szCs w:val="18"/>
              </w:rPr>
            </w:pPr>
            <w:r>
              <w:rPr>
                <w:sz w:val="18"/>
                <w:szCs w:val="18"/>
              </w:rPr>
              <w:t xml:space="preserve">1.337 </w:t>
            </w:r>
          </w:p>
        </w:tc>
        <w:tc>
          <w:tcPr>
            <w:tcW w:w="1878" w:type="dxa"/>
            <w:shd w:val="clear" w:color="auto" w:fill="auto"/>
            <w:noWrap/>
            <w:vAlign w:val="center"/>
          </w:tcPr>
          <w:p w:rsidR="00F55E3A" w:rsidRDefault="00F577EE">
            <w:pPr>
              <w:widowControl/>
              <w:snapToGrid w:val="0"/>
              <w:spacing w:line="200" w:lineRule="exact"/>
              <w:jc w:val="center"/>
              <w:rPr>
                <w:bCs/>
                <w:kern w:val="0"/>
                <w:sz w:val="18"/>
                <w:szCs w:val="18"/>
              </w:rPr>
            </w:pPr>
            <w:r>
              <w:rPr>
                <w:sz w:val="18"/>
                <w:szCs w:val="18"/>
              </w:rPr>
              <w:t xml:space="preserve">1.839 </w:t>
            </w:r>
          </w:p>
        </w:tc>
        <w:tc>
          <w:tcPr>
            <w:tcW w:w="1878" w:type="dxa"/>
            <w:shd w:val="clear" w:color="auto" w:fill="auto"/>
            <w:noWrap/>
            <w:vAlign w:val="center"/>
          </w:tcPr>
          <w:p w:rsidR="00F55E3A" w:rsidRDefault="00F577EE">
            <w:pPr>
              <w:widowControl/>
              <w:snapToGrid w:val="0"/>
              <w:spacing w:line="200" w:lineRule="exact"/>
              <w:jc w:val="center"/>
              <w:rPr>
                <w:bCs/>
                <w:kern w:val="0"/>
                <w:sz w:val="18"/>
                <w:szCs w:val="18"/>
              </w:rPr>
            </w:pPr>
            <w:r>
              <w:rPr>
                <w:sz w:val="18"/>
                <w:szCs w:val="18"/>
              </w:rPr>
              <w:t xml:space="preserve">1.734 </w:t>
            </w:r>
          </w:p>
        </w:tc>
        <w:tc>
          <w:tcPr>
            <w:tcW w:w="1882" w:type="dxa"/>
            <w:shd w:val="clear" w:color="auto" w:fill="auto"/>
            <w:noWrap/>
            <w:vAlign w:val="center"/>
          </w:tcPr>
          <w:p w:rsidR="00F55E3A" w:rsidRDefault="00F577EE">
            <w:pPr>
              <w:widowControl/>
              <w:snapToGrid w:val="0"/>
              <w:spacing w:line="200" w:lineRule="exact"/>
              <w:jc w:val="center"/>
              <w:rPr>
                <w:bCs/>
                <w:kern w:val="0"/>
                <w:sz w:val="18"/>
                <w:szCs w:val="18"/>
              </w:rPr>
            </w:pPr>
            <w:r>
              <w:rPr>
                <w:sz w:val="18"/>
                <w:szCs w:val="18"/>
              </w:rPr>
              <w:t xml:space="preserve">2.071 </w:t>
            </w:r>
          </w:p>
        </w:tc>
      </w:tr>
      <w:tr w:rsidR="00F55E3A">
        <w:trPr>
          <w:trHeight w:val="314"/>
        </w:trPr>
        <w:tc>
          <w:tcPr>
            <w:tcW w:w="1784"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color w:val="000000"/>
                <w:kern w:val="0"/>
                <w:sz w:val="18"/>
                <w:szCs w:val="18"/>
              </w:rPr>
              <w:t>p</w:t>
            </w:r>
          </w:p>
        </w:tc>
        <w:tc>
          <w:tcPr>
            <w:tcW w:w="1878"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sz w:val="18"/>
                <w:szCs w:val="18"/>
              </w:rPr>
              <w:t>12</w:t>
            </w:r>
          </w:p>
        </w:tc>
        <w:tc>
          <w:tcPr>
            <w:tcW w:w="1878"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sz w:val="18"/>
                <w:szCs w:val="18"/>
              </w:rPr>
              <w:t>12</w:t>
            </w:r>
          </w:p>
        </w:tc>
        <w:tc>
          <w:tcPr>
            <w:tcW w:w="1878"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sz w:val="18"/>
                <w:szCs w:val="18"/>
              </w:rPr>
              <w:t>12</w:t>
            </w:r>
          </w:p>
        </w:tc>
        <w:tc>
          <w:tcPr>
            <w:tcW w:w="1882"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sz w:val="18"/>
                <w:szCs w:val="18"/>
              </w:rPr>
              <w:t>12</w:t>
            </w:r>
          </w:p>
        </w:tc>
      </w:tr>
      <w:tr w:rsidR="00F55E3A">
        <w:trPr>
          <w:trHeight w:val="314"/>
        </w:trPr>
        <w:tc>
          <w:tcPr>
            <w:tcW w:w="9300" w:type="dxa"/>
            <w:gridSpan w:val="5"/>
            <w:shd w:val="clear" w:color="auto" w:fill="auto"/>
            <w:noWrap/>
            <w:vAlign w:val="center"/>
          </w:tcPr>
          <w:p w:rsidR="00F55E3A" w:rsidRDefault="00F577EE">
            <w:pPr>
              <w:jc w:val="center"/>
              <w:rPr>
                <w:sz w:val="18"/>
                <w:szCs w:val="18"/>
              </w:rPr>
            </w:pPr>
            <w:r>
              <w:rPr>
                <w:b/>
                <w:sz w:val="18"/>
                <w:szCs w:val="18"/>
              </w:rPr>
              <w:t>临界值</w:t>
            </w:r>
            <w:r>
              <w:rPr>
                <w:b/>
                <w:sz w:val="18"/>
                <w:szCs w:val="18"/>
              </w:rPr>
              <w:tab/>
              <w:t xml:space="preserve">p=12 </w:t>
            </w:r>
            <w:r>
              <w:rPr>
                <w:b/>
                <w:sz w:val="18"/>
                <w:szCs w:val="18"/>
              </w:rPr>
              <w:tab/>
              <w:t>α=1%</w:t>
            </w:r>
            <w:r>
              <w:rPr>
                <w:rFonts w:hint="eastAsia"/>
                <w:b/>
                <w:sz w:val="18"/>
                <w:szCs w:val="18"/>
              </w:rPr>
              <w:t>：</w:t>
            </w:r>
            <w:r>
              <w:rPr>
                <w:b/>
                <w:sz w:val="18"/>
                <w:szCs w:val="18"/>
              </w:rPr>
              <w:t>2.636</w:t>
            </w:r>
            <w:r>
              <w:rPr>
                <w:rFonts w:hint="eastAsia"/>
                <w:b/>
                <w:sz w:val="18"/>
                <w:szCs w:val="18"/>
              </w:rPr>
              <w:t>，</w:t>
            </w:r>
            <w:r>
              <w:rPr>
                <w:b/>
                <w:sz w:val="18"/>
                <w:szCs w:val="18"/>
              </w:rPr>
              <w:tab/>
              <w:t>α=5%</w:t>
            </w:r>
            <w:r>
              <w:rPr>
                <w:rFonts w:hint="eastAsia"/>
                <w:b/>
                <w:sz w:val="18"/>
                <w:szCs w:val="18"/>
              </w:rPr>
              <w:t>：</w:t>
            </w:r>
            <w:r>
              <w:rPr>
                <w:b/>
                <w:sz w:val="18"/>
                <w:szCs w:val="18"/>
              </w:rPr>
              <w:t>2.412</w:t>
            </w:r>
          </w:p>
        </w:tc>
      </w:tr>
    </w:tbl>
    <w:p w:rsidR="00F55E3A" w:rsidRDefault="00F577EE" w:rsidP="00F577EE">
      <w:pPr>
        <w:spacing w:beforeLines="50"/>
        <w:jc w:val="center"/>
        <w:rPr>
          <w:bCs/>
          <w:color w:val="000000"/>
          <w:szCs w:val="21"/>
        </w:rPr>
      </w:pPr>
      <w:r>
        <w:rPr>
          <w:rFonts w:ascii="黑体" w:eastAsia="黑体" w:hint="eastAsia"/>
          <w:bCs/>
          <w:color w:val="000000"/>
          <w:szCs w:val="21"/>
        </w:rPr>
        <w:t>表</w:t>
      </w:r>
      <w:r>
        <w:rPr>
          <w:rFonts w:ascii="黑体" w:eastAsia="黑体"/>
          <w:bCs/>
          <w:color w:val="000000"/>
          <w:szCs w:val="21"/>
        </w:rPr>
        <w:t xml:space="preserve">6 </w:t>
      </w:r>
      <w:r>
        <w:rPr>
          <w:rFonts w:ascii="黑体" w:eastAsia="黑体" w:hint="eastAsia"/>
          <w:bCs/>
          <w:color w:val="000000"/>
          <w:szCs w:val="21"/>
        </w:rPr>
        <w:t xml:space="preserve"> 格拉布斯检验（两个离群观测值情形）</w:t>
      </w:r>
    </w:p>
    <w:tbl>
      <w:tblPr>
        <w:tblW w:w="92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6"/>
        <w:gridCol w:w="1299"/>
        <w:gridCol w:w="1619"/>
        <w:gridCol w:w="1619"/>
        <w:gridCol w:w="1621"/>
      </w:tblGrid>
      <w:tr w:rsidR="00F55E3A">
        <w:trPr>
          <w:trHeight w:val="267"/>
        </w:trPr>
        <w:tc>
          <w:tcPr>
            <w:tcW w:w="3076" w:type="dxa"/>
            <w:shd w:val="clear" w:color="auto" w:fill="auto"/>
            <w:vAlign w:val="center"/>
          </w:tcPr>
          <w:p w:rsidR="00F55E3A" w:rsidRDefault="00F577EE">
            <w:pPr>
              <w:snapToGrid w:val="0"/>
              <w:spacing w:line="200" w:lineRule="exact"/>
              <w:jc w:val="center"/>
              <w:rPr>
                <w:color w:val="000000"/>
                <w:kern w:val="0"/>
                <w:sz w:val="18"/>
                <w:szCs w:val="18"/>
              </w:rPr>
            </w:pPr>
            <w:r>
              <w:rPr>
                <w:rFonts w:hint="eastAsia"/>
                <w:color w:val="000000"/>
                <w:kern w:val="0"/>
                <w:sz w:val="18"/>
                <w:szCs w:val="18"/>
              </w:rPr>
              <w:t>统计量</w:t>
            </w:r>
          </w:p>
        </w:tc>
        <w:tc>
          <w:tcPr>
            <w:tcW w:w="1299" w:type="dxa"/>
            <w:shd w:val="clear" w:color="auto" w:fill="auto"/>
            <w:noWrap/>
            <w:vAlign w:val="center"/>
          </w:tcPr>
          <w:p w:rsidR="00F55E3A" w:rsidRDefault="00F577EE">
            <w:pPr>
              <w:widowControl/>
              <w:snapToGrid w:val="0"/>
              <w:jc w:val="center"/>
              <w:rPr>
                <w:kern w:val="0"/>
                <w:sz w:val="18"/>
                <w:szCs w:val="18"/>
              </w:rPr>
            </w:pPr>
            <w:r>
              <w:rPr>
                <w:rFonts w:hint="eastAsia"/>
                <w:kern w:val="0"/>
                <w:sz w:val="18"/>
                <w:szCs w:val="18"/>
              </w:rPr>
              <w:t>水平</w:t>
            </w:r>
            <w:r>
              <w:rPr>
                <w:rFonts w:hint="eastAsia"/>
                <w:kern w:val="0"/>
                <w:sz w:val="18"/>
                <w:szCs w:val="18"/>
              </w:rPr>
              <w:t>1</w:t>
            </w:r>
          </w:p>
        </w:tc>
        <w:tc>
          <w:tcPr>
            <w:tcW w:w="1619" w:type="dxa"/>
            <w:shd w:val="clear" w:color="auto" w:fill="auto"/>
            <w:noWrap/>
            <w:vAlign w:val="center"/>
          </w:tcPr>
          <w:p w:rsidR="00F55E3A" w:rsidRDefault="00F577EE">
            <w:pPr>
              <w:widowControl/>
              <w:snapToGrid w:val="0"/>
              <w:jc w:val="center"/>
              <w:rPr>
                <w:kern w:val="0"/>
                <w:sz w:val="18"/>
                <w:szCs w:val="18"/>
              </w:rPr>
            </w:pPr>
            <w:r>
              <w:rPr>
                <w:rFonts w:hint="eastAsia"/>
                <w:kern w:val="0"/>
                <w:sz w:val="18"/>
                <w:szCs w:val="18"/>
              </w:rPr>
              <w:t>水平</w:t>
            </w:r>
            <w:r>
              <w:rPr>
                <w:kern w:val="0"/>
                <w:sz w:val="18"/>
                <w:szCs w:val="18"/>
              </w:rPr>
              <w:t>2</w:t>
            </w:r>
          </w:p>
        </w:tc>
        <w:tc>
          <w:tcPr>
            <w:tcW w:w="1619" w:type="dxa"/>
            <w:shd w:val="clear" w:color="auto" w:fill="auto"/>
            <w:noWrap/>
            <w:vAlign w:val="center"/>
          </w:tcPr>
          <w:p w:rsidR="00F55E3A" w:rsidRDefault="00F577EE">
            <w:pPr>
              <w:widowControl/>
              <w:snapToGrid w:val="0"/>
              <w:jc w:val="center"/>
              <w:rPr>
                <w:kern w:val="0"/>
                <w:sz w:val="18"/>
                <w:szCs w:val="18"/>
              </w:rPr>
            </w:pPr>
            <w:r>
              <w:rPr>
                <w:rFonts w:hint="eastAsia"/>
                <w:kern w:val="0"/>
                <w:sz w:val="18"/>
                <w:szCs w:val="18"/>
              </w:rPr>
              <w:t>水平</w:t>
            </w:r>
            <w:r>
              <w:rPr>
                <w:kern w:val="0"/>
                <w:sz w:val="18"/>
                <w:szCs w:val="18"/>
              </w:rPr>
              <w:t>3</w:t>
            </w:r>
          </w:p>
        </w:tc>
        <w:tc>
          <w:tcPr>
            <w:tcW w:w="1621" w:type="dxa"/>
            <w:shd w:val="clear" w:color="auto" w:fill="auto"/>
            <w:noWrap/>
            <w:vAlign w:val="center"/>
          </w:tcPr>
          <w:p w:rsidR="00F55E3A" w:rsidRDefault="00F577EE">
            <w:pPr>
              <w:widowControl/>
              <w:snapToGrid w:val="0"/>
              <w:jc w:val="center"/>
              <w:rPr>
                <w:kern w:val="0"/>
                <w:sz w:val="18"/>
                <w:szCs w:val="18"/>
              </w:rPr>
            </w:pPr>
            <w:r>
              <w:rPr>
                <w:rFonts w:hint="eastAsia"/>
                <w:kern w:val="0"/>
                <w:sz w:val="18"/>
                <w:szCs w:val="18"/>
              </w:rPr>
              <w:t>水平</w:t>
            </w:r>
            <w:r>
              <w:rPr>
                <w:kern w:val="0"/>
                <w:sz w:val="18"/>
                <w:szCs w:val="18"/>
              </w:rPr>
              <w:t>4</w:t>
            </w:r>
          </w:p>
        </w:tc>
      </w:tr>
      <w:tr w:rsidR="00F55E3A">
        <w:trPr>
          <w:trHeight w:val="302"/>
        </w:trPr>
        <w:tc>
          <w:tcPr>
            <w:tcW w:w="3076" w:type="dxa"/>
            <w:shd w:val="clear" w:color="auto" w:fill="auto"/>
            <w:noWrap/>
            <w:vAlign w:val="center"/>
          </w:tcPr>
          <w:p w:rsidR="00F55E3A" w:rsidRDefault="00F577EE">
            <w:pPr>
              <w:widowControl/>
              <w:snapToGrid w:val="0"/>
              <w:jc w:val="center"/>
              <w:rPr>
                <w:color w:val="000000"/>
                <w:kern w:val="0"/>
                <w:sz w:val="18"/>
                <w:szCs w:val="18"/>
              </w:rPr>
            </w:pPr>
            <w:r>
              <w:rPr>
                <w:color w:val="000000"/>
                <w:kern w:val="0"/>
                <w:sz w:val="18"/>
                <w:szCs w:val="18"/>
              </w:rPr>
              <w:t>s</w:t>
            </w:r>
            <w:r>
              <w:rPr>
                <w:color w:val="000000"/>
                <w:kern w:val="0"/>
                <w:sz w:val="18"/>
                <w:szCs w:val="18"/>
                <w:vertAlign w:val="subscript"/>
              </w:rPr>
              <w:t>0</w:t>
            </w:r>
            <w:r>
              <w:rPr>
                <w:color w:val="000000"/>
                <w:kern w:val="0"/>
                <w:sz w:val="18"/>
                <w:szCs w:val="18"/>
                <w:vertAlign w:val="superscript"/>
              </w:rPr>
              <w:t>2</w:t>
            </w:r>
          </w:p>
        </w:tc>
        <w:tc>
          <w:tcPr>
            <w:tcW w:w="1299" w:type="dxa"/>
            <w:shd w:val="clear" w:color="auto" w:fill="auto"/>
            <w:noWrap/>
            <w:vAlign w:val="center"/>
          </w:tcPr>
          <w:p w:rsidR="00F55E3A" w:rsidRDefault="00F577EE">
            <w:pPr>
              <w:widowControl/>
              <w:snapToGrid w:val="0"/>
              <w:jc w:val="center"/>
              <w:rPr>
                <w:color w:val="000000"/>
                <w:kern w:val="0"/>
                <w:sz w:val="18"/>
                <w:szCs w:val="18"/>
              </w:rPr>
            </w:pPr>
            <w:r>
              <w:rPr>
                <w:color w:val="000000"/>
                <w:sz w:val="22"/>
                <w:szCs w:val="22"/>
              </w:rPr>
              <w:t xml:space="preserve">0.0039 </w:t>
            </w:r>
          </w:p>
        </w:tc>
        <w:tc>
          <w:tcPr>
            <w:tcW w:w="1619" w:type="dxa"/>
            <w:shd w:val="clear" w:color="auto" w:fill="auto"/>
            <w:noWrap/>
            <w:vAlign w:val="center"/>
          </w:tcPr>
          <w:p w:rsidR="00F55E3A" w:rsidRDefault="00F577EE">
            <w:pPr>
              <w:widowControl/>
              <w:snapToGrid w:val="0"/>
              <w:jc w:val="center"/>
              <w:rPr>
                <w:color w:val="000000"/>
                <w:kern w:val="0"/>
                <w:sz w:val="18"/>
                <w:szCs w:val="18"/>
              </w:rPr>
            </w:pPr>
            <w:r>
              <w:rPr>
                <w:color w:val="000000"/>
                <w:sz w:val="22"/>
                <w:szCs w:val="22"/>
              </w:rPr>
              <w:t xml:space="preserve">0.0098 </w:t>
            </w:r>
          </w:p>
        </w:tc>
        <w:tc>
          <w:tcPr>
            <w:tcW w:w="1619" w:type="dxa"/>
            <w:shd w:val="clear" w:color="auto" w:fill="auto"/>
            <w:noWrap/>
            <w:vAlign w:val="center"/>
          </w:tcPr>
          <w:p w:rsidR="00F55E3A" w:rsidRDefault="00F577EE">
            <w:pPr>
              <w:widowControl/>
              <w:snapToGrid w:val="0"/>
              <w:jc w:val="center"/>
              <w:rPr>
                <w:color w:val="000000"/>
                <w:kern w:val="0"/>
                <w:sz w:val="18"/>
                <w:szCs w:val="18"/>
              </w:rPr>
            </w:pPr>
            <w:r>
              <w:rPr>
                <w:color w:val="000000"/>
                <w:sz w:val="22"/>
                <w:szCs w:val="22"/>
              </w:rPr>
              <w:t xml:space="preserve">0.0169 </w:t>
            </w:r>
          </w:p>
        </w:tc>
        <w:tc>
          <w:tcPr>
            <w:tcW w:w="1621" w:type="dxa"/>
            <w:shd w:val="clear" w:color="auto" w:fill="auto"/>
            <w:noWrap/>
            <w:vAlign w:val="center"/>
          </w:tcPr>
          <w:p w:rsidR="00F55E3A" w:rsidRDefault="00F577EE">
            <w:pPr>
              <w:widowControl/>
              <w:snapToGrid w:val="0"/>
              <w:jc w:val="center"/>
              <w:rPr>
                <w:color w:val="000000"/>
                <w:kern w:val="0"/>
                <w:sz w:val="18"/>
                <w:szCs w:val="18"/>
              </w:rPr>
            </w:pPr>
            <w:r>
              <w:rPr>
                <w:color w:val="000000"/>
                <w:sz w:val="22"/>
                <w:szCs w:val="22"/>
              </w:rPr>
              <w:t xml:space="preserve">0.0265 </w:t>
            </w:r>
          </w:p>
        </w:tc>
      </w:tr>
      <w:tr w:rsidR="00F55E3A">
        <w:trPr>
          <w:trHeight w:val="290"/>
        </w:trPr>
        <w:tc>
          <w:tcPr>
            <w:tcW w:w="3076" w:type="dxa"/>
            <w:shd w:val="clear" w:color="auto" w:fill="auto"/>
            <w:noWrap/>
            <w:vAlign w:val="center"/>
          </w:tcPr>
          <w:p w:rsidR="00F55E3A" w:rsidRDefault="00F577EE">
            <w:pPr>
              <w:widowControl/>
              <w:snapToGrid w:val="0"/>
              <w:jc w:val="center"/>
              <w:rPr>
                <w:color w:val="000000"/>
                <w:kern w:val="0"/>
                <w:sz w:val="18"/>
                <w:szCs w:val="18"/>
              </w:rPr>
            </w:pPr>
            <w:r>
              <w:rPr>
                <w:color w:val="000000"/>
                <w:kern w:val="0"/>
                <w:sz w:val="18"/>
                <w:szCs w:val="18"/>
              </w:rPr>
              <w:t>s</w:t>
            </w:r>
            <w:r>
              <w:rPr>
                <w:color w:val="000000"/>
                <w:kern w:val="0"/>
                <w:sz w:val="18"/>
                <w:szCs w:val="18"/>
                <w:vertAlign w:val="superscript"/>
              </w:rPr>
              <w:t>2</w:t>
            </w:r>
            <w:r>
              <w:rPr>
                <w:color w:val="000000"/>
                <w:kern w:val="0"/>
                <w:sz w:val="18"/>
                <w:szCs w:val="18"/>
                <w:vertAlign w:val="subscript"/>
              </w:rPr>
              <w:t>p-1,p</w:t>
            </w:r>
          </w:p>
        </w:tc>
        <w:tc>
          <w:tcPr>
            <w:tcW w:w="1299" w:type="dxa"/>
            <w:shd w:val="clear" w:color="auto" w:fill="auto"/>
            <w:noWrap/>
            <w:vAlign w:val="center"/>
          </w:tcPr>
          <w:p w:rsidR="00F55E3A" w:rsidRDefault="00F577EE">
            <w:pPr>
              <w:widowControl/>
              <w:snapToGrid w:val="0"/>
              <w:jc w:val="center"/>
              <w:rPr>
                <w:color w:val="000000"/>
                <w:kern w:val="0"/>
                <w:sz w:val="18"/>
                <w:szCs w:val="18"/>
              </w:rPr>
            </w:pPr>
            <w:r>
              <w:rPr>
                <w:color w:val="000000"/>
                <w:sz w:val="22"/>
                <w:szCs w:val="22"/>
              </w:rPr>
              <w:t xml:space="preserve">0.015 </w:t>
            </w:r>
          </w:p>
        </w:tc>
        <w:tc>
          <w:tcPr>
            <w:tcW w:w="1619" w:type="dxa"/>
            <w:shd w:val="clear" w:color="auto" w:fill="auto"/>
            <w:noWrap/>
            <w:vAlign w:val="center"/>
          </w:tcPr>
          <w:p w:rsidR="00F55E3A" w:rsidRDefault="00F577EE">
            <w:pPr>
              <w:widowControl/>
              <w:snapToGrid w:val="0"/>
              <w:jc w:val="center"/>
              <w:rPr>
                <w:color w:val="000000"/>
                <w:kern w:val="0"/>
                <w:sz w:val="18"/>
                <w:szCs w:val="18"/>
              </w:rPr>
            </w:pPr>
            <w:r>
              <w:rPr>
                <w:color w:val="000000"/>
                <w:sz w:val="22"/>
                <w:szCs w:val="22"/>
              </w:rPr>
              <w:t xml:space="preserve">0.028 </w:t>
            </w:r>
          </w:p>
        </w:tc>
        <w:tc>
          <w:tcPr>
            <w:tcW w:w="1619" w:type="dxa"/>
            <w:shd w:val="clear" w:color="auto" w:fill="auto"/>
            <w:noWrap/>
            <w:vAlign w:val="center"/>
          </w:tcPr>
          <w:p w:rsidR="00F55E3A" w:rsidRDefault="00F577EE">
            <w:pPr>
              <w:snapToGrid w:val="0"/>
              <w:jc w:val="center"/>
              <w:rPr>
                <w:sz w:val="18"/>
                <w:szCs w:val="18"/>
              </w:rPr>
            </w:pPr>
            <w:r>
              <w:rPr>
                <w:color w:val="000000"/>
                <w:sz w:val="22"/>
                <w:szCs w:val="22"/>
              </w:rPr>
              <w:t xml:space="preserve">0.029 </w:t>
            </w:r>
          </w:p>
        </w:tc>
        <w:tc>
          <w:tcPr>
            <w:tcW w:w="1621" w:type="dxa"/>
            <w:shd w:val="clear" w:color="auto" w:fill="auto"/>
            <w:noWrap/>
            <w:vAlign w:val="center"/>
          </w:tcPr>
          <w:p w:rsidR="00F55E3A" w:rsidRDefault="00F577EE">
            <w:pPr>
              <w:widowControl/>
              <w:snapToGrid w:val="0"/>
              <w:jc w:val="center"/>
              <w:rPr>
                <w:color w:val="000000"/>
                <w:kern w:val="0"/>
                <w:sz w:val="18"/>
                <w:szCs w:val="18"/>
              </w:rPr>
            </w:pPr>
            <w:r>
              <w:rPr>
                <w:color w:val="000000"/>
                <w:sz w:val="22"/>
                <w:szCs w:val="22"/>
              </w:rPr>
              <w:t xml:space="preserve">0.042 </w:t>
            </w:r>
          </w:p>
        </w:tc>
      </w:tr>
      <w:tr w:rsidR="00F55E3A">
        <w:trPr>
          <w:trHeight w:val="267"/>
        </w:trPr>
        <w:tc>
          <w:tcPr>
            <w:tcW w:w="3076" w:type="dxa"/>
            <w:shd w:val="clear" w:color="auto" w:fill="auto"/>
            <w:noWrap/>
            <w:vAlign w:val="center"/>
          </w:tcPr>
          <w:p w:rsidR="00F55E3A" w:rsidRDefault="00F577EE">
            <w:pPr>
              <w:widowControl/>
              <w:snapToGrid w:val="0"/>
              <w:jc w:val="center"/>
              <w:rPr>
                <w:color w:val="000000"/>
                <w:kern w:val="0"/>
                <w:sz w:val="18"/>
                <w:szCs w:val="18"/>
              </w:rPr>
            </w:pPr>
            <w:r>
              <w:rPr>
                <w:color w:val="000000"/>
                <w:kern w:val="0"/>
                <w:sz w:val="18"/>
                <w:szCs w:val="18"/>
              </w:rPr>
              <w:t>s</w:t>
            </w:r>
            <w:r>
              <w:rPr>
                <w:color w:val="000000"/>
                <w:kern w:val="0"/>
                <w:sz w:val="18"/>
                <w:szCs w:val="18"/>
                <w:vertAlign w:val="superscript"/>
              </w:rPr>
              <w:t>2</w:t>
            </w:r>
            <w:r>
              <w:rPr>
                <w:color w:val="000000"/>
                <w:kern w:val="0"/>
                <w:sz w:val="18"/>
                <w:szCs w:val="18"/>
                <w:vertAlign w:val="subscript"/>
              </w:rPr>
              <w:t>1,2</w:t>
            </w:r>
          </w:p>
        </w:tc>
        <w:tc>
          <w:tcPr>
            <w:tcW w:w="1299" w:type="dxa"/>
            <w:shd w:val="clear" w:color="auto" w:fill="auto"/>
            <w:noWrap/>
            <w:vAlign w:val="center"/>
          </w:tcPr>
          <w:p w:rsidR="00F55E3A" w:rsidRDefault="00F577EE">
            <w:pPr>
              <w:snapToGrid w:val="0"/>
              <w:jc w:val="center"/>
              <w:rPr>
                <w:color w:val="000000"/>
                <w:sz w:val="18"/>
                <w:szCs w:val="18"/>
              </w:rPr>
            </w:pPr>
            <w:r>
              <w:rPr>
                <w:color w:val="000000"/>
                <w:sz w:val="22"/>
                <w:szCs w:val="22"/>
              </w:rPr>
              <w:t xml:space="preserve">0.0025 </w:t>
            </w:r>
          </w:p>
        </w:tc>
        <w:tc>
          <w:tcPr>
            <w:tcW w:w="1619" w:type="dxa"/>
            <w:shd w:val="clear" w:color="auto" w:fill="auto"/>
            <w:noWrap/>
            <w:vAlign w:val="center"/>
          </w:tcPr>
          <w:p w:rsidR="00F55E3A" w:rsidRDefault="00F577EE">
            <w:pPr>
              <w:snapToGrid w:val="0"/>
              <w:jc w:val="center"/>
              <w:rPr>
                <w:color w:val="000000"/>
                <w:sz w:val="18"/>
                <w:szCs w:val="18"/>
              </w:rPr>
            </w:pPr>
            <w:r>
              <w:rPr>
                <w:color w:val="000000"/>
                <w:sz w:val="22"/>
                <w:szCs w:val="22"/>
              </w:rPr>
              <w:t xml:space="preserve">0.0035 </w:t>
            </w:r>
          </w:p>
        </w:tc>
        <w:tc>
          <w:tcPr>
            <w:tcW w:w="1619" w:type="dxa"/>
            <w:shd w:val="clear" w:color="auto" w:fill="auto"/>
            <w:noWrap/>
            <w:vAlign w:val="center"/>
          </w:tcPr>
          <w:p w:rsidR="00F55E3A" w:rsidRDefault="00F577EE">
            <w:pPr>
              <w:snapToGrid w:val="0"/>
              <w:jc w:val="center"/>
              <w:rPr>
                <w:sz w:val="18"/>
                <w:szCs w:val="18"/>
              </w:rPr>
            </w:pPr>
            <w:r>
              <w:rPr>
                <w:color w:val="000000"/>
                <w:sz w:val="22"/>
                <w:szCs w:val="22"/>
              </w:rPr>
              <w:t xml:space="preserve">0.0074 </w:t>
            </w:r>
          </w:p>
        </w:tc>
        <w:tc>
          <w:tcPr>
            <w:tcW w:w="1621" w:type="dxa"/>
            <w:shd w:val="clear" w:color="auto" w:fill="auto"/>
            <w:noWrap/>
            <w:vAlign w:val="center"/>
          </w:tcPr>
          <w:p w:rsidR="00F55E3A" w:rsidRDefault="00F577EE">
            <w:pPr>
              <w:snapToGrid w:val="0"/>
              <w:jc w:val="center"/>
              <w:rPr>
                <w:color w:val="000000"/>
                <w:sz w:val="18"/>
                <w:szCs w:val="18"/>
              </w:rPr>
            </w:pPr>
            <w:r>
              <w:rPr>
                <w:color w:val="000000"/>
                <w:sz w:val="22"/>
                <w:szCs w:val="22"/>
              </w:rPr>
              <w:t xml:space="preserve">0.0114 </w:t>
            </w:r>
          </w:p>
        </w:tc>
      </w:tr>
      <w:tr w:rsidR="00F55E3A">
        <w:trPr>
          <w:trHeight w:val="202"/>
        </w:trPr>
        <w:tc>
          <w:tcPr>
            <w:tcW w:w="3076" w:type="dxa"/>
            <w:shd w:val="clear" w:color="auto" w:fill="auto"/>
            <w:noWrap/>
            <w:vAlign w:val="center"/>
          </w:tcPr>
          <w:p w:rsidR="00F55E3A" w:rsidRDefault="00F577EE">
            <w:pPr>
              <w:widowControl/>
              <w:snapToGrid w:val="0"/>
              <w:jc w:val="center"/>
              <w:rPr>
                <w:color w:val="000000"/>
                <w:kern w:val="0"/>
                <w:sz w:val="18"/>
                <w:szCs w:val="18"/>
              </w:rPr>
            </w:pPr>
            <w:r>
              <w:rPr>
                <w:color w:val="000000"/>
                <w:kern w:val="0"/>
                <w:sz w:val="18"/>
                <w:szCs w:val="18"/>
              </w:rPr>
              <w:t>两个最大值检验</w:t>
            </w:r>
            <w:r>
              <w:rPr>
                <w:rFonts w:hint="eastAsia"/>
                <w:color w:val="000000"/>
                <w:kern w:val="0"/>
                <w:sz w:val="18"/>
                <w:szCs w:val="18"/>
              </w:rPr>
              <w:t>统计量</w:t>
            </w:r>
            <w:r>
              <w:rPr>
                <w:rFonts w:hint="eastAsia"/>
                <w:color w:val="000000"/>
                <w:kern w:val="0"/>
                <w:sz w:val="18"/>
                <w:szCs w:val="18"/>
              </w:rPr>
              <w:t xml:space="preserve"> </w:t>
            </w:r>
            <w:r>
              <w:rPr>
                <w:color w:val="000000"/>
                <w:kern w:val="0"/>
                <w:sz w:val="18"/>
                <w:szCs w:val="18"/>
              </w:rPr>
              <w:t>G</w:t>
            </w:r>
            <w:r>
              <w:rPr>
                <w:color w:val="000000"/>
                <w:kern w:val="0"/>
                <w:sz w:val="18"/>
                <w:szCs w:val="18"/>
                <w:vertAlign w:val="subscript"/>
              </w:rPr>
              <w:t>p-1,p</w:t>
            </w:r>
          </w:p>
        </w:tc>
        <w:tc>
          <w:tcPr>
            <w:tcW w:w="1299" w:type="dxa"/>
            <w:shd w:val="clear" w:color="auto" w:fill="auto"/>
            <w:noWrap/>
            <w:vAlign w:val="center"/>
          </w:tcPr>
          <w:p w:rsidR="00F55E3A" w:rsidRDefault="00F577EE">
            <w:pPr>
              <w:widowControl/>
              <w:snapToGrid w:val="0"/>
              <w:jc w:val="center"/>
              <w:rPr>
                <w:bCs/>
                <w:color w:val="000000"/>
                <w:kern w:val="0"/>
                <w:sz w:val="18"/>
                <w:szCs w:val="18"/>
              </w:rPr>
            </w:pPr>
            <w:r>
              <w:rPr>
                <w:b/>
                <w:bCs/>
                <w:color w:val="000000"/>
                <w:sz w:val="22"/>
                <w:szCs w:val="22"/>
              </w:rPr>
              <w:t xml:space="preserve">0.5077 </w:t>
            </w:r>
          </w:p>
        </w:tc>
        <w:tc>
          <w:tcPr>
            <w:tcW w:w="1619" w:type="dxa"/>
            <w:shd w:val="clear" w:color="auto" w:fill="auto"/>
            <w:noWrap/>
            <w:vAlign w:val="center"/>
          </w:tcPr>
          <w:p w:rsidR="00F55E3A" w:rsidRDefault="00F577EE">
            <w:pPr>
              <w:widowControl/>
              <w:snapToGrid w:val="0"/>
              <w:jc w:val="center"/>
              <w:rPr>
                <w:bCs/>
                <w:color w:val="000000"/>
                <w:kern w:val="0"/>
                <w:sz w:val="18"/>
                <w:szCs w:val="18"/>
              </w:rPr>
            </w:pPr>
            <w:r>
              <w:rPr>
                <w:b/>
                <w:bCs/>
                <w:color w:val="000000"/>
                <w:sz w:val="22"/>
                <w:szCs w:val="22"/>
              </w:rPr>
              <w:t xml:space="preserve">0.7402 </w:t>
            </w:r>
          </w:p>
        </w:tc>
        <w:tc>
          <w:tcPr>
            <w:tcW w:w="1619" w:type="dxa"/>
            <w:shd w:val="clear" w:color="auto" w:fill="auto"/>
            <w:noWrap/>
            <w:vAlign w:val="center"/>
          </w:tcPr>
          <w:p w:rsidR="00F55E3A" w:rsidRDefault="00F577EE">
            <w:pPr>
              <w:snapToGrid w:val="0"/>
              <w:jc w:val="center"/>
              <w:rPr>
                <w:sz w:val="18"/>
                <w:szCs w:val="18"/>
              </w:rPr>
            </w:pPr>
            <w:r>
              <w:rPr>
                <w:b/>
                <w:bCs/>
                <w:color w:val="000000"/>
                <w:sz w:val="22"/>
                <w:szCs w:val="22"/>
              </w:rPr>
              <w:t xml:space="preserve">0.4484 </w:t>
            </w:r>
          </w:p>
        </w:tc>
        <w:tc>
          <w:tcPr>
            <w:tcW w:w="1621" w:type="dxa"/>
            <w:shd w:val="clear" w:color="auto" w:fill="auto"/>
            <w:noWrap/>
            <w:vAlign w:val="center"/>
          </w:tcPr>
          <w:p w:rsidR="00F55E3A" w:rsidRDefault="00F577EE">
            <w:pPr>
              <w:widowControl/>
              <w:snapToGrid w:val="0"/>
              <w:jc w:val="center"/>
              <w:rPr>
                <w:bCs/>
                <w:color w:val="000000"/>
                <w:kern w:val="0"/>
                <w:sz w:val="18"/>
                <w:szCs w:val="18"/>
              </w:rPr>
            </w:pPr>
            <w:r>
              <w:rPr>
                <w:b/>
                <w:bCs/>
                <w:color w:val="000000"/>
                <w:sz w:val="22"/>
                <w:szCs w:val="22"/>
              </w:rPr>
              <w:t xml:space="preserve">0.5943 </w:t>
            </w:r>
          </w:p>
        </w:tc>
      </w:tr>
      <w:tr w:rsidR="00F55E3A">
        <w:trPr>
          <w:trHeight w:val="207"/>
        </w:trPr>
        <w:tc>
          <w:tcPr>
            <w:tcW w:w="3076" w:type="dxa"/>
            <w:shd w:val="clear" w:color="auto" w:fill="auto"/>
            <w:noWrap/>
            <w:vAlign w:val="center"/>
          </w:tcPr>
          <w:p w:rsidR="00F55E3A" w:rsidRDefault="00F577EE">
            <w:pPr>
              <w:widowControl/>
              <w:snapToGrid w:val="0"/>
              <w:jc w:val="center"/>
              <w:rPr>
                <w:color w:val="000000"/>
                <w:kern w:val="0"/>
                <w:sz w:val="18"/>
                <w:szCs w:val="18"/>
              </w:rPr>
            </w:pPr>
            <w:r>
              <w:rPr>
                <w:color w:val="000000"/>
                <w:kern w:val="0"/>
                <w:sz w:val="18"/>
                <w:szCs w:val="18"/>
              </w:rPr>
              <w:t>两个最小值检验</w:t>
            </w:r>
            <w:r>
              <w:rPr>
                <w:rFonts w:hint="eastAsia"/>
                <w:color w:val="000000"/>
                <w:kern w:val="0"/>
                <w:sz w:val="18"/>
                <w:szCs w:val="18"/>
              </w:rPr>
              <w:t>统计量</w:t>
            </w:r>
            <w:r>
              <w:rPr>
                <w:rFonts w:hint="eastAsia"/>
                <w:color w:val="000000"/>
                <w:kern w:val="0"/>
                <w:sz w:val="18"/>
                <w:szCs w:val="18"/>
              </w:rPr>
              <w:t xml:space="preserve"> </w:t>
            </w:r>
            <w:r>
              <w:rPr>
                <w:color w:val="000000"/>
                <w:kern w:val="0"/>
                <w:sz w:val="18"/>
                <w:szCs w:val="18"/>
              </w:rPr>
              <w:t>G</w:t>
            </w:r>
            <w:r>
              <w:rPr>
                <w:color w:val="000000"/>
                <w:kern w:val="0"/>
                <w:sz w:val="18"/>
                <w:szCs w:val="18"/>
                <w:vertAlign w:val="subscript"/>
              </w:rPr>
              <w:t>1</w:t>
            </w:r>
            <w:r>
              <w:rPr>
                <w:rFonts w:ascii="宋体" w:hAnsi="宋体" w:hint="eastAsia"/>
                <w:color w:val="000000"/>
                <w:kern w:val="0"/>
                <w:sz w:val="18"/>
                <w:szCs w:val="18"/>
                <w:vertAlign w:val="subscript"/>
              </w:rPr>
              <w:t>，</w:t>
            </w:r>
            <w:r>
              <w:rPr>
                <w:color w:val="000000"/>
                <w:kern w:val="0"/>
                <w:sz w:val="18"/>
                <w:szCs w:val="18"/>
                <w:vertAlign w:val="subscript"/>
              </w:rPr>
              <w:t>2</w:t>
            </w:r>
          </w:p>
        </w:tc>
        <w:tc>
          <w:tcPr>
            <w:tcW w:w="1299" w:type="dxa"/>
            <w:shd w:val="clear" w:color="auto" w:fill="auto"/>
            <w:noWrap/>
            <w:vAlign w:val="center"/>
          </w:tcPr>
          <w:p w:rsidR="00F55E3A" w:rsidRDefault="00F577EE">
            <w:pPr>
              <w:widowControl/>
              <w:snapToGrid w:val="0"/>
              <w:jc w:val="center"/>
              <w:rPr>
                <w:bCs/>
                <w:kern w:val="0"/>
                <w:sz w:val="18"/>
                <w:szCs w:val="18"/>
              </w:rPr>
            </w:pPr>
            <w:r>
              <w:rPr>
                <w:b/>
                <w:bCs/>
                <w:sz w:val="22"/>
                <w:szCs w:val="22"/>
              </w:rPr>
              <w:t xml:space="preserve">0.6530 </w:t>
            </w:r>
          </w:p>
        </w:tc>
        <w:tc>
          <w:tcPr>
            <w:tcW w:w="1619" w:type="dxa"/>
            <w:shd w:val="clear" w:color="auto" w:fill="auto"/>
            <w:noWrap/>
            <w:vAlign w:val="center"/>
          </w:tcPr>
          <w:p w:rsidR="00F55E3A" w:rsidRDefault="00F577EE">
            <w:pPr>
              <w:widowControl/>
              <w:snapToGrid w:val="0"/>
              <w:jc w:val="center"/>
              <w:rPr>
                <w:bCs/>
                <w:kern w:val="0"/>
                <w:sz w:val="18"/>
                <w:szCs w:val="18"/>
              </w:rPr>
            </w:pPr>
            <w:r>
              <w:rPr>
                <w:b/>
                <w:bCs/>
                <w:sz w:val="22"/>
                <w:szCs w:val="22"/>
              </w:rPr>
              <w:t xml:space="preserve">0.3583 </w:t>
            </w:r>
          </w:p>
        </w:tc>
        <w:tc>
          <w:tcPr>
            <w:tcW w:w="1619" w:type="dxa"/>
            <w:shd w:val="clear" w:color="auto" w:fill="auto"/>
            <w:noWrap/>
            <w:vAlign w:val="center"/>
          </w:tcPr>
          <w:p w:rsidR="00F55E3A" w:rsidRDefault="00F577EE">
            <w:pPr>
              <w:snapToGrid w:val="0"/>
              <w:jc w:val="center"/>
              <w:rPr>
                <w:sz w:val="18"/>
                <w:szCs w:val="18"/>
              </w:rPr>
            </w:pPr>
            <w:r>
              <w:rPr>
                <w:b/>
                <w:bCs/>
                <w:sz w:val="22"/>
                <w:szCs w:val="22"/>
              </w:rPr>
              <w:t xml:space="preserve">0.4393 </w:t>
            </w:r>
          </w:p>
        </w:tc>
        <w:tc>
          <w:tcPr>
            <w:tcW w:w="1621" w:type="dxa"/>
            <w:shd w:val="clear" w:color="auto" w:fill="auto"/>
            <w:noWrap/>
            <w:vAlign w:val="center"/>
          </w:tcPr>
          <w:p w:rsidR="00F55E3A" w:rsidRDefault="00F577EE">
            <w:pPr>
              <w:widowControl/>
              <w:snapToGrid w:val="0"/>
              <w:jc w:val="center"/>
              <w:rPr>
                <w:bCs/>
                <w:kern w:val="0"/>
                <w:sz w:val="18"/>
                <w:szCs w:val="18"/>
              </w:rPr>
            </w:pPr>
            <w:r>
              <w:rPr>
                <w:b/>
                <w:bCs/>
                <w:sz w:val="22"/>
                <w:szCs w:val="22"/>
              </w:rPr>
              <w:t xml:space="preserve">0.4323 </w:t>
            </w:r>
          </w:p>
        </w:tc>
      </w:tr>
      <w:tr w:rsidR="00F55E3A">
        <w:trPr>
          <w:trHeight w:val="277"/>
        </w:trPr>
        <w:tc>
          <w:tcPr>
            <w:tcW w:w="3076" w:type="dxa"/>
            <w:shd w:val="clear" w:color="auto" w:fill="auto"/>
            <w:noWrap/>
            <w:vAlign w:val="center"/>
          </w:tcPr>
          <w:p w:rsidR="00F55E3A" w:rsidRDefault="00F577EE">
            <w:pPr>
              <w:widowControl/>
              <w:snapToGrid w:val="0"/>
              <w:jc w:val="center"/>
              <w:rPr>
                <w:color w:val="000000"/>
                <w:kern w:val="0"/>
                <w:sz w:val="18"/>
                <w:szCs w:val="18"/>
              </w:rPr>
            </w:pPr>
            <w:r>
              <w:rPr>
                <w:color w:val="000000"/>
                <w:kern w:val="0"/>
                <w:sz w:val="18"/>
                <w:szCs w:val="18"/>
              </w:rPr>
              <w:t>p</w:t>
            </w:r>
          </w:p>
        </w:tc>
        <w:tc>
          <w:tcPr>
            <w:tcW w:w="1299" w:type="dxa"/>
            <w:shd w:val="clear" w:color="auto" w:fill="auto"/>
            <w:noWrap/>
            <w:vAlign w:val="center"/>
          </w:tcPr>
          <w:p w:rsidR="00F55E3A" w:rsidRDefault="00F577EE">
            <w:pPr>
              <w:widowControl/>
              <w:snapToGrid w:val="0"/>
              <w:jc w:val="center"/>
              <w:rPr>
                <w:color w:val="000000"/>
                <w:kern w:val="0"/>
                <w:sz w:val="18"/>
                <w:szCs w:val="18"/>
              </w:rPr>
            </w:pPr>
            <w:r>
              <w:rPr>
                <w:rFonts w:hint="eastAsia"/>
                <w:color w:val="000000"/>
                <w:kern w:val="0"/>
                <w:sz w:val="18"/>
                <w:szCs w:val="18"/>
              </w:rPr>
              <w:t>1</w:t>
            </w:r>
            <w:r>
              <w:rPr>
                <w:color w:val="000000"/>
                <w:kern w:val="0"/>
                <w:sz w:val="18"/>
                <w:szCs w:val="18"/>
              </w:rPr>
              <w:t>2</w:t>
            </w:r>
          </w:p>
        </w:tc>
        <w:tc>
          <w:tcPr>
            <w:tcW w:w="1619" w:type="dxa"/>
            <w:shd w:val="clear" w:color="auto" w:fill="auto"/>
            <w:noWrap/>
            <w:vAlign w:val="center"/>
          </w:tcPr>
          <w:p w:rsidR="00F55E3A" w:rsidRDefault="00F577EE">
            <w:pPr>
              <w:widowControl/>
              <w:snapToGrid w:val="0"/>
              <w:jc w:val="center"/>
              <w:rPr>
                <w:color w:val="000000"/>
                <w:kern w:val="0"/>
                <w:sz w:val="18"/>
                <w:szCs w:val="18"/>
              </w:rPr>
            </w:pPr>
            <w:r>
              <w:rPr>
                <w:color w:val="000000"/>
                <w:kern w:val="0"/>
                <w:sz w:val="18"/>
                <w:szCs w:val="18"/>
              </w:rPr>
              <w:t>12</w:t>
            </w:r>
          </w:p>
        </w:tc>
        <w:tc>
          <w:tcPr>
            <w:tcW w:w="1619" w:type="dxa"/>
            <w:shd w:val="clear" w:color="auto" w:fill="auto"/>
            <w:noWrap/>
            <w:vAlign w:val="center"/>
          </w:tcPr>
          <w:p w:rsidR="00F55E3A" w:rsidRDefault="00F577EE">
            <w:pPr>
              <w:widowControl/>
              <w:snapToGrid w:val="0"/>
              <w:jc w:val="center"/>
              <w:rPr>
                <w:color w:val="000000"/>
                <w:kern w:val="0"/>
                <w:sz w:val="18"/>
                <w:szCs w:val="18"/>
              </w:rPr>
            </w:pPr>
            <w:r>
              <w:rPr>
                <w:rFonts w:hint="eastAsia"/>
                <w:color w:val="000000"/>
                <w:kern w:val="0"/>
                <w:sz w:val="18"/>
                <w:szCs w:val="18"/>
              </w:rPr>
              <w:t>1</w:t>
            </w:r>
            <w:r>
              <w:rPr>
                <w:color w:val="000000"/>
                <w:kern w:val="0"/>
                <w:sz w:val="18"/>
                <w:szCs w:val="18"/>
              </w:rPr>
              <w:t>2</w:t>
            </w:r>
          </w:p>
        </w:tc>
        <w:tc>
          <w:tcPr>
            <w:tcW w:w="1621" w:type="dxa"/>
            <w:shd w:val="clear" w:color="auto" w:fill="auto"/>
            <w:noWrap/>
            <w:vAlign w:val="center"/>
          </w:tcPr>
          <w:p w:rsidR="00F55E3A" w:rsidRDefault="00F577EE">
            <w:pPr>
              <w:widowControl/>
              <w:snapToGrid w:val="0"/>
              <w:jc w:val="center"/>
              <w:rPr>
                <w:color w:val="000000"/>
                <w:kern w:val="0"/>
                <w:sz w:val="18"/>
                <w:szCs w:val="18"/>
              </w:rPr>
            </w:pPr>
            <w:r>
              <w:rPr>
                <w:color w:val="000000"/>
                <w:kern w:val="0"/>
                <w:sz w:val="18"/>
                <w:szCs w:val="18"/>
              </w:rPr>
              <w:t>12</w:t>
            </w:r>
          </w:p>
        </w:tc>
      </w:tr>
      <w:tr w:rsidR="00F55E3A">
        <w:trPr>
          <w:trHeight w:val="239"/>
        </w:trPr>
        <w:tc>
          <w:tcPr>
            <w:tcW w:w="9234" w:type="dxa"/>
            <w:gridSpan w:val="5"/>
            <w:shd w:val="clear" w:color="auto" w:fill="auto"/>
            <w:noWrap/>
            <w:vAlign w:val="center"/>
          </w:tcPr>
          <w:p w:rsidR="00F55E3A" w:rsidRDefault="00F577EE">
            <w:pPr>
              <w:snapToGrid w:val="0"/>
              <w:jc w:val="center"/>
              <w:rPr>
                <w:b/>
                <w:bCs/>
                <w:color w:val="000000"/>
                <w:sz w:val="18"/>
                <w:szCs w:val="18"/>
              </w:rPr>
            </w:pPr>
            <w:r>
              <w:rPr>
                <w:b/>
                <w:bCs/>
                <w:color w:val="000000"/>
                <w:sz w:val="18"/>
                <w:szCs w:val="18"/>
              </w:rPr>
              <w:t>临界值</w:t>
            </w:r>
            <w:r>
              <w:rPr>
                <w:rFonts w:hint="eastAsia"/>
                <w:b/>
                <w:bCs/>
                <w:color w:val="000000"/>
                <w:sz w:val="18"/>
                <w:szCs w:val="18"/>
              </w:rPr>
              <w:t>G</w:t>
            </w:r>
            <w:r>
              <w:rPr>
                <w:b/>
                <w:bCs/>
                <w:color w:val="000000"/>
                <w:sz w:val="18"/>
                <w:szCs w:val="18"/>
              </w:rPr>
              <w:t>，</w:t>
            </w:r>
            <w:r>
              <w:rPr>
                <w:b/>
                <w:bCs/>
                <w:color w:val="000000"/>
                <w:sz w:val="18"/>
                <w:szCs w:val="18"/>
              </w:rPr>
              <w:t xml:space="preserve"> p=12  α=1%</w:t>
            </w:r>
            <w:r>
              <w:rPr>
                <w:rFonts w:hint="eastAsia"/>
                <w:b/>
                <w:bCs/>
                <w:color w:val="000000"/>
                <w:sz w:val="18"/>
                <w:szCs w:val="18"/>
              </w:rPr>
              <w:t>：</w:t>
            </w:r>
            <w:r>
              <w:rPr>
                <w:b/>
                <w:bCs/>
                <w:color w:val="000000"/>
                <w:sz w:val="18"/>
                <w:szCs w:val="18"/>
              </w:rPr>
              <w:t>0.1738</w:t>
            </w:r>
            <w:r>
              <w:rPr>
                <w:rFonts w:hint="eastAsia"/>
                <w:b/>
                <w:bCs/>
                <w:color w:val="000000"/>
                <w:sz w:val="18"/>
                <w:szCs w:val="18"/>
              </w:rPr>
              <w:t>；</w:t>
            </w:r>
            <w:r>
              <w:rPr>
                <w:b/>
                <w:bCs/>
                <w:color w:val="000000"/>
                <w:sz w:val="18"/>
                <w:szCs w:val="18"/>
              </w:rPr>
              <w:t>α=5%</w:t>
            </w:r>
            <w:r>
              <w:rPr>
                <w:rFonts w:hint="eastAsia"/>
                <w:b/>
                <w:bCs/>
                <w:color w:val="000000"/>
                <w:sz w:val="18"/>
                <w:szCs w:val="18"/>
              </w:rPr>
              <w:t>：</w:t>
            </w:r>
            <w:r>
              <w:rPr>
                <w:b/>
                <w:bCs/>
                <w:color w:val="000000"/>
                <w:sz w:val="18"/>
                <w:szCs w:val="18"/>
              </w:rPr>
              <w:t>0.2537</w:t>
            </w:r>
          </w:p>
        </w:tc>
      </w:tr>
    </w:tbl>
    <w:p w:rsidR="00F55E3A" w:rsidRDefault="00F577EE">
      <w:pPr>
        <w:ind w:firstLineChars="200" w:firstLine="452"/>
        <w:rPr>
          <w:color w:val="FF0000"/>
          <w:spacing w:val="8"/>
          <w:szCs w:val="21"/>
        </w:rPr>
      </w:pPr>
      <w:r>
        <w:rPr>
          <w:rFonts w:hint="eastAsia"/>
          <w:spacing w:val="8"/>
          <w:szCs w:val="21"/>
        </w:rPr>
        <w:t>由表</w:t>
      </w:r>
      <w:r>
        <w:rPr>
          <w:spacing w:val="8"/>
          <w:szCs w:val="21"/>
        </w:rPr>
        <w:t>5</w:t>
      </w:r>
      <w:r>
        <w:rPr>
          <w:rFonts w:hint="eastAsia"/>
          <w:spacing w:val="8"/>
          <w:szCs w:val="21"/>
        </w:rPr>
        <w:t>和</w:t>
      </w:r>
      <w:r>
        <w:rPr>
          <w:spacing w:val="8"/>
          <w:szCs w:val="21"/>
        </w:rPr>
        <w:t>6</w:t>
      </w:r>
      <w:r>
        <w:rPr>
          <w:spacing w:val="8"/>
          <w:szCs w:val="21"/>
        </w:rPr>
        <w:t>对各实验室均值</w:t>
      </w:r>
      <w:r>
        <w:rPr>
          <w:rFonts w:hint="eastAsia"/>
          <w:spacing w:val="8"/>
          <w:szCs w:val="21"/>
        </w:rPr>
        <w:t>的检验结果可知，各水平均无异常值。</w:t>
      </w:r>
    </w:p>
    <w:p w:rsidR="00F55E3A" w:rsidRDefault="00F577EE">
      <w:pPr>
        <w:outlineLvl w:val="3"/>
        <w:rPr>
          <w:b/>
          <w:spacing w:val="8"/>
          <w:szCs w:val="21"/>
        </w:rPr>
      </w:pPr>
      <w:r>
        <w:rPr>
          <w:rFonts w:hint="eastAsia"/>
          <w:b/>
          <w:spacing w:val="8"/>
          <w:szCs w:val="21"/>
        </w:rPr>
        <w:t>4</w:t>
      </w:r>
      <w:r>
        <w:rPr>
          <w:rFonts w:hint="eastAsia"/>
          <w:b/>
          <w:spacing w:val="8"/>
          <w:szCs w:val="21"/>
        </w:rPr>
        <w:t>）</w:t>
      </w:r>
      <w:r>
        <w:rPr>
          <w:b/>
          <w:spacing w:val="8"/>
          <w:szCs w:val="21"/>
        </w:rPr>
        <w:t>精密度</w:t>
      </w:r>
      <w:r>
        <w:rPr>
          <w:rFonts w:hint="eastAsia"/>
          <w:b/>
          <w:spacing w:val="8"/>
          <w:szCs w:val="21"/>
        </w:rPr>
        <w:t>计算</w:t>
      </w:r>
    </w:p>
    <w:p w:rsidR="00F55E3A" w:rsidRDefault="00F577EE">
      <w:pPr>
        <w:ind w:firstLine="435"/>
        <w:rPr>
          <w:bCs/>
          <w:szCs w:val="21"/>
        </w:rPr>
      </w:pPr>
      <w:r>
        <w:rPr>
          <w:rFonts w:hint="eastAsia"/>
          <w:bCs/>
          <w:szCs w:val="21"/>
        </w:rPr>
        <w:t>由于火焰原子吸收法和碘量法的验证样品，在铜含量</w:t>
      </w:r>
      <w:r>
        <w:rPr>
          <w:rFonts w:hint="eastAsia"/>
          <w:bCs/>
          <w:szCs w:val="21"/>
        </w:rPr>
        <w:t>3</w:t>
      </w:r>
      <w:r>
        <w:rPr>
          <w:bCs/>
          <w:szCs w:val="21"/>
        </w:rPr>
        <w:t>.2</w:t>
      </w:r>
      <w:r>
        <w:rPr>
          <w:rFonts w:hint="eastAsia"/>
          <w:bCs/>
          <w:szCs w:val="21"/>
        </w:rPr>
        <w:t>%~</w:t>
      </w:r>
      <w:r>
        <w:rPr>
          <w:bCs/>
          <w:szCs w:val="21"/>
        </w:rPr>
        <w:t>4.5</w:t>
      </w:r>
      <w:r>
        <w:rPr>
          <w:rFonts w:hint="eastAsia"/>
          <w:bCs/>
          <w:szCs w:val="21"/>
        </w:rPr>
        <w:t>%</w:t>
      </w:r>
      <w:r>
        <w:rPr>
          <w:rFonts w:hint="eastAsia"/>
          <w:bCs/>
          <w:szCs w:val="21"/>
        </w:rPr>
        <w:t>之间存在交叉，经预审会议讨论，两个方法的范围确定为火焰原子吸收法</w:t>
      </w:r>
      <w:r>
        <w:rPr>
          <w:rFonts w:hint="eastAsia"/>
          <w:bCs/>
          <w:szCs w:val="21"/>
        </w:rPr>
        <w:t>0</w:t>
      </w:r>
      <w:r>
        <w:rPr>
          <w:bCs/>
          <w:szCs w:val="21"/>
        </w:rPr>
        <w:t>.10</w:t>
      </w:r>
      <w:r>
        <w:rPr>
          <w:rFonts w:hint="eastAsia"/>
          <w:bCs/>
          <w:szCs w:val="21"/>
        </w:rPr>
        <w:t>%~</w:t>
      </w:r>
      <w:r>
        <w:rPr>
          <w:bCs/>
          <w:szCs w:val="21"/>
        </w:rPr>
        <w:t>3.50</w:t>
      </w:r>
      <w:r>
        <w:rPr>
          <w:rFonts w:hint="eastAsia"/>
          <w:bCs/>
          <w:szCs w:val="21"/>
        </w:rPr>
        <w:t>%</w:t>
      </w:r>
      <w:r>
        <w:rPr>
          <w:rFonts w:hint="eastAsia"/>
          <w:bCs/>
          <w:szCs w:val="21"/>
        </w:rPr>
        <w:t>，碘量法</w:t>
      </w:r>
      <w:r>
        <w:rPr>
          <w:rFonts w:hint="eastAsia"/>
          <w:bCs/>
          <w:szCs w:val="21"/>
        </w:rPr>
        <w:t>3</w:t>
      </w:r>
      <w:r>
        <w:rPr>
          <w:bCs/>
          <w:szCs w:val="21"/>
        </w:rPr>
        <w:t>.50</w:t>
      </w:r>
      <w:r>
        <w:rPr>
          <w:rFonts w:hint="eastAsia"/>
          <w:bCs/>
          <w:szCs w:val="21"/>
        </w:rPr>
        <w:t>%~</w:t>
      </w:r>
      <w:r>
        <w:rPr>
          <w:bCs/>
          <w:szCs w:val="21"/>
        </w:rPr>
        <w:t>35.00</w:t>
      </w:r>
      <w:r>
        <w:rPr>
          <w:rFonts w:hint="eastAsia"/>
          <w:bCs/>
          <w:szCs w:val="21"/>
        </w:rPr>
        <w:t>%</w:t>
      </w:r>
      <w:r>
        <w:rPr>
          <w:rFonts w:hint="eastAsia"/>
          <w:bCs/>
          <w:szCs w:val="21"/>
        </w:rPr>
        <w:t>，因此，删除对水平</w:t>
      </w:r>
      <w:r>
        <w:rPr>
          <w:rFonts w:hint="eastAsia"/>
          <w:bCs/>
          <w:szCs w:val="21"/>
        </w:rPr>
        <w:t>4</w:t>
      </w:r>
      <w:r>
        <w:rPr>
          <w:rFonts w:hint="eastAsia"/>
          <w:bCs/>
          <w:szCs w:val="21"/>
        </w:rPr>
        <w:t>铜含量为</w:t>
      </w:r>
      <w:r>
        <w:rPr>
          <w:rFonts w:hint="eastAsia"/>
          <w:bCs/>
          <w:szCs w:val="21"/>
        </w:rPr>
        <w:t>4</w:t>
      </w:r>
      <w:r>
        <w:rPr>
          <w:bCs/>
          <w:szCs w:val="21"/>
        </w:rPr>
        <w:t>.57</w:t>
      </w:r>
      <w:r>
        <w:rPr>
          <w:rFonts w:hint="eastAsia"/>
          <w:bCs/>
          <w:szCs w:val="21"/>
        </w:rPr>
        <w:t>%</w:t>
      </w:r>
      <w:r>
        <w:rPr>
          <w:rFonts w:hint="eastAsia"/>
          <w:bCs/>
          <w:szCs w:val="21"/>
        </w:rPr>
        <w:t>的精密度计算数据。精密度</w:t>
      </w:r>
      <w:r>
        <w:rPr>
          <w:bCs/>
          <w:szCs w:val="21"/>
        </w:rPr>
        <w:t>计算结果见表</w:t>
      </w:r>
      <w:r>
        <w:rPr>
          <w:rFonts w:hint="eastAsia"/>
          <w:bCs/>
          <w:szCs w:val="21"/>
        </w:rPr>
        <w:t>5</w:t>
      </w:r>
      <w:r>
        <w:rPr>
          <w:bCs/>
          <w:szCs w:val="21"/>
        </w:rPr>
        <w:t>。</w:t>
      </w:r>
    </w:p>
    <w:p w:rsidR="00F55E3A" w:rsidRDefault="00F577EE" w:rsidP="00F577EE">
      <w:pPr>
        <w:spacing w:beforeLines="50"/>
        <w:jc w:val="center"/>
        <w:rPr>
          <w:rFonts w:ascii="黑体" w:eastAsia="黑体"/>
          <w:bCs/>
          <w:color w:val="000000"/>
          <w:szCs w:val="21"/>
        </w:rPr>
      </w:pPr>
      <w:r>
        <w:rPr>
          <w:rFonts w:ascii="黑体" w:eastAsia="黑体" w:hint="eastAsia"/>
          <w:bCs/>
          <w:color w:val="000000"/>
          <w:szCs w:val="21"/>
        </w:rPr>
        <w:t>表5   精密度计算结果</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5"/>
        <w:gridCol w:w="2301"/>
        <w:gridCol w:w="2448"/>
        <w:gridCol w:w="2660"/>
      </w:tblGrid>
      <w:tr w:rsidR="00F55E3A">
        <w:trPr>
          <w:trHeight w:val="259"/>
          <w:jc w:val="center"/>
        </w:trPr>
        <w:tc>
          <w:tcPr>
            <w:tcW w:w="1945" w:type="dxa"/>
            <w:shd w:val="clear" w:color="auto" w:fill="auto"/>
            <w:noWrap/>
            <w:vAlign w:val="center"/>
          </w:tcPr>
          <w:p w:rsidR="00F55E3A" w:rsidRDefault="00F577EE">
            <w:pPr>
              <w:widowControl/>
              <w:snapToGrid w:val="0"/>
              <w:jc w:val="center"/>
              <w:rPr>
                <w:kern w:val="0"/>
                <w:sz w:val="18"/>
                <w:szCs w:val="18"/>
              </w:rPr>
            </w:pPr>
            <w:r>
              <w:rPr>
                <w:rFonts w:hint="eastAsia"/>
                <w:kern w:val="0"/>
                <w:sz w:val="18"/>
                <w:szCs w:val="18"/>
              </w:rPr>
              <w:t>统计量</w:t>
            </w:r>
          </w:p>
        </w:tc>
        <w:tc>
          <w:tcPr>
            <w:tcW w:w="2301" w:type="dxa"/>
            <w:shd w:val="clear" w:color="auto" w:fill="auto"/>
            <w:noWrap/>
            <w:vAlign w:val="center"/>
          </w:tcPr>
          <w:p w:rsidR="00F55E3A" w:rsidRDefault="00F577EE">
            <w:pPr>
              <w:widowControl/>
              <w:snapToGrid w:val="0"/>
              <w:jc w:val="center"/>
              <w:rPr>
                <w:kern w:val="0"/>
                <w:sz w:val="18"/>
                <w:szCs w:val="18"/>
              </w:rPr>
            </w:pPr>
            <w:r>
              <w:rPr>
                <w:rFonts w:hint="eastAsia"/>
                <w:kern w:val="0"/>
                <w:sz w:val="18"/>
                <w:szCs w:val="18"/>
              </w:rPr>
              <w:t>水平</w:t>
            </w:r>
            <w:r>
              <w:rPr>
                <w:rFonts w:hint="eastAsia"/>
                <w:kern w:val="0"/>
                <w:sz w:val="18"/>
                <w:szCs w:val="18"/>
              </w:rPr>
              <w:t>1</w:t>
            </w:r>
          </w:p>
        </w:tc>
        <w:tc>
          <w:tcPr>
            <w:tcW w:w="2448" w:type="dxa"/>
            <w:shd w:val="clear" w:color="auto" w:fill="auto"/>
            <w:noWrap/>
            <w:vAlign w:val="center"/>
          </w:tcPr>
          <w:p w:rsidR="00F55E3A" w:rsidRDefault="00F577EE">
            <w:pPr>
              <w:snapToGrid w:val="0"/>
              <w:jc w:val="center"/>
              <w:rPr>
                <w:sz w:val="18"/>
                <w:szCs w:val="18"/>
              </w:rPr>
            </w:pPr>
            <w:r>
              <w:rPr>
                <w:rFonts w:hint="eastAsia"/>
                <w:kern w:val="0"/>
                <w:sz w:val="18"/>
                <w:szCs w:val="18"/>
              </w:rPr>
              <w:t>水平</w:t>
            </w:r>
            <w:r>
              <w:rPr>
                <w:rFonts w:hint="eastAsia"/>
                <w:kern w:val="0"/>
                <w:sz w:val="18"/>
                <w:szCs w:val="18"/>
              </w:rPr>
              <w:t>2</w:t>
            </w:r>
          </w:p>
        </w:tc>
        <w:tc>
          <w:tcPr>
            <w:tcW w:w="2660" w:type="dxa"/>
            <w:shd w:val="clear" w:color="auto" w:fill="auto"/>
            <w:noWrap/>
            <w:vAlign w:val="center"/>
          </w:tcPr>
          <w:p w:rsidR="00F55E3A" w:rsidRDefault="00F577EE">
            <w:pPr>
              <w:snapToGrid w:val="0"/>
              <w:jc w:val="center"/>
              <w:rPr>
                <w:sz w:val="18"/>
                <w:szCs w:val="18"/>
              </w:rPr>
            </w:pPr>
            <w:r>
              <w:rPr>
                <w:rFonts w:hint="eastAsia"/>
                <w:kern w:val="0"/>
                <w:sz w:val="18"/>
                <w:szCs w:val="18"/>
              </w:rPr>
              <w:t>水平</w:t>
            </w:r>
            <w:r>
              <w:rPr>
                <w:rFonts w:hint="eastAsia"/>
                <w:kern w:val="0"/>
                <w:sz w:val="18"/>
                <w:szCs w:val="18"/>
              </w:rPr>
              <w:t>3</w:t>
            </w:r>
          </w:p>
        </w:tc>
      </w:tr>
      <w:tr w:rsidR="00F55E3A">
        <w:trPr>
          <w:trHeight w:val="259"/>
          <w:jc w:val="center"/>
        </w:trPr>
        <w:tc>
          <w:tcPr>
            <w:tcW w:w="1945" w:type="dxa"/>
            <w:shd w:val="clear" w:color="auto" w:fill="auto"/>
            <w:noWrap/>
            <w:vAlign w:val="center"/>
          </w:tcPr>
          <w:p w:rsidR="00F55E3A" w:rsidRDefault="00F577EE">
            <w:pPr>
              <w:widowControl/>
              <w:snapToGrid w:val="0"/>
              <w:jc w:val="center"/>
              <w:rPr>
                <w:kern w:val="0"/>
                <w:sz w:val="18"/>
                <w:szCs w:val="18"/>
              </w:rPr>
            </w:pPr>
            <w:r>
              <w:rPr>
                <w:kern w:val="0"/>
                <w:sz w:val="18"/>
                <w:szCs w:val="18"/>
              </w:rPr>
              <w:t>T</w:t>
            </w:r>
            <w:r>
              <w:rPr>
                <w:kern w:val="0"/>
                <w:sz w:val="18"/>
                <w:szCs w:val="18"/>
                <w:vertAlign w:val="subscript"/>
              </w:rPr>
              <w:t>1</w:t>
            </w:r>
          </w:p>
        </w:tc>
        <w:tc>
          <w:tcPr>
            <w:tcW w:w="2301" w:type="dxa"/>
            <w:shd w:val="clear" w:color="auto" w:fill="auto"/>
            <w:noWrap/>
            <w:vAlign w:val="bottom"/>
          </w:tcPr>
          <w:p w:rsidR="00F55E3A" w:rsidRDefault="00F577EE">
            <w:pPr>
              <w:widowControl/>
              <w:snapToGrid w:val="0"/>
              <w:jc w:val="center"/>
              <w:rPr>
                <w:kern w:val="0"/>
                <w:sz w:val="18"/>
                <w:szCs w:val="18"/>
              </w:rPr>
            </w:pPr>
            <w:r>
              <w:rPr>
                <w:sz w:val="22"/>
                <w:szCs w:val="22"/>
              </w:rPr>
              <w:t>153.054</w:t>
            </w:r>
          </w:p>
        </w:tc>
        <w:tc>
          <w:tcPr>
            <w:tcW w:w="2448" w:type="dxa"/>
            <w:shd w:val="clear" w:color="auto" w:fill="auto"/>
            <w:noWrap/>
            <w:vAlign w:val="bottom"/>
          </w:tcPr>
          <w:p w:rsidR="00F55E3A" w:rsidRDefault="00F577EE">
            <w:pPr>
              <w:widowControl/>
              <w:snapToGrid w:val="0"/>
              <w:jc w:val="center"/>
              <w:rPr>
                <w:kern w:val="0"/>
                <w:sz w:val="18"/>
                <w:szCs w:val="18"/>
              </w:rPr>
            </w:pPr>
            <w:r>
              <w:rPr>
                <w:sz w:val="22"/>
                <w:szCs w:val="22"/>
              </w:rPr>
              <w:t>308.353</w:t>
            </w:r>
          </w:p>
        </w:tc>
        <w:tc>
          <w:tcPr>
            <w:tcW w:w="2660" w:type="dxa"/>
            <w:shd w:val="clear" w:color="auto" w:fill="auto"/>
            <w:noWrap/>
            <w:vAlign w:val="bottom"/>
          </w:tcPr>
          <w:p w:rsidR="00F55E3A" w:rsidRDefault="00F577EE">
            <w:pPr>
              <w:widowControl/>
              <w:snapToGrid w:val="0"/>
              <w:jc w:val="center"/>
              <w:rPr>
                <w:kern w:val="0"/>
                <w:sz w:val="18"/>
                <w:szCs w:val="18"/>
              </w:rPr>
            </w:pPr>
            <w:r>
              <w:rPr>
                <w:sz w:val="22"/>
                <w:szCs w:val="22"/>
              </w:rPr>
              <w:t>442.193</w:t>
            </w:r>
          </w:p>
        </w:tc>
      </w:tr>
      <w:tr w:rsidR="00F55E3A">
        <w:trPr>
          <w:trHeight w:val="259"/>
          <w:jc w:val="center"/>
        </w:trPr>
        <w:tc>
          <w:tcPr>
            <w:tcW w:w="1945" w:type="dxa"/>
            <w:shd w:val="clear" w:color="auto" w:fill="auto"/>
            <w:noWrap/>
            <w:vAlign w:val="center"/>
          </w:tcPr>
          <w:p w:rsidR="00F55E3A" w:rsidRDefault="00F577EE">
            <w:pPr>
              <w:widowControl/>
              <w:snapToGrid w:val="0"/>
              <w:jc w:val="center"/>
              <w:rPr>
                <w:kern w:val="0"/>
                <w:sz w:val="18"/>
                <w:szCs w:val="18"/>
              </w:rPr>
            </w:pPr>
            <w:r>
              <w:rPr>
                <w:kern w:val="0"/>
                <w:sz w:val="18"/>
                <w:szCs w:val="18"/>
              </w:rPr>
              <w:t>T</w:t>
            </w:r>
            <w:r>
              <w:rPr>
                <w:kern w:val="0"/>
                <w:sz w:val="18"/>
                <w:szCs w:val="18"/>
                <w:vertAlign w:val="subscript"/>
              </w:rPr>
              <w:t>2</w:t>
            </w:r>
          </w:p>
        </w:tc>
        <w:tc>
          <w:tcPr>
            <w:tcW w:w="2301" w:type="dxa"/>
            <w:shd w:val="clear" w:color="auto" w:fill="auto"/>
            <w:noWrap/>
            <w:vAlign w:val="bottom"/>
          </w:tcPr>
          <w:p w:rsidR="00F55E3A" w:rsidRDefault="00F577EE">
            <w:pPr>
              <w:widowControl/>
              <w:snapToGrid w:val="0"/>
              <w:jc w:val="center"/>
              <w:rPr>
                <w:kern w:val="0"/>
                <w:sz w:val="18"/>
                <w:szCs w:val="18"/>
              </w:rPr>
            </w:pPr>
            <w:r>
              <w:rPr>
                <w:sz w:val="22"/>
                <w:szCs w:val="22"/>
              </w:rPr>
              <w:t>185.96</w:t>
            </w:r>
          </w:p>
        </w:tc>
        <w:tc>
          <w:tcPr>
            <w:tcW w:w="2448" w:type="dxa"/>
            <w:shd w:val="clear" w:color="auto" w:fill="auto"/>
            <w:noWrap/>
            <w:vAlign w:val="bottom"/>
          </w:tcPr>
          <w:p w:rsidR="00F55E3A" w:rsidRDefault="00F577EE">
            <w:pPr>
              <w:widowControl/>
              <w:snapToGrid w:val="0"/>
              <w:jc w:val="center"/>
              <w:rPr>
                <w:kern w:val="0"/>
                <w:sz w:val="18"/>
                <w:szCs w:val="18"/>
              </w:rPr>
            </w:pPr>
            <w:r>
              <w:rPr>
                <w:sz w:val="22"/>
                <w:szCs w:val="22"/>
              </w:rPr>
              <w:t>754.72</w:t>
            </w:r>
          </w:p>
        </w:tc>
        <w:tc>
          <w:tcPr>
            <w:tcW w:w="2660" w:type="dxa"/>
            <w:shd w:val="clear" w:color="auto" w:fill="auto"/>
            <w:noWrap/>
            <w:vAlign w:val="bottom"/>
          </w:tcPr>
          <w:p w:rsidR="00F55E3A" w:rsidRDefault="00F577EE">
            <w:pPr>
              <w:widowControl/>
              <w:snapToGrid w:val="0"/>
              <w:jc w:val="center"/>
              <w:rPr>
                <w:kern w:val="0"/>
                <w:sz w:val="18"/>
                <w:szCs w:val="18"/>
              </w:rPr>
            </w:pPr>
            <w:r>
              <w:rPr>
                <w:sz w:val="22"/>
                <w:szCs w:val="22"/>
              </w:rPr>
              <w:t>1539.82</w:t>
            </w:r>
          </w:p>
        </w:tc>
      </w:tr>
      <w:tr w:rsidR="00F55E3A">
        <w:trPr>
          <w:trHeight w:val="259"/>
          <w:jc w:val="center"/>
        </w:trPr>
        <w:tc>
          <w:tcPr>
            <w:tcW w:w="1945" w:type="dxa"/>
            <w:shd w:val="clear" w:color="auto" w:fill="auto"/>
            <w:noWrap/>
            <w:vAlign w:val="center"/>
          </w:tcPr>
          <w:p w:rsidR="00F55E3A" w:rsidRDefault="00F577EE">
            <w:pPr>
              <w:widowControl/>
              <w:snapToGrid w:val="0"/>
              <w:jc w:val="center"/>
              <w:rPr>
                <w:kern w:val="0"/>
                <w:sz w:val="18"/>
                <w:szCs w:val="18"/>
              </w:rPr>
            </w:pPr>
            <w:r>
              <w:rPr>
                <w:kern w:val="0"/>
                <w:sz w:val="18"/>
                <w:szCs w:val="18"/>
              </w:rPr>
              <w:t>T</w:t>
            </w:r>
            <w:r>
              <w:rPr>
                <w:kern w:val="0"/>
                <w:sz w:val="18"/>
                <w:szCs w:val="18"/>
                <w:vertAlign w:val="subscript"/>
              </w:rPr>
              <w:t>3</w:t>
            </w:r>
          </w:p>
        </w:tc>
        <w:tc>
          <w:tcPr>
            <w:tcW w:w="2301" w:type="dxa"/>
            <w:shd w:val="clear" w:color="auto" w:fill="auto"/>
            <w:noWrap/>
            <w:vAlign w:val="bottom"/>
          </w:tcPr>
          <w:p w:rsidR="00F55E3A" w:rsidRDefault="00F577EE">
            <w:pPr>
              <w:widowControl/>
              <w:snapToGrid w:val="0"/>
              <w:jc w:val="center"/>
              <w:rPr>
                <w:kern w:val="0"/>
                <w:sz w:val="18"/>
                <w:szCs w:val="18"/>
              </w:rPr>
            </w:pPr>
            <w:r>
              <w:rPr>
                <w:sz w:val="22"/>
                <w:szCs w:val="22"/>
              </w:rPr>
              <w:t>126</w:t>
            </w:r>
          </w:p>
        </w:tc>
        <w:tc>
          <w:tcPr>
            <w:tcW w:w="2448" w:type="dxa"/>
            <w:shd w:val="clear" w:color="auto" w:fill="auto"/>
            <w:noWrap/>
            <w:vAlign w:val="bottom"/>
          </w:tcPr>
          <w:p w:rsidR="00F55E3A" w:rsidRDefault="00F577EE">
            <w:pPr>
              <w:widowControl/>
              <w:snapToGrid w:val="0"/>
              <w:jc w:val="center"/>
              <w:rPr>
                <w:kern w:val="0"/>
                <w:sz w:val="18"/>
                <w:szCs w:val="18"/>
              </w:rPr>
            </w:pPr>
            <w:r>
              <w:rPr>
                <w:sz w:val="22"/>
                <w:szCs w:val="22"/>
              </w:rPr>
              <w:t>126</w:t>
            </w:r>
          </w:p>
        </w:tc>
        <w:tc>
          <w:tcPr>
            <w:tcW w:w="2660" w:type="dxa"/>
            <w:shd w:val="clear" w:color="auto" w:fill="auto"/>
            <w:noWrap/>
            <w:vAlign w:val="bottom"/>
          </w:tcPr>
          <w:p w:rsidR="00F55E3A" w:rsidRDefault="00F577EE">
            <w:pPr>
              <w:widowControl/>
              <w:snapToGrid w:val="0"/>
              <w:jc w:val="center"/>
              <w:rPr>
                <w:kern w:val="0"/>
                <w:sz w:val="18"/>
                <w:szCs w:val="18"/>
              </w:rPr>
            </w:pPr>
            <w:r>
              <w:rPr>
                <w:sz w:val="22"/>
                <w:szCs w:val="22"/>
              </w:rPr>
              <w:t>127</w:t>
            </w:r>
          </w:p>
        </w:tc>
      </w:tr>
      <w:tr w:rsidR="00F55E3A">
        <w:trPr>
          <w:trHeight w:val="259"/>
          <w:jc w:val="center"/>
        </w:trPr>
        <w:tc>
          <w:tcPr>
            <w:tcW w:w="1945" w:type="dxa"/>
            <w:shd w:val="clear" w:color="auto" w:fill="auto"/>
            <w:noWrap/>
            <w:vAlign w:val="center"/>
          </w:tcPr>
          <w:p w:rsidR="00F55E3A" w:rsidRDefault="00F577EE">
            <w:pPr>
              <w:widowControl/>
              <w:snapToGrid w:val="0"/>
              <w:jc w:val="center"/>
              <w:rPr>
                <w:kern w:val="0"/>
                <w:sz w:val="18"/>
                <w:szCs w:val="18"/>
              </w:rPr>
            </w:pPr>
            <w:r>
              <w:rPr>
                <w:kern w:val="0"/>
                <w:sz w:val="18"/>
                <w:szCs w:val="18"/>
              </w:rPr>
              <w:t>T</w:t>
            </w:r>
            <w:r>
              <w:rPr>
                <w:kern w:val="0"/>
                <w:sz w:val="18"/>
                <w:szCs w:val="18"/>
                <w:vertAlign w:val="subscript"/>
              </w:rPr>
              <w:t>4</w:t>
            </w:r>
          </w:p>
        </w:tc>
        <w:tc>
          <w:tcPr>
            <w:tcW w:w="2301" w:type="dxa"/>
            <w:shd w:val="clear" w:color="auto" w:fill="auto"/>
            <w:noWrap/>
            <w:vAlign w:val="bottom"/>
          </w:tcPr>
          <w:p w:rsidR="00F55E3A" w:rsidRDefault="00F577EE">
            <w:pPr>
              <w:widowControl/>
              <w:snapToGrid w:val="0"/>
              <w:jc w:val="center"/>
              <w:rPr>
                <w:kern w:val="0"/>
                <w:sz w:val="18"/>
                <w:szCs w:val="18"/>
              </w:rPr>
            </w:pPr>
            <w:r>
              <w:rPr>
                <w:sz w:val="22"/>
                <w:szCs w:val="22"/>
              </w:rPr>
              <w:t>1332</w:t>
            </w:r>
          </w:p>
        </w:tc>
        <w:tc>
          <w:tcPr>
            <w:tcW w:w="2448" w:type="dxa"/>
            <w:shd w:val="clear" w:color="auto" w:fill="auto"/>
            <w:noWrap/>
            <w:vAlign w:val="bottom"/>
          </w:tcPr>
          <w:p w:rsidR="00F55E3A" w:rsidRDefault="00F577EE">
            <w:pPr>
              <w:widowControl/>
              <w:snapToGrid w:val="0"/>
              <w:jc w:val="center"/>
              <w:rPr>
                <w:kern w:val="0"/>
                <w:sz w:val="18"/>
                <w:szCs w:val="18"/>
              </w:rPr>
            </w:pPr>
            <w:r>
              <w:rPr>
                <w:sz w:val="22"/>
                <w:szCs w:val="22"/>
              </w:rPr>
              <w:t>1332</w:t>
            </w:r>
          </w:p>
        </w:tc>
        <w:tc>
          <w:tcPr>
            <w:tcW w:w="2660" w:type="dxa"/>
            <w:shd w:val="clear" w:color="auto" w:fill="auto"/>
            <w:noWrap/>
            <w:vAlign w:val="bottom"/>
          </w:tcPr>
          <w:p w:rsidR="00F55E3A" w:rsidRDefault="00F577EE">
            <w:pPr>
              <w:widowControl/>
              <w:snapToGrid w:val="0"/>
              <w:jc w:val="center"/>
              <w:rPr>
                <w:kern w:val="0"/>
                <w:sz w:val="18"/>
                <w:szCs w:val="18"/>
              </w:rPr>
            </w:pPr>
            <w:r>
              <w:rPr>
                <w:sz w:val="22"/>
                <w:szCs w:val="22"/>
              </w:rPr>
              <w:t>1351</w:t>
            </w:r>
          </w:p>
        </w:tc>
      </w:tr>
      <w:tr w:rsidR="00F55E3A">
        <w:trPr>
          <w:trHeight w:val="259"/>
          <w:jc w:val="center"/>
        </w:trPr>
        <w:tc>
          <w:tcPr>
            <w:tcW w:w="1945" w:type="dxa"/>
            <w:shd w:val="clear" w:color="auto" w:fill="auto"/>
            <w:noWrap/>
            <w:vAlign w:val="center"/>
          </w:tcPr>
          <w:p w:rsidR="00F55E3A" w:rsidRDefault="00F577EE">
            <w:pPr>
              <w:widowControl/>
              <w:snapToGrid w:val="0"/>
              <w:jc w:val="center"/>
              <w:rPr>
                <w:kern w:val="0"/>
                <w:sz w:val="18"/>
                <w:szCs w:val="18"/>
              </w:rPr>
            </w:pPr>
            <w:r>
              <w:rPr>
                <w:kern w:val="0"/>
                <w:sz w:val="18"/>
                <w:szCs w:val="18"/>
              </w:rPr>
              <w:t>T</w:t>
            </w:r>
            <w:r>
              <w:rPr>
                <w:kern w:val="0"/>
                <w:sz w:val="18"/>
                <w:szCs w:val="18"/>
                <w:vertAlign w:val="subscript"/>
              </w:rPr>
              <w:t>5</w:t>
            </w:r>
          </w:p>
        </w:tc>
        <w:tc>
          <w:tcPr>
            <w:tcW w:w="2301" w:type="dxa"/>
            <w:shd w:val="clear" w:color="auto" w:fill="auto"/>
            <w:noWrap/>
            <w:vAlign w:val="bottom"/>
          </w:tcPr>
          <w:p w:rsidR="00F55E3A" w:rsidRDefault="00F577EE">
            <w:pPr>
              <w:widowControl/>
              <w:snapToGrid w:val="0"/>
              <w:jc w:val="center"/>
              <w:rPr>
                <w:kern w:val="0"/>
                <w:sz w:val="18"/>
                <w:szCs w:val="18"/>
              </w:rPr>
            </w:pPr>
            <w:r>
              <w:rPr>
                <w:sz w:val="22"/>
                <w:szCs w:val="22"/>
              </w:rPr>
              <w:t>0.030</w:t>
            </w:r>
          </w:p>
        </w:tc>
        <w:tc>
          <w:tcPr>
            <w:tcW w:w="2448" w:type="dxa"/>
            <w:shd w:val="clear" w:color="auto" w:fill="auto"/>
            <w:noWrap/>
            <w:vAlign w:val="bottom"/>
          </w:tcPr>
          <w:p w:rsidR="00F55E3A" w:rsidRDefault="00F577EE">
            <w:pPr>
              <w:widowControl/>
              <w:snapToGrid w:val="0"/>
              <w:jc w:val="center"/>
              <w:rPr>
                <w:kern w:val="0"/>
                <w:sz w:val="18"/>
                <w:szCs w:val="18"/>
              </w:rPr>
            </w:pPr>
            <w:r>
              <w:rPr>
                <w:sz w:val="22"/>
                <w:szCs w:val="22"/>
              </w:rPr>
              <w:t>0.119</w:t>
            </w:r>
          </w:p>
        </w:tc>
        <w:tc>
          <w:tcPr>
            <w:tcW w:w="2660" w:type="dxa"/>
            <w:shd w:val="clear" w:color="auto" w:fill="auto"/>
            <w:noWrap/>
            <w:vAlign w:val="bottom"/>
          </w:tcPr>
          <w:p w:rsidR="00F55E3A" w:rsidRDefault="00F577EE">
            <w:pPr>
              <w:widowControl/>
              <w:snapToGrid w:val="0"/>
              <w:jc w:val="center"/>
              <w:rPr>
                <w:kern w:val="0"/>
                <w:sz w:val="18"/>
                <w:szCs w:val="18"/>
              </w:rPr>
            </w:pPr>
            <w:r>
              <w:rPr>
                <w:sz w:val="22"/>
                <w:szCs w:val="22"/>
              </w:rPr>
              <w:t>0.104</w:t>
            </w:r>
          </w:p>
        </w:tc>
      </w:tr>
      <w:tr w:rsidR="00F55E3A">
        <w:trPr>
          <w:trHeight w:val="294"/>
          <w:jc w:val="center"/>
        </w:trPr>
        <w:tc>
          <w:tcPr>
            <w:tcW w:w="1945" w:type="dxa"/>
            <w:shd w:val="clear" w:color="auto" w:fill="auto"/>
            <w:noWrap/>
            <w:vAlign w:val="center"/>
          </w:tcPr>
          <w:p w:rsidR="00F55E3A" w:rsidRDefault="00F577EE">
            <w:pPr>
              <w:widowControl/>
              <w:snapToGrid w:val="0"/>
              <w:jc w:val="center"/>
              <w:rPr>
                <w:kern w:val="0"/>
                <w:sz w:val="18"/>
                <w:szCs w:val="18"/>
              </w:rPr>
            </w:pPr>
            <w:r>
              <w:rPr>
                <w:kern w:val="0"/>
                <w:sz w:val="18"/>
                <w:szCs w:val="18"/>
              </w:rPr>
              <w:t>S</w:t>
            </w:r>
            <w:r>
              <w:rPr>
                <w:kern w:val="0"/>
                <w:sz w:val="18"/>
                <w:szCs w:val="18"/>
                <w:vertAlign w:val="subscript"/>
              </w:rPr>
              <w:t>r</w:t>
            </w:r>
            <w:r>
              <w:rPr>
                <w:kern w:val="0"/>
                <w:sz w:val="18"/>
                <w:szCs w:val="18"/>
                <w:vertAlign w:val="superscript"/>
              </w:rPr>
              <w:t>2</w:t>
            </w:r>
          </w:p>
        </w:tc>
        <w:tc>
          <w:tcPr>
            <w:tcW w:w="2301" w:type="dxa"/>
            <w:shd w:val="clear" w:color="auto" w:fill="auto"/>
            <w:noWrap/>
            <w:vAlign w:val="bottom"/>
          </w:tcPr>
          <w:p w:rsidR="00F55E3A" w:rsidRDefault="00F577EE">
            <w:pPr>
              <w:widowControl/>
              <w:snapToGrid w:val="0"/>
              <w:jc w:val="center"/>
              <w:rPr>
                <w:kern w:val="0"/>
                <w:sz w:val="18"/>
                <w:szCs w:val="18"/>
              </w:rPr>
            </w:pPr>
            <w:r>
              <w:rPr>
                <w:sz w:val="22"/>
                <w:szCs w:val="22"/>
              </w:rPr>
              <w:t>0.0003</w:t>
            </w:r>
          </w:p>
        </w:tc>
        <w:tc>
          <w:tcPr>
            <w:tcW w:w="2448" w:type="dxa"/>
            <w:shd w:val="clear" w:color="auto" w:fill="auto"/>
            <w:noWrap/>
            <w:vAlign w:val="bottom"/>
          </w:tcPr>
          <w:p w:rsidR="00F55E3A" w:rsidRDefault="00F577EE">
            <w:pPr>
              <w:widowControl/>
              <w:snapToGrid w:val="0"/>
              <w:jc w:val="center"/>
              <w:rPr>
                <w:kern w:val="0"/>
                <w:sz w:val="18"/>
                <w:szCs w:val="18"/>
              </w:rPr>
            </w:pPr>
            <w:r>
              <w:rPr>
                <w:sz w:val="22"/>
                <w:szCs w:val="22"/>
              </w:rPr>
              <w:t>0.0010</w:t>
            </w:r>
          </w:p>
        </w:tc>
        <w:tc>
          <w:tcPr>
            <w:tcW w:w="2660" w:type="dxa"/>
            <w:shd w:val="clear" w:color="auto" w:fill="auto"/>
            <w:noWrap/>
            <w:vAlign w:val="bottom"/>
          </w:tcPr>
          <w:p w:rsidR="00F55E3A" w:rsidRDefault="00F577EE">
            <w:pPr>
              <w:widowControl/>
              <w:snapToGrid w:val="0"/>
              <w:jc w:val="center"/>
              <w:rPr>
                <w:kern w:val="0"/>
                <w:sz w:val="18"/>
                <w:szCs w:val="18"/>
              </w:rPr>
            </w:pPr>
            <w:r>
              <w:rPr>
                <w:sz w:val="22"/>
                <w:szCs w:val="22"/>
              </w:rPr>
              <w:t>0.0009</w:t>
            </w:r>
          </w:p>
        </w:tc>
      </w:tr>
      <w:tr w:rsidR="00F55E3A">
        <w:trPr>
          <w:trHeight w:val="294"/>
          <w:jc w:val="center"/>
        </w:trPr>
        <w:tc>
          <w:tcPr>
            <w:tcW w:w="1945" w:type="dxa"/>
            <w:shd w:val="clear" w:color="auto" w:fill="auto"/>
            <w:noWrap/>
            <w:vAlign w:val="center"/>
          </w:tcPr>
          <w:p w:rsidR="00F55E3A" w:rsidRDefault="00F577EE">
            <w:pPr>
              <w:widowControl/>
              <w:snapToGrid w:val="0"/>
              <w:jc w:val="center"/>
              <w:rPr>
                <w:kern w:val="0"/>
                <w:sz w:val="18"/>
                <w:szCs w:val="18"/>
              </w:rPr>
            </w:pPr>
            <w:r>
              <w:rPr>
                <w:kern w:val="0"/>
                <w:sz w:val="18"/>
                <w:szCs w:val="18"/>
              </w:rPr>
              <w:t>S</w:t>
            </w:r>
            <w:r>
              <w:rPr>
                <w:kern w:val="0"/>
                <w:sz w:val="18"/>
                <w:szCs w:val="18"/>
                <w:vertAlign w:val="subscript"/>
              </w:rPr>
              <w:t>L</w:t>
            </w:r>
            <w:r>
              <w:rPr>
                <w:kern w:val="0"/>
                <w:sz w:val="18"/>
                <w:szCs w:val="18"/>
                <w:vertAlign w:val="superscript"/>
              </w:rPr>
              <w:t>2</w:t>
            </w:r>
          </w:p>
        </w:tc>
        <w:tc>
          <w:tcPr>
            <w:tcW w:w="2301" w:type="dxa"/>
            <w:shd w:val="clear" w:color="auto" w:fill="auto"/>
            <w:noWrap/>
            <w:vAlign w:val="bottom"/>
          </w:tcPr>
          <w:p w:rsidR="00F55E3A" w:rsidRDefault="00F577EE">
            <w:pPr>
              <w:widowControl/>
              <w:snapToGrid w:val="0"/>
              <w:jc w:val="center"/>
              <w:rPr>
                <w:kern w:val="0"/>
                <w:sz w:val="18"/>
                <w:szCs w:val="18"/>
              </w:rPr>
            </w:pPr>
            <w:r>
              <w:rPr>
                <w:sz w:val="22"/>
                <w:szCs w:val="22"/>
              </w:rPr>
              <w:t>0.0003</w:t>
            </w:r>
          </w:p>
        </w:tc>
        <w:tc>
          <w:tcPr>
            <w:tcW w:w="2448" w:type="dxa"/>
            <w:shd w:val="clear" w:color="auto" w:fill="auto"/>
            <w:noWrap/>
            <w:vAlign w:val="bottom"/>
          </w:tcPr>
          <w:p w:rsidR="00F55E3A" w:rsidRDefault="00F577EE">
            <w:pPr>
              <w:widowControl/>
              <w:snapToGrid w:val="0"/>
              <w:jc w:val="center"/>
              <w:rPr>
                <w:kern w:val="0"/>
                <w:sz w:val="18"/>
                <w:szCs w:val="18"/>
              </w:rPr>
            </w:pPr>
            <w:r>
              <w:rPr>
                <w:sz w:val="22"/>
                <w:szCs w:val="22"/>
              </w:rPr>
              <w:t>0.0008</w:t>
            </w:r>
          </w:p>
        </w:tc>
        <w:tc>
          <w:tcPr>
            <w:tcW w:w="2660" w:type="dxa"/>
            <w:shd w:val="clear" w:color="auto" w:fill="auto"/>
            <w:noWrap/>
            <w:vAlign w:val="bottom"/>
          </w:tcPr>
          <w:p w:rsidR="00F55E3A" w:rsidRDefault="00F577EE">
            <w:pPr>
              <w:widowControl/>
              <w:snapToGrid w:val="0"/>
              <w:jc w:val="center"/>
              <w:rPr>
                <w:kern w:val="0"/>
                <w:sz w:val="18"/>
                <w:szCs w:val="18"/>
              </w:rPr>
            </w:pPr>
            <w:r>
              <w:rPr>
                <w:sz w:val="22"/>
                <w:szCs w:val="22"/>
              </w:rPr>
              <w:t>0.0014</w:t>
            </w:r>
          </w:p>
        </w:tc>
      </w:tr>
      <w:tr w:rsidR="00F55E3A">
        <w:trPr>
          <w:trHeight w:val="294"/>
          <w:jc w:val="center"/>
        </w:trPr>
        <w:tc>
          <w:tcPr>
            <w:tcW w:w="1945" w:type="dxa"/>
            <w:shd w:val="clear" w:color="auto" w:fill="auto"/>
            <w:noWrap/>
            <w:vAlign w:val="center"/>
          </w:tcPr>
          <w:p w:rsidR="00F55E3A" w:rsidRDefault="00F577EE">
            <w:pPr>
              <w:widowControl/>
              <w:snapToGrid w:val="0"/>
              <w:jc w:val="center"/>
              <w:rPr>
                <w:kern w:val="0"/>
                <w:sz w:val="18"/>
                <w:szCs w:val="18"/>
              </w:rPr>
            </w:pPr>
            <w:r>
              <w:rPr>
                <w:kern w:val="0"/>
                <w:sz w:val="18"/>
                <w:szCs w:val="18"/>
              </w:rPr>
              <w:t>S</w:t>
            </w:r>
            <w:r>
              <w:rPr>
                <w:kern w:val="0"/>
                <w:sz w:val="18"/>
                <w:szCs w:val="18"/>
                <w:vertAlign w:val="subscript"/>
              </w:rPr>
              <w:t>R</w:t>
            </w:r>
            <w:r>
              <w:rPr>
                <w:kern w:val="0"/>
                <w:sz w:val="18"/>
                <w:szCs w:val="18"/>
                <w:vertAlign w:val="superscript"/>
              </w:rPr>
              <w:t>2</w:t>
            </w:r>
          </w:p>
        </w:tc>
        <w:tc>
          <w:tcPr>
            <w:tcW w:w="2301" w:type="dxa"/>
            <w:shd w:val="clear" w:color="auto" w:fill="auto"/>
            <w:noWrap/>
            <w:vAlign w:val="bottom"/>
          </w:tcPr>
          <w:p w:rsidR="00F55E3A" w:rsidRDefault="00F577EE">
            <w:pPr>
              <w:widowControl/>
              <w:snapToGrid w:val="0"/>
              <w:jc w:val="center"/>
              <w:rPr>
                <w:kern w:val="0"/>
                <w:sz w:val="18"/>
                <w:szCs w:val="18"/>
              </w:rPr>
            </w:pPr>
            <w:r>
              <w:rPr>
                <w:sz w:val="22"/>
                <w:szCs w:val="22"/>
              </w:rPr>
              <w:t>0.0006</w:t>
            </w:r>
          </w:p>
        </w:tc>
        <w:tc>
          <w:tcPr>
            <w:tcW w:w="2448" w:type="dxa"/>
            <w:shd w:val="clear" w:color="auto" w:fill="auto"/>
            <w:noWrap/>
            <w:vAlign w:val="bottom"/>
          </w:tcPr>
          <w:p w:rsidR="00F55E3A" w:rsidRDefault="00F577EE">
            <w:pPr>
              <w:widowControl/>
              <w:snapToGrid w:val="0"/>
              <w:jc w:val="center"/>
              <w:rPr>
                <w:kern w:val="0"/>
                <w:sz w:val="18"/>
                <w:szCs w:val="18"/>
              </w:rPr>
            </w:pPr>
            <w:r>
              <w:rPr>
                <w:sz w:val="22"/>
                <w:szCs w:val="22"/>
              </w:rPr>
              <w:t>0.0018</w:t>
            </w:r>
          </w:p>
        </w:tc>
        <w:tc>
          <w:tcPr>
            <w:tcW w:w="2660" w:type="dxa"/>
            <w:shd w:val="clear" w:color="auto" w:fill="auto"/>
            <w:noWrap/>
            <w:vAlign w:val="bottom"/>
          </w:tcPr>
          <w:p w:rsidR="00F55E3A" w:rsidRDefault="00F577EE">
            <w:pPr>
              <w:widowControl/>
              <w:snapToGrid w:val="0"/>
              <w:jc w:val="center"/>
              <w:rPr>
                <w:kern w:val="0"/>
                <w:sz w:val="18"/>
                <w:szCs w:val="18"/>
              </w:rPr>
            </w:pPr>
            <w:r>
              <w:rPr>
                <w:sz w:val="22"/>
                <w:szCs w:val="22"/>
              </w:rPr>
              <w:t>0.0023</w:t>
            </w:r>
          </w:p>
        </w:tc>
      </w:tr>
      <w:tr w:rsidR="00F55E3A">
        <w:trPr>
          <w:trHeight w:val="270"/>
          <w:jc w:val="center"/>
        </w:trPr>
        <w:tc>
          <w:tcPr>
            <w:tcW w:w="1945" w:type="dxa"/>
            <w:shd w:val="clear" w:color="auto" w:fill="auto"/>
            <w:noWrap/>
            <w:vAlign w:val="center"/>
          </w:tcPr>
          <w:p w:rsidR="00F55E3A" w:rsidRDefault="00F577EE">
            <w:pPr>
              <w:widowControl/>
              <w:snapToGrid w:val="0"/>
              <w:jc w:val="center"/>
              <w:rPr>
                <w:kern w:val="0"/>
                <w:sz w:val="18"/>
                <w:szCs w:val="18"/>
              </w:rPr>
            </w:pPr>
            <w:r>
              <w:rPr>
                <w:kern w:val="0"/>
                <w:sz w:val="18"/>
                <w:szCs w:val="18"/>
              </w:rPr>
              <w:t>S</w:t>
            </w:r>
            <w:r>
              <w:rPr>
                <w:kern w:val="0"/>
                <w:sz w:val="18"/>
                <w:szCs w:val="18"/>
                <w:vertAlign w:val="subscript"/>
              </w:rPr>
              <w:t>R</w:t>
            </w:r>
          </w:p>
        </w:tc>
        <w:tc>
          <w:tcPr>
            <w:tcW w:w="2301" w:type="dxa"/>
            <w:shd w:val="clear" w:color="auto" w:fill="auto"/>
            <w:noWrap/>
            <w:vAlign w:val="bottom"/>
          </w:tcPr>
          <w:p w:rsidR="00F55E3A" w:rsidRDefault="00F577EE">
            <w:pPr>
              <w:widowControl/>
              <w:snapToGrid w:val="0"/>
              <w:jc w:val="center"/>
              <w:rPr>
                <w:kern w:val="0"/>
                <w:sz w:val="18"/>
                <w:szCs w:val="18"/>
              </w:rPr>
            </w:pPr>
            <w:r>
              <w:rPr>
                <w:sz w:val="22"/>
                <w:szCs w:val="22"/>
              </w:rPr>
              <w:t>0.024</w:t>
            </w:r>
          </w:p>
        </w:tc>
        <w:tc>
          <w:tcPr>
            <w:tcW w:w="2448" w:type="dxa"/>
            <w:shd w:val="clear" w:color="auto" w:fill="auto"/>
            <w:noWrap/>
            <w:vAlign w:val="bottom"/>
          </w:tcPr>
          <w:p w:rsidR="00F55E3A" w:rsidRDefault="00F577EE">
            <w:pPr>
              <w:widowControl/>
              <w:snapToGrid w:val="0"/>
              <w:jc w:val="center"/>
              <w:rPr>
                <w:kern w:val="0"/>
                <w:sz w:val="18"/>
                <w:szCs w:val="18"/>
              </w:rPr>
            </w:pPr>
            <w:r>
              <w:rPr>
                <w:sz w:val="22"/>
                <w:szCs w:val="22"/>
              </w:rPr>
              <w:t>0.043</w:t>
            </w:r>
          </w:p>
        </w:tc>
        <w:tc>
          <w:tcPr>
            <w:tcW w:w="2660" w:type="dxa"/>
            <w:shd w:val="clear" w:color="auto" w:fill="auto"/>
            <w:noWrap/>
            <w:vAlign w:val="bottom"/>
          </w:tcPr>
          <w:p w:rsidR="00F55E3A" w:rsidRDefault="00F577EE">
            <w:pPr>
              <w:widowControl/>
              <w:snapToGrid w:val="0"/>
              <w:jc w:val="center"/>
              <w:rPr>
                <w:kern w:val="0"/>
                <w:sz w:val="18"/>
                <w:szCs w:val="18"/>
              </w:rPr>
            </w:pPr>
            <w:r>
              <w:rPr>
                <w:sz w:val="22"/>
                <w:szCs w:val="22"/>
              </w:rPr>
              <w:t>0.048</w:t>
            </w:r>
          </w:p>
        </w:tc>
      </w:tr>
      <w:tr w:rsidR="00F55E3A">
        <w:trPr>
          <w:trHeight w:val="259"/>
          <w:jc w:val="center"/>
        </w:trPr>
        <w:tc>
          <w:tcPr>
            <w:tcW w:w="1945" w:type="dxa"/>
            <w:shd w:val="clear" w:color="auto" w:fill="auto"/>
            <w:noWrap/>
            <w:vAlign w:val="center"/>
          </w:tcPr>
          <w:p w:rsidR="00F55E3A" w:rsidRDefault="00F577EE">
            <w:pPr>
              <w:widowControl/>
              <w:snapToGrid w:val="0"/>
              <w:jc w:val="center"/>
              <w:rPr>
                <w:kern w:val="0"/>
                <w:sz w:val="18"/>
                <w:szCs w:val="18"/>
              </w:rPr>
            </w:pPr>
            <w:proofErr w:type="spellStart"/>
            <w:r>
              <w:rPr>
                <w:kern w:val="0"/>
                <w:sz w:val="18"/>
                <w:szCs w:val="18"/>
              </w:rPr>
              <w:t>S</w:t>
            </w:r>
            <w:r>
              <w:rPr>
                <w:kern w:val="0"/>
                <w:sz w:val="18"/>
                <w:szCs w:val="18"/>
                <w:vertAlign w:val="subscript"/>
              </w:rPr>
              <w:t>rj</w:t>
            </w:r>
            <w:proofErr w:type="spellEnd"/>
          </w:p>
        </w:tc>
        <w:tc>
          <w:tcPr>
            <w:tcW w:w="2301" w:type="dxa"/>
            <w:shd w:val="clear" w:color="auto" w:fill="auto"/>
            <w:noWrap/>
            <w:vAlign w:val="bottom"/>
          </w:tcPr>
          <w:p w:rsidR="00F55E3A" w:rsidRDefault="00F577EE">
            <w:pPr>
              <w:widowControl/>
              <w:snapToGrid w:val="0"/>
              <w:jc w:val="center"/>
              <w:rPr>
                <w:kern w:val="0"/>
                <w:sz w:val="18"/>
                <w:szCs w:val="18"/>
              </w:rPr>
            </w:pPr>
            <w:r>
              <w:rPr>
                <w:sz w:val="22"/>
                <w:szCs w:val="22"/>
              </w:rPr>
              <w:t>0.016</w:t>
            </w:r>
          </w:p>
        </w:tc>
        <w:tc>
          <w:tcPr>
            <w:tcW w:w="2448" w:type="dxa"/>
            <w:shd w:val="clear" w:color="auto" w:fill="auto"/>
            <w:noWrap/>
            <w:vAlign w:val="bottom"/>
          </w:tcPr>
          <w:p w:rsidR="00F55E3A" w:rsidRDefault="00F577EE">
            <w:pPr>
              <w:widowControl/>
              <w:snapToGrid w:val="0"/>
              <w:jc w:val="center"/>
              <w:rPr>
                <w:kern w:val="0"/>
                <w:sz w:val="18"/>
                <w:szCs w:val="18"/>
              </w:rPr>
            </w:pPr>
            <w:r>
              <w:rPr>
                <w:sz w:val="22"/>
                <w:szCs w:val="22"/>
              </w:rPr>
              <w:t>0.032</w:t>
            </w:r>
          </w:p>
        </w:tc>
        <w:tc>
          <w:tcPr>
            <w:tcW w:w="2660" w:type="dxa"/>
            <w:shd w:val="clear" w:color="auto" w:fill="auto"/>
            <w:noWrap/>
            <w:vAlign w:val="bottom"/>
          </w:tcPr>
          <w:p w:rsidR="00F55E3A" w:rsidRDefault="00F577EE">
            <w:pPr>
              <w:widowControl/>
              <w:snapToGrid w:val="0"/>
              <w:jc w:val="center"/>
              <w:rPr>
                <w:kern w:val="0"/>
                <w:sz w:val="18"/>
                <w:szCs w:val="18"/>
              </w:rPr>
            </w:pPr>
            <w:r>
              <w:rPr>
                <w:sz w:val="22"/>
                <w:szCs w:val="22"/>
              </w:rPr>
              <w:t>0.030</w:t>
            </w:r>
          </w:p>
        </w:tc>
      </w:tr>
      <w:tr w:rsidR="00F55E3A">
        <w:trPr>
          <w:trHeight w:val="259"/>
          <w:jc w:val="center"/>
        </w:trPr>
        <w:tc>
          <w:tcPr>
            <w:tcW w:w="1945" w:type="dxa"/>
            <w:shd w:val="clear" w:color="auto" w:fill="auto"/>
            <w:noWrap/>
            <w:vAlign w:val="center"/>
          </w:tcPr>
          <w:p w:rsidR="00F55E3A" w:rsidRDefault="00F577EE">
            <w:pPr>
              <w:widowControl/>
              <w:snapToGrid w:val="0"/>
              <w:jc w:val="center"/>
              <w:rPr>
                <w:b/>
                <w:bCs/>
                <w:kern w:val="0"/>
                <w:sz w:val="18"/>
                <w:szCs w:val="18"/>
              </w:rPr>
            </w:pPr>
            <w:r>
              <w:rPr>
                <w:b/>
                <w:bCs/>
                <w:kern w:val="0"/>
                <w:sz w:val="18"/>
                <w:szCs w:val="18"/>
              </w:rPr>
              <w:t>m</w:t>
            </w:r>
          </w:p>
        </w:tc>
        <w:tc>
          <w:tcPr>
            <w:tcW w:w="2301" w:type="dxa"/>
            <w:shd w:val="clear" w:color="auto" w:fill="auto"/>
            <w:noWrap/>
            <w:vAlign w:val="bottom"/>
          </w:tcPr>
          <w:p w:rsidR="00F55E3A" w:rsidRDefault="00F577EE">
            <w:pPr>
              <w:widowControl/>
              <w:snapToGrid w:val="0"/>
              <w:jc w:val="center"/>
              <w:rPr>
                <w:b/>
                <w:bCs/>
                <w:kern w:val="0"/>
                <w:sz w:val="18"/>
                <w:szCs w:val="18"/>
              </w:rPr>
            </w:pPr>
            <w:r>
              <w:rPr>
                <w:b/>
                <w:bCs/>
                <w:sz w:val="22"/>
                <w:szCs w:val="22"/>
              </w:rPr>
              <w:t>1.21</w:t>
            </w:r>
          </w:p>
        </w:tc>
        <w:tc>
          <w:tcPr>
            <w:tcW w:w="2448" w:type="dxa"/>
            <w:shd w:val="clear" w:color="auto" w:fill="auto"/>
            <w:noWrap/>
            <w:vAlign w:val="bottom"/>
          </w:tcPr>
          <w:p w:rsidR="00F55E3A" w:rsidRDefault="00F577EE">
            <w:pPr>
              <w:widowControl/>
              <w:snapToGrid w:val="0"/>
              <w:jc w:val="center"/>
              <w:rPr>
                <w:b/>
                <w:bCs/>
                <w:kern w:val="0"/>
                <w:sz w:val="18"/>
                <w:szCs w:val="18"/>
              </w:rPr>
            </w:pPr>
            <w:r>
              <w:rPr>
                <w:b/>
                <w:bCs/>
                <w:sz w:val="22"/>
                <w:szCs w:val="22"/>
              </w:rPr>
              <w:t>2.45</w:t>
            </w:r>
          </w:p>
        </w:tc>
        <w:tc>
          <w:tcPr>
            <w:tcW w:w="2660" w:type="dxa"/>
            <w:shd w:val="clear" w:color="auto" w:fill="auto"/>
            <w:noWrap/>
            <w:vAlign w:val="bottom"/>
          </w:tcPr>
          <w:p w:rsidR="00F55E3A" w:rsidRDefault="00F577EE">
            <w:pPr>
              <w:widowControl/>
              <w:snapToGrid w:val="0"/>
              <w:jc w:val="center"/>
              <w:rPr>
                <w:b/>
                <w:bCs/>
                <w:kern w:val="0"/>
                <w:sz w:val="18"/>
                <w:szCs w:val="18"/>
              </w:rPr>
            </w:pPr>
            <w:r>
              <w:rPr>
                <w:b/>
                <w:bCs/>
                <w:sz w:val="22"/>
                <w:szCs w:val="22"/>
              </w:rPr>
              <w:t>3.48</w:t>
            </w:r>
          </w:p>
        </w:tc>
      </w:tr>
      <w:tr w:rsidR="00F55E3A">
        <w:trPr>
          <w:trHeight w:val="259"/>
          <w:jc w:val="center"/>
        </w:trPr>
        <w:tc>
          <w:tcPr>
            <w:tcW w:w="1945" w:type="dxa"/>
            <w:shd w:val="clear" w:color="auto" w:fill="auto"/>
            <w:noWrap/>
            <w:vAlign w:val="center"/>
          </w:tcPr>
          <w:p w:rsidR="00F55E3A" w:rsidRDefault="00F577EE">
            <w:pPr>
              <w:widowControl/>
              <w:snapToGrid w:val="0"/>
              <w:jc w:val="center"/>
              <w:rPr>
                <w:b/>
                <w:bCs/>
                <w:kern w:val="0"/>
                <w:sz w:val="18"/>
                <w:szCs w:val="18"/>
              </w:rPr>
            </w:pPr>
            <w:r>
              <w:rPr>
                <w:b/>
                <w:bCs/>
                <w:kern w:val="0"/>
                <w:sz w:val="18"/>
                <w:szCs w:val="18"/>
              </w:rPr>
              <w:t>r</w:t>
            </w:r>
          </w:p>
        </w:tc>
        <w:tc>
          <w:tcPr>
            <w:tcW w:w="2301" w:type="dxa"/>
            <w:shd w:val="clear" w:color="auto" w:fill="auto"/>
            <w:noWrap/>
            <w:vAlign w:val="bottom"/>
          </w:tcPr>
          <w:p w:rsidR="00F55E3A" w:rsidRDefault="00F577EE">
            <w:pPr>
              <w:widowControl/>
              <w:snapToGrid w:val="0"/>
              <w:jc w:val="center"/>
              <w:rPr>
                <w:b/>
                <w:bCs/>
                <w:kern w:val="0"/>
                <w:sz w:val="18"/>
                <w:szCs w:val="18"/>
              </w:rPr>
            </w:pPr>
            <w:r>
              <w:rPr>
                <w:b/>
                <w:bCs/>
                <w:sz w:val="22"/>
                <w:szCs w:val="22"/>
              </w:rPr>
              <w:t>0.046</w:t>
            </w:r>
          </w:p>
        </w:tc>
        <w:tc>
          <w:tcPr>
            <w:tcW w:w="2448" w:type="dxa"/>
            <w:shd w:val="clear" w:color="auto" w:fill="auto"/>
            <w:noWrap/>
            <w:vAlign w:val="bottom"/>
          </w:tcPr>
          <w:p w:rsidR="00F55E3A" w:rsidRDefault="00F577EE">
            <w:pPr>
              <w:widowControl/>
              <w:snapToGrid w:val="0"/>
              <w:jc w:val="center"/>
              <w:rPr>
                <w:b/>
                <w:bCs/>
                <w:kern w:val="0"/>
                <w:sz w:val="18"/>
                <w:szCs w:val="18"/>
              </w:rPr>
            </w:pPr>
            <w:r>
              <w:rPr>
                <w:b/>
                <w:bCs/>
                <w:sz w:val="22"/>
                <w:szCs w:val="22"/>
              </w:rPr>
              <w:t>0.090</w:t>
            </w:r>
          </w:p>
        </w:tc>
        <w:tc>
          <w:tcPr>
            <w:tcW w:w="2660" w:type="dxa"/>
            <w:shd w:val="clear" w:color="auto" w:fill="auto"/>
            <w:noWrap/>
            <w:vAlign w:val="bottom"/>
          </w:tcPr>
          <w:p w:rsidR="00F55E3A" w:rsidRDefault="00F577EE">
            <w:pPr>
              <w:widowControl/>
              <w:snapToGrid w:val="0"/>
              <w:jc w:val="center"/>
              <w:rPr>
                <w:b/>
                <w:bCs/>
                <w:kern w:val="0"/>
                <w:sz w:val="18"/>
                <w:szCs w:val="18"/>
              </w:rPr>
            </w:pPr>
            <w:r>
              <w:rPr>
                <w:b/>
                <w:bCs/>
                <w:sz w:val="22"/>
                <w:szCs w:val="22"/>
              </w:rPr>
              <w:t>0.084</w:t>
            </w:r>
          </w:p>
        </w:tc>
      </w:tr>
      <w:tr w:rsidR="00F55E3A">
        <w:trPr>
          <w:trHeight w:val="259"/>
          <w:jc w:val="center"/>
        </w:trPr>
        <w:tc>
          <w:tcPr>
            <w:tcW w:w="1945" w:type="dxa"/>
            <w:shd w:val="clear" w:color="auto" w:fill="auto"/>
            <w:noWrap/>
            <w:vAlign w:val="center"/>
          </w:tcPr>
          <w:p w:rsidR="00F55E3A" w:rsidRDefault="00F577EE">
            <w:pPr>
              <w:widowControl/>
              <w:snapToGrid w:val="0"/>
              <w:jc w:val="center"/>
              <w:rPr>
                <w:b/>
                <w:bCs/>
                <w:kern w:val="0"/>
                <w:sz w:val="18"/>
                <w:szCs w:val="18"/>
              </w:rPr>
            </w:pPr>
            <w:r>
              <w:rPr>
                <w:b/>
                <w:bCs/>
                <w:kern w:val="0"/>
                <w:sz w:val="18"/>
                <w:szCs w:val="18"/>
              </w:rPr>
              <w:t>R</w:t>
            </w:r>
          </w:p>
        </w:tc>
        <w:tc>
          <w:tcPr>
            <w:tcW w:w="2301" w:type="dxa"/>
            <w:shd w:val="clear" w:color="auto" w:fill="auto"/>
            <w:noWrap/>
            <w:vAlign w:val="bottom"/>
          </w:tcPr>
          <w:p w:rsidR="00F55E3A" w:rsidRDefault="00F577EE">
            <w:pPr>
              <w:widowControl/>
              <w:snapToGrid w:val="0"/>
              <w:jc w:val="center"/>
              <w:rPr>
                <w:b/>
                <w:bCs/>
                <w:kern w:val="0"/>
                <w:sz w:val="18"/>
                <w:szCs w:val="18"/>
              </w:rPr>
            </w:pPr>
            <w:r>
              <w:rPr>
                <w:b/>
                <w:bCs/>
                <w:sz w:val="22"/>
                <w:szCs w:val="22"/>
              </w:rPr>
              <w:t>0.068</w:t>
            </w:r>
          </w:p>
        </w:tc>
        <w:tc>
          <w:tcPr>
            <w:tcW w:w="2448" w:type="dxa"/>
            <w:shd w:val="clear" w:color="auto" w:fill="auto"/>
            <w:noWrap/>
            <w:vAlign w:val="bottom"/>
          </w:tcPr>
          <w:p w:rsidR="00F55E3A" w:rsidRDefault="00F577EE">
            <w:pPr>
              <w:widowControl/>
              <w:snapToGrid w:val="0"/>
              <w:jc w:val="center"/>
              <w:rPr>
                <w:b/>
                <w:bCs/>
                <w:kern w:val="0"/>
                <w:sz w:val="18"/>
                <w:szCs w:val="18"/>
              </w:rPr>
            </w:pPr>
            <w:r>
              <w:rPr>
                <w:b/>
                <w:bCs/>
                <w:sz w:val="22"/>
                <w:szCs w:val="22"/>
              </w:rPr>
              <w:t>0.120</w:t>
            </w:r>
          </w:p>
        </w:tc>
        <w:tc>
          <w:tcPr>
            <w:tcW w:w="2660" w:type="dxa"/>
            <w:shd w:val="clear" w:color="auto" w:fill="auto"/>
            <w:noWrap/>
            <w:vAlign w:val="bottom"/>
          </w:tcPr>
          <w:p w:rsidR="00F55E3A" w:rsidRDefault="00F577EE">
            <w:pPr>
              <w:widowControl/>
              <w:snapToGrid w:val="0"/>
              <w:jc w:val="center"/>
              <w:rPr>
                <w:b/>
                <w:bCs/>
                <w:kern w:val="0"/>
                <w:sz w:val="18"/>
                <w:szCs w:val="18"/>
              </w:rPr>
            </w:pPr>
            <w:r>
              <w:rPr>
                <w:b/>
                <w:bCs/>
                <w:sz w:val="22"/>
                <w:szCs w:val="22"/>
              </w:rPr>
              <w:t>0.135</w:t>
            </w:r>
          </w:p>
        </w:tc>
      </w:tr>
    </w:tbl>
    <w:p w:rsidR="00F55E3A" w:rsidRDefault="00F577EE">
      <w:pPr>
        <w:outlineLvl w:val="3"/>
        <w:rPr>
          <w:b/>
          <w:spacing w:val="8"/>
          <w:szCs w:val="21"/>
        </w:rPr>
      </w:pPr>
      <w:r>
        <w:rPr>
          <w:rFonts w:hint="eastAsia"/>
          <w:b/>
          <w:spacing w:val="8"/>
          <w:szCs w:val="21"/>
        </w:rPr>
        <w:t>5</w:t>
      </w:r>
      <w:r>
        <w:rPr>
          <w:rFonts w:hint="eastAsia"/>
          <w:b/>
          <w:spacing w:val="8"/>
          <w:szCs w:val="21"/>
        </w:rPr>
        <w:t>）</w:t>
      </w:r>
      <w:r>
        <w:rPr>
          <w:b/>
          <w:spacing w:val="8"/>
          <w:szCs w:val="21"/>
        </w:rPr>
        <w:t xml:space="preserve"> </w:t>
      </w:r>
      <w:r>
        <w:rPr>
          <w:b/>
          <w:spacing w:val="8"/>
          <w:szCs w:val="21"/>
        </w:rPr>
        <w:t>重复性和再现性</w:t>
      </w:r>
    </w:p>
    <w:p w:rsidR="00F55E3A" w:rsidRDefault="00F577EE">
      <w:pPr>
        <w:ind w:firstLine="420"/>
        <w:jc w:val="left"/>
        <w:rPr>
          <w:kern w:val="1"/>
          <w:szCs w:val="21"/>
        </w:rPr>
      </w:pPr>
      <w:r>
        <w:rPr>
          <w:rFonts w:hint="eastAsia"/>
          <w:kern w:val="1"/>
          <w:szCs w:val="21"/>
        </w:rPr>
        <w:t>本次修订工作由于没有收集到铜含量</w:t>
      </w:r>
      <w:r>
        <w:rPr>
          <w:rFonts w:hint="eastAsia"/>
          <w:kern w:val="1"/>
          <w:szCs w:val="21"/>
        </w:rPr>
        <w:t>&lt;</w:t>
      </w:r>
      <w:r>
        <w:rPr>
          <w:kern w:val="1"/>
          <w:szCs w:val="21"/>
        </w:rPr>
        <w:t>1%</w:t>
      </w:r>
      <w:r>
        <w:rPr>
          <w:rFonts w:hint="eastAsia"/>
          <w:kern w:val="1"/>
          <w:szCs w:val="21"/>
        </w:rPr>
        <w:t>的样品，继续保留了</w:t>
      </w:r>
      <w:r>
        <w:rPr>
          <w:rFonts w:hint="eastAsia"/>
          <w:kern w:val="1"/>
          <w:szCs w:val="21"/>
        </w:rPr>
        <w:t>YS/T</w:t>
      </w:r>
      <w:r>
        <w:rPr>
          <w:kern w:val="1"/>
          <w:szCs w:val="21"/>
        </w:rPr>
        <w:t>349.2-2010</w:t>
      </w:r>
      <w:r>
        <w:rPr>
          <w:rFonts w:hint="eastAsia"/>
          <w:kern w:val="1"/>
          <w:szCs w:val="21"/>
        </w:rPr>
        <w:t>版铜含量</w:t>
      </w:r>
      <w:r>
        <w:rPr>
          <w:rFonts w:hint="eastAsia"/>
          <w:kern w:val="1"/>
          <w:szCs w:val="21"/>
        </w:rPr>
        <w:t>&lt;</w:t>
      </w:r>
      <w:r>
        <w:rPr>
          <w:kern w:val="1"/>
          <w:szCs w:val="21"/>
        </w:rPr>
        <w:t>1%</w:t>
      </w:r>
      <w:r>
        <w:rPr>
          <w:rFonts w:hint="eastAsia"/>
          <w:kern w:val="1"/>
          <w:szCs w:val="21"/>
        </w:rPr>
        <w:t>的部分，通过调取当时的数据统计结果，见表</w:t>
      </w:r>
      <w:r>
        <w:rPr>
          <w:rFonts w:hint="eastAsia"/>
          <w:kern w:val="1"/>
          <w:szCs w:val="21"/>
        </w:rPr>
        <w:t>6</w:t>
      </w:r>
      <w:r>
        <w:rPr>
          <w:rFonts w:hint="eastAsia"/>
          <w:kern w:val="1"/>
          <w:szCs w:val="21"/>
        </w:rPr>
        <w:t>；</w:t>
      </w:r>
      <w:r>
        <w:rPr>
          <w:kern w:val="1"/>
          <w:szCs w:val="21"/>
        </w:rPr>
        <w:t>由于</w:t>
      </w:r>
      <w:r>
        <w:rPr>
          <w:rFonts w:hint="eastAsia"/>
          <w:kern w:val="1"/>
          <w:szCs w:val="21"/>
        </w:rPr>
        <w:t>标准起草过程中，对验证样品的精密度试验相对日常分析还是有所不同，结合修订前后的试验统计结果，</w:t>
      </w:r>
      <w:r>
        <w:rPr>
          <w:kern w:val="1"/>
          <w:szCs w:val="21"/>
        </w:rPr>
        <w:t>经</w:t>
      </w:r>
      <w:r>
        <w:rPr>
          <w:rFonts w:hint="eastAsia"/>
          <w:kern w:val="1"/>
          <w:szCs w:val="21"/>
        </w:rPr>
        <w:t>综合考虑，对铜含量</w:t>
      </w:r>
      <w:r>
        <w:rPr>
          <w:rFonts w:hint="eastAsia"/>
          <w:kern w:val="1"/>
          <w:szCs w:val="21"/>
        </w:rPr>
        <w:t>&lt;</w:t>
      </w:r>
      <w:r>
        <w:rPr>
          <w:kern w:val="1"/>
          <w:szCs w:val="21"/>
        </w:rPr>
        <w:t>1%</w:t>
      </w:r>
      <w:r>
        <w:rPr>
          <w:rFonts w:hint="eastAsia"/>
          <w:kern w:val="1"/>
          <w:szCs w:val="21"/>
        </w:rPr>
        <w:t>的</w:t>
      </w:r>
      <w:r>
        <w:rPr>
          <w:szCs w:val="21"/>
        </w:rPr>
        <w:t>重复性</w:t>
      </w:r>
      <w:r>
        <w:rPr>
          <w:kern w:val="1"/>
          <w:szCs w:val="21"/>
        </w:rPr>
        <w:t>r</w:t>
      </w:r>
      <w:r>
        <w:rPr>
          <w:szCs w:val="21"/>
        </w:rPr>
        <w:t>和再现性</w:t>
      </w:r>
      <w:r>
        <w:rPr>
          <w:kern w:val="1"/>
          <w:szCs w:val="21"/>
        </w:rPr>
        <w:t>R</w:t>
      </w:r>
      <w:r>
        <w:rPr>
          <w:kern w:val="1"/>
          <w:szCs w:val="21"/>
        </w:rPr>
        <w:t>值</w:t>
      </w:r>
      <w:r>
        <w:rPr>
          <w:rFonts w:hint="eastAsia"/>
          <w:kern w:val="1"/>
          <w:szCs w:val="21"/>
        </w:rPr>
        <w:t>重新做了规定，并对本次实验所得的</w:t>
      </w:r>
      <w:r>
        <w:rPr>
          <w:szCs w:val="21"/>
        </w:rPr>
        <w:t>重复性</w:t>
      </w:r>
      <w:r>
        <w:rPr>
          <w:kern w:val="1"/>
          <w:szCs w:val="21"/>
        </w:rPr>
        <w:t>r</w:t>
      </w:r>
      <w:r>
        <w:rPr>
          <w:szCs w:val="21"/>
        </w:rPr>
        <w:t>和再现性</w:t>
      </w:r>
      <w:r>
        <w:rPr>
          <w:kern w:val="1"/>
          <w:szCs w:val="21"/>
        </w:rPr>
        <w:t>R</w:t>
      </w:r>
      <w:r>
        <w:rPr>
          <w:kern w:val="1"/>
          <w:szCs w:val="21"/>
        </w:rPr>
        <w:t>值</w:t>
      </w:r>
      <w:r>
        <w:rPr>
          <w:rFonts w:hint="eastAsia"/>
          <w:kern w:val="1"/>
          <w:szCs w:val="21"/>
        </w:rPr>
        <w:t>进行适当调整，调整结果</w:t>
      </w:r>
      <w:r>
        <w:rPr>
          <w:kern w:val="1"/>
          <w:szCs w:val="21"/>
        </w:rPr>
        <w:t>见表</w:t>
      </w:r>
      <w:r>
        <w:rPr>
          <w:kern w:val="1"/>
          <w:szCs w:val="21"/>
        </w:rPr>
        <w:t>7</w:t>
      </w:r>
      <w:r>
        <w:rPr>
          <w:kern w:val="1"/>
          <w:szCs w:val="21"/>
        </w:rPr>
        <w:t>。</w:t>
      </w:r>
    </w:p>
    <w:p w:rsidR="00F55E3A" w:rsidRDefault="00F577EE" w:rsidP="00F577EE">
      <w:pPr>
        <w:spacing w:beforeLines="50"/>
        <w:jc w:val="center"/>
        <w:rPr>
          <w:rFonts w:ascii="黑体" w:eastAsia="黑体"/>
          <w:bCs/>
          <w:color w:val="000000"/>
          <w:szCs w:val="21"/>
        </w:rPr>
      </w:pPr>
      <w:r>
        <w:rPr>
          <w:rFonts w:ascii="黑体" w:eastAsia="黑体" w:hint="eastAsia"/>
          <w:bCs/>
          <w:color w:val="000000"/>
          <w:szCs w:val="21"/>
        </w:rPr>
        <w:t>表</w:t>
      </w:r>
      <w:r>
        <w:rPr>
          <w:rFonts w:ascii="黑体" w:eastAsia="黑体"/>
          <w:bCs/>
          <w:color w:val="000000"/>
          <w:szCs w:val="21"/>
        </w:rPr>
        <w:t xml:space="preserve">6  </w:t>
      </w:r>
      <w:r>
        <w:rPr>
          <w:rFonts w:ascii="黑体" w:eastAsia="黑体" w:hint="eastAsia"/>
          <w:bCs/>
          <w:color w:val="000000"/>
          <w:szCs w:val="21"/>
        </w:rPr>
        <w:t>YS/T</w:t>
      </w:r>
      <w:r>
        <w:rPr>
          <w:rFonts w:ascii="黑体" w:eastAsia="黑体"/>
          <w:bCs/>
          <w:color w:val="000000"/>
          <w:szCs w:val="21"/>
        </w:rPr>
        <w:t>349.2-2010</w:t>
      </w:r>
      <w:r>
        <w:rPr>
          <w:rFonts w:ascii="黑体" w:eastAsia="黑体" w:hint="eastAsia"/>
          <w:bCs/>
          <w:color w:val="000000"/>
          <w:szCs w:val="21"/>
        </w:rPr>
        <w:t>版统计和最终确定的重复性限r和再现性限R</w:t>
      </w:r>
    </w:p>
    <w:tbl>
      <w:tblPr>
        <w:tblW w:w="9463" w:type="dxa"/>
        <w:jc w:val="center"/>
        <w:tblLayout w:type="fixed"/>
        <w:tblLook w:val="04A0"/>
      </w:tblPr>
      <w:tblGrid>
        <w:gridCol w:w="2365"/>
        <w:gridCol w:w="2366"/>
        <w:gridCol w:w="2366"/>
        <w:gridCol w:w="2366"/>
      </w:tblGrid>
      <w:tr w:rsidR="00F55E3A">
        <w:trPr>
          <w:trHeight w:val="211"/>
          <w:jc w:val="center"/>
        </w:trPr>
        <w:tc>
          <w:tcPr>
            <w:tcW w:w="2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proofErr w:type="spellStart"/>
            <w:r>
              <w:rPr>
                <w:bCs/>
                <w:i/>
                <w:kern w:val="0"/>
                <w:sz w:val="18"/>
                <w:szCs w:val="18"/>
              </w:rPr>
              <w:t>w</w:t>
            </w:r>
            <w:r>
              <w:rPr>
                <w:bCs/>
                <w:kern w:val="0"/>
                <w:sz w:val="18"/>
                <w:szCs w:val="18"/>
                <w:vertAlign w:val="subscript"/>
              </w:rPr>
              <w:t>Cu</w:t>
            </w:r>
            <w:proofErr w:type="spellEnd"/>
            <w:r>
              <w:rPr>
                <w:bCs/>
                <w:kern w:val="0"/>
                <w:sz w:val="18"/>
                <w:szCs w:val="18"/>
                <w:vertAlign w:val="subscript"/>
              </w:rPr>
              <w:t xml:space="preserve"> </w:t>
            </w:r>
            <w:r>
              <w:rPr>
                <w:bCs/>
                <w:kern w:val="0"/>
                <w:sz w:val="18"/>
                <w:szCs w:val="18"/>
              </w:rPr>
              <w:t>/</w:t>
            </w:r>
            <w:r>
              <w:rPr>
                <w:bCs/>
                <w:kern w:val="0"/>
                <w:sz w:val="18"/>
                <w:szCs w:val="18"/>
              </w:rPr>
              <w:t>（</w:t>
            </w:r>
            <w:r>
              <w:rPr>
                <w:bCs/>
                <w:kern w:val="0"/>
                <w:sz w:val="18"/>
                <w:szCs w:val="18"/>
              </w:rPr>
              <w:t>%</w:t>
            </w:r>
            <w:r>
              <w:rPr>
                <w:bCs/>
                <w:kern w:val="0"/>
                <w:sz w:val="18"/>
                <w:szCs w:val="18"/>
              </w:rPr>
              <w:t>）</w:t>
            </w:r>
          </w:p>
        </w:tc>
        <w:tc>
          <w:tcPr>
            <w:tcW w:w="2366" w:type="dxa"/>
            <w:tcBorders>
              <w:top w:val="single" w:sz="4" w:space="0" w:color="auto"/>
              <w:left w:val="nil"/>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bCs/>
                <w:kern w:val="0"/>
                <w:sz w:val="18"/>
                <w:szCs w:val="18"/>
              </w:rPr>
              <w:t>0.42</w:t>
            </w:r>
          </w:p>
        </w:tc>
        <w:tc>
          <w:tcPr>
            <w:tcW w:w="2366" w:type="dxa"/>
            <w:tcBorders>
              <w:top w:val="single" w:sz="4" w:space="0" w:color="auto"/>
              <w:left w:val="nil"/>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bCs/>
                <w:kern w:val="0"/>
                <w:sz w:val="18"/>
                <w:szCs w:val="18"/>
              </w:rPr>
              <w:t>1.05</w:t>
            </w:r>
          </w:p>
        </w:tc>
        <w:tc>
          <w:tcPr>
            <w:tcW w:w="2366" w:type="dxa"/>
            <w:tcBorders>
              <w:top w:val="single" w:sz="4" w:space="0" w:color="auto"/>
              <w:left w:val="nil"/>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bCs/>
                <w:kern w:val="0"/>
                <w:sz w:val="18"/>
                <w:szCs w:val="18"/>
              </w:rPr>
              <w:t>1.90</w:t>
            </w:r>
          </w:p>
        </w:tc>
      </w:tr>
      <w:tr w:rsidR="00F55E3A">
        <w:trPr>
          <w:trHeight w:val="211"/>
          <w:jc w:val="center"/>
        </w:trPr>
        <w:tc>
          <w:tcPr>
            <w:tcW w:w="2365" w:type="dxa"/>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rFonts w:hint="eastAsia"/>
                <w:bCs/>
                <w:kern w:val="0"/>
                <w:sz w:val="18"/>
                <w:szCs w:val="18"/>
              </w:rPr>
              <w:t>统计计算的</w:t>
            </w:r>
            <w:r>
              <w:rPr>
                <w:bCs/>
                <w:kern w:val="0"/>
                <w:sz w:val="18"/>
                <w:szCs w:val="18"/>
              </w:rPr>
              <w:t>r</w:t>
            </w:r>
            <w:r>
              <w:rPr>
                <w:bCs/>
                <w:kern w:val="0"/>
                <w:sz w:val="18"/>
                <w:szCs w:val="18"/>
                <w:vertAlign w:val="subscript"/>
              </w:rPr>
              <w:t xml:space="preserve"> </w:t>
            </w:r>
            <w:r>
              <w:rPr>
                <w:bCs/>
                <w:kern w:val="0"/>
                <w:sz w:val="18"/>
                <w:szCs w:val="18"/>
              </w:rPr>
              <w:t>/</w:t>
            </w:r>
            <w:r>
              <w:rPr>
                <w:bCs/>
                <w:kern w:val="0"/>
                <w:sz w:val="18"/>
                <w:szCs w:val="18"/>
              </w:rPr>
              <w:t>（</w:t>
            </w:r>
            <w:r>
              <w:rPr>
                <w:bCs/>
                <w:kern w:val="0"/>
                <w:sz w:val="18"/>
                <w:szCs w:val="18"/>
              </w:rPr>
              <w:t>%</w:t>
            </w:r>
            <w:r>
              <w:rPr>
                <w:bCs/>
                <w:kern w:val="0"/>
                <w:sz w:val="18"/>
                <w:szCs w:val="18"/>
              </w:rPr>
              <w:t>）</w:t>
            </w:r>
          </w:p>
        </w:tc>
        <w:tc>
          <w:tcPr>
            <w:tcW w:w="2366" w:type="dxa"/>
            <w:tcBorders>
              <w:top w:val="nil"/>
              <w:left w:val="nil"/>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bCs/>
                <w:kern w:val="0"/>
                <w:sz w:val="18"/>
                <w:szCs w:val="18"/>
              </w:rPr>
              <w:t>0.019</w:t>
            </w:r>
          </w:p>
        </w:tc>
        <w:tc>
          <w:tcPr>
            <w:tcW w:w="2366" w:type="dxa"/>
            <w:tcBorders>
              <w:top w:val="nil"/>
              <w:left w:val="nil"/>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bCs/>
                <w:kern w:val="0"/>
                <w:sz w:val="18"/>
                <w:szCs w:val="18"/>
              </w:rPr>
              <w:t>0.021</w:t>
            </w:r>
          </w:p>
        </w:tc>
        <w:tc>
          <w:tcPr>
            <w:tcW w:w="2366" w:type="dxa"/>
            <w:tcBorders>
              <w:top w:val="nil"/>
              <w:left w:val="nil"/>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bCs/>
                <w:kern w:val="0"/>
                <w:sz w:val="18"/>
                <w:szCs w:val="18"/>
              </w:rPr>
              <w:t>0.068</w:t>
            </w:r>
          </w:p>
        </w:tc>
      </w:tr>
      <w:tr w:rsidR="00F55E3A">
        <w:trPr>
          <w:trHeight w:val="202"/>
          <w:jc w:val="center"/>
        </w:trPr>
        <w:tc>
          <w:tcPr>
            <w:tcW w:w="2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rFonts w:hint="eastAsia"/>
                <w:bCs/>
                <w:kern w:val="0"/>
                <w:sz w:val="18"/>
                <w:szCs w:val="18"/>
              </w:rPr>
              <w:lastRenderedPageBreak/>
              <w:t>统计计算的</w:t>
            </w:r>
            <w:r>
              <w:rPr>
                <w:bCs/>
                <w:kern w:val="0"/>
                <w:sz w:val="18"/>
                <w:szCs w:val="18"/>
              </w:rPr>
              <w:t>R</w:t>
            </w:r>
            <w:r>
              <w:rPr>
                <w:bCs/>
                <w:kern w:val="0"/>
                <w:sz w:val="18"/>
                <w:szCs w:val="18"/>
                <w:vertAlign w:val="subscript"/>
              </w:rPr>
              <w:t xml:space="preserve"> </w:t>
            </w:r>
            <w:r>
              <w:rPr>
                <w:bCs/>
                <w:kern w:val="0"/>
                <w:sz w:val="18"/>
                <w:szCs w:val="18"/>
              </w:rPr>
              <w:t>/</w:t>
            </w:r>
            <w:r>
              <w:rPr>
                <w:bCs/>
                <w:kern w:val="0"/>
                <w:sz w:val="18"/>
                <w:szCs w:val="18"/>
              </w:rPr>
              <w:t>（</w:t>
            </w:r>
            <w:r>
              <w:rPr>
                <w:bCs/>
                <w:kern w:val="0"/>
                <w:sz w:val="18"/>
                <w:szCs w:val="18"/>
              </w:rPr>
              <w:t>%</w:t>
            </w:r>
            <w:r>
              <w:rPr>
                <w:bCs/>
                <w:kern w:val="0"/>
                <w:sz w:val="18"/>
                <w:szCs w:val="18"/>
              </w:rPr>
              <w:t>）</w:t>
            </w:r>
          </w:p>
        </w:tc>
        <w:tc>
          <w:tcPr>
            <w:tcW w:w="2366" w:type="dxa"/>
            <w:tcBorders>
              <w:top w:val="single" w:sz="4" w:space="0" w:color="auto"/>
              <w:left w:val="nil"/>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bCs/>
                <w:kern w:val="0"/>
                <w:sz w:val="18"/>
                <w:szCs w:val="18"/>
              </w:rPr>
              <w:t>0.023</w:t>
            </w:r>
          </w:p>
        </w:tc>
        <w:tc>
          <w:tcPr>
            <w:tcW w:w="2366" w:type="dxa"/>
            <w:tcBorders>
              <w:top w:val="single" w:sz="4" w:space="0" w:color="auto"/>
              <w:left w:val="nil"/>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bCs/>
                <w:kern w:val="0"/>
                <w:sz w:val="18"/>
                <w:szCs w:val="18"/>
              </w:rPr>
              <w:t>0.087</w:t>
            </w:r>
          </w:p>
        </w:tc>
        <w:tc>
          <w:tcPr>
            <w:tcW w:w="2366" w:type="dxa"/>
            <w:tcBorders>
              <w:top w:val="single" w:sz="4" w:space="0" w:color="auto"/>
              <w:left w:val="nil"/>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bCs/>
                <w:kern w:val="0"/>
                <w:sz w:val="18"/>
                <w:szCs w:val="18"/>
              </w:rPr>
              <w:t>0.081</w:t>
            </w:r>
          </w:p>
        </w:tc>
      </w:tr>
      <w:tr w:rsidR="00F55E3A">
        <w:trPr>
          <w:trHeight w:val="202"/>
          <w:jc w:val="center"/>
        </w:trPr>
        <w:tc>
          <w:tcPr>
            <w:tcW w:w="2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bCs/>
                <w:kern w:val="0"/>
                <w:sz w:val="18"/>
                <w:szCs w:val="18"/>
              </w:rPr>
              <w:t>最终确定的</w:t>
            </w:r>
            <w:r>
              <w:rPr>
                <w:bCs/>
                <w:kern w:val="0"/>
                <w:sz w:val="18"/>
                <w:szCs w:val="18"/>
              </w:rPr>
              <w:t>r</w:t>
            </w:r>
            <w:r>
              <w:rPr>
                <w:bCs/>
                <w:kern w:val="0"/>
                <w:sz w:val="18"/>
                <w:szCs w:val="18"/>
                <w:vertAlign w:val="subscript"/>
              </w:rPr>
              <w:t xml:space="preserve"> </w:t>
            </w:r>
            <w:r>
              <w:rPr>
                <w:bCs/>
                <w:kern w:val="0"/>
                <w:sz w:val="18"/>
                <w:szCs w:val="18"/>
              </w:rPr>
              <w:t>/</w:t>
            </w:r>
            <w:r>
              <w:rPr>
                <w:bCs/>
                <w:kern w:val="0"/>
                <w:sz w:val="18"/>
                <w:szCs w:val="18"/>
              </w:rPr>
              <w:t>（</w:t>
            </w:r>
            <w:r>
              <w:rPr>
                <w:bCs/>
                <w:kern w:val="0"/>
                <w:sz w:val="18"/>
                <w:szCs w:val="18"/>
              </w:rPr>
              <w:t>%</w:t>
            </w:r>
            <w:r>
              <w:rPr>
                <w:bCs/>
                <w:kern w:val="0"/>
                <w:sz w:val="18"/>
                <w:szCs w:val="18"/>
              </w:rPr>
              <w:t>）</w:t>
            </w:r>
          </w:p>
        </w:tc>
        <w:tc>
          <w:tcPr>
            <w:tcW w:w="2366" w:type="dxa"/>
            <w:tcBorders>
              <w:top w:val="single" w:sz="4" w:space="0" w:color="auto"/>
              <w:left w:val="nil"/>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bCs/>
                <w:kern w:val="0"/>
                <w:sz w:val="18"/>
                <w:szCs w:val="18"/>
              </w:rPr>
              <w:t>0.05</w:t>
            </w:r>
          </w:p>
        </w:tc>
        <w:tc>
          <w:tcPr>
            <w:tcW w:w="2366" w:type="dxa"/>
            <w:tcBorders>
              <w:top w:val="single" w:sz="4" w:space="0" w:color="auto"/>
              <w:left w:val="nil"/>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bCs/>
                <w:kern w:val="0"/>
                <w:sz w:val="18"/>
                <w:szCs w:val="18"/>
              </w:rPr>
              <w:t>0.10</w:t>
            </w:r>
          </w:p>
        </w:tc>
        <w:tc>
          <w:tcPr>
            <w:tcW w:w="2366" w:type="dxa"/>
            <w:tcBorders>
              <w:top w:val="single" w:sz="4" w:space="0" w:color="auto"/>
              <w:left w:val="nil"/>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bCs/>
                <w:kern w:val="0"/>
                <w:sz w:val="18"/>
                <w:szCs w:val="18"/>
              </w:rPr>
              <w:t>0.18</w:t>
            </w:r>
          </w:p>
        </w:tc>
      </w:tr>
      <w:tr w:rsidR="00F55E3A">
        <w:trPr>
          <w:trHeight w:val="202"/>
          <w:jc w:val="center"/>
        </w:trPr>
        <w:tc>
          <w:tcPr>
            <w:tcW w:w="2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bCs/>
                <w:kern w:val="0"/>
                <w:sz w:val="18"/>
                <w:szCs w:val="18"/>
              </w:rPr>
              <w:t>最终确定的</w:t>
            </w:r>
            <w:r>
              <w:rPr>
                <w:bCs/>
                <w:kern w:val="0"/>
                <w:sz w:val="18"/>
                <w:szCs w:val="18"/>
              </w:rPr>
              <w:t>R</w:t>
            </w:r>
            <w:r>
              <w:rPr>
                <w:bCs/>
                <w:kern w:val="0"/>
                <w:sz w:val="18"/>
                <w:szCs w:val="18"/>
                <w:vertAlign w:val="subscript"/>
              </w:rPr>
              <w:t xml:space="preserve"> </w:t>
            </w:r>
            <w:r>
              <w:rPr>
                <w:bCs/>
                <w:kern w:val="0"/>
                <w:sz w:val="18"/>
                <w:szCs w:val="18"/>
              </w:rPr>
              <w:t>/</w:t>
            </w:r>
            <w:r>
              <w:rPr>
                <w:bCs/>
                <w:kern w:val="0"/>
                <w:sz w:val="18"/>
                <w:szCs w:val="18"/>
              </w:rPr>
              <w:t>（</w:t>
            </w:r>
            <w:r>
              <w:rPr>
                <w:bCs/>
                <w:kern w:val="0"/>
                <w:sz w:val="18"/>
                <w:szCs w:val="18"/>
              </w:rPr>
              <w:t>%</w:t>
            </w:r>
            <w:r>
              <w:rPr>
                <w:bCs/>
                <w:kern w:val="0"/>
                <w:sz w:val="18"/>
                <w:szCs w:val="18"/>
              </w:rPr>
              <w:t>）</w:t>
            </w:r>
          </w:p>
        </w:tc>
        <w:tc>
          <w:tcPr>
            <w:tcW w:w="2366" w:type="dxa"/>
            <w:tcBorders>
              <w:top w:val="single" w:sz="4" w:space="0" w:color="auto"/>
              <w:left w:val="nil"/>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bCs/>
                <w:kern w:val="0"/>
                <w:sz w:val="18"/>
                <w:szCs w:val="18"/>
              </w:rPr>
              <w:t>0.06</w:t>
            </w:r>
          </w:p>
        </w:tc>
        <w:tc>
          <w:tcPr>
            <w:tcW w:w="2366" w:type="dxa"/>
            <w:tcBorders>
              <w:top w:val="single" w:sz="4" w:space="0" w:color="auto"/>
              <w:left w:val="nil"/>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bCs/>
                <w:kern w:val="0"/>
                <w:sz w:val="18"/>
                <w:szCs w:val="18"/>
              </w:rPr>
              <w:t>0.12</w:t>
            </w:r>
          </w:p>
        </w:tc>
        <w:tc>
          <w:tcPr>
            <w:tcW w:w="2366" w:type="dxa"/>
            <w:tcBorders>
              <w:top w:val="single" w:sz="4" w:space="0" w:color="auto"/>
              <w:left w:val="nil"/>
              <w:bottom w:val="single" w:sz="4" w:space="0" w:color="auto"/>
              <w:right w:val="single" w:sz="4" w:space="0" w:color="auto"/>
            </w:tcBorders>
            <w:shd w:val="clear" w:color="auto" w:fill="auto"/>
            <w:noWrap/>
            <w:vAlign w:val="center"/>
          </w:tcPr>
          <w:p w:rsidR="00F55E3A" w:rsidRDefault="00F577EE">
            <w:pPr>
              <w:widowControl/>
              <w:jc w:val="center"/>
              <w:rPr>
                <w:bCs/>
                <w:kern w:val="0"/>
                <w:sz w:val="18"/>
                <w:szCs w:val="18"/>
              </w:rPr>
            </w:pPr>
            <w:r>
              <w:rPr>
                <w:bCs/>
                <w:kern w:val="0"/>
                <w:sz w:val="18"/>
                <w:szCs w:val="18"/>
              </w:rPr>
              <w:t>0.22</w:t>
            </w:r>
          </w:p>
        </w:tc>
      </w:tr>
    </w:tbl>
    <w:p w:rsidR="00F55E3A" w:rsidRDefault="00F577EE" w:rsidP="00F577EE">
      <w:pPr>
        <w:spacing w:beforeLines="50"/>
        <w:jc w:val="center"/>
        <w:rPr>
          <w:rFonts w:ascii="黑体" w:eastAsia="黑体"/>
          <w:bCs/>
          <w:color w:val="000000"/>
          <w:szCs w:val="21"/>
        </w:rPr>
      </w:pPr>
      <w:r>
        <w:rPr>
          <w:rFonts w:ascii="黑体" w:eastAsia="黑体"/>
          <w:bCs/>
          <w:color w:val="000000"/>
          <w:szCs w:val="21"/>
        </w:rPr>
        <w:t>表</w:t>
      </w:r>
      <w:r>
        <w:rPr>
          <w:rFonts w:ascii="黑体" w:eastAsia="黑体" w:hint="eastAsia"/>
          <w:bCs/>
          <w:color w:val="000000"/>
          <w:szCs w:val="21"/>
        </w:rPr>
        <w:t>7  调整后</w:t>
      </w:r>
      <w:r>
        <w:rPr>
          <w:rFonts w:ascii="黑体" w:eastAsia="黑体"/>
          <w:bCs/>
          <w:color w:val="000000"/>
          <w:szCs w:val="21"/>
        </w:rPr>
        <w:t>重复性</w:t>
      </w:r>
      <w:r>
        <w:rPr>
          <w:rFonts w:ascii="黑体" w:eastAsia="黑体" w:hint="eastAsia"/>
          <w:bCs/>
          <w:color w:val="000000"/>
          <w:szCs w:val="21"/>
        </w:rPr>
        <w:t>r</w:t>
      </w:r>
      <w:r>
        <w:rPr>
          <w:rFonts w:ascii="黑体" w:eastAsia="黑体"/>
          <w:bCs/>
          <w:color w:val="000000"/>
          <w:szCs w:val="21"/>
        </w:rPr>
        <w:t>和再现性</w:t>
      </w:r>
      <w:r>
        <w:rPr>
          <w:rFonts w:ascii="黑体" w:eastAsia="黑体" w:hint="eastAsia"/>
          <w:bCs/>
          <w:color w:val="000000"/>
          <w:szCs w:val="21"/>
        </w:rPr>
        <w:t>R</w:t>
      </w:r>
    </w:p>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7"/>
        <w:gridCol w:w="1516"/>
        <w:gridCol w:w="1516"/>
        <w:gridCol w:w="1517"/>
        <w:gridCol w:w="1516"/>
        <w:gridCol w:w="1516"/>
      </w:tblGrid>
      <w:tr w:rsidR="00F55E3A">
        <w:trPr>
          <w:trHeight w:val="257"/>
        </w:trPr>
        <w:tc>
          <w:tcPr>
            <w:tcW w:w="1827" w:type="dxa"/>
            <w:shd w:val="clear" w:color="auto" w:fill="auto"/>
            <w:noWrap/>
            <w:vAlign w:val="center"/>
          </w:tcPr>
          <w:p w:rsidR="00F55E3A" w:rsidRDefault="00F577EE">
            <w:pPr>
              <w:widowControl/>
              <w:snapToGrid w:val="0"/>
              <w:jc w:val="center"/>
              <w:rPr>
                <w:bCs/>
                <w:kern w:val="0"/>
                <w:sz w:val="18"/>
                <w:szCs w:val="18"/>
              </w:rPr>
            </w:pPr>
            <w:proofErr w:type="spellStart"/>
            <w:r>
              <w:rPr>
                <w:rFonts w:hint="eastAsia"/>
                <w:bCs/>
                <w:i/>
                <w:kern w:val="0"/>
                <w:sz w:val="18"/>
                <w:szCs w:val="18"/>
              </w:rPr>
              <w:t>w</w:t>
            </w:r>
            <w:r>
              <w:rPr>
                <w:rFonts w:hint="eastAsia"/>
                <w:bCs/>
                <w:kern w:val="0"/>
                <w:sz w:val="18"/>
                <w:szCs w:val="18"/>
                <w:vertAlign w:val="subscript"/>
              </w:rPr>
              <w:t>Cu</w:t>
            </w:r>
            <w:proofErr w:type="spellEnd"/>
            <w:r>
              <w:rPr>
                <w:rFonts w:hint="eastAsia"/>
                <w:bCs/>
                <w:kern w:val="0"/>
                <w:sz w:val="18"/>
                <w:szCs w:val="18"/>
                <w:vertAlign w:val="subscript"/>
              </w:rPr>
              <w:t xml:space="preserve"> </w:t>
            </w:r>
            <w:r>
              <w:rPr>
                <w:rFonts w:hint="eastAsia"/>
                <w:bCs/>
                <w:kern w:val="0"/>
                <w:sz w:val="18"/>
                <w:szCs w:val="18"/>
              </w:rPr>
              <w:t>/</w:t>
            </w:r>
            <w:r>
              <w:rPr>
                <w:rFonts w:hint="eastAsia"/>
                <w:bCs/>
                <w:kern w:val="0"/>
                <w:sz w:val="18"/>
                <w:szCs w:val="18"/>
              </w:rPr>
              <w:t>（</w:t>
            </w:r>
            <w:r>
              <w:rPr>
                <w:rFonts w:hint="eastAsia"/>
                <w:bCs/>
                <w:kern w:val="0"/>
                <w:sz w:val="18"/>
                <w:szCs w:val="18"/>
              </w:rPr>
              <w:t>%</w:t>
            </w:r>
            <w:r>
              <w:rPr>
                <w:rFonts w:hint="eastAsia"/>
                <w:bCs/>
                <w:kern w:val="0"/>
                <w:sz w:val="18"/>
                <w:szCs w:val="18"/>
              </w:rPr>
              <w:t>）</w:t>
            </w:r>
          </w:p>
        </w:tc>
        <w:tc>
          <w:tcPr>
            <w:tcW w:w="1516" w:type="dxa"/>
          </w:tcPr>
          <w:p w:rsidR="00F55E3A" w:rsidRDefault="00F577EE">
            <w:pPr>
              <w:widowControl/>
              <w:snapToGrid w:val="0"/>
              <w:jc w:val="center"/>
              <w:rPr>
                <w:b/>
                <w:bCs/>
                <w:sz w:val="22"/>
                <w:szCs w:val="22"/>
              </w:rPr>
            </w:pPr>
            <w:r>
              <w:rPr>
                <w:rFonts w:hint="eastAsia"/>
                <w:b/>
                <w:bCs/>
                <w:sz w:val="22"/>
                <w:szCs w:val="22"/>
              </w:rPr>
              <w:t>0</w:t>
            </w:r>
            <w:r>
              <w:rPr>
                <w:b/>
                <w:bCs/>
                <w:sz w:val="22"/>
                <w:szCs w:val="22"/>
              </w:rPr>
              <w:t>.42</w:t>
            </w:r>
          </w:p>
        </w:tc>
        <w:tc>
          <w:tcPr>
            <w:tcW w:w="1516" w:type="dxa"/>
          </w:tcPr>
          <w:p w:rsidR="00F55E3A" w:rsidRDefault="00F577EE">
            <w:pPr>
              <w:widowControl/>
              <w:snapToGrid w:val="0"/>
              <w:jc w:val="center"/>
              <w:rPr>
                <w:b/>
                <w:bCs/>
                <w:sz w:val="22"/>
                <w:szCs w:val="22"/>
              </w:rPr>
            </w:pPr>
            <w:r>
              <w:rPr>
                <w:rFonts w:hint="eastAsia"/>
                <w:b/>
                <w:bCs/>
                <w:sz w:val="22"/>
                <w:szCs w:val="22"/>
              </w:rPr>
              <w:t>1</w:t>
            </w:r>
            <w:r>
              <w:rPr>
                <w:b/>
                <w:bCs/>
                <w:sz w:val="22"/>
                <w:szCs w:val="22"/>
              </w:rPr>
              <w:t>.05</w:t>
            </w:r>
          </w:p>
        </w:tc>
        <w:tc>
          <w:tcPr>
            <w:tcW w:w="1517" w:type="dxa"/>
            <w:shd w:val="clear" w:color="auto" w:fill="auto"/>
            <w:noWrap/>
            <w:vAlign w:val="bottom"/>
          </w:tcPr>
          <w:p w:rsidR="00F55E3A" w:rsidRDefault="00F577EE">
            <w:pPr>
              <w:widowControl/>
              <w:snapToGrid w:val="0"/>
              <w:jc w:val="center"/>
              <w:rPr>
                <w:bCs/>
                <w:kern w:val="0"/>
                <w:sz w:val="18"/>
                <w:szCs w:val="18"/>
              </w:rPr>
            </w:pPr>
            <w:r>
              <w:rPr>
                <w:b/>
                <w:bCs/>
                <w:sz w:val="22"/>
                <w:szCs w:val="22"/>
              </w:rPr>
              <w:t xml:space="preserve">1.21 </w:t>
            </w:r>
          </w:p>
        </w:tc>
        <w:tc>
          <w:tcPr>
            <w:tcW w:w="1516" w:type="dxa"/>
            <w:shd w:val="clear" w:color="auto" w:fill="auto"/>
            <w:noWrap/>
            <w:vAlign w:val="bottom"/>
          </w:tcPr>
          <w:p w:rsidR="00F55E3A" w:rsidRDefault="00F577EE">
            <w:pPr>
              <w:widowControl/>
              <w:snapToGrid w:val="0"/>
              <w:jc w:val="center"/>
              <w:rPr>
                <w:bCs/>
                <w:kern w:val="0"/>
                <w:sz w:val="18"/>
                <w:szCs w:val="18"/>
              </w:rPr>
            </w:pPr>
            <w:r>
              <w:rPr>
                <w:b/>
                <w:bCs/>
                <w:sz w:val="22"/>
                <w:szCs w:val="22"/>
              </w:rPr>
              <w:t xml:space="preserve">2.45 </w:t>
            </w:r>
          </w:p>
        </w:tc>
        <w:tc>
          <w:tcPr>
            <w:tcW w:w="1516" w:type="dxa"/>
            <w:shd w:val="clear" w:color="auto" w:fill="auto"/>
            <w:noWrap/>
            <w:vAlign w:val="bottom"/>
          </w:tcPr>
          <w:p w:rsidR="00F55E3A" w:rsidRDefault="00F577EE">
            <w:pPr>
              <w:widowControl/>
              <w:snapToGrid w:val="0"/>
              <w:jc w:val="center"/>
              <w:rPr>
                <w:bCs/>
                <w:kern w:val="0"/>
                <w:sz w:val="18"/>
                <w:szCs w:val="18"/>
              </w:rPr>
            </w:pPr>
            <w:r>
              <w:rPr>
                <w:b/>
                <w:bCs/>
                <w:sz w:val="22"/>
                <w:szCs w:val="22"/>
              </w:rPr>
              <w:t xml:space="preserve">3.48 </w:t>
            </w:r>
          </w:p>
        </w:tc>
      </w:tr>
      <w:tr w:rsidR="00F55E3A">
        <w:trPr>
          <w:trHeight w:val="257"/>
        </w:trPr>
        <w:tc>
          <w:tcPr>
            <w:tcW w:w="1827" w:type="dxa"/>
            <w:shd w:val="clear" w:color="auto" w:fill="auto"/>
            <w:noWrap/>
            <w:vAlign w:val="center"/>
          </w:tcPr>
          <w:p w:rsidR="00F55E3A" w:rsidRDefault="00F577EE">
            <w:pPr>
              <w:widowControl/>
              <w:snapToGrid w:val="0"/>
              <w:jc w:val="center"/>
              <w:rPr>
                <w:bCs/>
                <w:kern w:val="0"/>
                <w:sz w:val="18"/>
                <w:szCs w:val="18"/>
              </w:rPr>
            </w:pPr>
            <w:r>
              <w:rPr>
                <w:bCs/>
                <w:kern w:val="0"/>
                <w:sz w:val="18"/>
                <w:szCs w:val="18"/>
              </w:rPr>
              <w:t>r</w:t>
            </w:r>
            <w:r>
              <w:rPr>
                <w:rFonts w:hint="eastAsia"/>
                <w:bCs/>
                <w:kern w:val="0"/>
                <w:sz w:val="18"/>
                <w:szCs w:val="18"/>
              </w:rPr>
              <w:t>/</w:t>
            </w:r>
            <w:r>
              <w:rPr>
                <w:rFonts w:hint="eastAsia"/>
                <w:bCs/>
                <w:kern w:val="0"/>
                <w:sz w:val="18"/>
                <w:szCs w:val="18"/>
              </w:rPr>
              <w:t>（</w:t>
            </w:r>
            <w:r>
              <w:rPr>
                <w:rFonts w:hint="eastAsia"/>
                <w:bCs/>
                <w:kern w:val="0"/>
                <w:sz w:val="18"/>
                <w:szCs w:val="18"/>
              </w:rPr>
              <w:t>%</w:t>
            </w:r>
            <w:r>
              <w:rPr>
                <w:rFonts w:hint="eastAsia"/>
                <w:bCs/>
                <w:kern w:val="0"/>
                <w:sz w:val="18"/>
                <w:szCs w:val="18"/>
              </w:rPr>
              <w:t>）</w:t>
            </w:r>
          </w:p>
        </w:tc>
        <w:tc>
          <w:tcPr>
            <w:tcW w:w="1516" w:type="dxa"/>
          </w:tcPr>
          <w:p w:rsidR="00F55E3A" w:rsidRDefault="00F577EE">
            <w:pPr>
              <w:widowControl/>
              <w:snapToGrid w:val="0"/>
              <w:jc w:val="center"/>
              <w:rPr>
                <w:bCs/>
                <w:kern w:val="0"/>
                <w:sz w:val="18"/>
                <w:szCs w:val="18"/>
              </w:rPr>
            </w:pPr>
            <w:r>
              <w:rPr>
                <w:rFonts w:hint="eastAsia"/>
                <w:bCs/>
                <w:kern w:val="0"/>
                <w:sz w:val="18"/>
                <w:szCs w:val="18"/>
              </w:rPr>
              <w:t>0</w:t>
            </w:r>
            <w:r>
              <w:rPr>
                <w:bCs/>
                <w:kern w:val="0"/>
                <w:sz w:val="18"/>
                <w:szCs w:val="18"/>
              </w:rPr>
              <w:t>.03</w:t>
            </w:r>
          </w:p>
        </w:tc>
        <w:tc>
          <w:tcPr>
            <w:tcW w:w="1516" w:type="dxa"/>
          </w:tcPr>
          <w:p w:rsidR="00F55E3A" w:rsidRDefault="00F577EE">
            <w:pPr>
              <w:widowControl/>
              <w:snapToGrid w:val="0"/>
              <w:jc w:val="center"/>
              <w:rPr>
                <w:bCs/>
                <w:kern w:val="0"/>
                <w:sz w:val="18"/>
                <w:szCs w:val="18"/>
              </w:rPr>
            </w:pPr>
            <w:r>
              <w:rPr>
                <w:rFonts w:hint="eastAsia"/>
                <w:bCs/>
                <w:kern w:val="0"/>
                <w:sz w:val="18"/>
                <w:szCs w:val="18"/>
              </w:rPr>
              <w:t>0</w:t>
            </w:r>
            <w:r>
              <w:rPr>
                <w:bCs/>
                <w:kern w:val="0"/>
                <w:sz w:val="18"/>
                <w:szCs w:val="18"/>
              </w:rPr>
              <w:t>.06</w:t>
            </w:r>
          </w:p>
        </w:tc>
        <w:tc>
          <w:tcPr>
            <w:tcW w:w="1517" w:type="dxa"/>
            <w:shd w:val="clear" w:color="auto" w:fill="auto"/>
            <w:noWrap/>
            <w:vAlign w:val="center"/>
          </w:tcPr>
          <w:p w:rsidR="00F55E3A" w:rsidRDefault="00F577EE">
            <w:pPr>
              <w:widowControl/>
              <w:snapToGrid w:val="0"/>
              <w:jc w:val="center"/>
              <w:rPr>
                <w:bCs/>
                <w:kern w:val="0"/>
                <w:sz w:val="18"/>
                <w:szCs w:val="18"/>
              </w:rPr>
            </w:pPr>
            <w:r>
              <w:rPr>
                <w:rFonts w:hint="eastAsia"/>
                <w:bCs/>
                <w:kern w:val="0"/>
                <w:sz w:val="18"/>
                <w:szCs w:val="18"/>
              </w:rPr>
              <w:t>0</w:t>
            </w:r>
            <w:r>
              <w:rPr>
                <w:bCs/>
                <w:kern w:val="0"/>
                <w:sz w:val="18"/>
                <w:szCs w:val="18"/>
              </w:rPr>
              <w:t>.08</w:t>
            </w:r>
          </w:p>
        </w:tc>
        <w:tc>
          <w:tcPr>
            <w:tcW w:w="1516" w:type="dxa"/>
            <w:shd w:val="clear" w:color="auto" w:fill="auto"/>
            <w:noWrap/>
            <w:vAlign w:val="center"/>
          </w:tcPr>
          <w:p w:rsidR="00F55E3A" w:rsidRDefault="00F577EE">
            <w:pPr>
              <w:widowControl/>
              <w:snapToGrid w:val="0"/>
              <w:jc w:val="center"/>
              <w:rPr>
                <w:bCs/>
                <w:kern w:val="0"/>
                <w:sz w:val="18"/>
                <w:szCs w:val="18"/>
              </w:rPr>
            </w:pPr>
            <w:r>
              <w:rPr>
                <w:rFonts w:hint="eastAsia"/>
                <w:bCs/>
                <w:kern w:val="0"/>
                <w:sz w:val="18"/>
                <w:szCs w:val="18"/>
              </w:rPr>
              <w:t>0</w:t>
            </w:r>
            <w:r>
              <w:rPr>
                <w:bCs/>
                <w:kern w:val="0"/>
                <w:sz w:val="18"/>
                <w:szCs w:val="18"/>
              </w:rPr>
              <w:t>.12</w:t>
            </w:r>
          </w:p>
        </w:tc>
        <w:tc>
          <w:tcPr>
            <w:tcW w:w="1516" w:type="dxa"/>
            <w:shd w:val="clear" w:color="auto" w:fill="auto"/>
            <w:noWrap/>
            <w:vAlign w:val="center"/>
          </w:tcPr>
          <w:p w:rsidR="00F55E3A" w:rsidRDefault="00F577EE">
            <w:pPr>
              <w:widowControl/>
              <w:snapToGrid w:val="0"/>
              <w:jc w:val="center"/>
              <w:rPr>
                <w:bCs/>
                <w:kern w:val="0"/>
                <w:sz w:val="18"/>
                <w:szCs w:val="18"/>
              </w:rPr>
            </w:pPr>
            <w:r>
              <w:rPr>
                <w:rFonts w:hint="eastAsia"/>
                <w:bCs/>
                <w:kern w:val="0"/>
                <w:sz w:val="18"/>
                <w:szCs w:val="18"/>
              </w:rPr>
              <w:t>0</w:t>
            </w:r>
            <w:r>
              <w:rPr>
                <w:bCs/>
                <w:kern w:val="0"/>
                <w:sz w:val="18"/>
                <w:szCs w:val="18"/>
              </w:rPr>
              <w:t>.15</w:t>
            </w:r>
          </w:p>
        </w:tc>
      </w:tr>
      <w:tr w:rsidR="00F55E3A">
        <w:trPr>
          <w:trHeight w:val="257"/>
        </w:trPr>
        <w:tc>
          <w:tcPr>
            <w:tcW w:w="1827" w:type="dxa"/>
            <w:shd w:val="clear" w:color="auto" w:fill="auto"/>
            <w:noWrap/>
            <w:vAlign w:val="center"/>
          </w:tcPr>
          <w:p w:rsidR="00F55E3A" w:rsidRDefault="00F577EE">
            <w:pPr>
              <w:widowControl/>
              <w:snapToGrid w:val="0"/>
              <w:jc w:val="center"/>
              <w:rPr>
                <w:bCs/>
                <w:kern w:val="0"/>
                <w:sz w:val="18"/>
                <w:szCs w:val="18"/>
              </w:rPr>
            </w:pPr>
            <w:r>
              <w:rPr>
                <w:bCs/>
                <w:kern w:val="0"/>
                <w:sz w:val="18"/>
                <w:szCs w:val="18"/>
              </w:rPr>
              <w:t>R</w:t>
            </w:r>
            <w:r>
              <w:rPr>
                <w:rFonts w:hint="eastAsia"/>
                <w:bCs/>
                <w:kern w:val="0"/>
                <w:sz w:val="18"/>
                <w:szCs w:val="18"/>
              </w:rPr>
              <w:t>/</w:t>
            </w:r>
            <w:r>
              <w:rPr>
                <w:rFonts w:hint="eastAsia"/>
                <w:bCs/>
                <w:kern w:val="0"/>
                <w:sz w:val="18"/>
                <w:szCs w:val="18"/>
              </w:rPr>
              <w:t>（</w:t>
            </w:r>
            <w:r>
              <w:rPr>
                <w:rFonts w:hint="eastAsia"/>
                <w:bCs/>
                <w:kern w:val="0"/>
                <w:sz w:val="18"/>
                <w:szCs w:val="18"/>
              </w:rPr>
              <w:t>%</w:t>
            </w:r>
            <w:r>
              <w:rPr>
                <w:rFonts w:hint="eastAsia"/>
                <w:bCs/>
                <w:kern w:val="0"/>
                <w:sz w:val="18"/>
                <w:szCs w:val="18"/>
              </w:rPr>
              <w:t>）</w:t>
            </w:r>
          </w:p>
        </w:tc>
        <w:tc>
          <w:tcPr>
            <w:tcW w:w="1516" w:type="dxa"/>
          </w:tcPr>
          <w:p w:rsidR="00F55E3A" w:rsidRDefault="00F577EE">
            <w:pPr>
              <w:widowControl/>
              <w:snapToGrid w:val="0"/>
              <w:jc w:val="center"/>
              <w:rPr>
                <w:bCs/>
                <w:kern w:val="0"/>
                <w:sz w:val="18"/>
                <w:szCs w:val="18"/>
              </w:rPr>
            </w:pPr>
            <w:r>
              <w:rPr>
                <w:rFonts w:hint="eastAsia"/>
                <w:bCs/>
                <w:kern w:val="0"/>
                <w:sz w:val="18"/>
                <w:szCs w:val="18"/>
              </w:rPr>
              <w:t>0</w:t>
            </w:r>
            <w:r>
              <w:rPr>
                <w:bCs/>
                <w:kern w:val="0"/>
                <w:sz w:val="18"/>
                <w:szCs w:val="18"/>
              </w:rPr>
              <w:t>.04</w:t>
            </w:r>
          </w:p>
        </w:tc>
        <w:tc>
          <w:tcPr>
            <w:tcW w:w="1516" w:type="dxa"/>
          </w:tcPr>
          <w:p w:rsidR="00F55E3A" w:rsidRDefault="00F577EE">
            <w:pPr>
              <w:widowControl/>
              <w:snapToGrid w:val="0"/>
              <w:jc w:val="center"/>
              <w:rPr>
                <w:bCs/>
                <w:kern w:val="0"/>
                <w:sz w:val="18"/>
                <w:szCs w:val="18"/>
              </w:rPr>
            </w:pPr>
            <w:r>
              <w:rPr>
                <w:rFonts w:hint="eastAsia"/>
                <w:bCs/>
                <w:kern w:val="0"/>
                <w:sz w:val="18"/>
                <w:szCs w:val="18"/>
              </w:rPr>
              <w:t>0</w:t>
            </w:r>
            <w:r>
              <w:rPr>
                <w:bCs/>
                <w:kern w:val="0"/>
                <w:sz w:val="18"/>
                <w:szCs w:val="18"/>
              </w:rPr>
              <w:t>.09</w:t>
            </w:r>
          </w:p>
        </w:tc>
        <w:tc>
          <w:tcPr>
            <w:tcW w:w="1517" w:type="dxa"/>
            <w:shd w:val="clear" w:color="auto" w:fill="auto"/>
            <w:noWrap/>
            <w:vAlign w:val="center"/>
          </w:tcPr>
          <w:p w:rsidR="00F55E3A" w:rsidRDefault="00F577EE">
            <w:pPr>
              <w:widowControl/>
              <w:snapToGrid w:val="0"/>
              <w:jc w:val="center"/>
              <w:rPr>
                <w:bCs/>
                <w:kern w:val="0"/>
                <w:sz w:val="18"/>
                <w:szCs w:val="18"/>
              </w:rPr>
            </w:pPr>
            <w:r>
              <w:rPr>
                <w:rFonts w:hint="eastAsia"/>
                <w:bCs/>
                <w:kern w:val="0"/>
                <w:sz w:val="18"/>
                <w:szCs w:val="18"/>
              </w:rPr>
              <w:t>0</w:t>
            </w:r>
            <w:r>
              <w:rPr>
                <w:bCs/>
                <w:kern w:val="0"/>
                <w:sz w:val="18"/>
                <w:szCs w:val="18"/>
              </w:rPr>
              <w:t>.10</w:t>
            </w:r>
          </w:p>
        </w:tc>
        <w:tc>
          <w:tcPr>
            <w:tcW w:w="1516" w:type="dxa"/>
            <w:shd w:val="clear" w:color="auto" w:fill="auto"/>
            <w:noWrap/>
            <w:vAlign w:val="center"/>
          </w:tcPr>
          <w:p w:rsidR="00F55E3A" w:rsidRDefault="00F577EE">
            <w:pPr>
              <w:widowControl/>
              <w:snapToGrid w:val="0"/>
              <w:jc w:val="center"/>
              <w:rPr>
                <w:bCs/>
                <w:kern w:val="0"/>
                <w:sz w:val="18"/>
                <w:szCs w:val="18"/>
              </w:rPr>
            </w:pPr>
            <w:r>
              <w:rPr>
                <w:rFonts w:hint="eastAsia"/>
                <w:bCs/>
                <w:kern w:val="0"/>
                <w:sz w:val="18"/>
                <w:szCs w:val="18"/>
              </w:rPr>
              <w:t>0</w:t>
            </w:r>
            <w:r>
              <w:rPr>
                <w:bCs/>
                <w:kern w:val="0"/>
                <w:sz w:val="18"/>
                <w:szCs w:val="18"/>
              </w:rPr>
              <w:t>.15</w:t>
            </w:r>
          </w:p>
        </w:tc>
        <w:tc>
          <w:tcPr>
            <w:tcW w:w="1516" w:type="dxa"/>
            <w:shd w:val="clear" w:color="auto" w:fill="auto"/>
            <w:noWrap/>
            <w:vAlign w:val="center"/>
          </w:tcPr>
          <w:p w:rsidR="00F55E3A" w:rsidRDefault="00F577EE">
            <w:pPr>
              <w:widowControl/>
              <w:snapToGrid w:val="0"/>
              <w:jc w:val="center"/>
              <w:rPr>
                <w:bCs/>
                <w:kern w:val="0"/>
                <w:sz w:val="18"/>
                <w:szCs w:val="18"/>
              </w:rPr>
            </w:pPr>
            <w:r>
              <w:rPr>
                <w:rFonts w:hint="eastAsia"/>
                <w:bCs/>
                <w:kern w:val="0"/>
                <w:sz w:val="18"/>
                <w:szCs w:val="18"/>
              </w:rPr>
              <w:t>0</w:t>
            </w:r>
            <w:r>
              <w:rPr>
                <w:bCs/>
                <w:kern w:val="0"/>
                <w:sz w:val="18"/>
                <w:szCs w:val="18"/>
              </w:rPr>
              <w:t>.18</w:t>
            </w:r>
          </w:p>
        </w:tc>
      </w:tr>
    </w:tbl>
    <w:p w:rsidR="00F55E3A" w:rsidRDefault="00F577EE">
      <w:pPr>
        <w:outlineLvl w:val="2"/>
        <w:rPr>
          <w:rFonts w:ascii="宋体" w:hAnsi="宋体" w:cs="宋体"/>
          <w:b/>
        </w:rPr>
      </w:pPr>
      <w:bookmarkStart w:id="28" w:name="_Toc111022834"/>
      <w:r>
        <w:rPr>
          <w:rFonts w:ascii="宋体" w:hAnsi="宋体" w:cs="宋体"/>
          <w:b/>
        </w:rPr>
        <w:t>2</w:t>
      </w:r>
      <w:r>
        <w:rPr>
          <w:rFonts w:ascii="宋体" w:hAnsi="宋体" w:cs="宋体" w:hint="eastAsia"/>
          <w:b/>
        </w:rPr>
        <w:t>、方法</w:t>
      </w:r>
      <w:r>
        <w:rPr>
          <w:rFonts w:ascii="宋体" w:hAnsi="宋体" w:cs="宋体"/>
          <w:b/>
        </w:rPr>
        <w:t xml:space="preserve">2 </w:t>
      </w:r>
      <w:r>
        <w:rPr>
          <w:rFonts w:ascii="宋体" w:hAnsi="宋体" w:cs="宋体" w:hint="eastAsia"/>
          <w:b/>
        </w:rPr>
        <w:t>碘量法</w:t>
      </w:r>
      <w:bookmarkEnd w:id="28"/>
    </w:p>
    <w:p w:rsidR="00F55E3A" w:rsidRDefault="00F577EE">
      <w:pPr>
        <w:ind w:firstLine="435"/>
        <w:rPr>
          <w:color w:val="000000"/>
          <w:szCs w:val="21"/>
        </w:rPr>
      </w:pPr>
      <w:r>
        <w:rPr>
          <w:rFonts w:hint="eastAsia"/>
          <w:color w:val="000000"/>
          <w:szCs w:val="21"/>
        </w:rPr>
        <w:t>对碘量法测定测定铜含量的</w:t>
      </w:r>
      <w:r>
        <w:rPr>
          <w:rFonts w:hint="eastAsia"/>
          <w:color w:val="000000"/>
          <w:szCs w:val="21"/>
        </w:rPr>
        <w:t>4</w:t>
      </w:r>
      <w:r>
        <w:rPr>
          <w:rFonts w:hint="eastAsia"/>
          <w:color w:val="000000"/>
          <w:szCs w:val="21"/>
        </w:rPr>
        <w:t>个硫化钴精矿验证样品，</w:t>
      </w:r>
      <w:r>
        <w:rPr>
          <w:rFonts w:hint="eastAsia"/>
          <w:color w:val="000000"/>
          <w:szCs w:val="21"/>
        </w:rPr>
        <w:t>1</w:t>
      </w:r>
      <w:r>
        <w:rPr>
          <w:color w:val="000000"/>
          <w:szCs w:val="21"/>
        </w:rPr>
        <w:t>5</w:t>
      </w:r>
      <w:r>
        <w:rPr>
          <w:rFonts w:hint="eastAsia"/>
          <w:color w:val="000000"/>
          <w:szCs w:val="21"/>
        </w:rPr>
        <w:t>个实验室进行了协同试验，</w:t>
      </w:r>
      <w:r>
        <w:rPr>
          <w:color w:val="000000"/>
          <w:szCs w:val="21"/>
        </w:rPr>
        <w:t>各实验室对每个水平报告了</w:t>
      </w:r>
      <w:r>
        <w:rPr>
          <w:color w:val="000000"/>
          <w:szCs w:val="21"/>
        </w:rPr>
        <w:t>5</w:t>
      </w:r>
      <w:r>
        <w:rPr>
          <w:color w:val="000000"/>
          <w:szCs w:val="21"/>
        </w:rPr>
        <w:t>～</w:t>
      </w:r>
      <w:r>
        <w:rPr>
          <w:color w:val="000000"/>
          <w:szCs w:val="21"/>
        </w:rPr>
        <w:t>11</w:t>
      </w:r>
      <w:r>
        <w:rPr>
          <w:color w:val="000000"/>
          <w:szCs w:val="21"/>
        </w:rPr>
        <w:t>个试验结果</w:t>
      </w:r>
      <w:r>
        <w:rPr>
          <w:rFonts w:hint="eastAsia"/>
          <w:color w:val="000000"/>
          <w:szCs w:val="21"/>
        </w:rPr>
        <w:t>，</w:t>
      </w:r>
      <w:r>
        <w:rPr>
          <w:color w:val="000000"/>
          <w:szCs w:val="21"/>
        </w:rPr>
        <w:t>根据国家标准</w:t>
      </w:r>
      <w:r>
        <w:rPr>
          <w:color w:val="000000"/>
          <w:szCs w:val="21"/>
        </w:rPr>
        <w:t>GB/T 6379.2-2004</w:t>
      </w:r>
      <w:r>
        <w:rPr>
          <w:color w:val="000000"/>
          <w:szCs w:val="21"/>
        </w:rPr>
        <w:t>确定标准测量方法的重复性和再现性的基本方法（</w:t>
      </w:r>
      <w:r>
        <w:rPr>
          <w:color w:val="000000"/>
          <w:szCs w:val="21"/>
        </w:rPr>
        <w:t>ISO 5725-2</w:t>
      </w:r>
      <w:r>
        <w:rPr>
          <w:color w:val="000000"/>
          <w:szCs w:val="21"/>
        </w:rPr>
        <w:t>：</w:t>
      </w:r>
      <w:r>
        <w:rPr>
          <w:color w:val="000000"/>
          <w:szCs w:val="21"/>
        </w:rPr>
        <w:t>1994</w:t>
      </w:r>
      <w:r>
        <w:rPr>
          <w:color w:val="000000"/>
          <w:szCs w:val="21"/>
        </w:rPr>
        <w:t>，</w:t>
      </w:r>
      <w:r>
        <w:rPr>
          <w:color w:val="000000"/>
          <w:szCs w:val="21"/>
        </w:rPr>
        <w:t>IDT</w:t>
      </w:r>
      <w:r>
        <w:rPr>
          <w:color w:val="000000"/>
          <w:szCs w:val="21"/>
        </w:rPr>
        <w:t>）规定，对收到的全部数据进行了统计分析</w:t>
      </w:r>
      <w:r>
        <w:rPr>
          <w:rFonts w:hint="eastAsia"/>
          <w:color w:val="000000"/>
          <w:szCs w:val="21"/>
        </w:rPr>
        <w:t>。</w:t>
      </w:r>
      <w:r>
        <w:rPr>
          <w:rFonts w:hint="eastAsia"/>
          <w:bCs/>
          <w:szCs w:val="21"/>
        </w:rPr>
        <w:t>各实验室精密度原始数据见试验报告和验证报告，</w:t>
      </w:r>
      <w:r>
        <w:rPr>
          <w:rFonts w:hint="eastAsia"/>
          <w:color w:val="000000"/>
          <w:szCs w:val="21"/>
        </w:rPr>
        <w:t>平均值及标准偏差见表</w:t>
      </w:r>
      <w:r>
        <w:rPr>
          <w:color w:val="000000"/>
          <w:szCs w:val="21"/>
        </w:rPr>
        <w:t>8</w:t>
      </w:r>
      <w:r>
        <w:rPr>
          <w:color w:val="000000"/>
          <w:szCs w:val="21"/>
        </w:rPr>
        <w:t>。</w:t>
      </w:r>
    </w:p>
    <w:p w:rsidR="00F55E3A" w:rsidRDefault="00F577EE">
      <w:pPr>
        <w:jc w:val="center"/>
        <w:rPr>
          <w:rFonts w:ascii="黑体" w:eastAsia="黑体"/>
          <w:spacing w:val="8"/>
          <w:szCs w:val="21"/>
        </w:rPr>
      </w:pPr>
      <w:r>
        <w:rPr>
          <w:rFonts w:ascii="黑体" w:eastAsia="黑体" w:hint="eastAsia"/>
          <w:spacing w:val="8"/>
          <w:szCs w:val="21"/>
        </w:rPr>
        <w:t>表</w:t>
      </w:r>
      <w:r>
        <w:rPr>
          <w:rFonts w:ascii="黑体" w:eastAsia="黑体"/>
          <w:spacing w:val="8"/>
          <w:szCs w:val="21"/>
        </w:rPr>
        <w:t>8</w:t>
      </w:r>
      <w:r>
        <w:rPr>
          <w:rFonts w:ascii="黑体" w:eastAsia="黑体" w:hint="eastAsia"/>
          <w:spacing w:val="8"/>
          <w:szCs w:val="21"/>
        </w:rPr>
        <w:t xml:space="preserve">  平均值及标准偏差</w:t>
      </w:r>
    </w:p>
    <w:tbl>
      <w:tblPr>
        <w:tblW w:w="9275" w:type="dxa"/>
        <w:jc w:val="center"/>
        <w:tblLayout w:type="fixed"/>
        <w:tblLook w:val="04A0"/>
      </w:tblPr>
      <w:tblGrid>
        <w:gridCol w:w="3104"/>
        <w:gridCol w:w="493"/>
        <w:gridCol w:w="1135"/>
        <w:gridCol w:w="1135"/>
        <w:gridCol w:w="1135"/>
        <w:gridCol w:w="1135"/>
        <w:gridCol w:w="1138"/>
      </w:tblGrid>
      <w:tr w:rsidR="00F55E3A">
        <w:trPr>
          <w:trHeight w:val="298"/>
          <w:jc w:val="center"/>
        </w:trPr>
        <w:tc>
          <w:tcPr>
            <w:tcW w:w="3597" w:type="dxa"/>
            <w:gridSpan w:val="2"/>
            <w:vMerge w:val="restart"/>
            <w:tcBorders>
              <w:top w:val="single" w:sz="8" w:space="0" w:color="auto"/>
              <w:left w:val="single" w:sz="8" w:space="0" w:color="auto"/>
              <w:right w:val="single" w:sz="4" w:space="0" w:color="auto"/>
            </w:tcBorders>
            <w:shd w:val="clear" w:color="auto" w:fill="auto"/>
            <w:vAlign w:val="center"/>
          </w:tcPr>
          <w:p w:rsidR="00F55E3A" w:rsidRDefault="00F577EE">
            <w:pPr>
              <w:widowControl/>
              <w:snapToGrid w:val="0"/>
              <w:jc w:val="center"/>
              <w:rPr>
                <w:i/>
                <w:iCs/>
                <w:kern w:val="0"/>
                <w:sz w:val="18"/>
                <w:szCs w:val="18"/>
              </w:rPr>
            </w:pPr>
            <w:r>
              <w:rPr>
                <w:rFonts w:ascii="宋体" w:hAnsi="宋体" w:hint="eastAsia"/>
                <w:kern w:val="0"/>
                <w:sz w:val="18"/>
                <w:szCs w:val="18"/>
              </w:rPr>
              <w:t>实验室</w:t>
            </w:r>
            <w:proofErr w:type="spellStart"/>
            <w:r>
              <w:rPr>
                <w:i/>
                <w:iCs/>
                <w:kern w:val="0"/>
                <w:sz w:val="18"/>
                <w:szCs w:val="18"/>
              </w:rPr>
              <w:t>i</w:t>
            </w:r>
            <w:proofErr w:type="spellEnd"/>
            <w:r>
              <w:rPr>
                <w:kern w:val="0"/>
                <w:sz w:val="18"/>
                <w:szCs w:val="18"/>
              </w:rPr>
              <w:t xml:space="preserve"> No.</w:t>
            </w:r>
          </w:p>
        </w:tc>
        <w:tc>
          <w:tcPr>
            <w:tcW w:w="113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rFonts w:ascii="宋体" w:hAnsi="宋体" w:hint="eastAsia"/>
                <w:kern w:val="0"/>
                <w:sz w:val="18"/>
                <w:szCs w:val="18"/>
              </w:rPr>
              <w:t>次数</w:t>
            </w:r>
          </w:p>
        </w:tc>
        <w:tc>
          <w:tcPr>
            <w:tcW w:w="4543" w:type="dxa"/>
            <w:gridSpan w:val="4"/>
            <w:tcBorders>
              <w:top w:val="single" w:sz="8" w:space="0" w:color="auto"/>
              <w:left w:val="nil"/>
              <w:bottom w:val="single" w:sz="4" w:space="0" w:color="auto"/>
              <w:right w:val="single" w:sz="8" w:space="0" w:color="000000"/>
            </w:tcBorders>
            <w:shd w:val="clear" w:color="auto" w:fill="auto"/>
            <w:noWrap/>
            <w:vAlign w:val="center"/>
          </w:tcPr>
          <w:p w:rsidR="00F55E3A" w:rsidRDefault="00F577EE">
            <w:pPr>
              <w:widowControl/>
              <w:snapToGrid w:val="0"/>
              <w:jc w:val="center"/>
              <w:rPr>
                <w:kern w:val="0"/>
                <w:sz w:val="18"/>
                <w:szCs w:val="18"/>
              </w:rPr>
            </w:pPr>
            <w:r>
              <w:rPr>
                <w:rFonts w:ascii="宋体" w:hAnsi="宋体" w:hint="eastAsia"/>
                <w:kern w:val="0"/>
                <w:sz w:val="18"/>
                <w:szCs w:val="18"/>
              </w:rPr>
              <w:t>水平</w:t>
            </w:r>
            <w:r>
              <w:rPr>
                <w:kern w:val="0"/>
                <w:sz w:val="18"/>
                <w:szCs w:val="18"/>
              </w:rPr>
              <w:t xml:space="preserve">  j</w:t>
            </w:r>
          </w:p>
        </w:tc>
      </w:tr>
      <w:tr w:rsidR="00F55E3A">
        <w:trPr>
          <w:trHeight w:val="312"/>
          <w:jc w:val="center"/>
        </w:trPr>
        <w:tc>
          <w:tcPr>
            <w:tcW w:w="3597" w:type="dxa"/>
            <w:gridSpan w:val="2"/>
            <w:vMerge/>
            <w:tcBorders>
              <w:left w:val="single" w:sz="8" w:space="0" w:color="auto"/>
              <w:bottom w:val="single" w:sz="4" w:space="0" w:color="auto"/>
              <w:right w:val="single" w:sz="4" w:space="0" w:color="auto"/>
            </w:tcBorders>
            <w:vAlign w:val="center"/>
          </w:tcPr>
          <w:p w:rsidR="00F55E3A" w:rsidRDefault="00F55E3A">
            <w:pPr>
              <w:widowControl/>
              <w:snapToGrid w:val="0"/>
              <w:jc w:val="left"/>
              <w:rPr>
                <w:i/>
                <w:iCs/>
                <w:kern w:val="0"/>
                <w:sz w:val="18"/>
                <w:szCs w:val="18"/>
              </w:rPr>
            </w:pPr>
          </w:p>
        </w:tc>
        <w:tc>
          <w:tcPr>
            <w:tcW w:w="1135" w:type="dxa"/>
            <w:vMerge/>
            <w:tcBorders>
              <w:top w:val="single" w:sz="8" w:space="0" w:color="auto"/>
              <w:left w:val="single" w:sz="4" w:space="0" w:color="auto"/>
              <w:bottom w:val="single" w:sz="4" w:space="0" w:color="auto"/>
              <w:right w:val="single" w:sz="4" w:space="0" w:color="auto"/>
            </w:tcBorders>
            <w:vAlign w:val="center"/>
          </w:tcPr>
          <w:p w:rsidR="00F55E3A" w:rsidRDefault="00F55E3A">
            <w:pPr>
              <w:widowControl/>
              <w:snapToGrid w:val="0"/>
              <w:jc w:val="center"/>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1</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2</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3</w:t>
            </w:r>
          </w:p>
        </w:tc>
        <w:tc>
          <w:tcPr>
            <w:tcW w:w="1138" w:type="dxa"/>
            <w:tcBorders>
              <w:top w:val="nil"/>
              <w:left w:val="nil"/>
              <w:bottom w:val="single" w:sz="4" w:space="0" w:color="auto"/>
              <w:right w:val="single" w:sz="8"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4</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浙江华友钴业股份有限公司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1</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rFonts w:ascii="宋体" w:hAnsi="宋体" w:cs="宋体"/>
                <w:kern w:val="0"/>
                <w:sz w:val="18"/>
                <w:szCs w:val="18"/>
              </w:rPr>
            </w:pPr>
            <w:r>
              <w:rPr>
                <w:rFonts w:ascii="宋体" w:hAnsi="宋体" w:cs="宋体" w:hint="eastAsia"/>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3.30</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10.10</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21.20</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32.37</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rFonts w:ascii="宋体" w:hAnsi="宋体" w:cs="宋体"/>
                <w:kern w:val="0"/>
                <w:sz w:val="18"/>
                <w:szCs w:val="18"/>
              </w:rPr>
            </w:pPr>
            <w:r>
              <w:rPr>
                <w:rFonts w:ascii="宋体" w:hAnsi="宋体" w:cs="宋体" w:hint="eastAsia"/>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0.022523</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0.017373</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0.023394</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0.058652</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ascii="宋体" w:hAnsi="宋体" w:cs="宋体" w:hint="eastAsia"/>
                <w:kern w:val="0"/>
                <w:sz w:val="18"/>
                <w:szCs w:val="18"/>
              </w:rPr>
              <w:t>深圳市中金岭南有色金属股份有限公司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2</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3.40</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10.09</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21.04</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32.38*</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0.033111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0.039104</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0.081397</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0.148263*</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hint="eastAsia"/>
                <w:sz w:val="18"/>
                <w:szCs w:val="18"/>
              </w:rPr>
              <w:t>湖南有色金属研究院</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3</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3.37</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9.99</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20.89</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32.03</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0.024421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0.035552</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0.071452</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0.093895</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hint="eastAsia"/>
                <w:sz w:val="18"/>
                <w:szCs w:val="18"/>
              </w:rPr>
              <w:t>云南华联锌铟股份有限公司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4</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3.29</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10.16</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20.94*</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32.23</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0.054606</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0.064554</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0.141762*</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0.104985</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hint="eastAsia"/>
                <w:sz w:val="18"/>
                <w:szCs w:val="18"/>
              </w:rPr>
              <w:t>广东省工业分析检测中心</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5</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3.31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9.92</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20.74</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32.07</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0.027136</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0.030984</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0.026458</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0.033871</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sz w:val="18"/>
                <w:szCs w:val="18"/>
              </w:rPr>
              <w:t>衢州华友钴</w:t>
            </w:r>
            <w:r>
              <w:rPr>
                <w:rFonts w:hint="eastAsia"/>
                <w:sz w:val="18"/>
                <w:szCs w:val="18"/>
              </w:rPr>
              <w:t>业</w:t>
            </w:r>
            <w:r>
              <w:rPr>
                <w:sz w:val="18"/>
                <w:szCs w:val="18"/>
              </w:rPr>
              <w:t>新材料有限公司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6</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3.30</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9.97</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20.97</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32.24</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0.022724</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0.025334</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0.034139</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0.033548</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sz w:val="18"/>
                <w:szCs w:val="18"/>
              </w:rPr>
              <w:t>广东邦普循环科技有限公司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7</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3.25</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10.02</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21.19</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32.48</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0.030394</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0.047157</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0.043534</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0.059402</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7</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7</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7</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7</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hint="eastAsia"/>
                <w:sz w:val="18"/>
                <w:szCs w:val="18"/>
              </w:rPr>
              <w:t>天津市茂联科技有限公司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8</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3.27</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10.06</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21.24</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32.60</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0.051223</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0.028577</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0.062374</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0.081363</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7</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7</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7</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5</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hint="eastAsia"/>
                <w:sz w:val="18"/>
                <w:szCs w:val="18"/>
              </w:rPr>
              <w:t>北方铜业股份有限公司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9</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3.33</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10.02</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21.01</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32.35</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0.019400</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0.024532</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0.050489</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0.063632</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hint="eastAsia"/>
                <w:sz w:val="18"/>
                <w:szCs w:val="18"/>
              </w:rPr>
              <w:t>浙江富冶集团有限公司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10</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3.27</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10.05</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20.95</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32.13</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0.008333</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0.015811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0.030778</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0.034165</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9</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9</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r>
      <w:tr w:rsidR="00F55E3A">
        <w:trPr>
          <w:trHeight w:val="298"/>
          <w:jc w:val="center"/>
        </w:trPr>
        <w:tc>
          <w:tcPr>
            <w:tcW w:w="3104" w:type="dxa"/>
            <w:vMerge w:val="restart"/>
            <w:tcBorders>
              <w:top w:val="nil"/>
              <w:left w:val="single" w:sz="8" w:space="0" w:color="auto"/>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sz w:val="18"/>
                <w:szCs w:val="18"/>
              </w:rPr>
              <w:t>金川集团股份有限公司</w:t>
            </w:r>
          </w:p>
        </w:tc>
        <w:tc>
          <w:tcPr>
            <w:tcW w:w="493" w:type="dxa"/>
            <w:vMerge w:val="restart"/>
            <w:tcBorders>
              <w:top w:val="nil"/>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11</w:t>
            </w: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3.32</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10.09</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21.06</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32.33</w:t>
            </w:r>
          </w:p>
        </w:tc>
      </w:tr>
      <w:tr w:rsidR="00F55E3A">
        <w:trPr>
          <w:trHeight w:val="298"/>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0.022523</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0.030689</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0.064102</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0.051628</w:t>
            </w:r>
          </w:p>
        </w:tc>
      </w:tr>
      <w:tr w:rsidR="00F55E3A">
        <w:trPr>
          <w:trHeight w:val="312"/>
          <w:jc w:val="center"/>
        </w:trPr>
        <w:tc>
          <w:tcPr>
            <w:tcW w:w="3104" w:type="dxa"/>
            <w:vMerge/>
            <w:tcBorders>
              <w:top w:val="nil"/>
              <w:left w:val="single" w:sz="8"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493" w:type="dxa"/>
            <w:vMerge/>
            <w:tcBorders>
              <w:top w:val="nil"/>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r>
      <w:tr w:rsidR="00F55E3A">
        <w:trPr>
          <w:trHeight w:val="298"/>
          <w:jc w:val="center"/>
        </w:trPr>
        <w:tc>
          <w:tcPr>
            <w:tcW w:w="3104"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F55E3A" w:rsidRDefault="00F577EE">
            <w:pPr>
              <w:widowControl/>
              <w:snapToGrid w:val="0"/>
              <w:jc w:val="center"/>
              <w:rPr>
                <w:rFonts w:ascii="宋体" w:hAnsi="宋体" w:cs="宋体"/>
                <w:kern w:val="0"/>
                <w:sz w:val="18"/>
                <w:szCs w:val="18"/>
              </w:rPr>
            </w:pPr>
            <w:r>
              <w:rPr>
                <w:rFonts w:hint="eastAsia"/>
                <w:sz w:val="18"/>
                <w:szCs w:val="18"/>
              </w:rPr>
              <w:t>中国检验认证集团广西有限公司</w:t>
            </w:r>
          </w:p>
        </w:tc>
        <w:tc>
          <w:tcPr>
            <w:tcW w:w="493"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12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3.34</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10.08</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21.08</w:t>
            </w:r>
          </w:p>
        </w:tc>
        <w:tc>
          <w:tcPr>
            <w:tcW w:w="1138" w:type="dxa"/>
            <w:tcBorders>
              <w:top w:val="single" w:sz="4" w:space="0" w:color="auto"/>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32.38</w:t>
            </w:r>
          </w:p>
        </w:tc>
      </w:tr>
      <w:tr w:rsidR="00F55E3A">
        <w:trPr>
          <w:trHeight w:val="298"/>
          <w:jc w:val="center"/>
        </w:trPr>
        <w:tc>
          <w:tcPr>
            <w:tcW w:w="3104" w:type="dxa"/>
            <w:vMerge/>
            <w:tcBorders>
              <w:top w:val="single" w:sz="4" w:space="0" w:color="auto"/>
              <w:left w:val="single" w:sz="8" w:space="0" w:color="auto"/>
              <w:bottom w:val="single" w:sz="8" w:space="0" w:color="000000"/>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single" w:sz="4" w:space="0" w:color="auto"/>
              <w:left w:val="single" w:sz="4" w:space="0" w:color="auto"/>
              <w:bottom w:val="single" w:sz="8" w:space="0" w:color="000000"/>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0.026251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0.031881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0.048034</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0.050794</w:t>
            </w:r>
          </w:p>
        </w:tc>
      </w:tr>
      <w:tr w:rsidR="00F55E3A">
        <w:trPr>
          <w:trHeight w:val="312"/>
          <w:jc w:val="center"/>
        </w:trPr>
        <w:tc>
          <w:tcPr>
            <w:tcW w:w="3104" w:type="dxa"/>
            <w:vMerge/>
            <w:tcBorders>
              <w:top w:val="single" w:sz="4" w:space="0" w:color="auto"/>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top w:val="single" w:sz="4" w:space="0" w:color="auto"/>
              <w:left w:val="single" w:sz="4" w:space="0" w:color="auto"/>
              <w:bottom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8" w:type="dxa"/>
            <w:tcBorders>
              <w:top w:val="nil"/>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r>
      <w:tr w:rsidR="00F55E3A">
        <w:trPr>
          <w:trHeight w:val="312"/>
          <w:jc w:val="center"/>
        </w:trPr>
        <w:tc>
          <w:tcPr>
            <w:tcW w:w="3104" w:type="dxa"/>
            <w:vMerge w:val="restart"/>
            <w:tcBorders>
              <w:top w:val="single" w:sz="4" w:space="0" w:color="auto"/>
              <w:left w:val="single" w:sz="8" w:space="0" w:color="auto"/>
              <w:right w:val="single" w:sz="4" w:space="0" w:color="auto"/>
            </w:tcBorders>
            <w:vAlign w:val="center"/>
          </w:tcPr>
          <w:p w:rsidR="00F55E3A" w:rsidRDefault="00F577EE">
            <w:pPr>
              <w:widowControl/>
              <w:snapToGrid w:val="0"/>
              <w:jc w:val="center"/>
              <w:rPr>
                <w:rFonts w:ascii="宋体" w:hAnsi="宋体" w:cs="宋体"/>
                <w:kern w:val="0"/>
                <w:sz w:val="18"/>
                <w:szCs w:val="18"/>
              </w:rPr>
            </w:pPr>
            <w:r>
              <w:rPr>
                <w:sz w:val="18"/>
                <w:szCs w:val="18"/>
              </w:rPr>
              <w:t>荆门市格林美新材料有限公司</w:t>
            </w:r>
          </w:p>
        </w:tc>
        <w:tc>
          <w:tcPr>
            <w:tcW w:w="493" w:type="dxa"/>
            <w:vMerge w:val="restart"/>
            <w:tcBorders>
              <w:top w:val="single" w:sz="4" w:space="0" w:color="auto"/>
              <w:left w:val="single" w:sz="4" w:space="0" w:color="auto"/>
              <w:right w:val="single" w:sz="4" w:space="0" w:color="auto"/>
            </w:tcBorders>
            <w:vAlign w:val="center"/>
          </w:tcPr>
          <w:p w:rsidR="00F55E3A" w:rsidRDefault="00F577EE">
            <w:pPr>
              <w:widowControl/>
              <w:snapToGrid w:val="0"/>
              <w:jc w:val="center"/>
              <w:rPr>
                <w:kern w:val="0"/>
                <w:sz w:val="18"/>
                <w:szCs w:val="18"/>
              </w:rPr>
            </w:pPr>
            <w:r>
              <w:rPr>
                <w:rFonts w:hint="eastAsia"/>
                <w:kern w:val="0"/>
                <w:sz w:val="18"/>
                <w:szCs w:val="18"/>
              </w:rPr>
              <w:t>13</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3.32</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9.98</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20.91</w:t>
            </w:r>
          </w:p>
        </w:tc>
        <w:tc>
          <w:tcPr>
            <w:tcW w:w="1138" w:type="dxa"/>
            <w:tcBorders>
              <w:top w:val="single" w:sz="4" w:space="0" w:color="auto"/>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32.15</w:t>
            </w:r>
          </w:p>
        </w:tc>
      </w:tr>
      <w:tr w:rsidR="00F55E3A">
        <w:trPr>
          <w:trHeight w:val="312"/>
          <w:jc w:val="center"/>
        </w:trPr>
        <w:tc>
          <w:tcPr>
            <w:tcW w:w="3104" w:type="dxa"/>
            <w:vMerge/>
            <w:tcBorders>
              <w:left w:val="single" w:sz="8"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left w:val="single" w:sz="4" w:space="0" w:color="auto"/>
              <w:right w:val="single" w:sz="4" w:space="0" w:color="auto"/>
            </w:tcBorders>
            <w:vAlign w:val="center"/>
          </w:tcPr>
          <w:p w:rsidR="00F55E3A" w:rsidRDefault="00F55E3A">
            <w:pPr>
              <w:widowControl/>
              <w:snapToGrid w:val="0"/>
              <w:jc w:val="center"/>
              <w:rPr>
                <w:kern w:val="0"/>
                <w:sz w:val="18"/>
                <w:szCs w:val="18"/>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0.028810</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0.019664</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0.019408</w:t>
            </w:r>
          </w:p>
        </w:tc>
        <w:tc>
          <w:tcPr>
            <w:tcW w:w="1138" w:type="dxa"/>
            <w:tcBorders>
              <w:top w:val="single" w:sz="4" w:space="0" w:color="auto"/>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0.029269</w:t>
            </w:r>
          </w:p>
        </w:tc>
      </w:tr>
      <w:tr w:rsidR="00F55E3A">
        <w:trPr>
          <w:trHeight w:val="312"/>
          <w:jc w:val="center"/>
        </w:trPr>
        <w:tc>
          <w:tcPr>
            <w:tcW w:w="3104" w:type="dxa"/>
            <w:vMerge/>
            <w:tcBorders>
              <w:left w:val="single" w:sz="8" w:space="0" w:color="auto"/>
              <w:bottom w:val="single" w:sz="4"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left w:val="single" w:sz="4" w:space="0" w:color="auto"/>
              <w:bottom w:val="single" w:sz="4" w:space="0" w:color="auto"/>
              <w:right w:val="single" w:sz="4" w:space="0" w:color="auto"/>
            </w:tcBorders>
            <w:vAlign w:val="center"/>
          </w:tcPr>
          <w:p w:rsidR="00F55E3A" w:rsidRDefault="00F55E3A">
            <w:pPr>
              <w:widowControl/>
              <w:snapToGrid w:val="0"/>
              <w:jc w:val="center"/>
              <w:rPr>
                <w:kern w:val="0"/>
                <w:sz w:val="18"/>
                <w:szCs w:val="18"/>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6</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6</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6</w:t>
            </w:r>
          </w:p>
        </w:tc>
        <w:tc>
          <w:tcPr>
            <w:tcW w:w="1138" w:type="dxa"/>
            <w:tcBorders>
              <w:top w:val="single" w:sz="4" w:space="0" w:color="auto"/>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6</w:t>
            </w:r>
          </w:p>
        </w:tc>
      </w:tr>
      <w:tr w:rsidR="00F55E3A">
        <w:trPr>
          <w:trHeight w:val="312"/>
          <w:jc w:val="center"/>
        </w:trPr>
        <w:tc>
          <w:tcPr>
            <w:tcW w:w="3104" w:type="dxa"/>
            <w:vMerge w:val="restart"/>
            <w:tcBorders>
              <w:top w:val="single" w:sz="4" w:space="0" w:color="auto"/>
              <w:left w:val="single" w:sz="8" w:space="0" w:color="auto"/>
              <w:right w:val="single" w:sz="4" w:space="0" w:color="auto"/>
            </w:tcBorders>
            <w:vAlign w:val="center"/>
          </w:tcPr>
          <w:p w:rsidR="00F55E3A" w:rsidRDefault="00F577EE">
            <w:pPr>
              <w:widowControl/>
              <w:snapToGrid w:val="0"/>
              <w:jc w:val="center"/>
              <w:rPr>
                <w:rFonts w:ascii="宋体" w:hAnsi="宋体" w:cs="宋体"/>
                <w:kern w:val="0"/>
                <w:sz w:val="18"/>
                <w:szCs w:val="18"/>
              </w:rPr>
            </w:pPr>
            <w:r>
              <w:rPr>
                <w:rFonts w:hint="eastAsia"/>
                <w:sz w:val="18"/>
                <w:szCs w:val="18"/>
              </w:rPr>
              <w:t>紫金铜业有限公司</w:t>
            </w:r>
          </w:p>
        </w:tc>
        <w:tc>
          <w:tcPr>
            <w:tcW w:w="493" w:type="dxa"/>
            <w:vMerge w:val="restart"/>
            <w:tcBorders>
              <w:top w:val="single" w:sz="4" w:space="0" w:color="auto"/>
              <w:left w:val="single" w:sz="4" w:space="0" w:color="auto"/>
              <w:right w:val="single" w:sz="4" w:space="0" w:color="auto"/>
            </w:tcBorders>
            <w:vAlign w:val="center"/>
          </w:tcPr>
          <w:p w:rsidR="00F55E3A" w:rsidRDefault="00F577EE">
            <w:pPr>
              <w:widowControl/>
              <w:snapToGrid w:val="0"/>
              <w:jc w:val="center"/>
              <w:rPr>
                <w:kern w:val="0"/>
                <w:sz w:val="18"/>
                <w:szCs w:val="18"/>
              </w:rPr>
            </w:pPr>
            <w:r>
              <w:rPr>
                <w:rFonts w:hint="eastAsia"/>
                <w:kern w:val="0"/>
                <w:sz w:val="18"/>
                <w:szCs w:val="18"/>
              </w:rPr>
              <w:t>14</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textAlignment w:val="center"/>
              <w:rPr>
                <w:kern w:val="0"/>
                <w:sz w:val="18"/>
                <w:szCs w:val="18"/>
              </w:rPr>
            </w:pPr>
            <w:r>
              <w:rPr>
                <w:rFonts w:hint="eastAsia"/>
                <w:sz w:val="18"/>
                <w:szCs w:val="18"/>
              </w:rPr>
              <w:t>3.32</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10.12</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21.12</w:t>
            </w:r>
          </w:p>
        </w:tc>
        <w:tc>
          <w:tcPr>
            <w:tcW w:w="1138" w:type="dxa"/>
            <w:tcBorders>
              <w:top w:val="single" w:sz="4" w:space="0" w:color="auto"/>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32.32</w:t>
            </w:r>
          </w:p>
        </w:tc>
      </w:tr>
      <w:tr w:rsidR="00F55E3A">
        <w:trPr>
          <w:trHeight w:val="312"/>
          <w:jc w:val="center"/>
        </w:trPr>
        <w:tc>
          <w:tcPr>
            <w:tcW w:w="3104" w:type="dxa"/>
            <w:vMerge/>
            <w:tcBorders>
              <w:left w:val="single" w:sz="8" w:space="0" w:color="auto"/>
              <w:right w:val="single" w:sz="4" w:space="0" w:color="auto"/>
            </w:tcBorders>
            <w:vAlign w:val="center"/>
          </w:tcPr>
          <w:p w:rsidR="00F55E3A" w:rsidRDefault="00F55E3A">
            <w:pPr>
              <w:widowControl/>
              <w:snapToGrid w:val="0"/>
              <w:jc w:val="center"/>
              <w:rPr>
                <w:rFonts w:ascii="宋体" w:hAnsi="宋体" w:cs="宋体"/>
                <w:kern w:val="0"/>
                <w:sz w:val="18"/>
                <w:szCs w:val="18"/>
              </w:rPr>
            </w:pPr>
          </w:p>
        </w:tc>
        <w:tc>
          <w:tcPr>
            <w:tcW w:w="493" w:type="dxa"/>
            <w:vMerge/>
            <w:tcBorders>
              <w:left w:val="single" w:sz="4" w:space="0" w:color="auto"/>
              <w:right w:val="single" w:sz="4" w:space="0" w:color="auto"/>
            </w:tcBorders>
            <w:vAlign w:val="center"/>
          </w:tcPr>
          <w:p w:rsidR="00F55E3A" w:rsidRDefault="00F55E3A">
            <w:pPr>
              <w:widowControl/>
              <w:snapToGrid w:val="0"/>
              <w:jc w:val="center"/>
              <w:rPr>
                <w:kern w:val="0"/>
                <w:sz w:val="18"/>
                <w:szCs w:val="18"/>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textAlignment w:val="center"/>
              <w:rPr>
                <w:kern w:val="0"/>
                <w:sz w:val="18"/>
                <w:szCs w:val="18"/>
              </w:rPr>
            </w:pPr>
            <w:r>
              <w:rPr>
                <w:rFonts w:hint="eastAsia"/>
                <w:sz w:val="18"/>
                <w:szCs w:val="18"/>
              </w:rPr>
              <w:t>0.034192</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0.026968</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0.020494</w:t>
            </w:r>
          </w:p>
        </w:tc>
        <w:tc>
          <w:tcPr>
            <w:tcW w:w="1138" w:type="dxa"/>
            <w:tcBorders>
              <w:top w:val="single" w:sz="4" w:space="0" w:color="auto"/>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0.044354</w:t>
            </w:r>
          </w:p>
        </w:tc>
      </w:tr>
      <w:tr w:rsidR="00F55E3A">
        <w:trPr>
          <w:trHeight w:val="312"/>
          <w:jc w:val="center"/>
        </w:trPr>
        <w:tc>
          <w:tcPr>
            <w:tcW w:w="3104" w:type="dxa"/>
            <w:vMerge/>
            <w:tcBorders>
              <w:left w:val="single" w:sz="8" w:space="0" w:color="auto"/>
              <w:bottom w:val="single" w:sz="4" w:space="0" w:color="auto"/>
              <w:right w:val="single" w:sz="4" w:space="0" w:color="auto"/>
            </w:tcBorders>
            <w:vAlign w:val="center"/>
          </w:tcPr>
          <w:p w:rsidR="00F55E3A" w:rsidRDefault="00F55E3A">
            <w:pPr>
              <w:widowControl/>
              <w:snapToGrid w:val="0"/>
              <w:jc w:val="center"/>
              <w:rPr>
                <w:rFonts w:ascii="宋体" w:hAnsi="宋体" w:cs="宋体"/>
                <w:kern w:val="0"/>
                <w:sz w:val="18"/>
                <w:szCs w:val="18"/>
              </w:rPr>
            </w:pPr>
          </w:p>
        </w:tc>
        <w:tc>
          <w:tcPr>
            <w:tcW w:w="493" w:type="dxa"/>
            <w:vMerge/>
            <w:tcBorders>
              <w:left w:val="single" w:sz="4" w:space="0" w:color="auto"/>
              <w:bottom w:val="single" w:sz="4" w:space="0" w:color="auto"/>
              <w:right w:val="single" w:sz="4" w:space="0" w:color="auto"/>
            </w:tcBorders>
            <w:vAlign w:val="center"/>
          </w:tcPr>
          <w:p w:rsidR="00F55E3A" w:rsidRDefault="00F55E3A">
            <w:pPr>
              <w:widowControl/>
              <w:snapToGrid w:val="0"/>
              <w:jc w:val="center"/>
              <w:rPr>
                <w:kern w:val="0"/>
                <w:sz w:val="18"/>
                <w:szCs w:val="18"/>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8" w:type="dxa"/>
            <w:tcBorders>
              <w:top w:val="single" w:sz="4" w:space="0" w:color="auto"/>
              <w:left w:val="nil"/>
              <w:bottom w:val="single" w:sz="4"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r>
      <w:tr w:rsidR="00F55E3A">
        <w:trPr>
          <w:trHeight w:val="312"/>
          <w:jc w:val="center"/>
        </w:trPr>
        <w:tc>
          <w:tcPr>
            <w:tcW w:w="3104" w:type="dxa"/>
            <w:vMerge w:val="restart"/>
            <w:tcBorders>
              <w:top w:val="single" w:sz="4" w:space="0" w:color="auto"/>
              <w:left w:val="single" w:sz="8" w:space="0" w:color="auto"/>
              <w:right w:val="single" w:sz="4" w:space="0" w:color="auto"/>
            </w:tcBorders>
            <w:vAlign w:val="center"/>
          </w:tcPr>
          <w:p w:rsidR="00F55E3A" w:rsidRDefault="00F577EE">
            <w:pPr>
              <w:widowControl/>
              <w:snapToGrid w:val="0"/>
              <w:jc w:val="center"/>
              <w:rPr>
                <w:rFonts w:ascii="宋体" w:hAnsi="宋体" w:cs="宋体"/>
                <w:kern w:val="0"/>
                <w:sz w:val="18"/>
                <w:szCs w:val="18"/>
              </w:rPr>
            </w:pPr>
            <w:r>
              <w:rPr>
                <w:rFonts w:hint="eastAsia"/>
                <w:sz w:val="18"/>
                <w:szCs w:val="18"/>
              </w:rPr>
              <w:t>广东佳纳新能源科技有限公司</w:t>
            </w:r>
          </w:p>
        </w:tc>
        <w:tc>
          <w:tcPr>
            <w:tcW w:w="493" w:type="dxa"/>
            <w:vMerge w:val="restart"/>
            <w:tcBorders>
              <w:top w:val="single" w:sz="4" w:space="0" w:color="auto"/>
              <w:left w:val="single" w:sz="4" w:space="0" w:color="auto"/>
              <w:right w:val="single" w:sz="4" w:space="0" w:color="auto"/>
            </w:tcBorders>
            <w:vAlign w:val="center"/>
          </w:tcPr>
          <w:p w:rsidR="00F55E3A" w:rsidRDefault="00F577EE">
            <w:pPr>
              <w:widowControl/>
              <w:snapToGrid w:val="0"/>
              <w:jc w:val="center"/>
              <w:rPr>
                <w:kern w:val="0"/>
                <w:sz w:val="18"/>
                <w:szCs w:val="18"/>
              </w:rPr>
            </w:pPr>
            <w:r>
              <w:rPr>
                <w:rFonts w:hint="eastAsia"/>
                <w:kern w:val="0"/>
                <w:sz w:val="18"/>
                <w:szCs w:val="18"/>
              </w:rPr>
              <w:t>15</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均值</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3.28</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10.07</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21.11</w:t>
            </w:r>
          </w:p>
        </w:tc>
        <w:tc>
          <w:tcPr>
            <w:tcW w:w="1138" w:type="dxa"/>
            <w:tcBorders>
              <w:top w:val="single" w:sz="4" w:space="0" w:color="auto"/>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32.33</w:t>
            </w:r>
          </w:p>
        </w:tc>
      </w:tr>
      <w:tr w:rsidR="00F55E3A">
        <w:trPr>
          <w:trHeight w:val="312"/>
          <w:jc w:val="center"/>
        </w:trPr>
        <w:tc>
          <w:tcPr>
            <w:tcW w:w="3104" w:type="dxa"/>
            <w:vMerge/>
            <w:tcBorders>
              <w:left w:val="single" w:sz="8" w:space="0" w:color="auto"/>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left w:val="single" w:sz="4" w:space="0" w:color="auto"/>
              <w:right w:val="single" w:sz="4" w:space="0" w:color="auto"/>
            </w:tcBorders>
            <w:vAlign w:val="center"/>
          </w:tcPr>
          <w:p w:rsidR="00F55E3A" w:rsidRDefault="00F55E3A">
            <w:pPr>
              <w:widowControl/>
              <w:snapToGrid w:val="0"/>
              <w:jc w:val="left"/>
              <w:rPr>
                <w:kern w:val="0"/>
                <w:sz w:val="18"/>
                <w:szCs w:val="18"/>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SD</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0.031652</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0.035214</w:t>
            </w:r>
          </w:p>
        </w:tc>
        <w:tc>
          <w:tcPr>
            <w:tcW w:w="1135" w:type="dxa"/>
            <w:tcBorders>
              <w:top w:val="single" w:sz="4" w:space="0" w:color="auto"/>
              <w:left w:val="nil"/>
              <w:bottom w:val="single" w:sz="4" w:space="0" w:color="auto"/>
              <w:right w:val="single" w:sz="4"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0.070762</w:t>
            </w:r>
          </w:p>
        </w:tc>
        <w:tc>
          <w:tcPr>
            <w:tcW w:w="1138" w:type="dxa"/>
            <w:tcBorders>
              <w:top w:val="single" w:sz="4" w:space="0" w:color="auto"/>
              <w:left w:val="nil"/>
              <w:bottom w:val="single" w:sz="4" w:space="0" w:color="auto"/>
              <w:right w:val="single" w:sz="8" w:space="0" w:color="auto"/>
            </w:tcBorders>
            <w:shd w:val="clear" w:color="auto" w:fill="auto"/>
            <w:vAlign w:val="center"/>
          </w:tcPr>
          <w:p w:rsidR="00F55E3A" w:rsidRDefault="00F577EE">
            <w:pPr>
              <w:widowControl/>
              <w:jc w:val="center"/>
              <w:rPr>
                <w:kern w:val="0"/>
                <w:sz w:val="18"/>
                <w:szCs w:val="18"/>
              </w:rPr>
            </w:pPr>
            <w:r>
              <w:rPr>
                <w:rFonts w:hint="eastAsia"/>
                <w:sz w:val="18"/>
                <w:szCs w:val="18"/>
              </w:rPr>
              <w:t>0.064771</w:t>
            </w:r>
          </w:p>
        </w:tc>
      </w:tr>
      <w:tr w:rsidR="00F55E3A">
        <w:trPr>
          <w:trHeight w:val="312"/>
          <w:jc w:val="center"/>
        </w:trPr>
        <w:tc>
          <w:tcPr>
            <w:tcW w:w="3104" w:type="dxa"/>
            <w:vMerge/>
            <w:tcBorders>
              <w:left w:val="single" w:sz="8" w:space="0" w:color="auto"/>
              <w:bottom w:val="single" w:sz="8" w:space="0" w:color="000000"/>
              <w:right w:val="single" w:sz="4" w:space="0" w:color="auto"/>
            </w:tcBorders>
            <w:vAlign w:val="center"/>
          </w:tcPr>
          <w:p w:rsidR="00F55E3A" w:rsidRDefault="00F55E3A">
            <w:pPr>
              <w:widowControl/>
              <w:snapToGrid w:val="0"/>
              <w:jc w:val="left"/>
              <w:rPr>
                <w:rFonts w:ascii="宋体" w:hAnsi="宋体" w:cs="宋体"/>
                <w:kern w:val="0"/>
                <w:sz w:val="18"/>
                <w:szCs w:val="18"/>
              </w:rPr>
            </w:pPr>
          </w:p>
        </w:tc>
        <w:tc>
          <w:tcPr>
            <w:tcW w:w="493" w:type="dxa"/>
            <w:vMerge/>
            <w:tcBorders>
              <w:left w:val="single" w:sz="4" w:space="0" w:color="auto"/>
              <w:bottom w:val="single" w:sz="8" w:space="0" w:color="000000"/>
              <w:right w:val="single" w:sz="4" w:space="0" w:color="auto"/>
            </w:tcBorders>
            <w:vAlign w:val="center"/>
          </w:tcPr>
          <w:p w:rsidR="00F55E3A" w:rsidRDefault="00F55E3A">
            <w:pPr>
              <w:widowControl/>
              <w:snapToGrid w:val="0"/>
              <w:jc w:val="left"/>
              <w:rPr>
                <w:kern w:val="0"/>
                <w:sz w:val="18"/>
                <w:szCs w:val="18"/>
              </w:rPr>
            </w:pPr>
          </w:p>
        </w:tc>
        <w:tc>
          <w:tcPr>
            <w:tcW w:w="1135" w:type="dxa"/>
            <w:tcBorders>
              <w:top w:val="single" w:sz="4" w:space="0" w:color="auto"/>
              <w:left w:val="nil"/>
              <w:bottom w:val="single" w:sz="8"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kern w:val="0"/>
                <w:sz w:val="18"/>
                <w:szCs w:val="18"/>
              </w:rPr>
              <w:t>n</w:t>
            </w:r>
          </w:p>
        </w:tc>
        <w:tc>
          <w:tcPr>
            <w:tcW w:w="1135" w:type="dxa"/>
            <w:tcBorders>
              <w:top w:val="single" w:sz="4" w:space="0" w:color="auto"/>
              <w:left w:val="nil"/>
              <w:bottom w:val="single" w:sz="8"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single" w:sz="4" w:space="0" w:color="auto"/>
              <w:left w:val="nil"/>
              <w:bottom w:val="single" w:sz="8"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5" w:type="dxa"/>
            <w:tcBorders>
              <w:top w:val="single" w:sz="4" w:space="0" w:color="auto"/>
              <w:left w:val="nil"/>
              <w:bottom w:val="single" w:sz="8" w:space="0" w:color="auto"/>
              <w:right w:val="single" w:sz="4"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c>
          <w:tcPr>
            <w:tcW w:w="1138" w:type="dxa"/>
            <w:tcBorders>
              <w:top w:val="single" w:sz="4" w:space="0" w:color="auto"/>
              <w:left w:val="nil"/>
              <w:bottom w:val="single" w:sz="8" w:space="0" w:color="auto"/>
              <w:right w:val="single" w:sz="8" w:space="0" w:color="auto"/>
            </w:tcBorders>
            <w:shd w:val="clear" w:color="auto" w:fill="auto"/>
            <w:vAlign w:val="center"/>
          </w:tcPr>
          <w:p w:rsidR="00F55E3A" w:rsidRDefault="00F577EE">
            <w:pPr>
              <w:widowControl/>
              <w:snapToGrid w:val="0"/>
              <w:jc w:val="center"/>
              <w:rPr>
                <w:kern w:val="0"/>
                <w:sz w:val="18"/>
                <w:szCs w:val="18"/>
              </w:rPr>
            </w:pPr>
            <w:r>
              <w:rPr>
                <w:rFonts w:hint="eastAsia"/>
                <w:kern w:val="0"/>
                <w:sz w:val="18"/>
                <w:szCs w:val="18"/>
              </w:rPr>
              <w:t>11</w:t>
            </w:r>
          </w:p>
        </w:tc>
      </w:tr>
    </w:tbl>
    <w:p w:rsidR="00F55E3A" w:rsidRDefault="00F577EE">
      <w:pPr>
        <w:outlineLvl w:val="3"/>
        <w:rPr>
          <w:b/>
          <w:spacing w:val="8"/>
          <w:szCs w:val="21"/>
        </w:rPr>
      </w:pPr>
      <w:r>
        <w:rPr>
          <w:b/>
          <w:spacing w:val="8"/>
          <w:szCs w:val="21"/>
        </w:rPr>
        <w:t>1</w:t>
      </w:r>
      <w:r>
        <w:rPr>
          <w:rFonts w:hint="eastAsia"/>
          <w:b/>
          <w:spacing w:val="8"/>
          <w:szCs w:val="21"/>
        </w:rPr>
        <w:t>）实验室内数据的检验</w:t>
      </w:r>
    </w:p>
    <w:p w:rsidR="00F55E3A" w:rsidRDefault="00F577EE">
      <w:pPr>
        <w:ind w:firstLine="435"/>
        <w:rPr>
          <w:spacing w:val="8"/>
          <w:szCs w:val="21"/>
        </w:rPr>
      </w:pPr>
      <w:r>
        <w:rPr>
          <w:bCs/>
          <w:szCs w:val="21"/>
        </w:rPr>
        <w:t>对各实验室内每个水平的数据进行格拉布斯检验，防止一个实验室内较高变异来自某一个数据</w:t>
      </w:r>
      <w:r>
        <w:rPr>
          <w:rFonts w:hint="eastAsia"/>
          <w:bCs/>
          <w:szCs w:val="21"/>
        </w:rPr>
        <w:t>。</w:t>
      </w:r>
      <w:r>
        <w:rPr>
          <w:spacing w:val="8"/>
          <w:szCs w:val="21"/>
        </w:rPr>
        <w:t>离群值用</w:t>
      </w:r>
      <w:r>
        <w:rPr>
          <w:spacing w:val="8"/>
          <w:szCs w:val="21"/>
        </w:rPr>
        <w:t>**</w:t>
      </w:r>
      <w:r>
        <w:rPr>
          <w:rFonts w:hint="eastAsia"/>
          <w:spacing w:val="8"/>
          <w:szCs w:val="21"/>
        </w:rPr>
        <w:t>标出、岐离值用</w:t>
      </w:r>
      <w:r>
        <w:rPr>
          <w:spacing w:val="8"/>
          <w:szCs w:val="21"/>
        </w:rPr>
        <w:t>*</w:t>
      </w:r>
      <w:r>
        <w:rPr>
          <w:rFonts w:hint="eastAsia"/>
          <w:spacing w:val="8"/>
          <w:szCs w:val="21"/>
        </w:rPr>
        <w:t>标出，</w:t>
      </w:r>
      <w:r>
        <w:rPr>
          <w:spacing w:val="8"/>
          <w:szCs w:val="21"/>
        </w:rPr>
        <w:t>经检验</w:t>
      </w:r>
      <w:r>
        <w:rPr>
          <w:rFonts w:hint="eastAsia"/>
          <w:spacing w:val="8"/>
          <w:szCs w:val="21"/>
        </w:rPr>
        <w:t>，</w:t>
      </w:r>
      <w:r>
        <w:rPr>
          <w:spacing w:val="8"/>
          <w:szCs w:val="21"/>
        </w:rPr>
        <w:t>实验室内数据无异常值。</w:t>
      </w:r>
    </w:p>
    <w:p w:rsidR="00F55E3A" w:rsidRDefault="00F577EE">
      <w:pPr>
        <w:outlineLvl w:val="3"/>
        <w:rPr>
          <w:b/>
          <w:spacing w:val="8"/>
          <w:szCs w:val="21"/>
        </w:rPr>
      </w:pPr>
      <w:r>
        <w:rPr>
          <w:b/>
          <w:spacing w:val="8"/>
          <w:szCs w:val="21"/>
        </w:rPr>
        <w:t>2</w:t>
      </w:r>
      <w:r>
        <w:rPr>
          <w:rFonts w:hint="eastAsia"/>
          <w:b/>
          <w:spacing w:val="8"/>
          <w:szCs w:val="21"/>
        </w:rPr>
        <w:t>）柯克伦检验</w:t>
      </w:r>
    </w:p>
    <w:p w:rsidR="00F55E3A" w:rsidRDefault="00F577EE">
      <w:pPr>
        <w:ind w:firstLineChars="200" w:firstLine="420"/>
        <w:rPr>
          <w:color w:val="000000"/>
          <w:szCs w:val="21"/>
        </w:rPr>
      </w:pPr>
      <w:r>
        <w:rPr>
          <w:color w:val="000000"/>
          <w:szCs w:val="21"/>
        </w:rPr>
        <w:t>对各实验室每个水平的标准偏差</w:t>
      </w:r>
      <w:r>
        <w:rPr>
          <w:color w:val="000000"/>
          <w:szCs w:val="21"/>
        </w:rPr>
        <w:t>s</w:t>
      </w:r>
      <w:r>
        <w:rPr>
          <w:color w:val="000000"/>
          <w:szCs w:val="21"/>
        </w:rPr>
        <w:t>进行柯克伦检验，离群值用</w:t>
      </w:r>
      <w:r>
        <w:rPr>
          <w:color w:val="000000"/>
          <w:szCs w:val="21"/>
        </w:rPr>
        <w:t>**</w:t>
      </w:r>
      <w:r>
        <w:rPr>
          <w:rFonts w:hint="eastAsia"/>
          <w:color w:val="000000"/>
          <w:szCs w:val="21"/>
        </w:rPr>
        <w:t>标出、岐离值用</w:t>
      </w:r>
      <w:r>
        <w:rPr>
          <w:color w:val="000000"/>
          <w:szCs w:val="21"/>
        </w:rPr>
        <w:t>*</w:t>
      </w:r>
      <w:r>
        <w:rPr>
          <w:rFonts w:hint="eastAsia"/>
          <w:color w:val="000000"/>
          <w:szCs w:val="21"/>
        </w:rPr>
        <w:t>标出。</w:t>
      </w:r>
      <w:r>
        <w:rPr>
          <w:szCs w:val="21"/>
        </w:rPr>
        <w:t>对</w:t>
      </w:r>
      <w:r>
        <w:rPr>
          <w:szCs w:val="21"/>
        </w:rPr>
        <w:t>n=6</w:t>
      </w:r>
      <w:r>
        <w:rPr>
          <w:szCs w:val="21"/>
        </w:rPr>
        <w:t>，</w:t>
      </w:r>
      <w:r>
        <w:rPr>
          <w:szCs w:val="21"/>
        </w:rPr>
        <w:t>p=</w:t>
      </w:r>
      <w:r>
        <w:rPr>
          <w:rFonts w:hint="eastAsia"/>
          <w:szCs w:val="21"/>
        </w:rPr>
        <w:t>15</w:t>
      </w:r>
      <w:r>
        <w:rPr>
          <w:szCs w:val="21"/>
        </w:rPr>
        <w:t>，科克伦检验</w:t>
      </w:r>
      <w:r>
        <w:rPr>
          <w:szCs w:val="21"/>
        </w:rPr>
        <w:t>5%</w:t>
      </w:r>
      <w:r>
        <w:rPr>
          <w:szCs w:val="21"/>
        </w:rPr>
        <w:t>临界值为</w:t>
      </w:r>
      <w:r>
        <w:rPr>
          <w:rFonts w:hint="eastAsia"/>
          <w:szCs w:val="21"/>
        </w:rPr>
        <w:t>0.220</w:t>
      </w:r>
      <w:r>
        <w:rPr>
          <w:szCs w:val="21"/>
        </w:rPr>
        <w:t>，</w:t>
      </w:r>
      <w:r>
        <w:rPr>
          <w:szCs w:val="21"/>
        </w:rPr>
        <w:t>1%</w:t>
      </w:r>
      <w:r>
        <w:rPr>
          <w:szCs w:val="21"/>
        </w:rPr>
        <w:t>临界值为</w:t>
      </w:r>
      <w:r>
        <w:rPr>
          <w:szCs w:val="21"/>
        </w:rPr>
        <w:t>0.</w:t>
      </w:r>
      <w:r>
        <w:rPr>
          <w:rFonts w:hint="eastAsia"/>
          <w:szCs w:val="21"/>
        </w:rPr>
        <w:t>259</w:t>
      </w:r>
      <w:r>
        <w:rPr>
          <w:szCs w:val="21"/>
        </w:rPr>
        <w:t>（科克伦检验没有</w:t>
      </w:r>
      <w:r>
        <w:rPr>
          <w:szCs w:val="21"/>
        </w:rPr>
        <w:t>n=11</w:t>
      </w:r>
      <w:r>
        <w:rPr>
          <w:szCs w:val="21"/>
        </w:rPr>
        <w:t>时的临界值可查询，先按</w:t>
      </w:r>
      <w:r>
        <w:rPr>
          <w:szCs w:val="21"/>
        </w:rPr>
        <w:t>n=6</w:t>
      </w:r>
      <w:r>
        <w:rPr>
          <w:szCs w:val="21"/>
        </w:rPr>
        <w:t>时的临界值进行离群值的排除。）</w:t>
      </w:r>
      <w:r>
        <w:rPr>
          <w:rFonts w:hint="eastAsia"/>
          <w:szCs w:val="21"/>
        </w:rPr>
        <w:t>，</w:t>
      </w:r>
      <w:r>
        <w:rPr>
          <w:rFonts w:hint="eastAsia"/>
          <w:color w:val="000000"/>
          <w:szCs w:val="21"/>
        </w:rPr>
        <w:t>检验结果</w:t>
      </w:r>
      <w:r>
        <w:rPr>
          <w:color w:val="000000"/>
          <w:szCs w:val="21"/>
        </w:rPr>
        <w:t>见表</w:t>
      </w:r>
      <w:r>
        <w:rPr>
          <w:color w:val="000000"/>
          <w:szCs w:val="21"/>
        </w:rPr>
        <w:t>9</w:t>
      </w:r>
      <w:r>
        <w:rPr>
          <w:color w:val="000000"/>
          <w:szCs w:val="21"/>
        </w:rPr>
        <w:t>。</w:t>
      </w:r>
    </w:p>
    <w:p w:rsidR="00F55E3A" w:rsidRDefault="00F577EE">
      <w:pPr>
        <w:jc w:val="center"/>
        <w:rPr>
          <w:rFonts w:ascii="黑体" w:eastAsia="黑体" w:hAnsi="黑体" w:cs="黑体"/>
          <w:szCs w:val="21"/>
        </w:rPr>
      </w:pPr>
      <w:r>
        <w:rPr>
          <w:rFonts w:ascii="黑体" w:eastAsia="黑体" w:hAnsi="黑体" w:cs="黑体" w:hint="eastAsia"/>
          <w:szCs w:val="21"/>
        </w:rPr>
        <w:t xml:space="preserve">表9  </w:t>
      </w:r>
      <w:r>
        <w:rPr>
          <w:rFonts w:ascii="黑体" w:eastAsia="黑体" w:hAnsi="黑体" w:cs="黑体" w:hint="eastAsia"/>
          <w:spacing w:val="8"/>
          <w:szCs w:val="21"/>
        </w:rPr>
        <w:t>对标准偏差s的</w:t>
      </w:r>
      <w:r>
        <w:rPr>
          <w:rFonts w:ascii="黑体" w:eastAsia="黑体" w:hAnsi="黑体" w:cs="黑体" w:hint="eastAsia"/>
          <w:szCs w:val="21"/>
        </w:rPr>
        <w:t>第一次柯克伦检验结果</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1"/>
        <w:gridCol w:w="1891"/>
        <w:gridCol w:w="1891"/>
        <w:gridCol w:w="1891"/>
        <w:gridCol w:w="1893"/>
      </w:tblGrid>
      <w:tr w:rsidR="00F55E3A">
        <w:trPr>
          <w:trHeight w:val="358"/>
        </w:trPr>
        <w:tc>
          <w:tcPr>
            <w:tcW w:w="1891" w:type="dxa"/>
            <w:tcBorders>
              <w:tl2br w:val="single" w:sz="4" w:space="0" w:color="auto"/>
            </w:tcBorders>
            <w:vAlign w:val="center"/>
          </w:tcPr>
          <w:p w:rsidR="00F55E3A" w:rsidRDefault="00F577EE">
            <w:pPr>
              <w:rPr>
                <w:sz w:val="18"/>
                <w:szCs w:val="18"/>
              </w:rPr>
            </w:pPr>
            <w:r>
              <w:rPr>
                <w:rFonts w:hint="eastAsia"/>
                <w:sz w:val="18"/>
                <w:szCs w:val="18"/>
              </w:rPr>
              <w:t>实验室</w:t>
            </w:r>
            <w:r>
              <w:rPr>
                <w:rFonts w:hint="eastAsia"/>
                <w:sz w:val="18"/>
                <w:szCs w:val="18"/>
              </w:rPr>
              <w:t xml:space="preserve">     </w:t>
            </w:r>
            <w:r>
              <w:rPr>
                <w:rFonts w:hint="eastAsia"/>
                <w:sz w:val="18"/>
                <w:szCs w:val="18"/>
              </w:rPr>
              <w:t>水平</w:t>
            </w:r>
            <w:r>
              <w:rPr>
                <w:sz w:val="18"/>
                <w:szCs w:val="18"/>
                <w:vertAlign w:val="subscript"/>
              </w:rPr>
              <w:t>j</w:t>
            </w:r>
          </w:p>
        </w:tc>
        <w:tc>
          <w:tcPr>
            <w:tcW w:w="1891" w:type="dxa"/>
            <w:vAlign w:val="center"/>
          </w:tcPr>
          <w:p w:rsidR="00F55E3A" w:rsidRDefault="00F577EE">
            <w:pPr>
              <w:jc w:val="center"/>
              <w:rPr>
                <w:sz w:val="18"/>
                <w:szCs w:val="18"/>
              </w:rPr>
            </w:pPr>
            <w:r>
              <w:rPr>
                <w:rFonts w:hint="eastAsia"/>
                <w:sz w:val="18"/>
                <w:szCs w:val="18"/>
              </w:rPr>
              <w:t>1</w:t>
            </w:r>
          </w:p>
        </w:tc>
        <w:tc>
          <w:tcPr>
            <w:tcW w:w="1891" w:type="dxa"/>
            <w:vAlign w:val="center"/>
          </w:tcPr>
          <w:p w:rsidR="00F55E3A" w:rsidRDefault="00F577EE">
            <w:pPr>
              <w:jc w:val="center"/>
              <w:rPr>
                <w:sz w:val="18"/>
                <w:szCs w:val="18"/>
              </w:rPr>
            </w:pPr>
            <w:r>
              <w:rPr>
                <w:rFonts w:hint="eastAsia"/>
                <w:sz w:val="18"/>
                <w:szCs w:val="18"/>
              </w:rPr>
              <w:t>2</w:t>
            </w:r>
          </w:p>
        </w:tc>
        <w:tc>
          <w:tcPr>
            <w:tcW w:w="1891" w:type="dxa"/>
            <w:vAlign w:val="center"/>
          </w:tcPr>
          <w:p w:rsidR="00F55E3A" w:rsidRDefault="00F577EE">
            <w:pPr>
              <w:jc w:val="center"/>
              <w:rPr>
                <w:sz w:val="18"/>
                <w:szCs w:val="18"/>
              </w:rPr>
            </w:pPr>
            <w:r>
              <w:rPr>
                <w:rFonts w:hint="eastAsia"/>
                <w:sz w:val="18"/>
                <w:szCs w:val="18"/>
              </w:rPr>
              <w:t>3</w:t>
            </w:r>
          </w:p>
        </w:tc>
        <w:tc>
          <w:tcPr>
            <w:tcW w:w="1893" w:type="dxa"/>
            <w:vAlign w:val="center"/>
          </w:tcPr>
          <w:p w:rsidR="00F55E3A" w:rsidRDefault="00F577EE">
            <w:pPr>
              <w:jc w:val="center"/>
              <w:rPr>
                <w:sz w:val="18"/>
                <w:szCs w:val="18"/>
              </w:rPr>
            </w:pPr>
            <w:r>
              <w:rPr>
                <w:rFonts w:hint="eastAsia"/>
                <w:sz w:val="18"/>
                <w:szCs w:val="18"/>
              </w:rPr>
              <w:t>4</w:t>
            </w:r>
          </w:p>
        </w:tc>
      </w:tr>
      <w:tr w:rsidR="00F55E3A">
        <w:trPr>
          <w:trHeight w:val="358"/>
        </w:trPr>
        <w:tc>
          <w:tcPr>
            <w:tcW w:w="1891" w:type="dxa"/>
            <w:vAlign w:val="center"/>
          </w:tcPr>
          <w:p w:rsidR="00F55E3A" w:rsidRDefault="00F577EE">
            <w:pPr>
              <w:jc w:val="center"/>
              <w:rPr>
                <w:sz w:val="18"/>
                <w:szCs w:val="18"/>
              </w:rPr>
            </w:pPr>
            <w:proofErr w:type="spellStart"/>
            <w:r>
              <w:rPr>
                <w:rFonts w:hint="eastAsia"/>
                <w:sz w:val="18"/>
                <w:szCs w:val="18"/>
              </w:rPr>
              <w:t>s</w:t>
            </w:r>
            <w:r>
              <w:rPr>
                <w:rFonts w:hint="eastAsia"/>
                <w:sz w:val="18"/>
                <w:szCs w:val="18"/>
                <w:vertAlign w:val="subscript"/>
              </w:rPr>
              <w:t>max</w:t>
            </w:r>
            <w:proofErr w:type="spellEnd"/>
          </w:p>
        </w:tc>
        <w:tc>
          <w:tcPr>
            <w:tcW w:w="1891" w:type="dxa"/>
            <w:vAlign w:val="center"/>
          </w:tcPr>
          <w:p w:rsidR="00F55E3A" w:rsidRDefault="00F577EE">
            <w:pPr>
              <w:jc w:val="center"/>
              <w:rPr>
                <w:sz w:val="18"/>
                <w:szCs w:val="18"/>
              </w:rPr>
            </w:pPr>
            <w:r>
              <w:rPr>
                <w:rFonts w:hint="eastAsia"/>
                <w:sz w:val="18"/>
                <w:szCs w:val="18"/>
              </w:rPr>
              <w:t>P4</w:t>
            </w:r>
            <w:r>
              <w:rPr>
                <w:rFonts w:hint="eastAsia"/>
                <w:sz w:val="18"/>
                <w:szCs w:val="18"/>
              </w:rPr>
              <w:t>，</w:t>
            </w:r>
            <w:r>
              <w:rPr>
                <w:rFonts w:hint="eastAsia"/>
                <w:sz w:val="18"/>
                <w:szCs w:val="18"/>
              </w:rPr>
              <w:t>0.054606</w:t>
            </w:r>
          </w:p>
        </w:tc>
        <w:tc>
          <w:tcPr>
            <w:tcW w:w="1891" w:type="dxa"/>
            <w:vAlign w:val="center"/>
          </w:tcPr>
          <w:p w:rsidR="00F55E3A" w:rsidRDefault="00F577EE">
            <w:pPr>
              <w:jc w:val="center"/>
              <w:rPr>
                <w:sz w:val="18"/>
                <w:szCs w:val="18"/>
              </w:rPr>
            </w:pPr>
            <w:r>
              <w:rPr>
                <w:rFonts w:hint="eastAsia"/>
                <w:sz w:val="18"/>
                <w:szCs w:val="18"/>
              </w:rPr>
              <w:t>P4</w:t>
            </w:r>
            <w:r>
              <w:rPr>
                <w:rFonts w:hint="eastAsia"/>
                <w:sz w:val="18"/>
                <w:szCs w:val="18"/>
              </w:rPr>
              <w:t>，</w:t>
            </w:r>
            <w:r>
              <w:rPr>
                <w:rFonts w:hint="eastAsia"/>
                <w:sz w:val="18"/>
                <w:szCs w:val="18"/>
              </w:rPr>
              <w:t>0.064554</w:t>
            </w:r>
          </w:p>
        </w:tc>
        <w:tc>
          <w:tcPr>
            <w:tcW w:w="1891" w:type="dxa"/>
            <w:vAlign w:val="center"/>
          </w:tcPr>
          <w:p w:rsidR="00F55E3A" w:rsidRDefault="00F577EE">
            <w:pPr>
              <w:jc w:val="center"/>
              <w:rPr>
                <w:sz w:val="18"/>
                <w:szCs w:val="18"/>
              </w:rPr>
            </w:pPr>
            <w:r>
              <w:rPr>
                <w:rFonts w:hint="eastAsia"/>
                <w:sz w:val="18"/>
                <w:szCs w:val="18"/>
              </w:rPr>
              <w:t>P4</w:t>
            </w:r>
            <w:r>
              <w:rPr>
                <w:rFonts w:hint="eastAsia"/>
                <w:sz w:val="18"/>
                <w:szCs w:val="18"/>
              </w:rPr>
              <w:t>，</w:t>
            </w:r>
            <w:r>
              <w:rPr>
                <w:rFonts w:hint="eastAsia"/>
                <w:sz w:val="18"/>
                <w:szCs w:val="18"/>
              </w:rPr>
              <w:t>0.141762</w:t>
            </w:r>
          </w:p>
        </w:tc>
        <w:tc>
          <w:tcPr>
            <w:tcW w:w="1893" w:type="dxa"/>
            <w:vAlign w:val="center"/>
          </w:tcPr>
          <w:p w:rsidR="00F55E3A" w:rsidRDefault="00F577EE">
            <w:pPr>
              <w:jc w:val="center"/>
              <w:rPr>
                <w:sz w:val="18"/>
                <w:szCs w:val="18"/>
              </w:rPr>
            </w:pPr>
            <w:r>
              <w:rPr>
                <w:rFonts w:hint="eastAsia"/>
                <w:sz w:val="18"/>
                <w:szCs w:val="18"/>
              </w:rPr>
              <w:t>P2</w:t>
            </w:r>
            <w:r>
              <w:rPr>
                <w:rFonts w:hint="eastAsia"/>
                <w:sz w:val="18"/>
                <w:szCs w:val="18"/>
              </w:rPr>
              <w:t>，</w:t>
            </w:r>
            <w:r>
              <w:rPr>
                <w:rFonts w:hint="eastAsia"/>
                <w:sz w:val="18"/>
                <w:szCs w:val="18"/>
              </w:rPr>
              <w:t>0.148263</w:t>
            </w:r>
          </w:p>
        </w:tc>
      </w:tr>
      <w:tr w:rsidR="00F55E3A">
        <w:trPr>
          <w:trHeight w:val="358"/>
        </w:trPr>
        <w:tc>
          <w:tcPr>
            <w:tcW w:w="1891" w:type="dxa"/>
            <w:vAlign w:val="center"/>
          </w:tcPr>
          <w:p w:rsidR="00F55E3A" w:rsidRDefault="00F577EE">
            <w:pPr>
              <w:jc w:val="center"/>
              <w:rPr>
                <w:sz w:val="18"/>
                <w:szCs w:val="18"/>
              </w:rPr>
            </w:pPr>
            <w:r>
              <w:rPr>
                <w:rFonts w:cs="宋体" w:hint="eastAsia"/>
                <w:sz w:val="18"/>
                <w:szCs w:val="18"/>
              </w:rPr>
              <w:t>∑</w:t>
            </w:r>
            <w:r>
              <w:rPr>
                <w:rFonts w:hint="eastAsia"/>
                <w:sz w:val="18"/>
                <w:szCs w:val="18"/>
              </w:rPr>
              <w:t>s</w:t>
            </w:r>
            <w:r>
              <w:rPr>
                <w:sz w:val="18"/>
                <w:szCs w:val="18"/>
                <w:vertAlign w:val="superscript"/>
              </w:rPr>
              <w:t>2</w:t>
            </w:r>
          </w:p>
        </w:tc>
        <w:tc>
          <w:tcPr>
            <w:tcW w:w="1891" w:type="dxa"/>
            <w:vAlign w:val="center"/>
          </w:tcPr>
          <w:p w:rsidR="00F55E3A" w:rsidRDefault="00F577EE">
            <w:pPr>
              <w:widowControl/>
              <w:jc w:val="center"/>
              <w:textAlignment w:val="center"/>
              <w:rPr>
                <w:sz w:val="18"/>
                <w:szCs w:val="18"/>
              </w:rPr>
            </w:pPr>
            <w:r>
              <w:rPr>
                <w:color w:val="000000"/>
                <w:kern w:val="0"/>
                <w:sz w:val="18"/>
                <w:szCs w:val="18"/>
                <w:lang/>
              </w:rPr>
              <w:t>0.01</w:t>
            </w:r>
            <w:r>
              <w:rPr>
                <w:rFonts w:hint="eastAsia"/>
                <w:color w:val="000000"/>
                <w:kern w:val="0"/>
                <w:sz w:val="18"/>
                <w:szCs w:val="18"/>
                <w:lang/>
              </w:rPr>
              <w:t>1667</w:t>
            </w:r>
          </w:p>
        </w:tc>
        <w:tc>
          <w:tcPr>
            <w:tcW w:w="1891" w:type="dxa"/>
            <w:vAlign w:val="center"/>
          </w:tcPr>
          <w:p w:rsidR="00F55E3A" w:rsidRDefault="00F577EE">
            <w:pPr>
              <w:widowControl/>
              <w:jc w:val="center"/>
              <w:textAlignment w:val="center"/>
              <w:rPr>
                <w:sz w:val="18"/>
                <w:szCs w:val="18"/>
              </w:rPr>
            </w:pPr>
            <w:r>
              <w:rPr>
                <w:color w:val="000000"/>
                <w:kern w:val="0"/>
                <w:sz w:val="18"/>
                <w:szCs w:val="18"/>
                <w:lang/>
              </w:rPr>
              <w:t>0.01530243</w:t>
            </w:r>
            <w:r>
              <w:rPr>
                <w:rFonts w:hint="eastAsia"/>
                <w:color w:val="000000"/>
                <w:kern w:val="0"/>
                <w:sz w:val="18"/>
                <w:szCs w:val="18"/>
                <w:lang/>
              </w:rPr>
              <w:t>707</w:t>
            </w:r>
          </w:p>
        </w:tc>
        <w:tc>
          <w:tcPr>
            <w:tcW w:w="1891" w:type="dxa"/>
            <w:vAlign w:val="center"/>
          </w:tcPr>
          <w:p w:rsidR="00F55E3A" w:rsidRDefault="00F577EE">
            <w:pPr>
              <w:widowControl/>
              <w:jc w:val="center"/>
              <w:textAlignment w:val="center"/>
              <w:rPr>
                <w:sz w:val="18"/>
                <w:szCs w:val="18"/>
              </w:rPr>
            </w:pPr>
            <w:r>
              <w:rPr>
                <w:color w:val="000000"/>
                <w:kern w:val="0"/>
                <w:sz w:val="18"/>
                <w:szCs w:val="18"/>
                <w:lang/>
              </w:rPr>
              <w:t>0.05</w:t>
            </w:r>
            <w:r>
              <w:rPr>
                <w:rFonts w:hint="eastAsia"/>
                <w:color w:val="000000"/>
                <w:kern w:val="0"/>
                <w:sz w:val="18"/>
                <w:szCs w:val="18"/>
                <w:lang/>
              </w:rPr>
              <w:t>5355</w:t>
            </w:r>
          </w:p>
        </w:tc>
        <w:tc>
          <w:tcPr>
            <w:tcW w:w="1893" w:type="dxa"/>
            <w:vAlign w:val="center"/>
          </w:tcPr>
          <w:p w:rsidR="00F55E3A" w:rsidRDefault="00F577EE">
            <w:pPr>
              <w:widowControl/>
              <w:jc w:val="center"/>
              <w:textAlignment w:val="center"/>
              <w:rPr>
                <w:sz w:val="18"/>
                <w:szCs w:val="18"/>
              </w:rPr>
            </w:pPr>
            <w:r>
              <w:rPr>
                <w:color w:val="000000"/>
                <w:kern w:val="0"/>
                <w:sz w:val="18"/>
                <w:szCs w:val="18"/>
                <w:lang/>
              </w:rPr>
              <w:t>0.07</w:t>
            </w:r>
            <w:r>
              <w:rPr>
                <w:rFonts w:hint="eastAsia"/>
                <w:color w:val="000000"/>
                <w:kern w:val="0"/>
                <w:sz w:val="18"/>
                <w:szCs w:val="18"/>
                <w:lang/>
              </w:rPr>
              <w:t>439</w:t>
            </w:r>
          </w:p>
        </w:tc>
      </w:tr>
      <w:tr w:rsidR="00F55E3A">
        <w:trPr>
          <w:trHeight w:val="358"/>
        </w:trPr>
        <w:tc>
          <w:tcPr>
            <w:tcW w:w="1891" w:type="dxa"/>
            <w:vAlign w:val="center"/>
          </w:tcPr>
          <w:p w:rsidR="00F55E3A" w:rsidRDefault="00F577EE">
            <w:pPr>
              <w:jc w:val="center"/>
              <w:rPr>
                <w:sz w:val="18"/>
                <w:szCs w:val="18"/>
              </w:rPr>
            </w:pPr>
            <w:r>
              <w:rPr>
                <w:rFonts w:hint="eastAsia"/>
                <w:sz w:val="18"/>
                <w:szCs w:val="18"/>
              </w:rPr>
              <w:t>统计量</w:t>
            </w:r>
            <w:r>
              <w:rPr>
                <w:rFonts w:hint="eastAsia"/>
                <w:sz w:val="18"/>
                <w:szCs w:val="18"/>
              </w:rPr>
              <w:t>C</w:t>
            </w:r>
          </w:p>
        </w:tc>
        <w:tc>
          <w:tcPr>
            <w:tcW w:w="1891" w:type="dxa"/>
            <w:vAlign w:val="center"/>
          </w:tcPr>
          <w:p w:rsidR="00F55E3A" w:rsidRDefault="00F577EE">
            <w:pPr>
              <w:widowControl/>
              <w:jc w:val="center"/>
              <w:textAlignment w:val="center"/>
              <w:rPr>
                <w:sz w:val="18"/>
                <w:szCs w:val="18"/>
              </w:rPr>
            </w:pPr>
            <w:r>
              <w:rPr>
                <w:color w:val="000000"/>
                <w:kern w:val="0"/>
                <w:sz w:val="18"/>
                <w:szCs w:val="18"/>
                <w:lang/>
              </w:rPr>
              <w:t>0.2</w:t>
            </w:r>
            <w:r>
              <w:rPr>
                <w:rFonts w:hint="eastAsia"/>
                <w:color w:val="000000"/>
                <w:kern w:val="0"/>
                <w:sz w:val="18"/>
                <w:szCs w:val="18"/>
                <w:lang/>
              </w:rPr>
              <w:t>56</w:t>
            </w:r>
          </w:p>
        </w:tc>
        <w:tc>
          <w:tcPr>
            <w:tcW w:w="1891" w:type="dxa"/>
            <w:vAlign w:val="center"/>
          </w:tcPr>
          <w:p w:rsidR="00F55E3A" w:rsidRDefault="00F577EE">
            <w:pPr>
              <w:widowControl/>
              <w:jc w:val="center"/>
              <w:textAlignment w:val="center"/>
              <w:rPr>
                <w:sz w:val="18"/>
                <w:szCs w:val="18"/>
              </w:rPr>
            </w:pPr>
            <w:r>
              <w:rPr>
                <w:color w:val="000000"/>
                <w:kern w:val="0"/>
                <w:sz w:val="18"/>
                <w:szCs w:val="18"/>
                <w:lang/>
              </w:rPr>
              <w:t>0.2</w:t>
            </w:r>
            <w:r>
              <w:rPr>
                <w:rFonts w:hint="eastAsia"/>
                <w:color w:val="000000"/>
                <w:kern w:val="0"/>
                <w:sz w:val="18"/>
                <w:szCs w:val="18"/>
                <w:lang/>
              </w:rPr>
              <w:t>44</w:t>
            </w:r>
          </w:p>
        </w:tc>
        <w:tc>
          <w:tcPr>
            <w:tcW w:w="1891" w:type="dxa"/>
            <w:vAlign w:val="center"/>
          </w:tcPr>
          <w:p w:rsidR="00F55E3A" w:rsidRDefault="00F577EE">
            <w:pPr>
              <w:widowControl/>
              <w:jc w:val="center"/>
              <w:textAlignment w:val="center"/>
              <w:rPr>
                <w:sz w:val="18"/>
                <w:szCs w:val="18"/>
              </w:rPr>
            </w:pPr>
            <w:r>
              <w:rPr>
                <w:color w:val="000000"/>
                <w:kern w:val="0"/>
                <w:sz w:val="18"/>
                <w:szCs w:val="18"/>
                <w:lang/>
              </w:rPr>
              <w:t>0.36</w:t>
            </w:r>
            <w:r>
              <w:rPr>
                <w:rFonts w:hint="eastAsia"/>
                <w:color w:val="000000"/>
                <w:kern w:val="0"/>
                <w:sz w:val="18"/>
                <w:szCs w:val="18"/>
                <w:lang/>
              </w:rPr>
              <w:t>2</w:t>
            </w:r>
          </w:p>
        </w:tc>
        <w:tc>
          <w:tcPr>
            <w:tcW w:w="1893" w:type="dxa"/>
            <w:vAlign w:val="center"/>
          </w:tcPr>
          <w:p w:rsidR="00F55E3A" w:rsidRDefault="00F577EE">
            <w:pPr>
              <w:widowControl/>
              <w:jc w:val="center"/>
              <w:textAlignment w:val="center"/>
              <w:rPr>
                <w:sz w:val="18"/>
                <w:szCs w:val="18"/>
              </w:rPr>
            </w:pPr>
            <w:r>
              <w:rPr>
                <w:color w:val="000000"/>
                <w:kern w:val="0"/>
                <w:sz w:val="18"/>
                <w:szCs w:val="18"/>
                <w:lang/>
              </w:rPr>
              <w:t>0.29</w:t>
            </w:r>
            <w:r>
              <w:rPr>
                <w:rFonts w:hint="eastAsia"/>
                <w:color w:val="000000"/>
                <w:kern w:val="0"/>
                <w:sz w:val="18"/>
                <w:szCs w:val="18"/>
                <w:lang/>
              </w:rPr>
              <w:t>5</w:t>
            </w:r>
          </w:p>
        </w:tc>
      </w:tr>
      <w:tr w:rsidR="00F55E3A">
        <w:trPr>
          <w:trHeight w:val="358"/>
        </w:trPr>
        <w:tc>
          <w:tcPr>
            <w:tcW w:w="1891" w:type="dxa"/>
            <w:vAlign w:val="center"/>
          </w:tcPr>
          <w:p w:rsidR="00F55E3A" w:rsidRDefault="00F577EE">
            <w:pPr>
              <w:jc w:val="center"/>
              <w:rPr>
                <w:sz w:val="18"/>
                <w:szCs w:val="18"/>
              </w:rPr>
            </w:pPr>
            <w:r>
              <w:rPr>
                <w:rFonts w:cs="宋体" w:hint="eastAsia"/>
                <w:sz w:val="18"/>
                <w:szCs w:val="18"/>
              </w:rPr>
              <w:t>歧离值（</w:t>
            </w:r>
            <w:r>
              <w:rPr>
                <w:sz w:val="18"/>
                <w:szCs w:val="18"/>
              </w:rPr>
              <w:t>Y/N</w:t>
            </w:r>
            <w:r>
              <w:rPr>
                <w:rFonts w:cs="宋体" w:hint="eastAsia"/>
                <w:sz w:val="18"/>
                <w:szCs w:val="18"/>
              </w:rPr>
              <w:t>）</w:t>
            </w:r>
          </w:p>
        </w:tc>
        <w:tc>
          <w:tcPr>
            <w:tcW w:w="1891" w:type="dxa"/>
            <w:vAlign w:val="center"/>
          </w:tcPr>
          <w:p w:rsidR="00F55E3A" w:rsidRDefault="00F577EE">
            <w:pPr>
              <w:jc w:val="center"/>
              <w:rPr>
                <w:sz w:val="18"/>
                <w:szCs w:val="18"/>
              </w:rPr>
            </w:pPr>
            <w:r>
              <w:rPr>
                <w:rFonts w:hint="eastAsia"/>
                <w:sz w:val="18"/>
                <w:szCs w:val="18"/>
              </w:rPr>
              <w:t>Y</w:t>
            </w:r>
          </w:p>
        </w:tc>
        <w:tc>
          <w:tcPr>
            <w:tcW w:w="1891" w:type="dxa"/>
            <w:vAlign w:val="center"/>
          </w:tcPr>
          <w:p w:rsidR="00F55E3A" w:rsidRDefault="00F577EE">
            <w:pPr>
              <w:jc w:val="center"/>
              <w:rPr>
                <w:sz w:val="18"/>
                <w:szCs w:val="18"/>
              </w:rPr>
            </w:pPr>
            <w:r>
              <w:rPr>
                <w:rFonts w:hint="eastAsia"/>
                <w:sz w:val="18"/>
                <w:szCs w:val="18"/>
              </w:rPr>
              <w:t>Y</w:t>
            </w:r>
          </w:p>
        </w:tc>
        <w:tc>
          <w:tcPr>
            <w:tcW w:w="1891" w:type="dxa"/>
            <w:vAlign w:val="center"/>
          </w:tcPr>
          <w:p w:rsidR="00F55E3A" w:rsidRDefault="00F577EE">
            <w:pPr>
              <w:jc w:val="center"/>
              <w:rPr>
                <w:sz w:val="18"/>
                <w:szCs w:val="18"/>
              </w:rPr>
            </w:pPr>
            <w:r>
              <w:rPr>
                <w:rFonts w:hint="eastAsia"/>
                <w:sz w:val="18"/>
                <w:szCs w:val="18"/>
              </w:rPr>
              <w:t>Y</w:t>
            </w:r>
          </w:p>
        </w:tc>
        <w:tc>
          <w:tcPr>
            <w:tcW w:w="1893" w:type="dxa"/>
            <w:vAlign w:val="center"/>
          </w:tcPr>
          <w:p w:rsidR="00F55E3A" w:rsidRDefault="00F577EE">
            <w:pPr>
              <w:jc w:val="center"/>
              <w:rPr>
                <w:sz w:val="18"/>
                <w:szCs w:val="18"/>
              </w:rPr>
            </w:pPr>
            <w:r>
              <w:rPr>
                <w:rFonts w:hint="eastAsia"/>
                <w:sz w:val="18"/>
                <w:szCs w:val="18"/>
              </w:rPr>
              <w:t>Y</w:t>
            </w:r>
          </w:p>
        </w:tc>
      </w:tr>
      <w:tr w:rsidR="00F55E3A">
        <w:trPr>
          <w:trHeight w:val="358"/>
        </w:trPr>
        <w:tc>
          <w:tcPr>
            <w:tcW w:w="1891" w:type="dxa"/>
            <w:vAlign w:val="center"/>
          </w:tcPr>
          <w:p w:rsidR="00F55E3A" w:rsidRDefault="00F577EE">
            <w:pPr>
              <w:jc w:val="center"/>
              <w:rPr>
                <w:sz w:val="18"/>
                <w:szCs w:val="18"/>
              </w:rPr>
            </w:pPr>
            <w:r>
              <w:rPr>
                <w:rFonts w:cs="宋体" w:hint="eastAsia"/>
                <w:sz w:val="18"/>
                <w:szCs w:val="18"/>
              </w:rPr>
              <w:t>离群值（</w:t>
            </w:r>
            <w:r>
              <w:rPr>
                <w:sz w:val="18"/>
                <w:szCs w:val="18"/>
              </w:rPr>
              <w:t>Y/N</w:t>
            </w:r>
            <w:r>
              <w:rPr>
                <w:rFonts w:cs="宋体" w:hint="eastAsia"/>
                <w:sz w:val="18"/>
                <w:szCs w:val="18"/>
              </w:rPr>
              <w:t>）</w:t>
            </w:r>
          </w:p>
        </w:tc>
        <w:tc>
          <w:tcPr>
            <w:tcW w:w="1891" w:type="dxa"/>
            <w:vAlign w:val="center"/>
          </w:tcPr>
          <w:p w:rsidR="00F55E3A" w:rsidRDefault="00F577EE">
            <w:pPr>
              <w:jc w:val="center"/>
              <w:rPr>
                <w:sz w:val="18"/>
                <w:szCs w:val="18"/>
              </w:rPr>
            </w:pPr>
            <w:r>
              <w:rPr>
                <w:rFonts w:hint="eastAsia"/>
                <w:sz w:val="18"/>
                <w:szCs w:val="18"/>
              </w:rPr>
              <w:t>N</w:t>
            </w:r>
          </w:p>
        </w:tc>
        <w:tc>
          <w:tcPr>
            <w:tcW w:w="1891" w:type="dxa"/>
            <w:vAlign w:val="center"/>
          </w:tcPr>
          <w:p w:rsidR="00F55E3A" w:rsidRDefault="00F577EE">
            <w:pPr>
              <w:jc w:val="center"/>
              <w:rPr>
                <w:sz w:val="18"/>
                <w:szCs w:val="18"/>
              </w:rPr>
            </w:pPr>
            <w:r>
              <w:rPr>
                <w:rFonts w:hint="eastAsia"/>
                <w:sz w:val="18"/>
                <w:szCs w:val="18"/>
              </w:rPr>
              <w:t>N</w:t>
            </w:r>
          </w:p>
        </w:tc>
        <w:tc>
          <w:tcPr>
            <w:tcW w:w="1891" w:type="dxa"/>
            <w:vAlign w:val="center"/>
          </w:tcPr>
          <w:p w:rsidR="00F55E3A" w:rsidRDefault="00F577EE">
            <w:pPr>
              <w:jc w:val="center"/>
              <w:rPr>
                <w:sz w:val="18"/>
                <w:szCs w:val="18"/>
              </w:rPr>
            </w:pPr>
            <w:r>
              <w:rPr>
                <w:rFonts w:hint="eastAsia"/>
                <w:sz w:val="18"/>
                <w:szCs w:val="18"/>
              </w:rPr>
              <w:t>Y</w:t>
            </w:r>
          </w:p>
        </w:tc>
        <w:tc>
          <w:tcPr>
            <w:tcW w:w="1893" w:type="dxa"/>
            <w:vAlign w:val="center"/>
          </w:tcPr>
          <w:p w:rsidR="00F55E3A" w:rsidRDefault="00F577EE">
            <w:pPr>
              <w:jc w:val="center"/>
              <w:rPr>
                <w:sz w:val="18"/>
                <w:szCs w:val="18"/>
              </w:rPr>
            </w:pPr>
            <w:r>
              <w:rPr>
                <w:rFonts w:hint="eastAsia"/>
                <w:sz w:val="18"/>
                <w:szCs w:val="18"/>
              </w:rPr>
              <w:t>Y</w:t>
            </w:r>
          </w:p>
        </w:tc>
      </w:tr>
    </w:tbl>
    <w:p w:rsidR="00F55E3A" w:rsidRDefault="00F577EE">
      <w:pPr>
        <w:ind w:firstLine="465"/>
        <w:rPr>
          <w:szCs w:val="21"/>
        </w:rPr>
      </w:pPr>
      <w:r>
        <w:rPr>
          <w:rFonts w:hint="eastAsia"/>
          <w:szCs w:val="21"/>
        </w:rPr>
        <w:t>第一次柯克伦检验的结果：水平</w:t>
      </w:r>
      <w:r>
        <w:rPr>
          <w:rFonts w:hint="eastAsia"/>
          <w:szCs w:val="21"/>
        </w:rPr>
        <w:t>1</w:t>
      </w:r>
      <w:r>
        <w:rPr>
          <w:rFonts w:hint="eastAsia"/>
          <w:szCs w:val="21"/>
        </w:rPr>
        <w:t>的第</w:t>
      </w:r>
      <w:r>
        <w:rPr>
          <w:rFonts w:hint="eastAsia"/>
          <w:szCs w:val="21"/>
        </w:rPr>
        <w:t>4</w:t>
      </w:r>
      <w:r>
        <w:rPr>
          <w:rFonts w:hint="eastAsia"/>
          <w:szCs w:val="21"/>
        </w:rPr>
        <w:t>实验室数据是岐离值但不是离群值，保留；水平</w:t>
      </w:r>
      <w:r>
        <w:rPr>
          <w:rFonts w:hint="eastAsia"/>
          <w:szCs w:val="21"/>
        </w:rPr>
        <w:t>2</w:t>
      </w:r>
      <w:r>
        <w:rPr>
          <w:rFonts w:hint="eastAsia"/>
          <w:szCs w:val="21"/>
        </w:rPr>
        <w:t>的第</w:t>
      </w:r>
      <w:r>
        <w:rPr>
          <w:rFonts w:hint="eastAsia"/>
          <w:szCs w:val="21"/>
        </w:rPr>
        <w:t>4</w:t>
      </w:r>
      <w:r>
        <w:rPr>
          <w:rFonts w:hint="eastAsia"/>
          <w:szCs w:val="21"/>
        </w:rPr>
        <w:t>实验室数据是岐离值但不是离群值，保留；水平</w:t>
      </w:r>
      <w:r>
        <w:rPr>
          <w:rFonts w:hint="eastAsia"/>
          <w:szCs w:val="21"/>
        </w:rPr>
        <w:t>3</w:t>
      </w:r>
      <w:r>
        <w:rPr>
          <w:rFonts w:hint="eastAsia"/>
          <w:szCs w:val="21"/>
        </w:rPr>
        <w:t>的第</w:t>
      </w:r>
      <w:r>
        <w:rPr>
          <w:rFonts w:hint="eastAsia"/>
          <w:szCs w:val="21"/>
        </w:rPr>
        <w:t>4</w:t>
      </w:r>
      <w:r>
        <w:rPr>
          <w:rFonts w:hint="eastAsia"/>
          <w:szCs w:val="21"/>
        </w:rPr>
        <w:t>实验室数据既是岐离值也是离群值，舍去；水平</w:t>
      </w:r>
      <w:r>
        <w:rPr>
          <w:rFonts w:hint="eastAsia"/>
          <w:szCs w:val="21"/>
        </w:rPr>
        <w:t>4</w:t>
      </w:r>
      <w:r>
        <w:rPr>
          <w:rFonts w:hint="eastAsia"/>
          <w:szCs w:val="21"/>
        </w:rPr>
        <w:t>的第</w:t>
      </w:r>
      <w:r>
        <w:rPr>
          <w:rFonts w:hint="eastAsia"/>
          <w:szCs w:val="21"/>
        </w:rPr>
        <w:t>2</w:t>
      </w:r>
      <w:r>
        <w:rPr>
          <w:rFonts w:hint="eastAsia"/>
          <w:szCs w:val="21"/>
        </w:rPr>
        <w:t>实验室数据既是岐离值也是离群值，舍去。舍去水平</w:t>
      </w:r>
      <w:r>
        <w:rPr>
          <w:rFonts w:hint="eastAsia"/>
          <w:szCs w:val="21"/>
        </w:rPr>
        <w:t>3</w:t>
      </w:r>
      <w:r>
        <w:rPr>
          <w:rFonts w:hint="eastAsia"/>
          <w:szCs w:val="21"/>
        </w:rPr>
        <w:t>的第</w:t>
      </w:r>
      <w:r>
        <w:rPr>
          <w:rFonts w:hint="eastAsia"/>
          <w:szCs w:val="21"/>
        </w:rPr>
        <w:t>4</w:t>
      </w:r>
      <w:r>
        <w:rPr>
          <w:rFonts w:hint="eastAsia"/>
          <w:szCs w:val="21"/>
        </w:rPr>
        <w:t>实验室数据和水平</w:t>
      </w:r>
      <w:r>
        <w:rPr>
          <w:rFonts w:hint="eastAsia"/>
          <w:szCs w:val="21"/>
        </w:rPr>
        <w:t>4</w:t>
      </w:r>
      <w:r>
        <w:rPr>
          <w:rFonts w:hint="eastAsia"/>
          <w:szCs w:val="21"/>
        </w:rPr>
        <w:t>的第</w:t>
      </w:r>
      <w:r>
        <w:rPr>
          <w:rFonts w:hint="eastAsia"/>
          <w:szCs w:val="21"/>
        </w:rPr>
        <w:t>2</w:t>
      </w:r>
      <w:r>
        <w:rPr>
          <w:rFonts w:hint="eastAsia"/>
          <w:szCs w:val="21"/>
        </w:rPr>
        <w:t>实验室数据后进行第二次柯克伦检验。</w:t>
      </w:r>
    </w:p>
    <w:p w:rsidR="00F55E3A" w:rsidRDefault="00F577EE">
      <w:pPr>
        <w:ind w:firstLineChars="200" w:firstLine="420"/>
        <w:rPr>
          <w:szCs w:val="21"/>
        </w:rPr>
      </w:pPr>
      <w:r>
        <w:rPr>
          <w:szCs w:val="21"/>
        </w:rPr>
        <w:t>对</w:t>
      </w:r>
      <w:r>
        <w:rPr>
          <w:szCs w:val="21"/>
        </w:rPr>
        <w:t>n=6</w:t>
      </w:r>
      <w:r>
        <w:rPr>
          <w:szCs w:val="21"/>
        </w:rPr>
        <w:t>，</w:t>
      </w:r>
      <w:r>
        <w:rPr>
          <w:szCs w:val="21"/>
        </w:rPr>
        <w:t>p=</w:t>
      </w:r>
      <w:r>
        <w:rPr>
          <w:rFonts w:hint="eastAsia"/>
          <w:szCs w:val="21"/>
        </w:rPr>
        <w:t>14</w:t>
      </w:r>
      <w:r>
        <w:rPr>
          <w:szCs w:val="21"/>
        </w:rPr>
        <w:t>，科克伦检验</w:t>
      </w:r>
      <w:r>
        <w:rPr>
          <w:szCs w:val="21"/>
        </w:rPr>
        <w:t>5%</w:t>
      </w:r>
      <w:r>
        <w:rPr>
          <w:szCs w:val="21"/>
        </w:rPr>
        <w:t>临界值为</w:t>
      </w:r>
      <w:r>
        <w:rPr>
          <w:rFonts w:hint="eastAsia"/>
          <w:szCs w:val="21"/>
        </w:rPr>
        <w:t>0.232</w:t>
      </w:r>
      <w:r>
        <w:rPr>
          <w:szCs w:val="21"/>
        </w:rPr>
        <w:t>，</w:t>
      </w:r>
      <w:r>
        <w:rPr>
          <w:szCs w:val="21"/>
        </w:rPr>
        <w:t>1</w:t>
      </w:r>
      <w:r>
        <w:rPr>
          <w:rFonts w:hint="eastAsia"/>
          <w:szCs w:val="21"/>
        </w:rPr>
        <w:t xml:space="preserve"> </w:t>
      </w:r>
      <w:r>
        <w:rPr>
          <w:szCs w:val="21"/>
        </w:rPr>
        <w:t>%</w:t>
      </w:r>
      <w:r>
        <w:rPr>
          <w:szCs w:val="21"/>
        </w:rPr>
        <w:t>临界值为</w:t>
      </w:r>
      <w:r>
        <w:rPr>
          <w:szCs w:val="21"/>
        </w:rPr>
        <w:t>0.</w:t>
      </w:r>
      <w:r>
        <w:rPr>
          <w:rFonts w:hint="eastAsia"/>
          <w:szCs w:val="21"/>
        </w:rPr>
        <w:t>274</w:t>
      </w:r>
      <w:r>
        <w:rPr>
          <w:szCs w:val="21"/>
        </w:rPr>
        <w:t>（科克伦检验没有</w:t>
      </w:r>
      <w:r>
        <w:rPr>
          <w:szCs w:val="21"/>
        </w:rPr>
        <w:t>n=11</w:t>
      </w:r>
      <w:r>
        <w:rPr>
          <w:szCs w:val="21"/>
        </w:rPr>
        <w:t>时的临界值可查询，先按</w:t>
      </w:r>
      <w:r>
        <w:rPr>
          <w:szCs w:val="21"/>
        </w:rPr>
        <w:t>n=6</w:t>
      </w:r>
      <w:r>
        <w:rPr>
          <w:szCs w:val="21"/>
        </w:rPr>
        <w:t>时的临界值进行离群值的排除。）</w:t>
      </w:r>
      <w:r>
        <w:rPr>
          <w:rFonts w:hint="eastAsia"/>
          <w:szCs w:val="21"/>
        </w:rPr>
        <w:t>，检验数据见表</w:t>
      </w:r>
      <w:r>
        <w:rPr>
          <w:rFonts w:hint="eastAsia"/>
          <w:szCs w:val="21"/>
        </w:rPr>
        <w:t>10</w:t>
      </w:r>
      <w:r>
        <w:rPr>
          <w:rFonts w:hint="eastAsia"/>
          <w:szCs w:val="21"/>
        </w:rPr>
        <w:t>。</w:t>
      </w:r>
    </w:p>
    <w:p w:rsidR="00F55E3A" w:rsidRDefault="00F577EE">
      <w:pPr>
        <w:jc w:val="center"/>
        <w:rPr>
          <w:rFonts w:ascii="黑体" w:eastAsia="黑体" w:hAnsi="黑体" w:cs="黑体"/>
          <w:szCs w:val="21"/>
        </w:rPr>
      </w:pPr>
      <w:r>
        <w:rPr>
          <w:rFonts w:ascii="黑体" w:eastAsia="黑体" w:hAnsi="黑体" w:cs="黑体" w:hint="eastAsia"/>
          <w:szCs w:val="21"/>
        </w:rPr>
        <w:t>表10  对标准偏差s的第二次柯克伦检验结果</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2"/>
        <w:gridCol w:w="3152"/>
        <w:gridCol w:w="3153"/>
      </w:tblGrid>
      <w:tr w:rsidR="00F55E3A">
        <w:trPr>
          <w:trHeight w:val="460"/>
        </w:trPr>
        <w:tc>
          <w:tcPr>
            <w:tcW w:w="3152" w:type="dxa"/>
            <w:tcBorders>
              <w:tl2br w:val="single" w:sz="4" w:space="0" w:color="auto"/>
            </w:tcBorders>
            <w:vAlign w:val="center"/>
          </w:tcPr>
          <w:p w:rsidR="00F55E3A" w:rsidRDefault="00F577EE">
            <w:pPr>
              <w:spacing w:line="400" w:lineRule="exact"/>
              <w:rPr>
                <w:szCs w:val="21"/>
              </w:rPr>
            </w:pPr>
            <w:r>
              <w:rPr>
                <w:rFonts w:hint="eastAsia"/>
                <w:szCs w:val="21"/>
              </w:rPr>
              <w:t>实验室</w:t>
            </w:r>
            <w:r>
              <w:rPr>
                <w:rFonts w:hint="eastAsia"/>
                <w:szCs w:val="21"/>
              </w:rPr>
              <w:t xml:space="preserve">                 </w:t>
            </w:r>
            <w:r>
              <w:rPr>
                <w:rFonts w:hint="eastAsia"/>
                <w:szCs w:val="21"/>
              </w:rPr>
              <w:t>水平</w:t>
            </w:r>
            <w:r>
              <w:rPr>
                <w:vertAlign w:val="subscript"/>
              </w:rPr>
              <w:t>j</w:t>
            </w:r>
            <w:r>
              <w:rPr>
                <w:rFonts w:hint="eastAsia"/>
                <w:szCs w:val="21"/>
              </w:rPr>
              <w:t xml:space="preserve">      </w:t>
            </w:r>
          </w:p>
        </w:tc>
        <w:tc>
          <w:tcPr>
            <w:tcW w:w="3152" w:type="dxa"/>
            <w:vAlign w:val="center"/>
          </w:tcPr>
          <w:p w:rsidR="00F55E3A" w:rsidRDefault="00F577EE">
            <w:pPr>
              <w:spacing w:line="400" w:lineRule="exact"/>
              <w:jc w:val="center"/>
              <w:rPr>
                <w:szCs w:val="21"/>
              </w:rPr>
            </w:pPr>
            <w:r>
              <w:rPr>
                <w:rFonts w:hint="eastAsia"/>
                <w:szCs w:val="21"/>
              </w:rPr>
              <w:t>3</w:t>
            </w:r>
          </w:p>
        </w:tc>
        <w:tc>
          <w:tcPr>
            <w:tcW w:w="3153" w:type="dxa"/>
            <w:vAlign w:val="center"/>
          </w:tcPr>
          <w:p w:rsidR="00F55E3A" w:rsidRDefault="00F577EE">
            <w:pPr>
              <w:spacing w:line="400" w:lineRule="exact"/>
              <w:jc w:val="center"/>
              <w:rPr>
                <w:szCs w:val="21"/>
              </w:rPr>
            </w:pPr>
            <w:r>
              <w:rPr>
                <w:rFonts w:hint="eastAsia"/>
                <w:szCs w:val="21"/>
              </w:rPr>
              <w:t>4</w:t>
            </w:r>
          </w:p>
        </w:tc>
      </w:tr>
      <w:tr w:rsidR="00F55E3A">
        <w:trPr>
          <w:trHeight w:val="358"/>
        </w:trPr>
        <w:tc>
          <w:tcPr>
            <w:tcW w:w="3152" w:type="dxa"/>
            <w:vAlign w:val="center"/>
          </w:tcPr>
          <w:p w:rsidR="00F55E3A" w:rsidRDefault="00F577EE">
            <w:pPr>
              <w:jc w:val="center"/>
              <w:rPr>
                <w:szCs w:val="21"/>
              </w:rPr>
            </w:pPr>
            <w:proofErr w:type="spellStart"/>
            <w:r>
              <w:rPr>
                <w:rFonts w:hint="eastAsia"/>
                <w:szCs w:val="21"/>
              </w:rPr>
              <w:t>s</w:t>
            </w:r>
            <w:r>
              <w:rPr>
                <w:rFonts w:hint="eastAsia"/>
                <w:szCs w:val="21"/>
                <w:vertAlign w:val="subscript"/>
              </w:rPr>
              <w:t>max</w:t>
            </w:r>
            <w:proofErr w:type="spellEnd"/>
          </w:p>
        </w:tc>
        <w:tc>
          <w:tcPr>
            <w:tcW w:w="3152" w:type="dxa"/>
            <w:vAlign w:val="center"/>
          </w:tcPr>
          <w:p w:rsidR="00F55E3A" w:rsidRDefault="00F577EE">
            <w:pPr>
              <w:jc w:val="center"/>
            </w:pPr>
            <w:r>
              <w:rPr>
                <w:rFonts w:hint="eastAsia"/>
              </w:rPr>
              <w:t>P2</w:t>
            </w:r>
            <w:r>
              <w:rPr>
                <w:rFonts w:hint="eastAsia"/>
              </w:rPr>
              <w:t>，</w:t>
            </w:r>
            <w:r>
              <w:rPr>
                <w:rFonts w:hint="eastAsia"/>
              </w:rPr>
              <w:t>0.081397</w:t>
            </w:r>
          </w:p>
        </w:tc>
        <w:tc>
          <w:tcPr>
            <w:tcW w:w="3153" w:type="dxa"/>
            <w:vAlign w:val="center"/>
          </w:tcPr>
          <w:p w:rsidR="00F55E3A" w:rsidRDefault="00F577EE">
            <w:pPr>
              <w:jc w:val="center"/>
            </w:pPr>
            <w:r>
              <w:rPr>
                <w:rFonts w:hint="eastAsia"/>
              </w:rPr>
              <w:t>P4</w:t>
            </w:r>
            <w:r>
              <w:rPr>
                <w:rFonts w:hint="eastAsia"/>
              </w:rPr>
              <w:t>，</w:t>
            </w:r>
            <w:r>
              <w:rPr>
                <w:rFonts w:hint="eastAsia"/>
              </w:rPr>
              <w:t>0.104985</w:t>
            </w:r>
          </w:p>
        </w:tc>
      </w:tr>
      <w:tr w:rsidR="00F55E3A">
        <w:trPr>
          <w:trHeight w:val="358"/>
        </w:trPr>
        <w:tc>
          <w:tcPr>
            <w:tcW w:w="3152" w:type="dxa"/>
            <w:vAlign w:val="center"/>
          </w:tcPr>
          <w:p w:rsidR="00F55E3A" w:rsidRDefault="00F577EE">
            <w:pPr>
              <w:jc w:val="center"/>
              <w:rPr>
                <w:szCs w:val="21"/>
              </w:rPr>
            </w:pPr>
            <w:r>
              <w:rPr>
                <w:rFonts w:cs="宋体" w:hint="eastAsia"/>
              </w:rPr>
              <w:t>∑</w:t>
            </w:r>
            <w:r>
              <w:rPr>
                <w:rFonts w:hint="eastAsia"/>
              </w:rPr>
              <w:t>s</w:t>
            </w:r>
            <w:r>
              <w:rPr>
                <w:vertAlign w:val="superscript"/>
              </w:rPr>
              <w:t>2</w:t>
            </w:r>
          </w:p>
        </w:tc>
        <w:tc>
          <w:tcPr>
            <w:tcW w:w="3152" w:type="dxa"/>
            <w:vAlign w:val="center"/>
          </w:tcPr>
          <w:p w:rsidR="00F55E3A" w:rsidRDefault="00F577EE">
            <w:pPr>
              <w:widowControl/>
              <w:jc w:val="center"/>
              <w:textAlignment w:val="center"/>
              <w:rPr>
                <w:szCs w:val="21"/>
              </w:rPr>
            </w:pPr>
            <w:r>
              <w:rPr>
                <w:color w:val="000000"/>
                <w:kern w:val="0"/>
                <w:sz w:val="22"/>
                <w:szCs w:val="22"/>
                <w:lang/>
              </w:rPr>
              <w:t>0.0346987</w:t>
            </w:r>
            <w:r>
              <w:rPr>
                <w:rFonts w:hint="eastAsia"/>
                <w:color w:val="000000"/>
                <w:kern w:val="0"/>
                <w:sz w:val="22"/>
                <w:szCs w:val="22"/>
                <w:lang/>
              </w:rPr>
              <w:t>1</w:t>
            </w:r>
          </w:p>
        </w:tc>
        <w:tc>
          <w:tcPr>
            <w:tcW w:w="3153" w:type="dxa"/>
            <w:vAlign w:val="center"/>
          </w:tcPr>
          <w:p w:rsidR="00F55E3A" w:rsidRDefault="00F577EE">
            <w:pPr>
              <w:widowControl/>
              <w:jc w:val="center"/>
              <w:textAlignment w:val="center"/>
              <w:rPr>
                <w:szCs w:val="21"/>
              </w:rPr>
            </w:pPr>
            <w:r>
              <w:rPr>
                <w:color w:val="000000"/>
                <w:kern w:val="0"/>
                <w:sz w:val="22"/>
                <w:szCs w:val="22"/>
                <w:lang/>
              </w:rPr>
              <w:t>0.05201160</w:t>
            </w:r>
          </w:p>
        </w:tc>
      </w:tr>
      <w:tr w:rsidR="00F55E3A">
        <w:trPr>
          <w:trHeight w:val="358"/>
        </w:trPr>
        <w:tc>
          <w:tcPr>
            <w:tcW w:w="3152" w:type="dxa"/>
            <w:vAlign w:val="center"/>
          </w:tcPr>
          <w:p w:rsidR="00F55E3A" w:rsidRDefault="00F577EE">
            <w:pPr>
              <w:jc w:val="center"/>
              <w:rPr>
                <w:szCs w:val="21"/>
              </w:rPr>
            </w:pPr>
            <w:r>
              <w:rPr>
                <w:rFonts w:hint="eastAsia"/>
                <w:szCs w:val="21"/>
              </w:rPr>
              <w:lastRenderedPageBreak/>
              <w:t>统计量</w:t>
            </w:r>
            <w:r>
              <w:rPr>
                <w:rFonts w:hint="eastAsia"/>
                <w:szCs w:val="21"/>
              </w:rPr>
              <w:t>C</w:t>
            </w:r>
          </w:p>
        </w:tc>
        <w:tc>
          <w:tcPr>
            <w:tcW w:w="3152" w:type="dxa"/>
            <w:vAlign w:val="center"/>
          </w:tcPr>
          <w:p w:rsidR="00F55E3A" w:rsidRDefault="00F577EE">
            <w:pPr>
              <w:widowControl/>
              <w:jc w:val="center"/>
              <w:textAlignment w:val="center"/>
              <w:rPr>
                <w:szCs w:val="21"/>
              </w:rPr>
            </w:pPr>
            <w:r>
              <w:rPr>
                <w:color w:val="000000"/>
                <w:kern w:val="0"/>
                <w:sz w:val="22"/>
                <w:szCs w:val="22"/>
                <w:lang/>
              </w:rPr>
              <w:t>0.1</w:t>
            </w:r>
            <w:r>
              <w:rPr>
                <w:rFonts w:hint="eastAsia"/>
                <w:color w:val="000000"/>
                <w:kern w:val="0"/>
                <w:sz w:val="22"/>
                <w:szCs w:val="22"/>
                <w:lang/>
              </w:rPr>
              <w:t>87</w:t>
            </w:r>
          </w:p>
        </w:tc>
        <w:tc>
          <w:tcPr>
            <w:tcW w:w="3153" w:type="dxa"/>
            <w:vAlign w:val="center"/>
          </w:tcPr>
          <w:p w:rsidR="00F55E3A" w:rsidRDefault="00F577EE">
            <w:pPr>
              <w:widowControl/>
              <w:jc w:val="center"/>
              <w:textAlignment w:val="center"/>
              <w:rPr>
                <w:szCs w:val="21"/>
              </w:rPr>
            </w:pPr>
            <w:r>
              <w:rPr>
                <w:color w:val="000000"/>
                <w:kern w:val="0"/>
                <w:sz w:val="22"/>
                <w:szCs w:val="22"/>
                <w:lang/>
              </w:rPr>
              <w:t>0.21</w:t>
            </w:r>
            <w:r>
              <w:rPr>
                <w:rFonts w:hint="eastAsia"/>
                <w:color w:val="000000"/>
                <w:kern w:val="0"/>
                <w:sz w:val="22"/>
                <w:szCs w:val="22"/>
                <w:lang/>
              </w:rPr>
              <w:t>0</w:t>
            </w:r>
          </w:p>
        </w:tc>
      </w:tr>
      <w:tr w:rsidR="00F55E3A">
        <w:trPr>
          <w:trHeight w:val="358"/>
        </w:trPr>
        <w:tc>
          <w:tcPr>
            <w:tcW w:w="3152" w:type="dxa"/>
            <w:vAlign w:val="center"/>
          </w:tcPr>
          <w:p w:rsidR="00F55E3A" w:rsidRDefault="00F577EE">
            <w:pPr>
              <w:jc w:val="center"/>
              <w:rPr>
                <w:szCs w:val="21"/>
              </w:rPr>
            </w:pPr>
            <w:r>
              <w:rPr>
                <w:rFonts w:cs="宋体" w:hint="eastAsia"/>
              </w:rPr>
              <w:t>歧离值（</w:t>
            </w:r>
            <w:r>
              <w:t>Y/N</w:t>
            </w:r>
            <w:r>
              <w:rPr>
                <w:rFonts w:cs="宋体" w:hint="eastAsia"/>
              </w:rPr>
              <w:t>）</w:t>
            </w:r>
          </w:p>
        </w:tc>
        <w:tc>
          <w:tcPr>
            <w:tcW w:w="3152" w:type="dxa"/>
            <w:vAlign w:val="center"/>
          </w:tcPr>
          <w:p w:rsidR="00F55E3A" w:rsidRDefault="00F577EE">
            <w:pPr>
              <w:jc w:val="center"/>
              <w:rPr>
                <w:szCs w:val="21"/>
              </w:rPr>
            </w:pPr>
            <w:r>
              <w:rPr>
                <w:rFonts w:hint="eastAsia"/>
                <w:szCs w:val="21"/>
              </w:rPr>
              <w:t>N</w:t>
            </w:r>
          </w:p>
        </w:tc>
        <w:tc>
          <w:tcPr>
            <w:tcW w:w="3153" w:type="dxa"/>
            <w:vAlign w:val="center"/>
          </w:tcPr>
          <w:p w:rsidR="00F55E3A" w:rsidRDefault="00F577EE">
            <w:pPr>
              <w:jc w:val="center"/>
              <w:rPr>
                <w:szCs w:val="21"/>
              </w:rPr>
            </w:pPr>
            <w:r>
              <w:rPr>
                <w:rFonts w:hint="eastAsia"/>
                <w:szCs w:val="21"/>
              </w:rPr>
              <w:t>N</w:t>
            </w:r>
          </w:p>
        </w:tc>
      </w:tr>
      <w:tr w:rsidR="00F55E3A">
        <w:trPr>
          <w:trHeight w:val="358"/>
        </w:trPr>
        <w:tc>
          <w:tcPr>
            <w:tcW w:w="3152" w:type="dxa"/>
            <w:vAlign w:val="center"/>
          </w:tcPr>
          <w:p w:rsidR="00F55E3A" w:rsidRDefault="00F577EE">
            <w:pPr>
              <w:spacing w:line="400" w:lineRule="exact"/>
              <w:jc w:val="center"/>
              <w:rPr>
                <w:szCs w:val="21"/>
              </w:rPr>
            </w:pPr>
            <w:r>
              <w:rPr>
                <w:rFonts w:cs="宋体" w:hint="eastAsia"/>
              </w:rPr>
              <w:t>离群值（</w:t>
            </w:r>
            <w:r>
              <w:t>Y/N</w:t>
            </w:r>
            <w:r>
              <w:rPr>
                <w:rFonts w:cs="宋体" w:hint="eastAsia"/>
              </w:rPr>
              <w:t>）</w:t>
            </w:r>
          </w:p>
        </w:tc>
        <w:tc>
          <w:tcPr>
            <w:tcW w:w="3152" w:type="dxa"/>
            <w:vAlign w:val="center"/>
          </w:tcPr>
          <w:p w:rsidR="00F55E3A" w:rsidRDefault="00F577EE">
            <w:pPr>
              <w:spacing w:line="400" w:lineRule="exact"/>
              <w:jc w:val="center"/>
              <w:rPr>
                <w:szCs w:val="21"/>
              </w:rPr>
            </w:pPr>
            <w:r>
              <w:rPr>
                <w:rFonts w:hint="eastAsia"/>
                <w:szCs w:val="21"/>
              </w:rPr>
              <w:t>N</w:t>
            </w:r>
          </w:p>
        </w:tc>
        <w:tc>
          <w:tcPr>
            <w:tcW w:w="3153" w:type="dxa"/>
            <w:vAlign w:val="center"/>
          </w:tcPr>
          <w:p w:rsidR="00F55E3A" w:rsidRDefault="00F577EE">
            <w:pPr>
              <w:spacing w:line="400" w:lineRule="exact"/>
              <w:jc w:val="center"/>
              <w:rPr>
                <w:szCs w:val="21"/>
              </w:rPr>
            </w:pPr>
            <w:r>
              <w:rPr>
                <w:rFonts w:hint="eastAsia"/>
                <w:szCs w:val="21"/>
              </w:rPr>
              <w:t>N</w:t>
            </w:r>
          </w:p>
        </w:tc>
      </w:tr>
    </w:tbl>
    <w:p w:rsidR="00F55E3A" w:rsidRDefault="00F577EE">
      <w:pPr>
        <w:ind w:firstLine="465"/>
        <w:rPr>
          <w:szCs w:val="21"/>
        </w:rPr>
      </w:pPr>
      <w:r>
        <w:rPr>
          <w:rFonts w:hint="eastAsia"/>
          <w:szCs w:val="21"/>
        </w:rPr>
        <w:t>第二次柯克伦检验的结果：水平</w:t>
      </w:r>
      <w:r>
        <w:rPr>
          <w:rFonts w:hint="eastAsia"/>
          <w:szCs w:val="21"/>
        </w:rPr>
        <w:t>3</w:t>
      </w:r>
      <w:r>
        <w:rPr>
          <w:rFonts w:hint="eastAsia"/>
          <w:szCs w:val="21"/>
        </w:rPr>
        <w:t>、水平</w:t>
      </w:r>
      <w:r>
        <w:rPr>
          <w:rFonts w:hint="eastAsia"/>
          <w:szCs w:val="21"/>
        </w:rPr>
        <w:t>4</w:t>
      </w:r>
      <w:r>
        <w:rPr>
          <w:rFonts w:hint="eastAsia"/>
          <w:szCs w:val="21"/>
        </w:rPr>
        <w:t>的数据既没有岐离值也没有离群值。</w:t>
      </w:r>
    </w:p>
    <w:p w:rsidR="00F55E3A" w:rsidRDefault="00F577EE">
      <w:pPr>
        <w:outlineLvl w:val="3"/>
        <w:rPr>
          <w:b/>
          <w:spacing w:val="8"/>
          <w:szCs w:val="21"/>
        </w:rPr>
      </w:pPr>
      <w:r>
        <w:rPr>
          <w:b/>
          <w:spacing w:val="8"/>
          <w:szCs w:val="21"/>
        </w:rPr>
        <w:t>3</w:t>
      </w:r>
      <w:r>
        <w:rPr>
          <w:rFonts w:hint="eastAsia"/>
          <w:b/>
          <w:spacing w:val="8"/>
          <w:szCs w:val="21"/>
        </w:rPr>
        <w:t>）实验室间格拉布斯检验</w:t>
      </w:r>
    </w:p>
    <w:p w:rsidR="00F55E3A" w:rsidRDefault="00F577EE">
      <w:pPr>
        <w:ind w:firstLineChars="200" w:firstLine="452"/>
        <w:rPr>
          <w:spacing w:val="8"/>
          <w:szCs w:val="21"/>
        </w:rPr>
      </w:pPr>
      <w:r>
        <w:rPr>
          <w:spacing w:val="8"/>
          <w:szCs w:val="21"/>
        </w:rPr>
        <w:t>对各实验室的均值进行格拉布斯检验，离群值用</w:t>
      </w:r>
      <w:r>
        <w:rPr>
          <w:spacing w:val="8"/>
          <w:szCs w:val="21"/>
        </w:rPr>
        <w:t>**</w:t>
      </w:r>
      <w:r>
        <w:rPr>
          <w:rFonts w:hint="eastAsia"/>
          <w:spacing w:val="8"/>
          <w:szCs w:val="21"/>
        </w:rPr>
        <w:t>标注、岐离值用</w:t>
      </w:r>
      <w:r>
        <w:rPr>
          <w:spacing w:val="8"/>
          <w:szCs w:val="21"/>
        </w:rPr>
        <w:t>*</w:t>
      </w:r>
      <w:r>
        <w:rPr>
          <w:rFonts w:hint="eastAsia"/>
          <w:spacing w:val="8"/>
          <w:szCs w:val="21"/>
        </w:rPr>
        <w:t>标注</w:t>
      </w:r>
      <w:r>
        <w:rPr>
          <w:spacing w:val="8"/>
          <w:szCs w:val="21"/>
        </w:rPr>
        <w:t>。各实验室的统计检验结果</w:t>
      </w:r>
      <w:r>
        <w:rPr>
          <w:rFonts w:hint="eastAsia"/>
          <w:spacing w:val="8"/>
          <w:szCs w:val="21"/>
        </w:rPr>
        <w:t>见表</w:t>
      </w:r>
      <w:r>
        <w:rPr>
          <w:spacing w:val="8"/>
          <w:szCs w:val="21"/>
        </w:rPr>
        <w:t>1</w:t>
      </w:r>
      <w:r>
        <w:rPr>
          <w:rFonts w:hint="eastAsia"/>
          <w:spacing w:val="8"/>
          <w:szCs w:val="21"/>
        </w:rPr>
        <w:t>1</w:t>
      </w:r>
      <w:r>
        <w:rPr>
          <w:rFonts w:hint="eastAsia"/>
          <w:spacing w:val="8"/>
          <w:szCs w:val="21"/>
        </w:rPr>
        <w:t>、</w:t>
      </w:r>
      <w:r>
        <w:rPr>
          <w:rFonts w:hint="eastAsia"/>
          <w:spacing w:val="8"/>
          <w:szCs w:val="21"/>
        </w:rPr>
        <w:t>12</w:t>
      </w:r>
      <w:r>
        <w:rPr>
          <w:rFonts w:hint="eastAsia"/>
          <w:spacing w:val="8"/>
          <w:szCs w:val="21"/>
        </w:rPr>
        <w:t>。</w:t>
      </w:r>
    </w:p>
    <w:p w:rsidR="00F55E3A" w:rsidRDefault="00F577EE">
      <w:pPr>
        <w:jc w:val="center"/>
        <w:rPr>
          <w:rFonts w:ascii="黑体" w:eastAsia="黑体"/>
          <w:bCs/>
          <w:color w:val="000000"/>
          <w:szCs w:val="21"/>
        </w:rPr>
      </w:pPr>
      <w:r>
        <w:rPr>
          <w:rFonts w:ascii="黑体" w:eastAsia="黑体" w:hint="eastAsia"/>
          <w:bCs/>
          <w:color w:val="000000"/>
          <w:szCs w:val="21"/>
        </w:rPr>
        <w:t>表11</w:t>
      </w:r>
      <w:r>
        <w:rPr>
          <w:rFonts w:ascii="黑体" w:eastAsia="黑体"/>
          <w:bCs/>
          <w:color w:val="000000"/>
          <w:szCs w:val="21"/>
        </w:rPr>
        <w:t xml:space="preserve">   </w:t>
      </w:r>
      <w:r>
        <w:rPr>
          <w:rFonts w:ascii="黑体" w:eastAsia="黑体" w:hint="eastAsia"/>
          <w:bCs/>
          <w:color w:val="000000"/>
          <w:szCs w:val="21"/>
        </w:rPr>
        <w:t xml:space="preserve"> 格拉布斯检验（一个离群观测值情形）</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4"/>
        <w:gridCol w:w="1878"/>
        <w:gridCol w:w="1878"/>
        <w:gridCol w:w="1878"/>
        <w:gridCol w:w="1882"/>
      </w:tblGrid>
      <w:tr w:rsidR="00F55E3A">
        <w:trPr>
          <w:trHeight w:val="314"/>
        </w:trPr>
        <w:tc>
          <w:tcPr>
            <w:tcW w:w="1784"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rFonts w:hint="eastAsia"/>
                <w:color w:val="000000"/>
                <w:kern w:val="0"/>
                <w:sz w:val="18"/>
                <w:szCs w:val="18"/>
              </w:rPr>
              <w:t>统计量</w:t>
            </w:r>
          </w:p>
        </w:tc>
        <w:tc>
          <w:tcPr>
            <w:tcW w:w="1878" w:type="dxa"/>
            <w:shd w:val="clear" w:color="auto" w:fill="auto"/>
            <w:noWrap/>
            <w:vAlign w:val="center"/>
          </w:tcPr>
          <w:p w:rsidR="00F55E3A" w:rsidRDefault="00F577EE">
            <w:pPr>
              <w:widowControl/>
              <w:snapToGrid w:val="0"/>
              <w:spacing w:line="200" w:lineRule="exact"/>
              <w:jc w:val="center"/>
              <w:rPr>
                <w:kern w:val="0"/>
                <w:sz w:val="18"/>
                <w:szCs w:val="18"/>
              </w:rPr>
            </w:pPr>
            <w:r>
              <w:rPr>
                <w:rFonts w:ascii="宋体" w:hAnsi="宋体" w:hint="eastAsia"/>
                <w:color w:val="000000"/>
                <w:kern w:val="0"/>
                <w:sz w:val="18"/>
                <w:szCs w:val="18"/>
              </w:rPr>
              <w:t>水平</w:t>
            </w:r>
            <w:r>
              <w:rPr>
                <w:kern w:val="0"/>
                <w:sz w:val="18"/>
                <w:szCs w:val="18"/>
              </w:rPr>
              <w:t>1</w:t>
            </w:r>
          </w:p>
        </w:tc>
        <w:tc>
          <w:tcPr>
            <w:tcW w:w="1878" w:type="dxa"/>
            <w:shd w:val="clear" w:color="auto" w:fill="auto"/>
            <w:noWrap/>
            <w:vAlign w:val="center"/>
          </w:tcPr>
          <w:p w:rsidR="00F55E3A" w:rsidRDefault="00F577EE">
            <w:pPr>
              <w:widowControl/>
              <w:snapToGrid w:val="0"/>
              <w:spacing w:line="200" w:lineRule="exact"/>
              <w:jc w:val="center"/>
              <w:rPr>
                <w:kern w:val="0"/>
                <w:sz w:val="18"/>
                <w:szCs w:val="18"/>
              </w:rPr>
            </w:pPr>
            <w:r>
              <w:rPr>
                <w:rFonts w:ascii="宋体" w:hAnsi="宋体" w:hint="eastAsia"/>
                <w:color w:val="000000"/>
                <w:kern w:val="0"/>
                <w:sz w:val="18"/>
                <w:szCs w:val="18"/>
              </w:rPr>
              <w:t>水平</w:t>
            </w:r>
            <w:r>
              <w:rPr>
                <w:kern w:val="0"/>
                <w:sz w:val="18"/>
                <w:szCs w:val="18"/>
              </w:rPr>
              <w:t>2</w:t>
            </w:r>
          </w:p>
        </w:tc>
        <w:tc>
          <w:tcPr>
            <w:tcW w:w="1878" w:type="dxa"/>
            <w:shd w:val="clear" w:color="auto" w:fill="auto"/>
            <w:noWrap/>
            <w:vAlign w:val="center"/>
          </w:tcPr>
          <w:p w:rsidR="00F55E3A" w:rsidRDefault="00F577EE">
            <w:pPr>
              <w:widowControl/>
              <w:snapToGrid w:val="0"/>
              <w:spacing w:line="200" w:lineRule="exact"/>
              <w:jc w:val="center"/>
              <w:rPr>
                <w:kern w:val="0"/>
                <w:sz w:val="18"/>
                <w:szCs w:val="18"/>
              </w:rPr>
            </w:pPr>
            <w:r>
              <w:rPr>
                <w:rFonts w:ascii="宋体" w:hAnsi="宋体" w:hint="eastAsia"/>
                <w:color w:val="000000"/>
                <w:kern w:val="0"/>
                <w:sz w:val="18"/>
                <w:szCs w:val="18"/>
              </w:rPr>
              <w:t>水平</w:t>
            </w:r>
            <w:r>
              <w:rPr>
                <w:kern w:val="0"/>
                <w:sz w:val="18"/>
                <w:szCs w:val="18"/>
              </w:rPr>
              <w:t>3</w:t>
            </w:r>
          </w:p>
        </w:tc>
        <w:tc>
          <w:tcPr>
            <w:tcW w:w="1882" w:type="dxa"/>
            <w:shd w:val="clear" w:color="auto" w:fill="auto"/>
            <w:noWrap/>
            <w:vAlign w:val="center"/>
          </w:tcPr>
          <w:p w:rsidR="00F55E3A" w:rsidRDefault="00F577EE">
            <w:pPr>
              <w:widowControl/>
              <w:snapToGrid w:val="0"/>
              <w:spacing w:line="200" w:lineRule="exact"/>
              <w:jc w:val="center"/>
              <w:rPr>
                <w:kern w:val="0"/>
                <w:sz w:val="18"/>
                <w:szCs w:val="18"/>
              </w:rPr>
            </w:pPr>
            <w:r>
              <w:rPr>
                <w:rFonts w:ascii="宋体" w:hAnsi="宋体" w:hint="eastAsia"/>
                <w:color w:val="000000"/>
                <w:kern w:val="0"/>
                <w:sz w:val="18"/>
                <w:szCs w:val="18"/>
              </w:rPr>
              <w:t>水平</w:t>
            </w:r>
            <w:r>
              <w:rPr>
                <w:kern w:val="0"/>
                <w:sz w:val="18"/>
                <w:szCs w:val="18"/>
              </w:rPr>
              <w:t>4</w:t>
            </w:r>
          </w:p>
        </w:tc>
      </w:tr>
      <w:tr w:rsidR="00F55E3A">
        <w:trPr>
          <w:trHeight w:val="314"/>
        </w:trPr>
        <w:tc>
          <w:tcPr>
            <w:tcW w:w="1784" w:type="dxa"/>
            <w:shd w:val="clear" w:color="auto" w:fill="auto"/>
            <w:noWrap/>
            <w:vAlign w:val="center"/>
          </w:tcPr>
          <w:p w:rsidR="00F55E3A" w:rsidRDefault="00F577EE">
            <w:pPr>
              <w:jc w:val="center"/>
              <w:rPr>
                <w:color w:val="000000"/>
                <w:kern w:val="0"/>
                <w:sz w:val="18"/>
                <w:szCs w:val="18"/>
              </w:rPr>
            </w:pPr>
            <w:r>
              <w:rPr>
                <w:sz w:val="18"/>
                <w:szCs w:val="18"/>
              </w:rPr>
              <w:t>均值平均值</w:t>
            </w:r>
          </w:p>
        </w:tc>
        <w:tc>
          <w:tcPr>
            <w:tcW w:w="1878" w:type="dxa"/>
            <w:shd w:val="clear" w:color="auto" w:fill="auto"/>
            <w:noWrap/>
            <w:vAlign w:val="center"/>
          </w:tcPr>
          <w:p w:rsidR="00F55E3A" w:rsidRDefault="00F577EE">
            <w:pPr>
              <w:widowControl/>
              <w:jc w:val="center"/>
              <w:textAlignment w:val="center"/>
              <w:rPr>
                <w:color w:val="000000"/>
                <w:kern w:val="0"/>
                <w:sz w:val="18"/>
                <w:szCs w:val="18"/>
              </w:rPr>
            </w:pPr>
            <w:r>
              <w:rPr>
                <w:color w:val="000000"/>
                <w:kern w:val="0"/>
                <w:sz w:val="22"/>
                <w:szCs w:val="22"/>
                <w:lang/>
              </w:rPr>
              <w:t xml:space="preserve">3.31 </w:t>
            </w:r>
          </w:p>
        </w:tc>
        <w:tc>
          <w:tcPr>
            <w:tcW w:w="1878" w:type="dxa"/>
            <w:shd w:val="clear" w:color="auto" w:fill="auto"/>
            <w:noWrap/>
            <w:vAlign w:val="center"/>
          </w:tcPr>
          <w:p w:rsidR="00F55E3A" w:rsidRDefault="00F577EE">
            <w:pPr>
              <w:widowControl/>
              <w:jc w:val="center"/>
              <w:textAlignment w:val="center"/>
              <w:rPr>
                <w:color w:val="000000"/>
                <w:kern w:val="0"/>
                <w:sz w:val="18"/>
                <w:szCs w:val="18"/>
              </w:rPr>
            </w:pPr>
            <w:r>
              <w:rPr>
                <w:color w:val="000000"/>
                <w:kern w:val="0"/>
                <w:sz w:val="22"/>
                <w:szCs w:val="22"/>
                <w:lang/>
              </w:rPr>
              <w:t xml:space="preserve">10.05 </w:t>
            </w:r>
          </w:p>
        </w:tc>
        <w:tc>
          <w:tcPr>
            <w:tcW w:w="1878" w:type="dxa"/>
            <w:shd w:val="clear" w:color="auto" w:fill="auto"/>
            <w:noWrap/>
            <w:vAlign w:val="center"/>
          </w:tcPr>
          <w:p w:rsidR="00F55E3A" w:rsidRDefault="00F577EE">
            <w:pPr>
              <w:widowControl/>
              <w:jc w:val="center"/>
              <w:textAlignment w:val="center"/>
              <w:rPr>
                <w:color w:val="000000"/>
                <w:kern w:val="0"/>
                <w:sz w:val="18"/>
                <w:szCs w:val="18"/>
              </w:rPr>
            </w:pPr>
            <w:r>
              <w:rPr>
                <w:color w:val="000000"/>
                <w:kern w:val="0"/>
                <w:sz w:val="22"/>
                <w:szCs w:val="22"/>
                <w:lang/>
              </w:rPr>
              <w:t xml:space="preserve">21.04 </w:t>
            </w:r>
          </w:p>
        </w:tc>
        <w:tc>
          <w:tcPr>
            <w:tcW w:w="1882" w:type="dxa"/>
            <w:shd w:val="clear" w:color="auto" w:fill="auto"/>
            <w:noWrap/>
            <w:vAlign w:val="center"/>
          </w:tcPr>
          <w:p w:rsidR="00F55E3A" w:rsidRDefault="00F577EE">
            <w:pPr>
              <w:widowControl/>
              <w:jc w:val="center"/>
              <w:textAlignment w:val="center"/>
              <w:rPr>
                <w:color w:val="000000"/>
                <w:kern w:val="0"/>
                <w:sz w:val="18"/>
                <w:szCs w:val="18"/>
              </w:rPr>
            </w:pPr>
            <w:r>
              <w:rPr>
                <w:color w:val="000000"/>
                <w:kern w:val="0"/>
                <w:sz w:val="22"/>
                <w:szCs w:val="22"/>
                <w:lang/>
              </w:rPr>
              <w:t xml:space="preserve">32.29 </w:t>
            </w:r>
          </w:p>
        </w:tc>
      </w:tr>
      <w:tr w:rsidR="00F55E3A">
        <w:trPr>
          <w:trHeight w:val="314"/>
        </w:trPr>
        <w:tc>
          <w:tcPr>
            <w:tcW w:w="1784" w:type="dxa"/>
            <w:shd w:val="clear" w:color="auto" w:fill="auto"/>
            <w:noWrap/>
            <w:vAlign w:val="center"/>
          </w:tcPr>
          <w:p w:rsidR="00F55E3A" w:rsidRDefault="00F577EE">
            <w:pPr>
              <w:jc w:val="center"/>
              <w:rPr>
                <w:color w:val="000000"/>
                <w:kern w:val="0"/>
                <w:sz w:val="18"/>
                <w:szCs w:val="18"/>
              </w:rPr>
            </w:pPr>
            <w:r>
              <w:rPr>
                <w:sz w:val="18"/>
                <w:szCs w:val="18"/>
              </w:rPr>
              <w:t>均值标准差</w:t>
            </w:r>
          </w:p>
        </w:tc>
        <w:tc>
          <w:tcPr>
            <w:tcW w:w="1878" w:type="dxa"/>
            <w:shd w:val="clear" w:color="auto" w:fill="auto"/>
            <w:noWrap/>
            <w:vAlign w:val="center"/>
          </w:tcPr>
          <w:p w:rsidR="00F55E3A" w:rsidRDefault="00F577EE">
            <w:pPr>
              <w:widowControl/>
              <w:jc w:val="center"/>
              <w:textAlignment w:val="center"/>
              <w:rPr>
                <w:color w:val="000000"/>
                <w:kern w:val="0"/>
                <w:sz w:val="18"/>
                <w:szCs w:val="18"/>
              </w:rPr>
            </w:pPr>
            <w:r>
              <w:rPr>
                <w:color w:val="000000"/>
                <w:kern w:val="0"/>
                <w:sz w:val="22"/>
                <w:szCs w:val="22"/>
                <w:lang/>
              </w:rPr>
              <w:t xml:space="preserve">0.039255 </w:t>
            </w:r>
          </w:p>
        </w:tc>
        <w:tc>
          <w:tcPr>
            <w:tcW w:w="1878" w:type="dxa"/>
            <w:shd w:val="clear" w:color="auto" w:fill="auto"/>
            <w:noWrap/>
            <w:vAlign w:val="center"/>
          </w:tcPr>
          <w:p w:rsidR="00F55E3A" w:rsidRDefault="00F577EE">
            <w:pPr>
              <w:widowControl/>
              <w:jc w:val="center"/>
              <w:textAlignment w:val="center"/>
              <w:rPr>
                <w:color w:val="000000"/>
                <w:kern w:val="0"/>
                <w:sz w:val="18"/>
                <w:szCs w:val="18"/>
              </w:rPr>
            </w:pPr>
            <w:r>
              <w:rPr>
                <w:color w:val="000000"/>
                <w:kern w:val="0"/>
                <w:sz w:val="22"/>
                <w:szCs w:val="22"/>
                <w:lang/>
              </w:rPr>
              <w:t xml:space="preserve">0.064165 </w:t>
            </w:r>
          </w:p>
        </w:tc>
        <w:tc>
          <w:tcPr>
            <w:tcW w:w="1878" w:type="dxa"/>
            <w:shd w:val="clear" w:color="auto" w:fill="auto"/>
            <w:noWrap/>
            <w:vAlign w:val="center"/>
          </w:tcPr>
          <w:p w:rsidR="00F55E3A" w:rsidRDefault="00F577EE">
            <w:pPr>
              <w:widowControl/>
              <w:jc w:val="center"/>
              <w:textAlignment w:val="center"/>
              <w:rPr>
                <w:color w:val="000000"/>
                <w:kern w:val="0"/>
                <w:sz w:val="18"/>
                <w:szCs w:val="18"/>
              </w:rPr>
            </w:pPr>
            <w:r>
              <w:rPr>
                <w:color w:val="000000"/>
                <w:kern w:val="0"/>
                <w:sz w:val="22"/>
                <w:szCs w:val="22"/>
                <w:lang/>
              </w:rPr>
              <w:t xml:space="preserve">0.137147 </w:t>
            </w:r>
          </w:p>
        </w:tc>
        <w:tc>
          <w:tcPr>
            <w:tcW w:w="1882" w:type="dxa"/>
            <w:shd w:val="clear" w:color="auto" w:fill="auto"/>
            <w:noWrap/>
            <w:vAlign w:val="center"/>
          </w:tcPr>
          <w:p w:rsidR="00F55E3A" w:rsidRDefault="00F577EE">
            <w:pPr>
              <w:widowControl/>
              <w:jc w:val="center"/>
              <w:textAlignment w:val="center"/>
              <w:rPr>
                <w:color w:val="000000"/>
                <w:kern w:val="0"/>
                <w:sz w:val="18"/>
                <w:szCs w:val="18"/>
              </w:rPr>
            </w:pPr>
            <w:r>
              <w:rPr>
                <w:color w:val="000000"/>
                <w:kern w:val="0"/>
                <w:sz w:val="22"/>
                <w:szCs w:val="22"/>
                <w:lang/>
              </w:rPr>
              <w:t xml:space="preserve">0.157265 </w:t>
            </w:r>
          </w:p>
        </w:tc>
      </w:tr>
      <w:tr w:rsidR="00F55E3A">
        <w:trPr>
          <w:trHeight w:val="314"/>
        </w:trPr>
        <w:tc>
          <w:tcPr>
            <w:tcW w:w="1784"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color w:val="000000"/>
                <w:kern w:val="0"/>
                <w:sz w:val="18"/>
                <w:szCs w:val="18"/>
              </w:rPr>
              <w:t>最大值</w:t>
            </w:r>
          </w:p>
        </w:tc>
        <w:tc>
          <w:tcPr>
            <w:tcW w:w="1878" w:type="dxa"/>
            <w:shd w:val="clear" w:color="auto" w:fill="auto"/>
            <w:noWrap/>
            <w:vAlign w:val="center"/>
          </w:tcPr>
          <w:p w:rsidR="00F55E3A" w:rsidRDefault="00F577EE">
            <w:pPr>
              <w:jc w:val="center"/>
              <w:rPr>
                <w:color w:val="000000"/>
                <w:kern w:val="0"/>
                <w:sz w:val="18"/>
                <w:szCs w:val="18"/>
              </w:rPr>
            </w:pPr>
            <w:r>
              <w:rPr>
                <w:sz w:val="18"/>
                <w:szCs w:val="18"/>
              </w:rPr>
              <w:t>P</w:t>
            </w:r>
            <w:r>
              <w:rPr>
                <w:rFonts w:hint="eastAsia"/>
                <w:sz w:val="18"/>
                <w:szCs w:val="18"/>
              </w:rPr>
              <w:t>2</w:t>
            </w:r>
            <w:r>
              <w:rPr>
                <w:sz w:val="18"/>
                <w:szCs w:val="18"/>
              </w:rPr>
              <w:t>，</w:t>
            </w:r>
            <w:r>
              <w:rPr>
                <w:rFonts w:hint="eastAsia"/>
                <w:sz w:val="18"/>
                <w:szCs w:val="18"/>
              </w:rPr>
              <w:t>3.40</w:t>
            </w:r>
          </w:p>
        </w:tc>
        <w:tc>
          <w:tcPr>
            <w:tcW w:w="1878" w:type="dxa"/>
            <w:shd w:val="clear" w:color="auto" w:fill="auto"/>
            <w:noWrap/>
            <w:vAlign w:val="center"/>
          </w:tcPr>
          <w:p w:rsidR="00F55E3A" w:rsidRDefault="00F577EE">
            <w:pPr>
              <w:jc w:val="center"/>
              <w:rPr>
                <w:color w:val="000000"/>
                <w:kern w:val="0"/>
                <w:sz w:val="18"/>
                <w:szCs w:val="18"/>
              </w:rPr>
            </w:pPr>
            <w:r>
              <w:rPr>
                <w:sz w:val="18"/>
                <w:szCs w:val="18"/>
              </w:rPr>
              <w:t>P</w:t>
            </w:r>
            <w:r>
              <w:rPr>
                <w:rFonts w:hint="eastAsia"/>
                <w:sz w:val="18"/>
                <w:szCs w:val="18"/>
              </w:rPr>
              <w:t>4</w:t>
            </w:r>
            <w:r>
              <w:rPr>
                <w:sz w:val="18"/>
                <w:szCs w:val="18"/>
              </w:rPr>
              <w:t>，</w:t>
            </w:r>
            <w:r>
              <w:rPr>
                <w:rFonts w:hint="eastAsia"/>
                <w:sz w:val="18"/>
                <w:szCs w:val="18"/>
              </w:rPr>
              <w:t>10.16</w:t>
            </w:r>
          </w:p>
        </w:tc>
        <w:tc>
          <w:tcPr>
            <w:tcW w:w="1878" w:type="dxa"/>
            <w:shd w:val="clear" w:color="auto" w:fill="auto"/>
            <w:noWrap/>
            <w:vAlign w:val="center"/>
          </w:tcPr>
          <w:p w:rsidR="00F55E3A" w:rsidRDefault="00F577EE">
            <w:pPr>
              <w:jc w:val="center"/>
              <w:rPr>
                <w:color w:val="000000"/>
                <w:kern w:val="0"/>
                <w:sz w:val="18"/>
                <w:szCs w:val="18"/>
              </w:rPr>
            </w:pPr>
            <w:r>
              <w:rPr>
                <w:sz w:val="18"/>
                <w:szCs w:val="18"/>
              </w:rPr>
              <w:t>P</w:t>
            </w:r>
            <w:r>
              <w:rPr>
                <w:rFonts w:hint="eastAsia"/>
                <w:sz w:val="18"/>
                <w:szCs w:val="18"/>
              </w:rPr>
              <w:t>7</w:t>
            </w:r>
            <w:r>
              <w:rPr>
                <w:sz w:val="18"/>
                <w:szCs w:val="18"/>
              </w:rPr>
              <w:t>，</w:t>
            </w:r>
            <w:r>
              <w:rPr>
                <w:rFonts w:hint="eastAsia"/>
                <w:sz w:val="18"/>
                <w:szCs w:val="18"/>
              </w:rPr>
              <w:t>21.24</w:t>
            </w:r>
          </w:p>
        </w:tc>
        <w:tc>
          <w:tcPr>
            <w:tcW w:w="1882" w:type="dxa"/>
            <w:shd w:val="clear" w:color="auto" w:fill="auto"/>
            <w:noWrap/>
            <w:vAlign w:val="center"/>
          </w:tcPr>
          <w:p w:rsidR="00F55E3A" w:rsidRDefault="00F577EE">
            <w:pPr>
              <w:jc w:val="center"/>
              <w:rPr>
                <w:color w:val="000000"/>
                <w:kern w:val="0"/>
                <w:sz w:val="18"/>
                <w:szCs w:val="18"/>
              </w:rPr>
            </w:pPr>
            <w:r>
              <w:rPr>
                <w:sz w:val="18"/>
                <w:szCs w:val="18"/>
              </w:rPr>
              <w:t>P</w:t>
            </w:r>
            <w:r>
              <w:rPr>
                <w:rFonts w:hint="eastAsia"/>
                <w:sz w:val="18"/>
                <w:szCs w:val="18"/>
              </w:rPr>
              <w:t>7</w:t>
            </w:r>
            <w:r>
              <w:rPr>
                <w:sz w:val="18"/>
                <w:szCs w:val="18"/>
              </w:rPr>
              <w:t>，</w:t>
            </w:r>
            <w:r>
              <w:rPr>
                <w:rFonts w:hint="eastAsia"/>
                <w:sz w:val="18"/>
                <w:szCs w:val="18"/>
              </w:rPr>
              <w:t>32.60</w:t>
            </w:r>
          </w:p>
        </w:tc>
      </w:tr>
      <w:tr w:rsidR="00F55E3A">
        <w:trPr>
          <w:trHeight w:val="314"/>
        </w:trPr>
        <w:tc>
          <w:tcPr>
            <w:tcW w:w="1784"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color w:val="000000"/>
                <w:kern w:val="0"/>
                <w:sz w:val="18"/>
                <w:szCs w:val="18"/>
              </w:rPr>
              <w:t>最小值</w:t>
            </w:r>
          </w:p>
        </w:tc>
        <w:tc>
          <w:tcPr>
            <w:tcW w:w="1878" w:type="dxa"/>
            <w:shd w:val="clear" w:color="auto" w:fill="auto"/>
            <w:noWrap/>
            <w:vAlign w:val="center"/>
          </w:tcPr>
          <w:p w:rsidR="00F55E3A" w:rsidRDefault="00F577EE">
            <w:pPr>
              <w:jc w:val="center"/>
              <w:rPr>
                <w:color w:val="000000"/>
                <w:kern w:val="0"/>
                <w:sz w:val="18"/>
                <w:szCs w:val="18"/>
              </w:rPr>
            </w:pPr>
            <w:r>
              <w:rPr>
                <w:sz w:val="18"/>
                <w:szCs w:val="18"/>
              </w:rPr>
              <w:t>P</w:t>
            </w:r>
            <w:r>
              <w:rPr>
                <w:rFonts w:hint="eastAsia"/>
                <w:sz w:val="18"/>
                <w:szCs w:val="18"/>
              </w:rPr>
              <w:t>8</w:t>
            </w:r>
            <w:r>
              <w:rPr>
                <w:sz w:val="18"/>
                <w:szCs w:val="18"/>
              </w:rPr>
              <w:t>，</w:t>
            </w:r>
            <w:r>
              <w:rPr>
                <w:rFonts w:hint="eastAsia"/>
                <w:sz w:val="18"/>
                <w:szCs w:val="18"/>
              </w:rPr>
              <w:t>3.25</w:t>
            </w:r>
          </w:p>
        </w:tc>
        <w:tc>
          <w:tcPr>
            <w:tcW w:w="1878" w:type="dxa"/>
            <w:shd w:val="clear" w:color="auto" w:fill="auto"/>
            <w:noWrap/>
            <w:vAlign w:val="center"/>
          </w:tcPr>
          <w:p w:rsidR="00F55E3A" w:rsidRDefault="00F577EE">
            <w:pPr>
              <w:jc w:val="center"/>
              <w:rPr>
                <w:color w:val="000000"/>
                <w:kern w:val="0"/>
                <w:sz w:val="18"/>
                <w:szCs w:val="18"/>
              </w:rPr>
            </w:pPr>
            <w:r>
              <w:rPr>
                <w:sz w:val="18"/>
                <w:szCs w:val="18"/>
              </w:rPr>
              <w:t>P</w:t>
            </w:r>
            <w:r>
              <w:rPr>
                <w:rFonts w:hint="eastAsia"/>
                <w:sz w:val="18"/>
                <w:szCs w:val="18"/>
              </w:rPr>
              <w:t>5</w:t>
            </w:r>
            <w:r>
              <w:rPr>
                <w:sz w:val="18"/>
                <w:szCs w:val="18"/>
              </w:rPr>
              <w:t>，</w:t>
            </w:r>
            <w:r>
              <w:rPr>
                <w:rFonts w:hint="eastAsia"/>
                <w:sz w:val="18"/>
                <w:szCs w:val="18"/>
              </w:rPr>
              <w:t>9.92</w:t>
            </w:r>
          </w:p>
        </w:tc>
        <w:tc>
          <w:tcPr>
            <w:tcW w:w="1878" w:type="dxa"/>
            <w:shd w:val="clear" w:color="auto" w:fill="auto"/>
            <w:noWrap/>
            <w:vAlign w:val="center"/>
          </w:tcPr>
          <w:p w:rsidR="00F55E3A" w:rsidRDefault="00F577EE">
            <w:pPr>
              <w:jc w:val="center"/>
              <w:rPr>
                <w:color w:val="000000"/>
                <w:kern w:val="0"/>
                <w:sz w:val="18"/>
                <w:szCs w:val="18"/>
              </w:rPr>
            </w:pPr>
            <w:r>
              <w:rPr>
                <w:sz w:val="18"/>
                <w:szCs w:val="18"/>
              </w:rPr>
              <w:t>P</w:t>
            </w:r>
            <w:r>
              <w:rPr>
                <w:rFonts w:hint="eastAsia"/>
                <w:sz w:val="18"/>
                <w:szCs w:val="18"/>
              </w:rPr>
              <w:t>5</w:t>
            </w:r>
            <w:r>
              <w:rPr>
                <w:sz w:val="18"/>
                <w:szCs w:val="18"/>
              </w:rPr>
              <w:t>，</w:t>
            </w:r>
            <w:r>
              <w:rPr>
                <w:rFonts w:hint="eastAsia"/>
                <w:sz w:val="18"/>
                <w:szCs w:val="18"/>
              </w:rPr>
              <w:t>20.74</w:t>
            </w:r>
          </w:p>
        </w:tc>
        <w:tc>
          <w:tcPr>
            <w:tcW w:w="1882" w:type="dxa"/>
            <w:shd w:val="clear" w:color="auto" w:fill="auto"/>
            <w:noWrap/>
            <w:vAlign w:val="center"/>
          </w:tcPr>
          <w:p w:rsidR="00F55E3A" w:rsidRDefault="00F577EE">
            <w:pPr>
              <w:jc w:val="center"/>
              <w:rPr>
                <w:color w:val="000000"/>
                <w:kern w:val="0"/>
                <w:sz w:val="18"/>
                <w:szCs w:val="18"/>
              </w:rPr>
            </w:pPr>
            <w:r>
              <w:rPr>
                <w:sz w:val="18"/>
                <w:szCs w:val="18"/>
              </w:rPr>
              <w:t>P</w:t>
            </w:r>
            <w:r>
              <w:rPr>
                <w:rFonts w:hint="eastAsia"/>
                <w:sz w:val="18"/>
                <w:szCs w:val="18"/>
              </w:rPr>
              <w:t>3</w:t>
            </w:r>
            <w:r>
              <w:rPr>
                <w:sz w:val="18"/>
                <w:szCs w:val="18"/>
              </w:rPr>
              <w:t>，</w:t>
            </w:r>
            <w:r>
              <w:rPr>
                <w:rFonts w:hint="eastAsia"/>
                <w:sz w:val="18"/>
                <w:szCs w:val="18"/>
              </w:rPr>
              <w:t>32.03</w:t>
            </w:r>
          </w:p>
        </w:tc>
      </w:tr>
      <w:tr w:rsidR="00F55E3A">
        <w:trPr>
          <w:trHeight w:val="314"/>
        </w:trPr>
        <w:tc>
          <w:tcPr>
            <w:tcW w:w="1784" w:type="dxa"/>
            <w:shd w:val="clear" w:color="auto" w:fill="auto"/>
            <w:noWrap/>
            <w:vAlign w:val="center"/>
          </w:tcPr>
          <w:p w:rsidR="00F55E3A" w:rsidRDefault="00F577EE">
            <w:pPr>
              <w:widowControl/>
              <w:snapToGrid w:val="0"/>
              <w:spacing w:line="200" w:lineRule="exact"/>
              <w:jc w:val="center"/>
              <w:rPr>
                <w:color w:val="000000"/>
                <w:kern w:val="0"/>
                <w:sz w:val="18"/>
                <w:szCs w:val="18"/>
              </w:rPr>
            </w:pPr>
            <w:proofErr w:type="spellStart"/>
            <w:r>
              <w:rPr>
                <w:color w:val="000000"/>
                <w:kern w:val="0"/>
                <w:sz w:val="18"/>
                <w:szCs w:val="18"/>
              </w:rPr>
              <w:t>Gmax</w:t>
            </w:r>
            <w:proofErr w:type="spellEnd"/>
          </w:p>
        </w:tc>
        <w:tc>
          <w:tcPr>
            <w:tcW w:w="1878" w:type="dxa"/>
            <w:shd w:val="clear" w:color="auto" w:fill="auto"/>
            <w:noWrap/>
            <w:vAlign w:val="center"/>
          </w:tcPr>
          <w:p w:rsidR="00F55E3A" w:rsidRDefault="00F577EE">
            <w:pPr>
              <w:jc w:val="center"/>
              <w:rPr>
                <w:bCs/>
                <w:kern w:val="0"/>
                <w:sz w:val="18"/>
                <w:szCs w:val="18"/>
              </w:rPr>
            </w:pPr>
            <w:r>
              <w:rPr>
                <w:rFonts w:hint="eastAsia"/>
                <w:sz w:val="18"/>
                <w:szCs w:val="18"/>
              </w:rPr>
              <w:t>2.293</w:t>
            </w:r>
          </w:p>
        </w:tc>
        <w:tc>
          <w:tcPr>
            <w:tcW w:w="1878" w:type="dxa"/>
            <w:shd w:val="clear" w:color="auto" w:fill="auto"/>
            <w:noWrap/>
            <w:vAlign w:val="center"/>
          </w:tcPr>
          <w:p w:rsidR="00F55E3A" w:rsidRDefault="00F577EE">
            <w:pPr>
              <w:jc w:val="center"/>
              <w:rPr>
                <w:bCs/>
                <w:kern w:val="0"/>
                <w:sz w:val="18"/>
                <w:szCs w:val="18"/>
              </w:rPr>
            </w:pPr>
            <w:r>
              <w:rPr>
                <w:rFonts w:hint="eastAsia"/>
                <w:sz w:val="18"/>
                <w:szCs w:val="18"/>
              </w:rPr>
              <w:t>1.714</w:t>
            </w:r>
          </w:p>
        </w:tc>
        <w:tc>
          <w:tcPr>
            <w:tcW w:w="1878" w:type="dxa"/>
            <w:shd w:val="clear" w:color="auto" w:fill="auto"/>
            <w:noWrap/>
            <w:vAlign w:val="center"/>
          </w:tcPr>
          <w:p w:rsidR="00F55E3A" w:rsidRDefault="00F577EE">
            <w:pPr>
              <w:jc w:val="center"/>
              <w:rPr>
                <w:bCs/>
                <w:kern w:val="0"/>
                <w:sz w:val="18"/>
                <w:szCs w:val="18"/>
              </w:rPr>
            </w:pPr>
            <w:r>
              <w:rPr>
                <w:rFonts w:hint="eastAsia"/>
                <w:sz w:val="18"/>
                <w:szCs w:val="18"/>
              </w:rPr>
              <w:t>1.458</w:t>
            </w:r>
          </w:p>
        </w:tc>
        <w:tc>
          <w:tcPr>
            <w:tcW w:w="1882" w:type="dxa"/>
            <w:shd w:val="clear" w:color="auto" w:fill="auto"/>
            <w:noWrap/>
            <w:vAlign w:val="center"/>
          </w:tcPr>
          <w:p w:rsidR="00F55E3A" w:rsidRDefault="00F577EE">
            <w:pPr>
              <w:jc w:val="center"/>
              <w:rPr>
                <w:bCs/>
                <w:kern w:val="0"/>
                <w:sz w:val="18"/>
                <w:szCs w:val="18"/>
              </w:rPr>
            </w:pPr>
            <w:r>
              <w:rPr>
                <w:rFonts w:hint="eastAsia"/>
                <w:sz w:val="18"/>
                <w:szCs w:val="18"/>
              </w:rPr>
              <w:t>1.971</w:t>
            </w:r>
          </w:p>
        </w:tc>
      </w:tr>
      <w:tr w:rsidR="00F55E3A">
        <w:trPr>
          <w:trHeight w:val="314"/>
        </w:trPr>
        <w:tc>
          <w:tcPr>
            <w:tcW w:w="1784" w:type="dxa"/>
            <w:shd w:val="clear" w:color="auto" w:fill="auto"/>
            <w:noWrap/>
            <w:vAlign w:val="center"/>
          </w:tcPr>
          <w:p w:rsidR="00F55E3A" w:rsidRDefault="00F577EE">
            <w:pPr>
              <w:widowControl/>
              <w:snapToGrid w:val="0"/>
              <w:spacing w:line="200" w:lineRule="exact"/>
              <w:jc w:val="center"/>
              <w:rPr>
                <w:color w:val="000000"/>
                <w:kern w:val="0"/>
                <w:sz w:val="18"/>
                <w:szCs w:val="18"/>
              </w:rPr>
            </w:pPr>
            <w:proofErr w:type="spellStart"/>
            <w:r>
              <w:rPr>
                <w:color w:val="000000"/>
                <w:kern w:val="0"/>
                <w:sz w:val="18"/>
                <w:szCs w:val="18"/>
              </w:rPr>
              <w:t>Gmin</w:t>
            </w:r>
            <w:proofErr w:type="spellEnd"/>
          </w:p>
        </w:tc>
        <w:tc>
          <w:tcPr>
            <w:tcW w:w="1878" w:type="dxa"/>
            <w:shd w:val="clear" w:color="auto" w:fill="auto"/>
            <w:noWrap/>
            <w:vAlign w:val="center"/>
          </w:tcPr>
          <w:p w:rsidR="00F55E3A" w:rsidRDefault="00F577EE">
            <w:pPr>
              <w:jc w:val="center"/>
              <w:rPr>
                <w:bCs/>
                <w:kern w:val="0"/>
                <w:sz w:val="18"/>
                <w:szCs w:val="18"/>
              </w:rPr>
            </w:pPr>
            <w:r>
              <w:rPr>
                <w:rFonts w:hint="eastAsia"/>
                <w:sz w:val="18"/>
                <w:szCs w:val="18"/>
              </w:rPr>
              <w:t>1.528</w:t>
            </w:r>
          </w:p>
        </w:tc>
        <w:tc>
          <w:tcPr>
            <w:tcW w:w="1878" w:type="dxa"/>
            <w:shd w:val="clear" w:color="auto" w:fill="auto"/>
            <w:noWrap/>
            <w:vAlign w:val="center"/>
          </w:tcPr>
          <w:p w:rsidR="00F55E3A" w:rsidRDefault="00F577EE">
            <w:pPr>
              <w:jc w:val="center"/>
              <w:rPr>
                <w:bCs/>
                <w:kern w:val="0"/>
                <w:sz w:val="18"/>
                <w:szCs w:val="18"/>
              </w:rPr>
            </w:pPr>
            <w:r>
              <w:rPr>
                <w:rFonts w:hint="eastAsia"/>
                <w:sz w:val="18"/>
                <w:szCs w:val="18"/>
              </w:rPr>
              <w:t>2.026</w:t>
            </w:r>
          </w:p>
        </w:tc>
        <w:tc>
          <w:tcPr>
            <w:tcW w:w="1878" w:type="dxa"/>
            <w:shd w:val="clear" w:color="auto" w:fill="auto"/>
            <w:noWrap/>
            <w:vAlign w:val="center"/>
          </w:tcPr>
          <w:p w:rsidR="00F55E3A" w:rsidRDefault="00F577EE">
            <w:pPr>
              <w:jc w:val="center"/>
              <w:rPr>
                <w:bCs/>
                <w:kern w:val="0"/>
                <w:sz w:val="18"/>
                <w:szCs w:val="18"/>
              </w:rPr>
            </w:pPr>
            <w:r>
              <w:rPr>
                <w:rFonts w:hint="eastAsia"/>
                <w:sz w:val="18"/>
                <w:szCs w:val="18"/>
              </w:rPr>
              <w:t>2.187</w:t>
            </w:r>
          </w:p>
        </w:tc>
        <w:tc>
          <w:tcPr>
            <w:tcW w:w="1882" w:type="dxa"/>
            <w:shd w:val="clear" w:color="auto" w:fill="auto"/>
            <w:noWrap/>
            <w:vAlign w:val="center"/>
          </w:tcPr>
          <w:p w:rsidR="00F55E3A" w:rsidRDefault="00F577EE">
            <w:pPr>
              <w:jc w:val="center"/>
              <w:rPr>
                <w:bCs/>
                <w:kern w:val="0"/>
                <w:sz w:val="18"/>
                <w:szCs w:val="18"/>
              </w:rPr>
            </w:pPr>
            <w:r>
              <w:rPr>
                <w:rFonts w:hint="eastAsia"/>
                <w:sz w:val="18"/>
                <w:szCs w:val="18"/>
              </w:rPr>
              <w:t>1.653</w:t>
            </w:r>
          </w:p>
        </w:tc>
      </w:tr>
      <w:tr w:rsidR="00F55E3A">
        <w:trPr>
          <w:trHeight w:val="314"/>
        </w:trPr>
        <w:tc>
          <w:tcPr>
            <w:tcW w:w="1784" w:type="dxa"/>
            <w:shd w:val="clear" w:color="auto" w:fill="auto"/>
            <w:noWrap/>
            <w:vAlign w:val="center"/>
          </w:tcPr>
          <w:p w:rsidR="00F55E3A" w:rsidRDefault="00F577EE">
            <w:pPr>
              <w:jc w:val="center"/>
              <w:rPr>
                <w:color w:val="000000"/>
                <w:kern w:val="0"/>
                <w:sz w:val="18"/>
                <w:szCs w:val="18"/>
              </w:rPr>
            </w:pPr>
            <w:r>
              <w:rPr>
                <w:sz w:val="18"/>
                <w:szCs w:val="18"/>
              </w:rPr>
              <w:t>歧离值（</w:t>
            </w:r>
            <w:r>
              <w:rPr>
                <w:sz w:val="18"/>
                <w:szCs w:val="18"/>
              </w:rPr>
              <w:t>Y/N</w:t>
            </w:r>
            <w:r>
              <w:rPr>
                <w:sz w:val="18"/>
                <w:szCs w:val="18"/>
              </w:rPr>
              <w:t>）</w:t>
            </w:r>
          </w:p>
        </w:tc>
        <w:tc>
          <w:tcPr>
            <w:tcW w:w="1878" w:type="dxa"/>
            <w:shd w:val="clear" w:color="auto" w:fill="auto"/>
            <w:noWrap/>
            <w:vAlign w:val="center"/>
          </w:tcPr>
          <w:p w:rsidR="00F55E3A" w:rsidRDefault="00F577EE">
            <w:pPr>
              <w:jc w:val="center"/>
              <w:rPr>
                <w:bCs/>
                <w:kern w:val="0"/>
                <w:sz w:val="18"/>
                <w:szCs w:val="18"/>
              </w:rPr>
            </w:pPr>
            <w:r>
              <w:rPr>
                <w:sz w:val="18"/>
                <w:szCs w:val="18"/>
              </w:rPr>
              <w:t>N</w:t>
            </w:r>
          </w:p>
        </w:tc>
        <w:tc>
          <w:tcPr>
            <w:tcW w:w="1878" w:type="dxa"/>
            <w:shd w:val="clear" w:color="auto" w:fill="auto"/>
            <w:noWrap/>
            <w:vAlign w:val="center"/>
          </w:tcPr>
          <w:p w:rsidR="00F55E3A" w:rsidRDefault="00F577EE">
            <w:pPr>
              <w:jc w:val="center"/>
              <w:rPr>
                <w:bCs/>
                <w:kern w:val="0"/>
                <w:sz w:val="18"/>
                <w:szCs w:val="18"/>
              </w:rPr>
            </w:pPr>
            <w:r>
              <w:rPr>
                <w:sz w:val="18"/>
                <w:szCs w:val="18"/>
              </w:rPr>
              <w:t>N</w:t>
            </w:r>
          </w:p>
        </w:tc>
        <w:tc>
          <w:tcPr>
            <w:tcW w:w="1878" w:type="dxa"/>
            <w:shd w:val="clear" w:color="auto" w:fill="auto"/>
            <w:noWrap/>
            <w:vAlign w:val="center"/>
          </w:tcPr>
          <w:p w:rsidR="00F55E3A" w:rsidRDefault="00F577EE">
            <w:pPr>
              <w:jc w:val="center"/>
              <w:rPr>
                <w:bCs/>
                <w:kern w:val="0"/>
                <w:sz w:val="18"/>
                <w:szCs w:val="18"/>
              </w:rPr>
            </w:pPr>
            <w:r>
              <w:rPr>
                <w:rFonts w:hint="eastAsia"/>
                <w:sz w:val="18"/>
                <w:szCs w:val="18"/>
              </w:rPr>
              <w:t>N</w:t>
            </w:r>
          </w:p>
        </w:tc>
        <w:tc>
          <w:tcPr>
            <w:tcW w:w="1882" w:type="dxa"/>
            <w:shd w:val="clear" w:color="auto" w:fill="auto"/>
            <w:noWrap/>
            <w:vAlign w:val="center"/>
          </w:tcPr>
          <w:p w:rsidR="00F55E3A" w:rsidRDefault="00F577EE">
            <w:pPr>
              <w:jc w:val="center"/>
              <w:rPr>
                <w:bCs/>
                <w:kern w:val="0"/>
                <w:sz w:val="18"/>
                <w:szCs w:val="18"/>
              </w:rPr>
            </w:pPr>
            <w:r>
              <w:rPr>
                <w:sz w:val="18"/>
                <w:szCs w:val="18"/>
              </w:rPr>
              <w:t>N</w:t>
            </w:r>
          </w:p>
        </w:tc>
      </w:tr>
      <w:tr w:rsidR="00F55E3A">
        <w:trPr>
          <w:trHeight w:val="314"/>
        </w:trPr>
        <w:tc>
          <w:tcPr>
            <w:tcW w:w="1784" w:type="dxa"/>
            <w:shd w:val="clear" w:color="auto" w:fill="auto"/>
            <w:noWrap/>
            <w:vAlign w:val="center"/>
          </w:tcPr>
          <w:p w:rsidR="00F55E3A" w:rsidRDefault="00F577EE">
            <w:pPr>
              <w:spacing w:line="400" w:lineRule="exact"/>
              <w:jc w:val="center"/>
              <w:rPr>
                <w:color w:val="000000"/>
                <w:kern w:val="0"/>
                <w:sz w:val="18"/>
                <w:szCs w:val="18"/>
              </w:rPr>
            </w:pPr>
            <w:r>
              <w:rPr>
                <w:sz w:val="18"/>
                <w:szCs w:val="18"/>
              </w:rPr>
              <w:t>离群值（</w:t>
            </w:r>
            <w:r>
              <w:rPr>
                <w:sz w:val="18"/>
                <w:szCs w:val="18"/>
              </w:rPr>
              <w:t>Y/N</w:t>
            </w:r>
            <w:r>
              <w:rPr>
                <w:sz w:val="18"/>
                <w:szCs w:val="18"/>
              </w:rPr>
              <w:t>）</w:t>
            </w:r>
          </w:p>
        </w:tc>
        <w:tc>
          <w:tcPr>
            <w:tcW w:w="1878" w:type="dxa"/>
            <w:shd w:val="clear" w:color="auto" w:fill="auto"/>
            <w:noWrap/>
            <w:vAlign w:val="center"/>
          </w:tcPr>
          <w:p w:rsidR="00F55E3A" w:rsidRDefault="00F577EE">
            <w:pPr>
              <w:spacing w:line="400" w:lineRule="exact"/>
              <w:jc w:val="center"/>
              <w:rPr>
                <w:bCs/>
                <w:kern w:val="0"/>
                <w:sz w:val="18"/>
                <w:szCs w:val="18"/>
              </w:rPr>
            </w:pPr>
            <w:r>
              <w:rPr>
                <w:sz w:val="18"/>
                <w:szCs w:val="18"/>
              </w:rPr>
              <w:t>N</w:t>
            </w:r>
          </w:p>
        </w:tc>
        <w:tc>
          <w:tcPr>
            <w:tcW w:w="1878" w:type="dxa"/>
            <w:shd w:val="clear" w:color="auto" w:fill="auto"/>
            <w:noWrap/>
            <w:vAlign w:val="center"/>
          </w:tcPr>
          <w:p w:rsidR="00F55E3A" w:rsidRDefault="00F577EE">
            <w:pPr>
              <w:spacing w:line="400" w:lineRule="exact"/>
              <w:jc w:val="center"/>
              <w:rPr>
                <w:bCs/>
                <w:kern w:val="0"/>
                <w:sz w:val="18"/>
                <w:szCs w:val="18"/>
              </w:rPr>
            </w:pPr>
            <w:r>
              <w:rPr>
                <w:sz w:val="18"/>
                <w:szCs w:val="18"/>
              </w:rPr>
              <w:t>N</w:t>
            </w:r>
          </w:p>
        </w:tc>
        <w:tc>
          <w:tcPr>
            <w:tcW w:w="1878" w:type="dxa"/>
            <w:shd w:val="clear" w:color="auto" w:fill="auto"/>
            <w:noWrap/>
            <w:vAlign w:val="center"/>
          </w:tcPr>
          <w:p w:rsidR="00F55E3A" w:rsidRDefault="00F577EE">
            <w:pPr>
              <w:spacing w:line="400" w:lineRule="exact"/>
              <w:jc w:val="center"/>
              <w:rPr>
                <w:bCs/>
                <w:kern w:val="0"/>
                <w:sz w:val="18"/>
                <w:szCs w:val="18"/>
              </w:rPr>
            </w:pPr>
            <w:r>
              <w:rPr>
                <w:sz w:val="18"/>
                <w:szCs w:val="18"/>
              </w:rPr>
              <w:t>N</w:t>
            </w:r>
          </w:p>
        </w:tc>
        <w:tc>
          <w:tcPr>
            <w:tcW w:w="1882" w:type="dxa"/>
            <w:shd w:val="clear" w:color="auto" w:fill="auto"/>
            <w:noWrap/>
            <w:vAlign w:val="center"/>
          </w:tcPr>
          <w:p w:rsidR="00F55E3A" w:rsidRDefault="00F577EE">
            <w:pPr>
              <w:spacing w:line="400" w:lineRule="exact"/>
              <w:jc w:val="center"/>
              <w:rPr>
                <w:bCs/>
                <w:kern w:val="0"/>
                <w:sz w:val="18"/>
                <w:szCs w:val="18"/>
              </w:rPr>
            </w:pPr>
            <w:r>
              <w:rPr>
                <w:sz w:val="18"/>
                <w:szCs w:val="18"/>
              </w:rPr>
              <w:t>N</w:t>
            </w:r>
          </w:p>
        </w:tc>
      </w:tr>
      <w:tr w:rsidR="00F55E3A">
        <w:trPr>
          <w:trHeight w:val="314"/>
        </w:trPr>
        <w:tc>
          <w:tcPr>
            <w:tcW w:w="1784"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color w:val="000000"/>
                <w:kern w:val="0"/>
                <w:sz w:val="18"/>
                <w:szCs w:val="18"/>
              </w:rPr>
              <w:t>p</w:t>
            </w:r>
          </w:p>
        </w:tc>
        <w:tc>
          <w:tcPr>
            <w:tcW w:w="1878"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rFonts w:hint="eastAsia"/>
                <w:color w:val="000000"/>
                <w:kern w:val="0"/>
                <w:sz w:val="18"/>
                <w:szCs w:val="18"/>
              </w:rPr>
              <w:t>15</w:t>
            </w:r>
          </w:p>
        </w:tc>
        <w:tc>
          <w:tcPr>
            <w:tcW w:w="1878"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rFonts w:hint="eastAsia"/>
                <w:color w:val="000000"/>
                <w:kern w:val="0"/>
                <w:sz w:val="18"/>
                <w:szCs w:val="18"/>
              </w:rPr>
              <w:t>15</w:t>
            </w:r>
          </w:p>
        </w:tc>
        <w:tc>
          <w:tcPr>
            <w:tcW w:w="1878"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rFonts w:hint="eastAsia"/>
                <w:color w:val="000000"/>
                <w:kern w:val="0"/>
                <w:sz w:val="18"/>
                <w:szCs w:val="18"/>
              </w:rPr>
              <w:t>15</w:t>
            </w:r>
          </w:p>
        </w:tc>
        <w:tc>
          <w:tcPr>
            <w:tcW w:w="1882" w:type="dxa"/>
            <w:shd w:val="clear" w:color="auto" w:fill="auto"/>
            <w:noWrap/>
            <w:vAlign w:val="center"/>
          </w:tcPr>
          <w:p w:rsidR="00F55E3A" w:rsidRDefault="00F577EE">
            <w:pPr>
              <w:widowControl/>
              <w:snapToGrid w:val="0"/>
              <w:spacing w:line="200" w:lineRule="exact"/>
              <w:jc w:val="center"/>
              <w:rPr>
                <w:color w:val="000000"/>
                <w:kern w:val="0"/>
                <w:sz w:val="18"/>
                <w:szCs w:val="18"/>
              </w:rPr>
            </w:pPr>
            <w:r>
              <w:rPr>
                <w:rFonts w:hint="eastAsia"/>
                <w:color w:val="000000"/>
                <w:kern w:val="0"/>
                <w:sz w:val="18"/>
                <w:szCs w:val="18"/>
              </w:rPr>
              <w:t>15</w:t>
            </w:r>
          </w:p>
        </w:tc>
      </w:tr>
      <w:tr w:rsidR="00F55E3A">
        <w:trPr>
          <w:trHeight w:val="314"/>
        </w:trPr>
        <w:tc>
          <w:tcPr>
            <w:tcW w:w="9300" w:type="dxa"/>
            <w:gridSpan w:val="5"/>
            <w:shd w:val="clear" w:color="auto" w:fill="auto"/>
            <w:noWrap/>
            <w:vAlign w:val="center"/>
          </w:tcPr>
          <w:p w:rsidR="00F55E3A" w:rsidRDefault="00F577EE">
            <w:pPr>
              <w:jc w:val="center"/>
              <w:rPr>
                <w:color w:val="FF0000"/>
                <w:sz w:val="18"/>
                <w:szCs w:val="18"/>
              </w:rPr>
            </w:pPr>
            <w:r>
              <w:rPr>
                <w:szCs w:val="21"/>
              </w:rPr>
              <w:t>对</w:t>
            </w:r>
            <w:r>
              <w:rPr>
                <w:szCs w:val="21"/>
              </w:rPr>
              <w:t>p=</w:t>
            </w:r>
            <w:r>
              <w:rPr>
                <w:rFonts w:hint="eastAsia"/>
                <w:szCs w:val="21"/>
              </w:rPr>
              <w:t>15</w:t>
            </w:r>
            <w:r>
              <w:rPr>
                <w:szCs w:val="21"/>
              </w:rPr>
              <w:t>，</w:t>
            </w:r>
            <w:r>
              <w:rPr>
                <w:rFonts w:hint="eastAsia"/>
                <w:szCs w:val="21"/>
              </w:rPr>
              <w:t>格拉布斯</w:t>
            </w:r>
            <w:r>
              <w:rPr>
                <w:szCs w:val="21"/>
              </w:rPr>
              <w:t>检验</w:t>
            </w:r>
            <w:r>
              <w:rPr>
                <w:szCs w:val="21"/>
              </w:rPr>
              <w:t>5</w:t>
            </w:r>
            <w:r>
              <w:rPr>
                <w:rFonts w:hint="eastAsia"/>
                <w:szCs w:val="21"/>
              </w:rPr>
              <w:t xml:space="preserve"> </w:t>
            </w:r>
            <w:r>
              <w:rPr>
                <w:szCs w:val="21"/>
              </w:rPr>
              <w:t>%</w:t>
            </w:r>
            <w:r>
              <w:rPr>
                <w:szCs w:val="21"/>
              </w:rPr>
              <w:t>临界值为</w:t>
            </w:r>
            <w:r>
              <w:rPr>
                <w:rFonts w:hint="eastAsia"/>
                <w:szCs w:val="21"/>
              </w:rPr>
              <w:t>2.549</w:t>
            </w:r>
            <w:r>
              <w:rPr>
                <w:szCs w:val="21"/>
              </w:rPr>
              <w:t>，</w:t>
            </w:r>
            <w:r>
              <w:rPr>
                <w:szCs w:val="21"/>
              </w:rPr>
              <w:t>1%</w:t>
            </w:r>
            <w:r>
              <w:rPr>
                <w:szCs w:val="21"/>
              </w:rPr>
              <w:t>临界值为</w:t>
            </w:r>
            <w:r>
              <w:rPr>
                <w:rFonts w:hint="eastAsia"/>
                <w:szCs w:val="21"/>
              </w:rPr>
              <w:t>2.806</w:t>
            </w:r>
            <w:r>
              <w:rPr>
                <w:rFonts w:hint="eastAsia"/>
                <w:szCs w:val="21"/>
              </w:rPr>
              <w:t>。</w:t>
            </w:r>
          </w:p>
        </w:tc>
      </w:tr>
    </w:tbl>
    <w:p w:rsidR="00F55E3A" w:rsidRDefault="00F577EE" w:rsidP="00F577EE">
      <w:pPr>
        <w:spacing w:beforeLines="50"/>
        <w:jc w:val="center"/>
        <w:rPr>
          <w:bCs/>
          <w:color w:val="000000"/>
          <w:szCs w:val="21"/>
        </w:rPr>
      </w:pPr>
      <w:r>
        <w:rPr>
          <w:rFonts w:ascii="黑体" w:eastAsia="黑体" w:hint="eastAsia"/>
          <w:bCs/>
          <w:color w:val="000000"/>
          <w:szCs w:val="21"/>
        </w:rPr>
        <w:t>表</w:t>
      </w:r>
      <w:r>
        <w:rPr>
          <w:rFonts w:ascii="黑体" w:eastAsia="黑体"/>
          <w:bCs/>
          <w:color w:val="000000"/>
          <w:szCs w:val="21"/>
        </w:rPr>
        <w:t>1</w:t>
      </w:r>
      <w:r>
        <w:rPr>
          <w:rFonts w:ascii="黑体" w:eastAsia="黑体" w:hint="eastAsia"/>
          <w:bCs/>
          <w:color w:val="000000"/>
          <w:szCs w:val="21"/>
        </w:rPr>
        <w:t>2</w:t>
      </w:r>
      <w:r>
        <w:rPr>
          <w:rFonts w:ascii="黑体" w:eastAsia="黑体"/>
          <w:bCs/>
          <w:color w:val="000000"/>
          <w:szCs w:val="21"/>
        </w:rPr>
        <w:t xml:space="preserve"> </w:t>
      </w:r>
      <w:r>
        <w:rPr>
          <w:rFonts w:ascii="黑体" w:eastAsia="黑体" w:hint="eastAsia"/>
          <w:bCs/>
          <w:color w:val="000000"/>
          <w:szCs w:val="21"/>
        </w:rPr>
        <w:t xml:space="preserve"> 格拉布斯检验（两个离群观测值情形）</w:t>
      </w:r>
    </w:p>
    <w:tbl>
      <w:tblPr>
        <w:tblW w:w="92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6"/>
        <w:gridCol w:w="1299"/>
        <w:gridCol w:w="1619"/>
        <w:gridCol w:w="1619"/>
        <w:gridCol w:w="1621"/>
      </w:tblGrid>
      <w:tr w:rsidR="00F55E3A">
        <w:trPr>
          <w:trHeight w:val="267"/>
        </w:trPr>
        <w:tc>
          <w:tcPr>
            <w:tcW w:w="3076" w:type="dxa"/>
            <w:shd w:val="clear" w:color="auto" w:fill="auto"/>
            <w:vAlign w:val="center"/>
          </w:tcPr>
          <w:p w:rsidR="00F55E3A" w:rsidRDefault="00F577EE">
            <w:pPr>
              <w:snapToGrid w:val="0"/>
              <w:spacing w:line="200" w:lineRule="exact"/>
              <w:jc w:val="center"/>
              <w:rPr>
                <w:color w:val="000000"/>
                <w:kern w:val="0"/>
                <w:sz w:val="18"/>
                <w:szCs w:val="18"/>
              </w:rPr>
            </w:pPr>
            <w:r>
              <w:rPr>
                <w:rFonts w:hint="eastAsia"/>
                <w:color w:val="000000"/>
                <w:kern w:val="0"/>
                <w:sz w:val="18"/>
                <w:szCs w:val="18"/>
              </w:rPr>
              <w:t>统计量</w:t>
            </w:r>
          </w:p>
        </w:tc>
        <w:tc>
          <w:tcPr>
            <w:tcW w:w="1299" w:type="dxa"/>
            <w:shd w:val="clear" w:color="auto" w:fill="auto"/>
            <w:noWrap/>
            <w:vAlign w:val="center"/>
          </w:tcPr>
          <w:p w:rsidR="00F55E3A" w:rsidRDefault="00F577EE">
            <w:pPr>
              <w:widowControl/>
              <w:snapToGrid w:val="0"/>
              <w:jc w:val="center"/>
              <w:rPr>
                <w:kern w:val="0"/>
                <w:sz w:val="18"/>
                <w:szCs w:val="18"/>
              </w:rPr>
            </w:pPr>
            <w:r>
              <w:rPr>
                <w:rFonts w:hint="eastAsia"/>
                <w:kern w:val="0"/>
                <w:sz w:val="18"/>
                <w:szCs w:val="18"/>
              </w:rPr>
              <w:t>水平</w:t>
            </w:r>
            <w:r>
              <w:rPr>
                <w:rFonts w:hint="eastAsia"/>
                <w:kern w:val="0"/>
                <w:sz w:val="18"/>
                <w:szCs w:val="18"/>
              </w:rPr>
              <w:t>1</w:t>
            </w:r>
          </w:p>
        </w:tc>
        <w:tc>
          <w:tcPr>
            <w:tcW w:w="1619" w:type="dxa"/>
            <w:shd w:val="clear" w:color="auto" w:fill="auto"/>
            <w:noWrap/>
            <w:vAlign w:val="center"/>
          </w:tcPr>
          <w:p w:rsidR="00F55E3A" w:rsidRDefault="00F577EE">
            <w:pPr>
              <w:widowControl/>
              <w:snapToGrid w:val="0"/>
              <w:jc w:val="center"/>
              <w:rPr>
                <w:kern w:val="0"/>
                <w:sz w:val="18"/>
                <w:szCs w:val="18"/>
              </w:rPr>
            </w:pPr>
            <w:r>
              <w:rPr>
                <w:rFonts w:hint="eastAsia"/>
                <w:kern w:val="0"/>
                <w:sz w:val="18"/>
                <w:szCs w:val="18"/>
              </w:rPr>
              <w:t>水平</w:t>
            </w:r>
            <w:r>
              <w:rPr>
                <w:kern w:val="0"/>
                <w:sz w:val="18"/>
                <w:szCs w:val="18"/>
              </w:rPr>
              <w:t>2</w:t>
            </w:r>
          </w:p>
        </w:tc>
        <w:tc>
          <w:tcPr>
            <w:tcW w:w="1619" w:type="dxa"/>
            <w:shd w:val="clear" w:color="auto" w:fill="auto"/>
            <w:noWrap/>
            <w:vAlign w:val="center"/>
          </w:tcPr>
          <w:p w:rsidR="00F55E3A" w:rsidRDefault="00F577EE">
            <w:pPr>
              <w:widowControl/>
              <w:snapToGrid w:val="0"/>
              <w:jc w:val="center"/>
              <w:rPr>
                <w:kern w:val="0"/>
                <w:sz w:val="18"/>
                <w:szCs w:val="18"/>
              </w:rPr>
            </w:pPr>
            <w:r>
              <w:rPr>
                <w:rFonts w:hint="eastAsia"/>
                <w:kern w:val="0"/>
                <w:sz w:val="18"/>
                <w:szCs w:val="18"/>
              </w:rPr>
              <w:t>水平</w:t>
            </w:r>
            <w:r>
              <w:rPr>
                <w:kern w:val="0"/>
                <w:sz w:val="18"/>
                <w:szCs w:val="18"/>
              </w:rPr>
              <w:t>3</w:t>
            </w:r>
          </w:p>
        </w:tc>
        <w:tc>
          <w:tcPr>
            <w:tcW w:w="1621" w:type="dxa"/>
            <w:shd w:val="clear" w:color="auto" w:fill="auto"/>
            <w:noWrap/>
            <w:vAlign w:val="center"/>
          </w:tcPr>
          <w:p w:rsidR="00F55E3A" w:rsidRDefault="00F577EE">
            <w:pPr>
              <w:widowControl/>
              <w:snapToGrid w:val="0"/>
              <w:jc w:val="center"/>
              <w:rPr>
                <w:kern w:val="0"/>
                <w:sz w:val="18"/>
                <w:szCs w:val="18"/>
              </w:rPr>
            </w:pPr>
            <w:r>
              <w:rPr>
                <w:rFonts w:hint="eastAsia"/>
                <w:kern w:val="0"/>
                <w:sz w:val="18"/>
                <w:szCs w:val="18"/>
              </w:rPr>
              <w:t>水平</w:t>
            </w:r>
            <w:r>
              <w:rPr>
                <w:kern w:val="0"/>
                <w:sz w:val="18"/>
                <w:szCs w:val="18"/>
              </w:rPr>
              <w:t>4</w:t>
            </w:r>
          </w:p>
        </w:tc>
      </w:tr>
      <w:tr w:rsidR="00F55E3A">
        <w:trPr>
          <w:trHeight w:val="302"/>
        </w:trPr>
        <w:tc>
          <w:tcPr>
            <w:tcW w:w="3076" w:type="dxa"/>
            <w:shd w:val="clear" w:color="auto" w:fill="auto"/>
            <w:noWrap/>
            <w:vAlign w:val="center"/>
          </w:tcPr>
          <w:p w:rsidR="00F55E3A" w:rsidRDefault="00F577EE">
            <w:pPr>
              <w:widowControl/>
              <w:snapToGrid w:val="0"/>
              <w:jc w:val="center"/>
              <w:rPr>
                <w:color w:val="000000"/>
                <w:kern w:val="0"/>
                <w:sz w:val="18"/>
                <w:szCs w:val="18"/>
              </w:rPr>
            </w:pPr>
            <w:r>
              <w:rPr>
                <w:color w:val="000000"/>
                <w:kern w:val="0"/>
                <w:sz w:val="18"/>
                <w:szCs w:val="18"/>
              </w:rPr>
              <w:t>s</w:t>
            </w:r>
            <w:r>
              <w:rPr>
                <w:color w:val="000000"/>
                <w:kern w:val="0"/>
                <w:sz w:val="18"/>
                <w:szCs w:val="18"/>
                <w:vertAlign w:val="subscript"/>
              </w:rPr>
              <w:t>0</w:t>
            </w:r>
            <w:r>
              <w:rPr>
                <w:color w:val="000000"/>
                <w:kern w:val="0"/>
                <w:sz w:val="18"/>
                <w:szCs w:val="18"/>
                <w:vertAlign w:val="superscript"/>
              </w:rPr>
              <w:t>2</w:t>
            </w:r>
          </w:p>
        </w:tc>
        <w:tc>
          <w:tcPr>
            <w:tcW w:w="1299" w:type="dxa"/>
            <w:shd w:val="clear" w:color="auto" w:fill="auto"/>
            <w:noWrap/>
            <w:vAlign w:val="center"/>
          </w:tcPr>
          <w:p w:rsidR="00F55E3A" w:rsidRDefault="00F577EE">
            <w:pPr>
              <w:widowControl/>
              <w:snapToGrid w:val="0"/>
              <w:jc w:val="center"/>
              <w:rPr>
                <w:color w:val="000000"/>
                <w:kern w:val="0"/>
                <w:sz w:val="18"/>
                <w:szCs w:val="18"/>
              </w:rPr>
            </w:pPr>
            <w:r>
              <w:rPr>
                <w:rFonts w:hint="eastAsia"/>
                <w:color w:val="000000"/>
                <w:kern w:val="0"/>
                <w:sz w:val="18"/>
                <w:szCs w:val="18"/>
              </w:rPr>
              <w:t>0.039255</w:t>
            </w:r>
          </w:p>
        </w:tc>
        <w:tc>
          <w:tcPr>
            <w:tcW w:w="1619" w:type="dxa"/>
            <w:shd w:val="clear" w:color="auto" w:fill="auto"/>
            <w:noWrap/>
            <w:vAlign w:val="center"/>
          </w:tcPr>
          <w:p w:rsidR="00F55E3A" w:rsidRDefault="00F577EE">
            <w:pPr>
              <w:widowControl/>
              <w:snapToGrid w:val="0"/>
              <w:jc w:val="center"/>
              <w:rPr>
                <w:color w:val="000000"/>
                <w:kern w:val="0"/>
                <w:sz w:val="18"/>
                <w:szCs w:val="18"/>
              </w:rPr>
            </w:pPr>
            <w:r>
              <w:rPr>
                <w:rFonts w:hint="eastAsia"/>
                <w:color w:val="000000"/>
                <w:kern w:val="0"/>
                <w:sz w:val="18"/>
                <w:szCs w:val="18"/>
              </w:rPr>
              <w:t>0.064165</w:t>
            </w:r>
          </w:p>
        </w:tc>
        <w:tc>
          <w:tcPr>
            <w:tcW w:w="1619" w:type="dxa"/>
            <w:shd w:val="clear" w:color="auto" w:fill="auto"/>
            <w:noWrap/>
            <w:vAlign w:val="center"/>
          </w:tcPr>
          <w:p w:rsidR="00F55E3A" w:rsidRDefault="00F577EE">
            <w:pPr>
              <w:widowControl/>
              <w:snapToGrid w:val="0"/>
              <w:jc w:val="center"/>
              <w:rPr>
                <w:color w:val="000000"/>
                <w:kern w:val="0"/>
                <w:sz w:val="18"/>
                <w:szCs w:val="18"/>
              </w:rPr>
            </w:pPr>
            <w:r>
              <w:rPr>
                <w:rFonts w:hint="eastAsia"/>
                <w:color w:val="000000"/>
                <w:kern w:val="0"/>
                <w:sz w:val="18"/>
                <w:szCs w:val="18"/>
              </w:rPr>
              <w:t>0.137147</w:t>
            </w:r>
          </w:p>
        </w:tc>
        <w:tc>
          <w:tcPr>
            <w:tcW w:w="1621" w:type="dxa"/>
            <w:shd w:val="clear" w:color="auto" w:fill="auto"/>
            <w:noWrap/>
            <w:vAlign w:val="center"/>
          </w:tcPr>
          <w:p w:rsidR="00F55E3A" w:rsidRDefault="00F577EE">
            <w:pPr>
              <w:widowControl/>
              <w:snapToGrid w:val="0"/>
              <w:jc w:val="center"/>
              <w:rPr>
                <w:color w:val="000000"/>
                <w:kern w:val="0"/>
                <w:sz w:val="18"/>
                <w:szCs w:val="18"/>
              </w:rPr>
            </w:pPr>
            <w:r>
              <w:rPr>
                <w:rFonts w:hint="eastAsia"/>
                <w:color w:val="000000"/>
                <w:kern w:val="0"/>
                <w:sz w:val="18"/>
                <w:szCs w:val="18"/>
              </w:rPr>
              <w:t>0.157265</w:t>
            </w:r>
          </w:p>
        </w:tc>
      </w:tr>
      <w:tr w:rsidR="00F55E3A">
        <w:trPr>
          <w:trHeight w:val="290"/>
        </w:trPr>
        <w:tc>
          <w:tcPr>
            <w:tcW w:w="3076" w:type="dxa"/>
            <w:shd w:val="clear" w:color="auto" w:fill="auto"/>
            <w:noWrap/>
            <w:vAlign w:val="center"/>
          </w:tcPr>
          <w:p w:rsidR="00F55E3A" w:rsidRDefault="00F577EE">
            <w:pPr>
              <w:widowControl/>
              <w:snapToGrid w:val="0"/>
              <w:jc w:val="center"/>
              <w:rPr>
                <w:color w:val="000000"/>
                <w:kern w:val="0"/>
                <w:sz w:val="18"/>
                <w:szCs w:val="18"/>
              </w:rPr>
            </w:pPr>
            <w:r>
              <w:rPr>
                <w:color w:val="000000"/>
                <w:kern w:val="0"/>
                <w:sz w:val="18"/>
                <w:szCs w:val="18"/>
              </w:rPr>
              <w:t>s</w:t>
            </w:r>
            <w:r>
              <w:rPr>
                <w:color w:val="000000"/>
                <w:kern w:val="0"/>
                <w:sz w:val="18"/>
                <w:szCs w:val="18"/>
                <w:vertAlign w:val="superscript"/>
              </w:rPr>
              <w:t>2</w:t>
            </w:r>
            <w:r>
              <w:rPr>
                <w:color w:val="000000"/>
                <w:kern w:val="0"/>
                <w:sz w:val="18"/>
                <w:szCs w:val="18"/>
                <w:vertAlign w:val="subscript"/>
              </w:rPr>
              <w:t>p-1,p</w:t>
            </w:r>
          </w:p>
        </w:tc>
        <w:tc>
          <w:tcPr>
            <w:tcW w:w="1299" w:type="dxa"/>
            <w:shd w:val="clear" w:color="auto" w:fill="auto"/>
            <w:noWrap/>
            <w:vAlign w:val="center"/>
          </w:tcPr>
          <w:p w:rsidR="00F55E3A" w:rsidRDefault="00F577EE">
            <w:pPr>
              <w:widowControl/>
              <w:snapToGrid w:val="0"/>
              <w:jc w:val="center"/>
              <w:rPr>
                <w:color w:val="000000"/>
                <w:kern w:val="0"/>
                <w:sz w:val="18"/>
                <w:szCs w:val="18"/>
              </w:rPr>
            </w:pPr>
            <w:r>
              <w:rPr>
                <w:rFonts w:hint="eastAsia"/>
                <w:color w:val="000000"/>
                <w:kern w:val="0"/>
                <w:sz w:val="18"/>
                <w:szCs w:val="18"/>
              </w:rPr>
              <w:t>0.031399</w:t>
            </w:r>
          </w:p>
        </w:tc>
        <w:tc>
          <w:tcPr>
            <w:tcW w:w="1619" w:type="dxa"/>
            <w:shd w:val="clear" w:color="auto" w:fill="auto"/>
            <w:noWrap/>
            <w:vAlign w:val="center"/>
          </w:tcPr>
          <w:p w:rsidR="00F55E3A" w:rsidRDefault="00F577EE">
            <w:pPr>
              <w:widowControl/>
              <w:snapToGrid w:val="0"/>
              <w:jc w:val="center"/>
              <w:rPr>
                <w:color w:val="000000"/>
                <w:kern w:val="0"/>
                <w:sz w:val="18"/>
                <w:szCs w:val="18"/>
              </w:rPr>
            </w:pPr>
            <w:r>
              <w:rPr>
                <w:rFonts w:hint="eastAsia"/>
                <w:color w:val="000000"/>
                <w:kern w:val="0"/>
                <w:sz w:val="18"/>
                <w:szCs w:val="18"/>
              </w:rPr>
              <w:t>0.055758</w:t>
            </w:r>
          </w:p>
        </w:tc>
        <w:tc>
          <w:tcPr>
            <w:tcW w:w="1619" w:type="dxa"/>
            <w:shd w:val="clear" w:color="auto" w:fill="auto"/>
            <w:noWrap/>
            <w:vAlign w:val="center"/>
          </w:tcPr>
          <w:p w:rsidR="00F55E3A" w:rsidRDefault="00F577EE">
            <w:pPr>
              <w:snapToGrid w:val="0"/>
              <w:jc w:val="center"/>
              <w:rPr>
                <w:sz w:val="18"/>
                <w:szCs w:val="18"/>
              </w:rPr>
            </w:pPr>
            <w:r>
              <w:rPr>
                <w:rFonts w:hint="eastAsia"/>
                <w:sz w:val="18"/>
                <w:szCs w:val="18"/>
              </w:rPr>
              <w:t>0.122509</w:t>
            </w:r>
          </w:p>
        </w:tc>
        <w:tc>
          <w:tcPr>
            <w:tcW w:w="1621" w:type="dxa"/>
            <w:shd w:val="clear" w:color="auto" w:fill="auto"/>
            <w:noWrap/>
            <w:vAlign w:val="center"/>
          </w:tcPr>
          <w:p w:rsidR="00F55E3A" w:rsidRDefault="00F577EE">
            <w:pPr>
              <w:widowControl/>
              <w:snapToGrid w:val="0"/>
              <w:jc w:val="center"/>
              <w:rPr>
                <w:color w:val="000000"/>
                <w:kern w:val="0"/>
                <w:sz w:val="18"/>
                <w:szCs w:val="18"/>
              </w:rPr>
            </w:pPr>
            <w:r>
              <w:rPr>
                <w:rFonts w:hint="eastAsia"/>
                <w:color w:val="000000"/>
                <w:kern w:val="0"/>
                <w:sz w:val="18"/>
                <w:szCs w:val="18"/>
              </w:rPr>
              <w:t>0.156212</w:t>
            </w:r>
          </w:p>
        </w:tc>
      </w:tr>
      <w:tr w:rsidR="00F55E3A">
        <w:trPr>
          <w:trHeight w:val="267"/>
        </w:trPr>
        <w:tc>
          <w:tcPr>
            <w:tcW w:w="3076" w:type="dxa"/>
            <w:shd w:val="clear" w:color="auto" w:fill="auto"/>
            <w:noWrap/>
            <w:vAlign w:val="center"/>
          </w:tcPr>
          <w:p w:rsidR="00F55E3A" w:rsidRDefault="00F577EE">
            <w:pPr>
              <w:widowControl/>
              <w:snapToGrid w:val="0"/>
              <w:jc w:val="center"/>
              <w:rPr>
                <w:color w:val="000000"/>
                <w:kern w:val="0"/>
                <w:sz w:val="18"/>
                <w:szCs w:val="18"/>
              </w:rPr>
            </w:pPr>
            <w:r>
              <w:rPr>
                <w:color w:val="000000"/>
                <w:kern w:val="0"/>
                <w:sz w:val="18"/>
                <w:szCs w:val="18"/>
              </w:rPr>
              <w:t>s</w:t>
            </w:r>
            <w:r>
              <w:rPr>
                <w:color w:val="000000"/>
                <w:kern w:val="0"/>
                <w:sz w:val="18"/>
                <w:szCs w:val="18"/>
                <w:vertAlign w:val="superscript"/>
              </w:rPr>
              <w:t>2</w:t>
            </w:r>
            <w:r>
              <w:rPr>
                <w:color w:val="000000"/>
                <w:kern w:val="0"/>
                <w:sz w:val="18"/>
                <w:szCs w:val="18"/>
                <w:vertAlign w:val="subscript"/>
              </w:rPr>
              <w:t>1,2</w:t>
            </w:r>
          </w:p>
        </w:tc>
        <w:tc>
          <w:tcPr>
            <w:tcW w:w="1299" w:type="dxa"/>
            <w:shd w:val="clear" w:color="auto" w:fill="auto"/>
            <w:noWrap/>
            <w:vAlign w:val="center"/>
          </w:tcPr>
          <w:p w:rsidR="00F55E3A" w:rsidRDefault="00F577EE">
            <w:pPr>
              <w:snapToGrid w:val="0"/>
              <w:jc w:val="center"/>
              <w:rPr>
                <w:color w:val="000000"/>
                <w:sz w:val="18"/>
                <w:szCs w:val="18"/>
              </w:rPr>
            </w:pPr>
            <w:r>
              <w:rPr>
                <w:rFonts w:hint="eastAsia"/>
                <w:color w:val="000000"/>
                <w:sz w:val="18"/>
                <w:szCs w:val="18"/>
              </w:rPr>
              <w:t>0.035698</w:t>
            </w:r>
          </w:p>
        </w:tc>
        <w:tc>
          <w:tcPr>
            <w:tcW w:w="1619" w:type="dxa"/>
            <w:shd w:val="clear" w:color="auto" w:fill="auto"/>
            <w:noWrap/>
            <w:vAlign w:val="center"/>
          </w:tcPr>
          <w:p w:rsidR="00F55E3A" w:rsidRDefault="00F577EE">
            <w:pPr>
              <w:snapToGrid w:val="0"/>
              <w:jc w:val="center"/>
              <w:rPr>
                <w:color w:val="000000"/>
                <w:sz w:val="18"/>
                <w:szCs w:val="18"/>
              </w:rPr>
            </w:pPr>
            <w:r>
              <w:rPr>
                <w:rFonts w:hint="eastAsia"/>
                <w:color w:val="000000"/>
                <w:sz w:val="18"/>
                <w:szCs w:val="18"/>
              </w:rPr>
              <w:t>0.051565</w:t>
            </w:r>
          </w:p>
        </w:tc>
        <w:tc>
          <w:tcPr>
            <w:tcW w:w="1619" w:type="dxa"/>
            <w:shd w:val="clear" w:color="auto" w:fill="auto"/>
            <w:noWrap/>
            <w:vAlign w:val="center"/>
          </w:tcPr>
          <w:p w:rsidR="00F55E3A" w:rsidRDefault="00F577EE">
            <w:pPr>
              <w:snapToGrid w:val="0"/>
              <w:jc w:val="center"/>
              <w:rPr>
                <w:sz w:val="18"/>
                <w:szCs w:val="18"/>
              </w:rPr>
            </w:pPr>
            <w:r>
              <w:rPr>
                <w:rFonts w:hint="eastAsia"/>
                <w:sz w:val="18"/>
                <w:szCs w:val="18"/>
              </w:rPr>
              <w:t>0.103952</w:t>
            </w:r>
          </w:p>
        </w:tc>
        <w:tc>
          <w:tcPr>
            <w:tcW w:w="1621" w:type="dxa"/>
            <w:shd w:val="clear" w:color="auto" w:fill="auto"/>
            <w:noWrap/>
            <w:vAlign w:val="center"/>
          </w:tcPr>
          <w:p w:rsidR="00F55E3A" w:rsidRDefault="00F577EE">
            <w:pPr>
              <w:snapToGrid w:val="0"/>
              <w:jc w:val="center"/>
              <w:rPr>
                <w:color w:val="000000"/>
                <w:sz w:val="18"/>
                <w:szCs w:val="18"/>
              </w:rPr>
            </w:pPr>
            <w:r>
              <w:rPr>
                <w:rFonts w:hint="eastAsia"/>
                <w:color w:val="000000"/>
                <w:sz w:val="18"/>
                <w:szCs w:val="18"/>
              </w:rPr>
              <w:t>0.131527</w:t>
            </w:r>
          </w:p>
        </w:tc>
      </w:tr>
      <w:tr w:rsidR="00F55E3A">
        <w:trPr>
          <w:trHeight w:val="202"/>
        </w:trPr>
        <w:tc>
          <w:tcPr>
            <w:tcW w:w="3076" w:type="dxa"/>
            <w:shd w:val="clear" w:color="auto" w:fill="auto"/>
            <w:noWrap/>
            <w:vAlign w:val="center"/>
          </w:tcPr>
          <w:p w:rsidR="00F55E3A" w:rsidRDefault="00F577EE">
            <w:pPr>
              <w:widowControl/>
              <w:snapToGrid w:val="0"/>
              <w:jc w:val="center"/>
              <w:rPr>
                <w:color w:val="000000"/>
                <w:kern w:val="0"/>
                <w:sz w:val="18"/>
                <w:szCs w:val="18"/>
              </w:rPr>
            </w:pPr>
            <w:r>
              <w:rPr>
                <w:color w:val="000000"/>
                <w:kern w:val="0"/>
                <w:sz w:val="18"/>
                <w:szCs w:val="18"/>
              </w:rPr>
              <w:t>两个最大值检验</w:t>
            </w:r>
            <w:r>
              <w:rPr>
                <w:rFonts w:hint="eastAsia"/>
                <w:color w:val="000000"/>
                <w:kern w:val="0"/>
                <w:sz w:val="18"/>
                <w:szCs w:val="18"/>
              </w:rPr>
              <w:t>统计量</w:t>
            </w:r>
            <w:r>
              <w:rPr>
                <w:rFonts w:hint="eastAsia"/>
                <w:color w:val="000000"/>
                <w:kern w:val="0"/>
                <w:sz w:val="18"/>
                <w:szCs w:val="18"/>
              </w:rPr>
              <w:t xml:space="preserve"> </w:t>
            </w:r>
            <w:r>
              <w:rPr>
                <w:color w:val="000000"/>
                <w:kern w:val="0"/>
                <w:sz w:val="18"/>
                <w:szCs w:val="18"/>
              </w:rPr>
              <w:t>G</w:t>
            </w:r>
            <w:r>
              <w:rPr>
                <w:color w:val="000000"/>
                <w:kern w:val="0"/>
                <w:sz w:val="18"/>
                <w:szCs w:val="18"/>
                <w:vertAlign w:val="subscript"/>
              </w:rPr>
              <w:t>p-1,p</w:t>
            </w:r>
          </w:p>
        </w:tc>
        <w:tc>
          <w:tcPr>
            <w:tcW w:w="1299" w:type="dxa"/>
            <w:shd w:val="clear" w:color="auto" w:fill="auto"/>
            <w:noWrap/>
            <w:vAlign w:val="center"/>
          </w:tcPr>
          <w:p w:rsidR="00F55E3A" w:rsidRDefault="00F577EE">
            <w:pPr>
              <w:widowControl/>
              <w:snapToGrid w:val="0"/>
              <w:jc w:val="center"/>
              <w:rPr>
                <w:bCs/>
                <w:color w:val="000000"/>
                <w:kern w:val="0"/>
                <w:sz w:val="18"/>
                <w:szCs w:val="18"/>
              </w:rPr>
            </w:pPr>
            <w:r>
              <w:rPr>
                <w:rFonts w:hint="eastAsia"/>
                <w:bCs/>
                <w:color w:val="000000"/>
                <w:kern w:val="0"/>
                <w:sz w:val="18"/>
                <w:szCs w:val="18"/>
              </w:rPr>
              <w:t>0.800</w:t>
            </w:r>
          </w:p>
        </w:tc>
        <w:tc>
          <w:tcPr>
            <w:tcW w:w="1619" w:type="dxa"/>
            <w:shd w:val="clear" w:color="auto" w:fill="auto"/>
            <w:noWrap/>
            <w:vAlign w:val="center"/>
          </w:tcPr>
          <w:p w:rsidR="00F55E3A" w:rsidRDefault="00F577EE">
            <w:pPr>
              <w:widowControl/>
              <w:snapToGrid w:val="0"/>
              <w:jc w:val="center"/>
              <w:rPr>
                <w:bCs/>
                <w:color w:val="000000"/>
                <w:kern w:val="0"/>
                <w:sz w:val="18"/>
                <w:szCs w:val="18"/>
              </w:rPr>
            </w:pPr>
            <w:r>
              <w:rPr>
                <w:rFonts w:hint="eastAsia"/>
                <w:bCs/>
                <w:color w:val="000000"/>
                <w:kern w:val="0"/>
                <w:sz w:val="18"/>
                <w:szCs w:val="18"/>
              </w:rPr>
              <w:t>0.869</w:t>
            </w:r>
          </w:p>
        </w:tc>
        <w:tc>
          <w:tcPr>
            <w:tcW w:w="1619" w:type="dxa"/>
            <w:shd w:val="clear" w:color="auto" w:fill="auto"/>
            <w:noWrap/>
            <w:vAlign w:val="center"/>
          </w:tcPr>
          <w:p w:rsidR="00F55E3A" w:rsidRDefault="00F577EE">
            <w:pPr>
              <w:snapToGrid w:val="0"/>
              <w:jc w:val="center"/>
              <w:rPr>
                <w:sz w:val="18"/>
                <w:szCs w:val="18"/>
              </w:rPr>
            </w:pPr>
            <w:r>
              <w:rPr>
                <w:rFonts w:hint="eastAsia"/>
                <w:sz w:val="18"/>
                <w:szCs w:val="18"/>
              </w:rPr>
              <w:t>0.893</w:t>
            </w:r>
          </w:p>
        </w:tc>
        <w:tc>
          <w:tcPr>
            <w:tcW w:w="1621" w:type="dxa"/>
            <w:shd w:val="clear" w:color="auto" w:fill="auto"/>
            <w:noWrap/>
            <w:vAlign w:val="center"/>
          </w:tcPr>
          <w:p w:rsidR="00F55E3A" w:rsidRDefault="00F577EE">
            <w:pPr>
              <w:widowControl/>
              <w:snapToGrid w:val="0"/>
              <w:jc w:val="center"/>
              <w:rPr>
                <w:bCs/>
                <w:color w:val="000000"/>
                <w:kern w:val="0"/>
                <w:sz w:val="18"/>
                <w:szCs w:val="18"/>
              </w:rPr>
            </w:pPr>
            <w:r>
              <w:rPr>
                <w:rFonts w:hint="eastAsia"/>
                <w:bCs/>
                <w:color w:val="000000"/>
                <w:kern w:val="0"/>
                <w:sz w:val="18"/>
                <w:szCs w:val="18"/>
              </w:rPr>
              <w:t>0.993</w:t>
            </w:r>
          </w:p>
        </w:tc>
      </w:tr>
      <w:tr w:rsidR="00F55E3A">
        <w:trPr>
          <w:trHeight w:val="207"/>
        </w:trPr>
        <w:tc>
          <w:tcPr>
            <w:tcW w:w="3076" w:type="dxa"/>
            <w:shd w:val="clear" w:color="auto" w:fill="auto"/>
            <w:noWrap/>
            <w:vAlign w:val="center"/>
          </w:tcPr>
          <w:p w:rsidR="00F55E3A" w:rsidRDefault="00F577EE">
            <w:pPr>
              <w:widowControl/>
              <w:snapToGrid w:val="0"/>
              <w:jc w:val="center"/>
              <w:rPr>
                <w:color w:val="000000"/>
                <w:kern w:val="0"/>
                <w:sz w:val="18"/>
                <w:szCs w:val="18"/>
              </w:rPr>
            </w:pPr>
            <w:r>
              <w:rPr>
                <w:color w:val="000000"/>
                <w:kern w:val="0"/>
                <w:sz w:val="18"/>
                <w:szCs w:val="18"/>
              </w:rPr>
              <w:t>两个最小值检验</w:t>
            </w:r>
            <w:r>
              <w:rPr>
                <w:rFonts w:hint="eastAsia"/>
                <w:color w:val="000000"/>
                <w:kern w:val="0"/>
                <w:sz w:val="18"/>
                <w:szCs w:val="18"/>
              </w:rPr>
              <w:t>统计量</w:t>
            </w:r>
            <w:r>
              <w:rPr>
                <w:rFonts w:hint="eastAsia"/>
                <w:color w:val="000000"/>
                <w:kern w:val="0"/>
                <w:sz w:val="18"/>
                <w:szCs w:val="18"/>
              </w:rPr>
              <w:t xml:space="preserve"> </w:t>
            </w:r>
            <w:r>
              <w:rPr>
                <w:color w:val="000000"/>
                <w:kern w:val="0"/>
                <w:sz w:val="18"/>
                <w:szCs w:val="18"/>
              </w:rPr>
              <w:t>G</w:t>
            </w:r>
            <w:r>
              <w:rPr>
                <w:color w:val="000000"/>
                <w:kern w:val="0"/>
                <w:sz w:val="18"/>
                <w:szCs w:val="18"/>
                <w:vertAlign w:val="subscript"/>
              </w:rPr>
              <w:t>1</w:t>
            </w:r>
            <w:r>
              <w:rPr>
                <w:rFonts w:ascii="宋体" w:hAnsi="宋体" w:hint="eastAsia"/>
                <w:color w:val="000000"/>
                <w:kern w:val="0"/>
                <w:sz w:val="18"/>
                <w:szCs w:val="18"/>
                <w:vertAlign w:val="subscript"/>
              </w:rPr>
              <w:t>，</w:t>
            </w:r>
            <w:r>
              <w:rPr>
                <w:color w:val="000000"/>
                <w:kern w:val="0"/>
                <w:sz w:val="18"/>
                <w:szCs w:val="18"/>
                <w:vertAlign w:val="subscript"/>
              </w:rPr>
              <w:t>2</w:t>
            </w:r>
          </w:p>
        </w:tc>
        <w:tc>
          <w:tcPr>
            <w:tcW w:w="1299" w:type="dxa"/>
            <w:shd w:val="clear" w:color="auto" w:fill="auto"/>
            <w:noWrap/>
            <w:vAlign w:val="center"/>
          </w:tcPr>
          <w:p w:rsidR="00F55E3A" w:rsidRDefault="00F577EE">
            <w:pPr>
              <w:widowControl/>
              <w:snapToGrid w:val="0"/>
              <w:jc w:val="center"/>
              <w:rPr>
                <w:bCs/>
                <w:kern w:val="0"/>
                <w:sz w:val="18"/>
                <w:szCs w:val="18"/>
              </w:rPr>
            </w:pPr>
            <w:r>
              <w:rPr>
                <w:rFonts w:hint="eastAsia"/>
                <w:bCs/>
                <w:kern w:val="0"/>
                <w:sz w:val="18"/>
                <w:szCs w:val="18"/>
              </w:rPr>
              <w:t>0.909</w:t>
            </w:r>
          </w:p>
        </w:tc>
        <w:tc>
          <w:tcPr>
            <w:tcW w:w="1619" w:type="dxa"/>
            <w:shd w:val="clear" w:color="auto" w:fill="auto"/>
            <w:noWrap/>
            <w:vAlign w:val="center"/>
          </w:tcPr>
          <w:p w:rsidR="00F55E3A" w:rsidRDefault="00F577EE">
            <w:pPr>
              <w:widowControl/>
              <w:snapToGrid w:val="0"/>
              <w:jc w:val="center"/>
              <w:rPr>
                <w:bCs/>
                <w:kern w:val="0"/>
                <w:sz w:val="18"/>
                <w:szCs w:val="18"/>
              </w:rPr>
            </w:pPr>
            <w:r>
              <w:rPr>
                <w:rFonts w:hint="eastAsia"/>
                <w:bCs/>
                <w:kern w:val="0"/>
                <w:sz w:val="18"/>
                <w:szCs w:val="18"/>
              </w:rPr>
              <w:t>0.804</w:t>
            </w:r>
          </w:p>
        </w:tc>
        <w:tc>
          <w:tcPr>
            <w:tcW w:w="1619" w:type="dxa"/>
            <w:shd w:val="clear" w:color="auto" w:fill="auto"/>
            <w:noWrap/>
            <w:vAlign w:val="center"/>
          </w:tcPr>
          <w:p w:rsidR="00F55E3A" w:rsidRDefault="00F577EE">
            <w:pPr>
              <w:snapToGrid w:val="0"/>
              <w:jc w:val="center"/>
              <w:rPr>
                <w:sz w:val="18"/>
                <w:szCs w:val="18"/>
              </w:rPr>
            </w:pPr>
            <w:r>
              <w:rPr>
                <w:rFonts w:hint="eastAsia"/>
                <w:sz w:val="18"/>
                <w:szCs w:val="18"/>
              </w:rPr>
              <w:t>0.758</w:t>
            </w:r>
          </w:p>
        </w:tc>
        <w:tc>
          <w:tcPr>
            <w:tcW w:w="1621" w:type="dxa"/>
            <w:shd w:val="clear" w:color="auto" w:fill="auto"/>
            <w:noWrap/>
            <w:vAlign w:val="center"/>
          </w:tcPr>
          <w:p w:rsidR="00F55E3A" w:rsidRDefault="00F577EE">
            <w:pPr>
              <w:widowControl/>
              <w:snapToGrid w:val="0"/>
              <w:jc w:val="center"/>
              <w:rPr>
                <w:bCs/>
                <w:kern w:val="0"/>
                <w:sz w:val="18"/>
                <w:szCs w:val="18"/>
              </w:rPr>
            </w:pPr>
            <w:r>
              <w:rPr>
                <w:rFonts w:hint="eastAsia"/>
                <w:bCs/>
                <w:kern w:val="0"/>
                <w:sz w:val="18"/>
                <w:szCs w:val="18"/>
              </w:rPr>
              <w:t>0.836</w:t>
            </w:r>
          </w:p>
        </w:tc>
      </w:tr>
      <w:tr w:rsidR="00F55E3A">
        <w:trPr>
          <w:trHeight w:val="277"/>
        </w:trPr>
        <w:tc>
          <w:tcPr>
            <w:tcW w:w="3076" w:type="dxa"/>
            <w:shd w:val="clear" w:color="auto" w:fill="auto"/>
            <w:noWrap/>
            <w:vAlign w:val="center"/>
          </w:tcPr>
          <w:p w:rsidR="00F55E3A" w:rsidRDefault="00F577EE">
            <w:pPr>
              <w:widowControl/>
              <w:snapToGrid w:val="0"/>
              <w:jc w:val="center"/>
              <w:rPr>
                <w:color w:val="000000"/>
                <w:kern w:val="0"/>
                <w:sz w:val="18"/>
                <w:szCs w:val="18"/>
              </w:rPr>
            </w:pPr>
            <w:r>
              <w:rPr>
                <w:color w:val="000000"/>
                <w:kern w:val="0"/>
                <w:sz w:val="18"/>
                <w:szCs w:val="18"/>
              </w:rPr>
              <w:t>p</w:t>
            </w:r>
          </w:p>
        </w:tc>
        <w:tc>
          <w:tcPr>
            <w:tcW w:w="1299" w:type="dxa"/>
            <w:shd w:val="clear" w:color="auto" w:fill="auto"/>
            <w:noWrap/>
            <w:vAlign w:val="center"/>
          </w:tcPr>
          <w:p w:rsidR="00F55E3A" w:rsidRDefault="00F577EE">
            <w:pPr>
              <w:widowControl/>
              <w:snapToGrid w:val="0"/>
              <w:jc w:val="center"/>
              <w:rPr>
                <w:color w:val="000000"/>
                <w:kern w:val="0"/>
                <w:sz w:val="18"/>
                <w:szCs w:val="18"/>
              </w:rPr>
            </w:pPr>
            <w:r>
              <w:rPr>
                <w:rFonts w:hint="eastAsia"/>
                <w:color w:val="000000"/>
                <w:kern w:val="0"/>
                <w:sz w:val="18"/>
                <w:szCs w:val="18"/>
              </w:rPr>
              <w:t>15</w:t>
            </w:r>
          </w:p>
        </w:tc>
        <w:tc>
          <w:tcPr>
            <w:tcW w:w="1619" w:type="dxa"/>
            <w:shd w:val="clear" w:color="auto" w:fill="auto"/>
            <w:noWrap/>
            <w:vAlign w:val="center"/>
          </w:tcPr>
          <w:p w:rsidR="00F55E3A" w:rsidRDefault="00F577EE">
            <w:pPr>
              <w:widowControl/>
              <w:snapToGrid w:val="0"/>
              <w:jc w:val="center"/>
              <w:rPr>
                <w:color w:val="000000"/>
                <w:kern w:val="0"/>
                <w:sz w:val="18"/>
                <w:szCs w:val="18"/>
              </w:rPr>
            </w:pPr>
            <w:r>
              <w:rPr>
                <w:rFonts w:hint="eastAsia"/>
                <w:color w:val="000000"/>
                <w:kern w:val="0"/>
                <w:sz w:val="18"/>
                <w:szCs w:val="18"/>
              </w:rPr>
              <w:t>15</w:t>
            </w:r>
          </w:p>
        </w:tc>
        <w:tc>
          <w:tcPr>
            <w:tcW w:w="1619" w:type="dxa"/>
            <w:shd w:val="clear" w:color="auto" w:fill="auto"/>
            <w:noWrap/>
            <w:vAlign w:val="center"/>
          </w:tcPr>
          <w:p w:rsidR="00F55E3A" w:rsidRDefault="00F577EE">
            <w:pPr>
              <w:widowControl/>
              <w:snapToGrid w:val="0"/>
              <w:jc w:val="center"/>
              <w:rPr>
                <w:color w:val="000000"/>
                <w:kern w:val="0"/>
                <w:sz w:val="18"/>
                <w:szCs w:val="18"/>
              </w:rPr>
            </w:pPr>
            <w:r>
              <w:rPr>
                <w:rFonts w:hint="eastAsia"/>
                <w:color w:val="000000"/>
                <w:kern w:val="0"/>
                <w:sz w:val="18"/>
                <w:szCs w:val="18"/>
              </w:rPr>
              <w:t>15</w:t>
            </w:r>
          </w:p>
        </w:tc>
        <w:tc>
          <w:tcPr>
            <w:tcW w:w="1621" w:type="dxa"/>
            <w:shd w:val="clear" w:color="auto" w:fill="auto"/>
            <w:noWrap/>
            <w:vAlign w:val="center"/>
          </w:tcPr>
          <w:p w:rsidR="00F55E3A" w:rsidRDefault="00F577EE">
            <w:pPr>
              <w:widowControl/>
              <w:snapToGrid w:val="0"/>
              <w:jc w:val="center"/>
              <w:rPr>
                <w:color w:val="000000"/>
                <w:kern w:val="0"/>
                <w:sz w:val="18"/>
                <w:szCs w:val="18"/>
              </w:rPr>
            </w:pPr>
            <w:r>
              <w:rPr>
                <w:rFonts w:hint="eastAsia"/>
                <w:color w:val="000000"/>
                <w:kern w:val="0"/>
                <w:sz w:val="18"/>
                <w:szCs w:val="18"/>
              </w:rPr>
              <w:t>15</w:t>
            </w:r>
          </w:p>
        </w:tc>
      </w:tr>
      <w:tr w:rsidR="00BB6A8A" w:rsidRPr="00BB6A8A">
        <w:trPr>
          <w:trHeight w:val="239"/>
        </w:trPr>
        <w:tc>
          <w:tcPr>
            <w:tcW w:w="9234" w:type="dxa"/>
            <w:gridSpan w:val="5"/>
            <w:shd w:val="clear" w:color="auto" w:fill="auto"/>
            <w:noWrap/>
            <w:vAlign w:val="center"/>
          </w:tcPr>
          <w:p w:rsidR="00F55E3A" w:rsidRPr="00BB6A8A" w:rsidRDefault="00F577EE">
            <w:pPr>
              <w:snapToGrid w:val="0"/>
              <w:jc w:val="center"/>
              <w:rPr>
                <w:b/>
                <w:bCs/>
                <w:sz w:val="18"/>
                <w:szCs w:val="18"/>
              </w:rPr>
            </w:pPr>
            <w:r w:rsidRPr="00BB6A8A">
              <w:rPr>
                <w:b/>
                <w:bCs/>
                <w:sz w:val="18"/>
                <w:szCs w:val="18"/>
              </w:rPr>
              <w:t>临界值</w:t>
            </w:r>
            <w:r w:rsidRPr="00BB6A8A">
              <w:rPr>
                <w:rFonts w:hint="eastAsia"/>
                <w:b/>
                <w:bCs/>
                <w:sz w:val="18"/>
                <w:szCs w:val="18"/>
              </w:rPr>
              <w:t>G</w:t>
            </w:r>
            <w:r w:rsidRPr="00BB6A8A">
              <w:rPr>
                <w:b/>
                <w:bCs/>
                <w:sz w:val="18"/>
                <w:szCs w:val="18"/>
              </w:rPr>
              <w:t>，</w:t>
            </w:r>
            <w:r w:rsidRPr="00BB6A8A">
              <w:rPr>
                <w:b/>
                <w:bCs/>
                <w:sz w:val="18"/>
                <w:szCs w:val="18"/>
              </w:rPr>
              <w:t xml:space="preserve"> p=15  </w:t>
            </w:r>
            <w:r w:rsidRPr="00BB6A8A">
              <w:rPr>
                <w:b/>
                <w:sz w:val="18"/>
                <w:szCs w:val="18"/>
              </w:rPr>
              <w:t>α=1%</w:t>
            </w:r>
            <w:r w:rsidRPr="00BB6A8A">
              <w:rPr>
                <w:rFonts w:hint="eastAsia"/>
                <w:b/>
                <w:sz w:val="18"/>
                <w:szCs w:val="18"/>
              </w:rPr>
              <w:t>：</w:t>
            </w:r>
            <w:r w:rsidRPr="00BB6A8A">
              <w:rPr>
                <w:rFonts w:hint="eastAsia"/>
                <w:b/>
                <w:sz w:val="18"/>
                <w:szCs w:val="18"/>
              </w:rPr>
              <w:t>0.2530</w:t>
            </w:r>
            <w:r w:rsidRPr="00BB6A8A">
              <w:rPr>
                <w:rFonts w:hint="eastAsia"/>
                <w:b/>
                <w:sz w:val="18"/>
                <w:szCs w:val="18"/>
              </w:rPr>
              <w:t>，</w:t>
            </w:r>
            <w:r w:rsidRPr="00BB6A8A">
              <w:rPr>
                <w:b/>
                <w:sz w:val="18"/>
                <w:szCs w:val="18"/>
              </w:rPr>
              <w:tab/>
              <w:t>α=5%</w:t>
            </w:r>
            <w:r w:rsidRPr="00BB6A8A">
              <w:rPr>
                <w:rFonts w:hint="eastAsia"/>
                <w:b/>
                <w:sz w:val="18"/>
                <w:szCs w:val="18"/>
              </w:rPr>
              <w:t>：</w:t>
            </w:r>
            <w:r w:rsidRPr="00BB6A8A">
              <w:rPr>
                <w:rFonts w:hint="eastAsia"/>
                <w:b/>
                <w:sz w:val="18"/>
                <w:szCs w:val="18"/>
              </w:rPr>
              <w:t>0.3367</w:t>
            </w:r>
          </w:p>
        </w:tc>
      </w:tr>
    </w:tbl>
    <w:p w:rsidR="00F55E3A" w:rsidRPr="00BB6A8A" w:rsidRDefault="00F577EE">
      <w:pPr>
        <w:ind w:firstLineChars="200" w:firstLine="452"/>
        <w:rPr>
          <w:spacing w:val="8"/>
          <w:szCs w:val="21"/>
        </w:rPr>
      </w:pPr>
      <w:r w:rsidRPr="00BB6A8A">
        <w:rPr>
          <w:rFonts w:hint="eastAsia"/>
          <w:spacing w:val="8"/>
          <w:szCs w:val="21"/>
        </w:rPr>
        <w:t>由表</w:t>
      </w:r>
      <w:r w:rsidRPr="00BB6A8A">
        <w:rPr>
          <w:spacing w:val="8"/>
          <w:szCs w:val="21"/>
        </w:rPr>
        <w:t>1</w:t>
      </w:r>
      <w:r w:rsidRPr="00BB6A8A">
        <w:rPr>
          <w:rFonts w:hint="eastAsia"/>
          <w:spacing w:val="8"/>
          <w:szCs w:val="21"/>
        </w:rPr>
        <w:t>1</w:t>
      </w:r>
      <w:r w:rsidRPr="00BB6A8A">
        <w:rPr>
          <w:spacing w:val="8"/>
          <w:szCs w:val="21"/>
        </w:rPr>
        <w:t>0</w:t>
      </w:r>
      <w:r w:rsidRPr="00BB6A8A">
        <w:rPr>
          <w:rFonts w:hint="eastAsia"/>
          <w:spacing w:val="8"/>
          <w:szCs w:val="21"/>
        </w:rPr>
        <w:t>和</w:t>
      </w:r>
      <w:r w:rsidRPr="00BB6A8A">
        <w:rPr>
          <w:spacing w:val="8"/>
          <w:szCs w:val="21"/>
        </w:rPr>
        <w:t>1</w:t>
      </w:r>
      <w:r w:rsidRPr="00BB6A8A">
        <w:rPr>
          <w:rFonts w:hint="eastAsia"/>
          <w:spacing w:val="8"/>
          <w:szCs w:val="21"/>
        </w:rPr>
        <w:t>2</w:t>
      </w:r>
      <w:r w:rsidRPr="00BB6A8A">
        <w:rPr>
          <w:spacing w:val="8"/>
          <w:szCs w:val="21"/>
        </w:rPr>
        <w:t>对各实验室均值</w:t>
      </w:r>
      <w:r w:rsidRPr="00BB6A8A">
        <w:rPr>
          <w:rFonts w:hint="eastAsia"/>
          <w:spacing w:val="8"/>
          <w:szCs w:val="21"/>
        </w:rPr>
        <w:t>的检验结果可知，各水平均无异常值。</w:t>
      </w:r>
    </w:p>
    <w:p w:rsidR="00F55E3A" w:rsidRDefault="00F577EE">
      <w:pPr>
        <w:outlineLvl w:val="3"/>
        <w:rPr>
          <w:b/>
          <w:spacing w:val="8"/>
          <w:szCs w:val="21"/>
        </w:rPr>
      </w:pPr>
      <w:r>
        <w:rPr>
          <w:rFonts w:hint="eastAsia"/>
          <w:b/>
          <w:spacing w:val="8"/>
          <w:szCs w:val="21"/>
        </w:rPr>
        <w:t>4</w:t>
      </w:r>
      <w:r>
        <w:rPr>
          <w:rFonts w:hint="eastAsia"/>
          <w:b/>
          <w:spacing w:val="8"/>
          <w:szCs w:val="21"/>
        </w:rPr>
        <w:t>）</w:t>
      </w:r>
      <w:r>
        <w:rPr>
          <w:b/>
          <w:spacing w:val="8"/>
          <w:szCs w:val="21"/>
        </w:rPr>
        <w:t>精密度</w:t>
      </w:r>
      <w:r>
        <w:rPr>
          <w:rFonts w:hint="eastAsia"/>
          <w:b/>
          <w:spacing w:val="8"/>
          <w:szCs w:val="21"/>
        </w:rPr>
        <w:t>计算</w:t>
      </w:r>
    </w:p>
    <w:p w:rsidR="00F55E3A" w:rsidRDefault="00F577EE">
      <w:pPr>
        <w:ind w:firstLine="435"/>
        <w:rPr>
          <w:bCs/>
          <w:szCs w:val="21"/>
        </w:rPr>
      </w:pPr>
      <w:r>
        <w:rPr>
          <w:rFonts w:hint="eastAsia"/>
          <w:bCs/>
          <w:szCs w:val="21"/>
        </w:rPr>
        <w:t>精密度</w:t>
      </w:r>
      <w:r>
        <w:rPr>
          <w:bCs/>
          <w:szCs w:val="21"/>
        </w:rPr>
        <w:t>计算结果见表</w:t>
      </w:r>
      <w:r>
        <w:rPr>
          <w:bCs/>
          <w:szCs w:val="21"/>
        </w:rPr>
        <w:t>1</w:t>
      </w:r>
      <w:r>
        <w:rPr>
          <w:rFonts w:hint="eastAsia"/>
          <w:bCs/>
          <w:szCs w:val="21"/>
        </w:rPr>
        <w:t>3</w:t>
      </w:r>
      <w:r>
        <w:rPr>
          <w:bCs/>
          <w:szCs w:val="21"/>
        </w:rPr>
        <w:t>。</w:t>
      </w:r>
    </w:p>
    <w:p w:rsidR="00F55E3A" w:rsidRDefault="00F577EE" w:rsidP="00F577EE">
      <w:pPr>
        <w:spacing w:beforeLines="50"/>
        <w:jc w:val="center"/>
        <w:rPr>
          <w:rFonts w:ascii="黑体" w:eastAsia="黑体"/>
          <w:bCs/>
          <w:color w:val="000000"/>
          <w:szCs w:val="21"/>
        </w:rPr>
      </w:pPr>
      <w:r>
        <w:rPr>
          <w:rFonts w:ascii="黑体" w:eastAsia="黑体" w:hint="eastAsia"/>
          <w:bCs/>
          <w:color w:val="000000"/>
          <w:szCs w:val="21"/>
        </w:rPr>
        <w:t>表</w:t>
      </w:r>
      <w:r>
        <w:rPr>
          <w:rFonts w:ascii="黑体" w:eastAsia="黑体"/>
          <w:bCs/>
          <w:color w:val="000000"/>
          <w:szCs w:val="21"/>
        </w:rPr>
        <w:t>1</w:t>
      </w:r>
      <w:r>
        <w:rPr>
          <w:rFonts w:ascii="黑体" w:eastAsia="黑体" w:hint="eastAsia"/>
          <w:bCs/>
          <w:color w:val="000000"/>
          <w:szCs w:val="21"/>
        </w:rPr>
        <w:t>3   精密度计算结果</w:t>
      </w:r>
    </w:p>
    <w:tbl>
      <w:tblPr>
        <w:tblW w:w="94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182"/>
        <w:gridCol w:w="1181"/>
        <w:gridCol w:w="1163"/>
        <w:gridCol w:w="1163"/>
        <w:gridCol w:w="1181"/>
        <w:gridCol w:w="1163"/>
        <w:gridCol w:w="1280"/>
      </w:tblGrid>
      <w:tr w:rsidR="00F55E3A">
        <w:trPr>
          <w:trHeight w:val="412"/>
        </w:trPr>
        <w:tc>
          <w:tcPr>
            <w:tcW w:w="1134" w:type="dxa"/>
            <w:vAlign w:val="center"/>
          </w:tcPr>
          <w:p w:rsidR="00F55E3A" w:rsidRDefault="00F577EE">
            <w:pPr>
              <w:jc w:val="center"/>
              <w:rPr>
                <w:sz w:val="18"/>
                <w:szCs w:val="18"/>
              </w:rPr>
            </w:pPr>
            <w:r>
              <w:rPr>
                <w:sz w:val="18"/>
                <w:szCs w:val="18"/>
              </w:rPr>
              <w:t>水平</w:t>
            </w:r>
            <w:r>
              <w:rPr>
                <w:sz w:val="18"/>
                <w:szCs w:val="18"/>
              </w:rPr>
              <w:t>j</w:t>
            </w:r>
          </w:p>
        </w:tc>
        <w:tc>
          <w:tcPr>
            <w:tcW w:w="1182" w:type="dxa"/>
            <w:vAlign w:val="center"/>
          </w:tcPr>
          <w:p w:rsidR="00F55E3A" w:rsidRDefault="007B68B7">
            <w:pPr>
              <w:jc w:val="center"/>
              <w:rPr>
                <w:sz w:val="18"/>
                <w:szCs w:val="18"/>
              </w:rPr>
            </w:pPr>
            <w:r w:rsidRPr="007B68B7">
              <w:rPr>
                <w:position w:val="-6"/>
                <w:sz w:val="18"/>
                <w:szCs w:val="18"/>
              </w:rPr>
              <w:object w:dxaOrig="25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o:ole="">
                  <v:imagedata r:id="rId13" o:title=""/>
                </v:shape>
                <o:OLEObject Type="Embed" ProgID="Equations" ShapeID="_x0000_i1025" DrawAspect="Content" ObjectID="_1724777597" r:id="rId14"/>
              </w:object>
            </w:r>
            <w:r w:rsidR="00F577EE">
              <w:rPr>
                <w:sz w:val="18"/>
                <w:szCs w:val="18"/>
                <w:vertAlign w:val="subscript"/>
              </w:rPr>
              <w:t>j</w:t>
            </w:r>
          </w:p>
        </w:tc>
        <w:tc>
          <w:tcPr>
            <w:tcW w:w="1181" w:type="dxa"/>
            <w:vAlign w:val="center"/>
          </w:tcPr>
          <w:p w:rsidR="00F55E3A" w:rsidRDefault="00F577EE">
            <w:pPr>
              <w:jc w:val="center"/>
              <w:rPr>
                <w:sz w:val="18"/>
                <w:szCs w:val="18"/>
              </w:rPr>
            </w:pPr>
            <w:r>
              <w:rPr>
                <w:sz w:val="18"/>
                <w:szCs w:val="18"/>
              </w:rPr>
              <w:t>S</w:t>
            </w:r>
            <w:r>
              <w:rPr>
                <w:sz w:val="18"/>
                <w:szCs w:val="18"/>
                <w:vertAlign w:val="subscript"/>
              </w:rPr>
              <w:t>rj</w:t>
            </w:r>
          </w:p>
        </w:tc>
        <w:tc>
          <w:tcPr>
            <w:tcW w:w="1163" w:type="dxa"/>
            <w:vAlign w:val="center"/>
          </w:tcPr>
          <w:p w:rsidR="00F55E3A" w:rsidRDefault="00F577EE">
            <w:pPr>
              <w:jc w:val="center"/>
              <w:rPr>
                <w:sz w:val="18"/>
                <w:szCs w:val="18"/>
              </w:rPr>
            </w:pPr>
            <w:r>
              <w:rPr>
                <w:sz w:val="18"/>
                <w:szCs w:val="18"/>
              </w:rPr>
              <w:t>2.8 S</w:t>
            </w:r>
            <w:r>
              <w:rPr>
                <w:sz w:val="18"/>
                <w:szCs w:val="18"/>
                <w:vertAlign w:val="subscript"/>
              </w:rPr>
              <w:t>rj</w:t>
            </w:r>
          </w:p>
        </w:tc>
        <w:tc>
          <w:tcPr>
            <w:tcW w:w="1163" w:type="dxa"/>
            <w:vAlign w:val="center"/>
          </w:tcPr>
          <w:p w:rsidR="00F55E3A" w:rsidRDefault="00F577EE">
            <w:pPr>
              <w:jc w:val="center"/>
              <w:rPr>
                <w:sz w:val="18"/>
                <w:szCs w:val="18"/>
              </w:rPr>
            </w:pPr>
            <w:r>
              <w:rPr>
                <w:sz w:val="18"/>
                <w:szCs w:val="18"/>
              </w:rPr>
              <w:t>r</w:t>
            </w:r>
          </w:p>
        </w:tc>
        <w:tc>
          <w:tcPr>
            <w:tcW w:w="1181" w:type="dxa"/>
            <w:vAlign w:val="center"/>
          </w:tcPr>
          <w:p w:rsidR="00F55E3A" w:rsidRDefault="00F577EE">
            <w:pPr>
              <w:jc w:val="center"/>
              <w:rPr>
                <w:sz w:val="18"/>
                <w:szCs w:val="18"/>
              </w:rPr>
            </w:pPr>
            <w:r>
              <w:rPr>
                <w:sz w:val="18"/>
                <w:szCs w:val="18"/>
              </w:rPr>
              <w:t>S</w:t>
            </w:r>
            <w:r>
              <w:rPr>
                <w:sz w:val="18"/>
                <w:szCs w:val="18"/>
                <w:vertAlign w:val="subscript"/>
              </w:rPr>
              <w:t>Rj</w:t>
            </w:r>
          </w:p>
        </w:tc>
        <w:tc>
          <w:tcPr>
            <w:tcW w:w="1163" w:type="dxa"/>
            <w:vAlign w:val="center"/>
          </w:tcPr>
          <w:p w:rsidR="00F55E3A" w:rsidRDefault="00F577EE">
            <w:pPr>
              <w:jc w:val="center"/>
              <w:rPr>
                <w:sz w:val="18"/>
                <w:szCs w:val="18"/>
              </w:rPr>
            </w:pPr>
            <w:r>
              <w:rPr>
                <w:sz w:val="18"/>
                <w:szCs w:val="18"/>
              </w:rPr>
              <w:t>2.8 S</w:t>
            </w:r>
            <w:r>
              <w:rPr>
                <w:sz w:val="18"/>
                <w:szCs w:val="18"/>
                <w:vertAlign w:val="subscript"/>
              </w:rPr>
              <w:t>Rj</w:t>
            </w:r>
          </w:p>
        </w:tc>
        <w:tc>
          <w:tcPr>
            <w:tcW w:w="1280" w:type="dxa"/>
            <w:vAlign w:val="center"/>
          </w:tcPr>
          <w:p w:rsidR="00F55E3A" w:rsidRDefault="00F577EE">
            <w:pPr>
              <w:jc w:val="center"/>
              <w:rPr>
                <w:sz w:val="18"/>
                <w:szCs w:val="18"/>
              </w:rPr>
            </w:pPr>
            <w:r>
              <w:rPr>
                <w:sz w:val="18"/>
                <w:szCs w:val="18"/>
              </w:rPr>
              <w:t>R</w:t>
            </w:r>
          </w:p>
        </w:tc>
      </w:tr>
      <w:tr w:rsidR="00F55E3A">
        <w:trPr>
          <w:trHeight w:val="492"/>
        </w:trPr>
        <w:tc>
          <w:tcPr>
            <w:tcW w:w="1134" w:type="dxa"/>
            <w:vAlign w:val="center"/>
          </w:tcPr>
          <w:p w:rsidR="00F55E3A" w:rsidRDefault="00F577EE">
            <w:pPr>
              <w:jc w:val="center"/>
              <w:rPr>
                <w:sz w:val="18"/>
                <w:szCs w:val="18"/>
              </w:rPr>
            </w:pPr>
            <w:r>
              <w:rPr>
                <w:sz w:val="18"/>
                <w:szCs w:val="18"/>
              </w:rPr>
              <w:t>1</w:t>
            </w:r>
          </w:p>
        </w:tc>
        <w:tc>
          <w:tcPr>
            <w:tcW w:w="1182" w:type="dxa"/>
            <w:vAlign w:val="center"/>
          </w:tcPr>
          <w:p w:rsidR="00F55E3A" w:rsidRDefault="00F577EE">
            <w:pPr>
              <w:jc w:val="center"/>
              <w:rPr>
                <w:sz w:val="18"/>
                <w:szCs w:val="18"/>
              </w:rPr>
            </w:pPr>
            <w:r>
              <w:rPr>
                <w:rFonts w:hint="eastAsia"/>
                <w:sz w:val="18"/>
                <w:szCs w:val="18"/>
              </w:rPr>
              <w:t>3.32</w:t>
            </w:r>
          </w:p>
        </w:tc>
        <w:tc>
          <w:tcPr>
            <w:tcW w:w="1181" w:type="dxa"/>
            <w:vAlign w:val="center"/>
          </w:tcPr>
          <w:p w:rsidR="00F55E3A" w:rsidRDefault="00F577EE">
            <w:pPr>
              <w:jc w:val="center"/>
              <w:rPr>
                <w:sz w:val="18"/>
                <w:szCs w:val="18"/>
              </w:rPr>
            </w:pPr>
            <w:r>
              <w:rPr>
                <w:rFonts w:hint="eastAsia"/>
                <w:sz w:val="18"/>
                <w:szCs w:val="18"/>
              </w:rPr>
              <w:t>0.0294</w:t>
            </w:r>
          </w:p>
        </w:tc>
        <w:tc>
          <w:tcPr>
            <w:tcW w:w="1163" w:type="dxa"/>
            <w:vAlign w:val="center"/>
          </w:tcPr>
          <w:p w:rsidR="00F55E3A" w:rsidRDefault="00F577EE">
            <w:pPr>
              <w:jc w:val="center"/>
              <w:rPr>
                <w:sz w:val="18"/>
                <w:szCs w:val="18"/>
              </w:rPr>
            </w:pPr>
            <w:r>
              <w:rPr>
                <w:rFonts w:hint="eastAsia"/>
                <w:sz w:val="18"/>
                <w:szCs w:val="18"/>
              </w:rPr>
              <w:t>0.08</w:t>
            </w:r>
          </w:p>
        </w:tc>
        <w:tc>
          <w:tcPr>
            <w:tcW w:w="1163" w:type="dxa"/>
            <w:vAlign w:val="center"/>
          </w:tcPr>
          <w:p w:rsidR="00F55E3A" w:rsidRDefault="00F577EE">
            <w:pPr>
              <w:jc w:val="center"/>
              <w:rPr>
                <w:sz w:val="18"/>
                <w:szCs w:val="18"/>
              </w:rPr>
            </w:pPr>
            <w:r>
              <w:rPr>
                <w:rFonts w:hint="eastAsia"/>
                <w:sz w:val="18"/>
                <w:szCs w:val="18"/>
              </w:rPr>
              <w:t>0.08</w:t>
            </w:r>
          </w:p>
        </w:tc>
        <w:tc>
          <w:tcPr>
            <w:tcW w:w="1181" w:type="dxa"/>
            <w:vAlign w:val="center"/>
          </w:tcPr>
          <w:p w:rsidR="00F55E3A" w:rsidRDefault="00F577EE">
            <w:pPr>
              <w:jc w:val="center"/>
              <w:rPr>
                <w:sz w:val="18"/>
                <w:szCs w:val="18"/>
              </w:rPr>
            </w:pPr>
            <w:r>
              <w:rPr>
                <w:rFonts w:hint="eastAsia"/>
                <w:sz w:val="18"/>
                <w:szCs w:val="18"/>
              </w:rPr>
              <w:t>0.0486</w:t>
            </w:r>
          </w:p>
        </w:tc>
        <w:tc>
          <w:tcPr>
            <w:tcW w:w="1163" w:type="dxa"/>
            <w:vAlign w:val="center"/>
          </w:tcPr>
          <w:p w:rsidR="00F55E3A" w:rsidRDefault="00F577EE">
            <w:pPr>
              <w:jc w:val="center"/>
              <w:rPr>
                <w:sz w:val="18"/>
                <w:szCs w:val="18"/>
              </w:rPr>
            </w:pPr>
            <w:r>
              <w:rPr>
                <w:rFonts w:hint="eastAsia"/>
                <w:sz w:val="18"/>
                <w:szCs w:val="18"/>
              </w:rPr>
              <w:t>0.14</w:t>
            </w:r>
          </w:p>
        </w:tc>
        <w:tc>
          <w:tcPr>
            <w:tcW w:w="1280" w:type="dxa"/>
            <w:vAlign w:val="center"/>
          </w:tcPr>
          <w:p w:rsidR="00F55E3A" w:rsidRDefault="00F577EE">
            <w:pPr>
              <w:jc w:val="center"/>
              <w:rPr>
                <w:sz w:val="18"/>
                <w:szCs w:val="18"/>
              </w:rPr>
            </w:pPr>
            <w:r>
              <w:rPr>
                <w:rFonts w:hint="eastAsia"/>
                <w:sz w:val="18"/>
                <w:szCs w:val="18"/>
              </w:rPr>
              <w:t>0.14</w:t>
            </w:r>
          </w:p>
        </w:tc>
      </w:tr>
      <w:tr w:rsidR="00F55E3A">
        <w:trPr>
          <w:trHeight w:val="400"/>
        </w:trPr>
        <w:tc>
          <w:tcPr>
            <w:tcW w:w="1134" w:type="dxa"/>
            <w:vAlign w:val="center"/>
          </w:tcPr>
          <w:p w:rsidR="00F55E3A" w:rsidRDefault="00F577EE">
            <w:pPr>
              <w:jc w:val="center"/>
              <w:rPr>
                <w:sz w:val="18"/>
                <w:szCs w:val="18"/>
              </w:rPr>
            </w:pPr>
            <w:r>
              <w:rPr>
                <w:sz w:val="18"/>
                <w:szCs w:val="18"/>
              </w:rPr>
              <w:t>2</w:t>
            </w:r>
          </w:p>
        </w:tc>
        <w:tc>
          <w:tcPr>
            <w:tcW w:w="1182" w:type="dxa"/>
            <w:vAlign w:val="center"/>
          </w:tcPr>
          <w:p w:rsidR="00F55E3A" w:rsidRDefault="00F577EE">
            <w:pPr>
              <w:jc w:val="center"/>
              <w:rPr>
                <w:sz w:val="18"/>
                <w:szCs w:val="18"/>
              </w:rPr>
            </w:pPr>
            <w:r>
              <w:rPr>
                <w:rFonts w:hint="eastAsia"/>
                <w:sz w:val="18"/>
                <w:szCs w:val="18"/>
              </w:rPr>
              <w:t>10.05</w:t>
            </w:r>
          </w:p>
        </w:tc>
        <w:tc>
          <w:tcPr>
            <w:tcW w:w="1181" w:type="dxa"/>
            <w:vAlign w:val="center"/>
          </w:tcPr>
          <w:p w:rsidR="00F55E3A" w:rsidRDefault="00F577EE">
            <w:pPr>
              <w:jc w:val="center"/>
              <w:rPr>
                <w:sz w:val="18"/>
                <w:szCs w:val="18"/>
              </w:rPr>
            </w:pPr>
            <w:r>
              <w:rPr>
                <w:rFonts w:hint="eastAsia"/>
                <w:sz w:val="18"/>
                <w:szCs w:val="18"/>
              </w:rPr>
              <w:t>0.0325</w:t>
            </w:r>
          </w:p>
        </w:tc>
        <w:tc>
          <w:tcPr>
            <w:tcW w:w="1163" w:type="dxa"/>
            <w:vAlign w:val="center"/>
          </w:tcPr>
          <w:p w:rsidR="00F55E3A" w:rsidRDefault="00F577EE">
            <w:pPr>
              <w:jc w:val="center"/>
              <w:rPr>
                <w:sz w:val="18"/>
                <w:szCs w:val="18"/>
              </w:rPr>
            </w:pPr>
            <w:r>
              <w:rPr>
                <w:rFonts w:hint="eastAsia"/>
                <w:sz w:val="18"/>
                <w:szCs w:val="18"/>
              </w:rPr>
              <w:t>0.09</w:t>
            </w:r>
          </w:p>
        </w:tc>
        <w:tc>
          <w:tcPr>
            <w:tcW w:w="1163" w:type="dxa"/>
            <w:vAlign w:val="center"/>
          </w:tcPr>
          <w:p w:rsidR="00F55E3A" w:rsidRDefault="00F577EE">
            <w:pPr>
              <w:jc w:val="center"/>
              <w:rPr>
                <w:sz w:val="18"/>
                <w:szCs w:val="18"/>
              </w:rPr>
            </w:pPr>
            <w:r>
              <w:rPr>
                <w:rFonts w:hint="eastAsia"/>
                <w:sz w:val="18"/>
                <w:szCs w:val="18"/>
              </w:rPr>
              <w:t>0.10</w:t>
            </w:r>
          </w:p>
        </w:tc>
        <w:tc>
          <w:tcPr>
            <w:tcW w:w="1181" w:type="dxa"/>
            <w:vAlign w:val="center"/>
          </w:tcPr>
          <w:p w:rsidR="00F55E3A" w:rsidRDefault="00F577EE">
            <w:pPr>
              <w:jc w:val="center"/>
              <w:rPr>
                <w:sz w:val="18"/>
                <w:szCs w:val="18"/>
              </w:rPr>
            </w:pPr>
            <w:r>
              <w:rPr>
                <w:rFonts w:hint="eastAsia"/>
                <w:sz w:val="18"/>
                <w:szCs w:val="18"/>
              </w:rPr>
              <w:t>0.0720</w:t>
            </w:r>
          </w:p>
        </w:tc>
        <w:tc>
          <w:tcPr>
            <w:tcW w:w="1163" w:type="dxa"/>
            <w:vAlign w:val="center"/>
          </w:tcPr>
          <w:p w:rsidR="00F55E3A" w:rsidRDefault="00F577EE">
            <w:pPr>
              <w:jc w:val="center"/>
              <w:rPr>
                <w:sz w:val="18"/>
                <w:szCs w:val="18"/>
              </w:rPr>
            </w:pPr>
            <w:r>
              <w:rPr>
                <w:rFonts w:hint="eastAsia"/>
                <w:sz w:val="18"/>
                <w:szCs w:val="18"/>
              </w:rPr>
              <w:t>0.20</w:t>
            </w:r>
          </w:p>
        </w:tc>
        <w:tc>
          <w:tcPr>
            <w:tcW w:w="1280" w:type="dxa"/>
            <w:vAlign w:val="center"/>
          </w:tcPr>
          <w:p w:rsidR="00F55E3A" w:rsidRDefault="00F577EE">
            <w:pPr>
              <w:jc w:val="center"/>
              <w:rPr>
                <w:sz w:val="18"/>
                <w:szCs w:val="18"/>
              </w:rPr>
            </w:pPr>
            <w:r>
              <w:rPr>
                <w:rFonts w:hint="eastAsia"/>
                <w:sz w:val="18"/>
                <w:szCs w:val="18"/>
              </w:rPr>
              <w:t>0.20</w:t>
            </w:r>
          </w:p>
        </w:tc>
      </w:tr>
      <w:tr w:rsidR="00F55E3A">
        <w:trPr>
          <w:trHeight w:val="436"/>
        </w:trPr>
        <w:tc>
          <w:tcPr>
            <w:tcW w:w="1134" w:type="dxa"/>
            <w:vAlign w:val="center"/>
          </w:tcPr>
          <w:p w:rsidR="00F55E3A" w:rsidRDefault="00F577EE">
            <w:pPr>
              <w:jc w:val="center"/>
              <w:rPr>
                <w:sz w:val="18"/>
                <w:szCs w:val="18"/>
              </w:rPr>
            </w:pPr>
            <w:r>
              <w:rPr>
                <w:sz w:val="18"/>
                <w:szCs w:val="18"/>
              </w:rPr>
              <w:t>3</w:t>
            </w:r>
          </w:p>
        </w:tc>
        <w:tc>
          <w:tcPr>
            <w:tcW w:w="1182" w:type="dxa"/>
            <w:vAlign w:val="center"/>
          </w:tcPr>
          <w:p w:rsidR="00F55E3A" w:rsidRDefault="00F577EE">
            <w:pPr>
              <w:jc w:val="center"/>
              <w:rPr>
                <w:sz w:val="18"/>
                <w:szCs w:val="18"/>
              </w:rPr>
            </w:pPr>
            <w:r>
              <w:rPr>
                <w:rFonts w:hint="eastAsia"/>
                <w:sz w:val="18"/>
                <w:szCs w:val="18"/>
              </w:rPr>
              <w:t>21.03</w:t>
            </w:r>
          </w:p>
        </w:tc>
        <w:tc>
          <w:tcPr>
            <w:tcW w:w="1181" w:type="dxa"/>
            <w:vAlign w:val="center"/>
          </w:tcPr>
          <w:p w:rsidR="00F55E3A" w:rsidRDefault="00F577EE">
            <w:pPr>
              <w:jc w:val="center"/>
              <w:rPr>
                <w:sz w:val="18"/>
                <w:szCs w:val="18"/>
              </w:rPr>
            </w:pPr>
            <w:r>
              <w:rPr>
                <w:rFonts w:hint="eastAsia"/>
                <w:sz w:val="18"/>
                <w:szCs w:val="18"/>
              </w:rPr>
              <w:t>0.0488</w:t>
            </w:r>
          </w:p>
        </w:tc>
        <w:tc>
          <w:tcPr>
            <w:tcW w:w="1163" w:type="dxa"/>
            <w:vAlign w:val="center"/>
          </w:tcPr>
          <w:p w:rsidR="00F55E3A" w:rsidRDefault="00F577EE">
            <w:pPr>
              <w:jc w:val="center"/>
              <w:rPr>
                <w:sz w:val="18"/>
                <w:szCs w:val="18"/>
              </w:rPr>
            </w:pPr>
            <w:r>
              <w:rPr>
                <w:rFonts w:hint="eastAsia"/>
                <w:sz w:val="18"/>
                <w:szCs w:val="18"/>
              </w:rPr>
              <w:t>0.14</w:t>
            </w:r>
          </w:p>
        </w:tc>
        <w:tc>
          <w:tcPr>
            <w:tcW w:w="1163" w:type="dxa"/>
            <w:vAlign w:val="center"/>
          </w:tcPr>
          <w:p w:rsidR="00F55E3A" w:rsidRDefault="00F577EE">
            <w:pPr>
              <w:jc w:val="center"/>
              <w:rPr>
                <w:sz w:val="18"/>
                <w:szCs w:val="18"/>
              </w:rPr>
            </w:pPr>
            <w:r>
              <w:rPr>
                <w:rFonts w:hint="eastAsia"/>
                <w:sz w:val="18"/>
                <w:szCs w:val="18"/>
              </w:rPr>
              <w:t>0.14</w:t>
            </w:r>
          </w:p>
        </w:tc>
        <w:tc>
          <w:tcPr>
            <w:tcW w:w="1181" w:type="dxa"/>
            <w:vAlign w:val="center"/>
          </w:tcPr>
          <w:p w:rsidR="00F55E3A" w:rsidRDefault="00F577EE">
            <w:pPr>
              <w:jc w:val="center"/>
              <w:rPr>
                <w:sz w:val="18"/>
                <w:szCs w:val="18"/>
              </w:rPr>
            </w:pPr>
            <w:r>
              <w:rPr>
                <w:rFonts w:hint="eastAsia"/>
                <w:sz w:val="18"/>
                <w:szCs w:val="18"/>
              </w:rPr>
              <w:t>0.1424</w:t>
            </w:r>
          </w:p>
        </w:tc>
        <w:tc>
          <w:tcPr>
            <w:tcW w:w="1163" w:type="dxa"/>
            <w:vAlign w:val="center"/>
          </w:tcPr>
          <w:p w:rsidR="00F55E3A" w:rsidRDefault="00F577EE">
            <w:pPr>
              <w:jc w:val="center"/>
              <w:rPr>
                <w:sz w:val="18"/>
                <w:szCs w:val="18"/>
              </w:rPr>
            </w:pPr>
            <w:r>
              <w:rPr>
                <w:rFonts w:hint="eastAsia"/>
                <w:sz w:val="18"/>
                <w:szCs w:val="18"/>
              </w:rPr>
              <w:t>0.40</w:t>
            </w:r>
          </w:p>
        </w:tc>
        <w:tc>
          <w:tcPr>
            <w:tcW w:w="1280" w:type="dxa"/>
            <w:vAlign w:val="center"/>
          </w:tcPr>
          <w:p w:rsidR="00F55E3A" w:rsidRDefault="00F577EE">
            <w:pPr>
              <w:jc w:val="center"/>
              <w:rPr>
                <w:sz w:val="18"/>
                <w:szCs w:val="18"/>
              </w:rPr>
            </w:pPr>
            <w:r>
              <w:rPr>
                <w:rFonts w:hint="eastAsia"/>
                <w:sz w:val="18"/>
                <w:szCs w:val="18"/>
              </w:rPr>
              <w:t>0.25</w:t>
            </w:r>
          </w:p>
        </w:tc>
      </w:tr>
      <w:tr w:rsidR="00F55E3A">
        <w:trPr>
          <w:trHeight w:val="413"/>
        </w:trPr>
        <w:tc>
          <w:tcPr>
            <w:tcW w:w="1134" w:type="dxa"/>
            <w:vAlign w:val="center"/>
          </w:tcPr>
          <w:p w:rsidR="00F55E3A" w:rsidRDefault="00F577EE">
            <w:pPr>
              <w:jc w:val="center"/>
              <w:rPr>
                <w:sz w:val="18"/>
                <w:szCs w:val="18"/>
              </w:rPr>
            </w:pPr>
            <w:r>
              <w:rPr>
                <w:sz w:val="18"/>
                <w:szCs w:val="18"/>
              </w:rPr>
              <w:t>4</w:t>
            </w:r>
          </w:p>
        </w:tc>
        <w:tc>
          <w:tcPr>
            <w:tcW w:w="1182" w:type="dxa"/>
            <w:vAlign w:val="center"/>
          </w:tcPr>
          <w:p w:rsidR="00F55E3A" w:rsidRDefault="00F577EE">
            <w:pPr>
              <w:jc w:val="center"/>
              <w:rPr>
                <w:sz w:val="18"/>
                <w:szCs w:val="18"/>
              </w:rPr>
            </w:pPr>
            <w:r>
              <w:rPr>
                <w:rFonts w:hint="eastAsia"/>
                <w:sz w:val="18"/>
                <w:szCs w:val="18"/>
              </w:rPr>
              <w:t>32.27</w:t>
            </w:r>
          </w:p>
        </w:tc>
        <w:tc>
          <w:tcPr>
            <w:tcW w:w="1181" w:type="dxa"/>
            <w:vAlign w:val="center"/>
          </w:tcPr>
          <w:p w:rsidR="00F55E3A" w:rsidRDefault="00F577EE">
            <w:pPr>
              <w:jc w:val="center"/>
              <w:rPr>
                <w:sz w:val="18"/>
                <w:szCs w:val="18"/>
              </w:rPr>
            </w:pPr>
            <w:r>
              <w:rPr>
                <w:rFonts w:hint="eastAsia"/>
                <w:sz w:val="18"/>
                <w:szCs w:val="18"/>
              </w:rPr>
              <w:t>0.0588</w:t>
            </w:r>
          </w:p>
        </w:tc>
        <w:tc>
          <w:tcPr>
            <w:tcW w:w="1163" w:type="dxa"/>
            <w:vAlign w:val="center"/>
          </w:tcPr>
          <w:p w:rsidR="00F55E3A" w:rsidRDefault="00F577EE">
            <w:pPr>
              <w:jc w:val="center"/>
              <w:rPr>
                <w:sz w:val="18"/>
                <w:szCs w:val="18"/>
              </w:rPr>
            </w:pPr>
            <w:r>
              <w:rPr>
                <w:rFonts w:hint="eastAsia"/>
                <w:sz w:val="18"/>
                <w:szCs w:val="18"/>
              </w:rPr>
              <w:t>0.17</w:t>
            </w:r>
          </w:p>
        </w:tc>
        <w:tc>
          <w:tcPr>
            <w:tcW w:w="1163" w:type="dxa"/>
            <w:vAlign w:val="center"/>
          </w:tcPr>
          <w:p w:rsidR="00F55E3A" w:rsidRDefault="00F577EE">
            <w:pPr>
              <w:jc w:val="center"/>
              <w:rPr>
                <w:sz w:val="18"/>
                <w:szCs w:val="18"/>
              </w:rPr>
            </w:pPr>
            <w:r>
              <w:rPr>
                <w:rFonts w:hint="eastAsia"/>
                <w:sz w:val="18"/>
                <w:szCs w:val="18"/>
              </w:rPr>
              <w:t>0.17</w:t>
            </w:r>
          </w:p>
        </w:tc>
        <w:tc>
          <w:tcPr>
            <w:tcW w:w="1181" w:type="dxa"/>
            <w:vAlign w:val="center"/>
          </w:tcPr>
          <w:p w:rsidR="00F55E3A" w:rsidRDefault="00F577EE">
            <w:pPr>
              <w:jc w:val="center"/>
              <w:rPr>
                <w:sz w:val="18"/>
                <w:szCs w:val="18"/>
              </w:rPr>
            </w:pPr>
            <w:r>
              <w:rPr>
                <w:rFonts w:hint="eastAsia"/>
                <w:sz w:val="18"/>
                <w:szCs w:val="18"/>
              </w:rPr>
              <w:t>0.1548</w:t>
            </w:r>
          </w:p>
        </w:tc>
        <w:tc>
          <w:tcPr>
            <w:tcW w:w="1163" w:type="dxa"/>
            <w:vAlign w:val="center"/>
          </w:tcPr>
          <w:p w:rsidR="00F55E3A" w:rsidRDefault="00F577EE">
            <w:pPr>
              <w:jc w:val="center"/>
              <w:rPr>
                <w:sz w:val="18"/>
                <w:szCs w:val="18"/>
              </w:rPr>
            </w:pPr>
            <w:r>
              <w:rPr>
                <w:rFonts w:hint="eastAsia"/>
                <w:sz w:val="18"/>
                <w:szCs w:val="18"/>
              </w:rPr>
              <w:t>0.44</w:t>
            </w:r>
          </w:p>
        </w:tc>
        <w:tc>
          <w:tcPr>
            <w:tcW w:w="1280" w:type="dxa"/>
            <w:vAlign w:val="center"/>
          </w:tcPr>
          <w:p w:rsidR="00F55E3A" w:rsidRDefault="00F577EE">
            <w:pPr>
              <w:jc w:val="center"/>
              <w:rPr>
                <w:sz w:val="18"/>
                <w:szCs w:val="18"/>
              </w:rPr>
            </w:pPr>
            <w:r>
              <w:rPr>
                <w:rFonts w:hint="eastAsia"/>
                <w:sz w:val="18"/>
                <w:szCs w:val="18"/>
              </w:rPr>
              <w:t>0.30</w:t>
            </w:r>
          </w:p>
        </w:tc>
      </w:tr>
    </w:tbl>
    <w:p w:rsidR="00F55E3A" w:rsidRDefault="00F55E3A">
      <w:pPr>
        <w:pStyle w:val="a0"/>
      </w:pPr>
    </w:p>
    <w:p w:rsidR="00F55E3A" w:rsidRDefault="00F577EE">
      <w:pPr>
        <w:outlineLvl w:val="3"/>
        <w:rPr>
          <w:b/>
          <w:spacing w:val="8"/>
          <w:szCs w:val="21"/>
        </w:rPr>
      </w:pPr>
      <w:r>
        <w:rPr>
          <w:rFonts w:hint="eastAsia"/>
          <w:b/>
          <w:spacing w:val="8"/>
          <w:szCs w:val="21"/>
        </w:rPr>
        <w:t>5</w:t>
      </w:r>
      <w:r>
        <w:rPr>
          <w:rFonts w:hint="eastAsia"/>
          <w:b/>
          <w:spacing w:val="8"/>
          <w:szCs w:val="21"/>
        </w:rPr>
        <w:t>）</w:t>
      </w:r>
      <w:r>
        <w:rPr>
          <w:b/>
          <w:spacing w:val="8"/>
          <w:szCs w:val="21"/>
        </w:rPr>
        <w:t xml:space="preserve"> </w:t>
      </w:r>
      <w:r>
        <w:rPr>
          <w:b/>
          <w:spacing w:val="8"/>
          <w:szCs w:val="21"/>
        </w:rPr>
        <w:t>重复性和再现性</w:t>
      </w:r>
    </w:p>
    <w:p w:rsidR="00F55E3A" w:rsidRDefault="00F577EE">
      <w:pPr>
        <w:ind w:firstLine="420"/>
        <w:jc w:val="left"/>
        <w:rPr>
          <w:kern w:val="1"/>
          <w:szCs w:val="21"/>
        </w:rPr>
      </w:pPr>
      <w:r>
        <w:rPr>
          <w:kern w:val="1"/>
          <w:szCs w:val="21"/>
        </w:rPr>
        <w:t>由于</w:t>
      </w:r>
      <w:r>
        <w:rPr>
          <w:rFonts w:hint="eastAsia"/>
          <w:kern w:val="1"/>
          <w:szCs w:val="21"/>
        </w:rPr>
        <w:t>标准起草过程中，对验证样品的精密度试验相对日常分析还是有所不同，结合修订前后的试</w:t>
      </w:r>
      <w:r>
        <w:rPr>
          <w:rFonts w:hint="eastAsia"/>
          <w:kern w:val="1"/>
          <w:szCs w:val="21"/>
        </w:rPr>
        <w:lastRenderedPageBreak/>
        <w:t>验统计结果，</w:t>
      </w:r>
      <w:r>
        <w:rPr>
          <w:kern w:val="1"/>
          <w:szCs w:val="21"/>
        </w:rPr>
        <w:t>经</w:t>
      </w:r>
      <w:r>
        <w:rPr>
          <w:rFonts w:hint="eastAsia"/>
          <w:kern w:val="1"/>
          <w:szCs w:val="21"/>
        </w:rPr>
        <w:t>综合考虑，对本次实验所得的</w:t>
      </w:r>
      <w:r>
        <w:rPr>
          <w:szCs w:val="21"/>
        </w:rPr>
        <w:t>重复性</w:t>
      </w:r>
      <w:r>
        <w:rPr>
          <w:kern w:val="1"/>
          <w:szCs w:val="21"/>
        </w:rPr>
        <w:t>r</w:t>
      </w:r>
      <w:r>
        <w:rPr>
          <w:szCs w:val="21"/>
        </w:rPr>
        <w:t>和再现性</w:t>
      </w:r>
      <w:r>
        <w:rPr>
          <w:kern w:val="1"/>
          <w:szCs w:val="21"/>
        </w:rPr>
        <w:t>R</w:t>
      </w:r>
      <w:r>
        <w:rPr>
          <w:kern w:val="1"/>
          <w:szCs w:val="21"/>
        </w:rPr>
        <w:t>值</w:t>
      </w:r>
      <w:r>
        <w:rPr>
          <w:rFonts w:hint="eastAsia"/>
          <w:kern w:val="1"/>
          <w:szCs w:val="21"/>
        </w:rPr>
        <w:t>进行适当调整，结果</w:t>
      </w:r>
      <w:r>
        <w:rPr>
          <w:kern w:val="1"/>
          <w:szCs w:val="21"/>
        </w:rPr>
        <w:t>见表</w:t>
      </w:r>
      <w:r>
        <w:rPr>
          <w:kern w:val="1"/>
          <w:szCs w:val="21"/>
        </w:rPr>
        <w:t>1</w:t>
      </w:r>
      <w:r>
        <w:rPr>
          <w:rFonts w:hint="eastAsia"/>
          <w:kern w:val="1"/>
          <w:szCs w:val="21"/>
        </w:rPr>
        <w:t>4</w:t>
      </w:r>
      <w:r>
        <w:rPr>
          <w:kern w:val="1"/>
          <w:szCs w:val="21"/>
        </w:rPr>
        <w:t>。</w:t>
      </w:r>
    </w:p>
    <w:p w:rsidR="00F55E3A" w:rsidRDefault="00F577EE" w:rsidP="00F577EE">
      <w:pPr>
        <w:spacing w:beforeLines="50"/>
        <w:jc w:val="center"/>
        <w:rPr>
          <w:rFonts w:ascii="黑体" w:eastAsia="黑体"/>
          <w:bCs/>
          <w:color w:val="000000"/>
          <w:szCs w:val="21"/>
        </w:rPr>
      </w:pPr>
      <w:r>
        <w:rPr>
          <w:rFonts w:ascii="黑体" w:eastAsia="黑体"/>
          <w:bCs/>
          <w:color w:val="000000"/>
          <w:szCs w:val="21"/>
        </w:rPr>
        <w:t>表1</w:t>
      </w:r>
      <w:r>
        <w:rPr>
          <w:rFonts w:ascii="黑体" w:eastAsia="黑体" w:hint="eastAsia"/>
          <w:bCs/>
          <w:color w:val="000000"/>
          <w:szCs w:val="21"/>
        </w:rPr>
        <w:t xml:space="preserve">4  </w:t>
      </w:r>
      <w:r>
        <w:rPr>
          <w:rFonts w:ascii="黑体" w:eastAsia="黑体"/>
          <w:bCs/>
          <w:color w:val="000000"/>
          <w:szCs w:val="21"/>
        </w:rPr>
        <w:t>重复性</w:t>
      </w:r>
      <w:r>
        <w:rPr>
          <w:rFonts w:ascii="黑体" w:eastAsia="黑体" w:hint="eastAsia"/>
          <w:bCs/>
          <w:color w:val="000000"/>
          <w:szCs w:val="21"/>
        </w:rPr>
        <w:t>r</w:t>
      </w:r>
      <w:r>
        <w:rPr>
          <w:rFonts w:ascii="黑体" w:eastAsia="黑体"/>
          <w:bCs/>
          <w:color w:val="000000"/>
          <w:szCs w:val="21"/>
        </w:rPr>
        <w:t>和再现性</w:t>
      </w:r>
      <w:r>
        <w:rPr>
          <w:rFonts w:ascii="黑体" w:eastAsia="黑体" w:hint="eastAsia"/>
          <w:bCs/>
          <w:color w:val="000000"/>
          <w:szCs w:val="21"/>
        </w:rPr>
        <w:t>R</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79"/>
        <w:gridCol w:w="1880"/>
        <w:gridCol w:w="1880"/>
        <w:gridCol w:w="1880"/>
        <w:gridCol w:w="1882"/>
      </w:tblGrid>
      <w:tr w:rsidR="00F55E3A">
        <w:trPr>
          <w:trHeight w:val="410"/>
          <w:jc w:val="center"/>
        </w:trPr>
        <w:tc>
          <w:tcPr>
            <w:tcW w:w="1879" w:type="dxa"/>
            <w:vAlign w:val="center"/>
          </w:tcPr>
          <w:p w:rsidR="00F55E3A" w:rsidRDefault="00F577EE">
            <w:pPr>
              <w:jc w:val="center"/>
              <w:rPr>
                <w:sz w:val="18"/>
                <w:szCs w:val="18"/>
              </w:rPr>
            </w:pPr>
            <w:r>
              <w:rPr>
                <w:rFonts w:hint="eastAsia"/>
                <w:i/>
                <w:sz w:val="18"/>
                <w:szCs w:val="18"/>
              </w:rPr>
              <w:t>w</w:t>
            </w:r>
            <w:r>
              <w:rPr>
                <w:rFonts w:hint="eastAsia"/>
                <w:sz w:val="18"/>
                <w:szCs w:val="18"/>
                <w:vertAlign w:val="subscript"/>
              </w:rPr>
              <w:t xml:space="preserve">Ni </w:t>
            </w:r>
            <w:r>
              <w:rPr>
                <w:sz w:val="18"/>
                <w:szCs w:val="18"/>
              </w:rPr>
              <w:t>/</w:t>
            </w:r>
            <w:r>
              <w:rPr>
                <w:rFonts w:hint="eastAsia"/>
                <w:sz w:val="18"/>
                <w:szCs w:val="18"/>
              </w:rPr>
              <w:t xml:space="preserve"> %</w:t>
            </w:r>
          </w:p>
        </w:tc>
        <w:tc>
          <w:tcPr>
            <w:tcW w:w="1880" w:type="dxa"/>
            <w:vAlign w:val="center"/>
          </w:tcPr>
          <w:p w:rsidR="00F55E3A" w:rsidRDefault="00F577EE">
            <w:pPr>
              <w:spacing w:line="240" w:lineRule="exact"/>
              <w:jc w:val="center"/>
              <w:rPr>
                <w:sz w:val="18"/>
                <w:szCs w:val="18"/>
              </w:rPr>
            </w:pPr>
            <w:r>
              <w:rPr>
                <w:rFonts w:hint="eastAsia"/>
                <w:sz w:val="18"/>
                <w:szCs w:val="18"/>
              </w:rPr>
              <w:t>3.32</w:t>
            </w:r>
          </w:p>
        </w:tc>
        <w:tc>
          <w:tcPr>
            <w:tcW w:w="1880" w:type="dxa"/>
            <w:vAlign w:val="center"/>
          </w:tcPr>
          <w:p w:rsidR="00F55E3A" w:rsidRDefault="00F577EE">
            <w:pPr>
              <w:spacing w:line="240" w:lineRule="exact"/>
              <w:jc w:val="center"/>
              <w:rPr>
                <w:sz w:val="18"/>
                <w:szCs w:val="18"/>
              </w:rPr>
            </w:pPr>
            <w:r>
              <w:rPr>
                <w:rFonts w:hint="eastAsia"/>
                <w:sz w:val="18"/>
                <w:szCs w:val="18"/>
              </w:rPr>
              <w:t>10.05</w:t>
            </w:r>
          </w:p>
        </w:tc>
        <w:tc>
          <w:tcPr>
            <w:tcW w:w="1880" w:type="dxa"/>
            <w:vAlign w:val="center"/>
          </w:tcPr>
          <w:p w:rsidR="00F55E3A" w:rsidRDefault="00F577EE">
            <w:pPr>
              <w:spacing w:line="240" w:lineRule="exact"/>
              <w:jc w:val="center"/>
              <w:rPr>
                <w:sz w:val="18"/>
                <w:szCs w:val="18"/>
              </w:rPr>
            </w:pPr>
            <w:r>
              <w:rPr>
                <w:rFonts w:hint="eastAsia"/>
                <w:sz w:val="18"/>
                <w:szCs w:val="18"/>
              </w:rPr>
              <w:t>21.03</w:t>
            </w:r>
          </w:p>
        </w:tc>
        <w:tc>
          <w:tcPr>
            <w:tcW w:w="1882" w:type="dxa"/>
            <w:vAlign w:val="center"/>
          </w:tcPr>
          <w:p w:rsidR="00F55E3A" w:rsidRDefault="00F577EE">
            <w:pPr>
              <w:spacing w:line="240" w:lineRule="exact"/>
              <w:jc w:val="center"/>
              <w:rPr>
                <w:sz w:val="18"/>
                <w:szCs w:val="18"/>
              </w:rPr>
            </w:pPr>
            <w:r>
              <w:rPr>
                <w:rFonts w:hint="eastAsia"/>
                <w:sz w:val="18"/>
                <w:szCs w:val="18"/>
              </w:rPr>
              <w:t>32.27</w:t>
            </w:r>
          </w:p>
        </w:tc>
      </w:tr>
      <w:tr w:rsidR="00F55E3A">
        <w:trPr>
          <w:trHeight w:val="410"/>
          <w:jc w:val="center"/>
        </w:trPr>
        <w:tc>
          <w:tcPr>
            <w:tcW w:w="1879" w:type="dxa"/>
            <w:vAlign w:val="center"/>
          </w:tcPr>
          <w:p w:rsidR="00F55E3A" w:rsidRDefault="00F577EE">
            <w:pPr>
              <w:jc w:val="center"/>
              <w:rPr>
                <w:sz w:val="18"/>
                <w:szCs w:val="18"/>
              </w:rPr>
            </w:pPr>
            <w:r>
              <w:rPr>
                <w:sz w:val="18"/>
                <w:szCs w:val="18"/>
              </w:rPr>
              <w:t>r</w:t>
            </w:r>
            <w:r>
              <w:rPr>
                <w:rFonts w:hint="eastAsia"/>
                <w:sz w:val="18"/>
                <w:szCs w:val="18"/>
              </w:rPr>
              <w:t xml:space="preserve"> </w:t>
            </w:r>
            <w:r>
              <w:rPr>
                <w:sz w:val="18"/>
                <w:szCs w:val="18"/>
              </w:rPr>
              <w:t>/</w:t>
            </w:r>
            <w:r>
              <w:rPr>
                <w:rFonts w:hint="eastAsia"/>
                <w:sz w:val="18"/>
                <w:szCs w:val="18"/>
              </w:rPr>
              <w:t xml:space="preserve"> %</w:t>
            </w:r>
          </w:p>
        </w:tc>
        <w:tc>
          <w:tcPr>
            <w:tcW w:w="1880" w:type="dxa"/>
            <w:vAlign w:val="center"/>
          </w:tcPr>
          <w:p w:rsidR="00F55E3A" w:rsidRDefault="00F577EE">
            <w:pPr>
              <w:spacing w:line="240" w:lineRule="exact"/>
              <w:jc w:val="center"/>
              <w:rPr>
                <w:sz w:val="18"/>
                <w:szCs w:val="18"/>
              </w:rPr>
            </w:pPr>
            <w:r>
              <w:rPr>
                <w:rFonts w:hint="eastAsia"/>
                <w:sz w:val="18"/>
                <w:szCs w:val="18"/>
              </w:rPr>
              <w:t>0.08</w:t>
            </w:r>
          </w:p>
        </w:tc>
        <w:tc>
          <w:tcPr>
            <w:tcW w:w="1880" w:type="dxa"/>
            <w:vAlign w:val="center"/>
          </w:tcPr>
          <w:p w:rsidR="00F55E3A" w:rsidRDefault="00F577EE">
            <w:pPr>
              <w:spacing w:line="240" w:lineRule="exact"/>
              <w:jc w:val="center"/>
              <w:rPr>
                <w:sz w:val="18"/>
                <w:szCs w:val="18"/>
              </w:rPr>
            </w:pPr>
            <w:r>
              <w:rPr>
                <w:rFonts w:hint="eastAsia"/>
                <w:sz w:val="18"/>
                <w:szCs w:val="18"/>
              </w:rPr>
              <w:t>0.10</w:t>
            </w:r>
          </w:p>
        </w:tc>
        <w:tc>
          <w:tcPr>
            <w:tcW w:w="1880" w:type="dxa"/>
            <w:vAlign w:val="center"/>
          </w:tcPr>
          <w:p w:rsidR="00F55E3A" w:rsidRDefault="00F577EE">
            <w:pPr>
              <w:spacing w:line="240" w:lineRule="exact"/>
              <w:jc w:val="center"/>
              <w:rPr>
                <w:sz w:val="18"/>
                <w:szCs w:val="18"/>
              </w:rPr>
            </w:pPr>
            <w:r>
              <w:rPr>
                <w:rFonts w:hint="eastAsia"/>
                <w:sz w:val="18"/>
                <w:szCs w:val="18"/>
              </w:rPr>
              <w:t>0.14</w:t>
            </w:r>
          </w:p>
        </w:tc>
        <w:tc>
          <w:tcPr>
            <w:tcW w:w="1882" w:type="dxa"/>
            <w:vAlign w:val="center"/>
          </w:tcPr>
          <w:p w:rsidR="00F55E3A" w:rsidRDefault="00F577EE">
            <w:pPr>
              <w:spacing w:line="240" w:lineRule="exact"/>
              <w:jc w:val="center"/>
              <w:rPr>
                <w:sz w:val="18"/>
                <w:szCs w:val="18"/>
              </w:rPr>
            </w:pPr>
            <w:r>
              <w:rPr>
                <w:rFonts w:hint="eastAsia"/>
                <w:sz w:val="18"/>
                <w:szCs w:val="18"/>
              </w:rPr>
              <w:t>0.17</w:t>
            </w:r>
          </w:p>
        </w:tc>
      </w:tr>
      <w:tr w:rsidR="00F55E3A">
        <w:trPr>
          <w:trHeight w:val="410"/>
          <w:jc w:val="center"/>
        </w:trPr>
        <w:tc>
          <w:tcPr>
            <w:tcW w:w="1879" w:type="dxa"/>
            <w:vAlign w:val="center"/>
          </w:tcPr>
          <w:p w:rsidR="00F55E3A" w:rsidRDefault="00F577EE">
            <w:pPr>
              <w:jc w:val="center"/>
              <w:rPr>
                <w:sz w:val="18"/>
                <w:szCs w:val="18"/>
              </w:rPr>
            </w:pPr>
            <w:r>
              <w:rPr>
                <w:rFonts w:hint="eastAsia"/>
                <w:sz w:val="18"/>
                <w:szCs w:val="18"/>
              </w:rPr>
              <w:t xml:space="preserve">R </w:t>
            </w:r>
            <w:r>
              <w:rPr>
                <w:sz w:val="18"/>
                <w:szCs w:val="18"/>
              </w:rPr>
              <w:t>/</w:t>
            </w:r>
            <w:r>
              <w:rPr>
                <w:rFonts w:hint="eastAsia"/>
                <w:sz w:val="18"/>
                <w:szCs w:val="18"/>
              </w:rPr>
              <w:t xml:space="preserve"> %</w:t>
            </w:r>
          </w:p>
        </w:tc>
        <w:tc>
          <w:tcPr>
            <w:tcW w:w="1880" w:type="dxa"/>
            <w:vAlign w:val="center"/>
          </w:tcPr>
          <w:p w:rsidR="00F55E3A" w:rsidRDefault="00F577EE">
            <w:pPr>
              <w:spacing w:line="240" w:lineRule="exact"/>
              <w:jc w:val="center"/>
              <w:rPr>
                <w:sz w:val="18"/>
                <w:szCs w:val="18"/>
              </w:rPr>
            </w:pPr>
            <w:r>
              <w:rPr>
                <w:rFonts w:hint="eastAsia"/>
                <w:sz w:val="18"/>
                <w:szCs w:val="18"/>
              </w:rPr>
              <w:t>0.14</w:t>
            </w:r>
          </w:p>
        </w:tc>
        <w:tc>
          <w:tcPr>
            <w:tcW w:w="1880" w:type="dxa"/>
            <w:vAlign w:val="center"/>
          </w:tcPr>
          <w:p w:rsidR="00F55E3A" w:rsidRDefault="00F577EE">
            <w:pPr>
              <w:spacing w:line="240" w:lineRule="exact"/>
              <w:jc w:val="center"/>
              <w:rPr>
                <w:sz w:val="18"/>
                <w:szCs w:val="18"/>
              </w:rPr>
            </w:pPr>
            <w:r>
              <w:rPr>
                <w:rFonts w:hint="eastAsia"/>
                <w:sz w:val="18"/>
                <w:szCs w:val="18"/>
              </w:rPr>
              <w:t>0.20</w:t>
            </w:r>
          </w:p>
        </w:tc>
        <w:tc>
          <w:tcPr>
            <w:tcW w:w="1880" w:type="dxa"/>
            <w:vAlign w:val="center"/>
          </w:tcPr>
          <w:p w:rsidR="00F55E3A" w:rsidRDefault="00F577EE">
            <w:pPr>
              <w:spacing w:line="240" w:lineRule="exact"/>
              <w:jc w:val="center"/>
              <w:rPr>
                <w:sz w:val="18"/>
                <w:szCs w:val="18"/>
              </w:rPr>
            </w:pPr>
            <w:r>
              <w:rPr>
                <w:rFonts w:hint="eastAsia"/>
                <w:sz w:val="18"/>
                <w:szCs w:val="18"/>
              </w:rPr>
              <w:t>0.25</w:t>
            </w:r>
          </w:p>
        </w:tc>
        <w:tc>
          <w:tcPr>
            <w:tcW w:w="1882" w:type="dxa"/>
            <w:vAlign w:val="center"/>
          </w:tcPr>
          <w:p w:rsidR="00F55E3A" w:rsidRDefault="00F577EE">
            <w:pPr>
              <w:spacing w:line="240" w:lineRule="exact"/>
              <w:jc w:val="center"/>
              <w:rPr>
                <w:sz w:val="18"/>
                <w:szCs w:val="18"/>
              </w:rPr>
            </w:pPr>
            <w:r>
              <w:rPr>
                <w:rFonts w:hint="eastAsia"/>
                <w:sz w:val="18"/>
                <w:szCs w:val="18"/>
              </w:rPr>
              <w:t>0.30</w:t>
            </w:r>
          </w:p>
        </w:tc>
      </w:tr>
    </w:tbl>
    <w:p w:rsidR="00F55E3A" w:rsidRDefault="00F55E3A">
      <w:pPr>
        <w:rPr>
          <w:rFonts w:ascii="宋体" w:hAnsi="宋体" w:cs="宋体"/>
          <w:b/>
        </w:rPr>
      </w:pPr>
    </w:p>
    <w:p w:rsidR="00F55E3A" w:rsidRDefault="00F577EE">
      <w:pPr>
        <w:pStyle w:val="af2"/>
        <w:numPr>
          <w:ilvl w:val="0"/>
          <w:numId w:val="1"/>
        </w:numPr>
        <w:spacing w:line="360" w:lineRule="auto"/>
        <w:ind w:left="482" w:firstLineChars="0" w:hanging="482"/>
        <w:outlineLvl w:val="0"/>
        <w:rPr>
          <w:rFonts w:ascii="黑体" w:eastAsia="黑体" w:hAnsi="宋体"/>
          <w:sz w:val="24"/>
        </w:rPr>
      </w:pPr>
      <w:bookmarkStart w:id="29" w:name="_Toc111022835"/>
      <w:r>
        <w:rPr>
          <w:rFonts w:ascii="黑体" w:eastAsia="黑体" w:hAnsi="宋体" w:hint="eastAsia"/>
          <w:sz w:val="24"/>
        </w:rPr>
        <w:t>标准中涉及专利的情况</w:t>
      </w:r>
      <w:bookmarkEnd w:id="29"/>
    </w:p>
    <w:p w:rsidR="00F55E3A" w:rsidRDefault="00F577EE">
      <w:pPr>
        <w:ind w:firstLineChars="200" w:firstLine="420"/>
        <w:rPr>
          <w:bCs/>
        </w:rPr>
      </w:pPr>
      <w:r>
        <w:rPr>
          <w:rFonts w:hint="eastAsia"/>
          <w:bCs/>
        </w:rPr>
        <w:t>本标准不涉及专利问题。</w:t>
      </w:r>
    </w:p>
    <w:p w:rsidR="00F55E3A" w:rsidRDefault="00F577EE">
      <w:pPr>
        <w:pStyle w:val="af2"/>
        <w:numPr>
          <w:ilvl w:val="0"/>
          <w:numId w:val="1"/>
        </w:numPr>
        <w:spacing w:line="360" w:lineRule="auto"/>
        <w:ind w:left="482" w:firstLineChars="0" w:hanging="482"/>
        <w:outlineLvl w:val="0"/>
        <w:rPr>
          <w:rFonts w:ascii="黑体" w:eastAsia="黑体" w:hAnsi="宋体"/>
          <w:sz w:val="24"/>
        </w:rPr>
      </w:pPr>
      <w:bookmarkStart w:id="30" w:name="_Toc111022836"/>
      <w:r>
        <w:rPr>
          <w:rFonts w:ascii="黑体" w:eastAsia="黑体" w:hAnsi="宋体" w:hint="eastAsia"/>
          <w:sz w:val="24"/>
        </w:rPr>
        <w:t>预期达到的社会效益</w:t>
      </w:r>
      <w:bookmarkEnd w:id="30"/>
    </w:p>
    <w:p w:rsidR="00F55E3A" w:rsidRDefault="00F577EE">
      <w:pPr>
        <w:spacing w:line="360" w:lineRule="auto"/>
        <w:outlineLvl w:val="1"/>
        <w:rPr>
          <w:rFonts w:asciiTheme="majorEastAsia" w:eastAsiaTheme="majorEastAsia" w:hAnsiTheme="majorEastAsia"/>
          <w:b/>
          <w:bCs/>
          <w:color w:val="000000"/>
          <w:szCs w:val="21"/>
        </w:rPr>
      </w:pPr>
      <w:bookmarkStart w:id="31" w:name="_Toc111022837"/>
      <w:r>
        <w:rPr>
          <w:rFonts w:asciiTheme="majorEastAsia" w:eastAsiaTheme="majorEastAsia" w:hAnsiTheme="majorEastAsia" w:hint="eastAsia"/>
          <w:b/>
          <w:bCs/>
          <w:color w:val="000000"/>
          <w:szCs w:val="21"/>
        </w:rPr>
        <w:t>（一）项目的必要性简述</w:t>
      </w:r>
      <w:bookmarkEnd w:id="31"/>
    </w:p>
    <w:p w:rsidR="00F55E3A" w:rsidRDefault="00F577EE">
      <w:pPr>
        <w:ind w:firstLineChars="200" w:firstLine="420"/>
        <w:rPr>
          <w:szCs w:val="21"/>
        </w:rPr>
      </w:pPr>
      <w:r>
        <w:rPr>
          <w:szCs w:val="21"/>
        </w:rPr>
        <w:t>近年来，受益于中国锂电池产业的发展以及钴湿法冶炼技术的进步，钴产品及其衍生产物得到广泛应用，中国成为钴的主要生产国，已经连续</w:t>
      </w:r>
      <w:r>
        <w:rPr>
          <w:szCs w:val="21"/>
        </w:rPr>
        <w:t>10</w:t>
      </w:r>
      <w:r>
        <w:rPr>
          <w:szCs w:val="21"/>
        </w:rPr>
        <w:t>余年成为第一大精炼钴供应国，但中国钴矿资源相对贫乏，</w:t>
      </w:r>
      <w:bookmarkStart w:id="32" w:name="_Hlk92354522"/>
      <w:r>
        <w:rPr>
          <w:szCs w:val="21"/>
        </w:rPr>
        <w:t>钴原料对外依存度高达</w:t>
      </w:r>
      <w:r>
        <w:rPr>
          <w:szCs w:val="21"/>
        </w:rPr>
        <w:t>95%</w:t>
      </w:r>
      <w:r>
        <w:rPr>
          <w:szCs w:val="21"/>
        </w:rPr>
        <w:t>，主要依赖从刚果</w:t>
      </w:r>
      <w:r>
        <w:rPr>
          <w:szCs w:val="21"/>
        </w:rPr>
        <w:t>(</w:t>
      </w:r>
      <w:r>
        <w:rPr>
          <w:szCs w:val="21"/>
        </w:rPr>
        <w:t>金</w:t>
      </w:r>
      <w:r>
        <w:rPr>
          <w:szCs w:val="21"/>
        </w:rPr>
        <w:t>)</w:t>
      </w:r>
      <w:r>
        <w:rPr>
          <w:szCs w:val="21"/>
        </w:rPr>
        <w:t>进口</w:t>
      </w:r>
      <w:bookmarkEnd w:id="32"/>
      <w:r>
        <w:rPr>
          <w:szCs w:val="21"/>
        </w:rPr>
        <w:t>。根据</w:t>
      </w:r>
      <w:r>
        <w:rPr>
          <w:szCs w:val="21"/>
        </w:rPr>
        <w:t>USGS(</w:t>
      </w:r>
      <w:r>
        <w:rPr>
          <w:szCs w:val="21"/>
        </w:rPr>
        <w:t>美国地质勘探局</w:t>
      </w:r>
      <w:r>
        <w:rPr>
          <w:szCs w:val="21"/>
        </w:rPr>
        <w:t>)</w:t>
      </w:r>
      <w:r>
        <w:rPr>
          <w:szCs w:val="21"/>
        </w:rPr>
        <w:t>数据显示，现阶段已探明钴矿储量约</w:t>
      </w:r>
      <w:r>
        <w:rPr>
          <w:szCs w:val="21"/>
        </w:rPr>
        <w:t>710</w:t>
      </w:r>
      <w:r>
        <w:rPr>
          <w:szCs w:val="21"/>
        </w:rPr>
        <w:t>万吨，主要集中在刚果</w:t>
      </w:r>
      <w:r>
        <w:rPr>
          <w:szCs w:val="21"/>
        </w:rPr>
        <w:t>(</w:t>
      </w:r>
      <w:r>
        <w:rPr>
          <w:szCs w:val="21"/>
        </w:rPr>
        <w:t>金</w:t>
      </w:r>
      <w:r>
        <w:rPr>
          <w:szCs w:val="21"/>
        </w:rPr>
        <w:t>)</w:t>
      </w:r>
      <w:r>
        <w:rPr>
          <w:szCs w:val="21"/>
        </w:rPr>
        <w:t>、澳大利亚、古巴等地区，总共占据全球储量的</w:t>
      </w:r>
      <w:r>
        <w:rPr>
          <w:szCs w:val="21"/>
        </w:rPr>
        <w:t>70%</w:t>
      </w:r>
      <w:r>
        <w:rPr>
          <w:szCs w:val="21"/>
        </w:rPr>
        <w:t>左右，其中，刚果</w:t>
      </w:r>
      <w:r>
        <w:rPr>
          <w:szCs w:val="21"/>
        </w:rPr>
        <w:t>(</w:t>
      </w:r>
      <w:r>
        <w:rPr>
          <w:szCs w:val="21"/>
        </w:rPr>
        <w:t>金</w:t>
      </w:r>
      <w:r>
        <w:rPr>
          <w:szCs w:val="21"/>
        </w:rPr>
        <w:t>)</w:t>
      </w:r>
      <w:r>
        <w:rPr>
          <w:szCs w:val="21"/>
        </w:rPr>
        <w:t>储量</w:t>
      </w:r>
      <w:r>
        <w:rPr>
          <w:szCs w:val="21"/>
        </w:rPr>
        <w:t>340</w:t>
      </w:r>
      <w:r>
        <w:rPr>
          <w:szCs w:val="21"/>
        </w:rPr>
        <w:t>万吨，占据已探明储量的</w:t>
      </w:r>
      <w:r>
        <w:rPr>
          <w:szCs w:val="21"/>
        </w:rPr>
        <w:t>47.89%</w:t>
      </w:r>
      <w:r>
        <w:rPr>
          <w:szCs w:val="21"/>
        </w:rPr>
        <w:t>，澳大利亚、古巴分别为</w:t>
      </w:r>
      <w:r>
        <w:rPr>
          <w:szCs w:val="21"/>
        </w:rPr>
        <w:t>110</w:t>
      </w:r>
      <w:r>
        <w:rPr>
          <w:szCs w:val="21"/>
        </w:rPr>
        <w:t>万吨、</w:t>
      </w:r>
      <w:r>
        <w:rPr>
          <w:szCs w:val="21"/>
        </w:rPr>
        <w:t>50</w:t>
      </w:r>
      <w:r>
        <w:rPr>
          <w:szCs w:val="21"/>
        </w:rPr>
        <w:t>万吨，分别占探明总储量的</w:t>
      </w:r>
      <w:r>
        <w:rPr>
          <w:szCs w:val="21"/>
        </w:rPr>
        <w:t>15.49%</w:t>
      </w:r>
      <w:r>
        <w:rPr>
          <w:szCs w:val="21"/>
        </w:rPr>
        <w:t>、</w:t>
      </w:r>
      <w:r>
        <w:rPr>
          <w:szCs w:val="21"/>
        </w:rPr>
        <w:t>7.0%</w:t>
      </w:r>
      <w:r>
        <w:rPr>
          <w:szCs w:val="21"/>
        </w:rPr>
        <w:t>，钴精矿的成分与国内相比也有较大的差异，以前的钴精矿因国外进口矿的种类不多，国内的矿种单一，在贸易中的钴精矿大多钴含量相对较高，其它成分很低，而</w:t>
      </w:r>
      <w:bookmarkStart w:id="33" w:name="_Hlk92354472"/>
      <w:r>
        <w:rPr>
          <w:szCs w:val="21"/>
        </w:rPr>
        <w:t>现在国内外贸易中的钴精矿呈现出钴含量较低、铜含量则较高的情况，部分钴精矿中的钴铜比达</w:t>
      </w:r>
      <w:r>
        <w:rPr>
          <w:szCs w:val="21"/>
        </w:rPr>
        <w:t>1:3</w:t>
      </w:r>
      <w:r>
        <w:rPr>
          <w:szCs w:val="21"/>
        </w:rPr>
        <w:t>左右，因为钴的价值比较高，所以仍以钴精矿的名义贸易而不是以铜精矿。</w:t>
      </w:r>
    </w:p>
    <w:bookmarkEnd w:id="33"/>
    <w:p w:rsidR="00F55E3A" w:rsidRDefault="00F577EE">
      <w:pPr>
        <w:ind w:firstLine="435"/>
        <w:rPr>
          <w:color w:val="C00000"/>
          <w:szCs w:val="21"/>
        </w:rPr>
      </w:pPr>
      <w:r>
        <w:rPr>
          <w:szCs w:val="21"/>
        </w:rPr>
        <w:t>“</w:t>
      </w:r>
      <w:bookmarkStart w:id="34" w:name="_Hlk92444874"/>
      <w:r>
        <w:rPr>
          <w:szCs w:val="21"/>
        </w:rPr>
        <w:t xml:space="preserve">YS/T 349.2-2010 </w:t>
      </w:r>
      <w:bookmarkEnd w:id="34"/>
      <w:r>
        <w:rPr>
          <w:szCs w:val="21"/>
        </w:rPr>
        <w:t>硫化钴精矿化学分析方法</w:t>
      </w:r>
      <w:r>
        <w:rPr>
          <w:szCs w:val="21"/>
        </w:rPr>
        <w:t xml:space="preserve">  </w:t>
      </w:r>
      <w:r>
        <w:rPr>
          <w:szCs w:val="21"/>
        </w:rPr>
        <w:t>第</w:t>
      </w:r>
      <w:r>
        <w:rPr>
          <w:szCs w:val="21"/>
        </w:rPr>
        <w:t>2</w:t>
      </w:r>
      <w:r>
        <w:rPr>
          <w:szCs w:val="21"/>
        </w:rPr>
        <w:t>部分：铜量的测定</w:t>
      </w:r>
      <w:r>
        <w:rPr>
          <w:szCs w:val="21"/>
        </w:rPr>
        <w:t xml:space="preserve">  </w:t>
      </w:r>
      <w:r>
        <w:rPr>
          <w:szCs w:val="21"/>
        </w:rPr>
        <w:t>火焰原子吸收光谱法</w:t>
      </w:r>
      <w:r>
        <w:rPr>
          <w:szCs w:val="21"/>
        </w:rPr>
        <w:t>”</w:t>
      </w:r>
      <w:r>
        <w:rPr>
          <w:szCs w:val="21"/>
        </w:rPr>
        <w:t>标准修订发布实施已有</w:t>
      </w:r>
      <w:r>
        <w:rPr>
          <w:szCs w:val="21"/>
        </w:rPr>
        <w:t>10</w:t>
      </w:r>
      <w:r>
        <w:rPr>
          <w:szCs w:val="21"/>
        </w:rPr>
        <w:t>年，标准规定的铜测定范围为</w:t>
      </w:r>
      <w:r>
        <w:rPr>
          <w:szCs w:val="21"/>
        </w:rPr>
        <w:t>0.1 %</w:t>
      </w:r>
      <w:r>
        <w:rPr>
          <w:szCs w:val="21"/>
        </w:rPr>
        <w:t>～</w:t>
      </w:r>
      <w:r>
        <w:rPr>
          <w:szCs w:val="21"/>
        </w:rPr>
        <w:t>2 %</w:t>
      </w:r>
      <w:r>
        <w:rPr>
          <w:szCs w:val="21"/>
        </w:rPr>
        <w:t>，</w:t>
      </w:r>
      <w:bookmarkStart w:id="35" w:name="_Hlk93065020"/>
      <w:r>
        <w:rPr>
          <w:szCs w:val="21"/>
        </w:rPr>
        <w:t>与日益变化的钴精矿产品情况已不匹配，</w:t>
      </w:r>
      <w:bookmarkEnd w:id="35"/>
      <w:r>
        <w:rPr>
          <w:szCs w:val="21"/>
        </w:rPr>
        <w:t>做为进口原料的海关判别依据也不能满足要求，所以对现行的</w:t>
      </w:r>
      <w:r>
        <w:rPr>
          <w:szCs w:val="21"/>
        </w:rPr>
        <w:t>2010</w:t>
      </w:r>
      <w:r>
        <w:rPr>
          <w:szCs w:val="21"/>
        </w:rPr>
        <w:t>版标准进行修订，扩大测定范围，以适应钴精矿贸易的要求，具有很重要的现实性和必要性。</w:t>
      </w:r>
    </w:p>
    <w:p w:rsidR="00F55E3A" w:rsidRDefault="00F577EE">
      <w:pPr>
        <w:spacing w:line="360" w:lineRule="auto"/>
        <w:outlineLvl w:val="1"/>
        <w:rPr>
          <w:rFonts w:asciiTheme="majorEastAsia" w:eastAsiaTheme="majorEastAsia" w:hAnsiTheme="majorEastAsia"/>
          <w:b/>
          <w:bCs/>
          <w:color w:val="000000"/>
          <w:szCs w:val="21"/>
        </w:rPr>
      </w:pPr>
      <w:bookmarkStart w:id="36" w:name="_Toc111022838"/>
      <w:r>
        <w:rPr>
          <w:rFonts w:asciiTheme="majorEastAsia" w:eastAsiaTheme="majorEastAsia" w:hAnsiTheme="majorEastAsia" w:hint="eastAsia"/>
          <w:b/>
          <w:bCs/>
          <w:color w:val="000000"/>
          <w:szCs w:val="21"/>
        </w:rPr>
        <w:t>（二）项目的可行性简述</w:t>
      </w:r>
      <w:bookmarkEnd w:id="36"/>
    </w:p>
    <w:p w:rsidR="00F55E3A" w:rsidRDefault="00F577EE">
      <w:pPr>
        <w:ind w:firstLine="435"/>
        <w:rPr>
          <w:szCs w:val="21"/>
        </w:rPr>
      </w:pPr>
      <w:r>
        <w:rPr>
          <w:szCs w:val="21"/>
        </w:rPr>
        <w:t>本标准的修订内容包含</w:t>
      </w:r>
      <w:r>
        <w:rPr>
          <w:szCs w:val="21"/>
        </w:rPr>
        <w:t>2</w:t>
      </w:r>
      <w:r>
        <w:rPr>
          <w:szCs w:val="21"/>
        </w:rPr>
        <w:t>个部分，方法</w:t>
      </w:r>
      <w:r>
        <w:rPr>
          <w:szCs w:val="21"/>
        </w:rPr>
        <w:t>1</w:t>
      </w:r>
      <w:r>
        <w:rPr>
          <w:szCs w:val="21"/>
        </w:rPr>
        <w:t>为火焰原子吸收法，在原方法的基础上将测定范围由</w:t>
      </w:r>
      <w:r>
        <w:rPr>
          <w:szCs w:val="21"/>
        </w:rPr>
        <w:t>0.1%</w:t>
      </w:r>
      <w:r>
        <w:rPr>
          <w:szCs w:val="21"/>
        </w:rPr>
        <w:t>～</w:t>
      </w:r>
      <w:r>
        <w:rPr>
          <w:szCs w:val="21"/>
        </w:rPr>
        <w:t>2%</w:t>
      </w:r>
      <w:r>
        <w:rPr>
          <w:szCs w:val="21"/>
        </w:rPr>
        <w:t>拓展为</w:t>
      </w:r>
      <w:r>
        <w:rPr>
          <w:szCs w:val="21"/>
        </w:rPr>
        <w:t>0.1%</w:t>
      </w:r>
      <w:r>
        <w:rPr>
          <w:szCs w:val="21"/>
        </w:rPr>
        <w:t>～</w:t>
      </w:r>
      <w:r>
        <w:rPr>
          <w:szCs w:val="21"/>
        </w:rPr>
        <w:t>3.5%</w:t>
      </w:r>
      <w:r>
        <w:rPr>
          <w:szCs w:val="21"/>
        </w:rPr>
        <w:t>，由金川集团股份有限公司负责；新起草方法</w:t>
      </w:r>
      <w:r>
        <w:rPr>
          <w:szCs w:val="21"/>
        </w:rPr>
        <w:t>2</w:t>
      </w:r>
      <w:r>
        <w:rPr>
          <w:szCs w:val="21"/>
        </w:rPr>
        <w:t>：碘量法，测定范围为</w:t>
      </w:r>
      <w:r>
        <w:rPr>
          <w:szCs w:val="21"/>
        </w:rPr>
        <w:t>3.5%</w:t>
      </w:r>
      <w:r>
        <w:rPr>
          <w:szCs w:val="21"/>
        </w:rPr>
        <w:t>～</w:t>
      </w:r>
      <w:r>
        <w:rPr>
          <w:szCs w:val="21"/>
        </w:rPr>
        <w:t>35%</w:t>
      </w:r>
      <w:r>
        <w:rPr>
          <w:szCs w:val="21"/>
        </w:rPr>
        <w:t>，由浙江华友钴业股份有限公司负责。</w:t>
      </w:r>
    </w:p>
    <w:p w:rsidR="00F55E3A" w:rsidRDefault="00F577EE">
      <w:pPr>
        <w:ind w:firstLine="435"/>
        <w:rPr>
          <w:szCs w:val="21"/>
        </w:rPr>
      </w:pPr>
      <w:bookmarkStart w:id="37" w:name="_Hlk111020485"/>
      <w:r>
        <w:rPr>
          <w:szCs w:val="21"/>
        </w:rPr>
        <w:t>方法</w:t>
      </w:r>
      <w:r>
        <w:rPr>
          <w:szCs w:val="21"/>
        </w:rPr>
        <w:t>1</w:t>
      </w:r>
      <w:r>
        <w:rPr>
          <w:szCs w:val="21"/>
        </w:rPr>
        <w:t>的负责起草单位金川集团股份有限公司</w:t>
      </w:r>
      <w:bookmarkEnd w:id="37"/>
      <w:r>
        <w:rPr>
          <w:szCs w:val="21"/>
        </w:rPr>
        <w:t>是中国的镍钴生产基地、铂族金属提炼中心和国内第三大铜生产企业，其中的主产品金属镍和钴以及镍钴氧化物、盐类、电池材料等，广泛应用于电力电气、机械制造、航空航天、电子电池及军事国防等国民经济重要领域。承担集团公司最终产品及各类外购原料检测的检测中心，取得了</w:t>
      </w:r>
      <w:r>
        <w:rPr>
          <w:szCs w:val="21"/>
        </w:rPr>
        <w:t>17025</w:t>
      </w:r>
      <w:r>
        <w:rPr>
          <w:szCs w:val="21"/>
        </w:rPr>
        <w:t>国家认可实验室、甘肃省强制检定计量器具专项计量授权等资质，拥有多台火焰原子吸收光谱仪，项目成员多次参与国家标准、</w:t>
      </w:r>
      <w:r>
        <w:rPr>
          <w:szCs w:val="21"/>
        </w:rPr>
        <w:t>ISO</w:t>
      </w:r>
      <w:r>
        <w:rPr>
          <w:szCs w:val="21"/>
        </w:rPr>
        <w:t>标准、有色行业标准的起草、验证等工作，现行的</w:t>
      </w:r>
      <w:r>
        <w:rPr>
          <w:szCs w:val="21"/>
        </w:rPr>
        <w:t>YS/T 349-2010</w:t>
      </w:r>
      <w:r>
        <w:rPr>
          <w:szCs w:val="21"/>
        </w:rPr>
        <w:t>《硫化钴精矿化学分析方法》系列标准就是金川集团股份有限公司负责起草，具有丰富的方法研究经验。</w:t>
      </w:r>
    </w:p>
    <w:p w:rsidR="00F55E3A" w:rsidRPr="00BB6A8A" w:rsidRDefault="00F577EE">
      <w:pPr>
        <w:ind w:firstLine="435"/>
        <w:rPr>
          <w:szCs w:val="21"/>
        </w:rPr>
      </w:pPr>
      <w:r w:rsidRPr="00BB6A8A">
        <w:rPr>
          <w:rFonts w:hint="eastAsia"/>
          <w:szCs w:val="21"/>
        </w:rPr>
        <w:t>方法</w:t>
      </w:r>
      <w:r w:rsidRPr="00BB6A8A">
        <w:rPr>
          <w:rFonts w:hint="eastAsia"/>
          <w:szCs w:val="21"/>
        </w:rPr>
        <w:t>2</w:t>
      </w:r>
      <w:r w:rsidRPr="00BB6A8A">
        <w:rPr>
          <w:rFonts w:hint="eastAsia"/>
          <w:szCs w:val="21"/>
        </w:rPr>
        <w:t>的负责起草单位浙江华友钴业股份有限公司成立于</w:t>
      </w:r>
      <w:r w:rsidRPr="00BB6A8A">
        <w:rPr>
          <w:rFonts w:hint="eastAsia"/>
          <w:szCs w:val="21"/>
        </w:rPr>
        <w:t>2002</w:t>
      </w:r>
      <w:r w:rsidRPr="00BB6A8A">
        <w:rPr>
          <w:rFonts w:hint="eastAsia"/>
          <w:szCs w:val="21"/>
        </w:rPr>
        <w:t>年，是一家从事新能源锂电材料和钴新材料研发、制造的高新技术企业。经过二十年的发展，公司完成了总部在桐乡、资源保障在境外、制造基地在中国、市场在全球的空间布局；形成了资源、新材料、新能源三大业务板块，打造了从钴镍资源开发、冶炼，到锂电正极材料深加工，再到资源循环回收利用的新能源锂电产业生态。公司以创造客户价值、引领产业发展为使命，坚定上控资源、下拓市场、中提能力的转型之路，坚持“两新三化”的发展战略，致力于成为全球新能源锂电材料领导者。</w:t>
      </w:r>
      <w:r w:rsidRPr="00BB6A8A">
        <w:rPr>
          <w:rFonts w:hint="eastAsia"/>
          <w:szCs w:val="21"/>
        </w:rPr>
        <w:t xml:space="preserve">                                                                                                      </w:t>
      </w:r>
    </w:p>
    <w:p w:rsidR="00F55E3A" w:rsidRDefault="00F577EE">
      <w:pPr>
        <w:ind w:firstLineChars="200" w:firstLine="420"/>
        <w:rPr>
          <w:szCs w:val="21"/>
        </w:rPr>
      </w:pPr>
      <w:r>
        <w:rPr>
          <w:szCs w:val="21"/>
        </w:rPr>
        <w:lastRenderedPageBreak/>
        <w:t>本标准在起草、调研中得到了北矿检测技术有限公司、广东邦普循环科技有限公司、广东省科学院工业分析检测中心、中国检验认证集团广西有限公司、深圳市中金岭南有色金属股份有限公司、荆门市格林美新材料有限公司、天津市茂联科技有限公司、北方铜业股份有限公司、衢州华友钴新材料有限公司、紫金铜业有限公司等第三方检测机构和钴生产企业的积极响应和支持，进一步保障了标准的高质量修制订。</w:t>
      </w:r>
    </w:p>
    <w:p w:rsidR="00F55E3A" w:rsidRDefault="00F577EE">
      <w:pPr>
        <w:spacing w:line="360" w:lineRule="auto"/>
        <w:outlineLvl w:val="1"/>
        <w:rPr>
          <w:rFonts w:asciiTheme="majorEastAsia" w:eastAsiaTheme="majorEastAsia" w:hAnsiTheme="majorEastAsia"/>
          <w:b/>
          <w:bCs/>
          <w:color w:val="000000"/>
          <w:szCs w:val="21"/>
        </w:rPr>
      </w:pPr>
      <w:bookmarkStart w:id="38" w:name="_Toc111022839"/>
      <w:r>
        <w:rPr>
          <w:rFonts w:asciiTheme="majorEastAsia" w:eastAsiaTheme="majorEastAsia" w:hAnsiTheme="majorEastAsia" w:hint="eastAsia"/>
          <w:b/>
          <w:bCs/>
          <w:color w:val="000000"/>
          <w:szCs w:val="21"/>
        </w:rPr>
        <w:t>（三）标准的先进性、创新性、标准实施后预期产生的经济效益和社会效益</w:t>
      </w:r>
      <w:bookmarkEnd w:id="38"/>
    </w:p>
    <w:p w:rsidR="00F55E3A" w:rsidRDefault="00F577EE">
      <w:pPr>
        <w:ind w:firstLine="420"/>
        <w:rPr>
          <w:color w:val="FF0000"/>
          <w:szCs w:val="21"/>
        </w:rPr>
      </w:pPr>
      <w:r>
        <w:rPr>
          <w:szCs w:val="21"/>
        </w:rPr>
        <w:t>本标准</w:t>
      </w:r>
      <w:r>
        <w:rPr>
          <w:rFonts w:hint="eastAsia"/>
          <w:szCs w:val="21"/>
        </w:rPr>
        <w:t>的修订，通过</w:t>
      </w:r>
      <w:r>
        <w:rPr>
          <w:szCs w:val="21"/>
        </w:rPr>
        <w:t>充分调研</w:t>
      </w:r>
      <w:r>
        <w:rPr>
          <w:rFonts w:hint="eastAsia"/>
          <w:szCs w:val="21"/>
        </w:rPr>
        <w:t>钴的</w:t>
      </w:r>
      <w:r>
        <w:rPr>
          <w:szCs w:val="21"/>
        </w:rPr>
        <w:t>国内生产企业和国内外</w:t>
      </w:r>
      <w:r>
        <w:rPr>
          <w:rFonts w:hint="eastAsia"/>
          <w:szCs w:val="21"/>
        </w:rPr>
        <w:t>硫化钴精矿</w:t>
      </w:r>
      <w:r>
        <w:rPr>
          <w:szCs w:val="21"/>
        </w:rPr>
        <w:t>的贸易情况和技术方法，</w:t>
      </w:r>
      <w:r>
        <w:rPr>
          <w:rFonts w:hint="eastAsia"/>
          <w:szCs w:val="21"/>
        </w:rPr>
        <w:t xml:space="preserve"> </w:t>
      </w:r>
      <w:r>
        <w:rPr>
          <w:rFonts w:hint="eastAsia"/>
          <w:szCs w:val="21"/>
        </w:rPr>
        <w:t>重新规定了硫化钴精矿中铜含量的测定范围，使其满足日益变化的国内外钴精矿产品，</w:t>
      </w:r>
      <w:r>
        <w:rPr>
          <w:szCs w:val="21"/>
        </w:rPr>
        <w:t>为</w:t>
      </w:r>
      <w:r>
        <w:rPr>
          <w:rFonts w:hint="eastAsia"/>
          <w:szCs w:val="21"/>
        </w:rPr>
        <w:t>国内外不同产地的硫化钴精矿中铜</w:t>
      </w:r>
      <w:r>
        <w:rPr>
          <w:szCs w:val="21"/>
        </w:rPr>
        <w:t>含量的测定提供了依据，</w:t>
      </w:r>
      <w:r>
        <w:rPr>
          <w:rFonts w:hint="eastAsia"/>
          <w:szCs w:val="21"/>
        </w:rPr>
        <w:t>对硫化钴精矿的进出口贸易将带来很好的经济效益和社会效益</w:t>
      </w:r>
      <w:r>
        <w:rPr>
          <w:szCs w:val="21"/>
        </w:rPr>
        <w:t>，完全满足国内外生产企业和贸易的需求</w:t>
      </w:r>
      <w:r>
        <w:rPr>
          <w:rFonts w:hint="eastAsia"/>
          <w:szCs w:val="21"/>
        </w:rPr>
        <w:t>。</w:t>
      </w:r>
      <w:r>
        <w:rPr>
          <w:szCs w:val="21"/>
        </w:rPr>
        <w:t>在标准制定过程中，制定标准方法技术先进，可操作性强，适用性好，</w:t>
      </w:r>
      <w:r>
        <w:rPr>
          <w:rFonts w:hint="eastAsia"/>
          <w:szCs w:val="21"/>
        </w:rPr>
        <w:t>与会代表一致认为，该标准综合水平达到了</w:t>
      </w:r>
      <w:r>
        <w:rPr>
          <w:rFonts w:hint="eastAsia"/>
          <w:color w:val="FF0000"/>
          <w:szCs w:val="21"/>
        </w:rPr>
        <w:t>国内先进水平</w:t>
      </w:r>
      <w:r>
        <w:rPr>
          <w:color w:val="FF0000"/>
          <w:szCs w:val="21"/>
        </w:rPr>
        <w:t>。</w:t>
      </w:r>
    </w:p>
    <w:p w:rsidR="00F55E3A" w:rsidRDefault="00F577EE">
      <w:pPr>
        <w:pStyle w:val="af2"/>
        <w:numPr>
          <w:ilvl w:val="0"/>
          <w:numId w:val="1"/>
        </w:numPr>
        <w:spacing w:line="360" w:lineRule="auto"/>
        <w:ind w:left="482" w:firstLineChars="0" w:hanging="482"/>
        <w:outlineLvl w:val="0"/>
        <w:rPr>
          <w:rFonts w:ascii="黑体" w:eastAsia="黑体" w:hAnsi="宋体"/>
          <w:sz w:val="24"/>
        </w:rPr>
      </w:pPr>
      <w:bookmarkStart w:id="39" w:name="_Toc111022840"/>
      <w:r>
        <w:rPr>
          <w:rFonts w:ascii="黑体" w:eastAsia="黑体" w:hAnsi="宋体" w:hint="eastAsia"/>
          <w:sz w:val="24"/>
        </w:rPr>
        <w:t>采用国际标准和国外先进标准的情况</w:t>
      </w:r>
      <w:bookmarkEnd w:id="39"/>
    </w:p>
    <w:p w:rsidR="00F55E3A" w:rsidRDefault="00F577EE">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无</w:t>
      </w:r>
    </w:p>
    <w:p w:rsidR="00F55E3A" w:rsidRDefault="00F577EE">
      <w:pPr>
        <w:pStyle w:val="af2"/>
        <w:numPr>
          <w:ilvl w:val="0"/>
          <w:numId w:val="1"/>
        </w:numPr>
        <w:spacing w:line="360" w:lineRule="auto"/>
        <w:ind w:left="482" w:firstLineChars="0" w:hanging="482"/>
        <w:outlineLvl w:val="0"/>
        <w:rPr>
          <w:rFonts w:ascii="黑体" w:eastAsia="黑体" w:hAnsi="宋体"/>
          <w:sz w:val="24"/>
        </w:rPr>
      </w:pPr>
      <w:bookmarkStart w:id="40" w:name="_Toc111022841"/>
      <w:r>
        <w:rPr>
          <w:rFonts w:ascii="黑体" w:eastAsia="黑体" w:hAnsi="宋体" w:hint="eastAsia"/>
          <w:sz w:val="24"/>
        </w:rPr>
        <w:t>与现行相关法律、法规、规章及相关标准，特别是强制性国家标准的协调配套情况</w:t>
      </w:r>
      <w:bookmarkEnd w:id="40"/>
    </w:p>
    <w:p w:rsidR="00F55E3A" w:rsidRDefault="00F577EE">
      <w:pPr>
        <w:ind w:firstLineChars="200" w:firstLine="420"/>
        <w:rPr>
          <w:rFonts w:ascii="Calibri" w:hAnsi="Calibri"/>
          <w:szCs w:val="21"/>
        </w:rPr>
      </w:pPr>
      <w:r>
        <w:rPr>
          <w:rFonts w:ascii="Calibri" w:hAnsi="Calibri"/>
          <w:szCs w:val="21"/>
        </w:rPr>
        <w:t>本标准完全满足</w:t>
      </w:r>
      <w:r>
        <w:rPr>
          <w:rFonts w:ascii="Calibri" w:hAnsi="Calibri" w:hint="eastAsia"/>
          <w:szCs w:val="21"/>
        </w:rPr>
        <w:t>现行法律、法规等</w:t>
      </w:r>
      <w:r>
        <w:rPr>
          <w:rFonts w:ascii="Calibri" w:hAnsi="Calibri"/>
          <w:szCs w:val="21"/>
        </w:rPr>
        <w:t>的要求，标准</w:t>
      </w:r>
      <w:r>
        <w:rPr>
          <w:rFonts w:ascii="Calibri" w:hAnsi="Calibri" w:hint="eastAsia"/>
          <w:szCs w:val="21"/>
        </w:rPr>
        <w:t>的</w:t>
      </w:r>
      <w:r>
        <w:rPr>
          <w:rFonts w:ascii="Calibri" w:hAnsi="Calibri"/>
          <w:szCs w:val="21"/>
        </w:rPr>
        <w:t>格式</w:t>
      </w:r>
      <w:r>
        <w:rPr>
          <w:rFonts w:ascii="Calibri" w:hAnsi="Calibri" w:hint="eastAsia"/>
          <w:szCs w:val="21"/>
        </w:rPr>
        <w:t>和表达方式等方面完全执行了现行的国家标准和有关</w:t>
      </w:r>
      <w:r>
        <w:rPr>
          <w:rFonts w:ascii="Calibri" w:hAnsi="Calibri"/>
          <w:szCs w:val="21"/>
        </w:rPr>
        <w:t>规范</w:t>
      </w:r>
      <w:r>
        <w:rPr>
          <w:rFonts w:ascii="Calibri" w:hAnsi="Calibri" w:hint="eastAsia"/>
          <w:szCs w:val="21"/>
        </w:rPr>
        <w:t>，符合</w:t>
      </w:r>
      <w:r>
        <w:rPr>
          <w:rFonts w:ascii="Calibri" w:hAnsi="Calibri" w:hint="eastAsia"/>
          <w:szCs w:val="21"/>
        </w:rPr>
        <w:t>GB/T 1.1</w:t>
      </w:r>
      <w:r>
        <w:rPr>
          <w:rFonts w:ascii="Calibri" w:hAnsi="Calibri" w:hint="eastAsia"/>
          <w:szCs w:val="21"/>
        </w:rPr>
        <w:t>的有关要求</w:t>
      </w:r>
      <w:r>
        <w:rPr>
          <w:rFonts w:ascii="Calibri" w:hAnsi="Calibri"/>
          <w:szCs w:val="21"/>
        </w:rPr>
        <w:t>。</w:t>
      </w:r>
    </w:p>
    <w:p w:rsidR="00F55E3A" w:rsidRDefault="00F577EE">
      <w:pPr>
        <w:pStyle w:val="af2"/>
        <w:numPr>
          <w:ilvl w:val="0"/>
          <w:numId w:val="1"/>
        </w:numPr>
        <w:spacing w:line="360" w:lineRule="auto"/>
        <w:ind w:left="482" w:firstLineChars="0" w:hanging="482"/>
        <w:outlineLvl w:val="0"/>
        <w:rPr>
          <w:rFonts w:ascii="黑体" w:eastAsia="黑体" w:hAnsi="宋体"/>
          <w:sz w:val="24"/>
        </w:rPr>
      </w:pPr>
      <w:bookmarkStart w:id="41" w:name="_Toc111022842"/>
      <w:r>
        <w:rPr>
          <w:rFonts w:ascii="黑体" w:eastAsia="黑体" w:hAnsi="宋体" w:hint="eastAsia"/>
          <w:sz w:val="24"/>
        </w:rPr>
        <w:t>重大分歧意见的处理经过和依据</w:t>
      </w:r>
      <w:bookmarkEnd w:id="41"/>
    </w:p>
    <w:p w:rsidR="00F55E3A" w:rsidRDefault="00F577EE">
      <w:pPr>
        <w:spacing w:line="360" w:lineRule="auto"/>
        <w:rPr>
          <w:rFonts w:ascii="Calibri" w:hAnsi="Calibri"/>
          <w:szCs w:val="22"/>
        </w:rPr>
      </w:pPr>
      <w:r>
        <w:rPr>
          <w:rFonts w:ascii="Calibri" w:hAnsi="Calibri" w:hint="eastAsia"/>
          <w:b/>
          <w:szCs w:val="22"/>
        </w:rPr>
        <w:t xml:space="preserve">     </w:t>
      </w:r>
      <w:r>
        <w:rPr>
          <w:rFonts w:ascii="Calibri" w:hAnsi="Calibri" w:hint="eastAsia"/>
          <w:szCs w:val="22"/>
        </w:rPr>
        <w:t>无</w:t>
      </w:r>
    </w:p>
    <w:p w:rsidR="00F55E3A" w:rsidRDefault="00F577EE">
      <w:pPr>
        <w:pStyle w:val="af2"/>
        <w:numPr>
          <w:ilvl w:val="0"/>
          <w:numId w:val="1"/>
        </w:numPr>
        <w:spacing w:line="360" w:lineRule="auto"/>
        <w:ind w:left="482" w:firstLineChars="0" w:hanging="482"/>
        <w:outlineLvl w:val="0"/>
        <w:rPr>
          <w:rFonts w:ascii="黑体" w:eastAsia="黑体" w:hAnsi="宋体"/>
          <w:sz w:val="24"/>
        </w:rPr>
      </w:pPr>
      <w:bookmarkStart w:id="42" w:name="_Toc111022843"/>
      <w:r>
        <w:rPr>
          <w:rFonts w:ascii="黑体" w:eastAsia="黑体" w:hAnsi="宋体" w:hint="eastAsia"/>
          <w:sz w:val="24"/>
        </w:rPr>
        <w:t>标准性质的建议说明</w:t>
      </w:r>
      <w:bookmarkEnd w:id="42"/>
    </w:p>
    <w:p w:rsidR="00F55E3A" w:rsidRDefault="00F577EE">
      <w:pPr>
        <w:spacing w:line="360" w:lineRule="auto"/>
        <w:ind w:firstLineChars="250" w:firstLine="525"/>
        <w:rPr>
          <w:rFonts w:ascii="Calibri" w:hAnsi="Calibri"/>
          <w:szCs w:val="22"/>
        </w:rPr>
      </w:pPr>
      <w:r>
        <w:rPr>
          <w:rFonts w:ascii="Calibri" w:hAnsi="Calibri"/>
          <w:szCs w:val="22"/>
        </w:rPr>
        <w:t>建议该标准</w:t>
      </w:r>
      <w:r>
        <w:rPr>
          <w:rFonts w:ascii="Calibri" w:hAnsi="Calibri" w:hint="eastAsia"/>
          <w:szCs w:val="22"/>
        </w:rPr>
        <w:t>作</w:t>
      </w:r>
      <w:r>
        <w:rPr>
          <w:rFonts w:ascii="Calibri" w:hAnsi="Calibri"/>
          <w:szCs w:val="22"/>
        </w:rPr>
        <w:t>为推荐性</w:t>
      </w:r>
      <w:r>
        <w:rPr>
          <w:rFonts w:ascii="Calibri" w:hAnsi="Calibri" w:hint="eastAsia"/>
          <w:szCs w:val="22"/>
        </w:rPr>
        <w:t>行业</w:t>
      </w:r>
      <w:r>
        <w:rPr>
          <w:rFonts w:ascii="Calibri" w:hAnsi="Calibri"/>
          <w:szCs w:val="22"/>
        </w:rPr>
        <w:t>标准。</w:t>
      </w:r>
    </w:p>
    <w:p w:rsidR="00F55E3A" w:rsidRDefault="00F577EE">
      <w:pPr>
        <w:pStyle w:val="af2"/>
        <w:numPr>
          <w:ilvl w:val="0"/>
          <w:numId w:val="1"/>
        </w:numPr>
        <w:spacing w:line="360" w:lineRule="auto"/>
        <w:ind w:left="482" w:firstLineChars="0" w:hanging="482"/>
        <w:outlineLvl w:val="0"/>
        <w:rPr>
          <w:rFonts w:ascii="黑体" w:eastAsia="黑体" w:hAnsi="宋体"/>
          <w:sz w:val="24"/>
        </w:rPr>
      </w:pPr>
      <w:bookmarkStart w:id="43" w:name="_Toc111022844"/>
      <w:r>
        <w:rPr>
          <w:rFonts w:ascii="黑体" w:eastAsia="黑体" w:hAnsi="宋体" w:hint="eastAsia"/>
          <w:sz w:val="24"/>
        </w:rPr>
        <w:t>贯彻标准的要求和措施建议</w:t>
      </w:r>
      <w:bookmarkEnd w:id="43"/>
    </w:p>
    <w:p w:rsidR="00F55E3A" w:rsidRDefault="00F577EE">
      <w:pPr>
        <w:spacing w:line="360" w:lineRule="auto"/>
        <w:ind w:firstLineChars="250" w:firstLine="525"/>
        <w:rPr>
          <w:rFonts w:ascii="Calibri" w:hAnsi="Calibri"/>
          <w:b/>
          <w:szCs w:val="22"/>
        </w:rPr>
      </w:pPr>
      <w:r>
        <w:rPr>
          <w:rFonts w:ascii="Calibri" w:hAnsi="Calibri" w:hint="eastAsia"/>
          <w:szCs w:val="22"/>
        </w:rPr>
        <w:t>无</w:t>
      </w:r>
    </w:p>
    <w:p w:rsidR="00F55E3A" w:rsidRDefault="00F577EE">
      <w:pPr>
        <w:pStyle w:val="af2"/>
        <w:numPr>
          <w:ilvl w:val="0"/>
          <w:numId w:val="1"/>
        </w:numPr>
        <w:spacing w:line="360" w:lineRule="auto"/>
        <w:ind w:left="482" w:firstLineChars="0" w:hanging="482"/>
        <w:outlineLvl w:val="0"/>
        <w:rPr>
          <w:rFonts w:ascii="黑体" w:eastAsia="黑体" w:hAnsi="宋体"/>
          <w:sz w:val="24"/>
        </w:rPr>
      </w:pPr>
      <w:bookmarkStart w:id="44" w:name="_Toc111022845"/>
      <w:r>
        <w:rPr>
          <w:rFonts w:ascii="黑体" w:eastAsia="黑体" w:hAnsi="宋体" w:hint="eastAsia"/>
          <w:sz w:val="24"/>
        </w:rPr>
        <w:t>废止现行有关标准的建议</w:t>
      </w:r>
      <w:bookmarkEnd w:id="44"/>
    </w:p>
    <w:p w:rsidR="00F55E3A" w:rsidRDefault="00F577EE">
      <w:pPr>
        <w:ind w:firstLine="493"/>
        <w:rPr>
          <w:rFonts w:ascii="Calibri" w:hAnsi="Calibri"/>
          <w:szCs w:val="22"/>
        </w:rPr>
      </w:pPr>
      <w:r>
        <w:rPr>
          <w:rFonts w:ascii="Calibri" w:hAnsi="Calibri" w:hint="eastAsia"/>
          <w:szCs w:val="22"/>
        </w:rPr>
        <w:t>本标准自发布之日起，代替</w:t>
      </w:r>
      <w:r>
        <w:rPr>
          <w:rFonts w:ascii="Calibri" w:hAnsi="Calibri" w:hint="eastAsia"/>
          <w:szCs w:val="22"/>
        </w:rPr>
        <w:t>YS/T 349.2-2010</w:t>
      </w:r>
      <w:r>
        <w:rPr>
          <w:rFonts w:ascii="Calibri" w:hAnsi="Calibri" w:hint="eastAsia"/>
          <w:szCs w:val="22"/>
        </w:rPr>
        <w:t>《硫化钴精矿化学分析方法</w:t>
      </w:r>
      <w:r>
        <w:rPr>
          <w:rFonts w:ascii="Calibri" w:hAnsi="Calibri" w:hint="eastAsia"/>
          <w:szCs w:val="22"/>
        </w:rPr>
        <w:t xml:space="preserve">  </w:t>
      </w:r>
      <w:r>
        <w:rPr>
          <w:rFonts w:ascii="Calibri" w:hAnsi="Calibri" w:hint="eastAsia"/>
          <w:szCs w:val="22"/>
        </w:rPr>
        <w:t>第</w:t>
      </w:r>
      <w:r>
        <w:rPr>
          <w:rFonts w:ascii="Calibri" w:hAnsi="Calibri" w:hint="eastAsia"/>
          <w:szCs w:val="22"/>
        </w:rPr>
        <w:t>2</w:t>
      </w:r>
      <w:r>
        <w:rPr>
          <w:rFonts w:ascii="Calibri" w:hAnsi="Calibri" w:hint="eastAsia"/>
          <w:szCs w:val="22"/>
        </w:rPr>
        <w:t>部分：铜量的测定</w:t>
      </w:r>
      <w:r>
        <w:rPr>
          <w:rFonts w:ascii="Calibri" w:hAnsi="Calibri" w:hint="eastAsia"/>
          <w:szCs w:val="22"/>
        </w:rPr>
        <w:t xml:space="preserve">  </w:t>
      </w:r>
      <w:r>
        <w:rPr>
          <w:rFonts w:ascii="Calibri" w:hAnsi="Calibri" w:hint="eastAsia"/>
          <w:szCs w:val="22"/>
        </w:rPr>
        <w:t>火焰原子吸收光谱法》。</w:t>
      </w:r>
    </w:p>
    <w:p w:rsidR="00F55E3A" w:rsidRDefault="00F577EE">
      <w:pPr>
        <w:pStyle w:val="af2"/>
        <w:numPr>
          <w:ilvl w:val="0"/>
          <w:numId w:val="1"/>
        </w:numPr>
        <w:spacing w:line="360" w:lineRule="auto"/>
        <w:ind w:left="482" w:firstLineChars="0" w:hanging="482"/>
        <w:outlineLvl w:val="0"/>
        <w:rPr>
          <w:rFonts w:ascii="黑体" w:eastAsia="黑体" w:hAnsi="宋体"/>
          <w:sz w:val="24"/>
        </w:rPr>
      </w:pPr>
      <w:bookmarkStart w:id="45" w:name="_Toc111022846"/>
      <w:r>
        <w:rPr>
          <w:rFonts w:ascii="黑体" w:eastAsia="黑体" w:hAnsi="宋体" w:hint="eastAsia"/>
          <w:sz w:val="24"/>
        </w:rPr>
        <w:t>其他应予说明的事项</w:t>
      </w:r>
      <w:bookmarkEnd w:id="45"/>
    </w:p>
    <w:p w:rsidR="00F55E3A" w:rsidRDefault="00F577EE">
      <w:pPr>
        <w:ind w:firstLineChars="200" w:firstLine="420"/>
        <w:rPr>
          <w:rFonts w:ascii="宋体" w:hAnsi="宋体" w:cs="宋体"/>
          <w:kern w:val="0"/>
          <w:szCs w:val="21"/>
        </w:rPr>
      </w:pPr>
      <w:r>
        <w:rPr>
          <w:rFonts w:ascii="宋体" w:hAnsi="宋体" w:cs="宋体" w:hint="eastAsia"/>
          <w:kern w:val="0"/>
          <w:szCs w:val="21"/>
        </w:rPr>
        <w:t>无</w:t>
      </w:r>
    </w:p>
    <w:p w:rsidR="00F55E3A" w:rsidRDefault="00F577EE">
      <w:pPr>
        <w:widowControl/>
        <w:jc w:val="center"/>
        <w:rPr>
          <w:rFonts w:ascii="宋体" w:hAnsi="宋体" w:cs="宋体"/>
          <w:sz w:val="28"/>
          <w:szCs w:val="28"/>
        </w:rPr>
      </w:pPr>
      <w:r>
        <w:rPr>
          <w:rFonts w:ascii="宋体" w:hAnsi="宋体" w:cs="宋体" w:hint="eastAsia"/>
          <w:b/>
          <w:color w:val="FF0000"/>
          <w:kern w:val="0"/>
          <w:sz w:val="24"/>
        </w:rPr>
        <w:t xml:space="preserve">          </w:t>
      </w:r>
      <w:r>
        <w:rPr>
          <w:rFonts w:ascii="宋体" w:hAnsi="宋体" w:cs="宋体"/>
          <w:b/>
          <w:color w:val="FF0000"/>
          <w:kern w:val="0"/>
          <w:sz w:val="24"/>
        </w:rPr>
        <w:t xml:space="preserve">                                    </w:t>
      </w:r>
    </w:p>
    <w:p w:rsidR="00F55E3A" w:rsidRDefault="00F577EE">
      <w:pPr>
        <w:pStyle w:val="af3"/>
        <w:spacing w:line="360" w:lineRule="auto"/>
        <w:outlineLvl w:val="0"/>
        <w:rPr>
          <w:rFonts w:eastAsia="黑体"/>
          <w:sz w:val="24"/>
          <w:szCs w:val="24"/>
        </w:rPr>
      </w:pPr>
      <w:bookmarkStart w:id="46" w:name="_Toc111022847"/>
      <w:r>
        <w:rPr>
          <w:rFonts w:eastAsia="黑体"/>
          <w:sz w:val="24"/>
          <w:szCs w:val="24"/>
        </w:rPr>
        <w:t>附件</w:t>
      </w:r>
      <w:r>
        <w:rPr>
          <w:rFonts w:eastAsia="黑体"/>
          <w:sz w:val="24"/>
          <w:szCs w:val="24"/>
        </w:rPr>
        <w:t>1</w:t>
      </w:r>
      <w:r>
        <w:rPr>
          <w:rFonts w:eastAsia="黑体"/>
          <w:sz w:val="24"/>
          <w:szCs w:val="24"/>
        </w:rPr>
        <w:t>：</w:t>
      </w:r>
      <w:r>
        <w:rPr>
          <w:rFonts w:eastAsia="黑体" w:hint="eastAsia"/>
          <w:sz w:val="24"/>
          <w:szCs w:val="24"/>
        </w:rPr>
        <w:t>火焰原子吸收法</w:t>
      </w:r>
      <w:r>
        <w:rPr>
          <w:rFonts w:eastAsia="黑体"/>
          <w:sz w:val="24"/>
          <w:szCs w:val="24"/>
        </w:rPr>
        <w:t>试验报告</w:t>
      </w:r>
      <w:bookmarkEnd w:id="46"/>
    </w:p>
    <w:p w:rsidR="00F55E3A" w:rsidRDefault="00F577EE">
      <w:pPr>
        <w:pStyle w:val="af3"/>
        <w:spacing w:line="360" w:lineRule="auto"/>
        <w:outlineLvl w:val="0"/>
        <w:rPr>
          <w:rFonts w:eastAsia="黑体"/>
          <w:sz w:val="24"/>
          <w:szCs w:val="24"/>
        </w:rPr>
      </w:pPr>
      <w:bookmarkStart w:id="47" w:name="_Toc111022848"/>
      <w:r>
        <w:rPr>
          <w:rFonts w:eastAsia="黑体" w:hint="eastAsia"/>
          <w:sz w:val="24"/>
          <w:szCs w:val="24"/>
        </w:rPr>
        <w:t>附件</w:t>
      </w:r>
      <w:r>
        <w:rPr>
          <w:rFonts w:eastAsia="黑体" w:hint="eastAsia"/>
          <w:sz w:val="24"/>
          <w:szCs w:val="24"/>
        </w:rPr>
        <w:t>2</w:t>
      </w:r>
      <w:r>
        <w:rPr>
          <w:rFonts w:eastAsia="黑体" w:hint="eastAsia"/>
          <w:sz w:val="24"/>
          <w:szCs w:val="24"/>
        </w:rPr>
        <w:t>：碘量法试验报告</w:t>
      </w:r>
      <w:bookmarkEnd w:id="47"/>
    </w:p>
    <w:bookmarkEnd w:id="16"/>
    <w:p w:rsidR="00F55E3A" w:rsidRDefault="00F55E3A">
      <w:pPr>
        <w:rPr>
          <w:rFonts w:ascii="宋体" w:hAnsi="宋体" w:cs="宋体"/>
          <w:b/>
        </w:rPr>
      </w:pPr>
    </w:p>
    <w:p w:rsidR="00F55E3A" w:rsidRDefault="00F55E3A">
      <w:pPr>
        <w:rPr>
          <w:rFonts w:ascii="宋体" w:hAnsi="宋体" w:cs="宋体"/>
          <w:b/>
        </w:rPr>
      </w:pPr>
    </w:p>
    <w:p w:rsidR="00F55E3A" w:rsidRDefault="00F577EE">
      <w:pPr>
        <w:widowControl/>
        <w:jc w:val="center"/>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标准编制组</w:t>
      </w:r>
    </w:p>
    <w:p w:rsidR="00F55E3A" w:rsidRDefault="00F577EE" w:rsidP="00532631">
      <w:pPr>
        <w:ind w:right="560" w:firstLineChars="200" w:firstLine="560"/>
        <w:jc w:val="right"/>
        <w:rPr>
          <w:rFonts w:ascii="宋体" w:hAnsi="宋体" w:cs="宋体"/>
          <w:b/>
        </w:rPr>
      </w:pPr>
      <w:r>
        <w:rPr>
          <w:rFonts w:ascii="宋体" w:hAnsi="宋体" w:cs="宋体"/>
          <w:sz w:val="28"/>
          <w:szCs w:val="28"/>
        </w:rPr>
        <w:t>2022年</w:t>
      </w:r>
      <w:r w:rsidR="00532631">
        <w:rPr>
          <w:rFonts w:ascii="宋体" w:hAnsi="宋体" w:cs="宋体" w:hint="eastAsia"/>
          <w:sz w:val="28"/>
          <w:szCs w:val="28"/>
        </w:rPr>
        <w:t>9</w:t>
      </w:r>
      <w:r>
        <w:rPr>
          <w:rFonts w:ascii="宋体" w:hAnsi="宋体" w:cs="宋体"/>
          <w:sz w:val="28"/>
          <w:szCs w:val="28"/>
        </w:rPr>
        <w:t>月</w:t>
      </w:r>
    </w:p>
    <w:sectPr w:rsidR="00F55E3A" w:rsidSect="007B68B7">
      <w:footerReference w:type="default" r:id="rId15"/>
      <w:footerReference w:type="first" r:id="rId16"/>
      <w:pgSz w:w="11907" w:h="16840"/>
      <w:pgMar w:top="1418" w:right="1134" w:bottom="1134" w:left="1418" w:header="851" w:footer="567" w:gutter="0"/>
      <w:pgNumType w:start="1"/>
      <w:cols w:space="720"/>
      <w:docGrid w:type="linesAndChar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38F" w:rsidRDefault="00F9738F">
      <w:r>
        <w:separator/>
      </w:r>
    </w:p>
  </w:endnote>
  <w:endnote w:type="continuationSeparator" w:id="0">
    <w:p w:rsidR="00F9738F" w:rsidRDefault="00F973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7EE" w:rsidRDefault="00F577EE">
    <w:pPr>
      <w:pStyle w:val="a7"/>
      <w:jc w:val="center"/>
    </w:pPr>
  </w:p>
  <w:p w:rsidR="00F577EE" w:rsidRDefault="00F577E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607682"/>
    </w:sdtPr>
    <w:sdtContent>
      <w:p w:rsidR="00F577EE" w:rsidRDefault="00F577EE">
        <w:pPr>
          <w:pStyle w:val="a7"/>
          <w:jc w:val="center"/>
        </w:pPr>
        <w:fldSimple w:instr="PAGE   \* MERGEFORMAT">
          <w:r w:rsidR="00532631" w:rsidRPr="00532631">
            <w:rPr>
              <w:noProof/>
              <w:lang w:val="zh-CN"/>
            </w:rPr>
            <w:t>15</w:t>
          </w:r>
        </w:fldSimple>
      </w:p>
    </w:sdtContent>
  </w:sdt>
  <w:p w:rsidR="00F577EE" w:rsidRDefault="00F577E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252200"/>
    </w:sdtPr>
    <w:sdtContent>
      <w:p w:rsidR="00F577EE" w:rsidRDefault="00F577EE">
        <w:pPr>
          <w:pStyle w:val="a7"/>
          <w:jc w:val="center"/>
        </w:pPr>
        <w:fldSimple w:instr="PAGE   \* MERGEFORMAT">
          <w:r>
            <w:rPr>
              <w:lang w:val="zh-CN"/>
            </w:rPr>
            <w:t>2</w:t>
          </w:r>
        </w:fldSimple>
      </w:p>
    </w:sdtContent>
  </w:sdt>
  <w:p w:rsidR="00F577EE" w:rsidRDefault="00F577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38F" w:rsidRDefault="00F9738F">
      <w:r>
        <w:separator/>
      </w:r>
    </w:p>
  </w:footnote>
  <w:footnote w:type="continuationSeparator" w:id="0">
    <w:p w:rsidR="00F9738F" w:rsidRDefault="00F973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D78"/>
    <w:multiLevelType w:val="multilevel"/>
    <w:tmpl w:val="06052D7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7F680913"/>
    <w:multiLevelType w:val="multilevel"/>
    <w:tmpl w:val="7F680913"/>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62"/>
  <w:displayHorizontalDrawingGridEvery w:val="2"/>
  <w:displayVerticalDrawingGridEvery w:val="2"/>
  <w:noPunctuationKerning/>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6AE4"/>
    <w:rsid w:val="000006CE"/>
    <w:rsid w:val="00003ADD"/>
    <w:rsid w:val="000041CF"/>
    <w:rsid w:val="00004420"/>
    <w:rsid w:val="0000548B"/>
    <w:rsid w:val="000135F1"/>
    <w:rsid w:val="00015788"/>
    <w:rsid w:val="000174F0"/>
    <w:rsid w:val="00021470"/>
    <w:rsid w:val="000229EB"/>
    <w:rsid w:val="000236E8"/>
    <w:rsid w:val="00024B93"/>
    <w:rsid w:val="00025563"/>
    <w:rsid w:val="00025ADA"/>
    <w:rsid w:val="00026387"/>
    <w:rsid w:val="0002673C"/>
    <w:rsid w:val="000269C1"/>
    <w:rsid w:val="00026F1A"/>
    <w:rsid w:val="00030158"/>
    <w:rsid w:val="000329AB"/>
    <w:rsid w:val="00032F22"/>
    <w:rsid w:val="00034C1F"/>
    <w:rsid w:val="000358FB"/>
    <w:rsid w:val="00040DD9"/>
    <w:rsid w:val="00041139"/>
    <w:rsid w:val="00043091"/>
    <w:rsid w:val="000465A0"/>
    <w:rsid w:val="00046A52"/>
    <w:rsid w:val="0005734B"/>
    <w:rsid w:val="0006149D"/>
    <w:rsid w:val="000616C8"/>
    <w:rsid w:val="00061EBB"/>
    <w:rsid w:val="000621C9"/>
    <w:rsid w:val="00062DBB"/>
    <w:rsid w:val="000641EC"/>
    <w:rsid w:val="00064392"/>
    <w:rsid w:val="00064A3D"/>
    <w:rsid w:val="00065B12"/>
    <w:rsid w:val="00067246"/>
    <w:rsid w:val="00070530"/>
    <w:rsid w:val="00072074"/>
    <w:rsid w:val="000742AD"/>
    <w:rsid w:val="00075BF6"/>
    <w:rsid w:val="00076C7D"/>
    <w:rsid w:val="00077178"/>
    <w:rsid w:val="00077464"/>
    <w:rsid w:val="00077E15"/>
    <w:rsid w:val="00082A04"/>
    <w:rsid w:val="000838EB"/>
    <w:rsid w:val="000841F3"/>
    <w:rsid w:val="00090204"/>
    <w:rsid w:val="00093281"/>
    <w:rsid w:val="00093324"/>
    <w:rsid w:val="00093910"/>
    <w:rsid w:val="00094F04"/>
    <w:rsid w:val="000963EB"/>
    <w:rsid w:val="000A230E"/>
    <w:rsid w:val="000A4B10"/>
    <w:rsid w:val="000A4EEA"/>
    <w:rsid w:val="000B08FB"/>
    <w:rsid w:val="000B1FF7"/>
    <w:rsid w:val="000B5248"/>
    <w:rsid w:val="000B70BA"/>
    <w:rsid w:val="000C0194"/>
    <w:rsid w:val="000C13A0"/>
    <w:rsid w:val="000C1C3C"/>
    <w:rsid w:val="000C1E0F"/>
    <w:rsid w:val="000D0EDF"/>
    <w:rsid w:val="000D17B3"/>
    <w:rsid w:val="000D34F8"/>
    <w:rsid w:val="000D47AA"/>
    <w:rsid w:val="000F00F4"/>
    <w:rsid w:val="000F0A86"/>
    <w:rsid w:val="000F2B19"/>
    <w:rsid w:val="000F307F"/>
    <w:rsid w:val="000F4344"/>
    <w:rsid w:val="000F599D"/>
    <w:rsid w:val="000F62D3"/>
    <w:rsid w:val="000F7838"/>
    <w:rsid w:val="00100192"/>
    <w:rsid w:val="001004BF"/>
    <w:rsid w:val="00101CCB"/>
    <w:rsid w:val="00106A87"/>
    <w:rsid w:val="00107176"/>
    <w:rsid w:val="001130BB"/>
    <w:rsid w:val="00114D04"/>
    <w:rsid w:val="00121A12"/>
    <w:rsid w:val="001221AD"/>
    <w:rsid w:val="001228F8"/>
    <w:rsid w:val="00123D55"/>
    <w:rsid w:val="00124060"/>
    <w:rsid w:val="00130E3B"/>
    <w:rsid w:val="00131776"/>
    <w:rsid w:val="001320AE"/>
    <w:rsid w:val="0013390B"/>
    <w:rsid w:val="00133F8B"/>
    <w:rsid w:val="001341B8"/>
    <w:rsid w:val="00134BA7"/>
    <w:rsid w:val="00141C02"/>
    <w:rsid w:val="00144AC9"/>
    <w:rsid w:val="001453F8"/>
    <w:rsid w:val="00154ED7"/>
    <w:rsid w:val="00157883"/>
    <w:rsid w:val="001620AF"/>
    <w:rsid w:val="00163DAF"/>
    <w:rsid w:val="001646C9"/>
    <w:rsid w:val="00164C14"/>
    <w:rsid w:val="00170C56"/>
    <w:rsid w:val="00172FAE"/>
    <w:rsid w:val="00175CEB"/>
    <w:rsid w:val="00176CD4"/>
    <w:rsid w:val="00177E67"/>
    <w:rsid w:val="00181666"/>
    <w:rsid w:val="00187248"/>
    <w:rsid w:val="0019109D"/>
    <w:rsid w:val="00191CC2"/>
    <w:rsid w:val="0019227A"/>
    <w:rsid w:val="00193730"/>
    <w:rsid w:val="00194B67"/>
    <w:rsid w:val="00195343"/>
    <w:rsid w:val="0019574E"/>
    <w:rsid w:val="00196508"/>
    <w:rsid w:val="00196D02"/>
    <w:rsid w:val="001972DA"/>
    <w:rsid w:val="00197B0A"/>
    <w:rsid w:val="001A2622"/>
    <w:rsid w:val="001A2A7A"/>
    <w:rsid w:val="001A305E"/>
    <w:rsid w:val="001A4A1D"/>
    <w:rsid w:val="001A4A93"/>
    <w:rsid w:val="001A61EC"/>
    <w:rsid w:val="001A65CB"/>
    <w:rsid w:val="001B10ED"/>
    <w:rsid w:val="001B4509"/>
    <w:rsid w:val="001B4C79"/>
    <w:rsid w:val="001B587E"/>
    <w:rsid w:val="001B5913"/>
    <w:rsid w:val="001C4960"/>
    <w:rsid w:val="001D0368"/>
    <w:rsid w:val="001D3A7C"/>
    <w:rsid w:val="001D5F84"/>
    <w:rsid w:val="001D639E"/>
    <w:rsid w:val="001D6923"/>
    <w:rsid w:val="001E2250"/>
    <w:rsid w:val="001E2777"/>
    <w:rsid w:val="001E2D7D"/>
    <w:rsid w:val="001E4F77"/>
    <w:rsid w:val="001F1FD6"/>
    <w:rsid w:val="001F3D30"/>
    <w:rsid w:val="001F55EE"/>
    <w:rsid w:val="002001DA"/>
    <w:rsid w:val="00203B39"/>
    <w:rsid w:val="002106C0"/>
    <w:rsid w:val="00210BE4"/>
    <w:rsid w:val="002117C5"/>
    <w:rsid w:val="00212DC5"/>
    <w:rsid w:val="0021487A"/>
    <w:rsid w:val="00215658"/>
    <w:rsid w:val="00216300"/>
    <w:rsid w:val="00216B60"/>
    <w:rsid w:val="002223CC"/>
    <w:rsid w:val="00222B4B"/>
    <w:rsid w:val="00225BEB"/>
    <w:rsid w:val="0023077C"/>
    <w:rsid w:val="002308A4"/>
    <w:rsid w:val="00231032"/>
    <w:rsid w:val="002311BB"/>
    <w:rsid w:val="00231237"/>
    <w:rsid w:val="00231319"/>
    <w:rsid w:val="00234515"/>
    <w:rsid w:val="002361BD"/>
    <w:rsid w:val="00243021"/>
    <w:rsid w:val="00244120"/>
    <w:rsid w:val="002457D3"/>
    <w:rsid w:val="002473EB"/>
    <w:rsid w:val="002513D5"/>
    <w:rsid w:val="00255561"/>
    <w:rsid w:val="0025739D"/>
    <w:rsid w:val="00261A9C"/>
    <w:rsid w:val="002623DB"/>
    <w:rsid w:val="00266BDB"/>
    <w:rsid w:val="00267491"/>
    <w:rsid w:val="00267F49"/>
    <w:rsid w:val="0027014B"/>
    <w:rsid w:val="00275738"/>
    <w:rsid w:val="00277C57"/>
    <w:rsid w:val="00280527"/>
    <w:rsid w:val="002817E9"/>
    <w:rsid w:val="00281BC4"/>
    <w:rsid w:val="0028214D"/>
    <w:rsid w:val="00283397"/>
    <w:rsid w:val="00283E96"/>
    <w:rsid w:val="0028416C"/>
    <w:rsid w:val="00287ADF"/>
    <w:rsid w:val="0029105F"/>
    <w:rsid w:val="00295F7B"/>
    <w:rsid w:val="00297A9F"/>
    <w:rsid w:val="00297FF9"/>
    <w:rsid w:val="002A1721"/>
    <w:rsid w:val="002A22A9"/>
    <w:rsid w:val="002A286B"/>
    <w:rsid w:val="002A3038"/>
    <w:rsid w:val="002A3D37"/>
    <w:rsid w:val="002A43E0"/>
    <w:rsid w:val="002A5137"/>
    <w:rsid w:val="002A5EB8"/>
    <w:rsid w:val="002A6F78"/>
    <w:rsid w:val="002B1437"/>
    <w:rsid w:val="002B32DC"/>
    <w:rsid w:val="002B372E"/>
    <w:rsid w:val="002B3E66"/>
    <w:rsid w:val="002C213D"/>
    <w:rsid w:val="002C21ED"/>
    <w:rsid w:val="002C3D1D"/>
    <w:rsid w:val="002C516F"/>
    <w:rsid w:val="002C647D"/>
    <w:rsid w:val="002C6504"/>
    <w:rsid w:val="002C6FE4"/>
    <w:rsid w:val="002C7A58"/>
    <w:rsid w:val="002D0B5B"/>
    <w:rsid w:val="002D0EFD"/>
    <w:rsid w:val="002D227B"/>
    <w:rsid w:val="002D343A"/>
    <w:rsid w:val="002D7DC9"/>
    <w:rsid w:val="002E2ABE"/>
    <w:rsid w:val="002E2D92"/>
    <w:rsid w:val="002E34A3"/>
    <w:rsid w:val="002F0142"/>
    <w:rsid w:val="002F092F"/>
    <w:rsid w:val="002F39A9"/>
    <w:rsid w:val="002F3C73"/>
    <w:rsid w:val="002F4A8A"/>
    <w:rsid w:val="002F4C4A"/>
    <w:rsid w:val="002F52E0"/>
    <w:rsid w:val="002F6968"/>
    <w:rsid w:val="00301407"/>
    <w:rsid w:val="003040B0"/>
    <w:rsid w:val="00312098"/>
    <w:rsid w:val="00313015"/>
    <w:rsid w:val="0031306D"/>
    <w:rsid w:val="00315184"/>
    <w:rsid w:val="0031527A"/>
    <w:rsid w:val="00315709"/>
    <w:rsid w:val="003176E6"/>
    <w:rsid w:val="003205FD"/>
    <w:rsid w:val="00320E58"/>
    <w:rsid w:val="00320E86"/>
    <w:rsid w:val="0032151F"/>
    <w:rsid w:val="003240BF"/>
    <w:rsid w:val="00324312"/>
    <w:rsid w:val="00324325"/>
    <w:rsid w:val="003253C9"/>
    <w:rsid w:val="00326701"/>
    <w:rsid w:val="003275CE"/>
    <w:rsid w:val="00327F40"/>
    <w:rsid w:val="00333625"/>
    <w:rsid w:val="00333676"/>
    <w:rsid w:val="00342CB6"/>
    <w:rsid w:val="003449A6"/>
    <w:rsid w:val="0034617C"/>
    <w:rsid w:val="00346FA8"/>
    <w:rsid w:val="00347F75"/>
    <w:rsid w:val="0035174A"/>
    <w:rsid w:val="00352B53"/>
    <w:rsid w:val="00354118"/>
    <w:rsid w:val="003542D0"/>
    <w:rsid w:val="00354DB2"/>
    <w:rsid w:val="00357405"/>
    <w:rsid w:val="003644F1"/>
    <w:rsid w:val="00364D1B"/>
    <w:rsid w:val="00365A11"/>
    <w:rsid w:val="003722DE"/>
    <w:rsid w:val="00372B2D"/>
    <w:rsid w:val="00372D0B"/>
    <w:rsid w:val="00372E66"/>
    <w:rsid w:val="003816A1"/>
    <w:rsid w:val="003820E9"/>
    <w:rsid w:val="0038211F"/>
    <w:rsid w:val="00383A45"/>
    <w:rsid w:val="00383DD1"/>
    <w:rsid w:val="0038662A"/>
    <w:rsid w:val="003871C5"/>
    <w:rsid w:val="00387DE5"/>
    <w:rsid w:val="00392B39"/>
    <w:rsid w:val="003935C2"/>
    <w:rsid w:val="00396CBB"/>
    <w:rsid w:val="003A0118"/>
    <w:rsid w:val="003A02F4"/>
    <w:rsid w:val="003A1448"/>
    <w:rsid w:val="003A1CB7"/>
    <w:rsid w:val="003A24A4"/>
    <w:rsid w:val="003A3FF4"/>
    <w:rsid w:val="003A552B"/>
    <w:rsid w:val="003A568D"/>
    <w:rsid w:val="003A708C"/>
    <w:rsid w:val="003B4638"/>
    <w:rsid w:val="003B4881"/>
    <w:rsid w:val="003B5F72"/>
    <w:rsid w:val="003C16D7"/>
    <w:rsid w:val="003C4C01"/>
    <w:rsid w:val="003C5103"/>
    <w:rsid w:val="003C51E0"/>
    <w:rsid w:val="003C73E1"/>
    <w:rsid w:val="003D0E16"/>
    <w:rsid w:val="003D3938"/>
    <w:rsid w:val="003D447C"/>
    <w:rsid w:val="003D622B"/>
    <w:rsid w:val="003D72E1"/>
    <w:rsid w:val="003D7AF0"/>
    <w:rsid w:val="003E1FE8"/>
    <w:rsid w:val="003E6EE4"/>
    <w:rsid w:val="003E7416"/>
    <w:rsid w:val="003F0C20"/>
    <w:rsid w:val="003F14CE"/>
    <w:rsid w:val="003F3411"/>
    <w:rsid w:val="003F64A4"/>
    <w:rsid w:val="003F6E71"/>
    <w:rsid w:val="0040020B"/>
    <w:rsid w:val="00401B4D"/>
    <w:rsid w:val="00401C66"/>
    <w:rsid w:val="00403B9E"/>
    <w:rsid w:val="004043B0"/>
    <w:rsid w:val="00405414"/>
    <w:rsid w:val="00405695"/>
    <w:rsid w:val="00411C21"/>
    <w:rsid w:val="004130A2"/>
    <w:rsid w:val="00413907"/>
    <w:rsid w:val="00415088"/>
    <w:rsid w:val="0041685C"/>
    <w:rsid w:val="004200D0"/>
    <w:rsid w:val="00423BBF"/>
    <w:rsid w:val="004265B9"/>
    <w:rsid w:val="00430D7E"/>
    <w:rsid w:val="004327C3"/>
    <w:rsid w:val="00433B55"/>
    <w:rsid w:val="00434BBD"/>
    <w:rsid w:val="004352DE"/>
    <w:rsid w:val="004354C1"/>
    <w:rsid w:val="00440979"/>
    <w:rsid w:val="004417CC"/>
    <w:rsid w:val="00443535"/>
    <w:rsid w:val="004446BB"/>
    <w:rsid w:val="004451F1"/>
    <w:rsid w:val="00447BD9"/>
    <w:rsid w:val="00450225"/>
    <w:rsid w:val="00452085"/>
    <w:rsid w:val="00454113"/>
    <w:rsid w:val="00455025"/>
    <w:rsid w:val="004562D4"/>
    <w:rsid w:val="00460067"/>
    <w:rsid w:val="004600D1"/>
    <w:rsid w:val="00463308"/>
    <w:rsid w:val="0046454A"/>
    <w:rsid w:val="00465DBF"/>
    <w:rsid w:val="004674C1"/>
    <w:rsid w:val="004679BF"/>
    <w:rsid w:val="004705C9"/>
    <w:rsid w:val="0047249A"/>
    <w:rsid w:val="00473277"/>
    <w:rsid w:val="00473C19"/>
    <w:rsid w:val="004747D5"/>
    <w:rsid w:val="004747E7"/>
    <w:rsid w:val="004747FC"/>
    <w:rsid w:val="0047549C"/>
    <w:rsid w:val="00477661"/>
    <w:rsid w:val="00477865"/>
    <w:rsid w:val="00477A0C"/>
    <w:rsid w:val="004808CA"/>
    <w:rsid w:val="004809A7"/>
    <w:rsid w:val="00481BFB"/>
    <w:rsid w:val="00482547"/>
    <w:rsid w:val="004846AB"/>
    <w:rsid w:val="00490871"/>
    <w:rsid w:val="00490B9B"/>
    <w:rsid w:val="00493A12"/>
    <w:rsid w:val="00493E9A"/>
    <w:rsid w:val="004946ED"/>
    <w:rsid w:val="004953E1"/>
    <w:rsid w:val="004960CF"/>
    <w:rsid w:val="004973D5"/>
    <w:rsid w:val="004A2DA9"/>
    <w:rsid w:val="004A50FE"/>
    <w:rsid w:val="004A6AA2"/>
    <w:rsid w:val="004A6D5B"/>
    <w:rsid w:val="004B0D87"/>
    <w:rsid w:val="004B121D"/>
    <w:rsid w:val="004B48F6"/>
    <w:rsid w:val="004B513F"/>
    <w:rsid w:val="004B5AAA"/>
    <w:rsid w:val="004B6F82"/>
    <w:rsid w:val="004C00AB"/>
    <w:rsid w:val="004C2CC3"/>
    <w:rsid w:val="004C45AE"/>
    <w:rsid w:val="004C5457"/>
    <w:rsid w:val="004C7943"/>
    <w:rsid w:val="004D3884"/>
    <w:rsid w:val="004D4469"/>
    <w:rsid w:val="004D4ED7"/>
    <w:rsid w:val="004D5C7C"/>
    <w:rsid w:val="004D6607"/>
    <w:rsid w:val="004E385A"/>
    <w:rsid w:val="004E4BB0"/>
    <w:rsid w:val="004F06C8"/>
    <w:rsid w:val="004F3F01"/>
    <w:rsid w:val="00500DF8"/>
    <w:rsid w:val="00501017"/>
    <w:rsid w:val="00502AC2"/>
    <w:rsid w:val="00504EA3"/>
    <w:rsid w:val="00512069"/>
    <w:rsid w:val="005130C5"/>
    <w:rsid w:val="00513166"/>
    <w:rsid w:val="00515796"/>
    <w:rsid w:val="00517643"/>
    <w:rsid w:val="00520DF0"/>
    <w:rsid w:val="0052112F"/>
    <w:rsid w:val="005212D4"/>
    <w:rsid w:val="00524131"/>
    <w:rsid w:val="00525035"/>
    <w:rsid w:val="00525BB2"/>
    <w:rsid w:val="00526DEA"/>
    <w:rsid w:val="0052738C"/>
    <w:rsid w:val="00527498"/>
    <w:rsid w:val="0053036C"/>
    <w:rsid w:val="005312E2"/>
    <w:rsid w:val="00532631"/>
    <w:rsid w:val="0053290F"/>
    <w:rsid w:val="005338AA"/>
    <w:rsid w:val="00534477"/>
    <w:rsid w:val="005374CC"/>
    <w:rsid w:val="0054179D"/>
    <w:rsid w:val="00541FAF"/>
    <w:rsid w:val="005445BA"/>
    <w:rsid w:val="00545628"/>
    <w:rsid w:val="00547493"/>
    <w:rsid w:val="00550EE6"/>
    <w:rsid w:val="005518BE"/>
    <w:rsid w:val="00552C53"/>
    <w:rsid w:val="00555D98"/>
    <w:rsid w:val="005615A5"/>
    <w:rsid w:val="00563A55"/>
    <w:rsid w:val="00565086"/>
    <w:rsid w:val="005673AB"/>
    <w:rsid w:val="00567515"/>
    <w:rsid w:val="00570043"/>
    <w:rsid w:val="005705F1"/>
    <w:rsid w:val="00572389"/>
    <w:rsid w:val="00576FC0"/>
    <w:rsid w:val="005836D1"/>
    <w:rsid w:val="005848B1"/>
    <w:rsid w:val="00585160"/>
    <w:rsid w:val="00585A6C"/>
    <w:rsid w:val="00585FF8"/>
    <w:rsid w:val="005866B7"/>
    <w:rsid w:val="00591250"/>
    <w:rsid w:val="00591C9A"/>
    <w:rsid w:val="00592478"/>
    <w:rsid w:val="00592FED"/>
    <w:rsid w:val="00593EE1"/>
    <w:rsid w:val="00594AA0"/>
    <w:rsid w:val="005964FD"/>
    <w:rsid w:val="005A02D1"/>
    <w:rsid w:val="005A0B20"/>
    <w:rsid w:val="005A2227"/>
    <w:rsid w:val="005A2692"/>
    <w:rsid w:val="005A3E0D"/>
    <w:rsid w:val="005A4940"/>
    <w:rsid w:val="005A4D26"/>
    <w:rsid w:val="005A632A"/>
    <w:rsid w:val="005A691A"/>
    <w:rsid w:val="005B02F6"/>
    <w:rsid w:val="005B0F90"/>
    <w:rsid w:val="005B1A4F"/>
    <w:rsid w:val="005B217C"/>
    <w:rsid w:val="005B2834"/>
    <w:rsid w:val="005B36B4"/>
    <w:rsid w:val="005B668B"/>
    <w:rsid w:val="005C05EC"/>
    <w:rsid w:val="005C10A8"/>
    <w:rsid w:val="005C1763"/>
    <w:rsid w:val="005C1DFA"/>
    <w:rsid w:val="005C3F14"/>
    <w:rsid w:val="005C7914"/>
    <w:rsid w:val="005C7CE5"/>
    <w:rsid w:val="005D05C2"/>
    <w:rsid w:val="005D285C"/>
    <w:rsid w:val="005D5B79"/>
    <w:rsid w:val="005D62E0"/>
    <w:rsid w:val="005D6A3C"/>
    <w:rsid w:val="005E320C"/>
    <w:rsid w:val="005E58C4"/>
    <w:rsid w:val="005E6C91"/>
    <w:rsid w:val="005F19C3"/>
    <w:rsid w:val="005F44DA"/>
    <w:rsid w:val="005F72C5"/>
    <w:rsid w:val="006003FD"/>
    <w:rsid w:val="00601C7C"/>
    <w:rsid w:val="006023B2"/>
    <w:rsid w:val="00605326"/>
    <w:rsid w:val="00611A5D"/>
    <w:rsid w:val="00612113"/>
    <w:rsid w:val="006152D2"/>
    <w:rsid w:val="00621AED"/>
    <w:rsid w:val="00621D54"/>
    <w:rsid w:val="00632231"/>
    <w:rsid w:val="00634068"/>
    <w:rsid w:val="00634B2C"/>
    <w:rsid w:val="0063608C"/>
    <w:rsid w:val="006437C5"/>
    <w:rsid w:val="00646375"/>
    <w:rsid w:val="00646B12"/>
    <w:rsid w:val="00646C16"/>
    <w:rsid w:val="00651498"/>
    <w:rsid w:val="00651C31"/>
    <w:rsid w:val="00653D6B"/>
    <w:rsid w:val="00654A29"/>
    <w:rsid w:val="00656254"/>
    <w:rsid w:val="00656A2C"/>
    <w:rsid w:val="00656D6F"/>
    <w:rsid w:val="00656D90"/>
    <w:rsid w:val="00662A16"/>
    <w:rsid w:val="00663E67"/>
    <w:rsid w:val="00665F5B"/>
    <w:rsid w:val="0066731B"/>
    <w:rsid w:val="00670DF1"/>
    <w:rsid w:val="00673EF9"/>
    <w:rsid w:val="00675E55"/>
    <w:rsid w:val="00675EA9"/>
    <w:rsid w:val="00676AE4"/>
    <w:rsid w:val="006772F4"/>
    <w:rsid w:val="00677BB7"/>
    <w:rsid w:val="006807F6"/>
    <w:rsid w:val="00680BE2"/>
    <w:rsid w:val="00680F19"/>
    <w:rsid w:val="0068177D"/>
    <w:rsid w:val="00682020"/>
    <w:rsid w:val="00684AF6"/>
    <w:rsid w:val="00685717"/>
    <w:rsid w:val="00686DEC"/>
    <w:rsid w:val="006874F6"/>
    <w:rsid w:val="00694F14"/>
    <w:rsid w:val="00695308"/>
    <w:rsid w:val="006955A7"/>
    <w:rsid w:val="00697813"/>
    <w:rsid w:val="006A0A2D"/>
    <w:rsid w:val="006A1208"/>
    <w:rsid w:val="006A24ED"/>
    <w:rsid w:val="006A2B54"/>
    <w:rsid w:val="006A4339"/>
    <w:rsid w:val="006A45DD"/>
    <w:rsid w:val="006A5D10"/>
    <w:rsid w:val="006A649C"/>
    <w:rsid w:val="006A69D5"/>
    <w:rsid w:val="006A6E2A"/>
    <w:rsid w:val="006B387D"/>
    <w:rsid w:val="006B3E09"/>
    <w:rsid w:val="006C3056"/>
    <w:rsid w:val="006C3F6A"/>
    <w:rsid w:val="006C5450"/>
    <w:rsid w:val="006C61C8"/>
    <w:rsid w:val="006C6300"/>
    <w:rsid w:val="006C64B4"/>
    <w:rsid w:val="006C7110"/>
    <w:rsid w:val="006C742C"/>
    <w:rsid w:val="006D2853"/>
    <w:rsid w:val="006D32C8"/>
    <w:rsid w:val="006D4E2A"/>
    <w:rsid w:val="006D745B"/>
    <w:rsid w:val="006D7665"/>
    <w:rsid w:val="006E04C5"/>
    <w:rsid w:val="006E1249"/>
    <w:rsid w:val="006E1C04"/>
    <w:rsid w:val="006F0278"/>
    <w:rsid w:val="006F0939"/>
    <w:rsid w:val="006F3100"/>
    <w:rsid w:val="006F46D5"/>
    <w:rsid w:val="006F62F0"/>
    <w:rsid w:val="007000B8"/>
    <w:rsid w:val="007003A0"/>
    <w:rsid w:val="007028D9"/>
    <w:rsid w:val="0071289D"/>
    <w:rsid w:val="00714CBD"/>
    <w:rsid w:val="007150D1"/>
    <w:rsid w:val="0071523F"/>
    <w:rsid w:val="0071793E"/>
    <w:rsid w:val="00721714"/>
    <w:rsid w:val="00724886"/>
    <w:rsid w:val="007253AB"/>
    <w:rsid w:val="00726E3A"/>
    <w:rsid w:val="00734E26"/>
    <w:rsid w:val="007405FB"/>
    <w:rsid w:val="00741A2B"/>
    <w:rsid w:val="00741ABC"/>
    <w:rsid w:val="00742E27"/>
    <w:rsid w:val="00743C9C"/>
    <w:rsid w:val="00750245"/>
    <w:rsid w:val="00751DEA"/>
    <w:rsid w:val="00752A9C"/>
    <w:rsid w:val="007563F2"/>
    <w:rsid w:val="0076187A"/>
    <w:rsid w:val="00761A5E"/>
    <w:rsid w:val="00762040"/>
    <w:rsid w:val="00763725"/>
    <w:rsid w:val="00763794"/>
    <w:rsid w:val="007646BB"/>
    <w:rsid w:val="007664F4"/>
    <w:rsid w:val="007706F9"/>
    <w:rsid w:val="0077250D"/>
    <w:rsid w:val="00772EA6"/>
    <w:rsid w:val="00774CF4"/>
    <w:rsid w:val="00774FE7"/>
    <w:rsid w:val="00782C59"/>
    <w:rsid w:val="007847F2"/>
    <w:rsid w:val="00784C3C"/>
    <w:rsid w:val="007859BD"/>
    <w:rsid w:val="0079066C"/>
    <w:rsid w:val="00791239"/>
    <w:rsid w:val="00791520"/>
    <w:rsid w:val="00792BAA"/>
    <w:rsid w:val="007A3E3A"/>
    <w:rsid w:val="007A4E8A"/>
    <w:rsid w:val="007A75F8"/>
    <w:rsid w:val="007A79AA"/>
    <w:rsid w:val="007B3477"/>
    <w:rsid w:val="007B5712"/>
    <w:rsid w:val="007B68B7"/>
    <w:rsid w:val="007B7848"/>
    <w:rsid w:val="007C4AA3"/>
    <w:rsid w:val="007C55D4"/>
    <w:rsid w:val="007C5966"/>
    <w:rsid w:val="007C71EA"/>
    <w:rsid w:val="007C78CB"/>
    <w:rsid w:val="007D0B41"/>
    <w:rsid w:val="007D1245"/>
    <w:rsid w:val="007D268C"/>
    <w:rsid w:val="007D2A12"/>
    <w:rsid w:val="007D4147"/>
    <w:rsid w:val="007D5490"/>
    <w:rsid w:val="007D67C6"/>
    <w:rsid w:val="007E08E6"/>
    <w:rsid w:val="007E254D"/>
    <w:rsid w:val="007E294E"/>
    <w:rsid w:val="007E3ED9"/>
    <w:rsid w:val="007E3F36"/>
    <w:rsid w:val="007F2C88"/>
    <w:rsid w:val="007F54FA"/>
    <w:rsid w:val="007F5E00"/>
    <w:rsid w:val="007F70C7"/>
    <w:rsid w:val="0080037D"/>
    <w:rsid w:val="008005C6"/>
    <w:rsid w:val="00803785"/>
    <w:rsid w:val="00806393"/>
    <w:rsid w:val="00810748"/>
    <w:rsid w:val="00810BA5"/>
    <w:rsid w:val="008125D8"/>
    <w:rsid w:val="00812DD1"/>
    <w:rsid w:val="00814775"/>
    <w:rsid w:val="00817AD3"/>
    <w:rsid w:val="00821A60"/>
    <w:rsid w:val="008229FA"/>
    <w:rsid w:val="00823458"/>
    <w:rsid w:val="00830DDB"/>
    <w:rsid w:val="0083156F"/>
    <w:rsid w:val="00831BE0"/>
    <w:rsid w:val="00831FCA"/>
    <w:rsid w:val="00832369"/>
    <w:rsid w:val="00832E3C"/>
    <w:rsid w:val="00833467"/>
    <w:rsid w:val="00833DD0"/>
    <w:rsid w:val="00836181"/>
    <w:rsid w:val="00836274"/>
    <w:rsid w:val="0084176B"/>
    <w:rsid w:val="00843B68"/>
    <w:rsid w:val="00851F09"/>
    <w:rsid w:val="00857050"/>
    <w:rsid w:val="008637C3"/>
    <w:rsid w:val="00867631"/>
    <w:rsid w:val="00871D11"/>
    <w:rsid w:val="00873009"/>
    <w:rsid w:val="00874368"/>
    <w:rsid w:val="0087501C"/>
    <w:rsid w:val="008751CC"/>
    <w:rsid w:val="0087525C"/>
    <w:rsid w:val="0088342E"/>
    <w:rsid w:val="00884FF1"/>
    <w:rsid w:val="008853DA"/>
    <w:rsid w:val="008859AA"/>
    <w:rsid w:val="008863A6"/>
    <w:rsid w:val="00890FE9"/>
    <w:rsid w:val="00894DCD"/>
    <w:rsid w:val="008A3EEB"/>
    <w:rsid w:val="008A414B"/>
    <w:rsid w:val="008A477A"/>
    <w:rsid w:val="008A6153"/>
    <w:rsid w:val="008A7F74"/>
    <w:rsid w:val="008B39D3"/>
    <w:rsid w:val="008B49E3"/>
    <w:rsid w:val="008B53FA"/>
    <w:rsid w:val="008B55E6"/>
    <w:rsid w:val="008B7761"/>
    <w:rsid w:val="008C093F"/>
    <w:rsid w:val="008C128A"/>
    <w:rsid w:val="008C35D3"/>
    <w:rsid w:val="008C385D"/>
    <w:rsid w:val="008C4440"/>
    <w:rsid w:val="008C546B"/>
    <w:rsid w:val="008C79CF"/>
    <w:rsid w:val="008D04F9"/>
    <w:rsid w:val="008D099A"/>
    <w:rsid w:val="008D140A"/>
    <w:rsid w:val="008D461A"/>
    <w:rsid w:val="008D472C"/>
    <w:rsid w:val="008D5B81"/>
    <w:rsid w:val="008D5BF0"/>
    <w:rsid w:val="008D612A"/>
    <w:rsid w:val="008D7127"/>
    <w:rsid w:val="008E0044"/>
    <w:rsid w:val="008E1391"/>
    <w:rsid w:val="008E2931"/>
    <w:rsid w:val="008E32EE"/>
    <w:rsid w:val="008E55EF"/>
    <w:rsid w:val="008E6CC7"/>
    <w:rsid w:val="008F13F6"/>
    <w:rsid w:val="008F474D"/>
    <w:rsid w:val="008F6793"/>
    <w:rsid w:val="0090095C"/>
    <w:rsid w:val="00900C60"/>
    <w:rsid w:val="00900ED0"/>
    <w:rsid w:val="00904EA6"/>
    <w:rsid w:val="00905205"/>
    <w:rsid w:val="00906E23"/>
    <w:rsid w:val="00910553"/>
    <w:rsid w:val="00910880"/>
    <w:rsid w:val="009125A8"/>
    <w:rsid w:val="00914101"/>
    <w:rsid w:val="00914265"/>
    <w:rsid w:val="00915E5B"/>
    <w:rsid w:val="00916C10"/>
    <w:rsid w:val="009179B5"/>
    <w:rsid w:val="00921A9F"/>
    <w:rsid w:val="00922970"/>
    <w:rsid w:val="00923937"/>
    <w:rsid w:val="0092481F"/>
    <w:rsid w:val="00924FA4"/>
    <w:rsid w:val="00925D4D"/>
    <w:rsid w:val="00926821"/>
    <w:rsid w:val="009270B8"/>
    <w:rsid w:val="009278A9"/>
    <w:rsid w:val="00931A6B"/>
    <w:rsid w:val="00931A6C"/>
    <w:rsid w:val="0093330E"/>
    <w:rsid w:val="00933FCF"/>
    <w:rsid w:val="0093640F"/>
    <w:rsid w:val="00936921"/>
    <w:rsid w:val="00937587"/>
    <w:rsid w:val="00937F92"/>
    <w:rsid w:val="0094159D"/>
    <w:rsid w:val="00943986"/>
    <w:rsid w:val="0094624C"/>
    <w:rsid w:val="0094648A"/>
    <w:rsid w:val="00947291"/>
    <w:rsid w:val="009510F3"/>
    <w:rsid w:val="009513CB"/>
    <w:rsid w:val="0095447E"/>
    <w:rsid w:val="00955346"/>
    <w:rsid w:val="0095551F"/>
    <w:rsid w:val="009557BB"/>
    <w:rsid w:val="0096187B"/>
    <w:rsid w:val="00961AED"/>
    <w:rsid w:val="00965652"/>
    <w:rsid w:val="00966152"/>
    <w:rsid w:val="00966E16"/>
    <w:rsid w:val="0097040D"/>
    <w:rsid w:val="00973044"/>
    <w:rsid w:val="009741A8"/>
    <w:rsid w:val="00975630"/>
    <w:rsid w:val="009770BA"/>
    <w:rsid w:val="009803C4"/>
    <w:rsid w:val="00980B8F"/>
    <w:rsid w:val="009835A4"/>
    <w:rsid w:val="00983C56"/>
    <w:rsid w:val="00983E78"/>
    <w:rsid w:val="00984A56"/>
    <w:rsid w:val="00987893"/>
    <w:rsid w:val="0099024F"/>
    <w:rsid w:val="009920D1"/>
    <w:rsid w:val="009A6A10"/>
    <w:rsid w:val="009A6EF3"/>
    <w:rsid w:val="009B0095"/>
    <w:rsid w:val="009B1DC0"/>
    <w:rsid w:val="009B1F19"/>
    <w:rsid w:val="009B300A"/>
    <w:rsid w:val="009B62D5"/>
    <w:rsid w:val="009C17D9"/>
    <w:rsid w:val="009C2864"/>
    <w:rsid w:val="009C32AC"/>
    <w:rsid w:val="009C41B4"/>
    <w:rsid w:val="009D0A76"/>
    <w:rsid w:val="009D104A"/>
    <w:rsid w:val="009D2272"/>
    <w:rsid w:val="009D2A91"/>
    <w:rsid w:val="009D2DC3"/>
    <w:rsid w:val="009D35A8"/>
    <w:rsid w:val="009D4F71"/>
    <w:rsid w:val="009E0061"/>
    <w:rsid w:val="009E4142"/>
    <w:rsid w:val="009E45F8"/>
    <w:rsid w:val="009F11BF"/>
    <w:rsid w:val="009F2301"/>
    <w:rsid w:val="009F28D2"/>
    <w:rsid w:val="009F6F42"/>
    <w:rsid w:val="00A15150"/>
    <w:rsid w:val="00A15936"/>
    <w:rsid w:val="00A15FE2"/>
    <w:rsid w:val="00A1715B"/>
    <w:rsid w:val="00A17D4C"/>
    <w:rsid w:val="00A2331B"/>
    <w:rsid w:val="00A235DE"/>
    <w:rsid w:val="00A24E40"/>
    <w:rsid w:val="00A2502F"/>
    <w:rsid w:val="00A267E4"/>
    <w:rsid w:val="00A27F6F"/>
    <w:rsid w:val="00A318FF"/>
    <w:rsid w:val="00A32A12"/>
    <w:rsid w:val="00A32FA6"/>
    <w:rsid w:val="00A3382C"/>
    <w:rsid w:val="00A3622E"/>
    <w:rsid w:val="00A41042"/>
    <w:rsid w:val="00A413C8"/>
    <w:rsid w:val="00A41804"/>
    <w:rsid w:val="00A42849"/>
    <w:rsid w:val="00A43452"/>
    <w:rsid w:val="00A44769"/>
    <w:rsid w:val="00A44B4D"/>
    <w:rsid w:val="00A461F7"/>
    <w:rsid w:val="00A475BC"/>
    <w:rsid w:val="00A47880"/>
    <w:rsid w:val="00A479C5"/>
    <w:rsid w:val="00A50BAF"/>
    <w:rsid w:val="00A51F32"/>
    <w:rsid w:val="00A54BEF"/>
    <w:rsid w:val="00A55E7D"/>
    <w:rsid w:val="00A5631D"/>
    <w:rsid w:val="00A56981"/>
    <w:rsid w:val="00A603DC"/>
    <w:rsid w:val="00A607A0"/>
    <w:rsid w:val="00A6165F"/>
    <w:rsid w:val="00A6342C"/>
    <w:rsid w:val="00A6378F"/>
    <w:rsid w:val="00A64A32"/>
    <w:rsid w:val="00A71733"/>
    <w:rsid w:val="00A75FC4"/>
    <w:rsid w:val="00A82358"/>
    <w:rsid w:val="00A82648"/>
    <w:rsid w:val="00A84FBA"/>
    <w:rsid w:val="00A8538D"/>
    <w:rsid w:val="00A91475"/>
    <w:rsid w:val="00A93E45"/>
    <w:rsid w:val="00A96781"/>
    <w:rsid w:val="00A96CAF"/>
    <w:rsid w:val="00A96E39"/>
    <w:rsid w:val="00A975B5"/>
    <w:rsid w:val="00AA1773"/>
    <w:rsid w:val="00AA2147"/>
    <w:rsid w:val="00AA2FCC"/>
    <w:rsid w:val="00AA5E29"/>
    <w:rsid w:val="00AA72F0"/>
    <w:rsid w:val="00AB1BC4"/>
    <w:rsid w:val="00AB4050"/>
    <w:rsid w:val="00AB625F"/>
    <w:rsid w:val="00AB6EAE"/>
    <w:rsid w:val="00AC0345"/>
    <w:rsid w:val="00AC0BAF"/>
    <w:rsid w:val="00AC24C4"/>
    <w:rsid w:val="00AC38F0"/>
    <w:rsid w:val="00AC595B"/>
    <w:rsid w:val="00AC6BA3"/>
    <w:rsid w:val="00AD451A"/>
    <w:rsid w:val="00AD4D36"/>
    <w:rsid w:val="00AE28C6"/>
    <w:rsid w:val="00AE3025"/>
    <w:rsid w:val="00AE42D8"/>
    <w:rsid w:val="00AE70C9"/>
    <w:rsid w:val="00AE7A77"/>
    <w:rsid w:val="00AF4292"/>
    <w:rsid w:val="00AF4336"/>
    <w:rsid w:val="00AF477A"/>
    <w:rsid w:val="00AF60B4"/>
    <w:rsid w:val="00B01DC5"/>
    <w:rsid w:val="00B03025"/>
    <w:rsid w:val="00B052C3"/>
    <w:rsid w:val="00B10012"/>
    <w:rsid w:val="00B10768"/>
    <w:rsid w:val="00B11418"/>
    <w:rsid w:val="00B1449D"/>
    <w:rsid w:val="00B14E36"/>
    <w:rsid w:val="00B16128"/>
    <w:rsid w:val="00B219DB"/>
    <w:rsid w:val="00B24819"/>
    <w:rsid w:val="00B257D7"/>
    <w:rsid w:val="00B301B8"/>
    <w:rsid w:val="00B30C04"/>
    <w:rsid w:val="00B3256C"/>
    <w:rsid w:val="00B32752"/>
    <w:rsid w:val="00B3292B"/>
    <w:rsid w:val="00B33996"/>
    <w:rsid w:val="00B34447"/>
    <w:rsid w:val="00B35C91"/>
    <w:rsid w:val="00B401F1"/>
    <w:rsid w:val="00B419C3"/>
    <w:rsid w:val="00B4574F"/>
    <w:rsid w:val="00B4613F"/>
    <w:rsid w:val="00B469DF"/>
    <w:rsid w:val="00B52F0F"/>
    <w:rsid w:val="00B5366F"/>
    <w:rsid w:val="00B53BEE"/>
    <w:rsid w:val="00B54D67"/>
    <w:rsid w:val="00B62A3A"/>
    <w:rsid w:val="00B630D4"/>
    <w:rsid w:val="00B635EB"/>
    <w:rsid w:val="00B6468A"/>
    <w:rsid w:val="00B64D68"/>
    <w:rsid w:val="00B662D6"/>
    <w:rsid w:val="00B75581"/>
    <w:rsid w:val="00B77651"/>
    <w:rsid w:val="00B80C7E"/>
    <w:rsid w:val="00B81EF1"/>
    <w:rsid w:val="00B82227"/>
    <w:rsid w:val="00B833AD"/>
    <w:rsid w:val="00B91B10"/>
    <w:rsid w:val="00B959FA"/>
    <w:rsid w:val="00BA0934"/>
    <w:rsid w:val="00BA1057"/>
    <w:rsid w:val="00BA17A7"/>
    <w:rsid w:val="00BA4A6A"/>
    <w:rsid w:val="00BA631E"/>
    <w:rsid w:val="00BA790F"/>
    <w:rsid w:val="00BB05F9"/>
    <w:rsid w:val="00BB269D"/>
    <w:rsid w:val="00BB3043"/>
    <w:rsid w:val="00BB366B"/>
    <w:rsid w:val="00BB5257"/>
    <w:rsid w:val="00BB6A8A"/>
    <w:rsid w:val="00BC1AD8"/>
    <w:rsid w:val="00BC201B"/>
    <w:rsid w:val="00BD00FD"/>
    <w:rsid w:val="00BD0712"/>
    <w:rsid w:val="00BD0F98"/>
    <w:rsid w:val="00BD1F90"/>
    <w:rsid w:val="00BD2A2C"/>
    <w:rsid w:val="00BD6D3F"/>
    <w:rsid w:val="00BE25A3"/>
    <w:rsid w:val="00BF1C43"/>
    <w:rsid w:val="00BF28A8"/>
    <w:rsid w:val="00BF4A2B"/>
    <w:rsid w:val="00BF7739"/>
    <w:rsid w:val="00C02A66"/>
    <w:rsid w:val="00C02F8D"/>
    <w:rsid w:val="00C02FC8"/>
    <w:rsid w:val="00C047EF"/>
    <w:rsid w:val="00C04C48"/>
    <w:rsid w:val="00C06544"/>
    <w:rsid w:val="00C07137"/>
    <w:rsid w:val="00C076BF"/>
    <w:rsid w:val="00C1056F"/>
    <w:rsid w:val="00C135A6"/>
    <w:rsid w:val="00C14D81"/>
    <w:rsid w:val="00C253EE"/>
    <w:rsid w:val="00C25AEE"/>
    <w:rsid w:val="00C26FF9"/>
    <w:rsid w:val="00C324FA"/>
    <w:rsid w:val="00C36939"/>
    <w:rsid w:val="00C37D90"/>
    <w:rsid w:val="00C40B19"/>
    <w:rsid w:val="00C42688"/>
    <w:rsid w:val="00C43D0F"/>
    <w:rsid w:val="00C47DE5"/>
    <w:rsid w:val="00C53735"/>
    <w:rsid w:val="00C53EE9"/>
    <w:rsid w:val="00C553EB"/>
    <w:rsid w:val="00C62DE9"/>
    <w:rsid w:val="00C65903"/>
    <w:rsid w:val="00C66445"/>
    <w:rsid w:val="00C73FEF"/>
    <w:rsid w:val="00C742E6"/>
    <w:rsid w:val="00C747F7"/>
    <w:rsid w:val="00C748D8"/>
    <w:rsid w:val="00C80FEF"/>
    <w:rsid w:val="00C82ACA"/>
    <w:rsid w:val="00C836BC"/>
    <w:rsid w:val="00C84756"/>
    <w:rsid w:val="00C900EA"/>
    <w:rsid w:val="00C928E4"/>
    <w:rsid w:val="00C93B40"/>
    <w:rsid w:val="00C94D4C"/>
    <w:rsid w:val="00C97113"/>
    <w:rsid w:val="00C97F0D"/>
    <w:rsid w:val="00CA0513"/>
    <w:rsid w:val="00CA171F"/>
    <w:rsid w:val="00CA559E"/>
    <w:rsid w:val="00CB0F5C"/>
    <w:rsid w:val="00CB1A4D"/>
    <w:rsid w:val="00CB2774"/>
    <w:rsid w:val="00CB4CF9"/>
    <w:rsid w:val="00CB5B5D"/>
    <w:rsid w:val="00CC1212"/>
    <w:rsid w:val="00CC1508"/>
    <w:rsid w:val="00CC17EE"/>
    <w:rsid w:val="00CC272E"/>
    <w:rsid w:val="00CC29FF"/>
    <w:rsid w:val="00CC53F1"/>
    <w:rsid w:val="00CC5FDF"/>
    <w:rsid w:val="00CD1CD2"/>
    <w:rsid w:val="00CD5D2E"/>
    <w:rsid w:val="00CD62E4"/>
    <w:rsid w:val="00CE01BE"/>
    <w:rsid w:val="00CE055F"/>
    <w:rsid w:val="00CE5804"/>
    <w:rsid w:val="00CE67D2"/>
    <w:rsid w:val="00CE6C77"/>
    <w:rsid w:val="00CE702D"/>
    <w:rsid w:val="00CE76AD"/>
    <w:rsid w:val="00CF0056"/>
    <w:rsid w:val="00CF16CB"/>
    <w:rsid w:val="00CF1E33"/>
    <w:rsid w:val="00CF21E1"/>
    <w:rsid w:val="00CF326B"/>
    <w:rsid w:val="00CF5920"/>
    <w:rsid w:val="00CF6600"/>
    <w:rsid w:val="00D02773"/>
    <w:rsid w:val="00D028A8"/>
    <w:rsid w:val="00D029D7"/>
    <w:rsid w:val="00D04716"/>
    <w:rsid w:val="00D047F4"/>
    <w:rsid w:val="00D0589A"/>
    <w:rsid w:val="00D11E49"/>
    <w:rsid w:val="00D14253"/>
    <w:rsid w:val="00D154F5"/>
    <w:rsid w:val="00D177CA"/>
    <w:rsid w:val="00D2117F"/>
    <w:rsid w:val="00D21704"/>
    <w:rsid w:val="00D21BDF"/>
    <w:rsid w:val="00D23F4E"/>
    <w:rsid w:val="00D27EA0"/>
    <w:rsid w:val="00D33DA0"/>
    <w:rsid w:val="00D3495F"/>
    <w:rsid w:val="00D477F1"/>
    <w:rsid w:val="00D52970"/>
    <w:rsid w:val="00D55069"/>
    <w:rsid w:val="00D578A2"/>
    <w:rsid w:val="00D6241B"/>
    <w:rsid w:val="00D6687B"/>
    <w:rsid w:val="00D66B9A"/>
    <w:rsid w:val="00D7277F"/>
    <w:rsid w:val="00D72D38"/>
    <w:rsid w:val="00D7503F"/>
    <w:rsid w:val="00D7542A"/>
    <w:rsid w:val="00D766EC"/>
    <w:rsid w:val="00D808F3"/>
    <w:rsid w:val="00D812B2"/>
    <w:rsid w:val="00D840F7"/>
    <w:rsid w:val="00D87536"/>
    <w:rsid w:val="00D87DB9"/>
    <w:rsid w:val="00D9118E"/>
    <w:rsid w:val="00D917D9"/>
    <w:rsid w:val="00D93B9F"/>
    <w:rsid w:val="00D93BBC"/>
    <w:rsid w:val="00D93DA3"/>
    <w:rsid w:val="00D956C0"/>
    <w:rsid w:val="00D95BB4"/>
    <w:rsid w:val="00D95BF0"/>
    <w:rsid w:val="00D97B81"/>
    <w:rsid w:val="00DA0144"/>
    <w:rsid w:val="00DA033D"/>
    <w:rsid w:val="00DA238E"/>
    <w:rsid w:val="00DA3C52"/>
    <w:rsid w:val="00DA4BD6"/>
    <w:rsid w:val="00DA665C"/>
    <w:rsid w:val="00DA72C0"/>
    <w:rsid w:val="00DB1131"/>
    <w:rsid w:val="00DB6FF7"/>
    <w:rsid w:val="00DB71B0"/>
    <w:rsid w:val="00DB7BD1"/>
    <w:rsid w:val="00DC08C6"/>
    <w:rsid w:val="00DC1900"/>
    <w:rsid w:val="00DC4AE5"/>
    <w:rsid w:val="00DC4CB6"/>
    <w:rsid w:val="00DC5696"/>
    <w:rsid w:val="00DC5B88"/>
    <w:rsid w:val="00DC72A3"/>
    <w:rsid w:val="00DC7C42"/>
    <w:rsid w:val="00DD4AE0"/>
    <w:rsid w:val="00DD6425"/>
    <w:rsid w:val="00DE02C7"/>
    <w:rsid w:val="00DE05BB"/>
    <w:rsid w:val="00DE226C"/>
    <w:rsid w:val="00DE3732"/>
    <w:rsid w:val="00DE5FF8"/>
    <w:rsid w:val="00DE672C"/>
    <w:rsid w:val="00DE6EC5"/>
    <w:rsid w:val="00DF283A"/>
    <w:rsid w:val="00DF498A"/>
    <w:rsid w:val="00E02A69"/>
    <w:rsid w:val="00E06D63"/>
    <w:rsid w:val="00E11051"/>
    <w:rsid w:val="00E126FB"/>
    <w:rsid w:val="00E139A7"/>
    <w:rsid w:val="00E16541"/>
    <w:rsid w:val="00E207C8"/>
    <w:rsid w:val="00E215BE"/>
    <w:rsid w:val="00E224E0"/>
    <w:rsid w:val="00E234B0"/>
    <w:rsid w:val="00E24A10"/>
    <w:rsid w:val="00E26081"/>
    <w:rsid w:val="00E264FE"/>
    <w:rsid w:val="00E344A5"/>
    <w:rsid w:val="00E36BB7"/>
    <w:rsid w:val="00E41A44"/>
    <w:rsid w:val="00E431C0"/>
    <w:rsid w:val="00E44A9B"/>
    <w:rsid w:val="00E527A4"/>
    <w:rsid w:val="00E539D5"/>
    <w:rsid w:val="00E54C1F"/>
    <w:rsid w:val="00E561AD"/>
    <w:rsid w:val="00E57A52"/>
    <w:rsid w:val="00E612FF"/>
    <w:rsid w:val="00E621B0"/>
    <w:rsid w:val="00E62EAD"/>
    <w:rsid w:val="00E6317C"/>
    <w:rsid w:val="00E63276"/>
    <w:rsid w:val="00E63324"/>
    <w:rsid w:val="00E637C5"/>
    <w:rsid w:val="00E65141"/>
    <w:rsid w:val="00E65C40"/>
    <w:rsid w:val="00E67B7F"/>
    <w:rsid w:val="00E70D6E"/>
    <w:rsid w:val="00E719B7"/>
    <w:rsid w:val="00E807B8"/>
    <w:rsid w:val="00E80F23"/>
    <w:rsid w:val="00E83441"/>
    <w:rsid w:val="00E85CF1"/>
    <w:rsid w:val="00E865EF"/>
    <w:rsid w:val="00E86C49"/>
    <w:rsid w:val="00E90826"/>
    <w:rsid w:val="00E91109"/>
    <w:rsid w:val="00E91349"/>
    <w:rsid w:val="00E91410"/>
    <w:rsid w:val="00EA0CBC"/>
    <w:rsid w:val="00EA34CB"/>
    <w:rsid w:val="00EA59FB"/>
    <w:rsid w:val="00EA738B"/>
    <w:rsid w:val="00EB2D3F"/>
    <w:rsid w:val="00EB3236"/>
    <w:rsid w:val="00EB396B"/>
    <w:rsid w:val="00EB4501"/>
    <w:rsid w:val="00EB4B70"/>
    <w:rsid w:val="00EB53D7"/>
    <w:rsid w:val="00EB633B"/>
    <w:rsid w:val="00EB6861"/>
    <w:rsid w:val="00EB7C9C"/>
    <w:rsid w:val="00EC0C1E"/>
    <w:rsid w:val="00EC4686"/>
    <w:rsid w:val="00EC482C"/>
    <w:rsid w:val="00EC55D6"/>
    <w:rsid w:val="00ED2063"/>
    <w:rsid w:val="00ED4491"/>
    <w:rsid w:val="00ED6E74"/>
    <w:rsid w:val="00EE0FB3"/>
    <w:rsid w:val="00EE395F"/>
    <w:rsid w:val="00EE6397"/>
    <w:rsid w:val="00EF3836"/>
    <w:rsid w:val="00F009AC"/>
    <w:rsid w:val="00F00B08"/>
    <w:rsid w:val="00F00DA7"/>
    <w:rsid w:val="00F02E3D"/>
    <w:rsid w:val="00F03D9B"/>
    <w:rsid w:val="00F1324F"/>
    <w:rsid w:val="00F1482D"/>
    <w:rsid w:val="00F14D17"/>
    <w:rsid w:val="00F15334"/>
    <w:rsid w:val="00F16D15"/>
    <w:rsid w:val="00F16DFE"/>
    <w:rsid w:val="00F17C22"/>
    <w:rsid w:val="00F21F9B"/>
    <w:rsid w:val="00F22F8C"/>
    <w:rsid w:val="00F232F1"/>
    <w:rsid w:val="00F23361"/>
    <w:rsid w:val="00F2490E"/>
    <w:rsid w:val="00F2578E"/>
    <w:rsid w:val="00F26794"/>
    <w:rsid w:val="00F275D7"/>
    <w:rsid w:val="00F31209"/>
    <w:rsid w:val="00F32982"/>
    <w:rsid w:val="00F33418"/>
    <w:rsid w:val="00F365F0"/>
    <w:rsid w:val="00F37C3D"/>
    <w:rsid w:val="00F402C0"/>
    <w:rsid w:val="00F414E3"/>
    <w:rsid w:val="00F46331"/>
    <w:rsid w:val="00F525B0"/>
    <w:rsid w:val="00F53812"/>
    <w:rsid w:val="00F55E3A"/>
    <w:rsid w:val="00F5658C"/>
    <w:rsid w:val="00F571C1"/>
    <w:rsid w:val="00F577EE"/>
    <w:rsid w:val="00F60108"/>
    <w:rsid w:val="00F60ABC"/>
    <w:rsid w:val="00F616C2"/>
    <w:rsid w:val="00F63CCD"/>
    <w:rsid w:val="00F64D61"/>
    <w:rsid w:val="00F66222"/>
    <w:rsid w:val="00F7217A"/>
    <w:rsid w:val="00F72595"/>
    <w:rsid w:val="00F74001"/>
    <w:rsid w:val="00F74C61"/>
    <w:rsid w:val="00F775E5"/>
    <w:rsid w:val="00F804A0"/>
    <w:rsid w:val="00F814A4"/>
    <w:rsid w:val="00F864D1"/>
    <w:rsid w:val="00F87147"/>
    <w:rsid w:val="00F871B4"/>
    <w:rsid w:val="00F918E4"/>
    <w:rsid w:val="00F94EF1"/>
    <w:rsid w:val="00F9578B"/>
    <w:rsid w:val="00F95D5D"/>
    <w:rsid w:val="00F96185"/>
    <w:rsid w:val="00F9738F"/>
    <w:rsid w:val="00F975EF"/>
    <w:rsid w:val="00FA1095"/>
    <w:rsid w:val="00FA1720"/>
    <w:rsid w:val="00FA212E"/>
    <w:rsid w:val="00FA3E3B"/>
    <w:rsid w:val="00FA5C20"/>
    <w:rsid w:val="00FA6A5A"/>
    <w:rsid w:val="00FA78CA"/>
    <w:rsid w:val="00FA7C76"/>
    <w:rsid w:val="00FB525E"/>
    <w:rsid w:val="00FB71E4"/>
    <w:rsid w:val="00FC0C07"/>
    <w:rsid w:val="00FC0D82"/>
    <w:rsid w:val="00FC0DBC"/>
    <w:rsid w:val="00FC3973"/>
    <w:rsid w:val="00FC4BA2"/>
    <w:rsid w:val="00FD0FE9"/>
    <w:rsid w:val="00FD1770"/>
    <w:rsid w:val="00FD1B9B"/>
    <w:rsid w:val="00FD1DA3"/>
    <w:rsid w:val="00FD463D"/>
    <w:rsid w:val="00FD5601"/>
    <w:rsid w:val="00FE055C"/>
    <w:rsid w:val="00FE4167"/>
    <w:rsid w:val="00FE4A90"/>
    <w:rsid w:val="00FE62D5"/>
    <w:rsid w:val="00FE7624"/>
    <w:rsid w:val="00FF0B4C"/>
    <w:rsid w:val="00FF1206"/>
    <w:rsid w:val="00FF2347"/>
    <w:rsid w:val="00FF4304"/>
    <w:rsid w:val="00FF5A28"/>
    <w:rsid w:val="00FF5B18"/>
    <w:rsid w:val="00FF5BB8"/>
    <w:rsid w:val="00FF7ABB"/>
    <w:rsid w:val="00FF7D3C"/>
    <w:rsid w:val="021000F7"/>
    <w:rsid w:val="04A226AA"/>
    <w:rsid w:val="07AC57FA"/>
    <w:rsid w:val="0F49376A"/>
    <w:rsid w:val="11564E71"/>
    <w:rsid w:val="13613584"/>
    <w:rsid w:val="14BF2FD0"/>
    <w:rsid w:val="161C2A72"/>
    <w:rsid w:val="16595A5C"/>
    <w:rsid w:val="17DF01AA"/>
    <w:rsid w:val="1F1837FB"/>
    <w:rsid w:val="23215388"/>
    <w:rsid w:val="237E40CA"/>
    <w:rsid w:val="23A9638D"/>
    <w:rsid w:val="243C6048"/>
    <w:rsid w:val="247133AD"/>
    <w:rsid w:val="24A01F70"/>
    <w:rsid w:val="2813525D"/>
    <w:rsid w:val="2B2B5065"/>
    <w:rsid w:val="2BA90FB2"/>
    <w:rsid w:val="2D8C06FE"/>
    <w:rsid w:val="2FF85908"/>
    <w:rsid w:val="31045488"/>
    <w:rsid w:val="32E257ED"/>
    <w:rsid w:val="34255A9B"/>
    <w:rsid w:val="37B44C6D"/>
    <w:rsid w:val="3A0318D8"/>
    <w:rsid w:val="3A1965BC"/>
    <w:rsid w:val="3C7B6ECA"/>
    <w:rsid w:val="3DDB5494"/>
    <w:rsid w:val="3DED132A"/>
    <w:rsid w:val="3E470E76"/>
    <w:rsid w:val="3EE73116"/>
    <w:rsid w:val="3FF15702"/>
    <w:rsid w:val="437B05A5"/>
    <w:rsid w:val="45890177"/>
    <w:rsid w:val="47DE19D7"/>
    <w:rsid w:val="4A875C66"/>
    <w:rsid w:val="4B1843BC"/>
    <w:rsid w:val="4BA05CED"/>
    <w:rsid w:val="4CD60F17"/>
    <w:rsid w:val="52A54DB9"/>
    <w:rsid w:val="54360081"/>
    <w:rsid w:val="559D5862"/>
    <w:rsid w:val="59C365DB"/>
    <w:rsid w:val="5A985463"/>
    <w:rsid w:val="5D1D08B1"/>
    <w:rsid w:val="5F7D263E"/>
    <w:rsid w:val="642A0293"/>
    <w:rsid w:val="660C5D78"/>
    <w:rsid w:val="6A6A5EAB"/>
    <w:rsid w:val="6D0D01AE"/>
    <w:rsid w:val="6D5E3ABA"/>
    <w:rsid w:val="716879A2"/>
    <w:rsid w:val="721815DC"/>
    <w:rsid w:val="723B77F7"/>
    <w:rsid w:val="73836046"/>
    <w:rsid w:val="7A5019AD"/>
    <w:rsid w:val="7CBA0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lsdException w:name="toc 2" w:semiHidden="0" w:uiPriority="39" w:qFormat="1"/>
    <w:lsdException w:name="toc 3" w:semiHidden="0" w:uiPriority="39" w:qFormat="1"/>
    <w:lsdException w:name="Normal Indent" w:semiHidden="0" w:unhideWhenUsed="0" w:qFormat="1"/>
    <w:lsdException w:name="header" w:semiHidden="0" w:uiPriority="99" w:unhideWhenUsed="0" w:qFormat="1"/>
    <w:lsdException w:name="footer" w:semiHidden="0" w:uiPriority="99" w:unhideWhenUsed="0" w:qFormat="1"/>
    <w:lsdException w:name="caption" w:qFormat="1"/>
    <w:lsdException w:name="page number" w:semiHidden="0" w:unhideWhenUsed="0" w:qFormat="1"/>
    <w:lsdException w:name="endnote text" w:semiHidden="0"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Hyperlink" w:semiHidden="0"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B68B7"/>
    <w:pPr>
      <w:widowControl w:val="0"/>
      <w:jc w:val="both"/>
    </w:pPr>
    <w:rPr>
      <w:kern w:val="2"/>
      <w:sz w:val="21"/>
      <w:szCs w:val="24"/>
    </w:rPr>
  </w:style>
  <w:style w:type="paragraph" w:styleId="1">
    <w:name w:val="heading 1"/>
    <w:basedOn w:val="a"/>
    <w:next w:val="a"/>
    <w:link w:val="1Char"/>
    <w:qFormat/>
    <w:rsid w:val="007B68B7"/>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endnote text"/>
    <w:basedOn w:val="a"/>
    <w:uiPriority w:val="99"/>
    <w:unhideWhenUsed/>
    <w:qFormat/>
    <w:rsid w:val="007B68B7"/>
    <w:pPr>
      <w:snapToGrid w:val="0"/>
    </w:pPr>
    <w:rPr>
      <w:rFonts w:ascii="Calibri" w:hAnsi="Calibri"/>
    </w:rPr>
  </w:style>
  <w:style w:type="paragraph" w:styleId="a4">
    <w:name w:val="Normal Indent"/>
    <w:basedOn w:val="a"/>
    <w:qFormat/>
    <w:rsid w:val="007B68B7"/>
    <w:pPr>
      <w:ind w:firstLineChars="200" w:firstLine="420"/>
    </w:pPr>
  </w:style>
  <w:style w:type="paragraph" w:styleId="3">
    <w:name w:val="toc 3"/>
    <w:basedOn w:val="a"/>
    <w:next w:val="a"/>
    <w:uiPriority w:val="39"/>
    <w:unhideWhenUsed/>
    <w:qFormat/>
    <w:rsid w:val="007B68B7"/>
    <w:pPr>
      <w:ind w:leftChars="400" w:left="840"/>
    </w:pPr>
  </w:style>
  <w:style w:type="paragraph" w:styleId="a5">
    <w:name w:val="Date"/>
    <w:basedOn w:val="a"/>
    <w:next w:val="a"/>
    <w:link w:val="Char"/>
    <w:qFormat/>
    <w:rsid w:val="007B68B7"/>
    <w:pPr>
      <w:ind w:leftChars="2500" w:left="100"/>
    </w:pPr>
  </w:style>
  <w:style w:type="paragraph" w:styleId="a6">
    <w:name w:val="Balloon Text"/>
    <w:basedOn w:val="a"/>
    <w:link w:val="Char0"/>
    <w:qFormat/>
    <w:rsid w:val="007B68B7"/>
    <w:rPr>
      <w:sz w:val="18"/>
      <w:szCs w:val="18"/>
    </w:rPr>
  </w:style>
  <w:style w:type="paragraph" w:styleId="a7">
    <w:name w:val="footer"/>
    <w:basedOn w:val="a"/>
    <w:link w:val="Char1"/>
    <w:uiPriority w:val="99"/>
    <w:qFormat/>
    <w:rsid w:val="007B68B7"/>
    <w:pPr>
      <w:tabs>
        <w:tab w:val="center" w:pos="4153"/>
        <w:tab w:val="right" w:pos="8306"/>
      </w:tabs>
      <w:snapToGrid w:val="0"/>
      <w:ind w:rightChars="100" w:right="210"/>
      <w:jc w:val="right"/>
    </w:pPr>
    <w:rPr>
      <w:sz w:val="18"/>
      <w:szCs w:val="18"/>
    </w:rPr>
  </w:style>
  <w:style w:type="paragraph" w:styleId="a8">
    <w:name w:val="header"/>
    <w:basedOn w:val="a"/>
    <w:link w:val="Char2"/>
    <w:uiPriority w:val="99"/>
    <w:qFormat/>
    <w:rsid w:val="007B68B7"/>
    <w:pPr>
      <w:tabs>
        <w:tab w:val="center" w:pos="4153"/>
        <w:tab w:val="right" w:pos="8306"/>
      </w:tabs>
      <w:snapToGrid w:val="0"/>
      <w:jc w:val="center"/>
    </w:pPr>
    <w:rPr>
      <w:sz w:val="18"/>
      <w:szCs w:val="18"/>
    </w:rPr>
  </w:style>
  <w:style w:type="paragraph" w:styleId="10">
    <w:name w:val="toc 1"/>
    <w:basedOn w:val="a"/>
    <w:next w:val="a"/>
    <w:uiPriority w:val="39"/>
    <w:unhideWhenUsed/>
    <w:rsid w:val="007B68B7"/>
    <w:pPr>
      <w:tabs>
        <w:tab w:val="left" w:pos="840"/>
        <w:tab w:val="right" w:leader="dot" w:pos="9345"/>
      </w:tabs>
      <w:spacing w:line="300" w:lineRule="auto"/>
    </w:pPr>
    <w:rPr>
      <w:rFonts w:ascii="黑体" w:eastAsia="黑体" w:hAnsi="宋体"/>
      <w:sz w:val="24"/>
    </w:rPr>
  </w:style>
  <w:style w:type="paragraph" w:styleId="2">
    <w:name w:val="toc 2"/>
    <w:basedOn w:val="a"/>
    <w:next w:val="a"/>
    <w:uiPriority w:val="39"/>
    <w:unhideWhenUsed/>
    <w:qFormat/>
    <w:rsid w:val="007B68B7"/>
    <w:pPr>
      <w:ind w:leftChars="200" w:left="420"/>
    </w:pPr>
  </w:style>
  <w:style w:type="table" w:styleId="a9">
    <w:name w:val="Table Grid"/>
    <w:basedOn w:val="a2"/>
    <w:uiPriority w:val="59"/>
    <w:qFormat/>
    <w:rsid w:val="007B6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uiPriority w:val="22"/>
    <w:qFormat/>
    <w:rsid w:val="007B68B7"/>
    <w:rPr>
      <w:b/>
      <w:bCs/>
    </w:rPr>
  </w:style>
  <w:style w:type="character" w:styleId="ab">
    <w:name w:val="page number"/>
    <w:qFormat/>
    <w:rsid w:val="007B68B7"/>
    <w:rPr>
      <w:rFonts w:ascii="Times New Roman" w:eastAsia="宋体" w:hAnsi="Times New Roman"/>
      <w:sz w:val="18"/>
    </w:rPr>
  </w:style>
  <w:style w:type="character" w:styleId="ac">
    <w:name w:val="Hyperlink"/>
    <w:basedOn w:val="a1"/>
    <w:uiPriority w:val="99"/>
    <w:unhideWhenUsed/>
    <w:qFormat/>
    <w:rsid w:val="007B68B7"/>
    <w:rPr>
      <w:color w:val="0000FF" w:themeColor="hyperlink"/>
      <w:u w:val="single"/>
    </w:rPr>
  </w:style>
  <w:style w:type="character" w:customStyle="1" w:styleId="Char0">
    <w:name w:val="批注框文本 Char"/>
    <w:link w:val="a6"/>
    <w:qFormat/>
    <w:rsid w:val="007B68B7"/>
    <w:rPr>
      <w:kern w:val="2"/>
      <w:sz w:val="18"/>
      <w:szCs w:val="18"/>
    </w:rPr>
  </w:style>
  <w:style w:type="character" w:customStyle="1" w:styleId="Char2">
    <w:name w:val="页眉 Char"/>
    <w:link w:val="a8"/>
    <w:uiPriority w:val="99"/>
    <w:qFormat/>
    <w:locked/>
    <w:rsid w:val="007B68B7"/>
    <w:rPr>
      <w:kern w:val="2"/>
      <w:sz w:val="18"/>
      <w:szCs w:val="18"/>
    </w:rPr>
  </w:style>
  <w:style w:type="character" w:customStyle="1" w:styleId="CharChar">
    <w:name w:val="段 Char Char"/>
    <w:link w:val="ad"/>
    <w:qFormat/>
    <w:rsid w:val="007B68B7"/>
    <w:rPr>
      <w:rFonts w:ascii="宋体" w:hAnsi="宋体"/>
      <w:sz w:val="21"/>
      <w:lang w:val="en-US" w:eastAsia="zh-CN" w:bidi="ar-SA"/>
    </w:rPr>
  </w:style>
  <w:style w:type="paragraph" w:customStyle="1" w:styleId="ad">
    <w:name w:val="段"/>
    <w:link w:val="CharChar"/>
    <w:qFormat/>
    <w:rsid w:val="007B68B7"/>
    <w:pPr>
      <w:autoSpaceDE w:val="0"/>
      <w:autoSpaceDN w:val="0"/>
      <w:ind w:firstLineChars="200" w:firstLine="200"/>
      <w:jc w:val="both"/>
    </w:pPr>
    <w:rPr>
      <w:rFonts w:ascii="宋体" w:hAnsi="宋体"/>
      <w:sz w:val="21"/>
    </w:rPr>
  </w:style>
  <w:style w:type="character" w:customStyle="1" w:styleId="Char">
    <w:name w:val="日期 Char"/>
    <w:link w:val="a5"/>
    <w:qFormat/>
    <w:rsid w:val="007B68B7"/>
    <w:rPr>
      <w:kern w:val="2"/>
      <w:sz w:val="21"/>
      <w:szCs w:val="24"/>
    </w:rPr>
  </w:style>
  <w:style w:type="character" w:customStyle="1" w:styleId="Char3">
    <w:name w:val="段 Char"/>
    <w:qFormat/>
    <w:locked/>
    <w:rsid w:val="007B68B7"/>
    <w:rPr>
      <w:rFonts w:ascii="宋体"/>
      <w:sz w:val="21"/>
      <w:lang w:val="en-US" w:eastAsia="zh-CN" w:bidi="ar-SA"/>
    </w:rPr>
  </w:style>
  <w:style w:type="character" w:customStyle="1" w:styleId="font11">
    <w:name w:val="font11"/>
    <w:qFormat/>
    <w:rsid w:val="007B68B7"/>
    <w:rPr>
      <w:rFonts w:ascii="宋体" w:eastAsia="宋体" w:hAnsi="宋体" w:hint="eastAsia"/>
      <w:color w:val="000000"/>
      <w:sz w:val="21"/>
      <w:szCs w:val="21"/>
      <w:u w:val="none"/>
    </w:rPr>
  </w:style>
  <w:style w:type="character" w:customStyle="1" w:styleId="Char1">
    <w:name w:val="页脚 Char"/>
    <w:link w:val="a7"/>
    <w:uiPriority w:val="99"/>
    <w:qFormat/>
    <w:locked/>
    <w:rsid w:val="007B68B7"/>
    <w:rPr>
      <w:kern w:val="2"/>
      <w:sz w:val="18"/>
      <w:szCs w:val="18"/>
    </w:rPr>
  </w:style>
  <w:style w:type="character" w:customStyle="1" w:styleId="font21">
    <w:name w:val="font21"/>
    <w:qFormat/>
    <w:rsid w:val="007B68B7"/>
    <w:rPr>
      <w:rFonts w:ascii="Times New Roman" w:hAnsi="Times New Roman" w:cs="Times New Roman" w:hint="default"/>
      <w:color w:val="000000"/>
      <w:sz w:val="21"/>
      <w:szCs w:val="21"/>
      <w:u w:val="none"/>
    </w:rPr>
  </w:style>
  <w:style w:type="paragraph" w:customStyle="1" w:styleId="11">
    <w:name w:val="样式1"/>
    <w:basedOn w:val="a"/>
    <w:qFormat/>
    <w:rsid w:val="007B68B7"/>
    <w:pPr>
      <w:tabs>
        <w:tab w:val="left" w:pos="525"/>
      </w:tabs>
    </w:pPr>
    <w:rPr>
      <w:rFonts w:ascii="宋体" w:hAnsi="宋体"/>
      <w:szCs w:val="21"/>
    </w:rPr>
  </w:style>
  <w:style w:type="paragraph" w:customStyle="1" w:styleId="ae">
    <w:name w:val="标准书脚_奇数页"/>
    <w:qFormat/>
    <w:rsid w:val="007B68B7"/>
    <w:pPr>
      <w:spacing w:before="120"/>
      <w:jc w:val="right"/>
    </w:pPr>
    <w:rPr>
      <w:sz w:val="18"/>
    </w:rPr>
  </w:style>
  <w:style w:type="paragraph" w:customStyle="1" w:styleId="12">
    <w:name w:val="列出段落1"/>
    <w:basedOn w:val="a"/>
    <w:qFormat/>
    <w:rsid w:val="007B68B7"/>
    <w:pPr>
      <w:ind w:firstLineChars="200" w:firstLine="420"/>
    </w:pPr>
    <w:rPr>
      <w:b/>
      <w:bCs/>
      <w:kern w:val="44"/>
      <w:sz w:val="32"/>
      <w:szCs w:val="32"/>
    </w:rPr>
  </w:style>
  <w:style w:type="paragraph" w:customStyle="1" w:styleId="20">
    <w:name w:val="列出段落2"/>
    <w:basedOn w:val="a"/>
    <w:qFormat/>
    <w:rsid w:val="007B68B7"/>
    <w:pPr>
      <w:ind w:firstLineChars="200" w:firstLine="420"/>
    </w:pPr>
  </w:style>
  <w:style w:type="paragraph" w:customStyle="1" w:styleId="-11">
    <w:name w:val="彩色列表 - 强调文字颜色 11"/>
    <w:basedOn w:val="a"/>
    <w:uiPriority w:val="34"/>
    <w:qFormat/>
    <w:rsid w:val="007B68B7"/>
    <w:pPr>
      <w:ind w:firstLineChars="200" w:firstLine="420"/>
    </w:pPr>
    <w:rPr>
      <w:rFonts w:ascii="Calibri" w:hAnsi="Calibri"/>
      <w:szCs w:val="22"/>
    </w:rPr>
  </w:style>
  <w:style w:type="paragraph" w:customStyle="1" w:styleId="CharCharChar1CharCharCharCharCharCharCharCharCharChar">
    <w:name w:val="Char Char Char1 Char Char Char Char Char Char Char Char Char Char"/>
    <w:basedOn w:val="a"/>
    <w:qFormat/>
    <w:rsid w:val="007B68B7"/>
    <w:pPr>
      <w:widowControl/>
      <w:spacing w:after="160" w:line="240" w:lineRule="exact"/>
      <w:jc w:val="left"/>
    </w:pPr>
    <w:rPr>
      <w:rFonts w:ascii="Verdana" w:hAnsi="Verdana"/>
      <w:kern w:val="0"/>
      <w:sz w:val="18"/>
      <w:szCs w:val="20"/>
      <w:lang w:eastAsia="en-US"/>
    </w:rPr>
  </w:style>
  <w:style w:type="paragraph" w:customStyle="1" w:styleId="af">
    <w:name w:val="封面标准英文名称"/>
    <w:qFormat/>
    <w:rsid w:val="007B68B7"/>
    <w:pPr>
      <w:widowControl w:val="0"/>
      <w:spacing w:before="370" w:line="400" w:lineRule="exact"/>
      <w:jc w:val="center"/>
    </w:pPr>
    <w:rPr>
      <w:sz w:val="28"/>
    </w:rPr>
  </w:style>
  <w:style w:type="paragraph" w:customStyle="1" w:styleId="af0">
    <w:name w:val="章标题"/>
    <w:next w:val="a"/>
    <w:qFormat/>
    <w:rsid w:val="007B68B7"/>
    <w:pPr>
      <w:tabs>
        <w:tab w:val="left" w:pos="675"/>
      </w:tabs>
      <w:spacing w:beforeLines="100" w:afterLines="100"/>
      <w:ind w:left="675" w:hanging="360"/>
      <w:jc w:val="both"/>
      <w:outlineLvl w:val="1"/>
    </w:pPr>
    <w:rPr>
      <w:rFonts w:ascii="黑体" w:eastAsia="黑体"/>
      <w:sz w:val="21"/>
      <w:szCs w:val="22"/>
    </w:rPr>
  </w:style>
  <w:style w:type="paragraph" w:customStyle="1" w:styleId="af1">
    <w:name w:val="标准书眉_奇数页"/>
    <w:next w:val="a"/>
    <w:qFormat/>
    <w:rsid w:val="007B68B7"/>
    <w:pPr>
      <w:tabs>
        <w:tab w:val="center" w:pos="4154"/>
        <w:tab w:val="right" w:pos="8306"/>
      </w:tabs>
      <w:spacing w:after="120"/>
      <w:jc w:val="right"/>
    </w:pPr>
    <w:rPr>
      <w:sz w:val="21"/>
    </w:rPr>
  </w:style>
  <w:style w:type="paragraph" w:styleId="af2">
    <w:name w:val="List Paragraph"/>
    <w:basedOn w:val="a"/>
    <w:uiPriority w:val="99"/>
    <w:unhideWhenUsed/>
    <w:qFormat/>
    <w:rsid w:val="007B68B7"/>
    <w:pPr>
      <w:ind w:firstLineChars="200" w:firstLine="420"/>
    </w:pPr>
  </w:style>
  <w:style w:type="paragraph" w:customStyle="1" w:styleId="ListParagraph1">
    <w:name w:val="List Paragraph1"/>
    <w:basedOn w:val="a"/>
    <w:uiPriority w:val="99"/>
    <w:qFormat/>
    <w:rsid w:val="007B68B7"/>
    <w:pPr>
      <w:ind w:firstLineChars="200" w:firstLine="420"/>
    </w:pPr>
    <w:rPr>
      <w:szCs w:val="22"/>
    </w:rPr>
  </w:style>
  <w:style w:type="table" w:customStyle="1" w:styleId="21">
    <w:name w:val="网格型2"/>
    <w:basedOn w:val="a2"/>
    <w:qFormat/>
    <w:rsid w:val="007B6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7B68B7"/>
    <w:pPr>
      <w:widowControl w:val="0"/>
      <w:autoSpaceDE w:val="0"/>
      <w:autoSpaceDN w:val="0"/>
      <w:adjustRightInd w:val="0"/>
      <w:jc w:val="both"/>
    </w:pPr>
    <w:rPr>
      <w:sz w:val="21"/>
      <w:szCs w:val="21"/>
    </w:rPr>
  </w:style>
  <w:style w:type="character" w:customStyle="1" w:styleId="1Char">
    <w:name w:val="标题 1 Char"/>
    <w:basedOn w:val="a1"/>
    <w:link w:val="1"/>
    <w:qFormat/>
    <w:rsid w:val="007B68B7"/>
    <w:rPr>
      <w:b/>
      <w:bCs/>
      <w:kern w:val="44"/>
      <w:sz w:val="44"/>
      <w:szCs w:val="44"/>
    </w:rPr>
  </w:style>
  <w:style w:type="paragraph" w:customStyle="1" w:styleId="TOC1">
    <w:name w:val="TOC 标题1"/>
    <w:basedOn w:val="1"/>
    <w:next w:val="a"/>
    <w:uiPriority w:val="39"/>
    <w:unhideWhenUsed/>
    <w:qFormat/>
    <w:rsid w:val="007B68B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219.239.107.155:8080/TaskBook.aspx?id=YSCPXT235120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1E255-4CDD-4723-912B-4352D74EABCD}">
  <ds:schemaRefs>
    <ds:schemaRef ds:uri="http://www.yonyou.com/relation"/>
  </ds:schemaRefs>
</ds:datastoreItem>
</file>

<file path=customXml/itemProps3.xml><?xml version="1.0" encoding="utf-8"?>
<ds:datastoreItem xmlns:ds="http://schemas.openxmlformats.org/officeDocument/2006/customXml" ds:itemID="{FA99FEFA-ED56-48D2-8127-947FD359F5AB}">
  <ds:schemaRefs>
    <ds:schemaRef ds:uri="http://www.yonyou.com/datasource"/>
  </ds:schemaRefs>
</ds:datastoreItem>
</file>

<file path=customXml/itemProps4.xml><?xml version="1.0" encoding="utf-8"?>
<ds:datastoreItem xmlns:ds="http://schemas.openxmlformats.org/officeDocument/2006/customXml" ds:itemID="{B080FF1D-23DC-4094-94D6-14B0F3A8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3569</Words>
  <Characters>20347</Characters>
  <Application>Microsoft Office Word</Application>
  <DocSecurity>0</DocSecurity>
  <Lines>169</Lines>
  <Paragraphs>47</Paragraphs>
  <ScaleCrop>false</ScaleCrop>
  <Company>DEEPIN</Company>
  <LinksUpToDate>false</LinksUpToDate>
  <CharactersWithSpaces>23869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锡铅焊料化学分析方法</dc:title>
  <dc:creator>冯振华</dc:creator>
  <cp:lastModifiedBy>Administrator</cp:lastModifiedBy>
  <cp:revision>99</cp:revision>
  <cp:lastPrinted>2022-07-11T06:52:00Z</cp:lastPrinted>
  <dcterms:created xsi:type="dcterms:W3CDTF">2022-08-08T07:05:00Z</dcterms:created>
  <dcterms:modified xsi:type="dcterms:W3CDTF">2022-09-15T12:07:00Z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