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83" w:hSpace="181" w:wrap="around" w:vAnchor="page" w:hAnchor="page" w:x="1455" w:y="1411" w:anchorLock="1"/>
        <w:rPr>
          <w:rFonts w:ascii="黑体" w:eastAsia="黑体"/>
          <w:b/>
          <w:bCs/>
          <w:color w:val="auto"/>
          <w:szCs w:val="21"/>
        </w:rPr>
      </w:pPr>
      <w:r>
        <w:rPr>
          <w:rFonts w:ascii="黑体" w:eastAsia="黑体"/>
          <w:b/>
          <w:bCs/>
          <w:color w:val="auto"/>
          <w:szCs w:val="21"/>
        </w:rPr>
        <w:t>ICS</w:t>
      </w:r>
      <w:r>
        <w:rPr>
          <w:rFonts w:hint="eastAsia" w:ascii="黑体" w:eastAsia="黑体"/>
          <w:b/>
          <w:bCs/>
          <w:color w:val="auto"/>
          <w:szCs w:val="21"/>
        </w:rPr>
        <w:t xml:space="preserve"> 77.010</w:t>
      </w:r>
    </w:p>
    <w:p>
      <w:pPr>
        <w:framePr w:w="4383" w:hSpace="181" w:wrap="around" w:vAnchor="page" w:hAnchor="page" w:x="1455" w:y="1411" w:anchorLock="1"/>
        <w:rPr>
          <w:rFonts w:ascii="黑体" w:eastAsia="黑体"/>
          <w:b/>
          <w:bCs/>
          <w:color w:val="auto"/>
          <w:szCs w:val="21"/>
        </w:rPr>
      </w:pPr>
      <w:r>
        <w:rPr>
          <w:rFonts w:hint="eastAsia" w:ascii="黑体" w:eastAsia="黑体"/>
          <w:b/>
          <w:bCs/>
          <w:color w:val="auto"/>
          <w:szCs w:val="21"/>
        </w:rPr>
        <w:t>CCS H 04</w:t>
      </w:r>
    </w:p>
    <w:p>
      <w:pPr>
        <w:jc w:val="right"/>
        <w:rPr>
          <w:color w:val="auto"/>
        </w:rPr>
      </w:pPr>
    </w:p>
    <w:p>
      <w:pPr>
        <w:jc w:val="right"/>
        <w:rPr>
          <w:color w:val="auto"/>
        </w:rPr>
      </w:pPr>
    </w:p>
    <w:p>
      <w:pPr>
        <w:jc w:val="right"/>
        <w:rPr>
          <w:color w:val="auto"/>
        </w:rPr>
      </w:pPr>
    </w:p>
    <w:p>
      <w:pPr>
        <w:jc w:val="right"/>
        <w:rPr>
          <w:color w:val="auto"/>
        </w:rPr>
      </w:pPr>
    </w:p>
    <w:p>
      <w:pPr>
        <w:rPr>
          <w:color w:val="auto"/>
        </w:rPr>
      </w:pPr>
      <w:r>
        <w:rPr>
          <w:color w:val="auto"/>
        </w:rPr>
        <w:pict>
          <v:line id="_x0000_s1081" o:spid="_x0000_s1081" o:spt="20" style="position:absolute;left:0pt;margin-left:72pt;margin-top:240.75pt;height:0.05pt;width:481.8pt;mso-position-horizontal-relative:page;mso-position-vertical-relative:page;z-index:251661312;mso-width-relative:page;mso-height-relative:page;" coordsize="21600,21600">
            <v:path arrowok="t"/>
            <v:fill focussize="0,0"/>
            <v:stroke startarrowwidth="narrow" startarrowlength="short" endarrowwidth="narrow" endarrowlength="short"/>
            <v:imagedata o:title=""/>
            <o:lock v:ext="edit"/>
            <w10:anchorlock/>
          </v:line>
        </w:pict>
      </w:r>
    </w:p>
    <w:p>
      <w:pPr>
        <w:tabs>
          <w:tab w:val="left" w:pos="2475"/>
          <w:tab w:val="center" w:pos="4156"/>
        </w:tabs>
        <w:jc w:val="center"/>
        <w:rPr>
          <w:rFonts w:ascii="黑体" w:eastAsia="黑体"/>
          <w:b/>
          <w:color w:val="auto"/>
          <w:sz w:val="52"/>
          <w:szCs w:val="52"/>
        </w:rPr>
      </w:pPr>
      <w:r>
        <w:rPr>
          <w:rFonts w:hint="eastAsia" w:ascii="黑体" w:eastAsia="黑体"/>
          <w:b/>
          <w:color w:val="auto"/>
          <w:spacing w:val="825"/>
          <w:kern w:val="0"/>
          <w:sz w:val="52"/>
          <w:szCs w:val="52"/>
          <w:fitText w:val="7042" w:id="0"/>
        </w:rPr>
        <w:t>团体标</w:t>
      </w:r>
      <w:r>
        <w:rPr>
          <w:rFonts w:hint="eastAsia" w:ascii="黑体" w:eastAsia="黑体"/>
          <w:b/>
          <w:color w:val="auto"/>
          <w:spacing w:val="2"/>
          <w:kern w:val="0"/>
          <w:sz w:val="52"/>
          <w:szCs w:val="52"/>
          <w:fitText w:val="7042" w:id="0"/>
        </w:rPr>
        <w:t>准</w:t>
      </w:r>
    </w:p>
    <w:p>
      <w:pPr>
        <w:pStyle w:val="11"/>
        <w:ind w:left="0" w:firstLine="0"/>
        <w:rPr>
          <w:color w:val="auto"/>
        </w:rPr>
      </w:pPr>
    </w:p>
    <w:p>
      <w:pPr>
        <w:rPr>
          <w:color w:val="auto"/>
        </w:rPr>
      </w:pPr>
    </w:p>
    <w:p>
      <w:pPr>
        <w:rPr>
          <w:color w:val="auto"/>
        </w:rPr>
      </w:pPr>
    </w:p>
    <w:p>
      <w:pPr>
        <w:framePr w:w="9633" w:hSpace="181" w:wrap="notBeside" w:vAnchor="text" w:hAnchor="page" w:x="1380" w:y="3280"/>
        <w:spacing w:line="360" w:lineRule="auto"/>
        <w:jc w:val="center"/>
        <w:rPr>
          <w:rFonts w:eastAsia="黑体" w:asciiTheme="majorHAnsi" w:hAnsiTheme="majorHAnsi"/>
          <w:b/>
          <w:bCs/>
          <w:color w:val="auto"/>
          <w:sz w:val="24"/>
          <w:szCs w:val="24"/>
          <w:lang w:val="de-DE"/>
        </w:rPr>
      </w:pPr>
      <w:r>
        <w:rPr>
          <w:rFonts w:eastAsia="黑体" w:asciiTheme="majorHAnsi" w:hAnsiTheme="majorHAnsi"/>
          <w:b/>
          <w:color w:val="auto"/>
          <w:sz w:val="24"/>
          <w:szCs w:val="24"/>
          <w:lang w:val="de-DE"/>
        </w:rPr>
        <w:t xml:space="preserve">Life cycle assessment </w:t>
      </w:r>
      <w:r>
        <w:rPr>
          <w:rFonts w:eastAsia="黑体" w:asciiTheme="majorHAnsi" w:hAnsiTheme="majorHAnsi"/>
          <w:b/>
          <w:bCs/>
          <w:color w:val="auto"/>
          <w:sz w:val="24"/>
          <w:szCs w:val="24"/>
          <w:lang w:val="de-DE"/>
        </w:rPr>
        <w:t xml:space="preserve">specification </w:t>
      </w:r>
      <w:r>
        <w:rPr>
          <w:rFonts w:hint="eastAsia" w:eastAsia="黑体" w:asciiTheme="majorHAnsi" w:hAnsiTheme="majorHAnsi"/>
          <w:b/>
          <w:bCs/>
          <w:color w:val="auto"/>
          <w:sz w:val="24"/>
          <w:szCs w:val="24"/>
          <w:lang w:val="de-DE"/>
        </w:rPr>
        <w:t>for copper and copper alloy processing products</w:t>
      </w:r>
    </w:p>
    <w:p>
      <w:pPr>
        <w:framePr w:w="9633" w:hSpace="181" w:wrap="notBeside" w:vAnchor="text" w:hAnchor="page" w:x="1380" w:y="3280"/>
        <w:jc w:val="center"/>
        <w:rPr>
          <w:rFonts w:eastAsia="黑体" w:asciiTheme="majorHAnsi" w:hAnsiTheme="majorHAnsi"/>
          <w:b/>
          <w:bCs/>
          <w:color w:val="auto"/>
          <w:sz w:val="24"/>
          <w:szCs w:val="24"/>
        </w:rPr>
      </w:pPr>
      <w:r>
        <w:rPr>
          <w:rFonts w:hint="eastAsia"/>
          <w:b/>
          <w:color w:val="auto"/>
          <w:sz w:val="24"/>
          <w:szCs w:val="24"/>
          <w:lang w:val="de-DE"/>
        </w:rPr>
        <w:t>（</w:t>
      </w:r>
      <w:r>
        <w:rPr>
          <w:rFonts w:eastAsia="黑体" w:asciiTheme="majorHAnsi" w:hAnsiTheme="majorHAnsi"/>
          <w:b/>
          <w:color w:val="auto"/>
          <w:sz w:val="24"/>
          <w:szCs w:val="24"/>
          <w:shd w:val="clear" w:color="auto" w:fill="FCFCFC"/>
        </w:rPr>
        <w:t>product</w:t>
      </w:r>
      <w:r>
        <w:rPr>
          <w:rFonts w:hint="eastAsia" w:eastAsia="黑体" w:asciiTheme="majorHAnsi" w:hAnsiTheme="majorHAnsi"/>
          <w:b/>
          <w:color w:val="auto"/>
          <w:sz w:val="24"/>
          <w:szCs w:val="24"/>
          <w:shd w:val="clear" w:color="auto" w:fill="FCFCFC"/>
        </w:rPr>
        <w:t xml:space="preserve"> category rules</w:t>
      </w:r>
      <w:r>
        <w:rPr>
          <w:rFonts w:hint="eastAsia"/>
          <w:b/>
          <w:color w:val="auto"/>
          <w:sz w:val="24"/>
          <w:szCs w:val="24"/>
          <w:lang w:val="de-DE"/>
        </w:rPr>
        <w:t>）</w:t>
      </w:r>
    </w:p>
    <w:p>
      <w:pPr>
        <w:rPr>
          <w:color w:val="auto"/>
        </w:rPr>
      </w:pPr>
    </w:p>
    <w:p>
      <w:pPr>
        <w:rPr>
          <w:color w:val="auto"/>
        </w:rPr>
      </w:pPr>
    </w:p>
    <w:p>
      <w:pPr>
        <w:rPr>
          <w:color w:val="auto"/>
        </w:rPr>
      </w:pPr>
    </w:p>
    <w:p>
      <w:pPr>
        <w:framePr w:w="5268" w:hSpace="181" w:wrap="around" w:vAnchor="page" w:hAnchor="page" w:x="5775" w:y="4156" w:anchorLock="1"/>
        <w:jc w:val="right"/>
        <w:rPr>
          <w:rFonts w:eastAsia="黑体"/>
          <w:bCs/>
          <w:color w:val="auto"/>
          <w:lang w:val="de-DE"/>
        </w:rPr>
      </w:pPr>
      <w:r>
        <w:rPr>
          <w:rFonts w:ascii="黑体" w:hAnsi="黑体" w:eastAsia="黑体" w:cs="Times New Roman"/>
          <w:color w:val="auto"/>
          <w:sz w:val="28"/>
          <w:szCs w:val="28"/>
        </w:rPr>
        <w:t>T/CNIA</w:t>
      </w:r>
      <w:r>
        <w:rPr>
          <w:rFonts w:hint="eastAsia" w:eastAsia="黑体"/>
          <w:bCs/>
          <w:color w:val="auto"/>
          <w:sz w:val="28"/>
          <w:lang w:val="de-DE"/>
        </w:rPr>
        <w:t xml:space="preserve"> XXXX－XXXX</w:t>
      </w:r>
    </w:p>
    <w:p>
      <w:pPr>
        <w:rPr>
          <w:color w:val="auto"/>
          <w:lang w:val="de-DE"/>
        </w:rPr>
      </w:pPr>
    </w:p>
    <w:p>
      <w:pPr>
        <w:rPr>
          <w:color w:val="auto"/>
          <w:lang w:val="de-DE"/>
        </w:rPr>
      </w:pPr>
      <w:r>
        <w:rPr>
          <w:rFonts w:hint="eastAsia"/>
          <w:color w:val="auto"/>
        </w:rPr>
        <w:t>　　　　</w:t>
      </w:r>
    </w:p>
    <w:p>
      <w:pPr>
        <w:rPr>
          <w:color w:val="auto"/>
          <w:lang w:val="de-DE"/>
        </w:rPr>
      </w:pPr>
    </w:p>
    <w:p>
      <w:pPr>
        <w:framePr w:w="9724" w:hSpace="181" w:wrap="notBeside" w:vAnchor="page" w:hAnchor="page" w:x="1200" w:y="5821" w:anchorLock="1"/>
        <w:jc w:val="center"/>
        <w:rPr>
          <w:rFonts w:eastAsia="黑体"/>
          <w:color w:val="auto"/>
          <w:sz w:val="44"/>
          <w:szCs w:val="44"/>
        </w:rPr>
      </w:pPr>
      <w:r>
        <w:rPr>
          <w:rFonts w:hint="eastAsia" w:eastAsia="黑体"/>
          <w:color w:val="auto"/>
          <w:sz w:val="44"/>
          <w:szCs w:val="44"/>
        </w:rPr>
        <w:t>铜及铜合金加工产品制造生命周期评价技术规范</w:t>
      </w:r>
    </w:p>
    <w:p>
      <w:pPr>
        <w:framePr w:w="9724" w:hSpace="181" w:wrap="notBeside" w:vAnchor="page" w:hAnchor="page" w:x="1200" w:y="5821" w:anchorLock="1"/>
        <w:jc w:val="center"/>
        <w:rPr>
          <w:rFonts w:ascii="宋体"/>
          <w:color w:val="auto"/>
          <w:sz w:val="44"/>
          <w:szCs w:val="44"/>
          <w:lang w:val="de-DE"/>
        </w:rPr>
      </w:pPr>
      <w:r>
        <w:rPr>
          <w:rFonts w:hint="eastAsia" w:eastAsia="黑体"/>
          <w:color w:val="auto"/>
          <w:sz w:val="44"/>
          <w:szCs w:val="44"/>
        </w:rPr>
        <w:t>（产品种类规则）</w:t>
      </w:r>
    </w:p>
    <w:p>
      <w:pPr>
        <w:jc w:val="center"/>
        <w:rPr>
          <w:color w:val="auto"/>
          <w:sz w:val="28"/>
          <w:szCs w:val="28"/>
          <w:lang w:val="de-DE"/>
        </w:rPr>
      </w:pPr>
    </w:p>
    <w:p>
      <w:pPr>
        <w:jc w:val="center"/>
        <w:rPr>
          <w:color w:val="auto"/>
          <w:lang w:val="de-DE"/>
        </w:rPr>
      </w:pPr>
    </w:p>
    <w:p>
      <w:pPr>
        <w:spacing w:line="160" w:lineRule="exact"/>
        <w:jc w:val="center"/>
        <w:rPr>
          <w:color w:val="auto"/>
          <w:lang w:val="de-DE"/>
        </w:rPr>
      </w:pPr>
    </w:p>
    <w:p>
      <w:pPr>
        <w:spacing w:line="160" w:lineRule="exact"/>
        <w:jc w:val="center"/>
        <w:rPr>
          <w:color w:val="auto"/>
          <w:lang w:val="de-DE"/>
        </w:rPr>
      </w:pPr>
    </w:p>
    <w:p>
      <w:pPr>
        <w:pStyle w:val="27"/>
        <w:rPr>
          <w:rFonts w:eastAsia="宋体"/>
          <w:color w:val="auto"/>
          <w:sz w:val="28"/>
          <w:szCs w:val="28"/>
          <w:lang w:val="de-DE"/>
        </w:rPr>
      </w:pPr>
      <w:r>
        <w:rPr>
          <w:rFonts w:hint="eastAsia" w:eastAsia="宋体"/>
          <w:color w:val="auto"/>
          <w:sz w:val="28"/>
          <w:szCs w:val="28"/>
          <w:lang w:val="de-DE"/>
        </w:rPr>
        <w:t>（</w:t>
      </w:r>
      <w:r>
        <w:rPr>
          <w:rFonts w:hint="eastAsia" w:eastAsia="宋体"/>
          <w:color w:val="auto"/>
          <w:sz w:val="28"/>
          <w:szCs w:val="28"/>
        </w:rPr>
        <w:t>送审稿</w:t>
      </w:r>
      <w:r>
        <w:rPr>
          <w:rFonts w:hint="eastAsia" w:eastAsia="宋体"/>
          <w:color w:val="auto"/>
          <w:sz w:val="28"/>
          <w:szCs w:val="28"/>
          <w:lang w:val="de-DE"/>
        </w:rPr>
        <w:t>）</w:t>
      </w:r>
    </w:p>
    <w:p>
      <w:pPr>
        <w:rPr>
          <w:color w:val="auto"/>
          <w:lang w:val="de-DE"/>
        </w:rPr>
      </w:pPr>
    </w:p>
    <w:p>
      <w:pPr>
        <w:rPr>
          <w:color w:val="auto"/>
          <w:lang w:val="de-DE"/>
        </w:rPr>
      </w:pPr>
    </w:p>
    <w:p>
      <w:pPr>
        <w:rPr>
          <w:color w:val="auto"/>
          <w:lang w:val="de-DE"/>
        </w:rPr>
      </w:pPr>
    </w:p>
    <w:p>
      <w:pPr>
        <w:rPr>
          <w:color w:val="auto"/>
          <w:lang w:val="de-DE"/>
        </w:rPr>
      </w:pPr>
    </w:p>
    <w:p>
      <w:pPr>
        <w:framePr w:w="3243" w:h="496" w:hRule="exact" w:hSpace="181" w:wrap="around" w:vAnchor="page" w:hAnchor="page" w:x="1530" w:y="13366" w:anchorLock="1"/>
        <w:spacing w:line="320" w:lineRule="atLeast"/>
        <w:rPr>
          <w:rFonts w:ascii="黑体" w:eastAsia="黑体"/>
          <w:color w:val="auto"/>
          <w:sz w:val="10"/>
          <w:lang w:val="de-DE"/>
        </w:rPr>
      </w:pPr>
      <w:r>
        <w:rPr>
          <w:rFonts w:ascii="黑体" w:eastAsia="黑体"/>
          <w:color w:val="auto"/>
          <w:sz w:val="28"/>
        </w:rPr>
        <w:fldChar w:fldCharType="begin">
          <w:ffData>
            <w:name w:val="FB"/>
            <w:enabled/>
            <w:calcOnExit w:val="0"/>
            <w:textInput>
              <w:default w:val="20xx-xx-xx 发布"/>
            </w:textInput>
          </w:ffData>
        </w:fldChar>
      </w:r>
      <w:bookmarkStart w:id="0" w:name="FB"/>
      <w:r>
        <w:rPr>
          <w:rFonts w:ascii="黑体" w:eastAsia="黑体"/>
          <w:color w:val="auto"/>
          <w:sz w:val="28"/>
          <w:lang w:val="de-DE"/>
        </w:rPr>
        <w:instrText xml:space="preserve"> FORMTEXT </w:instrText>
      </w:r>
      <w:r>
        <w:rPr>
          <w:rFonts w:ascii="黑体" w:eastAsia="黑体"/>
          <w:color w:val="auto"/>
          <w:sz w:val="28"/>
        </w:rPr>
        <w:fldChar w:fldCharType="separate"/>
      </w:r>
      <w:r>
        <w:rPr>
          <w:rFonts w:hint="eastAsia" w:ascii="黑体" w:eastAsia="黑体"/>
          <w:color w:val="auto"/>
          <w:sz w:val="28"/>
          <w:lang w:val="de-DE"/>
        </w:rPr>
        <w:t xml:space="preserve">20xx-xx-xx </w:t>
      </w:r>
      <w:r>
        <w:rPr>
          <w:rFonts w:hint="eastAsia" w:ascii="黑体" w:eastAsia="黑体"/>
          <w:color w:val="auto"/>
          <w:sz w:val="28"/>
        </w:rPr>
        <w:t>发布</w:t>
      </w:r>
      <w:r>
        <w:rPr>
          <w:rFonts w:ascii="黑体" w:eastAsia="黑体"/>
          <w:color w:val="auto"/>
          <w:sz w:val="28"/>
        </w:rPr>
        <w:fldChar w:fldCharType="end"/>
      </w:r>
      <w:bookmarkEnd w:id="0"/>
    </w:p>
    <w:p>
      <w:pPr>
        <w:rPr>
          <w:color w:val="auto"/>
          <w:lang w:val="de-DE"/>
        </w:rPr>
      </w:pPr>
      <w:r>
        <w:rPr>
          <w:color w:val="auto"/>
        </w:rPr>
        <w:pict>
          <v:line id="_x0000_s1082" o:spid="_x0000_s1082" o:spt="20" style="position:absolute;left:0pt;margin-left:70.9pt;margin-top:695.25pt;height:0.05pt;width:481.95pt;mso-position-horizontal-relative:page;mso-position-vertical-relative:page;z-index:251662336;mso-width-relative:page;mso-height-relative:page;" coordsize="21600,21600">
            <v:path arrowok="t"/>
            <v:fill focussize="0,0"/>
            <v:stroke startarrowwidth="narrow" startarrowlength="short" endarrowwidth="narrow" endarrowlength="short"/>
            <v:imagedata o:title=""/>
            <o:lock v:ext="edit"/>
            <w10:anchorlock/>
          </v:line>
        </w:pict>
      </w:r>
    </w:p>
    <w:p>
      <w:pPr>
        <w:framePr w:w="2971" w:h="541" w:hRule="exact" w:hSpace="181" w:wrap="around" w:vAnchor="page" w:hAnchor="page" w:x="8025" w:y="13321" w:anchorLock="1"/>
        <w:spacing w:line="320" w:lineRule="atLeast"/>
        <w:jc w:val="right"/>
        <w:rPr>
          <w:b/>
          <w:color w:val="auto"/>
          <w:sz w:val="10"/>
          <w:lang w:val="de-DE"/>
        </w:rPr>
      </w:pPr>
      <w:r>
        <w:rPr>
          <w:rFonts w:ascii="黑体" w:eastAsia="黑体"/>
          <w:color w:val="auto"/>
          <w:sz w:val="28"/>
        </w:rPr>
        <w:fldChar w:fldCharType="begin">
          <w:ffData>
            <w:name w:val="SS"/>
            <w:enabled/>
            <w:calcOnExit w:val="0"/>
            <w:textInput>
              <w:default w:val="20xx-xx-xx 实施"/>
            </w:textInput>
          </w:ffData>
        </w:fldChar>
      </w:r>
      <w:bookmarkStart w:id="1" w:name="SS"/>
      <w:r>
        <w:rPr>
          <w:rFonts w:ascii="黑体" w:eastAsia="黑体"/>
          <w:color w:val="auto"/>
          <w:sz w:val="28"/>
          <w:lang w:val="de-DE"/>
        </w:rPr>
        <w:instrText xml:space="preserve"> FORMTEXT </w:instrText>
      </w:r>
      <w:r>
        <w:rPr>
          <w:rFonts w:ascii="黑体" w:eastAsia="黑体"/>
          <w:color w:val="auto"/>
          <w:sz w:val="28"/>
        </w:rPr>
        <w:fldChar w:fldCharType="separate"/>
      </w:r>
      <w:r>
        <w:rPr>
          <w:rFonts w:hint="eastAsia" w:ascii="黑体" w:eastAsia="黑体"/>
          <w:color w:val="auto"/>
          <w:sz w:val="28"/>
          <w:lang w:val="de-DE"/>
        </w:rPr>
        <w:t xml:space="preserve">20xx-xx-xx </w:t>
      </w:r>
      <w:r>
        <w:rPr>
          <w:rFonts w:hint="eastAsia" w:ascii="黑体" w:eastAsia="黑体"/>
          <w:color w:val="auto"/>
          <w:sz w:val="28"/>
        </w:rPr>
        <w:t>实施</w:t>
      </w:r>
      <w:r>
        <w:rPr>
          <w:rFonts w:ascii="黑体" w:eastAsia="黑体"/>
          <w:color w:val="auto"/>
          <w:sz w:val="28"/>
        </w:rPr>
        <w:fldChar w:fldCharType="end"/>
      </w:r>
      <w:bookmarkEnd w:id="1"/>
    </w:p>
    <w:p>
      <w:pPr>
        <w:rPr>
          <w:color w:val="auto"/>
          <w:lang w:val="de-DE"/>
        </w:rPr>
      </w:pPr>
    </w:p>
    <w:p>
      <w:pPr>
        <w:jc w:val="center"/>
        <w:rPr>
          <w:rFonts w:ascii="黑体" w:eastAsia="黑体"/>
          <w:color w:val="auto"/>
          <w:szCs w:val="21"/>
          <w:lang w:val="de-DE"/>
        </w:rPr>
      </w:pPr>
    </w:p>
    <w:p>
      <w:pPr>
        <w:spacing w:line="240" w:lineRule="atLeast"/>
        <w:jc w:val="center"/>
        <w:rPr>
          <w:rFonts w:ascii="黑体" w:eastAsia="黑体"/>
          <w:color w:val="auto"/>
          <w:szCs w:val="21"/>
          <w:lang w:val="de-DE"/>
        </w:rPr>
      </w:pPr>
    </w:p>
    <w:p>
      <w:pPr>
        <w:spacing w:line="240" w:lineRule="atLeast"/>
        <w:jc w:val="center"/>
        <w:rPr>
          <w:rFonts w:ascii="黑体" w:eastAsia="黑体"/>
          <w:color w:val="auto"/>
          <w:szCs w:val="21"/>
          <w:lang w:val="de-DE"/>
        </w:rPr>
      </w:pPr>
    </w:p>
    <w:p>
      <w:pPr>
        <w:spacing w:line="240" w:lineRule="atLeast"/>
        <w:jc w:val="center"/>
        <w:rPr>
          <w:rFonts w:ascii="黑体" w:eastAsia="黑体"/>
          <w:color w:val="auto"/>
          <w:szCs w:val="21"/>
          <w:lang w:val="de-DE"/>
        </w:rPr>
      </w:pPr>
    </w:p>
    <w:p>
      <w:pPr>
        <w:rPr>
          <w:color w:val="auto"/>
          <w:lang w:val="de-DE"/>
        </w:rPr>
      </w:pPr>
      <w:r>
        <w:rPr>
          <w:rFonts w:ascii="宋体"/>
          <w:color w:val="auto"/>
          <w:sz w:val="36"/>
        </w:rPr>
        <w:pict>
          <v:shape id="文本框 4" o:spid="_x0000_s1286" o:spt="202" type="#_x0000_t202" style="position:absolute;left:0pt;margin-left:93.95pt;margin-top:4.7pt;height:67.7pt;width:238.1pt;z-index:251668480;mso-width-relative:page;mso-height-relative:page;" stroked="f" coordsize="21600,21600">
            <v:path/>
            <v:fill focussize="0,0"/>
            <v:stroke on="f" joinstyle="miter"/>
            <v:imagedata o:title=""/>
            <o:lock v:ext="edit"/>
            <v:textbox>
              <w:txbxContent>
                <w:p>
                  <w:pPr>
                    <w:pStyle w:val="26"/>
                    <w:rPr>
                      <w:spacing w:val="0"/>
                      <w:sz w:val="32"/>
                      <w:szCs w:val="36"/>
                    </w:rPr>
                  </w:pPr>
                  <w:r>
                    <w:rPr>
                      <w:rFonts w:hint="eastAsia"/>
                      <w:spacing w:val="0"/>
                      <w:sz w:val="32"/>
                      <w:szCs w:val="36"/>
                    </w:rPr>
                    <w:t>中国有色金属工业协会</w:t>
                  </w:r>
                </w:p>
                <w:p>
                  <w:pPr>
                    <w:pStyle w:val="26"/>
                    <w:jc w:val="distribute"/>
                    <w:rPr>
                      <w:sz w:val="32"/>
                      <w:szCs w:val="36"/>
                    </w:rPr>
                  </w:pPr>
                  <w:r>
                    <w:rPr>
                      <w:rFonts w:hint="eastAsia"/>
                      <w:spacing w:val="0"/>
                      <w:w w:val="130"/>
                      <w:sz w:val="32"/>
                      <w:szCs w:val="36"/>
                    </w:rPr>
                    <w:t>中国有色金属学会</w:t>
                  </w:r>
                </w:p>
                <w:p>
                  <w:pPr>
                    <w:jc w:val="center"/>
                    <w:rPr>
                      <w:rFonts w:ascii="Calibri" w:hAnsi="Calibri" w:eastAsia="宋体" w:cs="Times New Roman"/>
                      <w:sz w:val="36"/>
                      <w:szCs w:val="36"/>
                    </w:rPr>
                  </w:pPr>
                </w:p>
              </w:txbxContent>
            </v:textbox>
          </v:shape>
        </w:pict>
      </w:r>
    </w:p>
    <w:tbl>
      <w:tblPr>
        <w:tblStyle w:val="12"/>
        <w:tblW w:w="0" w:type="auto"/>
        <w:tblInd w:w="1068" w:type="dxa"/>
        <w:tblLayout w:type="fixed"/>
        <w:tblCellMar>
          <w:top w:w="0" w:type="dxa"/>
          <w:left w:w="108" w:type="dxa"/>
          <w:bottom w:w="0" w:type="dxa"/>
          <w:right w:w="108" w:type="dxa"/>
        </w:tblCellMar>
      </w:tblPr>
      <w:tblGrid>
        <w:gridCol w:w="5340"/>
        <w:gridCol w:w="1277"/>
      </w:tblGrid>
      <w:tr>
        <w:tblPrEx>
          <w:tblCellMar>
            <w:top w:w="0" w:type="dxa"/>
            <w:left w:w="108" w:type="dxa"/>
            <w:bottom w:w="0" w:type="dxa"/>
            <w:right w:w="108" w:type="dxa"/>
          </w:tblCellMar>
        </w:tblPrEx>
        <w:tc>
          <w:tcPr>
            <w:tcW w:w="5340" w:type="dxa"/>
            <w:noWrap/>
            <w:vAlign w:val="center"/>
          </w:tcPr>
          <w:p>
            <w:pPr>
              <w:spacing w:line="320" w:lineRule="atLeast"/>
              <w:jc w:val="center"/>
              <w:rPr>
                <w:rFonts w:ascii="宋体"/>
                <w:color w:val="auto"/>
                <w:w w:val="120"/>
                <w:sz w:val="36"/>
              </w:rPr>
            </w:pPr>
            <w:r>
              <w:rPr>
                <w:rFonts w:hint="eastAsia"/>
                <w:b/>
                <w:color w:val="auto"/>
                <w:sz w:val="32"/>
                <w:lang w:val="de-DE"/>
              </w:rPr>
              <w:t xml:space="preserve">                      </w:t>
            </w:r>
          </w:p>
        </w:tc>
        <w:tc>
          <w:tcPr>
            <w:tcW w:w="1277" w:type="dxa"/>
            <w:noWrap/>
            <w:vAlign w:val="center"/>
          </w:tcPr>
          <w:p>
            <w:pPr>
              <w:spacing w:line="320" w:lineRule="atLeast"/>
              <w:rPr>
                <w:rFonts w:ascii="黑体"/>
                <w:color w:val="auto"/>
                <w:sz w:val="36"/>
              </w:rPr>
            </w:pPr>
            <w:r>
              <w:rPr>
                <w:color w:val="auto"/>
              </w:rPr>
              <w:pict>
                <v:shape id="fmFrame7" o:spid="_x0000_s1287" o:spt="202" type="#_x0000_t202" style="position:absolute;left:0pt;flip:x y;margin-left:44.7pt;margin-top:4.2pt;height:31.2pt;width:36pt;mso-position-horizontal-relative:margin;mso-position-vertical-relative:margin;z-index:251669504;mso-width-relative:page;mso-height-relative:page;" stroked="f" coordsize="21600,21600">
                  <v:path/>
                  <v:fill focussize="0,0"/>
                  <v:stroke on="f" joinstyle="miter"/>
                  <v:imagedata o:title=""/>
                  <o:lock v:ext="edit"/>
                  <v:textbox inset="0mm,0mm,0mm,0mm">
                    <w:txbxContent>
                      <w:p>
                        <w:pPr>
                          <w:rPr>
                            <w:rFonts w:ascii="Calibri" w:hAnsi="Calibri" w:eastAsia="宋体" w:cs="Times New Roman"/>
                            <w:b/>
                            <w:sz w:val="28"/>
                          </w:rPr>
                        </w:pPr>
                        <w:r>
                          <w:rPr>
                            <w:rFonts w:hint="eastAsia" w:ascii="Calibri" w:hAnsi="Calibri" w:eastAsia="宋体" w:cs="Times New Roman"/>
                            <w:b/>
                            <w:sz w:val="28"/>
                          </w:rPr>
                          <w:t>发布</w:t>
                        </w:r>
                      </w:p>
                    </w:txbxContent>
                  </v:textbox>
                </v:shape>
              </w:pict>
            </w:r>
          </w:p>
        </w:tc>
      </w:tr>
    </w:tbl>
    <w:p>
      <w:pPr>
        <w:jc w:val="center"/>
        <w:rPr>
          <w:b/>
          <w:color w:val="auto"/>
          <w:sz w:val="32"/>
          <w:lang w:val="de-DE"/>
        </w:rPr>
      </w:pPr>
    </w:p>
    <w:p>
      <w:pPr>
        <w:jc w:val="center"/>
        <w:rPr>
          <w:rFonts w:ascii="黑体"/>
          <w:b/>
          <w:color w:val="auto"/>
          <w:sz w:val="32"/>
          <w:lang w:val="de-DE"/>
        </w:rPr>
      </w:pPr>
      <w:r>
        <w:rPr>
          <w:rFonts w:hint="eastAsia"/>
          <w:b/>
          <w:color w:val="auto"/>
          <w:sz w:val="32"/>
        </w:rPr>
        <w:t>前</w:t>
      </w:r>
      <w:r>
        <w:rPr>
          <w:b/>
          <w:color w:val="auto"/>
          <w:sz w:val="32"/>
          <w:lang w:val="de-DE"/>
        </w:rPr>
        <w:t xml:space="preserve">   </w:t>
      </w:r>
      <w:r>
        <w:rPr>
          <w:rFonts w:hint="eastAsia"/>
          <w:b/>
          <w:color w:val="auto"/>
          <w:sz w:val="32"/>
        </w:rPr>
        <w:t>言</w:t>
      </w:r>
      <w:bookmarkStart w:id="18" w:name="_GoBack"/>
      <w:bookmarkEnd w:id="18"/>
    </w:p>
    <w:p>
      <w:pPr>
        <w:tabs>
          <w:tab w:val="left" w:pos="6120"/>
        </w:tabs>
        <w:spacing w:line="460" w:lineRule="exact"/>
        <w:ind w:firstLine="480"/>
        <w:rPr>
          <w:rFonts w:ascii="宋体"/>
          <w:color w:val="auto"/>
          <w:lang w:val="de-DE"/>
        </w:rPr>
      </w:pPr>
    </w:p>
    <w:p>
      <w:pPr>
        <w:ind w:firstLine="420" w:firstLineChars="200"/>
        <w:rPr>
          <w:rFonts w:ascii="宋体" w:hAnsi="宋体"/>
          <w:color w:val="auto"/>
          <w:szCs w:val="21"/>
        </w:rPr>
      </w:pPr>
      <w:r>
        <w:rPr>
          <w:rFonts w:hint="eastAsia" w:ascii="宋体" w:hAnsi="宋体"/>
          <w:color w:val="auto"/>
          <w:szCs w:val="21"/>
        </w:rPr>
        <w:t>本文件按照GB/T1.1-2020《标准化工作导则 第1部分：标准化文件的结构和起草规则》的规定起草</w:t>
      </w:r>
      <w:r>
        <w:rPr>
          <w:rFonts w:hint="eastAsia"/>
          <w:color w:val="auto"/>
        </w:rPr>
        <w:t>。</w:t>
      </w:r>
    </w:p>
    <w:p>
      <w:pPr>
        <w:ind w:firstLine="420" w:firstLineChars="200"/>
        <w:rPr>
          <w:rFonts w:ascii="宋体" w:hAnsi="宋体"/>
          <w:color w:val="auto"/>
        </w:rPr>
      </w:pPr>
      <w:r>
        <w:rPr>
          <w:rFonts w:hint="eastAsia" w:ascii="宋体" w:hAnsi="宋体"/>
          <w:color w:val="auto"/>
          <w:szCs w:val="21"/>
        </w:rPr>
        <w:t>本</w:t>
      </w:r>
      <w:r>
        <w:rPr>
          <w:rFonts w:hint="eastAsia" w:ascii="宋体"/>
          <w:color w:val="auto"/>
        </w:rPr>
        <w:t>文件</w:t>
      </w:r>
      <w:r>
        <w:rPr>
          <w:rFonts w:hint="eastAsia" w:ascii="宋体" w:hAnsi="宋体"/>
          <w:color w:val="auto"/>
          <w:szCs w:val="21"/>
        </w:rPr>
        <w:t>由工业和信息化部节能与综合利用司、</w:t>
      </w:r>
      <w:r>
        <w:rPr>
          <w:rFonts w:hint="eastAsia"/>
          <w:color w:val="auto"/>
          <w:szCs w:val="21"/>
        </w:rPr>
        <w:t>中国有色金属工业协会</w:t>
      </w:r>
      <w:r>
        <w:rPr>
          <w:rFonts w:hint="eastAsia" w:ascii="宋体" w:hAnsi="宋体"/>
          <w:color w:val="auto"/>
          <w:szCs w:val="21"/>
        </w:rPr>
        <w:t>提出。</w:t>
      </w:r>
    </w:p>
    <w:p>
      <w:pPr>
        <w:ind w:firstLine="420" w:firstLineChars="200"/>
        <w:rPr>
          <w:rFonts w:ascii="宋体" w:hAnsi="宋体"/>
          <w:color w:val="auto"/>
        </w:rPr>
      </w:pPr>
      <w:r>
        <w:rPr>
          <w:rFonts w:hint="eastAsia" w:ascii="宋体" w:hAnsi="宋体"/>
          <w:color w:val="auto"/>
          <w:szCs w:val="21"/>
        </w:rPr>
        <w:t>本</w:t>
      </w:r>
      <w:r>
        <w:rPr>
          <w:rFonts w:hint="eastAsia" w:ascii="宋体"/>
          <w:color w:val="auto"/>
        </w:rPr>
        <w:t>文件</w:t>
      </w:r>
      <w:r>
        <w:rPr>
          <w:rFonts w:hint="eastAsia" w:ascii="宋体" w:hAnsi="宋体"/>
          <w:color w:val="auto"/>
          <w:szCs w:val="21"/>
        </w:rPr>
        <w:t>由</w:t>
      </w:r>
      <w:r>
        <w:rPr>
          <w:rFonts w:hint="eastAsia"/>
          <w:color w:val="auto"/>
          <w:szCs w:val="21"/>
        </w:rPr>
        <w:t>全国有色金属标准化技术委员会</w:t>
      </w:r>
      <w:r>
        <w:rPr>
          <w:rFonts w:hint="eastAsia" w:ascii="宋体" w:hAnsi="宋体"/>
          <w:color w:val="auto"/>
          <w:szCs w:val="21"/>
        </w:rPr>
        <w:t>（SAC/TC243）</w:t>
      </w:r>
      <w:r>
        <w:rPr>
          <w:rFonts w:hint="eastAsia"/>
          <w:color w:val="auto"/>
          <w:szCs w:val="21"/>
        </w:rPr>
        <w:t>归口</w:t>
      </w:r>
      <w:r>
        <w:rPr>
          <w:rFonts w:hint="eastAsia" w:ascii="宋体" w:hAnsi="宋体"/>
          <w:color w:val="auto"/>
          <w:szCs w:val="21"/>
        </w:rPr>
        <w:t>。</w:t>
      </w:r>
    </w:p>
    <w:p>
      <w:pPr>
        <w:ind w:firstLine="420" w:firstLineChars="200"/>
        <w:rPr>
          <w:rFonts w:hint="eastAsia" w:ascii="宋体" w:hAnsi="宋体" w:cs="宋体" w:eastAsiaTheme="minorEastAsia"/>
          <w:color w:val="auto"/>
          <w:szCs w:val="21"/>
          <w:lang w:eastAsia="zh-CN"/>
        </w:rPr>
      </w:pPr>
      <w:r>
        <w:rPr>
          <w:rFonts w:hint="eastAsia" w:ascii="宋体" w:hAnsi="宋体" w:cs="宋体"/>
          <w:color w:val="auto"/>
          <w:szCs w:val="21"/>
        </w:rPr>
        <w:t>本</w:t>
      </w:r>
      <w:r>
        <w:rPr>
          <w:rFonts w:hint="eastAsia" w:ascii="宋体"/>
          <w:color w:val="auto"/>
        </w:rPr>
        <w:t>文件</w:t>
      </w:r>
      <w:r>
        <w:rPr>
          <w:rFonts w:hint="eastAsia" w:ascii="宋体" w:hAnsi="宋体" w:cs="宋体"/>
          <w:color w:val="auto"/>
          <w:szCs w:val="21"/>
        </w:rPr>
        <w:t>起草单位：</w:t>
      </w:r>
      <w:r>
        <w:rPr>
          <w:rFonts w:ascii="宋体" w:hAnsi="宋体" w:cs="宋体"/>
          <w:color w:val="auto"/>
          <w:szCs w:val="21"/>
        </w:rPr>
        <w:t xml:space="preserve"> </w:t>
      </w:r>
      <w:r>
        <w:rPr>
          <w:rFonts w:hint="eastAsia" w:ascii="宋体" w:hAnsi="宋体" w:cs="宋体"/>
          <w:color w:val="auto"/>
          <w:szCs w:val="21"/>
          <w:lang w:eastAsia="zh-CN"/>
        </w:rPr>
        <w:t>中铝洛阳铜加工有限公司、浙江海亮股份有限公司、安徽新科铜业有限公司、江西铜业股份有限公司、金龙精密铜管龙丰公司、宁波长振铜业有限公司</w:t>
      </w:r>
    </w:p>
    <w:p>
      <w:pPr>
        <w:ind w:firstLine="420"/>
        <w:rPr>
          <w:rFonts w:ascii="宋体" w:hAnsi="宋体" w:cs="宋体"/>
          <w:color w:val="auto"/>
          <w:szCs w:val="21"/>
        </w:rPr>
      </w:pPr>
      <w:r>
        <w:rPr>
          <w:rFonts w:hint="eastAsia" w:ascii="宋体" w:hAnsi="宋体" w:cs="宋体"/>
          <w:color w:val="auto"/>
          <w:szCs w:val="21"/>
        </w:rPr>
        <w:t>本</w:t>
      </w:r>
      <w:r>
        <w:rPr>
          <w:rFonts w:hint="eastAsia" w:ascii="宋体"/>
          <w:color w:val="auto"/>
        </w:rPr>
        <w:t>文件</w:t>
      </w:r>
      <w:r>
        <w:rPr>
          <w:rFonts w:hint="eastAsia" w:ascii="宋体" w:hAnsi="宋体" w:cs="宋体"/>
          <w:color w:val="auto"/>
          <w:szCs w:val="21"/>
        </w:rPr>
        <w:t>主要起草人员：</w:t>
      </w:r>
      <w:r>
        <w:rPr>
          <w:rFonts w:ascii="宋体" w:hAnsi="宋体" w:cs="宋体"/>
          <w:color w:val="auto"/>
          <w:szCs w:val="21"/>
        </w:rPr>
        <w:t xml:space="preserve"> </w:t>
      </w: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铜及铜合金加工产品制造生命周期评价技术规范</w:t>
      </w:r>
    </w:p>
    <w:p>
      <w:pPr>
        <w:jc w:val="center"/>
        <w:rPr>
          <w:rFonts w:ascii="黑体" w:eastAsia="黑体"/>
          <w:color w:val="auto"/>
          <w:sz w:val="28"/>
          <w:szCs w:val="28"/>
        </w:rPr>
      </w:pPr>
      <w:r>
        <w:rPr>
          <w:rFonts w:hint="eastAsia" w:ascii="黑体" w:eastAsia="黑体"/>
          <w:color w:val="auto"/>
          <w:sz w:val="28"/>
          <w:szCs w:val="28"/>
        </w:rPr>
        <w:t>（产品种类规则）</w:t>
      </w:r>
    </w:p>
    <w:p>
      <w:pPr>
        <w:pStyle w:val="2"/>
        <w:spacing w:before="120" w:after="120" w:line="360" w:lineRule="auto"/>
        <w:rPr>
          <w:color w:val="auto"/>
        </w:rPr>
      </w:pPr>
      <w:r>
        <w:rPr>
          <w:rFonts w:hint="eastAsia"/>
          <w:color w:val="auto"/>
        </w:rPr>
        <w:t>1 范围</w:t>
      </w:r>
    </w:p>
    <w:p>
      <w:pPr>
        <w:ind w:firstLine="405"/>
        <w:rPr>
          <w:rFonts w:asciiTheme="minorEastAsia" w:hAnsiTheme="minorEastAsia"/>
          <w:color w:val="auto"/>
          <w:szCs w:val="21"/>
        </w:rPr>
      </w:pPr>
      <w:r>
        <w:rPr>
          <w:rFonts w:hint="eastAsia"/>
          <w:color w:val="auto"/>
        </w:rPr>
        <w:t>本文件规定了</w:t>
      </w:r>
      <w:r>
        <w:rPr>
          <w:rFonts w:hint="eastAsia" w:asciiTheme="minorEastAsia" w:hAnsiTheme="minorEastAsia"/>
          <w:color w:val="auto"/>
          <w:szCs w:val="21"/>
        </w:rPr>
        <w:t>铜及铜合金加工产品制造生命周期评价的基本规则和要求。</w:t>
      </w:r>
    </w:p>
    <w:p>
      <w:pPr>
        <w:pStyle w:val="6"/>
        <w:spacing w:line="240" w:lineRule="auto"/>
        <w:ind w:firstLine="420" w:firstLineChars="200"/>
        <w:rPr>
          <w:color w:val="auto"/>
        </w:rPr>
      </w:pPr>
      <w:r>
        <w:rPr>
          <w:rFonts w:hint="eastAsia"/>
          <w:color w:val="auto"/>
        </w:rPr>
        <w:t>本文件适用于具有全流程的铜及铜合金加工行业生产的铜及铜合金加工产品，也适用于仅有某一个或部分工序的铜及铜合金加工企业生产的产品。</w:t>
      </w:r>
    </w:p>
    <w:p>
      <w:pPr>
        <w:pStyle w:val="2"/>
        <w:spacing w:before="120" w:after="120" w:line="360" w:lineRule="auto"/>
        <w:rPr>
          <w:rFonts w:hAnsiTheme="minorEastAsia"/>
          <w:color w:val="auto"/>
          <w:szCs w:val="21"/>
        </w:rPr>
      </w:pPr>
      <w:r>
        <w:rPr>
          <w:rFonts w:hint="eastAsia" w:hAnsiTheme="minorEastAsia"/>
          <w:color w:val="auto"/>
          <w:szCs w:val="21"/>
        </w:rPr>
        <w:t xml:space="preserve">2 </w:t>
      </w:r>
      <w:r>
        <w:rPr>
          <w:rFonts w:hint="eastAsia"/>
          <w:color w:val="auto"/>
        </w:rPr>
        <w:t>规范性</w:t>
      </w:r>
      <w:r>
        <w:rPr>
          <w:rFonts w:hint="eastAsia" w:hAnsiTheme="minorEastAsia"/>
          <w:color w:val="auto"/>
          <w:szCs w:val="21"/>
        </w:rPr>
        <w:t>引用</w:t>
      </w:r>
      <w:r>
        <w:rPr>
          <w:rFonts w:hint="eastAsia"/>
          <w:color w:val="auto"/>
        </w:rPr>
        <w:t>文件</w:t>
      </w:r>
    </w:p>
    <w:p>
      <w:pPr>
        <w:spacing w:line="320" w:lineRule="exact"/>
        <w:ind w:firstLine="420" w:firstLineChars="200"/>
        <w:rPr>
          <w:color w:val="auto"/>
        </w:rPr>
      </w:pPr>
      <w:r>
        <w:rPr>
          <w:rFonts w:hint="eastAsia"/>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05"/>
        <w:rPr>
          <w:rFonts w:asciiTheme="minorEastAsia" w:hAnsiTheme="minorEastAsia"/>
          <w:color w:val="auto"/>
          <w:szCs w:val="21"/>
        </w:rPr>
      </w:pPr>
      <w:r>
        <w:rPr>
          <w:rFonts w:hint="eastAsia" w:asciiTheme="minorEastAsia" w:hAnsiTheme="minorEastAsia"/>
          <w:color w:val="auto"/>
          <w:szCs w:val="21"/>
        </w:rPr>
        <w:t>GB/T 11086-2013  铜及铜合金术语</w:t>
      </w:r>
    </w:p>
    <w:p>
      <w:pPr>
        <w:ind w:firstLine="405"/>
        <w:rPr>
          <w:rFonts w:asciiTheme="minorEastAsia" w:hAnsiTheme="minorEastAsia"/>
          <w:color w:val="auto"/>
          <w:szCs w:val="21"/>
        </w:rPr>
      </w:pPr>
      <w:r>
        <w:rPr>
          <w:rFonts w:hint="eastAsia" w:asciiTheme="minorEastAsia" w:hAnsiTheme="minorEastAsia"/>
          <w:color w:val="auto"/>
          <w:szCs w:val="21"/>
        </w:rPr>
        <w:t>GB/T 24024-2001  环境管理和声明 Ⅰ型环境声明 原则和程序</w:t>
      </w:r>
    </w:p>
    <w:p>
      <w:pPr>
        <w:ind w:firstLine="405"/>
        <w:rPr>
          <w:rFonts w:asciiTheme="minorEastAsia" w:hAnsiTheme="minorEastAsia"/>
          <w:color w:val="auto"/>
          <w:szCs w:val="21"/>
        </w:rPr>
      </w:pPr>
      <w:r>
        <w:rPr>
          <w:rFonts w:hint="eastAsia" w:asciiTheme="minorEastAsia" w:hAnsiTheme="minorEastAsia"/>
          <w:color w:val="auto"/>
          <w:szCs w:val="21"/>
        </w:rPr>
        <w:t>GB/T 24025-2009  环境管理和声明 Ⅲ型环境声明 原则和程序</w:t>
      </w:r>
    </w:p>
    <w:p>
      <w:pPr>
        <w:ind w:firstLine="405"/>
        <w:rPr>
          <w:rFonts w:asciiTheme="minorEastAsia" w:hAnsiTheme="minorEastAsia"/>
          <w:color w:val="auto"/>
          <w:szCs w:val="21"/>
        </w:rPr>
      </w:pPr>
      <w:r>
        <w:rPr>
          <w:rFonts w:hint="eastAsia" w:asciiTheme="minorEastAsia" w:hAnsiTheme="minorEastAsia"/>
          <w:color w:val="auto"/>
          <w:szCs w:val="21"/>
        </w:rPr>
        <w:t>GB/T 24040-2008  环境管理 生命周期评价 原则与框架</w:t>
      </w:r>
    </w:p>
    <w:p>
      <w:pPr>
        <w:ind w:firstLine="405"/>
        <w:rPr>
          <w:rFonts w:asciiTheme="minorEastAsia" w:hAnsiTheme="minorEastAsia"/>
          <w:color w:val="auto"/>
          <w:szCs w:val="21"/>
        </w:rPr>
      </w:pPr>
      <w:r>
        <w:rPr>
          <w:rFonts w:hint="eastAsia" w:asciiTheme="minorEastAsia" w:hAnsiTheme="minorEastAsia"/>
          <w:color w:val="auto"/>
          <w:szCs w:val="21"/>
        </w:rPr>
        <w:t>GB/T 24044-2008  环境管理 生命周期评价 要求与指南</w:t>
      </w:r>
    </w:p>
    <w:p>
      <w:pPr>
        <w:pStyle w:val="2"/>
        <w:spacing w:before="120" w:after="120" w:line="360" w:lineRule="auto"/>
        <w:rPr>
          <w:color w:val="auto"/>
          <w:szCs w:val="21"/>
        </w:rPr>
      </w:pPr>
      <w:bookmarkStart w:id="2" w:name="_Toc41314615"/>
      <w:bookmarkStart w:id="3" w:name="_Toc41313724"/>
      <w:r>
        <w:rPr>
          <w:rFonts w:hint="eastAsia"/>
          <w:color w:val="auto"/>
          <w:szCs w:val="21"/>
        </w:rPr>
        <w:t>3  术语</w:t>
      </w:r>
      <w:bookmarkEnd w:id="2"/>
      <w:bookmarkEnd w:id="3"/>
      <w:r>
        <w:rPr>
          <w:rFonts w:hint="eastAsia"/>
          <w:color w:val="auto"/>
        </w:rPr>
        <w:t>和定义</w:t>
      </w:r>
    </w:p>
    <w:p>
      <w:pPr>
        <w:pStyle w:val="3"/>
        <w:spacing w:line="360" w:lineRule="exact"/>
        <w:ind w:left="425"/>
        <w:rPr>
          <w:color w:val="auto"/>
        </w:rPr>
      </w:pPr>
      <w:r>
        <w:rPr>
          <w:rFonts w:hint="eastAsia"/>
          <w:color w:val="auto"/>
        </w:rPr>
        <w:t>下列术语和定义适用于本文件。</w:t>
      </w:r>
    </w:p>
    <w:p>
      <w:pPr>
        <w:rPr>
          <w:rFonts w:ascii="黑体" w:eastAsia="黑体" w:hAnsiTheme="minorEastAsia"/>
          <w:color w:val="auto"/>
          <w:szCs w:val="21"/>
        </w:rPr>
      </w:pPr>
      <w:r>
        <w:rPr>
          <w:rFonts w:hint="eastAsia" w:ascii="黑体" w:eastAsia="黑体" w:hAnsiTheme="minorEastAsia"/>
          <w:color w:val="auto"/>
          <w:szCs w:val="21"/>
        </w:rPr>
        <w:t>3.1</w:t>
      </w:r>
    </w:p>
    <w:p>
      <w:pPr>
        <w:ind w:firstLine="420" w:firstLineChars="200"/>
        <w:rPr>
          <w:rFonts w:ascii="黑体" w:eastAsia="黑体" w:hAnsiTheme="minorEastAsia"/>
          <w:color w:val="auto"/>
          <w:szCs w:val="21"/>
        </w:rPr>
      </w:pPr>
      <w:r>
        <w:rPr>
          <w:rFonts w:hint="eastAsia" w:ascii="黑体" w:eastAsia="黑体" w:hAnsiTheme="minorEastAsia"/>
          <w:color w:val="auto"/>
          <w:szCs w:val="21"/>
        </w:rPr>
        <w:t xml:space="preserve">产品种类 </w:t>
      </w:r>
      <w:r>
        <w:rPr>
          <w:rFonts w:hint="eastAsia" w:ascii="黑体" w:eastAsia="黑体"/>
          <w:color w:val="auto"/>
          <w:szCs w:val="21"/>
          <w:shd w:val="clear" w:color="auto" w:fill="FCFCFC"/>
        </w:rPr>
        <w:t xml:space="preserve">product </w:t>
      </w:r>
      <w:r>
        <w:rPr>
          <w:rFonts w:hint="eastAsia" w:ascii="黑体" w:eastAsia="黑体"/>
          <w:color w:val="auto"/>
        </w:rPr>
        <w:t>category</w:t>
      </w:r>
    </w:p>
    <w:p>
      <w:pPr>
        <w:ind w:firstLine="420" w:firstLineChars="200"/>
        <w:rPr>
          <w:rStyle w:val="21"/>
          <w:rFonts w:ascii="宋体" w:hAnsi="宋体" w:cs="黑体"/>
          <w:b w:val="0"/>
          <w:color w:val="auto"/>
          <w:sz w:val="21"/>
          <w:szCs w:val="21"/>
        </w:rPr>
      </w:pPr>
      <w:r>
        <w:rPr>
          <w:rStyle w:val="21"/>
          <w:rFonts w:hint="eastAsia" w:ascii="宋体" w:hAnsi="宋体" w:cs="黑体"/>
          <w:b w:val="0"/>
          <w:color w:val="auto"/>
          <w:sz w:val="21"/>
          <w:szCs w:val="21"/>
        </w:rPr>
        <w:t>具有同等功能的产品组群。</w:t>
      </w:r>
    </w:p>
    <w:p>
      <w:pPr>
        <w:pStyle w:val="7"/>
        <w:spacing w:after="0"/>
        <w:rPr>
          <w:rFonts w:asciiTheme="minorEastAsia" w:hAnsiTheme="minorEastAsia"/>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24024</w:t>
      </w:r>
      <w:r>
        <w:rPr>
          <w:rFonts w:ascii="宋体" w:hAnsi="宋体"/>
          <w:color w:val="auto"/>
          <w:szCs w:val="21"/>
        </w:rPr>
        <w:t>-20</w:t>
      </w:r>
      <w:r>
        <w:rPr>
          <w:rFonts w:hint="eastAsia" w:ascii="宋体" w:hAnsi="宋体"/>
          <w:color w:val="auto"/>
          <w:szCs w:val="21"/>
        </w:rPr>
        <w:t>01，</w:t>
      </w:r>
      <w:r>
        <w:rPr>
          <w:rFonts w:ascii="宋体" w:hAnsi="宋体"/>
          <w:color w:val="auto"/>
          <w:szCs w:val="21"/>
        </w:rPr>
        <w:t>3.</w:t>
      </w:r>
      <w:r>
        <w:rPr>
          <w:rFonts w:hint="eastAsia" w:ascii="宋体" w:hAnsi="宋体"/>
          <w:color w:val="auto"/>
          <w:szCs w:val="21"/>
        </w:rPr>
        <w:t>5</w:t>
      </w:r>
      <w:r>
        <w:rPr>
          <w:rFonts w:ascii="宋体" w:hAnsi="宋体"/>
          <w:color w:val="auto"/>
          <w:szCs w:val="21"/>
        </w:rPr>
        <w:t>]</w:t>
      </w:r>
      <w:r>
        <w:rPr>
          <w:rFonts w:hint="eastAsia" w:ascii="黑体" w:hAnsi="黑体" w:eastAsia="黑体"/>
          <w:color w:val="auto"/>
          <w:szCs w:val="21"/>
        </w:rPr>
        <w:t xml:space="preserve"> </w:t>
      </w:r>
    </w:p>
    <w:p>
      <w:pPr>
        <w:rPr>
          <w:rFonts w:ascii="黑体" w:eastAsia="黑体" w:hAnsiTheme="minorEastAsia"/>
          <w:color w:val="auto"/>
          <w:szCs w:val="21"/>
        </w:rPr>
      </w:pPr>
      <w:r>
        <w:rPr>
          <w:rFonts w:hint="eastAsia" w:ascii="黑体" w:eastAsia="黑体" w:hAnsiTheme="minorEastAsia"/>
          <w:color w:val="auto"/>
          <w:szCs w:val="21"/>
        </w:rPr>
        <w:t>3.2</w:t>
      </w:r>
    </w:p>
    <w:p>
      <w:pPr>
        <w:ind w:firstLine="420" w:firstLineChars="200"/>
        <w:rPr>
          <w:rFonts w:ascii="黑体" w:eastAsia="黑体" w:hAnsiTheme="minorEastAsia"/>
          <w:color w:val="auto"/>
          <w:szCs w:val="21"/>
        </w:rPr>
      </w:pPr>
      <w:r>
        <w:rPr>
          <w:rFonts w:hint="eastAsia" w:ascii="黑体" w:eastAsia="黑体" w:hAnsiTheme="minorEastAsia"/>
          <w:color w:val="auto"/>
          <w:szCs w:val="21"/>
        </w:rPr>
        <w:t>产品种类规则</w:t>
      </w:r>
      <w:r>
        <w:rPr>
          <w:rFonts w:hint="eastAsia" w:ascii="黑体" w:eastAsia="黑体"/>
          <w:color w:val="auto"/>
        </w:rPr>
        <w:t>product category rules</w:t>
      </w:r>
      <w:r>
        <w:rPr>
          <w:rFonts w:hint="eastAsia" w:ascii="黑体" w:eastAsia="黑体"/>
          <w:color w:val="auto"/>
        </w:rPr>
        <w:t>(PCR)</w:t>
      </w:r>
    </w:p>
    <w:p>
      <w:pPr>
        <w:tabs>
          <w:tab w:val="left" w:pos="1170"/>
        </w:tabs>
        <w:ind w:firstLine="420" w:firstLineChars="200"/>
        <w:rPr>
          <w:color w:val="auto"/>
        </w:rPr>
      </w:pPr>
      <w:r>
        <w:rPr>
          <w:rFonts w:hint="eastAsia"/>
          <w:color w:val="auto"/>
        </w:rPr>
        <w:t>为一个或多个产品种类进行III型环境声明所必须满足的一套具体的规则、要求和指南。</w:t>
      </w:r>
    </w:p>
    <w:p>
      <w:pPr>
        <w:pStyle w:val="7"/>
        <w:spacing w:after="0"/>
        <w:rPr>
          <w:rFonts w:ascii="黑体" w:hAnsi="黑体" w:eastAsia="黑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24025</w:t>
      </w:r>
      <w:r>
        <w:rPr>
          <w:rFonts w:ascii="宋体" w:hAnsi="宋体"/>
          <w:color w:val="auto"/>
          <w:szCs w:val="21"/>
        </w:rPr>
        <w:t>-20</w:t>
      </w:r>
      <w:r>
        <w:rPr>
          <w:rFonts w:hint="eastAsia" w:ascii="宋体" w:hAnsi="宋体"/>
          <w:color w:val="auto"/>
          <w:szCs w:val="21"/>
        </w:rPr>
        <w:t>09，</w:t>
      </w:r>
      <w:r>
        <w:rPr>
          <w:rFonts w:ascii="宋体" w:hAnsi="宋体"/>
          <w:color w:val="auto"/>
          <w:szCs w:val="21"/>
        </w:rPr>
        <w:t>3.</w:t>
      </w:r>
      <w:r>
        <w:rPr>
          <w:rFonts w:hint="eastAsia" w:ascii="宋体" w:hAnsi="宋体"/>
          <w:color w:val="auto"/>
          <w:szCs w:val="21"/>
        </w:rPr>
        <w:t>5</w:t>
      </w:r>
      <w:r>
        <w:rPr>
          <w:rFonts w:ascii="宋体" w:hAnsi="宋体"/>
          <w:color w:val="auto"/>
          <w:szCs w:val="21"/>
        </w:rPr>
        <w:t>]</w:t>
      </w:r>
      <w:r>
        <w:rPr>
          <w:rFonts w:hint="eastAsia" w:ascii="黑体" w:hAnsi="黑体" w:eastAsia="黑体"/>
          <w:color w:val="auto"/>
          <w:szCs w:val="21"/>
        </w:rPr>
        <w:t xml:space="preserve"> </w:t>
      </w:r>
    </w:p>
    <w:p>
      <w:pPr>
        <w:rPr>
          <w:rFonts w:ascii="黑体" w:eastAsia="黑体" w:hAnsiTheme="minorEastAsia"/>
          <w:color w:val="auto"/>
          <w:szCs w:val="21"/>
        </w:rPr>
      </w:pPr>
      <w:r>
        <w:rPr>
          <w:rFonts w:hint="eastAsia" w:ascii="黑体" w:eastAsia="黑体" w:hAnsiTheme="minorEastAsia"/>
          <w:color w:val="auto"/>
          <w:szCs w:val="21"/>
        </w:rPr>
        <w:t>3.3</w:t>
      </w:r>
    </w:p>
    <w:p>
      <w:pPr>
        <w:ind w:firstLine="405"/>
        <w:rPr>
          <w:rFonts w:ascii="黑体" w:eastAsia="黑体" w:hAnsiTheme="minorEastAsia"/>
          <w:color w:val="auto"/>
          <w:szCs w:val="21"/>
        </w:rPr>
      </w:pPr>
      <w:r>
        <w:rPr>
          <w:rFonts w:hint="eastAsia" w:ascii="黑体" w:eastAsia="黑体" w:hAnsiTheme="minorEastAsia"/>
          <w:color w:val="auto"/>
          <w:szCs w:val="21"/>
        </w:rPr>
        <w:t>Ⅲ型环境声明 type environmental declaration</w:t>
      </w:r>
    </w:p>
    <w:p>
      <w:pPr>
        <w:ind w:firstLine="420" w:firstLineChars="200"/>
        <w:rPr>
          <w:rFonts w:asciiTheme="minorEastAsia" w:hAnsiTheme="minorEastAsia"/>
          <w:color w:val="auto"/>
          <w:szCs w:val="21"/>
        </w:rPr>
      </w:pPr>
      <w:r>
        <w:rPr>
          <w:rFonts w:hint="eastAsia" w:asciiTheme="minorEastAsia" w:hAnsiTheme="minorEastAsia"/>
          <w:color w:val="auto"/>
          <w:szCs w:val="21"/>
        </w:rPr>
        <w:t>提供基于预设参数的量化环境数据的环境声明，必要时包括附加环境信息。</w:t>
      </w:r>
    </w:p>
    <w:p>
      <w:pPr>
        <w:ind w:firstLine="450" w:firstLineChars="250"/>
        <w:rPr>
          <w:rFonts w:asciiTheme="minorEastAsia" w:hAnsiTheme="minorEastAsia"/>
          <w:color w:val="auto"/>
          <w:sz w:val="18"/>
          <w:szCs w:val="18"/>
        </w:rPr>
      </w:pPr>
      <w:r>
        <w:rPr>
          <w:rFonts w:hint="eastAsia" w:asciiTheme="minorEastAsia" w:hAnsiTheme="minorEastAsia"/>
          <w:color w:val="auto"/>
          <w:sz w:val="18"/>
          <w:szCs w:val="18"/>
        </w:rPr>
        <w:t>注1：预设参数基于GB/T 24040系列标准，包括GB/T 24040</w:t>
      </w:r>
      <w:r>
        <w:rPr>
          <w:rFonts w:hint="eastAsia" w:asciiTheme="minorEastAsia" w:hAnsiTheme="minorEastAsia"/>
          <w:color w:val="auto"/>
          <w:sz w:val="18"/>
          <w:szCs w:val="18"/>
        </w:rPr>
        <w:t>-2008</w:t>
      </w:r>
      <w:r>
        <w:rPr>
          <w:rFonts w:hint="eastAsia" w:asciiTheme="minorEastAsia" w:hAnsiTheme="minorEastAsia"/>
          <w:color w:val="auto"/>
          <w:sz w:val="18"/>
          <w:szCs w:val="18"/>
        </w:rPr>
        <w:t>和GB/T 24044</w:t>
      </w:r>
      <w:r>
        <w:rPr>
          <w:rFonts w:hint="eastAsia" w:asciiTheme="minorEastAsia" w:hAnsiTheme="minorEastAsia"/>
          <w:color w:val="auto"/>
          <w:sz w:val="18"/>
          <w:szCs w:val="18"/>
        </w:rPr>
        <w:t>-2008</w:t>
      </w:r>
      <w:r>
        <w:rPr>
          <w:rFonts w:hint="eastAsia" w:asciiTheme="minorEastAsia" w:hAnsiTheme="minorEastAsia"/>
          <w:color w:val="auto"/>
          <w:sz w:val="18"/>
          <w:szCs w:val="18"/>
        </w:rPr>
        <w:t>。</w:t>
      </w:r>
    </w:p>
    <w:p>
      <w:pPr>
        <w:ind w:firstLine="450" w:firstLineChars="250"/>
        <w:rPr>
          <w:rFonts w:asciiTheme="minorEastAsia" w:hAnsiTheme="minorEastAsia"/>
          <w:color w:val="auto"/>
          <w:szCs w:val="21"/>
        </w:rPr>
      </w:pPr>
      <w:r>
        <w:rPr>
          <w:rFonts w:hint="eastAsia" w:asciiTheme="minorEastAsia" w:hAnsiTheme="minorEastAsia"/>
          <w:color w:val="auto"/>
          <w:sz w:val="18"/>
          <w:szCs w:val="18"/>
        </w:rPr>
        <w:t>注2：附加环境信息可以是定性的也可以是定量的。</w:t>
      </w:r>
    </w:p>
    <w:p>
      <w:pPr>
        <w:ind w:firstLine="420" w:firstLineChars="200"/>
        <w:rPr>
          <w:rFonts w:ascii="黑体" w:hAnsi="黑体" w:eastAsia="黑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24025</w:t>
      </w:r>
      <w:r>
        <w:rPr>
          <w:rFonts w:ascii="宋体" w:hAnsi="宋体"/>
          <w:color w:val="auto"/>
          <w:szCs w:val="21"/>
        </w:rPr>
        <w:t>-20</w:t>
      </w:r>
      <w:r>
        <w:rPr>
          <w:rFonts w:hint="eastAsia" w:ascii="宋体" w:hAnsi="宋体"/>
          <w:color w:val="auto"/>
          <w:szCs w:val="21"/>
        </w:rPr>
        <w:t>09，</w:t>
      </w:r>
      <w:r>
        <w:rPr>
          <w:rFonts w:ascii="宋体" w:hAnsi="宋体"/>
          <w:color w:val="auto"/>
          <w:szCs w:val="21"/>
        </w:rPr>
        <w:t>3.</w:t>
      </w:r>
      <w:r>
        <w:rPr>
          <w:rFonts w:hint="eastAsia" w:ascii="宋体" w:hAnsi="宋体"/>
          <w:color w:val="auto"/>
          <w:szCs w:val="21"/>
        </w:rPr>
        <w:t>2</w:t>
      </w:r>
      <w:r>
        <w:rPr>
          <w:rFonts w:ascii="宋体" w:hAnsi="宋体"/>
          <w:color w:val="auto"/>
          <w:szCs w:val="21"/>
        </w:rPr>
        <w:t>]</w:t>
      </w:r>
    </w:p>
    <w:p>
      <w:pPr>
        <w:pStyle w:val="7"/>
        <w:spacing w:after="0"/>
        <w:ind w:left="0" w:leftChars="0"/>
        <w:rPr>
          <w:rFonts w:ascii="黑体" w:hAnsi="黑体" w:eastAsia="黑体"/>
          <w:color w:val="auto"/>
          <w:szCs w:val="21"/>
        </w:rPr>
      </w:pPr>
      <w:r>
        <w:rPr>
          <w:rFonts w:hint="eastAsia" w:ascii="黑体" w:hAnsi="黑体" w:eastAsia="黑体"/>
          <w:color w:val="auto"/>
          <w:szCs w:val="21"/>
        </w:rPr>
        <w:t>3.4</w:t>
      </w:r>
    </w:p>
    <w:p>
      <w:pPr>
        <w:pStyle w:val="7"/>
        <w:spacing w:after="0"/>
        <w:rPr>
          <w:rFonts w:ascii="黑体" w:hAnsi="黑体" w:eastAsia="黑体"/>
          <w:color w:val="auto"/>
          <w:szCs w:val="21"/>
        </w:rPr>
      </w:pPr>
      <w:r>
        <w:rPr>
          <w:rFonts w:hint="eastAsia" w:ascii="黑体" w:hAnsi="黑体" w:eastAsia="黑体"/>
          <w:color w:val="auto"/>
          <w:szCs w:val="21"/>
        </w:rPr>
        <w:t xml:space="preserve">铜及铜合金加工产品  </w:t>
      </w:r>
      <w:r>
        <w:rPr>
          <w:rFonts w:hint="eastAsia" w:ascii="黑体" w:eastAsia="黑体"/>
          <w:color w:val="auto"/>
          <w:szCs w:val="21"/>
          <w:shd w:val="clear" w:color="auto" w:fill="FCFCFC"/>
        </w:rPr>
        <w:t>copper and copper alloy processing product</w:t>
      </w:r>
    </w:p>
    <w:p>
      <w:pPr>
        <w:ind w:firstLine="420" w:firstLineChars="200"/>
        <w:rPr>
          <w:rStyle w:val="21"/>
          <w:rFonts w:ascii="宋体" w:hAnsi="宋体" w:cs="黑体"/>
          <w:b w:val="0"/>
          <w:color w:val="auto"/>
          <w:sz w:val="21"/>
          <w:szCs w:val="21"/>
        </w:rPr>
      </w:pPr>
      <w:bookmarkStart w:id="4" w:name="_Toc41313725"/>
      <w:bookmarkStart w:id="5" w:name="_Toc41314616"/>
      <w:r>
        <w:rPr>
          <w:rStyle w:val="21"/>
          <w:rFonts w:hint="eastAsia" w:ascii="宋体" w:hAnsi="宋体" w:cs="黑体"/>
          <w:b w:val="0"/>
          <w:color w:val="auto"/>
          <w:sz w:val="21"/>
          <w:szCs w:val="21"/>
        </w:rPr>
        <w:t>用热、冷塑性变形方法如挤压、锻造、轧制或拉伸（可单独采用或联合采用）所获得的铜及铜合金产品的统称。</w:t>
      </w:r>
      <w:bookmarkEnd w:id="4"/>
      <w:bookmarkEnd w:id="5"/>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11086</w:t>
      </w:r>
      <w:r>
        <w:rPr>
          <w:rFonts w:ascii="宋体" w:hAnsi="宋体"/>
          <w:color w:val="auto"/>
          <w:szCs w:val="21"/>
        </w:rPr>
        <w:t>-201</w:t>
      </w:r>
      <w:r>
        <w:rPr>
          <w:rFonts w:hint="eastAsia" w:ascii="宋体" w:hAnsi="宋体"/>
          <w:color w:val="auto"/>
          <w:szCs w:val="21"/>
        </w:rPr>
        <w:t>3，4</w:t>
      </w:r>
      <w:r>
        <w:rPr>
          <w:rFonts w:ascii="宋体" w:hAnsi="宋体"/>
          <w:color w:val="auto"/>
          <w:szCs w:val="21"/>
        </w:rPr>
        <w:t>.</w:t>
      </w:r>
      <w:r>
        <w:rPr>
          <w:rFonts w:hint="eastAsia" w:ascii="宋体" w:hAnsi="宋体"/>
          <w:color w:val="auto"/>
          <w:szCs w:val="21"/>
        </w:rPr>
        <w:t>1</w:t>
      </w:r>
      <w:r>
        <w:rPr>
          <w:color w:val="auto"/>
          <w:szCs w:val="21"/>
        </w:rPr>
        <w:t>，有修改</w:t>
      </w:r>
      <w:r>
        <w:rPr>
          <w:rFonts w:ascii="宋体" w:hAnsi="宋体"/>
          <w:color w:val="auto"/>
          <w:szCs w:val="21"/>
        </w:rPr>
        <w:t>]</w:t>
      </w:r>
      <w:r>
        <w:rPr>
          <w:rFonts w:hint="eastAsia" w:ascii="黑体" w:hAnsi="黑体" w:eastAsia="黑体"/>
          <w:color w:val="auto"/>
          <w:szCs w:val="21"/>
        </w:rPr>
        <w:t xml:space="preserve"> </w:t>
      </w:r>
    </w:p>
    <w:p>
      <w:pPr>
        <w:pStyle w:val="7"/>
        <w:spacing w:after="0"/>
        <w:ind w:left="0" w:leftChars="0"/>
        <w:rPr>
          <w:rFonts w:ascii="黑体" w:eastAsia="黑体" w:hAnsiTheme="minorEastAsia"/>
          <w:color w:val="auto"/>
          <w:szCs w:val="21"/>
        </w:rPr>
      </w:pPr>
      <w:r>
        <w:rPr>
          <w:rFonts w:hint="eastAsia" w:ascii="黑体" w:eastAsia="黑体" w:hAnsiTheme="minorEastAsia"/>
          <w:color w:val="auto"/>
          <w:szCs w:val="21"/>
        </w:rPr>
        <w:t>3.5</w:t>
      </w:r>
    </w:p>
    <w:p>
      <w:pPr>
        <w:pStyle w:val="7"/>
        <w:spacing w:after="0"/>
        <w:ind w:left="0" w:leftChars="0" w:firstLine="420" w:firstLineChars="200"/>
        <w:rPr>
          <w:rFonts w:ascii="黑体" w:eastAsia="黑体" w:hAnsiTheme="minorEastAsia"/>
          <w:color w:val="auto"/>
          <w:szCs w:val="21"/>
        </w:rPr>
      </w:pPr>
      <w:r>
        <w:rPr>
          <w:rFonts w:hint="eastAsia" w:ascii="黑体" w:eastAsia="黑体" w:hAnsiTheme="minorEastAsia"/>
          <w:color w:val="auto"/>
          <w:szCs w:val="21"/>
        </w:rPr>
        <w:t>生命周期</w:t>
      </w:r>
      <w:r>
        <w:rPr>
          <w:rFonts w:hint="eastAsia" w:ascii="黑体" w:eastAsia="黑体" w:hAnsiTheme="minorEastAsia"/>
          <w:color w:val="auto"/>
          <w:szCs w:val="21"/>
        </w:rPr>
        <w:t xml:space="preserve"> </w:t>
      </w:r>
      <w:r>
        <w:rPr>
          <w:rFonts w:hint="eastAsia" w:ascii="黑体" w:eastAsia="黑体"/>
          <w:color w:val="auto"/>
        </w:rPr>
        <w:t>life cycle</w:t>
      </w:r>
    </w:p>
    <w:p>
      <w:pPr>
        <w:ind w:firstLine="420" w:firstLineChars="200"/>
        <w:rPr>
          <w:color w:val="auto"/>
        </w:rPr>
      </w:pPr>
      <w:r>
        <w:rPr>
          <w:rFonts w:hint="eastAsia"/>
          <w:color w:val="auto"/>
        </w:rPr>
        <w:t>产品系统中前后衔接的一系列阶段，从自然界或自然资源中获取原材料，直至最终处置。</w:t>
      </w:r>
    </w:p>
    <w:p>
      <w:pPr>
        <w:ind w:firstLine="420" w:firstLineChars="200"/>
        <w:rPr>
          <w:color w:val="auto"/>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1</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 xml:space="preserve">3.6 </w:t>
      </w:r>
    </w:p>
    <w:p>
      <w:pPr>
        <w:ind w:firstLine="420" w:firstLineChars="200"/>
        <w:rPr>
          <w:rFonts w:ascii="黑体" w:eastAsia="黑体" w:hAnsiTheme="minorEastAsia"/>
          <w:color w:val="auto"/>
          <w:szCs w:val="21"/>
        </w:rPr>
      </w:pPr>
      <w:r>
        <w:rPr>
          <w:rFonts w:hint="eastAsia" w:ascii="黑体" w:eastAsia="黑体" w:hAnsiTheme="minorEastAsia"/>
          <w:color w:val="auto"/>
          <w:szCs w:val="21"/>
        </w:rPr>
        <w:t>生命周期评价</w:t>
      </w:r>
      <w:r>
        <w:rPr>
          <w:rFonts w:hint="eastAsia" w:ascii="黑体" w:eastAsia="黑体" w:hAnsiTheme="minorEastAsia"/>
          <w:color w:val="auto"/>
          <w:szCs w:val="21"/>
        </w:rPr>
        <w:t xml:space="preserve"> life cycle assessment(LCA) </w:t>
      </w:r>
    </w:p>
    <w:p>
      <w:pPr>
        <w:ind w:firstLine="420" w:firstLineChars="200"/>
        <w:rPr>
          <w:rFonts w:asciiTheme="minorEastAsia" w:hAnsiTheme="minorEastAsia"/>
          <w:color w:val="auto"/>
        </w:rPr>
      </w:pPr>
      <w:r>
        <w:rPr>
          <w:rFonts w:hint="eastAsia" w:asciiTheme="minorEastAsia" w:hAnsiTheme="minorEastAsia"/>
          <w:color w:val="auto"/>
        </w:rPr>
        <w:t>对</w:t>
      </w:r>
      <w:r>
        <w:rPr>
          <w:rFonts w:hint="eastAsia" w:asciiTheme="minorEastAsia" w:hAnsiTheme="minorEastAsia"/>
          <w:color w:val="auto"/>
          <w:szCs w:val="21"/>
        </w:rPr>
        <w:t>一个</w:t>
      </w:r>
      <w:r>
        <w:rPr>
          <w:rFonts w:hint="eastAsia" w:asciiTheme="minorEastAsia" w:hAnsiTheme="minorEastAsia"/>
          <w:color w:val="auto"/>
        </w:rPr>
        <w:t>产品系统的生命周期中输入和输出及其潜在环境影响的汇编和评价。</w:t>
      </w:r>
    </w:p>
    <w:p>
      <w:pPr>
        <w:ind w:firstLine="420" w:firstLineChars="200"/>
        <w:rPr>
          <w:rFonts w:asciiTheme="minorEastAsia" w:hAnsiTheme="minorEastAsia"/>
          <w:color w:val="auto"/>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2</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3.7</w:t>
      </w:r>
    </w:p>
    <w:p>
      <w:pPr>
        <w:ind w:firstLine="420" w:firstLineChars="200"/>
        <w:rPr>
          <w:rFonts w:ascii="黑体" w:eastAsia="黑体" w:hAnsiTheme="minorEastAsia"/>
          <w:color w:val="auto"/>
          <w:szCs w:val="21"/>
        </w:rPr>
      </w:pPr>
      <w:r>
        <w:rPr>
          <w:rFonts w:hint="eastAsia" w:ascii="黑体" w:eastAsia="黑体" w:hAnsiTheme="minorEastAsia"/>
          <w:color w:val="auto"/>
          <w:szCs w:val="21"/>
        </w:rPr>
        <w:t>生命周期清单分析</w:t>
      </w:r>
      <w:r>
        <w:rPr>
          <w:rFonts w:hint="eastAsia" w:ascii="黑体" w:eastAsia="黑体" w:hAnsiTheme="minorEastAsia"/>
          <w:color w:val="auto"/>
          <w:szCs w:val="21"/>
        </w:rPr>
        <w:t xml:space="preserve"> life cycle inventory analysis (LCI)</w:t>
      </w:r>
    </w:p>
    <w:p>
      <w:pPr>
        <w:ind w:firstLine="420" w:firstLineChars="200"/>
        <w:rPr>
          <w:color w:val="auto"/>
        </w:rPr>
      </w:pPr>
      <w:r>
        <w:rPr>
          <w:rFonts w:hint="eastAsia"/>
          <w:color w:val="auto"/>
        </w:rPr>
        <w:t>生命周期评价中对所研究产品整个生命周期中输入和输出进行汇编和量化的阶段。</w:t>
      </w:r>
    </w:p>
    <w:p>
      <w:pPr>
        <w:ind w:firstLine="420" w:firstLineChars="200"/>
        <w:rPr>
          <w:color w:val="auto"/>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3</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3.8</w:t>
      </w:r>
    </w:p>
    <w:p>
      <w:pPr>
        <w:ind w:firstLine="420" w:firstLineChars="200"/>
        <w:rPr>
          <w:rFonts w:ascii="黑体" w:eastAsia="黑体" w:hAnsiTheme="minorEastAsia"/>
          <w:color w:val="auto"/>
          <w:szCs w:val="21"/>
        </w:rPr>
      </w:pPr>
      <w:r>
        <w:rPr>
          <w:rFonts w:hint="eastAsia" w:ascii="黑体" w:eastAsia="黑体" w:hAnsiTheme="minorEastAsia"/>
          <w:color w:val="auto"/>
          <w:szCs w:val="21"/>
        </w:rPr>
        <w:t>生命周期影响评价</w:t>
      </w:r>
      <w:r>
        <w:rPr>
          <w:rFonts w:hint="eastAsia" w:ascii="黑体" w:eastAsia="黑体" w:hAnsiTheme="minorEastAsia"/>
          <w:color w:val="auto"/>
          <w:szCs w:val="21"/>
        </w:rPr>
        <w:t xml:space="preserve"> life cycle impact assessment(LCIA) </w:t>
      </w:r>
    </w:p>
    <w:p>
      <w:pPr>
        <w:ind w:firstLine="420"/>
        <w:rPr>
          <w:rFonts w:asciiTheme="minorEastAsia" w:hAnsiTheme="minorEastAsia"/>
          <w:color w:val="auto"/>
        </w:rPr>
      </w:pPr>
      <w:r>
        <w:rPr>
          <w:rFonts w:hint="eastAsia" w:asciiTheme="minorEastAsia" w:hAnsiTheme="minorEastAsia"/>
          <w:color w:val="auto"/>
        </w:rPr>
        <w:t>生命周期评价中理解和评价产品系统在产品整个生命周期中的潜在环境影响大小和重要性的阶段。</w:t>
      </w:r>
    </w:p>
    <w:p>
      <w:pPr>
        <w:ind w:firstLine="420" w:firstLineChars="200"/>
        <w:rPr>
          <w:rFonts w:asciiTheme="minorEastAsia" w:hAnsiTheme="minorEastAsia"/>
          <w:color w:val="auto"/>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4</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 xml:space="preserve">3.9 </w:t>
      </w:r>
    </w:p>
    <w:p>
      <w:pPr>
        <w:ind w:firstLine="405"/>
        <w:rPr>
          <w:rFonts w:ascii="黑体" w:eastAsia="黑体" w:hAnsiTheme="minorEastAsia"/>
          <w:color w:val="auto"/>
          <w:szCs w:val="21"/>
        </w:rPr>
      </w:pPr>
      <w:r>
        <w:rPr>
          <w:rFonts w:hint="eastAsia" w:ascii="黑体" w:eastAsia="黑体" w:hAnsiTheme="minorEastAsia"/>
          <w:color w:val="auto"/>
          <w:szCs w:val="21"/>
        </w:rPr>
        <w:t>功能单位 functional unit</w:t>
      </w:r>
    </w:p>
    <w:p>
      <w:pPr>
        <w:ind w:firstLine="405"/>
        <w:rPr>
          <w:rFonts w:asciiTheme="minorEastAsia" w:hAnsiTheme="minorEastAsia"/>
          <w:color w:val="auto"/>
        </w:rPr>
      </w:pPr>
      <w:r>
        <w:rPr>
          <w:rFonts w:hint="eastAsia" w:asciiTheme="minorEastAsia" w:hAnsiTheme="minorEastAsia"/>
          <w:color w:val="auto"/>
        </w:rPr>
        <w:t>用来作为基准单位的量化的产品系统性能。</w:t>
      </w:r>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20</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 xml:space="preserve">3.10 </w:t>
      </w:r>
    </w:p>
    <w:p>
      <w:pPr>
        <w:ind w:firstLine="405"/>
        <w:rPr>
          <w:rFonts w:ascii="黑体" w:eastAsia="黑体" w:hAnsiTheme="minorEastAsia"/>
          <w:color w:val="auto"/>
          <w:szCs w:val="21"/>
        </w:rPr>
      </w:pPr>
      <w:r>
        <w:rPr>
          <w:rFonts w:hint="eastAsia" w:ascii="黑体" w:eastAsia="黑体" w:hAnsiTheme="minorEastAsia"/>
          <w:color w:val="auto"/>
          <w:szCs w:val="21"/>
        </w:rPr>
        <w:t>敏感性分析 sensitivity analysis</w:t>
      </w:r>
    </w:p>
    <w:p>
      <w:pPr>
        <w:ind w:firstLine="405"/>
        <w:rPr>
          <w:rFonts w:asciiTheme="minorEastAsia" w:hAnsiTheme="minorEastAsia"/>
          <w:color w:val="auto"/>
        </w:rPr>
      </w:pPr>
      <w:r>
        <w:rPr>
          <w:rFonts w:hint="eastAsia" w:asciiTheme="minorEastAsia" w:hAnsiTheme="minorEastAsia"/>
          <w:color w:val="auto"/>
        </w:rPr>
        <w:t>用来估计所选用方法和数据对研究结果影响的系统化程序。</w:t>
      </w:r>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31</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 xml:space="preserve">3.11 </w:t>
      </w:r>
    </w:p>
    <w:p>
      <w:pPr>
        <w:ind w:firstLine="405"/>
        <w:rPr>
          <w:rFonts w:ascii="黑体" w:eastAsia="黑体" w:hAnsiTheme="minorEastAsia"/>
          <w:color w:val="auto"/>
          <w:szCs w:val="21"/>
        </w:rPr>
      </w:pPr>
      <w:r>
        <w:rPr>
          <w:rFonts w:hint="eastAsia" w:ascii="黑体" w:eastAsia="黑体" w:hAnsiTheme="minorEastAsia"/>
          <w:color w:val="auto"/>
          <w:szCs w:val="21"/>
        </w:rPr>
        <w:t>系统边界 system boundary</w:t>
      </w:r>
    </w:p>
    <w:p>
      <w:pPr>
        <w:ind w:firstLine="405"/>
        <w:rPr>
          <w:rFonts w:asciiTheme="minorEastAsia" w:hAnsiTheme="minorEastAsia"/>
          <w:color w:val="auto"/>
        </w:rPr>
      </w:pPr>
      <w:r>
        <w:rPr>
          <w:rFonts w:hint="eastAsia" w:asciiTheme="minorEastAsia" w:hAnsiTheme="minorEastAsia"/>
          <w:color w:val="auto"/>
        </w:rPr>
        <w:t>通过一组准则确定哪些单元过程属于产品系统的一部分。</w:t>
      </w:r>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32</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 xml:space="preserve">3.12 </w:t>
      </w:r>
    </w:p>
    <w:p>
      <w:pPr>
        <w:ind w:firstLine="405"/>
        <w:rPr>
          <w:rFonts w:ascii="黑体" w:eastAsia="黑体" w:hAnsiTheme="minorEastAsia"/>
          <w:color w:val="auto"/>
          <w:szCs w:val="21"/>
        </w:rPr>
      </w:pPr>
      <w:r>
        <w:rPr>
          <w:rFonts w:hint="eastAsia" w:ascii="黑体" w:eastAsia="黑体" w:hAnsiTheme="minorEastAsia"/>
          <w:color w:val="auto"/>
          <w:szCs w:val="21"/>
        </w:rPr>
        <w:t xml:space="preserve">不确定性分析 </w:t>
      </w:r>
      <w:r>
        <w:rPr>
          <w:rFonts w:hint="eastAsia" w:ascii="黑体" w:eastAsia="黑体" w:hAnsiTheme="minorEastAsia"/>
          <w:color w:val="auto"/>
          <w:szCs w:val="21"/>
        </w:rPr>
        <w:t>uncertainty</w:t>
      </w:r>
      <w:r>
        <w:rPr>
          <w:rFonts w:hint="eastAsia" w:ascii="黑体" w:eastAsia="黑体" w:hAnsiTheme="minorEastAsia"/>
          <w:color w:val="auto"/>
          <w:szCs w:val="21"/>
        </w:rPr>
        <w:t xml:space="preserve"> analysis</w:t>
      </w:r>
    </w:p>
    <w:p>
      <w:pPr>
        <w:ind w:firstLine="405"/>
        <w:rPr>
          <w:rFonts w:asciiTheme="minorEastAsia" w:hAnsiTheme="minorEastAsia"/>
          <w:color w:val="auto"/>
        </w:rPr>
      </w:pPr>
      <w:r>
        <w:rPr>
          <w:rFonts w:hint="eastAsia" w:asciiTheme="minorEastAsia" w:hAnsiTheme="minorEastAsia"/>
          <w:color w:val="auto"/>
        </w:rPr>
        <w:t>用来量化由于模型的不准确性、输入的不确定性和数据变动的累积而给生命周期清单分析结果带来的不确定性的系统化程序。</w:t>
      </w:r>
    </w:p>
    <w:p>
      <w:pPr>
        <w:ind w:firstLine="405"/>
        <w:rPr>
          <w:rFonts w:asciiTheme="minorEastAsia" w:hAnsiTheme="minorEastAsia"/>
          <w:color w:val="auto"/>
          <w:sz w:val="18"/>
          <w:szCs w:val="18"/>
        </w:rPr>
      </w:pPr>
      <w:r>
        <w:rPr>
          <w:rFonts w:hint="eastAsia" w:asciiTheme="minorEastAsia" w:hAnsiTheme="minorEastAsia"/>
          <w:color w:val="auto"/>
          <w:sz w:val="18"/>
          <w:szCs w:val="18"/>
        </w:rPr>
        <w:t>注：区间和概率分布被用来确定结果中的不确定性。</w:t>
      </w:r>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33</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 xml:space="preserve">3.13 </w:t>
      </w:r>
    </w:p>
    <w:p>
      <w:pPr>
        <w:ind w:firstLine="405"/>
        <w:rPr>
          <w:rFonts w:ascii="黑体" w:eastAsia="黑体" w:hAnsiTheme="minorEastAsia"/>
          <w:color w:val="auto"/>
          <w:szCs w:val="21"/>
        </w:rPr>
      </w:pPr>
      <w:r>
        <w:rPr>
          <w:rFonts w:hint="eastAsia" w:ascii="黑体" w:eastAsia="黑体" w:hAnsiTheme="minorEastAsia"/>
          <w:color w:val="auto"/>
          <w:szCs w:val="21"/>
        </w:rPr>
        <w:t>单元过程 unit process</w:t>
      </w:r>
    </w:p>
    <w:p>
      <w:pPr>
        <w:ind w:firstLine="405"/>
        <w:rPr>
          <w:rFonts w:asciiTheme="minorEastAsia" w:hAnsiTheme="minorEastAsia"/>
          <w:color w:val="auto"/>
        </w:rPr>
      </w:pPr>
      <w:r>
        <w:rPr>
          <w:rFonts w:hint="eastAsia" w:asciiTheme="minorEastAsia" w:hAnsiTheme="minorEastAsia"/>
          <w:color w:val="auto"/>
        </w:rPr>
        <w:t>进行生命周期清单分析时为量化输入和输出数据而确定的最基本部分。</w:t>
      </w:r>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34</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 xml:space="preserve">3.14 </w:t>
      </w:r>
    </w:p>
    <w:p>
      <w:pPr>
        <w:ind w:firstLine="405"/>
        <w:rPr>
          <w:rFonts w:ascii="黑体" w:eastAsia="黑体" w:hAnsiTheme="minorEastAsia"/>
          <w:color w:val="auto"/>
          <w:szCs w:val="21"/>
        </w:rPr>
      </w:pPr>
      <w:r>
        <w:rPr>
          <w:rFonts w:hint="eastAsia" w:ascii="黑体" w:eastAsia="黑体" w:hAnsiTheme="minorEastAsia"/>
          <w:color w:val="auto"/>
          <w:szCs w:val="21"/>
        </w:rPr>
        <w:t>特征化因子 characterization factor</w:t>
      </w:r>
    </w:p>
    <w:p>
      <w:pPr>
        <w:ind w:firstLine="405"/>
        <w:rPr>
          <w:rFonts w:asciiTheme="minorEastAsia" w:hAnsiTheme="minorEastAsia"/>
          <w:color w:val="auto"/>
        </w:rPr>
      </w:pPr>
      <w:r>
        <w:rPr>
          <w:rFonts w:hint="eastAsia" w:asciiTheme="minorEastAsia" w:hAnsiTheme="minorEastAsia"/>
          <w:color w:val="auto"/>
        </w:rPr>
        <w:t>由特征化模型导出，用来将生命周期清单分析结果转换成类型参数共同单位的因子。</w:t>
      </w:r>
    </w:p>
    <w:p>
      <w:pPr>
        <w:ind w:firstLine="405"/>
        <w:rPr>
          <w:rFonts w:asciiTheme="minorEastAsia" w:hAnsiTheme="minorEastAsia"/>
          <w:color w:val="auto"/>
          <w:sz w:val="18"/>
          <w:szCs w:val="18"/>
        </w:rPr>
      </w:pPr>
      <w:r>
        <w:rPr>
          <w:rFonts w:hint="eastAsia" w:asciiTheme="minorEastAsia" w:hAnsiTheme="minorEastAsia"/>
          <w:color w:val="auto"/>
          <w:sz w:val="18"/>
          <w:szCs w:val="18"/>
        </w:rPr>
        <w:t>注：共同单位是类型参数结果的计算得以实现。</w:t>
      </w:r>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37</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 xml:space="preserve">3.15 </w:t>
      </w:r>
    </w:p>
    <w:p>
      <w:pPr>
        <w:ind w:firstLine="405"/>
        <w:rPr>
          <w:rFonts w:ascii="黑体" w:eastAsia="黑体" w:hAnsiTheme="minorEastAsia"/>
          <w:color w:val="auto"/>
          <w:szCs w:val="21"/>
        </w:rPr>
      </w:pPr>
      <w:r>
        <w:rPr>
          <w:rFonts w:hint="eastAsia" w:ascii="黑体" w:eastAsia="黑体" w:hAnsiTheme="minorEastAsia"/>
          <w:color w:val="auto"/>
          <w:szCs w:val="21"/>
        </w:rPr>
        <w:t xml:space="preserve">影响类型 impact </w:t>
      </w:r>
      <w:r>
        <w:rPr>
          <w:rFonts w:hint="eastAsia" w:ascii="黑体" w:eastAsia="黑体"/>
          <w:color w:val="auto"/>
        </w:rPr>
        <w:t>category</w:t>
      </w:r>
    </w:p>
    <w:p>
      <w:pPr>
        <w:ind w:firstLine="405"/>
        <w:rPr>
          <w:rFonts w:asciiTheme="minorEastAsia" w:hAnsiTheme="minorEastAsia"/>
          <w:color w:val="auto"/>
        </w:rPr>
      </w:pPr>
      <w:r>
        <w:rPr>
          <w:rFonts w:hint="eastAsia" w:asciiTheme="minorEastAsia" w:hAnsiTheme="minorEastAsia"/>
          <w:color w:val="auto"/>
        </w:rPr>
        <w:t>所关注的环境问题的分类，生命周期清单分析的结果可划归到其中。</w:t>
      </w:r>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rPr>
        <w:t>39</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3.1</w:t>
      </w:r>
      <w:r>
        <w:rPr>
          <w:rFonts w:hint="eastAsia" w:ascii="黑体" w:eastAsia="黑体" w:hAnsiTheme="minorEastAsia"/>
          <w:color w:val="auto"/>
          <w:szCs w:val="21"/>
          <w:lang w:val="en-US" w:eastAsia="zh-CN"/>
        </w:rPr>
        <w:t>6</w:t>
      </w:r>
      <w:r>
        <w:rPr>
          <w:rFonts w:hint="eastAsia" w:ascii="黑体" w:eastAsia="黑体" w:hAnsiTheme="minorEastAsia"/>
          <w:color w:val="auto"/>
          <w:szCs w:val="21"/>
        </w:rPr>
        <w:t xml:space="preserve"> </w:t>
      </w:r>
    </w:p>
    <w:p>
      <w:pPr>
        <w:ind w:firstLine="405"/>
        <w:rPr>
          <w:rFonts w:hint="default" w:ascii="黑体" w:eastAsia="黑体" w:hAnsiTheme="minorEastAsia"/>
          <w:color w:val="auto"/>
          <w:szCs w:val="21"/>
          <w:lang w:val="en-US" w:eastAsia="zh-CN"/>
        </w:rPr>
      </w:pPr>
      <w:r>
        <w:rPr>
          <w:rFonts w:hint="eastAsia" w:ascii="黑体" w:eastAsia="黑体" w:hAnsiTheme="minorEastAsia"/>
          <w:color w:val="auto"/>
          <w:szCs w:val="21"/>
          <w:lang w:eastAsia="zh-CN"/>
        </w:rPr>
        <w:t>基准流</w:t>
      </w:r>
      <w:r>
        <w:rPr>
          <w:rFonts w:hint="eastAsia" w:ascii="黑体" w:eastAsia="黑体" w:hAnsiTheme="minorEastAsia"/>
          <w:color w:val="auto"/>
          <w:szCs w:val="21"/>
        </w:rPr>
        <w:t xml:space="preserve"> </w:t>
      </w:r>
      <w:r>
        <w:rPr>
          <w:rFonts w:hint="eastAsia" w:ascii="黑体" w:eastAsia="黑体" w:hAnsiTheme="minorEastAsia"/>
          <w:color w:val="auto"/>
          <w:szCs w:val="21"/>
          <w:lang w:val="en-US" w:eastAsia="zh-CN"/>
        </w:rPr>
        <w:t xml:space="preserve">reference </w:t>
      </w:r>
      <w:r>
        <w:rPr>
          <w:rFonts w:hint="eastAsia" w:ascii="黑体" w:eastAsia="黑体"/>
          <w:color w:val="auto"/>
          <w:lang w:val="en-US" w:eastAsia="zh-CN"/>
        </w:rPr>
        <w:t>flow</w:t>
      </w:r>
    </w:p>
    <w:p>
      <w:pPr>
        <w:ind w:firstLine="405"/>
        <w:rPr>
          <w:rFonts w:asciiTheme="minorEastAsia" w:hAnsiTheme="minorEastAsia"/>
          <w:color w:val="auto"/>
        </w:rPr>
      </w:pPr>
      <w:r>
        <w:rPr>
          <w:rFonts w:hint="eastAsia" w:asciiTheme="minorEastAsia" w:hAnsiTheme="minorEastAsia"/>
          <w:color w:val="auto"/>
          <w:lang w:eastAsia="zh-CN"/>
        </w:rPr>
        <w:t>在给定产品系统中，为实现一个功能单位的功能所需的过程输出量</w:t>
      </w:r>
      <w:r>
        <w:rPr>
          <w:rFonts w:hint="eastAsia" w:asciiTheme="minorEastAsia" w:hAnsiTheme="minorEastAsia"/>
          <w:color w:val="auto"/>
        </w:rPr>
        <w:t>。</w:t>
      </w:r>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lang w:val="en-US" w:eastAsia="zh-CN"/>
        </w:rPr>
        <w:t>29</w:t>
      </w:r>
      <w:r>
        <w:rPr>
          <w:rFonts w:ascii="宋体" w:hAnsi="宋体"/>
          <w:color w:val="auto"/>
          <w:szCs w:val="21"/>
        </w:rPr>
        <w:t>]</w:t>
      </w:r>
    </w:p>
    <w:p>
      <w:pPr>
        <w:rPr>
          <w:rFonts w:ascii="黑体" w:eastAsia="黑体" w:hAnsiTheme="minorEastAsia"/>
          <w:color w:val="auto"/>
          <w:szCs w:val="21"/>
        </w:rPr>
      </w:pPr>
      <w:r>
        <w:rPr>
          <w:rFonts w:hint="eastAsia" w:ascii="黑体" w:eastAsia="黑体" w:hAnsiTheme="minorEastAsia"/>
          <w:color w:val="auto"/>
          <w:szCs w:val="21"/>
        </w:rPr>
        <w:t>3.1</w:t>
      </w:r>
      <w:r>
        <w:rPr>
          <w:rFonts w:hint="eastAsia" w:ascii="黑体" w:eastAsia="黑体" w:hAnsiTheme="minorEastAsia"/>
          <w:color w:val="auto"/>
          <w:szCs w:val="21"/>
          <w:lang w:val="en-US" w:eastAsia="zh-CN"/>
        </w:rPr>
        <w:t>7</w:t>
      </w:r>
      <w:r>
        <w:rPr>
          <w:rFonts w:hint="eastAsia" w:ascii="黑体" w:eastAsia="黑体" w:hAnsiTheme="minorEastAsia"/>
          <w:color w:val="auto"/>
          <w:szCs w:val="21"/>
        </w:rPr>
        <w:t xml:space="preserve"> </w:t>
      </w:r>
    </w:p>
    <w:p>
      <w:pPr>
        <w:ind w:firstLine="405"/>
        <w:rPr>
          <w:rFonts w:ascii="黑体" w:eastAsia="黑体" w:hAnsiTheme="minorEastAsia"/>
          <w:color w:val="auto"/>
          <w:szCs w:val="21"/>
        </w:rPr>
      </w:pPr>
      <w:r>
        <w:rPr>
          <w:rFonts w:hint="eastAsia" w:ascii="黑体" w:eastAsia="黑体" w:hAnsiTheme="minorEastAsia"/>
          <w:color w:val="auto"/>
          <w:szCs w:val="21"/>
          <w:lang w:eastAsia="zh-CN"/>
        </w:rPr>
        <w:t>基本流</w:t>
      </w:r>
      <w:r>
        <w:rPr>
          <w:rFonts w:hint="eastAsia" w:ascii="黑体" w:eastAsia="黑体" w:hAnsiTheme="minorEastAsia"/>
          <w:color w:val="auto"/>
          <w:szCs w:val="21"/>
        </w:rPr>
        <w:t xml:space="preserve"> </w:t>
      </w:r>
      <w:r>
        <w:rPr>
          <w:rFonts w:hint="eastAsia" w:ascii="黑体" w:eastAsia="黑体" w:hAnsiTheme="minorEastAsia"/>
          <w:color w:val="auto"/>
          <w:szCs w:val="21"/>
          <w:lang w:val="en-US" w:eastAsia="zh-CN"/>
        </w:rPr>
        <w:t xml:space="preserve">elementary </w:t>
      </w:r>
      <w:r>
        <w:rPr>
          <w:rFonts w:hint="eastAsia" w:ascii="黑体" w:eastAsia="黑体"/>
          <w:color w:val="auto"/>
          <w:lang w:val="en-US" w:eastAsia="zh-CN"/>
        </w:rPr>
        <w:t>flow</w:t>
      </w:r>
    </w:p>
    <w:p>
      <w:pPr>
        <w:ind w:firstLine="405"/>
        <w:rPr>
          <w:rFonts w:asciiTheme="minorEastAsia" w:hAnsiTheme="minorEastAsia"/>
          <w:color w:val="auto"/>
        </w:rPr>
      </w:pPr>
      <w:r>
        <w:rPr>
          <w:rFonts w:hint="eastAsia" w:asciiTheme="minorEastAsia" w:hAnsiTheme="minorEastAsia"/>
          <w:color w:val="auto"/>
          <w:lang w:eastAsia="zh-CN"/>
        </w:rPr>
        <w:t>取自环境，进入所研究系统之前没有经过人为转化的物质或能量，或离开所研究系统进入环境之后不在人为转化的物质或能量。</w:t>
      </w:r>
    </w:p>
    <w:p>
      <w:pPr>
        <w:ind w:firstLine="420" w:firstLineChars="200"/>
        <w:rPr>
          <w:rFonts w:ascii="宋体" w:hAnsi="宋体"/>
          <w:color w:val="auto"/>
          <w:szCs w:val="21"/>
        </w:rPr>
      </w:pPr>
      <w:r>
        <w:rPr>
          <w:rFonts w:ascii="宋体" w:hAnsi="宋体"/>
          <w:color w:val="auto"/>
          <w:szCs w:val="21"/>
        </w:rPr>
        <w:t>[</w:t>
      </w:r>
      <w:r>
        <w:rPr>
          <w:color w:val="auto"/>
          <w:szCs w:val="21"/>
        </w:rPr>
        <w:t>来源：</w:t>
      </w:r>
      <w:r>
        <w:rPr>
          <w:rFonts w:ascii="宋体" w:hAnsi="宋体"/>
          <w:color w:val="auto"/>
          <w:szCs w:val="21"/>
        </w:rPr>
        <w:t xml:space="preserve">GB/T </w:t>
      </w:r>
      <w:r>
        <w:rPr>
          <w:rFonts w:hint="eastAsia" w:ascii="宋体" w:hAnsi="宋体"/>
          <w:color w:val="auto"/>
          <w:szCs w:val="21"/>
        </w:rPr>
        <w:t>24040</w:t>
      </w:r>
      <w:r>
        <w:rPr>
          <w:rFonts w:ascii="宋体" w:hAnsi="宋体"/>
          <w:color w:val="auto"/>
          <w:szCs w:val="21"/>
        </w:rPr>
        <w:t>-20</w:t>
      </w:r>
      <w:r>
        <w:rPr>
          <w:rFonts w:hint="eastAsia" w:ascii="宋体" w:hAnsi="宋体"/>
          <w:color w:val="auto"/>
          <w:szCs w:val="21"/>
        </w:rPr>
        <w:t>08，</w:t>
      </w:r>
      <w:r>
        <w:rPr>
          <w:rFonts w:ascii="宋体" w:hAnsi="宋体"/>
          <w:color w:val="auto"/>
          <w:szCs w:val="21"/>
        </w:rPr>
        <w:t>3.</w:t>
      </w:r>
      <w:r>
        <w:rPr>
          <w:rFonts w:hint="eastAsia" w:ascii="宋体" w:hAnsi="宋体"/>
          <w:color w:val="auto"/>
          <w:szCs w:val="21"/>
          <w:lang w:val="en-US" w:eastAsia="zh-CN"/>
        </w:rPr>
        <w:t>12</w:t>
      </w:r>
      <w:r>
        <w:rPr>
          <w:rFonts w:ascii="宋体" w:hAnsi="宋体"/>
          <w:color w:val="auto"/>
          <w:szCs w:val="21"/>
        </w:rPr>
        <w:t>]</w:t>
      </w:r>
    </w:p>
    <w:p>
      <w:pPr>
        <w:pStyle w:val="2"/>
        <w:spacing w:before="120" w:after="120" w:line="360" w:lineRule="auto"/>
        <w:rPr>
          <w:rFonts w:hAnsiTheme="minorEastAsia"/>
          <w:color w:val="auto"/>
          <w:szCs w:val="21"/>
        </w:rPr>
      </w:pPr>
      <w:r>
        <w:rPr>
          <w:rFonts w:hint="eastAsia" w:hAnsiTheme="minorEastAsia"/>
          <w:color w:val="auto"/>
          <w:szCs w:val="21"/>
        </w:rPr>
        <w:t>4 产品描述</w:t>
      </w:r>
    </w:p>
    <w:p>
      <w:pPr>
        <w:rPr>
          <w:rFonts w:asciiTheme="minorEastAsia" w:hAnsiTheme="minorEastAsia"/>
          <w:color w:val="auto"/>
          <w:szCs w:val="21"/>
        </w:rPr>
      </w:pPr>
      <w:r>
        <w:rPr>
          <w:rFonts w:hint="eastAsia" w:ascii="黑体" w:eastAsia="黑体" w:hAnsiTheme="minorEastAsia"/>
          <w:color w:val="auto"/>
          <w:szCs w:val="21"/>
        </w:rPr>
        <w:t>4.1</w:t>
      </w:r>
      <w:r>
        <w:rPr>
          <w:rFonts w:hint="eastAsia" w:asciiTheme="minorEastAsia" w:hAnsiTheme="minorEastAsia"/>
          <w:color w:val="auto"/>
          <w:szCs w:val="21"/>
        </w:rPr>
        <w:t xml:space="preserve"> 产品描述应使用户能够明确识别产品:</w:t>
      </w:r>
    </w:p>
    <w:p>
      <w:pPr>
        <w:pStyle w:val="28"/>
        <w:numPr>
          <w:ilvl w:val="0"/>
          <w:numId w:val="1"/>
        </w:numPr>
        <w:ind w:firstLineChars="0"/>
        <w:rPr>
          <w:rFonts w:asciiTheme="minorEastAsia" w:hAnsiTheme="minorEastAsia"/>
          <w:color w:val="auto"/>
          <w:szCs w:val="21"/>
        </w:rPr>
      </w:pPr>
      <w:r>
        <w:rPr>
          <w:rFonts w:hint="eastAsia" w:asciiTheme="minorEastAsia" w:hAnsiTheme="minorEastAsia"/>
          <w:color w:val="auto"/>
          <w:szCs w:val="21"/>
        </w:rPr>
        <w:t>产品名称；</w:t>
      </w:r>
    </w:p>
    <w:p>
      <w:pPr>
        <w:pStyle w:val="28"/>
        <w:numPr>
          <w:ilvl w:val="0"/>
          <w:numId w:val="1"/>
        </w:numPr>
        <w:ind w:firstLineChars="0"/>
        <w:rPr>
          <w:rFonts w:asciiTheme="minorEastAsia" w:hAnsiTheme="minorEastAsia"/>
          <w:color w:val="auto"/>
          <w:szCs w:val="21"/>
        </w:rPr>
      </w:pPr>
      <w:r>
        <w:rPr>
          <w:rFonts w:hint="eastAsia" w:asciiTheme="minorEastAsia" w:hAnsiTheme="minorEastAsia"/>
          <w:color w:val="auto"/>
          <w:szCs w:val="21"/>
        </w:rPr>
        <w:t>主要化学成分；</w:t>
      </w:r>
    </w:p>
    <w:p>
      <w:pPr>
        <w:pStyle w:val="28"/>
        <w:numPr>
          <w:ilvl w:val="0"/>
          <w:numId w:val="1"/>
        </w:numPr>
        <w:ind w:firstLineChars="0"/>
        <w:rPr>
          <w:rFonts w:asciiTheme="minorEastAsia" w:hAnsiTheme="minorEastAsia"/>
          <w:color w:val="auto"/>
          <w:szCs w:val="21"/>
        </w:rPr>
      </w:pPr>
      <w:r>
        <w:rPr>
          <w:rFonts w:hint="eastAsia" w:asciiTheme="minorEastAsia" w:hAnsiTheme="minorEastAsia"/>
          <w:color w:val="auto"/>
          <w:szCs w:val="21"/>
        </w:rPr>
        <w:t>规格或公称尺寸范围；</w:t>
      </w:r>
    </w:p>
    <w:p>
      <w:pPr>
        <w:pStyle w:val="28"/>
        <w:numPr>
          <w:ilvl w:val="0"/>
          <w:numId w:val="1"/>
        </w:numPr>
        <w:ind w:firstLineChars="0"/>
        <w:rPr>
          <w:rFonts w:asciiTheme="minorEastAsia" w:hAnsiTheme="minorEastAsia"/>
          <w:color w:val="auto"/>
          <w:szCs w:val="21"/>
        </w:rPr>
      </w:pPr>
      <w:r>
        <w:rPr>
          <w:rFonts w:hint="eastAsia" w:asciiTheme="minorEastAsia" w:hAnsiTheme="minorEastAsia"/>
          <w:color w:val="auto"/>
          <w:szCs w:val="21"/>
        </w:rPr>
        <w:t>产品满足相关质量标准的证明文件；</w:t>
      </w:r>
    </w:p>
    <w:p>
      <w:pPr>
        <w:pStyle w:val="28"/>
        <w:numPr>
          <w:ilvl w:val="0"/>
          <w:numId w:val="1"/>
        </w:numPr>
        <w:ind w:firstLineChars="0"/>
        <w:rPr>
          <w:rFonts w:asciiTheme="minorEastAsia" w:hAnsiTheme="minorEastAsia"/>
          <w:color w:val="auto"/>
          <w:szCs w:val="21"/>
        </w:rPr>
      </w:pPr>
      <w:r>
        <w:rPr>
          <w:rFonts w:hint="eastAsia" w:asciiTheme="minorEastAsia" w:hAnsiTheme="minorEastAsia"/>
          <w:color w:val="auto"/>
          <w:szCs w:val="21"/>
        </w:rPr>
        <w:t>产品所获取的其它标志等。</w:t>
      </w:r>
    </w:p>
    <w:p>
      <w:pPr>
        <w:ind w:left="420"/>
        <w:rPr>
          <w:rFonts w:asciiTheme="minorEastAsia" w:hAnsiTheme="minorEastAsia"/>
          <w:color w:val="auto"/>
          <w:szCs w:val="21"/>
        </w:rPr>
      </w:pPr>
      <w:r>
        <w:rPr>
          <w:rFonts w:hint="eastAsia" w:asciiTheme="minorEastAsia" w:hAnsiTheme="minorEastAsia"/>
          <w:color w:val="auto"/>
          <w:szCs w:val="21"/>
        </w:rPr>
        <w:t>可参照国家相关铜及铜合金加工产品标准要求进行描述。</w:t>
      </w:r>
    </w:p>
    <w:p>
      <w:pPr>
        <w:rPr>
          <w:rStyle w:val="21"/>
          <w:rFonts w:ascii="宋体" w:hAnsi="宋体" w:cs="黑体"/>
          <w:b w:val="0"/>
          <w:color w:val="auto"/>
          <w:sz w:val="21"/>
          <w:szCs w:val="21"/>
        </w:rPr>
      </w:pPr>
      <w:r>
        <w:rPr>
          <w:rFonts w:hint="eastAsia" w:ascii="黑体" w:eastAsia="黑体" w:hAnsiTheme="minorEastAsia"/>
          <w:color w:val="auto"/>
          <w:szCs w:val="21"/>
        </w:rPr>
        <w:t>4.2</w:t>
      </w:r>
      <w:r>
        <w:rPr>
          <w:rFonts w:hint="eastAsia" w:asciiTheme="minorEastAsia" w:hAnsiTheme="minorEastAsia"/>
          <w:color w:val="auto"/>
          <w:szCs w:val="21"/>
        </w:rPr>
        <w:t xml:space="preserve"> 铜及铜合金加工产品包括：</w:t>
      </w:r>
      <w:r>
        <w:rPr>
          <w:rStyle w:val="21"/>
          <w:rFonts w:hint="eastAsia" w:ascii="宋体" w:hAnsi="宋体" w:cs="黑体"/>
          <w:b w:val="0"/>
          <w:color w:val="auto"/>
          <w:sz w:val="21"/>
          <w:szCs w:val="21"/>
        </w:rPr>
        <w:t>管材、棒材、型材、线材（线坯）、板材、带材、箔材、锻件等。</w:t>
      </w:r>
    </w:p>
    <w:p>
      <w:pPr>
        <w:pStyle w:val="2"/>
        <w:spacing w:before="120" w:after="120" w:line="360" w:lineRule="auto"/>
        <w:rPr>
          <w:rFonts w:hAnsiTheme="minorEastAsia"/>
          <w:color w:val="auto"/>
          <w:szCs w:val="21"/>
        </w:rPr>
      </w:pPr>
      <w:r>
        <w:rPr>
          <w:rFonts w:hint="eastAsia" w:hAnsiTheme="minorEastAsia"/>
          <w:color w:val="auto"/>
          <w:szCs w:val="21"/>
        </w:rPr>
        <w:t>5 产品生命周期评价（LCA）</w:t>
      </w:r>
    </w:p>
    <w:p>
      <w:pPr>
        <w:spacing w:line="360" w:lineRule="auto"/>
        <w:rPr>
          <w:rFonts w:ascii="黑体" w:eastAsia="黑体" w:hAnsiTheme="minorEastAsia"/>
          <w:color w:val="auto"/>
          <w:szCs w:val="21"/>
        </w:rPr>
      </w:pPr>
      <w:r>
        <w:rPr>
          <w:rFonts w:hint="eastAsia" w:ascii="黑体" w:eastAsia="黑体" w:hAnsiTheme="minorEastAsia"/>
          <w:color w:val="auto"/>
          <w:szCs w:val="21"/>
        </w:rPr>
        <w:t>5.1产品生命周期评价流程</w:t>
      </w:r>
    </w:p>
    <w:p>
      <w:pPr>
        <w:rPr>
          <w:rFonts w:asciiTheme="minorEastAsia" w:hAnsiTheme="minorEastAsia"/>
          <w:color w:val="auto"/>
          <w:szCs w:val="21"/>
        </w:rPr>
      </w:pPr>
      <w:r>
        <w:rPr>
          <w:rFonts w:hint="eastAsia" w:asciiTheme="minorEastAsia" w:hAnsiTheme="minorEastAsia"/>
          <w:color w:val="auto"/>
          <w:szCs w:val="21"/>
        </w:rPr>
        <w:t xml:space="preserve">    铜及铜合金加工产品生命周期评价的基本程序包括：目的和范围的定义，生命周期清单分析，生命周期影响评价。</w:t>
      </w:r>
    </w:p>
    <w:p>
      <w:pPr>
        <w:spacing w:line="360" w:lineRule="auto"/>
        <w:rPr>
          <w:rFonts w:ascii="黑体" w:eastAsia="黑体" w:hAnsiTheme="minorEastAsia"/>
          <w:color w:val="auto"/>
          <w:szCs w:val="21"/>
        </w:rPr>
      </w:pPr>
      <w:r>
        <w:rPr>
          <w:rFonts w:hint="eastAsia" w:ascii="黑体" w:eastAsia="黑体" w:hAnsiTheme="minorEastAsia"/>
          <w:color w:val="auto"/>
          <w:szCs w:val="21"/>
        </w:rPr>
        <w:t>5.2目的</w:t>
      </w:r>
    </w:p>
    <w:p>
      <w:pPr>
        <w:ind w:firstLine="420"/>
        <w:rPr>
          <w:rFonts w:asciiTheme="minorEastAsia" w:hAnsiTheme="minorEastAsia"/>
          <w:color w:val="auto"/>
          <w:szCs w:val="21"/>
        </w:rPr>
      </w:pPr>
      <w:r>
        <w:rPr>
          <w:rFonts w:hint="eastAsia" w:asciiTheme="minorEastAsia" w:hAnsiTheme="minorEastAsia"/>
          <w:color w:val="auto"/>
          <w:szCs w:val="21"/>
        </w:rPr>
        <w:t>铜及铜合金加工产品生命周期评价研究应明确陈述应用意图、进行该项评价的理由、结果的适用对象（评价结果的预期交流对象）以及是否用于向公众发布的对比论断等信息。</w:t>
      </w:r>
    </w:p>
    <w:p>
      <w:pPr>
        <w:spacing w:line="360" w:lineRule="auto"/>
        <w:rPr>
          <w:rFonts w:ascii="黑体" w:eastAsia="黑体" w:hAnsiTheme="minorEastAsia"/>
          <w:color w:val="auto"/>
          <w:szCs w:val="21"/>
        </w:rPr>
      </w:pPr>
      <w:r>
        <w:rPr>
          <w:rFonts w:hint="eastAsia" w:ascii="黑体" w:eastAsia="黑体" w:hAnsiTheme="minorEastAsia"/>
          <w:color w:val="auto"/>
          <w:szCs w:val="21"/>
        </w:rPr>
        <w:t>5.3范围</w:t>
      </w:r>
    </w:p>
    <w:p>
      <w:pPr>
        <w:spacing w:line="360" w:lineRule="auto"/>
        <w:rPr>
          <w:rFonts w:ascii="黑体" w:eastAsia="黑体" w:hAnsiTheme="minorEastAsia"/>
          <w:color w:val="auto"/>
          <w:szCs w:val="21"/>
        </w:rPr>
      </w:pPr>
      <w:r>
        <w:rPr>
          <w:rFonts w:hint="eastAsia" w:ascii="黑体" w:eastAsia="黑体" w:hAnsiTheme="minorEastAsia"/>
          <w:color w:val="auto"/>
          <w:szCs w:val="21"/>
        </w:rPr>
        <w:t>5.3.1 总则</w:t>
      </w:r>
    </w:p>
    <w:p>
      <w:pPr>
        <w:ind w:firstLine="420" w:firstLineChars="200"/>
        <w:rPr>
          <w:rFonts w:asciiTheme="minorEastAsia" w:hAnsiTheme="minorEastAsia"/>
          <w:color w:val="auto"/>
          <w:szCs w:val="21"/>
        </w:rPr>
      </w:pPr>
      <w:r>
        <w:rPr>
          <w:rFonts w:hint="eastAsia" w:asciiTheme="minorEastAsia" w:hAnsiTheme="minorEastAsia"/>
          <w:color w:val="auto"/>
          <w:szCs w:val="21"/>
        </w:rPr>
        <w:t>铜及铜合金加工产品生命周期评价的目的在于汇总和评估在铜及铜合金加工产品生产和包装生命周期内的所有投入及产出对资源、能源、环境造成的和潜在的影响；通过评估资源和能源利用，以及废物排放对环境的影响，提出改进方案。</w:t>
      </w:r>
    </w:p>
    <w:p>
      <w:pPr>
        <w:spacing w:line="360" w:lineRule="auto"/>
        <w:rPr>
          <w:rFonts w:ascii="黑体" w:eastAsia="黑体" w:hAnsiTheme="minorEastAsia"/>
          <w:color w:val="auto"/>
          <w:szCs w:val="21"/>
        </w:rPr>
      </w:pPr>
      <w:r>
        <w:rPr>
          <w:rFonts w:hint="eastAsia" w:ascii="黑体" w:eastAsia="黑体" w:hAnsiTheme="minorEastAsia"/>
          <w:color w:val="auto"/>
          <w:szCs w:val="21"/>
        </w:rPr>
        <w:t>5.3.2 功能单位</w:t>
      </w:r>
    </w:p>
    <w:p>
      <w:pPr>
        <w:ind w:firstLine="420" w:firstLineChars="200"/>
        <w:rPr>
          <w:rFonts w:asciiTheme="minorEastAsia" w:hAnsiTheme="minorEastAsia"/>
          <w:color w:val="auto"/>
          <w:szCs w:val="21"/>
        </w:rPr>
      </w:pPr>
      <w:r>
        <w:rPr>
          <w:rFonts w:hint="eastAsia" w:asciiTheme="minorEastAsia" w:hAnsiTheme="minorEastAsia"/>
          <w:color w:val="auto"/>
          <w:szCs w:val="21"/>
        </w:rPr>
        <w:t xml:space="preserve"> 1吨</w:t>
      </w:r>
      <w:bookmarkStart w:id="6" w:name="OLE_LINK1"/>
      <w:bookmarkStart w:id="7" w:name="OLE_LINK2"/>
      <w:r>
        <w:rPr>
          <w:rFonts w:hint="eastAsia" w:asciiTheme="minorEastAsia" w:hAnsiTheme="minorEastAsia"/>
          <w:color w:val="auto"/>
          <w:szCs w:val="21"/>
        </w:rPr>
        <w:t>铜及铜合金加工产品</w:t>
      </w:r>
      <w:bookmarkEnd w:id="6"/>
      <w:bookmarkEnd w:id="7"/>
      <w:r>
        <w:rPr>
          <w:rFonts w:hint="eastAsia" w:asciiTheme="minorEastAsia" w:hAnsiTheme="minorEastAsia"/>
          <w:color w:val="auto"/>
          <w:szCs w:val="21"/>
        </w:rPr>
        <w:t>。</w:t>
      </w:r>
    </w:p>
    <w:p>
      <w:pPr>
        <w:spacing w:line="360" w:lineRule="auto"/>
        <w:rPr>
          <w:rFonts w:ascii="黑体" w:eastAsia="黑体" w:hAnsiTheme="minorEastAsia"/>
          <w:color w:val="auto"/>
          <w:szCs w:val="21"/>
        </w:rPr>
      </w:pPr>
      <w:r>
        <w:rPr>
          <w:rFonts w:hint="eastAsia" w:ascii="黑体" w:eastAsia="黑体" w:hAnsiTheme="minorEastAsia"/>
          <w:color w:val="auto"/>
          <w:szCs w:val="21"/>
        </w:rPr>
        <w:t>5.3.3 系统边界</w:t>
      </w:r>
    </w:p>
    <w:p>
      <w:pPr>
        <w:ind w:firstLine="420" w:firstLineChars="200"/>
        <w:rPr>
          <w:rFonts w:ascii="宋体" w:hAnsi="宋体" w:eastAsia="宋体"/>
          <w:color w:val="auto"/>
          <w:sz w:val="18"/>
          <w:szCs w:val="18"/>
        </w:rPr>
      </w:pPr>
      <w:r>
        <w:rPr>
          <w:rFonts w:hint="eastAsia" w:asciiTheme="minorEastAsia" w:hAnsiTheme="minorEastAsia"/>
          <w:color w:val="auto"/>
          <w:szCs w:val="21"/>
        </w:rPr>
        <w:t>铜及铜合金加工产品的生命周期系统边界如图1所示，分</w:t>
      </w:r>
      <w:r>
        <w:rPr>
          <w:rFonts w:hint="eastAsia" w:asciiTheme="minorEastAsia" w:hAnsiTheme="minorEastAsia"/>
          <w:color w:val="auto"/>
          <w:szCs w:val="21"/>
        </w:rPr>
        <w:t>四个</w:t>
      </w:r>
      <w:r>
        <w:rPr>
          <w:rFonts w:hint="eastAsia" w:asciiTheme="minorEastAsia" w:hAnsiTheme="minorEastAsia"/>
          <w:color w:val="auto"/>
          <w:szCs w:val="21"/>
        </w:rPr>
        <w:t>阶段：原辅料购入和能源购入、运输阶段，产品的生产和包装阶段，循环再利用阶段，</w:t>
      </w:r>
      <w:r>
        <w:rPr>
          <w:rFonts w:hint="eastAsia" w:ascii="宋体" w:hAnsi="宋体" w:eastAsia="宋体"/>
          <w:color w:val="auto"/>
          <w:szCs w:val="21"/>
        </w:rPr>
        <w:t>排放阶段（</w:t>
      </w:r>
      <w:r>
        <w:rPr>
          <w:rFonts w:hint="eastAsia" w:asciiTheme="minorEastAsia" w:hAnsiTheme="minorEastAsia"/>
          <w:color w:val="auto"/>
          <w:szCs w:val="21"/>
        </w:rPr>
        <w:t>不包含下游使用阶段</w:t>
      </w:r>
      <w:r>
        <w:rPr>
          <w:rFonts w:hint="eastAsia" w:ascii="宋体" w:hAnsi="宋体" w:eastAsia="宋体"/>
          <w:color w:val="auto"/>
          <w:szCs w:val="21"/>
        </w:rPr>
        <w:t>）</w:t>
      </w:r>
      <w:r>
        <w:rPr>
          <w:rFonts w:hint="eastAsia" w:asciiTheme="minorEastAsia" w:hAnsiTheme="minorEastAsia"/>
          <w:color w:val="auto"/>
          <w:szCs w:val="21"/>
        </w:rPr>
        <w:t>，包括：</w:t>
      </w:r>
    </w:p>
    <w:p>
      <w:pPr>
        <w:pStyle w:val="28"/>
        <w:numPr>
          <w:ilvl w:val="0"/>
          <w:numId w:val="2"/>
        </w:numPr>
        <w:ind w:firstLineChars="0"/>
        <w:rPr>
          <w:rFonts w:asciiTheme="minorEastAsia" w:hAnsiTheme="minorEastAsia"/>
          <w:color w:val="auto"/>
          <w:szCs w:val="21"/>
        </w:rPr>
      </w:pPr>
      <w:r>
        <w:rPr>
          <w:rFonts w:hint="eastAsia" w:asciiTheme="minorEastAsia" w:hAnsiTheme="minorEastAsia"/>
          <w:color w:val="auto"/>
          <w:szCs w:val="21"/>
        </w:rPr>
        <w:t>原辅料购入；</w:t>
      </w:r>
    </w:p>
    <w:p>
      <w:pPr>
        <w:pStyle w:val="28"/>
        <w:numPr>
          <w:ilvl w:val="0"/>
          <w:numId w:val="2"/>
        </w:numPr>
        <w:ind w:firstLineChars="0"/>
        <w:rPr>
          <w:rFonts w:asciiTheme="minorEastAsia" w:hAnsiTheme="minorEastAsia"/>
          <w:color w:val="auto"/>
          <w:szCs w:val="21"/>
        </w:rPr>
      </w:pPr>
      <w:r>
        <w:rPr>
          <w:rFonts w:hint="eastAsia" w:asciiTheme="minorEastAsia" w:hAnsiTheme="minorEastAsia"/>
          <w:color w:val="auto"/>
          <w:szCs w:val="21"/>
        </w:rPr>
        <w:t>能源购入（煤、电力和天然气等）；</w:t>
      </w:r>
    </w:p>
    <w:p>
      <w:pPr>
        <w:pStyle w:val="28"/>
        <w:numPr>
          <w:ilvl w:val="0"/>
          <w:numId w:val="2"/>
        </w:numPr>
        <w:ind w:firstLineChars="0"/>
        <w:rPr>
          <w:rFonts w:asciiTheme="minorEastAsia" w:hAnsiTheme="minorEastAsia"/>
          <w:color w:val="auto"/>
          <w:szCs w:val="21"/>
        </w:rPr>
      </w:pPr>
      <w:r>
        <w:rPr>
          <w:rFonts w:hint="eastAsia" w:asciiTheme="minorEastAsia" w:hAnsiTheme="minorEastAsia"/>
          <w:color w:val="auto"/>
          <w:szCs w:val="21"/>
        </w:rPr>
        <w:t>运输（主要原料、辅料、能源等运输）；</w:t>
      </w:r>
    </w:p>
    <w:p>
      <w:pPr>
        <w:pStyle w:val="28"/>
        <w:numPr>
          <w:ilvl w:val="0"/>
          <w:numId w:val="2"/>
        </w:numPr>
        <w:ind w:firstLineChars="0"/>
        <w:rPr>
          <w:rFonts w:asciiTheme="minorEastAsia" w:hAnsiTheme="minorEastAsia"/>
          <w:color w:val="auto"/>
          <w:szCs w:val="21"/>
        </w:rPr>
      </w:pPr>
      <w:r>
        <w:rPr>
          <w:rFonts w:hint="eastAsia" w:asciiTheme="minorEastAsia" w:hAnsiTheme="minorEastAsia"/>
          <w:color w:val="auto"/>
          <w:szCs w:val="21"/>
        </w:rPr>
        <w:t>铜及铜合金加工产品生产</w:t>
      </w:r>
      <w:r>
        <w:rPr>
          <w:rFonts w:hint="eastAsia" w:asciiTheme="minorEastAsia" w:hAnsiTheme="minorEastAsia"/>
          <w:color w:val="auto"/>
          <w:szCs w:val="21"/>
        </w:rPr>
        <w:t>和包装</w:t>
      </w:r>
      <w:r>
        <w:rPr>
          <w:rFonts w:hint="eastAsia" w:asciiTheme="minorEastAsia" w:hAnsiTheme="minorEastAsia"/>
          <w:color w:val="auto"/>
          <w:szCs w:val="21"/>
        </w:rPr>
        <w:t>；</w:t>
      </w:r>
    </w:p>
    <w:p>
      <w:pPr>
        <w:pStyle w:val="28"/>
        <w:numPr>
          <w:ilvl w:val="0"/>
          <w:numId w:val="2"/>
        </w:numPr>
        <w:ind w:firstLineChars="0"/>
        <w:rPr>
          <w:rFonts w:asciiTheme="minorEastAsia" w:hAnsiTheme="minorEastAsia"/>
          <w:color w:val="auto"/>
          <w:szCs w:val="21"/>
        </w:rPr>
      </w:pPr>
      <w:r>
        <w:rPr>
          <w:rFonts w:hint="eastAsia" w:asciiTheme="minorEastAsia" w:hAnsiTheme="minorEastAsia"/>
          <w:color w:val="auto"/>
          <w:szCs w:val="21"/>
        </w:rPr>
        <w:t>边角余料收集和不合格品的循环再利用；</w:t>
      </w:r>
    </w:p>
    <w:p>
      <w:pPr>
        <w:pStyle w:val="28"/>
        <w:numPr>
          <w:ilvl w:val="0"/>
          <w:numId w:val="2"/>
        </w:numPr>
        <w:ind w:firstLineChars="0"/>
        <w:rPr>
          <w:rFonts w:asciiTheme="minorEastAsia" w:hAnsiTheme="minorEastAsia"/>
          <w:color w:val="auto"/>
          <w:szCs w:val="21"/>
        </w:rPr>
      </w:pPr>
      <w:r>
        <w:rPr>
          <w:rFonts w:hint="eastAsia" w:ascii="宋体" w:hAnsi="宋体" w:eastAsia="宋体"/>
          <w:color w:val="auto"/>
          <w:szCs w:val="21"/>
        </w:rPr>
        <w:t>排放阶段。</w:t>
      </w:r>
    </w:p>
    <w:p>
      <w:pPr>
        <w:ind w:firstLine="420" w:firstLineChars="200"/>
        <w:rPr>
          <w:color w:val="auto"/>
        </w:rPr>
      </w:pPr>
      <w:r>
        <w:rPr>
          <w:color w:val="auto"/>
        </w:rPr>
        <w:pict>
          <v:group id="画布 269" o:spid="_x0000_s1289" o:spt="203" style="height:215.35pt;width:420.15pt;" coordorigin="3309,2126" coordsize="7284,3737" editas="canvas">
            <o:lock v:ext="edit"/>
            <v:shape id="画布 269" o:spid="_x0000_s1290" o:spt="75" type="#_x0000_t75" style="position:absolute;left:3309;top:2126;height:3737;width:7284;" filled="f" stroked="t" coordsize="21600,21600">
              <v:fill on="f" focussize="0,0"/>
              <v:stroke color="#000000" joinstyle="miter" dashstyle="1 1" endcap="round"/>
              <v:imagedata o:title=""/>
              <o:lock v:ext="edit" rotation="t" text="t" aspectratio="t"/>
            </v:shape>
            <v:rect id="矩形 271" o:spid="_x0000_s1291" o:spt="1" style="position:absolute;left:5004;top:2559;height:2575;width:1830;" fillcolor="#FFFFFF" filled="t" stroked="t" coordsize="21600,21600">
              <v:path/>
              <v:fill on="t" color2="#FFFFFF" focussize="0,0"/>
              <v:stroke color="#000000" joinstyle="miter"/>
              <v:imagedata o:title=""/>
              <o:lock v:ext="edit" aspectratio="f"/>
              <v:textbox>
                <w:txbxContent>
                  <w:p>
                    <w:pPr>
                      <w:spacing w:beforeLines="300"/>
                      <w:jc w:val="center"/>
                      <w:rPr>
                        <w:color w:val="FF0000"/>
                      </w:rPr>
                    </w:pPr>
                    <w:r>
                      <w:rPr>
                        <w:rFonts w:hint="eastAsia" w:ascii="宋体" w:hAnsi="宋体" w:eastAsia="宋体"/>
                        <w:sz w:val="18"/>
                        <w:szCs w:val="18"/>
                      </w:rPr>
                      <w:t>铜及铜合金加工产品 生产</w:t>
                    </w:r>
                    <w:r>
                      <w:rPr>
                        <w:rFonts w:hint="eastAsia" w:ascii="宋体" w:hAnsi="宋体" w:eastAsia="宋体"/>
                        <w:color w:val="FF0000"/>
                        <w:sz w:val="18"/>
                        <w:szCs w:val="18"/>
                      </w:rPr>
                      <w:t>和包装阶段</w:t>
                    </w:r>
                  </w:p>
                </w:txbxContent>
              </v:textbox>
            </v:rect>
            <v:rect id="矩形 276" o:spid="_x0000_s1296" o:spt="1" style="position:absolute;left:3422;top:4484;height:386;width:824;"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水</w:t>
                    </w:r>
                  </w:p>
                </w:txbxContent>
              </v:textbox>
            </v:rect>
            <v:rect id="矩形 277" o:spid="_x0000_s1297" o:spt="1" style="position:absolute;left:3422;top:3626;height:424;width:828;" fillcolor="#FFFFFF" filled="t" stroked="t" coordsize="21600,21600">
              <v:path/>
              <v:fill on="t" color2="#FFFFFF" focussize="0,0"/>
              <v:stroke color="#000000" joinstyle="miter"/>
              <v:imagedata o:title=""/>
              <o:lock v:ext="edit" aspectratio="f"/>
              <v:textbox>
                <w:txbxContent>
                  <w:p>
                    <w:pPr>
                      <w:jc w:val="center"/>
                      <w:rPr>
                        <w:szCs w:val="18"/>
                      </w:rPr>
                    </w:pPr>
                    <w:r>
                      <w:rPr>
                        <w:rFonts w:hint="eastAsia"/>
                        <w:sz w:val="18"/>
                        <w:szCs w:val="18"/>
                      </w:rPr>
                      <w:t>能源</w:t>
                    </w:r>
                  </w:p>
                </w:txbxContent>
              </v:textbox>
            </v:rect>
            <v:rect id="矩形 278" o:spid="_x0000_s1298" o:spt="1" style="position:absolute;left:3422;top:2765;height:425;width:828;"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原</w:t>
                    </w:r>
                    <w:r>
                      <w:rPr>
                        <w:rFonts w:hint="eastAsia"/>
                        <w:color w:val="FF0000"/>
                        <w:sz w:val="18"/>
                        <w:szCs w:val="18"/>
                      </w:rPr>
                      <w:t>辅</w:t>
                    </w:r>
                    <w:r>
                      <w:rPr>
                        <w:rFonts w:hint="eastAsia"/>
                        <w:sz w:val="18"/>
                        <w:szCs w:val="18"/>
                      </w:rPr>
                      <w:t>料</w:t>
                    </w:r>
                  </w:p>
                </w:txbxContent>
              </v:textbox>
            </v:rect>
            <v:rect id="矩形 276" o:spid="_x0000_s1313" o:spt="1" style="position:absolute;left:4341;top:2506;height:370;width:635;" fillcolor="#FFFFFF" filled="t" stroked="f" coordsize="21600,21600">
              <v:path/>
              <v:fill on="t" color2="#FFFFFF" focussize="0,0"/>
              <v:stroke on="f"/>
              <v:imagedata o:title=""/>
              <o:lock v:ext="edit" aspectratio="f"/>
              <v:textbox>
                <w:txbxContent>
                  <w:p>
                    <w:pPr>
                      <w:jc w:val="center"/>
                      <w:rPr>
                        <w:sz w:val="18"/>
                        <w:szCs w:val="18"/>
                      </w:rPr>
                    </w:pPr>
                    <w:r>
                      <w:rPr>
                        <w:rFonts w:hint="eastAsia"/>
                        <w:sz w:val="18"/>
                        <w:szCs w:val="18"/>
                      </w:rPr>
                      <w:t>运输</w:t>
                    </w:r>
                  </w:p>
                </w:txbxContent>
              </v:textbox>
            </v:rect>
            <v:rect id="矩形 276" o:spid="_x0000_s1314" o:spt="1" style="position:absolute;left:4341;top:3256;height:370;width:635;" fillcolor="#FFFFFF" filled="t" stroked="f" coordsize="21600,21600">
              <v:path/>
              <v:fill on="t" color2="#FFFFFF" focussize="0,0"/>
              <v:stroke on="f"/>
              <v:imagedata o:title=""/>
              <o:lock v:ext="edit" aspectratio="f"/>
              <v:textbox>
                <w:txbxContent>
                  <w:p>
                    <w:pPr>
                      <w:jc w:val="center"/>
                      <w:rPr>
                        <w:sz w:val="18"/>
                        <w:szCs w:val="18"/>
                      </w:rPr>
                    </w:pPr>
                    <w:r>
                      <w:rPr>
                        <w:rFonts w:hint="eastAsia"/>
                        <w:sz w:val="18"/>
                        <w:szCs w:val="18"/>
                      </w:rPr>
                      <w:t>运输</w:t>
                    </w:r>
                  </w:p>
                </w:txbxContent>
              </v:textbox>
            </v:rect>
            <v:rect id="矩形 276" o:spid="_x0000_s1315" o:spt="1" style="position:absolute;left:4321;top:4261;height:370;width:655;" fillcolor="#FFFFFF" filled="t" stroked="f" coordsize="21600,21600">
              <v:path/>
              <v:fill on="t" color2="#FFFFFF" focussize="0,0"/>
              <v:stroke on="f"/>
              <v:imagedata o:title=""/>
              <o:lock v:ext="edit" aspectratio="f"/>
              <v:textbox>
                <w:txbxContent>
                  <w:p>
                    <w:pPr>
                      <w:jc w:val="center"/>
                      <w:rPr>
                        <w:sz w:val="18"/>
                        <w:szCs w:val="18"/>
                      </w:rPr>
                    </w:pPr>
                    <w:r>
                      <w:rPr>
                        <w:rFonts w:hint="eastAsia"/>
                        <w:sz w:val="18"/>
                        <w:szCs w:val="18"/>
                      </w:rPr>
                      <w:t>运输</w:t>
                    </w:r>
                  </w:p>
                </w:txbxContent>
              </v:textbox>
            </v:rect>
            <v:shape id="_x0000_s1306" o:spid="_x0000_s1306" o:spt="32" type="#_x0000_t32" style="position:absolute;left:4250;top:3827;flip:y;height:6;width:774;" filled="f" stroked="t" coordsize="21600,21600">
              <v:path arrowok="t"/>
              <v:fill on="f" focussize="0,0"/>
              <v:stroke color="#000000" endarrow="block"/>
              <v:imagedata o:title=""/>
              <o:lock v:ext="edit" aspectratio="f"/>
            </v:shape>
            <v:shape id="_x0000_s1327" o:spid="_x0000_s1327" o:spt="32" type="#_x0000_t32" style="position:absolute;left:4250;top:2978;flip:y;height:6;width:774;" filled="f" stroked="t" coordsize="21600,21600">
              <v:path arrowok="t"/>
              <v:fill on="f" focussize="0,0"/>
              <v:stroke color="#000000" endarrow="block"/>
              <v:imagedata o:title=""/>
              <o:lock v:ext="edit" aspectratio="f"/>
            </v:shape>
            <v:shape id="_x0000_s1328" o:spid="_x0000_s1328" o:spt="32" type="#_x0000_t32" style="position:absolute;left:4250;top:4711;flip:y;height:6;width:774;" filled="f" stroked="t" coordsize="21600,21600">
              <v:path arrowok="t"/>
              <v:fill on="f" focussize="0,0"/>
              <v:stroke color="#000000" endarrow="block"/>
              <v:imagedata o:title=""/>
              <o:lock v:ext="edit" aspectratio="f"/>
            </v:shape>
            <v:shape id="_x0000_s1360" o:spid="_x0000_s1360" o:spt="32" type="#_x0000_t32" style="position:absolute;left:6834;top:2984;height:1;width:445;" filled="f" stroked="t" coordsize="21600,21600">
              <v:path arrowok="t"/>
              <v:fill on="f" focussize="0,0"/>
              <v:stroke color="#000000" endarrow="block"/>
              <v:imagedata o:title=""/>
              <o:lock v:ext="edit" aspectratio="f"/>
            </v:shape>
            <v:shape id="_x0000_s1361" o:spid="_x0000_s1361" o:spt="32" type="#_x0000_t32" style="position:absolute;left:6834;top:4712;height:1;width:445;" filled="f" stroked="t" coordsize="21600,21600">
              <v:path arrowok="t"/>
              <v:fill on="f" focussize="0,0"/>
              <v:stroke color="#000000" endarrow="block"/>
              <v:imagedata o:title=""/>
              <o:lock v:ext="edit" aspectratio="f"/>
            </v:shape>
            <v:shape id="_x0000_s1347" o:spid="_x0000_s1347" o:spt="32" type="#_x0000_t32" style="position:absolute;left:8533;top:5356;flip:y;height:507;width:1;" filled="f" stroked="t" coordsize="21600,21600">
              <v:path arrowok="t"/>
              <v:fill on="f" focussize="0,0"/>
              <v:stroke color="#000000" dashstyle="1 1"/>
              <v:imagedata o:title=""/>
              <o:lock v:ext="edit" aspectratio="f"/>
            </v:shape>
            <v:group id="_x0000_s1489" o:spid="_x0000_s1489" o:spt="203" style="position:absolute;left:4976;top:5356;height:507;width:1859;" coordorigin="4976,5356" coordsize="1859,507">
              <o:lock v:ext="edit" aspectratio="f"/>
              <v:shape id="_x0000_s1346" o:spid="_x0000_s1346" o:spt="32" type="#_x0000_t32" style="position:absolute;left:6834;top:5356;flip:y;height:507;width:1;" filled="f" stroked="t" coordsize="21600,21600">
                <v:path arrowok="t"/>
                <v:fill on="f" focussize="0,0"/>
                <v:stroke color="#000000" dashstyle="1 1"/>
                <v:imagedata o:title=""/>
                <o:lock v:ext="edit" aspectratio="f"/>
              </v:shape>
              <v:shape id="_x0000_s1345" o:spid="_x0000_s1345" o:spt="32" type="#_x0000_t32" style="position:absolute;left:4976;top:5356;flip:y;height:507;width:1;" filled="f" stroked="t" coordsize="21600,21600">
                <v:path arrowok="t"/>
                <v:fill on="f" focussize="0,0"/>
                <v:stroke color="#000000" dashstyle="1 1"/>
                <v:imagedata o:title=""/>
                <o:lock v:ext="edit" aspectratio="f"/>
              </v:shape>
            </v:group>
            <v:group id="_x0000_s1358" o:spid="_x0000_s1358" o:spt="203" style="position:absolute;left:8535;top:2751;height:2214;width:1779;" coordorigin="7590,2088" coordsize="2083,2735">
              <o:lock v:ext="edit" aspectratio="f"/>
              <v:group id="_x0000_s1354" o:spid="_x0000_s1354" o:spt="203" style="position:absolute;left:7590;top:2088;height:490;width:2083;" coordorigin="7559,2088" coordsize="2083,490">
                <o:lock v:ext="edit" aspectratio="f"/>
                <v:shape id="_x0000_s1332" o:spid="_x0000_s1332" o:spt="32" type="#_x0000_t32" style="position:absolute;left:7559;top:2336;flip:y;height:7;width:892;" filled="f" stroked="t" coordsize="21600,21600">
                  <v:path arrowok="t"/>
                  <v:fill on="f" focussize="0,0"/>
                  <v:stroke color="#000000" endarrow="block"/>
                  <v:imagedata o:title=""/>
                  <o:lock v:ext="edit" aspectratio="f"/>
                </v:shape>
                <v:rect id="矩形 278" o:spid="_x0000_s1337" o:spt="1" style="position:absolute;left:8451;top:2088;height:490;width:1191;"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大气排放</w:t>
                        </w:r>
                      </w:p>
                      <w:p/>
                    </w:txbxContent>
                  </v:textbox>
                </v:rect>
              </v:group>
              <v:group id="_x0000_s1355" o:spid="_x0000_s1355" o:spt="203" style="position:absolute;left:7590;top:2875;height:490;width:2052;" coordorigin="7590,2875" coordsize="2052,490">
                <o:lock v:ext="edit" aspectratio="f"/>
                <v:shape id="_x0000_s1333" o:spid="_x0000_s1333" o:spt="32" type="#_x0000_t32" style="position:absolute;left:7590;top:3081;flip:y;height:7;width:892;" filled="f" stroked="t" coordsize="21600,21600">
                  <v:path arrowok="t"/>
                  <v:fill on="f" focussize="0,0"/>
                  <v:stroke color="#000000" endarrow="block"/>
                  <v:imagedata o:title=""/>
                  <o:lock v:ext="edit" aspectratio="f"/>
                </v:shape>
                <v:rect id="矩形 278" o:spid="_x0000_s1338" o:spt="1" style="position:absolute;left:8451;top:2875;height:490;width:1191;"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水体排放</w:t>
                        </w:r>
                      </w:p>
                    </w:txbxContent>
                  </v:textbox>
                </v:rect>
              </v:group>
              <v:group id="_x0000_s1356" o:spid="_x0000_s1356" o:spt="203" style="position:absolute;left:7590;top:3567;height:490;width:2083;" coordorigin="7590,3567" coordsize="2083,490">
                <o:lock v:ext="edit" aspectratio="f"/>
                <v:shape id="_x0000_s1334" o:spid="_x0000_s1334" o:spt="32" type="#_x0000_t32" style="position:absolute;left:7590;top:3825;flip:y;height:7;width:892;" filled="f" stroked="t" coordsize="21600,21600">
                  <v:path arrowok="t"/>
                  <v:fill on="f" focussize="0,0"/>
                  <v:stroke color="#000000" endarrow="block"/>
                  <v:imagedata o:title=""/>
                  <o:lock v:ext="edit" aspectratio="f"/>
                </v:shape>
                <v:rect id="矩形 278" o:spid="_x0000_s1339" o:spt="1" style="position:absolute;left:8482;top:3567;height:490;width:1191;"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固废排放</w:t>
                        </w:r>
                      </w:p>
                    </w:txbxContent>
                  </v:textbox>
                </v:rect>
              </v:group>
              <v:group id="_x0000_s1357" o:spid="_x0000_s1357" o:spt="203" style="position:absolute;left:7590;top:4333;height:490;width:2083;" coordorigin="7590,4333" coordsize="2083,490">
                <o:lock v:ext="edit" aspectratio="f"/>
                <v:shape id="_x0000_s1335" o:spid="_x0000_s1335" o:spt="32" type="#_x0000_t32" style="position:absolute;left:7590;top:4633;flip:y;height:7;width:892;" filled="f" stroked="t" coordsize="21600,21600">
                  <v:path arrowok="t"/>
                  <v:fill on="f" focussize="0,0"/>
                  <v:stroke color="#000000" endarrow="block"/>
                  <v:imagedata o:title=""/>
                  <o:lock v:ext="edit" aspectratio="f"/>
                </v:shape>
                <v:rect id="矩形 278" o:spid="_x0000_s1340" o:spt="1" style="position:absolute;left:8482;top:4333;height:490;width:1191;"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危废排放</w:t>
                        </w:r>
                      </w:p>
                    </w:txbxContent>
                  </v:textbox>
                </v:rect>
              </v:group>
            </v:group>
            <v:rect id="_x0000_s1403" o:spid="_x0000_s1403" o:spt="1" style="position:absolute;left:7279;top:2559;height:2575;width:1256;" fillcolor="#FFFFFF" filled="t" stroked="t" coordsize="21600,21600">
              <v:path/>
              <v:fill on="t" color2="#FFFFFF" focussize="0,0"/>
              <v:stroke color="#000000" joinstyle="miter" dashstyle="dash"/>
              <v:imagedata o:title=""/>
              <o:lock v:ext="edit" aspectratio="f"/>
            </v:rect>
            <v:rect id="矩形 280" o:spid="_x0000_s1404" o:spt="1" style="position:absolute;left:7359;top:2704;height:684;width:1122;"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不合格品循环再利用</w:t>
                    </w:r>
                  </w:p>
                </w:txbxContent>
              </v:textbox>
            </v:rect>
            <v:rect id="矩形 280" o:spid="_x0000_s1405" o:spt="1" style="position:absolute;left:7359;top:4299;height:666;width:1122;"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铜渣尘等循环再利用</w:t>
                    </w:r>
                  </w:p>
                </w:txbxContent>
              </v:textbox>
            </v:rect>
            <v:group id="_x0000_s1488" o:spid="_x0000_s1488" o:spt="203" style="position:absolute;left:3309;top:5860;height:3;width:7284;" coordorigin="1921,6958" coordsize="8403,4">
              <o:lock v:ext="edit" aspectratio="f"/>
              <v:shape id="_x0000_s1344" o:spid="_x0000_s1344" o:spt="32" type="#_x0000_t32" style="position:absolute;left:5989;top:6960;height:1;width:2019;" filled="f" stroked="t" coordsize="21600,21600">
                <v:path arrowok="t"/>
                <v:fill on="f" focussize="0,0"/>
                <v:stroke color="#000000" dashstyle="1 1" endarrow="block"/>
                <v:imagedata o:title=""/>
                <o:lock v:ext="edit" aspectratio="f"/>
              </v:shape>
              <v:shape id="_x0000_s1362" o:spid="_x0000_s1362" o:spt="32" type="#_x0000_t32" style="position:absolute;left:1921;top:6960;height:1;width:1923;" filled="f" stroked="t" coordsize="21600,21600">
                <v:path arrowok="t"/>
                <v:fill on="f" focussize="0,0"/>
                <v:stroke color="#000000" dashstyle="1 1" endarrow="block"/>
                <v:imagedata o:title=""/>
                <o:lock v:ext="edit" aspectratio="f"/>
              </v:shape>
              <v:shape id="_x0000_s1363" o:spid="_x0000_s1363" o:spt="32" type="#_x0000_t32" style="position:absolute;left:3844;top:6961;height:1;width:2145;" filled="f" stroked="t" coordsize="21600,21600">
                <v:path arrowok="t"/>
                <v:fill on="f" focussize="0,0"/>
                <v:stroke color="#000000" dashstyle="1 1" endarrow="block"/>
                <v:imagedata o:title=""/>
                <o:lock v:ext="edit" aspectratio="f"/>
              </v:shape>
              <v:shape id="_x0000_s1487" o:spid="_x0000_s1487" o:spt="32" type="#_x0000_t32" style="position:absolute;left:8008;top:6958;height:1;width:2316;" filled="f" stroked="t" coordsize="21600,21600">
                <v:path arrowok="t"/>
                <v:fill on="f" focussize="0,0"/>
                <v:stroke color="#000000" dashstyle="1 1" endarrow="block"/>
                <v:imagedata o:title=""/>
                <o:lock v:ext="edit" aspectratio="f"/>
              </v:shape>
            </v:group>
            <w10:wrap type="none"/>
            <w10:anchorlock/>
          </v:group>
        </w:pict>
      </w:r>
    </w:p>
    <w:p>
      <w:pPr>
        <w:ind w:firstLine="720" w:firstLineChars="400"/>
        <w:rPr>
          <w:rFonts w:ascii="宋体" w:hAnsi="宋体" w:eastAsia="宋体"/>
          <w:color w:val="auto"/>
          <w:sz w:val="18"/>
          <w:szCs w:val="18"/>
        </w:rPr>
      </w:pPr>
      <w:r>
        <w:rPr>
          <w:rFonts w:hint="eastAsia" w:ascii="宋体" w:hAnsi="宋体" w:eastAsia="宋体"/>
          <w:color w:val="auto"/>
          <w:sz w:val="18"/>
          <w:szCs w:val="18"/>
        </w:rPr>
        <w:t>原辅料准备阶段      产品生产和包装阶段     循环再利用阶段             排放阶段</w:t>
      </w:r>
    </w:p>
    <w:p>
      <w:pPr>
        <w:spacing w:beforeLines="100" w:afterLines="100"/>
        <w:jc w:val="center"/>
        <w:rPr>
          <w:rFonts w:ascii="宋体" w:hAnsi="宋体"/>
          <w:color w:val="auto"/>
          <w:sz w:val="28"/>
        </w:rPr>
      </w:pPr>
      <w:r>
        <w:rPr>
          <w:rFonts w:hint="eastAsia" w:ascii="黑体" w:eastAsia="黑体" w:hAnsiTheme="minorEastAsia"/>
          <w:color w:val="auto"/>
          <w:szCs w:val="21"/>
        </w:rPr>
        <w:t>图1  铜及铜合金加工产品生命周期系统边界图</w:t>
      </w:r>
    </w:p>
    <w:p>
      <w:pPr>
        <w:spacing w:line="360" w:lineRule="auto"/>
        <w:rPr>
          <w:rFonts w:ascii="黑体" w:eastAsia="黑体" w:hAnsiTheme="minorEastAsia"/>
          <w:color w:val="auto"/>
          <w:szCs w:val="21"/>
        </w:rPr>
      </w:pPr>
      <w:r>
        <w:rPr>
          <w:rFonts w:hint="eastAsia" w:ascii="黑体" w:eastAsia="黑体" w:hAnsiTheme="minorEastAsia"/>
          <w:color w:val="auto"/>
          <w:szCs w:val="21"/>
        </w:rPr>
        <w:t>5.3.4 数据的描述</w:t>
      </w:r>
    </w:p>
    <w:p>
      <w:pPr>
        <w:ind w:firstLine="405"/>
        <w:jc w:val="left"/>
        <w:rPr>
          <w:rFonts w:asciiTheme="minorEastAsia" w:hAnsiTheme="minorEastAsia"/>
          <w:color w:val="auto"/>
          <w:szCs w:val="21"/>
        </w:rPr>
      </w:pPr>
      <w:r>
        <w:rPr>
          <w:rFonts w:hint="eastAsia" w:asciiTheme="minorEastAsia" w:hAnsiTheme="minorEastAsia"/>
          <w:color w:val="auto"/>
          <w:szCs w:val="21"/>
        </w:rPr>
        <w:t>数据包括企业现场数据和背景数据。</w:t>
      </w:r>
    </w:p>
    <w:p>
      <w:pPr>
        <w:ind w:firstLine="405"/>
        <w:jc w:val="left"/>
        <w:rPr>
          <w:rFonts w:asciiTheme="minorEastAsia" w:hAnsiTheme="minorEastAsia"/>
          <w:color w:val="auto"/>
          <w:szCs w:val="21"/>
        </w:rPr>
      </w:pPr>
      <w:r>
        <w:rPr>
          <w:rFonts w:hint="eastAsia" w:asciiTheme="minorEastAsia" w:hAnsiTheme="minorEastAsia"/>
          <w:color w:val="auto"/>
          <w:szCs w:val="21"/>
        </w:rPr>
        <w:t>企业现场数据包括铜及铜合金加工产品生产阶段的原材料消耗、能耗、污染排放、废弃循环再利用率及运输（包括运输形式、运输距离和运输量）等数据，对数据的获得方式和来源均应予以说明。</w:t>
      </w:r>
    </w:p>
    <w:p>
      <w:pPr>
        <w:ind w:firstLine="405"/>
        <w:jc w:val="left"/>
        <w:rPr>
          <w:rFonts w:ascii="黑体" w:eastAsia="黑体" w:hAnsiTheme="minorEastAsia"/>
          <w:color w:val="auto"/>
          <w:szCs w:val="21"/>
        </w:rPr>
      </w:pPr>
      <w:r>
        <w:rPr>
          <w:rFonts w:hint="eastAsia" w:asciiTheme="minorEastAsia" w:hAnsiTheme="minorEastAsia"/>
          <w:color w:val="auto"/>
          <w:szCs w:val="21"/>
        </w:rPr>
        <w:t>背景数据包括原辅材料与能源购入及原材料运输所需的生命周期清单数据。所有数据应予以详细说明，包括数据来源、数据时间、数据类型等。</w:t>
      </w:r>
    </w:p>
    <w:p>
      <w:pPr>
        <w:spacing w:line="360" w:lineRule="auto"/>
        <w:rPr>
          <w:rFonts w:ascii="黑体" w:eastAsia="黑体" w:hAnsiTheme="minorEastAsia"/>
          <w:color w:val="auto"/>
          <w:szCs w:val="21"/>
        </w:rPr>
      </w:pPr>
      <w:r>
        <w:rPr>
          <w:rFonts w:hint="eastAsia" w:ascii="黑体" w:eastAsia="黑体" w:hAnsiTheme="minorEastAsia"/>
          <w:color w:val="auto"/>
          <w:szCs w:val="21"/>
        </w:rPr>
        <w:t>5.3.5 数据取舍准则</w:t>
      </w:r>
    </w:p>
    <w:p>
      <w:pPr>
        <w:ind w:firstLine="405"/>
        <w:jc w:val="left"/>
        <w:rPr>
          <w:rFonts w:asciiTheme="minorEastAsia" w:hAnsiTheme="minorEastAsia"/>
          <w:color w:val="auto"/>
          <w:szCs w:val="21"/>
        </w:rPr>
      </w:pPr>
      <w:r>
        <w:rPr>
          <w:rFonts w:hint="eastAsia" w:asciiTheme="minorEastAsia" w:hAnsiTheme="minorEastAsia"/>
          <w:color w:val="auto"/>
          <w:szCs w:val="21"/>
        </w:rPr>
        <w:t>单元过程数据取舍原则如下：</w:t>
      </w:r>
    </w:p>
    <w:p>
      <w:pPr>
        <w:pStyle w:val="28"/>
        <w:numPr>
          <w:ilvl w:val="0"/>
          <w:numId w:val="3"/>
        </w:numPr>
        <w:ind w:firstLineChars="0"/>
        <w:rPr>
          <w:rFonts w:ascii="宋体" w:hAnsi="宋体" w:eastAsia="宋体"/>
          <w:color w:val="auto"/>
          <w:szCs w:val="21"/>
        </w:rPr>
      </w:pPr>
      <w:r>
        <w:rPr>
          <w:rFonts w:hint="eastAsia" w:ascii="宋体" w:hAnsi="宋体" w:eastAsia="宋体"/>
          <w:color w:val="auto"/>
          <w:szCs w:val="21"/>
        </w:rPr>
        <w:t>能源的所有输入均列出；</w:t>
      </w:r>
    </w:p>
    <w:p>
      <w:pPr>
        <w:pStyle w:val="28"/>
        <w:numPr>
          <w:ilvl w:val="0"/>
          <w:numId w:val="3"/>
        </w:numPr>
        <w:ind w:firstLineChars="0"/>
        <w:rPr>
          <w:rFonts w:ascii="宋体" w:hAnsi="宋体" w:eastAsia="宋体"/>
          <w:color w:val="auto"/>
          <w:szCs w:val="21"/>
        </w:rPr>
      </w:pPr>
      <w:r>
        <w:rPr>
          <w:rFonts w:hint="eastAsia" w:ascii="宋体" w:hAnsi="宋体" w:eastAsia="宋体"/>
          <w:color w:val="auto"/>
          <w:szCs w:val="21"/>
        </w:rPr>
        <w:t>水资源所有输入均列出</w:t>
      </w:r>
    </w:p>
    <w:p>
      <w:pPr>
        <w:pStyle w:val="28"/>
        <w:numPr>
          <w:ilvl w:val="0"/>
          <w:numId w:val="3"/>
        </w:numPr>
        <w:ind w:firstLineChars="0"/>
        <w:rPr>
          <w:rFonts w:ascii="宋体" w:hAnsi="宋体" w:eastAsia="宋体"/>
          <w:color w:val="auto"/>
          <w:szCs w:val="21"/>
        </w:rPr>
      </w:pPr>
      <w:r>
        <w:rPr>
          <w:rFonts w:hint="eastAsia" w:ascii="宋体" w:hAnsi="宋体" w:eastAsia="宋体"/>
          <w:color w:val="auto"/>
          <w:szCs w:val="21"/>
        </w:rPr>
        <w:t>原料的所有输入均列出；</w:t>
      </w:r>
    </w:p>
    <w:p>
      <w:pPr>
        <w:pStyle w:val="28"/>
        <w:numPr>
          <w:ilvl w:val="0"/>
          <w:numId w:val="3"/>
        </w:numPr>
        <w:ind w:firstLineChars="0"/>
        <w:rPr>
          <w:rFonts w:ascii="宋体" w:hAnsi="宋体" w:eastAsia="宋体"/>
          <w:color w:val="auto"/>
          <w:szCs w:val="21"/>
        </w:rPr>
      </w:pPr>
      <w:r>
        <w:rPr>
          <w:rFonts w:hint="eastAsia" w:ascii="宋体" w:hAnsi="宋体" w:eastAsia="宋体"/>
          <w:color w:val="auto"/>
          <w:szCs w:val="21"/>
        </w:rPr>
        <w:t>辅助材料质量小于原料总消耗0.1%的项目输入可忽略；</w:t>
      </w:r>
    </w:p>
    <w:p>
      <w:pPr>
        <w:pStyle w:val="28"/>
        <w:numPr>
          <w:ilvl w:val="0"/>
          <w:numId w:val="3"/>
        </w:numPr>
        <w:ind w:firstLineChars="0"/>
        <w:rPr>
          <w:rFonts w:ascii="宋体" w:hAnsi="宋体" w:eastAsia="宋体"/>
          <w:color w:val="auto"/>
          <w:szCs w:val="21"/>
        </w:rPr>
      </w:pPr>
      <w:r>
        <w:rPr>
          <w:rFonts w:hint="eastAsia" w:ascii="宋体" w:hAnsi="宋体" w:eastAsia="宋体"/>
          <w:color w:val="auto"/>
          <w:szCs w:val="21"/>
        </w:rPr>
        <w:t>大气、水体的各种排放均列出；</w:t>
      </w:r>
    </w:p>
    <w:p>
      <w:pPr>
        <w:pStyle w:val="28"/>
        <w:numPr>
          <w:ilvl w:val="0"/>
          <w:numId w:val="3"/>
        </w:numPr>
        <w:ind w:firstLineChars="0"/>
        <w:rPr>
          <w:rFonts w:ascii="宋体" w:hAnsi="宋体" w:eastAsia="宋体"/>
          <w:color w:val="auto"/>
          <w:szCs w:val="21"/>
        </w:rPr>
      </w:pPr>
      <w:r>
        <w:rPr>
          <w:rFonts w:hint="eastAsia" w:ascii="宋体" w:hAnsi="宋体" w:eastAsia="宋体"/>
          <w:color w:val="auto"/>
          <w:szCs w:val="21"/>
        </w:rPr>
        <w:t>小于固体废弃物排放总量1%的一般性固体废弃物可忽略；</w:t>
      </w:r>
    </w:p>
    <w:p>
      <w:pPr>
        <w:pStyle w:val="28"/>
        <w:numPr>
          <w:ilvl w:val="0"/>
          <w:numId w:val="3"/>
        </w:numPr>
        <w:ind w:firstLineChars="0"/>
        <w:rPr>
          <w:rFonts w:ascii="宋体" w:hAnsi="宋体" w:eastAsia="宋体"/>
          <w:color w:val="auto"/>
          <w:szCs w:val="21"/>
        </w:rPr>
      </w:pPr>
      <w:r>
        <w:rPr>
          <w:rFonts w:hint="eastAsia" w:asciiTheme="minorEastAsia" w:hAnsiTheme="minorEastAsia"/>
          <w:color w:val="auto"/>
          <w:szCs w:val="21"/>
        </w:rPr>
        <w:t>道路与厂房的基础设施、各工序的设备、厂区内人员及生活设施的消耗和排放，均忽略；</w:t>
      </w:r>
    </w:p>
    <w:p>
      <w:pPr>
        <w:pStyle w:val="28"/>
        <w:numPr>
          <w:ilvl w:val="0"/>
          <w:numId w:val="3"/>
        </w:numPr>
        <w:ind w:firstLineChars="0"/>
        <w:rPr>
          <w:rFonts w:ascii="宋体" w:hAnsi="宋体" w:eastAsia="宋体"/>
          <w:color w:val="auto"/>
          <w:szCs w:val="21"/>
        </w:rPr>
      </w:pPr>
      <w:r>
        <w:rPr>
          <w:rFonts w:hint="eastAsia" w:asciiTheme="minorEastAsia" w:hAnsiTheme="minorEastAsia"/>
          <w:color w:val="auto"/>
          <w:szCs w:val="21"/>
        </w:rPr>
        <w:t>取舍原则不适用于有毒有害物质，任何有毒有害的材料和物质均应包含于清单中。</w:t>
      </w:r>
    </w:p>
    <w:p>
      <w:pPr>
        <w:spacing w:line="360" w:lineRule="auto"/>
        <w:rPr>
          <w:rFonts w:ascii="黑体" w:eastAsia="黑体" w:hAnsiTheme="minorEastAsia"/>
          <w:color w:val="auto"/>
          <w:szCs w:val="21"/>
        </w:rPr>
      </w:pPr>
      <w:r>
        <w:rPr>
          <w:rFonts w:hint="eastAsia" w:ascii="黑体" w:eastAsia="黑体" w:hAnsiTheme="minorEastAsia"/>
          <w:color w:val="auto"/>
          <w:szCs w:val="21"/>
        </w:rPr>
        <w:t>5.3.6 数据质量要求</w:t>
      </w:r>
    </w:p>
    <w:p>
      <w:pPr>
        <w:rPr>
          <w:rFonts w:asciiTheme="minorEastAsia" w:hAnsiTheme="minorEastAsia"/>
          <w:color w:val="auto"/>
          <w:szCs w:val="21"/>
        </w:rPr>
      </w:pPr>
      <w:r>
        <w:rPr>
          <w:rFonts w:hint="eastAsia" w:ascii="黑体" w:eastAsia="黑体" w:hAnsiTheme="minorEastAsia"/>
          <w:color w:val="auto"/>
          <w:szCs w:val="21"/>
        </w:rPr>
        <w:t>5.3.6.1</w:t>
      </w:r>
      <w:r>
        <w:rPr>
          <w:rFonts w:hint="eastAsia" w:asciiTheme="minorEastAsia" w:hAnsiTheme="minorEastAsia"/>
          <w:color w:val="auto"/>
          <w:szCs w:val="21"/>
        </w:rPr>
        <w:t>数据质量原则和要求</w:t>
      </w:r>
    </w:p>
    <w:p>
      <w:pPr>
        <w:rPr>
          <w:rFonts w:asciiTheme="minorEastAsia" w:hAnsiTheme="minorEastAsia"/>
          <w:color w:val="auto"/>
          <w:szCs w:val="21"/>
        </w:rPr>
      </w:pPr>
      <w:r>
        <w:rPr>
          <w:rFonts w:hint="eastAsia" w:asciiTheme="minorEastAsia" w:hAnsiTheme="minorEastAsia"/>
          <w:color w:val="auto"/>
          <w:szCs w:val="21"/>
        </w:rPr>
        <w:t xml:space="preserve">    数据质量应遵循以下原则和要求：</w:t>
      </w:r>
    </w:p>
    <w:p>
      <w:pPr>
        <w:ind w:firstLine="405"/>
        <w:rPr>
          <w:rFonts w:asciiTheme="minorEastAsia" w:hAnsiTheme="minorEastAsia"/>
          <w:color w:val="auto"/>
          <w:szCs w:val="21"/>
        </w:rPr>
      </w:pPr>
      <w:r>
        <w:rPr>
          <w:rFonts w:hint="eastAsia" w:asciiTheme="minorEastAsia" w:hAnsiTheme="minorEastAsia"/>
          <w:color w:val="auto"/>
          <w:szCs w:val="21"/>
        </w:rPr>
        <w:t>a)代表性：</w:t>
      </w:r>
    </w:p>
    <w:p>
      <w:pPr>
        <w:ind w:firstLine="405"/>
        <w:rPr>
          <w:rFonts w:asciiTheme="minorEastAsia" w:hAnsiTheme="minorEastAsia"/>
          <w:color w:val="auto"/>
          <w:szCs w:val="21"/>
        </w:rPr>
      </w:pPr>
      <w:r>
        <w:rPr>
          <w:rFonts w:hint="eastAsia" w:asciiTheme="minorEastAsia" w:hAnsiTheme="minorEastAsia"/>
          <w:color w:val="auto"/>
          <w:szCs w:val="21"/>
        </w:rPr>
        <w:t>现场数据应按照企业生产单元收集所确定范围内的生产统计数据。</w:t>
      </w:r>
    </w:p>
    <w:p>
      <w:pPr>
        <w:ind w:firstLine="405"/>
        <w:rPr>
          <w:rFonts w:asciiTheme="minorEastAsia" w:hAnsiTheme="minorEastAsia"/>
          <w:color w:val="auto"/>
          <w:szCs w:val="21"/>
        </w:rPr>
      </w:pPr>
      <w:r>
        <w:rPr>
          <w:rFonts w:hint="eastAsia" w:asciiTheme="minorEastAsia" w:hAnsiTheme="minorEastAsia"/>
          <w:color w:val="auto"/>
          <w:szCs w:val="21"/>
        </w:rPr>
        <w:t>背景数据应优先选择企业的原材料供应商提供的符合GB/T 24044-2008要求的、经第三方独立验证的上游产品生命周期评价报告中的数据。若无，应优先选择代表中国国内平均生产水平的公开生命周期评价数据，数据的参考年限应优先选择近年数据。在没有符合要求的中国国内数据的情况下，可选择国外同类技术数据作为背景数据。</w:t>
      </w:r>
    </w:p>
    <w:p>
      <w:pPr>
        <w:ind w:firstLine="405"/>
        <w:rPr>
          <w:rFonts w:asciiTheme="minorEastAsia" w:hAnsiTheme="minorEastAsia"/>
          <w:color w:val="auto"/>
          <w:szCs w:val="21"/>
        </w:rPr>
      </w:pPr>
      <w:r>
        <w:rPr>
          <w:rFonts w:hint="eastAsia" w:asciiTheme="minorEastAsia" w:hAnsiTheme="minorEastAsia"/>
          <w:color w:val="auto"/>
          <w:szCs w:val="21"/>
        </w:rPr>
        <w:t>b)完整性：</w:t>
      </w:r>
    </w:p>
    <w:p>
      <w:pPr>
        <w:ind w:firstLine="405"/>
        <w:rPr>
          <w:rFonts w:asciiTheme="minorEastAsia" w:hAnsiTheme="minorEastAsia"/>
          <w:color w:val="auto"/>
          <w:szCs w:val="21"/>
        </w:rPr>
      </w:pPr>
      <w:r>
        <w:rPr>
          <w:rFonts w:hint="eastAsia" w:asciiTheme="minorEastAsia" w:hAnsiTheme="minorEastAsia"/>
          <w:color w:val="auto"/>
          <w:szCs w:val="21"/>
        </w:rPr>
        <w:t>现场数据应按5.3.5的原则，采集生产现场数据。</w:t>
      </w:r>
    </w:p>
    <w:p>
      <w:pPr>
        <w:ind w:firstLine="405"/>
        <w:rPr>
          <w:rFonts w:asciiTheme="minorEastAsia" w:hAnsiTheme="minorEastAsia"/>
          <w:color w:val="auto"/>
          <w:szCs w:val="21"/>
        </w:rPr>
      </w:pPr>
      <w:r>
        <w:rPr>
          <w:rFonts w:hint="eastAsia" w:asciiTheme="minorEastAsia" w:hAnsiTheme="minorEastAsia"/>
          <w:color w:val="auto"/>
          <w:szCs w:val="21"/>
        </w:rPr>
        <w:t>背景数据应从资源准备与购入到铜及铜合金加工产品出厂为止，所有被选择的背景数据应完整覆盖本文件确定的生命周期清单因子（见5.4.2）。</w:t>
      </w:r>
    </w:p>
    <w:p>
      <w:pPr>
        <w:ind w:firstLine="405"/>
        <w:rPr>
          <w:rFonts w:asciiTheme="minorEastAsia" w:hAnsiTheme="minorEastAsia"/>
          <w:color w:val="auto"/>
          <w:szCs w:val="21"/>
        </w:rPr>
      </w:pPr>
      <w:r>
        <w:rPr>
          <w:rFonts w:hint="eastAsia" w:asciiTheme="minorEastAsia" w:hAnsiTheme="minorEastAsia"/>
          <w:color w:val="auto"/>
          <w:szCs w:val="21"/>
        </w:rPr>
        <w:t>c)准确性：</w:t>
      </w:r>
    </w:p>
    <w:p>
      <w:pPr>
        <w:ind w:firstLine="405"/>
        <w:rPr>
          <w:rFonts w:asciiTheme="minorEastAsia" w:hAnsiTheme="minorEastAsia"/>
          <w:color w:val="auto"/>
          <w:szCs w:val="21"/>
        </w:rPr>
      </w:pPr>
      <w:r>
        <w:rPr>
          <w:rFonts w:hint="eastAsia" w:asciiTheme="minorEastAsia" w:hAnsiTheme="minorEastAsia"/>
          <w:color w:val="auto"/>
          <w:szCs w:val="21"/>
        </w:rPr>
        <w:t>现场数据中的</w:t>
      </w:r>
      <w:r>
        <w:rPr>
          <w:rFonts w:hint="eastAsia" w:asciiTheme="minorEastAsia" w:hAnsiTheme="minorEastAsia"/>
          <w:color w:val="auto"/>
          <w:szCs w:val="21"/>
        </w:rPr>
        <w:t>原辅</w:t>
      </w:r>
      <w:r>
        <w:rPr>
          <w:rFonts w:hint="eastAsia" w:asciiTheme="minorEastAsia" w:hAnsiTheme="minorEastAsia"/>
          <w:color w:val="auto"/>
          <w:szCs w:val="21"/>
        </w:rPr>
        <w:t>料、能源、</w:t>
      </w:r>
      <w:r>
        <w:rPr>
          <w:rFonts w:hint="eastAsia" w:asciiTheme="minorEastAsia" w:hAnsiTheme="minorEastAsia"/>
          <w:color w:val="auto"/>
          <w:szCs w:val="21"/>
        </w:rPr>
        <w:t>水</w:t>
      </w:r>
      <w:r>
        <w:rPr>
          <w:rFonts w:hint="eastAsia" w:asciiTheme="minorEastAsia" w:hAnsiTheme="minorEastAsia"/>
          <w:color w:val="auto"/>
          <w:szCs w:val="21"/>
        </w:rPr>
        <w:t>消耗数据应来自于生产单元的实际生产统计记录；环境排放数据优先选择相关的环境监测报告，或由排污因子或物料平衡公式计算获得。所有现场数据均应转换为单位产品，且需要详细记录相关的原始数据、数据来源、计算过程等。</w:t>
      </w:r>
    </w:p>
    <w:p>
      <w:pPr>
        <w:ind w:firstLine="405"/>
        <w:rPr>
          <w:rFonts w:asciiTheme="minorEastAsia" w:hAnsiTheme="minorEastAsia"/>
          <w:color w:val="auto"/>
          <w:szCs w:val="21"/>
        </w:rPr>
      </w:pPr>
      <w:r>
        <w:rPr>
          <w:rFonts w:hint="eastAsia" w:asciiTheme="minorEastAsia" w:hAnsiTheme="minorEastAsia"/>
          <w:color w:val="auto"/>
          <w:szCs w:val="21"/>
        </w:rPr>
        <w:t>d)一致性：</w:t>
      </w:r>
    </w:p>
    <w:p>
      <w:pPr>
        <w:ind w:firstLine="405"/>
        <w:rPr>
          <w:rFonts w:asciiTheme="minorEastAsia" w:hAnsiTheme="minorEastAsia"/>
          <w:color w:val="auto"/>
          <w:szCs w:val="21"/>
        </w:rPr>
      </w:pPr>
      <w:r>
        <w:rPr>
          <w:rFonts w:hint="eastAsia" w:asciiTheme="minorEastAsia" w:hAnsiTheme="minorEastAsia"/>
          <w:color w:val="auto"/>
          <w:szCs w:val="21"/>
        </w:rPr>
        <w:t>企业现场数据收集时应保持相同的数据来源、统计口径、处理规则等。</w:t>
      </w:r>
    </w:p>
    <w:p>
      <w:pPr>
        <w:ind w:firstLine="405"/>
        <w:rPr>
          <w:rFonts w:asciiTheme="minorEastAsia" w:hAnsiTheme="minorEastAsia"/>
          <w:color w:val="auto"/>
          <w:szCs w:val="21"/>
        </w:rPr>
      </w:pPr>
      <w:r>
        <w:rPr>
          <w:rFonts w:hint="eastAsia" w:asciiTheme="minorEastAsia" w:hAnsiTheme="minorEastAsia"/>
          <w:color w:val="auto"/>
          <w:szCs w:val="21"/>
        </w:rPr>
        <w:t>应将背景数据转换为一致的物质名录后再进行计算。同一第三方机构对同类产品生命周期评价的背景数据应保持一致，如背景数据更新，则生命周期评价报告也应更新。</w:t>
      </w:r>
    </w:p>
    <w:p>
      <w:pPr>
        <w:ind w:firstLine="405"/>
        <w:rPr>
          <w:rFonts w:asciiTheme="minorEastAsia" w:hAnsiTheme="minorEastAsia"/>
          <w:color w:val="auto"/>
          <w:szCs w:val="21"/>
        </w:rPr>
      </w:pPr>
      <w:r>
        <w:rPr>
          <w:rFonts w:hint="eastAsia" w:asciiTheme="minorEastAsia" w:hAnsiTheme="minorEastAsia"/>
          <w:color w:val="auto"/>
          <w:szCs w:val="21"/>
        </w:rPr>
        <w:t>e）时间相关：与评价目标时间差别小于3年；</w:t>
      </w:r>
    </w:p>
    <w:p>
      <w:pPr>
        <w:ind w:firstLine="405"/>
        <w:rPr>
          <w:rFonts w:asciiTheme="minorEastAsia" w:hAnsiTheme="minorEastAsia"/>
          <w:color w:val="auto"/>
          <w:szCs w:val="21"/>
        </w:rPr>
      </w:pPr>
      <w:r>
        <w:rPr>
          <w:rFonts w:hint="eastAsia" w:asciiTheme="minorEastAsia" w:hAnsiTheme="minorEastAsia"/>
          <w:color w:val="auto"/>
          <w:szCs w:val="21"/>
        </w:rPr>
        <w:t>f）地理相关：来自研究区域的数据；</w:t>
      </w:r>
    </w:p>
    <w:p>
      <w:pPr>
        <w:ind w:firstLine="405"/>
        <w:rPr>
          <w:rFonts w:asciiTheme="minorEastAsia" w:hAnsiTheme="minorEastAsia"/>
          <w:color w:val="auto"/>
          <w:szCs w:val="21"/>
        </w:rPr>
      </w:pPr>
      <w:r>
        <w:rPr>
          <w:rFonts w:hint="eastAsia" w:asciiTheme="minorEastAsia" w:hAnsiTheme="minorEastAsia"/>
          <w:color w:val="auto"/>
          <w:szCs w:val="21"/>
        </w:rPr>
        <w:t>g）技术相关：从研究的企业工艺过程和材料得到数据。</w:t>
      </w:r>
    </w:p>
    <w:p>
      <w:pPr>
        <w:spacing w:line="360" w:lineRule="auto"/>
        <w:rPr>
          <w:rFonts w:ascii="黑体" w:eastAsia="黑体" w:hAnsiTheme="minorEastAsia"/>
          <w:color w:val="auto"/>
          <w:szCs w:val="21"/>
        </w:rPr>
      </w:pPr>
      <w:r>
        <w:rPr>
          <w:rFonts w:hint="eastAsia" w:ascii="黑体" w:eastAsia="黑体" w:hAnsiTheme="minorEastAsia"/>
          <w:color w:val="auto"/>
          <w:szCs w:val="21"/>
        </w:rPr>
        <w:t>5.3.6.2 数据质量评价体系</w:t>
      </w:r>
    </w:p>
    <w:p>
      <w:pPr>
        <w:ind w:firstLine="405"/>
        <w:rPr>
          <w:rFonts w:asciiTheme="minorEastAsia" w:hAnsiTheme="minorEastAsia"/>
          <w:color w:val="auto"/>
          <w:szCs w:val="21"/>
        </w:rPr>
      </w:pPr>
      <w:r>
        <w:rPr>
          <w:rFonts w:hint="eastAsia" w:asciiTheme="minorEastAsia" w:hAnsiTheme="minorEastAsia"/>
          <w:color w:val="auto"/>
          <w:szCs w:val="21"/>
        </w:rPr>
        <w:t>本文件采用数据质量评价体系对数据质量进行评价，见表1。</w:t>
      </w:r>
    </w:p>
    <w:p>
      <w:pPr>
        <w:jc w:val="center"/>
        <w:rPr>
          <w:rFonts w:ascii="黑体" w:eastAsia="黑体" w:hAnsiTheme="minorEastAsia"/>
          <w:color w:val="auto"/>
          <w:szCs w:val="21"/>
        </w:rPr>
      </w:pPr>
      <w:r>
        <w:rPr>
          <w:rFonts w:hint="eastAsia" w:ascii="黑体" w:eastAsia="黑体" w:hAnsiTheme="minorEastAsia"/>
          <w:color w:val="auto"/>
          <w:szCs w:val="21"/>
        </w:rPr>
        <w:t>表1   数据质量评价体系表</w:t>
      </w:r>
    </w:p>
    <w:tbl>
      <w:tblPr>
        <w:tblStyle w:val="13"/>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624"/>
        <w:gridCol w:w="651"/>
        <w:gridCol w:w="709"/>
        <w:gridCol w:w="709"/>
        <w:gridCol w:w="709"/>
        <w:gridCol w:w="708"/>
        <w:gridCol w:w="709"/>
        <w:gridCol w:w="992"/>
        <w:gridCol w:w="993"/>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2" w:type="dxa"/>
            <w:gridSpan w:val="3"/>
          </w:tcPr>
          <w:p>
            <w:pPr>
              <w:jc w:val="center"/>
              <w:rPr>
                <w:rFonts w:ascii="宋体" w:hAnsi="宋体" w:eastAsia="宋体"/>
                <w:color w:val="auto"/>
                <w:sz w:val="18"/>
                <w:szCs w:val="18"/>
              </w:rPr>
            </w:pPr>
            <w:r>
              <w:rPr>
                <w:rFonts w:hint="eastAsia" w:ascii="宋体" w:hAnsi="宋体" w:eastAsia="宋体"/>
                <w:color w:val="auto"/>
                <w:sz w:val="18"/>
                <w:szCs w:val="18"/>
              </w:rPr>
              <w:t>数据来源</w:t>
            </w:r>
          </w:p>
        </w:tc>
        <w:tc>
          <w:tcPr>
            <w:tcW w:w="3486" w:type="dxa"/>
            <w:gridSpan w:val="5"/>
          </w:tcPr>
          <w:p>
            <w:pPr>
              <w:jc w:val="center"/>
              <w:rPr>
                <w:rFonts w:ascii="宋体" w:hAnsi="宋体" w:eastAsia="宋体"/>
                <w:color w:val="auto"/>
                <w:sz w:val="18"/>
                <w:szCs w:val="18"/>
              </w:rPr>
            </w:pPr>
            <w:r>
              <w:rPr>
                <w:rFonts w:hint="eastAsia" w:ascii="宋体" w:hAnsi="宋体" w:eastAsia="宋体"/>
                <w:color w:val="auto"/>
                <w:sz w:val="18"/>
                <w:szCs w:val="18"/>
              </w:rPr>
              <w:t>数据类型</w:t>
            </w:r>
          </w:p>
        </w:tc>
        <w:tc>
          <w:tcPr>
            <w:tcW w:w="3402" w:type="dxa"/>
            <w:gridSpan w:val="4"/>
          </w:tcPr>
          <w:p>
            <w:pPr>
              <w:jc w:val="center"/>
              <w:rPr>
                <w:rFonts w:ascii="宋体" w:hAnsi="宋体" w:eastAsia="宋体"/>
                <w:color w:val="auto"/>
                <w:sz w:val="18"/>
                <w:szCs w:val="18"/>
              </w:rPr>
            </w:pPr>
            <w:r>
              <w:rPr>
                <w:rFonts w:hint="eastAsia" w:ascii="宋体" w:hAnsi="宋体" w:eastAsia="宋体"/>
                <w:color w:val="auto"/>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ascii="宋体" w:hAnsi="宋体" w:eastAsia="宋体"/>
                <w:color w:val="auto"/>
                <w:sz w:val="18"/>
                <w:szCs w:val="18"/>
              </w:rPr>
            </w:pPr>
            <w:r>
              <w:rPr>
                <w:rFonts w:hint="eastAsia" w:ascii="宋体" w:hAnsi="宋体" w:eastAsia="宋体"/>
                <w:color w:val="auto"/>
                <w:sz w:val="18"/>
                <w:szCs w:val="18"/>
              </w:rPr>
              <w:t>生产现场</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文件</w:t>
            </w:r>
          </w:p>
        </w:tc>
        <w:tc>
          <w:tcPr>
            <w:tcW w:w="624" w:type="dxa"/>
          </w:tcPr>
          <w:p>
            <w:pPr>
              <w:jc w:val="center"/>
              <w:rPr>
                <w:rFonts w:ascii="宋体" w:hAnsi="宋体" w:eastAsia="宋体"/>
                <w:color w:val="auto"/>
                <w:sz w:val="18"/>
                <w:szCs w:val="18"/>
              </w:rPr>
            </w:pPr>
            <w:r>
              <w:rPr>
                <w:rFonts w:hint="eastAsia" w:ascii="宋体" w:hAnsi="宋体" w:eastAsia="宋体"/>
                <w:color w:val="auto"/>
                <w:sz w:val="18"/>
                <w:szCs w:val="18"/>
              </w:rPr>
              <w:t>其他</w:t>
            </w:r>
          </w:p>
        </w:tc>
        <w:tc>
          <w:tcPr>
            <w:tcW w:w="651" w:type="dxa"/>
          </w:tcPr>
          <w:p>
            <w:pPr>
              <w:jc w:val="center"/>
              <w:rPr>
                <w:rFonts w:ascii="宋体" w:hAnsi="宋体" w:eastAsia="宋体"/>
                <w:color w:val="auto"/>
                <w:sz w:val="18"/>
                <w:szCs w:val="18"/>
              </w:rPr>
            </w:pPr>
            <w:r>
              <w:rPr>
                <w:rFonts w:hint="eastAsia" w:ascii="宋体" w:hAnsi="宋体" w:eastAsia="宋体"/>
                <w:color w:val="auto"/>
                <w:sz w:val="18"/>
                <w:szCs w:val="18"/>
              </w:rPr>
              <w:t>测量</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计算</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平均</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估算</w:t>
            </w:r>
          </w:p>
        </w:tc>
        <w:tc>
          <w:tcPr>
            <w:tcW w:w="708" w:type="dxa"/>
          </w:tcPr>
          <w:p>
            <w:pPr>
              <w:jc w:val="center"/>
              <w:rPr>
                <w:rFonts w:ascii="宋体" w:hAnsi="宋体" w:eastAsia="宋体"/>
                <w:color w:val="auto"/>
                <w:sz w:val="18"/>
                <w:szCs w:val="18"/>
              </w:rPr>
            </w:pPr>
            <w:r>
              <w:rPr>
                <w:rFonts w:hint="eastAsia" w:ascii="宋体" w:hAnsi="宋体" w:eastAsia="宋体"/>
                <w:color w:val="auto"/>
                <w:sz w:val="18"/>
                <w:szCs w:val="18"/>
              </w:rPr>
              <w:t>未知</w:t>
            </w:r>
          </w:p>
        </w:tc>
        <w:tc>
          <w:tcPr>
            <w:tcW w:w="709" w:type="dxa"/>
          </w:tcPr>
          <w:p>
            <w:pPr>
              <w:jc w:val="center"/>
              <w:rPr>
                <w:rFonts w:ascii="宋体" w:hAnsi="宋体" w:eastAsia="宋体"/>
                <w:color w:val="auto"/>
                <w:spacing w:val="-12"/>
                <w:sz w:val="18"/>
                <w:szCs w:val="18"/>
              </w:rPr>
            </w:pPr>
            <w:r>
              <w:rPr>
                <w:rFonts w:hint="eastAsia" w:ascii="宋体" w:hAnsi="宋体" w:eastAsia="宋体"/>
                <w:color w:val="auto"/>
                <w:spacing w:val="-12"/>
                <w:sz w:val="18"/>
                <w:szCs w:val="18"/>
              </w:rPr>
              <w:t>≤1年</w:t>
            </w:r>
          </w:p>
        </w:tc>
        <w:tc>
          <w:tcPr>
            <w:tcW w:w="992" w:type="dxa"/>
          </w:tcPr>
          <w:p>
            <w:pPr>
              <w:jc w:val="center"/>
              <w:rPr>
                <w:rFonts w:ascii="宋体" w:hAnsi="宋体" w:eastAsia="宋体"/>
                <w:color w:val="auto"/>
                <w:spacing w:val="-12"/>
                <w:sz w:val="18"/>
                <w:szCs w:val="18"/>
              </w:rPr>
            </w:pPr>
            <w:r>
              <w:rPr>
                <w:rFonts w:hint="eastAsia" w:ascii="宋体" w:hAnsi="宋体" w:eastAsia="宋体"/>
                <w:color w:val="auto"/>
                <w:spacing w:val="-10"/>
                <w:sz w:val="18"/>
                <w:szCs w:val="18"/>
              </w:rPr>
              <w:t>＞1</w:t>
            </w:r>
            <w:r>
              <w:rPr>
                <w:rFonts w:hint="eastAsia" w:ascii="宋体" w:hAnsi="宋体" w:eastAsia="宋体"/>
                <w:color w:val="auto"/>
                <w:spacing w:val="-12"/>
                <w:sz w:val="18"/>
                <w:szCs w:val="18"/>
              </w:rPr>
              <w:t>～5年</w:t>
            </w:r>
          </w:p>
        </w:tc>
        <w:tc>
          <w:tcPr>
            <w:tcW w:w="993" w:type="dxa"/>
          </w:tcPr>
          <w:p>
            <w:pPr>
              <w:jc w:val="center"/>
              <w:rPr>
                <w:rFonts w:ascii="宋体" w:hAnsi="宋体" w:eastAsia="宋体"/>
                <w:color w:val="auto"/>
                <w:spacing w:val="-12"/>
                <w:sz w:val="18"/>
                <w:szCs w:val="18"/>
              </w:rPr>
            </w:pPr>
            <w:r>
              <w:rPr>
                <w:rFonts w:hint="eastAsia" w:ascii="宋体" w:hAnsi="宋体" w:eastAsia="宋体"/>
                <w:color w:val="auto"/>
                <w:spacing w:val="-12"/>
                <w:sz w:val="18"/>
                <w:szCs w:val="18"/>
              </w:rPr>
              <w:t>＞5～10年</w:t>
            </w:r>
          </w:p>
        </w:tc>
        <w:tc>
          <w:tcPr>
            <w:tcW w:w="708" w:type="dxa"/>
          </w:tcPr>
          <w:p>
            <w:pPr>
              <w:jc w:val="center"/>
              <w:rPr>
                <w:rFonts w:ascii="宋体" w:hAnsi="宋体" w:eastAsia="宋体"/>
                <w:color w:val="auto"/>
                <w:spacing w:val="-12"/>
                <w:sz w:val="18"/>
                <w:szCs w:val="18"/>
              </w:rPr>
            </w:pPr>
            <w:r>
              <w:rPr>
                <w:rFonts w:hint="eastAsia" w:ascii="宋体" w:hAnsi="宋体" w:eastAsia="宋体"/>
                <w:color w:val="auto"/>
                <w:spacing w:val="-12"/>
                <w:sz w:val="18"/>
                <w:szCs w:val="18"/>
              </w:rPr>
              <w:t>＞10年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ascii="宋体" w:hAnsi="宋体" w:eastAsia="宋体"/>
                <w:color w:val="auto"/>
                <w:sz w:val="18"/>
                <w:szCs w:val="18"/>
              </w:rPr>
            </w:pPr>
            <w:r>
              <w:rPr>
                <w:rFonts w:hint="eastAsia" w:ascii="宋体" w:hAnsi="宋体" w:eastAsia="宋体"/>
                <w:color w:val="auto"/>
                <w:sz w:val="18"/>
                <w:szCs w:val="18"/>
              </w:rPr>
              <w:t>5</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3</w:t>
            </w:r>
          </w:p>
        </w:tc>
        <w:tc>
          <w:tcPr>
            <w:tcW w:w="624" w:type="dxa"/>
          </w:tcPr>
          <w:p>
            <w:pPr>
              <w:jc w:val="center"/>
              <w:rPr>
                <w:rFonts w:ascii="宋体" w:hAnsi="宋体" w:eastAsia="宋体"/>
                <w:color w:val="auto"/>
                <w:sz w:val="18"/>
                <w:szCs w:val="18"/>
              </w:rPr>
            </w:pPr>
            <w:r>
              <w:rPr>
                <w:rFonts w:hint="eastAsia" w:ascii="宋体" w:hAnsi="宋体" w:eastAsia="宋体"/>
                <w:color w:val="auto"/>
                <w:sz w:val="18"/>
                <w:szCs w:val="18"/>
              </w:rPr>
              <w:t>1</w:t>
            </w:r>
          </w:p>
        </w:tc>
        <w:tc>
          <w:tcPr>
            <w:tcW w:w="651" w:type="dxa"/>
          </w:tcPr>
          <w:p>
            <w:pPr>
              <w:jc w:val="center"/>
              <w:rPr>
                <w:rFonts w:ascii="宋体" w:hAnsi="宋体" w:eastAsia="宋体"/>
                <w:color w:val="auto"/>
                <w:sz w:val="18"/>
                <w:szCs w:val="18"/>
              </w:rPr>
            </w:pPr>
            <w:r>
              <w:rPr>
                <w:rFonts w:hint="eastAsia" w:ascii="宋体" w:hAnsi="宋体" w:eastAsia="宋体"/>
                <w:color w:val="auto"/>
                <w:sz w:val="18"/>
                <w:szCs w:val="18"/>
              </w:rPr>
              <w:t>5</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4</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3</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2</w:t>
            </w:r>
          </w:p>
        </w:tc>
        <w:tc>
          <w:tcPr>
            <w:tcW w:w="708" w:type="dxa"/>
          </w:tcPr>
          <w:p>
            <w:pPr>
              <w:jc w:val="center"/>
              <w:rPr>
                <w:rFonts w:ascii="宋体" w:hAnsi="宋体" w:eastAsia="宋体"/>
                <w:color w:val="auto"/>
                <w:sz w:val="18"/>
                <w:szCs w:val="18"/>
              </w:rPr>
            </w:pPr>
            <w:r>
              <w:rPr>
                <w:rFonts w:hint="eastAsia" w:ascii="宋体" w:hAnsi="宋体" w:eastAsia="宋体"/>
                <w:color w:val="auto"/>
                <w:sz w:val="18"/>
                <w:szCs w:val="18"/>
              </w:rPr>
              <w:t>1</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5</w:t>
            </w:r>
          </w:p>
        </w:tc>
        <w:tc>
          <w:tcPr>
            <w:tcW w:w="992" w:type="dxa"/>
          </w:tcPr>
          <w:p>
            <w:pPr>
              <w:jc w:val="center"/>
              <w:rPr>
                <w:rFonts w:ascii="宋体" w:hAnsi="宋体" w:eastAsia="宋体"/>
                <w:color w:val="auto"/>
                <w:sz w:val="18"/>
                <w:szCs w:val="18"/>
              </w:rPr>
            </w:pPr>
            <w:r>
              <w:rPr>
                <w:rFonts w:hint="eastAsia" w:ascii="宋体" w:hAnsi="宋体" w:eastAsia="宋体"/>
                <w:color w:val="auto"/>
                <w:sz w:val="18"/>
                <w:szCs w:val="18"/>
              </w:rPr>
              <w:t>4</w:t>
            </w:r>
          </w:p>
        </w:tc>
        <w:tc>
          <w:tcPr>
            <w:tcW w:w="993" w:type="dxa"/>
          </w:tcPr>
          <w:p>
            <w:pPr>
              <w:jc w:val="center"/>
              <w:rPr>
                <w:rFonts w:ascii="宋体" w:hAnsi="宋体" w:eastAsia="宋体"/>
                <w:color w:val="auto"/>
                <w:sz w:val="18"/>
                <w:szCs w:val="18"/>
              </w:rPr>
            </w:pPr>
            <w:r>
              <w:rPr>
                <w:rFonts w:hint="eastAsia" w:ascii="宋体" w:hAnsi="宋体" w:eastAsia="宋体"/>
                <w:color w:val="auto"/>
                <w:sz w:val="18"/>
                <w:szCs w:val="18"/>
              </w:rPr>
              <w:t>3</w:t>
            </w:r>
          </w:p>
        </w:tc>
        <w:tc>
          <w:tcPr>
            <w:tcW w:w="708" w:type="dxa"/>
          </w:tcPr>
          <w:p>
            <w:pPr>
              <w:jc w:val="center"/>
              <w:rPr>
                <w:rFonts w:ascii="宋体" w:hAnsi="宋体" w:eastAsia="宋体"/>
                <w:color w:val="auto"/>
                <w:sz w:val="18"/>
                <w:szCs w:val="18"/>
              </w:rPr>
            </w:pPr>
            <w:r>
              <w:rPr>
                <w:rFonts w:hint="eastAsia" w:ascii="宋体" w:hAnsi="宋体" w:eastAsia="宋体"/>
                <w:color w:val="auto"/>
                <w:sz w:val="18"/>
                <w:szCs w:val="18"/>
              </w:rPr>
              <w:t>1</w:t>
            </w:r>
          </w:p>
        </w:tc>
      </w:tr>
    </w:tbl>
    <w:p>
      <w:pPr>
        <w:spacing w:beforeLines="50"/>
        <w:rPr>
          <w:rFonts w:asciiTheme="minorEastAsia" w:hAnsiTheme="minorEastAsia"/>
          <w:color w:val="auto"/>
          <w:szCs w:val="21"/>
        </w:rPr>
      </w:pPr>
      <w:r>
        <w:rPr>
          <w:rFonts w:hint="eastAsia" w:ascii="宋体" w:hAnsi="宋体" w:eastAsia="宋体"/>
          <w:color w:val="auto"/>
          <w:szCs w:val="21"/>
        </w:rPr>
        <w:t xml:space="preserve">    该评价体系的数据评价指标为3个：来源、类型和时间，并用5级分制来定义数据质量。该方法以计算每个数据的得分来评价数据质量（最高15分），计算单元过程所有数据的平均得分来判断工序数据的评价质量，对于质量较差的数据应进行敏感性分析和不确定性分析，检查说明产品生命周期忽略的过程、现场数据及主要的假设等相关因素可能对最终结果造成的影响，说明背景数据选择、现场数据收集与处理是否符合本文件要求。</w:t>
      </w:r>
    </w:p>
    <w:p>
      <w:pPr>
        <w:spacing w:line="360" w:lineRule="auto"/>
        <w:rPr>
          <w:rFonts w:ascii="黑体" w:eastAsia="黑体" w:hAnsiTheme="minorEastAsia"/>
          <w:color w:val="auto"/>
          <w:szCs w:val="21"/>
        </w:rPr>
      </w:pPr>
      <w:r>
        <w:rPr>
          <w:rFonts w:hint="eastAsia" w:ascii="黑体" w:eastAsia="黑体" w:hAnsiTheme="minorEastAsia"/>
          <w:color w:val="auto"/>
          <w:szCs w:val="21"/>
        </w:rPr>
        <w:t>5.4 生命周期清单分析</w:t>
      </w:r>
    </w:p>
    <w:p>
      <w:pPr>
        <w:spacing w:line="360" w:lineRule="auto"/>
        <w:rPr>
          <w:rFonts w:ascii="黑体" w:eastAsia="黑体" w:hAnsiTheme="minorEastAsia"/>
          <w:color w:val="auto"/>
          <w:szCs w:val="21"/>
        </w:rPr>
      </w:pPr>
      <w:r>
        <w:rPr>
          <w:rFonts w:hint="eastAsia" w:ascii="黑体" w:eastAsia="黑体" w:hAnsiTheme="minorEastAsia"/>
          <w:color w:val="auto"/>
          <w:szCs w:val="21"/>
        </w:rPr>
        <w:t>5.4.1 数据收集</w:t>
      </w:r>
    </w:p>
    <w:p>
      <w:pPr>
        <w:spacing w:line="360" w:lineRule="auto"/>
        <w:rPr>
          <w:rFonts w:ascii="黑体" w:eastAsia="黑体" w:hAnsiTheme="minorEastAsia"/>
          <w:color w:val="auto"/>
          <w:szCs w:val="21"/>
        </w:rPr>
      </w:pPr>
      <w:r>
        <w:rPr>
          <w:rFonts w:hint="eastAsia" w:ascii="黑体" w:eastAsia="黑体" w:hAnsiTheme="minorEastAsia"/>
          <w:color w:val="auto"/>
          <w:szCs w:val="21"/>
        </w:rPr>
        <w:t>5.4.1.1数据收集范围</w:t>
      </w:r>
    </w:p>
    <w:p>
      <w:pPr>
        <w:ind w:firstLine="420" w:firstLineChars="200"/>
        <w:rPr>
          <w:rFonts w:asciiTheme="minorEastAsia" w:hAnsiTheme="minorEastAsia"/>
          <w:color w:val="auto"/>
          <w:szCs w:val="21"/>
        </w:rPr>
      </w:pPr>
      <w:r>
        <w:rPr>
          <w:rFonts w:hint="eastAsia" w:asciiTheme="minorEastAsia" w:hAnsiTheme="minorEastAsia"/>
          <w:color w:val="auto"/>
          <w:szCs w:val="21"/>
        </w:rPr>
        <w:t>数据收集范围涵盖铜及铜合金加工产品系统边界中的每一个单元过程，数据来源应注明出处，数据收集包括现场数据和背景数据的收集。</w:t>
      </w:r>
    </w:p>
    <w:p>
      <w:pPr>
        <w:spacing w:line="360" w:lineRule="auto"/>
        <w:rPr>
          <w:rFonts w:ascii="黑体" w:eastAsia="黑体" w:hAnsiTheme="minorEastAsia"/>
          <w:color w:val="auto"/>
          <w:szCs w:val="21"/>
        </w:rPr>
      </w:pPr>
      <w:r>
        <w:rPr>
          <w:rFonts w:hint="eastAsia" w:ascii="黑体" w:eastAsia="黑体" w:hAnsiTheme="minorEastAsia"/>
          <w:color w:val="auto"/>
          <w:szCs w:val="21"/>
        </w:rPr>
        <w:t>5.4.1.2数据收集步骤</w:t>
      </w:r>
    </w:p>
    <w:p>
      <w:pPr>
        <w:spacing w:line="360" w:lineRule="auto"/>
        <w:rPr>
          <w:rFonts w:ascii="黑体" w:eastAsia="黑体" w:hAnsiTheme="minorEastAsia"/>
          <w:color w:val="auto"/>
          <w:szCs w:val="21"/>
        </w:rPr>
      </w:pPr>
      <w:r>
        <w:rPr>
          <w:rFonts w:hint="eastAsia" w:ascii="黑体" w:eastAsia="黑体" w:hAnsiTheme="minorEastAsia"/>
          <w:color w:val="auto"/>
          <w:szCs w:val="21"/>
        </w:rPr>
        <w:t xml:space="preserve">    </w:t>
      </w:r>
      <w:r>
        <w:rPr>
          <w:rFonts w:hint="eastAsia" w:asciiTheme="minorEastAsia" w:hAnsiTheme="minorEastAsia"/>
          <w:color w:val="auto"/>
          <w:szCs w:val="21"/>
        </w:rPr>
        <w:t>数据收集程序主要步骤包括：</w:t>
      </w:r>
    </w:p>
    <w:p>
      <w:pPr>
        <w:ind w:firstLine="420" w:firstLineChars="200"/>
        <w:rPr>
          <w:rFonts w:asciiTheme="minorEastAsia" w:hAnsiTheme="minorEastAsia"/>
          <w:color w:val="auto"/>
          <w:szCs w:val="21"/>
        </w:rPr>
      </w:pPr>
      <w:r>
        <w:rPr>
          <w:rFonts w:hint="eastAsia" w:asciiTheme="minorEastAsia" w:hAnsiTheme="minorEastAsia"/>
          <w:color w:val="auto"/>
          <w:szCs w:val="21"/>
        </w:rPr>
        <w:t>a）根据评价的目的与范围确定的单元过程，进行数据收集的准备，包括：</w:t>
      </w:r>
    </w:p>
    <w:p>
      <w:pPr>
        <w:ind w:firstLine="420" w:firstLineChars="200"/>
        <w:rPr>
          <w:rFonts w:asciiTheme="minorEastAsia" w:hAnsiTheme="minorEastAsia"/>
          <w:color w:val="auto"/>
          <w:szCs w:val="21"/>
        </w:rPr>
      </w:pPr>
      <w:r>
        <w:rPr>
          <w:rFonts w:hint="eastAsia" w:asciiTheme="minorEastAsia" w:hAnsiTheme="minorEastAsia"/>
          <w:color w:val="auto"/>
          <w:szCs w:val="21"/>
        </w:rPr>
        <w:t xml:space="preserve">    1）绘制单元过程的输入输出流程图；</w:t>
      </w:r>
    </w:p>
    <w:p>
      <w:pPr>
        <w:ind w:left="1155" w:leftChars="200" w:hanging="735" w:hangingChars="350"/>
        <w:rPr>
          <w:rFonts w:asciiTheme="minorEastAsia" w:hAnsiTheme="minorEastAsia"/>
          <w:color w:val="auto"/>
          <w:szCs w:val="21"/>
        </w:rPr>
      </w:pPr>
      <w:r>
        <w:rPr>
          <w:rFonts w:hint="eastAsia" w:asciiTheme="minorEastAsia" w:hAnsiTheme="minorEastAsia"/>
          <w:color w:val="auto"/>
          <w:szCs w:val="21"/>
        </w:rPr>
        <w:t xml:space="preserve">    2）设计统计单元过程的实物流输入、输出的数据收集表，以及背景数据收集表，如附录A中表A.1～A.5所示；</w:t>
      </w:r>
    </w:p>
    <w:p>
      <w:pPr>
        <w:ind w:left="1155" w:leftChars="200" w:hanging="735" w:hangingChars="350"/>
        <w:rPr>
          <w:rFonts w:asciiTheme="minorEastAsia" w:hAnsiTheme="minorEastAsia"/>
          <w:color w:val="auto"/>
          <w:szCs w:val="21"/>
        </w:rPr>
      </w:pPr>
      <w:r>
        <w:rPr>
          <w:rFonts w:hint="eastAsia" w:asciiTheme="minorEastAsia" w:hAnsiTheme="minorEastAsia"/>
          <w:color w:val="auto"/>
          <w:szCs w:val="21"/>
        </w:rPr>
        <w:t xml:space="preserve">    3）对数据收集技术、要求作出概述；</w:t>
      </w:r>
    </w:p>
    <w:p>
      <w:pPr>
        <w:ind w:left="525" w:leftChars="250"/>
        <w:rPr>
          <w:rFonts w:asciiTheme="minorEastAsia" w:hAnsiTheme="minorEastAsia"/>
          <w:color w:val="auto"/>
          <w:szCs w:val="21"/>
        </w:rPr>
      </w:pPr>
      <w:r>
        <w:rPr>
          <w:rFonts w:hint="eastAsia" w:asciiTheme="minorEastAsia" w:hAnsiTheme="minorEastAsia"/>
          <w:color w:val="auto"/>
          <w:szCs w:val="21"/>
        </w:rPr>
        <w:t xml:space="preserve">   4）对报送数据的特殊情况、异常点和其他问题进行明确说明。</w:t>
      </w:r>
    </w:p>
    <w:p>
      <w:pPr>
        <w:ind w:left="525" w:leftChars="250"/>
        <w:rPr>
          <w:rFonts w:asciiTheme="minorEastAsia" w:hAnsiTheme="minorEastAsia"/>
          <w:color w:val="auto"/>
          <w:szCs w:val="21"/>
        </w:rPr>
      </w:pPr>
      <w:r>
        <w:rPr>
          <w:rFonts w:hint="eastAsia" w:asciiTheme="minorEastAsia" w:hAnsiTheme="minorEastAsia"/>
          <w:color w:val="auto"/>
          <w:szCs w:val="21"/>
        </w:rPr>
        <w:t>b）根据数据收集准备的要求，由生产部门的</w:t>
      </w:r>
      <w:r>
        <w:rPr>
          <w:rFonts w:hint="eastAsia" w:asciiTheme="minorEastAsia" w:hAnsiTheme="minorEastAsia"/>
          <w:color w:val="auto"/>
          <w:szCs w:val="21"/>
        </w:rPr>
        <w:t>相关</w:t>
      </w:r>
      <w:r>
        <w:rPr>
          <w:rFonts w:hint="eastAsia" w:asciiTheme="minorEastAsia" w:hAnsiTheme="minorEastAsia"/>
          <w:color w:val="auto"/>
          <w:szCs w:val="21"/>
        </w:rPr>
        <w:t>人员完成数据收集工作。</w:t>
      </w:r>
    </w:p>
    <w:p>
      <w:pPr>
        <w:ind w:left="525" w:leftChars="250"/>
        <w:rPr>
          <w:rFonts w:asciiTheme="minorEastAsia" w:hAnsiTheme="minorEastAsia"/>
          <w:color w:val="auto"/>
          <w:szCs w:val="21"/>
        </w:rPr>
      </w:pPr>
      <w:r>
        <w:rPr>
          <w:rFonts w:hint="eastAsia" w:asciiTheme="minorEastAsia" w:hAnsiTheme="minorEastAsia"/>
          <w:color w:val="auto"/>
          <w:szCs w:val="21"/>
        </w:rPr>
        <w:t>c）数据审定：收集的单元过程数据需要经过确认程序。数据审定原则如下：</w:t>
      </w:r>
    </w:p>
    <w:p>
      <w:pPr>
        <w:ind w:left="1155" w:leftChars="250" w:hanging="630" w:hangingChars="300"/>
        <w:rPr>
          <w:rFonts w:asciiTheme="minorEastAsia" w:hAnsiTheme="minorEastAsia"/>
          <w:color w:val="auto"/>
          <w:szCs w:val="21"/>
        </w:rPr>
      </w:pPr>
      <w:r>
        <w:rPr>
          <w:rFonts w:hint="eastAsia" w:asciiTheme="minorEastAsia" w:hAnsiTheme="minorEastAsia"/>
          <w:color w:val="auto"/>
          <w:szCs w:val="21"/>
        </w:rPr>
        <w:t xml:space="preserve">   1）金属平衡：主要指的是铜的平衡，即是判定单元过程输入的含铜料以及回用的含铜残余金属与输出的产品以及残余物中的铜含量是否平衡；</w:t>
      </w:r>
    </w:p>
    <w:p>
      <w:pPr>
        <w:ind w:left="1155" w:leftChars="250" w:hanging="630" w:hangingChars="300"/>
        <w:rPr>
          <w:rFonts w:asciiTheme="minorEastAsia" w:hAnsiTheme="minorEastAsia"/>
          <w:color w:val="auto"/>
          <w:szCs w:val="21"/>
        </w:rPr>
      </w:pPr>
      <w:r>
        <w:rPr>
          <w:rFonts w:hint="eastAsia" w:asciiTheme="minorEastAsia" w:hAnsiTheme="minorEastAsia"/>
          <w:color w:val="auto"/>
          <w:szCs w:val="21"/>
        </w:rPr>
        <w:t xml:space="preserve">   2）碳平衡：指判断输入的能源、辅料、主原料等的含碳量与输出的CO</w:t>
      </w:r>
      <w:r>
        <w:rPr>
          <w:rFonts w:hint="eastAsia" w:asciiTheme="minorEastAsia" w:hAnsiTheme="minorEastAsia"/>
          <w:color w:val="auto"/>
          <w:szCs w:val="21"/>
          <w:vertAlign w:val="subscript"/>
        </w:rPr>
        <w:t>2</w:t>
      </w:r>
      <w:r>
        <w:rPr>
          <w:rFonts w:hint="eastAsia" w:asciiTheme="minorEastAsia" w:hAnsiTheme="minorEastAsia"/>
          <w:color w:val="auto"/>
          <w:szCs w:val="21"/>
        </w:rPr>
        <w:t>、产品、固体废弃物等含碳量是否平衡；</w:t>
      </w:r>
    </w:p>
    <w:p>
      <w:pPr>
        <w:ind w:left="1155" w:leftChars="250" w:hanging="630" w:hangingChars="300"/>
        <w:rPr>
          <w:rFonts w:asciiTheme="minorEastAsia" w:hAnsiTheme="minorEastAsia"/>
          <w:color w:val="auto"/>
          <w:szCs w:val="21"/>
        </w:rPr>
      </w:pPr>
      <w:r>
        <w:rPr>
          <w:rFonts w:hint="eastAsia" w:asciiTheme="minorEastAsia" w:hAnsiTheme="minorEastAsia"/>
          <w:color w:val="auto"/>
          <w:szCs w:val="21"/>
        </w:rPr>
        <w:t xml:space="preserve">   3）工序能耗：计算工序使用的能源与历史数据的平衡情况；</w:t>
      </w:r>
    </w:p>
    <w:p>
      <w:pPr>
        <w:ind w:left="1155" w:leftChars="250" w:hanging="630" w:hangingChars="300"/>
        <w:rPr>
          <w:rFonts w:asciiTheme="minorEastAsia" w:hAnsiTheme="minorEastAsia"/>
          <w:color w:val="auto"/>
          <w:szCs w:val="21"/>
        </w:rPr>
      </w:pPr>
      <w:r>
        <w:rPr>
          <w:rFonts w:hint="eastAsia" w:asciiTheme="minorEastAsia" w:hAnsiTheme="minorEastAsia"/>
          <w:color w:val="auto"/>
          <w:szCs w:val="21"/>
        </w:rPr>
        <w:t xml:space="preserve">   4）水平衡：单元过程输入的水量与消耗水量及输出废水量是否平衡（适当考虑蒸发量等因素）。不平衡率绝对值应低于10%。</w:t>
      </w:r>
    </w:p>
    <w:p>
      <w:pPr>
        <w:ind w:left="1155" w:leftChars="550"/>
        <w:rPr>
          <w:rFonts w:asciiTheme="minorEastAsia" w:hAnsiTheme="minorEastAsia"/>
          <w:color w:val="auto"/>
          <w:szCs w:val="21"/>
        </w:rPr>
      </w:pPr>
      <w:r>
        <w:rPr>
          <w:rFonts w:hint="eastAsia" w:asciiTheme="minorEastAsia" w:hAnsiTheme="minorEastAsia"/>
          <w:color w:val="auto"/>
          <w:szCs w:val="21"/>
        </w:rPr>
        <w:t>其中：平衡率=1-</w:t>
      </w:r>
      <m:oMath>
        <m:f>
          <m:fPr>
            <m:ctrlPr>
              <w:rPr>
                <w:rFonts w:ascii="Cambria Math" w:hAnsi="Cambria Math"/>
                <w:color w:val="auto"/>
                <w:szCs w:val="21"/>
              </w:rPr>
            </m:ctrlPr>
          </m:fPr>
          <m:num>
            <m:r>
              <m:rPr>
                <m:sty m:val="p"/>
              </m:rPr>
              <w:rPr>
                <w:rFonts w:ascii="Cambria Math" w:hAnsi="Cambria Math"/>
                <w:color w:val="auto"/>
                <w:szCs w:val="21"/>
              </w:rPr>
              <m:t>输出量</m:t>
            </m:r>
            <m:ctrlPr>
              <w:rPr>
                <w:rFonts w:ascii="Cambria Math" w:hAnsi="Cambria Math"/>
                <w:color w:val="auto"/>
                <w:szCs w:val="21"/>
              </w:rPr>
            </m:ctrlPr>
          </m:num>
          <m:den>
            <m:r>
              <m:rPr>
                <m:sty m:val="p"/>
              </m:rPr>
              <w:rPr>
                <w:rFonts w:ascii="Cambria Math" w:hAnsi="Cambria Math"/>
                <w:color w:val="auto"/>
                <w:szCs w:val="21"/>
              </w:rPr>
              <m:t>输入量</m:t>
            </m:r>
            <m:ctrlPr>
              <w:rPr>
                <w:rFonts w:ascii="Cambria Math" w:hAnsi="Cambria Math"/>
                <w:color w:val="auto"/>
                <w:szCs w:val="21"/>
              </w:rPr>
            </m:ctrlPr>
          </m:den>
        </m:f>
      </m:oMath>
    </w:p>
    <w:p>
      <w:pPr>
        <w:ind w:left="1155" w:leftChars="250" w:hanging="630" w:hangingChars="300"/>
        <w:rPr>
          <w:rFonts w:asciiTheme="minorEastAsia" w:hAnsiTheme="minorEastAsia"/>
          <w:color w:val="auto"/>
          <w:szCs w:val="21"/>
        </w:rPr>
      </w:pPr>
      <w:r>
        <w:rPr>
          <w:rFonts w:hint="eastAsia" w:asciiTheme="minorEastAsia" w:hAnsiTheme="minorEastAsia"/>
          <w:color w:val="auto"/>
          <w:szCs w:val="21"/>
        </w:rPr>
        <w:t>d）数据与功能单位的关联，即将收集的实物流的输入输出处理为功能单位的输入输出。</w:t>
      </w:r>
    </w:p>
    <w:p>
      <w:pPr>
        <w:spacing w:line="360" w:lineRule="auto"/>
        <w:rPr>
          <w:rFonts w:ascii="黑体" w:eastAsia="黑体" w:hAnsiTheme="minorEastAsia"/>
          <w:color w:val="auto"/>
          <w:szCs w:val="21"/>
        </w:rPr>
      </w:pPr>
      <w:r>
        <w:rPr>
          <w:rFonts w:hint="eastAsia" w:ascii="黑体" w:eastAsia="黑体" w:hAnsiTheme="minorEastAsia"/>
          <w:color w:val="auto"/>
          <w:szCs w:val="21"/>
        </w:rPr>
        <w:t>5.4.2生命周期清单因子</w:t>
      </w:r>
    </w:p>
    <w:p>
      <w:pPr>
        <w:ind w:firstLine="420" w:firstLineChars="200"/>
        <w:rPr>
          <w:rFonts w:asciiTheme="minorEastAsia" w:hAnsiTheme="minorEastAsia"/>
          <w:color w:val="auto"/>
          <w:szCs w:val="21"/>
        </w:rPr>
      </w:pPr>
      <w:r>
        <w:rPr>
          <w:rFonts w:hint="eastAsia" w:asciiTheme="minorEastAsia" w:hAnsiTheme="minorEastAsia"/>
          <w:color w:val="auto"/>
          <w:szCs w:val="21"/>
        </w:rPr>
        <w:t>铜及铜合金加工企业常见的生命周期清单因子见表2。因监测条件的限制，缺失的数据应予以明确说明。</w:t>
      </w:r>
    </w:p>
    <w:p>
      <w:pPr>
        <w:jc w:val="center"/>
        <w:rPr>
          <w:rFonts w:ascii="黑体" w:eastAsia="黑体" w:hAnsiTheme="minorEastAsia"/>
          <w:color w:val="auto"/>
          <w:szCs w:val="21"/>
        </w:rPr>
      </w:pPr>
      <w:r>
        <w:rPr>
          <w:rFonts w:hint="eastAsia" w:ascii="黑体" w:eastAsia="黑体" w:hAnsiTheme="minorEastAsia"/>
          <w:color w:val="auto"/>
          <w:szCs w:val="21"/>
        </w:rPr>
        <w:t>表2  铜及铜合金加工产品生命周期清单因子</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73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color w:val="auto"/>
                <w:sz w:val="18"/>
                <w:szCs w:val="18"/>
              </w:rPr>
            </w:pPr>
            <w:r>
              <w:rPr>
                <w:rFonts w:hint="eastAsia" w:asciiTheme="minorEastAsia" w:hAnsiTheme="minorEastAsia"/>
                <w:color w:val="auto"/>
                <w:sz w:val="18"/>
                <w:szCs w:val="18"/>
              </w:rPr>
              <w:t>类别</w:t>
            </w:r>
          </w:p>
        </w:tc>
        <w:tc>
          <w:tcPr>
            <w:tcW w:w="7365" w:type="dxa"/>
          </w:tcPr>
          <w:p>
            <w:pPr>
              <w:jc w:val="center"/>
              <w:rPr>
                <w:rFonts w:asciiTheme="minorEastAsia" w:hAnsiTheme="minorEastAsia"/>
                <w:color w:val="auto"/>
                <w:sz w:val="18"/>
                <w:szCs w:val="18"/>
              </w:rPr>
            </w:pPr>
            <w:r>
              <w:rPr>
                <w:rFonts w:hint="eastAsia" w:asciiTheme="minorEastAsia" w:hAnsiTheme="minorEastAsia"/>
                <w:color w:val="auto"/>
                <w:sz w:val="18"/>
                <w:szCs w:val="18"/>
              </w:rPr>
              <w:t>主要</w:t>
            </w:r>
            <w:r>
              <w:rPr>
                <w:rFonts w:hint="eastAsia" w:asciiTheme="minorEastAsia" w:hAnsiTheme="minorEastAsia"/>
                <w:color w:val="auto"/>
                <w:sz w:val="18"/>
                <w:szCs w:val="18"/>
              </w:rPr>
              <w:t>清单因子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color w:val="auto"/>
                <w:sz w:val="18"/>
                <w:szCs w:val="18"/>
              </w:rPr>
            </w:pPr>
            <w:r>
              <w:rPr>
                <w:rFonts w:hint="eastAsia" w:asciiTheme="minorEastAsia" w:hAnsiTheme="minorEastAsia"/>
                <w:color w:val="auto"/>
                <w:sz w:val="18"/>
                <w:szCs w:val="18"/>
              </w:rPr>
              <w:t>资源消耗</w:t>
            </w:r>
          </w:p>
        </w:tc>
        <w:tc>
          <w:tcPr>
            <w:tcW w:w="7365" w:type="dxa"/>
          </w:tcPr>
          <w:p>
            <w:pPr>
              <w:jc w:val="left"/>
              <w:rPr>
                <w:rFonts w:asciiTheme="minorEastAsia" w:hAnsiTheme="minorEastAsia"/>
                <w:color w:val="auto"/>
                <w:sz w:val="18"/>
                <w:szCs w:val="18"/>
              </w:rPr>
            </w:pPr>
            <w:r>
              <w:rPr>
                <w:rFonts w:hint="eastAsia" w:asciiTheme="minorEastAsia" w:hAnsiTheme="minorEastAsia"/>
                <w:color w:val="auto"/>
                <w:sz w:val="18"/>
                <w:szCs w:val="18"/>
              </w:rPr>
              <w:t>原料（铜、锌、镍等金属物料）；辅料（木炭、氮气、氢气、润滑剂等）；水</w:t>
            </w:r>
            <w:r>
              <w:rPr>
                <w:rFonts w:hint="eastAsia" w:asciiTheme="minorEastAsia" w:hAnsiTheme="minorEastAsia"/>
                <w:color w:val="auto"/>
                <w:sz w:val="18"/>
                <w:szCs w:val="18"/>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color w:val="auto"/>
                <w:sz w:val="18"/>
                <w:szCs w:val="18"/>
              </w:rPr>
            </w:pPr>
            <w:r>
              <w:rPr>
                <w:rFonts w:hint="eastAsia" w:asciiTheme="minorEastAsia" w:hAnsiTheme="minorEastAsia"/>
                <w:color w:val="auto"/>
                <w:sz w:val="18"/>
                <w:szCs w:val="18"/>
              </w:rPr>
              <w:t>能源消耗</w:t>
            </w:r>
          </w:p>
        </w:tc>
        <w:tc>
          <w:tcPr>
            <w:tcW w:w="7365" w:type="dxa"/>
          </w:tcPr>
          <w:p>
            <w:pPr>
              <w:jc w:val="left"/>
              <w:rPr>
                <w:rFonts w:asciiTheme="minorEastAsia" w:hAnsiTheme="minorEastAsia"/>
                <w:color w:val="auto"/>
                <w:sz w:val="18"/>
                <w:szCs w:val="18"/>
              </w:rPr>
            </w:pPr>
            <w:r>
              <w:rPr>
                <w:rFonts w:hint="eastAsia" w:asciiTheme="minorEastAsia" w:hAnsiTheme="minorEastAsia"/>
                <w:color w:val="auto"/>
                <w:sz w:val="18"/>
                <w:szCs w:val="18"/>
              </w:rPr>
              <w:t>总一次能源（天然气、煤气、油等）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09"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大气排放</w:t>
            </w:r>
          </w:p>
        </w:tc>
        <w:tc>
          <w:tcPr>
            <w:tcW w:w="7365" w:type="dxa"/>
          </w:tcPr>
          <w:p>
            <w:pPr>
              <w:jc w:val="left"/>
              <w:rPr>
                <w:rFonts w:asciiTheme="minorEastAsia" w:hAnsiTheme="minorEastAsia"/>
                <w:color w:val="auto"/>
                <w:sz w:val="18"/>
                <w:szCs w:val="18"/>
              </w:rPr>
            </w:pPr>
            <w:r>
              <w:rPr>
                <w:rFonts w:hint="eastAsia" w:asciiTheme="minorEastAsia" w:hAnsiTheme="minorEastAsia"/>
                <w:color w:val="auto"/>
                <w:sz w:val="18"/>
                <w:szCs w:val="18"/>
              </w:rPr>
              <w:t>颗粒物；二氧化硫；氮氧化物；</w:t>
            </w:r>
            <w:r>
              <w:rPr>
                <w:rFonts w:hint="eastAsia" w:ascii="宋体" w:hAnsi="宋体" w:eastAsia="宋体"/>
                <w:color w:val="auto"/>
                <w:sz w:val="18"/>
                <w:szCs w:val="18"/>
              </w:rPr>
              <w:t>硫酸雾、非甲烷总烃</w:t>
            </w:r>
            <w:r>
              <w:rPr>
                <w:rFonts w:hint="eastAsia" w:ascii="宋体" w:hAnsi="宋体" w:eastAsia="宋体"/>
                <w:color w:val="auto"/>
                <w:sz w:val="18"/>
                <w:szCs w:val="18"/>
              </w:rPr>
              <w:t>、</w:t>
            </w:r>
            <w:r>
              <w:rPr>
                <w:rFonts w:hint="eastAsia" w:asciiTheme="minorEastAsia" w:hAnsiTheme="minorEastAsia"/>
                <w:color w:val="auto"/>
                <w:sz w:val="18"/>
                <w:szCs w:val="18"/>
              </w:rPr>
              <w:t>二氧化碳；甲烷</w:t>
            </w:r>
            <w:r>
              <w:rPr>
                <w:rFonts w:hint="eastAsia" w:asciiTheme="minorEastAsia" w:hAnsiTheme="minorEastAsia"/>
                <w:color w:val="auto"/>
                <w:sz w:val="18"/>
                <w:szCs w:val="18"/>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水体排放</w:t>
            </w:r>
          </w:p>
        </w:tc>
        <w:tc>
          <w:tcPr>
            <w:tcW w:w="7365" w:type="dxa"/>
          </w:tcPr>
          <w:p>
            <w:pPr>
              <w:jc w:val="left"/>
              <w:rPr>
                <w:rFonts w:asciiTheme="minorEastAsia" w:hAnsiTheme="minorEastAsia"/>
                <w:color w:val="auto"/>
                <w:sz w:val="18"/>
                <w:szCs w:val="18"/>
              </w:rPr>
            </w:pPr>
            <w:r>
              <w:rPr>
                <w:rFonts w:hint="eastAsia" w:asciiTheme="minorEastAsia" w:hAnsiTheme="minorEastAsia"/>
                <w:color w:val="auto"/>
                <w:sz w:val="18"/>
                <w:szCs w:val="18"/>
              </w:rPr>
              <w:t>悬浮物；化学需氧量；氨氮；</w:t>
            </w:r>
            <w:r>
              <w:rPr>
                <w:rFonts w:hint="eastAsia" w:asciiTheme="minorEastAsia" w:hAnsiTheme="minorEastAsia"/>
                <w:color w:val="auto"/>
                <w:sz w:val="18"/>
                <w:szCs w:val="18"/>
              </w:rPr>
              <w:t>总铜；</w:t>
            </w:r>
            <w:r>
              <w:rPr>
                <w:rFonts w:hint="eastAsia" w:asciiTheme="minorEastAsia" w:hAnsiTheme="minorEastAsia"/>
                <w:color w:val="auto"/>
                <w:sz w:val="18"/>
                <w:szCs w:val="18"/>
              </w:rPr>
              <w:t>总磷；</w:t>
            </w:r>
            <w:r>
              <w:rPr>
                <w:rFonts w:hint="eastAsia" w:asciiTheme="minorEastAsia" w:hAnsiTheme="minorEastAsia"/>
                <w:color w:val="auto"/>
                <w:sz w:val="18"/>
                <w:szCs w:val="18"/>
              </w:rPr>
              <w:t>总铝</w:t>
            </w:r>
            <w:r>
              <w:rPr>
                <w:rFonts w:hint="eastAsia" w:asciiTheme="minorEastAsia" w:hAnsiTheme="minorEastAsia"/>
                <w:color w:val="auto"/>
                <w:sz w:val="18"/>
                <w:szCs w:val="18"/>
              </w:rPr>
              <w:t>；总铅；总镉；总锌</w:t>
            </w:r>
            <w:r>
              <w:rPr>
                <w:rFonts w:hint="eastAsia" w:asciiTheme="minorEastAsia" w:hAnsiTheme="minorEastAsia"/>
                <w:color w:val="auto"/>
                <w:sz w:val="18"/>
                <w:szCs w:val="18"/>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固体废弃物</w:t>
            </w:r>
          </w:p>
        </w:tc>
        <w:tc>
          <w:tcPr>
            <w:tcW w:w="7365" w:type="dxa"/>
          </w:tcPr>
          <w:p>
            <w:pPr>
              <w:jc w:val="left"/>
              <w:rPr>
                <w:rFonts w:asciiTheme="minorEastAsia" w:hAnsiTheme="minorEastAsia"/>
                <w:color w:val="auto"/>
                <w:sz w:val="18"/>
                <w:szCs w:val="18"/>
              </w:rPr>
            </w:pPr>
            <w:r>
              <w:rPr>
                <w:rFonts w:hint="eastAsia" w:asciiTheme="minorEastAsia" w:hAnsiTheme="minorEastAsia"/>
                <w:color w:val="auto"/>
                <w:sz w:val="18"/>
                <w:szCs w:val="18"/>
              </w:rPr>
              <w:t>不可利用的渣</w:t>
            </w:r>
            <w:r>
              <w:rPr>
                <w:rFonts w:hint="eastAsia" w:asciiTheme="minorEastAsia" w:hAnsiTheme="minorEastAsia"/>
                <w:color w:val="auto"/>
                <w:sz w:val="18"/>
                <w:szCs w:val="18"/>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危险废弃物</w:t>
            </w:r>
          </w:p>
        </w:tc>
        <w:tc>
          <w:tcPr>
            <w:tcW w:w="7365" w:type="dxa"/>
          </w:tcPr>
          <w:p>
            <w:pPr>
              <w:jc w:val="left"/>
              <w:rPr>
                <w:rFonts w:asciiTheme="minorEastAsia" w:hAnsiTheme="minorEastAsia"/>
                <w:color w:val="auto"/>
                <w:sz w:val="18"/>
                <w:szCs w:val="18"/>
              </w:rPr>
            </w:pPr>
            <w:r>
              <w:rPr>
                <w:rFonts w:hint="eastAsia" w:asciiTheme="minorEastAsia" w:hAnsiTheme="minorEastAsia"/>
                <w:color w:val="auto"/>
                <w:sz w:val="18"/>
                <w:szCs w:val="18"/>
              </w:rPr>
              <w:t>废润滑剂；废酸；废碱；</w:t>
            </w:r>
            <w:r>
              <w:rPr>
                <w:rFonts w:hint="eastAsia" w:asciiTheme="minorEastAsia" w:hAnsiTheme="minorEastAsia"/>
                <w:color w:val="auto"/>
                <w:sz w:val="18"/>
                <w:szCs w:val="18"/>
              </w:rPr>
              <w:t>废油</w:t>
            </w:r>
            <w:r>
              <w:rPr>
                <w:rFonts w:hint="eastAsia" w:asciiTheme="minorEastAsia" w:hAnsiTheme="minorEastAsia"/>
                <w:color w:val="auto"/>
                <w:sz w:val="18"/>
                <w:szCs w:val="18"/>
              </w:rPr>
              <w:t>泥</w:t>
            </w:r>
            <w:r>
              <w:rPr>
                <w:rFonts w:hint="eastAsia" w:asciiTheme="minorEastAsia" w:hAnsiTheme="minorEastAsia"/>
                <w:color w:val="auto"/>
                <w:sz w:val="18"/>
                <w:szCs w:val="18"/>
              </w:rPr>
              <w:t>等</w:t>
            </w:r>
          </w:p>
        </w:tc>
      </w:tr>
    </w:tbl>
    <w:p>
      <w:pPr>
        <w:spacing w:beforeLines="50" w:line="360" w:lineRule="auto"/>
        <w:rPr>
          <w:rFonts w:ascii="黑体" w:eastAsia="黑体" w:hAnsiTheme="minorEastAsia"/>
          <w:color w:val="auto"/>
          <w:szCs w:val="21"/>
        </w:rPr>
      </w:pPr>
      <w:r>
        <w:rPr>
          <w:rFonts w:hint="eastAsia" w:ascii="黑体" w:eastAsia="黑体" w:hAnsiTheme="minorEastAsia"/>
          <w:color w:val="auto"/>
          <w:szCs w:val="21"/>
        </w:rPr>
        <w:t>5.4.3 计算程序</w:t>
      </w:r>
    </w:p>
    <w:p>
      <w:pPr>
        <w:spacing w:line="360" w:lineRule="auto"/>
        <w:rPr>
          <w:rFonts w:ascii="黑体" w:eastAsia="黑体" w:hAnsiTheme="minorEastAsia"/>
          <w:color w:val="auto"/>
          <w:szCs w:val="21"/>
        </w:rPr>
      </w:pPr>
      <w:r>
        <w:rPr>
          <w:rFonts w:hint="eastAsia" w:ascii="黑体" w:eastAsia="黑体" w:hAnsiTheme="minorEastAsia"/>
          <w:color w:val="auto"/>
          <w:szCs w:val="21"/>
        </w:rPr>
        <w:t>5.4.3.1 数据确认</w:t>
      </w:r>
    </w:p>
    <w:p>
      <w:pPr>
        <w:ind w:firstLine="420" w:firstLineChars="200"/>
        <w:rPr>
          <w:rFonts w:asciiTheme="minorEastAsia" w:hAnsiTheme="minorEastAsia"/>
          <w:color w:val="auto"/>
          <w:szCs w:val="21"/>
        </w:rPr>
      </w:pPr>
      <w:r>
        <w:rPr>
          <w:rFonts w:hint="eastAsia" w:asciiTheme="minorEastAsia" w:hAnsiTheme="minorEastAsia"/>
          <w:color w:val="auto"/>
          <w:szCs w:val="21"/>
        </w:rPr>
        <w:t>在数据收集过程中，应检查数据的有效性。在数据确认过程中发现明显不合理的数据，应分析原因，予以替换，替换的数据应满足数据质量要求。</w:t>
      </w:r>
    </w:p>
    <w:p>
      <w:pPr>
        <w:ind w:firstLine="420" w:firstLineChars="200"/>
        <w:rPr>
          <w:rFonts w:asciiTheme="minorEastAsia" w:hAnsiTheme="minorEastAsia"/>
          <w:color w:val="auto"/>
          <w:szCs w:val="21"/>
        </w:rPr>
      </w:pPr>
      <w:r>
        <w:rPr>
          <w:rFonts w:hint="eastAsia" w:asciiTheme="minorEastAsia" w:hAnsiTheme="minorEastAsia"/>
          <w:color w:val="auto"/>
          <w:szCs w:val="21"/>
        </w:rPr>
        <w:t>对每种数据类型的数据如发现缺失，对缺失的数据要进行断档处理，代之以合理的“非零”数据、合理的“零”数据或采用同类计数单元过程报送的数据计算出来的数值。</w:t>
      </w:r>
    </w:p>
    <w:p>
      <w:pPr>
        <w:spacing w:line="360" w:lineRule="auto"/>
        <w:rPr>
          <w:rFonts w:ascii="黑体" w:eastAsia="黑体" w:hAnsiTheme="minorEastAsia"/>
          <w:color w:val="auto"/>
          <w:szCs w:val="21"/>
        </w:rPr>
      </w:pPr>
      <w:r>
        <w:rPr>
          <w:rFonts w:hint="eastAsia" w:ascii="黑体" w:eastAsia="黑体" w:hAnsiTheme="minorEastAsia"/>
          <w:color w:val="auto"/>
          <w:szCs w:val="21"/>
        </w:rPr>
        <w:t>5.4.3.2数据与单元过程的关联</w:t>
      </w:r>
    </w:p>
    <w:p>
      <w:pPr>
        <w:rPr>
          <w:rFonts w:asciiTheme="minorEastAsia" w:hAnsiTheme="minorEastAsia"/>
          <w:color w:val="auto"/>
          <w:szCs w:val="21"/>
        </w:rPr>
      </w:pPr>
      <w:r>
        <w:rPr>
          <w:rFonts w:hint="eastAsia" w:asciiTheme="minorEastAsia" w:hAnsiTheme="minorEastAsia"/>
          <w:color w:val="auto"/>
          <w:szCs w:val="21"/>
        </w:rPr>
        <w:t xml:space="preserve">    生产工序有多种产品，对一个单元过程确定适宜的基准流，如1吨产品，并计算单元过程的定量输入和输出数据。铜及铜合金加工生产存在一个工序有多个产品，单元过程数据需要进行分配，分配方法见5.4.4。</w:t>
      </w:r>
    </w:p>
    <w:p>
      <w:pPr>
        <w:spacing w:line="360" w:lineRule="auto"/>
        <w:rPr>
          <w:rFonts w:ascii="黑体" w:eastAsia="黑体" w:hAnsiTheme="minorEastAsia"/>
          <w:color w:val="auto"/>
          <w:szCs w:val="21"/>
        </w:rPr>
      </w:pPr>
      <w:r>
        <w:rPr>
          <w:rFonts w:hint="eastAsia" w:ascii="黑体" w:eastAsia="黑体" w:hAnsiTheme="minorEastAsia"/>
          <w:color w:val="auto"/>
          <w:szCs w:val="21"/>
        </w:rPr>
        <w:t>5.4.3.3 数据与功能单位的关联</w:t>
      </w:r>
    </w:p>
    <w:p>
      <w:pPr>
        <w:rPr>
          <w:rFonts w:asciiTheme="minorEastAsia" w:hAnsiTheme="minorEastAsia"/>
          <w:color w:val="auto"/>
          <w:szCs w:val="21"/>
        </w:rPr>
      </w:pPr>
      <w:r>
        <w:rPr>
          <w:rFonts w:hint="eastAsia" w:asciiTheme="minorEastAsia" w:hAnsiTheme="minorEastAsia"/>
          <w:color w:val="auto"/>
          <w:szCs w:val="21"/>
        </w:rPr>
        <w:t xml:space="preserve">    数据与功能单位的关联的计算方法是将各个工序或单元过程的输入输出数据除以产品的产量，即得到单位产品（功能单位）的原辅材料消耗、能源消耗和环境排放。</w:t>
      </w:r>
    </w:p>
    <w:p>
      <w:pPr>
        <w:spacing w:line="360" w:lineRule="auto"/>
        <w:rPr>
          <w:rFonts w:ascii="黑体" w:eastAsia="黑体" w:hAnsiTheme="minorEastAsia"/>
          <w:color w:val="auto"/>
          <w:szCs w:val="21"/>
        </w:rPr>
      </w:pPr>
      <w:r>
        <w:rPr>
          <w:rFonts w:hint="eastAsia" w:ascii="黑体" w:eastAsia="黑体" w:hAnsiTheme="minorEastAsia"/>
          <w:color w:val="auto"/>
          <w:szCs w:val="21"/>
        </w:rPr>
        <w:t>5.4.3.4 数据合并</w:t>
      </w:r>
    </w:p>
    <w:p>
      <w:pPr>
        <w:ind w:firstLine="420"/>
        <w:rPr>
          <w:rFonts w:asciiTheme="minorEastAsia" w:hAnsiTheme="minorEastAsia"/>
          <w:color w:val="auto"/>
          <w:szCs w:val="21"/>
        </w:rPr>
      </w:pPr>
      <w:r>
        <w:rPr>
          <w:rFonts w:hint="eastAsia" w:asciiTheme="minorEastAsia" w:hAnsiTheme="minorEastAsia"/>
          <w:color w:val="auto"/>
          <w:szCs w:val="21"/>
        </w:rPr>
        <w:t>仅当数据类型是设计等价物质并具有类似的环境影响时才允许进行数据合并。同一工序的不同生产设备，若生产技术水平相当，输入输出种类基本相同，则可数据合并，如冷轧工序有2台轧机水平相当，可进行数据合并。</w:t>
      </w:r>
    </w:p>
    <w:p>
      <w:pPr>
        <w:spacing w:line="360" w:lineRule="auto"/>
        <w:rPr>
          <w:rFonts w:ascii="黑体" w:eastAsia="黑体" w:hAnsiTheme="minorEastAsia"/>
          <w:color w:val="auto"/>
          <w:szCs w:val="21"/>
        </w:rPr>
      </w:pPr>
      <w:r>
        <w:rPr>
          <w:rFonts w:hint="eastAsia" w:ascii="黑体" w:eastAsia="黑体" w:hAnsiTheme="minorEastAsia"/>
          <w:color w:val="auto"/>
          <w:szCs w:val="21"/>
        </w:rPr>
        <w:t>5.4.4 数据分配</w:t>
      </w:r>
    </w:p>
    <w:p>
      <w:pPr>
        <w:spacing w:line="360" w:lineRule="auto"/>
        <w:rPr>
          <w:rFonts w:ascii="黑体" w:eastAsia="黑体" w:hAnsiTheme="minorEastAsia"/>
          <w:color w:val="auto"/>
          <w:szCs w:val="21"/>
        </w:rPr>
      </w:pPr>
      <w:r>
        <w:rPr>
          <w:rFonts w:hint="eastAsia" w:ascii="黑体" w:eastAsia="黑体" w:hAnsiTheme="minorEastAsia"/>
          <w:color w:val="auto"/>
          <w:szCs w:val="21"/>
        </w:rPr>
        <w:t>5.4.4.1 分配原则</w:t>
      </w:r>
    </w:p>
    <w:p>
      <w:pPr>
        <w:ind w:firstLine="420"/>
        <w:jc w:val="left"/>
        <w:rPr>
          <w:rFonts w:asciiTheme="minorEastAsia" w:hAnsiTheme="minorEastAsia"/>
          <w:color w:val="auto"/>
          <w:szCs w:val="21"/>
        </w:rPr>
      </w:pPr>
      <w:r>
        <w:rPr>
          <w:rFonts w:hint="eastAsia" w:asciiTheme="minorEastAsia" w:hAnsiTheme="minorEastAsia"/>
          <w:color w:val="auto"/>
          <w:szCs w:val="21"/>
        </w:rPr>
        <w:t>铜及铜合金加工产品生产工序中存在一个单元过程同时产出两种或多种产品，投入的原材料和能源又没有分开的情况（如熔铸工序同时产出铜锭、铜渣等）。也会在输入渠道有多重，输出只有一种的情况（如废水处理工序的废水来源渠道多种多样）。在这些情况下，不能直接得到清单计算所需的数据，应根据一定的关系对这些过程的数据进行分配。清单是建立在输入输出的物质平衡的基础上，分配关系需要反映出这种输入与输出的基本关系与特性。分配的主要原则如下：</w:t>
      </w:r>
    </w:p>
    <w:p>
      <w:pPr>
        <w:pStyle w:val="28"/>
        <w:numPr>
          <w:ilvl w:val="0"/>
          <w:numId w:val="4"/>
        </w:numPr>
        <w:ind w:firstLineChars="0"/>
        <w:jc w:val="left"/>
        <w:rPr>
          <w:rFonts w:asciiTheme="minorEastAsia" w:hAnsiTheme="minorEastAsia"/>
          <w:color w:val="auto"/>
          <w:szCs w:val="21"/>
        </w:rPr>
      </w:pPr>
      <w:r>
        <w:rPr>
          <w:rFonts w:hint="eastAsia" w:asciiTheme="minorEastAsia" w:hAnsiTheme="minorEastAsia"/>
          <w:color w:val="auto"/>
          <w:szCs w:val="21"/>
        </w:rPr>
        <w:t>应识别与其他产品系统公用的过程，并按分配程序加以处理。</w:t>
      </w:r>
    </w:p>
    <w:p>
      <w:pPr>
        <w:pStyle w:val="28"/>
        <w:numPr>
          <w:ilvl w:val="0"/>
          <w:numId w:val="4"/>
        </w:numPr>
        <w:ind w:firstLineChars="0"/>
        <w:jc w:val="left"/>
        <w:rPr>
          <w:rFonts w:asciiTheme="minorEastAsia" w:hAnsiTheme="minorEastAsia"/>
          <w:color w:val="auto"/>
          <w:szCs w:val="21"/>
        </w:rPr>
      </w:pPr>
      <w:r>
        <w:rPr>
          <w:rFonts w:hint="eastAsia" w:asciiTheme="minorEastAsia" w:hAnsiTheme="minorEastAsia"/>
          <w:color w:val="auto"/>
          <w:szCs w:val="21"/>
        </w:rPr>
        <w:t>单位过程中分配前与分配后的输入与输出的总和应相等。</w:t>
      </w:r>
    </w:p>
    <w:p>
      <w:pPr>
        <w:pStyle w:val="28"/>
        <w:numPr>
          <w:ilvl w:val="0"/>
          <w:numId w:val="4"/>
        </w:numPr>
        <w:ind w:firstLineChars="0"/>
        <w:jc w:val="left"/>
        <w:rPr>
          <w:rFonts w:asciiTheme="minorEastAsia" w:hAnsiTheme="minorEastAsia"/>
          <w:color w:val="auto"/>
          <w:szCs w:val="21"/>
        </w:rPr>
      </w:pPr>
      <w:r>
        <w:rPr>
          <w:rFonts w:hint="eastAsia" w:asciiTheme="minorEastAsia" w:hAnsiTheme="minorEastAsia"/>
          <w:color w:val="auto"/>
          <w:szCs w:val="21"/>
        </w:rPr>
        <w:t>如果存在若干个可采用的分配程序，应进行敏感性分析，以说明采用其他方法与所选用方法在结果上的差别。</w:t>
      </w:r>
    </w:p>
    <w:p>
      <w:pPr>
        <w:spacing w:line="360" w:lineRule="auto"/>
        <w:jc w:val="left"/>
        <w:rPr>
          <w:rFonts w:ascii="黑体" w:eastAsia="黑体" w:hAnsiTheme="minorEastAsia"/>
          <w:color w:val="auto"/>
          <w:szCs w:val="21"/>
        </w:rPr>
      </w:pPr>
      <w:r>
        <w:rPr>
          <w:rFonts w:hint="eastAsia" w:ascii="黑体" w:eastAsia="黑体" w:hAnsiTheme="minorEastAsia"/>
          <w:color w:val="auto"/>
          <w:szCs w:val="21"/>
        </w:rPr>
        <w:t>5.4.4.2分配程序</w:t>
      </w:r>
    </w:p>
    <w:p>
      <w:pPr>
        <w:ind w:firstLine="420" w:firstLineChars="200"/>
        <w:jc w:val="left"/>
        <w:rPr>
          <w:rFonts w:asciiTheme="minorEastAsia" w:hAnsiTheme="minorEastAsia"/>
          <w:color w:val="auto"/>
          <w:szCs w:val="21"/>
        </w:rPr>
      </w:pPr>
      <w:r>
        <w:rPr>
          <w:rFonts w:hint="eastAsia" w:asciiTheme="minorEastAsia" w:hAnsiTheme="minorEastAsia"/>
          <w:color w:val="auto"/>
          <w:szCs w:val="21"/>
        </w:rPr>
        <w:t xml:space="preserve"> 处理分配问题一般按以下程序进行：</w:t>
      </w:r>
    </w:p>
    <w:p>
      <w:pPr>
        <w:ind w:firstLine="420" w:firstLineChars="200"/>
        <w:jc w:val="left"/>
        <w:rPr>
          <w:rFonts w:asciiTheme="minorEastAsia" w:hAnsiTheme="minorEastAsia"/>
          <w:color w:val="auto"/>
          <w:szCs w:val="21"/>
        </w:rPr>
      </w:pPr>
      <w:r>
        <w:rPr>
          <w:rFonts w:hint="eastAsia" w:asciiTheme="minorEastAsia" w:hAnsiTheme="minorEastAsia"/>
          <w:color w:val="auto"/>
          <w:szCs w:val="21"/>
        </w:rPr>
        <w:t>a）尽量避免或减少出现分配。如：</w:t>
      </w:r>
    </w:p>
    <w:p>
      <w:pPr>
        <w:ind w:left="1029" w:leftChars="190" w:hanging="630" w:hangingChars="300"/>
        <w:jc w:val="left"/>
        <w:rPr>
          <w:rFonts w:asciiTheme="minorEastAsia" w:hAnsiTheme="minorEastAsia"/>
          <w:color w:val="auto"/>
          <w:szCs w:val="21"/>
        </w:rPr>
      </w:pPr>
      <w:r>
        <w:rPr>
          <w:rFonts w:hint="eastAsia" w:asciiTheme="minorEastAsia" w:hAnsiTheme="minorEastAsia"/>
          <w:color w:val="auto"/>
          <w:szCs w:val="21"/>
        </w:rPr>
        <w:t xml:space="preserve">   1）将原来收集数据划分的单元过程在进一步分解，以便将那些与系统功能无关的单元排除在外；</w:t>
      </w:r>
    </w:p>
    <w:p>
      <w:pPr>
        <w:ind w:firstLine="420"/>
        <w:jc w:val="left"/>
        <w:rPr>
          <w:rFonts w:asciiTheme="minorEastAsia" w:hAnsiTheme="minorEastAsia"/>
          <w:color w:val="auto"/>
          <w:szCs w:val="21"/>
        </w:rPr>
      </w:pPr>
      <w:r>
        <w:rPr>
          <w:rFonts w:hint="eastAsia" w:asciiTheme="minorEastAsia" w:hAnsiTheme="minorEastAsia"/>
          <w:color w:val="auto"/>
          <w:szCs w:val="21"/>
        </w:rPr>
        <w:t xml:space="preserve">   2）扩展产品系统边界，把原来排除在系统之外的一些单元包括进来。</w:t>
      </w:r>
    </w:p>
    <w:p>
      <w:pPr>
        <w:ind w:firstLine="420"/>
        <w:jc w:val="left"/>
        <w:rPr>
          <w:rFonts w:asciiTheme="minorEastAsia" w:hAnsiTheme="minorEastAsia"/>
          <w:color w:val="auto"/>
          <w:szCs w:val="21"/>
        </w:rPr>
      </w:pPr>
      <w:r>
        <w:rPr>
          <w:rFonts w:hint="eastAsia" w:asciiTheme="minorEastAsia" w:hAnsiTheme="minorEastAsia"/>
          <w:color w:val="auto"/>
          <w:szCs w:val="21"/>
        </w:rPr>
        <w:t>b) 使用能反映其物理关系的方式来进行分配。如产品的质量、数量、体积、热值等比例关系。</w:t>
      </w:r>
    </w:p>
    <w:p>
      <w:pPr>
        <w:ind w:left="735" w:leftChars="200" w:hanging="315" w:hangingChars="150"/>
        <w:jc w:val="left"/>
        <w:rPr>
          <w:rFonts w:asciiTheme="minorEastAsia" w:hAnsiTheme="minorEastAsia"/>
          <w:color w:val="auto"/>
          <w:szCs w:val="21"/>
        </w:rPr>
      </w:pPr>
      <w:r>
        <w:rPr>
          <w:rFonts w:hint="eastAsia" w:asciiTheme="minorEastAsia" w:hAnsiTheme="minorEastAsia"/>
          <w:color w:val="auto"/>
          <w:szCs w:val="21"/>
        </w:rPr>
        <w:t>c）当物理关系不能确定或不能用作分配依据时，用其经济关系来进行分配，如产品产值或利润比例关系。</w:t>
      </w:r>
    </w:p>
    <w:p>
      <w:pPr>
        <w:spacing w:line="360" w:lineRule="auto"/>
        <w:jc w:val="left"/>
        <w:rPr>
          <w:rFonts w:asciiTheme="minorEastAsia" w:hAnsiTheme="minorEastAsia"/>
          <w:color w:val="auto"/>
          <w:szCs w:val="21"/>
        </w:rPr>
      </w:pPr>
      <w:r>
        <w:rPr>
          <w:rFonts w:hint="eastAsia" w:ascii="黑体" w:eastAsia="黑体" w:hAnsiTheme="minorEastAsia"/>
          <w:color w:val="auto"/>
          <w:szCs w:val="21"/>
        </w:rPr>
        <w:t>5.4.4.3铜及铜合金加工生产系统中的分配</w:t>
      </w:r>
    </w:p>
    <w:p>
      <w:pPr>
        <w:spacing w:line="360" w:lineRule="auto"/>
        <w:jc w:val="left"/>
        <w:rPr>
          <w:rFonts w:asciiTheme="minorEastAsia" w:hAnsiTheme="minorEastAsia"/>
          <w:color w:val="auto"/>
          <w:szCs w:val="21"/>
        </w:rPr>
      </w:pPr>
      <w:r>
        <w:rPr>
          <w:rFonts w:hint="eastAsia" w:ascii="黑体" w:eastAsia="黑体" w:hAnsiTheme="minorEastAsia"/>
          <w:color w:val="auto"/>
          <w:szCs w:val="21"/>
        </w:rPr>
        <w:t>5.4.4.3.1类似功能系统</w:t>
      </w:r>
    </w:p>
    <w:p>
      <w:pPr>
        <w:ind w:firstLine="405"/>
        <w:jc w:val="left"/>
        <w:rPr>
          <w:rFonts w:asciiTheme="minorEastAsia" w:hAnsiTheme="minorEastAsia"/>
          <w:color w:val="auto"/>
          <w:szCs w:val="21"/>
        </w:rPr>
      </w:pPr>
      <w:r>
        <w:rPr>
          <w:rFonts w:hint="eastAsia" w:asciiTheme="minorEastAsia" w:hAnsiTheme="minorEastAsia"/>
          <w:color w:val="auto"/>
          <w:szCs w:val="21"/>
        </w:rPr>
        <w:t>产品的功能相近的单元过程（类似功能系统），产品单元的输入和输出按照产品的质量、能量或其他当量关系分摊给不同的产品。在铜及铜合金加工生产系统中，类似功能系统通常包括：</w:t>
      </w:r>
    </w:p>
    <w:p>
      <w:pPr>
        <w:pStyle w:val="28"/>
        <w:numPr>
          <w:ilvl w:val="0"/>
          <w:numId w:val="5"/>
        </w:numPr>
        <w:ind w:firstLineChars="0"/>
        <w:jc w:val="left"/>
        <w:rPr>
          <w:rFonts w:asciiTheme="minorEastAsia" w:hAnsiTheme="minorEastAsia"/>
          <w:color w:val="auto"/>
          <w:szCs w:val="21"/>
        </w:rPr>
      </w:pPr>
      <w:r>
        <w:rPr>
          <w:rFonts w:hint="eastAsia" w:asciiTheme="minorEastAsia" w:hAnsiTheme="minorEastAsia"/>
          <w:color w:val="auto"/>
          <w:szCs w:val="21"/>
        </w:rPr>
        <w:t>制水系统的产品有工业水、过滤水、软水和纯水；</w:t>
      </w:r>
    </w:p>
    <w:p>
      <w:pPr>
        <w:pStyle w:val="28"/>
        <w:numPr>
          <w:ilvl w:val="0"/>
          <w:numId w:val="5"/>
        </w:numPr>
        <w:ind w:firstLineChars="0"/>
        <w:jc w:val="left"/>
        <w:rPr>
          <w:rFonts w:asciiTheme="minorEastAsia" w:hAnsiTheme="minorEastAsia"/>
          <w:color w:val="auto"/>
          <w:szCs w:val="21"/>
        </w:rPr>
      </w:pPr>
      <w:r>
        <w:rPr>
          <w:rFonts w:hint="eastAsia" w:asciiTheme="minorEastAsia" w:hAnsiTheme="minorEastAsia"/>
          <w:color w:val="auto"/>
          <w:szCs w:val="21"/>
        </w:rPr>
        <w:t>制氮系统的产品有氮气、氢气和氧气；</w:t>
      </w:r>
    </w:p>
    <w:p>
      <w:pPr>
        <w:pStyle w:val="28"/>
        <w:numPr>
          <w:ilvl w:val="0"/>
          <w:numId w:val="5"/>
        </w:numPr>
        <w:ind w:firstLineChars="0"/>
        <w:jc w:val="left"/>
        <w:rPr>
          <w:rFonts w:asciiTheme="minorEastAsia" w:hAnsiTheme="minorEastAsia"/>
          <w:color w:val="auto"/>
          <w:szCs w:val="21"/>
        </w:rPr>
      </w:pPr>
      <w:r>
        <w:rPr>
          <w:rFonts w:hint="eastAsia" w:asciiTheme="minorEastAsia" w:hAnsiTheme="minorEastAsia"/>
          <w:color w:val="auto"/>
          <w:szCs w:val="21"/>
        </w:rPr>
        <w:t>熔铸工序的产品有连铸坯和铸锭。</w:t>
      </w:r>
    </w:p>
    <w:p>
      <w:pPr>
        <w:spacing w:line="360" w:lineRule="auto"/>
        <w:jc w:val="left"/>
        <w:rPr>
          <w:rFonts w:asciiTheme="minorEastAsia" w:hAnsiTheme="minorEastAsia"/>
          <w:color w:val="auto"/>
          <w:szCs w:val="21"/>
        </w:rPr>
      </w:pPr>
      <w:r>
        <w:rPr>
          <w:rFonts w:hint="eastAsia" w:ascii="黑体" w:eastAsia="黑体" w:hAnsiTheme="minorEastAsia"/>
          <w:color w:val="auto"/>
          <w:szCs w:val="21"/>
        </w:rPr>
        <w:t>5.4.4.3.2多功能系统</w:t>
      </w:r>
    </w:p>
    <w:p>
      <w:pPr>
        <w:ind w:firstLine="420"/>
        <w:jc w:val="left"/>
        <w:rPr>
          <w:rFonts w:asciiTheme="minorEastAsia" w:hAnsiTheme="minorEastAsia"/>
          <w:color w:val="auto"/>
          <w:szCs w:val="21"/>
        </w:rPr>
      </w:pPr>
      <w:r>
        <w:rPr>
          <w:rFonts w:hint="eastAsia" w:asciiTheme="minorEastAsia" w:hAnsiTheme="minorEastAsia"/>
          <w:color w:val="auto"/>
          <w:szCs w:val="21"/>
        </w:rPr>
        <w:t>单元过程的产品功能差距较大的系统称为多功能系统，如熔炼炉熔化铜工序，该工序主要消耗铜原料、天然气、其他金属等，产出有铜水、铜渣、金属粉等，是典型的多功能系统。多功能系统的数据分配比较复杂，需按副产品的实际用途，扩展产品系统边界，把原来排除在系统之外的一些单元包括进来。</w:t>
      </w:r>
    </w:p>
    <w:p>
      <w:pPr>
        <w:spacing w:line="360" w:lineRule="auto"/>
        <w:rPr>
          <w:rFonts w:ascii="黑体" w:eastAsia="黑体" w:hAnsiTheme="minorEastAsia"/>
          <w:color w:val="auto"/>
          <w:szCs w:val="21"/>
          <w:highlight w:val="none"/>
        </w:rPr>
      </w:pPr>
      <w:r>
        <w:rPr>
          <w:rFonts w:hint="eastAsia" w:ascii="黑体" w:eastAsia="黑体" w:hAnsiTheme="minorEastAsia"/>
          <w:color w:val="auto"/>
          <w:szCs w:val="21"/>
          <w:highlight w:val="none"/>
        </w:rPr>
        <w:t>5.4.5 循环再利用环境收益计算</w:t>
      </w:r>
    </w:p>
    <w:p>
      <w:pPr>
        <w:ind w:firstLine="420" w:firstLineChars="200"/>
        <w:rPr>
          <w:rFonts w:asciiTheme="minorEastAsia" w:hAnsiTheme="minorEastAsia"/>
          <w:color w:val="auto"/>
          <w:szCs w:val="21"/>
        </w:rPr>
      </w:pPr>
      <w:r>
        <w:rPr>
          <w:rFonts w:hint="eastAsia" w:asciiTheme="minorEastAsia" w:hAnsiTheme="minorEastAsia"/>
          <w:color w:val="auto"/>
          <w:szCs w:val="21"/>
        </w:rPr>
        <w:t>在原辅材料输入中，考虑废铜原料</w:t>
      </w:r>
      <w:r>
        <w:rPr>
          <w:rFonts w:hint="eastAsia" w:asciiTheme="minorEastAsia" w:hAnsiTheme="minorEastAsia"/>
          <w:color w:val="auto"/>
          <w:szCs w:val="21"/>
        </w:rPr>
        <w:t>循环利用后的生命周期清单按式（</w:t>
      </w:r>
      <w:r>
        <w:rPr>
          <w:rFonts w:hint="eastAsia" w:asciiTheme="minorEastAsia" w:hAnsiTheme="minorEastAsia"/>
          <w:color w:val="auto"/>
          <w:szCs w:val="21"/>
          <w:lang w:val="en-US" w:eastAsia="zh-CN"/>
        </w:rPr>
        <w:t>1</w:t>
      </w:r>
      <w:r>
        <w:rPr>
          <w:rFonts w:hint="eastAsia" w:asciiTheme="minorEastAsia" w:hAnsiTheme="minorEastAsia"/>
          <w:color w:val="auto"/>
          <w:szCs w:val="21"/>
        </w:rPr>
        <w:t>）计算：</w:t>
      </w:r>
    </w:p>
    <w:p>
      <w:pPr>
        <w:ind w:firstLine="420"/>
        <w:jc w:val="right"/>
        <w:rPr>
          <w:rFonts w:asciiTheme="minorEastAsia" w:hAnsiTheme="minorEastAsia"/>
          <w:color w:val="auto"/>
          <w:szCs w:val="21"/>
        </w:rPr>
      </w:pPr>
      <w:r>
        <w:rPr>
          <w:rFonts w:hint="eastAsia" w:asciiTheme="minorEastAsia" w:hAnsiTheme="minorEastAsia"/>
          <w:i/>
          <w:color w:val="auto"/>
          <w:szCs w:val="21"/>
        </w:rPr>
        <w:t>LCI</w:t>
      </w:r>
      <w:r>
        <w:rPr>
          <w:rFonts w:hint="eastAsia" w:asciiTheme="minorEastAsia" w:hAnsiTheme="minorEastAsia"/>
          <w:color w:val="auto"/>
          <w:szCs w:val="21"/>
          <w:vertAlign w:val="subscript"/>
        </w:rPr>
        <w:t>includingEOL</w:t>
      </w:r>
      <w:r>
        <w:rPr>
          <w:rFonts w:hint="eastAsia" w:asciiTheme="minorEastAsia" w:hAnsiTheme="minorEastAsia"/>
          <w:color w:val="auto"/>
          <w:szCs w:val="21"/>
        </w:rPr>
        <w:t>=</w:t>
      </w:r>
      <w:r>
        <w:rPr>
          <w:rFonts w:hint="eastAsia" w:asciiTheme="minorEastAsia" w:hAnsiTheme="minorEastAsia"/>
          <w:i/>
          <w:color w:val="auto"/>
          <w:szCs w:val="21"/>
        </w:rPr>
        <w:t>X-（RR-S）（X</w:t>
      </w:r>
      <w:r>
        <w:rPr>
          <w:rFonts w:hint="eastAsia" w:asciiTheme="minorEastAsia" w:hAnsiTheme="minorEastAsia"/>
          <w:color w:val="auto"/>
          <w:szCs w:val="21"/>
          <w:vertAlign w:val="subscript"/>
        </w:rPr>
        <w:t>pr</w:t>
      </w:r>
      <w:r>
        <w:rPr>
          <w:rFonts w:hint="eastAsia" w:asciiTheme="minorEastAsia" w:hAnsiTheme="minorEastAsia"/>
          <w:i/>
          <w:color w:val="auto"/>
          <w:szCs w:val="21"/>
        </w:rPr>
        <w:t>-X</w:t>
      </w:r>
      <w:r>
        <w:rPr>
          <w:rFonts w:hint="eastAsia" w:asciiTheme="minorEastAsia" w:hAnsiTheme="minorEastAsia"/>
          <w:color w:val="auto"/>
          <w:szCs w:val="21"/>
          <w:vertAlign w:val="subscript"/>
        </w:rPr>
        <w:t>re</w:t>
      </w:r>
      <w:r>
        <w:rPr>
          <w:rFonts w:hint="eastAsia" w:asciiTheme="minorEastAsia" w:hAnsiTheme="minorEastAsia"/>
          <w:i/>
          <w:color w:val="auto"/>
          <w:szCs w:val="21"/>
        </w:rPr>
        <w:t xml:space="preserve">）·Y </w:t>
      </w:r>
      <w:r>
        <w:rPr>
          <w:rFonts w:hint="eastAsia" w:asciiTheme="minorEastAsia" w:hAnsiTheme="minorEastAsia"/>
          <w:color w:val="auto"/>
          <w:szCs w:val="21"/>
        </w:rPr>
        <w:t xml:space="preserve">  </w:t>
      </w:r>
      <w:r>
        <w:rPr>
          <w:rFonts w:asciiTheme="minorEastAsia" w:hAnsiTheme="minorEastAsia"/>
          <w:color w:val="auto"/>
          <w:szCs w:val="21"/>
        </w:rPr>
        <w:t>…………………………</w:t>
      </w:r>
      <w:r>
        <w:rPr>
          <w:rFonts w:hint="eastAsia" w:asciiTheme="minorEastAsia" w:hAnsiTheme="minorEastAsia"/>
          <w:color w:val="auto"/>
          <w:szCs w:val="21"/>
        </w:rPr>
        <w:t>（</w:t>
      </w:r>
      <w:r>
        <w:rPr>
          <w:rFonts w:hint="eastAsia" w:asciiTheme="minorEastAsia" w:hAnsiTheme="minorEastAsia"/>
          <w:color w:val="auto"/>
          <w:szCs w:val="21"/>
          <w:lang w:val="en-US" w:eastAsia="zh-CN"/>
        </w:rPr>
        <w:t>1</w:t>
      </w:r>
      <w:r>
        <w:rPr>
          <w:rFonts w:hint="eastAsia" w:asciiTheme="minorEastAsia" w:hAnsiTheme="minorEastAsia"/>
          <w:color w:val="auto"/>
          <w:szCs w:val="21"/>
        </w:rPr>
        <w:t>）</w:t>
      </w:r>
    </w:p>
    <w:p>
      <w:pPr>
        <w:ind w:firstLine="420"/>
        <w:jc w:val="left"/>
        <w:rPr>
          <w:rFonts w:asciiTheme="minorEastAsia" w:hAnsiTheme="minorEastAsia"/>
          <w:color w:val="auto"/>
          <w:szCs w:val="21"/>
        </w:rPr>
      </w:pPr>
      <w:r>
        <w:rPr>
          <w:rFonts w:hint="eastAsia" w:asciiTheme="minorEastAsia" w:hAnsiTheme="minorEastAsia"/>
          <w:color w:val="auto"/>
          <w:szCs w:val="21"/>
        </w:rPr>
        <w:t>式中：</w:t>
      </w:r>
    </w:p>
    <w:p>
      <w:pPr>
        <w:ind w:firstLine="420"/>
        <w:jc w:val="left"/>
        <w:rPr>
          <w:rFonts w:asciiTheme="minorEastAsia" w:hAnsiTheme="minorEastAsia"/>
          <w:color w:val="auto"/>
          <w:szCs w:val="21"/>
        </w:rPr>
      </w:pPr>
      <w:r>
        <w:rPr>
          <w:rFonts w:hint="eastAsia" w:asciiTheme="minorEastAsia" w:hAnsiTheme="minorEastAsia"/>
          <w:i/>
          <w:color w:val="auto"/>
          <w:szCs w:val="21"/>
        </w:rPr>
        <w:t xml:space="preserve">X   </w:t>
      </w:r>
      <w:r>
        <w:rPr>
          <w:rFonts w:hint="eastAsia" w:asciiTheme="minorEastAsia" w:hAnsiTheme="minorEastAsia"/>
          <w:color w:val="auto"/>
          <w:szCs w:val="21"/>
        </w:rPr>
        <w:t>——未考虑废铜循环的清单结果；</w:t>
      </w:r>
    </w:p>
    <w:p>
      <w:pPr>
        <w:ind w:firstLine="420"/>
        <w:jc w:val="left"/>
        <w:rPr>
          <w:rFonts w:asciiTheme="minorEastAsia" w:hAnsiTheme="minorEastAsia"/>
          <w:color w:val="auto"/>
          <w:szCs w:val="21"/>
        </w:rPr>
      </w:pPr>
      <w:r>
        <w:rPr>
          <w:rFonts w:hint="eastAsia" w:asciiTheme="minorEastAsia" w:hAnsiTheme="minorEastAsia"/>
          <w:i/>
          <w:color w:val="auto"/>
          <w:szCs w:val="21"/>
        </w:rPr>
        <w:t>X</w:t>
      </w:r>
      <w:r>
        <w:rPr>
          <w:rFonts w:hint="eastAsia" w:asciiTheme="minorEastAsia" w:hAnsiTheme="minorEastAsia"/>
          <w:color w:val="auto"/>
          <w:szCs w:val="21"/>
          <w:vertAlign w:val="subscript"/>
        </w:rPr>
        <w:t>pr</w:t>
      </w:r>
      <w:r>
        <w:rPr>
          <w:rFonts w:hint="eastAsia" w:asciiTheme="minorEastAsia" w:hAnsiTheme="minorEastAsia"/>
          <w:color w:val="auto"/>
          <w:szCs w:val="21"/>
        </w:rPr>
        <w:t xml:space="preserve"> </w:t>
      </w:r>
      <w:r>
        <w:rPr>
          <w:rFonts w:hint="eastAsia" w:asciiTheme="minorEastAsia" w:hAnsiTheme="minorEastAsia"/>
          <w:i/>
          <w:color w:val="auto"/>
          <w:szCs w:val="21"/>
        </w:rPr>
        <w:t xml:space="preserve"> </w:t>
      </w:r>
      <w:r>
        <w:rPr>
          <w:rFonts w:hint="eastAsia" w:asciiTheme="minorEastAsia" w:hAnsiTheme="minorEastAsia"/>
          <w:color w:val="auto"/>
          <w:szCs w:val="21"/>
        </w:rPr>
        <w:t>——利用阴极铜生产铜及铜合金产品的清单结果（未考虑废铜循环）；</w:t>
      </w:r>
    </w:p>
    <w:p>
      <w:pPr>
        <w:ind w:firstLine="420"/>
        <w:jc w:val="left"/>
        <w:rPr>
          <w:rFonts w:asciiTheme="minorEastAsia" w:hAnsiTheme="minorEastAsia"/>
          <w:color w:val="auto"/>
          <w:szCs w:val="21"/>
        </w:rPr>
      </w:pPr>
      <w:r>
        <w:rPr>
          <w:rFonts w:hint="eastAsia" w:asciiTheme="minorEastAsia" w:hAnsiTheme="minorEastAsia"/>
          <w:i/>
          <w:color w:val="auto"/>
          <w:szCs w:val="21"/>
        </w:rPr>
        <w:t>X</w:t>
      </w:r>
      <w:r>
        <w:rPr>
          <w:rFonts w:hint="eastAsia" w:asciiTheme="minorEastAsia" w:hAnsiTheme="minorEastAsia"/>
          <w:color w:val="auto"/>
          <w:szCs w:val="21"/>
          <w:vertAlign w:val="subscript"/>
        </w:rPr>
        <w:t>re</w:t>
      </w:r>
      <w:r>
        <w:rPr>
          <w:rFonts w:hint="eastAsia" w:asciiTheme="minorEastAsia" w:hAnsiTheme="minorEastAsia"/>
          <w:i/>
          <w:color w:val="auto"/>
          <w:szCs w:val="21"/>
        </w:rPr>
        <w:t xml:space="preserve">  </w:t>
      </w:r>
      <w:r>
        <w:rPr>
          <w:rFonts w:hint="eastAsia" w:asciiTheme="minorEastAsia" w:hAnsiTheme="minorEastAsia"/>
          <w:color w:val="auto"/>
          <w:szCs w:val="21"/>
        </w:rPr>
        <w:t>——利用</w:t>
      </w:r>
      <w:r>
        <w:rPr>
          <w:rFonts w:hint="eastAsia" w:asciiTheme="minorEastAsia" w:hAnsiTheme="minorEastAsia"/>
          <w:color w:val="auto"/>
          <w:szCs w:val="21"/>
        </w:rPr>
        <w:t>全</w:t>
      </w:r>
      <w:r>
        <w:rPr>
          <w:rFonts w:hint="eastAsia" w:asciiTheme="minorEastAsia" w:hAnsiTheme="minorEastAsia"/>
          <w:color w:val="auto"/>
          <w:szCs w:val="21"/>
        </w:rPr>
        <w:t>废铜生产铜及铜合金产品的清单结果（</w:t>
      </w:r>
      <w:r>
        <w:rPr>
          <w:rFonts w:hint="eastAsia" w:asciiTheme="minorEastAsia" w:hAnsiTheme="minorEastAsia"/>
          <w:color w:val="auto"/>
          <w:szCs w:val="21"/>
          <w:lang w:eastAsia="zh-CN"/>
        </w:rPr>
        <w:t>未</w:t>
      </w:r>
      <w:r>
        <w:rPr>
          <w:rFonts w:hint="eastAsia" w:asciiTheme="minorEastAsia" w:hAnsiTheme="minorEastAsia"/>
          <w:color w:val="auto"/>
          <w:szCs w:val="21"/>
        </w:rPr>
        <w:t>考虑废铜循环）；</w:t>
      </w:r>
    </w:p>
    <w:p>
      <w:pPr>
        <w:ind w:firstLine="420"/>
        <w:jc w:val="left"/>
        <w:rPr>
          <w:rFonts w:asciiTheme="minorEastAsia" w:hAnsiTheme="minorEastAsia"/>
          <w:color w:val="auto"/>
          <w:szCs w:val="21"/>
        </w:rPr>
      </w:pPr>
      <w:r>
        <w:rPr>
          <w:rFonts w:hint="eastAsia" w:asciiTheme="minorEastAsia" w:hAnsiTheme="minorEastAsia"/>
          <w:i/>
          <w:color w:val="auto"/>
          <w:szCs w:val="21"/>
        </w:rPr>
        <w:t xml:space="preserve">RR </w:t>
      </w:r>
      <w:r>
        <w:rPr>
          <w:rFonts w:hint="eastAsia" w:asciiTheme="minorEastAsia" w:hAnsiTheme="minorEastAsia"/>
          <w:color w:val="auto"/>
          <w:szCs w:val="21"/>
        </w:rPr>
        <w:t xml:space="preserve"> ——1吨铜及铜合金废弃后回收的废铜量（即废铜回收率）；</w:t>
      </w:r>
    </w:p>
    <w:p>
      <w:pPr>
        <w:ind w:firstLine="420"/>
        <w:jc w:val="left"/>
        <w:rPr>
          <w:rFonts w:asciiTheme="minorEastAsia" w:hAnsiTheme="minorEastAsia"/>
          <w:color w:val="auto"/>
          <w:szCs w:val="21"/>
        </w:rPr>
      </w:pPr>
      <w:r>
        <w:rPr>
          <w:rFonts w:hint="eastAsia" w:asciiTheme="minorEastAsia" w:hAnsiTheme="minorEastAsia"/>
          <w:i/>
          <w:color w:val="auto"/>
          <w:szCs w:val="21"/>
        </w:rPr>
        <w:t>S</w:t>
      </w:r>
      <w:r>
        <w:rPr>
          <w:rFonts w:hint="eastAsia" w:asciiTheme="minorEastAsia" w:hAnsiTheme="minorEastAsia"/>
          <w:color w:val="auto"/>
          <w:szCs w:val="21"/>
        </w:rPr>
        <w:t xml:space="preserve">   ——熔铸铜及铜合金废铜加入量</w:t>
      </w:r>
      <w:r>
        <w:rPr>
          <w:rFonts w:hint="eastAsia" w:asciiTheme="minorEastAsia" w:hAnsiTheme="minorEastAsia"/>
          <w:color w:val="auto"/>
          <w:szCs w:val="21"/>
        </w:rPr>
        <w:t>比例</w:t>
      </w:r>
      <w:r>
        <w:rPr>
          <w:rFonts w:hint="eastAsia" w:asciiTheme="minorEastAsia" w:hAnsiTheme="minorEastAsia"/>
          <w:color w:val="auto"/>
          <w:szCs w:val="21"/>
        </w:rPr>
        <w:t>；</w:t>
      </w:r>
    </w:p>
    <w:p>
      <w:pPr>
        <w:ind w:firstLine="420"/>
        <w:jc w:val="left"/>
        <w:rPr>
          <w:rFonts w:asciiTheme="minorEastAsia" w:hAnsiTheme="minorEastAsia"/>
          <w:color w:val="auto"/>
          <w:szCs w:val="21"/>
        </w:rPr>
      </w:pPr>
      <w:r>
        <w:rPr>
          <w:rFonts w:hint="eastAsia" w:asciiTheme="minorEastAsia" w:hAnsiTheme="minorEastAsia"/>
          <w:i/>
          <w:color w:val="auto"/>
          <w:szCs w:val="21"/>
        </w:rPr>
        <w:t>Y</w:t>
      </w:r>
      <w:r>
        <w:rPr>
          <w:rFonts w:hint="eastAsia" w:asciiTheme="minorEastAsia" w:hAnsiTheme="minorEastAsia"/>
          <w:color w:val="auto"/>
          <w:szCs w:val="21"/>
        </w:rPr>
        <w:t xml:space="preserve">   ——废铜利用率，即全废铜熔铸生产中废铜转化为铜的效率。</w:t>
      </w:r>
    </w:p>
    <w:p>
      <w:pPr>
        <w:spacing w:line="480" w:lineRule="auto"/>
        <w:rPr>
          <w:rFonts w:ascii="黑体" w:eastAsia="黑体" w:hAnsiTheme="minorEastAsia"/>
          <w:color w:val="auto"/>
          <w:szCs w:val="21"/>
        </w:rPr>
      </w:pPr>
      <w:r>
        <w:rPr>
          <w:rFonts w:hint="eastAsia" w:ascii="黑体" w:eastAsia="黑体" w:hAnsiTheme="minorEastAsia"/>
          <w:color w:val="auto"/>
          <w:szCs w:val="21"/>
        </w:rPr>
        <w:t>5.5 生命周期影响评价</w:t>
      </w:r>
    </w:p>
    <w:p>
      <w:pPr>
        <w:spacing w:line="360" w:lineRule="auto"/>
        <w:rPr>
          <w:rFonts w:ascii="黑体" w:eastAsia="黑体" w:hAnsiTheme="minorEastAsia"/>
          <w:color w:val="auto"/>
          <w:szCs w:val="21"/>
        </w:rPr>
      </w:pPr>
      <w:r>
        <w:rPr>
          <w:rFonts w:hint="eastAsia" w:ascii="黑体" w:eastAsia="黑体" w:hAnsiTheme="minorEastAsia"/>
          <w:color w:val="auto"/>
          <w:szCs w:val="21"/>
        </w:rPr>
        <w:t>5.5.1 选取影响类型</w:t>
      </w:r>
    </w:p>
    <w:p>
      <w:pPr>
        <w:ind w:firstLine="420" w:firstLineChars="200"/>
        <w:jc w:val="left"/>
        <w:rPr>
          <w:rFonts w:asciiTheme="minorEastAsia" w:hAnsiTheme="minorEastAsia"/>
          <w:color w:val="auto"/>
          <w:szCs w:val="21"/>
        </w:rPr>
      </w:pPr>
      <w:r>
        <w:rPr>
          <w:rFonts w:hint="eastAsia" w:asciiTheme="minorEastAsia" w:hAnsiTheme="minorEastAsia"/>
          <w:color w:val="auto"/>
          <w:szCs w:val="21"/>
        </w:rPr>
        <w:t>铜及铜合金加工产品生命周期清单类型</w:t>
      </w:r>
      <w:r>
        <w:rPr>
          <w:rFonts w:hint="eastAsia" w:ascii="宋体"/>
          <w:color w:val="auto"/>
        </w:rPr>
        <w:t>及影响区域见表3</w:t>
      </w:r>
      <w:r>
        <w:rPr>
          <w:rFonts w:hint="eastAsia" w:asciiTheme="minorEastAsia" w:hAnsiTheme="minorEastAsia"/>
          <w:color w:val="auto"/>
          <w:szCs w:val="21"/>
        </w:rPr>
        <w:t>。</w:t>
      </w:r>
    </w:p>
    <w:p>
      <w:pPr>
        <w:autoSpaceDE w:val="0"/>
        <w:autoSpaceDN w:val="0"/>
        <w:snapToGrid w:val="0"/>
        <w:spacing w:line="360" w:lineRule="auto"/>
        <w:ind w:firstLine="420" w:firstLineChars="200"/>
        <w:jc w:val="center"/>
        <w:rPr>
          <w:rFonts w:ascii="黑体" w:hAnsi="黑体" w:eastAsia="黑体"/>
          <w:color w:val="auto"/>
          <w:szCs w:val="21"/>
        </w:rPr>
      </w:pPr>
      <w:r>
        <w:rPr>
          <w:rFonts w:hint="eastAsia" w:ascii="黑体" w:hAnsi="黑体" w:eastAsia="黑体"/>
          <w:color w:val="auto"/>
          <w:szCs w:val="21"/>
        </w:rPr>
        <w:t xml:space="preserve">表3  </w:t>
      </w:r>
      <w:r>
        <w:rPr>
          <w:rFonts w:hint="eastAsia" w:ascii="黑体" w:eastAsia="黑体" w:hAnsiTheme="minorEastAsia"/>
          <w:color w:val="auto"/>
          <w:szCs w:val="21"/>
        </w:rPr>
        <w:t>铜及铜合金加工</w:t>
      </w:r>
      <w:r>
        <w:rPr>
          <w:rFonts w:hint="eastAsia" w:ascii="黑体" w:hAnsi="黑体" w:eastAsia="黑体"/>
          <w:color w:val="auto"/>
          <w:szCs w:val="21"/>
        </w:rPr>
        <w:t>产品的生命周期清单</w:t>
      </w:r>
      <w:r>
        <w:rPr>
          <w:rFonts w:hint="eastAsia" w:ascii="黑体" w:hAnsi="黑体" w:eastAsia="黑体"/>
          <w:color w:val="auto"/>
          <w:szCs w:val="21"/>
        </w:rPr>
        <w:t>类型</w:t>
      </w:r>
      <w:r>
        <w:rPr>
          <w:rFonts w:hint="eastAsia" w:ascii="黑体" w:hAnsi="黑体" w:eastAsia="黑体"/>
          <w:color w:val="auto"/>
          <w:szCs w:val="21"/>
        </w:rPr>
        <w:t>和影响区域</w:t>
      </w: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8"/>
        <w:gridCol w:w="4288"/>
        <w:gridCol w:w="3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序号</w:t>
            </w:r>
          </w:p>
        </w:tc>
        <w:tc>
          <w:tcPr>
            <w:tcW w:w="428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清单类型</w:t>
            </w:r>
          </w:p>
        </w:tc>
        <w:tc>
          <w:tcPr>
            <w:tcW w:w="3066"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影响区域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1</w:t>
            </w:r>
          </w:p>
        </w:tc>
        <w:tc>
          <w:tcPr>
            <w:tcW w:w="428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资源消耗</w:t>
            </w:r>
          </w:p>
        </w:tc>
        <w:tc>
          <w:tcPr>
            <w:tcW w:w="3066"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全球性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2</w:t>
            </w:r>
          </w:p>
        </w:tc>
        <w:tc>
          <w:tcPr>
            <w:tcW w:w="428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能源消耗</w:t>
            </w:r>
          </w:p>
        </w:tc>
        <w:tc>
          <w:tcPr>
            <w:tcW w:w="3066"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全球性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3</w:t>
            </w:r>
          </w:p>
        </w:tc>
        <w:tc>
          <w:tcPr>
            <w:tcW w:w="428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大气排放</w:t>
            </w:r>
          </w:p>
        </w:tc>
        <w:tc>
          <w:tcPr>
            <w:tcW w:w="3066"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区域性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4</w:t>
            </w:r>
          </w:p>
        </w:tc>
        <w:tc>
          <w:tcPr>
            <w:tcW w:w="428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水体排放</w:t>
            </w:r>
          </w:p>
        </w:tc>
        <w:tc>
          <w:tcPr>
            <w:tcW w:w="3066"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区域性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5</w:t>
            </w:r>
          </w:p>
        </w:tc>
        <w:tc>
          <w:tcPr>
            <w:tcW w:w="4288"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固体废物</w:t>
            </w:r>
            <w:r>
              <w:rPr>
                <w:rFonts w:hint="eastAsia" w:ascii="宋体"/>
                <w:color w:val="auto"/>
                <w:sz w:val="18"/>
                <w:szCs w:val="18"/>
              </w:rPr>
              <w:t>及危险废物</w:t>
            </w:r>
          </w:p>
        </w:tc>
        <w:tc>
          <w:tcPr>
            <w:tcW w:w="3066" w:type="dxa"/>
            <w:vAlign w:val="center"/>
          </w:tcPr>
          <w:p>
            <w:pPr>
              <w:widowControl/>
              <w:jc w:val="center"/>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局地性</w:t>
            </w:r>
          </w:p>
        </w:tc>
      </w:tr>
    </w:tbl>
    <w:p>
      <w:pPr>
        <w:spacing w:line="360" w:lineRule="auto"/>
        <w:rPr>
          <w:rFonts w:ascii="黑体" w:eastAsia="黑体" w:hAnsiTheme="minorEastAsia"/>
          <w:color w:val="auto"/>
          <w:szCs w:val="21"/>
        </w:rPr>
      </w:pPr>
      <w:r>
        <w:rPr>
          <w:rFonts w:hint="eastAsia" w:ascii="黑体" w:eastAsia="黑体" w:hAnsiTheme="minorEastAsia"/>
          <w:color w:val="auto"/>
          <w:szCs w:val="21"/>
        </w:rPr>
        <w:t>5.5.2 生命周期清单因子归类</w:t>
      </w:r>
    </w:p>
    <w:p>
      <w:pPr>
        <w:ind w:firstLine="420" w:firstLineChars="200"/>
        <w:jc w:val="left"/>
        <w:rPr>
          <w:rFonts w:ascii="黑体" w:hAnsi="黑体" w:eastAsia="黑体"/>
          <w:strike/>
          <w:dstrike w:val="0"/>
          <w:color w:val="auto"/>
          <w:szCs w:val="21"/>
        </w:rPr>
      </w:pPr>
      <w:r>
        <w:rPr>
          <w:rFonts w:hint="eastAsia" w:asciiTheme="minorEastAsia" w:hAnsiTheme="minorEastAsia"/>
          <w:color w:val="auto"/>
          <w:szCs w:val="21"/>
        </w:rPr>
        <w:t>根据铜及铜合金加工行业生产特点，影响评价的影响类型应包括</w:t>
      </w:r>
      <w:r>
        <w:rPr>
          <w:rFonts w:hint="eastAsia" w:ascii="宋体"/>
          <w:color w:val="auto"/>
        </w:rPr>
        <w:t>气候变化、酸雨、富营养化、人体健康危害、能源消耗、资源消耗等，</w:t>
      </w:r>
      <w:r>
        <w:rPr>
          <w:rFonts w:hint="eastAsia" w:asciiTheme="minorEastAsia" w:hAnsiTheme="minorEastAsia"/>
          <w:color w:val="auto"/>
          <w:szCs w:val="21"/>
        </w:rPr>
        <w:t>生命周期清单因子按表4归入各影响类型。</w:t>
      </w:r>
    </w:p>
    <w:p>
      <w:pPr>
        <w:ind w:firstLine="420" w:firstLineChars="200"/>
        <w:jc w:val="center"/>
        <w:rPr>
          <w:rFonts w:ascii="黑体" w:hAnsi="黑体" w:eastAsia="黑体"/>
          <w:color w:val="auto"/>
          <w:szCs w:val="21"/>
        </w:rPr>
      </w:pPr>
      <w:r>
        <w:rPr>
          <w:rFonts w:hint="eastAsia" w:ascii="黑体" w:hAnsi="黑体" w:eastAsia="黑体"/>
          <w:color w:val="auto"/>
          <w:szCs w:val="21"/>
        </w:rPr>
        <w:t>表4</w:t>
      </w:r>
      <w:r>
        <w:rPr>
          <w:rFonts w:ascii="黑体" w:hAnsi="黑体" w:eastAsia="黑体"/>
          <w:color w:val="auto"/>
          <w:szCs w:val="21"/>
        </w:rPr>
        <w:t xml:space="preserve">   </w:t>
      </w:r>
      <w:r>
        <w:rPr>
          <w:rFonts w:hint="eastAsia" w:ascii="黑体" w:eastAsia="黑体" w:hAnsiTheme="minorEastAsia"/>
          <w:color w:val="auto"/>
          <w:szCs w:val="21"/>
        </w:rPr>
        <w:t>铜及铜合金加工</w:t>
      </w:r>
      <w:r>
        <w:rPr>
          <w:rFonts w:hint="eastAsia" w:ascii="黑体" w:hAnsi="黑体" w:eastAsia="黑体"/>
          <w:color w:val="auto"/>
          <w:szCs w:val="21"/>
        </w:rPr>
        <w:t>产品</w:t>
      </w:r>
      <w:r>
        <w:rPr>
          <w:rFonts w:hint="eastAsia" w:ascii="黑体" w:eastAsia="黑体" w:hAnsiTheme="minorEastAsia"/>
          <w:color w:val="auto"/>
          <w:szCs w:val="21"/>
        </w:rPr>
        <w:t>生命周期</w:t>
      </w:r>
      <w:r>
        <w:rPr>
          <w:rFonts w:hint="eastAsia" w:ascii="黑体" w:hAnsi="黑体" w:eastAsia="黑体"/>
          <w:color w:val="auto"/>
          <w:szCs w:val="21"/>
        </w:rPr>
        <w:t>清单因子归类</w:t>
      </w:r>
    </w:p>
    <w:tbl>
      <w:tblPr>
        <w:tblStyle w:val="12"/>
        <w:tblW w:w="891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47" w:type="dxa"/>
            <w:vAlign w:val="center"/>
          </w:tcPr>
          <w:p>
            <w:pPr>
              <w:jc w:val="center"/>
              <w:rPr>
                <w:rFonts w:ascii="宋体" w:hAnsi="宋体" w:eastAsia="宋体"/>
                <w:color w:val="auto"/>
                <w:sz w:val="18"/>
                <w:szCs w:val="18"/>
              </w:rPr>
            </w:pPr>
            <w:r>
              <w:rPr>
                <w:rFonts w:hint="eastAsia" w:ascii="宋体" w:hAnsi="宋体" w:eastAsia="宋体"/>
                <w:color w:val="auto"/>
                <w:sz w:val="18"/>
                <w:szCs w:val="18"/>
              </w:rPr>
              <w:t>影响类型</w:t>
            </w:r>
          </w:p>
        </w:tc>
        <w:tc>
          <w:tcPr>
            <w:tcW w:w="7471" w:type="dxa"/>
            <w:vAlign w:val="center"/>
          </w:tcPr>
          <w:p>
            <w:pPr>
              <w:jc w:val="center"/>
              <w:rPr>
                <w:rFonts w:ascii="宋体" w:hAnsi="宋体" w:eastAsia="宋体"/>
                <w:color w:val="auto"/>
                <w:sz w:val="18"/>
                <w:szCs w:val="18"/>
              </w:rPr>
            </w:pPr>
            <w:r>
              <w:rPr>
                <w:rFonts w:hint="eastAsia" w:ascii="宋体" w:hAnsi="宋体" w:eastAsia="宋体"/>
                <w:color w:val="auto"/>
                <w:sz w:val="18"/>
                <w:szCs w:val="18"/>
              </w:rPr>
              <w:t>清单因子归类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47" w:type="dxa"/>
            <w:vAlign w:val="center"/>
          </w:tcPr>
          <w:p>
            <w:pPr>
              <w:jc w:val="center"/>
              <w:rPr>
                <w:rFonts w:ascii="宋体" w:hAnsi="宋体" w:eastAsia="宋体"/>
                <w:color w:val="auto"/>
                <w:sz w:val="18"/>
                <w:szCs w:val="18"/>
              </w:rPr>
            </w:pPr>
            <w:r>
              <w:rPr>
                <w:rFonts w:hint="eastAsia" w:ascii="宋体" w:hAnsi="宋体" w:eastAsia="宋体"/>
                <w:color w:val="auto"/>
                <w:sz w:val="18"/>
                <w:szCs w:val="18"/>
              </w:rPr>
              <w:t>资源消耗</w:t>
            </w:r>
          </w:p>
        </w:tc>
        <w:tc>
          <w:tcPr>
            <w:tcW w:w="7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8"/>
                <w:szCs w:val="18"/>
              </w:rPr>
            </w:pPr>
            <w:r>
              <w:rPr>
                <w:rFonts w:hint="eastAsia" w:ascii="宋体" w:hAnsi="宋体" w:eastAsia="宋体"/>
                <w:color w:val="auto"/>
                <w:sz w:val="18"/>
                <w:szCs w:val="18"/>
              </w:rPr>
              <w:t>铜(Cu)、铁（Fe）、锌（Zn）、铅（Pb）、镍（Ni）、锡（Sn）、银（Ag）、</w:t>
            </w:r>
            <w:r>
              <w:rPr>
                <w:rFonts w:hint="eastAsia" w:ascii="宋体" w:hAnsi="宋体" w:eastAsia="宋体"/>
                <w:color w:val="auto"/>
                <w:sz w:val="18"/>
                <w:szCs w:val="18"/>
                <w:lang w:eastAsia="zh-CN"/>
              </w:rPr>
              <w:t>铝（</w:t>
            </w:r>
            <w:r>
              <w:rPr>
                <w:rFonts w:hint="eastAsia" w:ascii="宋体" w:hAnsi="宋体" w:eastAsia="宋体"/>
                <w:color w:val="auto"/>
                <w:sz w:val="18"/>
                <w:szCs w:val="18"/>
              </w:rPr>
              <w:t>Al</w:t>
            </w:r>
            <w:r>
              <w:rPr>
                <w:rFonts w:hint="eastAsia" w:ascii="宋体" w:hAnsi="宋体" w:eastAsia="宋体"/>
                <w:color w:val="auto"/>
                <w:sz w:val="18"/>
                <w:szCs w:val="18"/>
                <w:lang w:eastAsia="zh-CN"/>
              </w:rPr>
              <w:t>）</w:t>
            </w:r>
            <w:r>
              <w:rPr>
                <w:rFonts w:hint="eastAsia" w:ascii="宋体" w:hAnsi="宋体" w:eastAsia="宋体"/>
                <w:color w:val="auto"/>
                <w:sz w:val="18"/>
                <w:szCs w:val="18"/>
              </w:rPr>
              <w:t>、</w:t>
            </w:r>
            <w:r>
              <w:rPr>
                <w:rFonts w:hint="eastAsia" w:ascii="宋体" w:hAnsi="宋体" w:eastAsia="宋体"/>
                <w:color w:val="auto"/>
                <w:sz w:val="18"/>
                <w:szCs w:val="18"/>
                <w:lang w:eastAsia="zh-CN"/>
              </w:rPr>
              <w:t>砷（</w:t>
            </w:r>
            <w:r>
              <w:rPr>
                <w:rFonts w:hint="eastAsia" w:ascii="宋体" w:hAnsi="宋体" w:eastAsia="宋体"/>
                <w:color w:val="auto"/>
                <w:sz w:val="18"/>
                <w:szCs w:val="18"/>
              </w:rPr>
              <w:t>As</w:t>
            </w:r>
            <w:r>
              <w:rPr>
                <w:rFonts w:hint="eastAsia" w:ascii="宋体" w:hAnsi="宋体" w:eastAsia="宋体"/>
                <w:color w:val="auto"/>
                <w:sz w:val="18"/>
                <w:szCs w:val="18"/>
                <w:lang w:eastAsia="zh-CN"/>
              </w:rPr>
              <w:t>）</w:t>
            </w:r>
            <w:r>
              <w:rPr>
                <w:rFonts w:hint="eastAsia" w:ascii="宋体" w:hAnsi="宋体" w:eastAsia="宋体"/>
                <w:color w:val="auto"/>
                <w:sz w:val="18"/>
                <w:szCs w:val="18"/>
              </w:rPr>
              <w:t>、</w:t>
            </w:r>
            <w:r>
              <w:rPr>
                <w:rFonts w:hint="eastAsia" w:ascii="宋体" w:hAnsi="宋体" w:eastAsia="宋体"/>
                <w:color w:val="auto"/>
                <w:sz w:val="18"/>
                <w:szCs w:val="18"/>
                <w:lang w:eastAsia="zh-CN"/>
              </w:rPr>
              <w:t>铋（</w:t>
            </w:r>
            <w:r>
              <w:rPr>
                <w:rFonts w:hint="eastAsia" w:ascii="宋体" w:hAnsi="宋体" w:eastAsia="宋体"/>
                <w:color w:val="auto"/>
                <w:sz w:val="18"/>
                <w:szCs w:val="18"/>
              </w:rPr>
              <w:t>Bi</w:t>
            </w:r>
            <w:r>
              <w:rPr>
                <w:rFonts w:hint="eastAsia" w:ascii="宋体" w:hAnsi="宋体" w:eastAsia="宋体"/>
                <w:color w:val="auto"/>
                <w:sz w:val="18"/>
                <w:szCs w:val="18"/>
                <w:lang w:eastAsia="zh-CN"/>
              </w:rPr>
              <w:t>）</w:t>
            </w:r>
            <w:r>
              <w:rPr>
                <w:rFonts w:hint="eastAsia" w:ascii="宋体" w:hAnsi="宋体" w:eastAsia="宋体"/>
                <w:color w:val="auto"/>
                <w:sz w:val="18"/>
                <w:szCs w:val="18"/>
              </w:rPr>
              <w:t>、</w:t>
            </w:r>
            <w:r>
              <w:rPr>
                <w:rFonts w:hint="eastAsia" w:ascii="宋体" w:hAnsi="宋体" w:eastAsia="宋体"/>
                <w:color w:val="auto"/>
                <w:sz w:val="18"/>
                <w:szCs w:val="18"/>
                <w:lang w:eastAsia="zh-CN"/>
              </w:rPr>
              <w:t>锑（</w:t>
            </w:r>
            <w:r>
              <w:rPr>
                <w:rFonts w:hint="eastAsia" w:ascii="宋体" w:hAnsi="宋体" w:eastAsia="宋体"/>
                <w:color w:val="auto"/>
                <w:sz w:val="18"/>
                <w:szCs w:val="18"/>
              </w:rPr>
              <w:t>Sb</w:t>
            </w:r>
            <w:r>
              <w:rPr>
                <w:rFonts w:hint="eastAsia" w:ascii="宋体" w:hAnsi="宋体" w:eastAsia="宋体"/>
                <w:color w:val="auto"/>
                <w:sz w:val="18"/>
                <w:szCs w:val="18"/>
                <w:lang w:eastAsia="zh-CN"/>
              </w:rPr>
              <w:t>）</w:t>
            </w:r>
            <w:r>
              <w:rPr>
                <w:rFonts w:hint="eastAsia" w:ascii="宋体" w:hAnsi="宋体" w:eastAsia="宋体"/>
                <w:color w:val="auto"/>
                <w:sz w:val="18"/>
                <w:szCs w:val="18"/>
              </w:rPr>
              <w:t>、</w:t>
            </w:r>
            <w:r>
              <w:rPr>
                <w:rFonts w:hint="eastAsia" w:ascii="宋体" w:hAnsi="宋体" w:eastAsia="宋体"/>
                <w:color w:val="auto"/>
                <w:sz w:val="18"/>
                <w:szCs w:val="18"/>
                <w:lang w:eastAsia="zh-CN"/>
              </w:rPr>
              <w:t>镉（</w:t>
            </w:r>
            <w:r>
              <w:rPr>
                <w:rFonts w:hint="eastAsia" w:ascii="宋体" w:hAnsi="宋体" w:eastAsia="宋体"/>
                <w:color w:val="auto"/>
                <w:sz w:val="18"/>
                <w:szCs w:val="18"/>
              </w:rPr>
              <w:t>Cd</w:t>
            </w:r>
            <w:r>
              <w:rPr>
                <w:rFonts w:hint="eastAsia" w:ascii="宋体" w:hAnsi="宋体" w:eastAsia="宋体"/>
                <w:color w:val="auto"/>
                <w:sz w:val="18"/>
                <w:szCs w:val="18"/>
                <w:lang w:eastAsia="zh-CN"/>
              </w:rPr>
              <w:t>）</w:t>
            </w:r>
            <w:r>
              <w:rPr>
                <w:rFonts w:hint="eastAsia" w:ascii="宋体" w:hAnsi="宋体" w:eastAsia="宋体"/>
                <w:color w:val="auto"/>
                <w:sz w:val="18"/>
                <w:szCs w:val="18"/>
              </w:rPr>
              <w:t>、</w:t>
            </w:r>
            <w:r>
              <w:rPr>
                <w:rFonts w:hint="eastAsia" w:ascii="宋体" w:hAnsi="宋体" w:eastAsia="宋体"/>
                <w:color w:val="auto"/>
                <w:sz w:val="18"/>
                <w:szCs w:val="18"/>
                <w:lang w:eastAsia="zh-CN"/>
              </w:rPr>
              <w:t>铍（</w:t>
            </w:r>
            <w:r>
              <w:rPr>
                <w:rFonts w:hint="eastAsia" w:ascii="宋体" w:hAnsi="宋体" w:eastAsia="宋体"/>
                <w:color w:val="auto"/>
                <w:sz w:val="18"/>
                <w:szCs w:val="18"/>
              </w:rPr>
              <w:t>Be</w:t>
            </w:r>
            <w:r>
              <w:rPr>
                <w:rFonts w:hint="eastAsia" w:ascii="宋体" w:hAnsi="宋体" w:eastAsia="宋体"/>
                <w:color w:val="auto"/>
                <w:sz w:val="18"/>
                <w:szCs w:val="18"/>
                <w:lang w:eastAsia="zh-CN"/>
              </w:rPr>
              <w:t>）</w:t>
            </w:r>
            <w:r>
              <w:rPr>
                <w:rFonts w:hint="eastAsia" w:ascii="宋体" w:hAnsi="宋体" w:eastAsia="宋体"/>
                <w:color w:val="auto"/>
                <w:sz w:val="18"/>
                <w:szCs w:val="18"/>
              </w:rPr>
              <w:t>、</w:t>
            </w:r>
            <w:r>
              <w:rPr>
                <w:rFonts w:hint="eastAsia" w:ascii="宋体" w:hAnsi="宋体" w:eastAsia="宋体"/>
                <w:color w:val="auto"/>
                <w:sz w:val="18"/>
                <w:szCs w:val="18"/>
                <w:lang w:eastAsia="zh-CN"/>
              </w:rPr>
              <w:t>碲（</w:t>
            </w:r>
            <w:r>
              <w:rPr>
                <w:rFonts w:hint="eastAsia" w:ascii="宋体" w:hAnsi="宋体" w:eastAsia="宋体"/>
                <w:color w:val="auto"/>
                <w:sz w:val="18"/>
                <w:szCs w:val="18"/>
              </w:rPr>
              <w:t>Te</w:t>
            </w:r>
            <w:r>
              <w:rPr>
                <w:rFonts w:hint="eastAsia" w:ascii="宋体" w:hAnsi="宋体" w:eastAsia="宋体"/>
                <w:color w:val="auto"/>
                <w:sz w:val="18"/>
                <w:szCs w:val="18"/>
                <w:lang w:eastAsia="zh-CN"/>
              </w:rPr>
              <w:t>）</w:t>
            </w:r>
            <w:r>
              <w:rPr>
                <w:rFonts w:hint="eastAsia" w:ascii="宋体" w:hAnsi="宋体" w:eastAsia="宋体"/>
                <w:color w:val="auto"/>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47" w:type="dxa"/>
            <w:vAlign w:val="center"/>
          </w:tcPr>
          <w:p>
            <w:pPr>
              <w:jc w:val="center"/>
              <w:rPr>
                <w:rFonts w:ascii="宋体" w:hAnsi="宋体" w:eastAsia="宋体"/>
                <w:color w:val="auto"/>
                <w:sz w:val="18"/>
                <w:szCs w:val="18"/>
              </w:rPr>
            </w:pPr>
            <w:r>
              <w:rPr>
                <w:rFonts w:hint="eastAsia" w:ascii="宋体" w:hAnsi="宋体" w:eastAsia="宋体"/>
                <w:color w:val="auto"/>
                <w:sz w:val="18"/>
                <w:szCs w:val="18"/>
              </w:rPr>
              <w:t>能源消耗</w:t>
            </w:r>
          </w:p>
        </w:tc>
        <w:tc>
          <w:tcPr>
            <w:tcW w:w="7471" w:type="dxa"/>
            <w:vAlign w:val="center"/>
          </w:tcPr>
          <w:p>
            <w:pPr>
              <w:spacing w:line="240" w:lineRule="auto"/>
              <w:jc w:val="center"/>
              <w:rPr>
                <w:rFonts w:ascii="宋体" w:hAnsi="宋体" w:eastAsia="宋体"/>
                <w:color w:val="auto"/>
                <w:sz w:val="18"/>
                <w:szCs w:val="18"/>
              </w:rPr>
            </w:pPr>
            <w:r>
              <w:rPr>
                <w:rFonts w:hint="eastAsia" w:ascii="宋体" w:hAnsi="宋体" w:eastAsia="宋体"/>
                <w:color w:val="auto"/>
                <w:sz w:val="18"/>
                <w:szCs w:val="18"/>
              </w:rPr>
              <w:t>天然气、煤、</w:t>
            </w:r>
            <w:r>
              <w:rPr>
                <w:rFonts w:hint="eastAsia" w:ascii="宋体" w:hAnsi="宋体" w:eastAsia="宋体"/>
                <w:color w:val="auto"/>
                <w:sz w:val="18"/>
                <w:szCs w:val="18"/>
              </w:rPr>
              <w:t>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47" w:type="dxa"/>
            <w:vAlign w:val="center"/>
          </w:tcPr>
          <w:p>
            <w:pPr>
              <w:jc w:val="center"/>
              <w:rPr>
                <w:rFonts w:ascii="宋体" w:hAnsi="宋体" w:eastAsia="宋体"/>
                <w:color w:val="auto"/>
                <w:sz w:val="18"/>
                <w:szCs w:val="18"/>
              </w:rPr>
            </w:pPr>
            <w:r>
              <w:rPr>
                <w:rFonts w:hint="eastAsia" w:ascii="宋体" w:hAnsi="宋体" w:eastAsia="宋体"/>
                <w:color w:val="auto"/>
                <w:sz w:val="18"/>
                <w:szCs w:val="18"/>
              </w:rPr>
              <w:t>气候变化</w:t>
            </w:r>
          </w:p>
        </w:tc>
        <w:tc>
          <w:tcPr>
            <w:tcW w:w="7471" w:type="dxa"/>
            <w:vAlign w:val="center"/>
          </w:tcPr>
          <w:p>
            <w:pPr>
              <w:spacing w:line="240" w:lineRule="auto"/>
              <w:jc w:val="center"/>
              <w:rPr>
                <w:rFonts w:ascii="宋体" w:hAnsi="宋体" w:eastAsia="宋体"/>
                <w:color w:val="auto"/>
                <w:sz w:val="18"/>
                <w:szCs w:val="18"/>
              </w:rPr>
            </w:pPr>
            <w:r>
              <w:rPr>
                <w:rFonts w:hint="eastAsia" w:ascii="宋体" w:hAnsi="宋体" w:eastAsia="宋体"/>
                <w:color w:val="auto"/>
                <w:sz w:val="18"/>
                <w:szCs w:val="18"/>
              </w:rPr>
              <w:t>二氧化碳（</w:t>
            </w:r>
            <w:r>
              <w:rPr>
                <w:rFonts w:ascii="宋体" w:hAnsi="宋体" w:eastAsia="宋体"/>
                <w:color w:val="auto"/>
                <w:sz w:val="18"/>
                <w:szCs w:val="18"/>
              </w:rPr>
              <w:t>CO</w:t>
            </w:r>
            <w:r>
              <w:rPr>
                <w:rFonts w:ascii="宋体" w:hAnsi="宋体" w:eastAsia="宋体"/>
                <w:color w:val="auto"/>
                <w:sz w:val="18"/>
                <w:szCs w:val="18"/>
                <w:vertAlign w:val="subscript"/>
              </w:rPr>
              <w:t>2</w:t>
            </w:r>
            <w:r>
              <w:rPr>
                <w:rFonts w:hint="eastAsia" w:ascii="宋体" w:hAnsi="宋体" w:eastAsia="宋体"/>
                <w:color w:val="auto"/>
                <w:sz w:val="18"/>
                <w:szCs w:val="18"/>
              </w:rPr>
              <w:t>）、</w:t>
            </w:r>
            <w:r>
              <w:rPr>
                <w:rFonts w:hint="eastAsia" w:ascii="宋体" w:hAnsi="宋体" w:eastAsia="宋体"/>
                <w:color w:val="auto"/>
                <w:sz w:val="18"/>
                <w:szCs w:val="18"/>
                <w:lang w:eastAsia="zh-CN"/>
              </w:rPr>
              <w:t>一</w:t>
            </w:r>
            <w:r>
              <w:rPr>
                <w:rFonts w:hint="eastAsia" w:ascii="宋体" w:hAnsi="宋体" w:eastAsia="宋体"/>
                <w:color w:val="auto"/>
                <w:sz w:val="18"/>
                <w:szCs w:val="18"/>
              </w:rPr>
              <w:t>氧化碳（</w:t>
            </w:r>
            <w:r>
              <w:rPr>
                <w:rFonts w:ascii="宋体" w:hAnsi="宋体" w:eastAsia="宋体"/>
                <w:color w:val="auto"/>
                <w:sz w:val="18"/>
                <w:szCs w:val="18"/>
              </w:rPr>
              <w:t>CO</w:t>
            </w:r>
            <w:r>
              <w:rPr>
                <w:rFonts w:hint="eastAsia" w:ascii="宋体" w:hAnsi="宋体" w:eastAsia="宋体"/>
                <w:color w:val="auto"/>
                <w:sz w:val="18"/>
                <w:szCs w:val="18"/>
              </w:rPr>
              <w:t>）、氮氧化物（</w:t>
            </w:r>
            <w:r>
              <w:rPr>
                <w:rFonts w:ascii="宋体" w:hAnsi="宋体" w:eastAsia="宋体"/>
                <w:color w:val="auto"/>
                <w:sz w:val="18"/>
                <w:szCs w:val="18"/>
              </w:rPr>
              <w:t>NO</w:t>
            </w:r>
            <w:r>
              <w:rPr>
                <w:rFonts w:ascii="宋体" w:hAnsi="宋体" w:eastAsia="宋体"/>
                <w:color w:val="auto"/>
                <w:sz w:val="18"/>
                <w:szCs w:val="18"/>
                <w:vertAlign w:val="subscript"/>
              </w:rPr>
              <w:t>x</w:t>
            </w:r>
            <w:r>
              <w:rPr>
                <w:rFonts w:hint="eastAsia" w:ascii="宋体" w:hAnsi="宋体" w:eastAsia="宋体"/>
                <w:color w:val="auto"/>
                <w:sz w:val="18"/>
                <w:szCs w:val="18"/>
              </w:rPr>
              <w:t>）、</w:t>
            </w:r>
            <w:r>
              <w:rPr>
                <w:rFonts w:hint="eastAsia" w:ascii="宋体" w:hAnsi="宋体" w:eastAsia="宋体"/>
                <w:color w:val="auto"/>
                <w:sz w:val="18"/>
                <w:szCs w:val="18"/>
              </w:rPr>
              <w:t>硫酸雾(H</w:t>
            </w:r>
            <w:r>
              <w:rPr>
                <w:rFonts w:hint="eastAsia" w:ascii="宋体" w:hAnsi="宋体" w:eastAsia="宋体"/>
                <w:color w:val="auto"/>
                <w:sz w:val="18"/>
                <w:szCs w:val="18"/>
                <w:vertAlign w:val="subscript"/>
              </w:rPr>
              <w:t>2</w:t>
            </w:r>
            <w:r>
              <w:rPr>
                <w:rFonts w:hint="eastAsia" w:ascii="宋体" w:hAnsi="宋体" w:eastAsia="宋体"/>
                <w:color w:val="auto"/>
                <w:sz w:val="18"/>
                <w:szCs w:val="18"/>
              </w:rPr>
              <w:t>SO</w:t>
            </w:r>
            <w:r>
              <w:rPr>
                <w:rFonts w:hint="eastAsia" w:ascii="宋体" w:hAnsi="宋体" w:eastAsia="宋体"/>
                <w:color w:val="auto"/>
                <w:sz w:val="18"/>
                <w:szCs w:val="18"/>
                <w:vertAlign w:val="subscript"/>
              </w:rPr>
              <w:t>4</w:t>
            </w:r>
            <w:r>
              <w:rPr>
                <w:rFonts w:hint="eastAsia" w:ascii="宋体" w:hAnsi="宋体" w:eastAsia="宋体"/>
                <w:color w:val="auto"/>
                <w:sz w:val="18"/>
                <w:szCs w:val="18"/>
              </w:rPr>
              <w:t>)、</w:t>
            </w:r>
            <w:r>
              <w:rPr>
                <w:rFonts w:hint="eastAsia" w:ascii="宋体" w:hAnsi="宋体" w:eastAsia="宋体"/>
                <w:color w:val="auto"/>
                <w:sz w:val="18"/>
                <w:szCs w:val="18"/>
              </w:rPr>
              <w:t>甲烷（</w:t>
            </w:r>
            <w:r>
              <w:rPr>
                <w:rFonts w:ascii="宋体" w:hAnsi="宋体" w:eastAsia="宋体"/>
                <w:color w:val="auto"/>
                <w:sz w:val="18"/>
                <w:szCs w:val="18"/>
              </w:rPr>
              <w:t>CH</w:t>
            </w:r>
            <w:r>
              <w:rPr>
                <w:rFonts w:ascii="宋体" w:hAnsi="宋体" w:eastAsia="宋体"/>
                <w:color w:val="auto"/>
                <w:sz w:val="18"/>
                <w:szCs w:val="18"/>
                <w:vertAlign w:val="subscript"/>
              </w:rPr>
              <w:t>4</w:t>
            </w:r>
            <w:r>
              <w:rPr>
                <w:rFonts w:hint="eastAsia" w:ascii="宋体" w:hAnsi="宋体" w:eastAsia="宋体"/>
                <w:color w:val="auto"/>
                <w:sz w:val="18"/>
                <w:szCs w:val="18"/>
              </w:rPr>
              <w:t>）</w:t>
            </w:r>
            <w:r>
              <w:rPr>
                <w:rFonts w:hint="eastAsia" w:ascii="宋体" w:hAnsi="宋体" w:eastAsia="宋体"/>
                <w:color w:val="auto"/>
                <w:sz w:val="18"/>
                <w:szCs w:val="18"/>
                <w:lang w:eastAsia="zh-CN"/>
              </w:rPr>
              <w:t>、氧化亚氮</w:t>
            </w:r>
            <w:r>
              <w:rPr>
                <w:rFonts w:hint="eastAsia" w:ascii="宋体" w:hAnsi="宋体" w:eastAsia="宋体"/>
                <w:color w:val="auto"/>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47" w:type="dxa"/>
            <w:vAlign w:val="center"/>
          </w:tcPr>
          <w:p>
            <w:pPr>
              <w:jc w:val="center"/>
              <w:rPr>
                <w:rFonts w:ascii="宋体" w:hAnsi="宋体" w:eastAsia="宋体"/>
                <w:color w:val="auto"/>
                <w:sz w:val="18"/>
                <w:szCs w:val="18"/>
              </w:rPr>
            </w:pPr>
            <w:r>
              <w:rPr>
                <w:rFonts w:hint="eastAsia" w:ascii="宋体" w:hAnsi="宋体" w:eastAsia="宋体"/>
                <w:color w:val="auto"/>
                <w:sz w:val="18"/>
                <w:szCs w:val="18"/>
              </w:rPr>
              <w:t>富营养化</w:t>
            </w:r>
          </w:p>
        </w:tc>
        <w:tc>
          <w:tcPr>
            <w:tcW w:w="7471" w:type="dxa"/>
            <w:vAlign w:val="center"/>
          </w:tcPr>
          <w:p>
            <w:pPr>
              <w:spacing w:line="240" w:lineRule="auto"/>
              <w:jc w:val="center"/>
              <w:rPr>
                <w:rFonts w:ascii="宋体" w:hAnsi="宋体" w:eastAsia="宋体"/>
                <w:color w:val="auto"/>
                <w:sz w:val="18"/>
                <w:szCs w:val="18"/>
              </w:rPr>
            </w:pPr>
            <w:r>
              <w:rPr>
                <w:rFonts w:hint="eastAsia" w:ascii="宋体" w:hAnsi="宋体" w:eastAsia="宋体"/>
                <w:color w:val="auto"/>
                <w:sz w:val="18"/>
                <w:szCs w:val="18"/>
              </w:rPr>
              <w:t>一氧化氮（NO）、二氧化氮（NO</w:t>
            </w:r>
            <w:r>
              <w:rPr>
                <w:rFonts w:hint="eastAsia" w:ascii="宋体" w:hAnsi="宋体" w:eastAsia="宋体"/>
                <w:color w:val="auto"/>
                <w:sz w:val="18"/>
                <w:szCs w:val="18"/>
                <w:vertAlign w:val="subscript"/>
              </w:rPr>
              <w:t>2</w:t>
            </w:r>
            <w:r>
              <w:rPr>
                <w:rFonts w:hint="eastAsia" w:ascii="宋体" w:hAnsi="宋体" w:eastAsia="宋体"/>
                <w:color w:val="auto"/>
                <w:sz w:val="18"/>
                <w:szCs w:val="18"/>
              </w:rPr>
              <w:t>）、氮氧化物（</w:t>
            </w:r>
            <w:r>
              <w:rPr>
                <w:rFonts w:ascii="宋体" w:hAnsi="宋体" w:eastAsia="宋体"/>
                <w:color w:val="auto"/>
                <w:sz w:val="18"/>
                <w:szCs w:val="18"/>
              </w:rPr>
              <w:t>NO</w:t>
            </w:r>
            <w:r>
              <w:rPr>
                <w:rFonts w:ascii="宋体" w:hAnsi="宋体" w:eastAsia="宋体"/>
                <w:color w:val="auto"/>
                <w:sz w:val="18"/>
                <w:szCs w:val="18"/>
                <w:vertAlign w:val="subscript"/>
              </w:rPr>
              <w:t>x</w:t>
            </w:r>
            <w:r>
              <w:rPr>
                <w:rFonts w:hint="eastAsia" w:ascii="宋体" w:hAnsi="宋体" w:eastAsia="宋体"/>
                <w:color w:val="auto"/>
                <w:sz w:val="18"/>
                <w:szCs w:val="18"/>
              </w:rPr>
              <w:t>）、</w:t>
            </w:r>
            <w:r>
              <w:rPr>
                <w:rFonts w:hint="eastAsia" w:ascii="宋体" w:hAnsi="宋体" w:eastAsia="宋体"/>
                <w:color w:val="auto"/>
                <w:sz w:val="18"/>
                <w:szCs w:val="18"/>
                <w:lang w:eastAsia="zh-CN"/>
              </w:rPr>
              <w:t>氮、硝酸盐、</w:t>
            </w:r>
            <w:r>
              <w:rPr>
                <w:rFonts w:hint="eastAsia" w:ascii="宋体" w:hAnsi="宋体" w:eastAsia="宋体"/>
                <w:color w:val="auto"/>
                <w:sz w:val="18"/>
                <w:szCs w:val="18"/>
              </w:rPr>
              <w:t>化学需氧量（</w:t>
            </w:r>
            <w:r>
              <w:rPr>
                <w:rFonts w:ascii="宋体" w:hAnsi="宋体" w:eastAsia="宋体"/>
                <w:color w:val="auto"/>
                <w:sz w:val="18"/>
                <w:szCs w:val="18"/>
              </w:rPr>
              <w:t>COD</w:t>
            </w:r>
            <w:r>
              <w:rPr>
                <w:rFonts w:hint="eastAsia" w:ascii="宋体" w:hAnsi="宋体" w:eastAsia="宋体"/>
                <w:color w:val="auto"/>
                <w:sz w:val="18"/>
                <w:szCs w:val="18"/>
              </w:rPr>
              <w:t>）</w:t>
            </w:r>
            <w:r>
              <w:rPr>
                <w:rFonts w:hint="eastAsia" w:ascii="宋体" w:hAnsi="宋体" w:eastAsia="宋体"/>
                <w:color w:val="auto"/>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vAlign w:val="center"/>
          </w:tcPr>
          <w:p>
            <w:pPr>
              <w:jc w:val="center"/>
              <w:rPr>
                <w:rFonts w:ascii="宋体" w:hAnsi="宋体" w:eastAsia="宋体"/>
                <w:color w:val="auto"/>
                <w:sz w:val="18"/>
                <w:szCs w:val="18"/>
              </w:rPr>
            </w:pPr>
            <w:r>
              <w:rPr>
                <w:rFonts w:hint="eastAsia" w:ascii="宋体" w:hAnsi="宋体" w:eastAsia="宋体"/>
                <w:color w:val="auto"/>
                <w:sz w:val="18"/>
                <w:szCs w:val="18"/>
              </w:rPr>
              <w:t>酸化</w:t>
            </w:r>
          </w:p>
        </w:tc>
        <w:tc>
          <w:tcPr>
            <w:tcW w:w="74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8"/>
                <w:szCs w:val="18"/>
              </w:rPr>
            </w:pPr>
            <w:r>
              <w:rPr>
                <w:rFonts w:hint="eastAsia" w:ascii="宋体" w:hAnsi="宋体" w:eastAsia="宋体"/>
                <w:color w:val="auto"/>
                <w:sz w:val="18"/>
                <w:szCs w:val="18"/>
              </w:rPr>
              <w:t>二氧化硫（</w:t>
            </w:r>
            <w:r>
              <w:rPr>
                <w:rFonts w:ascii="宋体" w:hAnsi="宋体" w:eastAsia="宋体"/>
                <w:color w:val="auto"/>
                <w:sz w:val="18"/>
                <w:szCs w:val="18"/>
              </w:rPr>
              <w:t>SO</w:t>
            </w:r>
            <w:r>
              <w:rPr>
                <w:rFonts w:ascii="宋体" w:hAnsi="宋体" w:eastAsia="宋体"/>
                <w:color w:val="auto"/>
                <w:sz w:val="18"/>
                <w:szCs w:val="18"/>
                <w:vertAlign w:val="subscript"/>
              </w:rPr>
              <w:t>2</w:t>
            </w:r>
            <w:r>
              <w:rPr>
                <w:rFonts w:hint="eastAsia" w:ascii="宋体" w:hAnsi="宋体" w:eastAsia="宋体"/>
                <w:color w:val="auto"/>
                <w:sz w:val="18"/>
                <w:szCs w:val="18"/>
              </w:rPr>
              <w:t>）、一氧化氮（NO、）、二氧化氮（NO</w:t>
            </w:r>
            <w:r>
              <w:rPr>
                <w:rFonts w:hint="eastAsia" w:ascii="宋体" w:hAnsi="宋体" w:eastAsia="宋体"/>
                <w:color w:val="auto"/>
                <w:sz w:val="18"/>
                <w:szCs w:val="18"/>
                <w:vertAlign w:val="subscript"/>
              </w:rPr>
              <w:t>2</w:t>
            </w:r>
            <w:r>
              <w:rPr>
                <w:rFonts w:hint="eastAsia" w:ascii="宋体" w:hAnsi="宋体" w:eastAsia="宋体"/>
                <w:color w:val="auto"/>
                <w:sz w:val="18"/>
                <w:szCs w:val="18"/>
              </w:rPr>
              <w:t>）、氮氧化物（</w:t>
            </w:r>
            <w:r>
              <w:rPr>
                <w:rFonts w:ascii="宋体" w:hAnsi="宋体" w:eastAsia="宋体"/>
                <w:color w:val="auto"/>
                <w:sz w:val="18"/>
                <w:szCs w:val="18"/>
              </w:rPr>
              <w:t>NO</w:t>
            </w:r>
            <w:r>
              <w:rPr>
                <w:rFonts w:ascii="宋体" w:hAnsi="宋体" w:eastAsia="宋体"/>
                <w:color w:val="auto"/>
                <w:sz w:val="18"/>
                <w:szCs w:val="18"/>
                <w:vertAlign w:val="subscript"/>
              </w:rPr>
              <w:t>x</w:t>
            </w:r>
            <w:r>
              <w:rPr>
                <w:rFonts w:hint="eastAsia" w:ascii="宋体" w:hAnsi="宋体" w:eastAsia="宋体"/>
                <w:color w:val="auto"/>
                <w:sz w:val="18"/>
                <w:szCs w:val="18"/>
              </w:rPr>
              <w:t>）、硫酸（H</w:t>
            </w:r>
            <w:r>
              <w:rPr>
                <w:rFonts w:hint="eastAsia" w:ascii="宋体" w:hAnsi="宋体" w:eastAsia="宋体"/>
                <w:color w:val="auto"/>
                <w:sz w:val="18"/>
                <w:szCs w:val="18"/>
                <w:vertAlign w:val="subscript"/>
              </w:rPr>
              <w:t>2</w:t>
            </w:r>
            <w:r>
              <w:rPr>
                <w:rFonts w:hint="eastAsia" w:ascii="宋体" w:hAnsi="宋体" w:eastAsia="宋体"/>
                <w:color w:val="auto"/>
                <w:sz w:val="18"/>
                <w:szCs w:val="18"/>
              </w:rPr>
              <w:t>SO</w:t>
            </w:r>
            <w:r>
              <w:rPr>
                <w:rFonts w:hint="eastAsia" w:ascii="宋体" w:hAnsi="宋体" w:eastAsia="宋体"/>
                <w:color w:val="auto"/>
                <w:sz w:val="18"/>
                <w:szCs w:val="18"/>
                <w:vertAlign w:val="subscript"/>
              </w:rPr>
              <w:t>4</w:t>
            </w:r>
            <w:r>
              <w:rPr>
                <w:rFonts w:hint="eastAsia" w:ascii="宋体" w:hAnsi="宋体" w:eastAsia="宋体"/>
                <w:color w:val="auto"/>
                <w:sz w:val="18"/>
                <w:szCs w:val="18"/>
              </w:rPr>
              <w:t>）、</w:t>
            </w:r>
            <w:r>
              <w:rPr>
                <w:rFonts w:hint="eastAsia" w:ascii="宋体" w:hAnsi="宋体" w:eastAsia="宋体"/>
                <w:color w:val="auto"/>
                <w:sz w:val="18"/>
                <w:szCs w:val="18"/>
                <w:lang w:eastAsia="zh-CN"/>
              </w:rPr>
              <w:t>盐酸、</w:t>
            </w:r>
            <w:r>
              <w:rPr>
                <w:rFonts w:hint="eastAsia" w:ascii="宋体" w:hAnsi="宋体" w:eastAsia="宋体"/>
                <w:color w:val="auto"/>
                <w:sz w:val="18"/>
                <w:szCs w:val="18"/>
              </w:rPr>
              <w:t>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8"/>
                <w:szCs w:val="18"/>
              </w:rPr>
            </w:pPr>
            <w:r>
              <w:rPr>
                <w:rFonts w:hint="eastAsia" w:ascii="宋体" w:hAnsi="宋体" w:eastAsia="宋体"/>
                <w:color w:val="auto"/>
                <w:sz w:val="18"/>
                <w:szCs w:val="18"/>
              </w:rPr>
              <w:t>人体健康危害</w:t>
            </w:r>
          </w:p>
        </w:tc>
        <w:tc>
          <w:tcPr>
            <w:tcW w:w="7471" w:type="dxa"/>
            <w:vAlign w:val="center"/>
          </w:tcPr>
          <w:p>
            <w:pPr>
              <w:spacing w:line="240" w:lineRule="auto"/>
              <w:jc w:val="center"/>
              <w:rPr>
                <w:rFonts w:ascii="宋体" w:hAnsi="宋体" w:eastAsia="宋体"/>
                <w:color w:val="auto"/>
                <w:sz w:val="18"/>
                <w:szCs w:val="18"/>
              </w:rPr>
            </w:pPr>
            <w:r>
              <w:rPr>
                <w:rFonts w:ascii="宋体" w:hAnsi="宋体" w:eastAsia="宋体"/>
                <w:color w:val="auto"/>
                <w:sz w:val="18"/>
                <w:szCs w:val="18"/>
              </w:rPr>
              <w:t>NO</w:t>
            </w:r>
            <w:r>
              <w:rPr>
                <w:rFonts w:ascii="宋体" w:hAnsi="宋体" w:eastAsia="宋体"/>
                <w:color w:val="auto"/>
                <w:sz w:val="18"/>
                <w:szCs w:val="18"/>
                <w:vertAlign w:val="subscript"/>
              </w:rPr>
              <w:t>x</w:t>
            </w:r>
            <w:r>
              <w:rPr>
                <w:rFonts w:hint="eastAsia" w:ascii="宋体" w:hAnsi="宋体" w:eastAsia="宋体"/>
                <w:color w:val="auto"/>
                <w:sz w:val="18"/>
                <w:szCs w:val="18"/>
              </w:rPr>
              <w:t>、SO</w:t>
            </w:r>
            <w:r>
              <w:rPr>
                <w:rFonts w:hint="eastAsia" w:ascii="宋体" w:hAnsi="宋体" w:eastAsia="宋体"/>
                <w:color w:val="auto"/>
                <w:sz w:val="18"/>
                <w:szCs w:val="18"/>
                <w:vertAlign w:val="subscript"/>
              </w:rPr>
              <w:t>x</w:t>
            </w:r>
            <w:r>
              <w:rPr>
                <w:rFonts w:hint="eastAsia" w:ascii="宋体" w:hAnsi="宋体" w:eastAsia="宋体"/>
                <w:color w:val="auto"/>
                <w:sz w:val="18"/>
                <w:szCs w:val="18"/>
              </w:rPr>
              <w:t>、颗粒物</w:t>
            </w:r>
            <w:r>
              <w:rPr>
                <w:rFonts w:hint="eastAsia" w:ascii="宋体" w:hAnsi="宋体" w:eastAsia="宋体"/>
                <w:color w:val="auto"/>
                <w:sz w:val="18"/>
                <w:szCs w:val="18"/>
              </w:rPr>
              <w:t>等</w:t>
            </w:r>
          </w:p>
        </w:tc>
      </w:tr>
    </w:tbl>
    <w:p>
      <w:pPr>
        <w:spacing w:beforeLines="50" w:line="360" w:lineRule="auto"/>
        <w:rPr>
          <w:rFonts w:ascii="黑体" w:eastAsia="黑体" w:hAnsiTheme="minorEastAsia"/>
          <w:color w:val="auto"/>
          <w:szCs w:val="21"/>
        </w:rPr>
      </w:pPr>
      <w:r>
        <w:rPr>
          <w:rFonts w:hint="eastAsia" w:ascii="黑体" w:eastAsia="黑体" w:hAnsiTheme="minorEastAsia"/>
          <w:color w:val="auto"/>
          <w:szCs w:val="21"/>
        </w:rPr>
        <w:t>5.5.3分类评价</w:t>
      </w:r>
    </w:p>
    <w:p>
      <w:pPr>
        <w:autoSpaceDE w:val="0"/>
        <w:autoSpaceDN w:val="0"/>
        <w:adjustRightInd w:val="0"/>
        <w:ind w:firstLine="420" w:firstLineChars="200"/>
        <w:jc w:val="left"/>
        <w:rPr>
          <w:rFonts w:hAnsi="宋体" w:cs="宋体"/>
          <w:color w:val="auto"/>
        </w:rPr>
      </w:pPr>
      <w:r>
        <w:rPr>
          <w:rFonts w:hint="eastAsia" w:asciiTheme="minorEastAsia" w:hAnsiTheme="minorEastAsia"/>
          <w:color w:val="auto"/>
          <w:szCs w:val="21"/>
        </w:rPr>
        <w:t>分类评价是定量计算不同影响类型的特征化值。同质量的不同负荷因子对同一种影响类型的贡献潜力比一样，</w:t>
      </w:r>
      <w:r>
        <w:rPr>
          <w:rFonts w:hint="eastAsia" w:hAnsi="宋体" w:cs="宋体"/>
          <w:color w:val="auto"/>
        </w:rPr>
        <w:t>根据公示</w:t>
      </w:r>
      <w:r>
        <w:rPr>
          <w:rFonts w:hAnsi="宋体" w:cs="宋体"/>
          <w:color w:val="auto"/>
          <w:spacing w:val="-2"/>
        </w:rPr>
        <w:t>（</w:t>
      </w:r>
      <w:r>
        <w:rPr>
          <w:rFonts w:hint="eastAsia" w:ascii="Calibri" w:hAnsi="Calibri" w:cs="Calibri"/>
          <w:color w:val="auto"/>
          <w:spacing w:val="3"/>
        </w:rPr>
        <w:t>3</w:t>
      </w:r>
      <w:r>
        <w:rPr>
          <w:rFonts w:hAnsi="宋体" w:cs="宋体"/>
          <w:color w:val="auto"/>
          <w:spacing w:val="-2"/>
        </w:rPr>
        <w:t>）计</w:t>
      </w:r>
      <w:r>
        <w:rPr>
          <w:rFonts w:hAnsi="宋体" w:cs="宋体"/>
          <w:color w:val="auto"/>
        </w:rPr>
        <w:t>算</w:t>
      </w:r>
      <w:r>
        <w:rPr>
          <w:rFonts w:hAnsi="宋体" w:cs="宋体"/>
          <w:color w:val="auto"/>
          <w:spacing w:val="-2"/>
        </w:rPr>
        <w:t>出</w:t>
      </w:r>
      <w:r>
        <w:rPr>
          <w:rFonts w:hAnsi="宋体" w:cs="宋体"/>
          <w:color w:val="auto"/>
        </w:rPr>
        <w:t>不</w:t>
      </w:r>
      <w:r>
        <w:rPr>
          <w:rFonts w:hAnsi="宋体" w:cs="宋体"/>
          <w:color w:val="auto"/>
          <w:spacing w:val="-2"/>
        </w:rPr>
        <w:t>同</w:t>
      </w:r>
      <w:r>
        <w:rPr>
          <w:rFonts w:hAnsi="宋体" w:cs="宋体"/>
          <w:color w:val="auto"/>
        </w:rPr>
        <w:t>影</w:t>
      </w:r>
      <w:r>
        <w:rPr>
          <w:rFonts w:hAnsi="宋体" w:cs="宋体"/>
          <w:color w:val="auto"/>
          <w:spacing w:val="-2"/>
        </w:rPr>
        <w:t>响</w:t>
      </w:r>
      <w:r>
        <w:rPr>
          <w:rFonts w:hAnsi="宋体" w:cs="宋体"/>
          <w:color w:val="auto"/>
        </w:rPr>
        <w:t>类</w:t>
      </w:r>
      <w:r>
        <w:rPr>
          <w:rFonts w:hAnsi="宋体" w:cs="宋体"/>
          <w:color w:val="auto"/>
          <w:spacing w:val="-2"/>
        </w:rPr>
        <w:t>型</w:t>
      </w:r>
      <w:r>
        <w:rPr>
          <w:rFonts w:hAnsi="宋体" w:cs="宋体"/>
          <w:color w:val="auto"/>
        </w:rPr>
        <w:t>的</w:t>
      </w:r>
      <w:r>
        <w:rPr>
          <w:rFonts w:hAnsi="宋体" w:cs="宋体"/>
          <w:color w:val="auto"/>
          <w:spacing w:val="-2"/>
        </w:rPr>
        <w:t>特</w:t>
      </w:r>
      <w:r>
        <w:rPr>
          <w:rFonts w:hAnsi="宋体" w:cs="宋体"/>
          <w:color w:val="auto"/>
        </w:rPr>
        <w:t>征化</w:t>
      </w:r>
      <w:r>
        <w:rPr>
          <w:rFonts w:hAnsi="宋体" w:cs="宋体"/>
          <w:color w:val="auto"/>
          <w:spacing w:val="-2"/>
        </w:rPr>
        <w:t>值</w:t>
      </w:r>
      <w:r>
        <w:rPr>
          <w:rFonts w:hint="eastAsia" w:hAnsi="宋体" w:cs="宋体"/>
          <w:color w:val="auto"/>
          <w:spacing w:val="-2"/>
        </w:rPr>
        <w:t>，</w:t>
      </w:r>
      <w:r>
        <w:rPr>
          <w:rFonts w:hAnsi="宋体" w:cs="宋体"/>
          <w:color w:val="auto"/>
        </w:rPr>
        <w:t>分</w:t>
      </w:r>
      <w:r>
        <w:rPr>
          <w:rFonts w:hAnsi="宋体" w:cs="宋体"/>
          <w:color w:val="auto"/>
          <w:spacing w:val="-2"/>
        </w:rPr>
        <w:t>类</w:t>
      </w:r>
      <w:r>
        <w:rPr>
          <w:rFonts w:hAnsi="宋体" w:cs="宋体"/>
          <w:color w:val="auto"/>
        </w:rPr>
        <w:t>评</w:t>
      </w:r>
      <w:r>
        <w:rPr>
          <w:rFonts w:hAnsi="宋体" w:cs="宋体"/>
          <w:color w:val="auto"/>
          <w:spacing w:val="-2"/>
        </w:rPr>
        <w:t>价</w:t>
      </w:r>
      <w:r>
        <w:rPr>
          <w:rFonts w:hAnsi="宋体" w:cs="宋体"/>
          <w:color w:val="auto"/>
        </w:rPr>
        <w:t>的</w:t>
      </w:r>
      <w:r>
        <w:rPr>
          <w:rFonts w:hAnsi="宋体" w:cs="宋体"/>
          <w:color w:val="auto"/>
          <w:spacing w:val="-2"/>
        </w:rPr>
        <w:t>结</w:t>
      </w:r>
      <w:r>
        <w:rPr>
          <w:rFonts w:hAnsi="宋体" w:cs="宋体"/>
          <w:color w:val="auto"/>
        </w:rPr>
        <w:t>果采</w:t>
      </w:r>
      <w:r>
        <w:rPr>
          <w:rFonts w:hAnsi="宋体" w:cs="宋体"/>
          <w:color w:val="auto"/>
          <w:spacing w:val="-2"/>
        </w:rPr>
        <w:t>用</w:t>
      </w:r>
      <w:r>
        <w:rPr>
          <w:rFonts w:hAnsi="宋体" w:cs="宋体"/>
          <w:color w:val="auto"/>
          <w:spacing w:val="25"/>
        </w:rPr>
        <w:t>表</w:t>
      </w:r>
      <w:r>
        <w:rPr>
          <w:rFonts w:hint="eastAsia" w:ascii="Calibri" w:hAnsi="Calibri" w:cs="Calibri"/>
          <w:color w:val="auto"/>
          <w:spacing w:val="3"/>
        </w:rPr>
        <w:t>5</w:t>
      </w:r>
      <w:r>
        <w:rPr>
          <w:rFonts w:hAnsi="宋体" w:cs="宋体"/>
          <w:color w:val="auto"/>
          <w:spacing w:val="-2"/>
        </w:rPr>
        <w:t>中</w:t>
      </w:r>
      <w:r>
        <w:rPr>
          <w:rFonts w:hAnsi="宋体" w:cs="宋体"/>
          <w:color w:val="auto"/>
        </w:rPr>
        <w:t>的当量物质表示。</w:t>
      </w:r>
    </w:p>
    <w:p>
      <w:pPr>
        <w:jc w:val="right"/>
        <w:rPr>
          <w:rFonts w:hAnsi="宋体"/>
          <w:iCs/>
          <w:color w:val="auto"/>
          <w:szCs w:val="21"/>
        </w:rPr>
      </w:pPr>
      <w:r>
        <w:rPr>
          <w:rFonts w:hint="eastAsia" w:hAnsi="宋体"/>
          <w:i/>
          <w:iCs/>
          <w:color w:val="auto"/>
          <w:szCs w:val="21"/>
        </w:rPr>
        <w:t>EP</w:t>
      </w:r>
      <w:r>
        <w:rPr>
          <w:rFonts w:hint="eastAsia" w:hAnsi="宋体"/>
          <w:i/>
          <w:iCs/>
          <w:color w:val="auto"/>
          <w:szCs w:val="21"/>
          <w:vertAlign w:val="subscript"/>
        </w:rPr>
        <w:t>i</w:t>
      </w:r>
      <w:r>
        <w:rPr>
          <w:rFonts w:hint="eastAsia" w:hAnsi="宋体"/>
          <w:color w:val="auto"/>
          <w:szCs w:val="21"/>
        </w:rPr>
        <w:t>=∑</w:t>
      </w:r>
      <w:r>
        <w:rPr>
          <w:rFonts w:hint="eastAsia" w:hAnsi="宋体"/>
          <w:i/>
          <w:iCs/>
          <w:color w:val="auto"/>
          <w:szCs w:val="21"/>
        </w:rPr>
        <w:t>EP</w:t>
      </w:r>
      <w:r>
        <w:rPr>
          <w:rFonts w:hint="eastAsia" w:hAnsi="宋体"/>
          <w:i/>
          <w:iCs/>
          <w:color w:val="auto"/>
          <w:szCs w:val="21"/>
          <w:vertAlign w:val="subscript"/>
        </w:rPr>
        <w:t>ij</w:t>
      </w:r>
      <w:r>
        <w:rPr>
          <w:rFonts w:hint="eastAsia" w:hAnsi="宋体"/>
          <w:color w:val="auto"/>
          <w:szCs w:val="21"/>
        </w:rPr>
        <w:t>=∑（</w:t>
      </w:r>
      <w:r>
        <w:rPr>
          <w:rFonts w:hint="eastAsia" w:hAnsi="宋体"/>
          <w:i/>
          <w:iCs/>
          <w:color w:val="auto"/>
          <w:szCs w:val="21"/>
        </w:rPr>
        <w:t>Q</w:t>
      </w:r>
      <w:r>
        <w:rPr>
          <w:rFonts w:hint="eastAsia" w:hAnsi="宋体"/>
          <w:i/>
          <w:iCs/>
          <w:color w:val="auto"/>
          <w:szCs w:val="21"/>
          <w:vertAlign w:val="subscript"/>
        </w:rPr>
        <w:t>j</w:t>
      </w:r>
      <w:r>
        <w:rPr>
          <w:rFonts w:hint="eastAsia" w:ascii="黑体" w:eastAsia="黑体" w:hAnsiTheme="minorEastAsia"/>
          <w:color w:val="auto"/>
          <w:szCs w:val="21"/>
        </w:rPr>
        <w:t>·</w:t>
      </w:r>
      <w:r>
        <w:rPr>
          <w:rFonts w:hint="eastAsia" w:hAnsi="宋体"/>
          <w:i/>
          <w:iCs/>
          <w:color w:val="auto"/>
          <w:szCs w:val="21"/>
        </w:rPr>
        <w:t>EF</w:t>
      </w:r>
      <w:r>
        <w:rPr>
          <w:rFonts w:hint="eastAsia" w:hAnsi="宋体"/>
          <w:i/>
          <w:iCs/>
          <w:color w:val="auto"/>
          <w:szCs w:val="21"/>
          <w:vertAlign w:val="subscript"/>
        </w:rPr>
        <w:t>ij</w:t>
      </w:r>
      <w:r>
        <w:rPr>
          <w:rFonts w:hint="eastAsia" w:hAnsi="宋体"/>
          <w:color w:val="auto"/>
          <w:szCs w:val="21"/>
        </w:rPr>
        <w:t>）</w:t>
      </w:r>
      <w:r>
        <w:rPr>
          <w:rFonts w:hint="eastAsia" w:hAnsi="宋体"/>
          <w:i/>
          <w:iCs/>
          <w:color w:val="auto"/>
          <w:szCs w:val="21"/>
          <w:vertAlign w:val="subscript"/>
        </w:rPr>
        <w:t xml:space="preserve">  </w:t>
      </w:r>
      <w:r>
        <w:rPr>
          <w:rFonts w:asciiTheme="minorEastAsia" w:hAnsiTheme="minorEastAsia"/>
          <w:color w:val="auto"/>
          <w:szCs w:val="21"/>
        </w:rPr>
        <w:t>………………………………</w:t>
      </w:r>
      <w:r>
        <w:rPr>
          <w:rFonts w:hint="eastAsia" w:asciiTheme="minorEastAsia" w:hAnsiTheme="minorEastAsia"/>
          <w:color w:val="auto"/>
          <w:szCs w:val="21"/>
        </w:rPr>
        <w:t>（3）</w:t>
      </w:r>
    </w:p>
    <w:p>
      <w:pPr>
        <w:ind w:firstLine="420"/>
        <w:rPr>
          <w:rFonts w:hAnsi="宋体"/>
          <w:color w:val="auto"/>
        </w:rPr>
      </w:pPr>
      <w:r>
        <w:rPr>
          <w:rFonts w:hint="eastAsia" w:hAnsi="宋体"/>
          <w:color w:val="auto"/>
        </w:rPr>
        <w:t>式中：</w:t>
      </w:r>
    </w:p>
    <w:p>
      <w:pPr>
        <w:ind w:firstLine="420"/>
        <w:rPr>
          <w:rFonts w:hAnsi="宋体"/>
          <w:color w:val="auto"/>
        </w:rPr>
      </w:pPr>
      <w:r>
        <w:rPr>
          <w:rFonts w:hint="eastAsia" w:hAnsi="宋体"/>
          <w:i/>
          <w:iCs/>
          <w:color w:val="auto"/>
        </w:rPr>
        <w:t>EP</w:t>
      </w:r>
      <w:r>
        <w:rPr>
          <w:rFonts w:hint="eastAsia" w:hAnsi="宋体"/>
          <w:i/>
          <w:iCs/>
          <w:color w:val="auto"/>
          <w:vertAlign w:val="subscript"/>
        </w:rPr>
        <w:t xml:space="preserve">i  </w:t>
      </w:r>
      <w:r>
        <w:rPr>
          <w:rFonts w:hint="eastAsia" w:asciiTheme="minorEastAsia" w:hAnsiTheme="minorEastAsia"/>
          <w:color w:val="auto"/>
          <w:szCs w:val="21"/>
        </w:rPr>
        <w:t>——</w:t>
      </w:r>
      <w:r>
        <w:rPr>
          <w:rFonts w:hint="eastAsia" w:hAnsi="宋体"/>
          <w:color w:val="auto"/>
        </w:rPr>
        <w:t>第</w:t>
      </w:r>
      <w:r>
        <w:rPr>
          <w:rFonts w:hint="eastAsia" w:hAnsi="宋体"/>
          <w:i/>
          <w:iCs/>
          <w:color w:val="auto"/>
        </w:rPr>
        <w:t>i</w:t>
      </w:r>
      <w:r>
        <w:rPr>
          <w:rFonts w:hint="eastAsia" w:hAnsi="宋体"/>
          <w:color w:val="auto"/>
        </w:rPr>
        <w:t>种环境类别特征化值；</w:t>
      </w:r>
    </w:p>
    <w:p>
      <w:pPr>
        <w:ind w:firstLine="420"/>
        <w:rPr>
          <w:rFonts w:hAnsi="宋体"/>
          <w:i/>
          <w:iCs/>
          <w:color w:val="auto"/>
        </w:rPr>
      </w:pPr>
      <w:r>
        <w:rPr>
          <w:rFonts w:hint="eastAsia" w:hAnsi="宋体"/>
          <w:i/>
          <w:iCs/>
          <w:color w:val="auto"/>
        </w:rPr>
        <w:t>EP</w:t>
      </w:r>
      <w:r>
        <w:rPr>
          <w:rFonts w:hint="eastAsia" w:hAnsi="宋体"/>
          <w:i/>
          <w:iCs/>
          <w:color w:val="auto"/>
          <w:vertAlign w:val="subscript"/>
        </w:rPr>
        <w:t>ij</w:t>
      </w:r>
      <w:r>
        <w:rPr>
          <w:rFonts w:hint="eastAsia" w:hAnsi="宋体"/>
          <w:i/>
          <w:iCs/>
          <w:color w:val="auto"/>
        </w:rPr>
        <w:t xml:space="preserve"> </w:t>
      </w:r>
      <w:r>
        <w:rPr>
          <w:rFonts w:hint="eastAsia" w:asciiTheme="minorEastAsia" w:hAnsiTheme="minorEastAsia"/>
          <w:color w:val="auto"/>
          <w:szCs w:val="21"/>
        </w:rPr>
        <w:t>——</w:t>
      </w:r>
      <w:r>
        <w:rPr>
          <w:rFonts w:hint="eastAsia" w:hAnsi="宋体"/>
          <w:color w:val="auto"/>
        </w:rPr>
        <w:t>第</w:t>
      </w:r>
      <w:r>
        <w:rPr>
          <w:rFonts w:hint="eastAsia" w:hAnsi="宋体"/>
          <w:i/>
          <w:iCs/>
          <w:color w:val="auto"/>
        </w:rPr>
        <w:t>i</w:t>
      </w:r>
      <w:r>
        <w:rPr>
          <w:rFonts w:hint="eastAsia" w:hAnsi="宋体"/>
          <w:color w:val="auto"/>
        </w:rPr>
        <w:t>种环境类别中第</w:t>
      </w:r>
      <w:r>
        <w:rPr>
          <w:rFonts w:hint="eastAsia" w:hAnsi="宋体"/>
          <w:i/>
          <w:iCs/>
          <w:color w:val="auto"/>
        </w:rPr>
        <w:t xml:space="preserve">j </w:t>
      </w:r>
      <w:r>
        <w:rPr>
          <w:rFonts w:hint="eastAsia" w:hAnsi="宋体"/>
          <w:color w:val="auto"/>
        </w:rPr>
        <w:t>种污染物的贡献；</w:t>
      </w:r>
    </w:p>
    <w:p>
      <w:pPr>
        <w:ind w:firstLine="420"/>
        <w:rPr>
          <w:rFonts w:hAnsi="宋体"/>
          <w:color w:val="auto"/>
        </w:rPr>
      </w:pPr>
      <w:r>
        <w:rPr>
          <w:rFonts w:hint="eastAsia" w:hAnsi="宋体"/>
          <w:i/>
          <w:iCs/>
          <w:color w:val="auto"/>
        </w:rPr>
        <w:t>Q</w:t>
      </w:r>
      <w:r>
        <w:rPr>
          <w:rFonts w:hint="eastAsia" w:hAnsi="宋体"/>
          <w:i/>
          <w:iCs/>
          <w:color w:val="auto"/>
          <w:vertAlign w:val="subscript"/>
        </w:rPr>
        <w:t xml:space="preserve">j   </w:t>
      </w:r>
      <w:r>
        <w:rPr>
          <w:rFonts w:hint="eastAsia" w:asciiTheme="minorEastAsia" w:hAnsiTheme="minorEastAsia"/>
          <w:color w:val="auto"/>
          <w:szCs w:val="21"/>
        </w:rPr>
        <w:t>——</w:t>
      </w:r>
      <w:r>
        <w:rPr>
          <w:rFonts w:hint="eastAsia" w:hAnsi="宋体"/>
          <w:color w:val="auto"/>
        </w:rPr>
        <w:t>第</w:t>
      </w:r>
      <w:r>
        <w:rPr>
          <w:rFonts w:hint="eastAsia" w:hAnsi="宋体"/>
          <w:i/>
          <w:iCs/>
          <w:color w:val="auto"/>
        </w:rPr>
        <w:t xml:space="preserve">j </w:t>
      </w:r>
      <w:r>
        <w:rPr>
          <w:rFonts w:hint="eastAsia" w:hAnsi="宋体"/>
          <w:color w:val="auto"/>
        </w:rPr>
        <w:t>种污染物的排放量；</w:t>
      </w:r>
    </w:p>
    <w:p>
      <w:pPr>
        <w:ind w:firstLine="420"/>
        <w:rPr>
          <w:rFonts w:hAnsi="宋体"/>
          <w:color w:val="auto"/>
        </w:rPr>
      </w:pPr>
      <w:r>
        <w:rPr>
          <w:rFonts w:hint="eastAsia" w:hAnsi="宋体"/>
          <w:i/>
          <w:iCs/>
          <w:color w:val="auto"/>
        </w:rPr>
        <w:t>EF</w:t>
      </w:r>
      <w:r>
        <w:rPr>
          <w:rFonts w:hint="eastAsia" w:hAnsi="宋体"/>
          <w:i/>
          <w:iCs/>
          <w:color w:val="auto"/>
          <w:vertAlign w:val="subscript"/>
        </w:rPr>
        <w:t xml:space="preserve">ij  </w:t>
      </w:r>
      <w:r>
        <w:rPr>
          <w:rFonts w:hint="eastAsia" w:asciiTheme="minorEastAsia" w:hAnsiTheme="minorEastAsia"/>
          <w:color w:val="auto"/>
          <w:szCs w:val="21"/>
        </w:rPr>
        <w:t>——</w:t>
      </w:r>
      <w:r>
        <w:rPr>
          <w:rFonts w:hint="eastAsia" w:hAnsi="宋体"/>
          <w:color w:val="auto"/>
        </w:rPr>
        <w:t>第</w:t>
      </w:r>
      <w:r>
        <w:rPr>
          <w:rFonts w:hint="eastAsia" w:hAnsi="宋体"/>
          <w:i/>
          <w:iCs/>
          <w:color w:val="auto"/>
        </w:rPr>
        <w:t>i</w:t>
      </w:r>
      <w:r>
        <w:rPr>
          <w:rFonts w:hint="eastAsia" w:hAnsi="宋体"/>
          <w:color w:val="auto"/>
        </w:rPr>
        <w:t>种环境类别中第</w:t>
      </w:r>
      <w:r>
        <w:rPr>
          <w:rFonts w:hint="eastAsia" w:hAnsi="宋体"/>
          <w:i/>
          <w:iCs/>
          <w:color w:val="auto"/>
        </w:rPr>
        <w:t>j</w:t>
      </w:r>
      <w:r>
        <w:rPr>
          <w:rFonts w:hint="eastAsia" w:hAnsi="宋体"/>
          <w:color w:val="auto"/>
        </w:rPr>
        <w:t>种污染物的特征化因子。</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olor w:val="auto"/>
          <w:szCs w:val="21"/>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olor w:val="auto"/>
          <w:szCs w:val="21"/>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olor w:val="auto"/>
          <w:szCs w:val="21"/>
        </w:rPr>
      </w:pPr>
      <w:r>
        <w:rPr>
          <w:rFonts w:hint="eastAsia" w:ascii="黑体" w:hAnsi="黑体" w:eastAsia="黑体"/>
          <w:color w:val="auto"/>
          <w:szCs w:val="21"/>
        </w:rPr>
        <w:t>表5</w:t>
      </w:r>
      <w:r>
        <w:rPr>
          <w:rFonts w:ascii="黑体" w:hAnsi="黑体" w:eastAsia="黑体"/>
          <w:color w:val="auto"/>
          <w:szCs w:val="21"/>
        </w:rPr>
        <w:t xml:space="preserve">   </w:t>
      </w:r>
      <w:r>
        <w:rPr>
          <w:rFonts w:hint="eastAsia" w:ascii="黑体" w:eastAsia="黑体" w:hAnsiTheme="minorEastAsia"/>
          <w:color w:val="auto"/>
          <w:szCs w:val="21"/>
        </w:rPr>
        <w:t>铜及铜合金加工</w:t>
      </w:r>
      <w:r>
        <w:rPr>
          <w:rFonts w:hint="eastAsia" w:ascii="黑体" w:hAnsi="黑体" w:eastAsia="黑体"/>
          <w:color w:val="auto"/>
          <w:szCs w:val="21"/>
        </w:rPr>
        <w:t>产品生命周期影响评价特征化因子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279"/>
        <w:gridCol w:w="228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rPr>
              <w:t>影响类别</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rPr>
              <w:t>单位</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rPr>
              <w:t>指标参数</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rPr>
              <w:t>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olor w:val="auto"/>
                <w:sz w:val="18"/>
                <w:szCs w:val="18"/>
              </w:rPr>
              <w:t>资源消耗</w:t>
            </w:r>
          </w:p>
        </w:tc>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color w:val="auto"/>
                <w:kern w:val="2"/>
                <w:sz w:val="18"/>
                <w:szCs w:val="18"/>
                <w:lang w:val="en-US" w:eastAsia="zh-CN" w:bidi="ar-SA"/>
              </w:rPr>
            </w:pPr>
            <w:r>
              <w:rPr>
                <w:rFonts w:ascii="宋体" w:hAnsi="宋体" w:eastAsia="宋体"/>
                <w:color w:val="auto"/>
                <w:sz w:val="18"/>
                <w:szCs w:val="18"/>
              </w:rPr>
              <w:t>K</w:t>
            </w:r>
            <w:r>
              <w:rPr>
                <w:rFonts w:hint="eastAsia" w:ascii="宋体" w:hAnsi="宋体" w:eastAsia="宋体"/>
                <w:color w:val="auto"/>
                <w:sz w:val="18"/>
                <w:szCs w:val="18"/>
              </w:rPr>
              <w:t>g（Sb</w:t>
            </w:r>
            <w:r>
              <w:rPr>
                <w:rFonts w:hint="eastAsia" w:ascii="宋体" w:hAnsi="宋体" w:eastAsia="宋体"/>
                <w:color w:val="auto"/>
                <w:sz w:val="18"/>
                <w:szCs w:val="18"/>
              </w:rPr>
              <w:t>当量</w:t>
            </w:r>
            <w:r>
              <w:rPr>
                <w:rFonts w:hint="eastAsia" w:ascii="宋体" w:hAnsi="宋体" w:eastAsia="宋体"/>
                <w:color w:val="auto"/>
                <w:sz w:val="18"/>
                <w:szCs w:val="18"/>
              </w:rPr>
              <w:t>/kg）</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olor w:val="auto"/>
                <w:sz w:val="18"/>
                <w:szCs w:val="18"/>
              </w:rPr>
              <w:t>Sb</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Cu</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Fe</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8.43</w:t>
            </w:r>
            <w:r>
              <w:rPr>
                <w:rFonts w:hint="eastAsia" w:ascii="宋体" w:hAnsi="宋体" w:eastAsia="宋体"/>
                <w:color w:val="auto"/>
                <w:sz w:val="18"/>
                <w:szCs w:val="18"/>
              </w:rPr>
              <w:t>×10</w:t>
            </w:r>
            <w:r>
              <w:rPr>
                <w:rFonts w:hint="eastAsia" w:ascii="宋体" w:hAnsi="宋体" w:eastAsia="宋体"/>
                <w:color w:val="auto"/>
                <w:sz w:val="18"/>
                <w:szCs w:val="18"/>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Zn</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0.000992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Pb</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Ni</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0.000108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Sn</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Ag</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Al</w:t>
            </w:r>
            <w:r>
              <w:rPr>
                <w:rFonts w:hint="eastAsia" w:ascii="宋体" w:hAnsi="宋体" w:eastAsia="宋体"/>
                <w:color w:val="auto"/>
                <w:sz w:val="18"/>
                <w:szCs w:val="18"/>
              </w:rPr>
              <w:t xml:space="preserve"> </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1</w:t>
            </w:r>
            <w:r>
              <w:rPr>
                <w:rFonts w:hint="eastAsia" w:ascii="宋体" w:hAnsi="宋体" w:eastAsia="宋体"/>
                <w:color w:val="auto"/>
                <w:sz w:val="18"/>
                <w:szCs w:val="18"/>
              </w:rPr>
              <w:t>×10</w:t>
            </w:r>
            <w:r>
              <w:rPr>
                <w:rFonts w:hint="eastAsia" w:ascii="宋体" w:hAnsi="宋体" w:eastAsia="宋体"/>
                <w:color w:val="auto"/>
                <w:sz w:val="18"/>
                <w:szCs w:val="18"/>
                <w:vertAlign w:val="superscript"/>
              </w:rPr>
              <w:t>-</w:t>
            </w:r>
            <w:r>
              <w:rPr>
                <w:rFonts w:hint="eastAsia" w:ascii="宋体" w:hAnsi="宋体" w:eastAsia="宋体"/>
                <w:color w:val="auto"/>
                <w:sz w:val="18"/>
                <w:szCs w:val="18"/>
                <w:vertAlign w:val="superscript"/>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As</w:t>
            </w:r>
            <w:r>
              <w:rPr>
                <w:rFonts w:hint="eastAsia" w:ascii="宋体" w:hAnsi="宋体" w:eastAsia="宋体"/>
                <w:color w:val="auto"/>
                <w:sz w:val="18"/>
                <w:szCs w:val="18"/>
              </w:rPr>
              <w:t xml:space="preserve"> </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0.00917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Bi</w:t>
            </w:r>
            <w:r>
              <w:rPr>
                <w:rFonts w:hint="eastAsia" w:ascii="宋体" w:hAnsi="宋体" w:eastAsia="宋体"/>
                <w:color w:val="auto"/>
                <w:sz w:val="18"/>
                <w:szCs w:val="18"/>
              </w:rPr>
              <w:t xml:space="preserve"> </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0.0731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Cd</w:t>
            </w:r>
            <w:r>
              <w:rPr>
                <w:rFonts w:hint="eastAsia" w:ascii="宋体" w:hAnsi="宋体" w:eastAsia="宋体"/>
                <w:color w:val="auto"/>
                <w:sz w:val="18"/>
                <w:szCs w:val="18"/>
              </w:rPr>
              <w:t xml:space="preserve"> </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Be</w:t>
            </w:r>
            <w:r>
              <w:rPr>
                <w:rFonts w:hint="eastAsia" w:ascii="宋体" w:hAnsi="宋体" w:eastAsia="宋体"/>
                <w:color w:val="auto"/>
                <w:sz w:val="18"/>
                <w:szCs w:val="18"/>
              </w:rPr>
              <w:t xml:space="preserve"> </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s="Arial Unicode MS"/>
                <w:color w:val="auto"/>
                <w:sz w:val="18"/>
                <w:szCs w:val="18"/>
              </w:rPr>
              <w:t>3.19</w:t>
            </w:r>
            <w:r>
              <w:rPr>
                <w:rFonts w:hint="eastAsia" w:ascii="宋体" w:hAnsi="宋体" w:eastAsia="宋体"/>
                <w:color w:val="auto"/>
                <w:sz w:val="18"/>
                <w:szCs w:val="18"/>
              </w:rPr>
              <w:t>×10</w:t>
            </w:r>
            <w:r>
              <w:rPr>
                <w:rFonts w:hint="eastAsia" w:ascii="宋体" w:hAnsi="宋体" w:eastAsia="宋体"/>
                <w:color w:val="auto"/>
                <w:sz w:val="18"/>
                <w:szCs w:val="18"/>
                <w:vertAlign w:val="superscript"/>
              </w:rPr>
              <w:t>-</w:t>
            </w:r>
            <w:r>
              <w:rPr>
                <w:rFonts w:hint="eastAsia" w:ascii="宋体" w:hAnsi="宋体" w:eastAsia="宋体"/>
                <w:color w:val="auto"/>
                <w:sz w:val="18"/>
                <w:szCs w:val="18"/>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Te</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r>
              <w:rPr>
                <w:rFonts w:hint="eastAsia" w:ascii="宋体" w:hAnsi="宋体" w:eastAsia="宋体"/>
                <w:color w:val="auto"/>
                <w:sz w:val="18"/>
                <w:szCs w:val="18"/>
              </w:rPr>
              <w:t>能源消耗</w:t>
            </w:r>
          </w:p>
        </w:tc>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r>
              <w:rPr>
                <w:rFonts w:ascii="宋体" w:hAnsi="宋体" w:eastAsia="宋体"/>
                <w:color w:val="auto"/>
                <w:sz w:val="18"/>
                <w:szCs w:val="18"/>
              </w:rPr>
              <w:t>K</w:t>
            </w:r>
            <w:r>
              <w:rPr>
                <w:rFonts w:hint="eastAsia" w:ascii="宋体" w:hAnsi="宋体" w:eastAsia="宋体"/>
                <w:color w:val="auto"/>
                <w:sz w:val="18"/>
                <w:szCs w:val="18"/>
              </w:rPr>
              <w:t>g （Sb</w:t>
            </w:r>
            <w:r>
              <w:rPr>
                <w:rFonts w:hint="eastAsia" w:ascii="宋体" w:hAnsi="宋体" w:eastAsia="宋体"/>
                <w:color w:val="auto"/>
                <w:sz w:val="18"/>
                <w:szCs w:val="18"/>
              </w:rPr>
              <w:t>当量</w:t>
            </w:r>
            <w:r>
              <w:rPr>
                <w:rFonts w:hint="eastAsia" w:ascii="宋体" w:hAnsi="宋体" w:eastAsia="宋体"/>
                <w:color w:val="auto"/>
                <w:sz w:val="18"/>
                <w:szCs w:val="18"/>
              </w:rPr>
              <w:t>/kg）</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rPr>
              <w:t>天然气</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strike w:val="0"/>
                <w:dstrike w:val="0"/>
                <w:color w:val="auto"/>
                <w:sz w:val="18"/>
                <w:szCs w:val="18"/>
                <w:highlight w:val="none"/>
                <w:lang w:val="en-US" w:eastAsia="zh-CN"/>
              </w:rPr>
              <w:t>1.42</w:t>
            </w:r>
            <w:r>
              <w:rPr>
                <w:rFonts w:hint="eastAsia" w:ascii="宋体" w:hAnsi="宋体" w:eastAsia="宋体"/>
                <w:strike w:val="0"/>
                <w:dstrike w:val="0"/>
                <w:color w:val="auto"/>
                <w:sz w:val="18"/>
                <w:szCs w:val="18"/>
                <w:highlight w:val="none"/>
              </w:rPr>
              <w:t>×10</w:t>
            </w:r>
            <w:r>
              <w:rPr>
                <w:rFonts w:hint="eastAsia" w:ascii="宋体" w:hAnsi="宋体" w:eastAsia="宋体"/>
                <w:strike w:val="0"/>
                <w:dstrike w:val="0"/>
                <w:color w:val="auto"/>
                <w:sz w:val="18"/>
                <w:szCs w:val="18"/>
                <w:highlight w:val="none"/>
                <w:vertAlign w:val="superscript"/>
              </w:rPr>
              <w:t>-</w:t>
            </w:r>
            <w:r>
              <w:rPr>
                <w:rFonts w:hint="eastAsia" w:ascii="宋体" w:hAnsi="宋体" w:eastAsia="宋体"/>
                <w:strike w:val="0"/>
                <w:dstrike w:val="0"/>
                <w:color w:val="auto"/>
                <w:sz w:val="18"/>
                <w:szCs w:val="18"/>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strike/>
                <w:dstrike w:val="0"/>
                <w:color w:val="auto"/>
                <w:kern w:val="2"/>
                <w:sz w:val="18"/>
                <w:szCs w:val="18"/>
                <w:highlight w:val="none"/>
                <w:lang w:val="en-US" w:eastAsia="zh-CN" w:bidi="ar-SA"/>
              </w:rPr>
            </w:pPr>
            <w:r>
              <w:rPr>
                <w:rFonts w:hint="eastAsia" w:ascii="宋体" w:hAnsi="宋体" w:eastAsia="宋体"/>
                <w:strike w:val="0"/>
                <w:dstrike w:val="0"/>
                <w:color w:val="auto"/>
                <w:sz w:val="18"/>
                <w:szCs w:val="18"/>
                <w:highlight w:val="none"/>
              </w:rPr>
              <w:t>煤</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strike/>
                <w:dstrike w:val="0"/>
                <w:color w:val="auto"/>
                <w:kern w:val="2"/>
                <w:sz w:val="18"/>
                <w:szCs w:val="18"/>
                <w:highlight w:val="none"/>
                <w:lang w:val="en-US" w:eastAsia="zh-CN" w:bidi="ar-SA"/>
              </w:rPr>
            </w:pPr>
            <w:r>
              <w:rPr>
                <w:rFonts w:hint="eastAsia" w:ascii="宋体" w:hAnsi="宋体" w:eastAsia="宋体"/>
                <w:color w:val="auto"/>
                <w:sz w:val="18"/>
                <w:szCs w:val="18"/>
                <w:highlight w:val="none"/>
              </w:rPr>
              <w:t>5.69×10</w:t>
            </w:r>
            <w:r>
              <w:rPr>
                <w:rFonts w:hint="eastAsia" w:ascii="宋体" w:hAnsi="宋体" w:eastAsia="宋体"/>
                <w:color w:val="auto"/>
                <w:sz w:val="18"/>
                <w:szCs w:val="18"/>
                <w:highlight w:val="none"/>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石油</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1.42</w:t>
            </w:r>
            <w:r>
              <w:rPr>
                <w:rFonts w:hint="eastAsia" w:ascii="宋体" w:hAnsi="宋体" w:eastAsia="宋体"/>
                <w:strike w:val="0"/>
                <w:dstrike w:val="0"/>
                <w:color w:val="auto"/>
                <w:sz w:val="18"/>
                <w:szCs w:val="18"/>
                <w:highlight w:val="none"/>
              </w:rPr>
              <w:t>×10</w:t>
            </w:r>
            <w:r>
              <w:rPr>
                <w:rFonts w:hint="eastAsia" w:ascii="宋体" w:hAnsi="宋体" w:eastAsia="宋体"/>
                <w:strike w:val="0"/>
                <w:dstrike w:val="0"/>
                <w:color w:val="auto"/>
                <w:sz w:val="18"/>
                <w:szCs w:val="18"/>
                <w:highlight w:val="none"/>
                <w:vertAlign w:val="superscript"/>
              </w:rPr>
              <w:t>-</w:t>
            </w:r>
            <w:r>
              <w:rPr>
                <w:rFonts w:hint="eastAsia" w:ascii="宋体" w:hAnsi="宋体" w:eastAsia="宋体"/>
                <w:strike w:val="0"/>
                <w:dstrike w:val="0"/>
                <w:color w:val="auto"/>
                <w:sz w:val="18"/>
                <w:szCs w:val="18"/>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restart"/>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restart"/>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CO</w:t>
            </w:r>
            <w:r>
              <w:rPr>
                <w:rFonts w:ascii="宋体" w:hAnsi="宋体" w:eastAsia="宋体"/>
                <w:color w:val="auto"/>
                <w:sz w:val="18"/>
                <w:szCs w:val="18"/>
                <w:vertAlign w:val="subscript"/>
              </w:rPr>
              <w:t>2</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C0</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strike/>
                <w:dstrike w:val="0"/>
                <w:color w:val="auto"/>
                <w:kern w:val="2"/>
                <w:sz w:val="18"/>
                <w:szCs w:val="18"/>
                <w:highlight w:val="none"/>
                <w:lang w:val="en-US" w:eastAsia="zh-CN" w:bidi="ar-SA"/>
              </w:rPr>
            </w:pPr>
            <w:r>
              <w:rPr>
                <w:rFonts w:hint="eastAsia" w:ascii="宋体" w:hAnsi="宋体" w:eastAsia="宋体"/>
                <w:strike w:val="0"/>
                <w:dstrike w:val="0"/>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strike w:val="0"/>
                <w:dstrike w:val="0"/>
                <w:color w:val="auto"/>
                <w:kern w:val="2"/>
                <w:sz w:val="18"/>
                <w:szCs w:val="18"/>
                <w:highlight w:val="none"/>
                <w:lang w:val="en-US" w:eastAsia="zh-CN" w:bidi="ar-SA"/>
              </w:rPr>
            </w:pPr>
            <w:r>
              <w:rPr>
                <w:rFonts w:ascii="宋体" w:hAnsi="宋体" w:eastAsia="宋体"/>
                <w:strike w:val="0"/>
                <w:dstrike w:val="0"/>
                <w:color w:val="auto"/>
                <w:sz w:val="18"/>
                <w:szCs w:val="18"/>
                <w:highlight w:val="none"/>
              </w:rPr>
              <w:t>NO</w:t>
            </w:r>
            <w:r>
              <w:rPr>
                <w:rFonts w:ascii="宋体" w:hAnsi="宋体" w:eastAsia="宋体"/>
                <w:strike w:val="0"/>
                <w:dstrike w:val="0"/>
                <w:color w:val="auto"/>
                <w:sz w:val="18"/>
                <w:szCs w:val="18"/>
                <w:highlight w:val="none"/>
                <w:vertAlign w:val="subscript"/>
              </w:rPr>
              <w:t>x</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strike w:val="0"/>
                <w:dstrike w:val="0"/>
                <w:color w:val="auto"/>
                <w:kern w:val="2"/>
                <w:sz w:val="18"/>
                <w:szCs w:val="18"/>
                <w:highlight w:val="none"/>
                <w:lang w:val="en-US" w:eastAsia="zh-CN" w:bidi="ar-SA"/>
              </w:rPr>
            </w:pPr>
            <w:r>
              <w:rPr>
                <w:rFonts w:hint="eastAsia" w:ascii="宋体" w:hAnsi="宋体" w:eastAsia="宋体"/>
                <w:strike w:val="0"/>
                <w:dstrike w:val="0"/>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strike w:val="0"/>
                <w:dstrike w:val="0"/>
                <w:color w:val="auto"/>
                <w:kern w:val="2"/>
                <w:sz w:val="18"/>
                <w:szCs w:val="18"/>
                <w:lang w:val="en-US" w:eastAsia="zh-CN" w:bidi="ar-SA"/>
              </w:rPr>
            </w:pPr>
            <w:r>
              <w:rPr>
                <w:rFonts w:hint="eastAsia" w:ascii="宋体" w:hAnsi="宋体" w:eastAsia="宋体"/>
                <w:strike w:val="0"/>
                <w:dstrike w:val="0"/>
                <w:color w:val="auto"/>
                <w:sz w:val="18"/>
                <w:szCs w:val="18"/>
              </w:rPr>
              <w:t>H</w:t>
            </w:r>
            <w:r>
              <w:rPr>
                <w:rFonts w:hint="eastAsia" w:ascii="宋体" w:hAnsi="宋体" w:eastAsia="宋体"/>
                <w:strike w:val="0"/>
                <w:dstrike w:val="0"/>
                <w:color w:val="auto"/>
                <w:sz w:val="18"/>
                <w:szCs w:val="18"/>
                <w:vertAlign w:val="subscript"/>
              </w:rPr>
              <w:t>2</w:t>
            </w:r>
            <w:r>
              <w:rPr>
                <w:rFonts w:hint="eastAsia" w:ascii="宋体" w:hAnsi="宋体" w:eastAsia="宋体"/>
                <w:strike w:val="0"/>
                <w:dstrike w:val="0"/>
                <w:color w:val="auto"/>
                <w:sz w:val="18"/>
                <w:szCs w:val="18"/>
              </w:rPr>
              <w:t>SO</w:t>
            </w:r>
            <w:r>
              <w:rPr>
                <w:rFonts w:hint="eastAsia" w:ascii="宋体" w:hAnsi="宋体" w:eastAsia="宋体"/>
                <w:strike w:val="0"/>
                <w:dstrike w:val="0"/>
                <w:color w:val="auto"/>
                <w:sz w:val="18"/>
                <w:szCs w:val="18"/>
                <w:vertAlign w:val="subscript"/>
              </w:rPr>
              <w:t>4</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strike w:val="0"/>
                <w:dstrike w:val="0"/>
                <w:color w:val="auto"/>
                <w:kern w:val="2"/>
                <w:sz w:val="18"/>
                <w:szCs w:val="18"/>
                <w:lang w:val="en-US" w:eastAsia="zh-CN" w:bidi="ar-SA"/>
              </w:rPr>
            </w:pPr>
            <w:r>
              <w:rPr>
                <w:rFonts w:hint="eastAsia" w:ascii="宋体" w:hAnsi="宋体" w:eastAsia="宋体"/>
                <w:strike w:val="0"/>
                <w:dstrike w:val="0"/>
                <w:color w:val="auto"/>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CH</w:t>
            </w:r>
            <w:r>
              <w:rPr>
                <w:rFonts w:ascii="宋体" w:hAnsi="宋体" w:eastAsia="宋体"/>
                <w:color w:val="auto"/>
                <w:sz w:val="18"/>
                <w:szCs w:val="18"/>
                <w:vertAlign w:val="subscript"/>
              </w:rPr>
              <w:t>4</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N</w:t>
            </w:r>
            <w:r>
              <w:rPr>
                <w:rFonts w:hint="eastAsia" w:ascii="宋体" w:hAnsi="宋体" w:eastAsia="宋体"/>
                <w:color w:val="auto"/>
                <w:sz w:val="18"/>
                <w:szCs w:val="18"/>
                <w:vertAlign w:val="subscript"/>
              </w:rPr>
              <w:t>2</w:t>
            </w:r>
            <w:r>
              <w:rPr>
                <w:rFonts w:hint="eastAsia" w:ascii="宋体" w:hAnsi="宋体" w:eastAsia="宋体"/>
                <w:color w:val="auto"/>
                <w:sz w:val="18"/>
                <w:szCs w:val="18"/>
              </w:rPr>
              <w:t>O</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富营养化</w:t>
            </w:r>
          </w:p>
        </w:tc>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K</w:t>
            </w:r>
            <w:r>
              <w:rPr>
                <w:rFonts w:hint="eastAsia" w:ascii="宋体" w:hAnsi="宋体" w:eastAsia="宋体"/>
                <w:color w:val="auto"/>
                <w:sz w:val="18"/>
                <w:szCs w:val="18"/>
              </w:rPr>
              <w:t>g（</w:t>
            </w:r>
            <w:r>
              <w:rPr>
                <w:rFonts w:ascii="宋体" w:hAnsi="宋体" w:eastAsia="宋体"/>
                <w:color w:val="auto"/>
                <w:sz w:val="18"/>
                <w:szCs w:val="18"/>
              </w:rPr>
              <w:t>PO</w:t>
            </w:r>
            <w:r>
              <w:rPr>
                <w:rFonts w:ascii="宋体" w:hAnsi="宋体" w:eastAsia="宋体"/>
                <w:color w:val="auto"/>
                <w:sz w:val="18"/>
                <w:szCs w:val="18"/>
                <w:vertAlign w:val="subscript"/>
              </w:rPr>
              <w:t>4</w:t>
            </w:r>
            <w:r>
              <w:rPr>
                <w:rFonts w:ascii="宋体" w:hAnsi="宋体" w:eastAsia="宋体"/>
                <w:color w:val="auto"/>
                <w:sz w:val="18"/>
                <w:szCs w:val="18"/>
                <w:vertAlign w:val="superscript"/>
              </w:rPr>
              <w:t>3-</w:t>
            </w:r>
            <w:r>
              <w:rPr>
                <w:rFonts w:hint="eastAsia" w:ascii="宋体" w:hAnsi="宋体" w:eastAsia="宋体"/>
                <w:color w:val="auto"/>
                <w:sz w:val="18"/>
                <w:szCs w:val="18"/>
              </w:rPr>
              <w:t>当量</w:t>
            </w:r>
            <w:r>
              <w:rPr>
                <w:rFonts w:hint="eastAsia" w:ascii="宋体" w:hAnsi="宋体" w:eastAsia="宋体"/>
                <w:color w:val="auto"/>
                <w:sz w:val="18"/>
                <w:szCs w:val="18"/>
              </w:rPr>
              <w:t>/kg）</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PO</w:t>
            </w:r>
            <w:r>
              <w:rPr>
                <w:rFonts w:ascii="宋体" w:hAnsi="宋体" w:eastAsia="宋体"/>
                <w:color w:val="auto"/>
                <w:sz w:val="18"/>
                <w:szCs w:val="18"/>
                <w:vertAlign w:val="subscript"/>
              </w:rPr>
              <w:t>4</w:t>
            </w:r>
            <w:r>
              <w:rPr>
                <w:rFonts w:ascii="宋体" w:hAnsi="宋体" w:eastAsia="宋体"/>
                <w:color w:val="auto"/>
                <w:sz w:val="18"/>
                <w:szCs w:val="18"/>
                <w:vertAlign w:val="superscript"/>
              </w:rPr>
              <w:t>3-</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NO</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NO</w:t>
            </w:r>
            <w:r>
              <w:rPr>
                <w:rFonts w:hint="eastAsia" w:ascii="宋体" w:hAnsi="宋体" w:eastAsia="宋体"/>
                <w:color w:val="auto"/>
                <w:sz w:val="18"/>
                <w:szCs w:val="18"/>
                <w:vertAlign w:val="subscript"/>
              </w:rPr>
              <w:t>2</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NO</w:t>
            </w:r>
            <w:r>
              <w:rPr>
                <w:rFonts w:ascii="宋体" w:hAnsi="宋体" w:eastAsia="宋体"/>
                <w:color w:val="auto"/>
                <w:sz w:val="18"/>
                <w:szCs w:val="18"/>
                <w:vertAlign w:val="subscript"/>
              </w:rPr>
              <w:t>x</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N</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N</w:t>
            </w:r>
            <w:r>
              <w:rPr>
                <w:rFonts w:ascii="宋体" w:hAnsi="宋体" w:eastAsia="宋体"/>
                <w:color w:val="auto"/>
                <w:sz w:val="18"/>
                <w:szCs w:val="18"/>
              </w:rPr>
              <w:t>O</w:t>
            </w:r>
            <w:r>
              <w:rPr>
                <w:rFonts w:hint="eastAsia" w:ascii="宋体" w:hAnsi="宋体" w:eastAsia="宋体"/>
                <w:color w:val="auto"/>
                <w:sz w:val="18"/>
                <w:szCs w:val="18"/>
                <w:vertAlign w:val="subscript"/>
                <w:lang w:val="en-US" w:eastAsia="zh-CN"/>
              </w:rPr>
              <w:t>3</w:t>
            </w:r>
            <w:r>
              <w:rPr>
                <w:rFonts w:ascii="宋体" w:hAnsi="宋体" w:eastAsia="宋体"/>
                <w:color w:val="auto"/>
                <w:sz w:val="18"/>
                <w:szCs w:val="18"/>
                <w:vertAlign w:val="superscript"/>
              </w:rPr>
              <w:t>-</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COD</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r>
              <w:rPr>
                <w:rFonts w:hint="eastAsia" w:ascii="宋体" w:hAnsi="宋体" w:eastAsia="宋体"/>
                <w:color w:val="auto"/>
                <w:sz w:val="18"/>
                <w:szCs w:val="18"/>
              </w:rPr>
              <w:t>酸化</w:t>
            </w:r>
          </w:p>
        </w:tc>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r>
              <w:rPr>
                <w:rFonts w:ascii="宋体" w:hAnsi="宋体" w:eastAsia="宋体"/>
                <w:color w:val="auto"/>
                <w:sz w:val="18"/>
                <w:szCs w:val="18"/>
              </w:rPr>
              <w:t>K</w:t>
            </w:r>
            <w:r>
              <w:rPr>
                <w:rFonts w:hint="eastAsia" w:ascii="宋体" w:hAnsi="宋体" w:eastAsia="宋体"/>
                <w:color w:val="auto"/>
                <w:sz w:val="18"/>
                <w:szCs w:val="18"/>
              </w:rPr>
              <w:t>g</w:t>
            </w:r>
            <w:r>
              <w:rPr>
                <w:rFonts w:ascii="宋体" w:hAnsi="宋体" w:eastAsia="宋体"/>
                <w:color w:val="auto"/>
                <w:sz w:val="18"/>
                <w:szCs w:val="18"/>
              </w:rPr>
              <w:t xml:space="preserve"> </w:t>
            </w:r>
            <w:r>
              <w:rPr>
                <w:rFonts w:hint="eastAsia" w:ascii="宋体" w:hAnsi="宋体" w:eastAsia="宋体"/>
                <w:color w:val="auto"/>
                <w:sz w:val="18"/>
                <w:szCs w:val="18"/>
              </w:rPr>
              <w:t>（</w:t>
            </w:r>
            <w:r>
              <w:rPr>
                <w:rFonts w:ascii="宋体" w:hAnsi="宋体" w:eastAsia="宋体"/>
                <w:color w:val="auto"/>
                <w:sz w:val="18"/>
                <w:szCs w:val="18"/>
              </w:rPr>
              <w:t>SO</w:t>
            </w:r>
            <w:r>
              <w:rPr>
                <w:rFonts w:ascii="宋体" w:hAnsi="宋体" w:eastAsia="宋体"/>
                <w:color w:val="auto"/>
                <w:sz w:val="18"/>
                <w:szCs w:val="18"/>
                <w:vertAlign w:val="subscript"/>
              </w:rPr>
              <w:t>2</w:t>
            </w:r>
            <w:r>
              <w:rPr>
                <w:rFonts w:hint="eastAsia" w:ascii="宋体" w:hAnsi="宋体" w:eastAsia="宋体"/>
                <w:color w:val="auto"/>
                <w:sz w:val="18"/>
                <w:szCs w:val="18"/>
              </w:rPr>
              <w:t>当量</w:t>
            </w:r>
            <w:r>
              <w:rPr>
                <w:rFonts w:hint="eastAsia" w:ascii="宋体" w:hAnsi="宋体" w:eastAsia="宋体"/>
                <w:color w:val="auto"/>
                <w:sz w:val="18"/>
                <w:szCs w:val="18"/>
              </w:rPr>
              <w:t>/kg）</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SO</w:t>
            </w:r>
            <w:r>
              <w:rPr>
                <w:rFonts w:ascii="宋体" w:hAnsi="宋体" w:eastAsia="宋体"/>
                <w:color w:val="auto"/>
                <w:sz w:val="18"/>
                <w:szCs w:val="18"/>
                <w:vertAlign w:val="subscript"/>
              </w:rPr>
              <w:t>2</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SO</w:t>
            </w:r>
            <w:r>
              <w:rPr>
                <w:rFonts w:hint="eastAsia" w:ascii="宋体" w:hAnsi="宋体" w:eastAsia="宋体"/>
                <w:color w:val="auto"/>
                <w:sz w:val="18"/>
                <w:szCs w:val="18"/>
                <w:vertAlign w:val="subscript"/>
                <w:lang w:val="en-US" w:eastAsia="zh-CN"/>
              </w:rPr>
              <w:t>3</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NO</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NO</w:t>
            </w:r>
            <w:r>
              <w:rPr>
                <w:rFonts w:hint="eastAsia" w:ascii="宋体" w:hAnsi="宋体" w:eastAsia="宋体"/>
                <w:color w:val="auto"/>
                <w:sz w:val="18"/>
                <w:szCs w:val="18"/>
                <w:vertAlign w:val="subscript"/>
              </w:rPr>
              <w:t>2</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NO</w:t>
            </w:r>
            <w:r>
              <w:rPr>
                <w:rFonts w:ascii="宋体" w:hAnsi="宋体" w:eastAsia="宋体"/>
                <w:color w:val="auto"/>
                <w:sz w:val="18"/>
                <w:szCs w:val="18"/>
                <w:vertAlign w:val="subscript"/>
              </w:rPr>
              <w:t>x</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H</w:t>
            </w:r>
            <w:r>
              <w:rPr>
                <w:rFonts w:hint="eastAsia" w:ascii="宋体" w:hAnsi="宋体" w:eastAsia="宋体"/>
                <w:color w:val="auto"/>
                <w:sz w:val="18"/>
                <w:szCs w:val="18"/>
                <w:vertAlign w:val="subscript"/>
              </w:rPr>
              <w:t>2</w:t>
            </w:r>
            <w:r>
              <w:rPr>
                <w:rFonts w:hint="eastAsia" w:ascii="宋体" w:hAnsi="宋体" w:eastAsia="宋体"/>
                <w:color w:val="auto"/>
                <w:sz w:val="18"/>
                <w:szCs w:val="18"/>
              </w:rPr>
              <w:t>SO</w:t>
            </w:r>
            <w:r>
              <w:rPr>
                <w:rFonts w:hint="eastAsia" w:ascii="宋体" w:hAnsi="宋体" w:eastAsia="宋体"/>
                <w:color w:val="auto"/>
                <w:sz w:val="18"/>
                <w:szCs w:val="18"/>
                <w:vertAlign w:val="subscript"/>
              </w:rPr>
              <w:t>4</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HCl</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N</w:t>
            </w:r>
            <w:r>
              <w:rPr>
                <w:rFonts w:hint="eastAsia" w:ascii="宋体" w:hAnsi="宋体" w:eastAsia="宋体"/>
                <w:color w:val="auto"/>
                <w:sz w:val="18"/>
                <w:szCs w:val="18"/>
              </w:rPr>
              <w:t>H</w:t>
            </w:r>
            <w:r>
              <w:rPr>
                <w:rFonts w:hint="eastAsia" w:ascii="宋体" w:hAnsi="宋体" w:eastAsia="宋体"/>
                <w:color w:val="auto"/>
                <w:sz w:val="18"/>
                <w:szCs w:val="18"/>
                <w:vertAlign w:val="subscript"/>
              </w:rPr>
              <w:t>3</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r>
              <w:rPr>
                <w:rFonts w:hint="eastAsia" w:ascii="宋体" w:hAnsi="宋体" w:eastAsia="宋体"/>
                <w:color w:val="auto"/>
                <w:sz w:val="18"/>
                <w:szCs w:val="18"/>
              </w:rPr>
              <w:t>人体健康危害</w:t>
            </w:r>
          </w:p>
        </w:tc>
        <w:tc>
          <w:tcPr>
            <w:tcW w:w="227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r>
              <w:rPr>
                <w:rFonts w:hint="eastAsia" w:ascii="宋体" w:hAnsi="宋体" w:eastAsia="宋体"/>
                <w:color w:val="auto"/>
                <w:sz w:val="18"/>
                <w:szCs w:val="18"/>
              </w:rPr>
              <w:t>1,4-二氯苯</w:t>
            </w:r>
            <w:r>
              <w:rPr>
                <w:rFonts w:hint="eastAsia" w:ascii="宋体" w:hAnsi="宋体" w:eastAsia="宋体"/>
                <w:color w:val="auto"/>
                <w:sz w:val="18"/>
                <w:szCs w:val="18"/>
              </w:rPr>
              <w:t>当量</w:t>
            </w:r>
            <w:r>
              <w:rPr>
                <w:rFonts w:hint="eastAsia" w:ascii="宋体" w:hAnsi="宋体" w:eastAsia="宋体"/>
                <w:color w:val="auto"/>
                <w:sz w:val="18"/>
                <w:szCs w:val="18"/>
              </w:rPr>
              <w:t>/kg</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vertAlign w:val="subscript"/>
                <w:lang w:val="en-US" w:eastAsia="zh-CN" w:bidi="ar-SA"/>
              </w:rPr>
            </w:pPr>
            <w:r>
              <w:rPr>
                <w:rFonts w:ascii="宋体" w:hAnsi="宋体" w:eastAsia="宋体"/>
                <w:color w:val="auto"/>
                <w:sz w:val="18"/>
                <w:szCs w:val="18"/>
              </w:rPr>
              <w:t>NO</w:t>
            </w:r>
            <w:r>
              <w:rPr>
                <w:rFonts w:ascii="宋体" w:hAnsi="宋体" w:eastAsia="宋体"/>
                <w:color w:val="auto"/>
                <w:sz w:val="18"/>
                <w:szCs w:val="18"/>
                <w:vertAlign w:val="subscript"/>
              </w:rPr>
              <w:t>x</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ascii="宋体" w:hAnsi="宋体" w:eastAsia="宋体"/>
                <w:color w:val="auto"/>
                <w:sz w:val="18"/>
                <w:szCs w:val="18"/>
              </w:rPr>
              <w:t>SO</w:t>
            </w:r>
            <w:r>
              <w:rPr>
                <w:rFonts w:hint="eastAsia" w:ascii="宋体" w:hAnsi="宋体" w:eastAsia="宋体"/>
                <w:color w:val="auto"/>
                <w:sz w:val="18"/>
                <w:szCs w:val="18"/>
                <w:vertAlign w:val="subscript"/>
              </w:rPr>
              <w:t>x</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79"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Cs w:val="21"/>
                <w:vertAlign w:val="baseline"/>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颗粒物</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heme="minorBidi"/>
                <w:color w:val="auto"/>
                <w:kern w:val="2"/>
                <w:sz w:val="18"/>
                <w:szCs w:val="18"/>
                <w:lang w:val="en-US" w:eastAsia="zh-CN" w:bidi="ar-SA"/>
              </w:rPr>
            </w:pPr>
            <w:r>
              <w:rPr>
                <w:rFonts w:hint="eastAsia" w:ascii="宋体" w:hAnsi="宋体" w:eastAsia="宋体"/>
                <w:color w:val="auto"/>
                <w:sz w:val="18"/>
                <w:szCs w:val="18"/>
              </w:rPr>
              <w:t>0.82</w:t>
            </w:r>
          </w:p>
        </w:tc>
      </w:tr>
    </w:tbl>
    <w:p>
      <w:pPr>
        <w:spacing w:beforeLines="50"/>
        <w:rPr>
          <w:rFonts w:ascii="黑体" w:eastAsia="黑体" w:hAnsiTheme="minorEastAsia"/>
          <w:color w:val="auto"/>
          <w:szCs w:val="21"/>
        </w:rPr>
      </w:pPr>
      <w:r>
        <w:rPr>
          <w:rFonts w:hint="eastAsia" w:ascii="黑体" w:eastAsia="黑体" w:hAnsiTheme="minorEastAsia"/>
          <w:color w:val="auto"/>
          <w:szCs w:val="21"/>
        </w:rPr>
        <w:t>5.6 生命周期评价报告的编制</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5.6.1 编制依据</w:t>
      </w:r>
    </w:p>
    <w:p>
      <w:pPr>
        <w:widowControl/>
        <w:jc w:val="left"/>
        <w:rPr>
          <w:rFonts w:ascii="宋体" w:hAnsi="宋体"/>
          <w:color w:val="auto"/>
          <w:szCs w:val="21"/>
        </w:rPr>
      </w:pPr>
      <w:r>
        <w:rPr>
          <w:rFonts w:hint="eastAsia"/>
          <w:color w:val="auto"/>
          <w:szCs w:val="21"/>
        </w:rPr>
        <w:t xml:space="preserve">   </w:t>
      </w:r>
      <w:r>
        <w:rPr>
          <w:rFonts w:hint="eastAsia" w:ascii="宋体" w:hAnsi="宋体" w:cs="宋体"/>
          <w:color w:val="auto"/>
          <w:kern w:val="0"/>
          <w:szCs w:val="21"/>
        </w:rPr>
        <w:t xml:space="preserve"> 依据本文件的生命周期评价技术规范建立生命周期评价方法学，并依据此方法编制产品生命周期评价报告。</w:t>
      </w:r>
    </w:p>
    <w:p>
      <w:pPr>
        <w:autoSpaceDE w:val="0"/>
        <w:autoSpaceDN w:val="0"/>
        <w:adjustRightInd w:val="0"/>
        <w:spacing w:beforeLines="50" w:afterLines="50"/>
        <w:jc w:val="left"/>
        <w:rPr>
          <w:rFonts w:ascii="黑体" w:eastAsia="黑体" w:cs="黑体"/>
          <w:color w:val="auto"/>
          <w:kern w:val="0"/>
          <w:szCs w:val="21"/>
        </w:rPr>
      </w:pPr>
      <w:bookmarkStart w:id="8" w:name="_Toc514086409"/>
      <w:r>
        <w:rPr>
          <w:rFonts w:hint="eastAsia" w:ascii="黑体" w:eastAsia="黑体" w:cs="黑体"/>
          <w:color w:val="auto"/>
          <w:kern w:val="0"/>
          <w:szCs w:val="21"/>
        </w:rPr>
        <w:t>5.6.</w:t>
      </w:r>
      <w:r>
        <w:rPr>
          <w:rFonts w:hint="eastAsia" w:ascii="黑体" w:eastAsia="黑体" w:cs="黑体"/>
          <w:color w:val="auto"/>
          <w:kern w:val="0"/>
          <w:szCs w:val="21"/>
          <w:lang w:val="en-US" w:eastAsia="zh-CN"/>
        </w:rPr>
        <w:t>2</w:t>
      </w:r>
      <w:r>
        <w:rPr>
          <w:rFonts w:hint="eastAsia" w:ascii="黑体" w:eastAsia="黑体" w:cs="黑体"/>
          <w:color w:val="auto"/>
          <w:kern w:val="0"/>
          <w:szCs w:val="21"/>
        </w:rPr>
        <w:t xml:space="preserve"> 基本信息</w:t>
      </w:r>
    </w:p>
    <w:p>
      <w:pPr>
        <w:ind w:firstLine="420"/>
        <w:jc w:val="left"/>
        <w:rPr>
          <w:rFonts w:ascii="宋体" w:cs="宋体"/>
          <w:color w:val="auto"/>
          <w:kern w:val="0"/>
          <w:szCs w:val="21"/>
        </w:rPr>
      </w:pPr>
      <w:r>
        <w:rPr>
          <w:rFonts w:hint="eastAsia" w:ascii="宋体" w:cs="宋体"/>
          <w:color w:val="auto"/>
          <w:kern w:val="0"/>
          <w:szCs w:val="21"/>
        </w:rPr>
        <w:t>报告应提供报告信息、申请者信息、评估对象信息、采用的标准信息等基本信息，各信息内容应包括：</w:t>
      </w:r>
    </w:p>
    <w:p>
      <w:pPr>
        <w:ind w:firstLine="420"/>
        <w:jc w:val="left"/>
        <w:rPr>
          <w:rFonts w:ascii="宋体" w:cs="宋体"/>
          <w:color w:val="auto"/>
          <w:kern w:val="0"/>
          <w:szCs w:val="21"/>
        </w:rPr>
      </w:pPr>
      <w:r>
        <w:rPr>
          <w:rFonts w:hint="eastAsia" w:ascii="宋体" w:cs="宋体"/>
          <w:color w:val="auto"/>
          <w:kern w:val="0"/>
          <w:szCs w:val="21"/>
        </w:rPr>
        <w:t>a)报告信息：包括报告编号、编制人员、审核人员、发布日期等；</w:t>
      </w:r>
    </w:p>
    <w:p>
      <w:pPr>
        <w:ind w:firstLine="420"/>
        <w:jc w:val="left"/>
        <w:rPr>
          <w:rFonts w:ascii="宋体" w:cs="宋体"/>
          <w:color w:val="auto"/>
          <w:kern w:val="0"/>
          <w:szCs w:val="21"/>
        </w:rPr>
      </w:pPr>
      <w:r>
        <w:rPr>
          <w:rFonts w:hint="eastAsia" w:ascii="宋体" w:cs="宋体"/>
          <w:color w:val="auto"/>
          <w:kern w:val="0"/>
          <w:szCs w:val="21"/>
        </w:rPr>
        <w:t>b)申请者信息：包括公司全称、组织机构代码、地址、联系人、联系方式等；</w:t>
      </w:r>
    </w:p>
    <w:p>
      <w:pPr>
        <w:ind w:firstLine="420"/>
        <w:jc w:val="left"/>
        <w:rPr>
          <w:rFonts w:ascii="宋体" w:cs="宋体"/>
          <w:color w:val="auto"/>
          <w:kern w:val="0"/>
          <w:szCs w:val="21"/>
        </w:rPr>
      </w:pPr>
      <w:r>
        <w:rPr>
          <w:rFonts w:hint="eastAsia" w:ascii="宋体" w:cs="宋体"/>
          <w:color w:val="auto"/>
          <w:kern w:val="0"/>
          <w:szCs w:val="21"/>
        </w:rPr>
        <w:t>c)评估对象信息：包括产品型号</w:t>
      </w:r>
      <w:r>
        <w:rPr>
          <w:rFonts w:ascii="宋体" w:cs="宋体"/>
          <w:color w:val="auto"/>
          <w:kern w:val="0"/>
          <w:szCs w:val="21"/>
        </w:rPr>
        <w:t>/</w:t>
      </w:r>
      <w:r>
        <w:rPr>
          <w:rFonts w:hint="eastAsia" w:ascii="宋体" w:cs="宋体"/>
          <w:color w:val="auto"/>
          <w:kern w:val="0"/>
          <w:szCs w:val="21"/>
        </w:rPr>
        <w:t>类型、主要技术参数、制造商及厂址等；</w:t>
      </w:r>
    </w:p>
    <w:p>
      <w:pPr>
        <w:ind w:firstLine="420"/>
        <w:rPr>
          <w:rFonts w:ascii="宋体" w:cs="宋体"/>
          <w:color w:val="auto"/>
          <w:kern w:val="0"/>
          <w:szCs w:val="21"/>
        </w:rPr>
      </w:pPr>
      <w:r>
        <w:rPr>
          <w:rFonts w:hint="eastAsia" w:ascii="宋体" w:cs="宋体"/>
          <w:color w:val="auto"/>
          <w:kern w:val="0"/>
          <w:szCs w:val="21"/>
        </w:rPr>
        <w:t>d)采用的标准信息：标准名称及标准号等。</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 xml:space="preserve">5.6.3 </w:t>
      </w:r>
      <w:r>
        <w:rPr>
          <w:rFonts w:ascii="黑体" w:eastAsia="黑体" w:cs="黑体"/>
          <w:color w:val="auto"/>
          <w:kern w:val="0"/>
          <w:szCs w:val="21"/>
        </w:rPr>
        <w:t>评价对象及工具</w:t>
      </w:r>
    </w:p>
    <w:bookmarkEnd w:id="8"/>
    <w:p>
      <w:pPr>
        <w:ind w:firstLine="420"/>
        <w:rPr>
          <w:rFonts w:ascii="宋体" w:cs="宋体"/>
          <w:color w:val="auto"/>
          <w:kern w:val="0"/>
          <w:szCs w:val="21"/>
        </w:rPr>
      </w:pPr>
      <w:r>
        <w:rPr>
          <w:rFonts w:ascii="宋体" w:cs="宋体"/>
          <w:color w:val="auto"/>
          <w:kern w:val="0"/>
          <w:szCs w:val="21"/>
        </w:rPr>
        <w:t>报告中应详细描述评估的对象、功能单位和产品主要功能，提供</w:t>
      </w:r>
      <w:r>
        <w:rPr>
          <w:rFonts w:hint="eastAsia" w:ascii="宋体" w:cs="宋体"/>
          <w:color w:val="auto"/>
          <w:kern w:val="0"/>
          <w:szCs w:val="21"/>
        </w:rPr>
        <w:t>产品</w:t>
      </w:r>
      <w:r>
        <w:rPr>
          <w:rFonts w:ascii="宋体" w:cs="宋体"/>
          <w:color w:val="auto"/>
          <w:kern w:val="0"/>
          <w:szCs w:val="21"/>
        </w:rPr>
        <w:t>的原辅材料</w:t>
      </w:r>
      <w:r>
        <w:rPr>
          <w:rFonts w:hint="eastAsia" w:ascii="宋体" w:cs="宋体"/>
          <w:color w:val="auto"/>
          <w:kern w:val="0"/>
          <w:szCs w:val="21"/>
        </w:rPr>
        <w:t>构成</w:t>
      </w:r>
      <w:r>
        <w:rPr>
          <w:rFonts w:ascii="宋体" w:cs="宋体"/>
          <w:color w:val="auto"/>
          <w:kern w:val="0"/>
          <w:szCs w:val="21"/>
        </w:rPr>
        <w:t>及主要技术参数表，绘制并说明</w:t>
      </w:r>
      <w:r>
        <w:rPr>
          <w:rFonts w:hint="eastAsia" w:ascii="宋体" w:cs="宋体"/>
          <w:color w:val="auto"/>
          <w:kern w:val="0"/>
          <w:szCs w:val="21"/>
        </w:rPr>
        <w:t>产品</w:t>
      </w:r>
      <w:r>
        <w:rPr>
          <w:rFonts w:ascii="宋体" w:cs="宋体"/>
          <w:color w:val="auto"/>
          <w:kern w:val="0"/>
          <w:szCs w:val="21"/>
        </w:rPr>
        <w:t>的系统边界，披露所使用的基于中国生命周期数据库的软件工具。</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5.6.4 符合性评价</w:t>
      </w:r>
    </w:p>
    <w:p>
      <w:pPr>
        <w:widowControl/>
        <w:ind w:firstLine="420"/>
        <w:jc w:val="left"/>
        <w:rPr>
          <w:rFonts w:ascii="宋体" w:cs="宋体"/>
          <w:color w:val="auto"/>
          <w:kern w:val="0"/>
          <w:szCs w:val="21"/>
        </w:rPr>
      </w:pPr>
      <w:r>
        <w:rPr>
          <w:rFonts w:hint="eastAsia" w:ascii="宋体" w:cs="宋体"/>
          <w:color w:val="auto"/>
          <w:kern w:val="0"/>
          <w:szCs w:val="21"/>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一年。</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 xml:space="preserve">5.6.5 </w:t>
      </w:r>
      <w:r>
        <w:rPr>
          <w:rFonts w:ascii="黑体" w:eastAsia="黑体" w:cs="黑体"/>
          <w:color w:val="auto"/>
          <w:kern w:val="0"/>
          <w:szCs w:val="21"/>
        </w:rPr>
        <w:t>生命周期清单分析</w:t>
      </w:r>
    </w:p>
    <w:p>
      <w:pPr>
        <w:ind w:firstLine="420"/>
        <w:rPr>
          <w:rFonts w:ascii="宋体" w:cs="宋体"/>
          <w:color w:val="auto"/>
          <w:kern w:val="0"/>
          <w:szCs w:val="21"/>
        </w:rPr>
      </w:pPr>
      <w:r>
        <w:rPr>
          <w:rFonts w:ascii="宋体" w:cs="宋体"/>
          <w:color w:val="auto"/>
          <w:kern w:val="0"/>
          <w:szCs w:val="21"/>
        </w:rPr>
        <w:t>报告中应提供考虑的生命周期阶段，说明每个阶段所考虑的清单因子及收集到的现场数据或背景数据，涉及到数据分配的情况应说明分配方法和结果。</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5.6.6 生命周期影响评价</w:t>
      </w:r>
    </w:p>
    <w:p>
      <w:pPr>
        <w:ind w:firstLine="420"/>
        <w:rPr>
          <w:rFonts w:ascii="宋体" w:cs="宋体"/>
          <w:color w:val="auto"/>
          <w:kern w:val="0"/>
          <w:szCs w:val="21"/>
        </w:rPr>
      </w:pPr>
      <w:r>
        <w:rPr>
          <w:rFonts w:hint="eastAsia" w:ascii="宋体" w:cs="宋体"/>
          <w:color w:val="auto"/>
          <w:kern w:val="0"/>
          <w:szCs w:val="21"/>
        </w:rPr>
        <w:t>报告中应提供产品生命周期各阶段的不同影响类型的特征化值，并对不同影响类型在各生命周期阶段的分布情况进行比较分析。</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5.6.7 绿色设计改进方案</w:t>
      </w:r>
    </w:p>
    <w:p>
      <w:pPr>
        <w:ind w:firstLine="420"/>
        <w:rPr>
          <w:color w:val="auto"/>
          <w:szCs w:val="21"/>
        </w:rPr>
      </w:pPr>
      <w:r>
        <w:rPr>
          <w:rFonts w:hint="eastAsia"/>
          <w:color w:val="auto"/>
          <w:szCs w:val="21"/>
        </w:rPr>
        <w:t>在分析指标的符合性评价结果以及生命周期评价结果的基础上，提出产品绿色设计改进的具体方案。可参加附录B。</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5.6.8 评价报告主要结论</w:t>
      </w:r>
    </w:p>
    <w:p>
      <w:pPr>
        <w:ind w:firstLine="420"/>
        <w:rPr>
          <w:rFonts w:ascii="宋体" w:cs="宋体"/>
          <w:color w:val="auto"/>
          <w:kern w:val="0"/>
          <w:szCs w:val="21"/>
        </w:rPr>
      </w:pPr>
      <w:r>
        <w:rPr>
          <w:rFonts w:ascii="宋体" w:cs="宋体"/>
          <w:color w:val="auto"/>
          <w:kern w:val="0"/>
          <w:szCs w:val="21"/>
        </w:rPr>
        <w:t>应说明该产品对评价指标的符合性结论、生命周期评价结果、提出的改进方案。</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5.6.9 附件</w:t>
      </w:r>
    </w:p>
    <w:p>
      <w:pPr>
        <w:ind w:firstLine="420"/>
        <w:rPr>
          <w:rFonts w:ascii="宋体" w:cs="宋体"/>
          <w:color w:val="auto"/>
          <w:kern w:val="0"/>
          <w:szCs w:val="21"/>
        </w:rPr>
      </w:pPr>
      <w:r>
        <w:rPr>
          <w:rFonts w:ascii="宋体" w:cs="宋体"/>
          <w:color w:val="auto"/>
          <w:kern w:val="0"/>
          <w:szCs w:val="21"/>
        </w:rPr>
        <w:t>报告应在附件中提供：</w:t>
      </w:r>
    </w:p>
    <w:p>
      <w:pPr>
        <w:pStyle w:val="28"/>
        <w:numPr>
          <w:ilvl w:val="0"/>
          <w:numId w:val="6"/>
        </w:numPr>
        <w:ind w:firstLineChars="0"/>
        <w:rPr>
          <w:rFonts w:cs="宋体"/>
          <w:color w:val="auto"/>
          <w:kern w:val="0"/>
          <w:szCs w:val="21"/>
        </w:rPr>
      </w:pPr>
      <w:r>
        <w:rPr>
          <w:rFonts w:hint="eastAsia"/>
          <w:color w:val="auto"/>
          <w:szCs w:val="21"/>
        </w:rPr>
        <w:t>产品生产材料清单；</w:t>
      </w:r>
    </w:p>
    <w:p>
      <w:pPr>
        <w:pStyle w:val="28"/>
        <w:numPr>
          <w:ilvl w:val="0"/>
          <w:numId w:val="6"/>
        </w:numPr>
        <w:ind w:firstLineChars="0"/>
        <w:rPr>
          <w:rFonts w:cs="宋体"/>
          <w:color w:val="auto"/>
          <w:kern w:val="0"/>
          <w:szCs w:val="21"/>
        </w:rPr>
      </w:pPr>
      <w:r>
        <w:rPr>
          <w:rFonts w:hint="eastAsia" w:cs="宋体"/>
          <w:color w:val="auto"/>
          <w:kern w:val="0"/>
          <w:szCs w:val="21"/>
        </w:rPr>
        <w:t>产品化学成分分析检测结果；</w:t>
      </w:r>
      <w:r>
        <w:rPr>
          <w:rFonts w:cs="宋体"/>
          <w:color w:val="auto"/>
          <w:kern w:val="0"/>
          <w:szCs w:val="21"/>
        </w:rPr>
        <w:t xml:space="preserve"> </w:t>
      </w:r>
    </w:p>
    <w:p>
      <w:pPr>
        <w:pStyle w:val="28"/>
        <w:numPr>
          <w:ilvl w:val="0"/>
          <w:numId w:val="6"/>
        </w:numPr>
        <w:ind w:firstLineChars="0"/>
        <w:rPr>
          <w:rFonts w:cs="宋体"/>
          <w:color w:val="auto"/>
          <w:kern w:val="0"/>
          <w:szCs w:val="21"/>
        </w:rPr>
      </w:pPr>
      <w:r>
        <w:rPr>
          <w:rFonts w:cs="宋体"/>
          <w:color w:val="auto"/>
          <w:kern w:val="0"/>
          <w:szCs w:val="21"/>
        </w:rPr>
        <w:t>产品工艺表（产品生产</w:t>
      </w:r>
      <w:r>
        <w:rPr>
          <w:rFonts w:hint="eastAsia" w:cs="宋体"/>
          <w:color w:val="auto"/>
          <w:kern w:val="0"/>
          <w:szCs w:val="21"/>
        </w:rPr>
        <w:t>工艺</w:t>
      </w:r>
      <w:r>
        <w:rPr>
          <w:rFonts w:cs="宋体"/>
          <w:color w:val="auto"/>
          <w:kern w:val="0"/>
          <w:szCs w:val="21"/>
        </w:rPr>
        <w:t>过程</w:t>
      </w:r>
      <w:r>
        <w:rPr>
          <w:rFonts w:hint="eastAsia" w:cs="宋体"/>
          <w:color w:val="auto"/>
          <w:kern w:val="0"/>
          <w:szCs w:val="21"/>
        </w:rPr>
        <w:t>示意图</w:t>
      </w:r>
      <w:r>
        <w:rPr>
          <w:rFonts w:cs="宋体"/>
          <w:color w:val="auto"/>
          <w:kern w:val="0"/>
          <w:szCs w:val="21"/>
        </w:rPr>
        <w:t>等）；</w:t>
      </w:r>
    </w:p>
    <w:p>
      <w:pPr>
        <w:pStyle w:val="28"/>
        <w:numPr>
          <w:ilvl w:val="0"/>
          <w:numId w:val="6"/>
        </w:numPr>
        <w:ind w:firstLineChars="0"/>
        <w:rPr>
          <w:rFonts w:cs="宋体"/>
          <w:color w:val="auto"/>
          <w:kern w:val="0"/>
          <w:szCs w:val="21"/>
        </w:rPr>
      </w:pPr>
      <w:r>
        <w:rPr>
          <w:rFonts w:cs="宋体"/>
          <w:color w:val="auto"/>
          <w:kern w:val="0"/>
          <w:szCs w:val="21"/>
        </w:rPr>
        <w:t>各单元过程的数据收集表</w:t>
      </w:r>
      <w:r>
        <w:rPr>
          <w:rFonts w:hint="eastAsia" w:cs="宋体"/>
          <w:color w:val="auto"/>
          <w:kern w:val="0"/>
          <w:szCs w:val="21"/>
        </w:rPr>
        <w:t>（参见</w:t>
      </w:r>
      <w:r>
        <w:rPr>
          <w:rFonts w:hint="eastAsia"/>
          <w:color w:val="auto"/>
          <w:szCs w:val="21"/>
        </w:rPr>
        <w:t>附录A</w:t>
      </w:r>
      <w:r>
        <w:rPr>
          <w:rFonts w:hint="eastAsia" w:cs="宋体"/>
          <w:color w:val="auto"/>
          <w:kern w:val="0"/>
          <w:szCs w:val="21"/>
        </w:rPr>
        <w:t>）</w:t>
      </w:r>
      <w:r>
        <w:rPr>
          <w:rFonts w:cs="宋体"/>
          <w:color w:val="auto"/>
          <w:kern w:val="0"/>
          <w:szCs w:val="21"/>
        </w:rPr>
        <w:t>；</w:t>
      </w:r>
    </w:p>
    <w:p>
      <w:pPr>
        <w:pStyle w:val="28"/>
        <w:numPr>
          <w:ilvl w:val="0"/>
          <w:numId w:val="6"/>
        </w:numPr>
        <w:ind w:firstLineChars="0"/>
        <w:rPr>
          <w:rFonts w:cs="宋体"/>
          <w:color w:val="auto"/>
          <w:kern w:val="0"/>
          <w:szCs w:val="21"/>
        </w:rPr>
      </w:pPr>
      <w:r>
        <w:rPr>
          <w:rFonts w:cs="宋体"/>
          <w:color w:val="auto"/>
          <w:kern w:val="0"/>
          <w:szCs w:val="21"/>
        </w:rPr>
        <w:t>其他。</w:t>
      </w:r>
    </w:p>
    <w:p>
      <w:pPr>
        <w:spacing w:line="480" w:lineRule="auto"/>
        <w:rPr>
          <w:rFonts w:ascii="黑体" w:eastAsia="黑体" w:hAnsiTheme="minorEastAsia"/>
          <w:color w:val="auto"/>
          <w:szCs w:val="21"/>
        </w:rPr>
      </w:pPr>
      <w:r>
        <w:rPr>
          <w:rFonts w:hint="eastAsia" w:ascii="黑体" w:eastAsia="黑体" w:hAnsiTheme="minorEastAsia"/>
          <w:color w:val="auto"/>
          <w:szCs w:val="21"/>
        </w:rPr>
        <w:t>6 附加环境信息</w:t>
      </w:r>
    </w:p>
    <w:p>
      <w:pPr>
        <w:ind w:firstLine="420"/>
        <w:rPr>
          <w:rFonts w:asciiTheme="minorEastAsia" w:hAnsiTheme="minorEastAsia"/>
          <w:color w:val="auto"/>
          <w:szCs w:val="21"/>
        </w:rPr>
      </w:pPr>
      <w:r>
        <w:rPr>
          <w:rFonts w:hint="eastAsia" w:asciiTheme="minorEastAsia" w:hAnsiTheme="minorEastAsia"/>
          <w:color w:val="auto"/>
          <w:szCs w:val="21"/>
        </w:rPr>
        <w:t>除上述报告的指标外，其他相关的重要环境信息，如采用的清洁生产工艺、节能减排技术、产品环境特性、企业环境管理等可在附加信息中进行描述。</w:t>
      </w:r>
    </w:p>
    <w:p>
      <w:pPr>
        <w:spacing w:line="480" w:lineRule="auto"/>
        <w:rPr>
          <w:rFonts w:ascii="黑体" w:eastAsia="黑体" w:hAnsiTheme="minorEastAsia"/>
          <w:color w:val="auto"/>
          <w:szCs w:val="21"/>
        </w:rPr>
      </w:pPr>
      <w:r>
        <w:rPr>
          <w:rFonts w:hint="eastAsia" w:ascii="黑体" w:eastAsia="黑体" w:hAnsiTheme="minorEastAsia"/>
          <w:color w:val="auto"/>
          <w:szCs w:val="21"/>
        </w:rPr>
        <w:t>7 支持Ⅲ型环境声明报告的要求</w:t>
      </w:r>
    </w:p>
    <w:p>
      <w:pPr>
        <w:ind w:firstLine="420"/>
        <w:rPr>
          <w:rFonts w:ascii="黑体" w:eastAsia="黑体" w:hAnsiTheme="minorEastAsia"/>
          <w:color w:val="auto"/>
          <w:szCs w:val="21"/>
        </w:rPr>
      </w:pPr>
      <w:r>
        <w:rPr>
          <w:rFonts w:hint="eastAsia" w:asciiTheme="minorEastAsia" w:hAnsiTheme="minorEastAsia"/>
          <w:color w:val="auto"/>
          <w:szCs w:val="21"/>
        </w:rPr>
        <w:t>当根据本文件制作Ⅲ型环境声明报告用于比较时，应满足文件中第4章、第5章、第6章的要求，对于缺失的数据应予以说明。</w:t>
      </w:r>
    </w:p>
    <w:p>
      <w:pPr>
        <w:ind w:firstLine="420"/>
        <w:rPr>
          <w:rFonts w:asciiTheme="minorEastAsia" w:hAnsiTheme="minorEastAsia"/>
          <w:color w:val="auto"/>
          <w:szCs w:val="21"/>
        </w:rPr>
      </w:pPr>
      <w:r>
        <w:rPr>
          <w:rFonts w:hint="eastAsia" w:asciiTheme="minorEastAsia" w:hAnsiTheme="minorEastAsia"/>
          <w:color w:val="auto"/>
          <w:szCs w:val="21"/>
        </w:rPr>
        <w:t>应用本文件可进行铜及铜合金加工产品的Ⅲ型环境声明报告，Ⅲ型环境声明报告应符合GB/T 24025-2009的要求。依据本文件制作的Ⅲ型环境声明报告包括以下内容：</w:t>
      </w:r>
    </w:p>
    <w:p>
      <w:pPr>
        <w:ind w:firstLine="420"/>
        <w:rPr>
          <w:rFonts w:asciiTheme="minorEastAsia" w:hAnsiTheme="minorEastAsia"/>
          <w:color w:val="auto"/>
          <w:szCs w:val="21"/>
        </w:rPr>
      </w:pPr>
      <w:r>
        <w:rPr>
          <w:rFonts w:hint="eastAsia" w:asciiTheme="minorEastAsia" w:hAnsiTheme="minorEastAsia"/>
          <w:color w:val="auto"/>
          <w:szCs w:val="21"/>
        </w:rPr>
        <w:t>a）公司/组织的描述：</w:t>
      </w:r>
    </w:p>
    <w:p>
      <w:pPr>
        <w:ind w:firstLine="420"/>
        <w:rPr>
          <w:rFonts w:asciiTheme="minorEastAsia" w:hAnsiTheme="minorEastAsia"/>
          <w:color w:val="auto"/>
          <w:szCs w:val="21"/>
        </w:rPr>
      </w:pPr>
      <w:r>
        <w:rPr>
          <w:rFonts w:hint="eastAsia" w:asciiTheme="minorEastAsia" w:hAnsiTheme="minorEastAsia"/>
          <w:color w:val="auto"/>
          <w:szCs w:val="21"/>
        </w:rPr>
        <w:t xml:space="preserve">   1）联系人、地址、电话、传真、e-mail；</w:t>
      </w:r>
    </w:p>
    <w:p>
      <w:pPr>
        <w:ind w:firstLine="420"/>
        <w:rPr>
          <w:rFonts w:asciiTheme="minorEastAsia" w:hAnsiTheme="minorEastAsia"/>
          <w:color w:val="auto"/>
          <w:szCs w:val="21"/>
        </w:rPr>
      </w:pPr>
      <w:r>
        <w:rPr>
          <w:rFonts w:hint="eastAsia" w:asciiTheme="minorEastAsia" w:hAnsiTheme="minorEastAsia"/>
          <w:color w:val="auto"/>
          <w:szCs w:val="21"/>
        </w:rPr>
        <w:t xml:space="preserve">   2）生产过程或环境工作的特别信息；</w:t>
      </w:r>
    </w:p>
    <w:p>
      <w:pPr>
        <w:ind w:firstLine="420"/>
        <w:rPr>
          <w:rFonts w:asciiTheme="minorEastAsia" w:hAnsiTheme="minorEastAsia"/>
          <w:color w:val="auto"/>
          <w:szCs w:val="21"/>
        </w:rPr>
      </w:pPr>
      <w:r>
        <w:rPr>
          <w:rFonts w:hint="eastAsia" w:asciiTheme="minorEastAsia" w:hAnsiTheme="minorEastAsia"/>
          <w:color w:val="auto"/>
          <w:szCs w:val="21"/>
        </w:rPr>
        <w:t>b）产品或服务的描述：</w:t>
      </w:r>
    </w:p>
    <w:p>
      <w:pPr>
        <w:ind w:firstLine="420"/>
        <w:rPr>
          <w:rFonts w:asciiTheme="minorEastAsia" w:hAnsiTheme="minorEastAsia"/>
          <w:color w:val="auto"/>
          <w:szCs w:val="21"/>
        </w:rPr>
      </w:pPr>
      <w:r>
        <w:rPr>
          <w:rFonts w:hint="eastAsia" w:asciiTheme="minorEastAsia" w:hAnsiTheme="minorEastAsia"/>
          <w:color w:val="auto"/>
          <w:szCs w:val="21"/>
        </w:rPr>
        <w:t xml:space="preserve">   1）产品名称；</w:t>
      </w:r>
    </w:p>
    <w:p>
      <w:pPr>
        <w:ind w:firstLine="735" w:firstLineChars="350"/>
        <w:rPr>
          <w:rFonts w:asciiTheme="minorEastAsia" w:hAnsiTheme="minorEastAsia"/>
          <w:color w:val="auto"/>
          <w:szCs w:val="21"/>
        </w:rPr>
      </w:pPr>
      <w:r>
        <w:rPr>
          <w:rFonts w:hint="eastAsia" w:asciiTheme="minorEastAsia" w:hAnsiTheme="minorEastAsia"/>
          <w:color w:val="auto"/>
          <w:szCs w:val="21"/>
        </w:rPr>
        <w:t>2）产品功能用途；</w:t>
      </w:r>
    </w:p>
    <w:p>
      <w:pPr>
        <w:ind w:firstLine="420"/>
        <w:rPr>
          <w:rFonts w:asciiTheme="minorEastAsia" w:hAnsiTheme="minorEastAsia"/>
          <w:color w:val="auto"/>
          <w:szCs w:val="21"/>
        </w:rPr>
      </w:pPr>
      <w:r>
        <w:rPr>
          <w:rFonts w:hint="eastAsia" w:asciiTheme="minorEastAsia" w:hAnsiTheme="minorEastAsia"/>
          <w:color w:val="auto"/>
          <w:szCs w:val="21"/>
        </w:rPr>
        <w:t xml:space="preserve">   3）产品化学成分；</w:t>
      </w:r>
    </w:p>
    <w:p>
      <w:pPr>
        <w:ind w:firstLine="420"/>
        <w:rPr>
          <w:rFonts w:asciiTheme="minorEastAsia" w:hAnsiTheme="minorEastAsia"/>
          <w:color w:val="auto"/>
          <w:szCs w:val="21"/>
        </w:rPr>
      </w:pPr>
      <w:r>
        <w:rPr>
          <w:rFonts w:hint="eastAsia" w:asciiTheme="minorEastAsia" w:hAnsiTheme="minorEastAsia"/>
          <w:color w:val="auto"/>
          <w:szCs w:val="21"/>
        </w:rPr>
        <w:t xml:space="preserve">   4）产品技术性能（规格、状态、性能）；</w:t>
      </w:r>
    </w:p>
    <w:p>
      <w:pPr>
        <w:ind w:firstLine="420"/>
        <w:rPr>
          <w:rFonts w:asciiTheme="minorEastAsia" w:hAnsiTheme="minorEastAsia"/>
          <w:color w:val="auto"/>
          <w:szCs w:val="21"/>
        </w:rPr>
      </w:pPr>
      <w:r>
        <w:rPr>
          <w:rFonts w:hint="eastAsia" w:asciiTheme="minorEastAsia" w:hAnsiTheme="minorEastAsia"/>
          <w:color w:val="auto"/>
          <w:szCs w:val="21"/>
        </w:rPr>
        <w:t xml:space="preserve">   5）产品制造、运输和安全使用信息。</w:t>
      </w:r>
    </w:p>
    <w:p>
      <w:pPr>
        <w:ind w:firstLine="420"/>
        <w:rPr>
          <w:rFonts w:asciiTheme="minorEastAsia" w:hAnsiTheme="minorEastAsia"/>
          <w:color w:val="auto"/>
          <w:szCs w:val="21"/>
        </w:rPr>
      </w:pPr>
      <w:r>
        <w:rPr>
          <w:rFonts w:hint="eastAsia" w:asciiTheme="minorEastAsia" w:hAnsiTheme="minorEastAsia"/>
          <w:color w:val="auto"/>
          <w:szCs w:val="21"/>
        </w:rPr>
        <w:t>c）报告的有效日期。</w:t>
      </w:r>
    </w:p>
    <w:p>
      <w:pPr>
        <w:ind w:firstLine="420"/>
        <w:rPr>
          <w:rFonts w:asciiTheme="minorEastAsia" w:hAnsiTheme="minorEastAsia"/>
          <w:color w:val="auto"/>
          <w:szCs w:val="21"/>
        </w:rPr>
      </w:pPr>
      <w:r>
        <w:rPr>
          <w:rFonts w:hint="eastAsia" w:asciiTheme="minorEastAsia" w:hAnsiTheme="minorEastAsia"/>
          <w:color w:val="auto"/>
          <w:szCs w:val="21"/>
        </w:rPr>
        <w:t>d）产品的可追溯性（产品编号，能够辨识生产批次，追溯生产信息、质量记录等信息）。</w:t>
      </w:r>
    </w:p>
    <w:p>
      <w:pPr>
        <w:ind w:firstLine="420"/>
        <w:rPr>
          <w:rFonts w:asciiTheme="minorEastAsia" w:hAnsiTheme="minorEastAsia"/>
          <w:color w:val="auto"/>
          <w:szCs w:val="21"/>
        </w:rPr>
      </w:pPr>
      <w:r>
        <w:rPr>
          <w:rFonts w:hint="eastAsia" w:asciiTheme="minorEastAsia" w:hAnsiTheme="minorEastAsia"/>
          <w:color w:val="auto"/>
          <w:szCs w:val="21"/>
        </w:rPr>
        <w:t>e）生命周期评价信息：</w:t>
      </w:r>
    </w:p>
    <w:p>
      <w:pPr>
        <w:ind w:firstLine="420"/>
        <w:rPr>
          <w:rFonts w:asciiTheme="minorEastAsia" w:hAnsiTheme="minorEastAsia"/>
          <w:color w:val="auto"/>
          <w:szCs w:val="21"/>
        </w:rPr>
      </w:pPr>
      <w:r>
        <w:rPr>
          <w:rFonts w:hint="eastAsia" w:asciiTheme="minorEastAsia" w:hAnsiTheme="minorEastAsia"/>
          <w:color w:val="auto"/>
          <w:szCs w:val="21"/>
        </w:rPr>
        <w:t xml:space="preserve">   1) 功能单位；</w:t>
      </w:r>
    </w:p>
    <w:p>
      <w:pPr>
        <w:ind w:firstLine="420"/>
        <w:rPr>
          <w:rFonts w:asciiTheme="minorEastAsia" w:hAnsiTheme="minorEastAsia"/>
          <w:color w:val="auto"/>
          <w:szCs w:val="21"/>
        </w:rPr>
      </w:pPr>
      <w:r>
        <w:rPr>
          <w:rFonts w:hint="eastAsia" w:asciiTheme="minorEastAsia" w:hAnsiTheme="minorEastAsia"/>
          <w:color w:val="auto"/>
          <w:szCs w:val="21"/>
        </w:rPr>
        <w:t xml:space="preserve">   2）系统边界；</w:t>
      </w:r>
    </w:p>
    <w:p>
      <w:pPr>
        <w:ind w:firstLine="420"/>
        <w:rPr>
          <w:rFonts w:asciiTheme="minorEastAsia" w:hAnsiTheme="minorEastAsia"/>
          <w:color w:val="auto"/>
          <w:szCs w:val="21"/>
        </w:rPr>
      </w:pPr>
      <w:r>
        <w:rPr>
          <w:rFonts w:hint="eastAsia" w:asciiTheme="minorEastAsia" w:hAnsiTheme="minorEastAsia"/>
          <w:color w:val="auto"/>
          <w:szCs w:val="21"/>
        </w:rPr>
        <w:t xml:space="preserve">   3）数据的描述；</w:t>
      </w:r>
    </w:p>
    <w:p>
      <w:pPr>
        <w:ind w:firstLine="420"/>
        <w:rPr>
          <w:rFonts w:asciiTheme="minorEastAsia" w:hAnsiTheme="minorEastAsia"/>
          <w:color w:val="auto"/>
          <w:szCs w:val="21"/>
        </w:rPr>
      </w:pPr>
      <w:r>
        <w:rPr>
          <w:rFonts w:hint="eastAsia" w:asciiTheme="minorEastAsia" w:hAnsiTheme="minorEastAsia"/>
          <w:color w:val="auto"/>
          <w:szCs w:val="21"/>
        </w:rPr>
        <w:t xml:space="preserve">   4）数据的取舍准则；</w:t>
      </w:r>
    </w:p>
    <w:p>
      <w:pPr>
        <w:ind w:firstLine="420"/>
        <w:rPr>
          <w:rFonts w:asciiTheme="minorEastAsia" w:hAnsiTheme="minorEastAsia"/>
          <w:color w:val="auto"/>
          <w:szCs w:val="21"/>
        </w:rPr>
      </w:pPr>
      <w:r>
        <w:rPr>
          <w:rFonts w:hint="eastAsia" w:asciiTheme="minorEastAsia" w:hAnsiTheme="minorEastAsia"/>
          <w:color w:val="auto"/>
          <w:szCs w:val="21"/>
        </w:rPr>
        <w:t xml:space="preserve">   5）数据质量；</w:t>
      </w:r>
    </w:p>
    <w:p>
      <w:pPr>
        <w:ind w:firstLine="420"/>
        <w:rPr>
          <w:rFonts w:asciiTheme="minorEastAsia" w:hAnsiTheme="minorEastAsia"/>
          <w:color w:val="auto"/>
          <w:szCs w:val="21"/>
        </w:rPr>
      </w:pPr>
      <w:r>
        <w:rPr>
          <w:rFonts w:hint="eastAsia" w:asciiTheme="minorEastAsia" w:hAnsiTheme="minorEastAsia"/>
          <w:color w:val="auto"/>
          <w:szCs w:val="21"/>
        </w:rPr>
        <w:t xml:space="preserve">   6）数据收集；</w:t>
      </w:r>
    </w:p>
    <w:p>
      <w:pPr>
        <w:ind w:firstLine="420"/>
        <w:rPr>
          <w:rFonts w:asciiTheme="minorEastAsia" w:hAnsiTheme="minorEastAsia"/>
          <w:color w:val="auto"/>
          <w:szCs w:val="21"/>
        </w:rPr>
      </w:pPr>
      <w:r>
        <w:rPr>
          <w:rFonts w:hint="eastAsia" w:asciiTheme="minorEastAsia" w:hAnsiTheme="minorEastAsia"/>
          <w:color w:val="auto"/>
          <w:szCs w:val="21"/>
        </w:rPr>
        <w:t xml:space="preserve">   7）计算程序；</w:t>
      </w:r>
    </w:p>
    <w:p>
      <w:pPr>
        <w:ind w:left="1050" w:leftChars="200" w:hanging="630" w:hangingChars="300"/>
        <w:rPr>
          <w:rFonts w:asciiTheme="minorEastAsia" w:hAnsiTheme="minorEastAsia"/>
          <w:color w:val="auto"/>
          <w:szCs w:val="21"/>
        </w:rPr>
      </w:pPr>
      <w:r>
        <w:rPr>
          <w:rFonts w:hint="eastAsia" w:asciiTheme="minorEastAsia" w:hAnsiTheme="minorEastAsia"/>
          <w:color w:val="auto"/>
          <w:szCs w:val="21"/>
        </w:rPr>
        <w:t xml:space="preserve">   8）环境影响（可以报告LCIA结果，但应明确描述考虑了哪些清单因子和环境影响类型）；</w:t>
      </w:r>
    </w:p>
    <w:p>
      <w:pPr>
        <w:ind w:firstLine="420"/>
        <w:rPr>
          <w:rFonts w:asciiTheme="minorEastAsia" w:hAnsiTheme="minorEastAsia"/>
          <w:color w:val="auto"/>
          <w:szCs w:val="21"/>
        </w:rPr>
      </w:pPr>
      <w:r>
        <w:rPr>
          <w:rFonts w:hint="eastAsia" w:asciiTheme="minorEastAsia" w:hAnsiTheme="minorEastAsia"/>
          <w:color w:val="auto"/>
          <w:szCs w:val="21"/>
        </w:rPr>
        <w:t xml:space="preserve">   9）附加环境信息。</w:t>
      </w:r>
    </w:p>
    <w:p>
      <w:pPr>
        <w:ind w:firstLine="420"/>
        <w:rPr>
          <w:rFonts w:asciiTheme="minorEastAsia" w:hAnsiTheme="minorEastAsia"/>
          <w:color w:val="auto"/>
          <w:szCs w:val="21"/>
        </w:rPr>
      </w:pPr>
      <w:r>
        <w:rPr>
          <w:rFonts w:hint="eastAsia" w:asciiTheme="minorEastAsia" w:hAnsiTheme="minorEastAsia"/>
          <w:color w:val="auto"/>
          <w:szCs w:val="21"/>
        </w:rPr>
        <w:t>f）评价的验证：</w:t>
      </w:r>
    </w:p>
    <w:p>
      <w:pPr>
        <w:ind w:firstLine="420"/>
        <w:rPr>
          <w:rFonts w:asciiTheme="minorEastAsia" w:hAnsiTheme="minorEastAsia"/>
          <w:color w:val="auto"/>
          <w:szCs w:val="21"/>
        </w:rPr>
      </w:pPr>
      <w:r>
        <w:rPr>
          <w:rFonts w:hint="eastAsia" w:asciiTheme="minorEastAsia" w:hAnsiTheme="minorEastAsia"/>
          <w:color w:val="auto"/>
          <w:szCs w:val="21"/>
        </w:rPr>
        <w:t xml:space="preserve">   1）验证机构；</w:t>
      </w:r>
    </w:p>
    <w:p>
      <w:pPr>
        <w:ind w:firstLine="420"/>
        <w:rPr>
          <w:rFonts w:asciiTheme="minorEastAsia" w:hAnsiTheme="minorEastAsia"/>
          <w:color w:val="auto"/>
          <w:szCs w:val="21"/>
        </w:rPr>
      </w:pPr>
      <w:r>
        <w:rPr>
          <w:rFonts w:hint="eastAsia" w:asciiTheme="minorEastAsia" w:hAnsiTheme="minorEastAsia"/>
          <w:color w:val="auto"/>
          <w:szCs w:val="21"/>
        </w:rPr>
        <w:t xml:space="preserve">   2）验证结论。</w:t>
      </w:r>
    </w:p>
    <w:p>
      <w:pPr>
        <w:pStyle w:val="28"/>
        <w:ind w:left="1073" w:leftChars="361" w:hanging="315" w:hangingChars="150"/>
        <w:rPr>
          <w:rFonts w:asciiTheme="minorEastAsia" w:hAnsiTheme="minorEastAsia"/>
          <w:color w:val="auto"/>
          <w:szCs w:val="21"/>
        </w:rPr>
      </w:pPr>
    </w:p>
    <w:p>
      <w:pPr>
        <w:pStyle w:val="28"/>
        <w:ind w:left="1073" w:leftChars="361" w:hanging="315" w:hangingChars="150"/>
        <w:rPr>
          <w:rFonts w:asciiTheme="minorEastAsia" w:hAnsiTheme="minorEastAsia"/>
          <w:color w:val="auto"/>
          <w:szCs w:val="21"/>
        </w:rPr>
      </w:pPr>
    </w:p>
    <w:p>
      <w:pPr>
        <w:pStyle w:val="28"/>
        <w:ind w:left="1073" w:leftChars="361" w:hanging="315" w:hangingChars="150"/>
        <w:rPr>
          <w:rFonts w:asciiTheme="minorEastAsia" w:hAnsiTheme="minorEastAsia"/>
          <w:color w:val="auto"/>
          <w:szCs w:val="21"/>
        </w:rPr>
      </w:pPr>
    </w:p>
    <w:p>
      <w:pPr>
        <w:pStyle w:val="28"/>
        <w:ind w:left="1073" w:leftChars="361" w:hanging="315" w:hangingChars="150"/>
        <w:rPr>
          <w:rFonts w:asciiTheme="minorEastAsia" w:hAnsiTheme="minorEastAsia"/>
          <w:color w:val="auto"/>
          <w:szCs w:val="21"/>
        </w:rPr>
      </w:pPr>
    </w:p>
    <w:p>
      <w:pPr>
        <w:pStyle w:val="28"/>
        <w:ind w:left="1073" w:leftChars="361" w:hanging="315" w:hangingChars="150"/>
        <w:rPr>
          <w:rFonts w:asciiTheme="minorEastAsia" w:hAnsiTheme="minorEastAsia"/>
          <w:color w:val="auto"/>
          <w:szCs w:val="21"/>
        </w:rPr>
      </w:pPr>
    </w:p>
    <w:p>
      <w:pPr>
        <w:pStyle w:val="28"/>
        <w:ind w:left="1073" w:leftChars="361" w:hanging="315" w:hangingChars="150"/>
        <w:rPr>
          <w:rFonts w:asciiTheme="minorEastAsia" w:hAnsiTheme="minorEastAsia"/>
          <w:color w:val="auto"/>
          <w:szCs w:val="21"/>
        </w:rPr>
      </w:pPr>
    </w:p>
    <w:p>
      <w:pPr>
        <w:pStyle w:val="28"/>
        <w:ind w:left="1073" w:leftChars="361" w:hanging="315" w:hangingChars="150"/>
        <w:rPr>
          <w:rFonts w:asciiTheme="minorEastAsia" w:hAnsiTheme="minorEastAsia"/>
          <w:color w:val="auto"/>
          <w:szCs w:val="21"/>
        </w:rPr>
      </w:pPr>
    </w:p>
    <w:p>
      <w:pPr>
        <w:pStyle w:val="28"/>
        <w:ind w:left="1073" w:leftChars="361" w:hanging="315" w:hangingChars="150"/>
        <w:rPr>
          <w:rFonts w:asciiTheme="minorEastAsia" w:hAnsiTheme="minorEastAsia"/>
          <w:color w:val="auto"/>
          <w:szCs w:val="21"/>
        </w:rPr>
      </w:pPr>
    </w:p>
    <w:p>
      <w:pPr>
        <w:pStyle w:val="28"/>
        <w:ind w:left="1073" w:leftChars="361" w:hanging="315" w:hangingChars="150"/>
        <w:rPr>
          <w:rFonts w:asciiTheme="minorEastAsia" w:hAnsiTheme="minorEastAsia"/>
          <w:color w:val="auto"/>
          <w:szCs w:val="21"/>
        </w:rPr>
      </w:pPr>
    </w:p>
    <w:p>
      <w:pPr>
        <w:autoSpaceDE w:val="0"/>
        <w:autoSpaceDN w:val="0"/>
        <w:adjustRightInd w:val="0"/>
        <w:spacing w:line="360" w:lineRule="auto"/>
        <w:jc w:val="center"/>
        <w:rPr>
          <w:rFonts w:ascii="黑体" w:hAnsi="Calibri" w:eastAsia="黑体" w:cs="黑体"/>
          <w:color w:val="auto"/>
          <w:kern w:val="0"/>
          <w:szCs w:val="21"/>
        </w:rPr>
      </w:pPr>
      <w:r>
        <w:rPr>
          <w:rFonts w:hint="eastAsia" w:ascii="黑体" w:hAnsi="Calibri" w:eastAsia="黑体" w:cs="黑体"/>
          <w:color w:val="auto"/>
          <w:kern w:val="0"/>
          <w:szCs w:val="21"/>
        </w:rPr>
        <w:t>附  录  A</w:t>
      </w:r>
    </w:p>
    <w:p>
      <w:pPr>
        <w:spacing w:line="360" w:lineRule="auto"/>
        <w:jc w:val="center"/>
        <w:rPr>
          <w:rFonts w:ascii="黑体" w:eastAsia="黑体" w:hAnsiTheme="minorEastAsia"/>
          <w:color w:val="auto"/>
          <w:szCs w:val="21"/>
        </w:rPr>
      </w:pPr>
      <w:r>
        <w:rPr>
          <w:rFonts w:hint="eastAsia" w:ascii="黑体" w:eastAsia="黑体" w:hAnsiTheme="minorEastAsia"/>
          <w:color w:val="auto"/>
          <w:szCs w:val="21"/>
        </w:rPr>
        <w:t>(资料性)</w:t>
      </w:r>
    </w:p>
    <w:p>
      <w:pPr>
        <w:spacing w:line="360" w:lineRule="auto"/>
        <w:jc w:val="center"/>
        <w:rPr>
          <w:rFonts w:ascii="黑体" w:eastAsia="黑体" w:hAnsiTheme="minorEastAsia"/>
          <w:color w:val="auto"/>
          <w:szCs w:val="21"/>
        </w:rPr>
      </w:pPr>
      <w:r>
        <w:rPr>
          <w:rFonts w:hint="eastAsia" w:ascii="黑体" w:eastAsia="黑体" w:hAnsiTheme="minorEastAsia"/>
          <w:color w:val="auto"/>
          <w:szCs w:val="21"/>
        </w:rPr>
        <w:t>铜及铜合金加工产品生命周期评价过程数据收集表示例</w:t>
      </w:r>
    </w:p>
    <w:p>
      <w:pPr>
        <w:jc w:val="center"/>
        <w:rPr>
          <w:rFonts w:asciiTheme="minorEastAsia" w:hAnsiTheme="minorEastAsia"/>
          <w:color w:val="auto"/>
          <w:szCs w:val="21"/>
        </w:rPr>
      </w:pPr>
    </w:p>
    <w:p>
      <w:pPr>
        <w:ind w:firstLine="405"/>
        <w:rPr>
          <w:rFonts w:asciiTheme="minorEastAsia" w:hAnsiTheme="minorEastAsia"/>
          <w:color w:val="auto"/>
          <w:szCs w:val="21"/>
        </w:rPr>
      </w:pPr>
      <w:r>
        <w:rPr>
          <w:rFonts w:hint="eastAsia" w:asciiTheme="minorEastAsia" w:hAnsiTheme="minorEastAsia"/>
          <w:color w:val="auto"/>
          <w:szCs w:val="21"/>
        </w:rPr>
        <w:t>铜及铜合金加工产品制造生命周期评价过程书记收集表示例见表A.1～表A.7。</w:t>
      </w:r>
    </w:p>
    <w:p>
      <w:pPr>
        <w:spacing w:line="360" w:lineRule="auto"/>
        <w:jc w:val="center"/>
        <w:rPr>
          <w:rFonts w:ascii="黑体" w:eastAsia="黑体" w:hAnsiTheme="minorEastAsia"/>
          <w:color w:val="auto"/>
          <w:szCs w:val="21"/>
        </w:rPr>
      </w:pPr>
      <w:r>
        <w:rPr>
          <w:rFonts w:hint="eastAsia" w:ascii="黑体" w:eastAsia="黑体" w:hAnsiTheme="minorEastAsia"/>
          <w:color w:val="auto"/>
          <w:szCs w:val="21"/>
        </w:rPr>
        <w:t>表A.1  现场数据收集表示例1——能流与物流</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3"/>
        <w:gridCol w:w="2293"/>
        <w:gridCol w:w="2294"/>
        <w:gridCol w:w="2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color w:val="auto"/>
                <w:sz w:val="18"/>
                <w:szCs w:val="18"/>
              </w:rPr>
            </w:pPr>
            <w:r>
              <w:rPr>
                <w:rFonts w:hint="eastAsia" w:asciiTheme="minorEastAsia" w:hAnsiTheme="minorEastAsia"/>
                <w:color w:val="auto"/>
                <w:sz w:val="18"/>
                <w:szCs w:val="18"/>
              </w:rPr>
              <w:t>制表人联系方式：                                                制表如期：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4"/>
          </w:tcPr>
          <w:p>
            <w:pPr>
              <w:rPr>
                <w:rFonts w:asciiTheme="minorEastAsia" w:hAnsiTheme="minorEastAsia"/>
                <w:color w:val="auto"/>
                <w:sz w:val="18"/>
                <w:szCs w:val="18"/>
              </w:rPr>
            </w:pPr>
            <w:r>
              <w:rPr>
                <w:rFonts w:hint="eastAsia" w:asciiTheme="minorEastAsia" w:hAnsiTheme="minorEastAsia"/>
                <w:color w:val="auto"/>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 w:hRule="atLeast"/>
        </w:trPr>
        <w:tc>
          <w:tcPr>
            <w:tcW w:w="9174" w:type="dxa"/>
            <w:gridSpan w:val="4"/>
          </w:tcPr>
          <w:p>
            <w:pPr>
              <w:spacing w:line="240" w:lineRule="exact"/>
              <w:rPr>
                <w:rFonts w:asciiTheme="minorEastAsia" w:hAnsiTheme="minorEastAsia"/>
                <w:color w:val="auto"/>
                <w:sz w:val="18"/>
                <w:szCs w:val="18"/>
              </w:rPr>
            </w:pPr>
            <w:r>
              <w:rPr>
                <w:rFonts w:hint="eastAsia" w:asciiTheme="minorEastAsia" w:hAnsiTheme="minorEastAsia"/>
                <w:color w:val="auto"/>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能量输入</w:t>
            </w:r>
          </w:p>
        </w:tc>
        <w:tc>
          <w:tcPr>
            <w:tcW w:w="229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电</w:t>
            </w:r>
          </w:p>
        </w:tc>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kW·h</w:t>
            </w:r>
          </w:p>
        </w:tc>
        <w:tc>
          <w:tcPr>
            <w:tcW w:w="2294" w:type="dxa"/>
          </w:tcPr>
          <w:p>
            <w:pPr>
              <w:rPr>
                <w:rFonts w:asciiTheme="minorEastAsia" w:hAnsiTheme="minorEastAsia"/>
                <w:color w:val="auto"/>
                <w:sz w:val="18"/>
                <w:szCs w:val="18"/>
              </w:rPr>
            </w:pPr>
          </w:p>
        </w:tc>
        <w:tc>
          <w:tcPr>
            <w:tcW w:w="2294" w:type="dxa"/>
          </w:tcPr>
          <w:p>
            <w:pPr>
              <w:rPr>
                <w:rFonts w:asciiTheme="minorEastAsia" w:hAnsiTheme="minorEastAsia"/>
                <w:color w:val="auto"/>
                <w:sz w:val="18"/>
                <w:szCs w:val="18"/>
              </w:rPr>
            </w:pPr>
            <w:r>
              <w:rPr>
                <w:rFonts w:hint="eastAsia" w:asciiTheme="minorEastAsia" w:hAnsiTheme="minorEastAsia"/>
                <w:color w:val="auto"/>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天然气</w:t>
            </w:r>
          </w:p>
        </w:tc>
        <w:tc>
          <w:tcPr>
            <w:tcW w:w="2293" w:type="dxa"/>
          </w:tcPr>
          <w:p>
            <w:pPr>
              <w:rPr>
                <w:rFonts w:asciiTheme="minorEastAsia" w:hAnsiTheme="minorEastAsia"/>
                <w:color w:val="auto"/>
                <w:sz w:val="18"/>
                <w:szCs w:val="18"/>
              </w:rPr>
            </w:pPr>
            <w:r>
              <w:rPr>
                <w:rFonts w:asciiTheme="minorEastAsia" w:hAnsiTheme="minorEastAsia"/>
                <w:color w:val="auto"/>
                <w:sz w:val="18"/>
                <w:szCs w:val="18"/>
              </w:rPr>
              <w:t>m</w:t>
            </w:r>
            <w:r>
              <w:rPr>
                <w:rFonts w:asciiTheme="minorEastAsia" w:hAnsiTheme="minorEastAsia"/>
                <w:color w:val="auto"/>
                <w:sz w:val="18"/>
                <w:szCs w:val="18"/>
                <w:vertAlign w:val="superscript"/>
              </w:rPr>
              <w:t>3</w:t>
            </w:r>
          </w:p>
        </w:tc>
        <w:tc>
          <w:tcPr>
            <w:tcW w:w="2294" w:type="dxa"/>
          </w:tcPr>
          <w:p>
            <w:pPr>
              <w:rPr>
                <w:rFonts w:asciiTheme="minorEastAsia" w:hAnsiTheme="minorEastAsia"/>
                <w:color w:val="auto"/>
                <w:sz w:val="18"/>
                <w:szCs w:val="18"/>
              </w:rPr>
            </w:pPr>
          </w:p>
        </w:tc>
        <w:tc>
          <w:tcPr>
            <w:tcW w:w="2294" w:type="dxa"/>
          </w:tcPr>
          <w:p>
            <w:pPr>
              <w:rPr>
                <w:rFonts w:asciiTheme="minorEastAsia" w:hAnsiTheme="minorEastAsia"/>
                <w:color w:val="auto"/>
                <w:sz w:val="18"/>
                <w:szCs w:val="18"/>
              </w:rPr>
            </w:pPr>
            <w:r>
              <w:rPr>
                <w:rFonts w:hint="eastAsia" w:asciiTheme="minorEastAsia" w:hAnsiTheme="minorEastAsia"/>
                <w:color w:val="auto"/>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93" w:type="dxa"/>
          </w:tcPr>
          <w:p>
            <w:pPr>
              <w:rPr>
                <w:color w:val="auto"/>
                <w:sz w:val="18"/>
                <w:szCs w:val="18"/>
              </w:rPr>
            </w:pPr>
            <w:r>
              <w:rPr>
                <w:rFonts w:asciiTheme="minorEastAsia" w:hAnsiTheme="minorEastAsia"/>
                <w:color w:val="auto"/>
                <w:sz w:val="18"/>
                <w:szCs w:val="18"/>
              </w:rPr>
              <w:t>……</w:t>
            </w:r>
          </w:p>
        </w:tc>
        <w:tc>
          <w:tcPr>
            <w:tcW w:w="2294" w:type="dxa"/>
          </w:tcPr>
          <w:p>
            <w:pPr>
              <w:rPr>
                <w:color w:val="auto"/>
                <w:sz w:val="18"/>
                <w:szCs w:val="18"/>
              </w:rPr>
            </w:pPr>
            <w:r>
              <w:rPr>
                <w:rFonts w:asciiTheme="minorEastAsia" w:hAnsiTheme="minorEastAsia"/>
                <w:color w:val="auto"/>
                <w:sz w:val="18"/>
                <w:szCs w:val="18"/>
              </w:rPr>
              <w:t>……</w:t>
            </w:r>
          </w:p>
        </w:tc>
        <w:tc>
          <w:tcPr>
            <w:tcW w:w="2294"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物资输入</w:t>
            </w:r>
          </w:p>
        </w:tc>
        <w:tc>
          <w:tcPr>
            <w:tcW w:w="229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金属原料</w:t>
            </w:r>
          </w:p>
        </w:tc>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94" w:type="dxa"/>
          </w:tcPr>
          <w:p>
            <w:pPr>
              <w:rPr>
                <w:rFonts w:asciiTheme="minorEastAsia" w:hAnsiTheme="minorEastAsia"/>
                <w:color w:val="auto"/>
                <w:sz w:val="18"/>
                <w:szCs w:val="18"/>
              </w:rPr>
            </w:pPr>
          </w:p>
        </w:tc>
        <w:tc>
          <w:tcPr>
            <w:tcW w:w="2294" w:type="dxa"/>
          </w:tcPr>
          <w:p>
            <w:pPr>
              <w:rPr>
                <w:rFonts w:asciiTheme="minorEastAsia" w:hAnsiTheme="minorEastAsia"/>
                <w:color w:val="auto"/>
                <w:sz w:val="18"/>
                <w:szCs w:val="18"/>
              </w:rPr>
            </w:pPr>
            <w:r>
              <w:rPr>
                <w:rFonts w:hint="eastAsia" w:asciiTheme="minorEastAsia" w:hAnsiTheme="minorEastAsia"/>
                <w:color w:val="auto"/>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木炭</w:t>
            </w:r>
          </w:p>
        </w:tc>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94" w:type="dxa"/>
          </w:tcPr>
          <w:p>
            <w:pPr>
              <w:rPr>
                <w:rFonts w:asciiTheme="minorEastAsia" w:hAnsiTheme="minorEastAsia"/>
                <w:color w:val="auto"/>
                <w:sz w:val="18"/>
                <w:szCs w:val="18"/>
              </w:rPr>
            </w:pPr>
          </w:p>
        </w:tc>
        <w:tc>
          <w:tcPr>
            <w:tcW w:w="2294" w:type="dxa"/>
          </w:tcPr>
          <w:p>
            <w:pPr>
              <w:rPr>
                <w:rFonts w:asciiTheme="minorEastAsia" w:hAnsiTheme="minorEastAsia"/>
                <w:color w:val="auto"/>
                <w:sz w:val="18"/>
                <w:szCs w:val="18"/>
              </w:rPr>
            </w:pPr>
            <w:r>
              <w:rPr>
                <w:rFonts w:hint="eastAsia" w:asciiTheme="minorEastAsia" w:hAnsiTheme="minorEastAsia"/>
                <w:color w:val="auto"/>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93" w:type="dxa"/>
          </w:tcPr>
          <w:p>
            <w:pPr>
              <w:rPr>
                <w:color w:val="auto"/>
                <w:sz w:val="18"/>
                <w:szCs w:val="18"/>
              </w:rPr>
            </w:pPr>
            <w:r>
              <w:rPr>
                <w:rFonts w:asciiTheme="minorEastAsia" w:hAnsiTheme="minorEastAsia"/>
                <w:color w:val="auto"/>
                <w:sz w:val="18"/>
                <w:szCs w:val="18"/>
              </w:rPr>
              <w:t>……</w:t>
            </w:r>
          </w:p>
        </w:tc>
        <w:tc>
          <w:tcPr>
            <w:tcW w:w="2294" w:type="dxa"/>
          </w:tcPr>
          <w:p>
            <w:pPr>
              <w:rPr>
                <w:color w:val="auto"/>
                <w:sz w:val="18"/>
                <w:szCs w:val="18"/>
              </w:rPr>
            </w:pPr>
            <w:r>
              <w:rPr>
                <w:rFonts w:asciiTheme="minorEastAsia" w:hAnsiTheme="minorEastAsia"/>
                <w:color w:val="auto"/>
                <w:sz w:val="18"/>
                <w:szCs w:val="18"/>
              </w:rPr>
              <w:t>……</w:t>
            </w:r>
          </w:p>
        </w:tc>
        <w:tc>
          <w:tcPr>
            <w:tcW w:w="2294"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产品输出</w:t>
            </w:r>
          </w:p>
        </w:tc>
        <w:tc>
          <w:tcPr>
            <w:tcW w:w="229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铜锭</w:t>
            </w:r>
          </w:p>
        </w:tc>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94" w:type="dxa"/>
          </w:tcPr>
          <w:p>
            <w:pPr>
              <w:rPr>
                <w:rFonts w:asciiTheme="minorEastAsia" w:hAnsiTheme="minorEastAsia"/>
                <w:color w:val="auto"/>
                <w:sz w:val="18"/>
                <w:szCs w:val="18"/>
              </w:rPr>
            </w:pPr>
          </w:p>
        </w:tc>
        <w:tc>
          <w:tcPr>
            <w:tcW w:w="2294" w:type="dxa"/>
          </w:tcPr>
          <w:p>
            <w:pPr>
              <w:rPr>
                <w:rFonts w:asciiTheme="minorEastAsia" w:hAnsiTheme="minorEastAsia"/>
                <w:color w:val="auto"/>
                <w:sz w:val="18"/>
                <w:szCs w:val="18"/>
              </w:rPr>
            </w:pPr>
            <w:r>
              <w:rPr>
                <w:rFonts w:hint="eastAsia" w:asciiTheme="minorEastAsia" w:hAnsiTheme="minorEastAsia"/>
                <w:color w:val="auto"/>
                <w:sz w:val="18"/>
                <w:szCs w:val="18"/>
              </w:rPr>
              <w:t>自产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93" w:type="dxa"/>
          </w:tcPr>
          <w:p>
            <w:pPr>
              <w:rPr>
                <w:color w:val="auto"/>
                <w:sz w:val="18"/>
                <w:szCs w:val="18"/>
              </w:rPr>
            </w:pPr>
            <w:r>
              <w:rPr>
                <w:rFonts w:asciiTheme="minorEastAsia" w:hAnsiTheme="minorEastAsia"/>
                <w:color w:val="auto"/>
                <w:sz w:val="18"/>
                <w:szCs w:val="18"/>
              </w:rPr>
              <w:t>……</w:t>
            </w:r>
          </w:p>
        </w:tc>
        <w:tc>
          <w:tcPr>
            <w:tcW w:w="2294" w:type="dxa"/>
          </w:tcPr>
          <w:p>
            <w:pPr>
              <w:rPr>
                <w:color w:val="auto"/>
                <w:sz w:val="18"/>
                <w:szCs w:val="18"/>
              </w:rPr>
            </w:pPr>
            <w:r>
              <w:rPr>
                <w:rFonts w:asciiTheme="minorEastAsia" w:hAnsiTheme="minorEastAsia"/>
                <w:color w:val="auto"/>
                <w:sz w:val="18"/>
                <w:szCs w:val="18"/>
              </w:rPr>
              <w:t>……</w:t>
            </w:r>
          </w:p>
        </w:tc>
        <w:tc>
          <w:tcPr>
            <w:tcW w:w="2294"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color w:val="auto"/>
                <w:sz w:val="18"/>
                <w:szCs w:val="18"/>
              </w:rPr>
            </w:pPr>
            <w:bookmarkStart w:id="9" w:name="_Hlk64727925"/>
            <w:r>
              <w:rPr>
                <w:rFonts w:hint="eastAsia" w:asciiTheme="minorEastAsia" w:hAnsiTheme="minorEastAsia"/>
                <w:color w:val="auto"/>
                <w:sz w:val="18"/>
                <w:szCs w:val="18"/>
              </w:rPr>
              <w:t>能量输出</w:t>
            </w:r>
          </w:p>
        </w:tc>
        <w:tc>
          <w:tcPr>
            <w:tcW w:w="229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用途</w:t>
            </w:r>
          </w:p>
        </w:tc>
      </w:tr>
      <w:bookmarkEnd w:id="9"/>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热水</w:t>
            </w:r>
          </w:p>
        </w:tc>
        <w:tc>
          <w:tcPr>
            <w:tcW w:w="2293" w:type="dxa"/>
          </w:tcPr>
          <w:p>
            <w:pPr>
              <w:rPr>
                <w:rFonts w:asciiTheme="minorEastAsia" w:hAnsiTheme="minorEastAsia"/>
                <w:color w:val="auto"/>
                <w:sz w:val="18"/>
                <w:szCs w:val="18"/>
              </w:rPr>
            </w:pPr>
            <w:r>
              <w:rPr>
                <w:rFonts w:asciiTheme="minorEastAsia" w:hAnsiTheme="minorEastAsia"/>
                <w:color w:val="auto"/>
                <w:sz w:val="18"/>
                <w:szCs w:val="18"/>
              </w:rPr>
              <w:t>m</w:t>
            </w:r>
            <w:r>
              <w:rPr>
                <w:rFonts w:asciiTheme="minorEastAsia" w:hAnsiTheme="minorEastAsia"/>
                <w:color w:val="auto"/>
                <w:sz w:val="18"/>
                <w:szCs w:val="18"/>
                <w:vertAlign w:val="superscript"/>
              </w:rPr>
              <w:t>3</w:t>
            </w:r>
          </w:p>
        </w:tc>
        <w:tc>
          <w:tcPr>
            <w:tcW w:w="2294" w:type="dxa"/>
          </w:tcPr>
          <w:p>
            <w:pPr>
              <w:rPr>
                <w:rFonts w:asciiTheme="minorEastAsia" w:hAnsiTheme="minorEastAsia"/>
                <w:color w:val="auto"/>
                <w:sz w:val="18"/>
                <w:szCs w:val="18"/>
              </w:rPr>
            </w:pPr>
          </w:p>
        </w:tc>
        <w:tc>
          <w:tcPr>
            <w:tcW w:w="2294" w:type="dxa"/>
          </w:tcPr>
          <w:p>
            <w:pPr>
              <w:rPr>
                <w:rFonts w:asciiTheme="minorEastAsia" w:hAnsiTheme="minorEastAsia"/>
                <w:color w:val="auto"/>
                <w:sz w:val="18"/>
                <w:szCs w:val="18"/>
              </w:rPr>
            </w:pPr>
            <w:r>
              <w:rPr>
                <w:rFonts w:hint="eastAsia" w:asciiTheme="minorEastAsia" w:hAnsiTheme="minorEastAsia"/>
                <w:color w:val="auto"/>
                <w:sz w:val="18"/>
                <w:szCs w:val="18"/>
              </w:rPr>
              <w:t>本工序自用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2293"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93" w:type="dxa"/>
          </w:tcPr>
          <w:p>
            <w:pPr>
              <w:rPr>
                <w:color w:val="auto"/>
                <w:sz w:val="18"/>
                <w:szCs w:val="18"/>
              </w:rPr>
            </w:pPr>
            <w:r>
              <w:rPr>
                <w:rFonts w:asciiTheme="minorEastAsia" w:hAnsiTheme="minorEastAsia"/>
                <w:color w:val="auto"/>
                <w:sz w:val="18"/>
                <w:szCs w:val="18"/>
              </w:rPr>
              <w:t>……</w:t>
            </w:r>
          </w:p>
        </w:tc>
        <w:tc>
          <w:tcPr>
            <w:tcW w:w="2294" w:type="dxa"/>
          </w:tcPr>
          <w:p>
            <w:pPr>
              <w:rPr>
                <w:color w:val="auto"/>
                <w:sz w:val="18"/>
                <w:szCs w:val="18"/>
              </w:rPr>
            </w:pPr>
            <w:r>
              <w:rPr>
                <w:rFonts w:asciiTheme="minorEastAsia" w:hAnsiTheme="minorEastAsia"/>
                <w:color w:val="auto"/>
                <w:sz w:val="18"/>
                <w:szCs w:val="18"/>
              </w:rPr>
              <w:t>……</w:t>
            </w:r>
          </w:p>
        </w:tc>
        <w:tc>
          <w:tcPr>
            <w:tcW w:w="2294"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固体废弃物输出</w:t>
            </w:r>
          </w:p>
        </w:tc>
        <w:tc>
          <w:tcPr>
            <w:tcW w:w="229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9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jc w:val="left"/>
              <w:rPr>
                <w:rFonts w:asciiTheme="minorEastAsia" w:hAnsiTheme="minorEastAsia"/>
                <w:color w:val="auto"/>
                <w:sz w:val="18"/>
                <w:szCs w:val="18"/>
              </w:rPr>
            </w:pPr>
            <w:r>
              <w:rPr>
                <w:rFonts w:hint="eastAsia" w:asciiTheme="minorEastAsia" w:hAnsiTheme="minorEastAsia"/>
                <w:color w:val="auto"/>
                <w:sz w:val="18"/>
                <w:szCs w:val="18"/>
              </w:rPr>
              <w:t>铜渣</w:t>
            </w:r>
          </w:p>
        </w:tc>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94" w:type="dxa"/>
          </w:tcPr>
          <w:p>
            <w:pPr>
              <w:rPr>
                <w:rFonts w:asciiTheme="minorEastAsia" w:hAnsiTheme="minorEastAsia"/>
                <w:color w:val="auto"/>
                <w:sz w:val="18"/>
                <w:szCs w:val="18"/>
              </w:rPr>
            </w:pPr>
          </w:p>
        </w:tc>
        <w:tc>
          <w:tcPr>
            <w:tcW w:w="2294" w:type="dxa"/>
          </w:tcPr>
          <w:p>
            <w:pPr>
              <w:rPr>
                <w:rFonts w:asciiTheme="minorEastAsia" w:hAnsiTheme="minorEastAsia"/>
                <w:color w:val="auto"/>
                <w:sz w:val="18"/>
                <w:szCs w:val="18"/>
              </w:rPr>
            </w:pPr>
            <w:r>
              <w:rPr>
                <w:rFonts w:hint="eastAsia" w:asciiTheme="minorEastAsia" w:hAnsiTheme="minorEastAsia"/>
                <w:color w:val="auto"/>
                <w:sz w:val="18"/>
                <w:szCs w:val="18"/>
              </w:rPr>
              <w:t>外卖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铜粉</w:t>
            </w:r>
          </w:p>
        </w:tc>
        <w:tc>
          <w:tcPr>
            <w:tcW w:w="2293"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94" w:type="dxa"/>
          </w:tcPr>
          <w:p>
            <w:pPr>
              <w:rPr>
                <w:rFonts w:asciiTheme="minorEastAsia" w:hAnsiTheme="minorEastAsia"/>
                <w:color w:val="auto"/>
                <w:sz w:val="18"/>
                <w:szCs w:val="18"/>
              </w:rPr>
            </w:pPr>
          </w:p>
        </w:tc>
        <w:tc>
          <w:tcPr>
            <w:tcW w:w="2294" w:type="dxa"/>
          </w:tcPr>
          <w:p>
            <w:pPr>
              <w:rPr>
                <w:rFonts w:asciiTheme="minorEastAsia" w:hAnsiTheme="minorEastAsia"/>
                <w:color w:val="auto"/>
                <w:sz w:val="18"/>
                <w:szCs w:val="18"/>
              </w:rPr>
            </w:pPr>
            <w:r>
              <w:rPr>
                <w:rFonts w:hint="eastAsia" w:asciiTheme="minorEastAsia" w:hAnsiTheme="minorEastAsia"/>
                <w:color w:val="auto"/>
                <w:sz w:val="18"/>
                <w:szCs w:val="18"/>
              </w:rPr>
              <w:t>外卖或自用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3"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93" w:type="dxa"/>
          </w:tcPr>
          <w:p>
            <w:pPr>
              <w:rPr>
                <w:color w:val="auto"/>
                <w:sz w:val="18"/>
                <w:szCs w:val="18"/>
              </w:rPr>
            </w:pPr>
            <w:r>
              <w:rPr>
                <w:rFonts w:asciiTheme="minorEastAsia" w:hAnsiTheme="minorEastAsia"/>
                <w:color w:val="auto"/>
                <w:sz w:val="18"/>
                <w:szCs w:val="18"/>
              </w:rPr>
              <w:t>……</w:t>
            </w:r>
          </w:p>
        </w:tc>
        <w:tc>
          <w:tcPr>
            <w:tcW w:w="2294" w:type="dxa"/>
          </w:tcPr>
          <w:p>
            <w:pPr>
              <w:rPr>
                <w:color w:val="auto"/>
                <w:sz w:val="18"/>
                <w:szCs w:val="18"/>
              </w:rPr>
            </w:pPr>
            <w:r>
              <w:rPr>
                <w:rFonts w:asciiTheme="minorEastAsia" w:hAnsiTheme="minorEastAsia"/>
                <w:color w:val="auto"/>
                <w:sz w:val="18"/>
                <w:szCs w:val="18"/>
              </w:rPr>
              <w:t>……</w:t>
            </w:r>
          </w:p>
        </w:tc>
        <w:tc>
          <w:tcPr>
            <w:tcW w:w="2294"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2293" w:type="dxa"/>
            <w:vAlign w:val="center"/>
          </w:tcPr>
          <w:p>
            <w:pPr>
              <w:rPr>
                <w:rFonts w:asciiTheme="minorEastAsia" w:hAnsiTheme="minorEastAsia"/>
                <w:color w:val="auto"/>
                <w:sz w:val="18"/>
                <w:szCs w:val="18"/>
              </w:rPr>
            </w:pPr>
            <w:r>
              <w:rPr>
                <w:rFonts w:hint="eastAsia" w:asciiTheme="minorEastAsia" w:hAnsiTheme="minorEastAsia"/>
                <w:color w:val="auto"/>
                <w:sz w:val="18"/>
                <w:szCs w:val="18"/>
              </w:rPr>
              <w:t>备注：</w:t>
            </w:r>
          </w:p>
        </w:tc>
        <w:tc>
          <w:tcPr>
            <w:tcW w:w="6881" w:type="dxa"/>
            <w:gridSpan w:val="3"/>
          </w:tcPr>
          <w:p>
            <w:pPr>
              <w:rPr>
                <w:rFonts w:asciiTheme="minorEastAsia" w:hAnsiTheme="minorEastAsia"/>
                <w:color w:val="auto"/>
                <w:sz w:val="18"/>
                <w:szCs w:val="18"/>
              </w:rPr>
            </w:pPr>
          </w:p>
        </w:tc>
      </w:tr>
    </w:tbl>
    <w:p>
      <w:pPr>
        <w:spacing w:line="360" w:lineRule="auto"/>
        <w:jc w:val="center"/>
        <w:rPr>
          <w:rFonts w:ascii="黑体" w:eastAsia="黑体" w:hAnsiTheme="minorEastAsia"/>
          <w:color w:val="auto"/>
          <w:szCs w:val="21"/>
        </w:rPr>
      </w:pPr>
      <w:r>
        <w:rPr>
          <w:rFonts w:hint="eastAsia" w:ascii="黑体" w:eastAsia="黑体" w:hAnsiTheme="minorEastAsia"/>
          <w:color w:val="auto"/>
          <w:szCs w:val="21"/>
        </w:rPr>
        <w:t>表A.2  现场数据收集表示例2——大气排放</w:t>
      </w:r>
    </w:p>
    <w:tbl>
      <w:tblPr>
        <w:tblStyle w:val="13"/>
        <w:tblW w:w="9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58"/>
        <w:gridCol w:w="3058"/>
        <w:gridCol w:w="30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color w:val="auto"/>
                <w:sz w:val="18"/>
                <w:szCs w:val="18"/>
              </w:rPr>
            </w:pPr>
            <w:r>
              <w:rPr>
                <w:rFonts w:hint="eastAsia" w:asciiTheme="minorEastAsia" w:hAnsiTheme="minorEastAsia"/>
                <w:color w:val="auto"/>
                <w:sz w:val="18"/>
                <w:szCs w:val="18"/>
              </w:rPr>
              <w:t>制表人联系方式：                                                制表如期：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color w:val="auto"/>
                <w:sz w:val="18"/>
                <w:szCs w:val="18"/>
              </w:rPr>
            </w:pPr>
            <w:r>
              <w:rPr>
                <w:rFonts w:hint="eastAsia" w:asciiTheme="minorEastAsia" w:hAnsiTheme="minorEastAsia"/>
                <w:color w:val="auto"/>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4" w:type="dxa"/>
            <w:gridSpan w:val="3"/>
          </w:tcPr>
          <w:p>
            <w:pPr>
              <w:rPr>
                <w:rFonts w:asciiTheme="minorEastAsia" w:hAnsiTheme="minorEastAsia"/>
                <w:color w:val="auto"/>
                <w:sz w:val="18"/>
                <w:szCs w:val="18"/>
              </w:rPr>
            </w:pPr>
            <w:r>
              <w:rPr>
                <w:rFonts w:hint="eastAsia" w:asciiTheme="minorEastAsia" w:hAnsiTheme="minorEastAsia"/>
                <w:color w:val="auto"/>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174" w:type="dxa"/>
            <w:gridSpan w:val="3"/>
          </w:tcPr>
          <w:p>
            <w:pPr>
              <w:rPr>
                <w:rFonts w:asciiTheme="minorEastAsia" w:hAnsiTheme="minorEastAsia"/>
                <w:color w:val="auto"/>
                <w:sz w:val="18"/>
                <w:szCs w:val="18"/>
              </w:rPr>
            </w:pPr>
            <w:r>
              <w:rPr>
                <w:rFonts w:hint="eastAsia" w:asciiTheme="minorEastAsia" w:hAnsiTheme="minorEastAsia"/>
                <w:color w:val="auto"/>
                <w:sz w:val="18"/>
                <w:szCs w:val="18"/>
              </w:rPr>
              <w:t>烟气量/m</w:t>
            </w:r>
            <w:r>
              <w:rPr>
                <w:rFonts w:hint="eastAsia" w:asciiTheme="minorEastAsia" w:hAnsiTheme="minorEastAsia"/>
                <w:color w:val="auto"/>
                <w:sz w:val="18"/>
                <w:szCs w:val="18"/>
                <w:vertAlign w:val="superscript"/>
              </w:rPr>
              <w:t>3</w:t>
            </w:r>
            <w:r>
              <w:rPr>
                <w:rFonts w:hint="eastAsia"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污染物名称</w:t>
            </w:r>
          </w:p>
        </w:tc>
        <w:tc>
          <w:tcPr>
            <w:tcW w:w="3058" w:type="dxa"/>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排放浓度/g/L</w:t>
            </w:r>
          </w:p>
        </w:tc>
        <w:tc>
          <w:tcPr>
            <w:tcW w:w="3058" w:type="dxa"/>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color w:val="auto"/>
                <w:sz w:val="18"/>
                <w:szCs w:val="18"/>
              </w:rPr>
            </w:pPr>
            <w:r>
              <w:rPr>
                <w:rFonts w:hint="eastAsia" w:asciiTheme="minorEastAsia" w:hAnsiTheme="minorEastAsia"/>
                <w:color w:val="auto"/>
                <w:sz w:val="18"/>
                <w:szCs w:val="18"/>
              </w:rPr>
              <w:t>颗粒物</w:t>
            </w:r>
          </w:p>
        </w:tc>
        <w:tc>
          <w:tcPr>
            <w:tcW w:w="3058" w:type="dxa"/>
          </w:tcPr>
          <w:p>
            <w:pPr>
              <w:rPr>
                <w:rFonts w:asciiTheme="minorEastAsia" w:hAnsiTheme="minorEastAsia"/>
                <w:color w:val="auto"/>
                <w:sz w:val="18"/>
                <w:szCs w:val="18"/>
              </w:rPr>
            </w:pPr>
          </w:p>
        </w:tc>
        <w:tc>
          <w:tcPr>
            <w:tcW w:w="3058"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color w:val="auto"/>
                <w:sz w:val="18"/>
                <w:szCs w:val="18"/>
              </w:rPr>
            </w:pPr>
            <w:r>
              <w:rPr>
                <w:rFonts w:hint="eastAsia" w:asciiTheme="minorEastAsia" w:hAnsiTheme="minorEastAsia"/>
                <w:color w:val="auto"/>
                <w:sz w:val="18"/>
                <w:szCs w:val="18"/>
              </w:rPr>
              <w:t>SO</w:t>
            </w:r>
            <w:r>
              <w:rPr>
                <w:rFonts w:hint="eastAsia" w:asciiTheme="minorEastAsia" w:hAnsiTheme="minorEastAsia"/>
                <w:color w:val="auto"/>
                <w:sz w:val="18"/>
                <w:szCs w:val="18"/>
                <w:vertAlign w:val="subscript"/>
              </w:rPr>
              <w:t>2</w:t>
            </w:r>
          </w:p>
        </w:tc>
        <w:tc>
          <w:tcPr>
            <w:tcW w:w="3058" w:type="dxa"/>
          </w:tcPr>
          <w:p>
            <w:pPr>
              <w:rPr>
                <w:rFonts w:asciiTheme="minorEastAsia" w:hAnsiTheme="minorEastAsia"/>
                <w:color w:val="auto"/>
                <w:sz w:val="18"/>
                <w:szCs w:val="18"/>
              </w:rPr>
            </w:pPr>
          </w:p>
        </w:tc>
        <w:tc>
          <w:tcPr>
            <w:tcW w:w="3058"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color w:val="auto"/>
                <w:sz w:val="18"/>
                <w:szCs w:val="18"/>
              </w:rPr>
            </w:pPr>
            <w:r>
              <w:rPr>
                <w:rFonts w:hint="eastAsia" w:asciiTheme="minorEastAsia" w:hAnsiTheme="minorEastAsia"/>
                <w:color w:val="auto"/>
                <w:sz w:val="18"/>
                <w:szCs w:val="18"/>
              </w:rPr>
              <w:t>CO</w:t>
            </w:r>
            <w:r>
              <w:rPr>
                <w:rFonts w:hint="eastAsia" w:asciiTheme="minorEastAsia" w:hAnsiTheme="minorEastAsia"/>
                <w:color w:val="auto"/>
                <w:sz w:val="18"/>
                <w:szCs w:val="18"/>
                <w:vertAlign w:val="subscript"/>
              </w:rPr>
              <w:t>2</w:t>
            </w:r>
          </w:p>
        </w:tc>
        <w:tc>
          <w:tcPr>
            <w:tcW w:w="3058" w:type="dxa"/>
          </w:tcPr>
          <w:p>
            <w:pPr>
              <w:rPr>
                <w:rFonts w:asciiTheme="minorEastAsia" w:hAnsiTheme="minorEastAsia"/>
                <w:color w:val="auto"/>
                <w:sz w:val="18"/>
                <w:szCs w:val="18"/>
              </w:rPr>
            </w:pPr>
          </w:p>
        </w:tc>
        <w:tc>
          <w:tcPr>
            <w:tcW w:w="3058"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8"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3058" w:type="dxa"/>
          </w:tcPr>
          <w:p>
            <w:pPr>
              <w:rPr>
                <w:color w:val="auto"/>
                <w:sz w:val="18"/>
                <w:szCs w:val="18"/>
              </w:rPr>
            </w:pPr>
            <w:r>
              <w:rPr>
                <w:rFonts w:asciiTheme="minorEastAsia" w:hAnsiTheme="minorEastAsia"/>
                <w:color w:val="auto"/>
                <w:sz w:val="18"/>
                <w:szCs w:val="18"/>
              </w:rPr>
              <w:t>……</w:t>
            </w:r>
          </w:p>
        </w:tc>
        <w:tc>
          <w:tcPr>
            <w:tcW w:w="3058" w:type="dxa"/>
          </w:tcPr>
          <w:p>
            <w:pPr>
              <w:rPr>
                <w:color w:val="auto"/>
                <w:sz w:val="18"/>
                <w:szCs w:val="18"/>
              </w:rPr>
            </w:pPr>
            <w:r>
              <w:rPr>
                <w:rFonts w:asciiTheme="minorEastAsia" w:hAnsiTheme="minorEastAsia"/>
                <w:color w:val="auto"/>
                <w:sz w:val="18"/>
                <w:szCs w:val="18"/>
              </w:rPr>
              <w:t>……</w:t>
            </w:r>
          </w:p>
        </w:tc>
      </w:tr>
    </w:tbl>
    <w:p>
      <w:pPr>
        <w:spacing w:line="480" w:lineRule="auto"/>
        <w:jc w:val="center"/>
        <w:rPr>
          <w:rFonts w:ascii="黑体" w:eastAsia="黑体" w:hAnsiTheme="minorEastAsia"/>
          <w:color w:val="auto"/>
          <w:szCs w:val="21"/>
        </w:rPr>
      </w:pPr>
    </w:p>
    <w:p>
      <w:pPr>
        <w:spacing w:line="480" w:lineRule="auto"/>
        <w:jc w:val="center"/>
        <w:rPr>
          <w:rFonts w:ascii="黑体" w:eastAsia="黑体" w:hAnsiTheme="minorEastAsia"/>
          <w:color w:val="auto"/>
          <w:szCs w:val="21"/>
        </w:rPr>
      </w:pPr>
      <w:r>
        <w:rPr>
          <w:rFonts w:hint="eastAsia" w:ascii="黑体" w:eastAsia="黑体" w:hAnsiTheme="minorEastAsia"/>
          <w:color w:val="auto"/>
          <w:szCs w:val="21"/>
        </w:rPr>
        <w:t>表A.3  现场数据收集表示例3——水体排放</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9"/>
        <w:gridCol w:w="2290"/>
        <w:gridCol w:w="2290"/>
        <w:gridCol w:w="2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9160" w:type="dxa"/>
            <w:gridSpan w:val="4"/>
          </w:tcPr>
          <w:p>
            <w:pPr>
              <w:rPr>
                <w:rFonts w:asciiTheme="minorEastAsia" w:hAnsiTheme="minorEastAsia"/>
                <w:color w:val="auto"/>
                <w:sz w:val="18"/>
                <w:szCs w:val="18"/>
              </w:rPr>
            </w:pPr>
            <w:r>
              <w:rPr>
                <w:rFonts w:hint="eastAsia" w:asciiTheme="minorEastAsia" w:hAnsiTheme="minorEastAsia"/>
                <w:color w:val="auto"/>
                <w:sz w:val="18"/>
                <w:szCs w:val="18"/>
              </w:rPr>
              <w:t>制表人联系方式：                                                制表如期：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9160" w:type="dxa"/>
            <w:gridSpan w:val="4"/>
          </w:tcPr>
          <w:p>
            <w:pPr>
              <w:rPr>
                <w:rFonts w:asciiTheme="minorEastAsia" w:hAnsiTheme="minorEastAsia"/>
                <w:color w:val="auto"/>
                <w:sz w:val="18"/>
                <w:szCs w:val="18"/>
              </w:rPr>
            </w:pPr>
            <w:r>
              <w:rPr>
                <w:rFonts w:hint="eastAsia" w:asciiTheme="minorEastAsia" w:hAnsiTheme="minorEastAsia"/>
                <w:color w:val="auto"/>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9160" w:type="dxa"/>
            <w:gridSpan w:val="4"/>
          </w:tcPr>
          <w:p>
            <w:pPr>
              <w:rPr>
                <w:rFonts w:asciiTheme="minorEastAsia" w:hAnsiTheme="minorEastAsia"/>
                <w:color w:val="auto"/>
                <w:sz w:val="18"/>
                <w:szCs w:val="18"/>
              </w:rPr>
            </w:pPr>
            <w:r>
              <w:rPr>
                <w:rFonts w:hint="eastAsia" w:asciiTheme="minorEastAsia" w:hAnsiTheme="minorEastAsia"/>
                <w:color w:val="auto"/>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4579" w:type="dxa"/>
            <w:gridSpan w:val="2"/>
          </w:tcPr>
          <w:p>
            <w:pPr>
              <w:jc w:val="left"/>
              <w:rPr>
                <w:rFonts w:asciiTheme="minorEastAsia" w:hAnsiTheme="minorEastAsia"/>
                <w:color w:val="auto"/>
                <w:sz w:val="18"/>
                <w:szCs w:val="18"/>
              </w:rPr>
            </w:pPr>
            <w:r>
              <w:rPr>
                <w:rFonts w:hint="eastAsia" w:asciiTheme="minorEastAsia" w:hAnsiTheme="minorEastAsia"/>
                <w:color w:val="auto"/>
                <w:sz w:val="18"/>
                <w:szCs w:val="18"/>
              </w:rPr>
              <w:t>进水量/m</w:t>
            </w:r>
            <w:r>
              <w:rPr>
                <w:rFonts w:hint="eastAsia" w:asciiTheme="minorEastAsia" w:hAnsiTheme="minorEastAsia"/>
                <w:color w:val="auto"/>
                <w:sz w:val="18"/>
                <w:szCs w:val="18"/>
                <w:vertAlign w:val="superscript"/>
              </w:rPr>
              <w:t>3</w:t>
            </w:r>
            <w:r>
              <w:rPr>
                <w:rFonts w:hint="eastAsia" w:asciiTheme="minorEastAsia" w:hAnsiTheme="minorEastAsia"/>
                <w:color w:val="auto"/>
                <w:sz w:val="18"/>
                <w:szCs w:val="18"/>
              </w:rPr>
              <w:t>:</w:t>
            </w:r>
          </w:p>
        </w:tc>
        <w:tc>
          <w:tcPr>
            <w:tcW w:w="4581" w:type="dxa"/>
            <w:gridSpan w:val="2"/>
          </w:tcPr>
          <w:p>
            <w:pPr>
              <w:jc w:val="left"/>
              <w:rPr>
                <w:rFonts w:asciiTheme="minorEastAsia" w:hAnsiTheme="minorEastAsia"/>
                <w:color w:val="auto"/>
                <w:sz w:val="18"/>
                <w:szCs w:val="18"/>
              </w:rPr>
            </w:pPr>
            <w:r>
              <w:rPr>
                <w:rFonts w:hint="eastAsia" w:asciiTheme="minorEastAsia" w:hAnsiTheme="minorEastAsia"/>
                <w:color w:val="auto"/>
                <w:sz w:val="18"/>
                <w:szCs w:val="18"/>
              </w:rPr>
              <w:t>排水量/m</w:t>
            </w:r>
            <w:r>
              <w:rPr>
                <w:rFonts w:hint="eastAsia" w:asciiTheme="minorEastAsia" w:hAnsiTheme="minorEastAsia"/>
                <w:color w:val="auto"/>
                <w:sz w:val="18"/>
                <w:szCs w:val="18"/>
                <w:vertAlign w:val="superscript"/>
              </w:rPr>
              <w:t>3</w:t>
            </w:r>
            <w:r>
              <w:rPr>
                <w:rFonts w:hint="eastAsia"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trPr>
        <w:tc>
          <w:tcPr>
            <w:tcW w:w="2289" w:type="dxa"/>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污染物名称</w:t>
            </w:r>
          </w:p>
        </w:tc>
        <w:tc>
          <w:tcPr>
            <w:tcW w:w="22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olor w:val="auto"/>
                <w:sz w:val="18"/>
                <w:szCs w:val="18"/>
              </w:rPr>
            </w:pPr>
            <w:r>
              <w:rPr>
                <w:rFonts w:hint="eastAsia" w:asciiTheme="minorEastAsia" w:hAnsiTheme="minorEastAsia"/>
                <w:color w:val="auto"/>
                <w:sz w:val="18"/>
                <w:szCs w:val="18"/>
              </w:rPr>
              <w:t>进水浓度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olor w:val="auto"/>
                <w:sz w:val="18"/>
                <w:szCs w:val="18"/>
              </w:rPr>
            </w:pPr>
            <w:r>
              <w:rPr>
                <w:rFonts w:hint="eastAsia" w:asciiTheme="minorEastAsia" w:hAnsiTheme="minorEastAsia"/>
                <w:color w:val="auto"/>
                <w:sz w:val="18"/>
                <w:szCs w:val="18"/>
              </w:rPr>
              <w:t>g/L</w:t>
            </w:r>
          </w:p>
        </w:tc>
        <w:tc>
          <w:tcPr>
            <w:tcW w:w="22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olor w:val="auto"/>
                <w:sz w:val="18"/>
                <w:szCs w:val="18"/>
              </w:rPr>
            </w:pPr>
            <w:r>
              <w:rPr>
                <w:rFonts w:hint="eastAsia" w:asciiTheme="minorEastAsia" w:hAnsiTheme="minorEastAsia"/>
                <w:color w:val="auto"/>
                <w:sz w:val="18"/>
                <w:szCs w:val="18"/>
              </w:rPr>
              <w:t>排水浓度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olor w:val="auto"/>
                <w:sz w:val="18"/>
                <w:szCs w:val="18"/>
              </w:rPr>
            </w:pPr>
            <w:r>
              <w:rPr>
                <w:rFonts w:hint="eastAsia" w:asciiTheme="minorEastAsia" w:hAnsiTheme="minorEastAsia"/>
                <w:color w:val="auto"/>
                <w:sz w:val="18"/>
                <w:szCs w:val="18"/>
              </w:rPr>
              <w:t>g/L</w:t>
            </w:r>
          </w:p>
        </w:tc>
        <w:tc>
          <w:tcPr>
            <w:tcW w:w="2291" w:type="dxa"/>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2289" w:type="dxa"/>
            <w:vAlign w:val="center"/>
          </w:tcPr>
          <w:p>
            <w:pPr>
              <w:jc w:val="left"/>
              <w:rPr>
                <w:rFonts w:cs="Tahoma" w:asciiTheme="minorEastAsia" w:hAnsiTheme="minorEastAsia"/>
                <w:color w:val="auto"/>
                <w:sz w:val="18"/>
                <w:szCs w:val="18"/>
              </w:rPr>
            </w:pPr>
            <w:r>
              <w:rPr>
                <w:rFonts w:hint="eastAsia" w:cs="Tahoma" w:asciiTheme="minorEastAsia" w:hAnsiTheme="minorEastAsia"/>
                <w:color w:val="auto"/>
                <w:sz w:val="18"/>
                <w:szCs w:val="18"/>
              </w:rPr>
              <w:t>悬浮物</w:t>
            </w:r>
          </w:p>
        </w:tc>
        <w:tc>
          <w:tcPr>
            <w:tcW w:w="2290" w:type="dxa"/>
          </w:tcPr>
          <w:p>
            <w:pPr>
              <w:rPr>
                <w:rFonts w:asciiTheme="minorEastAsia" w:hAnsiTheme="minorEastAsia"/>
                <w:color w:val="auto"/>
                <w:sz w:val="18"/>
                <w:szCs w:val="18"/>
              </w:rPr>
            </w:pPr>
          </w:p>
        </w:tc>
        <w:tc>
          <w:tcPr>
            <w:tcW w:w="2290" w:type="dxa"/>
          </w:tcPr>
          <w:p>
            <w:pPr>
              <w:rPr>
                <w:rFonts w:asciiTheme="minorEastAsia" w:hAnsiTheme="minorEastAsia"/>
                <w:color w:val="auto"/>
                <w:sz w:val="18"/>
                <w:szCs w:val="18"/>
              </w:rPr>
            </w:pPr>
          </w:p>
        </w:tc>
        <w:tc>
          <w:tcPr>
            <w:tcW w:w="2291"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2289" w:type="dxa"/>
            <w:vAlign w:val="center"/>
          </w:tcPr>
          <w:p>
            <w:pPr>
              <w:jc w:val="left"/>
              <w:rPr>
                <w:rFonts w:cs="Tahoma" w:asciiTheme="minorEastAsia" w:hAnsiTheme="minorEastAsia"/>
                <w:color w:val="auto"/>
                <w:sz w:val="18"/>
                <w:szCs w:val="18"/>
              </w:rPr>
            </w:pPr>
            <w:r>
              <w:rPr>
                <w:rFonts w:hint="eastAsia" w:cs="Tahoma" w:asciiTheme="minorEastAsia" w:hAnsiTheme="minorEastAsia"/>
                <w:color w:val="auto"/>
                <w:sz w:val="18"/>
                <w:szCs w:val="18"/>
              </w:rPr>
              <w:t>化学需氧量</w:t>
            </w:r>
          </w:p>
        </w:tc>
        <w:tc>
          <w:tcPr>
            <w:tcW w:w="2290" w:type="dxa"/>
          </w:tcPr>
          <w:p>
            <w:pPr>
              <w:rPr>
                <w:rFonts w:asciiTheme="minorEastAsia" w:hAnsiTheme="minorEastAsia"/>
                <w:color w:val="auto"/>
                <w:sz w:val="18"/>
                <w:szCs w:val="18"/>
              </w:rPr>
            </w:pPr>
          </w:p>
        </w:tc>
        <w:tc>
          <w:tcPr>
            <w:tcW w:w="2290" w:type="dxa"/>
          </w:tcPr>
          <w:p>
            <w:pPr>
              <w:rPr>
                <w:rFonts w:asciiTheme="minorEastAsia" w:hAnsiTheme="minorEastAsia"/>
                <w:color w:val="auto"/>
                <w:sz w:val="18"/>
                <w:szCs w:val="18"/>
              </w:rPr>
            </w:pPr>
          </w:p>
        </w:tc>
        <w:tc>
          <w:tcPr>
            <w:tcW w:w="2291"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2289" w:type="dxa"/>
            <w:vAlign w:val="center"/>
          </w:tcPr>
          <w:p>
            <w:pPr>
              <w:jc w:val="left"/>
              <w:rPr>
                <w:rFonts w:cs="Tahoma" w:asciiTheme="minorEastAsia" w:hAnsiTheme="minorEastAsia"/>
                <w:color w:val="auto"/>
                <w:sz w:val="18"/>
                <w:szCs w:val="18"/>
              </w:rPr>
            </w:pPr>
            <w:r>
              <w:rPr>
                <w:rFonts w:hint="eastAsia" w:cs="Tahoma" w:asciiTheme="minorEastAsia" w:hAnsiTheme="minorEastAsia"/>
                <w:color w:val="auto"/>
                <w:sz w:val="18"/>
                <w:szCs w:val="18"/>
              </w:rPr>
              <w:t>总铜</w:t>
            </w:r>
          </w:p>
        </w:tc>
        <w:tc>
          <w:tcPr>
            <w:tcW w:w="2290" w:type="dxa"/>
          </w:tcPr>
          <w:p>
            <w:pPr>
              <w:rPr>
                <w:rFonts w:asciiTheme="minorEastAsia" w:hAnsiTheme="minorEastAsia"/>
                <w:color w:val="auto"/>
                <w:sz w:val="18"/>
                <w:szCs w:val="18"/>
              </w:rPr>
            </w:pPr>
          </w:p>
        </w:tc>
        <w:tc>
          <w:tcPr>
            <w:tcW w:w="2290" w:type="dxa"/>
          </w:tcPr>
          <w:p>
            <w:pPr>
              <w:rPr>
                <w:rFonts w:asciiTheme="minorEastAsia" w:hAnsiTheme="minorEastAsia"/>
                <w:color w:val="auto"/>
                <w:sz w:val="18"/>
                <w:szCs w:val="18"/>
              </w:rPr>
            </w:pPr>
          </w:p>
        </w:tc>
        <w:tc>
          <w:tcPr>
            <w:tcW w:w="2291"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trPr>
        <w:tc>
          <w:tcPr>
            <w:tcW w:w="2289"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90" w:type="dxa"/>
          </w:tcPr>
          <w:p>
            <w:pPr>
              <w:rPr>
                <w:color w:val="auto"/>
                <w:sz w:val="18"/>
                <w:szCs w:val="18"/>
              </w:rPr>
            </w:pPr>
          </w:p>
        </w:tc>
        <w:tc>
          <w:tcPr>
            <w:tcW w:w="2290" w:type="dxa"/>
          </w:tcPr>
          <w:p>
            <w:pPr>
              <w:rPr>
                <w:color w:val="auto"/>
                <w:sz w:val="18"/>
                <w:szCs w:val="18"/>
              </w:rPr>
            </w:pPr>
          </w:p>
        </w:tc>
        <w:tc>
          <w:tcPr>
            <w:tcW w:w="2291" w:type="dxa"/>
          </w:tcPr>
          <w:p>
            <w:pPr>
              <w:rPr>
                <w:rFonts w:asciiTheme="minorEastAsia" w:hAnsiTheme="minorEastAsia"/>
                <w:color w:val="auto"/>
                <w:sz w:val="18"/>
                <w:szCs w:val="18"/>
              </w:rPr>
            </w:pPr>
          </w:p>
        </w:tc>
      </w:tr>
    </w:tbl>
    <w:p>
      <w:pPr>
        <w:spacing w:line="480" w:lineRule="auto"/>
        <w:jc w:val="center"/>
        <w:rPr>
          <w:rFonts w:asciiTheme="minorEastAsia" w:hAnsiTheme="minorEastAsia"/>
          <w:color w:val="auto"/>
          <w:szCs w:val="21"/>
        </w:rPr>
      </w:pPr>
      <w:r>
        <w:rPr>
          <w:rFonts w:hint="eastAsia" w:ascii="黑体" w:eastAsia="黑体" w:hAnsiTheme="minorEastAsia"/>
          <w:color w:val="auto"/>
          <w:szCs w:val="21"/>
        </w:rPr>
        <w:t>表A.4  现场数据收集汇总表示例</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74"/>
        <w:gridCol w:w="2274"/>
        <w:gridCol w:w="2275"/>
        <w:gridCol w:w="22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100" w:type="dxa"/>
            <w:gridSpan w:val="4"/>
          </w:tcPr>
          <w:p>
            <w:pPr>
              <w:rPr>
                <w:rFonts w:asciiTheme="minorEastAsia" w:hAnsiTheme="minorEastAsia"/>
                <w:color w:val="auto"/>
                <w:sz w:val="18"/>
                <w:szCs w:val="18"/>
              </w:rPr>
            </w:pPr>
            <w:r>
              <w:rPr>
                <w:rFonts w:hint="eastAsia" w:asciiTheme="minorEastAsia" w:hAnsiTheme="minorEastAsia"/>
                <w:color w:val="auto"/>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100" w:type="dxa"/>
            <w:gridSpan w:val="4"/>
          </w:tcPr>
          <w:p>
            <w:pPr>
              <w:rPr>
                <w:rFonts w:asciiTheme="minorEastAsia" w:hAnsiTheme="minorEastAsia"/>
                <w:color w:val="auto"/>
                <w:sz w:val="18"/>
                <w:szCs w:val="18"/>
              </w:rPr>
            </w:pPr>
            <w:r>
              <w:rPr>
                <w:rFonts w:hint="eastAsia" w:asciiTheme="minorEastAsia" w:hAnsiTheme="minorEastAsia"/>
                <w:color w:val="auto"/>
                <w:sz w:val="18"/>
                <w:szCs w:val="18"/>
              </w:rPr>
              <w:t>单元过程及其统计口径描述：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能量输入</w:t>
            </w:r>
          </w:p>
        </w:tc>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75"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77"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电</w:t>
            </w:r>
          </w:p>
        </w:tc>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kW·h</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天然气</w:t>
            </w:r>
          </w:p>
        </w:tc>
        <w:tc>
          <w:tcPr>
            <w:tcW w:w="2274" w:type="dxa"/>
          </w:tcPr>
          <w:p>
            <w:pPr>
              <w:rPr>
                <w:rFonts w:asciiTheme="minorEastAsia" w:hAnsiTheme="minorEastAsia"/>
                <w:color w:val="auto"/>
                <w:sz w:val="18"/>
                <w:szCs w:val="18"/>
              </w:rPr>
            </w:pPr>
            <w:r>
              <w:rPr>
                <w:rFonts w:asciiTheme="minorEastAsia" w:hAnsiTheme="minorEastAsia"/>
                <w:color w:val="auto"/>
                <w:sz w:val="18"/>
                <w:szCs w:val="18"/>
              </w:rPr>
              <w:t>m</w:t>
            </w:r>
            <w:r>
              <w:rPr>
                <w:rFonts w:asciiTheme="minorEastAsia" w:hAnsiTheme="minorEastAsia"/>
                <w:color w:val="auto"/>
                <w:sz w:val="18"/>
                <w:szCs w:val="18"/>
                <w:vertAlign w:val="superscript"/>
              </w:rPr>
              <w:t>3</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74" w:type="dxa"/>
          </w:tcPr>
          <w:p>
            <w:pPr>
              <w:rPr>
                <w:color w:val="auto"/>
                <w:sz w:val="18"/>
                <w:szCs w:val="18"/>
              </w:rPr>
            </w:pPr>
            <w:r>
              <w:rPr>
                <w:rFonts w:asciiTheme="minorEastAsia" w:hAnsiTheme="minorEastAsia"/>
                <w:color w:val="auto"/>
                <w:sz w:val="18"/>
                <w:szCs w:val="18"/>
              </w:rPr>
              <w:t>……</w:t>
            </w:r>
          </w:p>
        </w:tc>
        <w:tc>
          <w:tcPr>
            <w:tcW w:w="2275" w:type="dxa"/>
          </w:tcPr>
          <w:p>
            <w:pPr>
              <w:rPr>
                <w:color w:val="auto"/>
                <w:sz w:val="18"/>
                <w:szCs w:val="18"/>
              </w:rPr>
            </w:pPr>
            <w:r>
              <w:rPr>
                <w:rFonts w:asciiTheme="minorEastAsia" w:hAnsiTheme="minorEastAsia"/>
                <w:color w:val="auto"/>
                <w:sz w:val="18"/>
                <w:szCs w:val="18"/>
              </w:rPr>
              <w:t>……</w:t>
            </w:r>
          </w:p>
        </w:tc>
        <w:tc>
          <w:tcPr>
            <w:tcW w:w="2277"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物资输入</w:t>
            </w:r>
          </w:p>
        </w:tc>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75"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77"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金属原料</w:t>
            </w:r>
          </w:p>
        </w:tc>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木炭</w:t>
            </w:r>
          </w:p>
        </w:tc>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74" w:type="dxa"/>
          </w:tcPr>
          <w:p>
            <w:pPr>
              <w:rPr>
                <w:color w:val="auto"/>
                <w:sz w:val="18"/>
                <w:szCs w:val="18"/>
              </w:rPr>
            </w:pPr>
            <w:r>
              <w:rPr>
                <w:rFonts w:asciiTheme="minorEastAsia" w:hAnsiTheme="minorEastAsia"/>
                <w:color w:val="auto"/>
                <w:sz w:val="18"/>
                <w:szCs w:val="18"/>
              </w:rPr>
              <w:t>……</w:t>
            </w:r>
          </w:p>
        </w:tc>
        <w:tc>
          <w:tcPr>
            <w:tcW w:w="2275" w:type="dxa"/>
          </w:tcPr>
          <w:p>
            <w:pPr>
              <w:rPr>
                <w:color w:val="auto"/>
                <w:sz w:val="18"/>
                <w:szCs w:val="18"/>
              </w:rPr>
            </w:pPr>
            <w:r>
              <w:rPr>
                <w:rFonts w:asciiTheme="minorEastAsia" w:hAnsiTheme="minorEastAsia"/>
                <w:color w:val="auto"/>
                <w:sz w:val="18"/>
                <w:szCs w:val="18"/>
              </w:rPr>
              <w:t>……</w:t>
            </w:r>
          </w:p>
        </w:tc>
        <w:tc>
          <w:tcPr>
            <w:tcW w:w="2277"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产品输出</w:t>
            </w:r>
          </w:p>
        </w:tc>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75"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77"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铜锭</w:t>
            </w:r>
          </w:p>
        </w:tc>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自产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74" w:type="dxa"/>
          </w:tcPr>
          <w:p>
            <w:pPr>
              <w:rPr>
                <w:color w:val="auto"/>
                <w:sz w:val="18"/>
                <w:szCs w:val="18"/>
              </w:rPr>
            </w:pPr>
            <w:r>
              <w:rPr>
                <w:rFonts w:asciiTheme="minorEastAsia" w:hAnsiTheme="minorEastAsia"/>
                <w:color w:val="auto"/>
                <w:sz w:val="18"/>
                <w:szCs w:val="18"/>
              </w:rPr>
              <w:t>……</w:t>
            </w:r>
          </w:p>
        </w:tc>
        <w:tc>
          <w:tcPr>
            <w:tcW w:w="2275" w:type="dxa"/>
          </w:tcPr>
          <w:p>
            <w:pPr>
              <w:rPr>
                <w:color w:val="auto"/>
                <w:sz w:val="18"/>
                <w:szCs w:val="18"/>
              </w:rPr>
            </w:pPr>
            <w:r>
              <w:rPr>
                <w:rFonts w:asciiTheme="minorEastAsia" w:hAnsiTheme="minorEastAsia"/>
                <w:color w:val="auto"/>
                <w:sz w:val="18"/>
                <w:szCs w:val="18"/>
              </w:rPr>
              <w:t>……</w:t>
            </w:r>
          </w:p>
        </w:tc>
        <w:tc>
          <w:tcPr>
            <w:tcW w:w="2277"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能量输出</w:t>
            </w:r>
          </w:p>
        </w:tc>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75"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77" w:type="dxa"/>
          </w:tcPr>
          <w:p>
            <w:pPr>
              <w:jc w:val="center"/>
              <w:rPr>
                <w:rFonts w:asciiTheme="minorEastAsia" w:hAnsiTheme="minorEastAsia"/>
                <w:color w:val="auto"/>
                <w:sz w:val="18"/>
                <w:szCs w:val="18"/>
              </w:rPr>
            </w:pPr>
            <w:r>
              <w:rPr>
                <w:rFonts w:hint="eastAsia" w:asciiTheme="minorEastAsia" w:hAnsiTheme="minorEastAsia"/>
                <w:color w:val="auto"/>
                <w:sz w:val="18"/>
                <w:szCs w:val="18"/>
              </w:rPr>
              <w:t>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热水</w:t>
            </w:r>
          </w:p>
        </w:tc>
        <w:tc>
          <w:tcPr>
            <w:tcW w:w="2274" w:type="dxa"/>
          </w:tcPr>
          <w:p>
            <w:pPr>
              <w:rPr>
                <w:rFonts w:asciiTheme="minorEastAsia" w:hAnsiTheme="minorEastAsia"/>
                <w:color w:val="auto"/>
                <w:sz w:val="18"/>
                <w:szCs w:val="18"/>
              </w:rPr>
            </w:pPr>
            <w:r>
              <w:rPr>
                <w:rFonts w:asciiTheme="minorEastAsia" w:hAnsiTheme="minorEastAsia"/>
                <w:color w:val="auto"/>
                <w:sz w:val="18"/>
                <w:szCs w:val="18"/>
              </w:rPr>
              <w:t>m</w:t>
            </w:r>
            <w:r>
              <w:rPr>
                <w:rFonts w:asciiTheme="minorEastAsia" w:hAnsiTheme="minorEastAsia"/>
                <w:color w:val="auto"/>
                <w:sz w:val="18"/>
                <w:szCs w:val="18"/>
                <w:vertAlign w:val="superscript"/>
              </w:rPr>
              <w:t>3</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本工序自用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74" w:type="dxa"/>
          </w:tcPr>
          <w:p>
            <w:pPr>
              <w:rPr>
                <w:color w:val="auto"/>
                <w:sz w:val="18"/>
                <w:szCs w:val="18"/>
              </w:rPr>
            </w:pPr>
            <w:r>
              <w:rPr>
                <w:rFonts w:asciiTheme="minorEastAsia" w:hAnsiTheme="minorEastAsia"/>
                <w:color w:val="auto"/>
                <w:sz w:val="18"/>
                <w:szCs w:val="18"/>
              </w:rPr>
              <w:t>……</w:t>
            </w:r>
          </w:p>
        </w:tc>
        <w:tc>
          <w:tcPr>
            <w:tcW w:w="2275" w:type="dxa"/>
          </w:tcPr>
          <w:p>
            <w:pPr>
              <w:rPr>
                <w:color w:val="auto"/>
                <w:sz w:val="18"/>
                <w:szCs w:val="18"/>
              </w:rPr>
            </w:pPr>
            <w:r>
              <w:rPr>
                <w:rFonts w:asciiTheme="minorEastAsia" w:hAnsiTheme="minorEastAsia"/>
                <w:color w:val="auto"/>
                <w:sz w:val="18"/>
                <w:szCs w:val="18"/>
              </w:rPr>
              <w:t>……</w:t>
            </w:r>
          </w:p>
        </w:tc>
        <w:tc>
          <w:tcPr>
            <w:tcW w:w="2277"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固体废弃物输出</w:t>
            </w:r>
          </w:p>
        </w:tc>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75"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77"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jc w:val="left"/>
              <w:rPr>
                <w:rFonts w:asciiTheme="minorEastAsia" w:hAnsiTheme="minorEastAsia"/>
                <w:color w:val="auto"/>
                <w:sz w:val="18"/>
                <w:szCs w:val="18"/>
              </w:rPr>
            </w:pPr>
            <w:r>
              <w:rPr>
                <w:rFonts w:hint="eastAsia" w:asciiTheme="minorEastAsia" w:hAnsiTheme="minorEastAsia"/>
                <w:color w:val="auto"/>
                <w:sz w:val="18"/>
                <w:szCs w:val="18"/>
              </w:rPr>
              <w:t>铜渣</w:t>
            </w:r>
          </w:p>
        </w:tc>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外卖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铜粉</w:t>
            </w:r>
          </w:p>
        </w:tc>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t</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外卖或自用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74" w:type="dxa"/>
          </w:tcPr>
          <w:p>
            <w:pPr>
              <w:rPr>
                <w:color w:val="auto"/>
                <w:sz w:val="18"/>
                <w:szCs w:val="18"/>
              </w:rPr>
            </w:pPr>
            <w:r>
              <w:rPr>
                <w:rFonts w:asciiTheme="minorEastAsia" w:hAnsiTheme="minorEastAsia"/>
                <w:color w:val="auto"/>
                <w:sz w:val="18"/>
                <w:szCs w:val="18"/>
              </w:rPr>
              <w:t>……</w:t>
            </w:r>
          </w:p>
        </w:tc>
        <w:tc>
          <w:tcPr>
            <w:tcW w:w="2275" w:type="dxa"/>
          </w:tcPr>
          <w:p>
            <w:pPr>
              <w:rPr>
                <w:color w:val="auto"/>
                <w:sz w:val="18"/>
                <w:szCs w:val="18"/>
              </w:rPr>
            </w:pPr>
            <w:r>
              <w:rPr>
                <w:rFonts w:asciiTheme="minorEastAsia" w:hAnsiTheme="minorEastAsia"/>
                <w:color w:val="auto"/>
                <w:sz w:val="18"/>
                <w:szCs w:val="18"/>
              </w:rPr>
              <w:t>……</w:t>
            </w:r>
          </w:p>
        </w:tc>
        <w:tc>
          <w:tcPr>
            <w:tcW w:w="2277"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大气排放物</w:t>
            </w:r>
          </w:p>
        </w:tc>
        <w:tc>
          <w:tcPr>
            <w:tcW w:w="2274" w:type="dxa"/>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单位</w:t>
            </w:r>
          </w:p>
        </w:tc>
        <w:tc>
          <w:tcPr>
            <w:tcW w:w="2275" w:type="dxa"/>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rPr>
              <w:t>数量</w:t>
            </w:r>
          </w:p>
        </w:tc>
        <w:tc>
          <w:tcPr>
            <w:tcW w:w="2277"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数据来源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颗粒物</w:t>
            </w:r>
          </w:p>
        </w:tc>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kg</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hint="eastAsia" w:asciiTheme="minorEastAsia" w:hAnsiTheme="minorEastAsia"/>
                <w:color w:val="auto"/>
                <w:sz w:val="18"/>
                <w:szCs w:val="18"/>
              </w:rPr>
              <w:t>CO</w:t>
            </w:r>
            <w:r>
              <w:rPr>
                <w:rFonts w:hint="eastAsia" w:asciiTheme="minorEastAsia" w:hAnsiTheme="minorEastAsia"/>
                <w:color w:val="auto"/>
                <w:sz w:val="18"/>
                <w:szCs w:val="18"/>
                <w:vertAlign w:val="subscript"/>
              </w:rPr>
              <w:t>2</w:t>
            </w:r>
          </w:p>
        </w:tc>
        <w:tc>
          <w:tcPr>
            <w:tcW w:w="2274" w:type="dxa"/>
          </w:tcPr>
          <w:p>
            <w:pPr>
              <w:rPr>
                <w:color w:val="auto"/>
              </w:rPr>
            </w:pPr>
            <w:r>
              <w:rPr>
                <w:rFonts w:hint="eastAsia" w:asciiTheme="minorEastAsia" w:hAnsiTheme="minorEastAsia"/>
                <w:color w:val="auto"/>
                <w:sz w:val="18"/>
                <w:szCs w:val="18"/>
              </w:rPr>
              <w:t>kg</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2274" w:type="dxa"/>
          </w:tcPr>
          <w:p>
            <w:pPr>
              <w:rPr>
                <w:color w:val="auto"/>
                <w:sz w:val="18"/>
                <w:szCs w:val="18"/>
              </w:rPr>
            </w:pPr>
            <w:r>
              <w:rPr>
                <w:rFonts w:asciiTheme="minorEastAsia" w:hAnsiTheme="minorEastAsia"/>
                <w:color w:val="auto"/>
                <w:sz w:val="18"/>
                <w:szCs w:val="18"/>
              </w:rPr>
              <w:t>……</w:t>
            </w:r>
          </w:p>
        </w:tc>
        <w:tc>
          <w:tcPr>
            <w:tcW w:w="2275" w:type="dxa"/>
          </w:tcPr>
          <w:p>
            <w:pPr>
              <w:rPr>
                <w:color w:val="auto"/>
                <w:sz w:val="18"/>
                <w:szCs w:val="18"/>
              </w:rPr>
            </w:pPr>
            <w:r>
              <w:rPr>
                <w:rFonts w:asciiTheme="minorEastAsia" w:hAnsiTheme="minorEastAsia"/>
                <w:color w:val="auto"/>
                <w:sz w:val="18"/>
                <w:szCs w:val="18"/>
              </w:rPr>
              <w:t>……</w:t>
            </w:r>
          </w:p>
        </w:tc>
        <w:tc>
          <w:tcPr>
            <w:tcW w:w="2277" w:type="dxa"/>
          </w:tcPr>
          <w:p>
            <w:pP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水体排放物</w:t>
            </w:r>
          </w:p>
        </w:tc>
        <w:tc>
          <w:tcPr>
            <w:tcW w:w="2274" w:type="dxa"/>
            <w:vAlign w:val="center"/>
          </w:tcPr>
          <w:p>
            <w:pPr>
              <w:spacing w:line="240" w:lineRule="exact"/>
              <w:jc w:val="center"/>
              <w:rPr>
                <w:rFonts w:asciiTheme="minorEastAsia" w:hAnsiTheme="minorEastAsia" w:eastAsiaTheme="minorEastAsia" w:cstheme="minorBidi"/>
                <w:color w:val="auto"/>
                <w:kern w:val="2"/>
                <w:sz w:val="18"/>
                <w:szCs w:val="18"/>
                <w:lang w:val="en-US" w:eastAsia="zh-CN" w:bidi="ar-SA"/>
              </w:rPr>
            </w:pPr>
            <w:r>
              <w:rPr>
                <w:rFonts w:hint="eastAsia" w:asciiTheme="minorEastAsia" w:hAnsiTheme="minorEastAsia"/>
                <w:color w:val="auto"/>
                <w:sz w:val="18"/>
                <w:szCs w:val="18"/>
              </w:rPr>
              <w:t>单位</w:t>
            </w:r>
          </w:p>
        </w:tc>
        <w:tc>
          <w:tcPr>
            <w:tcW w:w="2275" w:type="dxa"/>
            <w:vAlign w:val="center"/>
          </w:tcPr>
          <w:p>
            <w:pPr>
              <w:jc w:val="center"/>
              <w:rPr>
                <w:rFonts w:asciiTheme="minorEastAsia" w:hAnsiTheme="minorEastAsia" w:eastAsiaTheme="minorEastAsia" w:cstheme="minorBidi"/>
                <w:color w:val="auto"/>
                <w:kern w:val="2"/>
                <w:sz w:val="18"/>
                <w:szCs w:val="18"/>
                <w:lang w:val="en-US" w:eastAsia="zh-CN" w:bidi="ar-SA"/>
              </w:rPr>
            </w:pPr>
            <w:r>
              <w:rPr>
                <w:rFonts w:hint="eastAsia" w:asciiTheme="minorEastAsia" w:hAnsiTheme="minorEastAsia"/>
                <w:color w:val="auto"/>
                <w:sz w:val="18"/>
                <w:szCs w:val="18"/>
              </w:rPr>
              <w:t>数量</w:t>
            </w:r>
          </w:p>
        </w:tc>
        <w:tc>
          <w:tcPr>
            <w:tcW w:w="2277" w:type="dxa"/>
            <w:vAlign w:val="top"/>
          </w:tcPr>
          <w:p>
            <w:pPr>
              <w:jc w:val="center"/>
              <w:rPr>
                <w:rFonts w:asciiTheme="minorEastAsia" w:hAnsiTheme="minorEastAsia" w:eastAsiaTheme="minorEastAsia" w:cstheme="minorBidi"/>
                <w:color w:val="auto"/>
                <w:kern w:val="2"/>
                <w:sz w:val="18"/>
                <w:szCs w:val="18"/>
                <w:lang w:val="en-US" w:eastAsia="zh-CN" w:bidi="ar-SA"/>
              </w:rPr>
            </w:pPr>
            <w:r>
              <w:rPr>
                <w:rFonts w:hint="eastAsia" w:asciiTheme="minorEastAsia" w:hAnsiTheme="minorEastAsia"/>
                <w:color w:val="auto"/>
                <w:sz w:val="18"/>
                <w:szCs w:val="18"/>
              </w:rPr>
              <w:t>数据来源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vAlign w:val="center"/>
          </w:tcPr>
          <w:p>
            <w:pPr>
              <w:jc w:val="left"/>
              <w:rPr>
                <w:rFonts w:cs="Tahoma" w:asciiTheme="minorEastAsia" w:hAnsiTheme="minorEastAsia"/>
                <w:color w:val="auto"/>
                <w:sz w:val="18"/>
                <w:szCs w:val="18"/>
              </w:rPr>
            </w:pPr>
            <w:r>
              <w:rPr>
                <w:rFonts w:hint="eastAsia" w:cs="Tahoma" w:asciiTheme="minorEastAsia" w:hAnsiTheme="minorEastAsia"/>
                <w:color w:val="auto"/>
                <w:sz w:val="18"/>
                <w:szCs w:val="18"/>
              </w:rPr>
              <w:t>悬浮物</w:t>
            </w:r>
          </w:p>
        </w:tc>
        <w:tc>
          <w:tcPr>
            <w:tcW w:w="2274" w:type="dxa"/>
          </w:tcPr>
          <w:p>
            <w:pPr>
              <w:rPr>
                <w:color w:val="auto"/>
              </w:rPr>
            </w:pPr>
            <w:r>
              <w:rPr>
                <w:rFonts w:hint="eastAsia" w:asciiTheme="minorEastAsia" w:hAnsiTheme="minorEastAsia"/>
                <w:color w:val="auto"/>
                <w:sz w:val="18"/>
                <w:szCs w:val="18"/>
              </w:rPr>
              <w:t>kg</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vAlign w:val="center"/>
          </w:tcPr>
          <w:p>
            <w:pPr>
              <w:jc w:val="left"/>
              <w:rPr>
                <w:rFonts w:cs="Tahoma" w:asciiTheme="minorEastAsia" w:hAnsiTheme="minorEastAsia"/>
                <w:color w:val="auto"/>
                <w:sz w:val="18"/>
                <w:szCs w:val="18"/>
              </w:rPr>
            </w:pPr>
            <w:r>
              <w:rPr>
                <w:rFonts w:hint="eastAsia" w:cs="Tahoma" w:asciiTheme="minorEastAsia" w:hAnsiTheme="minorEastAsia"/>
                <w:color w:val="auto"/>
                <w:sz w:val="18"/>
                <w:szCs w:val="18"/>
              </w:rPr>
              <w:t>化学需氧量</w:t>
            </w:r>
          </w:p>
        </w:tc>
        <w:tc>
          <w:tcPr>
            <w:tcW w:w="2274" w:type="dxa"/>
          </w:tcPr>
          <w:p>
            <w:pPr>
              <w:rPr>
                <w:color w:val="auto"/>
              </w:rPr>
            </w:pPr>
            <w:r>
              <w:rPr>
                <w:rFonts w:hint="eastAsia" w:asciiTheme="minorEastAsia" w:hAnsiTheme="minorEastAsia"/>
                <w:color w:val="auto"/>
                <w:sz w:val="18"/>
                <w:szCs w:val="18"/>
              </w:rPr>
              <w:t>kg</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vAlign w:val="center"/>
          </w:tcPr>
          <w:p>
            <w:pPr>
              <w:jc w:val="left"/>
              <w:rPr>
                <w:rFonts w:cs="Tahoma" w:asciiTheme="minorEastAsia" w:hAnsiTheme="minorEastAsia"/>
                <w:color w:val="auto"/>
                <w:sz w:val="18"/>
                <w:szCs w:val="18"/>
              </w:rPr>
            </w:pPr>
            <w:r>
              <w:rPr>
                <w:rFonts w:hint="eastAsia" w:cs="Tahoma" w:asciiTheme="minorEastAsia" w:hAnsiTheme="minorEastAsia"/>
                <w:color w:val="auto"/>
                <w:sz w:val="18"/>
                <w:szCs w:val="18"/>
              </w:rPr>
              <w:t>总铜</w:t>
            </w:r>
          </w:p>
        </w:tc>
        <w:tc>
          <w:tcPr>
            <w:tcW w:w="2274" w:type="dxa"/>
          </w:tcPr>
          <w:p>
            <w:pPr>
              <w:rPr>
                <w:color w:val="auto"/>
              </w:rPr>
            </w:pPr>
            <w:r>
              <w:rPr>
                <w:rFonts w:hint="eastAsia" w:asciiTheme="minorEastAsia" w:hAnsiTheme="minorEastAsia"/>
                <w:color w:val="auto"/>
                <w:sz w:val="18"/>
                <w:szCs w:val="18"/>
              </w:rPr>
              <w:t>kg</w:t>
            </w:r>
          </w:p>
        </w:tc>
        <w:tc>
          <w:tcPr>
            <w:tcW w:w="2275" w:type="dxa"/>
          </w:tcPr>
          <w:p>
            <w:pPr>
              <w:rPr>
                <w:rFonts w:asciiTheme="minorEastAsia" w:hAnsiTheme="minorEastAsia"/>
                <w:color w:val="auto"/>
                <w:sz w:val="18"/>
                <w:szCs w:val="18"/>
              </w:rPr>
            </w:pPr>
          </w:p>
        </w:tc>
        <w:tc>
          <w:tcPr>
            <w:tcW w:w="2277" w:type="dxa"/>
          </w:tcPr>
          <w:p>
            <w:pPr>
              <w:rPr>
                <w:rFonts w:asciiTheme="minorEastAsia" w:hAnsiTheme="minorEastAsia"/>
                <w:color w:val="auto"/>
                <w:sz w:val="18"/>
                <w:szCs w:val="18"/>
              </w:rPr>
            </w:pPr>
            <w:r>
              <w:rPr>
                <w:rFonts w:hint="eastAsia" w:asciiTheme="minorEastAsia" w:hAnsiTheme="minorEastAsia"/>
                <w:color w:val="auto"/>
                <w:sz w:val="18"/>
                <w:szCs w:val="18"/>
              </w:rPr>
              <w:t>实测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74" w:type="dxa"/>
          </w:tcPr>
          <w:p>
            <w:pPr>
              <w:rPr>
                <w:color w:val="auto"/>
              </w:rPr>
            </w:pPr>
            <w:r>
              <w:rPr>
                <w:rFonts w:asciiTheme="minorEastAsia" w:hAnsiTheme="minorEastAsia"/>
                <w:color w:val="auto"/>
                <w:sz w:val="18"/>
                <w:szCs w:val="18"/>
              </w:rPr>
              <w:t>……</w:t>
            </w:r>
          </w:p>
        </w:tc>
        <w:tc>
          <w:tcPr>
            <w:tcW w:w="2274" w:type="dxa"/>
          </w:tcPr>
          <w:p>
            <w:pPr>
              <w:rPr>
                <w:color w:val="auto"/>
              </w:rPr>
            </w:pPr>
            <w:r>
              <w:rPr>
                <w:rFonts w:asciiTheme="minorEastAsia" w:hAnsiTheme="minorEastAsia"/>
                <w:color w:val="auto"/>
                <w:sz w:val="18"/>
                <w:szCs w:val="18"/>
              </w:rPr>
              <w:t>……</w:t>
            </w:r>
          </w:p>
        </w:tc>
        <w:tc>
          <w:tcPr>
            <w:tcW w:w="2275" w:type="dxa"/>
          </w:tcPr>
          <w:p>
            <w:pPr>
              <w:rPr>
                <w:color w:val="auto"/>
              </w:rPr>
            </w:pPr>
            <w:r>
              <w:rPr>
                <w:rFonts w:asciiTheme="minorEastAsia" w:hAnsiTheme="minorEastAsia"/>
                <w:color w:val="auto"/>
                <w:sz w:val="18"/>
                <w:szCs w:val="18"/>
              </w:rPr>
              <w:t>……</w:t>
            </w:r>
          </w:p>
        </w:tc>
        <w:tc>
          <w:tcPr>
            <w:tcW w:w="2277" w:type="dxa"/>
          </w:tcPr>
          <w:p>
            <w:pPr>
              <w:rPr>
                <w:color w:val="auto"/>
              </w:rPr>
            </w:pPr>
            <w:r>
              <w:rPr>
                <w:rFonts w:asciiTheme="minorEastAsia" w:hAnsiTheme="minorEastAsia"/>
                <w:color w:val="auto"/>
                <w:sz w:val="18"/>
                <w:szCs w:val="18"/>
              </w:rPr>
              <w:t>……</w:t>
            </w:r>
          </w:p>
        </w:tc>
      </w:tr>
    </w:tbl>
    <w:p>
      <w:pPr>
        <w:spacing w:line="360" w:lineRule="auto"/>
        <w:jc w:val="center"/>
        <w:rPr>
          <w:rFonts w:asciiTheme="minorEastAsia" w:hAnsiTheme="minorEastAsia"/>
          <w:color w:val="auto"/>
          <w:szCs w:val="21"/>
        </w:rPr>
      </w:pPr>
      <w:r>
        <w:rPr>
          <w:rFonts w:hint="eastAsia" w:ascii="黑体" w:eastAsia="黑体" w:hAnsiTheme="minorEastAsia"/>
          <w:color w:val="auto"/>
          <w:szCs w:val="21"/>
        </w:rPr>
        <w:t>表A.5  背景数据收集表示例</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53"/>
        <w:gridCol w:w="1853"/>
        <w:gridCol w:w="1853"/>
        <w:gridCol w:w="1853"/>
        <w:gridCol w:w="17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单元过程</w:t>
            </w:r>
          </w:p>
        </w:tc>
        <w:tc>
          <w:tcPr>
            <w:tcW w:w="185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铜金属生产</w:t>
            </w:r>
          </w:p>
        </w:tc>
        <w:tc>
          <w:tcPr>
            <w:tcW w:w="185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木炭生产数量</w:t>
            </w:r>
          </w:p>
        </w:tc>
        <w:tc>
          <w:tcPr>
            <w:tcW w:w="185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锌金属生产</w:t>
            </w:r>
          </w:p>
        </w:tc>
        <w:tc>
          <w:tcPr>
            <w:tcW w:w="1762" w:type="dxa"/>
          </w:tcPr>
          <w:p>
            <w:pPr>
              <w:jc w:val="center"/>
              <w:rPr>
                <w:rFonts w:asciiTheme="minorEastAsia" w:hAnsiTheme="minorEastAsia"/>
                <w:color w:val="auto"/>
                <w:sz w:val="18"/>
                <w:szCs w:val="18"/>
              </w:rPr>
            </w:pPr>
            <w:r>
              <w:rPr>
                <w:rFonts w:asciiTheme="minorEastAsia" w:hAnsiTheme="minorEastAsia"/>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color w:val="auto"/>
                <w:sz w:val="18"/>
                <w:szCs w:val="18"/>
              </w:rPr>
            </w:pPr>
            <w:r>
              <w:rPr>
                <w:rFonts w:hint="eastAsia" w:asciiTheme="minorEastAsia" w:hAnsiTheme="minorEastAsia"/>
                <w:color w:val="auto"/>
                <w:sz w:val="18"/>
                <w:szCs w:val="18"/>
              </w:rPr>
              <w:t>功能单位</w:t>
            </w:r>
          </w:p>
        </w:tc>
        <w:tc>
          <w:tcPr>
            <w:tcW w:w="185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1kg阴极铜</w:t>
            </w:r>
          </w:p>
        </w:tc>
        <w:tc>
          <w:tcPr>
            <w:tcW w:w="185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1kg木炭</w:t>
            </w:r>
          </w:p>
        </w:tc>
        <w:tc>
          <w:tcPr>
            <w:tcW w:w="1853" w:type="dxa"/>
          </w:tcPr>
          <w:p>
            <w:pPr>
              <w:jc w:val="center"/>
              <w:rPr>
                <w:rFonts w:asciiTheme="minorEastAsia" w:hAnsiTheme="minorEastAsia"/>
                <w:color w:val="auto"/>
                <w:sz w:val="18"/>
                <w:szCs w:val="18"/>
              </w:rPr>
            </w:pPr>
            <w:r>
              <w:rPr>
                <w:rFonts w:hint="eastAsia" w:asciiTheme="minorEastAsia" w:hAnsiTheme="minorEastAsia"/>
                <w:color w:val="auto"/>
                <w:sz w:val="18"/>
                <w:szCs w:val="18"/>
              </w:rPr>
              <w:t>1kg新金属</w:t>
            </w: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53" w:type="dxa"/>
          </w:tcPr>
          <w:p>
            <w:pPr>
              <w:rPr>
                <w:rFonts w:asciiTheme="minorEastAsia" w:hAnsiTheme="minorEastAsia"/>
                <w:color w:val="auto"/>
                <w:sz w:val="18"/>
                <w:szCs w:val="18"/>
              </w:rPr>
            </w:pPr>
            <w:r>
              <w:rPr>
                <w:rFonts w:hint="eastAsia" w:asciiTheme="minorEastAsia" w:hAnsiTheme="minorEastAsia"/>
                <w:color w:val="auto"/>
                <w:sz w:val="18"/>
                <w:szCs w:val="18"/>
              </w:rPr>
              <w:t>总能耗/MJ</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color w:val="auto"/>
                <w:sz w:val="18"/>
                <w:szCs w:val="18"/>
              </w:rPr>
            </w:pPr>
            <w:r>
              <w:rPr>
                <w:rFonts w:hint="eastAsia" w:asciiTheme="minorEastAsia" w:hAnsiTheme="minorEastAsia"/>
                <w:color w:val="auto"/>
                <w:sz w:val="18"/>
                <w:szCs w:val="18"/>
              </w:rPr>
              <w:t>铜消耗/kg</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color w:val="auto"/>
                <w:sz w:val="18"/>
                <w:szCs w:val="18"/>
              </w:rPr>
            </w:pPr>
            <w:r>
              <w:rPr>
                <w:rFonts w:hint="eastAsia" w:asciiTheme="minorEastAsia" w:hAnsiTheme="minorEastAsia"/>
                <w:color w:val="auto"/>
                <w:sz w:val="18"/>
                <w:szCs w:val="18"/>
              </w:rPr>
              <w:t>水耗/kg</w:t>
            </w:r>
          </w:p>
        </w:tc>
        <w:tc>
          <w:tcPr>
            <w:tcW w:w="1853" w:type="dxa"/>
          </w:tcPr>
          <w:p>
            <w:pPr>
              <w:rPr>
                <w:color w:val="auto"/>
                <w:sz w:val="18"/>
                <w:szCs w:val="18"/>
              </w:rPr>
            </w:pPr>
          </w:p>
        </w:tc>
        <w:tc>
          <w:tcPr>
            <w:tcW w:w="1853" w:type="dxa"/>
          </w:tcPr>
          <w:p>
            <w:pPr>
              <w:rPr>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53" w:type="dxa"/>
          </w:tcPr>
          <w:p>
            <w:pPr>
              <w:jc w:val="left"/>
              <w:rPr>
                <w:rFonts w:asciiTheme="minorEastAsia" w:hAnsiTheme="minorEastAsia"/>
                <w:color w:val="auto"/>
                <w:sz w:val="18"/>
                <w:szCs w:val="18"/>
              </w:rPr>
            </w:pPr>
            <w:r>
              <w:rPr>
                <w:rFonts w:hint="eastAsia" w:asciiTheme="minorEastAsia" w:hAnsiTheme="minorEastAsia"/>
                <w:color w:val="auto"/>
                <w:sz w:val="18"/>
                <w:szCs w:val="18"/>
              </w:rPr>
              <w:t>颗粒物/g</w:t>
            </w:r>
          </w:p>
        </w:tc>
        <w:tc>
          <w:tcPr>
            <w:tcW w:w="1853" w:type="dxa"/>
          </w:tcPr>
          <w:p>
            <w:pPr>
              <w:jc w:val="center"/>
              <w:rPr>
                <w:rFonts w:asciiTheme="minorEastAsia" w:hAnsiTheme="minorEastAsia"/>
                <w:color w:val="auto"/>
                <w:sz w:val="18"/>
                <w:szCs w:val="18"/>
              </w:rPr>
            </w:pPr>
          </w:p>
        </w:tc>
        <w:tc>
          <w:tcPr>
            <w:tcW w:w="1853" w:type="dxa"/>
          </w:tcPr>
          <w:p>
            <w:pPr>
              <w:jc w:val="center"/>
              <w:rPr>
                <w:rFonts w:asciiTheme="minorEastAsia" w:hAnsiTheme="minorEastAsia"/>
                <w:color w:val="auto"/>
                <w:sz w:val="18"/>
                <w:szCs w:val="18"/>
              </w:rPr>
            </w:pPr>
          </w:p>
        </w:tc>
        <w:tc>
          <w:tcPr>
            <w:tcW w:w="1853" w:type="dxa"/>
          </w:tcPr>
          <w:p>
            <w:pPr>
              <w:jc w:val="center"/>
              <w:rPr>
                <w:rFonts w:asciiTheme="minorEastAsia" w:hAnsiTheme="minorEastAsia"/>
                <w:color w:val="auto"/>
                <w:sz w:val="18"/>
                <w:szCs w:val="18"/>
              </w:rPr>
            </w:pPr>
          </w:p>
        </w:tc>
        <w:tc>
          <w:tcPr>
            <w:tcW w:w="1762" w:type="dxa"/>
          </w:tcPr>
          <w:p>
            <w:pPr>
              <w:jc w:val="cente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color w:val="auto"/>
                <w:sz w:val="18"/>
                <w:szCs w:val="18"/>
              </w:rPr>
            </w:pPr>
            <w:r>
              <w:rPr>
                <w:rFonts w:hint="eastAsia" w:asciiTheme="minorEastAsia" w:hAnsiTheme="minorEastAsia"/>
                <w:color w:val="auto"/>
                <w:sz w:val="18"/>
                <w:szCs w:val="18"/>
              </w:rPr>
              <w:t>SO</w:t>
            </w:r>
            <w:r>
              <w:rPr>
                <w:rFonts w:hint="eastAsia" w:asciiTheme="minorEastAsia" w:hAnsiTheme="minorEastAsia"/>
                <w:color w:val="auto"/>
                <w:sz w:val="18"/>
                <w:szCs w:val="18"/>
                <w:vertAlign w:val="subscript"/>
              </w:rPr>
              <w:t>2</w:t>
            </w:r>
            <w:r>
              <w:rPr>
                <w:rFonts w:hint="eastAsia" w:asciiTheme="minorEastAsia" w:hAnsiTheme="minorEastAsia"/>
                <w:color w:val="auto"/>
                <w:sz w:val="18"/>
                <w:szCs w:val="18"/>
              </w:rPr>
              <w:t>/g</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color w:val="auto"/>
                <w:sz w:val="18"/>
                <w:szCs w:val="18"/>
              </w:rPr>
            </w:pPr>
            <w:r>
              <w:rPr>
                <w:rFonts w:hint="eastAsia" w:asciiTheme="minorEastAsia" w:hAnsiTheme="minorEastAsia"/>
                <w:color w:val="auto"/>
                <w:sz w:val="18"/>
                <w:szCs w:val="18"/>
              </w:rPr>
              <w:t>CO</w:t>
            </w:r>
            <w:r>
              <w:rPr>
                <w:rFonts w:hint="eastAsia" w:asciiTheme="minorEastAsia" w:hAnsiTheme="minorEastAsia"/>
                <w:color w:val="auto"/>
                <w:sz w:val="18"/>
                <w:szCs w:val="18"/>
                <w:vertAlign w:val="subscript"/>
              </w:rPr>
              <w:t>2</w:t>
            </w:r>
            <w:r>
              <w:rPr>
                <w:rFonts w:hint="eastAsia" w:asciiTheme="minorEastAsia" w:hAnsiTheme="minorEastAsia"/>
                <w:color w:val="auto"/>
                <w:sz w:val="18"/>
                <w:szCs w:val="18"/>
              </w:rPr>
              <w:t>/g</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53" w:type="dxa"/>
          </w:tcPr>
          <w:p>
            <w:pPr>
              <w:rPr>
                <w:rFonts w:asciiTheme="minorEastAsia" w:hAnsiTheme="minorEastAsia"/>
                <w:color w:val="auto"/>
                <w:sz w:val="18"/>
                <w:szCs w:val="18"/>
              </w:rPr>
            </w:pPr>
            <w:r>
              <w:rPr>
                <w:rFonts w:hint="eastAsia" w:asciiTheme="minorEastAsia" w:hAnsiTheme="minorEastAsia"/>
                <w:color w:val="auto"/>
                <w:sz w:val="18"/>
                <w:szCs w:val="18"/>
              </w:rPr>
              <w:t>NO</w:t>
            </w:r>
            <w:r>
              <w:rPr>
                <w:rFonts w:hint="eastAsia" w:asciiTheme="minorEastAsia" w:hAnsiTheme="minorEastAsia"/>
                <w:color w:val="auto"/>
                <w:sz w:val="18"/>
                <w:szCs w:val="18"/>
                <w:vertAlign w:val="subscript"/>
              </w:rPr>
              <w:t>x</w:t>
            </w:r>
            <w:r>
              <w:rPr>
                <w:rFonts w:hint="eastAsia" w:asciiTheme="minorEastAsia" w:hAnsiTheme="minorEastAsia"/>
                <w:color w:val="auto"/>
                <w:sz w:val="18"/>
                <w:szCs w:val="18"/>
              </w:rPr>
              <w:t>/g</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color w:val="auto"/>
                <w:sz w:val="18"/>
                <w:szCs w:val="18"/>
              </w:rPr>
            </w:pPr>
            <w:bookmarkStart w:id="10" w:name="OLE_LINK6"/>
            <w:bookmarkStart w:id="11" w:name="OLE_LINK5"/>
            <w:r>
              <w:rPr>
                <w:rFonts w:hint="eastAsia" w:asciiTheme="minorEastAsia" w:hAnsiTheme="minorEastAsia"/>
                <w:color w:val="auto"/>
                <w:sz w:val="18"/>
                <w:szCs w:val="18"/>
              </w:rPr>
              <w:t>CH</w:t>
            </w:r>
            <w:r>
              <w:rPr>
                <w:rFonts w:hint="eastAsia" w:asciiTheme="minorEastAsia" w:hAnsiTheme="minorEastAsia"/>
                <w:color w:val="auto"/>
                <w:sz w:val="18"/>
                <w:szCs w:val="18"/>
                <w:vertAlign w:val="subscript"/>
              </w:rPr>
              <w:t>4</w:t>
            </w:r>
            <w:r>
              <w:rPr>
                <w:rFonts w:hint="eastAsia" w:asciiTheme="minorEastAsia" w:hAnsiTheme="minorEastAsia"/>
                <w:color w:val="auto"/>
                <w:sz w:val="18"/>
                <w:szCs w:val="18"/>
              </w:rPr>
              <w:t>/</w:t>
            </w:r>
            <w:bookmarkEnd w:id="10"/>
            <w:bookmarkEnd w:id="11"/>
            <w:r>
              <w:rPr>
                <w:rFonts w:hint="eastAsia" w:asciiTheme="minorEastAsia" w:hAnsiTheme="minorEastAsia"/>
                <w:color w:val="auto"/>
                <w:sz w:val="18"/>
                <w:szCs w:val="18"/>
              </w:rPr>
              <w:t>g</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pPr>
              <w:rPr>
                <w:rFonts w:asciiTheme="minorEastAsia" w:hAnsiTheme="minorEastAsia"/>
                <w:color w:val="auto"/>
                <w:sz w:val="18"/>
                <w:szCs w:val="18"/>
              </w:rPr>
            </w:pPr>
            <w:r>
              <w:rPr>
                <w:rFonts w:hint="eastAsia" w:asciiTheme="minorEastAsia" w:hAnsiTheme="minorEastAsia"/>
                <w:color w:val="auto"/>
                <w:sz w:val="18"/>
                <w:szCs w:val="18"/>
              </w:rPr>
              <w:t>PM10/g</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53" w:type="dxa"/>
            <w:vAlign w:val="center"/>
          </w:tcPr>
          <w:p>
            <w:pPr>
              <w:jc w:val="left"/>
              <w:rPr>
                <w:rFonts w:cs="Tahoma" w:asciiTheme="minorEastAsia" w:hAnsiTheme="minorEastAsia"/>
                <w:color w:val="auto"/>
                <w:sz w:val="18"/>
                <w:szCs w:val="18"/>
              </w:rPr>
            </w:pPr>
            <w:r>
              <w:rPr>
                <w:rFonts w:hint="eastAsia" w:cs="Tahoma" w:asciiTheme="minorEastAsia" w:hAnsiTheme="minorEastAsia"/>
                <w:color w:val="auto"/>
                <w:sz w:val="18"/>
                <w:szCs w:val="18"/>
              </w:rPr>
              <w:t>悬浮物</w:t>
            </w:r>
            <w:r>
              <w:rPr>
                <w:rFonts w:hint="eastAsia" w:asciiTheme="minorEastAsia" w:hAnsiTheme="minorEastAsia"/>
                <w:color w:val="auto"/>
                <w:sz w:val="18"/>
                <w:szCs w:val="18"/>
              </w:rPr>
              <w:t>/g</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vAlign w:val="center"/>
          </w:tcPr>
          <w:p>
            <w:pPr>
              <w:jc w:val="left"/>
              <w:rPr>
                <w:rFonts w:cs="Tahoma" w:asciiTheme="minorEastAsia" w:hAnsiTheme="minorEastAsia"/>
                <w:color w:val="auto"/>
                <w:sz w:val="18"/>
                <w:szCs w:val="18"/>
              </w:rPr>
            </w:pPr>
            <w:r>
              <w:rPr>
                <w:rFonts w:hint="eastAsia" w:cs="Tahoma" w:asciiTheme="minorEastAsia" w:hAnsiTheme="minorEastAsia"/>
                <w:color w:val="auto"/>
                <w:sz w:val="18"/>
                <w:szCs w:val="18"/>
              </w:rPr>
              <w:t>化学需氧量</w:t>
            </w:r>
            <w:r>
              <w:rPr>
                <w:rFonts w:hint="eastAsia" w:asciiTheme="minorEastAsia" w:hAnsiTheme="minorEastAsia"/>
                <w:color w:val="auto"/>
                <w:sz w:val="18"/>
                <w:szCs w:val="18"/>
              </w:rPr>
              <w:t>/mg</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vAlign w:val="center"/>
          </w:tcPr>
          <w:p>
            <w:pPr>
              <w:jc w:val="left"/>
              <w:rPr>
                <w:rFonts w:cs="Tahoma" w:asciiTheme="minorEastAsia" w:hAnsiTheme="minorEastAsia"/>
                <w:color w:val="auto"/>
                <w:sz w:val="18"/>
                <w:szCs w:val="18"/>
              </w:rPr>
            </w:pPr>
            <w:r>
              <w:rPr>
                <w:rFonts w:hint="eastAsia" w:cs="Tahoma" w:asciiTheme="minorEastAsia" w:hAnsiTheme="minorEastAsia"/>
                <w:color w:val="auto"/>
                <w:sz w:val="18"/>
                <w:szCs w:val="18"/>
              </w:rPr>
              <w:t>总铜</w:t>
            </w:r>
            <w:r>
              <w:rPr>
                <w:rFonts w:hint="eastAsia" w:asciiTheme="minorEastAsia" w:hAnsiTheme="minorEastAsia"/>
                <w:color w:val="auto"/>
                <w:sz w:val="18"/>
                <w:szCs w:val="18"/>
              </w:rPr>
              <w:t>/g</w:t>
            </w: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853" w:type="dxa"/>
          </w:tcPr>
          <w:p>
            <w:pPr>
              <w:rPr>
                <w:rFonts w:asciiTheme="minorEastAsia" w:hAnsiTheme="minorEastAsia"/>
                <w:color w:val="auto"/>
                <w:sz w:val="18"/>
                <w:szCs w:val="18"/>
              </w:rPr>
            </w:pPr>
          </w:p>
        </w:tc>
        <w:tc>
          <w:tcPr>
            <w:tcW w:w="1762" w:type="dxa"/>
          </w:tcPr>
          <w:p>
            <w:pPr>
              <w:rPr>
                <w:rFonts w:asciiTheme="minorEastAsia"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53"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1853" w:type="dxa"/>
          </w:tcPr>
          <w:p>
            <w:pPr>
              <w:rPr>
                <w:color w:val="auto"/>
                <w:sz w:val="18"/>
                <w:szCs w:val="18"/>
              </w:rPr>
            </w:pPr>
            <w:r>
              <w:rPr>
                <w:rFonts w:asciiTheme="minorEastAsia" w:hAnsiTheme="minorEastAsia"/>
                <w:color w:val="auto"/>
                <w:sz w:val="18"/>
                <w:szCs w:val="18"/>
              </w:rPr>
              <w:t>……</w:t>
            </w:r>
          </w:p>
        </w:tc>
        <w:tc>
          <w:tcPr>
            <w:tcW w:w="1853" w:type="dxa"/>
          </w:tcPr>
          <w:p>
            <w:pPr>
              <w:rPr>
                <w:color w:val="auto"/>
                <w:sz w:val="18"/>
                <w:szCs w:val="18"/>
              </w:rPr>
            </w:pPr>
            <w:r>
              <w:rPr>
                <w:rFonts w:asciiTheme="minorEastAsia" w:hAnsiTheme="minorEastAsia"/>
                <w:color w:val="auto"/>
                <w:sz w:val="18"/>
                <w:szCs w:val="18"/>
              </w:rPr>
              <w:t>……</w:t>
            </w:r>
          </w:p>
        </w:tc>
        <w:tc>
          <w:tcPr>
            <w:tcW w:w="1853" w:type="dxa"/>
          </w:tcPr>
          <w:p>
            <w:pPr>
              <w:rPr>
                <w:rFonts w:asciiTheme="minorEastAsia" w:hAnsiTheme="minorEastAsia"/>
                <w:color w:val="auto"/>
                <w:sz w:val="18"/>
                <w:szCs w:val="18"/>
              </w:rPr>
            </w:pPr>
            <w:r>
              <w:rPr>
                <w:rFonts w:asciiTheme="minorEastAsia" w:hAnsiTheme="minorEastAsia"/>
                <w:color w:val="auto"/>
                <w:sz w:val="18"/>
                <w:szCs w:val="18"/>
              </w:rPr>
              <w:t>……</w:t>
            </w:r>
          </w:p>
        </w:tc>
        <w:tc>
          <w:tcPr>
            <w:tcW w:w="1762" w:type="dxa"/>
          </w:tcPr>
          <w:p>
            <w:pPr>
              <w:rPr>
                <w:rFonts w:asciiTheme="minorEastAsia" w:hAnsiTheme="minorEastAsia"/>
                <w:color w:val="auto"/>
                <w:sz w:val="18"/>
                <w:szCs w:val="18"/>
              </w:rPr>
            </w:pPr>
          </w:p>
        </w:tc>
      </w:tr>
    </w:tbl>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hint="eastAsia" w:ascii="黑体" w:hAnsi="宋体" w:eastAsia="黑体"/>
          <w:color w:val="auto"/>
          <w:szCs w:val="21"/>
        </w:rPr>
      </w:pPr>
    </w:p>
    <w:p>
      <w:pPr>
        <w:widowControl/>
        <w:spacing w:beforeLines="50" w:afterLines="50"/>
        <w:jc w:val="center"/>
        <w:rPr>
          <w:rFonts w:ascii="黑体" w:hAnsi="宋体" w:eastAsia="黑体"/>
          <w:color w:val="auto"/>
          <w:szCs w:val="21"/>
        </w:rPr>
      </w:pPr>
      <w:r>
        <w:rPr>
          <w:rFonts w:hint="eastAsia" w:ascii="黑体" w:hAnsi="宋体" w:eastAsia="黑体"/>
          <w:color w:val="auto"/>
          <w:szCs w:val="21"/>
        </w:rPr>
        <w:t>附录</w:t>
      </w:r>
      <w:bookmarkStart w:id="12" w:name="_Toc513850135"/>
      <w:bookmarkStart w:id="13" w:name="_Toc513733457"/>
      <w:bookmarkStart w:id="14" w:name="_Toc514086418"/>
      <w:r>
        <w:rPr>
          <w:rFonts w:hint="eastAsia" w:ascii="黑体" w:hAnsi="宋体" w:eastAsia="黑体"/>
          <w:color w:val="auto"/>
          <w:szCs w:val="21"/>
        </w:rPr>
        <w:t>B</w:t>
      </w:r>
    </w:p>
    <w:p>
      <w:pPr>
        <w:widowControl/>
        <w:spacing w:beforeLines="50" w:afterLines="50"/>
        <w:jc w:val="center"/>
        <w:rPr>
          <w:rFonts w:ascii="黑体" w:hAnsi="宋体" w:eastAsia="黑体"/>
          <w:color w:val="auto"/>
          <w:szCs w:val="21"/>
        </w:rPr>
      </w:pPr>
      <w:r>
        <w:rPr>
          <w:rFonts w:hint="eastAsia" w:ascii="黑体" w:hAnsi="宋体" w:eastAsia="黑体"/>
          <w:color w:val="auto"/>
          <w:szCs w:val="21"/>
        </w:rPr>
        <w:t>（资料性）</w:t>
      </w:r>
      <w:bookmarkEnd w:id="12"/>
      <w:bookmarkEnd w:id="13"/>
      <w:bookmarkEnd w:id="14"/>
      <w:bookmarkStart w:id="15" w:name="_Toc514086419"/>
      <w:bookmarkStart w:id="16" w:name="_Toc513850136"/>
      <w:bookmarkStart w:id="17" w:name="_Toc513733458"/>
    </w:p>
    <w:p>
      <w:pPr>
        <w:widowControl/>
        <w:spacing w:beforeLines="50" w:afterLines="50"/>
        <w:jc w:val="center"/>
        <w:rPr>
          <w:rFonts w:ascii="黑体" w:hAnsi="宋体" w:eastAsia="黑体"/>
          <w:color w:val="auto"/>
          <w:szCs w:val="21"/>
        </w:rPr>
      </w:pPr>
      <w:r>
        <w:rPr>
          <w:rFonts w:hint="eastAsia" w:ascii="黑体" w:hAnsi="宋体" w:eastAsia="黑体"/>
          <w:color w:val="auto"/>
          <w:szCs w:val="21"/>
        </w:rPr>
        <w:t>产品绿色设计改进方案优先排序方法及示例</w:t>
      </w:r>
      <w:bookmarkEnd w:id="15"/>
      <w:bookmarkEnd w:id="16"/>
      <w:bookmarkEnd w:id="17"/>
    </w:p>
    <w:p>
      <w:pPr>
        <w:widowControl/>
        <w:spacing w:beforeLines="50" w:afterLines="50"/>
        <w:jc w:val="left"/>
        <w:rPr>
          <w:rFonts w:ascii="黑体" w:hAnsi="黑体" w:eastAsia="黑体"/>
          <w:color w:val="auto"/>
          <w:sz w:val="32"/>
          <w:szCs w:val="32"/>
        </w:rPr>
      </w:pPr>
      <w:r>
        <w:rPr>
          <w:rFonts w:hint="eastAsia" w:ascii="黑体" w:eastAsia="黑体"/>
          <w:color w:val="auto"/>
        </w:rPr>
        <w:t>B.1 排序方法</w:t>
      </w:r>
    </w:p>
    <w:p>
      <w:pPr>
        <w:ind w:firstLine="420"/>
        <w:rPr>
          <w:color w:val="auto"/>
        </w:rPr>
      </w:pPr>
      <w:r>
        <w:rPr>
          <w:rFonts w:hint="eastAsia"/>
          <w:color w:val="auto"/>
        </w:rPr>
        <w:t>产品绿色设计改进方案优先排序方法步骤如下：</w:t>
      </w:r>
    </w:p>
    <w:p>
      <w:pPr>
        <w:ind w:firstLine="420"/>
        <w:rPr>
          <w:color w:val="auto"/>
        </w:rPr>
      </w:pPr>
      <w:r>
        <w:rPr>
          <w:rFonts w:hint="eastAsia"/>
          <w:color w:val="auto"/>
        </w:rPr>
        <w:t>第一步：将所有方案划分为生产类、设计类和管理类三类方案；</w:t>
      </w:r>
    </w:p>
    <w:p>
      <w:pPr>
        <w:ind w:firstLine="420"/>
        <w:rPr>
          <w:color w:val="auto"/>
        </w:rPr>
      </w:pPr>
      <w:r>
        <w:rPr>
          <w:rFonts w:hint="eastAsia"/>
          <w:color w:val="auto"/>
        </w:rPr>
        <w:t>第二步：选取方案的评价指标，本标准的评价指标包括：</w:t>
      </w:r>
    </w:p>
    <w:p>
      <w:pPr>
        <w:ind w:firstLine="420"/>
        <w:rPr>
          <w:color w:val="auto"/>
        </w:rPr>
      </w:pPr>
      <w:r>
        <w:rPr>
          <w:color w:val="auto"/>
        </w:rPr>
        <w:t>——</w:t>
      </w:r>
      <w:r>
        <w:rPr>
          <w:rFonts w:hint="eastAsia"/>
          <w:color w:val="auto"/>
        </w:rPr>
        <w:t>技术可行性，评估实施某方案的技术可行性；</w:t>
      </w:r>
    </w:p>
    <w:p>
      <w:pPr>
        <w:ind w:firstLine="420"/>
        <w:rPr>
          <w:color w:val="auto"/>
        </w:rPr>
      </w:pPr>
      <w:r>
        <w:rPr>
          <w:color w:val="auto"/>
        </w:rPr>
        <w:t>——</w:t>
      </w:r>
      <w:r>
        <w:rPr>
          <w:rFonts w:hint="eastAsia"/>
          <w:color w:val="auto"/>
        </w:rPr>
        <w:t>绿色设计改进，判断一个方案的实施能够对某个重要环境要素产生何种程度的作用；</w:t>
      </w:r>
    </w:p>
    <w:p>
      <w:pPr>
        <w:ind w:firstLine="420"/>
        <w:rPr>
          <w:color w:val="auto"/>
        </w:rPr>
      </w:pPr>
      <w:r>
        <w:rPr>
          <w:color w:val="auto"/>
        </w:rPr>
        <w:t>——</w:t>
      </w:r>
      <w:r>
        <w:rPr>
          <w:rFonts w:hint="eastAsia"/>
          <w:color w:val="auto"/>
        </w:rPr>
        <w:t>经济效益，评估一个组织实施某特定方案所产生的财务影响；</w:t>
      </w:r>
    </w:p>
    <w:p>
      <w:pPr>
        <w:ind w:firstLine="420"/>
        <w:rPr>
          <w:color w:val="auto"/>
        </w:rPr>
      </w:pPr>
      <w:r>
        <w:rPr>
          <w:color w:val="auto"/>
        </w:rPr>
        <w:t>——</w:t>
      </w:r>
      <w:r>
        <w:rPr>
          <w:rFonts w:hint="eastAsia"/>
          <w:color w:val="auto"/>
        </w:rPr>
        <w:t>顾客增加值（</w:t>
      </w:r>
      <w:r>
        <w:rPr>
          <w:color w:val="auto"/>
        </w:rPr>
        <w:t>CVA</w:t>
      </w:r>
      <w:r>
        <w:rPr>
          <w:rFonts w:hint="eastAsia"/>
          <w:color w:val="auto"/>
        </w:rPr>
        <w:t>）影响，表示因实施了某些方案而提高消费者认同增加值；</w:t>
      </w:r>
    </w:p>
    <w:p>
      <w:pPr>
        <w:ind w:firstLine="420"/>
        <w:rPr>
          <w:color w:val="auto"/>
        </w:rPr>
      </w:pPr>
      <w:r>
        <w:rPr>
          <w:color w:val="auto"/>
        </w:rPr>
        <w:t>——</w:t>
      </w:r>
      <w:r>
        <w:rPr>
          <w:rFonts w:hint="eastAsia"/>
          <w:color w:val="auto"/>
        </w:rPr>
        <w:t>生产管理，估计实施某方案可能对生产计划或者其他生产管理者产生的影响。</w:t>
      </w:r>
    </w:p>
    <w:p>
      <w:pPr>
        <w:ind w:firstLine="420"/>
        <w:rPr>
          <w:color w:val="auto"/>
        </w:rPr>
      </w:pPr>
      <w:r>
        <w:rPr>
          <w:rFonts w:hint="eastAsia"/>
          <w:color w:val="auto"/>
        </w:rPr>
        <w:t>第三步：各指标的等级评分准则如表B</w:t>
      </w:r>
      <w:r>
        <w:rPr>
          <w:color w:val="auto"/>
        </w:rPr>
        <w:t>.1</w:t>
      </w:r>
      <w:r>
        <w:rPr>
          <w:rFonts w:hint="eastAsia"/>
          <w:color w:val="auto"/>
        </w:rPr>
        <w:t>所示。评估人员依据准则对各方案在不同指标上的表现进行打分。</w:t>
      </w:r>
    </w:p>
    <w:p>
      <w:pPr>
        <w:ind w:firstLine="420"/>
        <w:rPr>
          <w:color w:val="auto"/>
        </w:rPr>
      </w:pPr>
      <w:r>
        <w:rPr>
          <w:rFonts w:hint="eastAsia"/>
          <w:color w:val="auto"/>
        </w:rPr>
        <w:t>第四步：加总每个方案在</w:t>
      </w:r>
      <w:r>
        <w:rPr>
          <w:color w:val="auto"/>
        </w:rPr>
        <w:t>5</w:t>
      </w:r>
      <w:r>
        <w:rPr>
          <w:rFonts w:hint="eastAsia"/>
          <w:color w:val="auto"/>
        </w:rPr>
        <w:t>个指标上的得分，得到每个方案的总评分。</w:t>
      </w:r>
    </w:p>
    <w:p>
      <w:pPr>
        <w:ind w:firstLine="420"/>
        <w:rPr>
          <w:color w:val="auto"/>
        </w:rPr>
      </w:pPr>
      <w:r>
        <w:rPr>
          <w:rFonts w:hint="eastAsia"/>
          <w:color w:val="auto"/>
        </w:rPr>
        <w:t>第五步：对每个方案的总评分进行标准化，方法为总评分减去</w:t>
      </w:r>
      <w:r>
        <w:rPr>
          <w:color w:val="auto"/>
        </w:rPr>
        <w:t>10</w:t>
      </w:r>
      <w:r>
        <w:rPr>
          <w:rFonts w:hint="eastAsia"/>
          <w:color w:val="auto"/>
        </w:rPr>
        <w:t>。</w:t>
      </w:r>
    </w:p>
    <w:p>
      <w:pPr>
        <w:ind w:firstLine="420"/>
        <w:rPr>
          <w:color w:val="auto"/>
        </w:rPr>
      </w:pPr>
      <w:r>
        <w:rPr>
          <w:rFonts w:hint="eastAsia"/>
          <w:color w:val="auto"/>
        </w:rPr>
        <w:t>第六步：经过标准化后的方案被分成“生产、设计、管理”三组，绘制分组的实施者优先排序图，分别针对制造工程师、设计工程师或管理人员等实施者。</w:t>
      </w:r>
    </w:p>
    <w:p>
      <w:pPr>
        <w:ind w:firstLine="420"/>
        <w:rPr>
          <w:color w:val="auto"/>
        </w:rPr>
      </w:pPr>
      <w:r>
        <w:rPr>
          <w:rFonts w:hint="eastAsia"/>
          <w:color w:val="auto"/>
        </w:rPr>
        <w:t>第七步：将改进方案按照生命周期阶段分组（产品生产和产品包装2个阶段），绘制生命周期阶段优先排序图。</w:t>
      </w:r>
    </w:p>
    <w:p>
      <w:pPr>
        <w:widowControl/>
        <w:spacing w:beforeLines="50" w:afterLines="50"/>
        <w:jc w:val="center"/>
        <w:rPr>
          <w:rFonts w:ascii="黑体" w:hAnsi="黑体" w:eastAsia="黑体"/>
          <w:color w:val="auto"/>
          <w:szCs w:val="21"/>
        </w:rPr>
      </w:pPr>
      <w:r>
        <w:rPr>
          <w:rFonts w:hint="eastAsia" w:ascii="黑体" w:hAnsi="黑体" w:eastAsia="黑体"/>
          <w:color w:val="auto"/>
          <w:szCs w:val="21"/>
        </w:rPr>
        <w:t>表</w:t>
      </w:r>
      <w:r>
        <w:rPr>
          <w:rFonts w:ascii="黑体" w:hAnsi="黑体" w:eastAsia="黑体"/>
          <w:color w:val="auto"/>
          <w:szCs w:val="21"/>
        </w:rPr>
        <w:t xml:space="preserve">C.1  </w:t>
      </w:r>
      <w:r>
        <w:rPr>
          <w:rFonts w:hint="eastAsia" w:ascii="黑体" w:hAnsi="黑体" w:eastAsia="黑体"/>
          <w:color w:val="auto"/>
          <w:szCs w:val="21"/>
        </w:rPr>
        <w:t>指标等级评分准则</w:t>
      </w:r>
    </w:p>
    <w:tbl>
      <w:tblPr>
        <w:tblStyle w:val="12"/>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3191"/>
        <w:gridCol w:w="31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tcBorders>
              <w:top w:val="single" w:color="000000" w:sz="12" w:space="0"/>
              <w:bottom w:val="single" w:color="000000" w:sz="12" w:space="0"/>
            </w:tcBorders>
            <w:vAlign w:val="center"/>
          </w:tcPr>
          <w:p>
            <w:pPr>
              <w:jc w:val="center"/>
              <w:rPr>
                <w:rFonts w:hAnsi="宋体"/>
                <w:color w:val="auto"/>
                <w:sz w:val="18"/>
                <w:szCs w:val="21"/>
              </w:rPr>
            </w:pPr>
            <w:r>
              <w:rPr>
                <w:rFonts w:hint="eastAsia" w:hAnsi="宋体"/>
                <w:color w:val="auto"/>
                <w:sz w:val="18"/>
                <w:szCs w:val="21"/>
              </w:rPr>
              <w:t>符号</w:t>
            </w:r>
          </w:p>
        </w:tc>
        <w:tc>
          <w:tcPr>
            <w:tcW w:w="3191" w:type="dxa"/>
            <w:tcBorders>
              <w:top w:val="single" w:color="000000" w:sz="12" w:space="0"/>
              <w:bottom w:val="single" w:color="000000" w:sz="12" w:space="0"/>
            </w:tcBorders>
            <w:vAlign w:val="center"/>
          </w:tcPr>
          <w:p>
            <w:pPr>
              <w:jc w:val="center"/>
              <w:rPr>
                <w:rFonts w:hAnsi="宋体"/>
                <w:color w:val="auto"/>
                <w:sz w:val="18"/>
                <w:szCs w:val="21"/>
              </w:rPr>
            </w:pPr>
            <w:r>
              <w:rPr>
                <w:rFonts w:hint="eastAsia" w:hAnsi="宋体"/>
                <w:color w:val="auto"/>
                <w:sz w:val="18"/>
                <w:szCs w:val="21"/>
              </w:rPr>
              <w:t>评价</w:t>
            </w:r>
          </w:p>
        </w:tc>
        <w:tc>
          <w:tcPr>
            <w:tcW w:w="3191" w:type="dxa"/>
            <w:tcBorders>
              <w:top w:val="single" w:color="000000" w:sz="12" w:space="0"/>
              <w:bottom w:val="single" w:color="000000" w:sz="12" w:space="0"/>
            </w:tcBorders>
            <w:vAlign w:val="center"/>
          </w:tcPr>
          <w:p>
            <w:pPr>
              <w:jc w:val="center"/>
              <w:rPr>
                <w:rFonts w:hAnsi="宋体"/>
                <w:color w:val="auto"/>
                <w:sz w:val="18"/>
                <w:szCs w:val="21"/>
              </w:rPr>
            </w:pPr>
            <w:r>
              <w:rPr>
                <w:rFonts w:hint="eastAsia" w:hAnsi="宋体"/>
                <w:color w:val="auto"/>
                <w:sz w:val="18"/>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tcBorders>
              <w:top w:val="single" w:color="000000" w:sz="12" w:space="0"/>
            </w:tcBorders>
            <w:vAlign w:val="center"/>
          </w:tcPr>
          <w:p>
            <w:pPr>
              <w:jc w:val="center"/>
              <w:rPr>
                <w:rFonts w:hAnsi="宋体"/>
                <w:color w:val="auto"/>
                <w:sz w:val="18"/>
                <w:szCs w:val="21"/>
              </w:rPr>
            </w:pPr>
            <w:r>
              <w:rPr>
                <w:rFonts w:hAnsi="宋体"/>
                <w:color w:val="auto"/>
                <w:sz w:val="18"/>
                <w:szCs w:val="21"/>
              </w:rPr>
              <w:t>++</w:t>
            </w:r>
          </w:p>
        </w:tc>
        <w:tc>
          <w:tcPr>
            <w:tcW w:w="3191" w:type="dxa"/>
            <w:tcBorders>
              <w:top w:val="single" w:color="000000" w:sz="12" w:space="0"/>
            </w:tcBorders>
            <w:vAlign w:val="center"/>
          </w:tcPr>
          <w:p>
            <w:pPr>
              <w:jc w:val="center"/>
              <w:rPr>
                <w:rFonts w:hAnsi="宋体"/>
                <w:color w:val="auto"/>
                <w:sz w:val="18"/>
                <w:szCs w:val="21"/>
              </w:rPr>
            </w:pPr>
            <w:r>
              <w:rPr>
                <w:rFonts w:hint="eastAsia" w:hAnsi="宋体"/>
                <w:color w:val="auto"/>
                <w:sz w:val="18"/>
                <w:szCs w:val="21"/>
              </w:rPr>
              <w:t>很好</w:t>
            </w:r>
            <w:r>
              <w:rPr>
                <w:rFonts w:hAnsi="宋体"/>
                <w:color w:val="auto"/>
                <w:sz w:val="18"/>
                <w:szCs w:val="21"/>
              </w:rPr>
              <w:t>/</w:t>
            </w:r>
            <w:r>
              <w:rPr>
                <w:rFonts w:hint="eastAsia" w:hAnsi="宋体"/>
                <w:color w:val="auto"/>
                <w:sz w:val="18"/>
                <w:szCs w:val="21"/>
              </w:rPr>
              <w:t>很高</w:t>
            </w:r>
          </w:p>
        </w:tc>
        <w:tc>
          <w:tcPr>
            <w:tcW w:w="3191" w:type="dxa"/>
            <w:tcBorders>
              <w:top w:val="single" w:color="000000" w:sz="12" w:space="0"/>
            </w:tcBorders>
            <w:vAlign w:val="center"/>
          </w:tcPr>
          <w:p>
            <w:pPr>
              <w:jc w:val="center"/>
              <w:rPr>
                <w:rFonts w:hAnsi="宋体"/>
                <w:color w:val="auto"/>
                <w:sz w:val="18"/>
                <w:szCs w:val="21"/>
              </w:rPr>
            </w:pPr>
            <w:r>
              <w:rPr>
                <w:rFonts w:hAnsi="宋体"/>
                <w:color w:val="auto"/>
                <w:sz w:val="18"/>
                <w:szCs w:val="21"/>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vAlign w:val="center"/>
          </w:tcPr>
          <w:p>
            <w:pPr>
              <w:jc w:val="center"/>
              <w:rPr>
                <w:rFonts w:hAnsi="宋体"/>
                <w:color w:val="auto"/>
                <w:sz w:val="18"/>
                <w:szCs w:val="21"/>
              </w:rPr>
            </w:pPr>
            <w:r>
              <w:rPr>
                <w:rFonts w:hAnsi="宋体"/>
                <w:color w:val="auto"/>
                <w:sz w:val="18"/>
                <w:szCs w:val="21"/>
              </w:rPr>
              <w:t>+</w:t>
            </w:r>
          </w:p>
        </w:tc>
        <w:tc>
          <w:tcPr>
            <w:tcW w:w="3191" w:type="dxa"/>
            <w:vAlign w:val="center"/>
          </w:tcPr>
          <w:p>
            <w:pPr>
              <w:jc w:val="center"/>
              <w:rPr>
                <w:rFonts w:hAnsi="宋体"/>
                <w:color w:val="auto"/>
                <w:sz w:val="18"/>
                <w:szCs w:val="21"/>
              </w:rPr>
            </w:pPr>
            <w:r>
              <w:rPr>
                <w:rFonts w:hint="eastAsia" w:hAnsi="宋体"/>
                <w:color w:val="auto"/>
                <w:sz w:val="18"/>
                <w:szCs w:val="21"/>
              </w:rPr>
              <w:t>好</w:t>
            </w:r>
            <w:r>
              <w:rPr>
                <w:rFonts w:hAnsi="宋体"/>
                <w:color w:val="auto"/>
                <w:sz w:val="18"/>
                <w:szCs w:val="21"/>
              </w:rPr>
              <w:t>/</w:t>
            </w:r>
            <w:r>
              <w:rPr>
                <w:rFonts w:hint="eastAsia" w:hAnsi="宋体"/>
                <w:color w:val="auto"/>
                <w:sz w:val="18"/>
                <w:szCs w:val="21"/>
              </w:rPr>
              <w:t>高</w:t>
            </w:r>
          </w:p>
        </w:tc>
        <w:tc>
          <w:tcPr>
            <w:tcW w:w="3191" w:type="dxa"/>
            <w:vAlign w:val="center"/>
          </w:tcPr>
          <w:p>
            <w:pPr>
              <w:jc w:val="center"/>
              <w:rPr>
                <w:rFonts w:hAnsi="宋体"/>
                <w:color w:val="auto"/>
                <w:sz w:val="18"/>
                <w:szCs w:val="21"/>
              </w:rPr>
            </w:pPr>
            <w:r>
              <w:rPr>
                <w:rFonts w:hAnsi="宋体"/>
                <w:color w:val="auto"/>
                <w:sz w:val="18"/>
                <w:szCs w:val="21"/>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188" w:type="dxa"/>
            <w:vAlign w:val="center"/>
          </w:tcPr>
          <w:p>
            <w:pPr>
              <w:jc w:val="center"/>
              <w:rPr>
                <w:rFonts w:hAnsi="宋体"/>
                <w:color w:val="auto"/>
                <w:sz w:val="18"/>
                <w:szCs w:val="21"/>
              </w:rPr>
            </w:pPr>
            <w:r>
              <w:rPr>
                <w:rFonts w:hAnsi="宋体"/>
                <w:color w:val="auto"/>
                <w:sz w:val="18"/>
                <w:szCs w:val="21"/>
              </w:rPr>
              <w:t>+/-</w:t>
            </w:r>
          </w:p>
        </w:tc>
        <w:tc>
          <w:tcPr>
            <w:tcW w:w="3191" w:type="dxa"/>
            <w:vAlign w:val="center"/>
          </w:tcPr>
          <w:p>
            <w:pPr>
              <w:jc w:val="center"/>
              <w:rPr>
                <w:rFonts w:hAnsi="宋体"/>
                <w:color w:val="auto"/>
                <w:sz w:val="18"/>
                <w:szCs w:val="21"/>
              </w:rPr>
            </w:pPr>
            <w:r>
              <w:rPr>
                <w:rFonts w:hint="eastAsia" w:hAnsi="宋体"/>
                <w:color w:val="auto"/>
                <w:sz w:val="18"/>
                <w:szCs w:val="21"/>
              </w:rPr>
              <w:t>中等、一般</w:t>
            </w:r>
          </w:p>
        </w:tc>
        <w:tc>
          <w:tcPr>
            <w:tcW w:w="3191" w:type="dxa"/>
            <w:vAlign w:val="center"/>
          </w:tcPr>
          <w:p>
            <w:pPr>
              <w:jc w:val="center"/>
              <w:rPr>
                <w:rFonts w:hAnsi="宋体"/>
                <w:color w:val="auto"/>
                <w:sz w:val="18"/>
                <w:szCs w:val="21"/>
              </w:rPr>
            </w:pPr>
            <w:r>
              <w:rPr>
                <w:rFonts w:hAnsi="宋体"/>
                <w:color w:val="auto"/>
                <w:sz w:val="18"/>
                <w:szCs w:val="21"/>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vAlign w:val="center"/>
          </w:tcPr>
          <w:p>
            <w:pPr>
              <w:jc w:val="center"/>
              <w:rPr>
                <w:rFonts w:hAnsi="宋体"/>
                <w:color w:val="auto"/>
                <w:sz w:val="18"/>
                <w:szCs w:val="21"/>
              </w:rPr>
            </w:pPr>
            <w:r>
              <w:rPr>
                <w:rFonts w:hAnsi="宋体"/>
                <w:color w:val="auto"/>
                <w:sz w:val="18"/>
                <w:szCs w:val="21"/>
              </w:rPr>
              <w:t>-</w:t>
            </w:r>
          </w:p>
        </w:tc>
        <w:tc>
          <w:tcPr>
            <w:tcW w:w="3191" w:type="dxa"/>
            <w:vAlign w:val="center"/>
          </w:tcPr>
          <w:p>
            <w:pPr>
              <w:jc w:val="center"/>
              <w:rPr>
                <w:rFonts w:hAnsi="宋体"/>
                <w:color w:val="auto"/>
                <w:sz w:val="18"/>
                <w:szCs w:val="21"/>
              </w:rPr>
            </w:pPr>
            <w:r>
              <w:rPr>
                <w:rFonts w:hint="eastAsia" w:hAnsi="宋体"/>
                <w:color w:val="auto"/>
                <w:sz w:val="18"/>
                <w:szCs w:val="21"/>
              </w:rPr>
              <w:t>差</w:t>
            </w:r>
            <w:r>
              <w:rPr>
                <w:rFonts w:hAnsi="宋体"/>
                <w:color w:val="auto"/>
                <w:sz w:val="18"/>
                <w:szCs w:val="21"/>
              </w:rPr>
              <w:t>/</w:t>
            </w:r>
            <w:r>
              <w:rPr>
                <w:rFonts w:hint="eastAsia" w:hAnsi="宋体"/>
                <w:color w:val="auto"/>
                <w:sz w:val="18"/>
                <w:szCs w:val="21"/>
              </w:rPr>
              <w:t>低</w:t>
            </w:r>
          </w:p>
        </w:tc>
        <w:tc>
          <w:tcPr>
            <w:tcW w:w="3191" w:type="dxa"/>
            <w:vAlign w:val="center"/>
          </w:tcPr>
          <w:p>
            <w:pPr>
              <w:jc w:val="center"/>
              <w:rPr>
                <w:rFonts w:hAnsi="宋体"/>
                <w:color w:val="auto"/>
                <w:sz w:val="18"/>
                <w:szCs w:val="21"/>
              </w:rPr>
            </w:pPr>
            <w:r>
              <w:rPr>
                <w:rFonts w:hAnsi="宋体"/>
                <w:color w:val="auto"/>
                <w:sz w:val="18"/>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188" w:type="dxa"/>
            <w:vAlign w:val="center"/>
          </w:tcPr>
          <w:p>
            <w:pPr>
              <w:jc w:val="center"/>
              <w:rPr>
                <w:rFonts w:hAnsi="宋体"/>
                <w:color w:val="auto"/>
                <w:sz w:val="18"/>
                <w:szCs w:val="21"/>
              </w:rPr>
            </w:pPr>
            <w:r>
              <w:rPr>
                <w:rFonts w:hAnsi="宋体"/>
                <w:color w:val="auto"/>
                <w:sz w:val="18"/>
                <w:szCs w:val="21"/>
              </w:rPr>
              <w:t>--</w:t>
            </w:r>
          </w:p>
        </w:tc>
        <w:tc>
          <w:tcPr>
            <w:tcW w:w="3191" w:type="dxa"/>
            <w:vAlign w:val="center"/>
          </w:tcPr>
          <w:p>
            <w:pPr>
              <w:jc w:val="center"/>
              <w:rPr>
                <w:rFonts w:hAnsi="宋体"/>
                <w:color w:val="auto"/>
                <w:sz w:val="18"/>
                <w:szCs w:val="21"/>
              </w:rPr>
            </w:pPr>
            <w:r>
              <w:rPr>
                <w:rFonts w:hint="eastAsia" w:hAnsi="宋体"/>
                <w:color w:val="auto"/>
                <w:sz w:val="18"/>
                <w:szCs w:val="21"/>
              </w:rPr>
              <w:t>很差</w:t>
            </w:r>
            <w:r>
              <w:rPr>
                <w:rFonts w:hAnsi="宋体"/>
                <w:color w:val="auto"/>
                <w:sz w:val="18"/>
                <w:szCs w:val="21"/>
              </w:rPr>
              <w:t>/</w:t>
            </w:r>
            <w:r>
              <w:rPr>
                <w:rFonts w:hint="eastAsia" w:hAnsi="宋体"/>
                <w:color w:val="auto"/>
                <w:sz w:val="18"/>
                <w:szCs w:val="21"/>
              </w:rPr>
              <w:t>很低</w:t>
            </w:r>
          </w:p>
        </w:tc>
        <w:tc>
          <w:tcPr>
            <w:tcW w:w="3191" w:type="dxa"/>
            <w:vAlign w:val="center"/>
          </w:tcPr>
          <w:p>
            <w:pPr>
              <w:jc w:val="center"/>
              <w:rPr>
                <w:rFonts w:hAnsi="宋体"/>
                <w:color w:val="auto"/>
                <w:sz w:val="18"/>
                <w:szCs w:val="21"/>
              </w:rPr>
            </w:pPr>
            <w:r>
              <w:rPr>
                <w:rFonts w:hAnsi="宋体"/>
                <w:color w:val="auto"/>
                <w:sz w:val="18"/>
                <w:szCs w:val="21"/>
              </w:rPr>
              <w:t>0</w:t>
            </w:r>
          </w:p>
        </w:tc>
      </w:tr>
    </w:tbl>
    <w:p>
      <w:pPr>
        <w:widowControl/>
        <w:spacing w:beforeLines="50" w:afterLines="50"/>
        <w:jc w:val="left"/>
        <w:rPr>
          <w:rFonts w:ascii="黑体" w:eastAsia="黑体"/>
          <w:color w:val="auto"/>
        </w:rPr>
      </w:pPr>
      <w:r>
        <w:rPr>
          <w:rFonts w:hint="eastAsia" w:ascii="黑体" w:eastAsia="黑体"/>
          <w:color w:val="auto"/>
        </w:rPr>
        <w:t>B</w:t>
      </w:r>
      <w:r>
        <w:rPr>
          <w:rFonts w:ascii="黑体" w:eastAsia="黑体"/>
          <w:color w:val="auto"/>
        </w:rPr>
        <w:t>.</w:t>
      </w:r>
      <w:r>
        <w:rPr>
          <w:rFonts w:hint="eastAsia" w:ascii="黑体" w:eastAsia="黑体"/>
          <w:color w:val="auto"/>
        </w:rPr>
        <w:t>2排序示例</w:t>
      </w:r>
    </w:p>
    <w:p>
      <w:pPr>
        <w:widowControl/>
        <w:spacing w:beforeLines="50" w:afterLines="50"/>
        <w:jc w:val="left"/>
        <w:rPr>
          <w:rFonts w:ascii="黑体" w:eastAsia="黑体"/>
          <w:color w:val="auto"/>
        </w:rPr>
      </w:pPr>
      <w:r>
        <w:rPr>
          <w:rFonts w:hint="eastAsia" w:ascii="黑体" w:eastAsia="黑体"/>
          <w:color w:val="auto"/>
        </w:rPr>
        <w:t>B</w:t>
      </w:r>
      <w:r>
        <w:rPr>
          <w:rFonts w:ascii="黑体" w:eastAsia="黑体"/>
          <w:color w:val="auto"/>
        </w:rPr>
        <w:t>.</w:t>
      </w:r>
      <w:r>
        <w:rPr>
          <w:rFonts w:hint="eastAsia" w:ascii="黑体" w:eastAsia="黑体"/>
          <w:color w:val="auto"/>
        </w:rPr>
        <w:t>2.1改进方案</w:t>
      </w:r>
    </w:p>
    <w:p>
      <w:pPr>
        <w:ind w:firstLine="420"/>
        <w:rPr>
          <w:color w:val="auto"/>
        </w:rPr>
      </w:pPr>
      <w:r>
        <w:rPr>
          <w:rFonts w:hint="eastAsia"/>
          <w:color w:val="auto"/>
        </w:rPr>
        <w:t>依据</w:t>
      </w:r>
      <w:r>
        <w:rPr>
          <w:rFonts w:hint="eastAsia" w:ascii="宋体" w:hAnsi="Calibri" w:cs="宋体"/>
          <w:color w:val="auto"/>
          <w:kern w:val="0"/>
          <w:szCs w:val="21"/>
        </w:rPr>
        <w:t>铜及铜合金</w:t>
      </w:r>
      <w:r>
        <w:rPr>
          <w:rFonts w:hint="eastAsia" w:ascii="宋体" w:hAnsi="宋体"/>
          <w:color w:val="auto"/>
        </w:rPr>
        <w:t>冷轧板带箔</w:t>
      </w:r>
      <w:r>
        <w:rPr>
          <w:rFonts w:hint="eastAsia" w:ascii="宋体" w:hAnsi="Calibri" w:cs="宋体"/>
          <w:color w:val="auto"/>
          <w:kern w:val="0"/>
          <w:szCs w:val="21"/>
        </w:rPr>
        <w:t>材</w:t>
      </w:r>
      <w:r>
        <w:rPr>
          <w:rFonts w:hint="eastAsia"/>
          <w:color w:val="auto"/>
        </w:rPr>
        <w:t>产品生命周期评价结果提出的一些建议如下：</w:t>
      </w:r>
    </w:p>
    <w:p>
      <w:pPr>
        <w:pStyle w:val="28"/>
        <w:numPr>
          <w:ilvl w:val="0"/>
          <w:numId w:val="7"/>
        </w:numPr>
        <w:ind w:firstLineChars="0"/>
        <w:rPr>
          <w:color w:val="auto"/>
        </w:rPr>
      </w:pPr>
      <w:r>
        <w:rPr>
          <w:rFonts w:hint="eastAsia"/>
          <w:color w:val="auto"/>
        </w:rPr>
        <w:t>生产制造改进方案包括：</w:t>
      </w:r>
    </w:p>
    <w:p>
      <w:pPr>
        <w:ind w:firstLine="420"/>
        <w:rPr>
          <w:color w:val="auto"/>
        </w:rPr>
      </w:pPr>
      <w:r>
        <w:rPr>
          <w:color w:val="auto"/>
        </w:rPr>
        <w:t>——</w:t>
      </w:r>
      <w:r>
        <w:rPr>
          <w:rFonts w:hint="eastAsia"/>
          <w:color w:val="auto"/>
        </w:rPr>
        <w:t>修改生产设备和材料规格要求，鼓励或规定在制造过程中使用高效节能设备和清洁能源</w:t>
      </w:r>
    </w:p>
    <w:p>
      <w:pPr>
        <w:ind w:firstLine="420"/>
        <w:jc w:val="left"/>
        <w:rPr>
          <w:rFonts w:ascii="Calibri" w:hAnsi="Calibri"/>
          <w:color w:val="auto"/>
          <w:szCs w:val="21"/>
        </w:rPr>
      </w:pPr>
      <w:r>
        <w:rPr>
          <w:rFonts w:ascii="Calibri" w:hAnsi="Calibri"/>
          <w:color w:val="auto"/>
          <w:szCs w:val="21"/>
        </w:rPr>
        <w:t>——</w:t>
      </w:r>
      <w:r>
        <w:rPr>
          <w:rFonts w:hint="eastAsia" w:ascii="Calibri" w:hAnsi="Calibri"/>
          <w:color w:val="auto"/>
          <w:szCs w:val="21"/>
        </w:rPr>
        <w:t>开展固体废弃物的无害化处理或再利用；</w:t>
      </w:r>
    </w:p>
    <w:p>
      <w:pPr>
        <w:ind w:firstLine="420"/>
        <w:jc w:val="left"/>
        <w:rPr>
          <w:rFonts w:ascii="Calibri" w:hAnsi="Calibri"/>
          <w:color w:val="auto"/>
          <w:szCs w:val="21"/>
        </w:rPr>
      </w:pPr>
      <w:r>
        <w:rPr>
          <w:rFonts w:ascii="Calibri" w:hAnsi="Calibri"/>
          <w:color w:val="auto"/>
          <w:szCs w:val="21"/>
        </w:rPr>
        <w:t>——</w:t>
      </w:r>
      <w:r>
        <w:rPr>
          <w:rFonts w:hint="eastAsia" w:ascii="Calibri" w:hAnsi="Calibri"/>
          <w:color w:val="auto"/>
          <w:szCs w:val="21"/>
        </w:rPr>
        <w:t>开发可重复使用的产品包装材料，使其满足防护标准并能最终再循环。</w:t>
      </w:r>
    </w:p>
    <w:p>
      <w:pPr>
        <w:pStyle w:val="28"/>
        <w:numPr>
          <w:ilvl w:val="0"/>
          <w:numId w:val="7"/>
        </w:numPr>
        <w:ind w:firstLineChars="0"/>
        <w:rPr>
          <w:color w:val="auto"/>
        </w:rPr>
      </w:pPr>
      <w:r>
        <w:rPr>
          <w:rFonts w:hint="eastAsia"/>
          <w:color w:val="auto"/>
        </w:rPr>
        <w:t>设计改进方案包括：</w:t>
      </w:r>
    </w:p>
    <w:p>
      <w:pPr>
        <w:ind w:firstLine="420"/>
        <w:rPr>
          <w:color w:val="auto"/>
        </w:rPr>
      </w:pPr>
      <w:r>
        <w:rPr>
          <w:color w:val="auto"/>
        </w:rPr>
        <w:t>——</w:t>
      </w:r>
      <w:r>
        <w:rPr>
          <w:rFonts w:hint="eastAsia"/>
          <w:color w:val="auto"/>
        </w:rPr>
        <w:t>在保证产品质量的情况下，可使用同旧料，多使用阴极铜、锌等原料。</w:t>
      </w:r>
    </w:p>
    <w:p>
      <w:pPr>
        <w:pStyle w:val="28"/>
        <w:numPr>
          <w:ilvl w:val="0"/>
          <w:numId w:val="7"/>
        </w:numPr>
        <w:ind w:firstLineChars="0"/>
        <w:rPr>
          <w:color w:val="auto"/>
        </w:rPr>
      </w:pPr>
      <w:r>
        <w:rPr>
          <w:rFonts w:hint="eastAsia"/>
          <w:color w:val="auto"/>
        </w:rPr>
        <w:t>产品管理改进方案包括：</w:t>
      </w:r>
    </w:p>
    <w:p>
      <w:pPr>
        <w:ind w:firstLine="420"/>
        <w:jc w:val="left"/>
        <w:rPr>
          <w:rFonts w:ascii="Calibri" w:hAnsi="Calibri"/>
          <w:color w:val="auto"/>
          <w:szCs w:val="21"/>
        </w:rPr>
      </w:pPr>
      <w:r>
        <w:rPr>
          <w:rFonts w:ascii="Calibri" w:hAnsi="Calibri"/>
          <w:color w:val="auto"/>
          <w:szCs w:val="21"/>
        </w:rPr>
        <w:t>——</w:t>
      </w:r>
      <w:r>
        <w:rPr>
          <w:rFonts w:hint="eastAsia" w:ascii="Calibri" w:hAnsi="Calibri"/>
          <w:color w:val="auto"/>
          <w:szCs w:val="21"/>
        </w:rPr>
        <w:t>完善产品包装信息系统。</w:t>
      </w:r>
    </w:p>
    <w:p>
      <w:pPr>
        <w:widowControl/>
        <w:spacing w:beforeLines="50" w:afterLines="50"/>
        <w:jc w:val="left"/>
        <w:rPr>
          <w:rFonts w:ascii="黑体" w:eastAsia="黑体"/>
          <w:color w:val="auto"/>
        </w:rPr>
      </w:pPr>
      <w:r>
        <w:rPr>
          <w:rFonts w:hint="eastAsia" w:ascii="黑体" w:eastAsia="黑体"/>
          <w:color w:val="auto"/>
        </w:rPr>
        <w:t>B</w:t>
      </w:r>
      <w:r>
        <w:rPr>
          <w:rFonts w:ascii="黑体" w:eastAsia="黑体"/>
          <w:color w:val="auto"/>
        </w:rPr>
        <w:t>.</w:t>
      </w:r>
      <w:r>
        <w:rPr>
          <w:rFonts w:hint="eastAsia" w:ascii="黑体" w:eastAsia="黑体"/>
          <w:color w:val="auto"/>
        </w:rPr>
        <w:t>2.2改进方案的优先排序表</w:t>
      </w:r>
    </w:p>
    <w:p>
      <w:pPr>
        <w:ind w:firstLine="420"/>
        <w:rPr>
          <w:rFonts w:ascii="黑体" w:hAnsi="黑体" w:eastAsia="黑体"/>
          <w:color w:val="auto"/>
          <w:szCs w:val="21"/>
        </w:rPr>
      </w:pPr>
      <w:r>
        <w:rPr>
          <w:rFonts w:hint="eastAsia"/>
          <w:color w:val="auto"/>
        </w:rPr>
        <w:t>改进方案的优先排序表如表B</w:t>
      </w:r>
      <w:r>
        <w:rPr>
          <w:color w:val="auto"/>
        </w:rPr>
        <w:t>.2</w:t>
      </w:r>
      <w:r>
        <w:rPr>
          <w:rFonts w:hint="eastAsia"/>
          <w:color w:val="auto"/>
        </w:rPr>
        <w:t>所示。</w:t>
      </w:r>
    </w:p>
    <w:p>
      <w:pPr>
        <w:widowControl/>
        <w:spacing w:beforeLines="50"/>
        <w:jc w:val="center"/>
        <w:rPr>
          <w:rFonts w:ascii="黑体" w:hAnsi="黑体" w:eastAsia="黑体"/>
          <w:color w:val="auto"/>
          <w:szCs w:val="21"/>
        </w:rPr>
      </w:pPr>
      <w:r>
        <w:rPr>
          <w:rFonts w:hint="eastAsia" w:ascii="黑体" w:hAnsi="黑体" w:eastAsia="黑体"/>
          <w:color w:val="auto"/>
          <w:szCs w:val="21"/>
        </w:rPr>
        <w:t>表B</w:t>
      </w:r>
      <w:r>
        <w:rPr>
          <w:rFonts w:ascii="黑体" w:hAnsi="黑体" w:eastAsia="黑体"/>
          <w:color w:val="auto"/>
          <w:szCs w:val="21"/>
        </w:rPr>
        <w:t xml:space="preserve">.2  </w:t>
      </w:r>
      <w:r>
        <w:rPr>
          <w:rFonts w:hint="eastAsia" w:ascii="黑体" w:hAnsi="黑体" w:eastAsia="黑体"/>
          <w:color w:val="auto"/>
          <w:szCs w:val="21"/>
        </w:rPr>
        <w:t>改进方案的优先排序表</w:t>
      </w:r>
    </w:p>
    <w:tbl>
      <w:tblPr>
        <w:tblStyle w:val="12"/>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2376"/>
        <w:gridCol w:w="1314"/>
        <w:gridCol w:w="1112"/>
        <w:gridCol w:w="1112"/>
        <w:gridCol w:w="924"/>
        <w:gridCol w:w="824"/>
        <w:gridCol w:w="954"/>
        <w:gridCol w:w="79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2376" w:type="dxa"/>
            <w:tcBorders>
              <w:top w:val="single" w:color="000000" w:sz="12" w:space="0"/>
              <w:bottom w:val="single" w:color="000000" w:sz="12" w:space="0"/>
            </w:tcBorders>
            <w:vAlign w:val="center"/>
          </w:tcPr>
          <w:p>
            <w:pPr>
              <w:jc w:val="center"/>
              <w:rPr>
                <w:rFonts w:hAnsi="宋体"/>
                <w:color w:val="auto"/>
                <w:sz w:val="18"/>
                <w:szCs w:val="18"/>
              </w:rPr>
            </w:pPr>
            <w:r>
              <w:rPr>
                <w:rFonts w:hint="eastAsia" w:hAnsi="宋体"/>
                <w:color w:val="auto"/>
                <w:sz w:val="18"/>
                <w:szCs w:val="18"/>
              </w:rPr>
              <w:t>改进方案</w:t>
            </w:r>
          </w:p>
        </w:tc>
        <w:tc>
          <w:tcPr>
            <w:tcW w:w="1314" w:type="dxa"/>
            <w:tcBorders>
              <w:top w:val="single" w:color="000000" w:sz="12" w:space="0"/>
              <w:bottom w:val="single" w:color="000000" w:sz="12" w:space="0"/>
            </w:tcBorders>
            <w:vAlign w:val="center"/>
          </w:tcPr>
          <w:p>
            <w:pPr>
              <w:jc w:val="center"/>
              <w:rPr>
                <w:rFonts w:hAnsi="宋体"/>
                <w:color w:val="auto"/>
                <w:sz w:val="18"/>
                <w:szCs w:val="18"/>
              </w:rPr>
            </w:pPr>
            <w:r>
              <w:rPr>
                <w:rFonts w:hint="eastAsia" w:hAnsi="宋体"/>
                <w:color w:val="auto"/>
                <w:sz w:val="18"/>
                <w:szCs w:val="18"/>
              </w:rPr>
              <w:t>生命周期阶段</w:t>
            </w:r>
          </w:p>
        </w:tc>
        <w:tc>
          <w:tcPr>
            <w:tcW w:w="1112" w:type="dxa"/>
            <w:tcBorders>
              <w:top w:val="single" w:color="000000" w:sz="12" w:space="0"/>
              <w:bottom w:val="single" w:color="000000" w:sz="12" w:space="0"/>
            </w:tcBorders>
            <w:vAlign w:val="center"/>
          </w:tcPr>
          <w:p>
            <w:pPr>
              <w:jc w:val="center"/>
              <w:rPr>
                <w:rFonts w:hAnsi="宋体"/>
                <w:color w:val="auto"/>
                <w:sz w:val="18"/>
                <w:szCs w:val="18"/>
              </w:rPr>
            </w:pPr>
            <w:r>
              <w:rPr>
                <w:rFonts w:hint="eastAsia" w:hAnsi="宋体"/>
                <w:color w:val="auto"/>
                <w:sz w:val="18"/>
                <w:szCs w:val="18"/>
              </w:rPr>
              <w:t>技术可行性</w:t>
            </w:r>
          </w:p>
        </w:tc>
        <w:tc>
          <w:tcPr>
            <w:tcW w:w="1112" w:type="dxa"/>
            <w:tcBorders>
              <w:top w:val="single" w:color="000000" w:sz="12" w:space="0"/>
              <w:bottom w:val="single" w:color="000000" w:sz="12" w:space="0"/>
            </w:tcBorders>
            <w:vAlign w:val="center"/>
          </w:tcPr>
          <w:p>
            <w:pPr>
              <w:jc w:val="center"/>
              <w:rPr>
                <w:rFonts w:hAnsi="宋体"/>
                <w:color w:val="auto"/>
                <w:sz w:val="18"/>
                <w:szCs w:val="18"/>
              </w:rPr>
            </w:pPr>
            <w:r>
              <w:rPr>
                <w:rFonts w:hint="eastAsia" w:hAnsi="宋体"/>
                <w:color w:val="auto"/>
                <w:sz w:val="18"/>
                <w:szCs w:val="18"/>
              </w:rPr>
              <w:t>环境敏感性</w:t>
            </w:r>
          </w:p>
        </w:tc>
        <w:tc>
          <w:tcPr>
            <w:tcW w:w="924" w:type="dxa"/>
            <w:tcBorders>
              <w:top w:val="single" w:color="000000" w:sz="12" w:space="0"/>
              <w:bottom w:val="single" w:color="000000" w:sz="12" w:space="0"/>
            </w:tcBorders>
            <w:vAlign w:val="center"/>
          </w:tcPr>
          <w:p>
            <w:pPr>
              <w:jc w:val="center"/>
              <w:rPr>
                <w:rFonts w:hAnsi="宋体"/>
                <w:color w:val="auto"/>
                <w:sz w:val="18"/>
                <w:szCs w:val="18"/>
              </w:rPr>
            </w:pPr>
            <w:r>
              <w:rPr>
                <w:rFonts w:hint="eastAsia" w:hAnsi="宋体"/>
                <w:color w:val="auto"/>
                <w:sz w:val="18"/>
                <w:szCs w:val="18"/>
              </w:rPr>
              <w:t>经济影响</w:t>
            </w:r>
          </w:p>
        </w:tc>
        <w:tc>
          <w:tcPr>
            <w:tcW w:w="824" w:type="dxa"/>
            <w:tcBorders>
              <w:top w:val="single" w:color="000000" w:sz="12" w:space="0"/>
              <w:bottom w:val="single" w:color="000000" w:sz="12" w:space="0"/>
            </w:tcBorders>
            <w:vAlign w:val="center"/>
          </w:tcPr>
          <w:p>
            <w:pPr>
              <w:jc w:val="center"/>
              <w:rPr>
                <w:rFonts w:hAnsi="宋体"/>
                <w:color w:val="auto"/>
                <w:sz w:val="18"/>
                <w:szCs w:val="18"/>
              </w:rPr>
            </w:pPr>
            <w:r>
              <w:rPr>
                <w:rFonts w:hAnsi="宋体"/>
                <w:color w:val="auto"/>
                <w:sz w:val="18"/>
                <w:szCs w:val="18"/>
              </w:rPr>
              <w:t>CVA</w:t>
            </w:r>
            <w:r>
              <w:rPr>
                <w:rFonts w:hint="eastAsia" w:hAnsi="宋体"/>
                <w:color w:val="auto"/>
                <w:sz w:val="18"/>
                <w:szCs w:val="18"/>
              </w:rPr>
              <w:t>影响</w:t>
            </w:r>
          </w:p>
        </w:tc>
        <w:tc>
          <w:tcPr>
            <w:tcW w:w="954" w:type="dxa"/>
            <w:tcBorders>
              <w:top w:val="single" w:color="000000" w:sz="12" w:space="0"/>
              <w:bottom w:val="single" w:color="000000" w:sz="12" w:space="0"/>
            </w:tcBorders>
            <w:vAlign w:val="center"/>
          </w:tcPr>
          <w:p>
            <w:pPr>
              <w:jc w:val="center"/>
              <w:rPr>
                <w:rFonts w:hAnsi="宋体"/>
                <w:color w:val="auto"/>
                <w:sz w:val="18"/>
                <w:szCs w:val="18"/>
              </w:rPr>
            </w:pPr>
            <w:r>
              <w:rPr>
                <w:rFonts w:hint="eastAsia" w:hAnsi="宋体"/>
                <w:color w:val="auto"/>
                <w:sz w:val="18"/>
                <w:szCs w:val="18"/>
              </w:rPr>
              <w:t>生产管理</w:t>
            </w:r>
          </w:p>
        </w:tc>
        <w:tc>
          <w:tcPr>
            <w:tcW w:w="794" w:type="dxa"/>
            <w:tcBorders>
              <w:top w:val="single" w:color="000000" w:sz="12" w:space="0"/>
              <w:bottom w:val="single" w:color="000000" w:sz="12" w:space="0"/>
            </w:tcBorders>
            <w:vAlign w:val="center"/>
          </w:tcPr>
          <w:p>
            <w:pPr>
              <w:jc w:val="center"/>
              <w:rPr>
                <w:rFonts w:hAnsi="宋体"/>
                <w:color w:val="auto"/>
                <w:sz w:val="18"/>
                <w:szCs w:val="18"/>
              </w:rPr>
            </w:pPr>
            <w:r>
              <w:rPr>
                <w:rFonts w:hint="eastAsia" w:hAnsi="宋体"/>
                <w:color w:val="auto"/>
                <w:sz w:val="18"/>
                <w:szCs w:val="18"/>
              </w:rPr>
              <w:t>总评分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9410" w:type="dxa"/>
            <w:gridSpan w:val="8"/>
            <w:tcBorders>
              <w:top w:val="single" w:color="000000" w:sz="12" w:space="0"/>
            </w:tcBorders>
            <w:vAlign w:val="center"/>
          </w:tcPr>
          <w:p>
            <w:pPr>
              <w:ind w:firstLine="90" w:firstLineChars="50"/>
              <w:jc w:val="left"/>
              <w:rPr>
                <w:rFonts w:hAnsi="宋体"/>
                <w:color w:val="auto"/>
                <w:sz w:val="18"/>
                <w:szCs w:val="18"/>
              </w:rPr>
            </w:pPr>
            <w:r>
              <w:rPr>
                <w:rFonts w:hint="eastAsia" w:hAnsi="宋体"/>
                <w:color w:val="auto"/>
                <w:sz w:val="18"/>
                <w:szCs w:val="18"/>
              </w:rPr>
              <w:t>生产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2376" w:type="dxa"/>
            <w:vAlign w:val="center"/>
          </w:tcPr>
          <w:p>
            <w:pPr>
              <w:rPr>
                <w:rFonts w:hAnsi="宋体"/>
                <w:color w:val="auto"/>
                <w:sz w:val="18"/>
                <w:szCs w:val="18"/>
              </w:rPr>
            </w:pPr>
            <w:r>
              <w:rPr>
                <w:rFonts w:hint="eastAsia" w:hAnsi="宋体"/>
                <w:color w:val="auto"/>
                <w:sz w:val="18"/>
                <w:szCs w:val="18"/>
              </w:rPr>
              <w:t>使用节能设备和清洁能源</w:t>
            </w:r>
          </w:p>
        </w:tc>
        <w:tc>
          <w:tcPr>
            <w:tcW w:w="1314" w:type="dxa"/>
            <w:vAlign w:val="center"/>
          </w:tcPr>
          <w:p>
            <w:pPr>
              <w:jc w:val="center"/>
              <w:rPr>
                <w:rFonts w:hAnsi="宋体"/>
                <w:color w:val="auto"/>
                <w:sz w:val="18"/>
                <w:szCs w:val="18"/>
              </w:rPr>
            </w:pPr>
            <w:r>
              <w:rPr>
                <w:rFonts w:hAnsi="宋体"/>
                <w:color w:val="auto"/>
                <w:sz w:val="18"/>
                <w:szCs w:val="18"/>
              </w:rPr>
              <w:t>L.1.1</w:t>
            </w:r>
          </w:p>
        </w:tc>
        <w:tc>
          <w:tcPr>
            <w:tcW w:w="1112" w:type="dxa"/>
            <w:vAlign w:val="center"/>
          </w:tcPr>
          <w:p>
            <w:pPr>
              <w:jc w:val="center"/>
              <w:rPr>
                <w:rFonts w:hAnsi="宋体"/>
                <w:color w:val="auto"/>
                <w:sz w:val="18"/>
                <w:szCs w:val="18"/>
              </w:rPr>
            </w:pPr>
            <w:r>
              <w:rPr>
                <w:rFonts w:hAnsi="宋体"/>
                <w:color w:val="auto"/>
                <w:sz w:val="18"/>
                <w:szCs w:val="18"/>
              </w:rPr>
              <w:t>++</w:t>
            </w:r>
          </w:p>
        </w:tc>
        <w:tc>
          <w:tcPr>
            <w:tcW w:w="1112" w:type="dxa"/>
            <w:vAlign w:val="center"/>
          </w:tcPr>
          <w:p>
            <w:pPr>
              <w:jc w:val="center"/>
              <w:rPr>
                <w:rFonts w:hAnsi="宋体"/>
                <w:color w:val="auto"/>
                <w:sz w:val="18"/>
                <w:szCs w:val="18"/>
              </w:rPr>
            </w:pPr>
            <w:r>
              <w:rPr>
                <w:rFonts w:hAnsi="宋体"/>
                <w:color w:val="auto"/>
                <w:sz w:val="18"/>
                <w:szCs w:val="18"/>
              </w:rPr>
              <w:t>++</w:t>
            </w:r>
          </w:p>
        </w:tc>
        <w:tc>
          <w:tcPr>
            <w:tcW w:w="924" w:type="dxa"/>
            <w:vAlign w:val="center"/>
          </w:tcPr>
          <w:p>
            <w:pPr>
              <w:jc w:val="center"/>
              <w:rPr>
                <w:rFonts w:hAnsi="宋体"/>
                <w:color w:val="auto"/>
                <w:sz w:val="18"/>
                <w:szCs w:val="18"/>
              </w:rPr>
            </w:pPr>
            <w:r>
              <w:rPr>
                <w:rFonts w:hAnsi="宋体"/>
                <w:color w:val="auto"/>
                <w:sz w:val="18"/>
                <w:szCs w:val="18"/>
              </w:rPr>
              <w:t>+</w:t>
            </w:r>
          </w:p>
        </w:tc>
        <w:tc>
          <w:tcPr>
            <w:tcW w:w="824" w:type="dxa"/>
            <w:vAlign w:val="center"/>
          </w:tcPr>
          <w:p>
            <w:pPr>
              <w:jc w:val="center"/>
              <w:rPr>
                <w:rFonts w:hAnsi="宋体"/>
                <w:color w:val="auto"/>
                <w:sz w:val="18"/>
                <w:szCs w:val="18"/>
              </w:rPr>
            </w:pPr>
            <w:r>
              <w:rPr>
                <w:rFonts w:hAnsi="宋体"/>
                <w:color w:val="auto"/>
                <w:sz w:val="18"/>
                <w:szCs w:val="18"/>
              </w:rPr>
              <w:t>+</w:t>
            </w:r>
          </w:p>
        </w:tc>
        <w:tc>
          <w:tcPr>
            <w:tcW w:w="954" w:type="dxa"/>
            <w:vAlign w:val="center"/>
          </w:tcPr>
          <w:p>
            <w:pPr>
              <w:jc w:val="center"/>
              <w:rPr>
                <w:rFonts w:hAnsi="宋体"/>
                <w:color w:val="auto"/>
                <w:sz w:val="18"/>
                <w:szCs w:val="18"/>
              </w:rPr>
            </w:pPr>
            <w:r>
              <w:rPr>
                <w:rFonts w:hAnsi="宋体"/>
                <w:color w:val="auto"/>
                <w:sz w:val="18"/>
                <w:szCs w:val="18"/>
              </w:rPr>
              <w:t>+/-</w:t>
            </w:r>
          </w:p>
        </w:tc>
        <w:tc>
          <w:tcPr>
            <w:tcW w:w="794" w:type="dxa"/>
            <w:vAlign w:val="center"/>
          </w:tcPr>
          <w:p>
            <w:pPr>
              <w:jc w:val="center"/>
              <w:rPr>
                <w:rFonts w:hAnsi="宋体"/>
                <w:color w:val="auto"/>
                <w:sz w:val="18"/>
                <w:szCs w:val="18"/>
              </w:rPr>
            </w:pPr>
            <w:r>
              <w:rPr>
                <w:rFonts w:hAnsi="宋体"/>
                <w:color w:val="auto"/>
                <w:sz w:val="18"/>
                <w:szCs w:val="18"/>
              </w:rPr>
              <w:t>1</w:t>
            </w:r>
            <w:r>
              <w:rPr>
                <w:rFonts w:hint="eastAsia" w:hAnsi="宋体"/>
                <w:color w:val="auto"/>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2376" w:type="dxa"/>
            <w:vAlign w:val="center"/>
          </w:tcPr>
          <w:p>
            <w:pPr>
              <w:rPr>
                <w:rFonts w:hAnsi="宋体"/>
                <w:color w:val="auto"/>
                <w:sz w:val="18"/>
                <w:szCs w:val="18"/>
              </w:rPr>
            </w:pPr>
            <w:r>
              <w:rPr>
                <w:rFonts w:hint="eastAsia" w:hAnsi="宋体"/>
                <w:color w:val="auto"/>
                <w:sz w:val="18"/>
                <w:szCs w:val="18"/>
              </w:rPr>
              <w:t>固体废弃物的无害化处理或再利用</w:t>
            </w:r>
          </w:p>
        </w:tc>
        <w:tc>
          <w:tcPr>
            <w:tcW w:w="1314" w:type="dxa"/>
            <w:vAlign w:val="center"/>
          </w:tcPr>
          <w:p>
            <w:pPr>
              <w:jc w:val="center"/>
              <w:rPr>
                <w:rFonts w:hAnsi="宋体"/>
                <w:color w:val="auto"/>
                <w:sz w:val="18"/>
                <w:szCs w:val="18"/>
              </w:rPr>
            </w:pPr>
            <w:r>
              <w:rPr>
                <w:rFonts w:hAnsi="宋体"/>
                <w:color w:val="auto"/>
                <w:sz w:val="18"/>
                <w:szCs w:val="18"/>
              </w:rPr>
              <w:t>L.1.2</w:t>
            </w:r>
          </w:p>
        </w:tc>
        <w:tc>
          <w:tcPr>
            <w:tcW w:w="1112" w:type="dxa"/>
            <w:vAlign w:val="center"/>
          </w:tcPr>
          <w:p>
            <w:pPr>
              <w:jc w:val="center"/>
              <w:rPr>
                <w:rFonts w:hAnsi="宋体"/>
                <w:color w:val="auto"/>
                <w:sz w:val="18"/>
                <w:szCs w:val="18"/>
              </w:rPr>
            </w:pPr>
            <w:r>
              <w:rPr>
                <w:rFonts w:hAnsi="宋体"/>
                <w:color w:val="auto"/>
                <w:sz w:val="18"/>
                <w:szCs w:val="18"/>
              </w:rPr>
              <w:t>++</w:t>
            </w:r>
          </w:p>
        </w:tc>
        <w:tc>
          <w:tcPr>
            <w:tcW w:w="1112" w:type="dxa"/>
            <w:vAlign w:val="center"/>
          </w:tcPr>
          <w:p>
            <w:pPr>
              <w:jc w:val="center"/>
              <w:rPr>
                <w:rFonts w:hAnsi="宋体"/>
                <w:color w:val="auto"/>
                <w:sz w:val="18"/>
                <w:szCs w:val="18"/>
              </w:rPr>
            </w:pPr>
            <w:r>
              <w:rPr>
                <w:rFonts w:hAnsi="宋体"/>
                <w:color w:val="auto"/>
                <w:sz w:val="18"/>
                <w:szCs w:val="18"/>
              </w:rPr>
              <w:t>++</w:t>
            </w:r>
          </w:p>
        </w:tc>
        <w:tc>
          <w:tcPr>
            <w:tcW w:w="924" w:type="dxa"/>
            <w:vAlign w:val="center"/>
          </w:tcPr>
          <w:p>
            <w:pPr>
              <w:jc w:val="center"/>
              <w:rPr>
                <w:rFonts w:hAnsi="宋体"/>
                <w:color w:val="auto"/>
                <w:sz w:val="18"/>
                <w:szCs w:val="18"/>
              </w:rPr>
            </w:pPr>
            <w:r>
              <w:rPr>
                <w:rFonts w:hAnsi="宋体"/>
                <w:color w:val="auto"/>
                <w:sz w:val="18"/>
                <w:szCs w:val="18"/>
              </w:rPr>
              <w:t>+</w:t>
            </w:r>
          </w:p>
        </w:tc>
        <w:tc>
          <w:tcPr>
            <w:tcW w:w="824" w:type="dxa"/>
            <w:vAlign w:val="center"/>
          </w:tcPr>
          <w:p>
            <w:pPr>
              <w:jc w:val="center"/>
              <w:rPr>
                <w:rFonts w:hAnsi="宋体"/>
                <w:color w:val="auto"/>
                <w:sz w:val="18"/>
                <w:szCs w:val="18"/>
              </w:rPr>
            </w:pPr>
            <w:r>
              <w:rPr>
                <w:rFonts w:hAnsi="宋体"/>
                <w:color w:val="auto"/>
                <w:sz w:val="18"/>
                <w:szCs w:val="18"/>
              </w:rPr>
              <w:t>+/-</w:t>
            </w:r>
          </w:p>
        </w:tc>
        <w:tc>
          <w:tcPr>
            <w:tcW w:w="954" w:type="dxa"/>
            <w:vAlign w:val="center"/>
          </w:tcPr>
          <w:p>
            <w:pPr>
              <w:jc w:val="center"/>
              <w:rPr>
                <w:rFonts w:hAnsi="宋体"/>
                <w:color w:val="auto"/>
                <w:sz w:val="18"/>
                <w:szCs w:val="18"/>
              </w:rPr>
            </w:pPr>
            <w:r>
              <w:rPr>
                <w:rFonts w:hAnsi="宋体"/>
                <w:color w:val="auto"/>
                <w:sz w:val="18"/>
                <w:szCs w:val="18"/>
              </w:rPr>
              <w:t>+/-</w:t>
            </w:r>
          </w:p>
        </w:tc>
        <w:tc>
          <w:tcPr>
            <w:tcW w:w="794" w:type="dxa"/>
            <w:vAlign w:val="center"/>
          </w:tcPr>
          <w:p>
            <w:pPr>
              <w:jc w:val="center"/>
              <w:rPr>
                <w:rFonts w:hAnsi="宋体"/>
                <w:color w:val="auto"/>
                <w:sz w:val="18"/>
                <w:szCs w:val="18"/>
              </w:rPr>
            </w:pPr>
            <w:r>
              <w:rPr>
                <w:rFonts w:hAnsi="宋体"/>
                <w:color w:val="auto"/>
                <w:sz w:val="18"/>
                <w:szCs w:val="18"/>
              </w:rPr>
              <w:t>1</w:t>
            </w:r>
            <w:r>
              <w:rPr>
                <w:rFonts w:hint="eastAsia" w:hAnsi="宋体"/>
                <w:color w:val="auto"/>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2376" w:type="dxa"/>
            <w:vAlign w:val="center"/>
          </w:tcPr>
          <w:p>
            <w:pPr>
              <w:rPr>
                <w:rFonts w:hAnsi="宋体"/>
                <w:color w:val="auto"/>
                <w:sz w:val="18"/>
                <w:szCs w:val="18"/>
              </w:rPr>
            </w:pPr>
            <w:r>
              <w:rPr>
                <w:rFonts w:hint="eastAsia" w:hAnsi="宋体"/>
                <w:color w:val="auto"/>
                <w:sz w:val="18"/>
                <w:szCs w:val="18"/>
              </w:rPr>
              <w:t>使用可重复使用的包装材料</w:t>
            </w:r>
          </w:p>
        </w:tc>
        <w:tc>
          <w:tcPr>
            <w:tcW w:w="1314" w:type="dxa"/>
            <w:vAlign w:val="center"/>
          </w:tcPr>
          <w:p>
            <w:pPr>
              <w:jc w:val="center"/>
              <w:rPr>
                <w:rFonts w:hAnsi="宋体"/>
                <w:color w:val="auto"/>
                <w:sz w:val="18"/>
                <w:szCs w:val="18"/>
              </w:rPr>
            </w:pPr>
            <w:r>
              <w:rPr>
                <w:rFonts w:hAnsi="宋体"/>
                <w:color w:val="auto"/>
                <w:sz w:val="18"/>
                <w:szCs w:val="18"/>
              </w:rPr>
              <w:t>L.2.1</w:t>
            </w:r>
          </w:p>
        </w:tc>
        <w:tc>
          <w:tcPr>
            <w:tcW w:w="1112" w:type="dxa"/>
            <w:vAlign w:val="center"/>
          </w:tcPr>
          <w:p>
            <w:pPr>
              <w:jc w:val="center"/>
              <w:rPr>
                <w:rFonts w:hAnsi="宋体"/>
                <w:color w:val="auto"/>
                <w:sz w:val="18"/>
                <w:szCs w:val="18"/>
              </w:rPr>
            </w:pPr>
            <w:r>
              <w:rPr>
                <w:rFonts w:hAnsi="宋体"/>
                <w:color w:val="auto"/>
                <w:sz w:val="18"/>
                <w:szCs w:val="18"/>
              </w:rPr>
              <w:t>++</w:t>
            </w:r>
          </w:p>
        </w:tc>
        <w:tc>
          <w:tcPr>
            <w:tcW w:w="1112" w:type="dxa"/>
            <w:vAlign w:val="center"/>
          </w:tcPr>
          <w:p>
            <w:pPr>
              <w:jc w:val="center"/>
              <w:rPr>
                <w:rFonts w:hAnsi="宋体"/>
                <w:color w:val="auto"/>
                <w:sz w:val="18"/>
                <w:szCs w:val="18"/>
              </w:rPr>
            </w:pPr>
            <w:r>
              <w:rPr>
                <w:rFonts w:hAnsi="宋体"/>
                <w:color w:val="auto"/>
                <w:sz w:val="18"/>
                <w:szCs w:val="18"/>
              </w:rPr>
              <w:t>+</w:t>
            </w:r>
          </w:p>
        </w:tc>
        <w:tc>
          <w:tcPr>
            <w:tcW w:w="924" w:type="dxa"/>
            <w:vAlign w:val="center"/>
          </w:tcPr>
          <w:p>
            <w:pPr>
              <w:jc w:val="center"/>
              <w:rPr>
                <w:rFonts w:hAnsi="宋体"/>
                <w:color w:val="auto"/>
                <w:sz w:val="18"/>
                <w:szCs w:val="18"/>
              </w:rPr>
            </w:pPr>
            <w:r>
              <w:rPr>
                <w:rFonts w:hAnsi="宋体"/>
                <w:color w:val="auto"/>
                <w:sz w:val="18"/>
                <w:szCs w:val="18"/>
              </w:rPr>
              <w:t>+</w:t>
            </w:r>
          </w:p>
        </w:tc>
        <w:tc>
          <w:tcPr>
            <w:tcW w:w="824" w:type="dxa"/>
            <w:vAlign w:val="center"/>
          </w:tcPr>
          <w:p>
            <w:pPr>
              <w:jc w:val="center"/>
              <w:rPr>
                <w:rFonts w:hAnsi="宋体"/>
                <w:color w:val="auto"/>
                <w:sz w:val="18"/>
                <w:szCs w:val="18"/>
              </w:rPr>
            </w:pPr>
            <w:r>
              <w:rPr>
                <w:rFonts w:hAnsi="宋体"/>
                <w:color w:val="auto"/>
                <w:sz w:val="18"/>
                <w:szCs w:val="18"/>
              </w:rPr>
              <w:t>-</w:t>
            </w:r>
          </w:p>
        </w:tc>
        <w:tc>
          <w:tcPr>
            <w:tcW w:w="954" w:type="dxa"/>
            <w:vAlign w:val="center"/>
          </w:tcPr>
          <w:p>
            <w:pPr>
              <w:jc w:val="center"/>
              <w:rPr>
                <w:rFonts w:hAnsi="宋体"/>
                <w:color w:val="auto"/>
                <w:sz w:val="18"/>
                <w:szCs w:val="18"/>
              </w:rPr>
            </w:pPr>
            <w:r>
              <w:rPr>
                <w:rFonts w:hAnsi="宋体"/>
                <w:color w:val="auto"/>
                <w:sz w:val="18"/>
                <w:szCs w:val="18"/>
              </w:rPr>
              <w:t>+/-</w:t>
            </w:r>
          </w:p>
        </w:tc>
        <w:tc>
          <w:tcPr>
            <w:tcW w:w="794" w:type="dxa"/>
            <w:vAlign w:val="center"/>
          </w:tcPr>
          <w:p>
            <w:pPr>
              <w:jc w:val="center"/>
              <w:rPr>
                <w:rFonts w:hAnsi="宋体"/>
                <w:color w:val="auto"/>
                <w:sz w:val="18"/>
                <w:szCs w:val="18"/>
              </w:rPr>
            </w:pPr>
            <w:r>
              <w:rPr>
                <w:rFonts w:hAnsi="宋体"/>
                <w:color w:val="auto"/>
                <w:sz w:val="18"/>
                <w:szCs w:val="18"/>
              </w:rPr>
              <w:t>1</w:t>
            </w:r>
            <w:r>
              <w:rPr>
                <w:rFonts w:hint="eastAsia" w:hAnsi="宋体"/>
                <w:color w:val="auto"/>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9410" w:type="dxa"/>
            <w:gridSpan w:val="8"/>
            <w:vAlign w:val="center"/>
          </w:tcPr>
          <w:p>
            <w:pPr>
              <w:ind w:firstLine="90" w:firstLineChars="50"/>
              <w:rPr>
                <w:rFonts w:hAnsi="宋体"/>
                <w:color w:val="auto"/>
                <w:sz w:val="18"/>
                <w:szCs w:val="18"/>
              </w:rPr>
            </w:pPr>
            <w:r>
              <w:rPr>
                <w:rFonts w:hint="eastAsia" w:hAnsi="宋体"/>
                <w:color w:val="auto"/>
                <w:sz w:val="18"/>
                <w:szCs w:val="18"/>
              </w:rPr>
              <w:t>设计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 w:hRule="atLeast"/>
        </w:trPr>
        <w:tc>
          <w:tcPr>
            <w:tcW w:w="2376" w:type="dxa"/>
            <w:vAlign w:val="center"/>
          </w:tcPr>
          <w:p>
            <w:pPr>
              <w:rPr>
                <w:rFonts w:hAnsi="宋体"/>
                <w:color w:val="auto"/>
                <w:sz w:val="18"/>
                <w:szCs w:val="18"/>
              </w:rPr>
            </w:pPr>
            <w:r>
              <w:rPr>
                <w:rFonts w:hint="eastAsia" w:hAnsi="宋体"/>
                <w:color w:val="auto"/>
                <w:sz w:val="18"/>
                <w:szCs w:val="18"/>
              </w:rPr>
              <w:t>使用阴极铜、锌等</w:t>
            </w:r>
          </w:p>
        </w:tc>
        <w:tc>
          <w:tcPr>
            <w:tcW w:w="1314" w:type="dxa"/>
            <w:vAlign w:val="center"/>
          </w:tcPr>
          <w:p>
            <w:pPr>
              <w:jc w:val="center"/>
              <w:rPr>
                <w:rFonts w:hAnsi="宋体"/>
                <w:color w:val="auto"/>
                <w:sz w:val="18"/>
                <w:szCs w:val="18"/>
              </w:rPr>
            </w:pPr>
            <w:r>
              <w:rPr>
                <w:rFonts w:hAnsi="宋体"/>
                <w:color w:val="auto"/>
                <w:sz w:val="18"/>
                <w:szCs w:val="18"/>
              </w:rPr>
              <w:t>L1.3</w:t>
            </w:r>
          </w:p>
        </w:tc>
        <w:tc>
          <w:tcPr>
            <w:tcW w:w="1112" w:type="dxa"/>
            <w:vAlign w:val="center"/>
          </w:tcPr>
          <w:p>
            <w:pPr>
              <w:jc w:val="center"/>
              <w:rPr>
                <w:rFonts w:hAnsi="宋体"/>
                <w:color w:val="auto"/>
                <w:sz w:val="18"/>
                <w:szCs w:val="18"/>
              </w:rPr>
            </w:pPr>
            <w:r>
              <w:rPr>
                <w:rFonts w:hAnsi="宋体"/>
                <w:color w:val="auto"/>
                <w:sz w:val="18"/>
                <w:szCs w:val="18"/>
              </w:rPr>
              <w:t>++</w:t>
            </w:r>
          </w:p>
        </w:tc>
        <w:tc>
          <w:tcPr>
            <w:tcW w:w="1112" w:type="dxa"/>
            <w:vAlign w:val="center"/>
          </w:tcPr>
          <w:p>
            <w:pPr>
              <w:jc w:val="center"/>
              <w:rPr>
                <w:rFonts w:hAnsi="宋体"/>
                <w:color w:val="auto"/>
                <w:sz w:val="18"/>
                <w:szCs w:val="18"/>
              </w:rPr>
            </w:pPr>
            <w:r>
              <w:rPr>
                <w:rFonts w:hAnsi="宋体"/>
                <w:color w:val="auto"/>
                <w:sz w:val="18"/>
                <w:szCs w:val="18"/>
              </w:rPr>
              <w:t>++</w:t>
            </w:r>
          </w:p>
        </w:tc>
        <w:tc>
          <w:tcPr>
            <w:tcW w:w="924" w:type="dxa"/>
            <w:vAlign w:val="center"/>
          </w:tcPr>
          <w:p>
            <w:pPr>
              <w:jc w:val="center"/>
              <w:rPr>
                <w:rFonts w:hAnsi="宋体"/>
                <w:color w:val="auto"/>
                <w:sz w:val="18"/>
                <w:szCs w:val="18"/>
              </w:rPr>
            </w:pPr>
            <w:r>
              <w:rPr>
                <w:rFonts w:hAnsi="宋体"/>
                <w:color w:val="auto"/>
                <w:sz w:val="18"/>
                <w:szCs w:val="18"/>
              </w:rPr>
              <w:t>+/-</w:t>
            </w:r>
          </w:p>
        </w:tc>
        <w:tc>
          <w:tcPr>
            <w:tcW w:w="824" w:type="dxa"/>
            <w:vAlign w:val="center"/>
          </w:tcPr>
          <w:p>
            <w:pPr>
              <w:jc w:val="center"/>
              <w:rPr>
                <w:rFonts w:hAnsi="宋体"/>
                <w:color w:val="auto"/>
                <w:sz w:val="18"/>
                <w:szCs w:val="18"/>
              </w:rPr>
            </w:pPr>
            <w:r>
              <w:rPr>
                <w:rFonts w:hAnsi="宋体"/>
                <w:color w:val="auto"/>
                <w:sz w:val="18"/>
                <w:szCs w:val="18"/>
              </w:rPr>
              <w:t>+</w:t>
            </w:r>
          </w:p>
        </w:tc>
        <w:tc>
          <w:tcPr>
            <w:tcW w:w="954" w:type="dxa"/>
            <w:vAlign w:val="center"/>
          </w:tcPr>
          <w:p>
            <w:pPr>
              <w:jc w:val="center"/>
              <w:rPr>
                <w:rFonts w:hAnsi="宋体"/>
                <w:color w:val="auto"/>
                <w:sz w:val="18"/>
                <w:szCs w:val="18"/>
              </w:rPr>
            </w:pPr>
            <w:r>
              <w:rPr>
                <w:rFonts w:hAnsi="宋体"/>
                <w:color w:val="auto"/>
                <w:sz w:val="18"/>
                <w:szCs w:val="18"/>
              </w:rPr>
              <w:t>+/-</w:t>
            </w:r>
          </w:p>
        </w:tc>
        <w:tc>
          <w:tcPr>
            <w:tcW w:w="794" w:type="dxa"/>
            <w:vAlign w:val="center"/>
          </w:tcPr>
          <w:p>
            <w:pPr>
              <w:jc w:val="center"/>
              <w:rPr>
                <w:rFonts w:hAnsi="宋体"/>
                <w:color w:val="auto"/>
                <w:sz w:val="18"/>
                <w:szCs w:val="18"/>
              </w:rPr>
            </w:pPr>
            <w:r>
              <w:rPr>
                <w:rFonts w:hAnsi="宋体"/>
                <w:color w:val="auto"/>
                <w:sz w:val="18"/>
                <w:szCs w:val="18"/>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9410" w:type="dxa"/>
            <w:gridSpan w:val="8"/>
            <w:vAlign w:val="center"/>
          </w:tcPr>
          <w:p>
            <w:pPr>
              <w:ind w:firstLine="90" w:firstLineChars="50"/>
              <w:rPr>
                <w:rFonts w:hAnsi="宋体"/>
                <w:color w:val="auto"/>
                <w:sz w:val="18"/>
                <w:szCs w:val="18"/>
              </w:rPr>
            </w:pPr>
            <w:r>
              <w:rPr>
                <w:rFonts w:hint="eastAsia" w:hAnsi="宋体"/>
                <w:color w:val="auto"/>
                <w:sz w:val="18"/>
                <w:szCs w:val="18"/>
              </w:rPr>
              <w:t>管理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2376" w:type="dxa"/>
            <w:vAlign w:val="center"/>
          </w:tcPr>
          <w:p>
            <w:pPr>
              <w:rPr>
                <w:rFonts w:hAnsi="宋体"/>
                <w:color w:val="auto"/>
                <w:sz w:val="18"/>
                <w:szCs w:val="18"/>
              </w:rPr>
            </w:pPr>
            <w:r>
              <w:rPr>
                <w:rFonts w:hint="eastAsia" w:hAnsi="宋体"/>
                <w:color w:val="auto"/>
                <w:sz w:val="18"/>
                <w:szCs w:val="18"/>
              </w:rPr>
              <w:t>产品包装信息系统</w:t>
            </w:r>
          </w:p>
        </w:tc>
        <w:tc>
          <w:tcPr>
            <w:tcW w:w="1314" w:type="dxa"/>
            <w:vAlign w:val="center"/>
          </w:tcPr>
          <w:p>
            <w:pPr>
              <w:jc w:val="center"/>
              <w:rPr>
                <w:rFonts w:hAnsi="宋体"/>
                <w:color w:val="auto"/>
                <w:sz w:val="18"/>
                <w:szCs w:val="18"/>
              </w:rPr>
            </w:pPr>
            <w:r>
              <w:rPr>
                <w:rFonts w:hAnsi="宋体"/>
                <w:color w:val="auto"/>
                <w:sz w:val="18"/>
                <w:szCs w:val="18"/>
              </w:rPr>
              <w:t>L2.2</w:t>
            </w:r>
          </w:p>
        </w:tc>
        <w:tc>
          <w:tcPr>
            <w:tcW w:w="1112" w:type="dxa"/>
            <w:vAlign w:val="center"/>
          </w:tcPr>
          <w:p>
            <w:pPr>
              <w:jc w:val="center"/>
              <w:rPr>
                <w:rFonts w:hAnsi="宋体"/>
                <w:color w:val="auto"/>
                <w:sz w:val="18"/>
                <w:szCs w:val="18"/>
              </w:rPr>
            </w:pPr>
            <w:r>
              <w:rPr>
                <w:rFonts w:hAnsi="宋体"/>
                <w:color w:val="auto"/>
                <w:sz w:val="18"/>
                <w:szCs w:val="18"/>
              </w:rPr>
              <w:t>++</w:t>
            </w:r>
          </w:p>
        </w:tc>
        <w:tc>
          <w:tcPr>
            <w:tcW w:w="1112" w:type="dxa"/>
            <w:vAlign w:val="center"/>
          </w:tcPr>
          <w:p>
            <w:pPr>
              <w:jc w:val="center"/>
              <w:rPr>
                <w:rFonts w:hAnsi="宋体"/>
                <w:color w:val="auto"/>
                <w:sz w:val="18"/>
                <w:szCs w:val="18"/>
              </w:rPr>
            </w:pPr>
            <w:r>
              <w:rPr>
                <w:rFonts w:hAnsi="宋体"/>
                <w:color w:val="auto"/>
                <w:sz w:val="18"/>
                <w:szCs w:val="18"/>
              </w:rPr>
              <w:t>+/-</w:t>
            </w:r>
          </w:p>
        </w:tc>
        <w:tc>
          <w:tcPr>
            <w:tcW w:w="924" w:type="dxa"/>
            <w:vAlign w:val="center"/>
          </w:tcPr>
          <w:p>
            <w:pPr>
              <w:jc w:val="center"/>
              <w:rPr>
                <w:rFonts w:hAnsi="宋体"/>
                <w:color w:val="auto"/>
                <w:sz w:val="18"/>
                <w:szCs w:val="18"/>
              </w:rPr>
            </w:pPr>
            <w:r>
              <w:rPr>
                <w:rFonts w:hAnsi="宋体"/>
                <w:color w:val="auto"/>
                <w:sz w:val="18"/>
                <w:szCs w:val="18"/>
              </w:rPr>
              <w:t>-</w:t>
            </w:r>
          </w:p>
        </w:tc>
        <w:tc>
          <w:tcPr>
            <w:tcW w:w="824" w:type="dxa"/>
            <w:vAlign w:val="center"/>
          </w:tcPr>
          <w:p>
            <w:pPr>
              <w:jc w:val="center"/>
              <w:rPr>
                <w:rFonts w:hAnsi="宋体"/>
                <w:color w:val="auto"/>
                <w:sz w:val="18"/>
                <w:szCs w:val="18"/>
              </w:rPr>
            </w:pPr>
            <w:r>
              <w:rPr>
                <w:rFonts w:hAnsi="宋体"/>
                <w:color w:val="auto"/>
                <w:sz w:val="18"/>
                <w:szCs w:val="18"/>
              </w:rPr>
              <w:t>+</w:t>
            </w:r>
          </w:p>
        </w:tc>
        <w:tc>
          <w:tcPr>
            <w:tcW w:w="954" w:type="dxa"/>
            <w:vAlign w:val="center"/>
          </w:tcPr>
          <w:p>
            <w:pPr>
              <w:jc w:val="center"/>
              <w:rPr>
                <w:rFonts w:hAnsi="宋体"/>
                <w:color w:val="auto"/>
                <w:sz w:val="18"/>
                <w:szCs w:val="18"/>
              </w:rPr>
            </w:pPr>
            <w:r>
              <w:rPr>
                <w:rFonts w:hAnsi="宋体"/>
                <w:color w:val="auto"/>
                <w:sz w:val="18"/>
                <w:szCs w:val="18"/>
              </w:rPr>
              <w:t>++</w:t>
            </w:r>
          </w:p>
        </w:tc>
        <w:tc>
          <w:tcPr>
            <w:tcW w:w="794" w:type="dxa"/>
            <w:vAlign w:val="center"/>
          </w:tcPr>
          <w:p>
            <w:pPr>
              <w:jc w:val="center"/>
              <w:rPr>
                <w:rFonts w:hAnsi="宋体"/>
                <w:color w:val="auto"/>
                <w:sz w:val="18"/>
                <w:szCs w:val="18"/>
              </w:rPr>
            </w:pPr>
            <w:r>
              <w:rPr>
                <w:rFonts w:hAnsi="宋体"/>
                <w:color w:val="auto"/>
                <w:sz w:val="18"/>
                <w:szCs w:val="18"/>
              </w:rPr>
              <w:t>14</w:t>
            </w:r>
          </w:p>
        </w:tc>
      </w:tr>
    </w:tbl>
    <w:p>
      <w:pPr>
        <w:widowControl/>
        <w:spacing w:beforeLines="50" w:afterLines="50"/>
        <w:jc w:val="left"/>
        <w:rPr>
          <w:rFonts w:ascii="黑体" w:eastAsia="黑体"/>
          <w:color w:val="auto"/>
        </w:rPr>
      </w:pPr>
      <w:r>
        <w:rPr>
          <w:rFonts w:hint="eastAsia" w:ascii="黑体" w:eastAsia="黑体"/>
          <w:color w:val="auto"/>
        </w:rPr>
        <w:t>B</w:t>
      </w:r>
      <w:r>
        <w:rPr>
          <w:rFonts w:ascii="黑体" w:eastAsia="黑体"/>
          <w:color w:val="auto"/>
        </w:rPr>
        <w:t>.</w:t>
      </w:r>
      <w:r>
        <w:rPr>
          <w:rFonts w:hint="eastAsia" w:ascii="黑体" w:eastAsia="黑体"/>
          <w:color w:val="auto"/>
        </w:rPr>
        <w:t>2.3实施者优先排序图和生命周期阶段优先排序图</w:t>
      </w:r>
    </w:p>
    <w:p>
      <w:pPr>
        <w:ind w:firstLine="420"/>
        <w:rPr>
          <w:color w:val="auto"/>
        </w:rPr>
      </w:pPr>
      <w:r>
        <w:rPr>
          <w:rFonts w:hint="eastAsia"/>
          <w:color w:val="auto"/>
        </w:rPr>
        <w:t>图B</w:t>
      </w:r>
      <w:r>
        <w:rPr>
          <w:color w:val="auto"/>
        </w:rPr>
        <w:t>.1</w:t>
      </w:r>
      <w:r>
        <w:rPr>
          <w:rFonts w:hint="eastAsia"/>
          <w:color w:val="auto"/>
        </w:rPr>
        <w:t>为实施者优先排序图，可以看出在产品制造环节，最优先的改进方案是规定使用高效节能设备和清洁能源。产品设计方面突出的改进方案是使用阴极铜。</w:t>
      </w:r>
    </w:p>
    <w:p>
      <w:pPr>
        <w:ind w:firstLine="420"/>
        <w:rPr>
          <w:color w:val="auto"/>
        </w:rPr>
      </w:pPr>
      <w:r>
        <w:rPr>
          <w:rFonts w:hint="eastAsia"/>
          <w:color w:val="auto"/>
        </w:rPr>
        <w:t>图B</w:t>
      </w:r>
      <w:r>
        <w:rPr>
          <w:color w:val="auto"/>
        </w:rPr>
        <w:t>.2</w:t>
      </w:r>
      <w:r>
        <w:rPr>
          <w:rFonts w:hint="eastAsia"/>
          <w:color w:val="auto"/>
        </w:rPr>
        <w:t>为生命周期阶段优先排序图，为改进方案提供了一个新的评估手段，即将改进方案按时间和空间进行排序。例如，生产阶段改进方案的优先度较高，因此该产品生产的环境影响相对较大。而产品包装阶段改进方案的优先度较低。</w:t>
      </w:r>
    </w:p>
    <w:p>
      <w:pPr>
        <w:spacing w:beforeLines="50" w:afterLines="50"/>
        <w:jc w:val="center"/>
        <w:rPr>
          <w:color w:val="auto"/>
        </w:rPr>
      </w:pPr>
      <w:r>
        <w:rPr>
          <w:color w:val="auto"/>
        </w:rPr>
        <w:drawing>
          <wp:inline distT="0" distB="0" distL="0" distR="0">
            <wp:extent cx="3800475" cy="1857375"/>
            <wp:effectExtent l="0" t="0" r="0" b="0"/>
            <wp:docPr id="6"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center"/>
        <w:rPr>
          <w:rFonts w:hAnsi="宋体"/>
          <w:color w:val="auto"/>
          <w:sz w:val="18"/>
          <w:szCs w:val="18"/>
        </w:rPr>
      </w:pPr>
      <w:r>
        <w:rPr>
          <w:rFonts w:hint="eastAsia" w:ascii="黑体" w:hAnsi="黑体" w:eastAsia="黑体"/>
          <w:color w:val="auto"/>
          <w:sz w:val="18"/>
          <w:szCs w:val="18"/>
        </w:rPr>
        <w:t>注：</w:t>
      </w:r>
      <w:r>
        <w:rPr>
          <w:rFonts w:hint="eastAsia" w:hAnsi="宋体"/>
          <w:color w:val="auto"/>
          <w:sz w:val="18"/>
          <w:szCs w:val="18"/>
        </w:rPr>
        <w:t>横轴上对应的是关于生产（</w:t>
      </w:r>
      <w:r>
        <w:rPr>
          <w:rFonts w:hAnsi="宋体"/>
          <w:color w:val="auto"/>
          <w:sz w:val="18"/>
          <w:szCs w:val="18"/>
        </w:rPr>
        <w:t>M</w:t>
      </w:r>
      <w:r>
        <w:rPr>
          <w:rFonts w:hint="eastAsia" w:hAnsi="宋体"/>
          <w:color w:val="auto"/>
          <w:sz w:val="18"/>
          <w:szCs w:val="18"/>
        </w:rPr>
        <w:t>）、设计（</w:t>
      </w:r>
      <w:r>
        <w:rPr>
          <w:rFonts w:hAnsi="宋体"/>
          <w:color w:val="auto"/>
          <w:sz w:val="18"/>
          <w:szCs w:val="18"/>
        </w:rPr>
        <w:t>D</w:t>
      </w:r>
      <w:r>
        <w:rPr>
          <w:rFonts w:hint="eastAsia" w:hAnsi="宋体"/>
          <w:color w:val="auto"/>
          <w:sz w:val="18"/>
          <w:szCs w:val="18"/>
        </w:rPr>
        <w:t>）和管理（</w:t>
      </w:r>
      <w:r>
        <w:rPr>
          <w:rFonts w:hAnsi="宋体"/>
          <w:color w:val="auto"/>
          <w:sz w:val="18"/>
          <w:szCs w:val="18"/>
        </w:rPr>
        <w:t>MG</w:t>
      </w:r>
      <w:r>
        <w:rPr>
          <w:rFonts w:hint="eastAsia" w:hAnsi="宋体"/>
          <w:color w:val="auto"/>
          <w:sz w:val="18"/>
          <w:szCs w:val="18"/>
        </w:rPr>
        <w:t>）的改进方案；纵轴上，数字越大表明优先度越高。</w:t>
      </w:r>
    </w:p>
    <w:p>
      <w:pPr>
        <w:spacing w:beforeLines="50" w:afterLines="50"/>
        <w:jc w:val="center"/>
        <w:rPr>
          <w:rFonts w:ascii="黑体" w:hAnsi="黑体" w:eastAsia="黑体"/>
          <w:color w:val="auto"/>
          <w:szCs w:val="21"/>
        </w:rPr>
      </w:pPr>
      <w:r>
        <w:rPr>
          <w:rFonts w:hint="eastAsia" w:ascii="黑体" w:hAnsi="黑体" w:eastAsia="黑体"/>
          <w:color w:val="auto"/>
          <w:szCs w:val="21"/>
        </w:rPr>
        <w:t>图B</w:t>
      </w:r>
      <w:r>
        <w:rPr>
          <w:rFonts w:ascii="黑体" w:hAnsi="黑体" w:eastAsia="黑体"/>
          <w:color w:val="auto"/>
          <w:szCs w:val="21"/>
        </w:rPr>
        <w:t xml:space="preserve">.1  </w:t>
      </w:r>
      <w:r>
        <w:rPr>
          <w:rFonts w:hint="eastAsia" w:ascii="黑体" w:hAnsi="黑体" w:eastAsia="黑体"/>
          <w:color w:val="auto"/>
          <w:szCs w:val="21"/>
        </w:rPr>
        <w:t>铜及铜合金带材产品改进方案的实施者优先排序图</w:t>
      </w:r>
    </w:p>
    <w:p>
      <w:pPr>
        <w:spacing w:beforeLines="50" w:afterLines="50"/>
        <w:jc w:val="center"/>
        <w:rPr>
          <w:rFonts w:ascii="黑体" w:hAnsi="黑体" w:eastAsia="黑体"/>
          <w:color w:val="auto"/>
          <w:szCs w:val="21"/>
        </w:rPr>
      </w:pPr>
      <w:r>
        <w:rPr>
          <w:rFonts w:ascii="黑体" w:hAnsi="黑体" w:eastAsia="黑体"/>
          <w:color w:val="auto"/>
          <w:szCs w:val="21"/>
        </w:rPr>
        <w:drawing>
          <wp:inline distT="0" distB="0" distL="0" distR="0">
            <wp:extent cx="3533775" cy="2209800"/>
            <wp:effectExtent l="0" t="0" r="0" b="0"/>
            <wp:docPr id="7"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360"/>
        <w:jc w:val="center"/>
        <w:rPr>
          <w:rFonts w:hAnsi="宋体"/>
          <w:color w:val="auto"/>
          <w:sz w:val="18"/>
          <w:szCs w:val="18"/>
        </w:rPr>
      </w:pPr>
      <w:r>
        <w:rPr>
          <w:rFonts w:hint="eastAsia" w:ascii="黑体" w:hAnsi="黑体" w:eastAsia="黑体"/>
          <w:color w:val="auto"/>
          <w:sz w:val="18"/>
          <w:szCs w:val="18"/>
        </w:rPr>
        <w:t>注：</w:t>
      </w:r>
      <w:r>
        <w:rPr>
          <w:rFonts w:hint="eastAsia" w:hAnsi="宋体"/>
          <w:color w:val="auto"/>
          <w:sz w:val="18"/>
          <w:szCs w:val="18"/>
        </w:rPr>
        <w:t>每个柱状图下方代码的第一个数字表示相应的生命周期阶段，第二个数字表示改进方案的序号。</w:t>
      </w:r>
    </w:p>
    <w:p>
      <w:pPr>
        <w:spacing w:beforeLines="50" w:afterLines="50"/>
        <w:jc w:val="center"/>
        <w:rPr>
          <w:rFonts w:ascii="黑体" w:hAnsi="黑体" w:eastAsia="黑体"/>
          <w:color w:val="auto"/>
          <w:szCs w:val="21"/>
        </w:rPr>
      </w:pPr>
      <w:r>
        <w:rPr>
          <w:rFonts w:ascii="黑体" w:hAnsi="黑体" w:eastAsia="黑体"/>
          <w:color w:val="auto"/>
          <w:szCs w:val="21"/>
        </w:rPr>
        <w:pict>
          <v:shape id="_x0000_s1367" o:spid="_x0000_s1367" o:spt="32" type="#_x0000_t32" style="position:absolute;left:0pt;margin-left:159.35pt;margin-top:40.85pt;height:0pt;width:162.75pt;z-index:251700224;mso-width-relative:page;mso-height-relative:page;" o:connectortype="straight" filled="f" coordsize="21600,21600">
            <v:path arrowok="t"/>
            <v:fill on="f" focussize="0,0"/>
            <v:stroke weight="1.75pt"/>
            <v:imagedata o:title=""/>
            <o:lock v:ext="edit"/>
          </v:shape>
        </w:pict>
      </w:r>
      <w:r>
        <w:rPr>
          <w:rFonts w:hint="eastAsia" w:ascii="黑体" w:hAnsi="黑体" w:eastAsia="黑体"/>
          <w:color w:val="auto"/>
          <w:szCs w:val="21"/>
        </w:rPr>
        <w:t>图B</w:t>
      </w:r>
      <w:r>
        <w:rPr>
          <w:rFonts w:ascii="黑体" w:hAnsi="黑体" w:eastAsia="黑体"/>
          <w:color w:val="auto"/>
          <w:szCs w:val="21"/>
        </w:rPr>
        <w:t xml:space="preserve">.1  </w:t>
      </w:r>
      <w:r>
        <w:rPr>
          <w:rFonts w:hint="eastAsia" w:ascii="黑体" w:hAnsi="黑体" w:eastAsia="黑体"/>
          <w:color w:val="auto"/>
          <w:szCs w:val="21"/>
        </w:rPr>
        <w:t>铜及铜合金带材产品改进方案的生命周期阶段优先排序</w:t>
      </w:r>
    </w:p>
    <w:p>
      <w:pPr>
        <w:widowControl/>
        <w:jc w:val="center"/>
        <w:rPr>
          <w:rFonts w:ascii="黑体" w:hAnsi="黑体" w:eastAsia="黑体"/>
          <w:color w:val="auto"/>
          <w:szCs w:val="21"/>
        </w:rPr>
      </w:pPr>
    </w:p>
    <w:p>
      <w:pPr>
        <w:widowControl/>
        <w:jc w:val="center"/>
        <w:rPr>
          <w:rFonts w:ascii="黑体" w:hAnsi="黑体" w:eastAsia="黑体"/>
          <w:color w:val="auto"/>
          <w:szCs w:val="21"/>
        </w:rPr>
      </w:pPr>
    </w:p>
    <w:p>
      <w:pPr>
        <w:widowControl/>
        <w:jc w:val="center"/>
        <w:rPr>
          <w:rFonts w:ascii="黑体" w:hAnsi="黑体" w:eastAsia="黑体"/>
          <w:color w:val="auto"/>
          <w:szCs w:val="21"/>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Cambria">
    <w:panose1 w:val="02040503050406030204"/>
    <w:charset w:val="00"/>
    <w:family w:val="roman"/>
    <w:pitch w:val="default"/>
    <w:sig w:usb0="A00002EF" w:usb1="4000004B" w:usb2="00000000" w:usb3="00000000" w:csb0="2000009F" w:csb1="00000000"/>
  </w:font>
  <w:font w:name="Cambria Math">
    <w:panose1 w:val="02040503050406030204"/>
    <w:charset w:val="00"/>
    <w:family w:val="roman"/>
    <w:pitch w:val="default"/>
    <w:sig w:usb0="A00002EF" w:usb1="420020E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045"/>
    <w:multiLevelType w:val="multilevel"/>
    <w:tmpl w:val="11603045"/>
    <w:lvl w:ilvl="0" w:tentative="0">
      <w:start w:val="1"/>
      <w:numFmt w:val="lowerLetter"/>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167116AE"/>
    <w:multiLevelType w:val="multilevel"/>
    <w:tmpl w:val="167116A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227FBD"/>
    <w:multiLevelType w:val="multilevel"/>
    <w:tmpl w:val="1F227F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1AD037C"/>
    <w:multiLevelType w:val="multilevel"/>
    <w:tmpl w:val="31AD037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2D80D66"/>
    <w:multiLevelType w:val="multilevel"/>
    <w:tmpl w:val="42D80D66"/>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04E04E2"/>
    <w:multiLevelType w:val="multilevel"/>
    <w:tmpl w:val="504E04E2"/>
    <w:lvl w:ilvl="0" w:tentative="0">
      <w:start w:val="1"/>
      <w:numFmt w:val="lowerLetter"/>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CCB5D51"/>
    <w:multiLevelType w:val="multilevel"/>
    <w:tmpl w:val="7CCB5D51"/>
    <w:lvl w:ilvl="0" w:tentative="0">
      <w:start w:val="1"/>
      <w:numFmt w:val="lowerLetter"/>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3B32"/>
    <w:rsid w:val="00000899"/>
    <w:rsid w:val="00002C81"/>
    <w:rsid w:val="0000483E"/>
    <w:rsid w:val="0000533A"/>
    <w:rsid w:val="00006069"/>
    <w:rsid w:val="00006FED"/>
    <w:rsid w:val="0000734E"/>
    <w:rsid w:val="000117E9"/>
    <w:rsid w:val="000119A5"/>
    <w:rsid w:val="0001287D"/>
    <w:rsid w:val="00013051"/>
    <w:rsid w:val="00013700"/>
    <w:rsid w:val="00014230"/>
    <w:rsid w:val="000142A3"/>
    <w:rsid w:val="0001434A"/>
    <w:rsid w:val="000146E1"/>
    <w:rsid w:val="00015683"/>
    <w:rsid w:val="00015B66"/>
    <w:rsid w:val="00016452"/>
    <w:rsid w:val="0001675F"/>
    <w:rsid w:val="00016C1B"/>
    <w:rsid w:val="000174E9"/>
    <w:rsid w:val="00017703"/>
    <w:rsid w:val="00020B8D"/>
    <w:rsid w:val="00020E6C"/>
    <w:rsid w:val="00021019"/>
    <w:rsid w:val="00025C36"/>
    <w:rsid w:val="000264D3"/>
    <w:rsid w:val="000266D5"/>
    <w:rsid w:val="00026A95"/>
    <w:rsid w:val="00026B44"/>
    <w:rsid w:val="00026C0C"/>
    <w:rsid w:val="00027FE8"/>
    <w:rsid w:val="000312D7"/>
    <w:rsid w:val="00032958"/>
    <w:rsid w:val="00033231"/>
    <w:rsid w:val="00033C9E"/>
    <w:rsid w:val="00035A30"/>
    <w:rsid w:val="000362EA"/>
    <w:rsid w:val="0003648A"/>
    <w:rsid w:val="000370C9"/>
    <w:rsid w:val="000376FC"/>
    <w:rsid w:val="00041459"/>
    <w:rsid w:val="00042178"/>
    <w:rsid w:val="000425E5"/>
    <w:rsid w:val="0004347B"/>
    <w:rsid w:val="00043943"/>
    <w:rsid w:val="000442C8"/>
    <w:rsid w:val="000446F9"/>
    <w:rsid w:val="00044BFC"/>
    <w:rsid w:val="000455CD"/>
    <w:rsid w:val="000459EC"/>
    <w:rsid w:val="000467FE"/>
    <w:rsid w:val="00047256"/>
    <w:rsid w:val="00047897"/>
    <w:rsid w:val="00047C97"/>
    <w:rsid w:val="000538E0"/>
    <w:rsid w:val="00053978"/>
    <w:rsid w:val="000543AE"/>
    <w:rsid w:val="00056B2E"/>
    <w:rsid w:val="00057549"/>
    <w:rsid w:val="00060E9C"/>
    <w:rsid w:val="00061906"/>
    <w:rsid w:val="00061971"/>
    <w:rsid w:val="00061A95"/>
    <w:rsid w:val="00061BAC"/>
    <w:rsid w:val="00062BA9"/>
    <w:rsid w:val="000630E4"/>
    <w:rsid w:val="0006311A"/>
    <w:rsid w:val="000632D5"/>
    <w:rsid w:val="000634E4"/>
    <w:rsid w:val="00063B29"/>
    <w:rsid w:val="00063E72"/>
    <w:rsid w:val="000647B0"/>
    <w:rsid w:val="000647D1"/>
    <w:rsid w:val="000648D5"/>
    <w:rsid w:val="00065BDC"/>
    <w:rsid w:val="00065EA2"/>
    <w:rsid w:val="000661DC"/>
    <w:rsid w:val="0006634E"/>
    <w:rsid w:val="00067D11"/>
    <w:rsid w:val="00067F99"/>
    <w:rsid w:val="0007025D"/>
    <w:rsid w:val="0007113B"/>
    <w:rsid w:val="00072938"/>
    <w:rsid w:val="00072B7E"/>
    <w:rsid w:val="00073EA4"/>
    <w:rsid w:val="00074BD0"/>
    <w:rsid w:val="00075228"/>
    <w:rsid w:val="00076905"/>
    <w:rsid w:val="00083504"/>
    <w:rsid w:val="00083671"/>
    <w:rsid w:val="0008536C"/>
    <w:rsid w:val="0008539E"/>
    <w:rsid w:val="0008748A"/>
    <w:rsid w:val="00087579"/>
    <w:rsid w:val="00090B55"/>
    <w:rsid w:val="000941E3"/>
    <w:rsid w:val="00094539"/>
    <w:rsid w:val="0009564E"/>
    <w:rsid w:val="000956AA"/>
    <w:rsid w:val="00095716"/>
    <w:rsid w:val="00095B00"/>
    <w:rsid w:val="000968E7"/>
    <w:rsid w:val="000A25DA"/>
    <w:rsid w:val="000A2674"/>
    <w:rsid w:val="000A46E3"/>
    <w:rsid w:val="000A68B0"/>
    <w:rsid w:val="000A68DC"/>
    <w:rsid w:val="000B0288"/>
    <w:rsid w:val="000B11F5"/>
    <w:rsid w:val="000B12AD"/>
    <w:rsid w:val="000B20B2"/>
    <w:rsid w:val="000B20BA"/>
    <w:rsid w:val="000B224C"/>
    <w:rsid w:val="000B7AD1"/>
    <w:rsid w:val="000C2E3D"/>
    <w:rsid w:val="000C4435"/>
    <w:rsid w:val="000C5312"/>
    <w:rsid w:val="000C5C7C"/>
    <w:rsid w:val="000C7BE6"/>
    <w:rsid w:val="000D004B"/>
    <w:rsid w:val="000D146E"/>
    <w:rsid w:val="000D255F"/>
    <w:rsid w:val="000D2968"/>
    <w:rsid w:val="000D3C54"/>
    <w:rsid w:val="000D419A"/>
    <w:rsid w:val="000D54C8"/>
    <w:rsid w:val="000D6C50"/>
    <w:rsid w:val="000D6D1B"/>
    <w:rsid w:val="000E0E5D"/>
    <w:rsid w:val="000E12A2"/>
    <w:rsid w:val="000E239B"/>
    <w:rsid w:val="000E2F2B"/>
    <w:rsid w:val="000E398D"/>
    <w:rsid w:val="000E3BE4"/>
    <w:rsid w:val="000E5601"/>
    <w:rsid w:val="000E5B35"/>
    <w:rsid w:val="000E7291"/>
    <w:rsid w:val="000E7398"/>
    <w:rsid w:val="000E7492"/>
    <w:rsid w:val="000E75F6"/>
    <w:rsid w:val="000E7A5B"/>
    <w:rsid w:val="000F0726"/>
    <w:rsid w:val="000F11AA"/>
    <w:rsid w:val="000F1217"/>
    <w:rsid w:val="000F21CD"/>
    <w:rsid w:val="000F2931"/>
    <w:rsid w:val="000F60BA"/>
    <w:rsid w:val="000F794C"/>
    <w:rsid w:val="000F7EE8"/>
    <w:rsid w:val="0010164F"/>
    <w:rsid w:val="00103151"/>
    <w:rsid w:val="00103B79"/>
    <w:rsid w:val="00103F5A"/>
    <w:rsid w:val="001043C6"/>
    <w:rsid w:val="00104B6F"/>
    <w:rsid w:val="00104CB4"/>
    <w:rsid w:val="001065A7"/>
    <w:rsid w:val="001078AC"/>
    <w:rsid w:val="00107C0C"/>
    <w:rsid w:val="0011080B"/>
    <w:rsid w:val="00112E27"/>
    <w:rsid w:val="001133B5"/>
    <w:rsid w:val="0011342C"/>
    <w:rsid w:val="001169BC"/>
    <w:rsid w:val="001172DB"/>
    <w:rsid w:val="0011791C"/>
    <w:rsid w:val="0011799D"/>
    <w:rsid w:val="00117A27"/>
    <w:rsid w:val="00120A35"/>
    <w:rsid w:val="00120FE8"/>
    <w:rsid w:val="00121309"/>
    <w:rsid w:val="001215B6"/>
    <w:rsid w:val="00121F49"/>
    <w:rsid w:val="0012253A"/>
    <w:rsid w:val="00122E35"/>
    <w:rsid w:val="001232F4"/>
    <w:rsid w:val="00123CA5"/>
    <w:rsid w:val="00124D4F"/>
    <w:rsid w:val="00125817"/>
    <w:rsid w:val="00125A06"/>
    <w:rsid w:val="00125CAC"/>
    <w:rsid w:val="00126111"/>
    <w:rsid w:val="00126555"/>
    <w:rsid w:val="001268D7"/>
    <w:rsid w:val="00130CC9"/>
    <w:rsid w:val="001332BA"/>
    <w:rsid w:val="001333D7"/>
    <w:rsid w:val="001336EA"/>
    <w:rsid w:val="001339D8"/>
    <w:rsid w:val="0013566C"/>
    <w:rsid w:val="001360C1"/>
    <w:rsid w:val="0013747B"/>
    <w:rsid w:val="00137AB0"/>
    <w:rsid w:val="00140EAA"/>
    <w:rsid w:val="001421CF"/>
    <w:rsid w:val="001426FD"/>
    <w:rsid w:val="00142C75"/>
    <w:rsid w:val="00143A39"/>
    <w:rsid w:val="00145147"/>
    <w:rsid w:val="00145188"/>
    <w:rsid w:val="001455A0"/>
    <w:rsid w:val="00145B77"/>
    <w:rsid w:val="00145EE0"/>
    <w:rsid w:val="00147379"/>
    <w:rsid w:val="00147858"/>
    <w:rsid w:val="001502D3"/>
    <w:rsid w:val="001509B6"/>
    <w:rsid w:val="0015114D"/>
    <w:rsid w:val="001517E4"/>
    <w:rsid w:val="00151B5C"/>
    <w:rsid w:val="00151DFA"/>
    <w:rsid w:val="001520FD"/>
    <w:rsid w:val="001529A5"/>
    <w:rsid w:val="00152A50"/>
    <w:rsid w:val="00152CEE"/>
    <w:rsid w:val="00152F27"/>
    <w:rsid w:val="001531DA"/>
    <w:rsid w:val="00153D83"/>
    <w:rsid w:val="00154924"/>
    <w:rsid w:val="0015770D"/>
    <w:rsid w:val="001601BA"/>
    <w:rsid w:val="0016143F"/>
    <w:rsid w:val="00161FB3"/>
    <w:rsid w:val="00162FCD"/>
    <w:rsid w:val="00164041"/>
    <w:rsid w:val="00164320"/>
    <w:rsid w:val="0016453D"/>
    <w:rsid w:val="00165B11"/>
    <w:rsid w:val="00167FF7"/>
    <w:rsid w:val="001710BE"/>
    <w:rsid w:val="001728AD"/>
    <w:rsid w:val="00172B92"/>
    <w:rsid w:val="00172D42"/>
    <w:rsid w:val="00173330"/>
    <w:rsid w:val="0017441C"/>
    <w:rsid w:val="00174BF2"/>
    <w:rsid w:val="00175584"/>
    <w:rsid w:val="00175F20"/>
    <w:rsid w:val="00176B52"/>
    <w:rsid w:val="00176BBF"/>
    <w:rsid w:val="0017788A"/>
    <w:rsid w:val="00181B77"/>
    <w:rsid w:val="00181FDF"/>
    <w:rsid w:val="00183DBE"/>
    <w:rsid w:val="00183F8C"/>
    <w:rsid w:val="00184980"/>
    <w:rsid w:val="00184A11"/>
    <w:rsid w:val="00184A3E"/>
    <w:rsid w:val="00185294"/>
    <w:rsid w:val="0018603D"/>
    <w:rsid w:val="00186327"/>
    <w:rsid w:val="001866BE"/>
    <w:rsid w:val="001868B2"/>
    <w:rsid w:val="0019009D"/>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113"/>
    <w:rsid w:val="001B1F37"/>
    <w:rsid w:val="001B2C2D"/>
    <w:rsid w:val="001B2EA2"/>
    <w:rsid w:val="001B3014"/>
    <w:rsid w:val="001B548E"/>
    <w:rsid w:val="001B60B0"/>
    <w:rsid w:val="001B6C1B"/>
    <w:rsid w:val="001B7E54"/>
    <w:rsid w:val="001C010F"/>
    <w:rsid w:val="001C025D"/>
    <w:rsid w:val="001C0310"/>
    <w:rsid w:val="001C1800"/>
    <w:rsid w:val="001C1A61"/>
    <w:rsid w:val="001C1C7F"/>
    <w:rsid w:val="001C3BD9"/>
    <w:rsid w:val="001C3C44"/>
    <w:rsid w:val="001C410E"/>
    <w:rsid w:val="001C5D35"/>
    <w:rsid w:val="001C5F5B"/>
    <w:rsid w:val="001C63FA"/>
    <w:rsid w:val="001C6400"/>
    <w:rsid w:val="001C64E2"/>
    <w:rsid w:val="001C6F15"/>
    <w:rsid w:val="001D03C0"/>
    <w:rsid w:val="001D0985"/>
    <w:rsid w:val="001D0B88"/>
    <w:rsid w:val="001D143F"/>
    <w:rsid w:val="001D1CBF"/>
    <w:rsid w:val="001D248F"/>
    <w:rsid w:val="001D29BF"/>
    <w:rsid w:val="001D2E17"/>
    <w:rsid w:val="001D3A88"/>
    <w:rsid w:val="001D3C94"/>
    <w:rsid w:val="001D3D47"/>
    <w:rsid w:val="001D4C7B"/>
    <w:rsid w:val="001D50AF"/>
    <w:rsid w:val="001D76C5"/>
    <w:rsid w:val="001E0750"/>
    <w:rsid w:val="001E1C8D"/>
    <w:rsid w:val="001E256C"/>
    <w:rsid w:val="001E2613"/>
    <w:rsid w:val="001E3238"/>
    <w:rsid w:val="001E35D2"/>
    <w:rsid w:val="001E5CB5"/>
    <w:rsid w:val="001E7143"/>
    <w:rsid w:val="001E77A0"/>
    <w:rsid w:val="001F03BE"/>
    <w:rsid w:val="001F0597"/>
    <w:rsid w:val="001F0609"/>
    <w:rsid w:val="001F1028"/>
    <w:rsid w:val="001F18F7"/>
    <w:rsid w:val="001F21E5"/>
    <w:rsid w:val="001F2746"/>
    <w:rsid w:val="001F3BE7"/>
    <w:rsid w:val="001F4570"/>
    <w:rsid w:val="001F64BD"/>
    <w:rsid w:val="001F7AA9"/>
    <w:rsid w:val="001F7D16"/>
    <w:rsid w:val="001F7D87"/>
    <w:rsid w:val="001F7F3B"/>
    <w:rsid w:val="002007E1"/>
    <w:rsid w:val="00201486"/>
    <w:rsid w:val="00201957"/>
    <w:rsid w:val="002028F6"/>
    <w:rsid w:val="00202F21"/>
    <w:rsid w:val="00203301"/>
    <w:rsid w:val="00203916"/>
    <w:rsid w:val="00204E1B"/>
    <w:rsid w:val="00205696"/>
    <w:rsid w:val="00205CD7"/>
    <w:rsid w:val="00210806"/>
    <w:rsid w:val="00211DAA"/>
    <w:rsid w:val="00212482"/>
    <w:rsid w:val="00212C2F"/>
    <w:rsid w:val="00213CB8"/>
    <w:rsid w:val="002144C2"/>
    <w:rsid w:val="002149D3"/>
    <w:rsid w:val="00214A74"/>
    <w:rsid w:val="00215CF2"/>
    <w:rsid w:val="00217EB2"/>
    <w:rsid w:val="00220240"/>
    <w:rsid w:val="0022175C"/>
    <w:rsid w:val="00221A02"/>
    <w:rsid w:val="00221D88"/>
    <w:rsid w:val="002229A4"/>
    <w:rsid w:val="002231E7"/>
    <w:rsid w:val="002236CF"/>
    <w:rsid w:val="0022398D"/>
    <w:rsid w:val="002252C9"/>
    <w:rsid w:val="00225576"/>
    <w:rsid w:val="00230C35"/>
    <w:rsid w:val="00231422"/>
    <w:rsid w:val="00231F61"/>
    <w:rsid w:val="002320C8"/>
    <w:rsid w:val="00233025"/>
    <w:rsid w:val="00233226"/>
    <w:rsid w:val="00233A1C"/>
    <w:rsid w:val="00233A46"/>
    <w:rsid w:val="0023455B"/>
    <w:rsid w:val="00234A4C"/>
    <w:rsid w:val="00234F74"/>
    <w:rsid w:val="00234FE4"/>
    <w:rsid w:val="00235328"/>
    <w:rsid w:val="00235557"/>
    <w:rsid w:val="002356F0"/>
    <w:rsid w:val="00240448"/>
    <w:rsid w:val="002419A8"/>
    <w:rsid w:val="00241DDD"/>
    <w:rsid w:val="00246A1A"/>
    <w:rsid w:val="00251244"/>
    <w:rsid w:val="00251FCE"/>
    <w:rsid w:val="00252378"/>
    <w:rsid w:val="002531B1"/>
    <w:rsid w:val="0025380C"/>
    <w:rsid w:val="002545D2"/>
    <w:rsid w:val="00255C64"/>
    <w:rsid w:val="00257678"/>
    <w:rsid w:val="002601E8"/>
    <w:rsid w:val="00260A33"/>
    <w:rsid w:val="00260CFE"/>
    <w:rsid w:val="0026166B"/>
    <w:rsid w:val="00261F9E"/>
    <w:rsid w:val="00262614"/>
    <w:rsid w:val="00262CCF"/>
    <w:rsid w:val="00262E37"/>
    <w:rsid w:val="0026368F"/>
    <w:rsid w:val="00263946"/>
    <w:rsid w:val="00264E80"/>
    <w:rsid w:val="002653CB"/>
    <w:rsid w:val="002662BE"/>
    <w:rsid w:val="00267B20"/>
    <w:rsid w:val="00271A24"/>
    <w:rsid w:val="00271DBB"/>
    <w:rsid w:val="002727E2"/>
    <w:rsid w:val="002727F2"/>
    <w:rsid w:val="002751D5"/>
    <w:rsid w:val="00275693"/>
    <w:rsid w:val="00276418"/>
    <w:rsid w:val="002766E1"/>
    <w:rsid w:val="00277D55"/>
    <w:rsid w:val="00277DE9"/>
    <w:rsid w:val="00280742"/>
    <w:rsid w:val="00281A43"/>
    <w:rsid w:val="00284830"/>
    <w:rsid w:val="00285255"/>
    <w:rsid w:val="00286C81"/>
    <w:rsid w:val="002870F4"/>
    <w:rsid w:val="00292B85"/>
    <w:rsid w:val="002931B8"/>
    <w:rsid w:val="00293432"/>
    <w:rsid w:val="00293797"/>
    <w:rsid w:val="0029754A"/>
    <w:rsid w:val="002A087A"/>
    <w:rsid w:val="002A119B"/>
    <w:rsid w:val="002A1239"/>
    <w:rsid w:val="002A1596"/>
    <w:rsid w:val="002A1CE1"/>
    <w:rsid w:val="002A1E83"/>
    <w:rsid w:val="002A2F22"/>
    <w:rsid w:val="002A39FC"/>
    <w:rsid w:val="002A3FE2"/>
    <w:rsid w:val="002A4050"/>
    <w:rsid w:val="002A477A"/>
    <w:rsid w:val="002A4790"/>
    <w:rsid w:val="002A52DB"/>
    <w:rsid w:val="002A5373"/>
    <w:rsid w:val="002A61D8"/>
    <w:rsid w:val="002A6AF8"/>
    <w:rsid w:val="002A7451"/>
    <w:rsid w:val="002B0BEE"/>
    <w:rsid w:val="002B12B9"/>
    <w:rsid w:val="002B147B"/>
    <w:rsid w:val="002B1C35"/>
    <w:rsid w:val="002B2BCB"/>
    <w:rsid w:val="002B33F4"/>
    <w:rsid w:val="002B351D"/>
    <w:rsid w:val="002B399B"/>
    <w:rsid w:val="002B3D28"/>
    <w:rsid w:val="002B45E4"/>
    <w:rsid w:val="002B4A70"/>
    <w:rsid w:val="002B5E7C"/>
    <w:rsid w:val="002B6673"/>
    <w:rsid w:val="002B6C88"/>
    <w:rsid w:val="002C1217"/>
    <w:rsid w:val="002C455D"/>
    <w:rsid w:val="002C6308"/>
    <w:rsid w:val="002C7497"/>
    <w:rsid w:val="002C7E20"/>
    <w:rsid w:val="002D022D"/>
    <w:rsid w:val="002D05F3"/>
    <w:rsid w:val="002D16DB"/>
    <w:rsid w:val="002D29B7"/>
    <w:rsid w:val="002D2D1A"/>
    <w:rsid w:val="002D615B"/>
    <w:rsid w:val="002D6F42"/>
    <w:rsid w:val="002D75D7"/>
    <w:rsid w:val="002E24A0"/>
    <w:rsid w:val="002E34A8"/>
    <w:rsid w:val="002E3C9C"/>
    <w:rsid w:val="002E49FC"/>
    <w:rsid w:val="002E57EE"/>
    <w:rsid w:val="002E6632"/>
    <w:rsid w:val="002E7402"/>
    <w:rsid w:val="002E743E"/>
    <w:rsid w:val="002F0868"/>
    <w:rsid w:val="002F0A63"/>
    <w:rsid w:val="002F18EC"/>
    <w:rsid w:val="002F3E1F"/>
    <w:rsid w:val="002F3FA9"/>
    <w:rsid w:val="002F43B5"/>
    <w:rsid w:val="002F47B1"/>
    <w:rsid w:val="002F56D7"/>
    <w:rsid w:val="002F6351"/>
    <w:rsid w:val="002F6E9F"/>
    <w:rsid w:val="002F7378"/>
    <w:rsid w:val="002F7A32"/>
    <w:rsid w:val="002F7A43"/>
    <w:rsid w:val="00300AFD"/>
    <w:rsid w:val="00301047"/>
    <w:rsid w:val="00302ADB"/>
    <w:rsid w:val="0030366B"/>
    <w:rsid w:val="00304AE0"/>
    <w:rsid w:val="00305483"/>
    <w:rsid w:val="003058A9"/>
    <w:rsid w:val="00306204"/>
    <w:rsid w:val="00310C92"/>
    <w:rsid w:val="00311726"/>
    <w:rsid w:val="00311A03"/>
    <w:rsid w:val="00311EF2"/>
    <w:rsid w:val="00321BF3"/>
    <w:rsid w:val="003222DE"/>
    <w:rsid w:val="00322431"/>
    <w:rsid w:val="00323A14"/>
    <w:rsid w:val="00324212"/>
    <w:rsid w:val="00324BE9"/>
    <w:rsid w:val="00325D02"/>
    <w:rsid w:val="00326E25"/>
    <w:rsid w:val="00327190"/>
    <w:rsid w:val="00327C26"/>
    <w:rsid w:val="00330FCE"/>
    <w:rsid w:val="0033114F"/>
    <w:rsid w:val="00332590"/>
    <w:rsid w:val="0033354F"/>
    <w:rsid w:val="00333650"/>
    <w:rsid w:val="003341F6"/>
    <w:rsid w:val="00334FD6"/>
    <w:rsid w:val="00337178"/>
    <w:rsid w:val="00337C4B"/>
    <w:rsid w:val="00340915"/>
    <w:rsid w:val="00340C08"/>
    <w:rsid w:val="00340C89"/>
    <w:rsid w:val="0034101B"/>
    <w:rsid w:val="00341EAD"/>
    <w:rsid w:val="00342889"/>
    <w:rsid w:val="0034335F"/>
    <w:rsid w:val="003434EC"/>
    <w:rsid w:val="0034452B"/>
    <w:rsid w:val="00344AA8"/>
    <w:rsid w:val="00345683"/>
    <w:rsid w:val="003458FE"/>
    <w:rsid w:val="00345E08"/>
    <w:rsid w:val="00350386"/>
    <w:rsid w:val="00350918"/>
    <w:rsid w:val="00350FC0"/>
    <w:rsid w:val="003520BC"/>
    <w:rsid w:val="00352D6E"/>
    <w:rsid w:val="00353079"/>
    <w:rsid w:val="003530CC"/>
    <w:rsid w:val="00353342"/>
    <w:rsid w:val="00353EE8"/>
    <w:rsid w:val="00354C4A"/>
    <w:rsid w:val="0035503B"/>
    <w:rsid w:val="00357AB2"/>
    <w:rsid w:val="0036126F"/>
    <w:rsid w:val="0036236D"/>
    <w:rsid w:val="00362BC1"/>
    <w:rsid w:val="003638A6"/>
    <w:rsid w:val="00364E6D"/>
    <w:rsid w:val="0036516E"/>
    <w:rsid w:val="0036648C"/>
    <w:rsid w:val="0036699F"/>
    <w:rsid w:val="00366BBE"/>
    <w:rsid w:val="00366FAC"/>
    <w:rsid w:val="00366FD6"/>
    <w:rsid w:val="00370D90"/>
    <w:rsid w:val="00371312"/>
    <w:rsid w:val="003715B4"/>
    <w:rsid w:val="00371730"/>
    <w:rsid w:val="0037182E"/>
    <w:rsid w:val="00373517"/>
    <w:rsid w:val="00373AB6"/>
    <w:rsid w:val="0037462A"/>
    <w:rsid w:val="0037482D"/>
    <w:rsid w:val="003760C2"/>
    <w:rsid w:val="00376214"/>
    <w:rsid w:val="003764C4"/>
    <w:rsid w:val="00376A25"/>
    <w:rsid w:val="00376D7D"/>
    <w:rsid w:val="0038013C"/>
    <w:rsid w:val="0038064F"/>
    <w:rsid w:val="003807E6"/>
    <w:rsid w:val="003810D8"/>
    <w:rsid w:val="003829D3"/>
    <w:rsid w:val="003854A7"/>
    <w:rsid w:val="003856EE"/>
    <w:rsid w:val="0038591F"/>
    <w:rsid w:val="003859E4"/>
    <w:rsid w:val="00387C73"/>
    <w:rsid w:val="00390678"/>
    <w:rsid w:val="003907CF"/>
    <w:rsid w:val="00391D1B"/>
    <w:rsid w:val="00393611"/>
    <w:rsid w:val="00395D8B"/>
    <w:rsid w:val="003966FD"/>
    <w:rsid w:val="0039677C"/>
    <w:rsid w:val="00396A25"/>
    <w:rsid w:val="003979F4"/>
    <w:rsid w:val="003A004A"/>
    <w:rsid w:val="003A04F9"/>
    <w:rsid w:val="003A0805"/>
    <w:rsid w:val="003A0A71"/>
    <w:rsid w:val="003A0D28"/>
    <w:rsid w:val="003A0E43"/>
    <w:rsid w:val="003A0F8D"/>
    <w:rsid w:val="003A1FE3"/>
    <w:rsid w:val="003A226A"/>
    <w:rsid w:val="003A3735"/>
    <w:rsid w:val="003A3C95"/>
    <w:rsid w:val="003A5970"/>
    <w:rsid w:val="003B08DA"/>
    <w:rsid w:val="003B159B"/>
    <w:rsid w:val="003B1D01"/>
    <w:rsid w:val="003B2710"/>
    <w:rsid w:val="003B30B6"/>
    <w:rsid w:val="003B3142"/>
    <w:rsid w:val="003B5DA9"/>
    <w:rsid w:val="003B6502"/>
    <w:rsid w:val="003B6838"/>
    <w:rsid w:val="003B6C82"/>
    <w:rsid w:val="003B6CF7"/>
    <w:rsid w:val="003B6FED"/>
    <w:rsid w:val="003C0561"/>
    <w:rsid w:val="003C0C3F"/>
    <w:rsid w:val="003C1867"/>
    <w:rsid w:val="003C1DF8"/>
    <w:rsid w:val="003C259D"/>
    <w:rsid w:val="003C409D"/>
    <w:rsid w:val="003C4551"/>
    <w:rsid w:val="003C45CD"/>
    <w:rsid w:val="003C5329"/>
    <w:rsid w:val="003C5C50"/>
    <w:rsid w:val="003C736B"/>
    <w:rsid w:val="003D00B3"/>
    <w:rsid w:val="003D078B"/>
    <w:rsid w:val="003D1E53"/>
    <w:rsid w:val="003D23D7"/>
    <w:rsid w:val="003D241D"/>
    <w:rsid w:val="003D2D50"/>
    <w:rsid w:val="003D2E34"/>
    <w:rsid w:val="003D3021"/>
    <w:rsid w:val="003D3071"/>
    <w:rsid w:val="003D3408"/>
    <w:rsid w:val="003D3613"/>
    <w:rsid w:val="003D37B0"/>
    <w:rsid w:val="003D3AA4"/>
    <w:rsid w:val="003D3BDF"/>
    <w:rsid w:val="003D5AC2"/>
    <w:rsid w:val="003D6132"/>
    <w:rsid w:val="003D697A"/>
    <w:rsid w:val="003D70CD"/>
    <w:rsid w:val="003D763B"/>
    <w:rsid w:val="003D77DA"/>
    <w:rsid w:val="003E1850"/>
    <w:rsid w:val="003E28B7"/>
    <w:rsid w:val="003E57D1"/>
    <w:rsid w:val="003E5FBB"/>
    <w:rsid w:val="003E6ADF"/>
    <w:rsid w:val="003E6EF7"/>
    <w:rsid w:val="003F28D8"/>
    <w:rsid w:val="003F49C6"/>
    <w:rsid w:val="003F555E"/>
    <w:rsid w:val="003F614E"/>
    <w:rsid w:val="003F6EF2"/>
    <w:rsid w:val="003F7BA1"/>
    <w:rsid w:val="0040095B"/>
    <w:rsid w:val="00403378"/>
    <w:rsid w:val="00404FEF"/>
    <w:rsid w:val="00406567"/>
    <w:rsid w:val="0040765C"/>
    <w:rsid w:val="004076E2"/>
    <w:rsid w:val="0040773D"/>
    <w:rsid w:val="00407C11"/>
    <w:rsid w:val="00410088"/>
    <w:rsid w:val="004116FB"/>
    <w:rsid w:val="00412931"/>
    <w:rsid w:val="00414A71"/>
    <w:rsid w:val="004153B6"/>
    <w:rsid w:val="00416CCA"/>
    <w:rsid w:val="00416FB1"/>
    <w:rsid w:val="004177EC"/>
    <w:rsid w:val="00417CE4"/>
    <w:rsid w:val="00420063"/>
    <w:rsid w:val="00421809"/>
    <w:rsid w:val="00422048"/>
    <w:rsid w:val="00422C9F"/>
    <w:rsid w:val="00424370"/>
    <w:rsid w:val="00425D82"/>
    <w:rsid w:val="004261BD"/>
    <w:rsid w:val="004261D4"/>
    <w:rsid w:val="004273C2"/>
    <w:rsid w:val="00427873"/>
    <w:rsid w:val="00430126"/>
    <w:rsid w:val="004301D5"/>
    <w:rsid w:val="004304B8"/>
    <w:rsid w:val="00432144"/>
    <w:rsid w:val="00435E7B"/>
    <w:rsid w:val="004360EA"/>
    <w:rsid w:val="0043627F"/>
    <w:rsid w:val="0043704E"/>
    <w:rsid w:val="00440278"/>
    <w:rsid w:val="004404DD"/>
    <w:rsid w:val="004405DE"/>
    <w:rsid w:val="0044264F"/>
    <w:rsid w:val="00442AA5"/>
    <w:rsid w:val="0044332E"/>
    <w:rsid w:val="0044430B"/>
    <w:rsid w:val="00444E84"/>
    <w:rsid w:val="004453B1"/>
    <w:rsid w:val="004455BF"/>
    <w:rsid w:val="00445955"/>
    <w:rsid w:val="0044667C"/>
    <w:rsid w:val="00446C4C"/>
    <w:rsid w:val="0044702F"/>
    <w:rsid w:val="004514C8"/>
    <w:rsid w:val="00452906"/>
    <w:rsid w:val="004529DD"/>
    <w:rsid w:val="00452D65"/>
    <w:rsid w:val="00452DAC"/>
    <w:rsid w:val="00452F41"/>
    <w:rsid w:val="00453850"/>
    <w:rsid w:val="0045420C"/>
    <w:rsid w:val="00454EB1"/>
    <w:rsid w:val="00455A18"/>
    <w:rsid w:val="00455BA3"/>
    <w:rsid w:val="004561BE"/>
    <w:rsid w:val="004565BC"/>
    <w:rsid w:val="004576A5"/>
    <w:rsid w:val="00460C41"/>
    <w:rsid w:val="00460FA1"/>
    <w:rsid w:val="00461104"/>
    <w:rsid w:val="00462143"/>
    <w:rsid w:val="0046322F"/>
    <w:rsid w:val="004666E1"/>
    <w:rsid w:val="0046734F"/>
    <w:rsid w:val="004674C9"/>
    <w:rsid w:val="0047029C"/>
    <w:rsid w:val="004720CB"/>
    <w:rsid w:val="00472180"/>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5363"/>
    <w:rsid w:val="00485600"/>
    <w:rsid w:val="00485DEF"/>
    <w:rsid w:val="00486195"/>
    <w:rsid w:val="004863ED"/>
    <w:rsid w:val="00486436"/>
    <w:rsid w:val="004869D0"/>
    <w:rsid w:val="00487974"/>
    <w:rsid w:val="004900F7"/>
    <w:rsid w:val="00494307"/>
    <w:rsid w:val="004943AB"/>
    <w:rsid w:val="00495621"/>
    <w:rsid w:val="00495C7F"/>
    <w:rsid w:val="0049675F"/>
    <w:rsid w:val="00496CFF"/>
    <w:rsid w:val="00496EDB"/>
    <w:rsid w:val="00497207"/>
    <w:rsid w:val="004A0E2C"/>
    <w:rsid w:val="004A13E2"/>
    <w:rsid w:val="004A1953"/>
    <w:rsid w:val="004A28E4"/>
    <w:rsid w:val="004A4C9A"/>
    <w:rsid w:val="004A62A0"/>
    <w:rsid w:val="004B0BF7"/>
    <w:rsid w:val="004B0F1A"/>
    <w:rsid w:val="004B12D0"/>
    <w:rsid w:val="004B3527"/>
    <w:rsid w:val="004B5DC8"/>
    <w:rsid w:val="004C00A1"/>
    <w:rsid w:val="004C2032"/>
    <w:rsid w:val="004C5DDC"/>
    <w:rsid w:val="004C639B"/>
    <w:rsid w:val="004C7198"/>
    <w:rsid w:val="004C7324"/>
    <w:rsid w:val="004C75D3"/>
    <w:rsid w:val="004D0ACA"/>
    <w:rsid w:val="004D2908"/>
    <w:rsid w:val="004D29DA"/>
    <w:rsid w:val="004D32B9"/>
    <w:rsid w:val="004D3777"/>
    <w:rsid w:val="004D6651"/>
    <w:rsid w:val="004E053B"/>
    <w:rsid w:val="004E166F"/>
    <w:rsid w:val="004E1E35"/>
    <w:rsid w:val="004E353D"/>
    <w:rsid w:val="004E4B54"/>
    <w:rsid w:val="004E555F"/>
    <w:rsid w:val="004E59DE"/>
    <w:rsid w:val="004E6E7F"/>
    <w:rsid w:val="004F40C5"/>
    <w:rsid w:val="004F4C96"/>
    <w:rsid w:val="004F69A5"/>
    <w:rsid w:val="004F76C2"/>
    <w:rsid w:val="004F7C35"/>
    <w:rsid w:val="00500130"/>
    <w:rsid w:val="00500AD0"/>
    <w:rsid w:val="00501789"/>
    <w:rsid w:val="00502FE1"/>
    <w:rsid w:val="0050394C"/>
    <w:rsid w:val="00504978"/>
    <w:rsid w:val="0050730B"/>
    <w:rsid w:val="00511BD6"/>
    <w:rsid w:val="00512676"/>
    <w:rsid w:val="0051428E"/>
    <w:rsid w:val="00514467"/>
    <w:rsid w:val="0051476B"/>
    <w:rsid w:val="005147F3"/>
    <w:rsid w:val="00515082"/>
    <w:rsid w:val="00515D70"/>
    <w:rsid w:val="00517579"/>
    <w:rsid w:val="0051762B"/>
    <w:rsid w:val="005176CE"/>
    <w:rsid w:val="005200E9"/>
    <w:rsid w:val="00522BD3"/>
    <w:rsid w:val="00523B52"/>
    <w:rsid w:val="00523E5C"/>
    <w:rsid w:val="005254B4"/>
    <w:rsid w:val="00525782"/>
    <w:rsid w:val="005267EB"/>
    <w:rsid w:val="005269B1"/>
    <w:rsid w:val="00526A34"/>
    <w:rsid w:val="00526AAF"/>
    <w:rsid w:val="005276A6"/>
    <w:rsid w:val="00530F17"/>
    <w:rsid w:val="00531294"/>
    <w:rsid w:val="005315F9"/>
    <w:rsid w:val="00531C9A"/>
    <w:rsid w:val="00531DC8"/>
    <w:rsid w:val="00532265"/>
    <w:rsid w:val="00533A74"/>
    <w:rsid w:val="0053413C"/>
    <w:rsid w:val="00534433"/>
    <w:rsid w:val="00535449"/>
    <w:rsid w:val="005359A4"/>
    <w:rsid w:val="00536405"/>
    <w:rsid w:val="00536839"/>
    <w:rsid w:val="005376E5"/>
    <w:rsid w:val="00540BF2"/>
    <w:rsid w:val="005423DF"/>
    <w:rsid w:val="0054246B"/>
    <w:rsid w:val="005425CC"/>
    <w:rsid w:val="005446B5"/>
    <w:rsid w:val="005446F1"/>
    <w:rsid w:val="00544E4C"/>
    <w:rsid w:val="005452B7"/>
    <w:rsid w:val="005452FF"/>
    <w:rsid w:val="005464CA"/>
    <w:rsid w:val="00550372"/>
    <w:rsid w:val="00550C8A"/>
    <w:rsid w:val="00550D1E"/>
    <w:rsid w:val="00552199"/>
    <w:rsid w:val="0055331E"/>
    <w:rsid w:val="00553E38"/>
    <w:rsid w:val="00555B0F"/>
    <w:rsid w:val="005562D8"/>
    <w:rsid w:val="005565A6"/>
    <w:rsid w:val="00556997"/>
    <w:rsid w:val="00560378"/>
    <w:rsid w:val="00560E6A"/>
    <w:rsid w:val="00561B33"/>
    <w:rsid w:val="00563071"/>
    <w:rsid w:val="005640F3"/>
    <w:rsid w:val="00570F48"/>
    <w:rsid w:val="005710AE"/>
    <w:rsid w:val="00571AD0"/>
    <w:rsid w:val="005725C3"/>
    <w:rsid w:val="00573390"/>
    <w:rsid w:val="005757B3"/>
    <w:rsid w:val="00575C7E"/>
    <w:rsid w:val="0057681A"/>
    <w:rsid w:val="0057757C"/>
    <w:rsid w:val="00580514"/>
    <w:rsid w:val="0058145D"/>
    <w:rsid w:val="005820E0"/>
    <w:rsid w:val="00582510"/>
    <w:rsid w:val="00582834"/>
    <w:rsid w:val="005829BF"/>
    <w:rsid w:val="00582FD9"/>
    <w:rsid w:val="00583048"/>
    <w:rsid w:val="00583845"/>
    <w:rsid w:val="00583960"/>
    <w:rsid w:val="00583EDB"/>
    <w:rsid w:val="0058405A"/>
    <w:rsid w:val="005849A6"/>
    <w:rsid w:val="005859AF"/>
    <w:rsid w:val="00587685"/>
    <w:rsid w:val="00590629"/>
    <w:rsid w:val="00590E64"/>
    <w:rsid w:val="00590E7B"/>
    <w:rsid w:val="00591422"/>
    <w:rsid w:val="00591591"/>
    <w:rsid w:val="005921AA"/>
    <w:rsid w:val="0059369C"/>
    <w:rsid w:val="005939B2"/>
    <w:rsid w:val="005940E3"/>
    <w:rsid w:val="005946AF"/>
    <w:rsid w:val="005947B8"/>
    <w:rsid w:val="0059508E"/>
    <w:rsid w:val="00595137"/>
    <w:rsid w:val="00595729"/>
    <w:rsid w:val="00596591"/>
    <w:rsid w:val="005A0829"/>
    <w:rsid w:val="005A0EB2"/>
    <w:rsid w:val="005A0EC7"/>
    <w:rsid w:val="005A1119"/>
    <w:rsid w:val="005A1FA5"/>
    <w:rsid w:val="005A264C"/>
    <w:rsid w:val="005A3477"/>
    <w:rsid w:val="005A366C"/>
    <w:rsid w:val="005A3B0F"/>
    <w:rsid w:val="005A6BDA"/>
    <w:rsid w:val="005A75EC"/>
    <w:rsid w:val="005B1210"/>
    <w:rsid w:val="005B13A6"/>
    <w:rsid w:val="005B15F5"/>
    <w:rsid w:val="005B2378"/>
    <w:rsid w:val="005B3118"/>
    <w:rsid w:val="005B57C4"/>
    <w:rsid w:val="005B58D2"/>
    <w:rsid w:val="005B5E70"/>
    <w:rsid w:val="005B6AD4"/>
    <w:rsid w:val="005B6B92"/>
    <w:rsid w:val="005B6F51"/>
    <w:rsid w:val="005B7284"/>
    <w:rsid w:val="005C0088"/>
    <w:rsid w:val="005C0357"/>
    <w:rsid w:val="005C0611"/>
    <w:rsid w:val="005C0980"/>
    <w:rsid w:val="005C0D65"/>
    <w:rsid w:val="005C0EE2"/>
    <w:rsid w:val="005C14A3"/>
    <w:rsid w:val="005C153A"/>
    <w:rsid w:val="005C1E43"/>
    <w:rsid w:val="005C22F0"/>
    <w:rsid w:val="005C384C"/>
    <w:rsid w:val="005C40D0"/>
    <w:rsid w:val="005C566E"/>
    <w:rsid w:val="005C57CE"/>
    <w:rsid w:val="005D069C"/>
    <w:rsid w:val="005D179F"/>
    <w:rsid w:val="005D1AC8"/>
    <w:rsid w:val="005D1EDE"/>
    <w:rsid w:val="005D489F"/>
    <w:rsid w:val="005D5043"/>
    <w:rsid w:val="005D6DF8"/>
    <w:rsid w:val="005E1AD1"/>
    <w:rsid w:val="005E200B"/>
    <w:rsid w:val="005E2355"/>
    <w:rsid w:val="005E241C"/>
    <w:rsid w:val="005E2701"/>
    <w:rsid w:val="005E3A3E"/>
    <w:rsid w:val="005E6CA1"/>
    <w:rsid w:val="005E702C"/>
    <w:rsid w:val="005E73C2"/>
    <w:rsid w:val="005E7C44"/>
    <w:rsid w:val="005F190B"/>
    <w:rsid w:val="005F197A"/>
    <w:rsid w:val="005F1C3A"/>
    <w:rsid w:val="005F284D"/>
    <w:rsid w:val="005F2DF7"/>
    <w:rsid w:val="005F304B"/>
    <w:rsid w:val="005F307B"/>
    <w:rsid w:val="005F3AB2"/>
    <w:rsid w:val="005F5F6F"/>
    <w:rsid w:val="005F669F"/>
    <w:rsid w:val="005F698A"/>
    <w:rsid w:val="00600538"/>
    <w:rsid w:val="00603FBF"/>
    <w:rsid w:val="00604EE5"/>
    <w:rsid w:val="00605EA4"/>
    <w:rsid w:val="00605EA7"/>
    <w:rsid w:val="00606240"/>
    <w:rsid w:val="0060674D"/>
    <w:rsid w:val="00606A00"/>
    <w:rsid w:val="00607A0D"/>
    <w:rsid w:val="006107CF"/>
    <w:rsid w:val="006110A4"/>
    <w:rsid w:val="00612C1E"/>
    <w:rsid w:val="0061333F"/>
    <w:rsid w:val="0061335C"/>
    <w:rsid w:val="00613FB1"/>
    <w:rsid w:val="006147B6"/>
    <w:rsid w:val="00614C69"/>
    <w:rsid w:val="006155CA"/>
    <w:rsid w:val="0061668E"/>
    <w:rsid w:val="00616F62"/>
    <w:rsid w:val="006170F3"/>
    <w:rsid w:val="0061742C"/>
    <w:rsid w:val="006179B6"/>
    <w:rsid w:val="00620BEF"/>
    <w:rsid w:val="00620C9E"/>
    <w:rsid w:val="006216C0"/>
    <w:rsid w:val="00621FD6"/>
    <w:rsid w:val="006247DD"/>
    <w:rsid w:val="00624E56"/>
    <w:rsid w:val="00625A71"/>
    <w:rsid w:val="0062643D"/>
    <w:rsid w:val="00626C4C"/>
    <w:rsid w:val="00627441"/>
    <w:rsid w:val="0063081C"/>
    <w:rsid w:val="006316F9"/>
    <w:rsid w:val="006325B0"/>
    <w:rsid w:val="0063264C"/>
    <w:rsid w:val="006328AF"/>
    <w:rsid w:val="006331CE"/>
    <w:rsid w:val="00633980"/>
    <w:rsid w:val="006350C0"/>
    <w:rsid w:val="00635454"/>
    <w:rsid w:val="00636185"/>
    <w:rsid w:val="0063664A"/>
    <w:rsid w:val="0063735D"/>
    <w:rsid w:val="0063792B"/>
    <w:rsid w:val="00640341"/>
    <w:rsid w:val="006404F7"/>
    <w:rsid w:val="00640CDB"/>
    <w:rsid w:val="00643B03"/>
    <w:rsid w:val="00644904"/>
    <w:rsid w:val="00644E4A"/>
    <w:rsid w:val="00644F62"/>
    <w:rsid w:val="006451CB"/>
    <w:rsid w:val="00645383"/>
    <w:rsid w:val="00646E4E"/>
    <w:rsid w:val="0064758B"/>
    <w:rsid w:val="0064769A"/>
    <w:rsid w:val="006477D2"/>
    <w:rsid w:val="00650546"/>
    <w:rsid w:val="006518DC"/>
    <w:rsid w:val="006519D0"/>
    <w:rsid w:val="00652836"/>
    <w:rsid w:val="0065321E"/>
    <w:rsid w:val="006533FD"/>
    <w:rsid w:val="00653941"/>
    <w:rsid w:val="00653D6B"/>
    <w:rsid w:val="0065435E"/>
    <w:rsid w:val="006550B2"/>
    <w:rsid w:val="0065579D"/>
    <w:rsid w:val="0065605D"/>
    <w:rsid w:val="006570C7"/>
    <w:rsid w:val="006577AC"/>
    <w:rsid w:val="006577D8"/>
    <w:rsid w:val="00657B29"/>
    <w:rsid w:val="00657B50"/>
    <w:rsid w:val="006602A7"/>
    <w:rsid w:val="00660496"/>
    <w:rsid w:val="00660F14"/>
    <w:rsid w:val="0066162E"/>
    <w:rsid w:val="006617FA"/>
    <w:rsid w:val="00661B7A"/>
    <w:rsid w:val="00662709"/>
    <w:rsid w:val="00663325"/>
    <w:rsid w:val="006636FE"/>
    <w:rsid w:val="00663C42"/>
    <w:rsid w:val="00664112"/>
    <w:rsid w:val="00664255"/>
    <w:rsid w:val="00664476"/>
    <w:rsid w:val="00664A10"/>
    <w:rsid w:val="0066541E"/>
    <w:rsid w:val="006654CA"/>
    <w:rsid w:val="00665C20"/>
    <w:rsid w:val="00671903"/>
    <w:rsid w:val="00673DCE"/>
    <w:rsid w:val="006749E5"/>
    <w:rsid w:val="00675C9D"/>
    <w:rsid w:val="00675DA5"/>
    <w:rsid w:val="00676165"/>
    <w:rsid w:val="00676CB1"/>
    <w:rsid w:val="00677CBC"/>
    <w:rsid w:val="00681848"/>
    <w:rsid w:val="00682747"/>
    <w:rsid w:val="00682C16"/>
    <w:rsid w:val="00686291"/>
    <w:rsid w:val="00686FA4"/>
    <w:rsid w:val="00687F5E"/>
    <w:rsid w:val="00690739"/>
    <w:rsid w:val="006907DA"/>
    <w:rsid w:val="00691E65"/>
    <w:rsid w:val="00691EA1"/>
    <w:rsid w:val="00693886"/>
    <w:rsid w:val="00694BE9"/>
    <w:rsid w:val="006959B6"/>
    <w:rsid w:val="00695AC7"/>
    <w:rsid w:val="00696114"/>
    <w:rsid w:val="0069667F"/>
    <w:rsid w:val="00696D4A"/>
    <w:rsid w:val="00697323"/>
    <w:rsid w:val="006976B3"/>
    <w:rsid w:val="006A07EB"/>
    <w:rsid w:val="006A1279"/>
    <w:rsid w:val="006A1CD6"/>
    <w:rsid w:val="006A2F69"/>
    <w:rsid w:val="006A362D"/>
    <w:rsid w:val="006A5C92"/>
    <w:rsid w:val="006A5E39"/>
    <w:rsid w:val="006A615E"/>
    <w:rsid w:val="006A641C"/>
    <w:rsid w:val="006A67D2"/>
    <w:rsid w:val="006A7CE6"/>
    <w:rsid w:val="006A7E17"/>
    <w:rsid w:val="006B048C"/>
    <w:rsid w:val="006B210C"/>
    <w:rsid w:val="006B2C4A"/>
    <w:rsid w:val="006B2D1C"/>
    <w:rsid w:val="006B35D6"/>
    <w:rsid w:val="006B35DA"/>
    <w:rsid w:val="006B53F6"/>
    <w:rsid w:val="006B655F"/>
    <w:rsid w:val="006B6AC4"/>
    <w:rsid w:val="006C08D7"/>
    <w:rsid w:val="006C11BE"/>
    <w:rsid w:val="006C1F06"/>
    <w:rsid w:val="006C2DB2"/>
    <w:rsid w:val="006C43B5"/>
    <w:rsid w:val="006C5E78"/>
    <w:rsid w:val="006C615F"/>
    <w:rsid w:val="006C6E2E"/>
    <w:rsid w:val="006C773D"/>
    <w:rsid w:val="006D033C"/>
    <w:rsid w:val="006D28A5"/>
    <w:rsid w:val="006D2F81"/>
    <w:rsid w:val="006D3518"/>
    <w:rsid w:val="006D3F0C"/>
    <w:rsid w:val="006D4494"/>
    <w:rsid w:val="006D4AFF"/>
    <w:rsid w:val="006D53EB"/>
    <w:rsid w:val="006D5594"/>
    <w:rsid w:val="006D67E7"/>
    <w:rsid w:val="006D6A30"/>
    <w:rsid w:val="006D6C2B"/>
    <w:rsid w:val="006D76DB"/>
    <w:rsid w:val="006E0E4A"/>
    <w:rsid w:val="006E1265"/>
    <w:rsid w:val="006E132C"/>
    <w:rsid w:val="006E1599"/>
    <w:rsid w:val="006E2401"/>
    <w:rsid w:val="006E3F66"/>
    <w:rsid w:val="006E58C8"/>
    <w:rsid w:val="006E669A"/>
    <w:rsid w:val="006E7AF5"/>
    <w:rsid w:val="006F028F"/>
    <w:rsid w:val="006F08B9"/>
    <w:rsid w:val="006F1A8F"/>
    <w:rsid w:val="006F1F44"/>
    <w:rsid w:val="006F2ADA"/>
    <w:rsid w:val="006F2AE7"/>
    <w:rsid w:val="006F2D52"/>
    <w:rsid w:val="006F3591"/>
    <w:rsid w:val="006F3C87"/>
    <w:rsid w:val="006F67D9"/>
    <w:rsid w:val="006F7710"/>
    <w:rsid w:val="006F77EC"/>
    <w:rsid w:val="006F7B7C"/>
    <w:rsid w:val="0070002A"/>
    <w:rsid w:val="0070011C"/>
    <w:rsid w:val="00700DAE"/>
    <w:rsid w:val="007010BB"/>
    <w:rsid w:val="007015A1"/>
    <w:rsid w:val="00702503"/>
    <w:rsid w:val="0070297A"/>
    <w:rsid w:val="007030D6"/>
    <w:rsid w:val="0070323C"/>
    <w:rsid w:val="00704090"/>
    <w:rsid w:val="00706102"/>
    <w:rsid w:val="00706AEB"/>
    <w:rsid w:val="00707A6C"/>
    <w:rsid w:val="0071010B"/>
    <w:rsid w:val="0071104F"/>
    <w:rsid w:val="00711461"/>
    <w:rsid w:val="00713266"/>
    <w:rsid w:val="00713651"/>
    <w:rsid w:val="0071373D"/>
    <w:rsid w:val="00715334"/>
    <w:rsid w:val="00715907"/>
    <w:rsid w:val="00715C0B"/>
    <w:rsid w:val="00720307"/>
    <w:rsid w:val="00721365"/>
    <w:rsid w:val="00721CCA"/>
    <w:rsid w:val="00722D85"/>
    <w:rsid w:val="00723330"/>
    <w:rsid w:val="007236C0"/>
    <w:rsid w:val="00724361"/>
    <w:rsid w:val="00724564"/>
    <w:rsid w:val="007248E5"/>
    <w:rsid w:val="007255E3"/>
    <w:rsid w:val="007265F0"/>
    <w:rsid w:val="007269E3"/>
    <w:rsid w:val="007300B9"/>
    <w:rsid w:val="007304AB"/>
    <w:rsid w:val="00732460"/>
    <w:rsid w:val="00732EE2"/>
    <w:rsid w:val="00733D7B"/>
    <w:rsid w:val="00735664"/>
    <w:rsid w:val="00735881"/>
    <w:rsid w:val="00735F13"/>
    <w:rsid w:val="00736055"/>
    <w:rsid w:val="007364A0"/>
    <w:rsid w:val="0074049E"/>
    <w:rsid w:val="00740745"/>
    <w:rsid w:val="007408D5"/>
    <w:rsid w:val="007412EB"/>
    <w:rsid w:val="0074154C"/>
    <w:rsid w:val="00741FDE"/>
    <w:rsid w:val="00742757"/>
    <w:rsid w:val="00742DA6"/>
    <w:rsid w:val="007430B3"/>
    <w:rsid w:val="00744F30"/>
    <w:rsid w:val="007453E5"/>
    <w:rsid w:val="00746363"/>
    <w:rsid w:val="007464AF"/>
    <w:rsid w:val="00746C27"/>
    <w:rsid w:val="00746D61"/>
    <w:rsid w:val="00747EC5"/>
    <w:rsid w:val="00750371"/>
    <w:rsid w:val="00750941"/>
    <w:rsid w:val="00750BF7"/>
    <w:rsid w:val="0075108D"/>
    <w:rsid w:val="00755515"/>
    <w:rsid w:val="007557DC"/>
    <w:rsid w:val="0075585F"/>
    <w:rsid w:val="00756E58"/>
    <w:rsid w:val="007579CD"/>
    <w:rsid w:val="00760148"/>
    <w:rsid w:val="007611F3"/>
    <w:rsid w:val="00762451"/>
    <w:rsid w:val="00762571"/>
    <w:rsid w:val="00762F99"/>
    <w:rsid w:val="007656EE"/>
    <w:rsid w:val="00766B87"/>
    <w:rsid w:val="00767778"/>
    <w:rsid w:val="00767F5A"/>
    <w:rsid w:val="00771493"/>
    <w:rsid w:val="00772D4A"/>
    <w:rsid w:val="0077338A"/>
    <w:rsid w:val="00773A59"/>
    <w:rsid w:val="007771DC"/>
    <w:rsid w:val="0077775F"/>
    <w:rsid w:val="00777F89"/>
    <w:rsid w:val="007803E7"/>
    <w:rsid w:val="00780565"/>
    <w:rsid w:val="0078239B"/>
    <w:rsid w:val="00782574"/>
    <w:rsid w:val="007831CE"/>
    <w:rsid w:val="0078347B"/>
    <w:rsid w:val="00783AE5"/>
    <w:rsid w:val="007857C2"/>
    <w:rsid w:val="00790B45"/>
    <w:rsid w:val="007919B4"/>
    <w:rsid w:val="0079220D"/>
    <w:rsid w:val="00792719"/>
    <w:rsid w:val="00792749"/>
    <w:rsid w:val="007928CE"/>
    <w:rsid w:val="00792ADA"/>
    <w:rsid w:val="007934F9"/>
    <w:rsid w:val="00793ECE"/>
    <w:rsid w:val="00793F8E"/>
    <w:rsid w:val="00796E22"/>
    <w:rsid w:val="0079778C"/>
    <w:rsid w:val="00797B64"/>
    <w:rsid w:val="00797E1A"/>
    <w:rsid w:val="00797F5E"/>
    <w:rsid w:val="007A30CF"/>
    <w:rsid w:val="007A3507"/>
    <w:rsid w:val="007A35C4"/>
    <w:rsid w:val="007A3CC4"/>
    <w:rsid w:val="007A4418"/>
    <w:rsid w:val="007A45F1"/>
    <w:rsid w:val="007A56FF"/>
    <w:rsid w:val="007A5B54"/>
    <w:rsid w:val="007A766F"/>
    <w:rsid w:val="007B0342"/>
    <w:rsid w:val="007B0756"/>
    <w:rsid w:val="007B1B31"/>
    <w:rsid w:val="007B1CC7"/>
    <w:rsid w:val="007B21F4"/>
    <w:rsid w:val="007B2921"/>
    <w:rsid w:val="007B392C"/>
    <w:rsid w:val="007B4388"/>
    <w:rsid w:val="007B45BA"/>
    <w:rsid w:val="007B49CE"/>
    <w:rsid w:val="007B4E9A"/>
    <w:rsid w:val="007B5474"/>
    <w:rsid w:val="007B556A"/>
    <w:rsid w:val="007B5E52"/>
    <w:rsid w:val="007B69A9"/>
    <w:rsid w:val="007B79BB"/>
    <w:rsid w:val="007C0298"/>
    <w:rsid w:val="007C08B0"/>
    <w:rsid w:val="007C0D21"/>
    <w:rsid w:val="007C1163"/>
    <w:rsid w:val="007C1847"/>
    <w:rsid w:val="007C2376"/>
    <w:rsid w:val="007C23F5"/>
    <w:rsid w:val="007C45B1"/>
    <w:rsid w:val="007C482F"/>
    <w:rsid w:val="007C6371"/>
    <w:rsid w:val="007C660A"/>
    <w:rsid w:val="007C672B"/>
    <w:rsid w:val="007C68B0"/>
    <w:rsid w:val="007C718A"/>
    <w:rsid w:val="007D2756"/>
    <w:rsid w:val="007D280C"/>
    <w:rsid w:val="007D3BA1"/>
    <w:rsid w:val="007D3C02"/>
    <w:rsid w:val="007D4395"/>
    <w:rsid w:val="007D4964"/>
    <w:rsid w:val="007D49A6"/>
    <w:rsid w:val="007D4A5D"/>
    <w:rsid w:val="007D4B36"/>
    <w:rsid w:val="007D683A"/>
    <w:rsid w:val="007D70B2"/>
    <w:rsid w:val="007D7313"/>
    <w:rsid w:val="007E0FC8"/>
    <w:rsid w:val="007E12FA"/>
    <w:rsid w:val="007E1D94"/>
    <w:rsid w:val="007E29EB"/>
    <w:rsid w:val="007E2A54"/>
    <w:rsid w:val="007E2B9F"/>
    <w:rsid w:val="007E4197"/>
    <w:rsid w:val="007E4905"/>
    <w:rsid w:val="007E59FE"/>
    <w:rsid w:val="007E5ADD"/>
    <w:rsid w:val="007E5C58"/>
    <w:rsid w:val="007E5D74"/>
    <w:rsid w:val="007E6320"/>
    <w:rsid w:val="007E640E"/>
    <w:rsid w:val="007E72D7"/>
    <w:rsid w:val="007F11F4"/>
    <w:rsid w:val="007F1DA9"/>
    <w:rsid w:val="007F2366"/>
    <w:rsid w:val="007F2A06"/>
    <w:rsid w:val="007F4F74"/>
    <w:rsid w:val="007F5A11"/>
    <w:rsid w:val="007F62FA"/>
    <w:rsid w:val="007F6887"/>
    <w:rsid w:val="00801520"/>
    <w:rsid w:val="008020B9"/>
    <w:rsid w:val="0080321B"/>
    <w:rsid w:val="00805603"/>
    <w:rsid w:val="008057DB"/>
    <w:rsid w:val="00807805"/>
    <w:rsid w:val="008109D4"/>
    <w:rsid w:val="00810C47"/>
    <w:rsid w:val="00810DC1"/>
    <w:rsid w:val="00811898"/>
    <w:rsid w:val="0081279E"/>
    <w:rsid w:val="008139A3"/>
    <w:rsid w:val="008139C1"/>
    <w:rsid w:val="00813A79"/>
    <w:rsid w:val="0081473C"/>
    <w:rsid w:val="00815C97"/>
    <w:rsid w:val="0081684A"/>
    <w:rsid w:val="00816BB8"/>
    <w:rsid w:val="00817E5C"/>
    <w:rsid w:val="00817F38"/>
    <w:rsid w:val="00820E4E"/>
    <w:rsid w:val="00821A6F"/>
    <w:rsid w:val="0082207A"/>
    <w:rsid w:val="00823429"/>
    <w:rsid w:val="00823475"/>
    <w:rsid w:val="008309E3"/>
    <w:rsid w:val="00830D19"/>
    <w:rsid w:val="00831051"/>
    <w:rsid w:val="008314BA"/>
    <w:rsid w:val="008317EA"/>
    <w:rsid w:val="00832337"/>
    <w:rsid w:val="00832B7B"/>
    <w:rsid w:val="00832FFA"/>
    <w:rsid w:val="00833093"/>
    <w:rsid w:val="008334DC"/>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6CD6"/>
    <w:rsid w:val="008470F0"/>
    <w:rsid w:val="008473F7"/>
    <w:rsid w:val="00847750"/>
    <w:rsid w:val="008478D1"/>
    <w:rsid w:val="00850C3C"/>
    <w:rsid w:val="00851A9C"/>
    <w:rsid w:val="00851BFA"/>
    <w:rsid w:val="0085300C"/>
    <w:rsid w:val="0085476B"/>
    <w:rsid w:val="00856172"/>
    <w:rsid w:val="008608E6"/>
    <w:rsid w:val="00860B78"/>
    <w:rsid w:val="00860BCC"/>
    <w:rsid w:val="00860EA6"/>
    <w:rsid w:val="00861880"/>
    <w:rsid w:val="0086195A"/>
    <w:rsid w:val="00861B47"/>
    <w:rsid w:val="0086229E"/>
    <w:rsid w:val="00862CED"/>
    <w:rsid w:val="00864582"/>
    <w:rsid w:val="0086480A"/>
    <w:rsid w:val="00864CD8"/>
    <w:rsid w:val="00867F87"/>
    <w:rsid w:val="00867FED"/>
    <w:rsid w:val="0087018D"/>
    <w:rsid w:val="00870279"/>
    <w:rsid w:val="00870603"/>
    <w:rsid w:val="0087096F"/>
    <w:rsid w:val="00872DB3"/>
    <w:rsid w:val="008740DA"/>
    <w:rsid w:val="008755BA"/>
    <w:rsid w:val="0087572E"/>
    <w:rsid w:val="00876A94"/>
    <w:rsid w:val="00881208"/>
    <w:rsid w:val="00884FC6"/>
    <w:rsid w:val="00885CDC"/>
    <w:rsid w:val="00886F35"/>
    <w:rsid w:val="00887ED0"/>
    <w:rsid w:val="00890279"/>
    <w:rsid w:val="00890C8E"/>
    <w:rsid w:val="008917CF"/>
    <w:rsid w:val="00893D35"/>
    <w:rsid w:val="00895D8D"/>
    <w:rsid w:val="008A172E"/>
    <w:rsid w:val="008A1F51"/>
    <w:rsid w:val="008A2695"/>
    <w:rsid w:val="008A33D5"/>
    <w:rsid w:val="008A39D3"/>
    <w:rsid w:val="008A45E8"/>
    <w:rsid w:val="008A4E43"/>
    <w:rsid w:val="008A5380"/>
    <w:rsid w:val="008A5D75"/>
    <w:rsid w:val="008A7719"/>
    <w:rsid w:val="008A7A9A"/>
    <w:rsid w:val="008A7B02"/>
    <w:rsid w:val="008B0AFD"/>
    <w:rsid w:val="008B3B41"/>
    <w:rsid w:val="008B4D42"/>
    <w:rsid w:val="008B51B0"/>
    <w:rsid w:val="008B5CA8"/>
    <w:rsid w:val="008B62FA"/>
    <w:rsid w:val="008B6FB0"/>
    <w:rsid w:val="008C1AB9"/>
    <w:rsid w:val="008C31B2"/>
    <w:rsid w:val="008C4891"/>
    <w:rsid w:val="008C533F"/>
    <w:rsid w:val="008C64BD"/>
    <w:rsid w:val="008C6D41"/>
    <w:rsid w:val="008C6E6F"/>
    <w:rsid w:val="008C7A4C"/>
    <w:rsid w:val="008C7F9B"/>
    <w:rsid w:val="008D1583"/>
    <w:rsid w:val="008D38F1"/>
    <w:rsid w:val="008D509B"/>
    <w:rsid w:val="008D53A8"/>
    <w:rsid w:val="008D716B"/>
    <w:rsid w:val="008E01F4"/>
    <w:rsid w:val="008E047F"/>
    <w:rsid w:val="008E110C"/>
    <w:rsid w:val="008E11F8"/>
    <w:rsid w:val="008E1611"/>
    <w:rsid w:val="008E1F27"/>
    <w:rsid w:val="008E48C4"/>
    <w:rsid w:val="008E4CB4"/>
    <w:rsid w:val="008E4D3C"/>
    <w:rsid w:val="008E4E14"/>
    <w:rsid w:val="008E7F39"/>
    <w:rsid w:val="008F0A69"/>
    <w:rsid w:val="008F14A2"/>
    <w:rsid w:val="008F4D5D"/>
    <w:rsid w:val="008F7204"/>
    <w:rsid w:val="008F7A54"/>
    <w:rsid w:val="008F7A7D"/>
    <w:rsid w:val="00902A2C"/>
    <w:rsid w:val="00903F38"/>
    <w:rsid w:val="009047FC"/>
    <w:rsid w:val="0090530E"/>
    <w:rsid w:val="009058EC"/>
    <w:rsid w:val="00905CA5"/>
    <w:rsid w:val="00906106"/>
    <w:rsid w:val="009064C3"/>
    <w:rsid w:val="00906858"/>
    <w:rsid w:val="00906E4E"/>
    <w:rsid w:val="00907177"/>
    <w:rsid w:val="009071AD"/>
    <w:rsid w:val="00907A06"/>
    <w:rsid w:val="00907A43"/>
    <w:rsid w:val="009131C0"/>
    <w:rsid w:val="009132D6"/>
    <w:rsid w:val="0091413D"/>
    <w:rsid w:val="009155A6"/>
    <w:rsid w:val="00916FAC"/>
    <w:rsid w:val="009175F1"/>
    <w:rsid w:val="00917736"/>
    <w:rsid w:val="00920B7D"/>
    <w:rsid w:val="00920DC1"/>
    <w:rsid w:val="00920F09"/>
    <w:rsid w:val="009210A7"/>
    <w:rsid w:val="00922FA5"/>
    <w:rsid w:val="00923A99"/>
    <w:rsid w:val="00923B5B"/>
    <w:rsid w:val="00923DD8"/>
    <w:rsid w:val="009250A2"/>
    <w:rsid w:val="00926375"/>
    <w:rsid w:val="00930551"/>
    <w:rsid w:val="00931EF1"/>
    <w:rsid w:val="00932C17"/>
    <w:rsid w:val="009331B2"/>
    <w:rsid w:val="009339AC"/>
    <w:rsid w:val="009351F3"/>
    <w:rsid w:val="00937229"/>
    <w:rsid w:val="00941C1D"/>
    <w:rsid w:val="00941EF0"/>
    <w:rsid w:val="00941F7C"/>
    <w:rsid w:val="009423AA"/>
    <w:rsid w:val="009423AC"/>
    <w:rsid w:val="00942C59"/>
    <w:rsid w:val="00942EE8"/>
    <w:rsid w:val="00943218"/>
    <w:rsid w:val="00944F38"/>
    <w:rsid w:val="009453A2"/>
    <w:rsid w:val="00946AB1"/>
    <w:rsid w:val="009504B8"/>
    <w:rsid w:val="009517F6"/>
    <w:rsid w:val="009523E5"/>
    <w:rsid w:val="00953281"/>
    <w:rsid w:val="00953B8E"/>
    <w:rsid w:val="00956565"/>
    <w:rsid w:val="00957FDC"/>
    <w:rsid w:val="009601AB"/>
    <w:rsid w:val="00960D92"/>
    <w:rsid w:val="00961947"/>
    <w:rsid w:val="00962C7C"/>
    <w:rsid w:val="00962F2C"/>
    <w:rsid w:val="009630E5"/>
    <w:rsid w:val="0096331D"/>
    <w:rsid w:val="00963579"/>
    <w:rsid w:val="00963D08"/>
    <w:rsid w:val="00963E4F"/>
    <w:rsid w:val="009643D5"/>
    <w:rsid w:val="009646CF"/>
    <w:rsid w:val="00965CA7"/>
    <w:rsid w:val="00965D3C"/>
    <w:rsid w:val="00966160"/>
    <w:rsid w:val="009672AC"/>
    <w:rsid w:val="00967EDD"/>
    <w:rsid w:val="00971910"/>
    <w:rsid w:val="00972561"/>
    <w:rsid w:val="00972B8E"/>
    <w:rsid w:val="00973A55"/>
    <w:rsid w:val="009740A9"/>
    <w:rsid w:val="009740AA"/>
    <w:rsid w:val="00974C45"/>
    <w:rsid w:val="00975005"/>
    <w:rsid w:val="00975A1E"/>
    <w:rsid w:val="00975C75"/>
    <w:rsid w:val="00980B13"/>
    <w:rsid w:val="00980F6D"/>
    <w:rsid w:val="00982F94"/>
    <w:rsid w:val="00983EDA"/>
    <w:rsid w:val="00985422"/>
    <w:rsid w:val="00985461"/>
    <w:rsid w:val="009867CF"/>
    <w:rsid w:val="00986DCF"/>
    <w:rsid w:val="0098718B"/>
    <w:rsid w:val="00991021"/>
    <w:rsid w:val="00992A6C"/>
    <w:rsid w:val="00992B39"/>
    <w:rsid w:val="009939CD"/>
    <w:rsid w:val="00996849"/>
    <w:rsid w:val="009A02E4"/>
    <w:rsid w:val="009A0A3D"/>
    <w:rsid w:val="009A1442"/>
    <w:rsid w:val="009A1C7C"/>
    <w:rsid w:val="009A2D3A"/>
    <w:rsid w:val="009A3F87"/>
    <w:rsid w:val="009A4F82"/>
    <w:rsid w:val="009A659A"/>
    <w:rsid w:val="009A67B4"/>
    <w:rsid w:val="009A7570"/>
    <w:rsid w:val="009B38C1"/>
    <w:rsid w:val="009B475F"/>
    <w:rsid w:val="009B4A1E"/>
    <w:rsid w:val="009B750B"/>
    <w:rsid w:val="009C0E14"/>
    <w:rsid w:val="009C1DA6"/>
    <w:rsid w:val="009C1DD3"/>
    <w:rsid w:val="009C32A2"/>
    <w:rsid w:val="009C5CC8"/>
    <w:rsid w:val="009C6B17"/>
    <w:rsid w:val="009D1575"/>
    <w:rsid w:val="009D2013"/>
    <w:rsid w:val="009D203D"/>
    <w:rsid w:val="009D27EA"/>
    <w:rsid w:val="009D3CA4"/>
    <w:rsid w:val="009D5382"/>
    <w:rsid w:val="009D558F"/>
    <w:rsid w:val="009D7C0E"/>
    <w:rsid w:val="009E0477"/>
    <w:rsid w:val="009E0E03"/>
    <w:rsid w:val="009E12AC"/>
    <w:rsid w:val="009E196E"/>
    <w:rsid w:val="009E1CB5"/>
    <w:rsid w:val="009E32E0"/>
    <w:rsid w:val="009E40D0"/>
    <w:rsid w:val="009E40F4"/>
    <w:rsid w:val="009E4365"/>
    <w:rsid w:val="009E443F"/>
    <w:rsid w:val="009E4C53"/>
    <w:rsid w:val="009E4F68"/>
    <w:rsid w:val="009E52D8"/>
    <w:rsid w:val="009E5AB1"/>
    <w:rsid w:val="009E5CBB"/>
    <w:rsid w:val="009F0388"/>
    <w:rsid w:val="009F096D"/>
    <w:rsid w:val="009F2051"/>
    <w:rsid w:val="009F394D"/>
    <w:rsid w:val="009F3CC4"/>
    <w:rsid w:val="009F43BE"/>
    <w:rsid w:val="009F44E0"/>
    <w:rsid w:val="009F484F"/>
    <w:rsid w:val="009F56A2"/>
    <w:rsid w:val="009F571B"/>
    <w:rsid w:val="009F5B13"/>
    <w:rsid w:val="009F5B90"/>
    <w:rsid w:val="009F6357"/>
    <w:rsid w:val="009F6651"/>
    <w:rsid w:val="009F6C02"/>
    <w:rsid w:val="009F74B2"/>
    <w:rsid w:val="00A0147C"/>
    <w:rsid w:val="00A01902"/>
    <w:rsid w:val="00A02DC2"/>
    <w:rsid w:val="00A03480"/>
    <w:rsid w:val="00A03A17"/>
    <w:rsid w:val="00A04AF7"/>
    <w:rsid w:val="00A056C9"/>
    <w:rsid w:val="00A070B7"/>
    <w:rsid w:val="00A076B4"/>
    <w:rsid w:val="00A0786B"/>
    <w:rsid w:val="00A07A50"/>
    <w:rsid w:val="00A11CA2"/>
    <w:rsid w:val="00A12756"/>
    <w:rsid w:val="00A13918"/>
    <w:rsid w:val="00A13D77"/>
    <w:rsid w:val="00A1573B"/>
    <w:rsid w:val="00A21697"/>
    <w:rsid w:val="00A2256C"/>
    <w:rsid w:val="00A22C1A"/>
    <w:rsid w:val="00A230A8"/>
    <w:rsid w:val="00A2660D"/>
    <w:rsid w:val="00A26CCC"/>
    <w:rsid w:val="00A2730C"/>
    <w:rsid w:val="00A2787B"/>
    <w:rsid w:val="00A27CF3"/>
    <w:rsid w:val="00A30BC4"/>
    <w:rsid w:val="00A30C4E"/>
    <w:rsid w:val="00A31607"/>
    <w:rsid w:val="00A32843"/>
    <w:rsid w:val="00A32F3A"/>
    <w:rsid w:val="00A33131"/>
    <w:rsid w:val="00A35476"/>
    <w:rsid w:val="00A357AB"/>
    <w:rsid w:val="00A40C00"/>
    <w:rsid w:val="00A4126E"/>
    <w:rsid w:val="00A41FB8"/>
    <w:rsid w:val="00A428D2"/>
    <w:rsid w:val="00A42A71"/>
    <w:rsid w:val="00A42D32"/>
    <w:rsid w:val="00A43BE4"/>
    <w:rsid w:val="00A46A63"/>
    <w:rsid w:val="00A473E4"/>
    <w:rsid w:val="00A47F91"/>
    <w:rsid w:val="00A520A0"/>
    <w:rsid w:val="00A52780"/>
    <w:rsid w:val="00A54547"/>
    <w:rsid w:val="00A547CF"/>
    <w:rsid w:val="00A54B05"/>
    <w:rsid w:val="00A55E9E"/>
    <w:rsid w:val="00A56B65"/>
    <w:rsid w:val="00A57154"/>
    <w:rsid w:val="00A5716F"/>
    <w:rsid w:val="00A574FC"/>
    <w:rsid w:val="00A60A2E"/>
    <w:rsid w:val="00A60D3C"/>
    <w:rsid w:val="00A60F66"/>
    <w:rsid w:val="00A62127"/>
    <w:rsid w:val="00A62694"/>
    <w:rsid w:val="00A628C6"/>
    <w:rsid w:val="00A62AB4"/>
    <w:rsid w:val="00A63B34"/>
    <w:rsid w:val="00A63BA4"/>
    <w:rsid w:val="00A6711F"/>
    <w:rsid w:val="00A67BD6"/>
    <w:rsid w:val="00A71854"/>
    <w:rsid w:val="00A72527"/>
    <w:rsid w:val="00A727F9"/>
    <w:rsid w:val="00A72AD6"/>
    <w:rsid w:val="00A72EDD"/>
    <w:rsid w:val="00A73D82"/>
    <w:rsid w:val="00A7430D"/>
    <w:rsid w:val="00A75B06"/>
    <w:rsid w:val="00A75BF2"/>
    <w:rsid w:val="00A762A4"/>
    <w:rsid w:val="00A80D39"/>
    <w:rsid w:val="00A80D44"/>
    <w:rsid w:val="00A824D5"/>
    <w:rsid w:val="00A8270A"/>
    <w:rsid w:val="00A8285C"/>
    <w:rsid w:val="00A83362"/>
    <w:rsid w:val="00A838A8"/>
    <w:rsid w:val="00A84048"/>
    <w:rsid w:val="00A85603"/>
    <w:rsid w:val="00A857C6"/>
    <w:rsid w:val="00A85D19"/>
    <w:rsid w:val="00A86059"/>
    <w:rsid w:val="00A86745"/>
    <w:rsid w:val="00A900DD"/>
    <w:rsid w:val="00A928A8"/>
    <w:rsid w:val="00A9329A"/>
    <w:rsid w:val="00A9376F"/>
    <w:rsid w:val="00A93F20"/>
    <w:rsid w:val="00A94406"/>
    <w:rsid w:val="00A94AAE"/>
    <w:rsid w:val="00A94C7E"/>
    <w:rsid w:val="00A96133"/>
    <w:rsid w:val="00A9626A"/>
    <w:rsid w:val="00A9692C"/>
    <w:rsid w:val="00A9786C"/>
    <w:rsid w:val="00A97F66"/>
    <w:rsid w:val="00AA21CD"/>
    <w:rsid w:val="00AA539D"/>
    <w:rsid w:val="00AA56B6"/>
    <w:rsid w:val="00AA6607"/>
    <w:rsid w:val="00AA763A"/>
    <w:rsid w:val="00AA7A54"/>
    <w:rsid w:val="00AB0433"/>
    <w:rsid w:val="00AB046D"/>
    <w:rsid w:val="00AB074C"/>
    <w:rsid w:val="00AB1416"/>
    <w:rsid w:val="00AB29C1"/>
    <w:rsid w:val="00AB50CF"/>
    <w:rsid w:val="00AB6DE7"/>
    <w:rsid w:val="00AC0055"/>
    <w:rsid w:val="00AC007F"/>
    <w:rsid w:val="00AC0677"/>
    <w:rsid w:val="00AC2558"/>
    <w:rsid w:val="00AC2F81"/>
    <w:rsid w:val="00AC3B25"/>
    <w:rsid w:val="00AC4814"/>
    <w:rsid w:val="00AC4D33"/>
    <w:rsid w:val="00AC4DB2"/>
    <w:rsid w:val="00AC5119"/>
    <w:rsid w:val="00AC59E2"/>
    <w:rsid w:val="00AC6BA8"/>
    <w:rsid w:val="00AC711A"/>
    <w:rsid w:val="00AC735F"/>
    <w:rsid w:val="00AD046A"/>
    <w:rsid w:val="00AD258F"/>
    <w:rsid w:val="00AD29AE"/>
    <w:rsid w:val="00AD3BBA"/>
    <w:rsid w:val="00AD3C09"/>
    <w:rsid w:val="00AD3C7F"/>
    <w:rsid w:val="00AD44D9"/>
    <w:rsid w:val="00AD48C6"/>
    <w:rsid w:val="00AD4B16"/>
    <w:rsid w:val="00AD528D"/>
    <w:rsid w:val="00AD6C53"/>
    <w:rsid w:val="00AD7201"/>
    <w:rsid w:val="00AD7207"/>
    <w:rsid w:val="00AD7226"/>
    <w:rsid w:val="00AE197A"/>
    <w:rsid w:val="00AE1F6D"/>
    <w:rsid w:val="00AE3EE5"/>
    <w:rsid w:val="00AE433E"/>
    <w:rsid w:val="00AF1E7D"/>
    <w:rsid w:val="00AF26BD"/>
    <w:rsid w:val="00AF2940"/>
    <w:rsid w:val="00AF2DE1"/>
    <w:rsid w:val="00AF30B1"/>
    <w:rsid w:val="00AF32B4"/>
    <w:rsid w:val="00AF3407"/>
    <w:rsid w:val="00AF3C95"/>
    <w:rsid w:val="00AF4C22"/>
    <w:rsid w:val="00AF51F2"/>
    <w:rsid w:val="00AF5E04"/>
    <w:rsid w:val="00AF672D"/>
    <w:rsid w:val="00B000EC"/>
    <w:rsid w:val="00B017D4"/>
    <w:rsid w:val="00B01EA1"/>
    <w:rsid w:val="00B03272"/>
    <w:rsid w:val="00B03376"/>
    <w:rsid w:val="00B03C9A"/>
    <w:rsid w:val="00B043A6"/>
    <w:rsid w:val="00B0560D"/>
    <w:rsid w:val="00B05895"/>
    <w:rsid w:val="00B05FC1"/>
    <w:rsid w:val="00B079BB"/>
    <w:rsid w:val="00B101C3"/>
    <w:rsid w:val="00B1049D"/>
    <w:rsid w:val="00B112A3"/>
    <w:rsid w:val="00B11A4B"/>
    <w:rsid w:val="00B120FE"/>
    <w:rsid w:val="00B12BC6"/>
    <w:rsid w:val="00B15952"/>
    <w:rsid w:val="00B16C1A"/>
    <w:rsid w:val="00B17AF0"/>
    <w:rsid w:val="00B239A7"/>
    <w:rsid w:val="00B245DB"/>
    <w:rsid w:val="00B25685"/>
    <w:rsid w:val="00B26620"/>
    <w:rsid w:val="00B27045"/>
    <w:rsid w:val="00B27C98"/>
    <w:rsid w:val="00B301F8"/>
    <w:rsid w:val="00B31DD6"/>
    <w:rsid w:val="00B32630"/>
    <w:rsid w:val="00B32962"/>
    <w:rsid w:val="00B3377E"/>
    <w:rsid w:val="00B34CAA"/>
    <w:rsid w:val="00B412DC"/>
    <w:rsid w:val="00B41CD9"/>
    <w:rsid w:val="00B41DD3"/>
    <w:rsid w:val="00B426B4"/>
    <w:rsid w:val="00B452C0"/>
    <w:rsid w:val="00B46CCD"/>
    <w:rsid w:val="00B5039F"/>
    <w:rsid w:val="00B51FC9"/>
    <w:rsid w:val="00B5314F"/>
    <w:rsid w:val="00B54A3D"/>
    <w:rsid w:val="00B54DDA"/>
    <w:rsid w:val="00B54F3A"/>
    <w:rsid w:val="00B567B2"/>
    <w:rsid w:val="00B56A7D"/>
    <w:rsid w:val="00B57070"/>
    <w:rsid w:val="00B571FF"/>
    <w:rsid w:val="00B60946"/>
    <w:rsid w:val="00B66DA4"/>
    <w:rsid w:val="00B67193"/>
    <w:rsid w:val="00B6728F"/>
    <w:rsid w:val="00B67D35"/>
    <w:rsid w:val="00B67E9F"/>
    <w:rsid w:val="00B70F4B"/>
    <w:rsid w:val="00B718C4"/>
    <w:rsid w:val="00B71B75"/>
    <w:rsid w:val="00B73CF2"/>
    <w:rsid w:val="00B74742"/>
    <w:rsid w:val="00B74A21"/>
    <w:rsid w:val="00B77617"/>
    <w:rsid w:val="00B77CBF"/>
    <w:rsid w:val="00B80F2E"/>
    <w:rsid w:val="00B829AB"/>
    <w:rsid w:val="00B82F45"/>
    <w:rsid w:val="00B83405"/>
    <w:rsid w:val="00B83F20"/>
    <w:rsid w:val="00B847BD"/>
    <w:rsid w:val="00B84E6B"/>
    <w:rsid w:val="00B853C4"/>
    <w:rsid w:val="00B85B3B"/>
    <w:rsid w:val="00B860A9"/>
    <w:rsid w:val="00B86A84"/>
    <w:rsid w:val="00B9018E"/>
    <w:rsid w:val="00B903A5"/>
    <w:rsid w:val="00B905C3"/>
    <w:rsid w:val="00B91DDB"/>
    <w:rsid w:val="00B92054"/>
    <w:rsid w:val="00B920B7"/>
    <w:rsid w:val="00B9478E"/>
    <w:rsid w:val="00B94FB9"/>
    <w:rsid w:val="00B953B8"/>
    <w:rsid w:val="00B95859"/>
    <w:rsid w:val="00B96A70"/>
    <w:rsid w:val="00B97FB6"/>
    <w:rsid w:val="00BA05ED"/>
    <w:rsid w:val="00BA062A"/>
    <w:rsid w:val="00BA46D7"/>
    <w:rsid w:val="00BA48AB"/>
    <w:rsid w:val="00BA4E98"/>
    <w:rsid w:val="00BA5670"/>
    <w:rsid w:val="00BA66CE"/>
    <w:rsid w:val="00BA7712"/>
    <w:rsid w:val="00BA7B09"/>
    <w:rsid w:val="00BB2044"/>
    <w:rsid w:val="00BB279F"/>
    <w:rsid w:val="00BB432B"/>
    <w:rsid w:val="00BB4A99"/>
    <w:rsid w:val="00BB4DA6"/>
    <w:rsid w:val="00BB7AC8"/>
    <w:rsid w:val="00BC02C5"/>
    <w:rsid w:val="00BC0E52"/>
    <w:rsid w:val="00BC25BF"/>
    <w:rsid w:val="00BC2CDB"/>
    <w:rsid w:val="00BC371D"/>
    <w:rsid w:val="00BC3E4E"/>
    <w:rsid w:val="00BC410E"/>
    <w:rsid w:val="00BC4371"/>
    <w:rsid w:val="00BC4A6E"/>
    <w:rsid w:val="00BC548D"/>
    <w:rsid w:val="00BC6356"/>
    <w:rsid w:val="00BC653A"/>
    <w:rsid w:val="00BC6621"/>
    <w:rsid w:val="00BC6D78"/>
    <w:rsid w:val="00BD0BA6"/>
    <w:rsid w:val="00BD1255"/>
    <w:rsid w:val="00BD1290"/>
    <w:rsid w:val="00BD1975"/>
    <w:rsid w:val="00BD1A8F"/>
    <w:rsid w:val="00BD24D4"/>
    <w:rsid w:val="00BD4E7A"/>
    <w:rsid w:val="00BD5AC9"/>
    <w:rsid w:val="00BD5E18"/>
    <w:rsid w:val="00BD6E1F"/>
    <w:rsid w:val="00BD6E7A"/>
    <w:rsid w:val="00BE01B3"/>
    <w:rsid w:val="00BE09B6"/>
    <w:rsid w:val="00BE09F9"/>
    <w:rsid w:val="00BE3B1F"/>
    <w:rsid w:val="00BE4F7B"/>
    <w:rsid w:val="00BE5527"/>
    <w:rsid w:val="00BE5598"/>
    <w:rsid w:val="00BE5A42"/>
    <w:rsid w:val="00BE64C7"/>
    <w:rsid w:val="00BE6C70"/>
    <w:rsid w:val="00BE6FE3"/>
    <w:rsid w:val="00BE7612"/>
    <w:rsid w:val="00BF109A"/>
    <w:rsid w:val="00BF2695"/>
    <w:rsid w:val="00BF3586"/>
    <w:rsid w:val="00BF3FC6"/>
    <w:rsid w:val="00BF766A"/>
    <w:rsid w:val="00C00352"/>
    <w:rsid w:val="00C02C26"/>
    <w:rsid w:val="00C03147"/>
    <w:rsid w:val="00C0376C"/>
    <w:rsid w:val="00C03805"/>
    <w:rsid w:val="00C03BA0"/>
    <w:rsid w:val="00C05D0E"/>
    <w:rsid w:val="00C06E5D"/>
    <w:rsid w:val="00C075EE"/>
    <w:rsid w:val="00C078B4"/>
    <w:rsid w:val="00C07D37"/>
    <w:rsid w:val="00C1073D"/>
    <w:rsid w:val="00C10D44"/>
    <w:rsid w:val="00C123A9"/>
    <w:rsid w:val="00C131D6"/>
    <w:rsid w:val="00C13379"/>
    <w:rsid w:val="00C13F24"/>
    <w:rsid w:val="00C15DA6"/>
    <w:rsid w:val="00C165DE"/>
    <w:rsid w:val="00C16610"/>
    <w:rsid w:val="00C169C1"/>
    <w:rsid w:val="00C175AB"/>
    <w:rsid w:val="00C2004B"/>
    <w:rsid w:val="00C201C6"/>
    <w:rsid w:val="00C214C2"/>
    <w:rsid w:val="00C21AB7"/>
    <w:rsid w:val="00C25E4A"/>
    <w:rsid w:val="00C25ED7"/>
    <w:rsid w:val="00C26002"/>
    <w:rsid w:val="00C274C9"/>
    <w:rsid w:val="00C30622"/>
    <w:rsid w:val="00C31338"/>
    <w:rsid w:val="00C31586"/>
    <w:rsid w:val="00C3339F"/>
    <w:rsid w:val="00C341F7"/>
    <w:rsid w:val="00C34EA3"/>
    <w:rsid w:val="00C3551D"/>
    <w:rsid w:val="00C35FC9"/>
    <w:rsid w:val="00C3704C"/>
    <w:rsid w:val="00C377C5"/>
    <w:rsid w:val="00C422FB"/>
    <w:rsid w:val="00C43356"/>
    <w:rsid w:val="00C43BE1"/>
    <w:rsid w:val="00C44DBD"/>
    <w:rsid w:val="00C461DC"/>
    <w:rsid w:val="00C46671"/>
    <w:rsid w:val="00C46E46"/>
    <w:rsid w:val="00C47662"/>
    <w:rsid w:val="00C50155"/>
    <w:rsid w:val="00C50BA4"/>
    <w:rsid w:val="00C52E1B"/>
    <w:rsid w:val="00C52F3F"/>
    <w:rsid w:val="00C55615"/>
    <w:rsid w:val="00C57FA6"/>
    <w:rsid w:val="00C60C47"/>
    <w:rsid w:val="00C60DFE"/>
    <w:rsid w:val="00C611F1"/>
    <w:rsid w:val="00C616EE"/>
    <w:rsid w:val="00C63123"/>
    <w:rsid w:val="00C63F5B"/>
    <w:rsid w:val="00C640E1"/>
    <w:rsid w:val="00C6449E"/>
    <w:rsid w:val="00C64727"/>
    <w:rsid w:val="00C64BF6"/>
    <w:rsid w:val="00C64E8B"/>
    <w:rsid w:val="00C65F5E"/>
    <w:rsid w:val="00C668FA"/>
    <w:rsid w:val="00C72066"/>
    <w:rsid w:val="00C734E9"/>
    <w:rsid w:val="00C73B32"/>
    <w:rsid w:val="00C74A04"/>
    <w:rsid w:val="00C75B50"/>
    <w:rsid w:val="00C772C9"/>
    <w:rsid w:val="00C77473"/>
    <w:rsid w:val="00C80767"/>
    <w:rsid w:val="00C80A16"/>
    <w:rsid w:val="00C81B6B"/>
    <w:rsid w:val="00C81BE8"/>
    <w:rsid w:val="00C825D1"/>
    <w:rsid w:val="00C82BCB"/>
    <w:rsid w:val="00C835D6"/>
    <w:rsid w:val="00C83AAF"/>
    <w:rsid w:val="00C84386"/>
    <w:rsid w:val="00C84DA9"/>
    <w:rsid w:val="00C857F7"/>
    <w:rsid w:val="00C8634F"/>
    <w:rsid w:val="00C8690B"/>
    <w:rsid w:val="00C872CC"/>
    <w:rsid w:val="00C875A8"/>
    <w:rsid w:val="00C87997"/>
    <w:rsid w:val="00C902B6"/>
    <w:rsid w:val="00C9040C"/>
    <w:rsid w:val="00C904F3"/>
    <w:rsid w:val="00C908EF"/>
    <w:rsid w:val="00C91D12"/>
    <w:rsid w:val="00C94733"/>
    <w:rsid w:val="00C967EF"/>
    <w:rsid w:val="00C97327"/>
    <w:rsid w:val="00C977A8"/>
    <w:rsid w:val="00CA164D"/>
    <w:rsid w:val="00CA3BD2"/>
    <w:rsid w:val="00CA429B"/>
    <w:rsid w:val="00CA5905"/>
    <w:rsid w:val="00CA6B0F"/>
    <w:rsid w:val="00CA7614"/>
    <w:rsid w:val="00CA7768"/>
    <w:rsid w:val="00CA7EF2"/>
    <w:rsid w:val="00CB0E57"/>
    <w:rsid w:val="00CB162D"/>
    <w:rsid w:val="00CB1736"/>
    <w:rsid w:val="00CB2F2C"/>
    <w:rsid w:val="00CB3E6F"/>
    <w:rsid w:val="00CB5A4F"/>
    <w:rsid w:val="00CB5EF9"/>
    <w:rsid w:val="00CB77E9"/>
    <w:rsid w:val="00CB7D89"/>
    <w:rsid w:val="00CC0327"/>
    <w:rsid w:val="00CC1E9D"/>
    <w:rsid w:val="00CC269B"/>
    <w:rsid w:val="00CC3C57"/>
    <w:rsid w:val="00CC4EE1"/>
    <w:rsid w:val="00CC5D33"/>
    <w:rsid w:val="00CC6124"/>
    <w:rsid w:val="00CC671A"/>
    <w:rsid w:val="00CC72F2"/>
    <w:rsid w:val="00CC76BC"/>
    <w:rsid w:val="00CC7DA0"/>
    <w:rsid w:val="00CD01B1"/>
    <w:rsid w:val="00CD07D4"/>
    <w:rsid w:val="00CD12BB"/>
    <w:rsid w:val="00CD2439"/>
    <w:rsid w:val="00CD6611"/>
    <w:rsid w:val="00CD6966"/>
    <w:rsid w:val="00CE11ED"/>
    <w:rsid w:val="00CE1291"/>
    <w:rsid w:val="00CE234F"/>
    <w:rsid w:val="00CE2583"/>
    <w:rsid w:val="00CE289E"/>
    <w:rsid w:val="00CE3A9F"/>
    <w:rsid w:val="00CE3C02"/>
    <w:rsid w:val="00CE40ED"/>
    <w:rsid w:val="00CE587F"/>
    <w:rsid w:val="00CE5A82"/>
    <w:rsid w:val="00CE5EBC"/>
    <w:rsid w:val="00CE64BF"/>
    <w:rsid w:val="00CE6ED1"/>
    <w:rsid w:val="00CE7350"/>
    <w:rsid w:val="00CE7DF7"/>
    <w:rsid w:val="00CF1184"/>
    <w:rsid w:val="00CF175D"/>
    <w:rsid w:val="00CF31CB"/>
    <w:rsid w:val="00CF3576"/>
    <w:rsid w:val="00CF44DA"/>
    <w:rsid w:val="00CF5E4F"/>
    <w:rsid w:val="00CF62BC"/>
    <w:rsid w:val="00CF7CCE"/>
    <w:rsid w:val="00D003AF"/>
    <w:rsid w:val="00D003B0"/>
    <w:rsid w:val="00D0040D"/>
    <w:rsid w:val="00D01932"/>
    <w:rsid w:val="00D029DE"/>
    <w:rsid w:val="00D03BD1"/>
    <w:rsid w:val="00D04D66"/>
    <w:rsid w:val="00D06068"/>
    <w:rsid w:val="00D06D79"/>
    <w:rsid w:val="00D10277"/>
    <w:rsid w:val="00D107FE"/>
    <w:rsid w:val="00D10A92"/>
    <w:rsid w:val="00D1521D"/>
    <w:rsid w:val="00D156F9"/>
    <w:rsid w:val="00D169BB"/>
    <w:rsid w:val="00D21059"/>
    <w:rsid w:val="00D21232"/>
    <w:rsid w:val="00D212C5"/>
    <w:rsid w:val="00D2148D"/>
    <w:rsid w:val="00D22C7B"/>
    <w:rsid w:val="00D23B55"/>
    <w:rsid w:val="00D24065"/>
    <w:rsid w:val="00D24DCE"/>
    <w:rsid w:val="00D256AC"/>
    <w:rsid w:val="00D25A71"/>
    <w:rsid w:val="00D26994"/>
    <w:rsid w:val="00D320AC"/>
    <w:rsid w:val="00D3304B"/>
    <w:rsid w:val="00D3444F"/>
    <w:rsid w:val="00D359BF"/>
    <w:rsid w:val="00D36DB4"/>
    <w:rsid w:val="00D371D3"/>
    <w:rsid w:val="00D37299"/>
    <w:rsid w:val="00D40690"/>
    <w:rsid w:val="00D4083C"/>
    <w:rsid w:val="00D40B27"/>
    <w:rsid w:val="00D41F98"/>
    <w:rsid w:val="00D42141"/>
    <w:rsid w:val="00D42448"/>
    <w:rsid w:val="00D42616"/>
    <w:rsid w:val="00D42D11"/>
    <w:rsid w:val="00D430A0"/>
    <w:rsid w:val="00D44EEB"/>
    <w:rsid w:val="00D45141"/>
    <w:rsid w:val="00D4564B"/>
    <w:rsid w:val="00D46467"/>
    <w:rsid w:val="00D47251"/>
    <w:rsid w:val="00D50179"/>
    <w:rsid w:val="00D50B05"/>
    <w:rsid w:val="00D513C2"/>
    <w:rsid w:val="00D51B69"/>
    <w:rsid w:val="00D51EB8"/>
    <w:rsid w:val="00D52607"/>
    <w:rsid w:val="00D53469"/>
    <w:rsid w:val="00D5391A"/>
    <w:rsid w:val="00D53C4A"/>
    <w:rsid w:val="00D5524E"/>
    <w:rsid w:val="00D556A8"/>
    <w:rsid w:val="00D55B61"/>
    <w:rsid w:val="00D56420"/>
    <w:rsid w:val="00D578D6"/>
    <w:rsid w:val="00D57EC9"/>
    <w:rsid w:val="00D60251"/>
    <w:rsid w:val="00D60483"/>
    <w:rsid w:val="00D609A0"/>
    <w:rsid w:val="00D61BA1"/>
    <w:rsid w:val="00D61EC4"/>
    <w:rsid w:val="00D62FE0"/>
    <w:rsid w:val="00D6328E"/>
    <w:rsid w:val="00D63B93"/>
    <w:rsid w:val="00D644F7"/>
    <w:rsid w:val="00D64D43"/>
    <w:rsid w:val="00D6533E"/>
    <w:rsid w:val="00D6543B"/>
    <w:rsid w:val="00D66304"/>
    <w:rsid w:val="00D66B6B"/>
    <w:rsid w:val="00D675A8"/>
    <w:rsid w:val="00D67794"/>
    <w:rsid w:val="00D67D0E"/>
    <w:rsid w:val="00D7004B"/>
    <w:rsid w:val="00D7190C"/>
    <w:rsid w:val="00D71CB9"/>
    <w:rsid w:val="00D7207F"/>
    <w:rsid w:val="00D72152"/>
    <w:rsid w:val="00D72F0A"/>
    <w:rsid w:val="00D75AFF"/>
    <w:rsid w:val="00D75EC4"/>
    <w:rsid w:val="00D7634D"/>
    <w:rsid w:val="00D8018F"/>
    <w:rsid w:val="00D830F3"/>
    <w:rsid w:val="00D84245"/>
    <w:rsid w:val="00D84264"/>
    <w:rsid w:val="00D85B2B"/>
    <w:rsid w:val="00D86727"/>
    <w:rsid w:val="00D90E54"/>
    <w:rsid w:val="00D928C0"/>
    <w:rsid w:val="00D928FB"/>
    <w:rsid w:val="00D93867"/>
    <w:rsid w:val="00D941C7"/>
    <w:rsid w:val="00D94661"/>
    <w:rsid w:val="00D94930"/>
    <w:rsid w:val="00D95A89"/>
    <w:rsid w:val="00D95D4E"/>
    <w:rsid w:val="00D960E1"/>
    <w:rsid w:val="00D966A4"/>
    <w:rsid w:val="00D966D0"/>
    <w:rsid w:val="00D966F4"/>
    <w:rsid w:val="00D97FC7"/>
    <w:rsid w:val="00DA1891"/>
    <w:rsid w:val="00DA31A6"/>
    <w:rsid w:val="00DA3763"/>
    <w:rsid w:val="00DA6543"/>
    <w:rsid w:val="00DB0A43"/>
    <w:rsid w:val="00DB2237"/>
    <w:rsid w:val="00DB28F9"/>
    <w:rsid w:val="00DB4AA1"/>
    <w:rsid w:val="00DB5270"/>
    <w:rsid w:val="00DB52CA"/>
    <w:rsid w:val="00DB6BA8"/>
    <w:rsid w:val="00DB7F50"/>
    <w:rsid w:val="00DC0AFF"/>
    <w:rsid w:val="00DC0D5D"/>
    <w:rsid w:val="00DC0F59"/>
    <w:rsid w:val="00DC1118"/>
    <w:rsid w:val="00DC1B4D"/>
    <w:rsid w:val="00DC2531"/>
    <w:rsid w:val="00DC278C"/>
    <w:rsid w:val="00DC315C"/>
    <w:rsid w:val="00DC3D99"/>
    <w:rsid w:val="00DC3E2F"/>
    <w:rsid w:val="00DC5106"/>
    <w:rsid w:val="00DC5BC3"/>
    <w:rsid w:val="00DC5EB2"/>
    <w:rsid w:val="00DC5FBC"/>
    <w:rsid w:val="00DC6104"/>
    <w:rsid w:val="00DC63B9"/>
    <w:rsid w:val="00DC6F41"/>
    <w:rsid w:val="00DC7AD8"/>
    <w:rsid w:val="00DD08E9"/>
    <w:rsid w:val="00DD458C"/>
    <w:rsid w:val="00DD4B17"/>
    <w:rsid w:val="00DD53B0"/>
    <w:rsid w:val="00DD5B2C"/>
    <w:rsid w:val="00DD5CAA"/>
    <w:rsid w:val="00DD65B2"/>
    <w:rsid w:val="00DD7E67"/>
    <w:rsid w:val="00DE06BD"/>
    <w:rsid w:val="00DE1107"/>
    <w:rsid w:val="00DE2397"/>
    <w:rsid w:val="00DE2848"/>
    <w:rsid w:val="00DE3511"/>
    <w:rsid w:val="00DE391F"/>
    <w:rsid w:val="00DE3CCF"/>
    <w:rsid w:val="00DE403C"/>
    <w:rsid w:val="00DE459E"/>
    <w:rsid w:val="00DE4850"/>
    <w:rsid w:val="00DE5776"/>
    <w:rsid w:val="00DE5C67"/>
    <w:rsid w:val="00DE5FE8"/>
    <w:rsid w:val="00DE66E7"/>
    <w:rsid w:val="00DE67DA"/>
    <w:rsid w:val="00DE6B4D"/>
    <w:rsid w:val="00DE6BAB"/>
    <w:rsid w:val="00DE7104"/>
    <w:rsid w:val="00DE7F06"/>
    <w:rsid w:val="00DF0382"/>
    <w:rsid w:val="00DF051B"/>
    <w:rsid w:val="00DF2795"/>
    <w:rsid w:val="00DF3AFA"/>
    <w:rsid w:val="00DF4176"/>
    <w:rsid w:val="00DF4C0F"/>
    <w:rsid w:val="00DF5045"/>
    <w:rsid w:val="00DF5BB3"/>
    <w:rsid w:val="00DF62F9"/>
    <w:rsid w:val="00DF6DCC"/>
    <w:rsid w:val="00DF7057"/>
    <w:rsid w:val="00DF7937"/>
    <w:rsid w:val="00E0023D"/>
    <w:rsid w:val="00E00420"/>
    <w:rsid w:val="00E0111A"/>
    <w:rsid w:val="00E01366"/>
    <w:rsid w:val="00E02E01"/>
    <w:rsid w:val="00E0326F"/>
    <w:rsid w:val="00E04428"/>
    <w:rsid w:val="00E04563"/>
    <w:rsid w:val="00E049E1"/>
    <w:rsid w:val="00E06E8B"/>
    <w:rsid w:val="00E07309"/>
    <w:rsid w:val="00E07C98"/>
    <w:rsid w:val="00E10896"/>
    <w:rsid w:val="00E11604"/>
    <w:rsid w:val="00E12300"/>
    <w:rsid w:val="00E1281A"/>
    <w:rsid w:val="00E1307C"/>
    <w:rsid w:val="00E14896"/>
    <w:rsid w:val="00E15524"/>
    <w:rsid w:val="00E1597E"/>
    <w:rsid w:val="00E1628E"/>
    <w:rsid w:val="00E17B3D"/>
    <w:rsid w:val="00E208B5"/>
    <w:rsid w:val="00E20BEE"/>
    <w:rsid w:val="00E21947"/>
    <w:rsid w:val="00E21C42"/>
    <w:rsid w:val="00E222C8"/>
    <w:rsid w:val="00E225FB"/>
    <w:rsid w:val="00E22A8E"/>
    <w:rsid w:val="00E22F70"/>
    <w:rsid w:val="00E2476E"/>
    <w:rsid w:val="00E25CCF"/>
    <w:rsid w:val="00E2655E"/>
    <w:rsid w:val="00E3181E"/>
    <w:rsid w:val="00E32CEB"/>
    <w:rsid w:val="00E337BC"/>
    <w:rsid w:val="00E34B02"/>
    <w:rsid w:val="00E34B24"/>
    <w:rsid w:val="00E35482"/>
    <w:rsid w:val="00E35CAB"/>
    <w:rsid w:val="00E35CAD"/>
    <w:rsid w:val="00E37145"/>
    <w:rsid w:val="00E40019"/>
    <w:rsid w:val="00E40492"/>
    <w:rsid w:val="00E4058F"/>
    <w:rsid w:val="00E40F2A"/>
    <w:rsid w:val="00E41A7D"/>
    <w:rsid w:val="00E42948"/>
    <w:rsid w:val="00E42DC1"/>
    <w:rsid w:val="00E4457D"/>
    <w:rsid w:val="00E44814"/>
    <w:rsid w:val="00E44C4E"/>
    <w:rsid w:val="00E44E48"/>
    <w:rsid w:val="00E44FFF"/>
    <w:rsid w:val="00E453E2"/>
    <w:rsid w:val="00E45B99"/>
    <w:rsid w:val="00E4610E"/>
    <w:rsid w:val="00E469EF"/>
    <w:rsid w:val="00E4738F"/>
    <w:rsid w:val="00E51633"/>
    <w:rsid w:val="00E5245D"/>
    <w:rsid w:val="00E52DD3"/>
    <w:rsid w:val="00E549AA"/>
    <w:rsid w:val="00E54B99"/>
    <w:rsid w:val="00E55CC4"/>
    <w:rsid w:val="00E560F1"/>
    <w:rsid w:val="00E6161B"/>
    <w:rsid w:val="00E61C96"/>
    <w:rsid w:val="00E61FCC"/>
    <w:rsid w:val="00E62057"/>
    <w:rsid w:val="00E6290C"/>
    <w:rsid w:val="00E62ED4"/>
    <w:rsid w:val="00E6334B"/>
    <w:rsid w:val="00E651D0"/>
    <w:rsid w:val="00E653C7"/>
    <w:rsid w:val="00E67634"/>
    <w:rsid w:val="00E67C79"/>
    <w:rsid w:val="00E701CD"/>
    <w:rsid w:val="00E731A1"/>
    <w:rsid w:val="00E7350A"/>
    <w:rsid w:val="00E77669"/>
    <w:rsid w:val="00E81159"/>
    <w:rsid w:val="00E81730"/>
    <w:rsid w:val="00E81BCB"/>
    <w:rsid w:val="00E82AD6"/>
    <w:rsid w:val="00E82E2C"/>
    <w:rsid w:val="00E835A0"/>
    <w:rsid w:val="00E8477B"/>
    <w:rsid w:val="00E849B5"/>
    <w:rsid w:val="00E84C73"/>
    <w:rsid w:val="00E85BE4"/>
    <w:rsid w:val="00E90E0E"/>
    <w:rsid w:val="00E91F16"/>
    <w:rsid w:val="00E9689A"/>
    <w:rsid w:val="00EA0835"/>
    <w:rsid w:val="00EA12F8"/>
    <w:rsid w:val="00EA219D"/>
    <w:rsid w:val="00EA2B7E"/>
    <w:rsid w:val="00EA3AAB"/>
    <w:rsid w:val="00EB0229"/>
    <w:rsid w:val="00EB0BA2"/>
    <w:rsid w:val="00EB10DB"/>
    <w:rsid w:val="00EB113C"/>
    <w:rsid w:val="00EB178D"/>
    <w:rsid w:val="00EB1A85"/>
    <w:rsid w:val="00EB2177"/>
    <w:rsid w:val="00EB225D"/>
    <w:rsid w:val="00EB3C97"/>
    <w:rsid w:val="00EB497E"/>
    <w:rsid w:val="00EB5BCA"/>
    <w:rsid w:val="00EB62BB"/>
    <w:rsid w:val="00EB658B"/>
    <w:rsid w:val="00EB69C2"/>
    <w:rsid w:val="00EB74C1"/>
    <w:rsid w:val="00EC0B5E"/>
    <w:rsid w:val="00EC18F1"/>
    <w:rsid w:val="00EC2B47"/>
    <w:rsid w:val="00EC3079"/>
    <w:rsid w:val="00EC44CD"/>
    <w:rsid w:val="00EC454B"/>
    <w:rsid w:val="00EC4D79"/>
    <w:rsid w:val="00EC4FED"/>
    <w:rsid w:val="00EC511E"/>
    <w:rsid w:val="00EC5F37"/>
    <w:rsid w:val="00EC6132"/>
    <w:rsid w:val="00ED1496"/>
    <w:rsid w:val="00ED187D"/>
    <w:rsid w:val="00ED1B1C"/>
    <w:rsid w:val="00ED27CB"/>
    <w:rsid w:val="00ED3B99"/>
    <w:rsid w:val="00ED480E"/>
    <w:rsid w:val="00ED5530"/>
    <w:rsid w:val="00ED67F0"/>
    <w:rsid w:val="00ED7F88"/>
    <w:rsid w:val="00EE2476"/>
    <w:rsid w:val="00EE24BF"/>
    <w:rsid w:val="00EE3498"/>
    <w:rsid w:val="00EE3BB1"/>
    <w:rsid w:val="00EE4A47"/>
    <w:rsid w:val="00EE50B9"/>
    <w:rsid w:val="00EE5257"/>
    <w:rsid w:val="00EE5FE1"/>
    <w:rsid w:val="00EE7488"/>
    <w:rsid w:val="00EE7EA8"/>
    <w:rsid w:val="00EF008D"/>
    <w:rsid w:val="00EF04A1"/>
    <w:rsid w:val="00EF1488"/>
    <w:rsid w:val="00EF1E76"/>
    <w:rsid w:val="00EF3146"/>
    <w:rsid w:val="00EF361C"/>
    <w:rsid w:val="00EF3FF1"/>
    <w:rsid w:val="00EF41E5"/>
    <w:rsid w:val="00EF4571"/>
    <w:rsid w:val="00EF564A"/>
    <w:rsid w:val="00EF6E49"/>
    <w:rsid w:val="00EF778C"/>
    <w:rsid w:val="00EF7D29"/>
    <w:rsid w:val="00F00315"/>
    <w:rsid w:val="00F01EB4"/>
    <w:rsid w:val="00F02139"/>
    <w:rsid w:val="00F02C9A"/>
    <w:rsid w:val="00F02D20"/>
    <w:rsid w:val="00F03EAC"/>
    <w:rsid w:val="00F05FB0"/>
    <w:rsid w:val="00F066A3"/>
    <w:rsid w:val="00F1007F"/>
    <w:rsid w:val="00F10080"/>
    <w:rsid w:val="00F113B0"/>
    <w:rsid w:val="00F1211A"/>
    <w:rsid w:val="00F1264C"/>
    <w:rsid w:val="00F13C1C"/>
    <w:rsid w:val="00F1534B"/>
    <w:rsid w:val="00F16130"/>
    <w:rsid w:val="00F16179"/>
    <w:rsid w:val="00F17F04"/>
    <w:rsid w:val="00F20246"/>
    <w:rsid w:val="00F207B6"/>
    <w:rsid w:val="00F233D8"/>
    <w:rsid w:val="00F23EB9"/>
    <w:rsid w:val="00F24FE8"/>
    <w:rsid w:val="00F25618"/>
    <w:rsid w:val="00F2761F"/>
    <w:rsid w:val="00F312FC"/>
    <w:rsid w:val="00F31D7C"/>
    <w:rsid w:val="00F31EB6"/>
    <w:rsid w:val="00F326C2"/>
    <w:rsid w:val="00F329CE"/>
    <w:rsid w:val="00F34DC7"/>
    <w:rsid w:val="00F35216"/>
    <w:rsid w:val="00F358A8"/>
    <w:rsid w:val="00F363B9"/>
    <w:rsid w:val="00F36AA8"/>
    <w:rsid w:val="00F37324"/>
    <w:rsid w:val="00F40BFC"/>
    <w:rsid w:val="00F41101"/>
    <w:rsid w:val="00F42C31"/>
    <w:rsid w:val="00F42C51"/>
    <w:rsid w:val="00F432B1"/>
    <w:rsid w:val="00F4350A"/>
    <w:rsid w:val="00F44A8B"/>
    <w:rsid w:val="00F45328"/>
    <w:rsid w:val="00F508A3"/>
    <w:rsid w:val="00F51278"/>
    <w:rsid w:val="00F517C3"/>
    <w:rsid w:val="00F52075"/>
    <w:rsid w:val="00F52DA8"/>
    <w:rsid w:val="00F5330E"/>
    <w:rsid w:val="00F551D5"/>
    <w:rsid w:val="00F55F59"/>
    <w:rsid w:val="00F57548"/>
    <w:rsid w:val="00F605E4"/>
    <w:rsid w:val="00F606ED"/>
    <w:rsid w:val="00F60856"/>
    <w:rsid w:val="00F6116C"/>
    <w:rsid w:val="00F624C0"/>
    <w:rsid w:val="00F630F1"/>
    <w:rsid w:val="00F63CFD"/>
    <w:rsid w:val="00F63D21"/>
    <w:rsid w:val="00F64434"/>
    <w:rsid w:val="00F64482"/>
    <w:rsid w:val="00F64498"/>
    <w:rsid w:val="00F64579"/>
    <w:rsid w:val="00F65568"/>
    <w:rsid w:val="00F65623"/>
    <w:rsid w:val="00F65B8F"/>
    <w:rsid w:val="00F66B71"/>
    <w:rsid w:val="00F66EF6"/>
    <w:rsid w:val="00F67A22"/>
    <w:rsid w:val="00F67D08"/>
    <w:rsid w:val="00F7083B"/>
    <w:rsid w:val="00F70CBA"/>
    <w:rsid w:val="00F7168B"/>
    <w:rsid w:val="00F72C00"/>
    <w:rsid w:val="00F742F1"/>
    <w:rsid w:val="00F74832"/>
    <w:rsid w:val="00F7486E"/>
    <w:rsid w:val="00F759F4"/>
    <w:rsid w:val="00F7660E"/>
    <w:rsid w:val="00F76F13"/>
    <w:rsid w:val="00F77174"/>
    <w:rsid w:val="00F77803"/>
    <w:rsid w:val="00F77936"/>
    <w:rsid w:val="00F77947"/>
    <w:rsid w:val="00F805C2"/>
    <w:rsid w:val="00F80ACB"/>
    <w:rsid w:val="00F80C07"/>
    <w:rsid w:val="00F81082"/>
    <w:rsid w:val="00F810C0"/>
    <w:rsid w:val="00F81430"/>
    <w:rsid w:val="00F818E2"/>
    <w:rsid w:val="00F833A8"/>
    <w:rsid w:val="00F86DAF"/>
    <w:rsid w:val="00F92C1F"/>
    <w:rsid w:val="00F93877"/>
    <w:rsid w:val="00F93EB8"/>
    <w:rsid w:val="00F93EF3"/>
    <w:rsid w:val="00F93FD7"/>
    <w:rsid w:val="00F945CD"/>
    <w:rsid w:val="00F96986"/>
    <w:rsid w:val="00FA27DF"/>
    <w:rsid w:val="00FA33A5"/>
    <w:rsid w:val="00FA37F1"/>
    <w:rsid w:val="00FA4826"/>
    <w:rsid w:val="00FA4C85"/>
    <w:rsid w:val="00FA4EE7"/>
    <w:rsid w:val="00FA4FF2"/>
    <w:rsid w:val="00FA64D3"/>
    <w:rsid w:val="00FA7082"/>
    <w:rsid w:val="00FA74C7"/>
    <w:rsid w:val="00FA7CC4"/>
    <w:rsid w:val="00FB3C03"/>
    <w:rsid w:val="00FB470B"/>
    <w:rsid w:val="00FB4831"/>
    <w:rsid w:val="00FB5517"/>
    <w:rsid w:val="00FB65AE"/>
    <w:rsid w:val="00FC060E"/>
    <w:rsid w:val="00FC0A56"/>
    <w:rsid w:val="00FC1280"/>
    <w:rsid w:val="00FC159E"/>
    <w:rsid w:val="00FC1D6F"/>
    <w:rsid w:val="00FC1EFA"/>
    <w:rsid w:val="00FC2CB8"/>
    <w:rsid w:val="00FC3698"/>
    <w:rsid w:val="00FC3E35"/>
    <w:rsid w:val="00FC429E"/>
    <w:rsid w:val="00FC42D5"/>
    <w:rsid w:val="00FC661B"/>
    <w:rsid w:val="00FC7C0C"/>
    <w:rsid w:val="00FC7FD0"/>
    <w:rsid w:val="00FD0408"/>
    <w:rsid w:val="00FD1841"/>
    <w:rsid w:val="00FD1CBC"/>
    <w:rsid w:val="00FD1CE3"/>
    <w:rsid w:val="00FD24FF"/>
    <w:rsid w:val="00FD304B"/>
    <w:rsid w:val="00FD39DE"/>
    <w:rsid w:val="00FD4737"/>
    <w:rsid w:val="00FD49D7"/>
    <w:rsid w:val="00FD5A99"/>
    <w:rsid w:val="00FD5B37"/>
    <w:rsid w:val="00FD6082"/>
    <w:rsid w:val="00FD6415"/>
    <w:rsid w:val="00FD69C9"/>
    <w:rsid w:val="00FD6DA3"/>
    <w:rsid w:val="00FD7D68"/>
    <w:rsid w:val="00FE0469"/>
    <w:rsid w:val="00FE0D9F"/>
    <w:rsid w:val="00FE1075"/>
    <w:rsid w:val="00FE1194"/>
    <w:rsid w:val="00FE1381"/>
    <w:rsid w:val="00FE1C05"/>
    <w:rsid w:val="00FE20C4"/>
    <w:rsid w:val="00FE2AF3"/>
    <w:rsid w:val="00FE3084"/>
    <w:rsid w:val="00FE3D79"/>
    <w:rsid w:val="00FE4718"/>
    <w:rsid w:val="00FE4C28"/>
    <w:rsid w:val="00FE6842"/>
    <w:rsid w:val="00FE79C3"/>
    <w:rsid w:val="00FE7A1F"/>
    <w:rsid w:val="00FF1726"/>
    <w:rsid w:val="00FF42EE"/>
    <w:rsid w:val="00FF5BB4"/>
    <w:rsid w:val="00FF75C5"/>
    <w:rsid w:val="09460096"/>
    <w:rsid w:val="26ED348C"/>
    <w:rsid w:val="341E2311"/>
    <w:rsid w:val="3FD84A23"/>
    <w:rsid w:val="40DD420C"/>
    <w:rsid w:val="438F1368"/>
    <w:rsid w:val="452E1F52"/>
    <w:rsid w:val="46D30C5C"/>
    <w:rsid w:val="4A44111E"/>
    <w:rsid w:val="54C74F0E"/>
    <w:rsid w:val="56785F66"/>
    <w:rsid w:val="622A7D63"/>
    <w:rsid w:val="658C07A4"/>
    <w:rsid w:val="695C2344"/>
    <w:rsid w:val="6E231E1D"/>
    <w:rsid w:val="73170D95"/>
    <w:rsid w:val="7A175E2E"/>
    <w:rsid w:val="7BF54E75"/>
    <w:rsid w:val="7E14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rules v:ext="edit">
        <o:r id="V:Rule1" type="connector" idref="#_x0000_s1306"/>
        <o:r id="V:Rule2" type="connector" idref="#_x0000_s1327"/>
        <o:r id="V:Rule3" type="connector" idref="#_x0000_s1328"/>
        <o:r id="V:Rule4" type="connector" idref="#_x0000_s1332"/>
        <o:r id="V:Rule5" type="connector" idref="#_x0000_s1333"/>
        <o:r id="V:Rule6" type="connector" idref="#_x0000_s1334"/>
        <o:r id="V:Rule7" type="connector" idref="#_x0000_s1335"/>
        <o:r id="V:Rule8" type="connector" idref="#_x0000_s1344"/>
        <o:r id="V:Rule9" type="connector" idref="#_x0000_s1345"/>
        <o:r id="V:Rule10" type="connector" idref="#_x0000_s1346"/>
        <o:r id="V:Rule11" type="connector" idref="#_x0000_s1347"/>
        <o:r id="V:Rule12" type="connector" idref="#_x0000_s1360"/>
        <o:r id="V:Rule13" type="connector" idref="#_x0000_s1361"/>
        <o:r id="V:Rule14" type="connector" idref="#_x0000_s1362"/>
        <o:r id="V:Rule15" type="connector" idref="#_x0000_s1363"/>
        <o:r id="V:Rule16" type="connector" idref="#_x0000_s1367"/>
        <o:r id="V:Rule17" type="connector" idref="#_x0000_s14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7"/>
    <w:qFormat/>
    <w:uiPriority w:val="0"/>
    <w:pPr>
      <w:keepLines/>
      <w:adjustRightInd w:val="0"/>
      <w:spacing w:before="260" w:after="260"/>
      <w:jc w:val="left"/>
      <w:textAlignment w:val="baseline"/>
      <w:outlineLvl w:val="0"/>
    </w:pPr>
    <w:rPr>
      <w:rFonts w:ascii="黑体" w:hAnsi="Verdana" w:eastAsia="黑体" w:cs="Times New Roman"/>
      <w:kern w:val="0"/>
      <w:szCs w:val="20"/>
    </w:rPr>
  </w:style>
  <w:style w:type="paragraph" w:styleId="5">
    <w:name w:val="heading 3"/>
    <w:basedOn w:val="1"/>
    <w:next w:val="1"/>
    <w:link w:val="2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19"/>
    <w:qFormat/>
    <w:uiPriority w:val="0"/>
    <w:pPr>
      <w:tabs>
        <w:tab w:val="left" w:pos="2400"/>
      </w:tabs>
      <w:adjustRightInd w:val="0"/>
      <w:spacing w:after="0"/>
      <w:textAlignment w:val="baseline"/>
    </w:pPr>
    <w:rPr>
      <w:rFonts w:ascii="Times New Roman" w:hAnsi="Times New Roman" w:eastAsia="宋体" w:cs="Times New Roman"/>
      <w:kern w:val="0"/>
      <w:szCs w:val="21"/>
    </w:rPr>
  </w:style>
  <w:style w:type="paragraph" w:styleId="4">
    <w:name w:val="Body Text"/>
    <w:basedOn w:val="1"/>
    <w:link w:val="18"/>
    <w:semiHidden/>
    <w:unhideWhenUsed/>
    <w:qFormat/>
    <w:uiPriority w:val="99"/>
    <w:pPr>
      <w:spacing w:after="120"/>
    </w:pPr>
  </w:style>
  <w:style w:type="paragraph" w:styleId="6">
    <w:name w:val="annotation text"/>
    <w:basedOn w:val="1"/>
    <w:link w:val="16"/>
    <w:qFormat/>
    <w:uiPriority w:val="0"/>
    <w:pPr>
      <w:spacing w:line="360" w:lineRule="auto"/>
      <w:jc w:val="left"/>
    </w:pPr>
    <w:rPr>
      <w:rFonts w:ascii="宋体" w:hAnsi="宋体" w:eastAsia="宋体" w:cs="Times New Roman"/>
      <w:szCs w:val="24"/>
    </w:rPr>
  </w:style>
  <w:style w:type="paragraph" w:styleId="7">
    <w:name w:val="Body Text Indent"/>
    <w:basedOn w:val="1"/>
    <w:link w:val="20"/>
    <w:unhideWhenUsed/>
    <w:qFormat/>
    <w:uiPriority w:val="99"/>
    <w:pPr>
      <w:spacing w:after="120"/>
      <w:ind w:left="420" w:leftChars="20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left" w:pos="360"/>
      </w:tabs>
      <w:adjustRightInd w:val="0"/>
      <w:ind w:left="360" w:hanging="360"/>
      <w:jc w:val="left"/>
      <w:textAlignment w:val="baseline"/>
    </w:pPr>
    <w:rPr>
      <w:rFonts w:ascii="宋体" w:hAnsi="宋体" w:eastAsia="宋体" w:cs="Times New Roman"/>
      <w:caps/>
      <w:kern w:val="0"/>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批注文字 Char"/>
    <w:basedOn w:val="14"/>
    <w:link w:val="6"/>
    <w:qFormat/>
    <w:uiPriority w:val="0"/>
    <w:rPr>
      <w:rFonts w:ascii="宋体" w:hAnsi="宋体" w:eastAsia="宋体" w:cs="Times New Roman"/>
      <w:szCs w:val="24"/>
    </w:rPr>
  </w:style>
  <w:style w:type="character" w:customStyle="1" w:styleId="17">
    <w:name w:val="标题 1 Char"/>
    <w:basedOn w:val="14"/>
    <w:link w:val="2"/>
    <w:qFormat/>
    <w:uiPriority w:val="0"/>
    <w:rPr>
      <w:rFonts w:ascii="黑体" w:hAnsi="Verdana" w:eastAsia="黑体" w:cs="Times New Roman"/>
      <w:kern w:val="0"/>
      <w:szCs w:val="20"/>
    </w:rPr>
  </w:style>
  <w:style w:type="character" w:customStyle="1" w:styleId="18">
    <w:name w:val="正文文本 Char"/>
    <w:basedOn w:val="14"/>
    <w:link w:val="4"/>
    <w:semiHidden/>
    <w:qFormat/>
    <w:uiPriority w:val="99"/>
  </w:style>
  <w:style w:type="character" w:customStyle="1" w:styleId="19">
    <w:name w:val="正文首行缩进 Char"/>
    <w:basedOn w:val="18"/>
    <w:link w:val="3"/>
    <w:qFormat/>
    <w:uiPriority w:val="0"/>
    <w:rPr>
      <w:rFonts w:ascii="Times New Roman" w:hAnsi="Times New Roman" w:eastAsia="宋体" w:cs="Times New Roman"/>
      <w:kern w:val="0"/>
      <w:szCs w:val="21"/>
    </w:rPr>
  </w:style>
  <w:style w:type="character" w:customStyle="1" w:styleId="20">
    <w:name w:val="正文文本缩进 Char"/>
    <w:basedOn w:val="14"/>
    <w:link w:val="7"/>
    <w:qFormat/>
    <w:uiPriority w:val="99"/>
  </w:style>
  <w:style w:type="character" w:customStyle="1" w:styleId="21">
    <w:name w:val="标题 3 Char"/>
    <w:basedOn w:val="14"/>
    <w:link w:val="5"/>
    <w:qFormat/>
    <w:uiPriority w:val="0"/>
    <w:rPr>
      <w:rFonts w:ascii="Times New Roman" w:hAnsi="Times New Roman" w:eastAsia="宋体" w:cs="Times New Roman"/>
      <w:b/>
      <w:bCs/>
      <w:sz w:val="32"/>
      <w:szCs w:val="32"/>
    </w:rPr>
  </w:style>
  <w:style w:type="character" w:customStyle="1" w:styleId="22">
    <w:name w:val="页眉 Char"/>
    <w:basedOn w:val="14"/>
    <w:link w:val="10"/>
    <w:semiHidden/>
    <w:qFormat/>
    <w:uiPriority w:val="99"/>
    <w:rPr>
      <w:sz w:val="18"/>
      <w:szCs w:val="18"/>
    </w:rPr>
  </w:style>
  <w:style w:type="character" w:customStyle="1" w:styleId="23">
    <w:name w:val="页脚 Char"/>
    <w:basedOn w:val="14"/>
    <w:link w:val="9"/>
    <w:qFormat/>
    <w:uiPriority w:val="99"/>
    <w:rPr>
      <w:sz w:val="18"/>
      <w:szCs w:val="18"/>
    </w:rPr>
  </w:style>
  <w:style w:type="character" w:customStyle="1" w:styleId="24">
    <w:name w:val="批注框文本 Char"/>
    <w:basedOn w:val="14"/>
    <w:link w:val="8"/>
    <w:semiHidden/>
    <w:qFormat/>
    <w:uiPriority w:val="99"/>
    <w:rPr>
      <w:sz w:val="18"/>
      <w:szCs w:val="18"/>
    </w:rPr>
  </w:style>
  <w:style w:type="character" w:customStyle="1" w:styleId="25">
    <w:name w:val="发布"/>
    <w:basedOn w:val="14"/>
    <w:qFormat/>
    <w:uiPriority w:val="0"/>
    <w:rPr>
      <w:rFonts w:ascii="黑体" w:eastAsia="黑体"/>
      <w:spacing w:val="22"/>
      <w:w w:val="100"/>
      <w:position w:val="3"/>
      <w:sz w:val="28"/>
    </w:rPr>
  </w:style>
  <w:style w:type="paragraph" w:customStyle="1" w:styleId="2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7">
    <w:name w:val="篇"/>
    <w:basedOn w:val="1"/>
    <w:next w:val="1"/>
    <w:qFormat/>
    <w:uiPriority w:val="0"/>
    <w:pPr>
      <w:adjustRightInd w:val="0"/>
      <w:spacing w:line="360" w:lineRule="atLeast"/>
      <w:jc w:val="center"/>
      <w:textAlignment w:val="baseline"/>
    </w:pPr>
    <w:rPr>
      <w:rFonts w:ascii="Times New Roman" w:hAnsi="Times New Roman" w:eastAsia="黑体" w:cs="Times New Roman"/>
      <w:kern w:val="0"/>
      <w:sz w:val="24"/>
      <w:szCs w:val="20"/>
    </w:rPr>
  </w:style>
  <w:style w:type="paragraph" w:styleId="28">
    <w:name w:val="List Paragraph"/>
    <w:basedOn w:val="1"/>
    <w:qFormat/>
    <w:uiPriority w:val="34"/>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30">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1">
    <w:name w:val="标准称谓"/>
    <w:next w:val="1"/>
    <w:qFormat/>
    <w:uiPriority w:val="99"/>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character" w:styleId="32">
    <w:name w:val="Placeholder Text"/>
    <w:basedOn w:val="1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7422680412376"/>
          <c:y val="0.108695652173914"/>
          <c:w val="0.902061855670106"/>
          <c:h val="0.695652173913044"/>
        </c:manualLayout>
      </c:layout>
      <c:barChart>
        <c:barDir val="col"/>
        <c:grouping val="clustered"/>
        <c:varyColors val="0"/>
        <c:ser>
          <c:idx val="0"/>
          <c:order val="0"/>
          <c:tx>
            <c:strRef>
              <c:f>Sheet1!$A$2</c:f>
              <c:strCache>
                <c:ptCount val="1"/>
                <c:pt idx="0">
                  <c:v/>
                </c:pt>
              </c:strCache>
            </c:strRef>
          </c:tx>
          <c:spPr>
            <a:solidFill>
              <a:srgbClr val="9999FF"/>
            </a:solidFill>
            <a:ln w="7632">
              <a:solidFill>
                <a:srgbClr val="000000"/>
              </a:solidFill>
              <a:prstDash val="solid"/>
            </a:ln>
          </c:spPr>
          <c:invertIfNegative val="0"/>
          <c:dLbls>
            <c:delete val="1"/>
          </c:dLbls>
          <c:cat>
            <c:strRef>
              <c:f>Sheet1!$B$1:$F$1</c:f>
              <c:strCache>
                <c:ptCount val="5"/>
                <c:pt idx="0">
                  <c:v>M1</c:v>
                </c:pt>
                <c:pt idx="1">
                  <c:v>M2</c:v>
                </c:pt>
                <c:pt idx="2">
                  <c:v>M3</c:v>
                </c:pt>
                <c:pt idx="3">
                  <c:v>D1</c:v>
                </c:pt>
                <c:pt idx="4">
                  <c:v>MG1</c:v>
                </c:pt>
              </c:strCache>
            </c:strRef>
          </c:cat>
          <c:val>
            <c:numRef>
              <c:f>Sheet1!$B$2:$F$2</c:f>
              <c:numCache>
                <c:formatCode>General</c:formatCode>
                <c:ptCount val="5"/>
                <c:pt idx="0">
                  <c:v>6</c:v>
                </c:pt>
                <c:pt idx="1">
                  <c:v>5</c:v>
                </c:pt>
                <c:pt idx="2">
                  <c:v>3</c:v>
                </c:pt>
                <c:pt idx="3">
                  <c:v>5</c:v>
                </c:pt>
                <c:pt idx="4">
                  <c:v>4</c:v>
                </c:pt>
              </c:numCache>
            </c:numRef>
          </c:val>
        </c:ser>
        <c:dLbls>
          <c:showLegendKey val="0"/>
          <c:showVal val="0"/>
          <c:showCatName val="0"/>
          <c:showSerName val="0"/>
          <c:showPercent val="0"/>
          <c:showBubbleSize val="0"/>
        </c:dLbls>
        <c:gapWidth val="150"/>
        <c:axId val="275534592"/>
        <c:axId val="275536512"/>
      </c:barChart>
      <c:catAx>
        <c:axId val="275534592"/>
        <c:scaling>
          <c:orientation val="minMax"/>
        </c:scaling>
        <c:delete val="0"/>
        <c:axPos val="b"/>
        <c:numFmt formatCode="General" sourceLinked="1"/>
        <c:majorTickMark val="in"/>
        <c:minorTickMark val="none"/>
        <c:tickLblPos val="nextTo"/>
        <c:spPr>
          <a:ln w="1908" cap="flat" cmpd="sng" algn="ctr">
            <a:solidFill>
              <a:srgbClr val="000000"/>
            </a:solidFill>
            <a:prstDash val="solid"/>
            <a:round/>
          </a:ln>
        </c:spPr>
        <c:txPr>
          <a:bodyPr rot="0" spcFirstLastPara="0" vertOverflow="ellipsis" vert="horz" wrap="square" anchor="ctr" anchorCtr="1"/>
          <a:lstStyle/>
          <a:p>
            <a:pPr>
              <a:defRPr lang="zh-CN" sz="5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75536512"/>
        <c:crosses val="autoZero"/>
        <c:auto val="1"/>
        <c:lblAlgn val="ctr"/>
        <c:lblOffset val="100"/>
        <c:tickLblSkip val="1"/>
        <c:noMultiLvlLbl val="0"/>
      </c:catAx>
      <c:valAx>
        <c:axId val="275536512"/>
        <c:scaling>
          <c:orientation val="minMax"/>
        </c:scaling>
        <c:delete val="0"/>
        <c:axPos val="l"/>
        <c:majorGridlines>
          <c:spPr>
            <a:ln w="1908" cap="flat" cmpd="sng" algn="ctr">
              <a:solidFill>
                <a:srgbClr val="000000"/>
              </a:solidFill>
              <a:prstDash val="solid"/>
              <a:round/>
            </a:ln>
          </c:spPr>
        </c:majorGridlines>
        <c:numFmt formatCode="General" sourceLinked="1"/>
        <c:majorTickMark val="in"/>
        <c:minorTickMark val="none"/>
        <c:tickLblPos val="nextTo"/>
        <c:spPr>
          <a:ln w="1908" cap="flat" cmpd="sng" algn="ctr">
            <a:solidFill>
              <a:srgbClr val="000000"/>
            </a:solidFill>
            <a:prstDash val="solid"/>
            <a:round/>
          </a:ln>
        </c:spPr>
        <c:txPr>
          <a:bodyPr rot="0" spcFirstLastPara="0" vertOverflow="ellipsis" vert="horz" wrap="square" anchor="ctr" anchorCtr="1"/>
          <a:lstStyle/>
          <a:p>
            <a:pPr>
              <a:defRPr lang="zh-CN" sz="5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75534592"/>
        <c:crosses val="autoZero"/>
        <c:crossBetween val="between"/>
      </c:valAx>
      <c:spPr>
        <a:solidFill>
          <a:srgbClr val="C0C0C0"/>
        </a:solidFill>
        <a:ln w="7632">
          <a:solidFill>
            <a:srgbClr val="808080"/>
          </a:solidFill>
          <a:prstDash val="solid"/>
        </a:ln>
      </c:spPr>
    </c:plotArea>
    <c:plotVisOnly val="1"/>
    <c:dispBlanksAs val="gap"/>
    <c:showDLblsOverMax val="0"/>
  </c:chart>
  <c:spPr>
    <a:noFill/>
    <a:ln w="9525" cap="flat" cmpd="sng" algn="ctr">
      <a:noFill/>
      <a:prstDash val="solid"/>
      <a:round/>
    </a:ln>
  </c:spPr>
  <c:txPr>
    <a:bodyPr/>
    <a:lstStyle/>
    <a:p>
      <a:pPr>
        <a:defRPr lang="zh-CN" sz="55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6666666666674"/>
          <c:y val="0.0990990990991001"/>
          <c:w val="0.883333333333333"/>
          <c:h val="0.716216216216216"/>
        </c:manualLayout>
      </c:layout>
      <c:barChart>
        <c:barDir val="col"/>
        <c:grouping val="clustered"/>
        <c:varyColors val="0"/>
        <c:ser>
          <c:idx val="0"/>
          <c:order val="0"/>
          <c:tx>
            <c:strRef>
              <c:f>Sheet1!$A$2</c:f>
              <c:strCache>
                <c:ptCount val="1"/>
                <c:pt idx="0">
                  <c:v/>
                </c:pt>
              </c:strCache>
            </c:strRef>
          </c:tx>
          <c:spPr>
            <a:solidFill>
              <a:srgbClr val="9999FF"/>
            </a:solidFill>
            <a:ln w="7608">
              <a:solidFill>
                <a:srgbClr val="000000"/>
              </a:solidFill>
              <a:prstDash val="solid"/>
            </a:ln>
          </c:spPr>
          <c:invertIfNegative val="0"/>
          <c:dLbls>
            <c:delete val="1"/>
          </c:dLbls>
          <c:cat>
            <c:strRef>
              <c:f>Sheet1!$B$1:$F$1</c:f>
              <c:strCache>
                <c:ptCount val="5"/>
                <c:pt idx="0">
                  <c:v>L1.1</c:v>
                </c:pt>
                <c:pt idx="1">
                  <c:v>L1.2</c:v>
                </c:pt>
                <c:pt idx="2">
                  <c:v>L1.3</c:v>
                </c:pt>
                <c:pt idx="3">
                  <c:v>L2.1</c:v>
                </c:pt>
                <c:pt idx="4">
                  <c:v>L2.2</c:v>
                </c:pt>
              </c:strCache>
            </c:strRef>
          </c:cat>
          <c:val>
            <c:numRef>
              <c:f>Sheet1!$B$2:$F$2</c:f>
              <c:numCache>
                <c:formatCode>General</c:formatCode>
                <c:ptCount val="5"/>
                <c:pt idx="0">
                  <c:v>6</c:v>
                </c:pt>
                <c:pt idx="1">
                  <c:v>5</c:v>
                </c:pt>
                <c:pt idx="2">
                  <c:v>5</c:v>
                </c:pt>
                <c:pt idx="3">
                  <c:v>3</c:v>
                </c:pt>
                <c:pt idx="4">
                  <c:v>4</c:v>
                </c:pt>
              </c:numCache>
            </c:numRef>
          </c:val>
        </c:ser>
        <c:dLbls>
          <c:showLegendKey val="0"/>
          <c:showVal val="0"/>
          <c:showCatName val="0"/>
          <c:showSerName val="0"/>
          <c:showPercent val="0"/>
          <c:showBubbleSize val="0"/>
        </c:dLbls>
        <c:gapWidth val="150"/>
        <c:axId val="143693312"/>
        <c:axId val="143694848"/>
      </c:barChart>
      <c:catAx>
        <c:axId val="143693312"/>
        <c:scaling>
          <c:orientation val="minMax"/>
        </c:scaling>
        <c:delete val="0"/>
        <c:axPos val="b"/>
        <c:numFmt formatCode="General" sourceLinked="1"/>
        <c:majorTickMark val="in"/>
        <c:minorTickMark val="none"/>
        <c:tickLblPos val="nextTo"/>
        <c:spPr>
          <a:ln w="1902" cap="flat" cmpd="sng" algn="ctr">
            <a:solidFill>
              <a:srgbClr val="000000"/>
            </a:solidFill>
            <a:prstDash val="solid"/>
            <a:round/>
          </a:ln>
        </c:spPr>
        <c:txPr>
          <a:bodyPr rot="0" spcFirstLastPara="0" vertOverflow="ellipsis" vert="horz" wrap="square" anchor="ctr" anchorCtr="1"/>
          <a:lstStyle/>
          <a:p>
            <a:pPr>
              <a:defRPr lang="zh-CN" sz="6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3694848"/>
        <c:crosses val="autoZero"/>
        <c:auto val="1"/>
        <c:lblAlgn val="ctr"/>
        <c:lblOffset val="100"/>
        <c:tickLblSkip val="1"/>
        <c:noMultiLvlLbl val="0"/>
      </c:catAx>
      <c:valAx>
        <c:axId val="143694848"/>
        <c:scaling>
          <c:orientation val="minMax"/>
        </c:scaling>
        <c:delete val="0"/>
        <c:axPos val="l"/>
        <c:majorGridlines>
          <c:spPr>
            <a:ln w="1902" cap="flat" cmpd="sng" algn="ctr">
              <a:solidFill>
                <a:srgbClr val="000000"/>
              </a:solidFill>
              <a:prstDash val="solid"/>
              <a:round/>
            </a:ln>
          </c:spPr>
        </c:majorGridlines>
        <c:numFmt formatCode="General" sourceLinked="1"/>
        <c:majorTickMark val="in"/>
        <c:minorTickMark val="none"/>
        <c:tickLblPos val="nextTo"/>
        <c:spPr>
          <a:ln w="1902" cap="flat" cmpd="sng" algn="ctr">
            <a:solidFill>
              <a:srgbClr val="000000"/>
            </a:solidFill>
            <a:prstDash val="solid"/>
            <a:round/>
          </a:ln>
        </c:spPr>
        <c:txPr>
          <a:bodyPr rot="0" spcFirstLastPara="0" vertOverflow="ellipsis" vert="horz" wrap="square" anchor="ctr" anchorCtr="1"/>
          <a:lstStyle/>
          <a:p>
            <a:pPr>
              <a:defRPr lang="zh-CN" sz="6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3693312"/>
        <c:crosses val="autoZero"/>
        <c:crossBetween val="between"/>
      </c:valAx>
      <c:spPr>
        <a:solidFill>
          <a:srgbClr val="C0C0C0"/>
        </a:solidFill>
        <a:ln w="7608">
          <a:solidFill>
            <a:srgbClr val="808080"/>
          </a:solidFill>
          <a:prstDash val="solid"/>
        </a:ln>
      </c:spPr>
    </c:plotArea>
    <c:plotVisOnly val="1"/>
    <c:dispBlanksAs val="gap"/>
    <c:showDLblsOverMax val="0"/>
  </c:chart>
  <c:spPr>
    <a:noFill/>
    <a:ln w="9525" cap="flat" cmpd="sng" algn="ctr">
      <a:noFill/>
      <a:prstDash val="solid"/>
      <a:round/>
    </a:ln>
  </c:spPr>
  <c:txPr>
    <a:bodyPr/>
    <a:lstStyle/>
    <a:p>
      <a:pPr>
        <a:defRPr lang="zh-CN" sz="66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81"/>
    <customShpInfo spid="_x0000_s1082"/>
    <customShpInfo spid="_x0000_s1286"/>
    <customShpInfo spid="_x0000_s1287"/>
    <customShpInfo spid="_x0000_s1290"/>
    <customShpInfo spid="_x0000_s1291"/>
    <customShpInfo spid="_x0000_s1296"/>
    <customShpInfo spid="_x0000_s1297"/>
    <customShpInfo spid="_x0000_s1298"/>
    <customShpInfo spid="_x0000_s1313"/>
    <customShpInfo spid="_x0000_s1314"/>
    <customShpInfo spid="_x0000_s1315"/>
    <customShpInfo spid="_x0000_s1306"/>
    <customShpInfo spid="_x0000_s1327"/>
    <customShpInfo spid="_x0000_s1328"/>
    <customShpInfo spid="_x0000_s1360"/>
    <customShpInfo spid="_x0000_s1361"/>
    <customShpInfo spid="_x0000_s1347"/>
    <customShpInfo spid="_x0000_s1346"/>
    <customShpInfo spid="_x0000_s1345"/>
    <customShpInfo spid="_x0000_s1489"/>
    <customShpInfo spid="_x0000_s1332"/>
    <customShpInfo spid="_x0000_s1337"/>
    <customShpInfo spid="_x0000_s1354"/>
    <customShpInfo spid="_x0000_s1333"/>
    <customShpInfo spid="_x0000_s1338"/>
    <customShpInfo spid="_x0000_s1355"/>
    <customShpInfo spid="_x0000_s1334"/>
    <customShpInfo spid="_x0000_s1339"/>
    <customShpInfo spid="_x0000_s1356"/>
    <customShpInfo spid="_x0000_s1335"/>
    <customShpInfo spid="_x0000_s1340"/>
    <customShpInfo spid="_x0000_s1357"/>
    <customShpInfo spid="_x0000_s1358"/>
    <customShpInfo spid="_x0000_s1403"/>
    <customShpInfo spid="_x0000_s1404"/>
    <customShpInfo spid="_x0000_s1405"/>
    <customShpInfo spid="_x0000_s1344"/>
    <customShpInfo spid="_x0000_s1362"/>
    <customShpInfo spid="_x0000_s1363"/>
    <customShpInfo spid="_x0000_s1487"/>
    <customShpInfo spid="_x0000_s1488"/>
    <customShpInfo spid="_x0000_s1289"/>
    <customShpInfo spid="_x0000_s13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44439-0486-4601-99A7-2F45D5CB60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2101</Words>
  <Characters>11976</Characters>
  <Lines>99</Lines>
  <Paragraphs>28</Paragraphs>
  <TotalTime>16</TotalTime>
  <ScaleCrop>false</ScaleCrop>
  <LinksUpToDate>false</LinksUpToDate>
  <CharactersWithSpaces>14049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2022-08-09T01:44:00Z</dcterms:created>
  <dc:creator>Sky123.Org</dc:creator>
  <cp:lastModifiedBy>Administrator</cp:lastModifiedBy>
  <cp:lastPrinted>2022-09-19T01:27:00Z</cp:lastPrinted>
  <dcterms:modified xsi:type="dcterms:W3CDTF">2022-09-21T07:12:04Z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