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rPr>
          <w:b/>
          <w:color w:val="000000" w:themeColor="text1"/>
          <w14:textFill>
            <w14:solidFill>
              <w14:schemeClr w14:val="tx1"/>
            </w14:solidFill>
          </w14:textFill>
        </w:rPr>
      </w:pPr>
      <w:bookmarkStart w:id="0" w:name="SectionMark0"/>
    </w:p>
    <w:p>
      <w:pPr>
        <w:pStyle w:val="83"/>
        <w:rPr>
          <w:b/>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39"/>
          <w:pgMar w:top="1418" w:right="1418" w:bottom="1418" w:left="1418" w:header="0" w:footer="0" w:gutter="0"/>
          <w:pgNumType w:start="1"/>
          <w:cols w:space="720" w:num="1"/>
          <w:titlePg/>
          <w:docGrid w:type="lines" w:linePitch="312" w:charSpace="0"/>
        </w:sectPr>
      </w:pPr>
      <w:r>
        <w:rPr>
          <w:b/>
          <w:color w:val="000000" w:themeColor="text1"/>
          <w14:textFill>
            <w14:solidFill>
              <w14:schemeClr w14:val="tx1"/>
            </w14:solidFill>
          </w14:textFill>
        </w:rPr>
        <w:pict>
          <v:shape id="fmFrame7" o:spid="_x0000_s2050" o:spt="202" type="#_x0000_t202" style="position:absolute;left:0pt;flip:x y;margin-left:339.75pt;margin-top:660.35pt;height:31.2pt;width:36pt;mso-position-horizontal-relative:margin;mso-position-vertical-relative:margin;z-index:251660288;mso-width-relative:page;mso-height-relative:page;" stroked="f" coordsize="21600,21600">
            <v:path/>
            <v:fill focussize="0,0"/>
            <v:stroke on="f" joinstyle="miter"/>
            <v:imagedata o:title=""/>
            <o:lock v:ext="edit"/>
            <v:textbox inset="0mm,0mm,0mm,0mm">
              <w:txbxContent>
                <w:p>
                  <w:pPr>
                    <w:rPr>
                      <w:b/>
                      <w:sz w:val="28"/>
                    </w:rPr>
                  </w:pPr>
                  <w:r>
                    <w:rPr>
                      <w:rFonts w:hint="eastAsia"/>
                      <w:b/>
                      <w:sz w:val="28"/>
                    </w:rPr>
                    <w:t>发布</w:t>
                  </w:r>
                </w:p>
              </w:txbxContent>
            </v:textbox>
          </v:shape>
        </w:pict>
      </w:r>
      <w:r>
        <w:rPr>
          <w:b/>
          <w:color w:val="000000" w:themeColor="text1"/>
          <w14:textFill>
            <w14:solidFill>
              <w14:schemeClr w14:val="tx1"/>
            </w14:solidFill>
          </w14:textFill>
        </w:rPr>
        <w:pict>
          <v:shape id="_x0000_s2051" o:spid="_x0000_s2051" o:spt="202" type="#_x0000_t202" style="position:absolute;left:0pt;margin-left:95.25pt;margin-top:556.6pt;height:73.7pt;width:240.35pt;z-index:251659264;mso-width-relative:page;mso-height-relative:page;" stroked="f" coordsize="21600,21600">
            <v:path/>
            <v:fill focussize="0,0"/>
            <v:stroke on="f" joinstyle="miter"/>
            <v:imagedata o:title=""/>
            <o:lock v:ext="edit"/>
            <v:textbox>
              <w:txbxContent>
                <w:p>
                  <w:pPr>
                    <w:pStyle w:val="64"/>
                    <w:jc w:val="distribute"/>
                    <w:rPr>
                      <w:spacing w:val="0"/>
                      <w:sz w:val="32"/>
                      <w:szCs w:val="32"/>
                    </w:rPr>
                  </w:pPr>
                  <w:r>
                    <w:rPr>
                      <w:rFonts w:hint="eastAsia"/>
                      <w:spacing w:val="0"/>
                      <w:sz w:val="32"/>
                      <w:szCs w:val="32"/>
                    </w:rPr>
                    <w:t>中国有色金属工业协会</w:t>
                  </w:r>
                </w:p>
                <w:p>
                  <w:pPr>
                    <w:pStyle w:val="64"/>
                    <w:jc w:val="distribute"/>
                    <w:rPr>
                      <w:sz w:val="32"/>
                      <w:szCs w:val="32"/>
                    </w:rPr>
                  </w:pPr>
                  <w:r>
                    <w:rPr>
                      <w:rFonts w:hint="eastAsia"/>
                      <w:spacing w:val="0"/>
                      <w:w w:val="130"/>
                      <w:sz w:val="32"/>
                      <w:szCs w:val="32"/>
                    </w:rPr>
                    <w:t>中国有色金属学会</w:t>
                  </w:r>
                </w:p>
                <w:p>
                  <w:pPr>
                    <w:jc w:val="distribute"/>
                    <w:rPr>
                      <w:sz w:val="32"/>
                      <w:szCs w:val="32"/>
                    </w:rPr>
                  </w:pPr>
                </w:p>
              </w:txbxContent>
            </v:textbox>
          </v:shape>
        </w:pict>
      </w:r>
      <w:r>
        <w:rPr>
          <w:b/>
          <w:color w:val="000000" w:themeColor="text1"/>
          <w14:textFill>
            <w14:solidFill>
              <w14:schemeClr w14:val="tx1"/>
            </w14:solidFill>
          </w14:textFill>
        </w:rPr>
        <w:pict>
          <v:line id="_x0000_s2052" o:spid="_x0000_s2052" o:spt="20" style="position:absolute;left:0pt;margin-left:-9pt;margin-top:548.8pt;height:0pt;width:459pt;z-index:251658240;mso-width-relative:page;mso-height-relative:page;" stroked="t" coordsize="21600,21600">
            <v:path arrowok="t"/>
            <v:fill focussize="0,0"/>
            <v:stroke weight="1pt" color="#800008"/>
            <v:imagedata o:title=""/>
            <o:lock v:ext="edit"/>
          </v:line>
        </w:pict>
      </w:r>
      <w:r>
        <w:rPr>
          <w:b/>
          <w:color w:val="000000" w:themeColor="text1"/>
          <w14:textFill>
            <w14:solidFill>
              <w14:schemeClr w14:val="tx1"/>
            </w14:solidFill>
          </w14:textFill>
        </w:rPr>
        <w:pict>
          <v:line id="_x0000_s2053" o:spid="_x0000_s2053" o:spt="20" style="position:absolute;left:0pt;margin-left:-4.1pt;margin-top:67pt;height:0pt;width:468pt;z-index:251658240;mso-width-relative:page;mso-height-relative:page;" stroked="t" coordsize="21600,21600">
            <v:path arrowok="t"/>
            <v:fill focussize="0,0"/>
            <v:stroke weight="1pt" color="#800008"/>
            <v:imagedata o:title=""/>
            <o:lock v:ext="edit"/>
          </v:line>
        </w:pict>
      </w:r>
      <w:r>
        <w:rPr>
          <w:b/>
          <w:color w:val="000000" w:themeColor="text1"/>
          <w14:textFill>
            <w14:solidFill>
              <w14:schemeClr w14:val="tx1"/>
            </w14:solidFill>
          </w14:textFill>
        </w:rPr>
        <w:pict>
          <v:shape id="_x0000_s2054" o:spid="_x0000_s2054" o:spt="202" type="#_x0000_t202" style="position:absolute;left:0pt;margin-left:205pt;margin-top:-36.4pt;height:71.25pt;width:236pt;mso-position-horizontal-relative:margin;mso-position-vertical-relative:margin;z-index:251661312;mso-width-relative:page;mso-height-relative:page;" stroked="f" coordsize="21600,21600">
            <v:path/>
            <v:fill focussize="0,0"/>
            <v:stroke on="f" joinstyle="miter"/>
            <v:imagedata o:title=""/>
            <o:lock v:ext="edit"/>
            <v:textbox inset="0mm,0mm,0mm,0mm">
              <w:txbxContent>
                <w:p>
                  <w:pPr>
                    <w:pStyle w:val="90"/>
                  </w:pPr>
                </w:p>
                <w:p>
                  <w:pPr>
                    <w:pStyle w:val="66"/>
                  </w:pPr>
                  <w:r>
                    <w:t>T/CNIA</w:t>
                  </w:r>
                </w:p>
                <w:p>
                  <w:pPr>
                    <w:pStyle w:val="90"/>
                  </w:pPr>
                </w:p>
              </w:txbxContent>
            </v:textbox>
            <w10:anchorlock/>
          </v:shape>
        </w:pict>
      </w:r>
      <w:r>
        <w:rPr>
          <w:b/>
          <w:color w:val="000000" w:themeColor="text1"/>
          <w14:textFill>
            <w14:solidFill>
              <w14:schemeClr w14:val="tx1"/>
            </w14:solidFill>
          </w14:textFill>
        </w:rPr>
        <w:pict>
          <v:shape id="fmFrame6" o:spid="_x0000_s2055" o:spt="202" type="#_x0000_t202" style="position:absolute;left:0pt;margin-left:316.1pt;margin-top:608.4pt;height:24.6pt;width:130.9pt;mso-position-horizontal-relative:margin;mso-position-vertical-relative:margin;z-index:251657216;mso-width-relative:page;mso-height-relative:page;" stroked="f" coordsize="21600,21600">
            <v:path/>
            <v:fill focussize="0,0"/>
            <v:stroke on="f" joinstyle="miter"/>
            <v:imagedata o:title=""/>
            <o:lock v:ext="edit"/>
            <v:textbox inset="0mm,0mm,0mm,0mm">
              <w:txbxContent>
                <w:p>
                  <w:pPr>
                    <w:pStyle w:val="74"/>
                    <w:rPr>
                      <w:sz w:val="24"/>
                      <w:szCs w:val="24"/>
                    </w:rPr>
                  </w:pPr>
                  <w:r>
                    <w:rPr>
                      <w:rFonts w:hint="eastAsia"/>
                      <w:sz w:val="24"/>
                      <w:szCs w:val="24"/>
                    </w:rPr>
                    <w:t>××××-××-××实施</w:t>
                  </w:r>
                </w:p>
              </w:txbxContent>
            </v:textbox>
            <w10:anchorlock/>
          </v:shape>
        </w:pict>
      </w:r>
      <w:r>
        <w:rPr>
          <w:b/>
          <w:color w:val="000000" w:themeColor="text1"/>
          <w14:textFill>
            <w14:solidFill>
              <w14:schemeClr w14:val="tx1"/>
            </w14:solidFill>
          </w14:textFill>
        </w:rPr>
        <w:pict>
          <v:shape id="fmFrame5" o:spid="_x0000_s2056" o:spt="202" type="#_x0000_t202" style="position:absolute;left:0pt;margin-left:-9pt;margin-top:608.4pt;height:24.6pt;width:138pt;mso-position-horizontal-relative:margin;mso-position-vertical-relative:margin;z-index:251656192;mso-width-relative:page;mso-height-relative:page;" stroked="f" coordsize="21600,21600">
            <v:path/>
            <v:fill focussize="0,0"/>
            <v:stroke on="f" joinstyle="miter"/>
            <v:imagedata o:title=""/>
            <o:lock v:ext="edit"/>
            <v:textbox inset="0mm,0mm,0mm,0mm">
              <w:txbxContent>
                <w:p>
                  <w:pPr>
                    <w:pStyle w:val="75"/>
                    <w:rPr>
                      <w:sz w:val="24"/>
                      <w:szCs w:val="24"/>
                    </w:rPr>
                  </w:pPr>
                  <w:r>
                    <w:rPr>
                      <w:rFonts w:hint="eastAsia"/>
                      <w:sz w:val="24"/>
                      <w:szCs w:val="24"/>
                    </w:rPr>
                    <w:t>××××-××-××发布</w:t>
                  </w:r>
                </w:p>
              </w:txbxContent>
            </v:textbox>
            <w10:anchorlock/>
          </v:shape>
        </w:pict>
      </w:r>
      <w:r>
        <w:rPr>
          <w:b/>
          <w:color w:val="000000" w:themeColor="text1"/>
          <w14:textFill>
            <w14:solidFill>
              <w14:schemeClr w14:val="tx1"/>
            </w14:solidFill>
          </w14:textFill>
        </w:rPr>
        <w:pict>
          <v:shape id="fmFrame4" o:spid="_x0000_s2057" o:spt="202" type="#_x0000_t202" style="position:absolute;left:0pt;margin-left:-2pt;margin-top:188.3pt;height:306.55pt;width:470pt;mso-position-horizontal-relative:margin;mso-position-vertical-relative:margin;z-index:251655168;mso-width-relative:page;mso-height-relative:page;" stroked="f" coordsize="21600,21600">
            <v:path/>
            <v:fill focussize="0,0"/>
            <v:stroke on="f" joinstyle="miter"/>
            <v:imagedata o:title=""/>
            <o:lock v:ext="edit"/>
            <v:textbox inset="0mm,0mm,0mm,0mm">
              <w:txbxContent>
                <w:p>
                  <w:pPr>
                    <w:autoSpaceDE w:val="0"/>
                    <w:autoSpaceDN w:val="0"/>
                    <w:adjustRightInd w:val="0"/>
                    <w:jc w:val="left"/>
                    <w:rPr>
                      <w:rFonts w:ascii="黑体" w:eastAsia="黑体" w:cs="黑体"/>
                      <w:color w:val="000000"/>
                      <w:kern w:val="0"/>
                      <w:sz w:val="24"/>
                    </w:rPr>
                  </w:pPr>
                </w:p>
                <w:p>
                  <w:pPr>
                    <w:pStyle w:val="91"/>
                    <w:rPr>
                      <w:sz w:val="48"/>
                      <w:szCs w:val="48"/>
                    </w:rPr>
                  </w:pPr>
                  <w:r>
                    <w:rPr>
                      <w:rFonts w:cs="黑体"/>
                      <w:color w:val="000000"/>
                      <w:sz w:val="24"/>
                      <w:szCs w:val="24"/>
                    </w:rPr>
                    <w:t xml:space="preserve"> </w:t>
                  </w:r>
                  <w:r>
                    <w:rPr>
                      <w:rFonts w:hint="eastAsia" w:cs="黑体"/>
                      <w:color w:val="000000"/>
                      <w:sz w:val="48"/>
                      <w:szCs w:val="48"/>
                    </w:rPr>
                    <w:t>绿色设计产品评价技术规范</w:t>
                  </w:r>
                  <w:r>
                    <w:rPr>
                      <w:rFonts w:cs="黑体"/>
                      <w:color w:val="000000"/>
                      <w:sz w:val="48"/>
                      <w:szCs w:val="48"/>
                    </w:rPr>
                    <w:t xml:space="preserve"> </w:t>
                  </w:r>
                  <w:r>
                    <w:rPr>
                      <w:rFonts w:hint="eastAsia"/>
                      <w:sz w:val="48"/>
                      <w:szCs w:val="48"/>
                    </w:rPr>
                    <w:t xml:space="preserve"> </w:t>
                  </w:r>
                </w:p>
                <w:p>
                  <w:pPr>
                    <w:pStyle w:val="91"/>
                    <w:rPr>
                      <w:sz w:val="44"/>
                      <w:szCs w:val="44"/>
                    </w:rPr>
                  </w:pPr>
                  <w:r>
                    <w:rPr>
                      <w:rFonts w:hint="eastAsia"/>
                      <w:sz w:val="48"/>
                      <w:szCs w:val="48"/>
                    </w:rPr>
                    <w:t>铜及铜合金热轧板材</w:t>
                  </w:r>
                </w:p>
                <w:p>
                  <w:pPr>
                    <w:pStyle w:val="90"/>
                  </w:pPr>
                </w:p>
                <w:p>
                  <w:pPr>
                    <w:jc w:val="center"/>
                    <w:rPr>
                      <w:rFonts w:ascii="黑体" w:eastAsia="黑体"/>
                      <w:sz w:val="28"/>
                      <w:szCs w:val="28"/>
                    </w:rPr>
                  </w:pPr>
                  <w:r>
                    <w:t xml:space="preserve"> </w:t>
                  </w:r>
                  <w:r>
                    <w:rPr>
                      <w:sz w:val="28"/>
                      <w:szCs w:val="28"/>
                    </w:rPr>
                    <w:t xml:space="preserve">Specification for green-design product assessment-   </w:t>
                  </w:r>
                  <w:r>
                    <w:rPr>
                      <w:rFonts w:hint="eastAsia" w:ascii="黑体" w:eastAsia="黑体"/>
                      <w:sz w:val="28"/>
                      <w:szCs w:val="28"/>
                    </w:rPr>
                    <w:t xml:space="preserve">  </w:t>
                  </w:r>
                </w:p>
                <w:p>
                  <w:pPr>
                    <w:jc w:val="center"/>
                    <w:rPr>
                      <w:sz w:val="32"/>
                      <w:szCs w:val="32"/>
                    </w:rPr>
                  </w:pPr>
                  <w:r>
                    <w:rPr>
                      <w:sz w:val="28"/>
                      <w:szCs w:val="28"/>
                    </w:rPr>
                    <w:t xml:space="preserve">Copper and copper alloy </w:t>
                  </w:r>
                  <w:r>
                    <w:rPr>
                      <w:rFonts w:hint="eastAsia"/>
                      <w:sz w:val="28"/>
                      <w:szCs w:val="28"/>
                    </w:rPr>
                    <w:t xml:space="preserve">hot-rolled </w:t>
                  </w:r>
                  <w:r>
                    <w:rPr>
                      <w:sz w:val="28"/>
                      <w:szCs w:val="28"/>
                    </w:rPr>
                    <w:t>sheet</w:t>
                  </w:r>
                </w:p>
                <w:p>
                  <w:pPr>
                    <w:pStyle w:val="82"/>
                  </w:pPr>
                  <w:r>
                    <w:rPr>
                      <w:rFonts w:hint="eastAsia"/>
                    </w:rPr>
                    <w:t>（</w:t>
                  </w:r>
                  <w:r>
                    <w:rPr>
                      <w:rFonts w:hint="eastAsia"/>
                      <w:lang w:eastAsia="zh-CN"/>
                    </w:rPr>
                    <w:t>送</w:t>
                  </w:r>
                  <w:r>
                    <w:rPr>
                      <w:rFonts w:hint="eastAsia"/>
                    </w:rPr>
                    <w:t>审稿）</w:t>
                  </w:r>
                </w:p>
                <w:p>
                  <w:pPr>
                    <w:pStyle w:val="88"/>
                  </w:pPr>
                </w:p>
              </w:txbxContent>
            </v:textbox>
            <w10:anchorlock/>
          </v:shape>
        </w:pict>
      </w:r>
      <w:r>
        <w:rPr>
          <w:b/>
          <w:color w:val="000000" w:themeColor="text1"/>
          <w14:textFill>
            <w14:solidFill>
              <w14:schemeClr w14:val="tx1"/>
            </w14:solidFill>
          </w14:textFill>
        </w:rPr>
        <w:pict>
          <v:shape id="fmFrame3" o:spid="_x0000_s2058" o:spt="202" type="#_x0000_t202" style="position:absolute;left:0pt;margin-left:0pt;margin-top:118.1pt;height:25.8pt;width:468pt;mso-position-horizontal-relative:margin;mso-position-vertical-relative:margin;z-index:251654144;mso-width-relative:page;mso-height-relative:page;" stroked="f" coordsize="21600,21600">
            <v:path/>
            <v:fill focussize="0,0"/>
            <v:stroke on="f" joinstyle="miter"/>
            <v:imagedata o:title=""/>
            <o:lock v:ext="edit"/>
            <v:textbox inset="0mm,0mm,0mm,0mm">
              <w:txbxContent>
                <w:p>
                  <w:pPr>
                    <w:pStyle w:val="92"/>
                    <w:spacing w:before="0"/>
                    <w:rPr>
                      <w:rFonts w:ascii="黑体" w:hAnsi="黑体" w:eastAsia="黑体"/>
                    </w:rPr>
                  </w:pPr>
                  <w:r>
                    <w:rPr>
                      <w:rFonts w:ascii="黑体" w:hAnsi="黑体" w:eastAsia="黑体"/>
                    </w:rPr>
                    <w:t>T/CNIA XXXX-20</w:t>
                  </w:r>
                  <w:r>
                    <w:rPr>
                      <w:rFonts w:hint="eastAsia" w:ascii="黑体" w:hAnsi="黑体" w:eastAsia="黑体"/>
                    </w:rPr>
                    <w:t>XX</w:t>
                  </w:r>
                </w:p>
                <w:p/>
              </w:txbxContent>
            </v:textbox>
            <w10:anchorlock/>
          </v:shape>
        </w:pict>
      </w:r>
      <w:r>
        <w:rPr>
          <w:b/>
          <w:color w:val="000000" w:themeColor="text1"/>
          <w14:textFill>
            <w14:solidFill>
              <w14:schemeClr w14:val="tx1"/>
            </w14:solidFill>
          </w14:textFill>
        </w:rPr>
        <w:pict>
          <v:shape id="fmFrame2" o:spid="_x0000_s2059" o:spt="202" type="#_x0000_t202" style="position:absolute;left:0pt;margin-left:-18pt;margin-top:78pt;height:30.8pt;width:481.9pt;mso-position-horizontal-relative:margin;mso-position-vertical-relative:margin;z-index:251653120;mso-width-relative:page;mso-height-relative:page;" stroked="f" coordsize="21600,21600">
            <v:path/>
            <v:fill focussize="0,0"/>
            <v:stroke on="f" joinstyle="miter"/>
            <v:imagedata o:title=""/>
            <o:lock v:ext="edit"/>
            <v:textbox inset="0mm,0mm,0mm,0mm">
              <w:txbxContent>
                <w:p>
                  <w:pPr>
                    <w:pStyle w:val="84"/>
                    <w:jc w:val="center"/>
                    <w:rPr>
                      <w:sz w:val="48"/>
                      <w:szCs w:val="48"/>
                    </w:rPr>
                  </w:pPr>
                  <w:r>
                    <w:rPr>
                      <w:rFonts w:hint="eastAsia"/>
                      <w:sz w:val="48"/>
                      <w:szCs w:val="48"/>
                    </w:rPr>
                    <w:t>中国有色金属工业协会标准</w:t>
                  </w:r>
                </w:p>
                <w:p/>
              </w:txbxContent>
            </v:textbox>
            <w10:anchorlock/>
          </v:shape>
        </w:pict>
      </w:r>
      <w:r>
        <w:rPr>
          <w:b/>
          <w:color w:val="000000" w:themeColor="text1"/>
          <w14:textFill>
            <w14:solidFill>
              <w14:schemeClr w14:val="tx1"/>
            </w14:solidFill>
          </w14:textFill>
        </w:rPr>
        <w:pict>
          <v:shape id="fmFrame1" o:spid="_x0000_s2060" o:spt="202" type="#_x0000_t202" style="position:absolute;left:0pt;margin-left:0pt;margin-top:-31.2pt;height:54.6pt;width:200pt;mso-position-horizontal-relative:margin;mso-position-vertical-relative:margin;z-index:251652096;mso-width-relative:page;mso-height-relative:page;" stroked="f" coordsize="21600,21600">
            <v:path/>
            <v:fill focussize="0,0"/>
            <v:stroke on="f" joinstyle="miter"/>
            <v:imagedata o:title=""/>
            <o:lock v:ext="edit"/>
            <v:textbox inset="0mm,0mm,0mm,0mm">
              <w:txbxContent>
                <w:p>
                  <w:pPr>
                    <w:pStyle w:val="90"/>
                  </w:pPr>
                </w:p>
                <w:p>
                  <w:pPr>
                    <w:pStyle w:val="60"/>
                    <w:snapToGrid w:val="0"/>
                    <w:rPr>
                      <w:rFonts w:ascii="宋体" w:hAnsi="宋体" w:eastAsia="宋体"/>
                      <w:color w:val="000000"/>
                    </w:rPr>
                  </w:pPr>
                  <w:r>
                    <w:rPr>
                      <w:rFonts w:ascii="宋体" w:hAnsi="宋体" w:eastAsia="宋体"/>
                      <w:b/>
                      <w:color w:val="000000"/>
                    </w:rPr>
                    <w:t>ICS</w:t>
                  </w:r>
                  <w:r>
                    <w:rPr>
                      <w:rFonts w:ascii="宋体" w:hAnsi="宋体" w:eastAsia="宋体"/>
                      <w:color w:val="000000"/>
                    </w:rPr>
                    <w:t xml:space="preserve"> 77.120</w:t>
                  </w:r>
                  <w:r>
                    <w:rPr>
                      <w:rFonts w:hint="eastAsia" w:ascii="宋体" w:hAnsi="宋体" w:eastAsia="宋体"/>
                      <w:color w:val="000000"/>
                    </w:rPr>
                    <w:t>.30</w:t>
                  </w:r>
                </w:p>
                <w:p>
                  <w:pPr>
                    <w:pStyle w:val="60"/>
                    <w:snapToGrid w:val="0"/>
                    <w:rPr>
                      <w:rFonts w:ascii="宋体" w:hAnsi="宋体" w:eastAsia="宋体"/>
                      <w:color w:val="000000"/>
                    </w:rPr>
                  </w:pPr>
                  <w:r>
                    <w:rPr>
                      <w:rFonts w:hint="eastAsia" w:ascii="宋体" w:hAnsi="宋体" w:eastAsia="宋体"/>
                      <w:b/>
                      <w:color w:val="000000"/>
                    </w:rPr>
                    <w:t xml:space="preserve">CCS </w:t>
                  </w:r>
                  <w:r>
                    <w:rPr>
                      <w:rFonts w:ascii="宋体" w:hAnsi="宋体" w:eastAsia="宋体"/>
                      <w:b/>
                      <w:color w:val="000000"/>
                    </w:rPr>
                    <w:t>H 01</w:t>
                  </w:r>
                </w:p>
                <w:p>
                  <w:pPr>
                    <w:pStyle w:val="90"/>
                    <w:rPr>
                      <w:szCs w:val="21"/>
                    </w:rPr>
                  </w:pPr>
                </w:p>
              </w:txbxContent>
            </v:textbox>
            <w10:anchorlock/>
          </v:shape>
        </w:pict>
      </w:r>
    </w:p>
    <w:bookmarkEnd w:id="0"/>
    <w:p>
      <w:pPr>
        <w:rPr>
          <w:rFonts w:ascii="黑体" w:hAnsi="黑体" w:eastAsia="黑体"/>
          <w:color w:val="000000" w:themeColor="text1"/>
          <w:sz w:val="32"/>
          <w:szCs w:val="32"/>
          <w14:textFill>
            <w14:solidFill>
              <w14:schemeClr w14:val="tx1"/>
            </w14:solidFill>
          </w14:textFill>
        </w:rPr>
      </w:pPr>
      <w:bookmarkStart w:id="1" w:name="_Toc514086404"/>
    </w:p>
    <w:p>
      <w:pPr>
        <w:jc w:val="center"/>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前</w:t>
      </w:r>
      <w:r>
        <w:rPr>
          <w:rFonts w:hint="eastAsia" w:ascii="黑体" w:hAnsi="黑体" w:eastAsia="黑体"/>
          <w:color w:val="000000" w:themeColor="text1"/>
          <w:sz w:val="32"/>
          <w:szCs w:val="32"/>
          <w14:textFill>
            <w14:solidFill>
              <w14:schemeClr w14:val="tx1"/>
            </w14:solidFill>
          </w14:textFill>
        </w:rPr>
        <w:t xml:space="preserve">    </w:t>
      </w:r>
      <w:r>
        <w:rPr>
          <w:rFonts w:ascii="黑体" w:hAnsi="黑体" w:eastAsia="黑体"/>
          <w:color w:val="000000" w:themeColor="text1"/>
          <w:sz w:val="32"/>
          <w:szCs w:val="32"/>
          <w14:textFill>
            <w14:solidFill>
              <w14:schemeClr w14:val="tx1"/>
            </w14:solidFill>
          </w14:textFill>
        </w:rPr>
        <w:t>言</w:t>
      </w:r>
    </w:p>
    <w:p>
      <w:pPr>
        <w:jc w:val="center"/>
        <w:rPr>
          <w:rFonts w:ascii="黑体" w:hAnsi="黑体" w:eastAsia="黑体"/>
          <w:color w:val="000000" w:themeColor="text1"/>
          <w:sz w:val="32"/>
          <w:szCs w:val="32"/>
          <w14:textFill>
            <w14:solidFill>
              <w14:schemeClr w14:val="tx1"/>
            </w14:solidFill>
          </w14:textFill>
        </w:rPr>
      </w:pP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本文件按照GB/T 1.1-2020《标准化工作导则 第1部分：标准化文件的结构和起草规则》的规定起草</w:t>
      </w:r>
      <w:r>
        <w:rPr>
          <w:rFonts w:hint="eastAsia" w:ascii="宋体" w:hAnsi="宋体"/>
          <w:color w:val="000000" w:themeColor="text1"/>
          <w14:textFill>
            <w14:solidFill>
              <w14:schemeClr w14:val="tx1"/>
            </w14:solidFill>
          </w14:textFill>
        </w:rPr>
        <w:t>。</w:t>
      </w:r>
    </w:p>
    <w:p>
      <w:pPr>
        <w:ind w:firstLine="420"/>
        <w:rPr>
          <w:rStyle w:val="26"/>
          <w:rFonts w:hint="default"/>
          <w:color w:val="000000" w:themeColor="text1"/>
          <w:szCs w:val="21"/>
          <w14:textFill>
            <w14:solidFill>
              <w14:schemeClr w14:val="tx1"/>
            </w14:solidFill>
          </w14:textFill>
        </w:rPr>
      </w:pPr>
      <w:r>
        <w:rPr>
          <w:rFonts w:hint="eastAsia" w:ascii="宋体" w:hAnsi="宋体"/>
          <w:bCs/>
          <w:color w:val="000000" w:themeColor="text1"/>
          <w:spacing w:val="10"/>
          <w:szCs w:val="21"/>
          <w14:textFill>
            <w14:solidFill>
              <w14:schemeClr w14:val="tx1"/>
            </w14:solidFill>
          </w14:textFill>
        </w:rPr>
        <w:t>请注意本文件某些内容可能涉及专利。本文件发布机构不承担识别这些专利的责任。</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szCs w:val="21"/>
          <w14:textFill>
            <w14:solidFill>
              <w14:schemeClr w14:val="tx1"/>
            </w14:solidFill>
          </w14:textFill>
        </w:rPr>
        <w:t>文件</w:t>
      </w:r>
      <w:r>
        <w:rPr>
          <w:rFonts w:ascii="宋体" w:hAnsi="宋体"/>
          <w:color w:val="000000" w:themeColor="text1"/>
          <w14:textFill>
            <w14:solidFill>
              <w14:schemeClr w14:val="tx1"/>
            </w14:solidFill>
          </w14:textFill>
        </w:rPr>
        <w:t xml:space="preserve">由工业和信息化部节能与综合利用司、中国有色金属工业协会提出。 </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szCs w:val="21"/>
          <w14:textFill>
            <w14:solidFill>
              <w14:schemeClr w14:val="tx1"/>
            </w14:solidFill>
          </w14:textFill>
        </w:rPr>
        <w:t>文件</w:t>
      </w:r>
      <w:r>
        <w:rPr>
          <w:rFonts w:ascii="宋体" w:hAnsi="宋体"/>
          <w:color w:val="000000" w:themeColor="text1"/>
          <w14:textFill>
            <w14:solidFill>
              <w14:schemeClr w14:val="tx1"/>
            </w14:solidFill>
          </w14:textFill>
        </w:rPr>
        <w:t xml:space="preserve">由全国有色金属标准化技术委员会(SAC/TC243)归口。 </w:t>
      </w:r>
    </w:p>
    <w:p>
      <w:pPr>
        <w:ind w:firstLine="420" w:firstLineChars="200"/>
        <w:rPr>
          <w:rFonts w:hint="eastAsia" w:ascii="宋体" w:hAnsi="宋体"/>
          <w:color w:val="000000" w:themeColor="text1"/>
          <w:lang w:eastAsia="zh-CN"/>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14:textFill>
            <w14:solidFill>
              <w14:schemeClr w14:val="tx1"/>
            </w14:solidFill>
          </w14:textFill>
        </w:rPr>
        <w:t>文件</w:t>
      </w:r>
      <w:r>
        <w:rPr>
          <w:rFonts w:ascii="宋体" w:hAnsi="宋体"/>
          <w:color w:val="000000" w:themeColor="text1"/>
          <w14:textFill>
            <w14:solidFill>
              <w14:schemeClr w14:val="tx1"/>
            </w14:solidFill>
          </w14:textFill>
        </w:rPr>
        <w:t>起草单位：中铝洛阳铜加工有限公司</w:t>
      </w:r>
      <w:r>
        <w:rPr>
          <w:rFonts w:hint="eastAsia" w:ascii="宋体" w:hAnsi="宋体"/>
          <w:color w:val="000000" w:themeColor="text1"/>
          <w:lang w:eastAsia="zh-CN"/>
          <w14:textFill>
            <w14:solidFill>
              <w14:schemeClr w14:val="tx1"/>
            </w14:solidFill>
          </w14:textFill>
        </w:rPr>
        <w:t>、宁波博威合</w:t>
      </w:r>
      <w:bookmarkStart w:id="8" w:name="_GoBack"/>
      <w:bookmarkEnd w:id="8"/>
      <w:r>
        <w:rPr>
          <w:rFonts w:hint="eastAsia" w:ascii="宋体" w:hAnsi="宋体"/>
          <w:color w:val="000000" w:themeColor="text1"/>
          <w:lang w:eastAsia="zh-CN"/>
          <w14:textFill>
            <w14:solidFill>
              <w14:schemeClr w14:val="tx1"/>
            </w14:solidFill>
          </w14:textFill>
        </w:rPr>
        <w:t>金板带有限公司、远楚江高精铜带有限公司、宁波兴业盛泰集团有限公司</w:t>
      </w:r>
    </w:p>
    <w:p>
      <w:pPr>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本</w:t>
      </w:r>
      <w:r>
        <w:rPr>
          <w:rFonts w:hint="eastAsia" w:ascii="宋体" w:hAnsi="宋体"/>
          <w:color w:val="000000" w:themeColor="text1"/>
          <w:szCs w:val="21"/>
          <w14:textFill>
            <w14:solidFill>
              <w14:schemeClr w14:val="tx1"/>
            </w14:solidFill>
          </w14:textFill>
        </w:rPr>
        <w:t>文件</w:t>
      </w:r>
      <w:r>
        <w:rPr>
          <w:rFonts w:ascii="宋体" w:hAnsi="宋体"/>
          <w:color w:val="000000" w:themeColor="text1"/>
          <w14:textFill>
            <w14:solidFill>
              <w14:schemeClr w14:val="tx1"/>
            </w14:solidFill>
          </w14:textFill>
        </w:rPr>
        <w:t>主要起草人：</w:t>
      </w:r>
    </w:p>
    <w:p>
      <w:pPr>
        <w:ind w:firstLine="420" w:firstLineChars="200"/>
        <w:rPr>
          <w:rFonts w:ascii="宋体" w:hAnsi="宋体"/>
          <w:color w:val="000000" w:themeColor="text1"/>
          <w14:textFill>
            <w14:solidFill>
              <w14:schemeClr w14:val="tx1"/>
            </w14:solidFill>
          </w14:textFill>
        </w:rPr>
      </w:pPr>
    </w:p>
    <w:p>
      <w:pPr>
        <w:spacing w:line="360" w:lineRule="auto"/>
        <w:ind w:firstLine="420"/>
        <w:rPr>
          <w:rStyle w:val="26"/>
          <w:rFonts w:hint="default"/>
          <w:color w:val="000000" w:themeColor="text1"/>
          <w:szCs w:val="21"/>
          <w14:textFill>
            <w14:solidFill>
              <w14:schemeClr w14:val="tx1"/>
            </w14:solidFill>
          </w14:textFill>
        </w:rPr>
      </w:pPr>
    </w:p>
    <w:p>
      <w:pPr>
        <w:spacing w:line="360" w:lineRule="auto"/>
        <w:ind w:firstLine="420"/>
        <w:rPr>
          <w:rStyle w:val="26"/>
          <w:rFonts w:hint="default"/>
          <w:color w:val="000000" w:themeColor="text1"/>
          <w:szCs w:val="21"/>
          <w14:textFill>
            <w14:solidFill>
              <w14:schemeClr w14:val="tx1"/>
            </w14:solidFill>
          </w14:textFill>
        </w:rPr>
      </w:pPr>
    </w:p>
    <w:p>
      <w:pPr>
        <w:spacing w:line="360" w:lineRule="auto"/>
        <w:ind w:firstLine="420"/>
        <w:rPr>
          <w:rStyle w:val="26"/>
          <w:rFonts w:hint="default"/>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p>
      <w:pPr>
        <w:spacing w:line="360" w:lineRule="auto"/>
        <w:ind w:firstLine="420"/>
        <w:rPr>
          <w:color w:val="000000" w:themeColor="text1"/>
          <w:szCs w:val="21"/>
          <w14:textFill>
            <w14:solidFill>
              <w14:schemeClr w14:val="tx1"/>
            </w14:solidFill>
          </w14:textFill>
        </w:rPr>
      </w:pPr>
    </w:p>
    <w:bookmarkEnd w:id="1"/>
    <w:p>
      <w:pPr>
        <w:spacing w:before="720" w:after="680"/>
        <w:jc w:val="center"/>
        <w:rPr>
          <w:rFonts w:ascii="黑体" w:hAnsi="黑体" w:eastAsia="黑体"/>
          <w:color w:val="000000" w:themeColor="text1"/>
          <w:sz w:val="32"/>
          <w:szCs w:val="32"/>
          <w14:textFill>
            <w14:solidFill>
              <w14:schemeClr w14:val="tx1"/>
            </w14:solidFill>
          </w14:textFill>
        </w:rPr>
      </w:pPr>
    </w:p>
    <w:p>
      <w:pPr>
        <w:spacing w:before="720" w:after="680"/>
        <w:jc w:val="center"/>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绿色设计产品评价技术规范</w:t>
      </w:r>
      <w:r>
        <w:rPr>
          <w:rFonts w:hint="eastAsia" w:ascii="黑体" w:hAnsi="黑体" w:eastAsia="黑体"/>
          <w:color w:val="000000" w:themeColor="text1"/>
          <w:sz w:val="32"/>
          <w:szCs w:val="32"/>
          <w14:textFill>
            <w14:solidFill>
              <w14:schemeClr w14:val="tx1"/>
            </w14:solidFill>
          </w14:textFill>
        </w:rPr>
        <w:t xml:space="preserve">  铜及铜合金热轧板材</w:t>
      </w:r>
    </w:p>
    <w:p>
      <w:pPr>
        <w:widowControl/>
        <w:spacing w:afterLines="50"/>
        <w:jc w:val="left"/>
        <w:rPr>
          <w:rFonts w:ascii="黑体" w:hAnsi="宋体" w:eastAsia="黑体" w:cs="宋体"/>
          <w:bCs/>
          <w:color w:val="000000" w:themeColor="text1"/>
          <w:kern w:val="0"/>
          <w:szCs w:val="21"/>
          <w14:textFill>
            <w14:solidFill>
              <w14:schemeClr w14:val="tx1"/>
            </w14:solidFill>
          </w14:textFill>
        </w:rPr>
      </w:pPr>
      <w:r>
        <w:rPr>
          <w:rFonts w:hint="eastAsia" w:ascii="黑体" w:hAnsi="宋体" w:eastAsia="黑体" w:cs="宋体"/>
          <w:bCs/>
          <w:color w:val="000000" w:themeColor="text1"/>
          <w:kern w:val="0"/>
          <w:szCs w:val="21"/>
          <w14:textFill>
            <w14:solidFill>
              <w14:schemeClr w14:val="tx1"/>
            </w14:solidFill>
          </w14:textFill>
        </w:rPr>
        <w:t>1 范围</w:t>
      </w:r>
    </w:p>
    <w:p>
      <w:pPr>
        <w:widowControl/>
        <w:ind w:firstLine="43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本文件规定了铜及铜合金热轧板材绿色设计产品评价的术语和定义、评价要求、产品生命周期评价报告编制方法，以及评价方法和流程。</w:t>
      </w:r>
      <w:r>
        <w:rPr>
          <w:color w:val="000000" w:themeColor="text1"/>
          <w14:textFill>
            <w14:solidFill>
              <w14:schemeClr w14:val="tx1"/>
            </w14:solidFill>
          </w14:textFill>
        </w:rPr>
        <w:t xml:space="preserve"> </w:t>
      </w:r>
    </w:p>
    <w:p>
      <w:pPr>
        <w:widowControl/>
        <w:ind w:firstLine="437"/>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本文件适用于铜及铜合金热轧板材（以下简称热轧板）绿色设计产品的评价。</w:t>
      </w:r>
    </w:p>
    <w:p>
      <w:pPr>
        <w:widowControl/>
        <w:spacing w:beforeLines="50" w:afterLines="50"/>
        <w:jc w:val="left"/>
        <w:rPr>
          <w:rFonts w:ascii="宋体" w:hAnsi="宋体"/>
          <w:bCs/>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 xml:space="preserve">2 </w:t>
      </w:r>
      <w:r>
        <w:rPr>
          <w:rFonts w:hint="eastAsia" w:ascii="黑体" w:hAnsi="宋体" w:eastAsia="黑体" w:cs="宋体"/>
          <w:bCs/>
          <w:color w:val="000000" w:themeColor="text1"/>
          <w:kern w:val="0"/>
          <w:szCs w:val="21"/>
          <w14:textFill>
            <w14:solidFill>
              <w14:schemeClr w14:val="tx1"/>
            </w14:solidFill>
          </w14:textFill>
        </w:rPr>
        <w:t>规范性引用文件</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90"/>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GB/T </w:t>
      </w:r>
      <w:r>
        <w:rPr>
          <w:rFonts w:hint="eastAsia"/>
          <w:color w:val="000000" w:themeColor="text1"/>
          <w:sz w:val="21"/>
          <w:szCs w:val="21"/>
          <w14:textFill>
            <w14:solidFill>
              <w14:schemeClr w14:val="tx1"/>
            </w14:solidFill>
          </w14:textFill>
        </w:rPr>
        <w:t>2040  铜及铜合金板材</w:t>
      </w:r>
    </w:p>
    <w:p>
      <w:pPr>
        <w:pStyle w:val="90"/>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w:t>
      </w:r>
      <w:r>
        <w:rPr>
          <w:rFonts w:hint="eastAsia"/>
          <w:color w:val="000000" w:themeColor="text1"/>
          <w:sz w:val="21"/>
          <w:szCs w:val="21"/>
          <w14:textFill>
            <w14:solidFill>
              <w14:schemeClr w14:val="tx1"/>
            </w14:solidFill>
          </w14:textFill>
        </w:rPr>
        <w:t xml:space="preserve"> 8978   污水综合排放标准</w:t>
      </w:r>
    </w:p>
    <w:p>
      <w:pPr>
        <w:pStyle w:val="9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GB 16297  大气污染物综合排放标准</w:t>
      </w:r>
    </w:p>
    <w:p>
      <w:pPr>
        <w:pStyle w:val="90"/>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w:t>
      </w:r>
      <w:r>
        <w:rPr>
          <w:rFonts w:hint="eastAsia"/>
          <w:color w:val="000000" w:themeColor="text1"/>
          <w:sz w:val="21"/>
          <w:szCs w:val="21"/>
          <w14:textFill>
            <w14:solidFill>
              <w14:schemeClr w14:val="tx1"/>
            </w14:solidFill>
          </w14:textFill>
        </w:rPr>
        <w:t xml:space="preserve"> 18597  危险废物贮存污染控制标准</w:t>
      </w:r>
    </w:p>
    <w:p>
      <w:pPr>
        <w:pStyle w:val="90"/>
        <w:ind w:firstLine="420" w:firstLineChars="200"/>
        <w:rPr>
          <w:color w:val="000000" w:themeColor="text1"/>
          <w:sz w:val="21"/>
          <w:szCs w:val="21"/>
          <w14:textFill>
            <w14:solidFill>
              <w14:schemeClr w14:val="tx1"/>
            </w14:solidFill>
          </w14:textFill>
        </w:rPr>
      </w:pPr>
      <w:r>
        <w:rPr>
          <w:rFonts w:hint="eastAsia" w:hAnsi="宋体" w:cs="黑体"/>
          <w:color w:val="000000" w:themeColor="text1"/>
          <w:sz w:val="21"/>
          <w:szCs w:val="21"/>
          <w14:textFill>
            <w14:solidFill>
              <w14:schemeClr w14:val="tx1"/>
            </w14:solidFill>
          </w14:textFill>
        </w:rPr>
        <w:t>GB 18599  一般工业固废贮存控制标准</w:t>
      </w:r>
    </w:p>
    <w:p>
      <w:pPr>
        <w:pStyle w:val="90"/>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GB/T 19001 </w:t>
      </w:r>
      <w:r>
        <w:rPr>
          <w:rFonts w:hint="eastAsia"/>
          <w:color w:val="000000" w:themeColor="text1"/>
          <w:sz w:val="21"/>
          <w:szCs w:val="21"/>
          <w14:textFill>
            <w14:solidFill>
              <w14:schemeClr w14:val="tx1"/>
            </w14:solidFill>
          </w14:textFill>
        </w:rPr>
        <w:t xml:space="preserve"> 质量管理体系要求</w:t>
      </w:r>
      <w:r>
        <w:rPr>
          <w:color w:val="000000" w:themeColor="text1"/>
          <w:sz w:val="21"/>
          <w:szCs w:val="21"/>
          <w14:textFill>
            <w14:solidFill>
              <w14:schemeClr w14:val="tx1"/>
            </w14:solidFill>
          </w14:textFill>
        </w:rPr>
        <w:t xml:space="preserve"> </w:t>
      </w:r>
    </w:p>
    <w:p>
      <w:pPr>
        <w:pStyle w:val="9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 xml:space="preserve">GB/T 23331 </w:t>
      </w:r>
      <w:r>
        <w:rPr>
          <w:rFonts w:hint="eastAsia"/>
          <w:color w:val="000000" w:themeColor="text1"/>
          <w:sz w:val="21"/>
          <w:szCs w:val="21"/>
          <w14:textFill>
            <w14:solidFill>
              <w14:schemeClr w14:val="tx1"/>
            </w14:solidFill>
          </w14:textFill>
        </w:rPr>
        <w:t xml:space="preserve"> 能源管理体系</w:t>
      </w:r>
      <w:r>
        <w:rPr>
          <w:color w:val="000000" w:themeColor="text1"/>
          <w:sz w:val="21"/>
          <w:szCs w:val="21"/>
          <w14:textFill>
            <w14:solidFill>
              <w14:schemeClr w14:val="tx1"/>
            </w14:solidFill>
          </w14:textFill>
        </w:rPr>
        <w:t xml:space="preserve"> </w:t>
      </w:r>
    </w:p>
    <w:p>
      <w:pPr>
        <w:pStyle w:val="90"/>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GB/T 24001 </w:t>
      </w:r>
      <w:r>
        <w:rPr>
          <w:rFonts w:hint="eastAsia"/>
          <w:color w:val="000000" w:themeColor="text1"/>
          <w:sz w:val="21"/>
          <w:szCs w:val="21"/>
          <w14:textFill>
            <w14:solidFill>
              <w14:schemeClr w14:val="tx1"/>
            </w14:solidFill>
          </w14:textFill>
        </w:rPr>
        <w:t xml:space="preserve"> 环境管理体系</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要求及使用指南</w:t>
      </w:r>
    </w:p>
    <w:p>
      <w:pPr>
        <w:pStyle w:val="90"/>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GB/T 24040 </w:t>
      </w:r>
      <w:r>
        <w:rPr>
          <w:rFonts w:hint="eastAsia"/>
          <w:color w:val="000000" w:themeColor="text1"/>
          <w:sz w:val="21"/>
          <w:szCs w:val="21"/>
          <w14:textFill>
            <w14:solidFill>
              <w14:schemeClr w14:val="tx1"/>
            </w14:solidFill>
          </w14:textFill>
        </w:rPr>
        <w:t xml:space="preserve"> 环境管理 生命周期评价 原则与框架</w:t>
      </w:r>
    </w:p>
    <w:p>
      <w:pPr>
        <w:pStyle w:val="90"/>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GB/T 24044 </w:t>
      </w:r>
      <w:r>
        <w:rPr>
          <w:rFonts w:hint="eastAsia"/>
          <w:color w:val="000000" w:themeColor="text1"/>
          <w:sz w:val="21"/>
          <w:szCs w:val="21"/>
          <w14:textFill>
            <w14:solidFill>
              <w14:schemeClr w14:val="tx1"/>
            </w14:solidFill>
          </w14:textFill>
        </w:rPr>
        <w:t xml:space="preserve"> 环境管理 生命周期评价 要求与指南</w:t>
      </w:r>
    </w:p>
    <w:p>
      <w:pPr>
        <w:pStyle w:val="90"/>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GB/T</w:t>
      </w:r>
      <w:r>
        <w:rPr>
          <w:rFonts w:hint="eastAsia"/>
          <w:color w:val="000000" w:themeColor="text1"/>
          <w:sz w:val="21"/>
          <w:szCs w:val="21"/>
          <w14:textFill>
            <w14:solidFill>
              <w14:schemeClr w14:val="tx1"/>
            </w14:solidFill>
          </w14:textFill>
        </w:rPr>
        <w:t xml:space="preserve"> 45001  职业健康安全管理体系 要求及使用指南</w:t>
      </w:r>
    </w:p>
    <w:p>
      <w:pPr>
        <w:pStyle w:val="90"/>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xml:space="preserve">GB/T 32161 </w:t>
      </w:r>
      <w:r>
        <w:rPr>
          <w:rFonts w:hint="eastAsia"/>
          <w:color w:val="000000" w:themeColor="text1"/>
          <w:sz w:val="21"/>
          <w:szCs w:val="21"/>
          <w14:textFill>
            <w14:solidFill>
              <w14:schemeClr w14:val="tx1"/>
            </w14:solidFill>
          </w14:textFill>
        </w:rPr>
        <w:t xml:space="preserve"> 生态设计产品评价通则</w:t>
      </w:r>
    </w:p>
    <w:p>
      <w:pPr>
        <w:pStyle w:val="90"/>
        <w:ind w:firstLine="420"/>
        <w:rPr>
          <w:color w:val="000000" w:themeColor="text1"/>
          <w:sz w:val="21"/>
          <w:szCs w:val="21"/>
          <w14:textFill>
            <w14:solidFill>
              <w14:schemeClr w14:val="tx1"/>
            </w14:solidFill>
          </w14:textFill>
        </w:rPr>
      </w:pPr>
      <w:r>
        <w:rPr>
          <w:color w:val="000000" w:themeColor="text1"/>
          <w:sz w:val="21"/>
          <w:szCs w:val="21"/>
          <w:shd w:val="clear" w:color="auto" w:fill="FFFFFF"/>
          <w14:textFill>
            <w14:solidFill>
              <w14:schemeClr w14:val="tx1"/>
            </w14:solidFill>
          </w14:textFill>
        </w:rPr>
        <w:t>GB/T</w:t>
      </w:r>
      <w:r>
        <w:rPr>
          <w:rFonts w:hint="eastAsia"/>
          <w:color w:val="000000" w:themeColor="text1"/>
          <w:sz w:val="21"/>
          <w:szCs w:val="21"/>
          <w:shd w:val="clear" w:color="auto" w:fill="FFFFFF"/>
          <w14:textFill>
            <w14:solidFill>
              <w14:schemeClr w14:val="tx1"/>
            </w14:solidFill>
          </w14:textFill>
        </w:rPr>
        <w:t xml:space="preserve"> </w:t>
      </w:r>
      <w:r>
        <w:rPr>
          <w:color w:val="000000" w:themeColor="text1"/>
          <w:sz w:val="21"/>
          <w:szCs w:val="21"/>
          <w:shd w:val="clear" w:color="auto" w:fill="FFFFFF"/>
          <w14:textFill>
            <w14:solidFill>
              <w14:schemeClr w14:val="tx1"/>
            </w14:solidFill>
          </w14:textFill>
        </w:rPr>
        <w:t>32162</w:t>
      </w:r>
      <w:r>
        <w:rPr>
          <w:rFonts w:hint="eastAsia"/>
          <w:color w:val="000000" w:themeColor="text1"/>
          <w:sz w:val="21"/>
          <w:szCs w:val="21"/>
          <w:shd w:val="clear" w:color="auto" w:fill="FFFFFF"/>
          <w14:textFill>
            <w14:solidFill>
              <w14:schemeClr w14:val="tx1"/>
            </w14:solidFill>
          </w14:textFill>
        </w:rPr>
        <w:t xml:space="preserve">  生态设计产品标示</w:t>
      </w:r>
    </w:p>
    <w:p>
      <w:pPr>
        <w:pStyle w:val="9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GB/T 33000  企业安全生产标准化基本规范</w:t>
      </w:r>
    </w:p>
    <w:p>
      <w:pPr>
        <w:pStyle w:val="90"/>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GB</w:t>
      </w:r>
      <w:r>
        <w:rPr>
          <w:rFonts w:hint="eastAsia"/>
          <w:color w:val="000000" w:themeColor="text1"/>
          <w:sz w:val="21"/>
          <w:szCs w:val="21"/>
          <w14:textFill>
            <w14:solidFill>
              <w14:schemeClr w14:val="tx1"/>
            </w14:solidFill>
          </w14:textFill>
        </w:rPr>
        <w:t xml:space="preserve"> xxxx  铜及铜合金加工材单位产品能源消耗限额</w:t>
      </w:r>
    </w:p>
    <w:p>
      <w:pPr>
        <w:pStyle w:val="90"/>
        <w:ind w:firstLine="420" w:firstLineChars="200"/>
        <w:rPr>
          <w:rFonts w:hAnsi="宋体"/>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YS/T 1401  </w:t>
      </w:r>
      <w:r>
        <w:rPr>
          <w:rFonts w:hint="eastAsia" w:hAnsi="宋体"/>
          <w:bCs/>
          <w:color w:val="000000" w:themeColor="text1"/>
          <w:sz w:val="21"/>
          <w:szCs w:val="21"/>
          <w14:textFill>
            <w14:solidFill>
              <w14:schemeClr w14:val="tx1"/>
            </w14:solidFill>
          </w14:textFill>
        </w:rPr>
        <w:t>铜加工行业能源计量器具配备和管理要求</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T/CNIA XXXX  </w:t>
      </w:r>
      <w:r>
        <w:rPr>
          <w:rFonts w:hint="eastAsia" w:ascii="宋体" w:hAnsi="宋体"/>
          <w:color w:val="000000" w:themeColor="text1"/>
          <w:szCs w:val="21"/>
          <w14:textFill>
            <w14:solidFill>
              <w14:schemeClr w14:val="tx1"/>
            </w14:solidFill>
          </w14:textFill>
        </w:rPr>
        <w:t>铜及铜合金加工产品制造生命周期评价技术规范（产品种类规则）</w:t>
      </w:r>
    </w:p>
    <w:p>
      <w:pPr>
        <w:pStyle w:val="90"/>
        <w:ind w:firstLine="420" w:firstLineChars="200"/>
        <w:rPr>
          <w:color w:val="000000" w:themeColor="text1"/>
          <w:sz w:val="21"/>
          <w:szCs w:val="21"/>
          <w14:textFill>
            <w14:solidFill>
              <w14:schemeClr w14:val="tx1"/>
            </w14:solidFill>
          </w14:textFill>
        </w:rPr>
      </w:pPr>
    </w:p>
    <w:p>
      <w:pPr>
        <w:widowControl/>
        <w:spacing w:beforeLines="50" w:afterLines="50"/>
        <w:jc w:val="left"/>
        <w:rPr>
          <w:rFonts w:ascii="黑体" w:hAnsi="宋体" w:eastAsia="黑体"/>
          <w:color w:val="000000" w:themeColor="text1"/>
          <w:szCs w:val="21"/>
          <w14:textFill>
            <w14:solidFill>
              <w14:schemeClr w14:val="tx1"/>
            </w14:solidFill>
          </w14:textFill>
        </w:rPr>
      </w:pPr>
      <w:r>
        <w:rPr>
          <w:rFonts w:ascii="黑体" w:hAnsi="宋体" w:eastAsia="黑体"/>
          <w:color w:val="000000" w:themeColor="text1"/>
          <w:szCs w:val="21"/>
          <w14:textFill>
            <w14:solidFill>
              <w14:schemeClr w14:val="tx1"/>
            </w14:solidFill>
          </w14:textFill>
        </w:rPr>
        <w:t xml:space="preserve">3 </w:t>
      </w:r>
      <w:r>
        <w:rPr>
          <w:rFonts w:hint="eastAsia" w:ascii="黑体" w:hAnsi="宋体" w:eastAsia="黑体"/>
          <w:color w:val="000000" w:themeColor="text1"/>
          <w:szCs w:val="21"/>
          <w14:textFill>
            <w14:solidFill>
              <w14:schemeClr w14:val="tx1"/>
            </w14:solidFill>
          </w14:textFill>
        </w:rPr>
        <w:t>术语和定义</w:t>
      </w:r>
      <w:r>
        <w:rPr>
          <w:rFonts w:ascii="黑体" w:hAnsi="宋体" w:eastAsia="黑体"/>
          <w:color w:val="000000" w:themeColor="text1"/>
          <w:szCs w:val="21"/>
          <w14:textFill>
            <w14:solidFill>
              <w14:schemeClr w14:val="tx1"/>
            </w14:solidFill>
          </w14:textFill>
        </w:rPr>
        <w:t xml:space="preserve"> </w:t>
      </w:r>
    </w:p>
    <w:p>
      <w:pPr>
        <w:ind w:firstLine="420"/>
        <w:rPr>
          <w:rFonts w:ascii="宋体" w:cs="宋体"/>
          <w:color w:val="000000" w:themeColor="text1"/>
          <w:kern w:val="0"/>
          <w:szCs w:val="21"/>
          <w14:textFill>
            <w14:solidFill>
              <w14:schemeClr w14:val="tx1"/>
            </w14:solidFill>
          </w14:textFill>
        </w:rPr>
      </w:pPr>
      <w:r>
        <w:rPr>
          <w:rFonts w:ascii="宋体" w:cs="宋体"/>
          <w:color w:val="000000" w:themeColor="text1"/>
          <w:kern w:val="0"/>
          <w:szCs w:val="21"/>
          <w14:textFill>
            <w14:solidFill>
              <w14:schemeClr w14:val="tx1"/>
            </w14:solidFill>
          </w14:textFill>
        </w:rPr>
        <w:t>GB/T 32161</w:t>
      </w:r>
      <w:r>
        <w:rPr>
          <w:rFonts w:hint="eastAsia" w:ascii="宋体" w:cs="宋体"/>
          <w:color w:val="000000" w:themeColor="text1"/>
          <w:kern w:val="0"/>
          <w:szCs w:val="21"/>
          <w14:textFill>
            <w14:solidFill>
              <w14:schemeClr w14:val="tx1"/>
            </w14:solidFill>
          </w14:textFill>
        </w:rPr>
        <w:t>和GB/T 32162</w:t>
      </w:r>
      <w:r>
        <w:rPr>
          <w:rFonts w:hint="eastAsia"/>
          <w:color w:val="000000" w:themeColor="text1"/>
          <w14:textFill>
            <w14:solidFill>
              <w14:schemeClr w14:val="tx1"/>
            </w14:solidFill>
          </w14:textFill>
        </w:rPr>
        <w:t>界定的</w:t>
      </w:r>
      <w:r>
        <w:rPr>
          <w:color w:val="000000" w:themeColor="text1"/>
          <w14:textFill>
            <w14:solidFill>
              <w14:schemeClr w14:val="tx1"/>
            </w14:solidFill>
          </w14:textFill>
        </w:rPr>
        <w:t>术语和定义适用于本</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w:t>
      </w:r>
    </w:p>
    <w:p>
      <w:pPr>
        <w:widowControl/>
        <w:spacing w:beforeLines="50" w:afterLines="50"/>
        <w:jc w:val="left"/>
        <w:rPr>
          <w:rFonts w:ascii="黑体" w:eastAsia="黑体" w:cs="黑体"/>
          <w:color w:val="000000" w:themeColor="text1"/>
          <w:kern w:val="0"/>
          <w:szCs w:val="21"/>
          <w14:textFill>
            <w14:solidFill>
              <w14:schemeClr w14:val="tx1"/>
            </w14:solidFill>
          </w14:textFill>
        </w:rPr>
      </w:pPr>
      <w:r>
        <w:rPr>
          <w:rFonts w:ascii="黑体" w:eastAsia="黑体" w:cs="黑体"/>
          <w:color w:val="000000" w:themeColor="text1"/>
          <w:kern w:val="0"/>
          <w:szCs w:val="21"/>
          <w14:textFill>
            <w14:solidFill>
              <w14:schemeClr w14:val="tx1"/>
            </w14:solidFill>
          </w14:textFill>
        </w:rPr>
        <w:t xml:space="preserve">4 </w:t>
      </w:r>
      <w:r>
        <w:rPr>
          <w:rFonts w:hint="eastAsia" w:ascii="黑体" w:eastAsia="黑体" w:cs="黑体"/>
          <w:color w:val="000000" w:themeColor="text1"/>
          <w:kern w:val="0"/>
          <w:szCs w:val="21"/>
          <w14:textFill>
            <w14:solidFill>
              <w14:schemeClr w14:val="tx1"/>
            </w14:solidFill>
          </w14:textFill>
        </w:rPr>
        <w:t>评价要求</w:t>
      </w:r>
      <w:r>
        <w:rPr>
          <w:rFonts w:ascii="黑体" w:eastAsia="黑体" w:cs="黑体"/>
          <w:color w:val="000000" w:themeColor="text1"/>
          <w:kern w:val="0"/>
          <w:szCs w:val="21"/>
          <w14:textFill>
            <w14:solidFill>
              <w14:schemeClr w14:val="tx1"/>
            </w14:solidFill>
          </w14:textFill>
        </w:rPr>
        <w:t xml:space="preserve"> </w:t>
      </w:r>
    </w:p>
    <w:p>
      <w:pPr>
        <w:autoSpaceDE w:val="0"/>
        <w:autoSpaceDN w:val="0"/>
        <w:adjustRightInd w:val="0"/>
        <w:jc w:val="left"/>
        <w:rPr>
          <w:rFonts w:ascii="黑体" w:eastAsia="黑体" w:cs="黑体"/>
          <w:color w:val="000000" w:themeColor="text1"/>
          <w:kern w:val="0"/>
          <w:szCs w:val="21"/>
          <w14:textFill>
            <w14:solidFill>
              <w14:schemeClr w14:val="tx1"/>
            </w14:solidFill>
          </w14:textFill>
        </w:rPr>
      </w:pPr>
      <w:r>
        <w:rPr>
          <w:rFonts w:ascii="黑体" w:eastAsia="黑体" w:cs="黑体"/>
          <w:color w:val="000000" w:themeColor="text1"/>
          <w:kern w:val="0"/>
          <w:szCs w:val="21"/>
          <w14:textFill>
            <w14:solidFill>
              <w14:schemeClr w14:val="tx1"/>
            </w14:solidFill>
          </w14:textFill>
        </w:rPr>
        <w:t xml:space="preserve">4.1 </w:t>
      </w:r>
      <w:r>
        <w:rPr>
          <w:rFonts w:hint="eastAsia" w:ascii="黑体" w:eastAsia="黑体" w:cs="黑体"/>
          <w:color w:val="000000" w:themeColor="text1"/>
          <w:kern w:val="0"/>
          <w:szCs w:val="21"/>
          <w14:textFill>
            <w14:solidFill>
              <w14:schemeClr w14:val="tx1"/>
            </w14:solidFill>
          </w14:textFill>
        </w:rPr>
        <w:t>基本要求</w:t>
      </w:r>
      <w:r>
        <w:rPr>
          <w:rFonts w:ascii="黑体" w:eastAsia="黑体" w:cs="黑体"/>
          <w:color w:val="000000" w:themeColor="text1"/>
          <w:kern w:val="0"/>
          <w:szCs w:val="21"/>
          <w14:textFill>
            <w14:solidFill>
              <w14:schemeClr w14:val="tx1"/>
            </w14:solidFill>
          </w14:textFill>
        </w:rPr>
        <w:t xml:space="preserve"> </w:t>
      </w:r>
    </w:p>
    <w:p>
      <w:pPr>
        <w:autoSpaceDE w:val="0"/>
        <w:autoSpaceDN w:val="0"/>
        <w:adjustRightInd w:val="0"/>
        <w:jc w:val="left"/>
        <w:rPr>
          <w:rFonts w:ascii="宋体" w:cs="宋体"/>
          <w:color w:val="000000" w:themeColor="text1"/>
          <w:kern w:val="0"/>
          <w:szCs w:val="21"/>
          <w14:textFill>
            <w14:solidFill>
              <w14:schemeClr w14:val="tx1"/>
            </w14:solidFill>
          </w14:textFill>
        </w:rPr>
      </w:pPr>
      <w:r>
        <w:rPr>
          <w:rFonts w:ascii="黑体" w:eastAsia="黑体" w:cs="黑体"/>
          <w:color w:val="000000" w:themeColor="text1"/>
          <w:kern w:val="0"/>
          <w:szCs w:val="21"/>
          <w14:textFill>
            <w14:solidFill>
              <w14:schemeClr w14:val="tx1"/>
            </w14:solidFill>
          </w14:textFill>
        </w:rPr>
        <w:t>4.1.</w:t>
      </w:r>
      <w:r>
        <w:rPr>
          <w:rFonts w:hint="eastAsia" w:ascii="黑体" w:eastAsia="黑体" w:cs="黑体"/>
          <w:color w:val="000000" w:themeColor="text1"/>
          <w:kern w:val="0"/>
          <w:szCs w:val="21"/>
          <w14:textFill>
            <w14:solidFill>
              <w14:schemeClr w14:val="tx1"/>
            </w14:solidFill>
          </w14:textFill>
        </w:rPr>
        <w:t>1 生产</w:t>
      </w:r>
      <w:r>
        <w:rPr>
          <w:rFonts w:hint="eastAsia" w:ascii="宋体" w:cs="宋体"/>
          <w:color w:val="000000" w:themeColor="text1"/>
          <w:kern w:val="0"/>
          <w:szCs w:val="21"/>
          <w14:textFill>
            <w14:solidFill>
              <w14:schemeClr w14:val="tx1"/>
            </w14:solidFill>
          </w14:textFill>
        </w:rPr>
        <w:t>企业应符合国家和地方相关政策、法律法规及标准要求</w:t>
      </w:r>
      <w:r>
        <w:rPr>
          <w:rFonts w:hint="eastAsia"/>
          <w:color w:val="000000" w:themeColor="text1"/>
          <w:szCs w:val="21"/>
          <w14:textFill>
            <w14:solidFill>
              <w14:schemeClr w14:val="tx1"/>
            </w14:solidFill>
          </w14:textFill>
        </w:rPr>
        <w:t>。</w:t>
      </w:r>
    </w:p>
    <w:p>
      <w:pPr>
        <w:widowControl/>
        <w:jc w:val="left"/>
        <w:rPr>
          <w:rFonts w:ascii="宋体" w:cs="宋体"/>
          <w:color w:val="000000" w:themeColor="text1"/>
          <w:kern w:val="0"/>
          <w:szCs w:val="21"/>
          <w14:textFill>
            <w14:solidFill>
              <w14:schemeClr w14:val="tx1"/>
            </w14:solidFill>
          </w14:textFill>
        </w:rPr>
      </w:pPr>
      <w:r>
        <w:rPr>
          <w:rFonts w:ascii="黑体" w:eastAsia="黑体" w:cs="黑体"/>
          <w:color w:val="000000" w:themeColor="text1"/>
          <w:kern w:val="0"/>
          <w:szCs w:val="21"/>
          <w14:textFill>
            <w14:solidFill>
              <w14:schemeClr w14:val="tx1"/>
            </w14:solidFill>
          </w14:textFill>
        </w:rPr>
        <w:t>4.1.</w:t>
      </w:r>
      <w:r>
        <w:rPr>
          <w:rFonts w:hint="eastAsia" w:ascii="黑体" w:eastAsia="黑体" w:cs="黑体"/>
          <w:color w:val="000000" w:themeColor="text1"/>
          <w:kern w:val="0"/>
          <w:szCs w:val="21"/>
          <w14:textFill>
            <w14:solidFill>
              <w14:schemeClr w14:val="tx1"/>
            </w14:solidFill>
          </w14:textFill>
        </w:rPr>
        <w:t>2</w:t>
      </w:r>
      <w:r>
        <w:rPr>
          <w:rFonts w:hint="eastAsia" w:ascii="宋体" w:cs="宋体"/>
          <w:color w:val="000000" w:themeColor="text1"/>
          <w:kern w:val="0"/>
          <w:szCs w:val="21"/>
          <w14:textFill>
            <w14:solidFill>
              <w14:schemeClr w14:val="tx1"/>
            </w14:solidFill>
          </w14:textFill>
        </w:rPr>
        <w:t>近三年无重大安全、环境污染和质量事故。</w:t>
      </w:r>
    </w:p>
    <w:p>
      <w:pPr>
        <w:widowControl/>
        <w:jc w:val="left"/>
        <w:rPr>
          <w:rFonts w:ascii="宋体" w:cs="宋体"/>
          <w:color w:val="000000" w:themeColor="text1"/>
          <w:kern w:val="0"/>
          <w:szCs w:val="21"/>
          <w14:textFill>
            <w14:solidFill>
              <w14:schemeClr w14:val="tx1"/>
            </w14:solidFill>
          </w14:textFill>
        </w:rPr>
      </w:pPr>
      <w:r>
        <w:rPr>
          <w:rFonts w:hint="eastAsia" w:ascii="黑体" w:eastAsia="黑体" w:cs="宋体"/>
          <w:color w:val="000000" w:themeColor="text1"/>
          <w:kern w:val="0"/>
          <w:szCs w:val="21"/>
          <w14:textFill>
            <w14:solidFill>
              <w14:schemeClr w14:val="tx1"/>
            </w14:solidFill>
          </w14:textFill>
        </w:rPr>
        <w:t>4.1.3</w:t>
      </w:r>
      <w:r>
        <w:rPr>
          <w:rFonts w:hint="eastAsia" w:ascii="宋体" w:cs="宋体"/>
          <w:color w:val="000000" w:themeColor="text1"/>
          <w:kern w:val="0"/>
          <w:szCs w:val="21"/>
          <w14:textFill>
            <w14:solidFill>
              <w14:schemeClr w14:val="tx1"/>
            </w14:solidFill>
          </w14:textFill>
        </w:rPr>
        <w:t>污染物排放应符合国家和地方相关政策、法律法规及标准要求，污染物总量控制应符合国家和地方污染物排放总量控制指标。</w:t>
      </w:r>
    </w:p>
    <w:p>
      <w:pPr>
        <w:pStyle w:val="90"/>
        <w:rPr>
          <w:color w:val="000000" w:themeColor="text1"/>
          <w:sz w:val="21"/>
          <w:szCs w:val="21"/>
          <w14:textFill>
            <w14:solidFill>
              <w14:schemeClr w14:val="tx1"/>
            </w14:solidFill>
          </w14:textFill>
        </w:rPr>
      </w:pPr>
      <w:r>
        <w:rPr>
          <w:rFonts w:hint="eastAsia" w:ascii="黑体" w:eastAsia="黑体" w:cs="黑体"/>
          <w:color w:val="000000" w:themeColor="text1"/>
          <w:sz w:val="21"/>
          <w:szCs w:val="21"/>
          <w14:textFill>
            <w14:solidFill>
              <w14:schemeClr w14:val="tx1"/>
            </w14:solidFill>
          </w14:textFill>
        </w:rPr>
        <w:t>4.1.4</w:t>
      </w:r>
      <w:r>
        <w:rPr>
          <w:rFonts w:hint="eastAsia"/>
          <w:color w:val="000000" w:themeColor="text1"/>
          <w:sz w:val="21"/>
          <w:szCs w:val="21"/>
          <w14:textFill>
            <w14:solidFill>
              <w14:schemeClr w14:val="tx1"/>
            </w14:solidFill>
          </w14:textFill>
        </w:rPr>
        <w:t xml:space="preserve"> 产品的生产应符合国家和地方清洁生产要求。</w:t>
      </w:r>
    </w:p>
    <w:p>
      <w:pPr>
        <w:pStyle w:val="90"/>
        <w:rPr>
          <w:color w:val="000000" w:themeColor="text1"/>
          <w:szCs w:val="21"/>
          <w14:textFill>
            <w14:solidFill>
              <w14:schemeClr w14:val="tx1"/>
            </w14:solidFill>
          </w14:textFill>
        </w:rPr>
      </w:pPr>
      <w:r>
        <w:rPr>
          <w:rFonts w:hint="eastAsia" w:ascii="黑体" w:hAnsi="宋体" w:eastAsia="黑体" w:cs="Times New Roman"/>
          <w:color w:val="000000" w:themeColor="text1"/>
          <w:kern w:val="2"/>
          <w:sz w:val="21"/>
          <w:szCs w:val="21"/>
          <w14:textFill>
            <w14:solidFill>
              <w14:schemeClr w14:val="tx1"/>
            </w14:solidFill>
          </w14:textFill>
        </w:rPr>
        <w:t xml:space="preserve">4.1.5 </w:t>
      </w:r>
      <w:r>
        <w:rPr>
          <w:rFonts w:hint="eastAsia"/>
          <w:color w:val="000000" w:themeColor="text1"/>
          <w:sz w:val="21"/>
          <w:szCs w:val="21"/>
          <w14:textFill>
            <w14:solidFill>
              <w14:schemeClr w14:val="tx1"/>
            </w14:solidFill>
          </w14:textFill>
        </w:rPr>
        <w:t>企业安全管理应达到</w:t>
      </w:r>
      <w:r>
        <w:rPr>
          <w:color w:val="000000" w:themeColor="text1"/>
          <w:sz w:val="21"/>
          <w:szCs w:val="21"/>
          <w14:textFill>
            <w14:solidFill>
              <w14:schemeClr w14:val="tx1"/>
            </w14:solidFill>
          </w14:textFill>
        </w:rPr>
        <w:t>GB/T 33000</w:t>
      </w:r>
      <w:r>
        <w:rPr>
          <w:rFonts w:hint="eastAsia"/>
          <w:color w:val="000000" w:themeColor="text1"/>
          <w:sz w:val="21"/>
          <w:szCs w:val="21"/>
          <w14:textFill>
            <w14:solidFill>
              <w14:schemeClr w14:val="tx1"/>
            </w14:solidFill>
          </w14:textFill>
        </w:rPr>
        <w:t>的要求；应按照</w:t>
      </w:r>
      <w:r>
        <w:rPr>
          <w:color w:val="000000" w:themeColor="text1"/>
          <w:sz w:val="21"/>
          <w:szCs w:val="21"/>
          <w14:textFill>
            <w14:solidFill>
              <w14:schemeClr w14:val="tx1"/>
            </w14:solidFill>
          </w14:textFill>
        </w:rPr>
        <w:t>GB/T</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19001</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GB/T 23331</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GB/T</w:t>
      </w:r>
      <w:r>
        <w:rPr>
          <w:rFonts w:hint="eastAsia"/>
          <w:color w:val="000000" w:themeColor="text1"/>
          <w:sz w:val="21"/>
          <w:szCs w:val="21"/>
          <w14:textFill>
            <w14:solidFill>
              <w14:schemeClr w14:val="tx1"/>
            </w14:solidFill>
          </w14:textFill>
        </w:rPr>
        <w:t xml:space="preserve"> </w:t>
      </w:r>
      <w:r>
        <w:rPr>
          <w:color w:val="000000" w:themeColor="text1"/>
          <w:sz w:val="21"/>
          <w:szCs w:val="21"/>
          <w14:textFill>
            <w14:solidFill>
              <w14:schemeClr w14:val="tx1"/>
            </w14:solidFill>
          </w14:textFill>
        </w:rPr>
        <w:t>24001</w:t>
      </w:r>
      <w:r>
        <w:rPr>
          <w:rFonts w:hint="eastAsia"/>
          <w:color w:val="000000" w:themeColor="text1"/>
          <w:sz w:val="21"/>
          <w:szCs w:val="21"/>
          <w14:textFill>
            <w14:solidFill>
              <w14:schemeClr w14:val="tx1"/>
            </w14:solidFill>
          </w14:textFill>
        </w:rPr>
        <w:t>及</w:t>
      </w:r>
      <w:r>
        <w:rPr>
          <w:color w:val="000000" w:themeColor="text1"/>
          <w:sz w:val="21"/>
          <w:szCs w:val="21"/>
          <w14:textFill>
            <w14:solidFill>
              <w14:schemeClr w14:val="tx1"/>
            </w14:solidFill>
          </w14:textFill>
        </w:rPr>
        <w:t>GB/T</w:t>
      </w:r>
      <w:r>
        <w:rPr>
          <w:rFonts w:hint="eastAsia"/>
          <w:color w:val="000000" w:themeColor="text1"/>
          <w:sz w:val="21"/>
          <w:szCs w:val="21"/>
          <w14:textFill>
            <w14:solidFill>
              <w14:schemeClr w14:val="tx1"/>
            </w14:solidFill>
          </w14:textFill>
        </w:rPr>
        <w:t xml:space="preserve"> 45001分别建立并运行质量管理体系、能源管理体系、环境管理体系及职业健康安全管理体系。</w:t>
      </w:r>
    </w:p>
    <w:p>
      <w:pPr>
        <w:pStyle w:val="90"/>
        <w:rPr>
          <w:color w:val="000000" w:themeColor="text1"/>
          <w:sz w:val="21"/>
          <w:szCs w:val="21"/>
          <w14:textFill>
            <w14:solidFill>
              <w14:schemeClr w14:val="tx1"/>
            </w14:solidFill>
          </w14:textFill>
        </w:rPr>
      </w:pPr>
      <w:r>
        <w:rPr>
          <w:rFonts w:ascii="黑体" w:eastAsia="黑体" w:cs="黑体"/>
          <w:color w:val="000000" w:themeColor="text1"/>
          <w:sz w:val="21"/>
          <w:szCs w:val="21"/>
          <w14:textFill>
            <w14:solidFill>
              <w14:schemeClr w14:val="tx1"/>
            </w14:solidFill>
          </w14:textFill>
        </w:rPr>
        <w:t>4.1.</w:t>
      </w:r>
      <w:r>
        <w:rPr>
          <w:rFonts w:hint="eastAsia" w:ascii="黑体" w:eastAsia="黑体" w:cs="黑体"/>
          <w:color w:val="000000" w:themeColor="text1"/>
          <w:sz w:val="21"/>
          <w:szCs w:val="21"/>
          <w14:textFill>
            <w14:solidFill>
              <w14:schemeClr w14:val="tx1"/>
            </w14:solidFill>
          </w14:textFill>
        </w:rPr>
        <w:t>6</w:t>
      </w:r>
      <w:r>
        <w:rPr>
          <w:rFonts w:ascii="黑体" w:eastAsia="黑体" w:cs="黑体"/>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企业应采用国家鼓励的先进技术工艺，不应使用国家或有关部门发布的淘汰或禁止的技术、工艺、装备及材料。</w:t>
      </w:r>
      <w:r>
        <w:rPr>
          <w:color w:val="000000" w:themeColor="text1"/>
          <w:sz w:val="21"/>
          <w:szCs w:val="21"/>
          <w14:textFill>
            <w14:solidFill>
              <w14:schemeClr w14:val="tx1"/>
            </w14:solidFill>
          </w14:textFill>
        </w:rPr>
        <w:t xml:space="preserve"> </w:t>
      </w:r>
    </w:p>
    <w:p>
      <w:pPr>
        <w:pStyle w:val="90"/>
        <w:rPr>
          <w:color w:val="000000" w:themeColor="text1"/>
          <w:sz w:val="21"/>
          <w:szCs w:val="21"/>
          <w14:textFill>
            <w14:solidFill>
              <w14:schemeClr w14:val="tx1"/>
            </w14:solidFill>
          </w14:textFill>
        </w:rPr>
      </w:pPr>
      <w:r>
        <w:rPr>
          <w:rFonts w:hint="eastAsia" w:ascii="黑体" w:eastAsia="黑体" w:cs="黑体"/>
          <w:color w:val="000000" w:themeColor="text1"/>
          <w:sz w:val="21"/>
          <w:szCs w:val="21"/>
          <w14:textFill>
            <w14:solidFill>
              <w14:schemeClr w14:val="tx1"/>
            </w14:solidFill>
          </w14:textFill>
        </w:rPr>
        <w:t xml:space="preserve">4.1.7 </w:t>
      </w:r>
      <w:r>
        <w:rPr>
          <w:rFonts w:hint="eastAsia"/>
          <w:color w:val="000000" w:themeColor="text1"/>
          <w:sz w:val="21"/>
          <w:szCs w:val="21"/>
          <w14:textFill>
            <w14:solidFill>
              <w14:schemeClr w14:val="tx1"/>
            </w14:solidFill>
          </w14:textFill>
        </w:rPr>
        <w:t>企业应按照YS/T 1401要求配备能源计量器具。</w:t>
      </w:r>
    </w:p>
    <w:p>
      <w:pPr>
        <w:pStyle w:val="90"/>
        <w:rPr>
          <w:color w:val="000000" w:themeColor="text1"/>
          <w:sz w:val="21"/>
          <w:szCs w:val="21"/>
          <w14:textFill>
            <w14:solidFill>
              <w14:schemeClr w14:val="tx1"/>
            </w14:solidFill>
          </w14:textFill>
        </w:rPr>
      </w:pPr>
      <w:r>
        <w:rPr>
          <w:rFonts w:ascii="黑体" w:eastAsia="黑体" w:cs="黑体"/>
          <w:color w:val="000000" w:themeColor="text1"/>
          <w:sz w:val="21"/>
          <w:szCs w:val="21"/>
          <w14:textFill>
            <w14:solidFill>
              <w14:schemeClr w14:val="tx1"/>
            </w14:solidFill>
          </w14:textFill>
        </w:rPr>
        <w:t>4.1.</w:t>
      </w:r>
      <w:r>
        <w:rPr>
          <w:rFonts w:hint="eastAsia" w:ascii="黑体" w:eastAsia="黑体" w:cs="黑体"/>
          <w:color w:val="000000" w:themeColor="text1"/>
          <w:sz w:val="21"/>
          <w:szCs w:val="21"/>
          <w14:textFill>
            <w14:solidFill>
              <w14:schemeClr w14:val="tx1"/>
            </w14:solidFill>
          </w14:textFill>
        </w:rPr>
        <w:t xml:space="preserve">8 </w:t>
      </w:r>
      <w:r>
        <w:rPr>
          <w:rFonts w:hint="eastAsia" w:hAnsi="宋体" w:cs="黑体"/>
          <w:color w:val="000000" w:themeColor="text1"/>
          <w:sz w:val="21"/>
          <w:szCs w:val="21"/>
          <w14:textFill>
            <w14:solidFill>
              <w14:schemeClr w14:val="tx1"/>
            </w14:solidFill>
          </w14:textFill>
        </w:rPr>
        <w:t>一般废弃物的贮存和处置应符合GB 18599的要求，</w:t>
      </w:r>
      <w:r>
        <w:rPr>
          <w:rFonts w:hint="eastAsia" w:hAnsi="宋体"/>
          <w:color w:val="000000" w:themeColor="text1"/>
          <w:sz w:val="21"/>
          <w:szCs w:val="21"/>
          <w14:textFill>
            <w14:solidFill>
              <w14:schemeClr w14:val="tx1"/>
            </w14:solidFill>
          </w14:textFill>
        </w:rPr>
        <w:t>危险废物</w:t>
      </w:r>
      <w:r>
        <w:rPr>
          <w:rFonts w:hint="eastAsia" w:hAnsi="宋体" w:cs="黑体"/>
          <w:color w:val="000000" w:themeColor="text1"/>
          <w:sz w:val="21"/>
          <w:szCs w:val="21"/>
          <w14:textFill>
            <w14:solidFill>
              <w14:schemeClr w14:val="tx1"/>
            </w14:solidFill>
          </w14:textFill>
        </w:rPr>
        <w:t>的贮存和处置</w:t>
      </w:r>
      <w:r>
        <w:rPr>
          <w:rFonts w:hint="eastAsia" w:hAnsi="宋体"/>
          <w:color w:val="000000" w:themeColor="text1"/>
          <w:sz w:val="21"/>
          <w:szCs w:val="21"/>
          <w14:textFill>
            <w14:solidFill>
              <w14:schemeClr w14:val="tx1"/>
            </w14:solidFill>
          </w14:textFill>
        </w:rPr>
        <w:t>应符合</w:t>
      </w:r>
      <w:r>
        <w:rPr>
          <w:rFonts w:hAnsi="宋体"/>
          <w:color w:val="000000" w:themeColor="text1"/>
          <w:sz w:val="21"/>
          <w:szCs w:val="21"/>
          <w14:textFill>
            <w14:solidFill>
              <w14:schemeClr w14:val="tx1"/>
            </w14:solidFill>
          </w14:textFill>
        </w:rPr>
        <w:t>GB 18597</w:t>
      </w:r>
      <w:r>
        <w:rPr>
          <w:rFonts w:hint="eastAsia" w:hAnsi="宋体"/>
          <w:color w:val="000000" w:themeColor="text1"/>
          <w:sz w:val="21"/>
          <w:szCs w:val="21"/>
          <w14:textFill>
            <w14:solidFill>
              <w14:schemeClr w14:val="tx1"/>
            </w14:solidFill>
          </w14:textFill>
        </w:rPr>
        <w:t>的要求，产品包装材料应为可再生利用或可降解材料。</w:t>
      </w:r>
    </w:p>
    <w:p>
      <w:pPr>
        <w:pStyle w:val="90"/>
        <w:rPr>
          <w:color w:val="000000" w:themeColor="text1"/>
          <w:sz w:val="21"/>
          <w:szCs w:val="21"/>
          <w14:textFill>
            <w14:solidFill>
              <w14:schemeClr w14:val="tx1"/>
            </w14:solidFill>
          </w14:textFill>
        </w:rPr>
      </w:pPr>
    </w:p>
    <w:p>
      <w:pPr>
        <w:autoSpaceDE w:val="0"/>
        <w:autoSpaceDN w:val="0"/>
        <w:adjustRightInd w:val="0"/>
        <w:spacing w:beforeLines="50" w:afterLines="50"/>
        <w:jc w:val="left"/>
        <w:rPr>
          <w:rFonts w:ascii="黑体" w:eastAsia="黑体" w:cs="黑体"/>
          <w:color w:val="000000" w:themeColor="text1"/>
          <w:kern w:val="0"/>
          <w:szCs w:val="21"/>
          <w14:textFill>
            <w14:solidFill>
              <w14:schemeClr w14:val="tx1"/>
            </w14:solidFill>
          </w14:textFill>
        </w:rPr>
      </w:pPr>
      <w:r>
        <w:rPr>
          <w:rFonts w:hint="eastAsia" w:ascii="黑体" w:eastAsia="黑体" w:cs="黑体"/>
          <w:color w:val="000000" w:themeColor="text1"/>
          <w:kern w:val="0"/>
          <w:szCs w:val="21"/>
          <w14:textFill>
            <w14:solidFill>
              <w14:schemeClr w14:val="tx1"/>
            </w14:solidFill>
          </w14:textFill>
        </w:rPr>
        <w:t>4.2 评价指标</w:t>
      </w:r>
      <w:r>
        <w:rPr>
          <w:rFonts w:hint="eastAsia" w:ascii="黑体" w:hAnsi="宋体" w:eastAsia="黑体" w:cs="黑体"/>
          <w:color w:val="000000" w:themeColor="text1"/>
          <w:kern w:val="0"/>
          <w:szCs w:val="21"/>
          <w14:textFill>
            <w14:solidFill>
              <w14:schemeClr w14:val="tx1"/>
            </w14:solidFill>
          </w14:textFill>
        </w:rPr>
        <w:t>要求</w:t>
      </w:r>
      <w:r>
        <w:rPr>
          <w:rFonts w:hint="eastAsia" w:ascii="黑体" w:eastAsia="黑体" w:cs="黑体"/>
          <w:color w:val="000000" w:themeColor="text1"/>
          <w:kern w:val="0"/>
          <w:szCs w:val="21"/>
          <w14:textFill>
            <w14:solidFill>
              <w14:schemeClr w14:val="tx1"/>
            </w14:solidFill>
          </w14:textFill>
        </w:rPr>
        <w:t xml:space="preserve"> </w:t>
      </w:r>
    </w:p>
    <w:p>
      <w:pPr>
        <w:widowControl/>
        <w:ind w:firstLine="420" w:firstLineChars="200"/>
        <w:jc w:val="left"/>
        <w:rPr>
          <w:rFonts w:hAnsi="Calibri"/>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热轧板产品评价指标由一级指标和二级指标组成。一级指标包括资源属性指标、能源属性指标、环境属性指标和产品属性指标。二级指标是对一级指标的具体化，明确规定所要达到的具体数值。铜热轧板的评价指标、基准值、判定依据等见表</w:t>
      </w:r>
      <w:r>
        <w:rPr>
          <w:rFonts w:ascii="Calibri" w:hAnsi="Calibri" w:cs="Calibri"/>
          <w:color w:val="000000" w:themeColor="text1"/>
          <w:szCs w:val="21"/>
          <w14:textFill>
            <w14:solidFill>
              <w14:schemeClr w14:val="tx1"/>
            </w14:solidFill>
          </w14:textFill>
        </w:rPr>
        <w:t>1</w:t>
      </w:r>
      <w:r>
        <w:rPr>
          <w:rFonts w:hint="eastAsia" w:hAnsi="Calibri"/>
          <w:color w:val="000000" w:themeColor="text1"/>
          <w:szCs w:val="21"/>
          <w14:textFill>
            <w14:solidFill>
              <w14:schemeClr w14:val="tx1"/>
            </w14:solidFill>
          </w14:textFill>
        </w:rPr>
        <w:t>。本标准的功能单位为1</w:t>
      </w:r>
      <w:r>
        <w:rPr>
          <w:rFonts w:ascii="Calibri" w:hAnsi="Calibri" w:cs="Calibri"/>
          <w:color w:val="000000" w:themeColor="text1"/>
          <w:szCs w:val="21"/>
          <w14:textFill>
            <w14:solidFill>
              <w14:schemeClr w14:val="tx1"/>
            </w14:solidFill>
          </w14:textFill>
        </w:rPr>
        <w:t>t</w:t>
      </w:r>
      <w:r>
        <w:rPr>
          <w:rFonts w:hint="eastAsia" w:ascii="Calibri" w:hAnsi="Calibri" w:cs="Calibri"/>
          <w:color w:val="000000" w:themeColor="text1"/>
          <w:szCs w:val="21"/>
          <w14:textFill>
            <w14:solidFill>
              <w14:schemeClr w14:val="tx1"/>
            </w14:solidFill>
          </w14:textFill>
        </w:rPr>
        <w:t>符合质量要求的热轧板</w:t>
      </w:r>
      <w:r>
        <w:rPr>
          <w:rFonts w:hint="eastAsia" w:hAnsi="Calibri"/>
          <w:color w:val="000000" w:themeColor="text1"/>
          <w:szCs w:val="21"/>
          <w14:textFill>
            <w14:solidFill>
              <w14:schemeClr w14:val="tx1"/>
            </w14:solidFill>
          </w14:textFill>
        </w:rPr>
        <w:t>。</w:t>
      </w:r>
    </w:p>
    <w:p>
      <w:pPr>
        <w:widowControl/>
        <w:spacing w:beforeLines="50" w:afterLines="50"/>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表 1</w:t>
      </w:r>
      <w:r>
        <w:rPr>
          <w:rFonts w:ascii="黑体" w:hAnsi="黑体" w:eastAsia="黑体"/>
          <w:color w:val="000000" w:themeColor="text1"/>
          <w:szCs w:val="21"/>
          <w14:textFill>
            <w14:solidFill>
              <w14:schemeClr w14:val="tx1"/>
            </w14:solidFill>
          </w14:textFill>
        </w:rPr>
        <w:t xml:space="preserve">  </w:t>
      </w:r>
      <w:r>
        <w:rPr>
          <w:rFonts w:hint="eastAsia" w:ascii="黑体" w:eastAsia="黑体"/>
          <w:color w:val="000000" w:themeColor="text1"/>
          <w:szCs w:val="21"/>
          <w14:textFill>
            <w14:solidFill>
              <w14:schemeClr w14:val="tx1"/>
            </w14:solidFill>
          </w14:textFill>
        </w:rPr>
        <w:t>铜及铜合金热轧板材</w:t>
      </w:r>
      <w:r>
        <w:rPr>
          <w:rFonts w:hint="eastAsia" w:ascii="黑体" w:hAnsi="黑体" w:eastAsia="黑体"/>
          <w:color w:val="000000" w:themeColor="text1"/>
          <w:szCs w:val="21"/>
          <w14:textFill>
            <w14:solidFill>
              <w14:schemeClr w14:val="tx1"/>
            </w14:solidFill>
          </w14:textFill>
        </w:rPr>
        <w:t>产品评价指标要求</w:t>
      </w: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817"/>
        <w:gridCol w:w="158"/>
        <w:gridCol w:w="1189"/>
        <w:gridCol w:w="1080"/>
        <w:gridCol w:w="1731"/>
        <w:gridCol w:w="2210"/>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tcBorders>
              <w:top w:val="single" w:color="auto" w:sz="12" w:space="0"/>
              <w:left w:val="single" w:color="auto" w:sz="12" w:space="0"/>
              <w:bottom w:val="single" w:color="auto" w:sz="12" w:space="0"/>
              <w:right w:val="single" w:color="auto" w:sz="6" w:space="0"/>
            </w:tcBorders>
            <w:vAlign w:val="center"/>
          </w:tcPr>
          <w:p>
            <w:pPr>
              <w:adjustRightInd w:val="0"/>
              <w:snapToGrid w:val="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一级指标</w:t>
            </w:r>
          </w:p>
        </w:tc>
        <w:tc>
          <w:tcPr>
            <w:tcW w:w="2164" w:type="dxa"/>
            <w:gridSpan w:val="3"/>
            <w:tcBorders>
              <w:top w:val="single" w:color="auto" w:sz="12" w:space="0"/>
              <w:left w:val="single" w:color="auto" w:sz="6" w:space="0"/>
              <w:bottom w:val="single" w:color="auto" w:sz="4" w:space="0"/>
              <w:right w:val="single" w:color="auto" w:sz="6" w:space="0"/>
            </w:tcBorders>
            <w:vAlign w:val="center"/>
          </w:tcPr>
          <w:p>
            <w:pPr>
              <w:adjustRightInd w:val="0"/>
              <w:snapToGrid w:val="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二级指标</w:t>
            </w:r>
          </w:p>
        </w:tc>
        <w:tc>
          <w:tcPr>
            <w:tcW w:w="1080" w:type="dxa"/>
            <w:tcBorders>
              <w:top w:val="single" w:color="auto" w:sz="12" w:space="0"/>
              <w:left w:val="single" w:color="auto" w:sz="6" w:space="0"/>
              <w:bottom w:val="single" w:color="auto" w:sz="4" w:space="0"/>
              <w:right w:val="single" w:color="auto" w:sz="6" w:space="0"/>
            </w:tcBorders>
            <w:vAlign w:val="center"/>
          </w:tcPr>
          <w:p>
            <w:pPr>
              <w:adjustRightInd w:val="0"/>
              <w:snapToGrid w:val="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单位</w:t>
            </w:r>
          </w:p>
        </w:tc>
        <w:tc>
          <w:tcPr>
            <w:tcW w:w="1731" w:type="dxa"/>
            <w:tcBorders>
              <w:top w:val="single" w:color="auto" w:sz="12" w:space="0"/>
              <w:left w:val="single" w:color="auto" w:sz="6" w:space="0"/>
              <w:bottom w:val="single" w:color="auto" w:sz="4" w:space="0"/>
              <w:right w:val="single" w:color="auto" w:sz="6" w:space="0"/>
            </w:tcBorders>
            <w:vAlign w:val="center"/>
          </w:tcPr>
          <w:p>
            <w:pPr>
              <w:adjustRightInd w:val="0"/>
              <w:snapToGrid w:val="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基准值</w:t>
            </w:r>
          </w:p>
        </w:tc>
        <w:tc>
          <w:tcPr>
            <w:tcW w:w="2210" w:type="dxa"/>
            <w:tcBorders>
              <w:top w:val="single" w:color="auto" w:sz="12" w:space="0"/>
              <w:left w:val="single" w:color="auto" w:sz="6" w:space="0"/>
              <w:bottom w:val="single" w:color="auto" w:sz="12" w:space="0"/>
              <w:right w:val="single" w:color="auto" w:sz="6" w:space="0"/>
            </w:tcBorders>
            <w:vAlign w:val="center"/>
          </w:tcPr>
          <w:p>
            <w:pPr>
              <w:adjustRightInd w:val="0"/>
              <w:snapToGrid w:val="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判定依据</w:t>
            </w:r>
          </w:p>
        </w:tc>
        <w:tc>
          <w:tcPr>
            <w:tcW w:w="1003" w:type="dxa"/>
            <w:tcBorders>
              <w:top w:val="single" w:color="auto" w:sz="12" w:space="0"/>
              <w:left w:val="single" w:color="auto" w:sz="6" w:space="0"/>
              <w:bottom w:val="single" w:color="auto" w:sz="12" w:space="0"/>
              <w:right w:val="single" w:color="auto" w:sz="12" w:space="0"/>
            </w:tcBorders>
            <w:vAlign w:val="center"/>
          </w:tcPr>
          <w:p>
            <w:pPr>
              <w:adjustRightInd w:val="0"/>
              <w:snapToGrid w:val="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所属阶段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restart"/>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资源属性</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金属损耗率</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紫铜</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p>
        </w:tc>
        <w:tc>
          <w:tcPr>
            <w:tcW w:w="17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val="0"/>
                <w:bCs/>
                <w:color w:val="000000" w:themeColor="text1"/>
                <w:sz w:val="18"/>
                <w:szCs w:val="18"/>
                <w14:textFill>
                  <w14:solidFill>
                    <w14:schemeClr w14:val="tx1"/>
                  </w14:solidFill>
                </w14:textFill>
              </w:rPr>
            </w:pPr>
            <w:r>
              <w:rPr>
                <w:rFonts w:hint="eastAsia" w:ascii="宋体" w:hAnsi="宋体"/>
                <w:b w:val="0"/>
                <w:bCs/>
                <w:color w:val="000000" w:themeColor="text1"/>
                <w:kern w:val="0"/>
                <w:sz w:val="18"/>
                <w:szCs w:val="18"/>
                <w14:textFill>
                  <w14:solidFill>
                    <w14:schemeClr w14:val="tx1"/>
                  </w14:solidFill>
                </w14:textFill>
              </w:rPr>
              <w:t>≤</w:t>
            </w:r>
            <w:r>
              <w:rPr>
                <w:rFonts w:hint="eastAsia" w:ascii="宋体" w:hAnsi="宋体"/>
                <w:b w:val="0"/>
                <w:bCs/>
                <w:color w:val="000000" w:themeColor="text1"/>
                <w:kern w:val="0"/>
                <w:sz w:val="18"/>
                <w:szCs w:val="18"/>
                <w:lang w:val="en-US" w:eastAsia="zh-CN"/>
                <w14:textFill>
                  <w14:solidFill>
                    <w14:schemeClr w14:val="tx1"/>
                  </w14:solidFill>
                </w14:textFill>
              </w:rPr>
              <w:t>3.4</w:t>
            </w:r>
          </w:p>
        </w:tc>
        <w:tc>
          <w:tcPr>
            <w:tcW w:w="2210" w:type="dxa"/>
            <w:vMerge w:val="restart"/>
            <w:tcBorders>
              <w:top w:val="single" w:color="auto" w:sz="12" w:space="0"/>
              <w:left w:val="single" w:color="auto" w:sz="4"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现场数据</w:t>
            </w:r>
          </w:p>
        </w:tc>
        <w:tc>
          <w:tcPr>
            <w:tcW w:w="1003" w:type="dxa"/>
            <w:vMerge w:val="restart"/>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高铜</w:t>
            </w:r>
          </w:p>
        </w:tc>
        <w:tc>
          <w:tcPr>
            <w:tcW w:w="1080" w:type="dxa"/>
            <w:tcBorders>
              <w:top w:val="single" w:color="auto" w:sz="4" w:space="0"/>
              <w:left w:val="single" w:color="auto" w:sz="4" w:space="0"/>
              <w:bottom w:val="single" w:color="auto" w:sz="4" w:space="0"/>
              <w:right w:val="single" w:color="auto" w:sz="4" w:space="0"/>
            </w:tcBorders>
            <w:vAlign w:val="bottom"/>
          </w:tcPr>
          <w:p>
            <w:pPr>
              <w:jc w:val="center"/>
              <w:rPr>
                <w:color w:val="000000" w:themeColor="text1"/>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p>
        </w:tc>
        <w:tc>
          <w:tcPr>
            <w:tcW w:w="17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val="0"/>
                <w:bCs/>
                <w:color w:val="000000" w:themeColor="text1"/>
                <w:kern w:val="0"/>
                <w:sz w:val="18"/>
                <w:szCs w:val="18"/>
                <w14:textFill>
                  <w14:solidFill>
                    <w14:schemeClr w14:val="tx1"/>
                  </w14:solidFill>
                </w14:textFill>
              </w:rPr>
            </w:pPr>
            <w:r>
              <w:rPr>
                <w:rFonts w:hint="eastAsia" w:ascii="宋体" w:hAnsi="宋体"/>
                <w:b w:val="0"/>
                <w:bCs/>
                <w:color w:val="000000" w:themeColor="text1"/>
                <w:kern w:val="0"/>
                <w:sz w:val="18"/>
                <w:szCs w:val="18"/>
                <w14:textFill>
                  <w14:solidFill>
                    <w14:schemeClr w14:val="tx1"/>
                  </w14:solidFill>
                </w14:textFill>
              </w:rPr>
              <w:t>≤</w:t>
            </w:r>
            <w:r>
              <w:rPr>
                <w:rFonts w:hint="eastAsia" w:ascii="宋体" w:hAnsi="宋体"/>
                <w:b w:val="0"/>
                <w:bCs/>
                <w:color w:val="000000" w:themeColor="text1"/>
                <w:kern w:val="0"/>
                <w:sz w:val="18"/>
                <w:szCs w:val="18"/>
                <w:lang w:val="en-US" w:eastAsia="zh-CN"/>
                <w14:textFill>
                  <w14:solidFill>
                    <w14:schemeClr w14:val="tx1"/>
                  </w14:solidFill>
                </w14:textFill>
              </w:rPr>
              <w:t>3.3</w:t>
            </w:r>
          </w:p>
        </w:tc>
        <w:tc>
          <w:tcPr>
            <w:tcW w:w="2210" w:type="dxa"/>
            <w:vMerge w:val="continue"/>
            <w:tcBorders>
              <w:left w:val="single" w:color="auto" w:sz="4"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03" w:type="dxa"/>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黄铜</w:t>
            </w:r>
          </w:p>
        </w:tc>
        <w:tc>
          <w:tcPr>
            <w:tcW w:w="1080" w:type="dxa"/>
            <w:tcBorders>
              <w:top w:val="single" w:color="auto" w:sz="4" w:space="0"/>
              <w:left w:val="single" w:color="auto" w:sz="4" w:space="0"/>
              <w:bottom w:val="single" w:color="auto" w:sz="4" w:space="0"/>
              <w:right w:val="single" w:color="auto" w:sz="4" w:space="0"/>
            </w:tcBorders>
            <w:vAlign w:val="bottom"/>
          </w:tcPr>
          <w:p>
            <w:pPr>
              <w:jc w:val="center"/>
              <w:rPr>
                <w:color w:val="000000" w:themeColor="text1"/>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p>
        </w:tc>
        <w:tc>
          <w:tcPr>
            <w:tcW w:w="17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val="0"/>
                <w:bCs/>
                <w:color w:val="000000" w:themeColor="text1"/>
                <w:kern w:val="0"/>
                <w:sz w:val="18"/>
                <w:szCs w:val="18"/>
                <w14:textFill>
                  <w14:solidFill>
                    <w14:schemeClr w14:val="tx1"/>
                  </w14:solidFill>
                </w14:textFill>
              </w:rPr>
            </w:pPr>
            <w:r>
              <w:rPr>
                <w:rFonts w:hint="eastAsia" w:ascii="宋体" w:hAnsi="宋体"/>
                <w:b w:val="0"/>
                <w:bCs/>
                <w:color w:val="000000" w:themeColor="text1"/>
                <w:kern w:val="0"/>
                <w:sz w:val="18"/>
                <w:szCs w:val="18"/>
                <w14:textFill>
                  <w14:solidFill>
                    <w14:schemeClr w14:val="tx1"/>
                  </w14:solidFill>
                </w14:textFill>
              </w:rPr>
              <w:t>≤3.</w:t>
            </w:r>
            <w:r>
              <w:rPr>
                <w:rFonts w:hint="eastAsia" w:ascii="宋体" w:hAnsi="宋体"/>
                <w:b w:val="0"/>
                <w:bCs/>
                <w:color w:val="000000" w:themeColor="text1"/>
                <w:kern w:val="0"/>
                <w:sz w:val="18"/>
                <w:szCs w:val="18"/>
                <w:lang w:val="en-US" w:eastAsia="zh-CN"/>
                <w14:textFill>
                  <w14:solidFill>
                    <w14:schemeClr w14:val="tx1"/>
                  </w14:solidFill>
                </w14:textFill>
              </w:rPr>
              <w:t>6</w:t>
            </w:r>
          </w:p>
        </w:tc>
        <w:tc>
          <w:tcPr>
            <w:tcW w:w="2210" w:type="dxa"/>
            <w:vMerge w:val="continue"/>
            <w:tcBorders>
              <w:left w:val="single" w:color="auto" w:sz="4"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03" w:type="dxa"/>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青铜</w:t>
            </w:r>
          </w:p>
        </w:tc>
        <w:tc>
          <w:tcPr>
            <w:tcW w:w="1080" w:type="dxa"/>
            <w:tcBorders>
              <w:top w:val="single" w:color="auto" w:sz="4" w:space="0"/>
              <w:left w:val="single" w:color="auto" w:sz="4" w:space="0"/>
              <w:bottom w:val="single" w:color="auto" w:sz="4" w:space="0"/>
              <w:right w:val="single" w:color="auto" w:sz="4" w:space="0"/>
            </w:tcBorders>
            <w:vAlign w:val="bottom"/>
          </w:tcPr>
          <w:p>
            <w:pPr>
              <w:jc w:val="center"/>
              <w:rPr>
                <w:color w:val="000000" w:themeColor="text1"/>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p>
        </w:tc>
        <w:tc>
          <w:tcPr>
            <w:tcW w:w="17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b w:val="0"/>
                <w:bCs/>
                <w:color w:val="000000" w:themeColor="text1"/>
                <w:kern w:val="0"/>
                <w:sz w:val="18"/>
                <w:szCs w:val="18"/>
                <w:highlight w:val="none"/>
                <w14:textFill>
                  <w14:solidFill>
                    <w14:schemeClr w14:val="tx1"/>
                  </w14:solidFill>
                </w14:textFill>
              </w:rPr>
              <w:t>≤</w:t>
            </w:r>
            <w:r>
              <w:rPr>
                <w:rFonts w:hint="eastAsia" w:ascii="宋体" w:hAnsi="宋体"/>
                <w:b w:val="0"/>
                <w:bCs/>
                <w:color w:val="000000" w:themeColor="text1"/>
                <w:kern w:val="0"/>
                <w:sz w:val="18"/>
                <w:szCs w:val="18"/>
                <w:highlight w:val="none"/>
                <w:lang w:val="en-US" w:eastAsia="zh-CN"/>
                <w14:textFill>
                  <w14:solidFill>
                    <w14:schemeClr w14:val="tx1"/>
                  </w14:solidFill>
                </w14:textFill>
              </w:rPr>
              <w:t>4</w:t>
            </w:r>
            <w:r>
              <w:rPr>
                <w:rFonts w:hint="eastAsia" w:ascii="宋体" w:hAnsi="宋体"/>
                <w:b w:val="0"/>
                <w:bCs/>
                <w:color w:val="000000" w:themeColor="text1"/>
                <w:kern w:val="0"/>
                <w:sz w:val="18"/>
                <w:szCs w:val="18"/>
                <w:highlight w:val="none"/>
                <w14:textFill>
                  <w14:solidFill>
                    <w14:schemeClr w14:val="tx1"/>
                  </w14:solidFill>
                </w14:textFill>
              </w:rPr>
              <w:t>.</w:t>
            </w:r>
            <w:r>
              <w:rPr>
                <w:rFonts w:hint="eastAsia" w:ascii="宋体" w:hAnsi="宋体"/>
                <w:b w:val="0"/>
                <w:bCs/>
                <w:color w:val="000000" w:themeColor="text1"/>
                <w:kern w:val="0"/>
                <w:sz w:val="18"/>
                <w:szCs w:val="18"/>
                <w:highlight w:val="none"/>
                <w:lang w:val="en-US" w:eastAsia="zh-CN"/>
                <w14:textFill>
                  <w14:solidFill>
                    <w14:schemeClr w14:val="tx1"/>
                  </w14:solidFill>
                </w14:textFill>
              </w:rPr>
              <w:t>0</w:t>
            </w:r>
          </w:p>
        </w:tc>
        <w:tc>
          <w:tcPr>
            <w:tcW w:w="2210" w:type="dxa"/>
            <w:vMerge w:val="continue"/>
            <w:tcBorders>
              <w:left w:val="single" w:color="auto" w:sz="4"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03" w:type="dxa"/>
            <w:vMerge w:val="continue"/>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12" w:space="0"/>
              <w:left w:val="single" w:color="auto" w:sz="12" w:space="0"/>
              <w:bottom w:val="single" w:color="auto" w:sz="6" w:space="0"/>
              <w:right w:val="single" w:color="auto" w:sz="4"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白铜</w:t>
            </w:r>
          </w:p>
        </w:tc>
        <w:tc>
          <w:tcPr>
            <w:tcW w:w="1080" w:type="dxa"/>
            <w:tcBorders>
              <w:top w:val="single" w:color="auto" w:sz="4" w:space="0"/>
              <w:left w:val="single" w:color="auto" w:sz="4" w:space="0"/>
              <w:bottom w:val="single" w:color="auto" w:sz="4" w:space="0"/>
              <w:right w:val="single" w:color="auto" w:sz="4" w:space="0"/>
            </w:tcBorders>
            <w:vAlign w:val="bottom"/>
          </w:tcPr>
          <w:p>
            <w:pPr>
              <w:jc w:val="center"/>
              <w:rPr>
                <w:color w:val="000000" w:themeColor="text1"/>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p>
        </w:tc>
        <w:tc>
          <w:tcPr>
            <w:tcW w:w="173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kern w:val="0"/>
                <w:sz w:val="18"/>
                <w:szCs w:val="18"/>
                <w:highlight w:val="yellow"/>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w:t>
            </w:r>
            <w:r>
              <w:rPr>
                <w:rFonts w:hint="eastAsia" w:ascii="宋体" w:hAnsi="宋体"/>
                <w:color w:val="000000" w:themeColor="text1"/>
                <w:kern w:val="0"/>
                <w:sz w:val="18"/>
                <w:szCs w:val="18"/>
                <w14:textFill>
                  <w14:solidFill>
                    <w14:schemeClr w14:val="tx1"/>
                  </w14:solidFill>
                </w14:textFill>
              </w:rPr>
              <w:t>3.9</w:t>
            </w:r>
          </w:p>
        </w:tc>
        <w:tc>
          <w:tcPr>
            <w:tcW w:w="2210" w:type="dxa"/>
            <w:vMerge w:val="continue"/>
            <w:tcBorders>
              <w:left w:val="single" w:color="auto" w:sz="4" w:space="0"/>
              <w:bottom w:val="single" w:color="auto" w:sz="4"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03" w:type="dxa"/>
            <w:vMerge w:val="continue"/>
            <w:tcBorders>
              <w:top w:val="single" w:color="auto" w:sz="12" w:space="0"/>
              <w:left w:val="single" w:color="auto" w:sz="6" w:space="0"/>
              <w:bottom w:val="single" w:color="auto" w:sz="4"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2164" w:type="dxa"/>
            <w:gridSpan w:val="3"/>
            <w:tcBorders>
              <w:top w:val="single" w:color="auto" w:sz="4" w:space="0"/>
              <w:left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highlight w:val="yellow"/>
                <w14:textFill>
                  <w14:solidFill>
                    <w14:schemeClr w14:val="tx1"/>
                  </w14:solidFill>
                </w14:textFill>
              </w:rPr>
              <w:t>再生原料利用率</w:t>
            </w:r>
          </w:p>
        </w:tc>
        <w:tc>
          <w:tcPr>
            <w:tcW w:w="1080"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hint="eastAsia" w:ascii="宋体" w:hAnsi="宋体" w:eastAsia="宋体" w:cs="宋体"/>
                <w:color w:val="000000" w:themeColor="text1"/>
                <w:kern w:val="2"/>
                <w:sz w:val="18"/>
                <w:szCs w:val="18"/>
                <w:highlight w:val="none"/>
                <w:lang w:val="en-US" w:eastAsia="zh-CN" w:bidi="ar-SA"/>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w:t>
            </w:r>
          </w:p>
        </w:tc>
        <w:tc>
          <w:tcPr>
            <w:tcW w:w="1731" w:type="dxa"/>
            <w:tcBorders>
              <w:top w:val="single" w:color="auto" w:sz="4" w:space="0"/>
              <w:left w:val="single" w:color="auto" w:sz="6" w:space="0"/>
              <w:right w:val="single" w:color="auto" w:sz="6" w:space="0"/>
            </w:tcBorders>
            <w:vAlign w:val="center"/>
          </w:tcPr>
          <w:p>
            <w:pPr>
              <w:jc w:val="center"/>
              <w:rPr>
                <w:rFonts w:hint="default" w:ascii="宋体" w:hAnsi="宋体" w:eastAsia="宋体" w:cs="Times New Roman"/>
                <w:color w:val="000000" w:themeColor="text1"/>
                <w:kern w:val="0"/>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0～15</w:t>
            </w:r>
          </w:p>
        </w:tc>
        <w:tc>
          <w:tcPr>
            <w:tcW w:w="2210" w:type="dxa"/>
            <w:tcBorders>
              <w:top w:val="single" w:color="auto" w:sz="4" w:space="0"/>
              <w:left w:val="single" w:color="auto" w:sz="6" w:space="0"/>
              <w:bottom w:val="single" w:color="auto" w:sz="4" w:space="0"/>
              <w:right w:val="single" w:color="auto" w:sz="6" w:space="0"/>
            </w:tcBorders>
            <w:vAlign w:val="center"/>
          </w:tcPr>
          <w:p>
            <w:pPr>
              <w:adjustRightInd w:val="0"/>
              <w:snapToGrid w:val="0"/>
              <w:jc w:val="center"/>
              <w:rPr>
                <w:rFonts w:ascii="宋体" w:hAnsi="宋体" w:eastAsia="宋体" w:cs="Times New Roman"/>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提供采购合</w:t>
            </w:r>
            <w:r>
              <w:rPr>
                <w:rFonts w:hint="eastAsia" w:ascii="宋体" w:hAnsi="宋体"/>
                <w:color w:val="000000" w:themeColor="text1"/>
                <w:sz w:val="18"/>
                <w:szCs w:val="18"/>
                <w:highlight w:val="none"/>
                <w:lang w:eastAsia="zh-CN"/>
                <w14:textFill>
                  <w14:solidFill>
                    <w14:schemeClr w14:val="tx1"/>
                  </w14:solidFill>
                </w14:textFill>
              </w:rPr>
              <w:t>同、</w:t>
            </w:r>
            <w:r>
              <w:rPr>
                <w:rFonts w:hint="eastAsia" w:ascii="宋体" w:hAnsi="宋体"/>
                <w:color w:val="000000" w:themeColor="text1"/>
                <w:sz w:val="18"/>
                <w:szCs w:val="18"/>
                <w:highlight w:val="none"/>
                <w14:textFill>
                  <w14:solidFill>
                    <w14:schemeClr w14:val="tx1"/>
                  </w14:solidFill>
                </w14:textFill>
              </w:rPr>
              <w:t>清单及</w:t>
            </w:r>
            <w:r>
              <w:rPr>
                <w:rFonts w:hint="eastAsia" w:ascii="宋体" w:hAnsi="宋体"/>
                <w:color w:val="000000" w:themeColor="text1"/>
                <w:sz w:val="18"/>
                <w:szCs w:val="18"/>
                <w:highlight w:val="none"/>
                <w:lang w:eastAsia="zh-CN"/>
                <w14:textFill>
                  <w14:solidFill>
                    <w14:schemeClr w14:val="tx1"/>
                  </w14:solidFill>
                </w14:textFill>
              </w:rPr>
              <w:t>据表等</w:t>
            </w:r>
            <w:r>
              <w:rPr>
                <w:rFonts w:hint="eastAsia" w:ascii="宋体" w:hAnsi="宋体"/>
                <w:color w:val="000000" w:themeColor="text1"/>
                <w:sz w:val="18"/>
                <w:szCs w:val="18"/>
                <w:highlight w:val="none"/>
                <w14:textFill>
                  <w14:solidFill>
                    <w14:schemeClr w14:val="tx1"/>
                  </w14:solidFill>
                </w14:textFill>
              </w:rPr>
              <w:t>证明材料</w:t>
            </w:r>
          </w:p>
        </w:tc>
        <w:tc>
          <w:tcPr>
            <w:tcW w:w="1003" w:type="dxa"/>
            <w:tcBorders>
              <w:top w:val="single" w:color="auto" w:sz="4" w:space="0"/>
              <w:left w:val="single" w:color="auto" w:sz="6" w:space="0"/>
              <w:bottom w:val="single" w:color="auto" w:sz="4" w:space="0"/>
              <w:right w:val="single" w:color="auto" w:sz="12" w:space="0"/>
            </w:tcBorders>
            <w:vAlign w:val="center"/>
          </w:tcPr>
          <w:p>
            <w:pPr>
              <w:jc w:val="left"/>
              <w:rPr>
                <w:rFonts w:hint="eastAsia" w:ascii="宋体" w:hAnsi="宋体" w:eastAsia="宋体" w:cs="Times New Roman"/>
                <w:color w:val="000000" w:themeColor="text1"/>
                <w:kern w:val="2"/>
                <w:sz w:val="18"/>
                <w:szCs w:val="18"/>
                <w:highlight w:val="yellow"/>
                <w:lang w:val="en-US" w:eastAsia="zh-CN" w:bidi="ar-SA"/>
                <w14:textFill>
                  <w14:solidFill>
                    <w14:schemeClr w14:val="tx1"/>
                  </w14:solidFill>
                </w14:textFill>
              </w:rPr>
            </w:pPr>
            <w:r>
              <w:rPr>
                <w:rFonts w:hint="eastAsia" w:ascii="宋体" w:hAnsi="宋体"/>
                <w:color w:val="000000" w:themeColor="text1"/>
                <w:sz w:val="18"/>
                <w:szCs w:val="18"/>
                <w:highlight w:val="none"/>
                <w:lang w:eastAsia="zh-CN"/>
                <w14:textFill>
                  <w14:solidFill>
                    <w14:schemeClr w14:val="tx1"/>
                  </w14:solidFill>
                </w14:textFill>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2164"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水重复利用率</w:t>
            </w: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173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90</w:t>
            </w:r>
          </w:p>
        </w:tc>
        <w:tc>
          <w:tcPr>
            <w:tcW w:w="2210"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现场数据</w:t>
            </w:r>
          </w:p>
        </w:tc>
        <w:tc>
          <w:tcPr>
            <w:tcW w:w="1003" w:type="dxa"/>
            <w:tcBorders>
              <w:top w:val="single" w:color="auto" w:sz="4" w:space="0"/>
              <w:left w:val="single" w:color="auto" w:sz="6" w:space="0"/>
              <w:bottom w:val="single" w:color="auto" w:sz="6" w:space="0"/>
              <w:right w:val="single" w:color="auto" w:sz="12" w:space="0"/>
            </w:tcBorders>
            <w:vAlign w:val="center"/>
          </w:tcPr>
          <w:p>
            <w:pPr>
              <w:adjustRightInd w:val="0"/>
              <w:snapToGrid w:val="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能源属性</w:t>
            </w:r>
          </w:p>
        </w:tc>
        <w:tc>
          <w:tcPr>
            <w:tcW w:w="817" w:type="dxa"/>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单位产品综合能耗</w:t>
            </w:r>
          </w:p>
        </w:tc>
        <w:tc>
          <w:tcPr>
            <w:tcW w:w="1347"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紫铜</w:t>
            </w: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kgce/t</w:t>
            </w:r>
          </w:p>
        </w:tc>
        <w:tc>
          <w:tcPr>
            <w:tcW w:w="1731"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000000" w:themeColor="text1"/>
                <w:sz w:val="18"/>
                <w:szCs w:val="18"/>
                <w:highlight w:val="yellow"/>
                <w14:textFill>
                  <w14:solidFill>
                    <w14:schemeClr w14:val="tx1"/>
                  </w14:solidFill>
                </w14:textFill>
              </w:rPr>
            </w:pPr>
            <w:r>
              <w:rPr>
                <w:rFonts w:ascii="宋体" w:hAnsi="宋体"/>
                <w:color w:val="000000" w:themeColor="text1"/>
                <w:kern w:val="0"/>
                <w:sz w:val="18"/>
                <w:szCs w:val="18"/>
                <w14:textFill>
                  <w14:solidFill>
                    <w14:schemeClr w14:val="tx1"/>
                  </w14:solidFill>
                </w14:textFill>
              </w:rPr>
              <w:t>GB</w:t>
            </w:r>
            <w:r>
              <w:rPr>
                <w:rFonts w:hint="eastAsia" w:ascii="宋体" w:hAnsi="宋体"/>
                <w:color w:val="000000" w:themeColor="text1"/>
                <w:kern w:val="0"/>
                <w:sz w:val="18"/>
                <w:szCs w:val="18"/>
                <w14:textFill>
                  <w14:solidFill>
                    <w14:schemeClr w14:val="tx1"/>
                  </w14:solidFill>
                </w14:textFill>
              </w:rPr>
              <w:t xml:space="preserve"> xxxx中各类综</w:t>
            </w:r>
            <w:r>
              <w:rPr>
                <w:rFonts w:hint="eastAsia" w:ascii="宋体" w:hAnsi="宋体"/>
                <w:color w:val="000000" w:themeColor="text1"/>
                <w:kern w:val="0"/>
                <w:sz w:val="18"/>
                <w:szCs w:val="18"/>
                <w:lang w:eastAsia="zh-CN"/>
                <w14:textFill>
                  <w14:solidFill>
                    <w14:schemeClr w14:val="tx1"/>
                  </w14:solidFill>
                </w14:textFill>
              </w:rPr>
              <w:t>合</w:t>
            </w:r>
            <w:r>
              <w:rPr>
                <w:rFonts w:hint="eastAsia" w:ascii="宋体" w:hAnsi="宋体"/>
                <w:color w:val="000000" w:themeColor="text1"/>
                <w:kern w:val="0"/>
                <w:sz w:val="18"/>
                <w:szCs w:val="18"/>
                <w14:textFill>
                  <w14:solidFill>
                    <w14:schemeClr w14:val="tx1"/>
                  </w14:solidFill>
                </w14:textFill>
              </w:rPr>
              <w:t>能耗二级</w:t>
            </w:r>
          </w:p>
        </w:tc>
        <w:tc>
          <w:tcPr>
            <w:tcW w:w="2210"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依据</w:t>
            </w:r>
            <w:r>
              <w:rPr>
                <w:rFonts w:ascii="宋体" w:hAnsi="宋体"/>
                <w:color w:val="000000" w:themeColor="text1"/>
                <w:kern w:val="0"/>
                <w:sz w:val="18"/>
                <w:szCs w:val="18"/>
                <w14:textFill>
                  <w14:solidFill>
                    <w14:schemeClr w14:val="tx1"/>
                  </w14:solidFill>
                </w14:textFill>
              </w:rPr>
              <w:t>GB</w:t>
            </w:r>
            <w:r>
              <w:rPr>
                <w:rFonts w:hint="eastAsia" w:ascii="宋体" w:hAnsi="宋体"/>
                <w:color w:val="000000" w:themeColor="text1"/>
                <w:kern w:val="0"/>
                <w:sz w:val="18"/>
                <w:szCs w:val="18"/>
                <w14:textFill>
                  <w14:solidFill>
                    <w14:schemeClr w14:val="tx1"/>
                  </w14:solidFill>
                </w14:textFill>
              </w:rPr>
              <w:t xml:space="preserve"> xxxx</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统计计算</w:t>
            </w:r>
          </w:p>
        </w:tc>
        <w:tc>
          <w:tcPr>
            <w:tcW w:w="1003" w:type="dxa"/>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高铜</w:t>
            </w: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kgce/t</w:t>
            </w:r>
          </w:p>
        </w:tc>
        <w:tc>
          <w:tcPr>
            <w:tcW w:w="1731" w:type="dxa"/>
            <w:vMerge w:val="continue"/>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2210" w:type="dxa"/>
            <w:vMerge w:val="continue"/>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003" w:type="dxa"/>
            <w:vMerge w:val="continue"/>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left w:val="single" w:color="auto" w:sz="6"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黄铜</w:t>
            </w: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kgce/t</w:t>
            </w:r>
          </w:p>
        </w:tc>
        <w:tc>
          <w:tcPr>
            <w:tcW w:w="1731"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highlight w:val="yellow"/>
                <w14:textFill>
                  <w14:solidFill>
                    <w14:schemeClr w14:val="tx1"/>
                  </w14:solidFill>
                </w14:textFill>
              </w:rPr>
            </w:pPr>
          </w:p>
        </w:tc>
        <w:tc>
          <w:tcPr>
            <w:tcW w:w="2210"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left w:val="single" w:color="auto" w:sz="6"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青铜</w:t>
            </w: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kgce/t</w:t>
            </w:r>
          </w:p>
        </w:tc>
        <w:tc>
          <w:tcPr>
            <w:tcW w:w="1731"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highlight w:val="yellow"/>
                <w14:textFill>
                  <w14:solidFill>
                    <w14:schemeClr w14:val="tx1"/>
                  </w14:solidFill>
                </w14:textFill>
              </w:rPr>
            </w:pPr>
          </w:p>
        </w:tc>
        <w:tc>
          <w:tcPr>
            <w:tcW w:w="2210"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left w:val="single" w:color="auto" w:sz="6" w:space="0"/>
              <w:bottom w:val="single" w:color="auto" w:sz="6"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白铜</w:t>
            </w: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kgce/t</w:t>
            </w:r>
          </w:p>
        </w:tc>
        <w:tc>
          <w:tcPr>
            <w:tcW w:w="1731"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highlight w:val="yellow"/>
                <w14:textFill>
                  <w14:solidFill>
                    <w14:schemeClr w14:val="tx1"/>
                  </w14:solidFill>
                </w14:textFill>
              </w:rPr>
            </w:pPr>
          </w:p>
        </w:tc>
        <w:tc>
          <w:tcPr>
            <w:tcW w:w="2210"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003" w:type="dxa"/>
            <w:vMerge w:val="continue"/>
            <w:tcBorders>
              <w:left w:val="single" w:color="auto" w:sz="6" w:space="0"/>
              <w:bottom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环境属性</w:t>
            </w:r>
          </w:p>
        </w:tc>
        <w:tc>
          <w:tcPr>
            <w:tcW w:w="817"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废气</w:t>
            </w:r>
          </w:p>
        </w:tc>
        <w:tc>
          <w:tcPr>
            <w:tcW w:w="13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颗粒物</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mg/m</w:t>
            </w:r>
            <w:r>
              <w:rPr>
                <w:rFonts w:hint="eastAsia" w:ascii="宋体" w:hAnsi="宋体"/>
                <w:color w:val="000000" w:themeColor="text1"/>
                <w:kern w:val="0"/>
                <w:sz w:val="18"/>
                <w:szCs w:val="18"/>
                <w:vertAlign w:val="superscript"/>
                <w14:textFill>
                  <w14:solidFill>
                    <w14:schemeClr w14:val="tx1"/>
                  </w14:solidFill>
                </w14:textFill>
              </w:rPr>
              <w:t>3</w:t>
            </w:r>
          </w:p>
        </w:tc>
        <w:tc>
          <w:tcPr>
            <w:tcW w:w="17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≤10</w:t>
            </w:r>
          </w:p>
        </w:tc>
        <w:tc>
          <w:tcPr>
            <w:tcW w:w="2210"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依据GB 16297检验方法检测</w:t>
            </w:r>
          </w:p>
        </w:tc>
        <w:tc>
          <w:tcPr>
            <w:tcW w:w="1003" w:type="dxa"/>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vertAlign w:val="subscript"/>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SO</w:t>
            </w:r>
            <w:r>
              <w:rPr>
                <w:rFonts w:hint="eastAsia" w:ascii="宋体" w:hAnsi="宋体"/>
                <w:color w:val="000000" w:themeColor="text1"/>
                <w:kern w:val="0"/>
                <w:sz w:val="18"/>
                <w:szCs w:val="18"/>
                <w:vertAlign w:val="subscript"/>
                <w14:textFill>
                  <w14:solidFill>
                    <w14:schemeClr w14:val="tx1"/>
                  </w14:solidFill>
                </w14:textFill>
              </w:rPr>
              <w:t>2</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mg/m3</w:t>
            </w:r>
          </w:p>
        </w:tc>
        <w:tc>
          <w:tcPr>
            <w:tcW w:w="17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≤50</w:t>
            </w:r>
          </w:p>
        </w:tc>
        <w:tc>
          <w:tcPr>
            <w:tcW w:w="2210"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NO</w:t>
            </w:r>
            <w:r>
              <w:rPr>
                <w:rFonts w:hint="eastAsia" w:ascii="宋体" w:hAnsi="宋体"/>
                <w:color w:val="000000" w:themeColor="text1"/>
                <w:kern w:val="0"/>
                <w:sz w:val="18"/>
                <w:szCs w:val="18"/>
                <w:vertAlign w:val="subscript"/>
                <w14:textFill>
                  <w14:solidFill>
                    <w14:schemeClr w14:val="tx1"/>
                  </w14:solidFill>
                </w14:textFill>
              </w:rPr>
              <w:t>x</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mg/m3</w:t>
            </w:r>
          </w:p>
        </w:tc>
        <w:tc>
          <w:tcPr>
            <w:tcW w:w="17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≤100</w:t>
            </w:r>
          </w:p>
        </w:tc>
        <w:tc>
          <w:tcPr>
            <w:tcW w:w="2210"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硫酸雾</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mg/m3</w:t>
            </w:r>
          </w:p>
        </w:tc>
        <w:tc>
          <w:tcPr>
            <w:tcW w:w="17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≤45</w:t>
            </w:r>
          </w:p>
        </w:tc>
        <w:tc>
          <w:tcPr>
            <w:tcW w:w="2210"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非甲烷总烃</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mg/m3</w:t>
            </w:r>
          </w:p>
        </w:tc>
        <w:tc>
          <w:tcPr>
            <w:tcW w:w="17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≤80</w:t>
            </w:r>
          </w:p>
        </w:tc>
        <w:tc>
          <w:tcPr>
            <w:tcW w:w="2210"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03" w:type="dxa"/>
            <w:vMerge w:val="continue"/>
            <w:tcBorders>
              <w:left w:val="single" w:color="auto" w:sz="6" w:space="0"/>
              <w:bottom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烟气黑度</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林格曼级</w:t>
            </w:r>
          </w:p>
        </w:tc>
        <w:tc>
          <w:tcPr>
            <w:tcW w:w="17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1</w:t>
            </w:r>
          </w:p>
        </w:tc>
        <w:tc>
          <w:tcPr>
            <w:tcW w:w="2210" w:type="dxa"/>
            <w:tcBorders>
              <w:left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03" w:type="dxa"/>
            <w:tcBorders>
              <w:left w:val="single" w:color="auto" w:sz="6" w:space="0"/>
              <w:bottom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restart"/>
            <w:tcBorders>
              <w:top w:val="single" w:color="auto" w:sz="6" w:space="0"/>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废水</w:t>
            </w:r>
          </w:p>
        </w:tc>
        <w:tc>
          <w:tcPr>
            <w:tcW w:w="13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000000" w:themeColor="text1"/>
                <w:sz w:val="18"/>
                <w:szCs w:val="18"/>
                <w14:textFill>
                  <w14:solidFill>
                    <w14:schemeClr w14:val="tx1"/>
                  </w14:solidFill>
                </w14:textFill>
              </w:rPr>
            </w:pPr>
            <w:r>
              <w:rPr>
                <w:rFonts w:ascii="宋体" w:hAnsi="宋体" w:cs="Tahoma"/>
                <w:color w:val="000000" w:themeColor="text1"/>
                <w:sz w:val="18"/>
                <w:szCs w:val="18"/>
                <w14:textFill>
                  <w14:solidFill>
                    <w14:schemeClr w14:val="tx1"/>
                  </w14:solidFill>
                </w14:textFill>
              </w:rPr>
              <w:t>pH</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18"/>
                <w:szCs w:val="18"/>
                <w14:textFill>
                  <w14:solidFill>
                    <w14:schemeClr w14:val="tx1"/>
                  </w14:solidFill>
                </w14:textFill>
              </w:rPr>
            </w:pPr>
          </w:p>
        </w:tc>
        <w:tc>
          <w:tcPr>
            <w:tcW w:w="17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000000" w:themeColor="text1"/>
                <w:sz w:val="18"/>
                <w:szCs w:val="18"/>
                <w14:textFill>
                  <w14:solidFill>
                    <w14:schemeClr w14:val="tx1"/>
                  </w14:solidFill>
                </w14:textFill>
              </w:rPr>
            </w:pPr>
            <w:r>
              <w:rPr>
                <w:rFonts w:hint="eastAsia" w:ascii="宋体" w:hAnsi="宋体" w:cs="Tahoma"/>
                <w:color w:val="000000" w:themeColor="text1"/>
                <w:sz w:val="18"/>
                <w:szCs w:val="18"/>
                <w14:textFill>
                  <w14:solidFill>
                    <w14:schemeClr w14:val="tx1"/>
                  </w14:solidFill>
                </w14:textFill>
              </w:rPr>
              <w:t>6～9</w:t>
            </w:r>
          </w:p>
        </w:tc>
        <w:tc>
          <w:tcPr>
            <w:tcW w:w="2210" w:type="dxa"/>
            <w:vMerge w:val="restart"/>
            <w:tcBorders>
              <w:top w:val="single" w:color="auto" w:sz="6" w:space="0"/>
              <w:left w:val="single" w:color="auto" w:sz="6" w:space="0"/>
              <w:right w:val="single" w:color="auto" w:sz="6" w:space="0"/>
            </w:tcBorders>
            <w:vAlign w:val="center"/>
          </w:tcPr>
          <w:p>
            <w:pPr>
              <w:pStyle w:val="9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依据</w:t>
            </w:r>
            <w:r>
              <w:rPr>
                <w:rFonts w:hAnsi="宋体"/>
                <w:color w:val="000000" w:themeColor="text1"/>
                <w:sz w:val="18"/>
                <w:szCs w:val="18"/>
                <w14:textFill>
                  <w14:solidFill>
                    <w14:schemeClr w14:val="tx1"/>
                  </w14:solidFill>
                </w14:textFill>
              </w:rPr>
              <w:t>GB</w:t>
            </w:r>
            <w:r>
              <w:rPr>
                <w:rFonts w:hint="eastAsia" w:hAnsi="宋体"/>
                <w:color w:val="000000" w:themeColor="text1"/>
                <w:sz w:val="18"/>
                <w:szCs w:val="18"/>
                <w14:textFill>
                  <w14:solidFill>
                    <w14:schemeClr w14:val="tx1"/>
                  </w14:solidFill>
                </w14:textFill>
              </w:rPr>
              <w:t xml:space="preserve"> 8978检验方法</w:t>
            </w:r>
          </w:p>
          <w:p>
            <w:pPr>
              <w:pStyle w:val="9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检测</w:t>
            </w:r>
          </w:p>
        </w:tc>
        <w:tc>
          <w:tcPr>
            <w:tcW w:w="1003" w:type="dxa"/>
            <w:vMerge w:val="restart"/>
            <w:tcBorders>
              <w:top w:val="single" w:color="auto" w:sz="6" w:space="0"/>
              <w:left w:val="single" w:color="auto" w:sz="6" w:space="0"/>
              <w:right w:val="single" w:color="auto" w:sz="12" w:space="0"/>
            </w:tcBorders>
            <w:vAlign w:val="center"/>
          </w:tcPr>
          <w:p>
            <w:pPr>
              <w:pStyle w:val="90"/>
              <w:jc w:val="center"/>
              <w:rPr>
                <w:rFonts w:hAnsi="宋体"/>
                <w:color w:val="000000" w:themeColor="text1"/>
                <w:sz w:val="18"/>
                <w:szCs w:val="18"/>
                <w14:textFill>
                  <w14:solidFill>
                    <w14:schemeClr w14:val="tx1"/>
                  </w14:solidFill>
                </w14:textFill>
              </w:rPr>
            </w:pPr>
            <w:r>
              <w:rPr>
                <w:rFonts w:hint="eastAsia" w:hAnsi="宋体"/>
                <w:color w:val="000000" w:themeColor="text1"/>
                <w:sz w:val="18"/>
                <w:szCs w:val="18"/>
                <w14:textFill>
                  <w14:solidFill>
                    <w14:schemeClr w14:val="tx1"/>
                  </w14:solidFill>
                </w14:textFill>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000000" w:themeColor="text1"/>
                <w:sz w:val="18"/>
                <w:szCs w:val="18"/>
                <w14:textFill>
                  <w14:solidFill>
                    <w14:schemeClr w14:val="tx1"/>
                  </w14:solidFill>
                </w14:textFill>
              </w:rPr>
            </w:pPr>
            <w:r>
              <w:rPr>
                <w:rFonts w:hint="eastAsia" w:ascii="宋体" w:hAnsi="宋体" w:cs="Tahoma"/>
                <w:color w:val="000000" w:themeColor="text1"/>
                <w:sz w:val="18"/>
                <w:szCs w:val="18"/>
                <w14:textFill>
                  <w14:solidFill>
                    <w14:schemeClr w14:val="tx1"/>
                  </w14:solidFill>
                </w14:textFill>
              </w:rPr>
              <w:t>悬浮物（SS）</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s="Tahoma"/>
                <w:color w:val="000000" w:themeColor="text1"/>
                <w:sz w:val="18"/>
                <w:szCs w:val="18"/>
                <w14:textFill>
                  <w14:solidFill>
                    <w14:schemeClr w14:val="tx1"/>
                  </w14:solidFill>
                </w14:textFill>
              </w:rPr>
              <w:t>mg/L</w:t>
            </w:r>
          </w:p>
        </w:tc>
        <w:tc>
          <w:tcPr>
            <w:tcW w:w="17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w:t>
            </w:r>
            <w:r>
              <w:rPr>
                <w:rFonts w:hint="eastAsia" w:ascii="宋体" w:hAnsi="宋体" w:cs="Tahoma"/>
                <w:color w:val="000000" w:themeColor="text1"/>
                <w:sz w:val="18"/>
                <w:szCs w:val="18"/>
                <w14:textFill>
                  <w14:solidFill>
                    <w14:schemeClr w14:val="tx1"/>
                  </w14:solidFill>
                </w14:textFill>
              </w:rPr>
              <w:t>400</w:t>
            </w:r>
          </w:p>
        </w:tc>
        <w:tc>
          <w:tcPr>
            <w:tcW w:w="2210" w:type="dxa"/>
            <w:vMerge w:val="continue"/>
            <w:tcBorders>
              <w:left w:val="single" w:color="auto" w:sz="6" w:space="0"/>
              <w:right w:val="single" w:color="auto" w:sz="6" w:space="0"/>
            </w:tcBorders>
            <w:vAlign w:val="center"/>
          </w:tcPr>
          <w:p>
            <w:pPr>
              <w:pStyle w:val="90"/>
              <w:jc w:val="center"/>
              <w:rPr>
                <w:rFonts w:hAnsi="宋体"/>
                <w:color w:val="000000" w:themeColor="text1"/>
                <w:sz w:val="18"/>
                <w:szCs w:val="18"/>
                <w14:textFill>
                  <w14:solidFill>
                    <w14:schemeClr w14:val="tx1"/>
                  </w14:solidFill>
                </w14:textFill>
              </w:rPr>
            </w:pPr>
          </w:p>
        </w:tc>
        <w:tc>
          <w:tcPr>
            <w:tcW w:w="1003" w:type="dxa"/>
            <w:vMerge w:val="continue"/>
            <w:tcBorders>
              <w:left w:val="single" w:color="auto" w:sz="6" w:space="0"/>
              <w:right w:val="single" w:color="auto" w:sz="12" w:space="0"/>
            </w:tcBorders>
            <w:vAlign w:val="center"/>
          </w:tcPr>
          <w:p>
            <w:pPr>
              <w:pStyle w:val="90"/>
              <w:jc w:val="center"/>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000000" w:themeColor="text1"/>
                <w:sz w:val="18"/>
                <w:szCs w:val="18"/>
                <w14:textFill>
                  <w14:solidFill>
                    <w14:schemeClr w14:val="tx1"/>
                  </w14:solidFill>
                </w14:textFill>
              </w:rPr>
            </w:pPr>
            <w:r>
              <w:rPr>
                <w:rFonts w:hint="eastAsia" w:ascii="宋体" w:hAnsi="宋体" w:cs="Tahoma"/>
                <w:color w:val="000000" w:themeColor="text1"/>
                <w:sz w:val="18"/>
                <w:szCs w:val="18"/>
                <w14:textFill>
                  <w14:solidFill>
                    <w14:schemeClr w14:val="tx1"/>
                  </w14:solidFill>
                </w14:textFill>
              </w:rPr>
              <w:t>化学需氧量</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s="Tahoma"/>
                <w:color w:val="000000" w:themeColor="text1"/>
                <w:sz w:val="18"/>
                <w:szCs w:val="18"/>
                <w14:textFill>
                  <w14:solidFill>
                    <w14:schemeClr w14:val="tx1"/>
                  </w14:solidFill>
                </w14:textFill>
              </w:rPr>
              <w:t>mg/L</w:t>
            </w:r>
          </w:p>
        </w:tc>
        <w:tc>
          <w:tcPr>
            <w:tcW w:w="17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b w:val="0"/>
                <w:bCs/>
                <w:color w:val="000000" w:themeColor="text1"/>
                <w:sz w:val="18"/>
                <w:szCs w:val="18"/>
                <w14:textFill>
                  <w14:solidFill>
                    <w14:schemeClr w14:val="tx1"/>
                  </w14:solidFill>
                </w14:textFill>
              </w:rPr>
            </w:pPr>
            <w:r>
              <w:rPr>
                <w:rFonts w:hint="eastAsia" w:ascii="宋体" w:hAnsi="宋体"/>
                <w:b w:val="0"/>
                <w:bCs/>
                <w:color w:val="000000" w:themeColor="text1"/>
                <w:kern w:val="0"/>
                <w:sz w:val="18"/>
                <w:szCs w:val="18"/>
                <w14:textFill>
                  <w14:solidFill>
                    <w14:schemeClr w14:val="tx1"/>
                  </w14:solidFill>
                </w14:textFill>
              </w:rPr>
              <w:t>≤</w:t>
            </w:r>
            <w:r>
              <w:rPr>
                <w:rFonts w:hint="eastAsia" w:ascii="宋体" w:hAnsi="宋体" w:cs="Tahoma"/>
                <w:b w:val="0"/>
                <w:bCs/>
                <w:color w:val="000000" w:themeColor="text1"/>
                <w:sz w:val="18"/>
                <w:szCs w:val="18"/>
                <w14:textFill>
                  <w14:solidFill>
                    <w14:schemeClr w14:val="tx1"/>
                  </w14:solidFill>
                </w14:textFill>
              </w:rPr>
              <w:t>500</w:t>
            </w:r>
          </w:p>
        </w:tc>
        <w:tc>
          <w:tcPr>
            <w:tcW w:w="2210" w:type="dxa"/>
            <w:vMerge w:val="continue"/>
            <w:tcBorders>
              <w:left w:val="single" w:color="auto" w:sz="6" w:space="0"/>
              <w:right w:val="single" w:color="auto" w:sz="6" w:space="0"/>
            </w:tcBorders>
            <w:vAlign w:val="center"/>
          </w:tcPr>
          <w:p>
            <w:pPr>
              <w:pStyle w:val="90"/>
              <w:jc w:val="center"/>
              <w:rPr>
                <w:rFonts w:hAnsi="宋体"/>
                <w:color w:val="000000" w:themeColor="text1"/>
                <w:sz w:val="18"/>
                <w:szCs w:val="18"/>
                <w14:textFill>
                  <w14:solidFill>
                    <w14:schemeClr w14:val="tx1"/>
                  </w14:solidFill>
                </w14:textFill>
              </w:rPr>
            </w:pPr>
          </w:p>
        </w:tc>
        <w:tc>
          <w:tcPr>
            <w:tcW w:w="1003" w:type="dxa"/>
            <w:vMerge w:val="continue"/>
            <w:tcBorders>
              <w:left w:val="single" w:color="auto" w:sz="6" w:space="0"/>
              <w:right w:val="single" w:color="auto" w:sz="12" w:space="0"/>
            </w:tcBorders>
            <w:vAlign w:val="center"/>
          </w:tcPr>
          <w:p>
            <w:pPr>
              <w:pStyle w:val="90"/>
              <w:jc w:val="center"/>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000000" w:themeColor="text1"/>
                <w:sz w:val="18"/>
                <w:szCs w:val="18"/>
                <w14:textFill>
                  <w14:solidFill>
                    <w14:schemeClr w14:val="tx1"/>
                  </w14:solidFill>
                </w14:textFill>
              </w:rPr>
            </w:pPr>
            <w:r>
              <w:rPr>
                <w:rFonts w:hint="eastAsia" w:ascii="宋体" w:hAnsi="宋体" w:cs="Tahoma"/>
                <w:color w:val="000000" w:themeColor="text1"/>
                <w:sz w:val="18"/>
                <w:szCs w:val="18"/>
                <w14:textFill>
                  <w14:solidFill>
                    <w14:schemeClr w14:val="tx1"/>
                  </w14:solidFill>
                </w14:textFill>
              </w:rPr>
              <w:t>氨氮</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s="Tahoma"/>
                <w:color w:val="000000" w:themeColor="text1"/>
                <w:sz w:val="18"/>
                <w:szCs w:val="18"/>
                <w14:textFill>
                  <w14:solidFill>
                    <w14:schemeClr w14:val="tx1"/>
                  </w14:solidFill>
                </w14:textFill>
              </w:rPr>
              <w:t>mg/L</w:t>
            </w:r>
          </w:p>
        </w:tc>
        <w:tc>
          <w:tcPr>
            <w:tcW w:w="17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b w:val="0"/>
                <w:bCs/>
                <w:color w:val="000000" w:themeColor="text1"/>
                <w:sz w:val="18"/>
                <w:szCs w:val="18"/>
                <w14:textFill>
                  <w14:solidFill>
                    <w14:schemeClr w14:val="tx1"/>
                  </w14:solidFill>
                </w14:textFill>
              </w:rPr>
            </w:pPr>
            <w:r>
              <w:rPr>
                <w:rFonts w:hint="eastAsia" w:ascii="宋体" w:hAnsi="宋体"/>
                <w:b w:val="0"/>
                <w:bCs/>
                <w:color w:val="000000" w:themeColor="text1"/>
                <w:kern w:val="0"/>
                <w:sz w:val="18"/>
                <w:szCs w:val="18"/>
                <w14:textFill>
                  <w14:solidFill>
                    <w14:schemeClr w14:val="tx1"/>
                  </w14:solidFill>
                </w14:textFill>
              </w:rPr>
              <w:t>≤</w:t>
            </w:r>
            <w:r>
              <w:rPr>
                <w:rFonts w:hint="eastAsia" w:ascii="宋体" w:hAnsi="宋体" w:cs="Tahoma"/>
                <w:b w:val="0"/>
                <w:bCs/>
                <w:color w:val="000000" w:themeColor="text1"/>
                <w:sz w:val="18"/>
                <w:szCs w:val="18"/>
                <w14:textFill>
                  <w14:solidFill>
                    <w14:schemeClr w14:val="tx1"/>
                  </w14:solidFill>
                </w14:textFill>
              </w:rPr>
              <w:t>25</w:t>
            </w:r>
          </w:p>
        </w:tc>
        <w:tc>
          <w:tcPr>
            <w:tcW w:w="2210" w:type="dxa"/>
            <w:vMerge w:val="continue"/>
            <w:tcBorders>
              <w:left w:val="single" w:color="auto" w:sz="6" w:space="0"/>
              <w:right w:val="single" w:color="auto" w:sz="6" w:space="0"/>
            </w:tcBorders>
            <w:vAlign w:val="center"/>
          </w:tcPr>
          <w:p>
            <w:pPr>
              <w:pStyle w:val="90"/>
              <w:jc w:val="center"/>
              <w:rPr>
                <w:rFonts w:hAnsi="宋体"/>
                <w:color w:val="000000" w:themeColor="text1"/>
                <w:sz w:val="18"/>
                <w:szCs w:val="18"/>
                <w14:textFill>
                  <w14:solidFill>
                    <w14:schemeClr w14:val="tx1"/>
                  </w14:solidFill>
                </w14:textFill>
              </w:rPr>
            </w:pPr>
          </w:p>
        </w:tc>
        <w:tc>
          <w:tcPr>
            <w:tcW w:w="1003" w:type="dxa"/>
            <w:vMerge w:val="continue"/>
            <w:tcBorders>
              <w:left w:val="single" w:color="auto" w:sz="6" w:space="0"/>
              <w:right w:val="single" w:color="auto" w:sz="12" w:space="0"/>
            </w:tcBorders>
            <w:vAlign w:val="center"/>
          </w:tcPr>
          <w:p>
            <w:pPr>
              <w:pStyle w:val="90"/>
              <w:jc w:val="center"/>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Courier New"/>
                <w:color w:val="000000" w:themeColor="text1"/>
                <w:sz w:val="18"/>
                <w:szCs w:val="18"/>
                <w14:textFill>
                  <w14:solidFill>
                    <w14:schemeClr w14:val="tx1"/>
                  </w14:solidFill>
                </w14:textFill>
              </w:rPr>
            </w:pPr>
            <w:r>
              <w:rPr>
                <w:rFonts w:ascii="宋体" w:hAnsi="宋体" w:cs="Courier New"/>
                <w:color w:val="000000" w:themeColor="text1"/>
                <w:sz w:val="18"/>
                <w:szCs w:val="18"/>
                <w14:textFill>
                  <w14:solidFill>
                    <w14:schemeClr w14:val="tx1"/>
                  </w14:solidFill>
                </w14:textFill>
              </w:rPr>
              <w:t>总铜</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18"/>
                <w:szCs w:val="18"/>
                <w14:textFill>
                  <w14:solidFill>
                    <w14:schemeClr w14:val="tx1"/>
                  </w14:solidFill>
                </w14:textFill>
              </w:rPr>
            </w:pPr>
            <w:r>
              <w:rPr>
                <w:rFonts w:ascii="宋体" w:hAnsi="宋体" w:cs="Tahoma"/>
                <w:color w:val="000000" w:themeColor="text1"/>
                <w:sz w:val="18"/>
                <w:szCs w:val="18"/>
                <w14:textFill>
                  <w14:solidFill>
                    <w14:schemeClr w14:val="tx1"/>
                  </w14:solidFill>
                </w14:textFill>
              </w:rPr>
              <w:t>mg/L</w:t>
            </w:r>
          </w:p>
        </w:tc>
        <w:tc>
          <w:tcPr>
            <w:tcW w:w="17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b w:val="0"/>
                <w:bCs/>
                <w:color w:val="000000" w:themeColor="text1"/>
                <w:sz w:val="18"/>
                <w:szCs w:val="18"/>
                <w14:textFill>
                  <w14:solidFill>
                    <w14:schemeClr w14:val="tx1"/>
                  </w14:solidFill>
                </w14:textFill>
              </w:rPr>
            </w:pPr>
            <w:r>
              <w:rPr>
                <w:rFonts w:hint="eastAsia" w:ascii="宋体" w:hAnsi="宋体"/>
                <w:b w:val="0"/>
                <w:bCs/>
                <w:color w:val="000000" w:themeColor="text1"/>
                <w:kern w:val="0"/>
                <w:sz w:val="18"/>
                <w:szCs w:val="18"/>
                <w14:textFill>
                  <w14:solidFill>
                    <w14:schemeClr w14:val="tx1"/>
                  </w14:solidFill>
                </w14:textFill>
              </w:rPr>
              <w:t>≤</w:t>
            </w:r>
            <w:r>
              <w:rPr>
                <w:rFonts w:hint="eastAsia" w:ascii="宋体" w:hAnsi="宋体" w:cs="Tahoma"/>
                <w:b w:val="0"/>
                <w:bCs/>
                <w:color w:val="000000" w:themeColor="text1"/>
                <w:sz w:val="18"/>
                <w:szCs w:val="18"/>
                <w14:textFill>
                  <w14:solidFill>
                    <w14:schemeClr w14:val="tx1"/>
                  </w14:solidFill>
                </w14:textFill>
              </w:rPr>
              <w:t>2.0</w:t>
            </w:r>
          </w:p>
        </w:tc>
        <w:tc>
          <w:tcPr>
            <w:tcW w:w="2210" w:type="dxa"/>
            <w:vMerge w:val="continue"/>
            <w:tcBorders>
              <w:left w:val="single" w:color="auto" w:sz="6" w:space="0"/>
              <w:right w:val="single" w:color="auto" w:sz="6" w:space="0"/>
            </w:tcBorders>
            <w:vAlign w:val="center"/>
          </w:tcPr>
          <w:p>
            <w:pPr>
              <w:pStyle w:val="90"/>
              <w:jc w:val="center"/>
              <w:rPr>
                <w:rFonts w:hAnsi="宋体"/>
                <w:color w:val="000000" w:themeColor="text1"/>
                <w:sz w:val="18"/>
                <w:szCs w:val="18"/>
                <w14:textFill>
                  <w14:solidFill>
                    <w14:schemeClr w14:val="tx1"/>
                  </w14:solidFill>
                </w14:textFill>
              </w:rPr>
            </w:pPr>
          </w:p>
        </w:tc>
        <w:tc>
          <w:tcPr>
            <w:tcW w:w="1003" w:type="dxa"/>
            <w:vMerge w:val="continue"/>
            <w:tcBorders>
              <w:left w:val="single" w:color="auto" w:sz="6" w:space="0"/>
              <w:right w:val="single" w:color="auto" w:sz="12" w:space="0"/>
            </w:tcBorders>
            <w:vAlign w:val="center"/>
          </w:tcPr>
          <w:p>
            <w:pPr>
              <w:pStyle w:val="90"/>
              <w:jc w:val="center"/>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817"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3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000000" w:themeColor="text1"/>
                <w:sz w:val="18"/>
                <w:szCs w:val="18"/>
                <w14:textFill>
                  <w14:solidFill>
                    <w14:schemeClr w14:val="tx1"/>
                  </w14:solidFill>
                </w14:textFill>
              </w:rPr>
            </w:pPr>
            <w:r>
              <w:rPr>
                <w:rFonts w:hint="eastAsia" w:ascii="宋体" w:hAnsi="宋体" w:cs="Tahoma"/>
                <w:color w:val="000000" w:themeColor="text1"/>
                <w:sz w:val="18"/>
                <w:szCs w:val="18"/>
                <w14:textFill>
                  <w14:solidFill>
                    <w14:schemeClr w14:val="tx1"/>
                  </w14:solidFill>
                </w14:textFill>
              </w:rPr>
              <w:t>总磷</w:t>
            </w:r>
          </w:p>
        </w:tc>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Tahoma"/>
                <w:color w:val="000000" w:themeColor="text1"/>
                <w:sz w:val="18"/>
                <w:szCs w:val="18"/>
                <w14:textFill>
                  <w14:solidFill>
                    <w14:schemeClr w14:val="tx1"/>
                  </w14:solidFill>
                </w14:textFill>
              </w:rPr>
            </w:pPr>
            <w:r>
              <w:rPr>
                <w:rFonts w:ascii="宋体" w:hAnsi="宋体" w:cs="Tahoma"/>
                <w:color w:val="000000" w:themeColor="text1"/>
                <w:sz w:val="18"/>
                <w:szCs w:val="18"/>
                <w14:textFill>
                  <w14:solidFill>
                    <w14:schemeClr w14:val="tx1"/>
                  </w14:solidFill>
                </w14:textFill>
              </w:rPr>
              <w:t>mg/L</w:t>
            </w:r>
          </w:p>
        </w:tc>
        <w:tc>
          <w:tcPr>
            <w:tcW w:w="173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b w:val="0"/>
                <w:bCs/>
                <w:color w:val="000000" w:themeColor="text1"/>
                <w:kern w:val="0"/>
                <w:sz w:val="18"/>
                <w:szCs w:val="18"/>
                <w14:textFill>
                  <w14:solidFill>
                    <w14:schemeClr w14:val="tx1"/>
                  </w14:solidFill>
                </w14:textFill>
              </w:rPr>
            </w:pPr>
            <w:r>
              <w:rPr>
                <w:rFonts w:hint="eastAsia" w:ascii="宋体" w:hAnsi="宋体"/>
                <w:b w:val="0"/>
                <w:bCs/>
                <w:color w:val="000000" w:themeColor="text1"/>
                <w:kern w:val="0"/>
                <w:sz w:val="18"/>
                <w:szCs w:val="18"/>
                <w14:textFill>
                  <w14:solidFill>
                    <w14:schemeClr w14:val="tx1"/>
                  </w14:solidFill>
                </w14:textFill>
              </w:rPr>
              <w:t>≤0.3</w:t>
            </w:r>
          </w:p>
        </w:tc>
        <w:tc>
          <w:tcPr>
            <w:tcW w:w="2210" w:type="dxa"/>
            <w:vMerge w:val="continue"/>
            <w:tcBorders>
              <w:left w:val="single" w:color="auto" w:sz="6" w:space="0"/>
              <w:right w:val="single" w:color="auto" w:sz="6" w:space="0"/>
            </w:tcBorders>
            <w:vAlign w:val="center"/>
          </w:tcPr>
          <w:p>
            <w:pPr>
              <w:pStyle w:val="90"/>
              <w:jc w:val="center"/>
              <w:rPr>
                <w:rFonts w:hAnsi="宋体"/>
                <w:color w:val="000000" w:themeColor="text1"/>
                <w:sz w:val="18"/>
                <w:szCs w:val="18"/>
                <w14:textFill>
                  <w14:solidFill>
                    <w14:schemeClr w14:val="tx1"/>
                  </w14:solidFill>
                </w14:textFill>
              </w:rPr>
            </w:pPr>
          </w:p>
        </w:tc>
        <w:tc>
          <w:tcPr>
            <w:tcW w:w="1003" w:type="dxa"/>
            <w:vMerge w:val="continue"/>
            <w:tcBorders>
              <w:left w:val="single" w:color="auto" w:sz="6" w:space="0"/>
              <w:right w:val="single" w:color="auto" w:sz="12" w:space="0"/>
            </w:tcBorders>
            <w:vAlign w:val="center"/>
          </w:tcPr>
          <w:p>
            <w:pPr>
              <w:pStyle w:val="90"/>
              <w:jc w:val="center"/>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产品属性</w:t>
            </w:r>
          </w:p>
        </w:tc>
        <w:tc>
          <w:tcPr>
            <w:tcW w:w="2164"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产品质量</w:t>
            </w: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731" w:type="dxa"/>
            <w:tcBorders>
              <w:top w:val="single" w:color="auto" w:sz="6" w:space="0"/>
              <w:left w:val="single" w:color="auto" w:sz="6" w:space="0"/>
              <w:bottom w:val="single" w:color="auto" w:sz="6" w:space="0"/>
              <w:right w:val="single" w:color="auto" w:sz="6" w:space="0"/>
            </w:tcBorders>
            <w:vAlign w:val="center"/>
          </w:tcPr>
          <w:p>
            <w:pPr>
              <w:pStyle w:val="90"/>
              <w:jc w:val="center"/>
              <w:rPr>
                <w:rFonts w:hAnsi="宋体"/>
                <w:color w:val="000000" w:themeColor="text1"/>
                <w:sz w:val="18"/>
                <w:szCs w:val="18"/>
                <w14:textFill>
                  <w14:solidFill>
                    <w14:schemeClr w14:val="tx1"/>
                  </w14:solidFill>
                </w14:textFill>
              </w:rPr>
            </w:pPr>
            <w:r>
              <w:rPr>
                <w:rFonts w:hint="eastAsia" w:hAnsi="宋体" w:cs="Times New Roman"/>
                <w:color w:val="000000" w:themeColor="text1"/>
                <w:sz w:val="18"/>
                <w:szCs w:val="18"/>
                <w14:textFill>
                  <w14:solidFill>
                    <w14:schemeClr w14:val="tx1"/>
                  </w14:solidFill>
                </w14:textFill>
              </w:rPr>
              <w:t>应符合附录B中相应标准要求</w:t>
            </w:r>
          </w:p>
        </w:tc>
        <w:tc>
          <w:tcPr>
            <w:tcW w:w="2210" w:type="dxa"/>
            <w:tcBorders>
              <w:top w:val="single" w:color="auto" w:sz="6" w:space="0"/>
              <w:left w:val="single" w:color="auto" w:sz="6" w:space="0"/>
              <w:bottom w:val="single" w:color="auto" w:sz="6" w:space="0"/>
              <w:right w:val="single" w:color="auto" w:sz="6" w:space="0"/>
            </w:tcBorders>
            <w:vAlign w:val="center"/>
          </w:tcPr>
          <w:p>
            <w:pPr>
              <w:pStyle w:val="90"/>
              <w:jc w:val="center"/>
              <w:rPr>
                <w:rFonts w:hAnsi="宋体"/>
                <w:color w:val="000000" w:themeColor="text1"/>
                <w:sz w:val="18"/>
                <w:szCs w:val="18"/>
                <w14:textFill>
                  <w14:solidFill>
                    <w14:schemeClr w14:val="tx1"/>
                  </w14:solidFill>
                </w14:textFill>
              </w:rPr>
            </w:pPr>
            <w:r>
              <w:rPr>
                <w:rFonts w:hint="eastAsia" w:hAnsi="宋体" w:cs="Times New Roman"/>
                <w:color w:val="000000" w:themeColor="text1"/>
                <w:sz w:val="18"/>
                <w:szCs w:val="18"/>
                <w14:textFill>
                  <w14:solidFill>
                    <w14:schemeClr w14:val="tx1"/>
                  </w14:solidFill>
                </w14:textFill>
              </w:rPr>
              <w:t>附录B中相应标准</w:t>
            </w:r>
          </w:p>
        </w:tc>
        <w:tc>
          <w:tcPr>
            <w:tcW w:w="1003"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975" w:type="dxa"/>
            <w:gridSpan w:val="2"/>
            <w:vMerge w:val="restart"/>
            <w:tcBorders>
              <w:top w:val="single" w:color="auto" w:sz="6" w:space="0"/>
              <w:left w:val="single" w:color="auto" w:sz="6"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有害物质限量要求</w:t>
            </w:r>
          </w:p>
        </w:tc>
        <w:tc>
          <w:tcPr>
            <w:tcW w:w="118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镉</w:t>
            </w: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default"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mg/kg</w:t>
            </w:r>
          </w:p>
        </w:tc>
        <w:tc>
          <w:tcPr>
            <w:tcW w:w="1731" w:type="dxa"/>
            <w:tcBorders>
              <w:top w:val="single" w:color="auto" w:sz="6" w:space="0"/>
              <w:left w:val="single" w:color="auto" w:sz="6" w:space="0"/>
              <w:right w:val="single" w:color="auto" w:sz="6" w:space="0"/>
            </w:tcBorders>
            <w:vAlign w:val="center"/>
          </w:tcPr>
          <w:p>
            <w:pPr>
              <w:pStyle w:val="90"/>
              <w:jc w:val="center"/>
              <w:rPr>
                <w:rFonts w:hint="default" w:ascii="宋体" w:hAnsi="宋体" w:eastAsia="宋体" w:cs="Times New Roman"/>
                <w:color w:val="000000" w:themeColor="text1"/>
                <w:sz w:val="18"/>
                <w:szCs w:val="18"/>
                <w:lang w:val="en-US" w:eastAsia="zh-CN" w:bidi="ar-SA"/>
                <w14:textFill>
                  <w14:solidFill>
                    <w14:schemeClr w14:val="tx1"/>
                  </w14:solidFill>
                </w14:textFill>
              </w:rPr>
            </w:pPr>
            <w:r>
              <w:rPr>
                <w:rFonts w:hint="eastAsia" w:ascii="宋体" w:hAnsi="宋体"/>
                <w:b w:val="0"/>
                <w:bCs/>
                <w:color w:val="000000" w:themeColor="text1"/>
                <w:kern w:val="0"/>
                <w:sz w:val="18"/>
                <w:szCs w:val="18"/>
                <w14:textFill>
                  <w14:solidFill>
                    <w14:schemeClr w14:val="tx1"/>
                  </w14:solidFill>
                </w14:textFill>
              </w:rPr>
              <w:t>≤</w:t>
            </w:r>
            <w:r>
              <w:rPr>
                <w:rFonts w:hint="eastAsia" w:hAnsi="宋体" w:cs="Times New Roman"/>
                <w:color w:val="000000" w:themeColor="text1"/>
                <w:sz w:val="18"/>
                <w:szCs w:val="18"/>
                <w:lang w:val="en-US" w:eastAsia="zh-CN"/>
                <w14:textFill>
                  <w14:solidFill>
                    <w14:schemeClr w14:val="tx1"/>
                  </w14:solidFill>
                </w14:textFill>
              </w:rPr>
              <w:t>100</w:t>
            </w:r>
          </w:p>
        </w:tc>
        <w:tc>
          <w:tcPr>
            <w:tcW w:w="2210" w:type="dxa"/>
            <w:vMerge w:val="restart"/>
            <w:tcBorders>
              <w:top w:val="single" w:color="auto" w:sz="6" w:space="0"/>
              <w:left w:val="single" w:color="auto" w:sz="6" w:space="0"/>
              <w:right w:val="single" w:color="auto" w:sz="6" w:space="0"/>
            </w:tcBorders>
            <w:vAlign w:val="center"/>
          </w:tcPr>
          <w:p>
            <w:pPr>
              <w:pStyle w:val="90"/>
              <w:jc w:val="center"/>
              <w:rPr>
                <w:rFonts w:hAnsi="宋体" w:cs="Times New Roman"/>
                <w:color w:val="000000" w:themeColor="text1"/>
                <w:sz w:val="18"/>
                <w:szCs w:val="18"/>
                <w14:textFill>
                  <w14:solidFill>
                    <w14:schemeClr w14:val="tx1"/>
                  </w14:solidFill>
                </w14:textFill>
              </w:rPr>
            </w:pPr>
            <w:r>
              <w:rPr>
                <w:rFonts w:hint="eastAsia" w:ascii="Times New Roman"/>
                <w:color w:val="000000" w:themeColor="text1"/>
                <w:sz w:val="18"/>
                <w:szCs w:val="18"/>
                <w14:textFill>
                  <w14:solidFill>
                    <w14:schemeClr w14:val="tx1"/>
                  </w14:solidFill>
                </w14:textFill>
              </w:rPr>
              <w:t>检测报告</w:t>
            </w:r>
          </w:p>
        </w:tc>
        <w:tc>
          <w:tcPr>
            <w:tcW w:w="1003" w:type="dxa"/>
            <w:vMerge w:val="restart"/>
            <w:tcBorders>
              <w:top w:val="single" w:color="auto" w:sz="6" w:space="0"/>
              <w:left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975" w:type="dxa"/>
            <w:gridSpan w:val="2"/>
            <w:vMerge w:val="continue"/>
            <w:tcBorders>
              <w:left w:val="single" w:color="auto" w:sz="6"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vertAlign w:val="superscript"/>
                <w14:textFill>
                  <w14:solidFill>
                    <w14:schemeClr w14:val="tx1"/>
                  </w14:solidFill>
                </w14:textFill>
              </w:rPr>
            </w:pPr>
            <w:r>
              <w:rPr>
                <w:rFonts w:hint="eastAsia"/>
                <w:color w:val="000000" w:themeColor="text1"/>
                <w:sz w:val="18"/>
                <w:szCs w:val="18"/>
                <w14:textFill>
                  <w14:solidFill>
                    <w14:schemeClr w14:val="tx1"/>
                  </w14:solidFill>
                </w14:textFill>
              </w:rPr>
              <w:t>铅</w:t>
            </w:r>
            <w:r>
              <w:rPr>
                <w:rFonts w:hint="eastAsia"/>
                <w:color w:val="000000" w:themeColor="text1"/>
                <w:sz w:val="18"/>
                <w:szCs w:val="18"/>
                <w:vertAlign w:val="superscript"/>
                <w14:textFill>
                  <w14:solidFill>
                    <w14:schemeClr w14:val="tx1"/>
                  </w14:solidFill>
                </w14:textFill>
              </w:rPr>
              <w:t>a</w:t>
            </w: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mg/kg</w:t>
            </w:r>
          </w:p>
        </w:tc>
        <w:tc>
          <w:tcPr>
            <w:tcW w:w="1731" w:type="dxa"/>
            <w:tcBorders>
              <w:left w:val="single" w:color="auto" w:sz="6" w:space="0"/>
              <w:right w:val="single" w:color="auto" w:sz="6" w:space="0"/>
            </w:tcBorders>
            <w:vAlign w:val="center"/>
          </w:tcPr>
          <w:p>
            <w:pPr>
              <w:pStyle w:val="90"/>
              <w:jc w:val="center"/>
              <w:rPr>
                <w:rFonts w:hint="default" w:ascii="宋体" w:hAnsi="宋体" w:eastAsia="宋体" w:cs="Times New Roman"/>
                <w:color w:val="000000" w:themeColor="text1"/>
                <w:sz w:val="18"/>
                <w:szCs w:val="18"/>
                <w:lang w:val="en-US" w:eastAsia="zh-CN" w:bidi="ar-SA"/>
                <w14:textFill>
                  <w14:solidFill>
                    <w14:schemeClr w14:val="tx1"/>
                  </w14:solidFill>
                </w14:textFill>
              </w:rPr>
            </w:pPr>
            <w:r>
              <w:rPr>
                <w:rFonts w:hint="eastAsia" w:ascii="宋体" w:hAnsi="宋体"/>
                <w:b w:val="0"/>
                <w:bCs/>
                <w:color w:val="000000" w:themeColor="text1"/>
                <w:kern w:val="0"/>
                <w:sz w:val="18"/>
                <w:szCs w:val="18"/>
                <w14:textFill>
                  <w14:solidFill>
                    <w14:schemeClr w14:val="tx1"/>
                  </w14:solidFill>
                </w14:textFill>
              </w:rPr>
              <w:t>≤</w:t>
            </w:r>
            <w:r>
              <w:rPr>
                <w:rFonts w:hint="eastAsia" w:hAnsi="宋体" w:cs="Times New Roman"/>
                <w:color w:val="000000" w:themeColor="text1"/>
                <w:sz w:val="18"/>
                <w:szCs w:val="18"/>
                <w:lang w:val="en-US" w:eastAsia="zh-CN"/>
                <w14:textFill>
                  <w14:solidFill>
                    <w14:schemeClr w14:val="tx1"/>
                  </w14:solidFill>
                </w14:textFill>
              </w:rPr>
              <w:t>1000</w:t>
            </w:r>
          </w:p>
        </w:tc>
        <w:tc>
          <w:tcPr>
            <w:tcW w:w="2210"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975" w:type="dxa"/>
            <w:gridSpan w:val="2"/>
            <w:vMerge w:val="continue"/>
            <w:tcBorders>
              <w:left w:val="single" w:color="auto" w:sz="6"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汞</w:t>
            </w: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eastAsia="宋体" w:cs="Times New Roman"/>
                <w:color w:val="000000" w:themeColor="text1"/>
                <w:kern w:val="2"/>
                <w:sz w:val="18"/>
                <w:szCs w:val="18"/>
                <w:lang w:val="en-US" w:eastAsia="zh-CN" w:bidi="ar-SA"/>
                <w14:textFill>
                  <w14:solidFill>
                    <w14:schemeClr w14:val="tx1"/>
                  </w14:solidFill>
                </w14:textFill>
              </w:rPr>
            </w:pPr>
            <w:r>
              <w:rPr>
                <w:rFonts w:hint="eastAsia" w:ascii="宋体" w:hAnsi="宋体"/>
                <w:color w:val="000000" w:themeColor="text1"/>
                <w:sz w:val="18"/>
                <w:szCs w:val="18"/>
                <w:lang w:val="en-US" w:eastAsia="zh-CN"/>
                <w14:textFill>
                  <w14:solidFill>
                    <w14:schemeClr w14:val="tx1"/>
                  </w14:solidFill>
                </w14:textFill>
              </w:rPr>
              <w:t>mg/kg</w:t>
            </w:r>
          </w:p>
        </w:tc>
        <w:tc>
          <w:tcPr>
            <w:tcW w:w="1731" w:type="dxa"/>
            <w:tcBorders>
              <w:left w:val="single" w:color="auto" w:sz="6" w:space="0"/>
              <w:right w:val="single" w:color="auto" w:sz="6" w:space="0"/>
            </w:tcBorders>
            <w:vAlign w:val="center"/>
          </w:tcPr>
          <w:p>
            <w:pPr>
              <w:pStyle w:val="90"/>
              <w:jc w:val="center"/>
              <w:rPr>
                <w:rFonts w:hint="default" w:ascii="宋体" w:hAnsi="宋体" w:eastAsia="宋体" w:cs="Times New Roman"/>
                <w:color w:val="000000" w:themeColor="text1"/>
                <w:sz w:val="18"/>
                <w:szCs w:val="18"/>
                <w:lang w:val="en-US" w:eastAsia="zh-CN" w:bidi="ar-SA"/>
                <w14:textFill>
                  <w14:solidFill>
                    <w14:schemeClr w14:val="tx1"/>
                  </w14:solidFill>
                </w14:textFill>
              </w:rPr>
            </w:pPr>
            <w:r>
              <w:rPr>
                <w:rFonts w:hint="eastAsia" w:ascii="宋体" w:hAnsi="宋体"/>
                <w:b w:val="0"/>
                <w:bCs/>
                <w:color w:val="000000" w:themeColor="text1"/>
                <w:kern w:val="0"/>
                <w:sz w:val="18"/>
                <w:szCs w:val="18"/>
                <w14:textFill>
                  <w14:solidFill>
                    <w14:schemeClr w14:val="tx1"/>
                  </w14:solidFill>
                </w14:textFill>
              </w:rPr>
              <w:t>≤</w:t>
            </w:r>
            <w:r>
              <w:rPr>
                <w:rFonts w:hint="eastAsia" w:hAnsi="宋体" w:cs="Times New Roman"/>
                <w:color w:val="000000" w:themeColor="text1"/>
                <w:sz w:val="18"/>
                <w:szCs w:val="18"/>
                <w:lang w:val="en-US" w:eastAsia="zh-CN"/>
                <w14:textFill>
                  <w14:solidFill>
                    <w14:schemeClr w14:val="tx1"/>
                  </w14:solidFill>
                </w14:textFill>
              </w:rPr>
              <w:t>1000</w:t>
            </w:r>
          </w:p>
        </w:tc>
        <w:tc>
          <w:tcPr>
            <w:tcW w:w="2210"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2" w:type="dxa"/>
            <w:vMerge w:val="continue"/>
            <w:tcBorders>
              <w:left w:val="single" w:color="auto" w:sz="12"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975" w:type="dxa"/>
            <w:gridSpan w:val="2"/>
            <w:vMerge w:val="continue"/>
            <w:tcBorders>
              <w:left w:val="single" w:color="auto" w:sz="6" w:space="0"/>
              <w:right w:val="single" w:color="auto" w:sz="4"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p>
        </w:tc>
        <w:tc>
          <w:tcPr>
            <w:tcW w:w="1189" w:type="dxa"/>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rFonts w:ascii="宋体" w:hAnsi="宋体"/>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六价铬</w:t>
            </w: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mg/kg</w:t>
            </w:r>
          </w:p>
        </w:tc>
        <w:tc>
          <w:tcPr>
            <w:tcW w:w="1731" w:type="dxa"/>
            <w:tcBorders>
              <w:left w:val="single" w:color="auto" w:sz="6" w:space="0"/>
              <w:right w:val="single" w:color="auto" w:sz="6" w:space="0"/>
            </w:tcBorders>
            <w:vAlign w:val="center"/>
          </w:tcPr>
          <w:p>
            <w:pPr>
              <w:pStyle w:val="90"/>
              <w:jc w:val="center"/>
              <w:rPr>
                <w:rFonts w:hAnsi="宋体" w:cs="Times New Roman"/>
                <w:color w:val="000000" w:themeColor="text1"/>
                <w:sz w:val="18"/>
                <w:szCs w:val="18"/>
                <w14:textFill>
                  <w14:solidFill>
                    <w14:schemeClr w14:val="tx1"/>
                  </w14:solidFill>
                </w14:textFill>
              </w:rPr>
            </w:pPr>
            <w:r>
              <w:rPr>
                <w:rFonts w:hint="eastAsia" w:ascii="宋体" w:hAnsi="宋体"/>
                <w:b w:val="0"/>
                <w:bCs/>
                <w:color w:val="000000" w:themeColor="text1"/>
                <w:kern w:val="0"/>
                <w:sz w:val="18"/>
                <w:szCs w:val="18"/>
                <w14:textFill>
                  <w14:solidFill>
                    <w14:schemeClr w14:val="tx1"/>
                  </w14:solidFill>
                </w14:textFill>
              </w:rPr>
              <w:t>≤</w:t>
            </w:r>
            <w:r>
              <w:rPr>
                <w:rFonts w:hint="eastAsia" w:hAnsi="宋体" w:cs="Times New Roman"/>
                <w:color w:val="000000" w:themeColor="text1"/>
                <w:sz w:val="18"/>
                <w:szCs w:val="18"/>
                <w:lang w:val="en-US" w:eastAsia="zh-CN"/>
                <w14:textFill>
                  <w14:solidFill>
                    <w14:schemeClr w14:val="tx1"/>
                  </w14:solidFill>
                </w14:textFill>
              </w:rPr>
              <w:t>1000</w:t>
            </w:r>
          </w:p>
        </w:tc>
        <w:tc>
          <w:tcPr>
            <w:tcW w:w="2210" w:type="dxa"/>
            <w:vMerge w:val="continue"/>
            <w:tcBorders>
              <w:left w:val="single" w:color="auto" w:sz="6" w:space="0"/>
              <w:right w:val="single" w:color="auto" w:sz="6"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1003" w:type="dxa"/>
            <w:vMerge w:val="continue"/>
            <w:tcBorders>
              <w:left w:val="single" w:color="auto" w:sz="6" w:space="0"/>
              <w:right w:val="single" w:color="auto" w:sz="12" w:space="0"/>
            </w:tcBorders>
            <w:vAlign w:val="center"/>
          </w:tcPr>
          <w:p>
            <w:pPr>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80" w:type="dxa"/>
            <w:gridSpan w:val="8"/>
            <w:tcBorders>
              <w:left w:val="single" w:color="auto" w:sz="12" w:space="0"/>
              <w:bottom w:val="single" w:color="auto" w:sz="12" w:space="0"/>
              <w:right w:val="single" w:color="auto" w:sz="12" w:space="0"/>
            </w:tcBorders>
            <w:vAlign w:val="center"/>
          </w:tcPr>
          <w:p>
            <w:pPr>
              <w:adjustRightInd w:val="0"/>
              <w:snapToGrid w:val="0"/>
              <w:ind w:firstLine="360" w:firstLineChars="200"/>
              <w:jc w:val="left"/>
              <w:rPr>
                <w:rFonts w:ascii="宋体" w:hAnsi="宋体"/>
                <w:color w:val="000000" w:themeColor="text1"/>
                <w:sz w:val="18"/>
                <w:szCs w:val="18"/>
                <w14:textFill>
                  <w14:solidFill>
                    <w14:schemeClr w14:val="tx1"/>
                  </w14:solidFill>
                </w14:textFill>
              </w:rPr>
            </w:pPr>
            <w:r>
              <w:rPr>
                <w:rFonts w:hint="eastAsia" w:ascii="黑体" w:hAnsi="宋体" w:eastAsia="黑体" w:cs="黑体"/>
                <w:color w:val="000000" w:themeColor="text1"/>
                <w:kern w:val="0"/>
                <w:sz w:val="18"/>
                <w:szCs w:val="18"/>
                <w:vertAlign w:val="superscript"/>
                <w:lang w:val="en-US" w:eastAsia="zh-CN"/>
                <w14:textFill>
                  <w14:solidFill>
                    <w14:schemeClr w14:val="tx1"/>
                  </w14:solidFill>
                </w14:textFill>
              </w:rPr>
              <w:t xml:space="preserve">a </w:t>
            </w:r>
            <w:r>
              <w:rPr>
                <w:rFonts w:hint="eastAsia" w:ascii="黑体" w:hAnsi="宋体" w:eastAsia="黑体" w:cs="黑体"/>
                <w:color w:val="000000" w:themeColor="text1"/>
                <w:kern w:val="0"/>
                <w:sz w:val="18"/>
                <w:szCs w:val="18"/>
                <w14:textFill>
                  <w14:solidFill>
                    <w14:schemeClr w14:val="tx1"/>
                  </w14:solidFill>
                </w14:textFill>
              </w:rPr>
              <w:t>对铜合金铅含量可不大于4%</w:t>
            </w:r>
            <w:r>
              <w:rPr>
                <w:rFonts w:hint="eastAsia" w:ascii="黑体" w:hAnsi="宋体" w:eastAsia="黑体" w:cs="黑体"/>
                <w:color w:val="000000" w:themeColor="text1"/>
                <w:kern w:val="0"/>
                <w:sz w:val="18"/>
                <w:szCs w:val="18"/>
                <w:lang w:eastAsia="zh-CN"/>
                <w14:textFill>
                  <w14:solidFill>
                    <w14:schemeClr w14:val="tx1"/>
                  </w14:solidFill>
                </w14:textFill>
              </w:rPr>
              <w:t>。</w:t>
            </w:r>
          </w:p>
        </w:tc>
      </w:tr>
    </w:tbl>
    <w:p>
      <w:pPr>
        <w:autoSpaceDE w:val="0"/>
        <w:autoSpaceDN w:val="0"/>
        <w:adjustRightInd w:val="0"/>
        <w:spacing w:beforeLines="50" w:afterLines="50"/>
        <w:jc w:val="left"/>
        <w:rPr>
          <w:rFonts w:ascii="黑体" w:hAnsi="宋体" w:eastAsia="黑体" w:cs="黑体"/>
          <w:color w:val="000000" w:themeColor="text1"/>
          <w:kern w:val="0"/>
          <w:szCs w:val="21"/>
          <w14:textFill>
            <w14:solidFill>
              <w14:schemeClr w14:val="tx1"/>
            </w14:solidFill>
          </w14:textFill>
        </w:rPr>
      </w:pPr>
      <w:r>
        <w:rPr>
          <w:rFonts w:hint="eastAsia" w:ascii="黑体" w:hAnsi="宋体" w:eastAsia="黑体" w:cs="黑体"/>
          <w:color w:val="000000" w:themeColor="text1"/>
          <w:kern w:val="0"/>
          <w:szCs w:val="21"/>
          <w14:textFill>
            <w14:solidFill>
              <w14:schemeClr w14:val="tx1"/>
            </w14:solidFill>
          </w14:textFill>
        </w:rPr>
        <w:t xml:space="preserve">4.3数据来源  </w:t>
      </w:r>
    </w:p>
    <w:p>
      <w:pPr>
        <w:autoSpaceDE w:val="0"/>
        <w:autoSpaceDN w:val="0"/>
        <w:adjustRightInd w:val="0"/>
        <w:spacing w:beforeLines="50" w:afterLines="50"/>
        <w:jc w:val="left"/>
        <w:rPr>
          <w:rFonts w:ascii="黑体" w:eastAsia="黑体" w:cs="黑体"/>
          <w:color w:val="000000" w:themeColor="text1"/>
          <w:kern w:val="0"/>
          <w:szCs w:val="21"/>
          <w14:textFill>
            <w14:solidFill>
              <w14:schemeClr w14:val="tx1"/>
            </w14:solidFill>
          </w14:textFill>
        </w:rPr>
      </w:pPr>
      <w:r>
        <w:rPr>
          <w:rFonts w:ascii="黑体" w:eastAsia="黑体" w:cs="黑体"/>
          <w:color w:val="000000" w:themeColor="text1"/>
          <w:kern w:val="0"/>
          <w:szCs w:val="21"/>
          <w14:textFill>
            <w14:solidFill>
              <w14:schemeClr w14:val="tx1"/>
            </w14:solidFill>
          </w14:textFill>
        </w:rPr>
        <w:t xml:space="preserve">4.3.1 </w:t>
      </w:r>
      <w:r>
        <w:rPr>
          <w:rFonts w:hint="eastAsia" w:ascii="黑体" w:eastAsia="黑体" w:cs="黑体"/>
          <w:color w:val="000000" w:themeColor="text1"/>
          <w:kern w:val="0"/>
          <w:szCs w:val="21"/>
          <w14:textFill>
            <w14:solidFill>
              <w14:schemeClr w14:val="tx1"/>
            </w14:solidFill>
          </w14:textFill>
        </w:rPr>
        <w:t>统计数据</w:t>
      </w:r>
    </w:p>
    <w:p>
      <w:pPr>
        <w:autoSpaceDE w:val="0"/>
        <w:autoSpaceDN w:val="0"/>
        <w:adjustRightInd w:val="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    企业计算热轧板金属损耗率、水重复利用率、单位产品综合能耗</w:t>
      </w:r>
      <w:r>
        <w:rPr>
          <w:rFonts w:hint="eastAsia" w:ascii="宋体" w:hAnsi="宋体"/>
          <w:color w:val="000000" w:themeColor="text1"/>
          <w:kern w:val="0"/>
          <w:szCs w:val="21"/>
          <w14:textFill>
            <w14:solidFill>
              <w14:schemeClr w14:val="tx1"/>
            </w14:solidFill>
          </w14:textFill>
        </w:rPr>
        <w:t>等评价指标涉及的原辅材料及能源使用量、</w:t>
      </w:r>
      <w:r>
        <w:rPr>
          <w:rFonts w:hint="eastAsia" w:ascii="宋体" w:cs="宋体"/>
          <w:color w:val="000000" w:themeColor="text1"/>
          <w:kern w:val="0"/>
          <w:szCs w:val="21"/>
          <w14:textFill>
            <w14:solidFill>
              <w14:schemeClr w14:val="tx1"/>
            </w14:solidFill>
          </w14:textFill>
        </w:rPr>
        <w:t>产品产量、废气、废水产生量等相关技术经济指标，以连续12个月报表或年报表为准。</w:t>
      </w:r>
      <w:r>
        <w:rPr>
          <w:rFonts w:ascii="宋体" w:cs="宋体"/>
          <w:color w:val="000000" w:themeColor="text1"/>
          <w:kern w:val="0"/>
          <w:szCs w:val="21"/>
          <w14:textFill>
            <w14:solidFill>
              <w14:schemeClr w14:val="tx1"/>
            </w14:solidFill>
          </w14:textFill>
        </w:rPr>
        <w:t xml:space="preserve"> </w:t>
      </w:r>
    </w:p>
    <w:p>
      <w:pPr>
        <w:autoSpaceDE w:val="0"/>
        <w:autoSpaceDN w:val="0"/>
        <w:adjustRightInd w:val="0"/>
        <w:spacing w:beforeLines="50" w:afterLines="50"/>
        <w:jc w:val="left"/>
        <w:rPr>
          <w:rFonts w:ascii="黑体" w:eastAsia="黑体" w:cs="黑体"/>
          <w:color w:val="000000" w:themeColor="text1"/>
          <w:kern w:val="0"/>
          <w:szCs w:val="21"/>
          <w14:textFill>
            <w14:solidFill>
              <w14:schemeClr w14:val="tx1"/>
            </w14:solidFill>
          </w14:textFill>
        </w:rPr>
      </w:pPr>
      <w:r>
        <w:rPr>
          <w:rFonts w:ascii="黑体" w:eastAsia="黑体" w:cs="黑体"/>
          <w:color w:val="000000" w:themeColor="text1"/>
          <w:kern w:val="0"/>
          <w:szCs w:val="21"/>
          <w14:textFill>
            <w14:solidFill>
              <w14:schemeClr w14:val="tx1"/>
            </w14:solidFill>
          </w14:textFill>
        </w:rPr>
        <w:t xml:space="preserve">4.3.2 </w:t>
      </w:r>
      <w:r>
        <w:rPr>
          <w:rFonts w:hint="eastAsia" w:ascii="黑体" w:eastAsia="黑体" w:cs="黑体"/>
          <w:color w:val="000000" w:themeColor="text1"/>
          <w:kern w:val="0"/>
          <w:szCs w:val="21"/>
          <w14:textFill>
            <w14:solidFill>
              <w14:schemeClr w14:val="tx1"/>
            </w14:solidFill>
          </w14:textFill>
        </w:rPr>
        <w:t>实测数据</w:t>
      </w:r>
    </w:p>
    <w:p>
      <w:pPr>
        <w:autoSpaceDE w:val="0"/>
        <w:autoSpaceDN w:val="0"/>
        <w:adjustRightInd w:val="0"/>
        <w:jc w:val="left"/>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    如果统计数据短缺，相关数据可在一定计量时间内用实测方法取得，所选取的一定计量时间一般不少于一个月。</w:t>
      </w:r>
      <w:r>
        <w:rPr>
          <w:rFonts w:ascii="宋体" w:cs="宋体"/>
          <w:color w:val="000000" w:themeColor="text1"/>
          <w:kern w:val="0"/>
          <w:szCs w:val="21"/>
          <w14:textFill>
            <w14:solidFill>
              <w14:schemeClr w14:val="tx1"/>
            </w14:solidFill>
          </w14:textFill>
        </w:rPr>
        <w:t xml:space="preserve"> </w:t>
      </w:r>
    </w:p>
    <w:p>
      <w:pPr>
        <w:autoSpaceDE w:val="0"/>
        <w:autoSpaceDN w:val="0"/>
        <w:adjustRightInd w:val="0"/>
        <w:spacing w:beforeLines="50" w:afterLines="50"/>
        <w:jc w:val="left"/>
        <w:rPr>
          <w:rFonts w:ascii="黑体" w:eastAsia="黑体" w:cs="黑体"/>
          <w:color w:val="000000" w:themeColor="text1"/>
          <w:kern w:val="0"/>
          <w:szCs w:val="21"/>
          <w14:textFill>
            <w14:solidFill>
              <w14:schemeClr w14:val="tx1"/>
            </w14:solidFill>
          </w14:textFill>
        </w:rPr>
      </w:pPr>
      <w:r>
        <w:rPr>
          <w:rFonts w:hint="eastAsia" w:ascii="黑体" w:eastAsia="黑体" w:cs="黑体"/>
          <w:color w:val="000000" w:themeColor="text1"/>
          <w:kern w:val="0"/>
          <w:szCs w:val="21"/>
          <w14:textFill>
            <w14:solidFill>
              <w14:schemeClr w14:val="tx1"/>
            </w14:solidFill>
          </w14:textFill>
        </w:rPr>
        <w:t>4.3.3 采样和监测</w:t>
      </w:r>
      <w:r>
        <w:rPr>
          <w:rFonts w:ascii="黑体" w:eastAsia="黑体" w:cs="黑体"/>
          <w:color w:val="000000" w:themeColor="text1"/>
          <w:kern w:val="0"/>
          <w:szCs w:val="21"/>
          <w14:textFill>
            <w14:solidFill>
              <w14:schemeClr w14:val="tx1"/>
            </w14:solidFill>
          </w14:textFill>
        </w:rPr>
        <w:t xml:space="preserve"> </w:t>
      </w:r>
    </w:p>
    <w:p>
      <w:pP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 xml:space="preserve">    污染物排放指标的采样和监测按照相关技术规范执行，并采用国家或行业标准监测分析方法。</w:t>
      </w:r>
    </w:p>
    <w:p>
      <w:pPr>
        <w:widowControl/>
        <w:spacing w:beforeLines="50" w:afterLines="50"/>
        <w:jc w:val="left"/>
        <w:rPr>
          <w:rFonts w:ascii="黑体" w:eastAsia="黑体" w:cs="黑体"/>
          <w:color w:val="000000" w:themeColor="text1"/>
          <w:kern w:val="0"/>
          <w:szCs w:val="21"/>
          <w14:textFill>
            <w14:solidFill>
              <w14:schemeClr w14:val="tx1"/>
            </w14:solidFill>
          </w14:textFill>
        </w:rPr>
      </w:pPr>
      <w:r>
        <w:rPr>
          <w:rFonts w:hint="eastAsia" w:ascii="黑体" w:eastAsia="黑体" w:cs="黑体"/>
          <w:color w:val="000000" w:themeColor="text1"/>
          <w:kern w:val="0"/>
          <w:szCs w:val="21"/>
          <w14:textFill>
            <w14:solidFill>
              <w14:schemeClr w14:val="tx1"/>
            </w14:solidFill>
          </w14:textFill>
        </w:rPr>
        <w:t xml:space="preserve">5 </w:t>
      </w:r>
      <w:r>
        <w:rPr>
          <w:rFonts w:ascii="黑体" w:eastAsia="黑体" w:cs="黑体"/>
          <w:color w:val="000000" w:themeColor="text1"/>
          <w:kern w:val="0"/>
          <w:szCs w:val="21"/>
          <w14:textFill>
            <w14:solidFill>
              <w14:schemeClr w14:val="tx1"/>
            </w14:solidFill>
          </w14:textFill>
        </w:rPr>
        <w:t>产品生命周期评价报告</w:t>
      </w:r>
    </w:p>
    <w:p>
      <w:pPr>
        <w:autoSpaceDE w:val="0"/>
        <w:autoSpaceDN w:val="0"/>
        <w:adjustRightInd w:val="0"/>
        <w:spacing w:beforeLines="50" w:afterLines="50"/>
        <w:jc w:val="left"/>
        <w:rPr>
          <w:rFonts w:ascii="黑体" w:eastAsia="黑体" w:cs="黑体"/>
          <w:color w:val="000000" w:themeColor="text1"/>
          <w:kern w:val="0"/>
          <w:szCs w:val="21"/>
          <w14:textFill>
            <w14:solidFill>
              <w14:schemeClr w14:val="tx1"/>
            </w14:solidFill>
          </w14:textFill>
        </w:rPr>
      </w:pPr>
      <w:r>
        <w:rPr>
          <w:rFonts w:hint="eastAsia" w:ascii="黑体" w:eastAsia="黑体" w:cs="黑体"/>
          <w:color w:val="000000" w:themeColor="text1"/>
          <w:kern w:val="0"/>
          <w:szCs w:val="21"/>
          <w14:textFill>
            <w14:solidFill>
              <w14:schemeClr w14:val="tx1"/>
            </w14:solidFill>
          </w14:textFill>
        </w:rPr>
        <w:t>5.1 评价方法</w:t>
      </w:r>
    </w:p>
    <w:p>
      <w:pPr>
        <w:widowControl/>
        <w:jc w:val="lef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应依据</w:t>
      </w:r>
      <w:r>
        <w:rPr>
          <w:rFonts w:ascii="宋体" w:hAnsi="宋体"/>
          <w:color w:val="000000" w:themeColor="text1"/>
          <w:szCs w:val="21"/>
          <w14:textFill>
            <w14:solidFill>
              <w14:schemeClr w14:val="tx1"/>
            </w14:solidFill>
          </w14:textFill>
        </w:rPr>
        <w:t>GB/T 24040</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GB/T 2404</w:t>
      </w:r>
      <w:r>
        <w:rPr>
          <w:rFonts w:hint="eastAsia" w:ascii="宋体" w:hAnsi="宋体"/>
          <w:color w:val="000000" w:themeColor="text1"/>
          <w:szCs w:val="21"/>
          <w14:textFill>
            <w14:solidFill>
              <w14:schemeClr w14:val="tx1"/>
            </w14:solidFill>
          </w14:textFill>
        </w:rPr>
        <w:t>4和</w:t>
      </w:r>
      <w:r>
        <w:rPr>
          <w:rFonts w:hint="eastAsia" w:ascii="宋体" w:hAnsi="宋体" w:cs="宋体"/>
          <w:color w:val="000000" w:themeColor="text1"/>
          <w:kern w:val="0"/>
          <w:szCs w:val="21"/>
          <w14:textFill>
            <w14:solidFill>
              <w14:schemeClr w14:val="tx1"/>
            </w14:solidFill>
          </w14:textFill>
        </w:rPr>
        <w:t>T/CNIA XXXX的生命周期评价技术规范，对热轧板产品进行生命周期评价</w:t>
      </w:r>
      <w:r>
        <w:rPr>
          <w:rFonts w:hint="eastAsia" w:ascii="宋体" w:hAnsi="宋体"/>
          <w:color w:val="000000" w:themeColor="text1"/>
          <w:szCs w:val="21"/>
          <w14:textFill>
            <w14:solidFill>
              <w14:schemeClr w14:val="tx1"/>
            </w14:solidFill>
          </w14:textFill>
        </w:rPr>
        <w:t>。</w:t>
      </w:r>
    </w:p>
    <w:p>
      <w:pPr>
        <w:autoSpaceDE w:val="0"/>
        <w:autoSpaceDN w:val="0"/>
        <w:adjustRightInd w:val="0"/>
        <w:spacing w:beforeLines="50" w:afterLines="50"/>
        <w:jc w:val="left"/>
        <w:rPr>
          <w:rFonts w:ascii="黑体" w:eastAsia="黑体" w:cs="黑体"/>
          <w:color w:val="000000" w:themeColor="text1"/>
          <w:kern w:val="0"/>
          <w:szCs w:val="21"/>
          <w14:textFill>
            <w14:solidFill>
              <w14:schemeClr w14:val="tx1"/>
            </w14:solidFill>
          </w14:textFill>
        </w:rPr>
      </w:pPr>
      <w:bookmarkStart w:id="2" w:name="_Toc514086409"/>
      <w:r>
        <w:rPr>
          <w:rFonts w:hint="eastAsia" w:ascii="黑体" w:eastAsia="黑体" w:cs="黑体"/>
          <w:color w:val="000000" w:themeColor="text1"/>
          <w:kern w:val="0"/>
          <w:szCs w:val="21"/>
          <w14:textFill>
            <w14:solidFill>
              <w14:schemeClr w14:val="tx1"/>
            </w14:solidFill>
          </w14:textFill>
        </w:rPr>
        <w:t>5.2  评价报告编制</w:t>
      </w:r>
    </w:p>
    <w:bookmarkEnd w:id="2"/>
    <w:p>
      <w:pPr>
        <w:rPr>
          <w:rFonts w:ascii="宋体" w:cs="宋体"/>
          <w:color w:val="000000" w:themeColor="text1"/>
          <w:kern w:val="0"/>
          <w:szCs w:val="21"/>
          <w14:textFill>
            <w14:solidFill>
              <w14:schemeClr w14:val="tx1"/>
            </w14:solidFill>
          </w14:textFill>
        </w:rPr>
      </w:pPr>
      <w:r>
        <w:rPr>
          <w:rFonts w:hint="eastAsia" w:ascii="宋体" w:cs="宋体"/>
          <w:color w:val="000000" w:themeColor="text1"/>
          <w:kern w:val="0"/>
          <w:szCs w:val="21"/>
          <w14:textFill>
            <w14:solidFill>
              <w14:schemeClr w14:val="tx1"/>
            </w14:solidFill>
          </w14:textFill>
        </w:rPr>
        <w:t>5.2.1 生命周期评价</w:t>
      </w:r>
      <w:r>
        <w:rPr>
          <w:rFonts w:ascii="宋体" w:cs="宋体"/>
          <w:color w:val="000000" w:themeColor="text1"/>
          <w:kern w:val="0"/>
          <w:szCs w:val="21"/>
          <w14:textFill>
            <w14:solidFill>
              <w14:schemeClr w14:val="tx1"/>
            </w14:solidFill>
          </w14:textFill>
        </w:rPr>
        <w:t>报告</w:t>
      </w:r>
      <w:r>
        <w:rPr>
          <w:rFonts w:hint="eastAsia" w:ascii="宋体" w:cs="宋体"/>
          <w:color w:val="000000" w:themeColor="text1"/>
          <w:kern w:val="0"/>
          <w:szCs w:val="21"/>
          <w14:textFill>
            <w14:solidFill>
              <w14:schemeClr w14:val="tx1"/>
            </w14:solidFill>
          </w14:textFill>
        </w:rPr>
        <w:t>编写方法见</w:t>
      </w:r>
      <w:r>
        <w:rPr>
          <w:rFonts w:hint="eastAsia" w:ascii="宋体" w:hAnsi="宋体"/>
          <w:bCs/>
          <w:color w:val="000000" w:themeColor="text1"/>
          <w:szCs w:val="21"/>
          <w14:textFill>
            <w14:solidFill>
              <w14:schemeClr w14:val="tx1"/>
            </w14:solidFill>
          </w14:textFill>
        </w:rPr>
        <w:t>T/CNIA XXXX，</w:t>
      </w:r>
      <w:r>
        <w:rPr>
          <w:rFonts w:ascii="宋体" w:cs="宋体"/>
          <w:color w:val="000000" w:themeColor="text1"/>
          <w:kern w:val="0"/>
          <w:szCs w:val="21"/>
          <w14:textFill>
            <w14:solidFill>
              <w14:schemeClr w14:val="tx1"/>
            </w14:solidFill>
          </w14:textFill>
        </w:rPr>
        <w:t>应详细描述评估的对象、功能单位和</w:t>
      </w:r>
      <w:r>
        <w:rPr>
          <w:rFonts w:hint="eastAsia" w:ascii="宋体" w:cs="宋体"/>
          <w:color w:val="000000" w:themeColor="text1"/>
          <w:kern w:val="0"/>
          <w:szCs w:val="21"/>
          <w14:textFill>
            <w14:solidFill>
              <w14:schemeClr w14:val="tx1"/>
            </w14:solidFill>
          </w14:textFill>
        </w:rPr>
        <w:t>热轧板</w:t>
      </w:r>
      <w:r>
        <w:rPr>
          <w:rFonts w:ascii="宋体" w:cs="宋体"/>
          <w:color w:val="000000" w:themeColor="text1"/>
          <w:kern w:val="0"/>
          <w:szCs w:val="21"/>
          <w14:textFill>
            <w14:solidFill>
              <w14:schemeClr w14:val="tx1"/>
            </w14:solidFill>
          </w14:textFill>
        </w:rPr>
        <w:t>产品主要功能，提供</w:t>
      </w:r>
      <w:r>
        <w:rPr>
          <w:rFonts w:hint="eastAsia" w:ascii="宋体" w:cs="宋体"/>
          <w:color w:val="000000" w:themeColor="text1"/>
          <w:kern w:val="0"/>
          <w:szCs w:val="21"/>
          <w14:textFill>
            <w14:solidFill>
              <w14:schemeClr w14:val="tx1"/>
            </w14:solidFill>
          </w14:textFill>
        </w:rPr>
        <w:t>热轧板产品</w:t>
      </w:r>
      <w:r>
        <w:rPr>
          <w:rFonts w:ascii="宋体" w:cs="宋体"/>
          <w:color w:val="000000" w:themeColor="text1"/>
          <w:kern w:val="0"/>
          <w:szCs w:val="21"/>
          <w14:textFill>
            <w14:solidFill>
              <w14:schemeClr w14:val="tx1"/>
            </w14:solidFill>
          </w14:textFill>
        </w:rPr>
        <w:t>的原辅材料组成及主要技术参数表，绘制</w:t>
      </w:r>
      <w:r>
        <w:rPr>
          <w:rFonts w:hint="eastAsia" w:ascii="宋体" w:cs="宋体"/>
          <w:color w:val="000000" w:themeColor="text1"/>
          <w:kern w:val="0"/>
          <w:szCs w:val="21"/>
          <w14:textFill>
            <w14:solidFill>
              <w14:schemeClr w14:val="tx1"/>
            </w14:solidFill>
          </w14:textFill>
        </w:rPr>
        <w:t>热轧板产品</w:t>
      </w:r>
      <w:r>
        <w:rPr>
          <w:rFonts w:ascii="宋体" w:cs="宋体"/>
          <w:color w:val="000000" w:themeColor="text1"/>
          <w:kern w:val="0"/>
          <w:szCs w:val="21"/>
          <w14:textFill>
            <w14:solidFill>
              <w14:schemeClr w14:val="tx1"/>
            </w14:solidFill>
          </w14:textFill>
        </w:rPr>
        <w:t>的系统边界，披露所使用的基于中国生命周期数据库的软件工具。</w:t>
      </w:r>
    </w:p>
    <w:p>
      <w:pPr>
        <w:rPr>
          <w:rFonts w:ascii="宋体" w:cs="宋体"/>
          <w:color w:val="000000" w:themeColor="text1"/>
          <w:kern w:val="0"/>
          <w:szCs w:val="21"/>
          <w:highlight w:val="none"/>
          <w14:textFill>
            <w14:solidFill>
              <w14:schemeClr w14:val="tx1"/>
            </w14:solidFill>
          </w14:textFill>
        </w:rPr>
      </w:pPr>
      <w:r>
        <w:rPr>
          <w:rFonts w:hint="eastAsia" w:ascii="宋体" w:cs="宋体"/>
          <w:color w:val="000000" w:themeColor="text1"/>
          <w:kern w:val="0"/>
          <w:szCs w:val="21"/>
          <w:highlight w:val="none"/>
          <w14:textFill>
            <w14:solidFill>
              <w14:schemeClr w14:val="tx1"/>
            </w14:solidFill>
          </w14:textFill>
        </w:rPr>
        <w:t>5.2.2热轧板生命周期系统边界见图1。</w:t>
      </w:r>
    </w:p>
    <w:p>
      <w:pPr>
        <w:spacing w:beforeLines="50"/>
        <w:jc w:val="center"/>
        <w:rPr>
          <w:rFonts w:ascii="宋体" w:cs="宋体"/>
          <w:color w:val="000000" w:themeColor="text1"/>
          <w:kern w:val="0"/>
          <w:szCs w:val="21"/>
          <w14:textFill>
            <w14:solidFill>
              <w14:schemeClr w14:val="tx1"/>
            </w14:solidFill>
          </w14:textFill>
        </w:rPr>
      </w:pPr>
      <w:r>
        <w:rPr>
          <w:rFonts w:ascii="宋体" w:hAnsi="宋体"/>
          <w:color w:val="000000" w:themeColor="text1"/>
          <w:sz w:val="28"/>
          <w:highlight w:val="none"/>
          <w14:textFill>
            <w14:solidFill>
              <w14:schemeClr w14:val="tx1"/>
            </w14:solidFill>
          </w14:textFill>
        </w:rPr>
        <w:pict>
          <v:group id="_x0000_s2061" o:spid="_x0000_s2061" o:spt="203" style="height:242.45pt;width:367.9pt;" coordorigin="2143,1741" coordsize="5952,3925" editas="canvas">
            <o:lock v:ext="edit"/>
            <v:shape id="_x0000_s1338" o:spid="_x0000_s1338" o:spt="75" type="#_x0000_t75" style="position:absolute;left:2143;top:1741;height:3925;width:5952;" filled="f" stroked="t" coordsize="21600,21600">
              <v:fill on="f" focussize="0,0"/>
              <v:stroke color="#000000" joinstyle="miter"/>
              <v:imagedata o:title=""/>
              <o:lock v:ext="edit" text="t" aspectratio="t"/>
            </v:shape>
            <v:shape id="_x0000_s2062" o:spid="_x0000_s2062" o:spt="202" type="#_x0000_t202" style="position:absolute;left:3827;top:1854;height:3667;width:2558;" filled="f" stroked="t" coordsize="21600,21600">
              <v:path/>
              <v:fill on="f" focussize="0,0"/>
              <v:stroke weight="0.25pt" color="#000000" joinstyle="miter" dashstyle="dash"/>
              <v:imagedata o:title=""/>
              <o:lock v:ext="edit" aspectratio="f"/>
              <v:textbox>
                <w:txbxContent>
                  <w:p>
                    <w:pPr>
                      <w:spacing w:line="720" w:lineRule="auto"/>
                      <w:rPr>
                        <w:szCs w:val="18"/>
                      </w:rPr>
                    </w:pPr>
                  </w:p>
                </w:txbxContent>
              </v:textbox>
            </v:shape>
            <v:group id="_x0000_s2063" o:spid="_x0000_s2063" o:spt="203" style="position:absolute;left:2507;top:1978;height:3468;width:5248;" coordorigin="2505,1978" coordsize="5249,3468">
              <o:lock v:ext="edit" aspectratio="f"/>
              <v:shape id="_x0000_s2064" o:spid="_x0000_s2064" o:spt="202" type="#_x0000_t202" style="position:absolute;left:2507;top:3715;height:275;width:694;"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水</w:t>
                      </w:r>
                    </w:p>
                  </w:txbxContent>
                </v:textbox>
              </v:shape>
              <v:rect id="矩形 276" o:spid="_x0000_s2065" o:spt="1" style="position:absolute;left:2505;top:2832;height:300;width:696;"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能源</w:t>
                      </w:r>
                    </w:p>
                  </w:txbxContent>
                </v:textbox>
              </v:rect>
              <v:shape id="_x0000_s2066" o:spid="_x0000_s2066" o:spt="202" type="#_x0000_t202" style="position:absolute;left:7045;top:2613;height:314;width:709;"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废气</w:t>
                      </w:r>
                    </w:p>
                  </w:txbxContent>
                </v:textbox>
              </v:shape>
              <v:shape id="_x0000_s2067" o:spid="_x0000_s2067" o:spt="202" type="#_x0000_t202" style="position:absolute;left:7045;top:3347;height:314;width:709;"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废水</w:t>
                      </w:r>
                    </w:p>
                  </w:txbxContent>
                </v:textbox>
              </v:shape>
              <v:shape id="_x0000_s2068" o:spid="_x0000_s2068" o:spt="202" type="#_x0000_t202" style="position:absolute;left:7045;top:4070;height:314;width:709;"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固废</w:t>
                      </w:r>
                    </w:p>
                  </w:txbxContent>
                </v:textbox>
              </v:shape>
              <v:group id="_x0000_s2069" o:spid="_x0000_s2069" o:spt="203" style="position:absolute;left:2872;top:1978;height:1595;width:1539;" coordorigin="2954,1777" coordsize="1708,1913">
                <o:lock v:ext="edit" aspectratio="f"/>
                <v:rect id="矩形 277" o:spid="_x0000_s2070" o:spt="1" style="position:absolute;left:2954;top:1777;height:364;width:770;"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辅料</w:t>
                        </w:r>
                      </w:p>
                    </w:txbxContent>
                  </v:textbox>
                </v:rect>
                <v:shape id="_x0000_s2071" o:spid="_x0000_s2071" o:spt="32" type="#_x0000_t32" style="position:absolute;left:3724;top:1958;height:1;width:938;" filled="f" stroked="t" coordsize="21600,21600">
                  <v:path arrowok="t"/>
                  <v:fill on="f" focussize="0,0"/>
                  <v:stroke color="#000000" endarrow="block"/>
                  <v:imagedata o:title=""/>
                  <o:lock v:ext="edit" aspectratio="f"/>
                </v:shape>
                <v:shape id="_x0000_s2072" o:spid="_x0000_s2072" o:spt="13" type="#_x0000_t13" style="position:absolute;left:3478;top:3343;height:347;width:560;" fillcolor="#FFFFFF" filled="t" stroked="t" coordsize="21600,21600" adj="16189,5387">
                  <v:path/>
                  <v:fill on="t" color2="#FFFFFF" focussize="0,0"/>
                  <v:stroke color="#000000" joinstyle="miter"/>
                  <v:imagedata o:title=""/>
                  <o:lock v:ext="edit" aspectratio="f"/>
                </v:shape>
              </v:group>
              <v:rect id="矩形 277" o:spid="_x0000_s2073" o:spt="1" style="position:absolute;left:3925;top:3860;height:327;width:577;" fillcolor="#FFFFFF" filled="t" stroked="f" coordsize="21600,21600">
                <v:path/>
                <v:fill on="t" color2="#FFFFFF" focussize="0,0"/>
                <v:stroke on="f"/>
                <v:imagedata o:title=""/>
                <o:lock v:ext="edit" aspectratio="f"/>
                <v:textbox>
                  <w:txbxContent>
                    <w:p>
                      <w:pPr>
                        <w:jc w:val="center"/>
                        <w:rPr>
                          <w:sz w:val="18"/>
                          <w:szCs w:val="18"/>
                        </w:rPr>
                      </w:pPr>
                      <w:r>
                        <w:rPr>
                          <w:rFonts w:hint="eastAsia"/>
                          <w:sz w:val="18"/>
                          <w:szCs w:val="18"/>
                        </w:rPr>
                        <w:t>余料</w:t>
                      </w:r>
                    </w:p>
                  </w:txbxContent>
                </v:textbox>
              </v:rect>
              <v:shape id="_x0000_s2074" o:spid="_x0000_s2074" o:spt="202" type="#_x0000_t202" style="position:absolute;left:4411;top:1978;height:304;width:1718;"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铜、锌、镍等金属原料</w:t>
                      </w:r>
                    </w:p>
                  </w:txbxContent>
                </v:textbox>
              </v:shape>
              <v:shape id="_x0000_s2075" o:spid="_x0000_s2075" o:spt="32" type="#_x0000_t32" style="position:absolute;left:5278;top:2282;height:250;width:4;" filled="f" stroked="t" coordsize="21600,21600">
                <v:path arrowok="t"/>
                <v:fill on="f" focussize="0,0"/>
                <v:stroke color="#000000" endarrow="block"/>
                <v:imagedata o:title=""/>
                <o:lock v:ext="edit" aspectratio="f"/>
              </v:shape>
              <v:shape id="_x0000_s2076" o:spid="_x0000_s2076" o:spt="202" type="#_x0000_t202" style="position:absolute;left:5294;top:3005;height:279;width:621;" fillcolor="#FFFFFF" filled="t" stroked="f" coordsize="21600,21600">
                <v:path/>
                <v:fill on="t" color2="#FFFFFF" focussize="0,0"/>
                <v:stroke on="f"/>
                <v:imagedata o:title=""/>
                <o:lock v:ext="edit" aspectratio="f"/>
                <v:textbox>
                  <w:txbxContent>
                    <w:p>
                      <w:pPr>
                        <w:rPr>
                          <w:sz w:val="18"/>
                          <w:szCs w:val="18"/>
                        </w:rPr>
                      </w:pPr>
                      <w:r>
                        <w:rPr>
                          <w:rFonts w:hint="eastAsia"/>
                          <w:sz w:val="18"/>
                          <w:szCs w:val="18"/>
                        </w:rPr>
                        <w:t>铸锭</w:t>
                      </w:r>
                    </w:p>
                  </w:txbxContent>
                </v:textbox>
              </v:shape>
              <v:shape id="_x0000_s2077" o:spid="_x0000_s2077" o:spt="202" type="#_x0000_t202" style="position:absolute;left:4411;top:3283;height:293;width:1716;"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热轧</w:t>
                      </w:r>
                    </w:p>
                  </w:txbxContent>
                </v:textbox>
              </v:shape>
              <v:shape id="_x0000_s2078" o:spid="_x0000_s2078" o:spt="32" type="#_x0000_t32" style="position:absolute;left:5292;top:4294;flip:x;height:237;width:2;" filled="f" stroked="t" coordsize="21600,21600">
                <v:path arrowok="t"/>
                <v:fill on="f" focussize="0,0"/>
                <v:stroke color="#000000" endarrow="block"/>
                <v:imagedata o:title=""/>
                <o:lock v:ext="edit" aspectratio="f"/>
              </v:shape>
              <v:shape id="_x0000_s2079" o:spid="_x0000_s2079" o:spt="202" type="#_x0000_t202" style="position:absolute;left:4417;top:2532;height:462;width:1718;" fillcolor="#FFFFFF" filled="t" stroked="t" coordsize="21600,21600">
                <v:path/>
                <v:fill on="t" color2="#FFFFFF" focussize="0,0"/>
                <v:stroke color="#000000" joinstyle="miter"/>
                <v:imagedata o:title=""/>
                <o:lock v:ext="edit" aspectratio="f"/>
                <v:textbox>
                  <w:txbxContent>
                    <w:p>
                      <w:pPr>
                        <w:jc w:val="center"/>
                        <w:rPr>
                          <w:rFonts w:ascii="宋体" w:hAnsi="宋体"/>
                          <w:sz w:val="18"/>
                          <w:szCs w:val="18"/>
                        </w:rPr>
                      </w:pPr>
                      <w:r>
                        <w:rPr>
                          <w:rFonts w:hint="eastAsia" w:ascii="宋体" w:hAnsi="宋体"/>
                          <w:sz w:val="18"/>
                          <w:szCs w:val="18"/>
                        </w:rPr>
                        <w:t>熔铸</w:t>
                      </w:r>
                    </w:p>
                    <w:p>
                      <w:pPr>
                        <w:jc w:val="center"/>
                        <w:rPr>
                          <w:rFonts w:ascii="宋体" w:hAnsi="宋体"/>
                          <w:sz w:val="18"/>
                          <w:szCs w:val="18"/>
                        </w:rPr>
                      </w:pPr>
                      <w:r>
                        <w:rPr>
                          <w:rFonts w:hint="eastAsia" w:ascii="宋体" w:hAnsi="宋体"/>
                          <w:sz w:val="18"/>
                          <w:szCs w:val="18"/>
                        </w:rPr>
                        <w:t>（含半连铸/连铸）</w:t>
                      </w:r>
                    </w:p>
                  </w:txbxContent>
                </v:textbox>
              </v:shape>
              <v:shape id="_x0000_s2080" o:spid="_x0000_s2080" o:spt="32" type="#_x0000_t32" style="position:absolute;left:5298;top:4854;flip:x;height:271;width:1;" filled="f" stroked="t" coordsize="21600,21600">
                <v:path arrowok="t"/>
                <v:fill on="f" focussize="0,0"/>
                <v:stroke color="#000000" endarrow="block"/>
                <v:imagedata o:title=""/>
                <o:lock v:ext="edit" aspectratio="f"/>
              </v:shape>
              <v:shape id="_x0000_s2081" o:spid="_x0000_s2081" o:spt="202" type="#_x0000_t202" style="position:absolute;left:4411;top:5125;height:321;width:1758;"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包装</w:t>
                      </w:r>
                    </w:p>
                  </w:txbxContent>
                </v:textbox>
              </v:shape>
              <v:shape id="_x0000_s2082" o:spid="_x0000_s2082" o:spt="32" type="#_x0000_t32" style="position:absolute;left:5268;top:2990;height:293;width:1;" filled="f" stroked="t" coordsize="21600,21600">
                <v:path arrowok="t"/>
                <v:fill on="f" focussize="0,0"/>
                <v:stroke color="#000000" endarrow="block"/>
                <v:imagedata o:title=""/>
                <o:lock v:ext="edit" aspectratio="f"/>
              </v:shape>
              <v:shape id="_x0000_s2083" o:spid="_x0000_s2083" o:spt="202" type="#_x0000_t202" style="position:absolute;left:4418;top:4531;height:323;width:1759;" fillcolor="#FFFFFF" filled="t" stroked="t" coordsize="21600,21600">
                <v:path/>
                <v:fill on="t" color2="#FFFFFF" focussize="0,0"/>
                <v:stroke color="#000000" joinstyle="miter"/>
                <v:imagedata o:title=""/>
                <o:lock v:ext="edit" aspectratio="f"/>
                <v:textbox>
                  <w:txbxContent>
                    <w:p>
                      <w:pPr>
                        <w:jc w:val="center"/>
                        <w:rPr>
                          <w:sz w:val="18"/>
                          <w:szCs w:val="18"/>
                        </w:rPr>
                      </w:pPr>
                      <w:r>
                        <w:rPr>
                          <w:rFonts w:hint="eastAsia"/>
                          <w:sz w:val="18"/>
                          <w:szCs w:val="18"/>
                        </w:rPr>
                        <w:t>产品检验</w:t>
                      </w:r>
                    </w:p>
                  </w:txbxContent>
                </v:textbox>
              </v:shape>
              <v:shape id="_x0000_s2084" o:spid="_x0000_s2084" o:spt="32" type="#_x0000_t32" style="position:absolute;left:5262;top:3573;flip:x;height:271;width:4;" filled="f" stroked="t" coordsize="21600,21600">
                <v:path arrowok="t"/>
                <v:fill on="f" focussize="0,0"/>
                <v:stroke color="#000000" endarrow="block"/>
                <v:imagedata o:title=""/>
                <o:lock v:ext="edit" aspectratio="f"/>
              </v:shape>
              <v:shape id="_x0000_s2085" o:spid="_x0000_s2085" o:spt="32" type="#_x0000_t32" style="position:absolute;left:3925;top:4182;flip:x;height:5;width:492;" filled="f" stroked="t" coordsize="21600,21600">
                <v:path arrowok="t"/>
                <v:fill on="f" focussize="0,0"/>
                <v:stroke color="#000000"/>
                <v:imagedata o:title=""/>
                <o:lock v:ext="edit" aspectratio="f"/>
              </v:shape>
              <v:shape id="_x0000_s2086" o:spid="_x0000_s2086" o:spt="32" type="#_x0000_t32" style="position:absolute;left:3925;top:2791;flip:y;height:1391;width:4;" filled="f" stroked="t" coordsize="21600,21600">
                <v:path arrowok="t"/>
                <v:fill on="f" focussize="0,0"/>
                <v:stroke color="#000000"/>
                <v:imagedata o:title=""/>
                <o:lock v:ext="edit" aspectratio="f"/>
              </v:shape>
              <v:shape id="_x0000_s2087" o:spid="_x0000_s2087" o:spt="32" type="#_x0000_t32" style="position:absolute;left:3929;top:2791;height:11;width:488;" filled="f" stroked="t" coordsize="21600,21600">
                <v:path arrowok="t"/>
                <v:fill on="f" focussize="0,0"/>
                <v:stroke color="#000000" endarrow="block"/>
                <v:imagedata o:title=""/>
                <o:lock v:ext="edit" aspectratio="f"/>
              </v:shape>
              <v:shape id="_x0000_s2088" o:spid="_x0000_s2088" o:spt="13" type="#_x0000_t13" style="position:absolute;left:6406;top:3370;height:291;width:505;" fillcolor="#FFFFFF" filled="t" stroked="t" coordsize="21600,21600" adj="16189,5387">
                <v:path/>
                <v:fill on="t" color2="#FFFFFF" focussize="0,0"/>
                <v:stroke color="#000000" joinstyle="miter"/>
                <v:imagedata o:title=""/>
                <o:lock v:ext="edit" aspectratio="f"/>
              </v:shape>
              <v:shape id="_x0000_s2089" o:spid="_x0000_s2089" o:spt="202" type="#_x0000_t202" style="position:absolute;left:4409;top:3860;height:462;width:1718;" fillcolor="#FFFFFF" filled="t" stroked="t" coordsize="21600,21600">
                <v:path/>
                <v:fill on="t" color2="#FFFFFF" focussize="0,0"/>
                <v:stroke color="#000000" joinstyle="miter"/>
                <v:imagedata o:title=""/>
                <o:lock v:ext="edit" aspectratio="f"/>
                <v:textbox>
                  <w:txbxContent>
                    <w:p>
                      <w:pPr>
                        <w:jc w:val="center"/>
                        <w:rPr>
                          <w:rFonts w:ascii="宋体" w:hAnsi="宋体"/>
                          <w:sz w:val="18"/>
                          <w:szCs w:val="18"/>
                        </w:rPr>
                      </w:pPr>
                      <w:r>
                        <w:rPr>
                          <w:rFonts w:hint="eastAsia" w:ascii="宋体" w:hAnsi="宋体"/>
                          <w:sz w:val="18"/>
                          <w:szCs w:val="18"/>
                        </w:rPr>
                        <w:t>精整</w:t>
                      </w:r>
                    </w:p>
                    <w:p>
                      <w:pPr>
                        <w:jc w:val="center"/>
                        <w:rPr>
                          <w:rFonts w:ascii="宋体" w:hAnsi="宋体"/>
                          <w:sz w:val="18"/>
                          <w:szCs w:val="18"/>
                        </w:rPr>
                      </w:pPr>
                      <w:r>
                        <w:rPr>
                          <w:rFonts w:hint="eastAsia" w:ascii="宋体" w:hAnsi="宋体"/>
                          <w:sz w:val="18"/>
                          <w:szCs w:val="18"/>
                        </w:rPr>
                        <w:t>（含锯切等）</w:t>
                      </w:r>
                    </w:p>
                  </w:txbxContent>
                </v:textbox>
              </v:shape>
            </v:group>
            <v:shape id="_x0000_s2090" o:spid="_x0000_s2090" o:spt="202" type="#_x0000_t202" style="position:absolute;left:2251;top:2619;height:1703;width:1094;" filled="f" stroked="t" coordsize="21600,21600">
              <v:path/>
              <v:fill on="f" focussize="0,0"/>
              <v:stroke weight="0.25pt" color="#000000" joinstyle="miter" dashstyle="dash"/>
              <v:imagedata o:title=""/>
              <o:lock v:ext="edit" aspectratio="f"/>
              <v:textbox>
                <w:txbxContent>
                  <w:p>
                    <w:pPr>
                      <w:spacing w:line="720" w:lineRule="auto"/>
                      <w:rPr>
                        <w:szCs w:val="18"/>
                      </w:rPr>
                    </w:pPr>
                  </w:p>
                </w:txbxContent>
              </v:textbox>
            </v:shape>
            <v:shape id="_x0000_s2091" o:spid="_x0000_s2091" o:spt="202" type="#_x0000_t202" style="position:absolute;left:6911;top:2478;height:2053;width:1027;" filled="f" stroked="t" coordsize="21600,21600">
              <v:path/>
              <v:fill on="f" focussize="0,0"/>
              <v:stroke weight="0.25pt" color="#000000" joinstyle="miter" dashstyle="dash"/>
              <v:imagedata o:title=""/>
              <o:lock v:ext="edit" aspectratio="f"/>
              <v:textbox>
                <w:txbxContent>
                  <w:p>
                    <w:pPr>
                      <w:spacing w:line="720" w:lineRule="auto"/>
                      <w:rPr>
                        <w:szCs w:val="18"/>
                      </w:rPr>
                    </w:pPr>
                  </w:p>
                </w:txbxContent>
              </v:textbox>
            </v:shape>
            <w10:wrap type="none"/>
            <w10:anchorlock/>
          </v:group>
        </w:pict>
      </w:r>
    </w:p>
    <w:p>
      <w:pPr>
        <w:jc w:val="center"/>
        <w:rPr>
          <w:rFonts w:ascii="宋体" w:cs="宋体"/>
          <w:color w:val="000000" w:themeColor="text1"/>
          <w:kern w:val="0"/>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图1   铜及铜合金热轧板材生命周期系统边界</w:t>
      </w:r>
    </w:p>
    <w:p>
      <w:pPr>
        <w:widowControl/>
        <w:spacing w:beforeLines="50" w:afterLines="50"/>
        <w:jc w:val="left"/>
        <w:rPr>
          <w:color w:val="000000" w:themeColor="text1"/>
          <w:szCs w:val="21"/>
          <w14:textFill>
            <w14:solidFill>
              <w14:schemeClr w14:val="tx1"/>
            </w14:solidFill>
          </w14:textFill>
        </w:rPr>
      </w:pPr>
      <w:r>
        <w:rPr>
          <w:rFonts w:hint="eastAsia" w:ascii="黑体" w:eastAsia="黑体" w:cs="黑体"/>
          <w:color w:val="000000" w:themeColor="text1"/>
          <w:kern w:val="0"/>
          <w:szCs w:val="21"/>
          <w14:textFill>
            <w14:solidFill>
              <w14:schemeClr w14:val="tx1"/>
            </w14:solidFill>
          </w14:textFill>
        </w:rPr>
        <w:t>6  评价方法和流程</w:t>
      </w:r>
    </w:p>
    <w:p>
      <w:pPr>
        <w:widowControl/>
        <w:spacing w:beforeLines="50" w:afterLines="50"/>
        <w:jc w:val="left"/>
        <w:rPr>
          <w:rFonts w:ascii="黑体" w:eastAsia="黑体" w:cs="黑体"/>
          <w:color w:val="000000" w:themeColor="text1"/>
          <w:kern w:val="0"/>
          <w:szCs w:val="21"/>
          <w14:textFill>
            <w14:solidFill>
              <w14:schemeClr w14:val="tx1"/>
            </w14:solidFill>
          </w14:textFill>
        </w:rPr>
      </w:pPr>
      <w:r>
        <w:rPr>
          <w:rFonts w:hint="eastAsia" w:ascii="黑体" w:eastAsia="黑体" w:cs="黑体"/>
          <w:color w:val="000000" w:themeColor="text1"/>
          <w:kern w:val="0"/>
          <w:szCs w:val="21"/>
          <w14:textFill>
            <w14:solidFill>
              <w14:schemeClr w14:val="tx1"/>
            </w14:solidFill>
          </w14:textFill>
        </w:rPr>
        <w:t>6.1评价方法</w:t>
      </w:r>
    </w:p>
    <w:p>
      <w:pPr>
        <w:ind w:firstLine="42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本文件采用指标评价与生命周期评价相结合的方法，</w:t>
      </w:r>
      <w:r>
        <w:rPr>
          <w:color w:val="000000" w:themeColor="text1"/>
          <w14:textFill>
            <w14:solidFill>
              <w14:schemeClr w14:val="tx1"/>
            </w14:solidFill>
          </w14:textFill>
        </w:rPr>
        <w:t>可按照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4.1基本要求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4.2评价指标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要求开展自我评价或第三方评价，</w:t>
      </w:r>
      <w:r>
        <w:rPr>
          <w:rFonts w:hint="eastAsia"/>
          <w:color w:val="000000" w:themeColor="text1"/>
          <w:szCs w:val="21"/>
          <w14:textFill>
            <w14:solidFill>
              <w14:schemeClr w14:val="tx1"/>
            </w14:solidFill>
          </w14:textFill>
        </w:rPr>
        <w:t>在满足评价指标要求的基础上，采用生命周期评价方法，进行生命周期影响评价，编制生命周期评价报告。</w:t>
      </w:r>
      <w:r>
        <w:rPr>
          <w:rFonts w:hint="eastAsia"/>
          <w:color w:val="000000" w:themeColor="text1"/>
          <w14:textFill>
            <w14:solidFill>
              <w14:schemeClr w14:val="tx1"/>
            </w14:solidFill>
          </w14:textFill>
        </w:rPr>
        <w:t>热轧板</w:t>
      </w:r>
      <w:r>
        <w:rPr>
          <w:color w:val="000000" w:themeColor="text1"/>
          <w14:textFill>
            <w14:solidFill>
              <w14:schemeClr w14:val="tx1"/>
            </w14:solidFill>
          </w14:textFill>
        </w:rPr>
        <w:t>产品同时满足以下条件，可</w:t>
      </w:r>
      <w:r>
        <w:rPr>
          <w:rFonts w:hint="eastAsia"/>
          <w:color w:val="000000" w:themeColor="text1"/>
          <w14:textFill>
            <w14:solidFill>
              <w14:schemeClr w14:val="tx1"/>
            </w14:solidFill>
          </w14:textFill>
        </w:rPr>
        <w:t>判定</w:t>
      </w:r>
      <w:r>
        <w:rPr>
          <w:color w:val="000000" w:themeColor="text1"/>
          <w14:textFill>
            <w14:solidFill>
              <w14:schemeClr w14:val="tx1"/>
            </w14:solidFill>
          </w14:textFill>
        </w:rPr>
        <w:t>为绿色设计产品</w:t>
      </w:r>
      <w:r>
        <w:rPr>
          <w:rFonts w:hint="eastAsia"/>
          <w:color w:val="000000" w:themeColor="text1"/>
          <w14:textFill>
            <w14:solidFill>
              <w14:schemeClr w14:val="tx1"/>
            </w14:solidFill>
          </w14:textFill>
        </w:rPr>
        <w:t>：</w:t>
      </w:r>
    </w:p>
    <w:p>
      <w:pPr>
        <w:pStyle w:val="63"/>
        <w:numPr>
          <w:ilvl w:val="0"/>
          <w:numId w:val="1"/>
        </w:numPr>
        <w:spacing w:line="240" w:lineRule="auto"/>
        <w:ind w:firstLineChars="0"/>
        <w:rPr>
          <w:color w:val="000000" w:themeColor="text1"/>
          <w14:textFill>
            <w14:solidFill>
              <w14:schemeClr w14:val="tx1"/>
            </w14:solidFill>
          </w14:textFill>
        </w:rPr>
      </w:pPr>
      <w:r>
        <w:rPr>
          <w:color w:val="000000" w:themeColor="text1"/>
          <w14:textFill>
            <w14:solidFill>
              <w14:schemeClr w14:val="tx1"/>
            </w14:solidFill>
          </w14:textFill>
        </w:rPr>
        <w:t>满足基本要求（见4.1）和评价指标要求（见4.2）；</w:t>
      </w:r>
    </w:p>
    <w:p>
      <w:pPr>
        <w:pStyle w:val="63"/>
        <w:numPr>
          <w:ilvl w:val="0"/>
          <w:numId w:val="1"/>
        </w:numPr>
        <w:spacing w:line="240" w:lineRule="auto"/>
        <w:ind w:firstLineChars="0"/>
        <w:rPr>
          <w:color w:val="000000" w:themeColor="text1"/>
          <w14:textFill>
            <w14:solidFill>
              <w14:schemeClr w14:val="tx1"/>
            </w14:solidFill>
          </w14:textFill>
        </w:rPr>
      </w:pPr>
      <w:r>
        <w:rPr>
          <w:color w:val="000000" w:themeColor="text1"/>
          <w14:textFill>
            <w14:solidFill>
              <w14:schemeClr w14:val="tx1"/>
            </w14:solidFill>
          </w14:textFill>
        </w:rPr>
        <w:t>提供生命周期评价报告</w:t>
      </w:r>
      <w:r>
        <w:rPr>
          <w:rFonts w:hint="eastAsia"/>
          <w:color w:val="000000" w:themeColor="text1"/>
          <w14:textFill>
            <w14:solidFill>
              <w14:schemeClr w14:val="tx1"/>
            </w14:solidFill>
          </w14:textFill>
        </w:rPr>
        <w:t>（见5.2）</w:t>
      </w:r>
      <w:r>
        <w:rPr>
          <w:color w:val="000000" w:themeColor="text1"/>
          <w14:textFill>
            <w14:solidFill>
              <w14:schemeClr w14:val="tx1"/>
            </w14:solidFill>
          </w14:textFill>
        </w:rPr>
        <w:t>。</w:t>
      </w:r>
    </w:p>
    <w:p>
      <w:pPr>
        <w:widowControl/>
        <w:spacing w:beforeLines="50" w:afterLines="50"/>
        <w:jc w:val="left"/>
        <w:rPr>
          <w:rFonts w:ascii="黑体" w:eastAsia="黑体" w:cs="黑体"/>
          <w:color w:val="000000" w:themeColor="text1"/>
          <w:kern w:val="0"/>
          <w:szCs w:val="21"/>
          <w14:textFill>
            <w14:solidFill>
              <w14:schemeClr w14:val="tx1"/>
            </w14:solidFill>
          </w14:textFill>
        </w:rPr>
      </w:pPr>
      <w:r>
        <w:rPr>
          <w:rFonts w:hint="eastAsia" w:ascii="黑体" w:eastAsia="黑体" w:cs="黑体"/>
          <w:color w:val="000000" w:themeColor="text1"/>
          <w:kern w:val="0"/>
          <w:szCs w:val="21"/>
          <w14:textFill>
            <w14:solidFill>
              <w14:schemeClr w14:val="tx1"/>
            </w14:solidFill>
          </w14:textFill>
        </w:rPr>
        <w:t>6.2评价流程</w:t>
      </w:r>
    </w:p>
    <w:p>
      <w:pPr>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rFonts w:hint="eastAsia" w:ascii="宋体" w:cs="宋体"/>
          <w:color w:val="000000" w:themeColor="text1"/>
          <w:kern w:val="0"/>
          <w:szCs w:val="21"/>
          <w14:textFill>
            <w14:solidFill>
              <w14:schemeClr w14:val="tx1"/>
            </w14:solidFill>
          </w14:textFill>
        </w:rPr>
        <w:t>热轧板</w:t>
      </w:r>
      <w:r>
        <w:rPr>
          <w:rFonts w:hint="eastAsia"/>
          <w:color w:val="000000" w:themeColor="text1"/>
          <w14:textFill>
            <w14:solidFill>
              <w14:schemeClr w14:val="tx1"/>
            </w14:solidFill>
          </w14:textFill>
        </w:rPr>
        <w:t>的特点，明确评价的范围；根据评价指标体系中的指标和生命周期评价方法，收集需要的数据，同时要对数据质量进行分析；对照基本要求和评价指标要求，对产品进行评价，符合基本要求和评价指标要求的产品，可判定该产品符合绿色设计产品的评价要求；产品符合基本要求和评价指标要求的生产企业，还应该提供该产品的生命周期评价报告。评价流程图见图2。</w:t>
      </w:r>
    </w:p>
    <w:p>
      <w:pPr>
        <w:ind w:firstLine="420"/>
        <w:jc w:val="center"/>
        <w:rPr>
          <w:color w:val="000000" w:themeColor="text1"/>
          <w14:textFill>
            <w14:solidFill>
              <w14:schemeClr w14:val="tx1"/>
            </w14:solidFill>
          </w14:textFill>
        </w:rPr>
      </w:pPr>
    </w:p>
    <w:p>
      <w:pPr>
        <w:ind w:firstLine="420"/>
        <w:jc w:val="center"/>
        <w:rPr>
          <w:rFonts w:ascii="黑体" w:hAnsi="黑体" w:eastAsia="黑体"/>
          <w:color w:val="000000" w:themeColor="text1"/>
          <w:szCs w:val="21"/>
          <w14:textFill>
            <w14:solidFill>
              <w14:schemeClr w14:val="tx1"/>
            </w14:solidFill>
          </w14:textFill>
        </w:rPr>
      </w:pPr>
      <w:bookmarkStart w:id="3" w:name="_1585144401"/>
      <w:bookmarkEnd w:id="3"/>
      <w:r>
        <w:rPr>
          <w:color w:val="000000" w:themeColor="text1"/>
          <w:szCs w:val="21"/>
          <w14:textFill>
            <w14:solidFill>
              <w14:schemeClr w14:val="tx1"/>
            </w14:solidFill>
          </w14:textFill>
        </w:rPr>
        <w:object>
          <v:shape id="_x0000_i1025" o:spt="75" type="#_x0000_t75" style="height:313.65pt;width:440.75pt;" o:ole="t" filled="f" o:preferrelative="t" stroked="f" coordsize="21600,21600">
            <v:path/>
            <v:fill on="f" focussize="0,0"/>
            <v:stroke on="f"/>
            <v:imagedata r:id="rId12" o:title=""/>
            <o:lock v:ext="edit" aspectratio="t"/>
            <w10:wrap type="none"/>
            <w10:anchorlock/>
          </v:shape>
          <o:OLEObject Type="Embed" ProgID="Word.Document.12" ShapeID="_x0000_i1025" DrawAspect="Content" ObjectID="_1468075725" r:id="rId11">
            <o:LockedField>false</o:LockedField>
          </o:OLEObject>
        </w:object>
      </w:r>
      <w:r>
        <w:rPr>
          <w:rFonts w:hint="eastAsia" w:ascii="黑体" w:hAnsi="黑体" w:eastAsia="黑体"/>
          <w:color w:val="000000" w:themeColor="text1"/>
          <w:szCs w:val="21"/>
          <w14:textFill>
            <w14:solidFill>
              <w14:schemeClr w14:val="tx1"/>
            </w14:solidFill>
          </w14:textFill>
        </w:rPr>
        <w:t xml:space="preserve">图2  </w:t>
      </w:r>
      <w:bookmarkStart w:id="4" w:name="_Toc514086411"/>
      <w:r>
        <w:rPr>
          <w:rFonts w:hint="eastAsia" w:ascii="黑体" w:hAnsi="黑体" w:eastAsia="黑体"/>
          <w:color w:val="000000" w:themeColor="text1"/>
          <w:szCs w:val="21"/>
          <w14:textFill>
            <w14:solidFill>
              <w14:schemeClr w14:val="tx1"/>
            </w14:solidFill>
          </w14:textFill>
        </w:rPr>
        <w:t>绿色设计产品评价流程图</w:t>
      </w:r>
    </w:p>
    <w:bookmarkEnd w:id="4"/>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p>
    <w:p>
      <w:pPr>
        <w:widowControl/>
        <w:spacing w:afterLines="50"/>
        <w:jc w:val="center"/>
        <w:rPr>
          <w:rFonts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附录A</w:t>
      </w:r>
    </w:p>
    <w:p>
      <w:pPr>
        <w:widowControl/>
        <w:spacing w:beforeLines="50" w:afterLines="50"/>
        <w:jc w:val="center"/>
        <w:rPr>
          <w:rFonts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(规范性)</w:t>
      </w:r>
      <w:bookmarkStart w:id="5" w:name="_Toc514086413"/>
      <w:bookmarkStart w:id="6" w:name="_Toc513850130"/>
      <w:bookmarkStart w:id="7" w:name="_Toc513733452"/>
    </w:p>
    <w:p>
      <w:pPr>
        <w:widowControl/>
        <w:spacing w:beforeLines="50" w:afterLines="50"/>
        <w:jc w:val="center"/>
        <w:rPr>
          <w:rFonts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评价指标计算方法</w:t>
      </w:r>
    </w:p>
    <w:p>
      <w:pPr>
        <w:widowControl/>
        <w:spacing w:beforeLines="50" w:afterLines="50"/>
        <w:jc w:val="center"/>
        <w:rPr>
          <w:rFonts w:ascii="黑体" w:hAnsi="宋体" w:eastAsia="黑体"/>
          <w:color w:val="000000" w:themeColor="text1"/>
          <w:szCs w:val="21"/>
          <w14:textFill>
            <w14:solidFill>
              <w14:schemeClr w14:val="tx1"/>
            </w14:solidFill>
          </w14:textFill>
        </w:rPr>
      </w:pPr>
    </w:p>
    <w:bookmarkEnd w:id="5"/>
    <w:bookmarkEnd w:id="6"/>
    <w:bookmarkEnd w:id="7"/>
    <w:p>
      <w:pPr>
        <w:autoSpaceDE w:val="0"/>
        <w:autoSpaceDN w:val="0"/>
        <w:adjustRightInd w:val="0"/>
        <w:spacing w:beforeLines="50" w:afterLines="50"/>
        <w:jc w:val="left"/>
        <w:rPr>
          <w:rFonts w:ascii="黑体" w:hAnsi="Calibri" w:eastAsia="黑体" w:cs="宋体"/>
          <w:color w:val="000000" w:themeColor="text1"/>
          <w:kern w:val="0"/>
          <w:szCs w:val="21"/>
          <w14:textFill>
            <w14:solidFill>
              <w14:schemeClr w14:val="tx1"/>
            </w14:solidFill>
          </w14:textFill>
        </w:rPr>
      </w:pPr>
      <w:r>
        <w:rPr>
          <w:rFonts w:hint="eastAsia" w:ascii="黑体" w:hAnsi="Calibri" w:eastAsia="黑体" w:cs="宋体"/>
          <w:color w:val="000000" w:themeColor="text1"/>
          <w:kern w:val="0"/>
          <w:szCs w:val="21"/>
          <w14:textFill>
            <w14:solidFill>
              <w14:schemeClr w14:val="tx1"/>
            </w14:solidFill>
          </w14:textFill>
        </w:rPr>
        <w:t>A.1 单位产品金属损耗率</w:t>
      </w:r>
    </w:p>
    <w:p>
      <w:pPr>
        <w:autoSpaceDE w:val="0"/>
        <w:autoSpaceDN w:val="0"/>
        <w:adjustRightInd w:val="0"/>
        <w:ind w:firstLine="405"/>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 xml:space="preserve">生产单位产品损耗金属的比例，按一年计量周期计算。按公式（A.1）或公示（A.2）计算： </w:t>
      </w:r>
    </w:p>
    <w:p>
      <w:pPr>
        <w:autoSpaceDE w:val="0"/>
        <w:autoSpaceDN w:val="0"/>
        <w:adjustRightInd w:val="0"/>
        <w:jc w:val="right"/>
        <w:rPr>
          <w:rFonts w:ascii="宋体" w:hAnsi="Calibri" w:cs="宋体"/>
          <w:color w:val="000000" w:themeColor="text1"/>
          <w:kern w:val="0"/>
          <w:szCs w:val="21"/>
          <w14:textFill>
            <w14:solidFill>
              <w14:schemeClr w14:val="tx1"/>
            </w14:solidFill>
          </w14:textFill>
        </w:rPr>
      </w:pPr>
      <w:r>
        <w:rPr>
          <w:rFonts w:hint="eastAsia" w:ascii="宋体" w:hAnsi="Calibri" w:cs="宋体"/>
          <w:i/>
          <w:color w:val="000000" w:themeColor="text1"/>
          <w:kern w:val="0"/>
          <w:szCs w:val="21"/>
          <w14:textFill>
            <w14:solidFill>
              <w14:schemeClr w14:val="tx1"/>
            </w14:solidFill>
          </w14:textFill>
        </w:rPr>
        <w:t xml:space="preserve">M </w:t>
      </w: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position w:val="-30"/>
          <w:sz w:val="18"/>
          <w:szCs w:val="18"/>
          <w14:textFill>
            <w14:solidFill>
              <w14:schemeClr w14:val="tx1"/>
            </w14:solidFill>
          </w14:textFill>
        </w:rPr>
        <w:object>
          <v:shape id="_x0000_i1026" o:spt="75" type="#_x0000_t75" style="height:35.15pt;width:21.9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ascii="宋体" w:hAnsi="Calibri" w:cs="宋体"/>
          <w:color w:val="000000" w:themeColor="text1"/>
          <w:kern w:val="0"/>
          <w:szCs w:val="21"/>
          <w14:textFill>
            <w14:solidFill>
              <w14:schemeClr w14:val="tx1"/>
            </w14:solidFill>
          </w14:textFill>
        </w:rPr>
        <w:t>×100% .............................（A.1）</w:t>
      </w:r>
    </w:p>
    <w:p>
      <w:pPr>
        <w:autoSpaceDE w:val="0"/>
        <w:autoSpaceDN w:val="0"/>
        <w:adjustRightInd w:val="0"/>
        <w:jc w:val="right"/>
        <w:rPr>
          <w:rFonts w:ascii="宋体" w:hAnsi="Calibri" w:cs="宋体"/>
          <w:color w:val="000000" w:themeColor="text1"/>
          <w:kern w:val="0"/>
          <w:szCs w:val="21"/>
          <w14:textFill>
            <w14:solidFill>
              <w14:schemeClr w14:val="tx1"/>
            </w14:solidFill>
          </w14:textFill>
        </w:rPr>
      </w:pPr>
      <w:r>
        <w:rPr>
          <w:rFonts w:hint="eastAsia" w:ascii="宋体" w:hAnsi="Calibri" w:cs="宋体"/>
          <w:i/>
          <w:color w:val="000000" w:themeColor="text1"/>
          <w:kern w:val="0"/>
          <w:szCs w:val="21"/>
          <w14:textFill>
            <w14:solidFill>
              <w14:schemeClr w14:val="tx1"/>
            </w14:solidFill>
          </w14:textFill>
        </w:rPr>
        <w:t xml:space="preserve">M </w:t>
      </w:r>
      <w:r>
        <w:rPr>
          <w:rFonts w:hint="eastAsia" w:ascii="宋体" w:hAnsi="Calibri" w:cs="宋体"/>
          <w:color w:val="000000" w:themeColor="text1"/>
          <w:kern w:val="0"/>
          <w:szCs w:val="21"/>
          <w14:textFill>
            <w14:solidFill>
              <w14:schemeClr w14:val="tx1"/>
            </w14:solidFill>
          </w14:textFill>
        </w:rPr>
        <w:t>=(1-</w:t>
      </w:r>
      <w:r>
        <w:rPr>
          <w:rFonts w:ascii="宋体" w:hAnsi="Calibri" w:cs="宋体"/>
          <w:color w:val="000000" w:themeColor="text1"/>
          <w:kern w:val="0"/>
          <w:position w:val="-30"/>
          <w:szCs w:val="21"/>
          <w14:textFill>
            <w14:solidFill>
              <w14:schemeClr w14:val="tx1"/>
            </w14:solidFill>
          </w14:textFill>
        </w:rPr>
        <w:object>
          <v:shape id="_x0000_i1027" o:spt="75" type="#_x0000_t75" style="height:35.15pt;width:23.0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ascii="宋体" w:hAnsi="Calibri" w:cs="宋体"/>
          <w:color w:val="000000" w:themeColor="text1"/>
          <w:kern w:val="0"/>
          <w:szCs w:val="21"/>
          <w14:textFill>
            <w14:solidFill>
              <w14:schemeClr w14:val="tx1"/>
            </w14:solidFill>
          </w14:textFill>
        </w:rPr>
        <w:t>)×100% ..........................（A.2）</w:t>
      </w:r>
    </w:p>
    <w:p>
      <w:pPr>
        <w:autoSpaceDE w:val="0"/>
        <w:autoSpaceDN w:val="0"/>
        <w:adjustRightInd w:val="0"/>
        <w:ind w:firstLine="405"/>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 xml:space="preserve">式中： </w:t>
      </w:r>
    </w:p>
    <w:p>
      <w:pPr>
        <w:autoSpaceDE w:val="0"/>
        <w:autoSpaceDN w:val="0"/>
        <w:adjustRightInd w:val="0"/>
        <w:ind w:firstLine="405"/>
        <w:jc w:val="left"/>
        <w:rPr>
          <w:rFonts w:ascii="宋体" w:hAnsi="Calibri" w:cs="宋体"/>
          <w:color w:val="000000" w:themeColor="text1"/>
          <w:kern w:val="0"/>
          <w:szCs w:val="21"/>
          <w14:textFill>
            <w14:solidFill>
              <w14:schemeClr w14:val="tx1"/>
            </w14:solidFill>
          </w14:textFill>
        </w:rPr>
      </w:pPr>
      <w:r>
        <w:rPr>
          <w:rFonts w:hint="eastAsia" w:ascii="宋体" w:hAnsi="Calibri" w:cs="宋体"/>
          <w:i/>
          <w:color w:val="000000" w:themeColor="text1"/>
          <w:kern w:val="0"/>
          <w:szCs w:val="21"/>
          <w14:textFill>
            <w14:solidFill>
              <w14:schemeClr w14:val="tx1"/>
            </w14:solidFill>
          </w14:textFill>
        </w:rPr>
        <w:t xml:space="preserve">M </w:t>
      </w:r>
      <w:r>
        <w:rPr>
          <w:rFonts w:hint="eastAsia" w:ascii="宋体" w:hAnsi="Calibri" w:cs="宋体"/>
          <w:color w:val="000000" w:themeColor="text1"/>
          <w:kern w:val="0"/>
          <w:szCs w:val="21"/>
          <w14:textFill>
            <w14:solidFill>
              <w14:schemeClr w14:val="tx1"/>
            </w14:solidFill>
          </w14:textFill>
        </w:rPr>
        <w:t>—— 单位产品金属损耗率，单位为质量分数（%）；</w:t>
      </w: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 xml:space="preserve">    </w:t>
      </w:r>
      <w:r>
        <w:rPr>
          <w:rFonts w:hint="eastAsia" w:ascii="宋体" w:hAnsi="Calibri" w:cs="宋体"/>
          <w:i/>
          <w:color w:val="000000" w:themeColor="text1"/>
          <w:kern w:val="0"/>
          <w:szCs w:val="21"/>
          <w14:textFill>
            <w14:solidFill>
              <w14:schemeClr w14:val="tx1"/>
            </w14:solidFill>
          </w14:textFill>
        </w:rPr>
        <w:t>M</w:t>
      </w:r>
      <w:r>
        <w:rPr>
          <w:rFonts w:hint="eastAsia" w:ascii="宋体" w:hAnsi="Calibri" w:cs="宋体"/>
          <w:i/>
          <w:color w:val="000000" w:themeColor="text1"/>
          <w:kern w:val="0"/>
          <w:szCs w:val="21"/>
          <w:vertAlign w:val="subscript"/>
          <w14:textFill>
            <w14:solidFill>
              <w14:schemeClr w14:val="tx1"/>
            </w14:solidFill>
          </w14:textFill>
        </w:rPr>
        <w:t>s</w:t>
      </w:r>
      <w:r>
        <w:rPr>
          <w:rFonts w:hint="eastAsia" w:ascii="宋体" w:hAnsi="Calibri" w:cs="宋体"/>
          <w:color w:val="000000" w:themeColor="text1"/>
          <w:kern w:val="0"/>
          <w:szCs w:val="21"/>
          <w14:textFill>
            <w14:solidFill>
              <w14:schemeClr w14:val="tx1"/>
            </w14:solidFill>
          </w14:textFill>
        </w:rPr>
        <w:t>—— 一年内铜热轧板产品金属损耗量，单位为吨（t）；</w:t>
      </w:r>
    </w:p>
    <w:p>
      <w:pPr>
        <w:autoSpaceDE w:val="0"/>
        <w:autoSpaceDN w:val="0"/>
        <w:adjustRightInd w:val="0"/>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i/>
          <w:color w:val="000000" w:themeColor="text1"/>
          <w:kern w:val="0"/>
          <w:szCs w:val="21"/>
          <w14:textFill>
            <w14:solidFill>
              <w14:schemeClr w14:val="tx1"/>
            </w14:solidFill>
          </w14:textFill>
        </w:rPr>
        <w:t>M</w:t>
      </w:r>
      <w:r>
        <w:rPr>
          <w:rFonts w:hint="eastAsia" w:ascii="宋体" w:hAnsi="Calibri" w:cs="宋体"/>
          <w:i/>
          <w:color w:val="000000" w:themeColor="text1"/>
          <w:kern w:val="0"/>
          <w:szCs w:val="21"/>
          <w:vertAlign w:val="subscript"/>
          <w14:textFill>
            <w14:solidFill>
              <w14:schemeClr w14:val="tx1"/>
            </w14:solidFill>
          </w14:textFill>
        </w:rPr>
        <w:t>z</w:t>
      </w:r>
      <w:r>
        <w:rPr>
          <w:rFonts w:hint="eastAsia" w:ascii="宋体" w:hAnsi="Calibri" w:cs="宋体"/>
          <w:color w:val="000000" w:themeColor="text1"/>
          <w:kern w:val="0"/>
          <w:szCs w:val="21"/>
          <w14:textFill>
            <w14:solidFill>
              <w14:schemeClr w14:val="tx1"/>
            </w14:solidFill>
          </w14:textFill>
        </w:rPr>
        <w:t>—— 一年内铜热轧板产品产量（含成品、半成品、可回用的边角屑料），单位为吨（t）；</w:t>
      </w:r>
    </w:p>
    <w:p>
      <w:pPr>
        <w:autoSpaceDE w:val="0"/>
        <w:autoSpaceDN w:val="0"/>
        <w:adjustRightInd w:val="0"/>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i/>
          <w:color w:val="000000" w:themeColor="text1"/>
          <w:kern w:val="0"/>
          <w:szCs w:val="21"/>
          <w14:textFill>
            <w14:solidFill>
              <w14:schemeClr w14:val="tx1"/>
            </w14:solidFill>
          </w14:textFill>
        </w:rPr>
        <w:t>M</w:t>
      </w:r>
      <w:r>
        <w:rPr>
          <w:rFonts w:hint="eastAsia" w:ascii="宋体" w:hAnsi="Calibri" w:cs="宋体"/>
          <w:i/>
          <w:color w:val="000000" w:themeColor="text1"/>
          <w:kern w:val="0"/>
          <w:szCs w:val="21"/>
          <w:vertAlign w:val="subscript"/>
          <w14:textFill>
            <w14:solidFill>
              <w14:schemeClr w14:val="tx1"/>
            </w14:solidFill>
          </w14:textFill>
        </w:rPr>
        <w:t>e</w:t>
      </w:r>
      <w:r>
        <w:rPr>
          <w:rFonts w:hint="eastAsia" w:ascii="宋体" w:hAnsi="Calibri" w:cs="宋体"/>
          <w:color w:val="000000" w:themeColor="text1"/>
          <w:kern w:val="0"/>
          <w:szCs w:val="21"/>
          <w14:textFill>
            <w14:solidFill>
              <w14:schemeClr w14:val="tx1"/>
            </w14:solidFill>
          </w14:textFill>
        </w:rPr>
        <w:t>—— 一年内生产铜热板</w:t>
      </w:r>
      <w:r>
        <w:rPr>
          <w:rFonts w:hint="eastAsia" w:ascii="宋体" w:hAnsi="Calibri" w:cs="宋体"/>
          <w:color w:val="000000" w:themeColor="text1"/>
          <w:kern w:val="0"/>
          <w:szCs w:val="21"/>
          <w14:textFill>
            <w14:solidFill>
              <w14:schemeClr w14:val="tx1"/>
            </w14:solidFill>
          </w14:textFill>
        </w:rPr>
        <w:t>成品</w:t>
      </w:r>
      <w:r>
        <w:rPr>
          <w:rFonts w:hint="eastAsia" w:ascii="宋体" w:hAnsi="Calibri" w:cs="宋体"/>
          <w:color w:val="000000" w:themeColor="text1"/>
          <w:kern w:val="0"/>
          <w:szCs w:val="21"/>
          <w14:textFill>
            <w14:solidFill>
              <w14:schemeClr w14:val="tx1"/>
            </w14:solidFill>
          </w14:textFill>
        </w:rPr>
        <w:t>使用的金属总量，单位为吨（t）。</w:t>
      </w:r>
    </w:p>
    <w:p>
      <w:pPr>
        <w:autoSpaceDE w:val="0"/>
        <w:autoSpaceDN w:val="0"/>
        <w:adjustRightInd w:val="0"/>
        <w:ind w:firstLine="420" w:firstLineChars="20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spacing w:beforeLines="50" w:afterLines="50"/>
        <w:jc w:val="left"/>
        <w:rPr>
          <w:rFonts w:ascii="黑体" w:hAnsi="Calibri" w:eastAsia="黑体" w:cs="宋体"/>
          <w:color w:val="000000" w:themeColor="text1"/>
          <w:kern w:val="0"/>
          <w:szCs w:val="21"/>
          <w14:textFill>
            <w14:solidFill>
              <w14:schemeClr w14:val="tx1"/>
            </w14:solidFill>
          </w14:textFill>
        </w:rPr>
      </w:pPr>
      <w:r>
        <w:rPr>
          <w:rFonts w:hint="eastAsia" w:ascii="黑体" w:hAnsi="Calibri" w:eastAsia="黑体" w:cs="宋体"/>
          <w:color w:val="000000" w:themeColor="text1"/>
          <w:kern w:val="0"/>
          <w:szCs w:val="21"/>
          <w14:textFill>
            <w14:solidFill>
              <w14:schemeClr w14:val="tx1"/>
            </w14:solidFill>
          </w14:textFill>
        </w:rPr>
        <w:t>A.1 水重复利用率</w:t>
      </w: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 xml:space="preserve">    生产过程中使用的循环水量与总用水量的比例，按一年计量周期计算。按公式（A.3）计算：</w:t>
      </w:r>
    </w:p>
    <w:p>
      <w:pPr>
        <w:autoSpaceDE w:val="0"/>
        <w:autoSpaceDN w:val="0"/>
        <w:adjustRightInd w:val="0"/>
        <w:jc w:val="right"/>
        <w:rPr>
          <w:rFonts w:ascii="宋体" w:hAnsi="Calibri" w:cs="宋体"/>
          <w:color w:val="000000" w:themeColor="text1"/>
          <w:kern w:val="0"/>
          <w:szCs w:val="21"/>
          <w14:textFill>
            <w14:solidFill>
              <w14:schemeClr w14:val="tx1"/>
            </w14:solidFill>
          </w14:textFill>
        </w:rPr>
      </w:pPr>
      <w:r>
        <w:rPr>
          <w:rFonts w:hint="eastAsia" w:ascii="宋体" w:hAnsi="Calibri" w:cs="宋体"/>
          <w:i/>
          <w:color w:val="000000" w:themeColor="text1"/>
          <w:kern w:val="0"/>
          <w:szCs w:val="21"/>
          <w14:textFill>
            <w14:solidFill>
              <w14:schemeClr w14:val="tx1"/>
            </w14:solidFill>
          </w14:textFill>
        </w:rPr>
        <w:t xml:space="preserve">W </w:t>
      </w:r>
      <w:r>
        <w:rPr>
          <w:rFonts w:hint="eastAsia" w:ascii="宋体" w:hAnsi="Calibri" w:cs="宋体"/>
          <w:color w:val="000000" w:themeColor="text1"/>
          <w:kern w:val="0"/>
          <w:szCs w:val="21"/>
          <w14:textFill>
            <w14:solidFill>
              <w14:schemeClr w14:val="tx1"/>
            </w14:solidFill>
          </w14:textFill>
        </w:rPr>
        <w:t>=</w:t>
      </w:r>
      <w:r>
        <w:rPr>
          <w:rFonts w:ascii="宋体" w:hAnsi="Calibri" w:cs="宋体"/>
          <w:color w:val="000000" w:themeColor="text1"/>
          <w:kern w:val="0"/>
          <w:position w:val="-30"/>
          <w:sz w:val="18"/>
          <w:szCs w:val="18"/>
          <w14:textFill>
            <w14:solidFill>
              <w14:schemeClr w14:val="tx1"/>
            </w14:solidFill>
          </w14:textFill>
        </w:rPr>
        <w:object>
          <v:shape id="_x0000_i1028" o:spt="75" type="#_x0000_t75" style="height:35.15pt;width:44.9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hint="eastAsia" w:ascii="宋体" w:hAnsi="Calibri" w:cs="宋体"/>
          <w:color w:val="000000" w:themeColor="text1"/>
          <w:kern w:val="0"/>
          <w:szCs w:val="21"/>
          <w14:textFill>
            <w14:solidFill>
              <w14:schemeClr w14:val="tx1"/>
            </w14:solidFill>
          </w14:textFill>
        </w:rPr>
        <w:t>×100% .............................（A.3）</w:t>
      </w:r>
    </w:p>
    <w:p>
      <w:pPr>
        <w:autoSpaceDE w:val="0"/>
        <w:autoSpaceDN w:val="0"/>
        <w:adjustRightInd w:val="0"/>
        <w:ind w:firstLine="405"/>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 xml:space="preserve">式中： </w:t>
      </w:r>
    </w:p>
    <w:p>
      <w:pPr>
        <w:autoSpaceDE w:val="0"/>
        <w:autoSpaceDN w:val="0"/>
        <w:adjustRightInd w:val="0"/>
        <w:ind w:firstLine="405"/>
        <w:jc w:val="left"/>
        <w:rPr>
          <w:rFonts w:ascii="宋体" w:hAnsi="Calibri" w:cs="宋体"/>
          <w:color w:val="000000" w:themeColor="text1"/>
          <w:kern w:val="0"/>
          <w:szCs w:val="21"/>
          <w14:textFill>
            <w14:solidFill>
              <w14:schemeClr w14:val="tx1"/>
            </w14:solidFill>
          </w14:textFill>
        </w:rPr>
      </w:pPr>
      <w:r>
        <w:rPr>
          <w:rFonts w:hint="eastAsia" w:ascii="宋体" w:hAnsi="Calibri" w:cs="宋体"/>
          <w:i/>
          <w:color w:val="000000" w:themeColor="text1"/>
          <w:kern w:val="0"/>
          <w:szCs w:val="21"/>
          <w14:textFill>
            <w14:solidFill>
              <w14:schemeClr w14:val="tx1"/>
            </w14:solidFill>
          </w14:textFill>
        </w:rPr>
        <w:t>W</w:t>
      </w:r>
      <w:r>
        <w:rPr>
          <w:rFonts w:hint="eastAsia" w:ascii="宋体" w:hAnsi="Calibri" w:cs="宋体"/>
          <w:color w:val="000000" w:themeColor="text1"/>
          <w:kern w:val="0"/>
          <w:szCs w:val="21"/>
          <w14:textFill>
            <w14:solidFill>
              <w14:schemeClr w14:val="tx1"/>
            </w14:solidFill>
          </w14:textFill>
        </w:rPr>
        <w:t xml:space="preserve"> —— 单位产品</w:t>
      </w:r>
      <w:r>
        <w:rPr>
          <w:rFonts w:hint="eastAsia" w:ascii="宋体" w:hAnsi="宋体" w:cs="宋体"/>
          <w:color w:val="000000" w:themeColor="text1"/>
          <w:kern w:val="0"/>
          <w:szCs w:val="21"/>
          <w14:textFill>
            <w14:solidFill>
              <w14:schemeClr w14:val="tx1"/>
            </w14:solidFill>
          </w14:textFill>
        </w:rPr>
        <w:t>水重复利用率</w:t>
      </w:r>
      <w:r>
        <w:rPr>
          <w:rFonts w:hint="eastAsia" w:ascii="宋体" w:hAnsi="Calibri" w:cs="宋体"/>
          <w:color w:val="000000" w:themeColor="text1"/>
          <w:kern w:val="0"/>
          <w:szCs w:val="21"/>
          <w14:textFill>
            <w14:solidFill>
              <w14:schemeClr w14:val="tx1"/>
            </w14:solidFill>
          </w14:textFill>
        </w:rPr>
        <w:t>，单位为质量分数（%）；</w:t>
      </w: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r>
        <w:rPr>
          <w:rFonts w:hint="eastAsia" w:ascii="宋体" w:hAnsi="Calibri" w:cs="宋体"/>
          <w:color w:val="000000" w:themeColor="text1"/>
          <w:kern w:val="0"/>
          <w:szCs w:val="21"/>
          <w14:textFill>
            <w14:solidFill>
              <w14:schemeClr w14:val="tx1"/>
            </w14:solidFill>
          </w14:textFill>
        </w:rPr>
        <w:t xml:space="preserve">    </w:t>
      </w:r>
      <w:r>
        <w:rPr>
          <w:rFonts w:hint="eastAsia" w:ascii="宋体" w:hAnsi="Calibri" w:cs="宋体"/>
          <w:i/>
          <w:color w:val="000000" w:themeColor="text1"/>
          <w:kern w:val="0"/>
          <w:szCs w:val="21"/>
          <w14:textFill>
            <w14:solidFill>
              <w14:schemeClr w14:val="tx1"/>
            </w14:solidFill>
          </w14:textFill>
        </w:rPr>
        <w:t>W</w:t>
      </w:r>
      <w:r>
        <w:rPr>
          <w:rFonts w:hint="eastAsia" w:ascii="宋体" w:hAnsi="Calibri" w:cs="宋体"/>
          <w:i/>
          <w:color w:val="000000" w:themeColor="text1"/>
          <w:kern w:val="0"/>
          <w:szCs w:val="21"/>
          <w:vertAlign w:val="subscript"/>
          <w14:textFill>
            <w14:solidFill>
              <w14:schemeClr w14:val="tx1"/>
            </w14:solidFill>
          </w14:textFill>
        </w:rPr>
        <w:t>r</w:t>
      </w:r>
      <w:r>
        <w:rPr>
          <w:rFonts w:hint="eastAsia" w:ascii="宋体" w:hAnsi="Calibri" w:cs="宋体"/>
          <w:color w:val="000000" w:themeColor="text1"/>
          <w:kern w:val="0"/>
          <w:szCs w:val="21"/>
          <w14:textFill>
            <w14:solidFill>
              <w14:schemeClr w14:val="tx1"/>
            </w14:solidFill>
          </w14:textFill>
        </w:rPr>
        <w:t>—— 一年内重复利用水量，单位为立方米（m</w:t>
      </w:r>
      <w:r>
        <w:rPr>
          <w:rFonts w:hint="eastAsia" w:ascii="宋体" w:hAnsi="Calibri" w:cs="宋体"/>
          <w:color w:val="000000" w:themeColor="text1"/>
          <w:kern w:val="0"/>
          <w:szCs w:val="21"/>
          <w:vertAlign w:val="superscript"/>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w:t>
      </w:r>
    </w:p>
    <w:p>
      <w:pPr>
        <w:autoSpaceDE w:val="0"/>
        <w:autoSpaceDN w:val="0"/>
        <w:adjustRightInd w:val="0"/>
        <w:ind w:firstLine="420" w:firstLineChars="200"/>
        <w:jc w:val="left"/>
        <w:rPr>
          <w:rFonts w:ascii="宋体" w:hAnsi="Calibri" w:cs="宋体"/>
          <w:color w:val="000000" w:themeColor="text1"/>
          <w:kern w:val="0"/>
          <w:szCs w:val="21"/>
          <w14:textFill>
            <w14:solidFill>
              <w14:schemeClr w14:val="tx1"/>
            </w14:solidFill>
          </w14:textFill>
        </w:rPr>
      </w:pPr>
      <w:r>
        <w:rPr>
          <w:rFonts w:hint="eastAsia" w:ascii="宋体" w:hAnsi="Calibri" w:cs="宋体"/>
          <w:i/>
          <w:color w:val="000000" w:themeColor="text1"/>
          <w:kern w:val="0"/>
          <w:szCs w:val="21"/>
          <w14:textFill>
            <w14:solidFill>
              <w14:schemeClr w14:val="tx1"/>
            </w14:solidFill>
          </w14:textFill>
        </w:rPr>
        <w:t>W</w:t>
      </w:r>
      <w:r>
        <w:rPr>
          <w:rFonts w:hint="eastAsia" w:ascii="宋体" w:hAnsi="Calibri" w:cs="宋体"/>
          <w:i/>
          <w:color w:val="000000" w:themeColor="text1"/>
          <w:kern w:val="0"/>
          <w:szCs w:val="21"/>
          <w:vertAlign w:val="subscript"/>
          <w14:textFill>
            <w14:solidFill>
              <w14:schemeClr w14:val="tx1"/>
            </w14:solidFill>
          </w14:textFill>
        </w:rPr>
        <w:t>n</w:t>
      </w:r>
      <w:r>
        <w:rPr>
          <w:rFonts w:hint="eastAsia" w:ascii="宋体" w:hAnsi="Calibri" w:cs="宋体"/>
          <w:color w:val="000000" w:themeColor="text1"/>
          <w:kern w:val="0"/>
          <w:szCs w:val="21"/>
          <w14:textFill>
            <w14:solidFill>
              <w14:schemeClr w14:val="tx1"/>
            </w14:solidFill>
          </w14:textFill>
        </w:rPr>
        <w:t>—— 一年内使用的新水量，单位为立方米（m</w:t>
      </w:r>
      <w:r>
        <w:rPr>
          <w:rFonts w:hint="eastAsia" w:ascii="宋体" w:hAnsi="Calibri" w:cs="宋体"/>
          <w:color w:val="000000" w:themeColor="text1"/>
          <w:kern w:val="0"/>
          <w:szCs w:val="21"/>
          <w:vertAlign w:val="superscript"/>
          <w14:textFill>
            <w14:solidFill>
              <w14:schemeClr w14:val="tx1"/>
            </w14:solidFill>
          </w14:textFill>
        </w:rPr>
        <w:t>3</w:t>
      </w:r>
      <w:r>
        <w:rPr>
          <w:rFonts w:hint="eastAsia" w:ascii="宋体" w:hAnsi="Calibri" w:cs="宋体"/>
          <w:color w:val="000000" w:themeColor="text1"/>
          <w:kern w:val="0"/>
          <w:szCs w:val="21"/>
          <w14:textFill>
            <w14:solidFill>
              <w14:schemeClr w14:val="tx1"/>
            </w14:solidFill>
          </w14:textFill>
        </w:rPr>
        <w:t>）。</w:t>
      </w: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autoSpaceDE w:val="0"/>
        <w:autoSpaceDN w:val="0"/>
        <w:adjustRightInd w:val="0"/>
        <w:jc w:val="left"/>
        <w:rPr>
          <w:rFonts w:ascii="宋体" w:hAnsi="Calibri" w:cs="宋体"/>
          <w:color w:val="000000" w:themeColor="text1"/>
          <w:kern w:val="0"/>
          <w:szCs w:val="21"/>
          <w14:textFill>
            <w14:solidFill>
              <w14:schemeClr w14:val="tx1"/>
            </w14:solidFill>
          </w14:textFill>
        </w:rPr>
      </w:pPr>
    </w:p>
    <w:p>
      <w:pPr>
        <w:widowControl/>
        <w:spacing w:beforeLines="50" w:afterLines="50"/>
        <w:jc w:val="center"/>
        <w:rPr>
          <w:rFonts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附录B</w:t>
      </w:r>
    </w:p>
    <w:p>
      <w:pPr>
        <w:widowControl/>
        <w:spacing w:beforeLines="50" w:afterLines="50"/>
        <w:jc w:val="center"/>
        <w:rPr>
          <w:rFonts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w:t>
      </w:r>
      <w:r>
        <w:rPr>
          <w:rFonts w:hint="eastAsia" w:ascii="黑体" w:hAnsi="宋体" w:eastAsia="黑体"/>
          <w:color w:val="000000" w:themeColor="text1"/>
          <w:szCs w:val="21"/>
          <w:lang w:eastAsia="zh-CN"/>
          <w14:textFill>
            <w14:solidFill>
              <w14:schemeClr w14:val="tx1"/>
            </w14:solidFill>
          </w14:textFill>
        </w:rPr>
        <w:t>规范</w:t>
      </w:r>
      <w:r>
        <w:rPr>
          <w:rFonts w:hint="eastAsia" w:ascii="黑体" w:hAnsi="宋体" w:eastAsia="黑体"/>
          <w:color w:val="000000" w:themeColor="text1"/>
          <w:szCs w:val="21"/>
          <w14:textFill>
            <w14:solidFill>
              <w14:schemeClr w14:val="tx1"/>
            </w14:solidFill>
          </w14:textFill>
        </w:rPr>
        <w:t>性）</w:t>
      </w:r>
    </w:p>
    <w:p>
      <w:pPr>
        <w:widowControl/>
        <w:spacing w:beforeLines="50" w:afterLines="50"/>
        <w:jc w:val="center"/>
        <w:rPr>
          <w:rFonts w:ascii="黑体" w:hAnsi="宋体" w:eastAsia="黑体"/>
          <w:color w:val="000000" w:themeColor="text1"/>
          <w:szCs w:val="21"/>
          <w14:textFill>
            <w14:solidFill>
              <w14:schemeClr w14:val="tx1"/>
            </w14:solidFill>
          </w14:textFill>
        </w:rPr>
      </w:pPr>
      <w:r>
        <w:rPr>
          <w:rFonts w:hint="eastAsia" w:ascii="黑体" w:eastAsia="黑体"/>
          <w:color w:val="000000" w:themeColor="text1"/>
          <w:szCs w:val="21"/>
          <w14:textFill>
            <w14:solidFill>
              <w14:schemeClr w14:val="tx1"/>
            </w14:solidFill>
          </w14:textFill>
        </w:rPr>
        <w:t>铜及铜合金</w:t>
      </w:r>
      <w:r>
        <w:rPr>
          <w:rFonts w:hint="eastAsia" w:ascii="黑体" w:eastAsia="黑体"/>
          <w:color w:val="000000" w:themeColor="text1"/>
          <w14:textFill>
            <w14:solidFill>
              <w14:schemeClr w14:val="tx1"/>
            </w14:solidFill>
          </w14:textFill>
        </w:rPr>
        <w:t>热轧板</w:t>
      </w:r>
      <w:r>
        <w:rPr>
          <w:rFonts w:hint="eastAsia" w:ascii="黑体" w:hAnsi="黑体" w:eastAsia="黑体"/>
          <w:color w:val="000000" w:themeColor="text1"/>
          <w:szCs w:val="21"/>
          <w14:textFill>
            <w14:solidFill>
              <w14:schemeClr w14:val="tx1"/>
            </w14:solidFill>
          </w14:textFill>
        </w:rPr>
        <w:t>产品标准</w:t>
      </w:r>
    </w:p>
    <w:p>
      <w:pPr>
        <w:widowControl/>
        <w:spacing w:beforeLines="50" w:afterLines="50"/>
        <w:ind w:firstLine="4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铜及铜合金热轧板产品标准见表B.1</w:t>
      </w:r>
    </w:p>
    <w:p>
      <w:pPr>
        <w:widowControl/>
        <w:spacing w:beforeLines="50" w:afterLines="50"/>
        <w:jc w:val="center"/>
        <w:rPr>
          <w:rFonts w:ascii="黑体" w:hAnsi="宋体" w:eastAsia="黑体"/>
          <w:color w:val="000000" w:themeColor="text1"/>
          <w:szCs w:val="21"/>
          <w14:textFill>
            <w14:solidFill>
              <w14:schemeClr w14:val="tx1"/>
            </w14:solidFill>
          </w14:textFill>
        </w:rPr>
      </w:pPr>
      <w:r>
        <w:rPr>
          <w:rFonts w:hint="eastAsia" w:ascii="黑体" w:hAnsi="宋体" w:eastAsia="黑体"/>
          <w:color w:val="000000" w:themeColor="text1"/>
          <w:szCs w:val="21"/>
          <w14:textFill>
            <w14:solidFill>
              <w14:schemeClr w14:val="tx1"/>
            </w14:solidFill>
          </w14:textFill>
        </w:rPr>
        <w:t xml:space="preserve">表B.1    </w:t>
      </w:r>
      <w:r>
        <w:rPr>
          <w:rFonts w:hint="eastAsia" w:ascii="黑体" w:eastAsia="黑体"/>
          <w:color w:val="000000" w:themeColor="text1"/>
          <w:szCs w:val="21"/>
          <w14:textFill>
            <w14:solidFill>
              <w14:schemeClr w14:val="tx1"/>
            </w14:solidFill>
          </w14:textFill>
        </w:rPr>
        <w:t>铜及铜合金</w:t>
      </w:r>
      <w:r>
        <w:rPr>
          <w:rFonts w:hint="eastAsia" w:ascii="黑体" w:eastAsia="黑体"/>
          <w:color w:val="000000" w:themeColor="text1"/>
          <w14:textFill>
            <w14:solidFill>
              <w14:schemeClr w14:val="tx1"/>
            </w14:solidFill>
          </w14:textFill>
        </w:rPr>
        <w:t>热轧板</w:t>
      </w:r>
      <w:r>
        <w:rPr>
          <w:rFonts w:hint="eastAsia" w:ascii="黑体" w:hAnsi="黑体" w:eastAsia="黑体"/>
          <w:color w:val="000000" w:themeColor="text1"/>
          <w:szCs w:val="21"/>
          <w14:textFill>
            <w14:solidFill>
              <w14:schemeClr w14:val="tx1"/>
            </w14:solidFill>
          </w14:textFill>
        </w:rPr>
        <w:t>产品标准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4"/>
        <w:gridCol w:w="3756"/>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4"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标准号</w:t>
            </w:r>
          </w:p>
        </w:tc>
        <w:tc>
          <w:tcPr>
            <w:tcW w:w="3756"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标准名称</w:t>
            </w:r>
          </w:p>
        </w:tc>
        <w:tc>
          <w:tcPr>
            <w:tcW w:w="2075"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4"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GB/T 2040-2017</w:t>
            </w:r>
          </w:p>
        </w:tc>
        <w:tc>
          <w:tcPr>
            <w:tcW w:w="3756"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铜及铜合金板材</w:t>
            </w:r>
          </w:p>
        </w:tc>
        <w:tc>
          <w:tcPr>
            <w:tcW w:w="2075"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铜热轧板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4"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GB/T 2056-2005</w:t>
            </w:r>
          </w:p>
        </w:tc>
        <w:tc>
          <w:tcPr>
            <w:tcW w:w="3756"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电镀用铜、锌、镉、镍、锡阳极板</w:t>
            </w:r>
          </w:p>
        </w:tc>
        <w:tc>
          <w:tcPr>
            <w:tcW w:w="2075"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铜热轧板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4"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GB/T 2529-2012</w:t>
            </w:r>
          </w:p>
        </w:tc>
        <w:tc>
          <w:tcPr>
            <w:tcW w:w="3756"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导电用铜板条</w:t>
            </w:r>
          </w:p>
        </w:tc>
        <w:tc>
          <w:tcPr>
            <w:tcW w:w="2075"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铜热轧板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4"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YS/T 811-2012</w:t>
            </w:r>
          </w:p>
        </w:tc>
        <w:tc>
          <w:tcPr>
            <w:tcW w:w="3756"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高炉冷却壁用铜板</w:t>
            </w:r>
          </w:p>
        </w:tc>
        <w:tc>
          <w:tcPr>
            <w:tcW w:w="2075" w:type="dxa"/>
            <w:vAlign w:val="center"/>
          </w:tcPr>
          <w:p>
            <w:pPr>
              <w:widowControl/>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铜热轧板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744" w:type="dxa"/>
            <w:vAlign w:val="center"/>
          </w:tcPr>
          <w:p>
            <w:pPr>
              <w:widowControl/>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w:t>
            </w:r>
            <w:r>
              <w:rPr>
                <w:rFonts w:ascii="宋体" w:hAnsi="宋体"/>
                <w:color w:val="000000" w:themeColor="text1"/>
                <w:sz w:val="18"/>
                <w:szCs w:val="18"/>
                <w14:textFill>
                  <w14:solidFill>
                    <w14:schemeClr w14:val="tx1"/>
                  </w14:solidFill>
                </w14:textFill>
              </w:rPr>
              <w:t>S/T1436-2021</w:t>
            </w:r>
          </w:p>
        </w:tc>
        <w:tc>
          <w:tcPr>
            <w:tcW w:w="3756" w:type="dxa"/>
            <w:vAlign w:val="center"/>
          </w:tcPr>
          <w:p>
            <w:pPr>
              <w:widowControl/>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冷却设备用锻轧厚铜板</w:t>
            </w:r>
          </w:p>
        </w:tc>
        <w:tc>
          <w:tcPr>
            <w:tcW w:w="2075" w:type="dxa"/>
            <w:vAlign w:val="center"/>
          </w:tcPr>
          <w:p>
            <w:pPr>
              <w:jc w:val="center"/>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color w:val="000000" w:themeColor="text1"/>
                <w:sz w:val="18"/>
                <w:szCs w:val="18"/>
                <w:lang w:eastAsia="zh-CN"/>
                <w14:textFill>
                  <w14:solidFill>
                    <w14:schemeClr w14:val="tx1"/>
                  </w14:solidFill>
                </w14:textFill>
              </w:rPr>
              <w:t>铜和高铜热轧板</w:t>
            </w:r>
          </w:p>
        </w:tc>
      </w:tr>
    </w:tbl>
    <w:p>
      <w:pPr>
        <w:spacing w:beforeLines="50" w:afterLines="50"/>
        <w:jc w:val="center"/>
        <w:rPr>
          <w:rFonts w:ascii="黑体" w:hAnsi="黑体" w:eastAsia="黑体"/>
          <w:color w:val="000000" w:themeColor="text1"/>
          <w:szCs w:val="21"/>
          <w14:textFill>
            <w14:solidFill>
              <w14:schemeClr w14:val="tx1"/>
            </w14:solidFill>
          </w14:textFill>
        </w:rPr>
      </w:pPr>
      <w:r>
        <w:rPr>
          <w:rFonts w:ascii="黑体" w:hAnsi="宋体" w:eastAsia="黑体"/>
          <w:color w:val="000000" w:themeColor="text1"/>
          <w:szCs w:val="21"/>
          <w14:textFill>
            <w14:solidFill>
              <w14:schemeClr w14:val="tx1"/>
            </w14:solidFill>
          </w14:textFill>
        </w:rPr>
        <w:pict>
          <v:shape id="_x0000_s2092" o:spid="_x0000_s2092" o:spt="32" type="#_x0000_t32" style="position:absolute;left:0pt;flip:y;margin-left:167.55pt;margin-top:13.2pt;height:0.7pt;width:134.3pt;z-index:251666432;mso-width-relative:page;mso-height-relative:page;" filled="f" stroked="t" coordsize="21600,21600">
            <v:path arrowok="t"/>
            <v:fill on="f" focussize="0,0"/>
            <v:stroke weight="1.25pt" color="#000000"/>
            <v:imagedata o:title=""/>
            <o:lock v:ext="edit" aspectratio="f"/>
          </v:shape>
        </w:pict>
      </w:r>
    </w:p>
    <w:sectPr>
      <w:footerReference r:id="rId9" w:type="default"/>
      <w:pgSz w:w="11906" w:h="16838"/>
      <w:pgMar w:top="1247" w:right="1361" w:bottom="1247" w:left="1361" w:header="1020" w:footer="79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imesNewRomanPSMT">
    <w:altName w:val="Times New Roman"/>
    <w:panose1 w:val="00000000000000000000"/>
    <w:charset w:val="00"/>
    <w:family w:val="roman"/>
    <w:pitch w:val="default"/>
    <w:sig w:usb0="00000000" w:usb1="00000000" w:usb2="00000000" w:usb3="00000000" w:csb0="00040001" w:csb1="00000000"/>
  </w:font>
  <w:font w:name="E-BZ-PK7482d0-Identity-H">
    <w:altName w:val="Cambria"/>
    <w:panose1 w:val="00000000000000000000"/>
    <w:charset w:val="00"/>
    <w:family w:val="roman"/>
    <w:pitch w:val="default"/>
    <w:sig w:usb0="00000000" w:usb1="00000000" w:usb2="00000000" w:usb3="00000000" w:csb0="00040001" w:csb1="00000000"/>
  </w:font>
  <w:font w:name="TimesNewRomanPS-ItalicMT">
    <w:altName w:val="Times New Roman"/>
    <w:panose1 w:val="00000000000000000000"/>
    <w:charset w:val="00"/>
    <w:family w:val="roman"/>
    <w:pitch w:val="default"/>
    <w:sig w:usb0="00000000" w:usb1="00000000" w:usb2="00000000" w:usb3="00000000" w:csb0="00040001" w:csb1="00000000"/>
  </w:font>
  <w:font w:name="FzBookMaker8DlFont80536871322">
    <w:altName w:val="Cambria"/>
    <w:panose1 w:val="00000000000000000000"/>
    <w:charset w:val="00"/>
    <w:family w:val="roman"/>
    <w:pitch w:val="default"/>
    <w:sig w:usb0="00000000" w:usb1="00000000" w:usb2="00000000"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FzBookMaker6DlFont60536871319">
    <w:altName w:val="Cambria"/>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5"/>
      <w:rPr>
        <w:rStyle w:val="23"/>
      </w:rPr>
    </w:pPr>
    <w:r>
      <w:fldChar w:fldCharType="begin"/>
    </w:r>
    <w:r>
      <w:rPr>
        <w:rStyle w:val="23"/>
      </w:rPr>
      <w:instrText xml:space="preserve">PAGE  </w:instrText>
    </w:r>
    <w:r>
      <w:fldChar w:fldCharType="separate"/>
    </w:r>
    <w:r>
      <w:rPr>
        <w:rStyle w:val="23"/>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rPr>
        <w:rStyle w:val="23"/>
      </w:rPr>
    </w:pPr>
    <w:r>
      <w:fldChar w:fldCharType="begin"/>
    </w:r>
    <w:r>
      <w:rPr>
        <w:rStyle w:val="23"/>
      </w:rPr>
      <w:instrText xml:space="preserve">PAGE  </w:instrText>
    </w:r>
    <w:r>
      <w:fldChar w:fldCharType="separate"/>
    </w:r>
    <w:r>
      <w:rPr>
        <w:rStyle w:val="23"/>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5</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4"/>
        <w:tab w:val="clear" w:pos="8306"/>
      </w:tabs>
      <w:rPr>
        <w:rFonts w:ascii="黑体" w:hAnsi="黑体" w:eastAsia="黑体"/>
      </w:rPr>
    </w:pPr>
    <w:r>
      <w:rPr>
        <w:rFonts w:ascii="黑体" w:hAnsi="黑体" w:eastAsia="黑体"/>
      </w:rPr>
      <w:t>T/CNIA XXXX-2018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tabs>
        <w:tab w:val="clear" w:pos="4154"/>
        <w:tab w:val="clear" w:pos="8306"/>
      </w:tabs>
      <w:rPr>
        <w:rFonts w:ascii="黑体" w:hAnsi="黑体" w:eastAsia="黑体"/>
      </w:rPr>
    </w:pPr>
    <w:r>
      <w:rPr>
        <w:rFonts w:ascii="黑体" w:hAnsi="黑体" w:eastAsia="黑体"/>
      </w:rPr>
      <w:t>T/CNIA XXXX-20</w:t>
    </w:r>
    <w:r>
      <w:rPr>
        <w:rFonts w:hint="eastAsia" w:ascii="黑体" w:hAnsi="黑体" w:eastAsia="黑体"/>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1"/>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D1C44"/>
    <w:multiLevelType w:val="multilevel"/>
    <w:tmpl w:val="417D1C4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FEE"/>
    <w:rsid w:val="00001AE1"/>
    <w:rsid w:val="00004C7F"/>
    <w:rsid w:val="0000535E"/>
    <w:rsid w:val="0001106B"/>
    <w:rsid w:val="000115D2"/>
    <w:rsid w:val="000126C9"/>
    <w:rsid w:val="00014012"/>
    <w:rsid w:val="0002129C"/>
    <w:rsid w:val="0002144E"/>
    <w:rsid w:val="000233E0"/>
    <w:rsid w:val="00023757"/>
    <w:rsid w:val="00034034"/>
    <w:rsid w:val="0003423A"/>
    <w:rsid w:val="000357CE"/>
    <w:rsid w:val="00035BBA"/>
    <w:rsid w:val="00036812"/>
    <w:rsid w:val="00037E79"/>
    <w:rsid w:val="0005165F"/>
    <w:rsid w:val="000544B6"/>
    <w:rsid w:val="000574E8"/>
    <w:rsid w:val="000626A5"/>
    <w:rsid w:val="00063CA6"/>
    <w:rsid w:val="00063FCE"/>
    <w:rsid w:val="00065145"/>
    <w:rsid w:val="00065F50"/>
    <w:rsid w:val="000676C2"/>
    <w:rsid w:val="00067802"/>
    <w:rsid w:val="00070A16"/>
    <w:rsid w:val="0007663A"/>
    <w:rsid w:val="00077B6B"/>
    <w:rsid w:val="000819AC"/>
    <w:rsid w:val="000909CD"/>
    <w:rsid w:val="000969E2"/>
    <w:rsid w:val="000A2593"/>
    <w:rsid w:val="000A3F53"/>
    <w:rsid w:val="000A57B5"/>
    <w:rsid w:val="000B61FB"/>
    <w:rsid w:val="000C6622"/>
    <w:rsid w:val="000C782C"/>
    <w:rsid w:val="000D5605"/>
    <w:rsid w:val="000D6B89"/>
    <w:rsid w:val="000E25F6"/>
    <w:rsid w:val="000E2F92"/>
    <w:rsid w:val="000E3809"/>
    <w:rsid w:val="000E5F59"/>
    <w:rsid w:val="000E65E5"/>
    <w:rsid w:val="000F3965"/>
    <w:rsid w:val="000F6084"/>
    <w:rsid w:val="000F610A"/>
    <w:rsid w:val="000F7954"/>
    <w:rsid w:val="00105FB9"/>
    <w:rsid w:val="001104DD"/>
    <w:rsid w:val="00111700"/>
    <w:rsid w:val="001125D5"/>
    <w:rsid w:val="0011419F"/>
    <w:rsid w:val="00115647"/>
    <w:rsid w:val="001162C1"/>
    <w:rsid w:val="00121750"/>
    <w:rsid w:val="001228FB"/>
    <w:rsid w:val="00124FA4"/>
    <w:rsid w:val="00124FFD"/>
    <w:rsid w:val="0012640C"/>
    <w:rsid w:val="00126FC6"/>
    <w:rsid w:val="00130C11"/>
    <w:rsid w:val="00130D9B"/>
    <w:rsid w:val="001344ED"/>
    <w:rsid w:val="00137783"/>
    <w:rsid w:val="00145A78"/>
    <w:rsid w:val="001469AD"/>
    <w:rsid w:val="001479BF"/>
    <w:rsid w:val="001507FA"/>
    <w:rsid w:val="00155B88"/>
    <w:rsid w:val="0015713B"/>
    <w:rsid w:val="001652A1"/>
    <w:rsid w:val="00165875"/>
    <w:rsid w:val="0016636E"/>
    <w:rsid w:val="00172A27"/>
    <w:rsid w:val="00173AA7"/>
    <w:rsid w:val="0017600B"/>
    <w:rsid w:val="00181961"/>
    <w:rsid w:val="00183EBF"/>
    <w:rsid w:val="0018441A"/>
    <w:rsid w:val="00191EDF"/>
    <w:rsid w:val="00191FE6"/>
    <w:rsid w:val="00192E24"/>
    <w:rsid w:val="001951E0"/>
    <w:rsid w:val="001A1BC6"/>
    <w:rsid w:val="001A2E1B"/>
    <w:rsid w:val="001A5860"/>
    <w:rsid w:val="001B0AB7"/>
    <w:rsid w:val="001C00DC"/>
    <w:rsid w:val="001C0D50"/>
    <w:rsid w:val="001C1744"/>
    <w:rsid w:val="001C3EDF"/>
    <w:rsid w:val="001C5A36"/>
    <w:rsid w:val="001C7935"/>
    <w:rsid w:val="001D03BC"/>
    <w:rsid w:val="001D11D3"/>
    <w:rsid w:val="001D48D3"/>
    <w:rsid w:val="001E2EFB"/>
    <w:rsid w:val="001E518D"/>
    <w:rsid w:val="001F3607"/>
    <w:rsid w:val="001F37BE"/>
    <w:rsid w:val="001F439B"/>
    <w:rsid w:val="00202E1C"/>
    <w:rsid w:val="00203D4E"/>
    <w:rsid w:val="00215E22"/>
    <w:rsid w:val="002217ED"/>
    <w:rsid w:val="0022194B"/>
    <w:rsid w:val="002416EE"/>
    <w:rsid w:val="002477E1"/>
    <w:rsid w:val="00255760"/>
    <w:rsid w:val="00255AEF"/>
    <w:rsid w:val="00261D0A"/>
    <w:rsid w:val="0026442F"/>
    <w:rsid w:val="00265855"/>
    <w:rsid w:val="00277597"/>
    <w:rsid w:val="00280895"/>
    <w:rsid w:val="00293F10"/>
    <w:rsid w:val="00293F98"/>
    <w:rsid w:val="002A140C"/>
    <w:rsid w:val="002A1E88"/>
    <w:rsid w:val="002B1480"/>
    <w:rsid w:val="002B1D06"/>
    <w:rsid w:val="002B553E"/>
    <w:rsid w:val="002C0176"/>
    <w:rsid w:val="002C4CBE"/>
    <w:rsid w:val="002C51E0"/>
    <w:rsid w:val="002C6B80"/>
    <w:rsid w:val="002C7890"/>
    <w:rsid w:val="002D2732"/>
    <w:rsid w:val="002D3A4F"/>
    <w:rsid w:val="002D4C23"/>
    <w:rsid w:val="002D56BD"/>
    <w:rsid w:val="002E14FC"/>
    <w:rsid w:val="002E33CD"/>
    <w:rsid w:val="002E3E1C"/>
    <w:rsid w:val="002E419E"/>
    <w:rsid w:val="002E4361"/>
    <w:rsid w:val="002E5943"/>
    <w:rsid w:val="002E731E"/>
    <w:rsid w:val="002F4DC6"/>
    <w:rsid w:val="00301071"/>
    <w:rsid w:val="00301218"/>
    <w:rsid w:val="00301A73"/>
    <w:rsid w:val="00303018"/>
    <w:rsid w:val="0030538A"/>
    <w:rsid w:val="00307193"/>
    <w:rsid w:val="003123ED"/>
    <w:rsid w:val="00312A0F"/>
    <w:rsid w:val="00313CED"/>
    <w:rsid w:val="00317F2F"/>
    <w:rsid w:val="00321CCF"/>
    <w:rsid w:val="0033124D"/>
    <w:rsid w:val="0033283A"/>
    <w:rsid w:val="00335F6B"/>
    <w:rsid w:val="00337611"/>
    <w:rsid w:val="00341F70"/>
    <w:rsid w:val="003429C5"/>
    <w:rsid w:val="00343D21"/>
    <w:rsid w:val="00347266"/>
    <w:rsid w:val="00347919"/>
    <w:rsid w:val="00353307"/>
    <w:rsid w:val="00357EE1"/>
    <w:rsid w:val="00362DAE"/>
    <w:rsid w:val="00363008"/>
    <w:rsid w:val="003665DB"/>
    <w:rsid w:val="003666C7"/>
    <w:rsid w:val="0037026B"/>
    <w:rsid w:val="00384933"/>
    <w:rsid w:val="00384F12"/>
    <w:rsid w:val="00392B07"/>
    <w:rsid w:val="00393D67"/>
    <w:rsid w:val="00393F1F"/>
    <w:rsid w:val="00395306"/>
    <w:rsid w:val="003A1E6E"/>
    <w:rsid w:val="003A2B71"/>
    <w:rsid w:val="003A3986"/>
    <w:rsid w:val="003A5E57"/>
    <w:rsid w:val="003A5F39"/>
    <w:rsid w:val="003A65D6"/>
    <w:rsid w:val="003A6E06"/>
    <w:rsid w:val="003B1114"/>
    <w:rsid w:val="003B383A"/>
    <w:rsid w:val="003B4616"/>
    <w:rsid w:val="003B6227"/>
    <w:rsid w:val="003C28E9"/>
    <w:rsid w:val="003D0EE5"/>
    <w:rsid w:val="003D773B"/>
    <w:rsid w:val="003E0FF2"/>
    <w:rsid w:val="003E14D5"/>
    <w:rsid w:val="003E3C9B"/>
    <w:rsid w:val="003E515D"/>
    <w:rsid w:val="003F1711"/>
    <w:rsid w:val="003F3BB4"/>
    <w:rsid w:val="003F4AC1"/>
    <w:rsid w:val="003F5D43"/>
    <w:rsid w:val="00400417"/>
    <w:rsid w:val="00400813"/>
    <w:rsid w:val="004026C9"/>
    <w:rsid w:val="00403694"/>
    <w:rsid w:val="00403CF8"/>
    <w:rsid w:val="00404BBD"/>
    <w:rsid w:val="0041120E"/>
    <w:rsid w:val="004117DC"/>
    <w:rsid w:val="00413451"/>
    <w:rsid w:val="00414AB4"/>
    <w:rsid w:val="00416468"/>
    <w:rsid w:val="004205EA"/>
    <w:rsid w:val="00420B0B"/>
    <w:rsid w:val="00421763"/>
    <w:rsid w:val="00427B24"/>
    <w:rsid w:val="00431215"/>
    <w:rsid w:val="00434D77"/>
    <w:rsid w:val="004366F6"/>
    <w:rsid w:val="004408DF"/>
    <w:rsid w:val="0044437F"/>
    <w:rsid w:val="00444562"/>
    <w:rsid w:val="0044524A"/>
    <w:rsid w:val="0044678B"/>
    <w:rsid w:val="00446F9E"/>
    <w:rsid w:val="0045560B"/>
    <w:rsid w:val="0045658F"/>
    <w:rsid w:val="00456630"/>
    <w:rsid w:val="004571D9"/>
    <w:rsid w:val="004575CE"/>
    <w:rsid w:val="004613FA"/>
    <w:rsid w:val="00462866"/>
    <w:rsid w:val="00465833"/>
    <w:rsid w:val="00466A93"/>
    <w:rsid w:val="0047059C"/>
    <w:rsid w:val="004725CE"/>
    <w:rsid w:val="004740E9"/>
    <w:rsid w:val="00480117"/>
    <w:rsid w:val="0048341C"/>
    <w:rsid w:val="00487C07"/>
    <w:rsid w:val="0049057A"/>
    <w:rsid w:val="00496874"/>
    <w:rsid w:val="004A2121"/>
    <w:rsid w:val="004A513B"/>
    <w:rsid w:val="004A7B2D"/>
    <w:rsid w:val="004B46AB"/>
    <w:rsid w:val="004C1C78"/>
    <w:rsid w:val="004C4453"/>
    <w:rsid w:val="004D1619"/>
    <w:rsid w:val="004E15C9"/>
    <w:rsid w:val="004E1C9F"/>
    <w:rsid w:val="004E30C4"/>
    <w:rsid w:val="004E3BD7"/>
    <w:rsid w:val="004E3E7A"/>
    <w:rsid w:val="004E498C"/>
    <w:rsid w:val="004E60EC"/>
    <w:rsid w:val="004F13DD"/>
    <w:rsid w:val="004F1A77"/>
    <w:rsid w:val="004F2AE2"/>
    <w:rsid w:val="004F4161"/>
    <w:rsid w:val="004F4E0A"/>
    <w:rsid w:val="005007EB"/>
    <w:rsid w:val="005043E7"/>
    <w:rsid w:val="00504DB2"/>
    <w:rsid w:val="005059E8"/>
    <w:rsid w:val="00505B89"/>
    <w:rsid w:val="005074EA"/>
    <w:rsid w:val="00513B8D"/>
    <w:rsid w:val="005142C4"/>
    <w:rsid w:val="00520C78"/>
    <w:rsid w:val="005215CF"/>
    <w:rsid w:val="00521A0A"/>
    <w:rsid w:val="005221EE"/>
    <w:rsid w:val="005231AD"/>
    <w:rsid w:val="00525EE2"/>
    <w:rsid w:val="00526BC2"/>
    <w:rsid w:val="00533BDA"/>
    <w:rsid w:val="0053435E"/>
    <w:rsid w:val="005403B4"/>
    <w:rsid w:val="00541733"/>
    <w:rsid w:val="00542E04"/>
    <w:rsid w:val="00543CD0"/>
    <w:rsid w:val="0054542F"/>
    <w:rsid w:val="00545C13"/>
    <w:rsid w:val="00555572"/>
    <w:rsid w:val="005621F3"/>
    <w:rsid w:val="005633C3"/>
    <w:rsid w:val="00564AC4"/>
    <w:rsid w:val="00566D13"/>
    <w:rsid w:val="0057055B"/>
    <w:rsid w:val="005747F5"/>
    <w:rsid w:val="0058045B"/>
    <w:rsid w:val="00582790"/>
    <w:rsid w:val="00583B33"/>
    <w:rsid w:val="00585058"/>
    <w:rsid w:val="005866C9"/>
    <w:rsid w:val="00590E76"/>
    <w:rsid w:val="005926EF"/>
    <w:rsid w:val="00592FBB"/>
    <w:rsid w:val="005A0A4B"/>
    <w:rsid w:val="005A425F"/>
    <w:rsid w:val="005A7AE3"/>
    <w:rsid w:val="005B47D6"/>
    <w:rsid w:val="005B4D1D"/>
    <w:rsid w:val="005B5292"/>
    <w:rsid w:val="005C2439"/>
    <w:rsid w:val="005C2BEE"/>
    <w:rsid w:val="005C435D"/>
    <w:rsid w:val="005C453B"/>
    <w:rsid w:val="005C638B"/>
    <w:rsid w:val="005D066D"/>
    <w:rsid w:val="005D150E"/>
    <w:rsid w:val="005D21D4"/>
    <w:rsid w:val="005D2EC8"/>
    <w:rsid w:val="005D34E8"/>
    <w:rsid w:val="005D38CB"/>
    <w:rsid w:val="005D475E"/>
    <w:rsid w:val="005D6474"/>
    <w:rsid w:val="005E5764"/>
    <w:rsid w:val="005E7CF8"/>
    <w:rsid w:val="005F3AAF"/>
    <w:rsid w:val="00601462"/>
    <w:rsid w:val="006019C5"/>
    <w:rsid w:val="0060564B"/>
    <w:rsid w:val="0061068E"/>
    <w:rsid w:val="006168DE"/>
    <w:rsid w:val="00620B00"/>
    <w:rsid w:val="00623464"/>
    <w:rsid w:val="0062557E"/>
    <w:rsid w:val="00627998"/>
    <w:rsid w:val="00630705"/>
    <w:rsid w:val="00632438"/>
    <w:rsid w:val="00635733"/>
    <w:rsid w:val="00636936"/>
    <w:rsid w:val="0063779A"/>
    <w:rsid w:val="00640E0A"/>
    <w:rsid w:val="006504CD"/>
    <w:rsid w:val="00651406"/>
    <w:rsid w:val="00653217"/>
    <w:rsid w:val="006610C3"/>
    <w:rsid w:val="0066503E"/>
    <w:rsid w:val="00667C69"/>
    <w:rsid w:val="00680917"/>
    <w:rsid w:val="0068482F"/>
    <w:rsid w:val="006849D8"/>
    <w:rsid w:val="006868A4"/>
    <w:rsid w:val="00690DDA"/>
    <w:rsid w:val="0069380B"/>
    <w:rsid w:val="00697382"/>
    <w:rsid w:val="006A1D53"/>
    <w:rsid w:val="006A61DD"/>
    <w:rsid w:val="006B15F0"/>
    <w:rsid w:val="006B6BE8"/>
    <w:rsid w:val="006B73DB"/>
    <w:rsid w:val="006C23FD"/>
    <w:rsid w:val="006C2B5B"/>
    <w:rsid w:val="006D0B67"/>
    <w:rsid w:val="006D396F"/>
    <w:rsid w:val="006D5CB6"/>
    <w:rsid w:val="006D744E"/>
    <w:rsid w:val="006D7E07"/>
    <w:rsid w:val="006E3CD2"/>
    <w:rsid w:val="006E558D"/>
    <w:rsid w:val="006E7138"/>
    <w:rsid w:val="006E77ED"/>
    <w:rsid w:val="006E797B"/>
    <w:rsid w:val="006E7F70"/>
    <w:rsid w:val="006F0996"/>
    <w:rsid w:val="006F3472"/>
    <w:rsid w:val="006F3E65"/>
    <w:rsid w:val="007016E1"/>
    <w:rsid w:val="00702FE1"/>
    <w:rsid w:val="00704641"/>
    <w:rsid w:val="007054A5"/>
    <w:rsid w:val="00705ABD"/>
    <w:rsid w:val="007101B7"/>
    <w:rsid w:val="007121F2"/>
    <w:rsid w:val="00712F96"/>
    <w:rsid w:val="007130A2"/>
    <w:rsid w:val="007134DC"/>
    <w:rsid w:val="00714887"/>
    <w:rsid w:val="00715087"/>
    <w:rsid w:val="00717832"/>
    <w:rsid w:val="0072691A"/>
    <w:rsid w:val="00726CDC"/>
    <w:rsid w:val="0073042C"/>
    <w:rsid w:val="00733325"/>
    <w:rsid w:val="00735076"/>
    <w:rsid w:val="00737564"/>
    <w:rsid w:val="00737626"/>
    <w:rsid w:val="007378D9"/>
    <w:rsid w:val="007454E1"/>
    <w:rsid w:val="007463BA"/>
    <w:rsid w:val="00753590"/>
    <w:rsid w:val="00754DD3"/>
    <w:rsid w:val="00755793"/>
    <w:rsid w:val="0076237E"/>
    <w:rsid w:val="00762F1A"/>
    <w:rsid w:val="00765BE4"/>
    <w:rsid w:val="00770C9B"/>
    <w:rsid w:val="00781E64"/>
    <w:rsid w:val="00783753"/>
    <w:rsid w:val="007879C1"/>
    <w:rsid w:val="0079010B"/>
    <w:rsid w:val="0079069F"/>
    <w:rsid w:val="00791FCF"/>
    <w:rsid w:val="00793994"/>
    <w:rsid w:val="00796F78"/>
    <w:rsid w:val="007B06F6"/>
    <w:rsid w:val="007B0BAA"/>
    <w:rsid w:val="007B6428"/>
    <w:rsid w:val="007B7908"/>
    <w:rsid w:val="007C0389"/>
    <w:rsid w:val="007C0B96"/>
    <w:rsid w:val="007C48ED"/>
    <w:rsid w:val="007C5B77"/>
    <w:rsid w:val="007C5C8F"/>
    <w:rsid w:val="007C63DF"/>
    <w:rsid w:val="007D0833"/>
    <w:rsid w:val="007D2558"/>
    <w:rsid w:val="007E19C3"/>
    <w:rsid w:val="007E5A58"/>
    <w:rsid w:val="007E60F6"/>
    <w:rsid w:val="007E6238"/>
    <w:rsid w:val="007F2C57"/>
    <w:rsid w:val="007F49A1"/>
    <w:rsid w:val="007F4D73"/>
    <w:rsid w:val="007F7224"/>
    <w:rsid w:val="00801757"/>
    <w:rsid w:val="00806D0C"/>
    <w:rsid w:val="008126B7"/>
    <w:rsid w:val="008147EE"/>
    <w:rsid w:val="008208BC"/>
    <w:rsid w:val="0082268C"/>
    <w:rsid w:val="008233E3"/>
    <w:rsid w:val="008268D7"/>
    <w:rsid w:val="00830CC0"/>
    <w:rsid w:val="008313AA"/>
    <w:rsid w:val="0083571C"/>
    <w:rsid w:val="008362C9"/>
    <w:rsid w:val="00836909"/>
    <w:rsid w:val="008423F9"/>
    <w:rsid w:val="008431B1"/>
    <w:rsid w:val="00845D37"/>
    <w:rsid w:val="008503EB"/>
    <w:rsid w:val="0085483E"/>
    <w:rsid w:val="008553E9"/>
    <w:rsid w:val="00860E31"/>
    <w:rsid w:val="008612D9"/>
    <w:rsid w:val="00861D7F"/>
    <w:rsid w:val="00861E8E"/>
    <w:rsid w:val="008661EC"/>
    <w:rsid w:val="00867BA1"/>
    <w:rsid w:val="00867EE8"/>
    <w:rsid w:val="00872286"/>
    <w:rsid w:val="00873BC9"/>
    <w:rsid w:val="00876F1D"/>
    <w:rsid w:val="008773F7"/>
    <w:rsid w:val="00880C63"/>
    <w:rsid w:val="008810EB"/>
    <w:rsid w:val="0089010D"/>
    <w:rsid w:val="00891F35"/>
    <w:rsid w:val="00893EC5"/>
    <w:rsid w:val="008960FA"/>
    <w:rsid w:val="00896689"/>
    <w:rsid w:val="00896E9A"/>
    <w:rsid w:val="008A2C76"/>
    <w:rsid w:val="008A3720"/>
    <w:rsid w:val="008A3E8E"/>
    <w:rsid w:val="008A55E5"/>
    <w:rsid w:val="008A5B1A"/>
    <w:rsid w:val="008A6E66"/>
    <w:rsid w:val="008B5B5E"/>
    <w:rsid w:val="008B66F1"/>
    <w:rsid w:val="008C269D"/>
    <w:rsid w:val="008C771F"/>
    <w:rsid w:val="008D008A"/>
    <w:rsid w:val="008D20C2"/>
    <w:rsid w:val="008D3181"/>
    <w:rsid w:val="008D4B99"/>
    <w:rsid w:val="008D52FA"/>
    <w:rsid w:val="008D5767"/>
    <w:rsid w:val="008D6714"/>
    <w:rsid w:val="008D7FC1"/>
    <w:rsid w:val="008E4530"/>
    <w:rsid w:val="008F073A"/>
    <w:rsid w:val="008F4052"/>
    <w:rsid w:val="008F7E02"/>
    <w:rsid w:val="00911396"/>
    <w:rsid w:val="00913ADE"/>
    <w:rsid w:val="00920D7E"/>
    <w:rsid w:val="00924E8A"/>
    <w:rsid w:val="009251C6"/>
    <w:rsid w:val="0092614A"/>
    <w:rsid w:val="009277A6"/>
    <w:rsid w:val="00927807"/>
    <w:rsid w:val="00927A8F"/>
    <w:rsid w:val="00933C30"/>
    <w:rsid w:val="00944A52"/>
    <w:rsid w:val="00947503"/>
    <w:rsid w:val="00951B08"/>
    <w:rsid w:val="009532DD"/>
    <w:rsid w:val="00956408"/>
    <w:rsid w:val="00961657"/>
    <w:rsid w:val="0096266B"/>
    <w:rsid w:val="00967105"/>
    <w:rsid w:val="0097166C"/>
    <w:rsid w:val="009735A3"/>
    <w:rsid w:val="00973605"/>
    <w:rsid w:val="009738C3"/>
    <w:rsid w:val="009763DA"/>
    <w:rsid w:val="00976DEF"/>
    <w:rsid w:val="00980C5A"/>
    <w:rsid w:val="00981A1F"/>
    <w:rsid w:val="00982F12"/>
    <w:rsid w:val="00983280"/>
    <w:rsid w:val="00984705"/>
    <w:rsid w:val="00984E85"/>
    <w:rsid w:val="00985060"/>
    <w:rsid w:val="0098693C"/>
    <w:rsid w:val="00994C1C"/>
    <w:rsid w:val="009956B7"/>
    <w:rsid w:val="009A3A9C"/>
    <w:rsid w:val="009A68D7"/>
    <w:rsid w:val="009B26A7"/>
    <w:rsid w:val="009B3EF8"/>
    <w:rsid w:val="009C1B66"/>
    <w:rsid w:val="009C5D9F"/>
    <w:rsid w:val="009C6DEF"/>
    <w:rsid w:val="009C786D"/>
    <w:rsid w:val="009D0B44"/>
    <w:rsid w:val="009D4E09"/>
    <w:rsid w:val="009D64B5"/>
    <w:rsid w:val="009D73E1"/>
    <w:rsid w:val="009E4166"/>
    <w:rsid w:val="009E5C56"/>
    <w:rsid w:val="009E7121"/>
    <w:rsid w:val="009F1CB7"/>
    <w:rsid w:val="00A058EE"/>
    <w:rsid w:val="00A05929"/>
    <w:rsid w:val="00A10D6F"/>
    <w:rsid w:val="00A12736"/>
    <w:rsid w:val="00A14924"/>
    <w:rsid w:val="00A1714C"/>
    <w:rsid w:val="00A20802"/>
    <w:rsid w:val="00A31DD9"/>
    <w:rsid w:val="00A407AF"/>
    <w:rsid w:val="00A50283"/>
    <w:rsid w:val="00A5349E"/>
    <w:rsid w:val="00A56F12"/>
    <w:rsid w:val="00A605B5"/>
    <w:rsid w:val="00A60658"/>
    <w:rsid w:val="00A62167"/>
    <w:rsid w:val="00A7659E"/>
    <w:rsid w:val="00A77669"/>
    <w:rsid w:val="00A80E47"/>
    <w:rsid w:val="00A81331"/>
    <w:rsid w:val="00A9615A"/>
    <w:rsid w:val="00A96FB4"/>
    <w:rsid w:val="00A97DED"/>
    <w:rsid w:val="00AA19E4"/>
    <w:rsid w:val="00AA3CB6"/>
    <w:rsid w:val="00AA7BDF"/>
    <w:rsid w:val="00AB2BC7"/>
    <w:rsid w:val="00AC1A86"/>
    <w:rsid w:val="00AD2EA1"/>
    <w:rsid w:val="00AD43E3"/>
    <w:rsid w:val="00AD550A"/>
    <w:rsid w:val="00AD7793"/>
    <w:rsid w:val="00AE0D1B"/>
    <w:rsid w:val="00AE2C22"/>
    <w:rsid w:val="00AE3EBB"/>
    <w:rsid w:val="00AF2FC1"/>
    <w:rsid w:val="00AF3F7F"/>
    <w:rsid w:val="00B00A15"/>
    <w:rsid w:val="00B0118D"/>
    <w:rsid w:val="00B03574"/>
    <w:rsid w:val="00B04DBD"/>
    <w:rsid w:val="00B0522F"/>
    <w:rsid w:val="00B078B0"/>
    <w:rsid w:val="00B07A34"/>
    <w:rsid w:val="00B11438"/>
    <w:rsid w:val="00B14ED5"/>
    <w:rsid w:val="00B16B2F"/>
    <w:rsid w:val="00B2115E"/>
    <w:rsid w:val="00B2224D"/>
    <w:rsid w:val="00B23399"/>
    <w:rsid w:val="00B24E28"/>
    <w:rsid w:val="00B256E4"/>
    <w:rsid w:val="00B2776A"/>
    <w:rsid w:val="00B3351E"/>
    <w:rsid w:val="00B36031"/>
    <w:rsid w:val="00B46CE1"/>
    <w:rsid w:val="00B47CD3"/>
    <w:rsid w:val="00B52927"/>
    <w:rsid w:val="00B52C21"/>
    <w:rsid w:val="00B53E71"/>
    <w:rsid w:val="00B540A7"/>
    <w:rsid w:val="00B55E60"/>
    <w:rsid w:val="00B61E1D"/>
    <w:rsid w:val="00B701CC"/>
    <w:rsid w:val="00B72486"/>
    <w:rsid w:val="00B73C80"/>
    <w:rsid w:val="00B74302"/>
    <w:rsid w:val="00B74D6E"/>
    <w:rsid w:val="00B8030D"/>
    <w:rsid w:val="00B82658"/>
    <w:rsid w:val="00B83042"/>
    <w:rsid w:val="00B83889"/>
    <w:rsid w:val="00B90381"/>
    <w:rsid w:val="00B92350"/>
    <w:rsid w:val="00B92BF9"/>
    <w:rsid w:val="00B92F80"/>
    <w:rsid w:val="00B964D1"/>
    <w:rsid w:val="00BA10F1"/>
    <w:rsid w:val="00BA5903"/>
    <w:rsid w:val="00BB0368"/>
    <w:rsid w:val="00BB12F6"/>
    <w:rsid w:val="00BB1401"/>
    <w:rsid w:val="00BC1FC6"/>
    <w:rsid w:val="00BC3773"/>
    <w:rsid w:val="00BC5F41"/>
    <w:rsid w:val="00BD4A24"/>
    <w:rsid w:val="00BD4CBB"/>
    <w:rsid w:val="00BD73EC"/>
    <w:rsid w:val="00BD7A34"/>
    <w:rsid w:val="00BE4056"/>
    <w:rsid w:val="00BE5857"/>
    <w:rsid w:val="00BE65F2"/>
    <w:rsid w:val="00BE77D3"/>
    <w:rsid w:val="00BF7210"/>
    <w:rsid w:val="00C00D4E"/>
    <w:rsid w:val="00C04C25"/>
    <w:rsid w:val="00C07577"/>
    <w:rsid w:val="00C11C34"/>
    <w:rsid w:val="00C13A3C"/>
    <w:rsid w:val="00C20DEE"/>
    <w:rsid w:val="00C22783"/>
    <w:rsid w:val="00C30A61"/>
    <w:rsid w:val="00C33AD6"/>
    <w:rsid w:val="00C3634F"/>
    <w:rsid w:val="00C41910"/>
    <w:rsid w:val="00C4597C"/>
    <w:rsid w:val="00C47355"/>
    <w:rsid w:val="00C50BDC"/>
    <w:rsid w:val="00C514FD"/>
    <w:rsid w:val="00C53D5E"/>
    <w:rsid w:val="00C54892"/>
    <w:rsid w:val="00C57455"/>
    <w:rsid w:val="00C625AD"/>
    <w:rsid w:val="00C641F6"/>
    <w:rsid w:val="00C64A4A"/>
    <w:rsid w:val="00C654FF"/>
    <w:rsid w:val="00C72435"/>
    <w:rsid w:val="00C86211"/>
    <w:rsid w:val="00C86339"/>
    <w:rsid w:val="00C91BDB"/>
    <w:rsid w:val="00C923E1"/>
    <w:rsid w:val="00C96653"/>
    <w:rsid w:val="00C97C17"/>
    <w:rsid w:val="00CA046A"/>
    <w:rsid w:val="00CA3470"/>
    <w:rsid w:val="00CA5226"/>
    <w:rsid w:val="00CB03F1"/>
    <w:rsid w:val="00CB0589"/>
    <w:rsid w:val="00CB249D"/>
    <w:rsid w:val="00CC0954"/>
    <w:rsid w:val="00CC5703"/>
    <w:rsid w:val="00CC5E29"/>
    <w:rsid w:val="00CC7836"/>
    <w:rsid w:val="00CC7866"/>
    <w:rsid w:val="00CD1E4A"/>
    <w:rsid w:val="00CD3232"/>
    <w:rsid w:val="00CD3BF0"/>
    <w:rsid w:val="00CD3E7C"/>
    <w:rsid w:val="00CD5E3E"/>
    <w:rsid w:val="00CD6D43"/>
    <w:rsid w:val="00CE07C4"/>
    <w:rsid w:val="00CE188D"/>
    <w:rsid w:val="00CE254A"/>
    <w:rsid w:val="00CE2736"/>
    <w:rsid w:val="00CE5135"/>
    <w:rsid w:val="00CE5D28"/>
    <w:rsid w:val="00CE6C68"/>
    <w:rsid w:val="00CE733C"/>
    <w:rsid w:val="00CF279E"/>
    <w:rsid w:val="00CF30C9"/>
    <w:rsid w:val="00CF4C0D"/>
    <w:rsid w:val="00CF4F13"/>
    <w:rsid w:val="00D03E18"/>
    <w:rsid w:val="00D06AEF"/>
    <w:rsid w:val="00D07230"/>
    <w:rsid w:val="00D11A95"/>
    <w:rsid w:val="00D139A2"/>
    <w:rsid w:val="00D17B96"/>
    <w:rsid w:val="00D17F88"/>
    <w:rsid w:val="00D236B7"/>
    <w:rsid w:val="00D30B80"/>
    <w:rsid w:val="00D35624"/>
    <w:rsid w:val="00D35B0A"/>
    <w:rsid w:val="00D415A7"/>
    <w:rsid w:val="00D456C0"/>
    <w:rsid w:val="00D5193C"/>
    <w:rsid w:val="00D54807"/>
    <w:rsid w:val="00D55832"/>
    <w:rsid w:val="00D56B8C"/>
    <w:rsid w:val="00D61793"/>
    <w:rsid w:val="00D61A43"/>
    <w:rsid w:val="00D61AB5"/>
    <w:rsid w:val="00D61C9C"/>
    <w:rsid w:val="00D62D8D"/>
    <w:rsid w:val="00D70C2C"/>
    <w:rsid w:val="00D7106E"/>
    <w:rsid w:val="00D74E1C"/>
    <w:rsid w:val="00D8045A"/>
    <w:rsid w:val="00D8129C"/>
    <w:rsid w:val="00D903F6"/>
    <w:rsid w:val="00D9458E"/>
    <w:rsid w:val="00D949FD"/>
    <w:rsid w:val="00DA0B05"/>
    <w:rsid w:val="00DA0DC2"/>
    <w:rsid w:val="00DB5AE7"/>
    <w:rsid w:val="00DB7173"/>
    <w:rsid w:val="00DC11E3"/>
    <w:rsid w:val="00DC6F17"/>
    <w:rsid w:val="00DC7792"/>
    <w:rsid w:val="00DE235D"/>
    <w:rsid w:val="00DE73A6"/>
    <w:rsid w:val="00DF0142"/>
    <w:rsid w:val="00E00FA1"/>
    <w:rsid w:val="00E01F6B"/>
    <w:rsid w:val="00E037B2"/>
    <w:rsid w:val="00E03F26"/>
    <w:rsid w:val="00E0423E"/>
    <w:rsid w:val="00E0691E"/>
    <w:rsid w:val="00E07EA5"/>
    <w:rsid w:val="00E10EB1"/>
    <w:rsid w:val="00E179B8"/>
    <w:rsid w:val="00E20093"/>
    <w:rsid w:val="00E2135D"/>
    <w:rsid w:val="00E229E7"/>
    <w:rsid w:val="00E24393"/>
    <w:rsid w:val="00E2660F"/>
    <w:rsid w:val="00E26868"/>
    <w:rsid w:val="00E30224"/>
    <w:rsid w:val="00E30256"/>
    <w:rsid w:val="00E34EAC"/>
    <w:rsid w:val="00E368AD"/>
    <w:rsid w:val="00E404C3"/>
    <w:rsid w:val="00E413A2"/>
    <w:rsid w:val="00E5338E"/>
    <w:rsid w:val="00E603C1"/>
    <w:rsid w:val="00E60A91"/>
    <w:rsid w:val="00E60D0C"/>
    <w:rsid w:val="00E73CBB"/>
    <w:rsid w:val="00E74854"/>
    <w:rsid w:val="00E75BB5"/>
    <w:rsid w:val="00E76117"/>
    <w:rsid w:val="00E82187"/>
    <w:rsid w:val="00E82B0E"/>
    <w:rsid w:val="00E83183"/>
    <w:rsid w:val="00E84DD5"/>
    <w:rsid w:val="00E87E06"/>
    <w:rsid w:val="00E9149A"/>
    <w:rsid w:val="00E948EE"/>
    <w:rsid w:val="00E95269"/>
    <w:rsid w:val="00EA3752"/>
    <w:rsid w:val="00EA6AC0"/>
    <w:rsid w:val="00EA6D12"/>
    <w:rsid w:val="00EB38A2"/>
    <w:rsid w:val="00EC4F37"/>
    <w:rsid w:val="00EC72EE"/>
    <w:rsid w:val="00ED06B9"/>
    <w:rsid w:val="00ED3CC6"/>
    <w:rsid w:val="00ED76B1"/>
    <w:rsid w:val="00ED76E4"/>
    <w:rsid w:val="00ED798D"/>
    <w:rsid w:val="00EE171F"/>
    <w:rsid w:val="00EE375E"/>
    <w:rsid w:val="00EE758C"/>
    <w:rsid w:val="00EF0C28"/>
    <w:rsid w:val="00EF0D82"/>
    <w:rsid w:val="00EF5FC2"/>
    <w:rsid w:val="00EF6BF0"/>
    <w:rsid w:val="00EF7F20"/>
    <w:rsid w:val="00F022C2"/>
    <w:rsid w:val="00F03C8C"/>
    <w:rsid w:val="00F07D59"/>
    <w:rsid w:val="00F129D5"/>
    <w:rsid w:val="00F14DCA"/>
    <w:rsid w:val="00F1551B"/>
    <w:rsid w:val="00F16432"/>
    <w:rsid w:val="00F23D0D"/>
    <w:rsid w:val="00F33B87"/>
    <w:rsid w:val="00F33DA6"/>
    <w:rsid w:val="00F356EF"/>
    <w:rsid w:val="00F41B05"/>
    <w:rsid w:val="00F433D9"/>
    <w:rsid w:val="00F43D10"/>
    <w:rsid w:val="00F4657F"/>
    <w:rsid w:val="00F46812"/>
    <w:rsid w:val="00F47994"/>
    <w:rsid w:val="00F507D7"/>
    <w:rsid w:val="00F54C11"/>
    <w:rsid w:val="00F6163C"/>
    <w:rsid w:val="00F62DC5"/>
    <w:rsid w:val="00F643BC"/>
    <w:rsid w:val="00F65271"/>
    <w:rsid w:val="00F65AAA"/>
    <w:rsid w:val="00F70DC3"/>
    <w:rsid w:val="00F71C47"/>
    <w:rsid w:val="00F8024A"/>
    <w:rsid w:val="00F8328E"/>
    <w:rsid w:val="00F915D6"/>
    <w:rsid w:val="00F93542"/>
    <w:rsid w:val="00FA029E"/>
    <w:rsid w:val="00FA3BD0"/>
    <w:rsid w:val="00FA60F5"/>
    <w:rsid w:val="00FB04FE"/>
    <w:rsid w:val="00FC12AC"/>
    <w:rsid w:val="00FC295F"/>
    <w:rsid w:val="00FC59A0"/>
    <w:rsid w:val="00FC6DE1"/>
    <w:rsid w:val="00FD0DC2"/>
    <w:rsid w:val="00FD3BBE"/>
    <w:rsid w:val="00FD5202"/>
    <w:rsid w:val="00FE4BB6"/>
    <w:rsid w:val="00FE560C"/>
    <w:rsid w:val="00FF2CA8"/>
    <w:rsid w:val="00FF70C6"/>
    <w:rsid w:val="015D160A"/>
    <w:rsid w:val="041F5699"/>
    <w:rsid w:val="0C610FDC"/>
    <w:rsid w:val="112F4416"/>
    <w:rsid w:val="115B080A"/>
    <w:rsid w:val="17E94D6B"/>
    <w:rsid w:val="18214D25"/>
    <w:rsid w:val="184033FE"/>
    <w:rsid w:val="1EE96DF6"/>
    <w:rsid w:val="1F1B5E97"/>
    <w:rsid w:val="1FB50614"/>
    <w:rsid w:val="239C34C0"/>
    <w:rsid w:val="239D347E"/>
    <w:rsid w:val="2DDE1E4E"/>
    <w:rsid w:val="2EAD1222"/>
    <w:rsid w:val="330F5F53"/>
    <w:rsid w:val="37712C84"/>
    <w:rsid w:val="3A7B3F01"/>
    <w:rsid w:val="3BD479B6"/>
    <w:rsid w:val="3E8B4C84"/>
    <w:rsid w:val="3FBB6F9C"/>
    <w:rsid w:val="40007A90"/>
    <w:rsid w:val="446247C1"/>
    <w:rsid w:val="45AB7FDC"/>
    <w:rsid w:val="478430E5"/>
    <w:rsid w:val="48334182"/>
    <w:rsid w:val="4A4A4B72"/>
    <w:rsid w:val="4C2C4D07"/>
    <w:rsid w:val="4EB738BF"/>
    <w:rsid w:val="4FC77A71"/>
    <w:rsid w:val="50701184"/>
    <w:rsid w:val="547D5153"/>
    <w:rsid w:val="588C14D4"/>
    <w:rsid w:val="5A412822"/>
    <w:rsid w:val="5D585C63"/>
    <w:rsid w:val="60E47FBF"/>
    <w:rsid w:val="611B62E0"/>
    <w:rsid w:val="641E1DD0"/>
    <w:rsid w:val="6489147F"/>
    <w:rsid w:val="6B6433C1"/>
    <w:rsid w:val="6C784183"/>
    <w:rsid w:val="6CAE3B68"/>
    <w:rsid w:val="6CBC5B71"/>
    <w:rsid w:val="72B84BC2"/>
    <w:rsid w:val="757F0C6D"/>
    <w:rsid w:val="78106988"/>
    <w:rsid w:val="7CEE6886"/>
    <w:rsid w:val="7D152EC3"/>
    <w:rsid w:val="7F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71"/>
        <o:r id="V:Rule2" type="connector" idref="#_x0000_s2075"/>
        <o:r id="V:Rule3" type="connector" idref="#_x0000_s2078"/>
        <o:r id="V:Rule4" type="connector" idref="#_x0000_s2080"/>
        <o:r id="V:Rule5" type="connector" idref="#_x0000_s2082"/>
        <o:r id="V:Rule6" type="connector" idref="#_x0000_s2084"/>
        <o:r id="V:Rule7" type="connector" idref="#_x0000_s2085"/>
        <o:r id="V:Rule8" type="connector" idref="#_x0000_s2086"/>
        <o:r id="V:Rule9" type="connector" idref="#_x0000_s2087"/>
        <o:r id="V:Rule10" type="connector" idref="#_x0000_s209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38"/>
    <w:qFormat/>
    <w:uiPriority w:val="9"/>
    <w:pPr>
      <w:keepNext/>
      <w:keepLines/>
      <w:spacing w:before="260" w:after="260" w:line="416" w:lineRule="auto"/>
      <w:outlineLvl w:val="2"/>
    </w:pPr>
    <w:rPr>
      <w:b/>
      <w:bCs/>
      <w:sz w:val="32"/>
      <w:szCs w:val="32"/>
    </w:rPr>
  </w:style>
  <w:style w:type="paragraph" w:styleId="5">
    <w:name w:val="heading 4"/>
    <w:basedOn w:val="1"/>
    <w:next w:val="1"/>
    <w:link w:val="35"/>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48"/>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40"/>
    <w:unhideWhenUsed/>
    <w:qFormat/>
    <w:uiPriority w:val="99"/>
    <w:pPr>
      <w:spacing w:line="312" w:lineRule="auto"/>
      <w:ind w:firstLine="200" w:firstLineChars="200"/>
    </w:pPr>
    <w:rPr>
      <w:rFonts w:ascii="宋体"/>
      <w:kern w:val="0"/>
      <w:sz w:val="18"/>
      <w:szCs w:val="18"/>
    </w:rPr>
  </w:style>
  <w:style w:type="paragraph" w:styleId="8">
    <w:name w:val="annotation text"/>
    <w:basedOn w:val="1"/>
    <w:link w:val="42"/>
    <w:unhideWhenUsed/>
    <w:qFormat/>
    <w:uiPriority w:val="99"/>
    <w:pPr>
      <w:spacing w:line="312" w:lineRule="auto"/>
      <w:ind w:firstLine="200" w:firstLineChars="200"/>
      <w:jc w:val="left"/>
    </w:pPr>
    <w:rPr>
      <w:kern w:val="0"/>
      <w:sz w:val="24"/>
      <w:szCs w:val="20"/>
    </w:rPr>
  </w:style>
  <w:style w:type="paragraph" w:styleId="9">
    <w:name w:val="Body Text"/>
    <w:basedOn w:val="1"/>
    <w:qFormat/>
    <w:uiPriority w:val="0"/>
    <w:pPr>
      <w:spacing w:after="120"/>
    </w:pPr>
  </w:style>
  <w:style w:type="paragraph" w:styleId="10">
    <w:name w:val="List Bullet 2"/>
    <w:basedOn w:val="1"/>
    <w:qFormat/>
    <w:uiPriority w:val="0"/>
    <w:pPr>
      <w:tabs>
        <w:tab w:val="left" w:pos="780"/>
      </w:tabs>
    </w:pPr>
  </w:style>
  <w:style w:type="paragraph" w:styleId="11">
    <w:name w:val="toc 3"/>
    <w:basedOn w:val="1"/>
    <w:next w:val="1"/>
    <w:unhideWhenUsed/>
    <w:qFormat/>
    <w:uiPriority w:val="39"/>
    <w:pPr>
      <w:spacing w:line="312" w:lineRule="auto"/>
      <w:ind w:left="840" w:leftChars="400" w:firstLine="200" w:firstLineChars="200"/>
    </w:pPr>
    <w:rPr>
      <w:rFonts w:ascii="宋体"/>
      <w:szCs w:val="22"/>
    </w:rPr>
  </w:style>
  <w:style w:type="paragraph" w:styleId="12">
    <w:name w:val="Date"/>
    <w:basedOn w:val="1"/>
    <w:next w:val="1"/>
    <w:link w:val="37"/>
    <w:qFormat/>
    <w:uiPriority w:val="99"/>
    <w:pPr>
      <w:ind w:left="100" w:leftChars="2500"/>
    </w:pPr>
  </w:style>
  <w:style w:type="paragraph" w:styleId="13">
    <w:name w:val="Balloon Text"/>
    <w:basedOn w:val="1"/>
    <w:link w:val="56"/>
    <w:unhideWhenUsed/>
    <w:qFormat/>
    <w:uiPriority w:val="99"/>
    <w:pPr>
      <w:spacing w:line="312" w:lineRule="auto"/>
      <w:ind w:firstLine="200" w:firstLineChars="200"/>
    </w:pPr>
    <w:rPr>
      <w:kern w:val="0"/>
      <w:sz w:val="18"/>
      <w:szCs w:val="18"/>
    </w:rPr>
  </w:style>
  <w:style w:type="paragraph" w:styleId="14">
    <w:name w:val="footer"/>
    <w:basedOn w:val="1"/>
    <w:link w:val="45"/>
    <w:qFormat/>
    <w:uiPriority w:val="99"/>
    <w:pPr>
      <w:tabs>
        <w:tab w:val="center" w:pos="4153"/>
        <w:tab w:val="right" w:pos="8306"/>
      </w:tabs>
      <w:snapToGrid w:val="0"/>
      <w:jc w:val="left"/>
    </w:pPr>
    <w:rPr>
      <w:sz w:val="18"/>
      <w:szCs w:val="18"/>
    </w:rPr>
  </w:style>
  <w:style w:type="paragraph" w:styleId="15">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szCs w:val="22"/>
    </w:rPr>
  </w:style>
  <w:style w:type="paragraph" w:styleId="17">
    <w:name w:val="toc 2"/>
    <w:basedOn w:val="1"/>
    <w:next w:val="1"/>
    <w:unhideWhenUsed/>
    <w:qFormat/>
    <w:uiPriority w:val="39"/>
    <w:pPr>
      <w:spacing w:line="312" w:lineRule="auto"/>
      <w:ind w:left="420" w:leftChars="200" w:firstLine="200" w:firstLineChars="200"/>
    </w:pPr>
    <w:rPr>
      <w:rFonts w:ascii="宋体"/>
      <w:szCs w:val="22"/>
    </w:rPr>
  </w:style>
  <w:style w:type="paragraph" w:styleId="18">
    <w:name w:val="Title"/>
    <w:basedOn w:val="1"/>
    <w:next w:val="1"/>
    <w:link w:val="33"/>
    <w:qFormat/>
    <w:uiPriority w:val="0"/>
    <w:pPr>
      <w:spacing w:before="240" w:after="60"/>
      <w:jc w:val="center"/>
      <w:outlineLvl w:val="0"/>
    </w:pPr>
    <w:rPr>
      <w:rFonts w:ascii="Cambria" w:hAnsi="Cambria"/>
      <w:b/>
      <w:bCs/>
      <w:sz w:val="32"/>
      <w:szCs w:val="32"/>
    </w:rPr>
  </w:style>
  <w:style w:type="paragraph" w:styleId="19">
    <w:name w:val="annotation subject"/>
    <w:basedOn w:val="8"/>
    <w:next w:val="8"/>
    <w:link w:val="54"/>
    <w:unhideWhenUsed/>
    <w:qFormat/>
    <w:uiPriority w:val="99"/>
    <w:rPr>
      <w:b/>
      <w:bCs/>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iPriority w:val="0"/>
  </w:style>
  <w:style w:type="character" w:styleId="24">
    <w:name w:val="Hyperlink"/>
    <w:basedOn w:val="22"/>
    <w:qFormat/>
    <w:uiPriority w:val="99"/>
    <w:rPr>
      <w:color w:val="0000FF"/>
      <w:u w:val="single"/>
    </w:rPr>
  </w:style>
  <w:style w:type="character" w:styleId="25">
    <w:name w:val="annotation reference"/>
    <w:unhideWhenUsed/>
    <w:qFormat/>
    <w:uiPriority w:val="99"/>
    <w:rPr>
      <w:sz w:val="21"/>
      <w:szCs w:val="21"/>
    </w:rPr>
  </w:style>
  <w:style w:type="character" w:customStyle="1" w:styleId="26">
    <w:name w:val="fontstyle21"/>
    <w:qFormat/>
    <w:uiPriority w:val="0"/>
    <w:rPr>
      <w:rFonts w:hint="eastAsia" w:ascii="宋体" w:hAnsi="宋体" w:eastAsia="宋体"/>
      <w:color w:val="000000"/>
      <w:sz w:val="22"/>
      <w:szCs w:val="22"/>
    </w:rPr>
  </w:style>
  <w:style w:type="character" w:customStyle="1" w:styleId="27">
    <w:name w:val="apple-converted-space"/>
    <w:basedOn w:val="22"/>
    <w:qFormat/>
    <w:uiPriority w:val="0"/>
  </w:style>
  <w:style w:type="character" w:customStyle="1" w:styleId="28">
    <w:name w:val="批注主题 Char1"/>
    <w:qFormat/>
    <w:uiPriority w:val="99"/>
    <w:rPr>
      <w:b/>
      <w:bCs/>
      <w:sz w:val="24"/>
    </w:rPr>
  </w:style>
  <w:style w:type="character" w:customStyle="1" w:styleId="29">
    <w:name w:val="fontstyle41"/>
    <w:qFormat/>
    <w:uiPriority w:val="0"/>
    <w:rPr>
      <w:rFonts w:hint="default" w:ascii="TimesNewRomanPSMT" w:hAnsi="TimesNewRomanPSMT"/>
      <w:color w:val="000000"/>
      <w:sz w:val="22"/>
      <w:szCs w:val="22"/>
    </w:rPr>
  </w:style>
  <w:style w:type="character" w:customStyle="1" w:styleId="30">
    <w:name w:val="标题 2 Char"/>
    <w:basedOn w:val="22"/>
    <w:link w:val="3"/>
    <w:qFormat/>
    <w:uiPriority w:val="0"/>
    <w:rPr>
      <w:rFonts w:ascii="Cambria" w:hAnsi="Cambria" w:eastAsia="宋体" w:cs="Times New Roman"/>
      <w:b/>
      <w:bCs/>
      <w:kern w:val="2"/>
      <w:sz w:val="32"/>
      <w:szCs w:val="32"/>
    </w:rPr>
  </w:style>
  <w:style w:type="character" w:customStyle="1" w:styleId="31">
    <w:name w:val="fontstyle71"/>
    <w:qFormat/>
    <w:uiPriority w:val="0"/>
    <w:rPr>
      <w:rFonts w:hint="default" w:ascii="E-BZ-PK7482d0-Identity-H" w:hAnsi="E-BZ-PK7482d0-Identity-H"/>
      <w:color w:val="000000"/>
      <w:sz w:val="16"/>
      <w:szCs w:val="16"/>
    </w:rPr>
  </w:style>
  <w:style w:type="character" w:customStyle="1" w:styleId="32">
    <w:name w:val="文档结构图 Char"/>
    <w:basedOn w:val="22"/>
    <w:qFormat/>
    <w:uiPriority w:val="0"/>
    <w:rPr>
      <w:rFonts w:ascii="宋体"/>
      <w:kern w:val="2"/>
      <w:sz w:val="18"/>
      <w:szCs w:val="18"/>
    </w:rPr>
  </w:style>
  <w:style w:type="character" w:customStyle="1" w:styleId="33">
    <w:name w:val="标题 Char"/>
    <w:basedOn w:val="22"/>
    <w:link w:val="18"/>
    <w:qFormat/>
    <w:uiPriority w:val="0"/>
    <w:rPr>
      <w:rFonts w:ascii="Cambria" w:hAnsi="Cambria" w:cs="Times New Roman"/>
      <w:b/>
      <w:bCs/>
      <w:kern w:val="2"/>
      <w:sz w:val="32"/>
      <w:szCs w:val="32"/>
    </w:rPr>
  </w:style>
  <w:style w:type="character" w:customStyle="1" w:styleId="34">
    <w:name w:val="批注文字 Char1"/>
    <w:qFormat/>
    <w:uiPriority w:val="99"/>
    <w:rPr>
      <w:sz w:val="24"/>
    </w:rPr>
  </w:style>
  <w:style w:type="character" w:customStyle="1" w:styleId="35">
    <w:name w:val="标题 4 Char"/>
    <w:basedOn w:val="22"/>
    <w:link w:val="5"/>
    <w:semiHidden/>
    <w:qFormat/>
    <w:uiPriority w:val="0"/>
    <w:rPr>
      <w:rFonts w:ascii="Cambria" w:hAnsi="Cambria" w:eastAsia="宋体" w:cs="Times New Roman"/>
      <w:b/>
      <w:bCs/>
      <w:kern w:val="2"/>
      <w:sz w:val="28"/>
      <w:szCs w:val="28"/>
    </w:rPr>
  </w:style>
  <w:style w:type="character" w:customStyle="1" w:styleId="36">
    <w:name w:val="标题 5 字符"/>
    <w:qFormat/>
    <w:uiPriority w:val="9"/>
    <w:rPr>
      <w:rFonts w:ascii="黑体" w:hAnsi="Times New Roman" w:eastAsia="黑体"/>
      <w:bCs/>
      <w:szCs w:val="28"/>
    </w:rPr>
  </w:style>
  <w:style w:type="character" w:customStyle="1" w:styleId="37">
    <w:name w:val="日期 Char"/>
    <w:link w:val="12"/>
    <w:uiPriority w:val="99"/>
    <w:rPr>
      <w:kern w:val="2"/>
      <w:sz w:val="21"/>
      <w:szCs w:val="24"/>
    </w:rPr>
  </w:style>
  <w:style w:type="character" w:customStyle="1" w:styleId="38">
    <w:name w:val="标题 3 Char"/>
    <w:basedOn w:val="22"/>
    <w:link w:val="4"/>
    <w:semiHidden/>
    <w:qFormat/>
    <w:uiPriority w:val="0"/>
    <w:rPr>
      <w:b/>
      <w:bCs/>
      <w:kern w:val="2"/>
      <w:sz w:val="32"/>
      <w:szCs w:val="32"/>
    </w:rPr>
  </w:style>
  <w:style w:type="character" w:customStyle="1" w:styleId="39">
    <w:name w:val="发布"/>
    <w:qFormat/>
    <w:uiPriority w:val="0"/>
    <w:rPr>
      <w:rFonts w:ascii="黑体" w:eastAsia="黑体"/>
      <w:spacing w:val="22"/>
      <w:w w:val="100"/>
      <w:position w:val="3"/>
      <w:sz w:val="28"/>
    </w:rPr>
  </w:style>
  <w:style w:type="character" w:customStyle="1" w:styleId="40">
    <w:name w:val="文档结构图 Char1"/>
    <w:link w:val="7"/>
    <w:qFormat/>
    <w:uiPriority w:val="99"/>
    <w:rPr>
      <w:rFonts w:ascii="宋体"/>
      <w:sz w:val="18"/>
      <w:szCs w:val="18"/>
    </w:rPr>
  </w:style>
  <w:style w:type="character" w:customStyle="1" w:styleId="41">
    <w:name w:val="fontstyle51"/>
    <w:uiPriority w:val="0"/>
    <w:rPr>
      <w:rFonts w:hint="default" w:ascii="TimesNewRomanPS-ItalicMT" w:hAnsi="TimesNewRomanPS-ItalicMT"/>
      <w:i/>
      <w:iCs/>
      <w:color w:val="000000"/>
      <w:sz w:val="24"/>
      <w:szCs w:val="24"/>
    </w:rPr>
  </w:style>
  <w:style w:type="character" w:customStyle="1" w:styleId="42">
    <w:name w:val="批注文字 Char"/>
    <w:basedOn w:val="22"/>
    <w:link w:val="8"/>
    <w:qFormat/>
    <w:uiPriority w:val="0"/>
    <w:rPr>
      <w:kern w:val="2"/>
      <w:sz w:val="21"/>
      <w:szCs w:val="24"/>
    </w:rPr>
  </w:style>
  <w:style w:type="character" w:customStyle="1" w:styleId="43">
    <w:name w:val="fontstyle61"/>
    <w:qFormat/>
    <w:uiPriority w:val="0"/>
    <w:rPr>
      <w:rFonts w:hint="default" w:ascii="FzBookMaker8DlFont80536871322" w:hAnsi="FzBookMaker8DlFont80536871322"/>
      <w:color w:val="000000"/>
      <w:sz w:val="16"/>
      <w:szCs w:val="16"/>
    </w:rPr>
  </w:style>
  <w:style w:type="character" w:customStyle="1" w:styleId="44">
    <w:name w:val="fontstyle31"/>
    <w:qFormat/>
    <w:uiPriority w:val="0"/>
    <w:rPr>
      <w:rFonts w:hint="default" w:ascii="TimesNewRomanPSMT" w:hAnsi="TimesNewRomanPSMT"/>
      <w:color w:val="000000"/>
      <w:sz w:val="22"/>
      <w:szCs w:val="22"/>
    </w:rPr>
  </w:style>
  <w:style w:type="character" w:customStyle="1" w:styleId="45">
    <w:name w:val="页脚 Char1"/>
    <w:link w:val="14"/>
    <w:uiPriority w:val="99"/>
    <w:rPr>
      <w:kern w:val="2"/>
      <w:sz w:val="18"/>
      <w:szCs w:val="18"/>
    </w:rPr>
  </w:style>
  <w:style w:type="character" w:customStyle="1" w:styleId="46">
    <w:name w:val="页眉 Char"/>
    <w:link w:val="15"/>
    <w:qFormat/>
    <w:uiPriority w:val="99"/>
    <w:rPr>
      <w:kern w:val="2"/>
      <w:sz w:val="18"/>
      <w:szCs w:val="18"/>
    </w:rPr>
  </w:style>
  <w:style w:type="character" w:customStyle="1" w:styleId="47">
    <w:name w:val="标题 3 字符"/>
    <w:qFormat/>
    <w:uiPriority w:val="9"/>
    <w:rPr>
      <w:rFonts w:ascii="黑体" w:hAnsi="Times New Roman" w:eastAsia="黑体"/>
      <w:bCs/>
      <w:szCs w:val="32"/>
    </w:rPr>
  </w:style>
  <w:style w:type="character" w:customStyle="1" w:styleId="48">
    <w:name w:val="标题 5 Char"/>
    <w:basedOn w:val="22"/>
    <w:link w:val="6"/>
    <w:semiHidden/>
    <w:qFormat/>
    <w:uiPriority w:val="0"/>
    <w:rPr>
      <w:b/>
      <w:bCs/>
      <w:kern w:val="2"/>
      <w:sz w:val="28"/>
      <w:szCs w:val="28"/>
    </w:rPr>
  </w:style>
  <w:style w:type="character" w:customStyle="1" w:styleId="49">
    <w:name w:val="fontstyle11"/>
    <w:qFormat/>
    <w:uiPriority w:val="0"/>
    <w:rPr>
      <w:rFonts w:hint="eastAsia" w:ascii="黑体" w:hAnsi="黑体" w:eastAsia="黑体"/>
      <w:color w:val="000000"/>
      <w:sz w:val="22"/>
      <w:szCs w:val="22"/>
    </w:rPr>
  </w:style>
  <w:style w:type="character" w:customStyle="1" w:styleId="50">
    <w:name w:val="fontstyle01"/>
    <w:qFormat/>
    <w:uiPriority w:val="0"/>
    <w:rPr>
      <w:rFonts w:hint="eastAsia" w:ascii="黑体" w:hAnsi="黑体" w:eastAsia="黑体"/>
      <w:color w:val="000000"/>
      <w:sz w:val="32"/>
      <w:szCs w:val="32"/>
    </w:rPr>
  </w:style>
  <w:style w:type="character" w:customStyle="1" w:styleId="51">
    <w:name w:val="批注框文本 Char"/>
    <w:basedOn w:val="22"/>
    <w:qFormat/>
    <w:uiPriority w:val="0"/>
    <w:rPr>
      <w:kern w:val="2"/>
      <w:sz w:val="18"/>
      <w:szCs w:val="18"/>
    </w:rPr>
  </w:style>
  <w:style w:type="character" w:customStyle="1" w:styleId="52">
    <w:name w:val="标题 2 字符"/>
    <w:qFormat/>
    <w:uiPriority w:val="9"/>
    <w:rPr>
      <w:rFonts w:ascii="黑体" w:hAnsi="黑体" w:eastAsia="黑体" w:cs="Times New Roman"/>
      <w:bCs/>
      <w:szCs w:val="32"/>
    </w:rPr>
  </w:style>
  <w:style w:type="character" w:customStyle="1" w:styleId="53">
    <w:name w:val="标题 4 字符"/>
    <w:qFormat/>
    <w:uiPriority w:val="9"/>
    <w:rPr>
      <w:rFonts w:ascii="黑体" w:hAnsi="等线 Light" w:eastAsia="黑体" w:cs="Times New Roman"/>
      <w:bCs/>
      <w:szCs w:val="28"/>
    </w:rPr>
  </w:style>
  <w:style w:type="character" w:customStyle="1" w:styleId="54">
    <w:name w:val="批注主题 Char"/>
    <w:basedOn w:val="42"/>
    <w:link w:val="19"/>
    <w:uiPriority w:val="0"/>
    <w:rPr>
      <w:b/>
      <w:bCs/>
    </w:rPr>
  </w:style>
  <w:style w:type="character" w:customStyle="1" w:styleId="55">
    <w:name w:val="标题 1 Char"/>
    <w:link w:val="2"/>
    <w:qFormat/>
    <w:uiPriority w:val="9"/>
    <w:rPr>
      <w:b/>
      <w:bCs/>
      <w:kern w:val="44"/>
      <w:sz w:val="44"/>
      <w:szCs w:val="44"/>
    </w:rPr>
  </w:style>
  <w:style w:type="character" w:customStyle="1" w:styleId="56">
    <w:name w:val="批注框文本 Char1"/>
    <w:link w:val="13"/>
    <w:qFormat/>
    <w:uiPriority w:val="99"/>
    <w:rPr>
      <w:sz w:val="18"/>
      <w:szCs w:val="18"/>
    </w:rPr>
  </w:style>
  <w:style w:type="character" w:customStyle="1" w:styleId="57">
    <w:name w:val="页脚 Char"/>
    <w:basedOn w:val="22"/>
    <w:qFormat/>
    <w:uiPriority w:val="99"/>
    <w:rPr>
      <w:lang w:eastAsia="zh-CN"/>
    </w:rPr>
  </w:style>
  <w:style w:type="character" w:customStyle="1" w:styleId="58">
    <w:name w:val="fontstyle81"/>
    <w:qFormat/>
    <w:uiPriority w:val="0"/>
    <w:rPr>
      <w:rFonts w:hint="default" w:ascii="FzBookMaker6DlFont60536871319" w:hAnsi="FzBookMaker6DlFont60536871319"/>
      <w:color w:val="000000"/>
      <w:sz w:val="16"/>
      <w:szCs w:val="16"/>
    </w:rPr>
  </w:style>
  <w:style w:type="paragraph" w:customStyle="1" w:styleId="59">
    <w:name w:val="Char Char Char Char"/>
    <w:basedOn w:val="1"/>
    <w:qFormat/>
    <w:uiPriority w:val="0"/>
    <w:pPr>
      <w:widowControl/>
      <w:spacing w:after="160" w:line="240" w:lineRule="exact"/>
      <w:jc w:val="left"/>
    </w:pPr>
    <w:rPr>
      <w:szCs w:val="20"/>
    </w:rPr>
  </w:style>
  <w:style w:type="paragraph" w:customStyle="1" w:styleId="60">
    <w:name w:val="文献分类号"/>
    <w:qFormat/>
    <w:uiPriority w:val="99"/>
    <w:pPr>
      <w:widowControl w:val="0"/>
      <w:textAlignment w:val="center"/>
    </w:pPr>
    <w:rPr>
      <w:rFonts w:ascii="Times New Roman" w:hAnsi="Times New Roman" w:eastAsia="黑体" w:cs="Times New Roman"/>
      <w:sz w:val="21"/>
      <w:lang w:val="en-US" w:eastAsia="zh-CN" w:bidi="ar-SA"/>
    </w:rPr>
  </w:style>
  <w:style w:type="paragraph" w:customStyle="1" w:styleId="61">
    <w:name w:val="标准书眉_偶数页"/>
    <w:basedOn w:val="62"/>
    <w:next w:val="1"/>
    <w:qFormat/>
    <w:uiPriority w:val="0"/>
    <w:pPr>
      <w:tabs>
        <w:tab w:val="center" w:pos="4154"/>
        <w:tab w:val="right" w:pos="8306"/>
      </w:tabs>
      <w:jc w:val="left"/>
    </w:pPr>
  </w:style>
  <w:style w:type="paragraph" w:customStyle="1" w:styleId="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styleId="63">
    <w:name w:val="List Paragraph"/>
    <w:basedOn w:val="1"/>
    <w:qFormat/>
    <w:uiPriority w:val="34"/>
    <w:pPr>
      <w:spacing w:line="312" w:lineRule="auto"/>
      <w:ind w:firstLine="420" w:firstLineChars="200"/>
    </w:pPr>
    <w:rPr>
      <w:rFonts w:ascii="宋体"/>
      <w:szCs w:val="22"/>
    </w:rPr>
  </w:style>
  <w:style w:type="paragraph" w:customStyle="1" w:styleId="64">
    <w:name w:val="发布部门"/>
    <w:next w:val="65"/>
    <w:qFormat/>
    <w:uiPriority w:val="0"/>
    <w:pPr>
      <w:jc w:val="center"/>
    </w:pPr>
    <w:rPr>
      <w:rFonts w:ascii="宋体" w:hAnsi="Times New Roman" w:eastAsia="宋体" w:cs="Times New Roman"/>
      <w:b/>
      <w:spacing w:val="20"/>
      <w:w w:val="135"/>
      <w:sz w:val="36"/>
      <w:lang w:val="en-US" w:eastAsia="zh-CN" w:bidi="ar-SA"/>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标准标志"/>
    <w:next w:val="1"/>
    <w:qFormat/>
    <w:uiPriority w:val="0"/>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67">
    <w:name w:val="五级条标题"/>
    <w:basedOn w:val="68"/>
    <w:next w:val="65"/>
    <w:qFormat/>
    <w:uiPriority w:val="0"/>
    <w:pPr>
      <w:outlineLvl w:val="6"/>
    </w:pPr>
  </w:style>
  <w:style w:type="paragraph" w:customStyle="1" w:styleId="68">
    <w:name w:val="四级条标题"/>
    <w:basedOn w:val="69"/>
    <w:next w:val="65"/>
    <w:qFormat/>
    <w:uiPriority w:val="0"/>
    <w:pPr>
      <w:outlineLvl w:val="5"/>
    </w:pPr>
  </w:style>
  <w:style w:type="paragraph" w:customStyle="1" w:styleId="69">
    <w:name w:val="三级条标题"/>
    <w:basedOn w:val="70"/>
    <w:next w:val="65"/>
    <w:qFormat/>
    <w:uiPriority w:val="0"/>
    <w:pPr>
      <w:outlineLvl w:val="4"/>
    </w:pPr>
  </w:style>
  <w:style w:type="paragraph" w:customStyle="1" w:styleId="70">
    <w:name w:val="二级条标题"/>
    <w:basedOn w:val="71"/>
    <w:next w:val="65"/>
    <w:qFormat/>
    <w:uiPriority w:val="0"/>
    <w:pPr>
      <w:outlineLvl w:val="3"/>
    </w:pPr>
  </w:style>
  <w:style w:type="paragraph" w:customStyle="1" w:styleId="71">
    <w:name w:val="一级条标题"/>
    <w:next w:val="65"/>
    <w:qFormat/>
    <w:uiPriority w:val="0"/>
    <w:pPr>
      <w:outlineLvl w:val="2"/>
    </w:pPr>
    <w:rPr>
      <w:rFonts w:ascii="Times New Roman" w:hAnsi="Times New Roman" w:eastAsia="黑体" w:cs="Times New Roman"/>
      <w:sz w:val="21"/>
      <w:lang w:val="en-US" w:eastAsia="zh-CN" w:bidi="ar-SA"/>
    </w:rPr>
  </w:style>
  <w:style w:type="paragraph" w:customStyle="1" w:styleId="7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4">
    <w:name w:val="实施日期"/>
    <w:basedOn w:val="75"/>
    <w:qFormat/>
    <w:uiPriority w:val="99"/>
    <w:pPr>
      <w:jc w:val="right"/>
    </w:pPr>
  </w:style>
  <w:style w:type="paragraph" w:customStyle="1" w:styleId="75">
    <w:name w:val="发布日期"/>
    <w:qFormat/>
    <w:uiPriority w:val="99"/>
    <w:rPr>
      <w:rFonts w:ascii="Times New Roman" w:hAnsi="Times New Roman" w:eastAsia="黑体" w:cs="Times New Roman"/>
      <w:sz w:val="28"/>
      <w:lang w:val="en-US" w:eastAsia="zh-CN" w:bidi="ar-SA"/>
    </w:rPr>
  </w:style>
  <w:style w:type="paragraph" w:customStyle="1" w:styleId="76">
    <w:name w:val="TOC Heading"/>
    <w:basedOn w:val="2"/>
    <w:next w:val="1"/>
    <w:qFormat/>
    <w:uiPriority w:val="39"/>
    <w:pPr>
      <w:widowControl/>
      <w:spacing w:beforeLines="100" w:afterLines="100" w:line="259" w:lineRule="auto"/>
      <w:jc w:val="left"/>
      <w:outlineLvl w:val="9"/>
    </w:pPr>
    <w:rPr>
      <w:rFonts w:ascii="等线 Light" w:hAnsi="等线 Light" w:eastAsia="等线 Light"/>
      <w:bCs w:val="0"/>
      <w:color w:val="2F5496"/>
      <w:kern w:val="0"/>
      <w:sz w:val="32"/>
      <w:szCs w:val="32"/>
    </w:rPr>
  </w:style>
  <w:style w:type="paragraph" w:customStyle="1" w:styleId="77">
    <w:name w:val="Revision"/>
    <w:semiHidden/>
    <w:qFormat/>
    <w:uiPriority w:val="99"/>
    <w:rPr>
      <w:rFonts w:ascii="Times New Roman" w:hAnsi="Times New Roman" w:eastAsia="宋体" w:cs="Times New Roman"/>
      <w:kern w:val="2"/>
      <w:sz w:val="24"/>
      <w:szCs w:val="22"/>
      <w:lang w:val="en-US" w:eastAsia="zh-CN" w:bidi="ar-SA"/>
    </w:rPr>
  </w:style>
  <w:style w:type="paragraph" w:customStyle="1" w:styleId="7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9">
    <w:name w:val="封面标准代替信息"/>
    <w:basedOn w:val="80"/>
    <w:qFormat/>
    <w:uiPriority w:val="0"/>
    <w:pPr>
      <w:spacing w:before="57"/>
    </w:pPr>
    <w:rPr>
      <w:rFonts w:ascii="宋体"/>
      <w:sz w:val="21"/>
    </w:rPr>
  </w:style>
  <w:style w:type="paragraph" w:customStyle="1" w:styleId="80">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81">
    <w:name w:val="标准书眉一"/>
    <w:qFormat/>
    <w:uiPriority w:val="0"/>
    <w:pPr>
      <w:jc w:val="both"/>
    </w:pPr>
    <w:rPr>
      <w:rFonts w:ascii="Times New Roman" w:hAnsi="Times New Roman" w:eastAsia="宋体" w:cs="Times New Roman"/>
      <w:lang w:val="en-US" w:eastAsia="zh-CN" w:bidi="ar-SA"/>
    </w:rPr>
  </w:style>
  <w:style w:type="paragraph" w:customStyle="1" w:styleId="82">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83">
    <w:name w:val="目次、标准名称标题"/>
    <w:basedOn w:val="78"/>
    <w:next w:val="65"/>
    <w:qFormat/>
    <w:uiPriority w:val="0"/>
    <w:pPr>
      <w:spacing w:line="460" w:lineRule="exact"/>
    </w:pPr>
  </w:style>
  <w:style w:type="paragraph" w:customStyle="1" w:styleId="84">
    <w:name w:val="标准称谓"/>
    <w:next w:val="1"/>
    <w:qFormat/>
    <w:uiPriority w:val="99"/>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6">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87">
    <w:name w:val="章标题"/>
    <w:next w:val="65"/>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88">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89">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1338"/>
    <customShpInfo spid="_x0000_s2062"/>
    <customShpInfo spid="_x0000_s2064"/>
    <customShpInfo spid="_x0000_s2065"/>
    <customShpInfo spid="_x0000_s2066"/>
    <customShpInfo spid="_x0000_s2067"/>
    <customShpInfo spid="_x0000_s2068"/>
    <customShpInfo spid="_x0000_s2070"/>
    <customShpInfo spid="_x0000_s2071"/>
    <customShpInfo spid="_x0000_s2072"/>
    <customShpInfo spid="_x0000_s2069"/>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63"/>
    <customShpInfo spid="_x0000_s2090"/>
    <customShpInfo spid="_x0000_s2091"/>
    <customShpInfo spid="_x0000_s2061"/>
    <customShpInfo spid="_x0000_s209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6AA97-CBFB-4E98-AD85-663922AE3DE4}">
  <ds:schemaRefs/>
</ds:datastoreItem>
</file>

<file path=docProps/app.xml><?xml version="1.0" encoding="utf-8"?>
<Properties xmlns="http://schemas.openxmlformats.org/officeDocument/2006/extended-properties" xmlns:vt="http://schemas.openxmlformats.org/officeDocument/2006/docPropsVTypes">
  <Template>Normal</Template>
  <Pages>9</Pages>
  <Words>615</Words>
  <Characters>3509</Characters>
  <Lines>29</Lines>
  <Paragraphs>8</Paragraphs>
  <TotalTime>1</TotalTime>
  <ScaleCrop>false</ScaleCrop>
  <LinksUpToDate>false</LinksUpToDate>
  <CharactersWithSpaces>4116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2022-08-03T02:08:00Z</dcterms:created>
  <dc:creator>赵万花</dc:creator>
  <cp:keywords>标准</cp:keywords>
  <cp:lastModifiedBy>Administrator</cp:lastModifiedBy>
  <cp:lastPrinted>2022-08-03T03:02:00Z</cp:lastPrinted>
  <dcterms:modified xsi:type="dcterms:W3CDTF">2022-09-21T07:07:52Z</dcterms:modified>
  <dc:title>绿色设计产品 热轧板</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