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cs="黑体"/>
          <w:color w:val="auto"/>
          <w:sz w:val="32"/>
          <w:szCs w:val="32"/>
        </w:rPr>
      </w:pPr>
      <w:r>
        <w:rPr>
          <w:rFonts w:hint="eastAsia" w:ascii="黑体" w:hAnsi="宋体" w:eastAsia="黑体" w:cs="黑体"/>
          <w:color w:val="auto"/>
          <w:sz w:val="32"/>
          <w:szCs w:val="32"/>
        </w:rPr>
        <w:t>《绿色设计产</w:t>
      </w:r>
      <w:bookmarkStart w:id="10" w:name="_GoBack"/>
      <w:bookmarkEnd w:id="10"/>
      <w:r>
        <w:rPr>
          <w:rFonts w:hint="eastAsia" w:ascii="黑体" w:hAnsi="宋体" w:eastAsia="黑体" w:cs="黑体"/>
          <w:color w:val="auto"/>
          <w:sz w:val="32"/>
          <w:szCs w:val="32"/>
        </w:rPr>
        <w:t>品评价技术规范 铜及铜合金冷轧板带箔》</w:t>
      </w:r>
    </w:p>
    <w:p>
      <w:pPr>
        <w:spacing w:line="520" w:lineRule="exact"/>
        <w:jc w:val="center"/>
        <w:rPr>
          <w:rFonts w:ascii="黑体" w:hAnsi="黑体" w:eastAsia="黑体" w:cs="黑体"/>
          <w:color w:val="auto"/>
          <w:sz w:val="32"/>
          <w:szCs w:val="32"/>
        </w:rPr>
      </w:pP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送</w:t>
      </w:r>
      <w:r>
        <w:rPr>
          <w:rFonts w:hint="eastAsia" w:ascii="黑体" w:hAnsi="黑体" w:eastAsia="黑体" w:cs="黑体"/>
          <w:color w:val="auto"/>
          <w:sz w:val="32"/>
          <w:szCs w:val="32"/>
        </w:rPr>
        <w:t>审稿）编制说明</w:t>
      </w:r>
    </w:p>
    <w:p>
      <w:pPr>
        <w:rPr>
          <w:color w:val="auto"/>
          <w:szCs w:val="21"/>
        </w:rPr>
      </w:pPr>
    </w:p>
    <w:p>
      <w:pPr>
        <w:keepNext w:val="0"/>
        <w:keepLines w:val="0"/>
        <w:pageBreakBefore w:val="0"/>
        <w:kinsoku/>
        <w:wordWrap/>
        <w:overflowPunct/>
        <w:topLinePunct w:val="0"/>
        <w:bidi w:val="0"/>
        <w:snapToGrid/>
        <w:spacing w:line="400" w:lineRule="exact"/>
        <w:textAlignment w:val="auto"/>
        <w:rPr>
          <w:rFonts w:ascii="黑体" w:hAnsi="黑体" w:eastAsia="黑体" w:cs="黑体"/>
          <w:color w:val="auto"/>
          <w:szCs w:val="21"/>
        </w:rPr>
      </w:pPr>
      <w:r>
        <w:rPr>
          <w:rFonts w:hint="eastAsia" w:ascii="黑体" w:hAnsi="黑体" w:eastAsia="黑体" w:cs="黑体"/>
          <w:color w:val="auto"/>
          <w:szCs w:val="21"/>
        </w:rPr>
        <w:t>一、项目来源</w:t>
      </w:r>
    </w:p>
    <w:p>
      <w:pPr>
        <w:keepNext w:val="0"/>
        <w:keepLines w:val="0"/>
        <w:pageBreakBefore w:val="0"/>
        <w:kinsoku/>
        <w:wordWrap/>
        <w:overflowPunct/>
        <w:topLinePunct w:val="0"/>
        <w:bidi w:val="0"/>
        <w:snapToGrid/>
        <w:spacing w:line="400" w:lineRule="exact"/>
        <w:ind w:firstLine="420" w:firstLineChars="200"/>
        <w:textAlignment w:val="auto"/>
        <w:rPr>
          <w:rFonts w:ascii="宋体" w:hAnsi="宋体"/>
          <w:color w:val="auto"/>
          <w:szCs w:val="21"/>
        </w:rPr>
      </w:pPr>
      <w:r>
        <w:rPr>
          <w:rFonts w:hint="eastAsia" w:ascii="宋体" w:hAnsi="宋体"/>
          <w:color w:val="auto"/>
          <w:szCs w:val="21"/>
        </w:rPr>
        <w:t>绿色设计是指在产品及其生命周期全过程的设计中，充分考虑对资源和环境的影响，在充分考虑产品的功能、质量、开发周期和成本的同时，优化各有关设计因素，使得产品及其制造过程对环境的总体影响和资源消耗减到最小。既综合考虑产品的</w:t>
      </w:r>
      <w:r>
        <w:rPr>
          <w:color w:val="auto"/>
        </w:rPr>
        <w:fldChar w:fldCharType="begin"/>
      </w:r>
      <w:r>
        <w:rPr>
          <w:color w:val="auto"/>
        </w:rPr>
        <w:instrText xml:space="preserve"> HYPERLINK "https://baike.so.com/doc/755397-799510.html" \t "_blank" </w:instrText>
      </w:r>
      <w:r>
        <w:rPr>
          <w:color w:val="auto"/>
        </w:rPr>
        <w:fldChar w:fldCharType="separate"/>
      </w:r>
      <w:r>
        <w:rPr>
          <w:rFonts w:ascii="宋体" w:hAnsi="宋体"/>
          <w:color w:val="auto"/>
          <w:szCs w:val="21"/>
        </w:rPr>
        <w:t>TQCS</w:t>
      </w:r>
      <w:r>
        <w:rPr>
          <w:rFonts w:ascii="宋体" w:hAnsi="宋体"/>
          <w:color w:val="auto"/>
          <w:szCs w:val="21"/>
        </w:rPr>
        <w:fldChar w:fldCharType="end"/>
      </w:r>
      <w:r>
        <w:rPr>
          <w:rFonts w:ascii="宋体" w:hAnsi="宋体"/>
          <w:color w:val="auto"/>
          <w:szCs w:val="21"/>
        </w:rPr>
        <w:t>(Time</w:t>
      </w:r>
      <w:r>
        <w:rPr>
          <w:rFonts w:hint="eastAsia" w:ascii="宋体" w:hAnsi="宋体"/>
          <w:color w:val="auto"/>
          <w:szCs w:val="21"/>
        </w:rPr>
        <w:t>，</w:t>
      </w:r>
      <w:r>
        <w:rPr>
          <w:rFonts w:ascii="宋体" w:hAnsi="宋体"/>
          <w:color w:val="auto"/>
          <w:szCs w:val="21"/>
        </w:rPr>
        <w:t>Quality</w:t>
      </w:r>
      <w:r>
        <w:rPr>
          <w:rFonts w:hint="eastAsia" w:ascii="宋体" w:hAnsi="宋体"/>
          <w:color w:val="auto"/>
          <w:szCs w:val="21"/>
        </w:rPr>
        <w:t>，</w:t>
      </w:r>
      <w:r>
        <w:rPr>
          <w:rFonts w:ascii="宋体" w:hAnsi="宋体"/>
          <w:color w:val="auto"/>
          <w:szCs w:val="21"/>
        </w:rPr>
        <w:t>Cost</w:t>
      </w:r>
      <w:r>
        <w:rPr>
          <w:rFonts w:hint="eastAsia" w:ascii="宋体" w:hAnsi="宋体"/>
          <w:color w:val="auto"/>
          <w:szCs w:val="21"/>
        </w:rPr>
        <w:t>，</w:t>
      </w:r>
      <w:r>
        <w:rPr>
          <w:rFonts w:ascii="宋体" w:hAnsi="宋体"/>
          <w:color w:val="auto"/>
          <w:szCs w:val="21"/>
        </w:rPr>
        <w:t>Service)</w:t>
      </w:r>
      <w:r>
        <w:rPr>
          <w:rFonts w:hint="eastAsia" w:ascii="宋体" w:hAnsi="宋体"/>
          <w:color w:val="auto"/>
          <w:szCs w:val="21"/>
        </w:rPr>
        <w:t>属性，还要注重产品的</w:t>
      </w:r>
      <w:r>
        <w:rPr>
          <w:rFonts w:ascii="宋体" w:hAnsi="宋体"/>
          <w:color w:val="auto"/>
          <w:szCs w:val="21"/>
        </w:rPr>
        <w:t>E(Environment)</w:t>
      </w:r>
      <w:r>
        <w:rPr>
          <w:rFonts w:hint="eastAsia" w:ascii="宋体" w:hAnsi="宋体"/>
          <w:color w:val="auto"/>
          <w:szCs w:val="21"/>
        </w:rPr>
        <w:t>属性，即产品使用的绿色度。产品制造过程的工艺方案不一样，物料和能源等的消耗将不一样，对环境的影响也不一样。绿色产品工艺就是要根据制造系统的实际，尽量研究和采用物料和能源消耗少、废弃物少、噪声低、对环境污染小的工艺方案和</w:t>
      </w:r>
      <w:r>
        <w:rPr>
          <w:color w:val="auto"/>
        </w:rPr>
        <w:fldChar w:fldCharType="begin"/>
      </w:r>
      <w:r>
        <w:rPr>
          <w:color w:val="auto"/>
        </w:rPr>
        <w:instrText xml:space="preserve"> HYPERLINK "https://baike.so.com/doc/6124404-6337561.html" \t "_blank" </w:instrText>
      </w:r>
      <w:r>
        <w:rPr>
          <w:color w:val="auto"/>
        </w:rPr>
        <w:fldChar w:fldCharType="separate"/>
      </w:r>
      <w:r>
        <w:rPr>
          <w:rFonts w:hint="eastAsia" w:ascii="宋体" w:hAnsi="宋体"/>
          <w:color w:val="auto"/>
          <w:szCs w:val="21"/>
        </w:rPr>
        <w:t>工艺路线</w:t>
      </w:r>
      <w:r>
        <w:rPr>
          <w:rFonts w:hint="eastAsia" w:ascii="宋体" w:hAnsi="宋体"/>
          <w:color w:val="auto"/>
          <w:szCs w:val="21"/>
        </w:rPr>
        <w:fldChar w:fldCharType="end"/>
      </w:r>
      <w:r>
        <w:rPr>
          <w:rFonts w:hint="eastAsia" w:ascii="宋体" w:hAnsi="宋体"/>
          <w:color w:val="auto"/>
          <w:szCs w:val="21"/>
        </w:rPr>
        <w:t>。建立统一的绿色产品体系有利于贯彻绿色发展理念、树立中国绿色产品的高端国际形象，有利于助推供给侧结构性改革、推动绿色产品设计制水平和产品质量提升。</w:t>
      </w:r>
    </w:p>
    <w:p>
      <w:pPr>
        <w:keepNext w:val="0"/>
        <w:keepLines w:val="0"/>
        <w:pageBreakBefore w:val="0"/>
        <w:kinsoku/>
        <w:wordWrap/>
        <w:overflowPunct/>
        <w:topLinePunct w:val="0"/>
        <w:bidi w:val="0"/>
        <w:snapToGrid/>
        <w:spacing w:line="400" w:lineRule="exact"/>
        <w:ind w:firstLine="420" w:firstLineChars="200"/>
        <w:textAlignment w:val="auto"/>
        <w:rPr>
          <w:rFonts w:ascii="宋体" w:hAnsi="宋体" w:cs="宋体"/>
          <w:color w:val="auto"/>
          <w:szCs w:val="21"/>
        </w:rPr>
      </w:pPr>
      <w:r>
        <w:rPr>
          <w:rFonts w:hint="eastAsia" w:ascii="宋体" w:hAnsi="宋体"/>
          <w:color w:val="auto"/>
          <w:szCs w:val="21"/>
        </w:rPr>
        <w:t>根据中国有色金属工业协会《关于下达2022年第一批协会标准制修订计划的通知》(中色协科字(2022) 2号)文件，</w:t>
      </w:r>
      <w:r>
        <w:rPr>
          <w:rFonts w:hint="eastAsia" w:ascii="宋体" w:hAnsi="宋体" w:cs="宋体"/>
          <w:bCs/>
          <w:color w:val="auto"/>
          <w:szCs w:val="21"/>
        </w:rPr>
        <w:t>其中序号9（</w:t>
      </w:r>
      <w:r>
        <w:rPr>
          <w:rFonts w:hint="eastAsia" w:ascii="宋体" w:hAnsi="宋体" w:cs="宋体"/>
          <w:color w:val="auto"/>
          <w:szCs w:val="21"/>
        </w:rPr>
        <w:t>项目编号“</w:t>
      </w:r>
      <w:r>
        <w:rPr>
          <w:rFonts w:ascii="宋体" w:hAnsi="宋体" w:cs="宋体"/>
          <w:color w:val="auto"/>
          <w:szCs w:val="21"/>
        </w:rPr>
        <w:t>20</w:t>
      </w:r>
      <w:r>
        <w:rPr>
          <w:rFonts w:hint="eastAsia" w:ascii="宋体" w:hAnsi="宋体" w:cs="宋体"/>
          <w:color w:val="auto"/>
          <w:szCs w:val="21"/>
        </w:rPr>
        <w:t>22</w:t>
      </w:r>
      <w:r>
        <w:rPr>
          <w:rFonts w:ascii="宋体" w:hAnsi="宋体" w:cs="宋体"/>
          <w:color w:val="auto"/>
          <w:szCs w:val="21"/>
        </w:rPr>
        <w:t>-00</w:t>
      </w:r>
      <w:r>
        <w:rPr>
          <w:rFonts w:hint="eastAsia" w:ascii="宋体" w:hAnsi="宋体" w:cs="宋体"/>
          <w:color w:val="auto"/>
          <w:szCs w:val="21"/>
        </w:rPr>
        <w:t>9</w:t>
      </w:r>
      <w:r>
        <w:rPr>
          <w:rFonts w:ascii="宋体" w:hAnsi="宋体" w:cs="宋体"/>
          <w:color w:val="auto"/>
          <w:szCs w:val="21"/>
        </w:rPr>
        <w:t>T</w:t>
      </w:r>
      <w:r>
        <w:rPr>
          <w:rFonts w:hint="eastAsia" w:ascii="宋体" w:hAnsi="宋体" w:cs="宋体"/>
          <w:color w:val="auto"/>
          <w:szCs w:val="21"/>
        </w:rPr>
        <w:t>/CNIA</w:t>
      </w:r>
      <w:r>
        <w:rPr>
          <w:rFonts w:ascii="宋体" w:hAnsi="宋体" w:cs="宋体"/>
          <w:color w:val="auto"/>
          <w:szCs w:val="21"/>
        </w:rPr>
        <w:t xml:space="preserve"> </w:t>
      </w:r>
      <w:r>
        <w:rPr>
          <w:rFonts w:hint="eastAsia" w:ascii="宋体" w:hAnsi="宋体" w:cs="宋体"/>
          <w:color w:val="auto"/>
          <w:szCs w:val="21"/>
        </w:rPr>
        <w:t>”）《</w:t>
      </w:r>
      <w:r>
        <w:rPr>
          <w:rFonts w:ascii="宋体" w:hAnsi="宋体"/>
          <w:color w:val="auto"/>
          <w:szCs w:val="21"/>
        </w:rPr>
        <w:t>绿色设计产品评价技术规范</w:t>
      </w:r>
      <w:r>
        <w:rPr>
          <w:rFonts w:hint="eastAsia" w:ascii="宋体" w:hAnsi="宋体"/>
          <w:color w:val="auto"/>
          <w:szCs w:val="21"/>
        </w:rPr>
        <w:t xml:space="preserve">  铜及铜合金</w:t>
      </w:r>
      <w:r>
        <w:rPr>
          <w:rFonts w:hint="eastAsia" w:ascii="宋体" w:hAnsi="Calibri" w:cs="宋体"/>
          <w:color w:val="auto"/>
          <w:kern w:val="0"/>
          <w:szCs w:val="21"/>
        </w:rPr>
        <w:t>冷轧板带箔</w:t>
      </w:r>
      <w:r>
        <w:rPr>
          <w:rFonts w:hint="eastAsia" w:ascii="宋体" w:hAnsi="宋体"/>
          <w:color w:val="auto"/>
          <w:szCs w:val="21"/>
        </w:rPr>
        <w:t>材</w:t>
      </w:r>
      <w:r>
        <w:rPr>
          <w:rFonts w:hint="eastAsia" w:ascii="宋体" w:hAnsi="宋体" w:cs="宋体"/>
          <w:color w:val="auto"/>
          <w:szCs w:val="21"/>
        </w:rPr>
        <w:t>》协会标准由中铝洛阳铜加工有限公司负责牵头起草，完成年限为2022年。</w:t>
      </w:r>
    </w:p>
    <w:p>
      <w:pPr>
        <w:keepNext w:val="0"/>
        <w:keepLines w:val="0"/>
        <w:pageBreakBefore w:val="0"/>
        <w:kinsoku/>
        <w:wordWrap/>
        <w:overflowPunct/>
        <w:topLinePunct w:val="0"/>
        <w:bidi w:val="0"/>
        <w:snapToGrid/>
        <w:spacing w:line="400" w:lineRule="exact"/>
        <w:ind w:firstLine="420" w:firstLineChars="200"/>
        <w:textAlignment w:val="auto"/>
        <w:rPr>
          <w:rFonts w:ascii="宋体" w:hAnsi="宋体"/>
          <w:color w:val="auto"/>
          <w:szCs w:val="21"/>
        </w:rPr>
      </w:pPr>
      <w:r>
        <w:rPr>
          <w:rFonts w:hint="eastAsia" w:ascii="宋体" w:hAnsi="宋体"/>
          <w:color w:val="auto"/>
          <w:szCs w:val="21"/>
        </w:rPr>
        <w:t>铜及铜合金</w:t>
      </w:r>
      <w:r>
        <w:rPr>
          <w:rFonts w:hint="eastAsia" w:ascii="宋体" w:hAnsi="Calibri" w:cs="宋体"/>
          <w:color w:val="auto"/>
          <w:kern w:val="0"/>
          <w:szCs w:val="21"/>
        </w:rPr>
        <w:t>冷轧板带箔</w:t>
      </w:r>
      <w:r>
        <w:rPr>
          <w:rFonts w:hint="eastAsia" w:ascii="宋体" w:hAnsi="宋体"/>
          <w:color w:val="auto"/>
          <w:szCs w:val="21"/>
        </w:rPr>
        <w:t>材作为有色金属的一大重点品种，被广泛地应用于各工业部门和民用等各方面，也有条件成为绿色发展的实践者、绿色产品的建设者。制定铜及铜合金</w:t>
      </w:r>
      <w:r>
        <w:rPr>
          <w:rFonts w:hint="eastAsia" w:ascii="宋体" w:hAnsi="Calibri" w:cs="宋体"/>
          <w:color w:val="auto"/>
          <w:kern w:val="0"/>
          <w:szCs w:val="21"/>
        </w:rPr>
        <w:t>冷轧板带箔</w:t>
      </w:r>
      <w:r>
        <w:rPr>
          <w:rFonts w:hint="eastAsia" w:ascii="宋体" w:hAnsi="宋体"/>
          <w:color w:val="auto"/>
          <w:szCs w:val="21"/>
        </w:rPr>
        <w:t>绿色产品设计评价技术规范，可推动用能结构优化，引导和规范有色金属材料实施绿色制造和绿色发展。本标准从源头控制，以铜及铜合金</w:t>
      </w:r>
      <w:r>
        <w:rPr>
          <w:rFonts w:hint="eastAsia" w:ascii="宋体" w:hAnsi="Calibri" w:cs="宋体"/>
          <w:color w:val="auto"/>
          <w:kern w:val="0"/>
          <w:szCs w:val="21"/>
        </w:rPr>
        <w:t>冷轧板带箔</w:t>
      </w:r>
      <w:r>
        <w:rPr>
          <w:rFonts w:hint="eastAsia" w:ascii="宋体" w:hAnsi="宋体"/>
          <w:color w:val="auto"/>
          <w:szCs w:val="21"/>
        </w:rPr>
        <w:t>全生命周期资源科学利用和环境保护为目标，以技术进步和标准体系建设为支撑，开展产品生态设计，建立铜及铜合金</w:t>
      </w:r>
      <w:r>
        <w:rPr>
          <w:rFonts w:hint="eastAsia" w:ascii="宋体" w:hAnsi="Calibri" w:cs="宋体"/>
          <w:color w:val="auto"/>
          <w:kern w:val="0"/>
          <w:szCs w:val="21"/>
        </w:rPr>
        <w:t>冷轧板带箔</w:t>
      </w:r>
      <w:r>
        <w:rPr>
          <w:rFonts w:hint="eastAsia" w:ascii="宋体" w:hAnsi="宋体"/>
          <w:color w:val="auto"/>
          <w:szCs w:val="21"/>
        </w:rPr>
        <w:t>绿色设计产品评价技术规范</w:t>
      </w:r>
      <w:r>
        <w:rPr>
          <w:rFonts w:ascii="宋体" w:hAnsi="宋体"/>
          <w:color w:val="auto"/>
          <w:szCs w:val="21"/>
        </w:rPr>
        <w:t xml:space="preserve"> </w:t>
      </w:r>
      <w:r>
        <w:rPr>
          <w:rFonts w:hint="eastAsia" w:ascii="宋体" w:hAnsi="宋体"/>
          <w:color w:val="auto"/>
          <w:szCs w:val="21"/>
        </w:rPr>
        <w:t>，以建立系统科学、开放融合、指标先进、统一有效的绿色产品标准、认证、标识体系，规范铜及铜合金</w:t>
      </w:r>
      <w:r>
        <w:rPr>
          <w:rFonts w:hint="eastAsia" w:ascii="宋体" w:hAnsi="Calibri" w:cs="宋体"/>
          <w:color w:val="auto"/>
          <w:kern w:val="0"/>
          <w:szCs w:val="21"/>
        </w:rPr>
        <w:t>冷轧板带箔</w:t>
      </w:r>
      <w:r>
        <w:rPr>
          <w:rFonts w:hint="eastAsia" w:ascii="宋体" w:hAnsi="宋体"/>
          <w:color w:val="auto"/>
          <w:szCs w:val="21"/>
        </w:rPr>
        <w:t>材生产企业的绿色要求，通过政策引导和市场推动，推动铜及铜合金</w:t>
      </w:r>
      <w:r>
        <w:rPr>
          <w:rFonts w:hint="eastAsia" w:ascii="宋体" w:hAnsi="Calibri" w:cs="宋体"/>
          <w:color w:val="auto"/>
          <w:kern w:val="0"/>
          <w:szCs w:val="21"/>
        </w:rPr>
        <w:t>冷轧板带箔</w:t>
      </w:r>
      <w:r>
        <w:rPr>
          <w:rFonts w:hint="eastAsia" w:ascii="宋体" w:hAnsi="宋体"/>
          <w:color w:val="auto"/>
          <w:szCs w:val="21"/>
        </w:rPr>
        <w:t>采用先进适用的加工工艺和技术，从原材料获取、制造、运输、销售、产品再利用等方面进行生态设计，规范相关指标，向绿色低碳、清洁安全逐步转变，对促进我国有色行业的绿色制造、绿色发展具有重要的意义。</w:t>
      </w:r>
    </w:p>
    <w:p>
      <w:pPr>
        <w:keepNext w:val="0"/>
        <w:keepLines w:val="0"/>
        <w:pageBreakBefore w:val="0"/>
        <w:kinsoku/>
        <w:wordWrap/>
        <w:overflowPunct/>
        <w:topLinePunct w:val="0"/>
        <w:bidi w:val="0"/>
        <w:snapToGrid/>
        <w:spacing w:beforeLines="50" w:afterLines="50" w:line="400" w:lineRule="exact"/>
        <w:textAlignment w:val="auto"/>
        <w:rPr>
          <w:rFonts w:ascii="黑体" w:hAnsi="宋体" w:eastAsia="黑体" w:cs="宋体"/>
          <w:bCs/>
          <w:color w:val="auto"/>
          <w:szCs w:val="21"/>
        </w:rPr>
      </w:pPr>
      <w:bookmarkStart w:id="0" w:name="OLE_LINK3"/>
      <w:bookmarkStart w:id="1" w:name="OLE_LINK4"/>
      <w:r>
        <w:rPr>
          <w:rFonts w:hint="eastAsia" w:ascii="黑体" w:hAnsi="宋体" w:eastAsia="黑体" w:cs="宋体"/>
          <w:bCs/>
          <w:color w:val="auto"/>
          <w:szCs w:val="21"/>
        </w:rPr>
        <w:t>二、工作简况</w:t>
      </w:r>
    </w:p>
    <w:p>
      <w:pPr>
        <w:pStyle w:val="17"/>
        <w:keepNext w:val="0"/>
        <w:keepLines w:val="0"/>
        <w:pageBreakBefore w:val="0"/>
        <w:kinsoku/>
        <w:wordWrap/>
        <w:overflowPunct/>
        <w:topLinePunct w:val="0"/>
        <w:bidi w:val="0"/>
        <w:snapToGrid/>
        <w:spacing w:beforeLines="0" w:afterLines="0" w:line="400" w:lineRule="exact"/>
        <w:textAlignment w:val="auto"/>
        <w:outlineLvl w:val="9"/>
        <w:rPr>
          <w:rFonts w:hAnsi="黑体" w:cs="黑体"/>
          <w:color w:val="auto"/>
          <w:szCs w:val="21"/>
        </w:rPr>
      </w:pPr>
      <w:r>
        <w:rPr>
          <w:rFonts w:hint="eastAsia" w:hAnsi="黑体" w:cs="黑体"/>
          <w:color w:val="auto"/>
          <w:szCs w:val="21"/>
        </w:rPr>
        <w:t>2.1项目编制组</w:t>
      </w:r>
    </w:p>
    <w:p>
      <w:pPr>
        <w:keepNext w:val="0"/>
        <w:keepLines w:val="0"/>
        <w:pageBreakBefore w:val="0"/>
        <w:kinsoku/>
        <w:wordWrap/>
        <w:overflowPunct/>
        <w:topLinePunct w:val="0"/>
        <w:bidi w:val="0"/>
        <w:snapToGrid/>
        <w:spacing w:line="400" w:lineRule="exact"/>
        <w:ind w:firstLine="420"/>
        <w:textAlignment w:val="auto"/>
        <w:rPr>
          <w:color w:val="auto"/>
          <w:szCs w:val="21"/>
        </w:rPr>
      </w:pPr>
      <w:r>
        <w:rPr>
          <w:rFonts w:hint="eastAsia" w:ascii="宋体" w:hAnsi="宋体" w:cs="宋体"/>
          <w:bCs/>
          <w:color w:val="auto"/>
          <w:szCs w:val="21"/>
        </w:rPr>
        <w:t>由于时间紧，任务重，标准制订计划任务正式下达后，立即成立了编制组，并落实起草任务，确定主要起草人，拟定工作计划。具体分工为：</w:t>
      </w:r>
      <w:r>
        <w:rPr>
          <w:rFonts w:hint="eastAsia" w:ascii="宋体" w:hAnsi="宋体" w:cs="宋体"/>
          <w:color w:val="auto"/>
          <w:szCs w:val="21"/>
        </w:rPr>
        <w:t>中铝洛阳铜加工有限公司</w:t>
      </w:r>
      <w:r>
        <w:rPr>
          <w:rFonts w:hint="eastAsia"/>
          <w:color w:val="auto"/>
          <w:szCs w:val="21"/>
        </w:rPr>
        <w:t>总负责、市场和行业信息收集、资料汇总及执笔；宁波兴业盛泰集团有限公司等单位负责补充市场信息、指标的验证和完善。各企业分工明确，紧密合作，共同完成该标准的修订工作。</w:t>
      </w:r>
      <w:bookmarkEnd w:id="0"/>
      <w:bookmarkEnd w:id="1"/>
    </w:p>
    <w:p>
      <w:pPr>
        <w:pStyle w:val="17"/>
        <w:keepNext w:val="0"/>
        <w:keepLines w:val="0"/>
        <w:pageBreakBefore w:val="0"/>
        <w:kinsoku/>
        <w:wordWrap/>
        <w:overflowPunct/>
        <w:topLinePunct w:val="0"/>
        <w:bidi w:val="0"/>
        <w:snapToGrid/>
        <w:spacing w:beforeLines="0" w:afterLines="0" w:line="400" w:lineRule="exact"/>
        <w:textAlignment w:val="auto"/>
        <w:outlineLvl w:val="9"/>
        <w:rPr>
          <w:rFonts w:hAnsi="黑体" w:cs="黑体"/>
          <w:color w:val="auto"/>
          <w:szCs w:val="21"/>
        </w:rPr>
      </w:pPr>
      <w:bookmarkStart w:id="2" w:name="OLE_LINK20"/>
      <w:bookmarkStart w:id="3" w:name="OLE_LINK21"/>
      <w:r>
        <w:rPr>
          <w:rFonts w:hint="eastAsia" w:hAnsi="黑体" w:cs="黑体"/>
          <w:color w:val="auto"/>
          <w:szCs w:val="21"/>
        </w:rPr>
        <w:t>2.2编制单位的技术基础</w:t>
      </w:r>
    </w:p>
    <w:bookmarkEnd w:id="2"/>
    <w:bookmarkEnd w:id="3"/>
    <w:p>
      <w:pPr>
        <w:keepNext w:val="0"/>
        <w:keepLines w:val="0"/>
        <w:pageBreakBefore w:val="0"/>
        <w:kinsoku/>
        <w:wordWrap/>
        <w:overflowPunct/>
        <w:topLinePunct w:val="0"/>
        <w:bidi w:val="0"/>
        <w:snapToGrid/>
        <w:spacing w:line="400" w:lineRule="exact"/>
        <w:ind w:firstLine="420" w:firstLineChars="200"/>
        <w:textAlignment w:val="auto"/>
        <w:rPr>
          <w:rFonts w:hint="eastAsia"/>
          <w:bCs/>
          <w:color w:val="auto"/>
          <w:szCs w:val="21"/>
        </w:rPr>
      </w:pPr>
      <w:r>
        <w:rPr>
          <w:rFonts w:hint="eastAsia" w:cs="宋体" w:asciiTheme="minorEastAsia" w:hAnsiTheme="minorEastAsia" w:eastAsiaTheme="minorEastAsia"/>
          <w:color w:val="auto"/>
          <w:szCs w:val="21"/>
        </w:rPr>
        <w:t>中铝洛阳铜加工有限公司是综合性有色金属加工企业，拥有铜及铜合金高精度电子</w:t>
      </w:r>
      <w:r>
        <w:rPr>
          <w:rFonts w:hint="eastAsia" w:asciiTheme="minorEastAsia" w:hAnsiTheme="minorEastAsia" w:eastAsiaTheme="minorEastAsia"/>
          <w:color w:val="auto"/>
          <w:szCs w:val="21"/>
        </w:rPr>
        <w:t>带、大管大棒、弥散强化无氧铜、宽厚板等多条生产线，产品涉及铜及铜合金板、带、箔、管、棒、型材，广泛应用于电子信息通讯、新能源、汽车、海洋工程、轨道交通等领域。</w:t>
      </w:r>
      <w:r>
        <w:rPr>
          <w:rFonts w:hint="eastAsia"/>
          <w:color w:val="auto"/>
          <w:szCs w:val="21"/>
        </w:rPr>
        <w:t>拥有国家级企业技术中心、国家实验室认证认可监督管理委员会认可的实验室、中国有色金属工业重金属加工材质检站、河南省铜镁材料和加工技术工程研究中心、中铝集团高性能铜板带加工技术重点实验室、有色行业铜及铜合金材料与加工工程技术研究中心。先后从德国、美国、法国、日本、英国、意大利等十二个国家引进了</w:t>
      </w:r>
      <w:r>
        <w:rPr>
          <w:color w:val="auto"/>
          <w:szCs w:val="21"/>
        </w:rPr>
        <w:t>80</w:t>
      </w:r>
      <w:r>
        <w:rPr>
          <w:rFonts w:hint="eastAsia"/>
          <w:color w:val="auto"/>
          <w:szCs w:val="21"/>
        </w:rPr>
        <w:t>台</w:t>
      </w:r>
      <w:r>
        <w:rPr>
          <w:color w:val="auto"/>
          <w:szCs w:val="21"/>
        </w:rPr>
        <w:t>(</w:t>
      </w:r>
      <w:r>
        <w:rPr>
          <w:rFonts w:hint="eastAsia"/>
          <w:color w:val="auto"/>
          <w:szCs w:val="21"/>
        </w:rPr>
        <w:t>套</w:t>
      </w:r>
      <w:r>
        <w:rPr>
          <w:color w:val="auto"/>
          <w:szCs w:val="21"/>
        </w:rPr>
        <w:t>)</w:t>
      </w:r>
      <w:r>
        <w:rPr>
          <w:rFonts w:hint="eastAsia"/>
          <w:color w:val="auto"/>
          <w:szCs w:val="21"/>
        </w:rPr>
        <w:t>先进的设备和检测仪器，为有色金属产品的研制和生产打下了坚实的基础。</w:t>
      </w:r>
      <w:r>
        <w:rPr>
          <w:rFonts w:hint="eastAsia" w:asciiTheme="minorEastAsia" w:hAnsiTheme="minorEastAsia" w:eastAsiaTheme="minorEastAsia"/>
          <w:color w:val="auto"/>
          <w:szCs w:val="21"/>
        </w:rPr>
        <w:t>公司拥有一支高素质的科研技术研发队伍，具备丰富的生产技术经验和技术能力。铜及铜合金板带箔材</w:t>
      </w:r>
      <w:r>
        <w:rPr>
          <w:rFonts w:hint="eastAsia" w:asciiTheme="minorEastAsia" w:hAnsiTheme="minorEastAsia" w:eastAsiaTheme="minorEastAsia"/>
          <w:bCs/>
          <w:color w:val="auto"/>
          <w:szCs w:val="21"/>
        </w:rPr>
        <w:t>生产</w:t>
      </w:r>
      <w:r>
        <w:rPr>
          <w:rFonts w:hint="eastAsia" w:asciiTheme="minorEastAsia" w:hAnsiTheme="minorEastAsia" w:eastAsiaTheme="minorEastAsia"/>
          <w:color w:val="auto"/>
          <w:szCs w:val="21"/>
        </w:rPr>
        <w:t>技术成熟</w:t>
      </w:r>
      <w:r>
        <w:rPr>
          <w:rFonts w:hint="eastAsia"/>
          <w:color w:val="auto"/>
          <w:szCs w:val="21"/>
        </w:rPr>
        <w:t>，</w:t>
      </w:r>
      <w:r>
        <w:rPr>
          <w:rFonts w:hint="eastAsia"/>
          <w:bCs/>
          <w:color w:val="auto"/>
          <w:szCs w:val="21"/>
        </w:rPr>
        <w:t>产品质量稳定、性能满足用户使用要求，有较好的技术基础和能力。</w:t>
      </w:r>
    </w:p>
    <w:p>
      <w:pPr>
        <w:keepNext w:val="0"/>
        <w:keepLines w:val="0"/>
        <w:pageBreakBefore w:val="0"/>
        <w:kinsoku/>
        <w:wordWrap/>
        <w:overflowPunct/>
        <w:topLinePunct w:val="0"/>
        <w:bidi w:val="0"/>
        <w:snapToGrid/>
        <w:spacing w:line="400" w:lineRule="exact"/>
        <w:ind w:firstLine="420" w:firstLineChars="200"/>
        <w:textAlignment w:val="auto"/>
        <w:rPr>
          <w:rFonts w:hint="eastAsia"/>
          <w:bCs/>
          <w:color w:val="auto"/>
          <w:szCs w:val="21"/>
          <w:lang w:eastAsia="zh-CN"/>
        </w:rPr>
      </w:pPr>
      <w:r>
        <w:rPr>
          <w:rFonts w:hint="eastAsia"/>
          <w:bCs/>
          <w:color w:val="auto"/>
          <w:szCs w:val="21"/>
          <w:lang w:eastAsia="zh-CN"/>
        </w:rPr>
        <w:t>宁波博威合金板带有限公司</w:t>
      </w:r>
    </w:p>
    <w:p>
      <w:pPr>
        <w:keepNext w:val="0"/>
        <w:keepLines w:val="0"/>
        <w:pageBreakBefore w:val="0"/>
        <w:kinsoku/>
        <w:wordWrap/>
        <w:overflowPunct/>
        <w:topLinePunct w:val="0"/>
        <w:bidi w:val="0"/>
        <w:snapToGrid/>
        <w:spacing w:line="400" w:lineRule="exact"/>
        <w:ind w:firstLine="420" w:firstLineChars="200"/>
        <w:textAlignment w:val="auto"/>
        <w:rPr>
          <w:rFonts w:hint="eastAsia"/>
          <w:bCs/>
          <w:color w:val="auto"/>
          <w:szCs w:val="21"/>
          <w:lang w:eastAsia="zh-CN"/>
        </w:rPr>
      </w:pPr>
      <w:r>
        <w:rPr>
          <w:rFonts w:hint="eastAsia"/>
          <w:bCs/>
          <w:color w:val="auto"/>
          <w:szCs w:val="21"/>
          <w:lang w:eastAsia="zh-CN"/>
        </w:rPr>
        <w:t>宁波兴业盛泰集团有限公司</w:t>
      </w:r>
    </w:p>
    <w:p>
      <w:pPr>
        <w:pStyle w:val="17"/>
        <w:keepNext w:val="0"/>
        <w:keepLines w:val="0"/>
        <w:pageBreakBefore w:val="0"/>
        <w:kinsoku/>
        <w:wordWrap/>
        <w:overflowPunct/>
        <w:topLinePunct w:val="0"/>
        <w:bidi w:val="0"/>
        <w:snapToGrid/>
        <w:spacing w:beforeLines="0" w:afterLines="0" w:line="400" w:lineRule="exact"/>
        <w:textAlignment w:val="auto"/>
        <w:outlineLvl w:val="9"/>
        <w:rPr>
          <w:rFonts w:hAnsi="黑体" w:cs="黑体"/>
          <w:color w:val="auto"/>
          <w:szCs w:val="21"/>
        </w:rPr>
      </w:pPr>
      <w:r>
        <w:rPr>
          <w:rFonts w:hint="eastAsia" w:hAnsi="黑体" w:cs="黑体"/>
          <w:color w:val="auto"/>
          <w:szCs w:val="21"/>
        </w:rPr>
        <w:t>2.3 工作过程</w:t>
      </w:r>
    </w:p>
    <w:p>
      <w:pPr>
        <w:keepNext w:val="0"/>
        <w:keepLines w:val="0"/>
        <w:pageBreakBefore w:val="0"/>
        <w:kinsoku/>
        <w:wordWrap/>
        <w:overflowPunct/>
        <w:topLinePunct w:val="0"/>
        <w:bidi w:val="0"/>
        <w:snapToGrid/>
        <w:spacing w:line="400" w:lineRule="exact"/>
        <w:ind w:firstLine="420" w:firstLineChars="200"/>
        <w:textAlignment w:val="auto"/>
        <w:rPr>
          <w:color w:val="auto"/>
          <w:szCs w:val="21"/>
        </w:rPr>
      </w:pPr>
      <w:r>
        <w:rPr>
          <w:rFonts w:hint="eastAsia"/>
          <w:color w:val="auto"/>
          <w:szCs w:val="21"/>
        </w:rPr>
        <w:t>铜及铜合金</w:t>
      </w:r>
      <w:r>
        <w:rPr>
          <w:rFonts w:hint="eastAsia" w:ascii="宋体" w:hAnsi="Calibri" w:cs="宋体"/>
          <w:color w:val="auto"/>
          <w:kern w:val="0"/>
          <w:szCs w:val="21"/>
        </w:rPr>
        <w:t>冷轧板带箔</w:t>
      </w:r>
      <w:r>
        <w:rPr>
          <w:rFonts w:hint="eastAsia"/>
          <w:color w:val="auto"/>
          <w:szCs w:val="21"/>
        </w:rPr>
        <w:t>材绿色设计产品评价的术语和定义、评价要求、产品生命周期评价报告编制方法，以及评价方法和流程。适用于铜及铜合金热轧板材绿色设计产品的评价。</w:t>
      </w:r>
    </w:p>
    <w:p>
      <w:pPr>
        <w:keepNext w:val="0"/>
        <w:keepLines w:val="0"/>
        <w:pageBreakBefore w:val="0"/>
        <w:kinsoku/>
        <w:wordWrap/>
        <w:overflowPunct/>
        <w:topLinePunct w:val="0"/>
        <w:bidi w:val="0"/>
        <w:snapToGrid/>
        <w:spacing w:line="400" w:lineRule="exact"/>
        <w:ind w:firstLine="420" w:firstLineChars="200"/>
        <w:textAlignment w:val="auto"/>
        <w:rPr>
          <w:color w:val="auto"/>
          <w:szCs w:val="21"/>
        </w:rPr>
      </w:pPr>
      <w:r>
        <w:rPr>
          <w:rFonts w:hint="eastAsia"/>
          <w:color w:val="auto"/>
          <w:szCs w:val="21"/>
        </w:rPr>
        <w:t>标准以铜及铜合金</w:t>
      </w:r>
      <w:r>
        <w:rPr>
          <w:rFonts w:hint="eastAsia" w:ascii="宋体" w:hAnsi="Calibri" w:cs="宋体"/>
          <w:color w:val="auto"/>
          <w:kern w:val="0"/>
          <w:szCs w:val="21"/>
        </w:rPr>
        <w:t>冷轧板带箔</w:t>
      </w:r>
      <w:r>
        <w:rPr>
          <w:rFonts w:hint="eastAsia"/>
          <w:color w:val="auto"/>
          <w:szCs w:val="21"/>
        </w:rPr>
        <w:t>材产品全生命周期资源科学利用和环境保护为目标，以技术进步和标准体系建设为支撑，开展产品生态设计，建立铜及铜合金</w:t>
      </w:r>
      <w:r>
        <w:rPr>
          <w:rFonts w:hint="eastAsia" w:ascii="宋体" w:hAnsi="Calibri" w:cs="宋体"/>
          <w:color w:val="auto"/>
          <w:kern w:val="0"/>
          <w:szCs w:val="21"/>
        </w:rPr>
        <w:t>冷轧板带箔</w:t>
      </w:r>
      <w:r>
        <w:rPr>
          <w:rFonts w:hint="eastAsia"/>
          <w:color w:val="auto"/>
          <w:szCs w:val="21"/>
        </w:rPr>
        <w:t>材绿色设计产品评价技术规范，引导和规范铜及铜合金</w:t>
      </w:r>
      <w:r>
        <w:rPr>
          <w:rFonts w:hint="eastAsia" w:ascii="宋体" w:hAnsi="Calibri" w:cs="宋体"/>
          <w:color w:val="auto"/>
          <w:kern w:val="0"/>
          <w:szCs w:val="21"/>
        </w:rPr>
        <w:t>冷轧板带箔</w:t>
      </w:r>
      <w:r>
        <w:rPr>
          <w:rFonts w:hint="eastAsia"/>
          <w:color w:val="auto"/>
          <w:szCs w:val="21"/>
        </w:rPr>
        <w:t>材制造绿色制造和绿色发展。</w:t>
      </w:r>
    </w:p>
    <w:p>
      <w:pPr>
        <w:keepNext w:val="0"/>
        <w:keepLines w:val="0"/>
        <w:pageBreakBefore w:val="0"/>
        <w:kinsoku/>
        <w:wordWrap/>
        <w:overflowPunct/>
        <w:topLinePunct w:val="0"/>
        <w:bidi w:val="0"/>
        <w:snapToGrid/>
        <w:spacing w:line="400" w:lineRule="exact"/>
        <w:ind w:firstLine="420" w:firstLineChars="200"/>
        <w:textAlignment w:val="auto"/>
        <w:rPr>
          <w:color w:val="auto"/>
          <w:szCs w:val="21"/>
        </w:rPr>
      </w:pPr>
      <w:r>
        <w:rPr>
          <w:rFonts w:hint="eastAsia"/>
          <w:color w:val="auto"/>
          <w:szCs w:val="21"/>
        </w:rPr>
        <w:t>编制组查阅和收集国内绿色设计产品评价技术规范的相关资料，并对我国铜及铜合金</w:t>
      </w:r>
      <w:r>
        <w:rPr>
          <w:rFonts w:hint="eastAsia" w:ascii="宋体" w:hAnsi="Calibri" w:cs="宋体"/>
          <w:color w:val="auto"/>
          <w:kern w:val="0"/>
          <w:szCs w:val="21"/>
        </w:rPr>
        <w:t>冷轧板带箔</w:t>
      </w:r>
      <w:r>
        <w:rPr>
          <w:rFonts w:hint="eastAsia"/>
          <w:color w:val="auto"/>
          <w:szCs w:val="21"/>
        </w:rPr>
        <w:t>材产品生产的现状进行调研及发展趋势的分析，结合国内的实际情况，以</w:t>
      </w:r>
      <w:r>
        <w:rPr>
          <w:color w:val="auto"/>
          <w:szCs w:val="21"/>
        </w:rPr>
        <w:t>国家标准GB/T 32161</w:t>
      </w:r>
      <w:r>
        <w:rPr>
          <w:rFonts w:hint="eastAsia"/>
          <w:color w:val="auto"/>
          <w:szCs w:val="21"/>
        </w:rPr>
        <w:t>《生态设计产品评价通则》和国家相关要求为基础，于2022年3月形成标准讨论稿，发相关单位进行征求意见。根据反馈意见，对标准稿进行修改和完善，形成《标准讨论稿》及编制说明。</w:t>
      </w:r>
    </w:p>
    <w:p>
      <w:pPr>
        <w:keepNext w:val="0"/>
        <w:keepLines w:val="0"/>
        <w:pageBreakBefore w:val="0"/>
        <w:kinsoku/>
        <w:wordWrap/>
        <w:overflowPunct/>
        <w:topLinePunct w:val="0"/>
        <w:bidi w:val="0"/>
        <w:snapToGrid/>
        <w:spacing w:line="400" w:lineRule="exact"/>
        <w:ind w:firstLine="420" w:firstLineChars="200"/>
        <w:textAlignment w:val="auto"/>
        <w:rPr>
          <w:rFonts w:hint="eastAsia" w:asciiTheme="minorEastAsia" w:hAnsiTheme="minorEastAsia"/>
          <w:bCs/>
          <w:color w:val="auto"/>
          <w:szCs w:val="21"/>
        </w:rPr>
      </w:pPr>
      <w:r>
        <w:rPr>
          <w:rFonts w:hint="eastAsia" w:ascii="宋体" w:hAnsi="宋体"/>
          <w:color w:val="auto"/>
          <w:szCs w:val="21"/>
        </w:rPr>
        <w:t>2022年4月13日由</w:t>
      </w:r>
      <w:r>
        <w:rPr>
          <w:rFonts w:ascii="宋体" w:hAnsi="宋体"/>
          <w:color w:val="auto"/>
          <w:szCs w:val="21"/>
        </w:rPr>
        <w:t>全国有色金属标准化技术委员会</w:t>
      </w:r>
      <w:r>
        <w:rPr>
          <w:rFonts w:hint="eastAsia" w:ascii="宋体" w:hAnsi="宋体"/>
          <w:color w:val="auto"/>
          <w:szCs w:val="21"/>
        </w:rPr>
        <w:t>主持召开该标准网络讨论会，与会专家对标准进行了认真讨论，提出了意见和建议。编制组</w:t>
      </w:r>
      <w:r>
        <w:rPr>
          <w:rFonts w:hint="eastAsia" w:ascii="宋体" w:hAnsi="宋体"/>
          <w:bCs/>
          <w:color w:val="auto"/>
          <w:szCs w:val="21"/>
        </w:rPr>
        <w:t>根据</w:t>
      </w:r>
      <w:r>
        <w:rPr>
          <w:rFonts w:hint="eastAsia" w:ascii="宋体" w:hAnsi="宋体"/>
          <w:color w:val="auto"/>
          <w:szCs w:val="21"/>
        </w:rPr>
        <w:t>标准讨论会会议精神和各专家意见，对标准进行修改</w:t>
      </w:r>
      <w:r>
        <w:rPr>
          <w:rFonts w:hint="eastAsia" w:ascii="宋体" w:hAnsi="宋体"/>
          <w:bCs/>
          <w:color w:val="auto"/>
          <w:szCs w:val="21"/>
        </w:rPr>
        <w:t>，形成“绿色设计产品 铜及铜合金热轧板、冷轧板带箔调研表”，由标委会统一形成“关于开展团体标准《绿色设计产品评价技术规范 铜及铜合金加工材》基础数据调研的涵”，发出调研函，对国内相关单位基础数据进行调研。</w:t>
      </w:r>
      <w:r>
        <w:rPr>
          <w:rFonts w:hint="eastAsia" w:ascii="宋体" w:hAnsi="宋体"/>
          <w:color w:val="auto"/>
          <w:szCs w:val="21"/>
        </w:rPr>
        <w:t>编制组</w:t>
      </w:r>
      <w:r>
        <w:rPr>
          <w:rFonts w:hint="eastAsia" w:ascii="宋体" w:hAnsi="宋体"/>
          <w:bCs/>
          <w:color w:val="auto"/>
          <w:szCs w:val="21"/>
        </w:rPr>
        <w:t>根据</w:t>
      </w:r>
      <w:r>
        <w:rPr>
          <w:rFonts w:hint="eastAsia" w:ascii="宋体" w:hAnsi="宋体"/>
          <w:color w:val="auto"/>
          <w:szCs w:val="21"/>
        </w:rPr>
        <w:t>调研数据反馈情况，通过统计、计算和分析，并对标准进行修改和完善</w:t>
      </w:r>
      <w:r>
        <w:rPr>
          <w:rFonts w:hint="eastAsia" w:ascii="宋体" w:hAnsi="宋体"/>
          <w:bCs/>
          <w:color w:val="auto"/>
          <w:szCs w:val="21"/>
        </w:rPr>
        <w:t>，形成了标准《预审稿》</w:t>
      </w:r>
      <w:r>
        <w:rPr>
          <w:rFonts w:hint="eastAsia" w:asciiTheme="minorEastAsia" w:hAnsiTheme="minorEastAsia"/>
          <w:bCs/>
          <w:color w:val="auto"/>
          <w:szCs w:val="21"/>
        </w:rPr>
        <w:t>及《编制说明》。</w:t>
      </w:r>
    </w:p>
    <w:p>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color w:val="auto"/>
          <w:szCs w:val="21"/>
        </w:rPr>
      </w:pPr>
      <w:r>
        <w:rPr>
          <w:rFonts w:hint="eastAsia" w:ascii="宋体" w:hAnsi="宋体"/>
          <w:color w:val="auto"/>
          <w:szCs w:val="21"/>
          <w:lang w:val="en-US" w:eastAsia="zh-CN"/>
        </w:rPr>
        <w:t>2022年8月4日</w:t>
      </w:r>
      <w:r>
        <w:rPr>
          <w:rFonts w:hint="eastAsia" w:ascii="宋体" w:hAnsi="宋体"/>
          <w:color w:val="auto"/>
          <w:szCs w:val="21"/>
        </w:rPr>
        <w:t>由全国有色金属标准化技术委员会主持召开该标准</w:t>
      </w:r>
      <w:r>
        <w:rPr>
          <w:rFonts w:hint="eastAsia" w:ascii="宋体" w:hAnsi="宋体"/>
          <w:color w:val="auto"/>
          <w:szCs w:val="21"/>
          <w:lang w:eastAsia="zh-CN"/>
        </w:rPr>
        <w:t>网络</w:t>
      </w:r>
      <w:r>
        <w:rPr>
          <w:rFonts w:hint="eastAsia" w:ascii="宋体" w:hAnsi="宋体"/>
          <w:color w:val="auto"/>
          <w:szCs w:val="21"/>
        </w:rPr>
        <w:t>预审会，对该标准预审稿进行了充分讨论。编制组根据会议意见，对标准进行修改和完善，形成了标准《</w:t>
      </w:r>
      <w:r>
        <w:rPr>
          <w:rFonts w:hint="eastAsia" w:ascii="宋体" w:hAnsi="宋体"/>
          <w:color w:val="auto"/>
          <w:szCs w:val="21"/>
          <w:lang w:eastAsia="zh-CN"/>
        </w:rPr>
        <w:t>送</w:t>
      </w:r>
      <w:r>
        <w:rPr>
          <w:rFonts w:hint="eastAsia" w:ascii="宋体" w:hAnsi="宋体"/>
          <w:color w:val="auto"/>
          <w:szCs w:val="21"/>
        </w:rPr>
        <w:t>审稿》及《编制说明》。</w:t>
      </w:r>
    </w:p>
    <w:p>
      <w:pPr>
        <w:keepNext w:val="0"/>
        <w:keepLines w:val="0"/>
        <w:pageBreakBefore w:val="0"/>
        <w:kinsoku/>
        <w:wordWrap/>
        <w:overflowPunct/>
        <w:topLinePunct w:val="0"/>
        <w:bidi w:val="0"/>
        <w:snapToGrid/>
        <w:spacing w:beforeLines="50" w:afterLines="50" w:line="400" w:lineRule="exact"/>
        <w:textAlignment w:val="auto"/>
        <w:rPr>
          <w:rFonts w:ascii="黑体" w:hAnsi="宋体" w:eastAsia="黑体" w:cs="宋体"/>
          <w:bCs/>
          <w:color w:val="auto"/>
          <w:szCs w:val="21"/>
        </w:rPr>
      </w:pPr>
      <w:r>
        <w:rPr>
          <w:rFonts w:hint="eastAsia" w:ascii="黑体" w:hAnsi="宋体" w:eastAsia="黑体" w:cs="宋体"/>
          <w:bCs/>
          <w:color w:val="auto"/>
          <w:szCs w:val="21"/>
        </w:rPr>
        <w:t>三、编制原则</w:t>
      </w:r>
    </w:p>
    <w:p>
      <w:pPr>
        <w:keepNext w:val="0"/>
        <w:keepLines w:val="0"/>
        <w:pageBreakBefore w:val="0"/>
        <w:kinsoku/>
        <w:wordWrap/>
        <w:overflowPunct/>
        <w:topLinePunct w:val="0"/>
        <w:bidi w:val="0"/>
        <w:snapToGrid/>
        <w:spacing w:line="400" w:lineRule="exact"/>
        <w:ind w:firstLine="480"/>
        <w:textAlignment w:val="auto"/>
        <w:rPr>
          <w:rFonts w:ascii="宋体" w:hAnsi="宋体" w:cs="宋体"/>
          <w:color w:val="auto"/>
          <w:szCs w:val="21"/>
        </w:rPr>
      </w:pPr>
      <w:r>
        <w:rPr>
          <w:rFonts w:hint="eastAsia"/>
          <w:color w:val="auto"/>
          <w:szCs w:val="21"/>
        </w:rPr>
        <w:t>本标准</w:t>
      </w:r>
      <w:r>
        <w:rPr>
          <w:color w:val="auto"/>
          <w:szCs w:val="21"/>
        </w:rPr>
        <w:t>保持和国标通则的一致性，GB/T361</w:t>
      </w:r>
      <w:r>
        <w:rPr>
          <w:rFonts w:hint="eastAsia"/>
          <w:color w:val="auto"/>
          <w:szCs w:val="21"/>
        </w:rPr>
        <w:t>61-2015《生态设计产品评价通则》</w:t>
      </w:r>
      <w:r>
        <w:rPr>
          <w:rFonts w:ascii="Helvetica" w:hAnsi="Helvetica"/>
          <w:color w:val="auto"/>
          <w:szCs w:val="21"/>
        </w:rPr>
        <w:t>是本标准编制的最重要依据</w:t>
      </w:r>
      <w:r>
        <w:rPr>
          <w:rFonts w:hint="eastAsia" w:ascii="Helvetica" w:hAnsi="Helvetica"/>
          <w:color w:val="auto"/>
          <w:szCs w:val="21"/>
        </w:rPr>
        <w:t>，</w:t>
      </w:r>
      <w:r>
        <w:rPr>
          <w:rFonts w:hint="eastAsia" w:ascii="宋体" w:hAnsi="宋体" w:cs="宋体"/>
          <w:color w:val="auto"/>
          <w:szCs w:val="21"/>
        </w:rPr>
        <w:t>结合国内铜及铜合金加工行业实际情况，确定了标准的编制原则。</w:t>
      </w:r>
    </w:p>
    <w:p>
      <w:pPr>
        <w:keepNext w:val="0"/>
        <w:keepLines w:val="0"/>
        <w:pageBreakBefore w:val="0"/>
        <w:kinsoku/>
        <w:wordWrap/>
        <w:overflowPunct/>
        <w:topLinePunct w:val="0"/>
        <w:bidi w:val="0"/>
        <w:snapToGrid/>
        <w:spacing w:line="400" w:lineRule="exact"/>
        <w:textAlignment w:val="auto"/>
        <w:rPr>
          <w:rFonts w:ascii="黑体" w:hAnsi="黑体" w:eastAsia="黑体" w:cs="黑体"/>
          <w:bCs/>
          <w:color w:val="auto"/>
          <w:szCs w:val="21"/>
        </w:rPr>
      </w:pPr>
      <w:r>
        <w:rPr>
          <w:rFonts w:hint="eastAsia" w:ascii="黑体" w:hAnsi="黑体" w:eastAsia="黑体" w:cs="黑体"/>
          <w:bCs/>
          <w:color w:val="auto"/>
          <w:szCs w:val="21"/>
        </w:rPr>
        <w:t>3.1一致性原则</w:t>
      </w:r>
    </w:p>
    <w:p>
      <w:pPr>
        <w:keepNext w:val="0"/>
        <w:keepLines w:val="0"/>
        <w:pageBreakBefore w:val="0"/>
        <w:kinsoku/>
        <w:wordWrap/>
        <w:overflowPunct/>
        <w:topLinePunct w:val="0"/>
        <w:bidi w:val="0"/>
        <w:snapToGrid/>
        <w:spacing w:line="400" w:lineRule="exact"/>
        <w:ind w:firstLine="420" w:firstLineChars="200"/>
        <w:textAlignment w:val="auto"/>
        <w:rPr>
          <w:color w:val="auto"/>
          <w:szCs w:val="21"/>
        </w:rPr>
      </w:pPr>
      <w:r>
        <w:rPr>
          <w:rFonts w:hint="eastAsia"/>
          <w:color w:val="auto"/>
          <w:szCs w:val="21"/>
        </w:rPr>
        <w:t>标准尽可能与以下内容协调一致：</w:t>
      </w:r>
    </w:p>
    <w:p>
      <w:pPr>
        <w:keepNext w:val="0"/>
        <w:keepLines w:val="0"/>
        <w:pageBreakBefore w:val="0"/>
        <w:kinsoku/>
        <w:wordWrap/>
        <w:overflowPunct/>
        <w:topLinePunct w:val="0"/>
        <w:bidi w:val="0"/>
        <w:snapToGrid/>
        <w:spacing w:line="400" w:lineRule="exact"/>
        <w:ind w:firstLine="420" w:firstLineChars="200"/>
        <w:textAlignment w:val="auto"/>
        <w:rPr>
          <w:color w:val="auto"/>
          <w:szCs w:val="21"/>
        </w:rPr>
      </w:pPr>
      <w:r>
        <w:rPr>
          <w:color w:val="auto"/>
          <w:szCs w:val="21"/>
        </w:rPr>
        <w:t>a)</w:t>
      </w:r>
      <w:r>
        <w:rPr>
          <w:rFonts w:hint="eastAsia"/>
          <w:color w:val="auto"/>
          <w:szCs w:val="21"/>
        </w:rPr>
        <w:t>绿色制造体系要求；</w:t>
      </w:r>
    </w:p>
    <w:p>
      <w:pPr>
        <w:keepNext w:val="0"/>
        <w:keepLines w:val="0"/>
        <w:pageBreakBefore w:val="0"/>
        <w:kinsoku/>
        <w:wordWrap/>
        <w:overflowPunct/>
        <w:topLinePunct w:val="0"/>
        <w:bidi w:val="0"/>
        <w:snapToGrid/>
        <w:spacing w:line="400" w:lineRule="exact"/>
        <w:ind w:firstLine="420" w:firstLineChars="200"/>
        <w:textAlignment w:val="auto"/>
        <w:rPr>
          <w:color w:val="auto"/>
          <w:szCs w:val="21"/>
        </w:rPr>
      </w:pPr>
      <w:r>
        <w:rPr>
          <w:color w:val="auto"/>
          <w:szCs w:val="21"/>
        </w:rPr>
        <w:t>b)</w:t>
      </w:r>
      <w:r>
        <w:rPr>
          <w:rFonts w:hint="eastAsia"/>
          <w:color w:val="auto"/>
          <w:szCs w:val="21"/>
        </w:rPr>
        <w:t>相关法律、法规、政策、标准、管理办法；</w:t>
      </w:r>
    </w:p>
    <w:p>
      <w:pPr>
        <w:keepNext w:val="0"/>
        <w:keepLines w:val="0"/>
        <w:pageBreakBefore w:val="0"/>
        <w:kinsoku/>
        <w:wordWrap/>
        <w:overflowPunct/>
        <w:topLinePunct w:val="0"/>
        <w:bidi w:val="0"/>
        <w:snapToGrid/>
        <w:spacing w:line="400" w:lineRule="exact"/>
        <w:ind w:firstLine="420" w:firstLineChars="200"/>
        <w:textAlignment w:val="auto"/>
        <w:rPr>
          <w:color w:val="auto"/>
          <w:szCs w:val="21"/>
        </w:rPr>
      </w:pPr>
      <w:r>
        <w:rPr>
          <w:color w:val="auto"/>
          <w:szCs w:val="21"/>
        </w:rPr>
        <w:t>c)</w:t>
      </w:r>
      <w:r>
        <w:rPr>
          <w:rFonts w:hint="eastAsia"/>
          <w:color w:val="auto"/>
          <w:szCs w:val="21"/>
        </w:rPr>
        <w:t>工业和信息化部绿色制造整体目标；</w:t>
      </w:r>
    </w:p>
    <w:p>
      <w:pPr>
        <w:keepNext w:val="0"/>
        <w:keepLines w:val="0"/>
        <w:pageBreakBefore w:val="0"/>
        <w:kinsoku/>
        <w:wordWrap/>
        <w:overflowPunct/>
        <w:topLinePunct w:val="0"/>
        <w:bidi w:val="0"/>
        <w:snapToGrid/>
        <w:spacing w:line="400" w:lineRule="exact"/>
        <w:ind w:firstLine="420" w:firstLineChars="200"/>
        <w:textAlignment w:val="auto"/>
        <w:rPr>
          <w:color w:val="auto"/>
          <w:szCs w:val="21"/>
        </w:rPr>
      </w:pPr>
      <w:r>
        <w:rPr>
          <w:color w:val="auto"/>
          <w:szCs w:val="21"/>
        </w:rPr>
        <w:t>d)</w:t>
      </w:r>
      <w:r>
        <w:rPr>
          <w:rFonts w:hint="eastAsia"/>
          <w:color w:val="auto"/>
          <w:szCs w:val="21"/>
        </w:rPr>
        <w:t>GB/T 36161-2015《生态设计产品评价通则》。</w:t>
      </w:r>
    </w:p>
    <w:p>
      <w:pPr>
        <w:keepNext w:val="0"/>
        <w:keepLines w:val="0"/>
        <w:pageBreakBefore w:val="0"/>
        <w:kinsoku/>
        <w:wordWrap/>
        <w:overflowPunct/>
        <w:topLinePunct w:val="0"/>
        <w:bidi w:val="0"/>
        <w:snapToGrid/>
        <w:spacing w:line="400" w:lineRule="exact"/>
        <w:textAlignment w:val="auto"/>
        <w:rPr>
          <w:rFonts w:ascii="黑体" w:hAnsi="黑体" w:eastAsia="黑体" w:cs="黑体"/>
          <w:bCs/>
          <w:color w:val="auto"/>
          <w:szCs w:val="21"/>
        </w:rPr>
      </w:pPr>
      <w:r>
        <w:rPr>
          <w:rFonts w:hint="eastAsia" w:ascii="黑体" w:hAnsi="黑体" w:eastAsia="黑体" w:cs="黑体"/>
          <w:bCs/>
          <w:color w:val="auto"/>
          <w:szCs w:val="21"/>
        </w:rPr>
        <w:t>3.2指标选取的原则</w:t>
      </w:r>
    </w:p>
    <w:p>
      <w:pPr>
        <w:keepNext w:val="0"/>
        <w:keepLines w:val="0"/>
        <w:pageBreakBefore w:val="0"/>
        <w:kinsoku/>
        <w:wordWrap/>
        <w:overflowPunct/>
        <w:topLinePunct w:val="0"/>
        <w:bidi w:val="0"/>
        <w:snapToGrid/>
        <w:spacing w:line="400" w:lineRule="exact"/>
        <w:ind w:firstLine="420" w:firstLineChars="200"/>
        <w:textAlignment w:val="auto"/>
        <w:rPr>
          <w:color w:val="auto"/>
          <w:szCs w:val="21"/>
        </w:rPr>
      </w:pPr>
      <w:r>
        <w:rPr>
          <w:rFonts w:hint="eastAsia"/>
          <w:color w:val="auto"/>
          <w:szCs w:val="21"/>
        </w:rPr>
        <w:t>从原材料获取、产品生产、使用、废弃等生命周期阶段出发，重点分析产品在不同阶段的资源能源消耗、生态环境影响及人体健康安全影响因素，选取能够表征该类产品主要绿色特性并能量化和可检测验证的指标构成绿色产品评价指标体系。</w:t>
      </w:r>
    </w:p>
    <w:p>
      <w:pPr>
        <w:keepNext w:val="0"/>
        <w:keepLines w:val="0"/>
        <w:pageBreakBefore w:val="0"/>
        <w:kinsoku/>
        <w:wordWrap/>
        <w:overflowPunct/>
        <w:topLinePunct w:val="0"/>
        <w:bidi w:val="0"/>
        <w:snapToGrid/>
        <w:spacing w:line="400" w:lineRule="exact"/>
        <w:ind w:firstLine="420" w:firstLineChars="200"/>
        <w:textAlignment w:val="auto"/>
        <w:rPr>
          <w:color w:val="auto"/>
          <w:szCs w:val="21"/>
        </w:rPr>
      </w:pPr>
      <w:r>
        <w:rPr>
          <w:rFonts w:hint="eastAsia"/>
          <w:color w:val="auto"/>
          <w:szCs w:val="21"/>
        </w:rPr>
        <w:t>产品绿色性能的提升的同时应确保产品的质量性能，产品质量、安全或其他一些强制性标准应作为绿色设计产品评价的基础。</w:t>
      </w:r>
    </w:p>
    <w:p>
      <w:pPr>
        <w:keepNext w:val="0"/>
        <w:keepLines w:val="0"/>
        <w:pageBreakBefore w:val="0"/>
        <w:kinsoku/>
        <w:wordWrap/>
        <w:overflowPunct/>
        <w:topLinePunct w:val="0"/>
        <w:bidi w:val="0"/>
        <w:snapToGrid/>
        <w:spacing w:line="400" w:lineRule="exact"/>
        <w:textAlignment w:val="auto"/>
        <w:rPr>
          <w:rFonts w:ascii="黑体" w:hAnsi="黑体" w:eastAsia="黑体" w:cs="黑体"/>
          <w:bCs/>
          <w:color w:val="auto"/>
          <w:szCs w:val="21"/>
        </w:rPr>
      </w:pPr>
      <w:r>
        <w:rPr>
          <w:rFonts w:hint="eastAsia" w:ascii="黑体" w:hAnsi="黑体" w:eastAsia="黑体" w:cs="黑体"/>
          <w:bCs/>
          <w:color w:val="auto"/>
          <w:szCs w:val="21"/>
        </w:rPr>
        <w:t>3.3生命周期评价与指标评价相结合的原则</w:t>
      </w:r>
    </w:p>
    <w:p>
      <w:pPr>
        <w:keepNext w:val="0"/>
        <w:keepLines w:val="0"/>
        <w:pageBreakBefore w:val="0"/>
        <w:kinsoku/>
        <w:wordWrap/>
        <w:overflowPunct/>
        <w:topLinePunct w:val="0"/>
        <w:bidi w:val="0"/>
        <w:snapToGrid/>
        <w:spacing w:line="400" w:lineRule="exact"/>
        <w:ind w:firstLine="420" w:firstLineChars="200"/>
        <w:textAlignment w:val="auto"/>
        <w:rPr>
          <w:color w:val="auto"/>
          <w:szCs w:val="21"/>
        </w:rPr>
      </w:pPr>
      <w:r>
        <w:rPr>
          <w:rFonts w:hint="eastAsia"/>
          <w:color w:val="auto"/>
          <w:szCs w:val="21"/>
        </w:rPr>
        <w:t>不同类型的产品应建立不同的绿色设计评价指标体系，作为评估筛选绿色设计产品的准入条件。在满足评价指标要求的基础上，采用生命周期评价方法，编制生命周期报告并作为评价绿色设计产品的必要条件。</w:t>
      </w:r>
    </w:p>
    <w:p>
      <w:pPr>
        <w:keepNext w:val="0"/>
        <w:keepLines w:val="0"/>
        <w:pageBreakBefore w:val="0"/>
        <w:kinsoku/>
        <w:wordWrap/>
        <w:overflowPunct/>
        <w:topLinePunct w:val="0"/>
        <w:bidi w:val="0"/>
        <w:snapToGrid/>
        <w:spacing w:line="400" w:lineRule="exact"/>
        <w:textAlignment w:val="auto"/>
        <w:rPr>
          <w:rFonts w:ascii="黑体" w:hAnsi="黑体" w:eastAsia="黑体" w:cs="黑体"/>
          <w:bCs/>
          <w:color w:val="auto"/>
          <w:szCs w:val="21"/>
        </w:rPr>
      </w:pPr>
      <w:r>
        <w:rPr>
          <w:rFonts w:hint="eastAsia" w:ascii="黑体" w:hAnsi="黑体" w:eastAsia="黑体" w:cs="黑体"/>
          <w:bCs/>
          <w:color w:val="auto"/>
          <w:szCs w:val="21"/>
        </w:rPr>
        <w:t>3.3环境影响种类最优选取原则</w:t>
      </w:r>
    </w:p>
    <w:p>
      <w:pPr>
        <w:keepNext w:val="0"/>
        <w:keepLines w:val="0"/>
        <w:pageBreakBefore w:val="0"/>
        <w:kinsoku/>
        <w:wordWrap/>
        <w:overflowPunct/>
        <w:topLinePunct w:val="0"/>
        <w:bidi w:val="0"/>
        <w:snapToGrid/>
        <w:spacing w:line="400" w:lineRule="exact"/>
        <w:ind w:firstLine="420" w:firstLineChars="200"/>
        <w:textAlignment w:val="auto"/>
        <w:rPr>
          <w:color w:val="auto"/>
          <w:szCs w:val="21"/>
        </w:rPr>
      </w:pPr>
      <w:r>
        <w:rPr>
          <w:rFonts w:hint="eastAsia"/>
          <w:color w:val="auto"/>
          <w:szCs w:val="21"/>
        </w:rPr>
        <w:t>在生命周期生命评价时，应根据产品特点，取具有影响大、社会关注度高、关键法律或政策明确要求的环境影响种类，通常可在气候变化、臭氧层破坏、水体生态毒性、人体毒性、可吸入颗粒物、光化学臭氧生成潜势、酸化、富营养化陆地、富营养化水体、水资源消耗、土地利用变化等种类中选取，选取的数量不宜太多。</w:t>
      </w:r>
    </w:p>
    <w:p>
      <w:pPr>
        <w:keepNext w:val="0"/>
        <w:keepLines w:val="0"/>
        <w:pageBreakBefore w:val="0"/>
        <w:kinsoku/>
        <w:wordWrap/>
        <w:overflowPunct/>
        <w:topLinePunct w:val="0"/>
        <w:bidi w:val="0"/>
        <w:snapToGrid/>
        <w:spacing w:line="400" w:lineRule="exact"/>
        <w:textAlignment w:val="auto"/>
        <w:rPr>
          <w:rFonts w:ascii="黑体" w:hAnsi="黑体" w:eastAsia="黑体" w:cs="黑体"/>
          <w:bCs/>
          <w:color w:val="auto"/>
          <w:szCs w:val="21"/>
        </w:rPr>
      </w:pPr>
      <w:r>
        <w:rPr>
          <w:rFonts w:hint="eastAsia" w:ascii="黑体" w:hAnsi="黑体" w:eastAsia="黑体" w:cs="黑体"/>
          <w:bCs/>
          <w:color w:val="auto"/>
          <w:szCs w:val="21"/>
        </w:rPr>
        <w:t>3.4持续改进原则</w:t>
      </w:r>
    </w:p>
    <w:p>
      <w:pPr>
        <w:keepNext w:val="0"/>
        <w:keepLines w:val="0"/>
        <w:pageBreakBefore w:val="0"/>
        <w:kinsoku/>
        <w:wordWrap/>
        <w:overflowPunct/>
        <w:topLinePunct w:val="0"/>
        <w:bidi w:val="0"/>
        <w:snapToGrid/>
        <w:spacing w:line="400" w:lineRule="exact"/>
        <w:ind w:firstLine="420" w:firstLineChars="200"/>
        <w:textAlignment w:val="auto"/>
        <w:rPr>
          <w:color w:val="auto"/>
          <w:szCs w:val="21"/>
        </w:rPr>
      </w:pPr>
      <w:r>
        <w:rPr>
          <w:rFonts w:hint="eastAsia"/>
          <w:color w:val="auto"/>
          <w:szCs w:val="21"/>
        </w:rPr>
        <w:t>指标具有一定的时效性。随着生产设备的改进、工艺的革新和技术的发展，原有的标准将难以起到促进企业加强管理和技术改造的作用。因此标准需要随着时间的推移和技术的进步进行相应的调整和修订。</w:t>
      </w:r>
    </w:p>
    <w:p>
      <w:pPr>
        <w:keepNext w:val="0"/>
        <w:keepLines w:val="0"/>
        <w:pageBreakBefore w:val="0"/>
        <w:kinsoku/>
        <w:wordWrap/>
        <w:overflowPunct/>
        <w:topLinePunct w:val="0"/>
        <w:bidi w:val="0"/>
        <w:snapToGrid/>
        <w:spacing w:beforeLines="50" w:afterLines="50" w:line="400" w:lineRule="exact"/>
        <w:textAlignment w:val="auto"/>
        <w:rPr>
          <w:rFonts w:ascii="黑体" w:hAnsi="宋体" w:eastAsia="黑体" w:cs="宋体"/>
          <w:bCs/>
          <w:color w:val="auto"/>
          <w:szCs w:val="21"/>
        </w:rPr>
      </w:pPr>
      <w:r>
        <w:rPr>
          <w:rFonts w:hint="eastAsia" w:ascii="黑体" w:hAnsi="宋体" w:eastAsia="黑体" w:cs="宋体"/>
          <w:bCs/>
          <w:color w:val="auto"/>
          <w:szCs w:val="21"/>
        </w:rPr>
        <w:t>四、标准主要内容</w:t>
      </w:r>
    </w:p>
    <w:p>
      <w:pPr>
        <w:keepNext w:val="0"/>
        <w:keepLines w:val="0"/>
        <w:pageBreakBefore w:val="0"/>
        <w:kinsoku/>
        <w:wordWrap/>
        <w:overflowPunct/>
        <w:topLinePunct w:val="0"/>
        <w:bidi w:val="0"/>
        <w:snapToGrid/>
        <w:spacing w:line="400" w:lineRule="exact"/>
        <w:ind w:firstLine="420" w:firstLineChars="200"/>
        <w:textAlignment w:val="auto"/>
        <w:rPr>
          <w:rFonts w:ascii="宋体" w:hAnsi="宋体" w:cs="宋体"/>
          <w:bCs/>
          <w:color w:val="auto"/>
          <w:szCs w:val="21"/>
        </w:rPr>
      </w:pPr>
      <w:r>
        <w:rPr>
          <w:rFonts w:hint="eastAsia" w:ascii="宋体" w:hAnsi="宋体" w:cs="宋体"/>
          <w:color w:val="auto"/>
          <w:szCs w:val="21"/>
        </w:rPr>
        <w:t>根据</w:t>
      </w:r>
      <w:r>
        <w:rPr>
          <w:rFonts w:ascii="宋体" w:hAnsi="宋体"/>
          <w:color w:val="auto"/>
          <w:szCs w:val="21"/>
        </w:rPr>
        <w:t>GB/T361</w:t>
      </w:r>
      <w:r>
        <w:rPr>
          <w:rFonts w:hint="eastAsia" w:ascii="宋体" w:hAnsi="宋体"/>
          <w:color w:val="auto"/>
          <w:szCs w:val="21"/>
        </w:rPr>
        <w:t>61-2015《生态设计产品评价通则》</w:t>
      </w:r>
      <w:r>
        <w:rPr>
          <w:rFonts w:hint="eastAsia" w:ascii="宋体" w:hAnsi="宋体" w:cs="宋体"/>
          <w:color w:val="auto"/>
          <w:szCs w:val="21"/>
        </w:rPr>
        <w:t>，本标准设置了六个部分内容，具体包括范围、</w:t>
      </w:r>
      <w:r>
        <w:rPr>
          <w:rFonts w:hint="eastAsia" w:ascii="宋体" w:hAnsi="宋体" w:cs="宋体"/>
          <w:bCs/>
          <w:color w:val="auto"/>
          <w:szCs w:val="21"/>
        </w:rPr>
        <w:t>规范性引用标准、</w:t>
      </w:r>
      <w:r>
        <w:rPr>
          <w:rFonts w:hint="eastAsia" w:ascii="宋体" w:hAnsi="宋体"/>
          <w:color w:val="auto"/>
        </w:rPr>
        <w:t>术语和定义、</w:t>
      </w:r>
      <w:r>
        <w:rPr>
          <w:rFonts w:hint="eastAsia" w:ascii="宋体" w:hAnsi="宋体"/>
          <w:color w:val="auto"/>
          <w:szCs w:val="21"/>
        </w:rPr>
        <w:t>评价要求</w:t>
      </w:r>
      <w:r>
        <w:rPr>
          <w:rFonts w:hint="eastAsia" w:ascii="宋体" w:hAnsi="宋体"/>
          <w:color w:val="auto"/>
        </w:rPr>
        <w:t>、</w:t>
      </w:r>
      <w:r>
        <w:rPr>
          <w:rFonts w:ascii="宋体" w:hAnsi="宋体" w:cs="黑体"/>
          <w:color w:val="auto"/>
          <w:kern w:val="0"/>
          <w:szCs w:val="21"/>
        </w:rPr>
        <w:t>产品生命周期评价报告编制方法</w:t>
      </w:r>
      <w:r>
        <w:rPr>
          <w:rFonts w:hint="eastAsia" w:ascii="宋体" w:hAnsi="宋体"/>
          <w:color w:val="auto"/>
        </w:rPr>
        <w:t>、</w:t>
      </w:r>
      <w:r>
        <w:rPr>
          <w:rFonts w:hint="eastAsia" w:ascii="宋体" w:hAnsi="宋体" w:cs="黑体"/>
          <w:color w:val="auto"/>
          <w:kern w:val="0"/>
          <w:szCs w:val="21"/>
        </w:rPr>
        <w:t>评价方法和流程</w:t>
      </w:r>
      <w:r>
        <w:rPr>
          <w:rFonts w:hint="eastAsia" w:ascii="宋体" w:hAnsi="宋体" w:cs="宋体"/>
          <w:color w:val="auto"/>
          <w:szCs w:val="21"/>
        </w:rPr>
        <w:t>。</w:t>
      </w:r>
    </w:p>
    <w:p>
      <w:pPr>
        <w:keepNext w:val="0"/>
        <w:keepLines w:val="0"/>
        <w:pageBreakBefore w:val="0"/>
        <w:kinsoku/>
        <w:wordWrap/>
        <w:overflowPunct/>
        <w:topLinePunct w:val="0"/>
        <w:bidi w:val="0"/>
        <w:snapToGrid/>
        <w:spacing w:line="400" w:lineRule="exact"/>
        <w:textAlignment w:val="auto"/>
        <w:rPr>
          <w:rFonts w:ascii="黑体" w:eastAsia="黑体"/>
          <w:color w:val="auto"/>
          <w:szCs w:val="21"/>
        </w:rPr>
      </w:pPr>
      <w:r>
        <w:rPr>
          <w:rFonts w:hint="eastAsia" w:ascii="黑体" w:eastAsia="黑体"/>
          <w:color w:val="auto"/>
          <w:szCs w:val="21"/>
        </w:rPr>
        <w:t>4.1</w:t>
      </w:r>
      <w:r>
        <w:rPr>
          <w:rFonts w:hint="eastAsia" w:ascii="黑体" w:hAnsi="黑体" w:eastAsia="黑体" w:cs="黑体"/>
          <w:bCs/>
          <w:color w:val="auto"/>
          <w:szCs w:val="21"/>
        </w:rPr>
        <w:t>范围</w:t>
      </w:r>
    </w:p>
    <w:p>
      <w:pPr>
        <w:keepNext w:val="0"/>
        <w:keepLines w:val="0"/>
        <w:pageBreakBefore w:val="0"/>
        <w:kinsoku/>
        <w:wordWrap/>
        <w:overflowPunct/>
        <w:topLinePunct w:val="0"/>
        <w:bidi w:val="0"/>
        <w:snapToGrid/>
        <w:spacing w:line="400" w:lineRule="exact"/>
        <w:textAlignment w:val="auto"/>
        <w:rPr>
          <w:color w:val="auto"/>
        </w:rPr>
      </w:pPr>
      <w:r>
        <w:rPr>
          <w:rFonts w:hint="eastAsia"/>
          <w:color w:val="auto"/>
          <w:szCs w:val="21"/>
        </w:rPr>
        <w:t xml:space="preserve">    </w:t>
      </w:r>
      <w:r>
        <w:rPr>
          <w:rFonts w:hint="eastAsia"/>
          <w:color w:val="auto"/>
        </w:rPr>
        <w:t>本文件规定了铜及铜合金</w:t>
      </w:r>
      <w:r>
        <w:rPr>
          <w:rFonts w:hint="eastAsia" w:ascii="宋体" w:hAnsi="Calibri" w:cs="宋体"/>
          <w:color w:val="auto"/>
          <w:kern w:val="0"/>
          <w:szCs w:val="21"/>
        </w:rPr>
        <w:t>冷轧板带箔</w:t>
      </w:r>
      <w:r>
        <w:rPr>
          <w:rFonts w:hint="eastAsia"/>
          <w:color w:val="auto"/>
        </w:rPr>
        <w:t>材绿色设计产品评价的术语和定义、评价要求、产品生命周期评价报告编制方法，以及评价方法和流程。</w:t>
      </w:r>
    </w:p>
    <w:p>
      <w:pPr>
        <w:keepNext w:val="0"/>
        <w:keepLines w:val="0"/>
        <w:pageBreakBefore w:val="0"/>
        <w:kinsoku/>
        <w:wordWrap/>
        <w:overflowPunct/>
        <w:topLinePunct w:val="0"/>
        <w:bidi w:val="0"/>
        <w:snapToGrid/>
        <w:spacing w:line="400" w:lineRule="exact"/>
        <w:ind w:firstLine="420" w:firstLineChars="200"/>
        <w:textAlignment w:val="auto"/>
        <w:rPr>
          <w:color w:val="auto"/>
          <w:szCs w:val="21"/>
        </w:rPr>
      </w:pPr>
      <w:r>
        <w:rPr>
          <w:rFonts w:hint="eastAsia"/>
          <w:color w:val="auto"/>
          <w:szCs w:val="21"/>
        </w:rPr>
        <w:t>本标准</w:t>
      </w:r>
      <w:r>
        <w:rPr>
          <w:rFonts w:hint="eastAsia"/>
          <w:color w:val="auto"/>
        </w:rPr>
        <w:t>铜及铜合金</w:t>
      </w:r>
      <w:r>
        <w:rPr>
          <w:rFonts w:hint="eastAsia" w:ascii="宋体" w:hAnsi="Calibri" w:cs="宋体"/>
          <w:color w:val="auto"/>
          <w:kern w:val="0"/>
          <w:szCs w:val="21"/>
        </w:rPr>
        <w:t>冷轧板带箔</w:t>
      </w:r>
      <w:r>
        <w:rPr>
          <w:rFonts w:hint="eastAsia"/>
          <w:color w:val="auto"/>
        </w:rPr>
        <w:t>材绿色设计产品的评价。</w:t>
      </w:r>
      <w:r>
        <w:rPr>
          <w:rFonts w:hint="eastAsia"/>
          <w:color w:val="auto"/>
          <w:szCs w:val="21"/>
        </w:rPr>
        <w:t xml:space="preserve">  </w:t>
      </w:r>
    </w:p>
    <w:p>
      <w:pPr>
        <w:keepNext w:val="0"/>
        <w:keepLines w:val="0"/>
        <w:pageBreakBefore w:val="0"/>
        <w:kinsoku/>
        <w:wordWrap/>
        <w:overflowPunct/>
        <w:topLinePunct w:val="0"/>
        <w:bidi w:val="0"/>
        <w:snapToGrid/>
        <w:spacing w:line="400" w:lineRule="exact"/>
        <w:textAlignment w:val="auto"/>
        <w:rPr>
          <w:rFonts w:ascii="黑体" w:hAnsi="黑体" w:eastAsia="黑体" w:cs="黑体"/>
          <w:bCs/>
          <w:color w:val="auto"/>
          <w:szCs w:val="21"/>
        </w:rPr>
      </w:pPr>
      <w:r>
        <w:rPr>
          <w:rFonts w:hint="eastAsia" w:ascii="黑体" w:hAnsi="黑体" w:eastAsia="黑体" w:cs="黑体"/>
          <w:bCs/>
          <w:color w:val="auto"/>
          <w:szCs w:val="21"/>
        </w:rPr>
        <w:t>4.2规范性引用文件</w:t>
      </w:r>
    </w:p>
    <w:p>
      <w:pPr>
        <w:keepNext w:val="0"/>
        <w:keepLines w:val="0"/>
        <w:pageBreakBefore w:val="0"/>
        <w:kinsoku/>
        <w:wordWrap/>
        <w:overflowPunct/>
        <w:topLinePunct w:val="0"/>
        <w:bidi w:val="0"/>
        <w:snapToGrid/>
        <w:spacing w:line="400" w:lineRule="exact"/>
        <w:ind w:firstLine="420" w:firstLineChars="200"/>
        <w:textAlignment w:val="auto"/>
        <w:rPr>
          <w:rFonts w:ascii="宋体" w:hAnsi="宋体"/>
          <w:color w:val="auto"/>
          <w:szCs w:val="21"/>
        </w:rPr>
      </w:pPr>
      <w:r>
        <w:rPr>
          <w:rFonts w:ascii="宋体" w:hAnsi="宋体"/>
          <w:color w:val="auto"/>
          <w:szCs w:val="21"/>
        </w:rPr>
        <w:t>考虑到标准间的协调一致，本</w:t>
      </w:r>
      <w:r>
        <w:rPr>
          <w:rFonts w:hint="eastAsia" w:ascii="宋体" w:hAnsi="宋体"/>
          <w:color w:val="auto"/>
          <w:szCs w:val="21"/>
        </w:rPr>
        <w:t>标准主要从产品质量、资源消耗、污染物排放等方面</w:t>
      </w:r>
      <w:r>
        <w:rPr>
          <w:rFonts w:ascii="宋体" w:hAnsi="宋体"/>
          <w:color w:val="auto"/>
          <w:szCs w:val="21"/>
        </w:rPr>
        <w:t>引用了下</w:t>
      </w:r>
      <w:r>
        <w:rPr>
          <w:rFonts w:hint="eastAsia" w:ascii="宋体" w:hAnsi="宋体"/>
          <w:color w:val="auto"/>
          <w:szCs w:val="21"/>
        </w:rPr>
        <w:t>列</w:t>
      </w:r>
      <w:r>
        <w:rPr>
          <w:rFonts w:ascii="宋体" w:hAnsi="宋体"/>
          <w:color w:val="auto"/>
          <w:szCs w:val="21"/>
        </w:rPr>
        <w:t>现行标准</w:t>
      </w:r>
      <w:r>
        <w:rPr>
          <w:rFonts w:hint="eastAsia" w:ascii="宋体" w:hAnsi="宋体"/>
          <w:color w:val="auto"/>
          <w:szCs w:val="21"/>
        </w:rPr>
        <w:t>：</w:t>
      </w:r>
    </w:p>
    <w:p>
      <w:pPr>
        <w:pStyle w:val="15"/>
        <w:keepNext w:val="0"/>
        <w:keepLines w:val="0"/>
        <w:pageBreakBefore w:val="0"/>
        <w:kinsoku/>
        <w:wordWrap/>
        <w:overflowPunct/>
        <w:topLinePunct w:val="0"/>
        <w:bidi w:val="0"/>
        <w:snapToGrid/>
        <w:spacing w:line="400" w:lineRule="exact"/>
        <w:ind w:firstLine="420" w:firstLineChars="200"/>
        <w:textAlignment w:val="auto"/>
        <w:rPr>
          <w:color w:val="auto"/>
          <w:sz w:val="21"/>
          <w:szCs w:val="21"/>
        </w:rPr>
      </w:pPr>
      <w:r>
        <w:rPr>
          <w:color w:val="auto"/>
          <w:sz w:val="21"/>
          <w:szCs w:val="21"/>
        </w:rPr>
        <w:t xml:space="preserve">GB/T </w:t>
      </w:r>
      <w:r>
        <w:rPr>
          <w:rFonts w:hint="eastAsia"/>
          <w:color w:val="auto"/>
          <w:sz w:val="21"/>
          <w:szCs w:val="21"/>
        </w:rPr>
        <w:t>2040  铜及铜合金板材</w:t>
      </w:r>
    </w:p>
    <w:p>
      <w:pPr>
        <w:pStyle w:val="15"/>
        <w:keepNext w:val="0"/>
        <w:keepLines w:val="0"/>
        <w:pageBreakBefore w:val="0"/>
        <w:kinsoku/>
        <w:wordWrap/>
        <w:overflowPunct/>
        <w:topLinePunct w:val="0"/>
        <w:bidi w:val="0"/>
        <w:snapToGrid/>
        <w:spacing w:line="400" w:lineRule="exact"/>
        <w:ind w:firstLine="420" w:firstLineChars="200"/>
        <w:textAlignment w:val="auto"/>
        <w:rPr>
          <w:color w:val="auto"/>
          <w:sz w:val="21"/>
          <w:szCs w:val="21"/>
        </w:rPr>
      </w:pPr>
      <w:r>
        <w:rPr>
          <w:color w:val="auto"/>
          <w:sz w:val="21"/>
          <w:szCs w:val="21"/>
        </w:rPr>
        <w:t xml:space="preserve">GB/T </w:t>
      </w:r>
      <w:r>
        <w:rPr>
          <w:rFonts w:hint="eastAsia"/>
          <w:color w:val="auto"/>
          <w:sz w:val="21"/>
          <w:szCs w:val="21"/>
        </w:rPr>
        <w:t>2059  铜及铜合金带材</w:t>
      </w:r>
    </w:p>
    <w:p>
      <w:pPr>
        <w:pStyle w:val="15"/>
        <w:keepNext w:val="0"/>
        <w:keepLines w:val="0"/>
        <w:pageBreakBefore w:val="0"/>
        <w:kinsoku/>
        <w:wordWrap/>
        <w:overflowPunct/>
        <w:topLinePunct w:val="0"/>
        <w:bidi w:val="0"/>
        <w:snapToGrid/>
        <w:spacing w:line="400" w:lineRule="exact"/>
        <w:ind w:firstLine="420" w:firstLineChars="200"/>
        <w:textAlignment w:val="auto"/>
        <w:rPr>
          <w:color w:val="auto"/>
          <w:sz w:val="21"/>
          <w:szCs w:val="21"/>
        </w:rPr>
      </w:pPr>
      <w:r>
        <w:rPr>
          <w:color w:val="auto"/>
          <w:sz w:val="21"/>
          <w:szCs w:val="21"/>
        </w:rPr>
        <w:t xml:space="preserve">GB/T </w:t>
      </w:r>
      <w:r>
        <w:rPr>
          <w:rFonts w:hint="eastAsia"/>
          <w:color w:val="auto"/>
          <w:sz w:val="21"/>
          <w:szCs w:val="21"/>
        </w:rPr>
        <w:t>5187  铜及铜合金箔材</w:t>
      </w:r>
    </w:p>
    <w:p>
      <w:pPr>
        <w:pStyle w:val="15"/>
        <w:keepNext w:val="0"/>
        <w:keepLines w:val="0"/>
        <w:pageBreakBefore w:val="0"/>
        <w:kinsoku/>
        <w:wordWrap/>
        <w:overflowPunct/>
        <w:topLinePunct w:val="0"/>
        <w:bidi w:val="0"/>
        <w:snapToGrid/>
        <w:spacing w:line="400" w:lineRule="exact"/>
        <w:ind w:firstLine="420" w:firstLineChars="200"/>
        <w:textAlignment w:val="auto"/>
        <w:rPr>
          <w:color w:val="auto"/>
          <w:sz w:val="21"/>
          <w:szCs w:val="21"/>
        </w:rPr>
      </w:pPr>
      <w:r>
        <w:rPr>
          <w:color w:val="auto"/>
          <w:sz w:val="21"/>
          <w:szCs w:val="21"/>
        </w:rPr>
        <w:t>GB</w:t>
      </w:r>
      <w:r>
        <w:rPr>
          <w:rFonts w:hint="eastAsia"/>
          <w:color w:val="auto"/>
          <w:sz w:val="21"/>
          <w:szCs w:val="21"/>
        </w:rPr>
        <w:t xml:space="preserve"> 8978  污水综合排放标准</w:t>
      </w:r>
    </w:p>
    <w:p>
      <w:pPr>
        <w:pStyle w:val="15"/>
        <w:keepNext w:val="0"/>
        <w:keepLines w:val="0"/>
        <w:pageBreakBefore w:val="0"/>
        <w:kinsoku/>
        <w:wordWrap/>
        <w:overflowPunct/>
        <w:topLinePunct w:val="0"/>
        <w:bidi w:val="0"/>
        <w:snapToGrid/>
        <w:spacing w:line="400" w:lineRule="exact"/>
        <w:ind w:firstLine="420" w:firstLineChars="200"/>
        <w:textAlignment w:val="auto"/>
        <w:rPr>
          <w:color w:val="auto"/>
          <w:sz w:val="21"/>
          <w:szCs w:val="21"/>
        </w:rPr>
      </w:pPr>
      <w:r>
        <w:rPr>
          <w:color w:val="auto"/>
          <w:sz w:val="21"/>
          <w:szCs w:val="21"/>
        </w:rPr>
        <w:t>GB</w:t>
      </w:r>
      <w:r>
        <w:rPr>
          <w:rFonts w:hint="eastAsia"/>
          <w:color w:val="auto"/>
          <w:sz w:val="21"/>
          <w:szCs w:val="21"/>
        </w:rPr>
        <w:t xml:space="preserve"> 12348  工业企业厂界噪声标准</w:t>
      </w:r>
    </w:p>
    <w:p>
      <w:pPr>
        <w:pStyle w:val="15"/>
        <w:keepNext w:val="0"/>
        <w:keepLines w:val="0"/>
        <w:pageBreakBefore w:val="0"/>
        <w:kinsoku/>
        <w:wordWrap/>
        <w:overflowPunct/>
        <w:topLinePunct w:val="0"/>
        <w:bidi w:val="0"/>
        <w:snapToGrid/>
        <w:spacing w:line="400" w:lineRule="exact"/>
        <w:ind w:firstLine="420" w:firstLineChars="200"/>
        <w:textAlignment w:val="auto"/>
        <w:rPr>
          <w:color w:val="auto"/>
          <w:sz w:val="21"/>
          <w:szCs w:val="21"/>
        </w:rPr>
      </w:pPr>
      <w:r>
        <w:rPr>
          <w:color w:val="auto"/>
          <w:sz w:val="21"/>
          <w:szCs w:val="21"/>
        </w:rPr>
        <w:t>GB</w:t>
      </w:r>
      <w:r>
        <w:rPr>
          <w:rFonts w:hint="eastAsia"/>
          <w:color w:val="auto"/>
          <w:sz w:val="21"/>
          <w:szCs w:val="21"/>
        </w:rPr>
        <w:t xml:space="preserve"> 18597  危险废物贮存污染控制标准</w:t>
      </w:r>
    </w:p>
    <w:p>
      <w:pPr>
        <w:pStyle w:val="15"/>
        <w:keepNext w:val="0"/>
        <w:keepLines w:val="0"/>
        <w:pageBreakBefore w:val="0"/>
        <w:kinsoku/>
        <w:wordWrap/>
        <w:overflowPunct/>
        <w:topLinePunct w:val="0"/>
        <w:bidi w:val="0"/>
        <w:snapToGrid/>
        <w:spacing w:line="400" w:lineRule="exact"/>
        <w:ind w:firstLine="420" w:firstLineChars="200"/>
        <w:textAlignment w:val="auto"/>
        <w:rPr>
          <w:color w:val="auto"/>
          <w:sz w:val="21"/>
          <w:szCs w:val="21"/>
        </w:rPr>
      </w:pPr>
      <w:r>
        <w:rPr>
          <w:rFonts w:hint="eastAsia" w:hAnsi="宋体" w:cs="黑体"/>
          <w:color w:val="auto"/>
          <w:sz w:val="21"/>
          <w:szCs w:val="21"/>
        </w:rPr>
        <w:t>GB 18599  一般工业固废贮存控制标准</w:t>
      </w:r>
    </w:p>
    <w:p>
      <w:pPr>
        <w:pStyle w:val="15"/>
        <w:keepNext w:val="0"/>
        <w:keepLines w:val="0"/>
        <w:pageBreakBefore w:val="0"/>
        <w:kinsoku/>
        <w:wordWrap/>
        <w:overflowPunct/>
        <w:topLinePunct w:val="0"/>
        <w:bidi w:val="0"/>
        <w:snapToGrid/>
        <w:spacing w:line="400" w:lineRule="exact"/>
        <w:ind w:firstLine="420" w:firstLineChars="200"/>
        <w:textAlignment w:val="auto"/>
        <w:rPr>
          <w:color w:val="auto"/>
          <w:sz w:val="21"/>
          <w:szCs w:val="21"/>
        </w:rPr>
      </w:pPr>
      <w:r>
        <w:rPr>
          <w:color w:val="auto"/>
          <w:sz w:val="21"/>
          <w:szCs w:val="21"/>
        </w:rPr>
        <w:t xml:space="preserve">GB/T 19001 </w:t>
      </w:r>
      <w:r>
        <w:rPr>
          <w:rFonts w:hint="eastAsia"/>
          <w:color w:val="auto"/>
          <w:sz w:val="21"/>
          <w:szCs w:val="21"/>
        </w:rPr>
        <w:t xml:space="preserve"> 质量管理体系要求</w:t>
      </w:r>
      <w:r>
        <w:rPr>
          <w:color w:val="auto"/>
          <w:sz w:val="21"/>
          <w:szCs w:val="21"/>
        </w:rPr>
        <w:t xml:space="preserve"> </w:t>
      </w:r>
    </w:p>
    <w:p>
      <w:pPr>
        <w:pStyle w:val="15"/>
        <w:keepNext w:val="0"/>
        <w:keepLines w:val="0"/>
        <w:pageBreakBefore w:val="0"/>
        <w:kinsoku/>
        <w:wordWrap/>
        <w:overflowPunct/>
        <w:topLinePunct w:val="0"/>
        <w:bidi w:val="0"/>
        <w:snapToGrid/>
        <w:spacing w:line="400" w:lineRule="exact"/>
        <w:textAlignment w:val="auto"/>
        <w:rPr>
          <w:color w:val="auto"/>
          <w:sz w:val="21"/>
          <w:szCs w:val="21"/>
        </w:rPr>
      </w:pPr>
      <w:r>
        <w:rPr>
          <w:rFonts w:hint="eastAsia"/>
          <w:color w:val="auto"/>
          <w:sz w:val="21"/>
          <w:szCs w:val="21"/>
        </w:rPr>
        <w:t xml:space="preserve">    </w:t>
      </w:r>
      <w:r>
        <w:rPr>
          <w:color w:val="auto"/>
          <w:sz w:val="21"/>
          <w:szCs w:val="21"/>
        </w:rPr>
        <w:t xml:space="preserve">GB/T 23331 </w:t>
      </w:r>
      <w:r>
        <w:rPr>
          <w:rFonts w:hint="eastAsia"/>
          <w:color w:val="auto"/>
          <w:sz w:val="21"/>
          <w:szCs w:val="21"/>
        </w:rPr>
        <w:t xml:space="preserve"> 能源管理体系</w:t>
      </w:r>
      <w:r>
        <w:rPr>
          <w:color w:val="auto"/>
          <w:sz w:val="21"/>
          <w:szCs w:val="21"/>
        </w:rPr>
        <w:t xml:space="preserve"> </w:t>
      </w:r>
    </w:p>
    <w:p>
      <w:pPr>
        <w:pStyle w:val="15"/>
        <w:keepNext w:val="0"/>
        <w:keepLines w:val="0"/>
        <w:pageBreakBefore w:val="0"/>
        <w:kinsoku/>
        <w:wordWrap/>
        <w:overflowPunct/>
        <w:topLinePunct w:val="0"/>
        <w:bidi w:val="0"/>
        <w:snapToGrid/>
        <w:spacing w:line="400" w:lineRule="exact"/>
        <w:ind w:firstLine="420" w:firstLineChars="200"/>
        <w:textAlignment w:val="auto"/>
        <w:rPr>
          <w:color w:val="auto"/>
          <w:sz w:val="21"/>
          <w:szCs w:val="21"/>
        </w:rPr>
      </w:pPr>
      <w:r>
        <w:rPr>
          <w:color w:val="auto"/>
          <w:sz w:val="21"/>
          <w:szCs w:val="21"/>
        </w:rPr>
        <w:t xml:space="preserve">GB/T 24001 </w:t>
      </w:r>
      <w:r>
        <w:rPr>
          <w:rFonts w:hint="eastAsia"/>
          <w:color w:val="auto"/>
          <w:sz w:val="21"/>
          <w:szCs w:val="21"/>
        </w:rPr>
        <w:t xml:space="preserve"> 环境管理体系</w:t>
      </w:r>
      <w:r>
        <w:rPr>
          <w:color w:val="auto"/>
          <w:sz w:val="21"/>
          <w:szCs w:val="21"/>
        </w:rPr>
        <w:t xml:space="preserve"> </w:t>
      </w:r>
      <w:r>
        <w:rPr>
          <w:rFonts w:hint="eastAsia"/>
          <w:color w:val="auto"/>
          <w:sz w:val="21"/>
          <w:szCs w:val="21"/>
        </w:rPr>
        <w:t>要求及使用指南</w:t>
      </w:r>
    </w:p>
    <w:p>
      <w:pPr>
        <w:pStyle w:val="15"/>
        <w:keepNext w:val="0"/>
        <w:keepLines w:val="0"/>
        <w:pageBreakBefore w:val="0"/>
        <w:kinsoku/>
        <w:wordWrap/>
        <w:overflowPunct/>
        <w:topLinePunct w:val="0"/>
        <w:bidi w:val="0"/>
        <w:snapToGrid/>
        <w:spacing w:line="400" w:lineRule="exact"/>
        <w:ind w:firstLine="420" w:firstLineChars="200"/>
        <w:textAlignment w:val="auto"/>
        <w:rPr>
          <w:color w:val="auto"/>
          <w:sz w:val="21"/>
          <w:szCs w:val="21"/>
        </w:rPr>
      </w:pPr>
      <w:r>
        <w:rPr>
          <w:color w:val="auto"/>
          <w:sz w:val="21"/>
          <w:szCs w:val="21"/>
        </w:rPr>
        <w:t xml:space="preserve">GB/T 24040 </w:t>
      </w:r>
      <w:r>
        <w:rPr>
          <w:rFonts w:hint="eastAsia"/>
          <w:color w:val="auto"/>
          <w:sz w:val="21"/>
          <w:szCs w:val="21"/>
        </w:rPr>
        <w:t xml:space="preserve"> 环境管理 生命周期评价 原则与框架</w:t>
      </w:r>
    </w:p>
    <w:p>
      <w:pPr>
        <w:pStyle w:val="15"/>
        <w:keepNext w:val="0"/>
        <w:keepLines w:val="0"/>
        <w:pageBreakBefore w:val="0"/>
        <w:kinsoku/>
        <w:wordWrap/>
        <w:overflowPunct/>
        <w:topLinePunct w:val="0"/>
        <w:bidi w:val="0"/>
        <w:snapToGrid/>
        <w:spacing w:line="400" w:lineRule="exact"/>
        <w:ind w:firstLine="420" w:firstLineChars="200"/>
        <w:textAlignment w:val="auto"/>
        <w:rPr>
          <w:color w:val="auto"/>
          <w:sz w:val="21"/>
          <w:szCs w:val="21"/>
        </w:rPr>
      </w:pPr>
      <w:r>
        <w:rPr>
          <w:color w:val="auto"/>
          <w:sz w:val="21"/>
          <w:szCs w:val="21"/>
        </w:rPr>
        <w:t xml:space="preserve">GB/T 24044 </w:t>
      </w:r>
      <w:r>
        <w:rPr>
          <w:rFonts w:hint="eastAsia"/>
          <w:color w:val="auto"/>
          <w:sz w:val="21"/>
          <w:szCs w:val="21"/>
        </w:rPr>
        <w:t xml:space="preserve"> 环境管理 生命周期评价 要求与指南</w:t>
      </w:r>
    </w:p>
    <w:p>
      <w:pPr>
        <w:pStyle w:val="15"/>
        <w:keepNext w:val="0"/>
        <w:keepLines w:val="0"/>
        <w:pageBreakBefore w:val="0"/>
        <w:kinsoku/>
        <w:wordWrap/>
        <w:overflowPunct/>
        <w:topLinePunct w:val="0"/>
        <w:bidi w:val="0"/>
        <w:snapToGrid/>
        <w:spacing w:line="400" w:lineRule="exact"/>
        <w:ind w:firstLine="420" w:firstLineChars="200"/>
        <w:textAlignment w:val="auto"/>
        <w:rPr>
          <w:color w:val="auto"/>
          <w:sz w:val="21"/>
          <w:szCs w:val="21"/>
        </w:rPr>
      </w:pPr>
      <w:r>
        <w:rPr>
          <w:color w:val="auto"/>
          <w:sz w:val="21"/>
          <w:szCs w:val="21"/>
        </w:rPr>
        <w:t>GB/T</w:t>
      </w:r>
      <w:r>
        <w:rPr>
          <w:rFonts w:hint="eastAsia"/>
          <w:color w:val="auto"/>
          <w:sz w:val="21"/>
          <w:szCs w:val="21"/>
        </w:rPr>
        <w:t xml:space="preserve"> 45001  职业健康安全管理体系 要求及使用指南</w:t>
      </w:r>
    </w:p>
    <w:p>
      <w:pPr>
        <w:pStyle w:val="15"/>
        <w:keepNext w:val="0"/>
        <w:keepLines w:val="0"/>
        <w:pageBreakBefore w:val="0"/>
        <w:kinsoku/>
        <w:wordWrap/>
        <w:overflowPunct/>
        <w:topLinePunct w:val="0"/>
        <w:bidi w:val="0"/>
        <w:snapToGrid/>
        <w:spacing w:line="400" w:lineRule="exact"/>
        <w:ind w:firstLine="420"/>
        <w:textAlignment w:val="auto"/>
        <w:rPr>
          <w:color w:val="auto"/>
          <w:sz w:val="21"/>
          <w:szCs w:val="21"/>
        </w:rPr>
      </w:pPr>
      <w:r>
        <w:rPr>
          <w:color w:val="auto"/>
          <w:sz w:val="21"/>
          <w:szCs w:val="21"/>
        </w:rPr>
        <w:t xml:space="preserve">GB/T 32161 </w:t>
      </w:r>
      <w:r>
        <w:rPr>
          <w:rFonts w:hint="eastAsia"/>
          <w:color w:val="auto"/>
          <w:sz w:val="21"/>
          <w:szCs w:val="21"/>
        </w:rPr>
        <w:t xml:space="preserve"> 生态设计产品评价通则</w:t>
      </w:r>
    </w:p>
    <w:p>
      <w:pPr>
        <w:pStyle w:val="15"/>
        <w:keepNext w:val="0"/>
        <w:keepLines w:val="0"/>
        <w:pageBreakBefore w:val="0"/>
        <w:kinsoku/>
        <w:wordWrap/>
        <w:overflowPunct/>
        <w:topLinePunct w:val="0"/>
        <w:bidi w:val="0"/>
        <w:snapToGrid/>
        <w:spacing w:line="400" w:lineRule="exact"/>
        <w:ind w:firstLine="420"/>
        <w:textAlignment w:val="auto"/>
        <w:rPr>
          <w:color w:val="auto"/>
          <w:sz w:val="21"/>
          <w:szCs w:val="21"/>
        </w:rPr>
      </w:pPr>
      <w:r>
        <w:rPr>
          <w:color w:val="auto"/>
          <w:sz w:val="21"/>
          <w:szCs w:val="21"/>
          <w:shd w:val="clear" w:color="auto" w:fill="FFFFFF"/>
        </w:rPr>
        <w:t>GB/T</w:t>
      </w:r>
      <w:r>
        <w:rPr>
          <w:rFonts w:hint="eastAsia"/>
          <w:color w:val="auto"/>
          <w:sz w:val="21"/>
          <w:szCs w:val="21"/>
          <w:shd w:val="clear" w:color="auto" w:fill="FFFFFF"/>
        </w:rPr>
        <w:t xml:space="preserve"> </w:t>
      </w:r>
      <w:r>
        <w:rPr>
          <w:color w:val="auto"/>
          <w:sz w:val="21"/>
          <w:szCs w:val="21"/>
          <w:shd w:val="clear" w:color="auto" w:fill="FFFFFF"/>
        </w:rPr>
        <w:t>32162</w:t>
      </w:r>
      <w:r>
        <w:rPr>
          <w:rFonts w:hint="eastAsia"/>
          <w:color w:val="auto"/>
          <w:sz w:val="21"/>
          <w:szCs w:val="21"/>
          <w:shd w:val="clear" w:color="auto" w:fill="FFFFFF"/>
        </w:rPr>
        <w:t xml:space="preserve">  生态设计产品标示</w:t>
      </w:r>
    </w:p>
    <w:p>
      <w:pPr>
        <w:pStyle w:val="15"/>
        <w:keepNext w:val="0"/>
        <w:keepLines w:val="0"/>
        <w:pageBreakBefore w:val="0"/>
        <w:kinsoku/>
        <w:wordWrap/>
        <w:overflowPunct/>
        <w:topLinePunct w:val="0"/>
        <w:bidi w:val="0"/>
        <w:snapToGrid/>
        <w:spacing w:line="400" w:lineRule="exact"/>
        <w:ind w:firstLine="420" w:firstLineChars="200"/>
        <w:textAlignment w:val="auto"/>
        <w:rPr>
          <w:color w:val="auto"/>
          <w:sz w:val="21"/>
          <w:szCs w:val="21"/>
        </w:rPr>
      </w:pPr>
      <w:r>
        <w:rPr>
          <w:rFonts w:hint="eastAsia"/>
          <w:color w:val="auto"/>
          <w:sz w:val="21"/>
          <w:szCs w:val="21"/>
        </w:rPr>
        <w:t>GB/T 33000  企业安全生产标准化基本规范</w:t>
      </w:r>
    </w:p>
    <w:p>
      <w:pPr>
        <w:pStyle w:val="15"/>
        <w:keepNext w:val="0"/>
        <w:keepLines w:val="0"/>
        <w:pageBreakBefore w:val="0"/>
        <w:kinsoku/>
        <w:wordWrap/>
        <w:overflowPunct/>
        <w:topLinePunct w:val="0"/>
        <w:bidi w:val="0"/>
        <w:snapToGrid/>
        <w:spacing w:line="400" w:lineRule="exact"/>
        <w:ind w:firstLine="420"/>
        <w:textAlignment w:val="auto"/>
        <w:rPr>
          <w:color w:val="auto"/>
          <w:sz w:val="21"/>
          <w:szCs w:val="21"/>
        </w:rPr>
      </w:pPr>
      <w:r>
        <w:rPr>
          <w:color w:val="auto"/>
          <w:sz w:val="21"/>
          <w:szCs w:val="21"/>
        </w:rPr>
        <w:t>GB</w:t>
      </w:r>
      <w:r>
        <w:rPr>
          <w:rFonts w:hint="eastAsia"/>
          <w:color w:val="auto"/>
          <w:sz w:val="21"/>
          <w:szCs w:val="21"/>
        </w:rPr>
        <w:t xml:space="preserve"> xxxx  铜及铜合金加工材单位产品能源消耗限额</w:t>
      </w:r>
    </w:p>
    <w:p>
      <w:pPr>
        <w:pStyle w:val="15"/>
        <w:keepNext w:val="0"/>
        <w:keepLines w:val="0"/>
        <w:pageBreakBefore w:val="0"/>
        <w:kinsoku/>
        <w:wordWrap/>
        <w:overflowPunct/>
        <w:topLinePunct w:val="0"/>
        <w:bidi w:val="0"/>
        <w:snapToGrid/>
        <w:spacing w:line="400" w:lineRule="exact"/>
        <w:ind w:firstLine="420" w:firstLineChars="200"/>
        <w:textAlignment w:val="auto"/>
        <w:rPr>
          <w:rFonts w:hAnsi="宋体"/>
          <w:bCs/>
          <w:color w:val="auto"/>
          <w:sz w:val="21"/>
          <w:szCs w:val="21"/>
        </w:rPr>
      </w:pPr>
      <w:r>
        <w:rPr>
          <w:rFonts w:hint="eastAsia"/>
          <w:color w:val="auto"/>
          <w:sz w:val="21"/>
          <w:szCs w:val="21"/>
        </w:rPr>
        <w:t xml:space="preserve">YS/T 1401  </w:t>
      </w:r>
      <w:r>
        <w:rPr>
          <w:rFonts w:hint="eastAsia" w:hAnsi="宋体"/>
          <w:bCs/>
          <w:color w:val="auto"/>
          <w:sz w:val="21"/>
          <w:szCs w:val="21"/>
        </w:rPr>
        <w:t>铜加工行业能源计量器具配备和管理要求</w:t>
      </w:r>
    </w:p>
    <w:p>
      <w:pPr>
        <w:keepNext w:val="0"/>
        <w:keepLines w:val="0"/>
        <w:pageBreakBefore w:val="0"/>
        <w:kinsoku/>
        <w:wordWrap/>
        <w:overflowPunct/>
        <w:topLinePunct w:val="0"/>
        <w:bidi w:val="0"/>
        <w:snapToGrid/>
        <w:spacing w:line="400" w:lineRule="exact"/>
        <w:ind w:firstLine="420" w:firstLineChars="200"/>
        <w:textAlignment w:val="auto"/>
        <w:rPr>
          <w:rFonts w:ascii="黑体" w:hAnsi="黑体" w:eastAsia="黑体" w:cs="黑体"/>
          <w:bCs/>
          <w:color w:val="auto"/>
          <w:szCs w:val="21"/>
        </w:rPr>
      </w:pPr>
      <w:r>
        <w:rPr>
          <w:rFonts w:hint="eastAsia" w:ascii="宋体" w:hAnsi="宋体"/>
          <w:bCs/>
          <w:color w:val="auto"/>
          <w:szCs w:val="21"/>
        </w:rPr>
        <w:t xml:space="preserve">T/CNIA XXXX  </w:t>
      </w:r>
      <w:r>
        <w:rPr>
          <w:rFonts w:hint="eastAsia" w:ascii="宋体" w:hAnsi="宋体"/>
          <w:color w:val="auto"/>
          <w:szCs w:val="21"/>
        </w:rPr>
        <w:t>铜及铜合金加工产品制造生命周期评价技术规范（产品种类规则）</w:t>
      </w:r>
    </w:p>
    <w:p>
      <w:pPr>
        <w:keepNext w:val="0"/>
        <w:keepLines w:val="0"/>
        <w:pageBreakBefore w:val="0"/>
        <w:kinsoku/>
        <w:wordWrap/>
        <w:overflowPunct/>
        <w:topLinePunct w:val="0"/>
        <w:bidi w:val="0"/>
        <w:snapToGrid/>
        <w:spacing w:line="400" w:lineRule="exact"/>
        <w:textAlignment w:val="auto"/>
        <w:rPr>
          <w:rFonts w:ascii="黑体" w:hAnsi="黑体" w:eastAsia="黑体" w:cs="黑体"/>
          <w:bCs/>
          <w:color w:val="auto"/>
          <w:szCs w:val="21"/>
        </w:rPr>
      </w:pPr>
      <w:r>
        <w:rPr>
          <w:rFonts w:hint="eastAsia" w:ascii="黑体" w:hAnsi="黑体" w:eastAsia="黑体" w:cs="黑体"/>
          <w:bCs/>
          <w:color w:val="auto"/>
          <w:szCs w:val="21"/>
        </w:rPr>
        <w:t>4.3 术语和定义</w:t>
      </w:r>
    </w:p>
    <w:p>
      <w:pPr>
        <w:keepNext w:val="0"/>
        <w:keepLines w:val="0"/>
        <w:pageBreakBefore w:val="0"/>
        <w:kinsoku/>
        <w:wordWrap/>
        <w:overflowPunct/>
        <w:topLinePunct w:val="0"/>
        <w:bidi w:val="0"/>
        <w:snapToGrid/>
        <w:spacing w:line="400" w:lineRule="exact"/>
        <w:ind w:firstLine="420" w:firstLineChars="200"/>
        <w:textAlignment w:val="auto"/>
        <w:rPr>
          <w:rFonts w:ascii="宋体" w:hAnsi="宋体" w:cs="宋体"/>
          <w:color w:val="auto"/>
          <w:szCs w:val="21"/>
        </w:rPr>
      </w:pPr>
      <w:r>
        <w:rPr>
          <w:rFonts w:hint="eastAsia"/>
          <w:color w:val="auto"/>
          <w:szCs w:val="21"/>
        </w:rPr>
        <w:t>对于绿色设计产品评价中涉及的术语进行了说明，GB/T 32161</w:t>
      </w:r>
      <w:r>
        <w:rPr>
          <w:rFonts w:hint="eastAsia" w:ascii="宋体" w:cs="宋体"/>
          <w:color w:val="auto"/>
          <w:kern w:val="0"/>
          <w:szCs w:val="21"/>
        </w:rPr>
        <w:t>和GB/T 32162</w:t>
      </w:r>
      <w:r>
        <w:rPr>
          <w:rFonts w:hint="eastAsia"/>
          <w:color w:val="auto"/>
          <w:szCs w:val="21"/>
        </w:rPr>
        <w:t>界定的术语均适用于本标准，另对</w:t>
      </w:r>
      <w:r>
        <w:rPr>
          <w:rFonts w:hint="eastAsia" w:ascii="宋体" w:hAnsi="宋体"/>
          <w:color w:val="auto"/>
          <w:szCs w:val="21"/>
        </w:rPr>
        <w:t>铜及铜合金</w:t>
      </w:r>
      <w:r>
        <w:rPr>
          <w:rFonts w:hint="eastAsia" w:ascii="宋体" w:hAnsi="Calibri" w:cs="宋体"/>
          <w:color w:val="auto"/>
          <w:kern w:val="0"/>
          <w:szCs w:val="21"/>
        </w:rPr>
        <w:t>冷轧板带箔</w:t>
      </w:r>
      <w:r>
        <w:rPr>
          <w:rFonts w:hint="eastAsia" w:ascii="宋体" w:hAnsi="宋体"/>
          <w:color w:val="auto"/>
          <w:szCs w:val="21"/>
        </w:rPr>
        <w:t>材生命周期范围、绿色供应链管理</w:t>
      </w:r>
      <w:r>
        <w:rPr>
          <w:rFonts w:hint="eastAsia" w:ascii="宋体" w:hAnsi="宋体" w:cs="宋体"/>
          <w:color w:val="auto"/>
          <w:szCs w:val="21"/>
        </w:rPr>
        <w:t>术语做出规定。</w:t>
      </w:r>
    </w:p>
    <w:p>
      <w:pPr>
        <w:keepNext w:val="0"/>
        <w:keepLines w:val="0"/>
        <w:pageBreakBefore w:val="0"/>
        <w:kinsoku/>
        <w:wordWrap/>
        <w:overflowPunct/>
        <w:topLinePunct w:val="0"/>
        <w:bidi w:val="0"/>
        <w:snapToGrid/>
        <w:spacing w:beforeLines="50" w:line="400" w:lineRule="exact"/>
        <w:textAlignment w:val="auto"/>
        <w:rPr>
          <w:rFonts w:ascii="黑体" w:hAnsi="黑体" w:eastAsia="黑体" w:cs="黑体"/>
          <w:bCs/>
          <w:color w:val="auto"/>
          <w:szCs w:val="21"/>
        </w:rPr>
      </w:pPr>
      <w:r>
        <w:rPr>
          <w:rFonts w:hint="eastAsia" w:ascii="黑体" w:hAnsi="黑体" w:eastAsia="黑体" w:cs="黑体"/>
          <w:bCs/>
          <w:color w:val="auto"/>
          <w:szCs w:val="21"/>
        </w:rPr>
        <w:t>4.4 评价要求</w:t>
      </w:r>
    </w:p>
    <w:p>
      <w:pPr>
        <w:keepNext w:val="0"/>
        <w:keepLines w:val="0"/>
        <w:pageBreakBefore w:val="0"/>
        <w:kinsoku/>
        <w:wordWrap/>
        <w:overflowPunct/>
        <w:topLinePunct w:val="0"/>
        <w:bidi w:val="0"/>
        <w:snapToGrid/>
        <w:spacing w:beforeLines="50" w:line="400" w:lineRule="exact"/>
        <w:textAlignment w:val="auto"/>
        <w:rPr>
          <w:color w:val="auto"/>
          <w:szCs w:val="21"/>
        </w:rPr>
      </w:pPr>
      <w:r>
        <w:rPr>
          <w:rFonts w:hint="eastAsia" w:ascii="黑体" w:eastAsia="黑体"/>
          <w:color w:val="auto"/>
          <w:szCs w:val="21"/>
        </w:rPr>
        <w:t>4.4.1</w:t>
      </w:r>
      <w:r>
        <w:rPr>
          <w:rFonts w:hint="eastAsia"/>
          <w:color w:val="auto"/>
          <w:szCs w:val="21"/>
        </w:rPr>
        <w:t>基本</w:t>
      </w:r>
      <w:r>
        <w:rPr>
          <w:rFonts w:hint="eastAsia" w:ascii="黑体" w:hAnsi="黑体" w:eastAsia="黑体" w:cs="黑体"/>
          <w:bCs/>
          <w:color w:val="auto"/>
          <w:szCs w:val="21"/>
        </w:rPr>
        <w:t>要求</w:t>
      </w:r>
    </w:p>
    <w:p>
      <w:pPr>
        <w:keepNext w:val="0"/>
        <w:keepLines w:val="0"/>
        <w:pageBreakBefore w:val="0"/>
        <w:kinsoku/>
        <w:wordWrap/>
        <w:overflowPunct/>
        <w:topLinePunct w:val="0"/>
        <w:bidi w:val="0"/>
        <w:snapToGrid/>
        <w:spacing w:line="400" w:lineRule="exact"/>
        <w:ind w:left="15" w:firstLine="420" w:firstLineChars="200"/>
        <w:textAlignment w:val="auto"/>
        <w:rPr>
          <w:color w:val="auto"/>
          <w:szCs w:val="21"/>
        </w:rPr>
      </w:pPr>
      <w:r>
        <w:rPr>
          <w:rFonts w:hint="eastAsia"/>
          <w:color w:val="auto"/>
          <w:szCs w:val="21"/>
        </w:rPr>
        <w:t>评价的基本要求是必须达到的要求，</w:t>
      </w:r>
      <w:r>
        <w:rPr>
          <w:rFonts w:hint="eastAsia" w:ascii="宋体" w:hAnsi="宋体" w:cs="宋体"/>
          <w:color w:val="auto"/>
          <w:szCs w:val="21"/>
        </w:rPr>
        <w:t>主要包括生产企业合规性要求、产品质量要求、污染排放控制要求、安全管理要求以及能源管理等。</w:t>
      </w:r>
      <w:r>
        <w:rPr>
          <w:color w:val="auto"/>
          <w:szCs w:val="21"/>
        </w:rPr>
        <w:t>生产企业要满足以下要求</w:t>
      </w:r>
      <w:r>
        <w:rPr>
          <w:rFonts w:hint="eastAsia"/>
          <w:color w:val="auto"/>
          <w:szCs w:val="21"/>
        </w:rPr>
        <w:t>：</w:t>
      </w:r>
    </w:p>
    <w:p>
      <w:pPr>
        <w:keepNext w:val="0"/>
        <w:keepLines w:val="0"/>
        <w:pageBreakBefore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cs="宋体"/>
          <w:i/>
          <w:color w:val="auto"/>
          <w:kern w:val="0"/>
          <w:szCs w:val="21"/>
        </w:rPr>
      </w:pPr>
      <w:r>
        <w:rPr>
          <w:rFonts w:hint="eastAsia" w:ascii="黑体" w:eastAsia="黑体" w:cs="黑体"/>
          <w:i/>
          <w:color w:val="auto"/>
          <w:kern w:val="0"/>
          <w:szCs w:val="21"/>
        </w:rPr>
        <w:t>（1）生产</w:t>
      </w:r>
      <w:r>
        <w:rPr>
          <w:rFonts w:hint="eastAsia" w:ascii="宋体" w:cs="宋体"/>
          <w:i/>
          <w:color w:val="auto"/>
          <w:kern w:val="0"/>
          <w:szCs w:val="21"/>
        </w:rPr>
        <w:t>企业应符合国家和地方相关政策、法律法规及标准要求，</w:t>
      </w:r>
      <w:r>
        <w:rPr>
          <w:rFonts w:hint="eastAsia"/>
          <w:i/>
          <w:color w:val="auto"/>
          <w:szCs w:val="21"/>
        </w:rPr>
        <w:t>产品质量应符合</w:t>
      </w:r>
      <w:r>
        <w:rPr>
          <w:i/>
          <w:color w:val="auto"/>
          <w:szCs w:val="21"/>
        </w:rPr>
        <w:t xml:space="preserve">GB/T </w:t>
      </w:r>
      <w:r>
        <w:rPr>
          <w:rFonts w:hint="eastAsia"/>
          <w:i/>
          <w:color w:val="auto"/>
          <w:szCs w:val="21"/>
        </w:rPr>
        <w:t>2040的要求</w:t>
      </w:r>
      <w:r>
        <w:rPr>
          <w:i/>
          <w:color w:val="auto"/>
          <w:szCs w:val="21"/>
        </w:rPr>
        <w:t xml:space="preserve"> </w:t>
      </w:r>
      <w:r>
        <w:rPr>
          <w:rFonts w:hint="eastAsia"/>
          <w:i/>
          <w:color w:val="auto"/>
          <w:szCs w:val="21"/>
        </w:rPr>
        <w:t>。</w:t>
      </w:r>
    </w:p>
    <w:p>
      <w:pPr>
        <w:keepNext w:val="0"/>
        <w:keepLines w:val="0"/>
        <w:pageBreakBefore w:val="0"/>
        <w:widowControl/>
        <w:kinsoku/>
        <w:wordWrap/>
        <w:overflowPunct/>
        <w:topLinePunct w:val="0"/>
        <w:bidi w:val="0"/>
        <w:snapToGrid/>
        <w:spacing w:line="400" w:lineRule="exact"/>
        <w:ind w:firstLine="420" w:firstLineChars="200"/>
        <w:jc w:val="left"/>
        <w:textAlignment w:val="auto"/>
        <w:rPr>
          <w:bCs/>
          <w:color w:val="auto"/>
        </w:rPr>
      </w:pPr>
      <w:r>
        <w:rPr>
          <w:rFonts w:hint="eastAsia"/>
          <w:bCs/>
          <w:color w:val="auto"/>
        </w:rPr>
        <w:t>说明：</w:t>
      </w:r>
      <w:r>
        <w:rPr>
          <w:rFonts w:hint="eastAsia"/>
          <w:color w:val="auto"/>
        </w:rPr>
        <w:t>铜及铜合金</w:t>
      </w:r>
      <w:r>
        <w:rPr>
          <w:rFonts w:hint="eastAsia" w:ascii="宋体" w:hAnsi="Calibri" w:cs="宋体"/>
          <w:color w:val="auto"/>
          <w:kern w:val="0"/>
          <w:szCs w:val="21"/>
        </w:rPr>
        <w:t>冷轧板带箔</w:t>
      </w:r>
      <w:r>
        <w:rPr>
          <w:rFonts w:hint="eastAsia"/>
          <w:color w:val="auto"/>
        </w:rPr>
        <w:t>材</w:t>
      </w:r>
      <w:r>
        <w:rPr>
          <w:rFonts w:hint="eastAsia"/>
          <w:bCs/>
          <w:color w:val="auto"/>
        </w:rPr>
        <w:t>产品需要达到的最基本条件。</w:t>
      </w:r>
    </w:p>
    <w:p>
      <w:pPr>
        <w:keepNext w:val="0"/>
        <w:keepLines w:val="0"/>
        <w:pageBreakBefore w:val="0"/>
        <w:widowControl/>
        <w:kinsoku/>
        <w:wordWrap/>
        <w:overflowPunct/>
        <w:topLinePunct w:val="0"/>
        <w:bidi w:val="0"/>
        <w:snapToGrid/>
        <w:spacing w:line="400" w:lineRule="exact"/>
        <w:ind w:firstLine="420" w:firstLineChars="200"/>
        <w:jc w:val="left"/>
        <w:textAlignment w:val="auto"/>
        <w:rPr>
          <w:rFonts w:ascii="宋体" w:cs="宋体"/>
          <w:i/>
          <w:color w:val="auto"/>
          <w:kern w:val="0"/>
          <w:szCs w:val="21"/>
        </w:rPr>
      </w:pPr>
      <w:r>
        <w:rPr>
          <w:rFonts w:hint="eastAsia"/>
          <w:i/>
          <w:color w:val="auto"/>
          <w:szCs w:val="21"/>
        </w:rPr>
        <w:t>（2）</w:t>
      </w:r>
      <w:r>
        <w:rPr>
          <w:rFonts w:hint="eastAsia" w:ascii="宋体" w:cs="宋体"/>
          <w:i/>
          <w:color w:val="auto"/>
          <w:kern w:val="0"/>
          <w:szCs w:val="21"/>
        </w:rPr>
        <w:t>近三年无重大安全、环境污染和质量事故。</w:t>
      </w:r>
    </w:p>
    <w:p>
      <w:pPr>
        <w:keepNext w:val="0"/>
        <w:keepLines w:val="0"/>
        <w:pageBreakBefore w:val="0"/>
        <w:widowControl/>
        <w:kinsoku/>
        <w:wordWrap/>
        <w:overflowPunct/>
        <w:topLinePunct w:val="0"/>
        <w:bidi w:val="0"/>
        <w:snapToGrid/>
        <w:spacing w:line="400" w:lineRule="exact"/>
        <w:ind w:firstLine="420"/>
        <w:jc w:val="left"/>
        <w:textAlignment w:val="auto"/>
        <w:rPr>
          <w:rFonts w:ascii="宋体" w:cs="宋体"/>
          <w:color w:val="auto"/>
          <w:kern w:val="0"/>
          <w:szCs w:val="21"/>
        </w:rPr>
      </w:pPr>
      <w:r>
        <w:rPr>
          <w:rFonts w:hint="eastAsia" w:ascii="宋体" w:cs="宋体"/>
          <w:color w:val="auto"/>
          <w:kern w:val="0"/>
          <w:szCs w:val="21"/>
        </w:rPr>
        <w:t>说明：近三年无重大安全、环境污染和质量事故，这点是对企业过去三年来管理能力的基本反映，着出现重大事故，则企业管理体系存在重大缺陷，不能参加评价。</w:t>
      </w:r>
    </w:p>
    <w:p>
      <w:pPr>
        <w:keepNext w:val="0"/>
        <w:keepLines w:val="0"/>
        <w:pageBreakBefore w:val="0"/>
        <w:widowControl/>
        <w:kinsoku/>
        <w:wordWrap/>
        <w:overflowPunct/>
        <w:topLinePunct w:val="0"/>
        <w:bidi w:val="0"/>
        <w:snapToGrid/>
        <w:spacing w:line="400" w:lineRule="exact"/>
        <w:ind w:firstLine="420"/>
        <w:jc w:val="left"/>
        <w:textAlignment w:val="auto"/>
        <w:rPr>
          <w:rFonts w:ascii="宋体" w:cs="宋体"/>
          <w:i/>
          <w:color w:val="auto"/>
          <w:kern w:val="0"/>
          <w:szCs w:val="21"/>
        </w:rPr>
      </w:pPr>
      <w:r>
        <w:rPr>
          <w:rFonts w:hint="eastAsia" w:ascii="宋体" w:cs="宋体"/>
          <w:i/>
          <w:color w:val="auto"/>
          <w:kern w:val="0"/>
          <w:szCs w:val="21"/>
        </w:rPr>
        <w:t>（3）污染物排放应符合国家和地方相关政策、法律法规及标准要求，污染物总量控制应符合国家和地方污染物排放总量控制指标。</w:t>
      </w:r>
    </w:p>
    <w:p>
      <w:pPr>
        <w:keepNext w:val="0"/>
        <w:keepLines w:val="0"/>
        <w:pageBreakBefore w:val="0"/>
        <w:widowControl/>
        <w:kinsoku/>
        <w:wordWrap/>
        <w:overflowPunct/>
        <w:topLinePunct w:val="0"/>
        <w:bidi w:val="0"/>
        <w:snapToGrid/>
        <w:spacing w:line="400" w:lineRule="exact"/>
        <w:ind w:firstLine="420"/>
        <w:jc w:val="left"/>
        <w:textAlignment w:val="auto"/>
        <w:rPr>
          <w:rFonts w:ascii="宋体" w:cs="宋体"/>
          <w:i/>
          <w:color w:val="auto"/>
          <w:kern w:val="0"/>
          <w:szCs w:val="21"/>
        </w:rPr>
      </w:pPr>
      <w:r>
        <w:rPr>
          <w:rFonts w:hint="eastAsia" w:ascii="宋体" w:cs="宋体"/>
          <w:i/>
          <w:color w:val="auto"/>
          <w:kern w:val="0"/>
          <w:szCs w:val="21"/>
        </w:rPr>
        <w:t>（4）</w:t>
      </w:r>
      <w:r>
        <w:rPr>
          <w:rFonts w:hint="eastAsia"/>
          <w:i/>
          <w:color w:val="auto"/>
          <w:szCs w:val="21"/>
        </w:rPr>
        <w:t>产品的生产应符合国家和地方清洁生产要求。</w:t>
      </w:r>
    </w:p>
    <w:p>
      <w:pPr>
        <w:keepNext w:val="0"/>
        <w:keepLines w:val="0"/>
        <w:pageBreakBefore w:val="0"/>
        <w:widowControl/>
        <w:kinsoku/>
        <w:wordWrap/>
        <w:overflowPunct/>
        <w:topLinePunct w:val="0"/>
        <w:bidi w:val="0"/>
        <w:snapToGrid/>
        <w:spacing w:line="400" w:lineRule="exact"/>
        <w:ind w:firstLine="420"/>
        <w:jc w:val="left"/>
        <w:textAlignment w:val="auto"/>
        <w:rPr>
          <w:bCs/>
          <w:color w:val="auto"/>
        </w:rPr>
      </w:pPr>
      <w:r>
        <w:rPr>
          <w:rFonts w:hint="eastAsia" w:ascii="宋体" w:cs="宋体"/>
          <w:color w:val="auto"/>
          <w:kern w:val="0"/>
          <w:szCs w:val="21"/>
        </w:rPr>
        <w:t>说明：此两条是</w:t>
      </w:r>
      <w:r>
        <w:rPr>
          <w:rFonts w:hint="eastAsia"/>
          <w:bCs/>
          <w:color w:val="auto"/>
        </w:rPr>
        <w:t>企业污染物排放的基本要求。污染物排放浓度必须达到国家标准，而</w:t>
      </w:r>
      <w:r>
        <w:rPr>
          <w:rFonts w:hint="eastAsia"/>
          <w:color w:val="auto"/>
          <w:szCs w:val="21"/>
        </w:rPr>
        <w:t>且要达到行业清洁生产的要求，</w:t>
      </w:r>
      <w:r>
        <w:rPr>
          <w:rFonts w:hint="eastAsia"/>
          <w:bCs/>
          <w:color w:val="auto"/>
        </w:rPr>
        <w:t>同时污染物排放总量也必须达到国家和地方的控制指标，对于原料中有害物质含量也是一种约束，有害物质必须实现资源化利用、无害化处理。</w:t>
      </w:r>
    </w:p>
    <w:p>
      <w:pPr>
        <w:pStyle w:val="15"/>
        <w:keepNext w:val="0"/>
        <w:keepLines w:val="0"/>
        <w:pageBreakBefore w:val="0"/>
        <w:kinsoku/>
        <w:wordWrap/>
        <w:overflowPunct/>
        <w:topLinePunct w:val="0"/>
        <w:bidi w:val="0"/>
        <w:snapToGrid/>
        <w:spacing w:line="400" w:lineRule="exact"/>
        <w:ind w:firstLine="420" w:firstLineChars="200"/>
        <w:textAlignment w:val="auto"/>
        <w:rPr>
          <w:rFonts w:hAnsi="宋体"/>
          <w:i/>
          <w:color w:val="auto"/>
          <w:sz w:val="21"/>
          <w:szCs w:val="21"/>
        </w:rPr>
      </w:pPr>
      <w:r>
        <w:rPr>
          <w:rFonts w:hint="eastAsia" w:hAnsi="宋体"/>
          <w:i/>
          <w:color w:val="auto"/>
          <w:sz w:val="21"/>
          <w:szCs w:val="21"/>
        </w:rPr>
        <w:t>（5）企业安全管理应达到</w:t>
      </w:r>
      <w:r>
        <w:rPr>
          <w:rFonts w:hAnsi="宋体"/>
          <w:i/>
          <w:color w:val="auto"/>
          <w:sz w:val="21"/>
          <w:szCs w:val="21"/>
        </w:rPr>
        <w:t>GB/T 33000</w:t>
      </w:r>
      <w:r>
        <w:rPr>
          <w:rFonts w:hint="eastAsia" w:hAnsi="宋体"/>
          <w:i/>
          <w:color w:val="auto"/>
          <w:sz w:val="21"/>
          <w:szCs w:val="21"/>
        </w:rPr>
        <w:t>的要求；应按照</w:t>
      </w:r>
      <w:r>
        <w:rPr>
          <w:rFonts w:hAnsi="宋体"/>
          <w:i/>
          <w:color w:val="auto"/>
          <w:sz w:val="21"/>
          <w:szCs w:val="21"/>
        </w:rPr>
        <w:t>GB/T</w:t>
      </w:r>
      <w:r>
        <w:rPr>
          <w:rFonts w:hint="eastAsia" w:hAnsi="宋体"/>
          <w:i/>
          <w:color w:val="auto"/>
          <w:sz w:val="21"/>
          <w:szCs w:val="21"/>
        </w:rPr>
        <w:t xml:space="preserve"> </w:t>
      </w:r>
      <w:r>
        <w:rPr>
          <w:rFonts w:hAnsi="宋体"/>
          <w:i/>
          <w:color w:val="auto"/>
          <w:sz w:val="21"/>
          <w:szCs w:val="21"/>
        </w:rPr>
        <w:t>19001</w:t>
      </w:r>
      <w:r>
        <w:rPr>
          <w:rFonts w:hint="eastAsia" w:hAnsi="宋体"/>
          <w:i/>
          <w:color w:val="auto"/>
          <w:sz w:val="21"/>
          <w:szCs w:val="21"/>
        </w:rPr>
        <w:t>、</w:t>
      </w:r>
      <w:r>
        <w:rPr>
          <w:rFonts w:hAnsi="宋体"/>
          <w:i/>
          <w:color w:val="auto"/>
          <w:sz w:val="21"/>
          <w:szCs w:val="21"/>
        </w:rPr>
        <w:t>GB/T 23331</w:t>
      </w:r>
      <w:r>
        <w:rPr>
          <w:rFonts w:hint="eastAsia" w:hAnsi="宋体"/>
          <w:i/>
          <w:color w:val="auto"/>
          <w:sz w:val="21"/>
          <w:szCs w:val="21"/>
        </w:rPr>
        <w:t>、</w:t>
      </w:r>
      <w:r>
        <w:rPr>
          <w:rFonts w:hAnsi="宋体"/>
          <w:i/>
          <w:color w:val="auto"/>
          <w:sz w:val="21"/>
          <w:szCs w:val="21"/>
        </w:rPr>
        <w:t>GB/T</w:t>
      </w:r>
      <w:r>
        <w:rPr>
          <w:rFonts w:hint="eastAsia" w:hAnsi="宋体"/>
          <w:i/>
          <w:color w:val="auto"/>
          <w:sz w:val="21"/>
          <w:szCs w:val="21"/>
        </w:rPr>
        <w:t xml:space="preserve"> </w:t>
      </w:r>
      <w:r>
        <w:rPr>
          <w:rFonts w:hAnsi="宋体"/>
          <w:i/>
          <w:color w:val="auto"/>
          <w:sz w:val="21"/>
          <w:szCs w:val="21"/>
        </w:rPr>
        <w:t>24001</w:t>
      </w:r>
      <w:r>
        <w:rPr>
          <w:rFonts w:hint="eastAsia" w:hAnsi="宋体"/>
          <w:i/>
          <w:color w:val="auto"/>
          <w:sz w:val="21"/>
          <w:szCs w:val="21"/>
        </w:rPr>
        <w:t>及</w:t>
      </w:r>
      <w:r>
        <w:rPr>
          <w:rFonts w:hAnsi="宋体"/>
          <w:i/>
          <w:color w:val="auto"/>
          <w:sz w:val="21"/>
          <w:szCs w:val="21"/>
        </w:rPr>
        <w:t>GB/T</w:t>
      </w:r>
      <w:r>
        <w:rPr>
          <w:rFonts w:hint="eastAsia" w:hAnsi="宋体"/>
          <w:i/>
          <w:color w:val="auto"/>
          <w:sz w:val="21"/>
          <w:szCs w:val="21"/>
        </w:rPr>
        <w:t xml:space="preserve"> 45001分别建立并运行质量管理体系、能源管理体系、环境管理体系及职业健康安全管理体系。</w:t>
      </w:r>
    </w:p>
    <w:p>
      <w:pPr>
        <w:pStyle w:val="15"/>
        <w:keepNext w:val="0"/>
        <w:keepLines w:val="0"/>
        <w:pageBreakBefore w:val="0"/>
        <w:kinsoku/>
        <w:wordWrap/>
        <w:overflowPunct/>
        <w:topLinePunct w:val="0"/>
        <w:bidi w:val="0"/>
        <w:snapToGrid/>
        <w:spacing w:line="400" w:lineRule="exact"/>
        <w:ind w:firstLine="420" w:firstLineChars="200"/>
        <w:textAlignment w:val="auto"/>
        <w:rPr>
          <w:bCs/>
          <w:color w:val="auto"/>
          <w:kern w:val="2"/>
          <w:sz w:val="21"/>
        </w:rPr>
      </w:pPr>
      <w:r>
        <w:rPr>
          <w:rFonts w:hint="eastAsia"/>
          <w:bCs/>
          <w:color w:val="auto"/>
          <w:kern w:val="2"/>
          <w:sz w:val="21"/>
        </w:rPr>
        <w:t>说明：企业必须建立四标一体的管理体系，明确热轧板生产过程中安全管理体系、环境管理体系、职业健康安全管理系统和质量管理体系所要达到的基本要求。</w:t>
      </w:r>
    </w:p>
    <w:p>
      <w:pPr>
        <w:pStyle w:val="15"/>
        <w:keepNext w:val="0"/>
        <w:keepLines w:val="0"/>
        <w:pageBreakBefore w:val="0"/>
        <w:kinsoku/>
        <w:wordWrap/>
        <w:overflowPunct/>
        <w:topLinePunct w:val="0"/>
        <w:bidi w:val="0"/>
        <w:snapToGrid/>
        <w:spacing w:line="400" w:lineRule="exact"/>
        <w:ind w:firstLine="420" w:firstLineChars="200"/>
        <w:textAlignment w:val="auto"/>
        <w:rPr>
          <w:i/>
          <w:color w:val="auto"/>
          <w:sz w:val="21"/>
          <w:szCs w:val="21"/>
        </w:rPr>
      </w:pPr>
      <w:r>
        <w:rPr>
          <w:rFonts w:hint="eastAsia"/>
          <w:bCs/>
          <w:i/>
          <w:color w:val="auto"/>
          <w:kern w:val="2"/>
          <w:sz w:val="21"/>
        </w:rPr>
        <w:t>（6）</w:t>
      </w:r>
      <w:r>
        <w:rPr>
          <w:rFonts w:hint="eastAsia"/>
          <w:i/>
          <w:color w:val="auto"/>
          <w:sz w:val="21"/>
          <w:szCs w:val="21"/>
        </w:rPr>
        <w:t>企业应采用国家鼓励的先进技术工艺，不应使用国家或有关部门发布的淘汰或禁止的技术、工艺、装备及材料。</w:t>
      </w:r>
    </w:p>
    <w:p>
      <w:pPr>
        <w:pStyle w:val="15"/>
        <w:keepNext w:val="0"/>
        <w:keepLines w:val="0"/>
        <w:pageBreakBefore w:val="0"/>
        <w:kinsoku/>
        <w:wordWrap/>
        <w:overflowPunct/>
        <w:topLinePunct w:val="0"/>
        <w:bidi w:val="0"/>
        <w:snapToGrid/>
        <w:spacing w:line="400" w:lineRule="exact"/>
        <w:ind w:firstLine="420" w:firstLineChars="200"/>
        <w:textAlignment w:val="auto"/>
        <w:rPr>
          <w:bCs/>
          <w:color w:val="auto"/>
          <w:kern w:val="2"/>
          <w:sz w:val="21"/>
        </w:rPr>
      </w:pPr>
      <w:r>
        <w:rPr>
          <w:rFonts w:hint="eastAsia"/>
          <w:bCs/>
          <w:color w:val="auto"/>
          <w:kern w:val="2"/>
          <w:sz w:val="21"/>
        </w:rPr>
        <w:t>说明：</w:t>
      </w:r>
      <w:r>
        <w:rPr>
          <w:bCs/>
          <w:color w:val="auto"/>
          <w:kern w:val="2"/>
          <w:sz w:val="21"/>
        </w:rPr>
        <w:t xml:space="preserve"> 绿色设计产品评价应该使用先进的技术工艺</w:t>
      </w:r>
      <w:r>
        <w:rPr>
          <w:rFonts w:hint="eastAsia"/>
          <w:bCs/>
          <w:color w:val="auto"/>
          <w:kern w:val="2"/>
          <w:sz w:val="21"/>
        </w:rPr>
        <w:t>，</w:t>
      </w:r>
      <w:r>
        <w:rPr>
          <w:bCs/>
          <w:color w:val="auto"/>
          <w:kern w:val="2"/>
          <w:sz w:val="21"/>
        </w:rPr>
        <w:t>同时在装备</w:t>
      </w:r>
      <w:r>
        <w:rPr>
          <w:rFonts w:hint="eastAsia"/>
          <w:bCs/>
          <w:color w:val="auto"/>
          <w:kern w:val="2"/>
          <w:sz w:val="21"/>
        </w:rPr>
        <w:t>、</w:t>
      </w:r>
      <w:r>
        <w:rPr>
          <w:bCs/>
          <w:color w:val="auto"/>
          <w:kern w:val="2"/>
          <w:sz w:val="21"/>
        </w:rPr>
        <w:t>材料的选择上也需要满足</w:t>
      </w:r>
      <w:r>
        <w:rPr>
          <w:rFonts w:hint="eastAsia"/>
          <w:bCs/>
          <w:color w:val="auto"/>
          <w:kern w:val="2"/>
          <w:sz w:val="21"/>
        </w:rPr>
        <w:t>绿色</w:t>
      </w:r>
      <w:r>
        <w:rPr>
          <w:bCs/>
          <w:color w:val="auto"/>
          <w:kern w:val="2"/>
          <w:sz w:val="21"/>
        </w:rPr>
        <w:t>设计的要求</w:t>
      </w:r>
      <w:r>
        <w:rPr>
          <w:rFonts w:hint="eastAsia"/>
          <w:bCs/>
          <w:color w:val="auto"/>
          <w:kern w:val="2"/>
          <w:sz w:val="21"/>
        </w:rPr>
        <w:t>。</w:t>
      </w:r>
      <w:r>
        <w:rPr>
          <w:bCs/>
          <w:color w:val="auto"/>
          <w:kern w:val="2"/>
          <w:sz w:val="21"/>
        </w:rPr>
        <w:t>确保企业在整个</w:t>
      </w:r>
      <w:r>
        <w:rPr>
          <w:rFonts w:hint="eastAsia"/>
          <w:bCs/>
          <w:color w:val="auto"/>
          <w:kern w:val="2"/>
          <w:sz w:val="21"/>
        </w:rPr>
        <w:t>生命周期内的绿色清洁和对环境友好。</w:t>
      </w:r>
    </w:p>
    <w:p>
      <w:pPr>
        <w:pStyle w:val="15"/>
        <w:keepNext w:val="0"/>
        <w:keepLines w:val="0"/>
        <w:pageBreakBefore w:val="0"/>
        <w:kinsoku/>
        <w:wordWrap/>
        <w:overflowPunct/>
        <w:topLinePunct w:val="0"/>
        <w:bidi w:val="0"/>
        <w:snapToGrid/>
        <w:spacing w:line="400" w:lineRule="exact"/>
        <w:ind w:firstLine="420" w:firstLineChars="200"/>
        <w:textAlignment w:val="auto"/>
        <w:rPr>
          <w:i/>
          <w:color w:val="auto"/>
          <w:sz w:val="21"/>
          <w:szCs w:val="21"/>
        </w:rPr>
      </w:pPr>
      <w:r>
        <w:rPr>
          <w:rFonts w:hint="eastAsia"/>
          <w:i/>
          <w:color w:val="auto"/>
          <w:sz w:val="21"/>
          <w:szCs w:val="21"/>
        </w:rPr>
        <w:t>（7）企业生产冷轧板带箔材的单位产品综合能耗应满足</w:t>
      </w:r>
      <w:r>
        <w:rPr>
          <w:i/>
          <w:color w:val="auto"/>
          <w:sz w:val="21"/>
          <w:szCs w:val="21"/>
        </w:rPr>
        <w:t>GB</w:t>
      </w:r>
      <w:r>
        <w:rPr>
          <w:rFonts w:hint="eastAsia"/>
          <w:i/>
          <w:color w:val="auto"/>
          <w:sz w:val="21"/>
          <w:szCs w:val="21"/>
        </w:rPr>
        <w:t xml:space="preserve"> xxxx的要求,应按照YS/T 1401要求配备能源计量器具。</w:t>
      </w:r>
    </w:p>
    <w:p>
      <w:pPr>
        <w:pStyle w:val="15"/>
        <w:keepNext w:val="0"/>
        <w:keepLines w:val="0"/>
        <w:pageBreakBefore w:val="0"/>
        <w:kinsoku/>
        <w:wordWrap/>
        <w:overflowPunct/>
        <w:topLinePunct w:val="0"/>
        <w:bidi w:val="0"/>
        <w:snapToGrid/>
        <w:spacing w:line="400" w:lineRule="exact"/>
        <w:ind w:firstLine="420" w:firstLineChars="200"/>
        <w:textAlignment w:val="auto"/>
        <w:rPr>
          <w:bCs/>
          <w:color w:val="auto"/>
          <w:kern w:val="2"/>
          <w:sz w:val="21"/>
        </w:rPr>
      </w:pPr>
      <w:r>
        <w:rPr>
          <w:rFonts w:hint="eastAsia"/>
          <w:bCs/>
          <w:color w:val="auto"/>
          <w:kern w:val="2"/>
          <w:sz w:val="21"/>
        </w:rPr>
        <w:t>说明：产品的能源属性是其重要属性之一，同时生产过程所消耗的能源对于环境的影响是巨大的，许多污染物的排放指标是与能源清耗直接相关的，因此对</w:t>
      </w:r>
      <w:r>
        <w:rPr>
          <w:rFonts w:hint="eastAsia"/>
          <w:color w:val="auto"/>
          <w:sz w:val="21"/>
          <w:szCs w:val="21"/>
        </w:rPr>
        <w:t>冷轧板带箔</w:t>
      </w:r>
      <w:r>
        <w:rPr>
          <w:rFonts w:hint="eastAsia"/>
          <w:bCs/>
          <w:color w:val="auto"/>
          <w:kern w:val="2"/>
          <w:sz w:val="21"/>
        </w:rPr>
        <w:t>的单位产品综合能耗应满足</w:t>
      </w:r>
      <w:r>
        <w:rPr>
          <w:bCs/>
          <w:color w:val="auto"/>
          <w:kern w:val="2"/>
          <w:sz w:val="21"/>
        </w:rPr>
        <w:t>GB</w:t>
      </w:r>
      <w:r>
        <w:rPr>
          <w:rFonts w:hint="eastAsia"/>
          <w:bCs/>
          <w:color w:val="auto"/>
          <w:kern w:val="2"/>
          <w:sz w:val="21"/>
        </w:rPr>
        <w:t xml:space="preserve"> xxxx的要求,生产企业应按照YS/T 1401要求配备能源计量器具。</w:t>
      </w:r>
    </w:p>
    <w:p>
      <w:pPr>
        <w:pStyle w:val="15"/>
        <w:keepNext w:val="0"/>
        <w:keepLines w:val="0"/>
        <w:pageBreakBefore w:val="0"/>
        <w:kinsoku/>
        <w:wordWrap/>
        <w:overflowPunct/>
        <w:topLinePunct w:val="0"/>
        <w:bidi w:val="0"/>
        <w:snapToGrid/>
        <w:spacing w:line="400" w:lineRule="exact"/>
        <w:ind w:firstLine="420" w:firstLineChars="200"/>
        <w:textAlignment w:val="auto"/>
        <w:rPr>
          <w:i/>
          <w:color w:val="auto"/>
          <w:sz w:val="21"/>
          <w:szCs w:val="21"/>
        </w:rPr>
      </w:pPr>
      <w:r>
        <w:rPr>
          <w:rFonts w:hint="eastAsia"/>
          <w:i/>
          <w:color w:val="auto"/>
          <w:sz w:val="21"/>
          <w:szCs w:val="21"/>
        </w:rPr>
        <w:t>（8）一般废弃物的贮存和处置应符合GB 18599的要求，危险废物的贮存和处置应符合</w:t>
      </w:r>
      <w:r>
        <w:rPr>
          <w:i/>
          <w:color w:val="auto"/>
          <w:sz w:val="21"/>
          <w:szCs w:val="21"/>
        </w:rPr>
        <w:t>GB 18597</w:t>
      </w:r>
      <w:r>
        <w:rPr>
          <w:rFonts w:hint="eastAsia"/>
          <w:i/>
          <w:color w:val="auto"/>
          <w:sz w:val="21"/>
          <w:szCs w:val="21"/>
        </w:rPr>
        <w:t>的要求，产品包装材料应为可再生利用或可降解材料。</w:t>
      </w:r>
    </w:p>
    <w:p>
      <w:pPr>
        <w:pStyle w:val="15"/>
        <w:keepNext w:val="0"/>
        <w:keepLines w:val="0"/>
        <w:pageBreakBefore w:val="0"/>
        <w:kinsoku/>
        <w:wordWrap/>
        <w:overflowPunct/>
        <w:topLinePunct w:val="0"/>
        <w:bidi w:val="0"/>
        <w:snapToGrid/>
        <w:spacing w:line="400" w:lineRule="exact"/>
        <w:ind w:firstLine="420" w:firstLineChars="200"/>
        <w:textAlignment w:val="auto"/>
        <w:rPr>
          <w:color w:val="auto"/>
          <w:szCs w:val="21"/>
        </w:rPr>
      </w:pPr>
      <w:r>
        <w:rPr>
          <w:rFonts w:hint="eastAsia"/>
          <w:bCs/>
          <w:color w:val="auto"/>
          <w:sz w:val="21"/>
          <w:szCs w:val="21"/>
        </w:rPr>
        <w:t>说明：危险废物必须有专门的储存场所，且该场所必须符合相关规定，同时有害物质必须实现资源化利用、无害化处理，降低对环境的污染。</w:t>
      </w:r>
    </w:p>
    <w:p>
      <w:pPr>
        <w:keepNext w:val="0"/>
        <w:keepLines w:val="0"/>
        <w:pageBreakBefore w:val="0"/>
        <w:kinsoku/>
        <w:wordWrap/>
        <w:overflowPunct/>
        <w:topLinePunct w:val="0"/>
        <w:bidi w:val="0"/>
        <w:snapToGrid/>
        <w:spacing w:line="400" w:lineRule="exact"/>
        <w:textAlignment w:val="auto"/>
        <w:rPr>
          <w:rFonts w:ascii="黑体" w:hAnsi="黑体" w:eastAsia="黑体" w:cs="黑体"/>
          <w:bCs/>
          <w:color w:val="auto"/>
          <w:szCs w:val="21"/>
        </w:rPr>
      </w:pPr>
      <w:r>
        <w:rPr>
          <w:rFonts w:hint="eastAsia" w:ascii="黑体" w:hAnsi="黑体" w:eastAsia="黑体" w:cs="黑体"/>
          <w:bCs/>
          <w:color w:val="auto"/>
          <w:szCs w:val="21"/>
        </w:rPr>
        <w:t>4.4.2评价指标要求</w:t>
      </w:r>
    </w:p>
    <w:p>
      <w:pPr>
        <w:keepNext w:val="0"/>
        <w:keepLines w:val="0"/>
        <w:pageBreakBefore w:val="0"/>
        <w:kinsoku/>
        <w:wordWrap/>
        <w:overflowPunct/>
        <w:topLinePunct w:val="0"/>
        <w:bidi w:val="0"/>
        <w:snapToGrid/>
        <w:spacing w:line="400" w:lineRule="exact"/>
        <w:ind w:firstLine="420" w:firstLineChars="200"/>
        <w:textAlignment w:val="auto"/>
        <w:rPr>
          <w:rFonts w:ascii="宋体" w:hAnsi="宋体"/>
          <w:color w:val="auto"/>
          <w:szCs w:val="21"/>
        </w:rPr>
      </w:pPr>
      <w:r>
        <w:rPr>
          <w:rFonts w:hint="eastAsia" w:ascii="宋体" w:hAnsi="宋体"/>
          <w:color w:val="auto"/>
          <w:szCs w:val="21"/>
        </w:rPr>
        <w:t>评价指标分成两级，由一级指标和二级指标组成。一级指标包括资源属性指标、能源属性指标、环境属性指标和产品属性指标。二级指标是对一级指标要求的具体化，明确规定了数值范围，同时应标明所属的生命周期阶段，即原材料获取、产品生产、产品包装等阶段。</w:t>
      </w:r>
    </w:p>
    <w:p>
      <w:pPr>
        <w:keepNext w:val="0"/>
        <w:keepLines w:val="0"/>
        <w:pageBreakBefore w:val="0"/>
        <w:kinsoku/>
        <w:wordWrap/>
        <w:overflowPunct/>
        <w:topLinePunct w:val="0"/>
        <w:bidi w:val="0"/>
        <w:snapToGrid/>
        <w:spacing w:line="400" w:lineRule="exact"/>
        <w:ind w:firstLine="420" w:firstLineChars="200"/>
        <w:textAlignment w:val="auto"/>
        <w:rPr>
          <w:rFonts w:ascii="宋体" w:hAnsi="宋体"/>
          <w:color w:val="auto"/>
          <w:szCs w:val="21"/>
        </w:rPr>
      </w:pPr>
      <w:r>
        <w:rPr>
          <w:rFonts w:hint="eastAsia" w:ascii="宋体" w:hAnsi="宋体"/>
          <w:color w:val="auto"/>
          <w:szCs w:val="21"/>
        </w:rPr>
        <w:t>冷轧板带箔生产过程中的各种消耗，如能源、原料、材料等，最终均会分配到产品中，因此本标准的功能单位为t (冷轧板带箔)，不仅便于计算，也利于和生产实际相结合。冷轧板带箔质量需满足GB/T 2040、GBT/T 2059和GB/T 5187标准相应要求，因此以冷轧板带箔产品重量吨为功能单位，而没有必要再折算成吨铜金属量。</w:t>
      </w:r>
    </w:p>
    <w:p>
      <w:pPr>
        <w:keepNext w:val="0"/>
        <w:keepLines w:val="0"/>
        <w:pageBreakBefore w:val="0"/>
        <w:kinsoku/>
        <w:wordWrap/>
        <w:overflowPunct/>
        <w:topLinePunct w:val="0"/>
        <w:bidi w:val="0"/>
        <w:snapToGrid/>
        <w:spacing w:line="400" w:lineRule="exact"/>
        <w:ind w:firstLine="420" w:firstLineChars="200"/>
        <w:textAlignment w:val="auto"/>
        <w:rPr>
          <w:rFonts w:ascii="宋体" w:hAnsi="宋体"/>
          <w:color w:val="auto"/>
          <w:szCs w:val="21"/>
        </w:rPr>
      </w:pPr>
      <w:r>
        <w:rPr>
          <w:rFonts w:hint="eastAsia" w:ascii="宋体" w:hAnsi="宋体"/>
          <w:color w:val="auto"/>
          <w:szCs w:val="21"/>
        </w:rPr>
        <w:t>辅助过程，如“三废”处理综合回收利用等过程所所消耗的资源、能源不在此指标评价范围内。因为辅助过程的区别很大，资源、能源的消耗也难以比较，但是对环境排放的污染物则必须计算在内，即要考虑辅助过程的环境属性，因为这些过程所排放的污染物也是源头带入的，对环境的综合影响是本标准的重点和根本。</w:t>
      </w:r>
    </w:p>
    <w:p>
      <w:pPr>
        <w:keepNext w:val="0"/>
        <w:keepLines w:val="0"/>
        <w:pageBreakBefore w:val="0"/>
        <w:kinsoku/>
        <w:wordWrap/>
        <w:overflowPunct/>
        <w:topLinePunct w:val="0"/>
        <w:bidi w:val="0"/>
        <w:snapToGrid/>
        <w:spacing w:line="400" w:lineRule="exact"/>
        <w:ind w:firstLine="420" w:firstLineChars="200"/>
        <w:textAlignment w:val="auto"/>
        <w:rPr>
          <w:rFonts w:ascii="黑体" w:hAnsi="宋体" w:eastAsia="黑体"/>
          <w:color w:val="auto"/>
          <w:szCs w:val="21"/>
        </w:rPr>
      </w:pPr>
      <w:r>
        <w:rPr>
          <w:rFonts w:hint="eastAsia" w:ascii="黑体" w:eastAsia="黑体"/>
          <w:color w:val="auto"/>
          <w:szCs w:val="21"/>
        </w:rPr>
        <w:t>（1）</w:t>
      </w:r>
      <w:r>
        <w:rPr>
          <w:rFonts w:hint="eastAsia" w:ascii="黑体" w:hAnsi="黑体" w:eastAsia="黑体" w:cs="黑体"/>
          <w:bCs/>
          <w:color w:val="auto"/>
          <w:szCs w:val="21"/>
        </w:rPr>
        <w:t>资源</w:t>
      </w:r>
      <w:r>
        <w:rPr>
          <w:rFonts w:hint="eastAsia" w:ascii="黑体" w:eastAsia="黑体"/>
          <w:color w:val="auto"/>
          <w:szCs w:val="21"/>
        </w:rPr>
        <w:t>属性指标</w:t>
      </w:r>
    </w:p>
    <w:p>
      <w:pPr>
        <w:keepNext w:val="0"/>
        <w:keepLines w:val="0"/>
        <w:pageBreakBefore w:val="0"/>
        <w:kinsoku/>
        <w:wordWrap/>
        <w:overflowPunct/>
        <w:topLinePunct w:val="0"/>
        <w:bidi w:val="0"/>
        <w:snapToGrid/>
        <w:spacing w:line="400" w:lineRule="exact"/>
        <w:ind w:firstLine="420" w:firstLineChars="200"/>
        <w:textAlignment w:val="auto"/>
        <w:rPr>
          <w:rFonts w:ascii="宋体" w:hAnsi="宋体"/>
          <w:color w:val="auto"/>
          <w:szCs w:val="21"/>
        </w:rPr>
      </w:pPr>
      <w:r>
        <w:rPr>
          <w:rFonts w:hint="eastAsia" w:ascii="宋体" w:hAnsi="宋体"/>
          <w:color w:val="auto"/>
          <w:szCs w:val="21"/>
        </w:rPr>
        <w:t>一级指标资源属性是描述</w:t>
      </w:r>
      <w:r>
        <w:rPr>
          <w:rFonts w:hint="eastAsia" w:ascii="宋体" w:hAnsi="Calibri" w:cs="宋体"/>
          <w:color w:val="auto"/>
          <w:kern w:val="0"/>
          <w:szCs w:val="21"/>
        </w:rPr>
        <w:t>冷轧板带箔</w:t>
      </w:r>
      <w:r>
        <w:rPr>
          <w:rFonts w:hint="eastAsia" w:ascii="宋体" w:hAnsi="宋体"/>
          <w:color w:val="auto"/>
          <w:szCs w:val="21"/>
        </w:rPr>
        <w:t>生命周期中所消耗的资源，二级指标说明具体所消耗的资源，本标准重点选取生产阶段原材料消耗和水资源消耗的指标，即</w:t>
      </w:r>
      <w:r>
        <w:rPr>
          <w:rFonts w:hint="eastAsia" w:ascii="宋体" w:hAnsi="Calibri" w:cs="宋体"/>
          <w:color w:val="auto"/>
          <w:kern w:val="0"/>
          <w:szCs w:val="21"/>
        </w:rPr>
        <w:t>冷轧板带箔</w:t>
      </w:r>
      <w:r>
        <w:rPr>
          <w:rFonts w:hint="eastAsia" w:ascii="宋体" w:hAnsi="宋体"/>
          <w:color w:val="auto"/>
          <w:szCs w:val="21"/>
        </w:rPr>
        <w:t>生产时金属损耗率及水重复利用率。</w:t>
      </w:r>
    </w:p>
    <w:p>
      <w:pPr>
        <w:keepNext w:val="0"/>
        <w:keepLines w:val="0"/>
        <w:pageBreakBefore w:val="0"/>
        <w:kinsoku/>
        <w:wordWrap/>
        <w:overflowPunct/>
        <w:topLinePunct w:val="0"/>
        <w:bidi w:val="0"/>
        <w:snapToGrid/>
        <w:spacing w:line="400" w:lineRule="exact"/>
        <w:ind w:firstLine="420" w:firstLineChars="200"/>
        <w:textAlignment w:val="auto"/>
        <w:rPr>
          <w:rFonts w:ascii="黑体" w:hAnsi="宋体" w:eastAsia="黑体"/>
          <w:color w:val="auto"/>
          <w:szCs w:val="21"/>
        </w:rPr>
      </w:pPr>
      <w:r>
        <w:rPr>
          <w:rFonts w:hint="eastAsia" w:ascii="黑体" w:eastAsia="黑体"/>
          <w:color w:val="auto"/>
          <w:szCs w:val="21"/>
        </w:rPr>
        <w:t>（2）</w:t>
      </w:r>
      <w:r>
        <w:rPr>
          <w:rFonts w:hint="eastAsia" w:ascii="黑体" w:hAnsi="黑体" w:eastAsia="黑体" w:cs="黑体"/>
          <w:bCs/>
          <w:color w:val="auto"/>
          <w:szCs w:val="21"/>
        </w:rPr>
        <w:t>能源属性</w:t>
      </w:r>
      <w:r>
        <w:rPr>
          <w:rFonts w:hint="eastAsia" w:ascii="黑体" w:eastAsia="黑体"/>
          <w:color w:val="auto"/>
          <w:szCs w:val="21"/>
        </w:rPr>
        <w:t>指标</w:t>
      </w:r>
    </w:p>
    <w:p>
      <w:pPr>
        <w:keepNext w:val="0"/>
        <w:keepLines w:val="0"/>
        <w:pageBreakBefore w:val="0"/>
        <w:kinsoku/>
        <w:wordWrap/>
        <w:overflowPunct/>
        <w:topLinePunct w:val="0"/>
        <w:bidi w:val="0"/>
        <w:snapToGrid/>
        <w:spacing w:line="400" w:lineRule="exact"/>
        <w:ind w:firstLine="407" w:firstLineChars="194"/>
        <w:textAlignment w:val="auto"/>
        <w:rPr>
          <w:color w:val="auto"/>
        </w:rPr>
      </w:pPr>
      <w:r>
        <w:rPr>
          <w:rFonts w:hint="eastAsia"/>
          <w:color w:val="auto"/>
        </w:rPr>
        <w:t>能源属性重点选取产品在生产和使用过程中能源消耗方面的指标。</w:t>
      </w:r>
    </w:p>
    <w:p>
      <w:pPr>
        <w:keepNext w:val="0"/>
        <w:keepLines w:val="0"/>
        <w:pageBreakBefore w:val="0"/>
        <w:kinsoku/>
        <w:wordWrap/>
        <w:overflowPunct/>
        <w:topLinePunct w:val="0"/>
        <w:bidi w:val="0"/>
        <w:snapToGrid/>
        <w:spacing w:line="400" w:lineRule="exact"/>
        <w:ind w:firstLine="420" w:firstLineChars="200"/>
        <w:textAlignment w:val="auto"/>
        <w:rPr>
          <w:rFonts w:ascii="黑体" w:hAnsi="宋体" w:eastAsia="黑体"/>
          <w:color w:val="auto"/>
          <w:szCs w:val="21"/>
        </w:rPr>
      </w:pPr>
      <w:r>
        <w:rPr>
          <w:rFonts w:hint="eastAsia" w:ascii="黑体" w:eastAsia="黑体"/>
          <w:color w:val="auto"/>
          <w:szCs w:val="21"/>
        </w:rPr>
        <w:t>（3）</w:t>
      </w:r>
      <w:r>
        <w:rPr>
          <w:rFonts w:hint="eastAsia" w:ascii="黑体" w:hAnsi="黑体" w:eastAsia="黑体" w:cs="黑体"/>
          <w:bCs/>
          <w:color w:val="auto"/>
          <w:szCs w:val="21"/>
        </w:rPr>
        <w:t>环境属性</w:t>
      </w:r>
      <w:r>
        <w:rPr>
          <w:rFonts w:hint="eastAsia" w:ascii="黑体" w:eastAsia="黑体"/>
          <w:color w:val="auto"/>
          <w:szCs w:val="21"/>
        </w:rPr>
        <w:t>指标</w:t>
      </w:r>
    </w:p>
    <w:p>
      <w:pPr>
        <w:keepNext w:val="0"/>
        <w:keepLines w:val="0"/>
        <w:pageBreakBefore w:val="0"/>
        <w:kinsoku/>
        <w:wordWrap/>
        <w:overflowPunct/>
        <w:topLinePunct w:val="0"/>
        <w:bidi w:val="0"/>
        <w:snapToGrid/>
        <w:spacing w:line="400" w:lineRule="exact"/>
        <w:ind w:firstLine="420" w:firstLineChars="200"/>
        <w:textAlignment w:val="auto"/>
        <w:rPr>
          <w:color w:val="auto"/>
          <w:szCs w:val="21"/>
        </w:rPr>
      </w:pPr>
      <w:r>
        <w:rPr>
          <w:rFonts w:hint="eastAsia"/>
          <w:color w:val="auto"/>
          <w:szCs w:val="21"/>
        </w:rPr>
        <w:t>环境属性是描述热轧板生命周期中向环境排放的各种污染物，是核心指标，因为资源属性、能源属性指标最终在评价报告中都会转化为对环境排放的污染物数量，来衡量其环境影响。重点选取有害物质禁用及限量要求、生产过程污染物排放、使用过程有毒有害物质释放等方面的指标，如废水排放、废气排放（颗粒物、</w:t>
      </w:r>
      <w:r>
        <w:rPr>
          <w:rFonts w:hint="eastAsia" w:hAnsi="宋体"/>
          <w:color w:val="auto"/>
          <w:kern w:val="0"/>
          <w:szCs w:val="21"/>
        </w:rPr>
        <w:t>、二氧化硫、氮氧化物</w:t>
      </w:r>
      <w:r>
        <w:rPr>
          <w:rFonts w:hint="eastAsia"/>
          <w:color w:val="auto"/>
          <w:szCs w:val="21"/>
        </w:rPr>
        <w:t>）等。</w:t>
      </w:r>
    </w:p>
    <w:p>
      <w:pPr>
        <w:keepNext w:val="0"/>
        <w:keepLines w:val="0"/>
        <w:pageBreakBefore w:val="0"/>
        <w:kinsoku/>
        <w:wordWrap/>
        <w:overflowPunct/>
        <w:topLinePunct w:val="0"/>
        <w:bidi w:val="0"/>
        <w:snapToGrid/>
        <w:spacing w:line="400" w:lineRule="exact"/>
        <w:ind w:firstLine="420" w:firstLineChars="200"/>
        <w:textAlignment w:val="auto"/>
        <w:rPr>
          <w:rFonts w:ascii="黑体" w:hAnsi="宋体" w:eastAsia="黑体"/>
          <w:color w:val="auto"/>
          <w:szCs w:val="21"/>
        </w:rPr>
      </w:pPr>
      <w:r>
        <w:rPr>
          <w:rFonts w:hint="eastAsia" w:ascii="黑体" w:eastAsia="黑体"/>
          <w:color w:val="auto"/>
          <w:szCs w:val="21"/>
        </w:rPr>
        <w:t>（4）</w:t>
      </w:r>
      <w:r>
        <w:rPr>
          <w:rFonts w:hint="eastAsia" w:ascii="黑体" w:hAnsi="黑体" w:eastAsia="黑体" w:cs="黑体"/>
          <w:bCs/>
          <w:color w:val="auto"/>
          <w:szCs w:val="21"/>
        </w:rPr>
        <w:t>产品属性</w:t>
      </w:r>
      <w:r>
        <w:rPr>
          <w:rFonts w:hint="eastAsia" w:ascii="黑体" w:eastAsia="黑体"/>
          <w:color w:val="auto"/>
          <w:szCs w:val="21"/>
        </w:rPr>
        <w:t>指标</w:t>
      </w:r>
    </w:p>
    <w:p>
      <w:pPr>
        <w:keepNext w:val="0"/>
        <w:keepLines w:val="0"/>
        <w:pageBreakBefore w:val="0"/>
        <w:kinsoku/>
        <w:wordWrap/>
        <w:overflowPunct/>
        <w:topLinePunct w:val="0"/>
        <w:bidi w:val="0"/>
        <w:snapToGrid/>
        <w:spacing w:line="400" w:lineRule="exact"/>
        <w:ind w:firstLine="420" w:firstLineChars="200"/>
        <w:textAlignment w:val="auto"/>
        <w:rPr>
          <w:color w:val="auto"/>
          <w:szCs w:val="21"/>
        </w:rPr>
      </w:pPr>
      <w:r>
        <w:rPr>
          <w:rFonts w:hint="eastAsia"/>
          <w:color w:val="auto"/>
          <w:szCs w:val="21"/>
        </w:rPr>
        <w:t>产品属性主要以产品的质量和安全为准；必要时对有害元素按要求进行控制。如产品有害元素的含量和物料性能指标等。</w:t>
      </w:r>
    </w:p>
    <w:p>
      <w:pPr>
        <w:keepNext w:val="0"/>
        <w:keepLines w:val="0"/>
        <w:pageBreakBefore w:val="0"/>
        <w:kinsoku/>
        <w:wordWrap/>
        <w:overflowPunct/>
        <w:topLinePunct w:val="0"/>
        <w:bidi w:val="0"/>
        <w:snapToGrid/>
        <w:spacing w:beforeLines="50" w:line="400" w:lineRule="exact"/>
        <w:textAlignment w:val="auto"/>
        <w:rPr>
          <w:rFonts w:ascii="黑体" w:hAnsi="黑体" w:eastAsia="黑体" w:cs="黑体"/>
          <w:bCs/>
          <w:color w:val="auto"/>
          <w:szCs w:val="21"/>
        </w:rPr>
      </w:pPr>
      <w:r>
        <w:rPr>
          <w:rFonts w:hint="eastAsia" w:ascii="黑体" w:hAnsi="黑体" w:eastAsia="黑体" w:cs="黑体"/>
          <w:bCs/>
          <w:color w:val="auto"/>
          <w:szCs w:val="21"/>
        </w:rPr>
        <w:t>4.5生命周期评价报告编制方法</w:t>
      </w:r>
    </w:p>
    <w:p>
      <w:pPr>
        <w:keepNext w:val="0"/>
        <w:keepLines w:val="0"/>
        <w:pageBreakBefore w:val="0"/>
        <w:kinsoku/>
        <w:wordWrap/>
        <w:overflowPunct/>
        <w:topLinePunct w:val="0"/>
        <w:bidi w:val="0"/>
        <w:snapToGrid/>
        <w:spacing w:beforeLines="50" w:line="400" w:lineRule="exact"/>
        <w:textAlignment w:val="auto"/>
        <w:rPr>
          <w:rFonts w:ascii="黑体" w:eastAsia="黑体"/>
          <w:color w:val="auto"/>
          <w:szCs w:val="21"/>
        </w:rPr>
      </w:pPr>
      <w:r>
        <w:rPr>
          <w:rFonts w:hint="eastAsia" w:ascii="黑体" w:eastAsia="黑体"/>
          <w:color w:val="auto"/>
          <w:szCs w:val="21"/>
        </w:rPr>
        <w:t>4.5.1生命周期</w:t>
      </w:r>
      <w:r>
        <w:rPr>
          <w:rFonts w:hint="eastAsia" w:ascii="黑体" w:hAnsi="黑体" w:eastAsia="黑体" w:cs="黑体"/>
          <w:bCs/>
          <w:color w:val="auto"/>
          <w:szCs w:val="21"/>
        </w:rPr>
        <w:t>评价</w:t>
      </w:r>
      <w:r>
        <w:rPr>
          <w:rFonts w:hint="eastAsia" w:ascii="黑体" w:eastAsia="黑体"/>
          <w:color w:val="auto"/>
          <w:szCs w:val="21"/>
        </w:rPr>
        <w:t>方法</w:t>
      </w:r>
    </w:p>
    <w:p>
      <w:pPr>
        <w:keepNext w:val="0"/>
        <w:keepLines w:val="0"/>
        <w:pageBreakBefore w:val="0"/>
        <w:kinsoku/>
        <w:wordWrap/>
        <w:overflowPunct/>
        <w:topLinePunct w:val="0"/>
        <w:bidi w:val="0"/>
        <w:snapToGrid/>
        <w:spacing w:line="400" w:lineRule="exact"/>
        <w:ind w:firstLine="420" w:firstLineChars="200"/>
        <w:textAlignment w:val="auto"/>
        <w:rPr>
          <w:color w:val="auto"/>
          <w:szCs w:val="21"/>
        </w:rPr>
      </w:pPr>
      <w:r>
        <w:rPr>
          <w:rFonts w:hint="eastAsia"/>
          <w:color w:val="auto"/>
          <w:szCs w:val="21"/>
        </w:rPr>
        <w:t>应依据</w:t>
      </w:r>
      <w:r>
        <w:rPr>
          <w:rFonts w:ascii="宋体" w:hAnsi="宋体"/>
          <w:color w:val="auto"/>
          <w:szCs w:val="21"/>
        </w:rPr>
        <w:t>GB/T 24040</w:t>
      </w:r>
      <w:r>
        <w:rPr>
          <w:rFonts w:hint="eastAsia" w:ascii="宋体" w:hAnsi="宋体"/>
          <w:color w:val="auto"/>
          <w:szCs w:val="21"/>
        </w:rPr>
        <w:t>、</w:t>
      </w:r>
      <w:r>
        <w:rPr>
          <w:rFonts w:ascii="宋体" w:hAnsi="宋体"/>
          <w:color w:val="auto"/>
          <w:szCs w:val="21"/>
        </w:rPr>
        <w:t xml:space="preserve"> GB/T 2404</w:t>
      </w:r>
      <w:r>
        <w:rPr>
          <w:rFonts w:hint="eastAsia" w:ascii="宋体" w:hAnsi="宋体"/>
          <w:color w:val="auto"/>
          <w:szCs w:val="21"/>
        </w:rPr>
        <w:t>4和</w:t>
      </w:r>
      <w:r>
        <w:rPr>
          <w:rFonts w:hint="eastAsia" w:ascii="宋体" w:hAnsi="宋体" w:cs="宋体"/>
          <w:color w:val="auto"/>
          <w:kern w:val="0"/>
          <w:szCs w:val="21"/>
        </w:rPr>
        <w:t>T/CNIA XXXX的生命周期评价</w:t>
      </w:r>
      <w:r>
        <w:rPr>
          <w:rFonts w:hint="eastAsia"/>
          <w:color w:val="auto"/>
          <w:szCs w:val="21"/>
        </w:rPr>
        <w:t>方法，对</w:t>
      </w:r>
      <w:r>
        <w:rPr>
          <w:rFonts w:hint="eastAsia" w:ascii="宋体" w:hAnsi="Calibri" w:cs="宋体"/>
          <w:color w:val="auto"/>
          <w:kern w:val="0"/>
          <w:szCs w:val="21"/>
        </w:rPr>
        <w:t>冷轧板带箔</w:t>
      </w:r>
      <w:r>
        <w:rPr>
          <w:rFonts w:hint="eastAsia"/>
          <w:color w:val="auto"/>
        </w:rPr>
        <w:t>材</w:t>
      </w:r>
      <w:r>
        <w:rPr>
          <w:rFonts w:hint="eastAsia"/>
          <w:color w:val="auto"/>
          <w:szCs w:val="21"/>
        </w:rPr>
        <w:t>进行生命周期评价。</w:t>
      </w:r>
    </w:p>
    <w:p>
      <w:pPr>
        <w:keepNext w:val="0"/>
        <w:keepLines w:val="0"/>
        <w:pageBreakBefore w:val="0"/>
        <w:kinsoku/>
        <w:wordWrap/>
        <w:overflowPunct/>
        <w:topLinePunct w:val="0"/>
        <w:bidi w:val="0"/>
        <w:snapToGrid/>
        <w:spacing w:line="400" w:lineRule="exact"/>
        <w:textAlignment w:val="auto"/>
        <w:rPr>
          <w:rFonts w:ascii="宋体" w:cs="宋体"/>
          <w:color w:val="auto"/>
          <w:kern w:val="0"/>
          <w:szCs w:val="21"/>
        </w:rPr>
      </w:pPr>
      <w:r>
        <w:rPr>
          <w:rFonts w:hint="eastAsia" w:ascii="黑体" w:eastAsia="黑体"/>
          <w:color w:val="auto"/>
          <w:szCs w:val="21"/>
        </w:rPr>
        <w:t>4.5.2</w:t>
      </w:r>
      <w:r>
        <w:rPr>
          <w:rFonts w:hint="eastAsia" w:ascii="黑体" w:eastAsia="黑体" w:cs="黑体"/>
          <w:color w:val="auto"/>
          <w:kern w:val="0"/>
          <w:szCs w:val="21"/>
        </w:rPr>
        <w:t>评价报告</w:t>
      </w:r>
    </w:p>
    <w:p>
      <w:pPr>
        <w:keepNext w:val="0"/>
        <w:keepLines w:val="0"/>
        <w:pageBreakBefore w:val="0"/>
        <w:kinsoku/>
        <w:wordWrap/>
        <w:overflowPunct/>
        <w:topLinePunct w:val="0"/>
        <w:bidi w:val="0"/>
        <w:snapToGrid/>
        <w:spacing w:line="400" w:lineRule="exact"/>
        <w:ind w:firstLine="420" w:firstLineChars="200"/>
        <w:textAlignment w:val="auto"/>
        <w:rPr>
          <w:color w:val="auto"/>
          <w:szCs w:val="21"/>
        </w:rPr>
      </w:pPr>
      <w:r>
        <w:rPr>
          <w:rFonts w:hint="eastAsia" w:ascii="宋体" w:cs="宋体"/>
          <w:color w:val="auto"/>
          <w:kern w:val="0"/>
          <w:szCs w:val="21"/>
        </w:rPr>
        <w:t>生命周期评价</w:t>
      </w:r>
      <w:r>
        <w:rPr>
          <w:rFonts w:ascii="宋体" w:cs="宋体"/>
          <w:color w:val="auto"/>
          <w:kern w:val="0"/>
          <w:szCs w:val="21"/>
        </w:rPr>
        <w:t>报告</w:t>
      </w:r>
      <w:r>
        <w:rPr>
          <w:rFonts w:hint="eastAsia" w:ascii="宋体" w:cs="宋体"/>
          <w:color w:val="auto"/>
          <w:kern w:val="0"/>
          <w:szCs w:val="21"/>
        </w:rPr>
        <w:t>编写方法见</w:t>
      </w:r>
      <w:r>
        <w:rPr>
          <w:rFonts w:hint="eastAsia" w:ascii="宋体" w:hAnsi="宋体"/>
          <w:bCs/>
          <w:color w:val="auto"/>
          <w:szCs w:val="21"/>
        </w:rPr>
        <w:t>T/CNIA XXXX，</w:t>
      </w:r>
      <w:r>
        <w:rPr>
          <w:rFonts w:ascii="宋体" w:cs="宋体"/>
          <w:color w:val="auto"/>
          <w:kern w:val="0"/>
          <w:szCs w:val="21"/>
        </w:rPr>
        <w:t>应详细描述评估的对象、功能单位和</w:t>
      </w:r>
      <w:r>
        <w:rPr>
          <w:rFonts w:hint="eastAsia" w:ascii="宋体" w:cs="宋体"/>
          <w:color w:val="auto"/>
          <w:kern w:val="0"/>
          <w:szCs w:val="21"/>
        </w:rPr>
        <w:t>冷轧板带箔</w:t>
      </w:r>
      <w:r>
        <w:rPr>
          <w:rFonts w:ascii="宋体" w:cs="宋体"/>
          <w:color w:val="auto"/>
          <w:kern w:val="0"/>
          <w:szCs w:val="21"/>
        </w:rPr>
        <w:t>产品主要功能，提供</w:t>
      </w:r>
      <w:r>
        <w:rPr>
          <w:rFonts w:hint="eastAsia" w:ascii="宋体" w:cs="宋体"/>
          <w:color w:val="auto"/>
          <w:kern w:val="0"/>
          <w:szCs w:val="21"/>
        </w:rPr>
        <w:t>热轧板产品</w:t>
      </w:r>
      <w:r>
        <w:rPr>
          <w:rFonts w:ascii="宋体" w:cs="宋体"/>
          <w:color w:val="auto"/>
          <w:kern w:val="0"/>
          <w:szCs w:val="21"/>
        </w:rPr>
        <w:t>的原辅材料组成及主要技术参数表，绘制</w:t>
      </w:r>
      <w:r>
        <w:rPr>
          <w:rFonts w:hint="eastAsia" w:ascii="宋体" w:cs="宋体"/>
          <w:color w:val="auto"/>
          <w:kern w:val="0"/>
          <w:szCs w:val="21"/>
        </w:rPr>
        <w:t>冷轧板带箔产品</w:t>
      </w:r>
      <w:r>
        <w:rPr>
          <w:rFonts w:ascii="宋体" w:cs="宋体"/>
          <w:color w:val="auto"/>
          <w:kern w:val="0"/>
          <w:szCs w:val="21"/>
        </w:rPr>
        <w:t>的系统边界，披露所使用的基于中国生命周期数据库的软件工具。</w:t>
      </w:r>
      <w:r>
        <w:rPr>
          <w:rFonts w:hint="eastAsia" w:ascii="宋体" w:cs="宋体"/>
          <w:color w:val="auto"/>
          <w:kern w:val="0"/>
          <w:szCs w:val="21"/>
        </w:rPr>
        <w:t>主要内容如下：</w:t>
      </w:r>
    </w:p>
    <w:p>
      <w:pPr>
        <w:keepNext w:val="0"/>
        <w:keepLines w:val="0"/>
        <w:pageBreakBefore w:val="0"/>
        <w:kinsoku/>
        <w:wordWrap/>
        <w:overflowPunct/>
        <w:topLinePunct w:val="0"/>
        <w:bidi w:val="0"/>
        <w:snapToGrid/>
        <w:spacing w:line="400" w:lineRule="exact"/>
        <w:textAlignment w:val="auto"/>
        <w:rPr>
          <w:rFonts w:ascii="黑体" w:eastAsia="黑体"/>
          <w:color w:val="auto"/>
          <w:szCs w:val="21"/>
        </w:rPr>
      </w:pPr>
      <w:r>
        <w:rPr>
          <w:rFonts w:hint="eastAsia" w:ascii="黑体" w:eastAsia="黑体"/>
          <w:color w:val="auto"/>
          <w:szCs w:val="21"/>
        </w:rPr>
        <w:t>（1）评价范围的确定</w:t>
      </w:r>
    </w:p>
    <w:p>
      <w:pPr>
        <w:keepNext w:val="0"/>
        <w:keepLines w:val="0"/>
        <w:pageBreakBefore w:val="0"/>
        <w:kinsoku/>
        <w:wordWrap/>
        <w:overflowPunct/>
        <w:topLinePunct w:val="0"/>
        <w:bidi w:val="0"/>
        <w:snapToGrid/>
        <w:spacing w:line="400" w:lineRule="exact"/>
        <w:ind w:firstLine="420" w:firstLineChars="200"/>
        <w:textAlignment w:val="auto"/>
        <w:rPr>
          <w:color w:val="auto"/>
          <w:szCs w:val="21"/>
        </w:rPr>
      </w:pPr>
      <w:r>
        <w:rPr>
          <w:rFonts w:hint="eastAsia"/>
          <w:color w:val="auto"/>
          <w:szCs w:val="21"/>
        </w:rPr>
        <w:t>评价范围的确定在</w:t>
      </w:r>
      <w:r>
        <w:rPr>
          <w:rFonts w:hint="eastAsia" w:ascii="宋体" w:hAnsi="Calibri" w:cs="宋体"/>
          <w:color w:val="auto"/>
          <w:kern w:val="0"/>
          <w:szCs w:val="21"/>
        </w:rPr>
        <w:t>冷轧板带箔</w:t>
      </w:r>
      <w:r>
        <w:rPr>
          <w:rFonts w:hint="eastAsia"/>
          <w:color w:val="auto"/>
        </w:rPr>
        <w:t>材</w:t>
      </w:r>
      <w:r>
        <w:rPr>
          <w:rFonts w:hint="eastAsia"/>
          <w:color w:val="auto"/>
          <w:szCs w:val="21"/>
        </w:rPr>
        <w:t>的整个生命周期中，生产阶段活动对环境的影响是最大的。</w:t>
      </w:r>
      <w:r>
        <w:rPr>
          <w:rFonts w:hint="eastAsia" w:ascii="宋体" w:hAnsi="Calibri" w:cs="宋体"/>
          <w:color w:val="auto"/>
          <w:kern w:val="0"/>
          <w:szCs w:val="21"/>
        </w:rPr>
        <w:t>冷轧板带箔</w:t>
      </w:r>
      <w:r>
        <w:rPr>
          <w:rFonts w:hint="eastAsia"/>
          <w:color w:val="auto"/>
        </w:rPr>
        <w:t>材</w:t>
      </w:r>
      <w:r>
        <w:rPr>
          <w:rFonts w:hint="eastAsia"/>
          <w:color w:val="auto"/>
          <w:szCs w:val="21"/>
        </w:rPr>
        <w:t>产品生命周期评价范围包括冷轧生产和包装阶段。</w:t>
      </w:r>
    </w:p>
    <w:p>
      <w:pPr>
        <w:keepNext w:val="0"/>
        <w:keepLines w:val="0"/>
        <w:pageBreakBefore w:val="0"/>
        <w:kinsoku/>
        <w:wordWrap/>
        <w:overflowPunct/>
        <w:topLinePunct w:val="0"/>
        <w:bidi w:val="0"/>
        <w:snapToGrid/>
        <w:spacing w:line="400" w:lineRule="exact"/>
        <w:textAlignment w:val="auto"/>
        <w:rPr>
          <w:color w:val="auto"/>
          <w:szCs w:val="21"/>
        </w:rPr>
      </w:pPr>
      <w:r>
        <w:rPr>
          <w:rFonts w:hint="eastAsia"/>
          <w:color w:val="auto"/>
          <w:szCs w:val="21"/>
        </w:rPr>
        <w:t xml:space="preserve">    评价范围单元过程数据的取舍原则见标准</w:t>
      </w:r>
      <w:r>
        <w:rPr>
          <w:rFonts w:hint="eastAsia" w:ascii="宋体" w:hAnsi="宋体"/>
          <w:bCs/>
          <w:color w:val="auto"/>
          <w:szCs w:val="21"/>
        </w:rPr>
        <w:t>T/CNIA XXXX</w:t>
      </w:r>
      <w:r>
        <w:rPr>
          <w:rFonts w:hint="eastAsia"/>
          <w:color w:val="auto"/>
          <w:szCs w:val="21"/>
        </w:rPr>
        <w:t>，具体如下：</w:t>
      </w:r>
    </w:p>
    <w:p>
      <w:pPr>
        <w:pStyle w:val="14"/>
        <w:keepNext w:val="0"/>
        <w:keepLines w:val="0"/>
        <w:pageBreakBefore w:val="0"/>
        <w:numPr>
          <w:ilvl w:val="0"/>
          <w:numId w:val="1"/>
        </w:numPr>
        <w:kinsoku/>
        <w:wordWrap/>
        <w:overflowPunct/>
        <w:topLinePunct w:val="0"/>
        <w:bidi w:val="0"/>
        <w:snapToGrid/>
        <w:spacing w:line="400" w:lineRule="exact"/>
        <w:ind w:firstLineChars="0"/>
        <w:textAlignment w:val="auto"/>
        <w:rPr>
          <w:rFonts w:ascii="宋体" w:hAnsi="宋体"/>
          <w:color w:val="auto"/>
          <w:szCs w:val="21"/>
        </w:rPr>
      </w:pPr>
      <w:r>
        <w:rPr>
          <w:rFonts w:hint="eastAsia" w:ascii="宋体" w:hAnsi="宋体"/>
          <w:color w:val="auto"/>
          <w:szCs w:val="21"/>
        </w:rPr>
        <w:t>能源的所有输入均列出；</w:t>
      </w:r>
    </w:p>
    <w:p>
      <w:pPr>
        <w:pStyle w:val="14"/>
        <w:keepNext w:val="0"/>
        <w:keepLines w:val="0"/>
        <w:pageBreakBefore w:val="0"/>
        <w:numPr>
          <w:ilvl w:val="0"/>
          <w:numId w:val="1"/>
        </w:numPr>
        <w:kinsoku/>
        <w:wordWrap/>
        <w:overflowPunct/>
        <w:topLinePunct w:val="0"/>
        <w:bidi w:val="0"/>
        <w:snapToGrid/>
        <w:spacing w:line="400" w:lineRule="exact"/>
        <w:ind w:firstLineChars="0"/>
        <w:textAlignment w:val="auto"/>
        <w:rPr>
          <w:rFonts w:ascii="宋体" w:hAnsi="宋体"/>
          <w:color w:val="auto"/>
          <w:szCs w:val="21"/>
        </w:rPr>
      </w:pPr>
      <w:r>
        <w:rPr>
          <w:rFonts w:hint="eastAsia" w:ascii="宋体" w:hAnsi="宋体"/>
          <w:color w:val="auto"/>
          <w:szCs w:val="21"/>
        </w:rPr>
        <w:t>原料的所有输入均列出；</w:t>
      </w:r>
    </w:p>
    <w:p>
      <w:pPr>
        <w:pStyle w:val="14"/>
        <w:keepNext w:val="0"/>
        <w:keepLines w:val="0"/>
        <w:pageBreakBefore w:val="0"/>
        <w:numPr>
          <w:ilvl w:val="0"/>
          <w:numId w:val="1"/>
        </w:numPr>
        <w:kinsoku/>
        <w:wordWrap/>
        <w:overflowPunct/>
        <w:topLinePunct w:val="0"/>
        <w:bidi w:val="0"/>
        <w:snapToGrid/>
        <w:spacing w:line="400" w:lineRule="exact"/>
        <w:ind w:firstLineChars="0"/>
        <w:textAlignment w:val="auto"/>
        <w:rPr>
          <w:rFonts w:ascii="宋体" w:hAnsi="宋体"/>
          <w:color w:val="auto"/>
          <w:szCs w:val="21"/>
        </w:rPr>
      </w:pPr>
      <w:r>
        <w:rPr>
          <w:rFonts w:hint="eastAsia" w:ascii="宋体" w:hAnsi="宋体"/>
          <w:color w:val="auto"/>
          <w:szCs w:val="21"/>
        </w:rPr>
        <w:t>辅助材料质量小于原料总消耗0.1%的项目输入可忽略；</w:t>
      </w:r>
    </w:p>
    <w:p>
      <w:pPr>
        <w:pStyle w:val="14"/>
        <w:keepNext w:val="0"/>
        <w:keepLines w:val="0"/>
        <w:pageBreakBefore w:val="0"/>
        <w:numPr>
          <w:ilvl w:val="0"/>
          <w:numId w:val="1"/>
        </w:numPr>
        <w:kinsoku/>
        <w:wordWrap/>
        <w:overflowPunct/>
        <w:topLinePunct w:val="0"/>
        <w:bidi w:val="0"/>
        <w:snapToGrid/>
        <w:spacing w:line="400" w:lineRule="exact"/>
        <w:ind w:firstLineChars="0"/>
        <w:textAlignment w:val="auto"/>
        <w:rPr>
          <w:rFonts w:ascii="宋体" w:hAnsi="宋体"/>
          <w:color w:val="auto"/>
          <w:szCs w:val="21"/>
        </w:rPr>
      </w:pPr>
      <w:r>
        <w:rPr>
          <w:rFonts w:hint="eastAsia" w:ascii="宋体" w:hAnsi="宋体"/>
          <w:color w:val="auto"/>
          <w:szCs w:val="21"/>
        </w:rPr>
        <w:t>大气、水体的各种排放均列出；</w:t>
      </w:r>
    </w:p>
    <w:p>
      <w:pPr>
        <w:pStyle w:val="14"/>
        <w:keepNext w:val="0"/>
        <w:keepLines w:val="0"/>
        <w:pageBreakBefore w:val="0"/>
        <w:numPr>
          <w:ilvl w:val="0"/>
          <w:numId w:val="1"/>
        </w:numPr>
        <w:kinsoku/>
        <w:wordWrap/>
        <w:overflowPunct/>
        <w:topLinePunct w:val="0"/>
        <w:bidi w:val="0"/>
        <w:snapToGrid/>
        <w:spacing w:line="400" w:lineRule="exact"/>
        <w:ind w:firstLineChars="0"/>
        <w:textAlignment w:val="auto"/>
        <w:rPr>
          <w:rFonts w:ascii="宋体" w:hAnsi="宋体"/>
          <w:color w:val="auto"/>
          <w:szCs w:val="21"/>
        </w:rPr>
      </w:pPr>
      <w:r>
        <w:rPr>
          <w:rFonts w:hint="eastAsia" w:ascii="宋体" w:hAnsi="宋体"/>
          <w:color w:val="auto"/>
          <w:szCs w:val="21"/>
        </w:rPr>
        <w:t>小于固体废弃物排放总量1%的一般性固体废弃物可忽略；</w:t>
      </w:r>
    </w:p>
    <w:p>
      <w:pPr>
        <w:pStyle w:val="14"/>
        <w:keepNext w:val="0"/>
        <w:keepLines w:val="0"/>
        <w:pageBreakBefore w:val="0"/>
        <w:numPr>
          <w:ilvl w:val="0"/>
          <w:numId w:val="1"/>
        </w:numPr>
        <w:kinsoku/>
        <w:wordWrap/>
        <w:overflowPunct/>
        <w:topLinePunct w:val="0"/>
        <w:bidi w:val="0"/>
        <w:snapToGrid/>
        <w:spacing w:line="400" w:lineRule="exact"/>
        <w:ind w:firstLineChars="0"/>
        <w:textAlignment w:val="auto"/>
        <w:rPr>
          <w:rFonts w:ascii="宋体" w:hAnsi="宋体"/>
          <w:color w:val="auto"/>
          <w:szCs w:val="21"/>
        </w:rPr>
      </w:pPr>
      <w:r>
        <w:rPr>
          <w:rFonts w:hint="eastAsia" w:asciiTheme="minorEastAsia" w:hAnsiTheme="minorEastAsia"/>
          <w:color w:val="auto"/>
          <w:szCs w:val="21"/>
        </w:rPr>
        <w:t>道路与厂房的基础设施、各工序的设备、厂区内人员及生活设施的消耗和排放，均忽略；</w:t>
      </w:r>
    </w:p>
    <w:p>
      <w:pPr>
        <w:pStyle w:val="14"/>
        <w:keepNext w:val="0"/>
        <w:keepLines w:val="0"/>
        <w:pageBreakBefore w:val="0"/>
        <w:numPr>
          <w:ilvl w:val="0"/>
          <w:numId w:val="1"/>
        </w:numPr>
        <w:kinsoku/>
        <w:wordWrap/>
        <w:overflowPunct/>
        <w:topLinePunct w:val="0"/>
        <w:bidi w:val="0"/>
        <w:snapToGrid/>
        <w:spacing w:line="400" w:lineRule="exact"/>
        <w:ind w:firstLineChars="0"/>
        <w:textAlignment w:val="auto"/>
        <w:rPr>
          <w:rFonts w:ascii="宋体" w:hAnsi="宋体"/>
          <w:color w:val="auto"/>
          <w:szCs w:val="21"/>
        </w:rPr>
      </w:pPr>
      <w:r>
        <w:rPr>
          <w:rFonts w:hint="eastAsia" w:asciiTheme="minorEastAsia" w:hAnsiTheme="minorEastAsia"/>
          <w:color w:val="auto"/>
          <w:szCs w:val="21"/>
        </w:rPr>
        <w:t>取舍原则不适用于有毒有害物质，任何有毒有害的材料和物质均应包含于清单中。</w:t>
      </w:r>
    </w:p>
    <w:p>
      <w:pPr>
        <w:keepNext w:val="0"/>
        <w:keepLines w:val="0"/>
        <w:pageBreakBefore w:val="0"/>
        <w:kinsoku/>
        <w:wordWrap/>
        <w:overflowPunct/>
        <w:topLinePunct w:val="0"/>
        <w:bidi w:val="0"/>
        <w:snapToGrid/>
        <w:spacing w:line="400" w:lineRule="exact"/>
        <w:textAlignment w:val="auto"/>
        <w:rPr>
          <w:rFonts w:ascii="黑体" w:eastAsia="黑体"/>
          <w:color w:val="auto"/>
          <w:szCs w:val="21"/>
        </w:rPr>
      </w:pPr>
      <w:r>
        <w:rPr>
          <w:rFonts w:hint="eastAsia" w:ascii="黑体" w:eastAsia="黑体"/>
          <w:color w:val="auto"/>
          <w:szCs w:val="21"/>
        </w:rPr>
        <w:t>（2）数据清单分析</w:t>
      </w:r>
    </w:p>
    <w:p>
      <w:pPr>
        <w:keepNext w:val="0"/>
        <w:keepLines w:val="0"/>
        <w:pageBreakBefore w:val="0"/>
        <w:kinsoku/>
        <w:wordWrap/>
        <w:overflowPunct/>
        <w:topLinePunct w:val="0"/>
        <w:bidi w:val="0"/>
        <w:snapToGrid/>
        <w:spacing w:line="400" w:lineRule="exact"/>
        <w:ind w:firstLine="420" w:firstLineChars="200"/>
        <w:textAlignment w:val="auto"/>
        <w:rPr>
          <w:color w:val="auto"/>
          <w:szCs w:val="21"/>
        </w:rPr>
      </w:pPr>
      <w:r>
        <w:rPr>
          <w:rFonts w:hint="eastAsia"/>
          <w:color w:val="auto"/>
          <w:szCs w:val="21"/>
        </w:rPr>
        <w:t>根据T/CNIA XXXX对数据清单进行分析，明确数据范围，采集各个阶段的现场数据和背景数据，对采集的数据进行计算，合并相同类型数据，有多个产品的，还要基于一定原则对数据进行分配。</w:t>
      </w:r>
    </w:p>
    <w:p>
      <w:pPr>
        <w:keepNext w:val="0"/>
        <w:keepLines w:val="0"/>
        <w:pageBreakBefore w:val="0"/>
        <w:kinsoku/>
        <w:wordWrap/>
        <w:overflowPunct/>
        <w:topLinePunct w:val="0"/>
        <w:bidi w:val="0"/>
        <w:snapToGrid/>
        <w:spacing w:line="400" w:lineRule="exact"/>
        <w:textAlignment w:val="auto"/>
        <w:rPr>
          <w:rFonts w:ascii="黑体" w:eastAsia="黑体"/>
          <w:color w:val="auto"/>
          <w:szCs w:val="21"/>
        </w:rPr>
      </w:pPr>
      <w:r>
        <w:rPr>
          <w:rFonts w:hint="eastAsia" w:ascii="黑体" w:eastAsia="黑体"/>
          <w:color w:val="auto"/>
          <w:szCs w:val="21"/>
        </w:rPr>
        <w:t>（3）生命周期影响评价</w:t>
      </w:r>
    </w:p>
    <w:p>
      <w:pPr>
        <w:keepNext w:val="0"/>
        <w:keepLines w:val="0"/>
        <w:pageBreakBefore w:val="0"/>
        <w:kinsoku/>
        <w:wordWrap/>
        <w:overflowPunct/>
        <w:topLinePunct w:val="0"/>
        <w:bidi w:val="0"/>
        <w:snapToGrid/>
        <w:spacing w:line="400" w:lineRule="exact"/>
        <w:textAlignment w:val="auto"/>
        <w:rPr>
          <w:color w:val="auto"/>
          <w:szCs w:val="21"/>
        </w:rPr>
      </w:pPr>
      <w:r>
        <w:rPr>
          <w:rFonts w:hint="eastAsia"/>
          <w:color w:val="auto"/>
          <w:szCs w:val="21"/>
        </w:rPr>
        <w:t xml:space="preserve">    根据</w:t>
      </w:r>
      <w:r>
        <w:rPr>
          <w:rFonts w:hint="eastAsia" w:ascii="宋体" w:hAnsi="宋体"/>
          <w:bCs/>
          <w:color w:val="auto"/>
          <w:szCs w:val="21"/>
        </w:rPr>
        <w:t>T/CNIA XXXX</w:t>
      </w:r>
      <w:r>
        <w:rPr>
          <w:rFonts w:hint="eastAsia"/>
          <w:color w:val="auto"/>
          <w:szCs w:val="21"/>
        </w:rPr>
        <w:t>对前述所整理的数据开展产品生命周期影响评价，对潜在的环境影响进行评价。环境影响类型可分为资源消耗、气候变化、酸化、富营养化、光化学烟雾、固体废弃物以及可吸入颗粒物等7种,对环境影响类型的影响区城也进行了说明，具有全球影响的有资源消耗和气候变化，具有区城性影响的有酸化、高营养化和光化学烟雾，具有局地性影响的有固体废弃物和可吸入颗粒物。</w:t>
      </w:r>
    </w:p>
    <w:p>
      <w:pPr>
        <w:keepNext w:val="0"/>
        <w:keepLines w:val="0"/>
        <w:pageBreakBefore w:val="0"/>
        <w:kinsoku/>
        <w:wordWrap/>
        <w:overflowPunct/>
        <w:topLinePunct w:val="0"/>
        <w:bidi w:val="0"/>
        <w:snapToGrid/>
        <w:spacing w:line="400" w:lineRule="exact"/>
        <w:textAlignment w:val="auto"/>
        <w:rPr>
          <w:color w:val="auto"/>
          <w:szCs w:val="21"/>
        </w:rPr>
      </w:pPr>
      <w:r>
        <w:rPr>
          <w:rFonts w:hint="eastAsia"/>
          <w:color w:val="auto"/>
          <w:szCs w:val="21"/>
        </w:rPr>
        <w:t xml:space="preserve">    资源消耗的清单因子主要是考虑铜，因为相对于其他消耗资源而言，铜是最主要和最重要的资源:其他资源消耗种类繁多，在目前生命周期评价数据库不完善的条件下，也难以评估其资源消耗当量。</w:t>
      </w:r>
    </w:p>
    <w:p>
      <w:pPr>
        <w:keepNext w:val="0"/>
        <w:keepLines w:val="0"/>
        <w:pageBreakBefore w:val="0"/>
        <w:kinsoku/>
        <w:wordWrap/>
        <w:overflowPunct/>
        <w:topLinePunct w:val="0"/>
        <w:bidi w:val="0"/>
        <w:snapToGrid/>
        <w:spacing w:line="400" w:lineRule="exact"/>
        <w:ind w:firstLine="420" w:firstLineChars="200"/>
        <w:textAlignment w:val="auto"/>
        <w:rPr>
          <w:color w:val="auto"/>
          <w:szCs w:val="21"/>
        </w:rPr>
      </w:pPr>
      <w:r>
        <w:rPr>
          <w:rFonts w:hint="eastAsia"/>
          <w:color w:val="auto"/>
          <w:szCs w:val="21"/>
        </w:rPr>
        <w:t>其他的气候变化、酸化、富营养化、光化学烟雾的清单因子，根据热轧板的实际情况和特点，分别选取了不同的物质。</w:t>
      </w:r>
      <w:r>
        <w:rPr>
          <w:rFonts w:hint="eastAsia" w:ascii="宋体" w:hAnsi="宋体"/>
          <w:color w:val="auto"/>
          <w:kern w:val="0"/>
          <w:szCs w:val="21"/>
        </w:rPr>
        <w:t>危险废物</w:t>
      </w:r>
      <w:r>
        <w:rPr>
          <w:rFonts w:hint="eastAsia"/>
          <w:color w:val="auto"/>
          <w:szCs w:val="21"/>
        </w:rPr>
        <w:t>的清单因子，主要是考虑</w:t>
      </w:r>
      <w:r>
        <w:rPr>
          <w:rFonts w:hint="eastAsia" w:ascii="宋体" w:hAnsi="宋体"/>
          <w:color w:val="auto"/>
          <w:kern w:val="0"/>
          <w:szCs w:val="21"/>
        </w:rPr>
        <w:t>废轧铜污泥、废轧制油</w:t>
      </w:r>
      <w:r>
        <w:rPr>
          <w:rFonts w:hint="eastAsia"/>
          <w:color w:val="auto"/>
          <w:szCs w:val="21"/>
        </w:rPr>
        <w:t>、废酸等。</w:t>
      </w:r>
    </w:p>
    <w:p>
      <w:pPr>
        <w:keepNext w:val="0"/>
        <w:keepLines w:val="0"/>
        <w:pageBreakBefore w:val="0"/>
        <w:kinsoku/>
        <w:wordWrap/>
        <w:overflowPunct/>
        <w:topLinePunct w:val="0"/>
        <w:bidi w:val="0"/>
        <w:snapToGrid/>
        <w:spacing w:line="400" w:lineRule="exact"/>
        <w:textAlignment w:val="auto"/>
        <w:rPr>
          <w:rFonts w:ascii="黑体" w:eastAsia="黑体"/>
          <w:color w:val="auto"/>
          <w:szCs w:val="21"/>
        </w:rPr>
      </w:pPr>
      <w:r>
        <w:rPr>
          <w:rFonts w:hint="eastAsia" w:ascii="黑体" w:eastAsia="黑体"/>
          <w:color w:val="auto"/>
          <w:szCs w:val="21"/>
        </w:rPr>
        <w:t>（4）生态设计改进方案</w:t>
      </w:r>
    </w:p>
    <w:p>
      <w:pPr>
        <w:keepNext w:val="0"/>
        <w:keepLines w:val="0"/>
        <w:pageBreakBefore w:val="0"/>
        <w:kinsoku/>
        <w:wordWrap/>
        <w:overflowPunct/>
        <w:topLinePunct w:val="0"/>
        <w:bidi w:val="0"/>
        <w:snapToGrid/>
        <w:spacing w:line="400" w:lineRule="exact"/>
        <w:ind w:firstLine="420" w:firstLineChars="200"/>
        <w:textAlignment w:val="auto"/>
        <w:rPr>
          <w:color w:val="auto"/>
          <w:szCs w:val="21"/>
        </w:rPr>
      </w:pPr>
      <w:r>
        <w:rPr>
          <w:rFonts w:hint="eastAsia"/>
          <w:color w:val="auto"/>
          <w:szCs w:val="21"/>
        </w:rPr>
        <w:t>根据附录B评价的热轧板产品开展生态设计改进。</w:t>
      </w:r>
    </w:p>
    <w:p>
      <w:pPr>
        <w:keepNext w:val="0"/>
        <w:keepLines w:val="0"/>
        <w:pageBreakBefore w:val="0"/>
        <w:kinsoku/>
        <w:wordWrap/>
        <w:overflowPunct/>
        <w:topLinePunct w:val="0"/>
        <w:bidi w:val="0"/>
        <w:snapToGrid/>
        <w:spacing w:line="400" w:lineRule="exact"/>
        <w:textAlignment w:val="auto"/>
        <w:rPr>
          <w:rFonts w:ascii="黑体" w:eastAsia="黑体"/>
          <w:color w:val="auto"/>
          <w:szCs w:val="21"/>
        </w:rPr>
      </w:pPr>
      <w:r>
        <w:rPr>
          <w:rFonts w:hint="eastAsia" w:ascii="黑体" w:eastAsia="黑体"/>
          <w:color w:val="auto"/>
          <w:szCs w:val="21"/>
        </w:rPr>
        <w:t>（5）评价报告主要结论</w:t>
      </w:r>
    </w:p>
    <w:p>
      <w:pPr>
        <w:keepNext w:val="0"/>
        <w:keepLines w:val="0"/>
        <w:pageBreakBefore w:val="0"/>
        <w:kinsoku/>
        <w:wordWrap/>
        <w:overflowPunct/>
        <w:topLinePunct w:val="0"/>
        <w:bidi w:val="0"/>
        <w:snapToGrid/>
        <w:spacing w:line="400" w:lineRule="exact"/>
        <w:textAlignment w:val="auto"/>
        <w:rPr>
          <w:color w:val="auto"/>
          <w:szCs w:val="21"/>
        </w:rPr>
      </w:pPr>
      <w:r>
        <w:rPr>
          <w:rFonts w:hint="eastAsia"/>
          <w:color w:val="auto"/>
          <w:szCs w:val="21"/>
        </w:rPr>
        <w:t xml:space="preserve">    根据前述内容，并根据评价结论初步判断该产品是否为绿色设计产品。</w:t>
      </w:r>
    </w:p>
    <w:p>
      <w:pPr>
        <w:keepNext w:val="0"/>
        <w:keepLines w:val="0"/>
        <w:pageBreakBefore w:val="0"/>
        <w:kinsoku/>
        <w:wordWrap/>
        <w:overflowPunct/>
        <w:topLinePunct w:val="0"/>
        <w:bidi w:val="0"/>
        <w:snapToGrid/>
        <w:spacing w:line="400" w:lineRule="exact"/>
        <w:textAlignment w:val="auto"/>
        <w:rPr>
          <w:rFonts w:ascii="黑体" w:eastAsia="黑体"/>
          <w:color w:val="auto"/>
          <w:szCs w:val="21"/>
        </w:rPr>
      </w:pPr>
      <w:r>
        <w:rPr>
          <w:rFonts w:hint="eastAsia" w:ascii="黑体" w:eastAsia="黑体"/>
          <w:color w:val="auto"/>
          <w:szCs w:val="21"/>
        </w:rPr>
        <w:t>4.6 评价方法</w:t>
      </w:r>
    </w:p>
    <w:p>
      <w:pPr>
        <w:keepNext w:val="0"/>
        <w:keepLines w:val="0"/>
        <w:pageBreakBefore w:val="0"/>
        <w:kinsoku/>
        <w:wordWrap/>
        <w:overflowPunct/>
        <w:topLinePunct w:val="0"/>
        <w:bidi w:val="0"/>
        <w:snapToGrid/>
        <w:spacing w:line="400" w:lineRule="exact"/>
        <w:ind w:firstLine="420" w:firstLineChars="200"/>
        <w:textAlignment w:val="auto"/>
        <w:rPr>
          <w:rFonts w:ascii="黑体" w:eastAsia="黑体"/>
          <w:color w:val="auto"/>
          <w:szCs w:val="21"/>
        </w:rPr>
      </w:pPr>
      <w:r>
        <w:rPr>
          <w:rFonts w:hint="eastAsia"/>
          <w:color w:val="auto"/>
          <w:szCs w:val="21"/>
        </w:rPr>
        <w:t>本标准采用指标评价与生命周期评价相结合的方法，冷轧板带箔产品同时满足以下两个条件，即可判断为绿色设计产品:</w:t>
      </w:r>
    </w:p>
    <w:p>
      <w:pPr>
        <w:pStyle w:val="14"/>
        <w:keepNext w:val="0"/>
        <w:keepLines w:val="0"/>
        <w:pageBreakBefore w:val="0"/>
        <w:numPr>
          <w:ilvl w:val="0"/>
          <w:numId w:val="2"/>
        </w:numPr>
        <w:kinsoku/>
        <w:wordWrap/>
        <w:overflowPunct/>
        <w:topLinePunct w:val="0"/>
        <w:bidi w:val="0"/>
        <w:snapToGrid/>
        <w:spacing w:line="400" w:lineRule="exact"/>
        <w:ind w:firstLineChars="0"/>
        <w:textAlignment w:val="auto"/>
        <w:rPr>
          <w:color w:val="auto"/>
        </w:rPr>
      </w:pPr>
      <w:r>
        <w:rPr>
          <w:color w:val="auto"/>
        </w:rPr>
        <w:t>满足基本要求（见4.1）和评价指标要求（见4.2）；</w:t>
      </w:r>
    </w:p>
    <w:p>
      <w:pPr>
        <w:pStyle w:val="14"/>
        <w:keepNext w:val="0"/>
        <w:keepLines w:val="0"/>
        <w:pageBreakBefore w:val="0"/>
        <w:numPr>
          <w:ilvl w:val="0"/>
          <w:numId w:val="2"/>
        </w:numPr>
        <w:kinsoku/>
        <w:wordWrap/>
        <w:overflowPunct/>
        <w:topLinePunct w:val="0"/>
        <w:bidi w:val="0"/>
        <w:snapToGrid/>
        <w:spacing w:line="400" w:lineRule="exact"/>
        <w:ind w:firstLineChars="0"/>
        <w:textAlignment w:val="auto"/>
        <w:rPr>
          <w:color w:val="auto"/>
        </w:rPr>
      </w:pPr>
      <w:r>
        <w:rPr>
          <w:color w:val="auto"/>
        </w:rPr>
        <w:t>提供生命周期评价报告</w:t>
      </w:r>
      <w:r>
        <w:rPr>
          <w:rFonts w:hint="eastAsia"/>
          <w:color w:val="auto"/>
        </w:rPr>
        <w:t>（见5.2）</w:t>
      </w:r>
      <w:r>
        <w:rPr>
          <w:color w:val="auto"/>
        </w:rPr>
        <w:t>。</w:t>
      </w:r>
    </w:p>
    <w:p>
      <w:pPr>
        <w:keepNext w:val="0"/>
        <w:keepLines w:val="0"/>
        <w:pageBreakBefore w:val="0"/>
        <w:kinsoku/>
        <w:wordWrap/>
        <w:overflowPunct/>
        <w:topLinePunct w:val="0"/>
        <w:bidi w:val="0"/>
        <w:snapToGrid/>
        <w:spacing w:beforeLines="50" w:afterLines="50" w:line="400" w:lineRule="exact"/>
        <w:textAlignment w:val="auto"/>
        <w:rPr>
          <w:rFonts w:ascii="黑体" w:hAnsi="宋体" w:eastAsia="黑体" w:cs="宋体"/>
          <w:bCs/>
          <w:color w:val="auto"/>
          <w:szCs w:val="21"/>
        </w:rPr>
      </w:pPr>
      <w:bookmarkStart w:id="4" w:name="_Toc2533281"/>
      <w:r>
        <w:rPr>
          <w:rFonts w:hint="eastAsia" w:ascii="黑体" w:hAnsi="宋体" w:eastAsia="黑体" w:cs="宋体"/>
          <w:bCs/>
          <w:color w:val="auto"/>
          <w:szCs w:val="21"/>
        </w:rPr>
        <w:t>五.标准指标主要内容的判定依据</w:t>
      </w:r>
      <w:bookmarkEnd w:id="4"/>
    </w:p>
    <w:p>
      <w:pPr>
        <w:keepNext w:val="0"/>
        <w:keepLines w:val="0"/>
        <w:pageBreakBefore w:val="0"/>
        <w:widowControl/>
        <w:kinsoku/>
        <w:wordWrap/>
        <w:overflowPunct/>
        <w:topLinePunct w:val="0"/>
        <w:bidi w:val="0"/>
        <w:snapToGrid/>
        <w:spacing w:line="400" w:lineRule="exact"/>
        <w:ind w:firstLine="420" w:firstLineChars="200"/>
        <w:jc w:val="left"/>
        <w:textAlignment w:val="auto"/>
        <w:rPr>
          <w:rFonts w:hAnsi="Calibri"/>
          <w:color w:val="auto"/>
          <w:szCs w:val="21"/>
        </w:rPr>
      </w:pPr>
      <w:r>
        <w:rPr>
          <w:rFonts w:hint="eastAsia"/>
          <w:color w:val="auto"/>
          <w:szCs w:val="21"/>
        </w:rPr>
        <w:t>冷轧板带箔产品评价指标由一级指标和二级指标组成。一级指标包括资源属性指标、能源属性指标、环境属性指标和产品属性指标。二级指标是对一级指标的具体化，明确规定所要达到的具体数值。冷轧板带箔的评价指标、基准值、判定依据等见表</w:t>
      </w:r>
      <w:r>
        <w:rPr>
          <w:rFonts w:ascii="Calibri" w:hAnsi="Calibri" w:cs="Calibri"/>
          <w:color w:val="auto"/>
          <w:szCs w:val="21"/>
        </w:rPr>
        <w:t>1</w:t>
      </w:r>
      <w:r>
        <w:rPr>
          <w:rFonts w:hint="eastAsia" w:hAnsi="Calibri"/>
          <w:color w:val="auto"/>
          <w:szCs w:val="21"/>
        </w:rPr>
        <w:t>。本标准的功能单位为1</w:t>
      </w:r>
      <w:r>
        <w:rPr>
          <w:rFonts w:ascii="Calibri" w:hAnsi="Calibri" w:cs="Calibri"/>
          <w:color w:val="auto"/>
          <w:szCs w:val="21"/>
        </w:rPr>
        <w:t>t</w:t>
      </w:r>
      <w:r>
        <w:rPr>
          <w:rFonts w:hint="eastAsia" w:ascii="Calibri" w:hAnsi="Calibri" w:cs="Calibri"/>
          <w:color w:val="auto"/>
          <w:szCs w:val="21"/>
        </w:rPr>
        <w:t>符合质量要求的热轧板</w:t>
      </w:r>
      <w:r>
        <w:rPr>
          <w:rFonts w:hint="eastAsia" w:hAnsi="Calibri"/>
          <w:color w:val="auto"/>
          <w:szCs w:val="21"/>
        </w:rPr>
        <w:t>。</w:t>
      </w:r>
    </w:p>
    <w:p>
      <w:pPr>
        <w:keepNext w:val="0"/>
        <w:keepLines w:val="0"/>
        <w:pageBreakBefore w:val="0"/>
        <w:widowControl/>
        <w:kinsoku/>
        <w:wordWrap/>
        <w:overflowPunct/>
        <w:topLinePunct w:val="0"/>
        <w:autoSpaceDE/>
        <w:autoSpaceDN/>
        <w:bidi w:val="0"/>
        <w:spacing w:line="400" w:lineRule="exact"/>
        <w:jc w:val="center"/>
        <w:textAlignment w:val="auto"/>
        <w:rPr>
          <w:rFonts w:hint="eastAsia" w:ascii="黑体" w:hAnsi="黑体" w:eastAsia="黑体"/>
          <w:color w:val="auto"/>
          <w:szCs w:val="21"/>
        </w:rPr>
      </w:pPr>
      <w:r>
        <w:rPr>
          <w:rFonts w:hint="eastAsia" w:ascii="黑体" w:hAnsi="黑体" w:eastAsia="黑体"/>
          <w:color w:val="auto"/>
          <w:szCs w:val="21"/>
        </w:rPr>
        <w:t>表 1  铜及铜合金冷轧板带箔材产品评价指标要求</w:t>
      </w:r>
    </w:p>
    <w:tbl>
      <w:tblPr>
        <w:tblStyle w:val="8"/>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821"/>
        <w:gridCol w:w="52"/>
        <w:gridCol w:w="1306"/>
        <w:gridCol w:w="809"/>
        <w:gridCol w:w="2077"/>
        <w:gridCol w:w="2167"/>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tcBorders>
              <w:top w:val="single" w:color="auto" w:sz="12" w:space="0"/>
              <w:left w:val="single" w:color="auto" w:sz="12" w:space="0"/>
              <w:bottom w:val="single" w:color="auto" w:sz="12" w:space="0"/>
              <w:right w:val="single" w:color="auto" w:sz="12" w:space="0"/>
            </w:tcBorders>
            <w:vAlign w:val="center"/>
          </w:tcPr>
          <w:p>
            <w:pPr>
              <w:adjustRightInd w:val="0"/>
              <w:snapToGrid w:val="0"/>
              <w:jc w:val="center"/>
              <w:rPr>
                <w:rFonts w:hAnsi="宋体"/>
                <w:color w:val="auto"/>
                <w:sz w:val="18"/>
                <w:szCs w:val="18"/>
              </w:rPr>
            </w:pPr>
            <w:r>
              <w:rPr>
                <w:rFonts w:hint="eastAsia" w:hAnsi="宋体"/>
                <w:color w:val="auto"/>
                <w:sz w:val="18"/>
                <w:szCs w:val="18"/>
              </w:rPr>
              <w:t>一级指标</w:t>
            </w:r>
          </w:p>
        </w:tc>
        <w:tc>
          <w:tcPr>
            <w:tcW w:w="2179" w:type="dxa"/>
            <w:gridSpan w:val="3"/>
            <w:tcBorders>
              <w:top w:val="single" w:color="auto" w:sz="12" w:space="0"/>
              <w:left w:val="single" w:color="auto" w:sz="12" w:space="0"/>
              <w:bottom w:val="single" w:color="auto" w:sz="12" w:space="0"/>
              <w:right w:val="single" w:color="auto" w:sz="12" w:space="0"/>
            </w:tcBorders>
            <w:vAlign w:val="center"/>
          </w:tcPr>
          <w:p>
            <w:pPr>
              <w:adjustRightInd w:val="0"/>
              <w:snapToGrid w:val="0"/>
              <w:jc w:val="center"/>
              <w:rPr>
                <w:rFonts w:hAnsi="宋体"/>
                <w:color w:val="auto"/>
                <w:sz w:val="18"/>
                <w:szCs w:val="18"/>
              </w:rPr>
            </w:pPr>
            <w:r>
              <w:rPr>
                <w:rFonts w:hint="eastAsia" w:hAnsi="宋体"/>
                <w:color w:val="auto"/>
                <w:sz w:val="18"/>
                <w:szCs w:val="18"/>
              </w:rPr>
              <w:t>二级指标</w:t>
            </w:r>
          </w:p>
        </w:tc>
        <w:tc>
          <w:tcPr>
            <w:tcW w:w="809" w:type="dxa"/>
            <w:tcBorders>
              <w:top w:val="single" w:color="auto" w:sz="12" w:space="0"/>
              <w:left w:val="single" w:color="auto" w:sz="12" w:space="0"/>
              <w:bottom w:val="single" w:color="auto" w:sz="12" w:space="0"/>
              <w:right w:val="single" w:color="auto" w:sz="12" w:space="0"/>
            </w:tcBorders>
            <w:vAlign w:val="center"/>
          </w:tcPr>
          <w:p>
            <w:pPr>
              <w:adjustRightInd w:val="0"/>
              <w:snapToGrid w:val="0"/>
              <w:jc w:val="center"/>
              <w:rPr>
                <w:rFonts w:hAnsi="宋体"/>
                <w:color w:val="auto"/>
                <w:sz w:val="18"/>
                <w:szCs w:val="18"/>
              </w:rPr>
            </w:pPr>
            <w:r>
              <w:rPr>
                <w:rFonts w:hint="eastAsia" w:hAnsi="宋体"/>
                <w:color w:val="auto"/>
                <w:sz w:val="18"/>
                <w:szCs w:val="18"/>
              </w:rPr>
              <w:t>单位</w:t>
            </w:r>
          </w:p>
        </w:tc>
        <w:tc>
          <w:tcPr>
            <w:tcW w:w="2077" w:type="dxa"/>
            <w:tcBorders>
              <w:top w:val="single" w:color="auto" w:sz="12" w:space="0"/>
              <w:left w:val="single" w:color="auto" w:sz="12" w:space="0"/>
              <w:bottom w:val="single" w:color="auto" w:sz="12" w:space="0"/>
              <w:right w:val="single" w:color="auto" w:sz="12" w:space="0"/>
            </w:tcBorders>
            <w:vAlign w:val="center"/>
          </w:tcPr>
          <w:p>
            <w:pPr>
              <w:adjustRightInd w:val="0"/>
              <w:snapToGrid w:val="0"/>
              <w:jc w:val="center"/>
              <w:rPr>
                <w:rFonts w:hAnsi="宋体"/>
                <w:color w:val="auto"/>
                <w:sz w:val="18"/>
                <w:szCs w:val="18"/>
              </w:rPr>
            </w:pPr>
            <w:r>
              <w:rPr>
                <w:rFonts w:hint="eastAsia" w:hAnsi="宋体"/>
                <w:color w:val="auto"/>
                <w:sz w:val="18"/>
                <w:szCs w:val="18"/>
              </w:rPr>
              <w:t>基准值</w:t>
            </w:r>
          </w:p>
        </w:tc>
        <w:tc>
          <w:tcPr>
            <w:tcW w:w="2167" w:type="dxa"/>
            <w:tcBorders>
              <w:top w:val="single" w:color="auto" w:sz="12" w:space="0"/>
              <w:left w:val="single" w:color="auto" w:sz="12" w:space="0"/>
              <w:bottom w:val="single" w:color="auto" w:sz="12" w:space="0"/>
              <w:right w:val="single" w:color="auto" w:sz="6" w:space="0"/>
            </w:tcBorders>
            <w:vAlign w:val="center"/>
          </w:tcPr>
          <w:p>
            <w:pPr>
              <w:adjustRightInd w:val="0"/>
              <w:snapToGrid w:val="0"/>
              <w:jc w:val="center"/>
              <w:rPr>
                <w:rFonts w:hAnsi="宋体"/>
                <w:color w:val="auto"/>
                <w:sz w:val="18"/>
                <w:szCs w:val="18"/>
              </w:rPr>
            </w:pPr>
            <w:r>
              <w:rPr>
                <w:rFonts w:hint="eastAsia" w:hAnsi="宋体"/>
                <w:color w:val="auto"/>
                <w:sz w:val="18"/>
                <w:szCs w:val="18"/>
              </w:rPr>
              <w:t>判定依据</w:t>
            </w:r>
          </w:p>
        </w:tc>
        <w:tc>
          <w:tcPr>
            <w:tcW w:w="1011" w:type="dxa"/>
            <w:tcBorders>
              <w:top w:val="single" w:color="auto" w:sz="12" w:space="0"/>
              <w:left w:val="single" w:color="auto" w:sz="6" w:space="0"/>
              <w:bottom w:val="single" w:color="auto" w:sz="12" w:space="0"/>
              <w:right w:val="single" w:color="auto" w:sz="12" w:space="0"/>
            </w:tcBorders>
            <w:vAlign w:val="center"/>
          </w:tcPr>
          <w:p>
            <w:pPr>
              <w:adjustRightInd w:val="0"/>
              <w:snapToGrid w:val="0"/>
              <w:jc w:val="center"/>
              <w:rPr>
                <w:rFonts w:hAnsi="宋体"/>
                <w:color w:val="auto"/>
                <w:sz w:val="18"/>
                <w:szCs w:val="18"/>
              </w:rPr>
            </w:pPr>
            <w:r>
              <w:rPr>
                <w:rFonts w:hint="eastAsia" w:hAnsi="宋体"/>
                <w:color w:val="auto"/>
                <w:sz w:val="18"/>
                <w:szCs w:val="18"/>
              </w:rPr>
              <w:t>所属阶段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restart"/>
            <w:tcBorders>
              <w:top w:val="single" w:color="auto" w:sz="12" w:space="0"/>
              <w:left w:val="single" w:color="auto" w:sz="12" w:space="0"/>
              <w:bottom w:val="single" w:color="auto" w:sz="6" w:space="0"/>
              <w:right w:val="single" w:color="auto" w:sz="4"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资源属性</w:t>
            </w:r>
          </w:p>
        </w:tc>
        <w:tc>
          <w:tcPr>
            <w:tcW w:w="821" w:type="dxa"/>
            <w:vMerge w:val="restart"/>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18"/>
                <w:szCs w:val="18"/>
              </w:rPr>
            </w:pPr>
            <w:r>
              <w:rPr>
                <w:rFonts w:hint="eastAsia" w:ascii="宋体" w:hAnsi="宋体"/>
                <w:color w:val="auto"/>
                <w:kern w:val="0"/>
                <w:sz w:val="18"/>
                <w:szCs w:val="18"/>
              </w:rPr>
              <w:t>金属损耗率</w:t>
            </w:r>
          </w:p>
        </w:tc>
        <w:tc>
          <w:tcPr>
            <w:tcW w:w="1358" w:type="dxa"/>
            <w:gridSpan w:val="2"/>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紫铜</w:t>
            </w:r>
          </w:p>
        </w:tc>
        <w:tc>
          <w:tcPr>
            <w:tcW w:w="809"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18"/>
                <w:szCs w:val="18"/>
              </w:rPr>
            </w:pPr>
            <w:r>
              <w:rPr>
                <w:rFonts w:hint="eastAsia" w:ascii="宋体" w:hAnsi="宋体"/>
                <w:color w:val="auto"/>
                <w:kern w:val="0"/>
                <w:sz w:val="18"/>
                <w:szCs w:val="18"/>
              </w:rPr>
              <w:t>%</w:t>
            </w:r>
          </w:p>
        </w:tc>
        <w:tc>
          <w:tcPr>
            <w:tcW w:w="2077"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18"/>
                <w:szCs w:val="18"/>
              </w:rPr>
            </w:pPr>
            <w:r>
              <w:rPr>
                <w:rFonts w:hint="eastAsia" w:ascii="宋体" w:hAnsi="宋体"/>
                <w:b/>
                <w:color w:val="auto"/>
                <w:kern w:val="0"/>
                <w:sz w:val="18"/>
                <w:szCs w:val="18"/>
                <w:highlight w:val="none"/>
              </w:rPr>
              <w:t>≤</w:t>
            </w:r>
            <w:r>
              <w:rPr>
                <w:rFonts w:hint="eastAsia" w:ascii="宋体" w:hAnsi="宋体"/>
                <w:color w:val="auto"/>
                <w:kern w:val="0"/>
                <w:sz w:val="18"/>
                <w:szCs w:val="18"/>
                <w:highlight w:val="none"/>
                <w:lang w:val="en-US" w:eastAsia="zh-CN"/>
              </w:rPr>
              <w:t>3.4</w:t>
            </w:r>
          </w:p>
        </w:tc>
        <w:tc>
          <w:tcPr>
            <w:tcW w:w="2167" w:type="dxa"/>
            <w:vMerge w:val="restart"/>
            <w:tcBorders>
              <w:top w:val="single" w:color="auto" w:sz="12" w:space="0"/>
              <w:left w:val="single" w:color="auto" w:sz="4" w:space="0"/>
              <w:right w:val="single" w:color="auto" w:sz="6"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现场数据</w:t>
            </w:r>
          </w:p>
        </w:tc>
        <w:tc>
          <w:tcPr>
            <w:tcW w:w="1011" w:type="dxa"/>
            <w:vMerge w:val="restart"/>
            <w:tcBorders>
              <w:top w:val="single" w:color="auto" w:sz="12" w:space="0"/>
              <w:left w:val="single" w:color="auto" w:sz="6" w:space="0"/>
              <w:bottom w:val="single" w:color="auto" w:sz="6" w:space="0"/>
              <w:right w:val="single" w:color="auto" w:sz="12"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continue"/>
            <w:tcBorders>
              <w:top w:val="single" w:color="auto" w:sz="12" w:space="0"/>
              <w:left w:val="single" w:color="auto" w:sz="12" w:space="0"/>
              <w:bottom w:val="single" w:color="auto" w:sz="6" w:space="0"/>
              <w:right w:val="single" w:color="auto" w:sz="4" w:space="0"/>
            </w:tcBorders>
            <w:vAlign w:val="center"/>
          </w:tcPr>
          <w:p>
            <w:pPr>
              <w:adjustRightInd w:val="0"/>
              <w:snapToGrid w:val="0"/>
              <w:jc w:val="center"/>
              <w:rPr>
                <w:rFonts w:ascii="宋体" w:hAnsi="宋体"/>
                <w:color w:val="auto"/>
                <w:sz w:val="18"/>
                <w:szCs w:val="18"/>
              </w:rPr>
            </w:pPr>
          </w:p>
        </w:tc>
        <w:tc>
          <w:tcPr>
            <w:tcW w:w="82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 w:val="18"/>
                <w:szCs w:val="18"/>
              </w:rPr>
            </w:pPr>
          </w:p>
        </w:tc>
        <w:tc>
          <w:tcPr>
            <w:tcW w:w="135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高铜</w:t>
            </w:r>
          </w:p>
        </w:tc>
        <w:tc>
          <w:tcPr>
            <w:tcW w:w="809" w:type="dxa"/>
            <w:tcBorders>
              <w:top w:val="single" w:color="auto" w:sz="4" w:space="0"/>
              <w:left w:val="single" w:color="auto" w:sz="4" w:space="0"/>
              <w:bottom w:val="single" w:color="auto" w:sz="4" w:space="0"/>
              <w:right w:val="single" w:color="auto" w:sz="4" w:space="0"/>
            </w:tcBorders>
            <w:vAlign w:val="bottom"/>
          </w:tcPr>
          <w:p>
            <w:pPr>
              <w:jc w:val="center"/>
              <w:rPr>
                <w:color w:val="auto"/>
              </w:rPr>
            </w:pPr>
            <w:r>
              <w:rPr>
                <w:rFonts w:hint="eastAsia" w:ascii="宋体" w:hAnsi="宋体"/>
                <w:color w:val="auto"/>
                <w:kern w:val="0"/>
                <w:sz w:val="18"/>
                <w:szCs w:val="18"/>
              </w:rPr>
              <w:t>%</w:t>
            </w:r>
          </w:p>
        </w:tc>
        <w:tc>
          <w:tcPr>
            <w:tcW w:w="20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 w:val="18"/>
                <w:szCs w:val="18"/>
              </w:rPr>
            </w:pPr>
            <w:r>
              <w:rPr>
                <w:rFonts w:hint="eastAsia" w:ascii="宋体" w:hAnsi="宋体"/>
                <w:b/>
                <w:color w:val="auto"/>
                <w:kern w:val="0"/>
                <w:sz w:val="18"/>
                <w:szCs w:val="18"/>
              </w:rPr>
              <w:t>≤</w:t>
            </w:r>
            <w:r>
              <w:rPr>
                <w:rFonts w:hint="eastAsia" w:ascii="宋体" w:hAnsi="宋体"/>
                <w:color w:val="auto"/>
                <w:kern w:val="0"/>
                <w:sz w:val="18"/>
                <w:szCs w:val="18"/>
              </w:rPr>
              <w:t>3.</w:t>
            </w:r>
            <w:r>
              <w:rPr>
                <w:rFonts w:hint="eastAsia" w:ascii="宋体" w:hAnsi="宋体"/>
                <w:color w:val="auto"/>
                <w:kern w:val="0"/>
                <w:sz w:val="18"/>
                <w:szCs w:val="18"/>
                <w:lang w:val="en-US" w:eastAsia="zh-CN"/>
              </w:rPr>
              <w:t>5</w:t>
            </w:r>
          </w:p>
        </w:tc>
        <w:tc>
          <w:tcPr>
            <w:tcW w:w="2167" w:type="dxa"/>
            <w:vMerge w:val="continue"/>
            <w:tcBorders>
              <w:left w:val="single" w:color="auto" w:sz="4" w:space="0"/>
              <w:right w:val="single" w:color="auto" w:sz="6" w:space="0"/>
            </w:tcBorders>
            <w:vAlign w:val="center"/>
          </w:tcPr>
          <w:p>
            <w:pPr>
              <w:adjustRightInd w:val="0"/>
              <w:snapToGrid w:val="0"/>
              <w:jc w:val="center"/>
              <w:rPr>
                <w:rFonts w:ascii="宋体" w:hAnsi="宋体"/>
                <w:color w:val="auto"/>
                <w:sz w:val="18"/>
                <w:szCs w:val="18"/>
              </w:rPr>
            </w:pPr>
          </w:p>
        </w:tc>
        <w:tc>
          <w:tcPr>
            <w:tcW w:w="1011" w:type="dxa"/>
            <w:vMerge w:val="continue"/>
            <w:tcBorders>
              <w:top w:val="single" w:color="auto" w:sz="12" w:space="0"/>
              <w:left w:val="single" w:color="auto" w:sz="6" w:space="0"/>
              <w:bottom w:val="single" w:color="auto" w:sz="6" w:space="0"/>
              <w:right w:val="single" w:color="auto" w:sz="12" w:space="0"/>
            </w:tcBorders>
            <w:vAlign w:val="center"/>
          </w:tcPr>
          <w:p>
            <w:pPr>
              <w:adjustRightInd w:val="0"/>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continue"/>
            <w:tcBorders>
              <w:top w:val="single" w:color="auto" w:sz="12" w:space="0"/>
              <w:left w:val="single" w:color="auto" w:sz="12" w:space="0"/>
              <w:bottom w:val="single" w:color="auto" w:sz="6" w:space="0"/>
              <w:right w:val="single" w:color="auto" w:sz="4" w:space="0"/>
            </w:tcBorders>
            <w:vAlign w:val="center"/>
          </w:tcPr>
          <w:p>
            <w:pPr>
              <w:adjustRightInd w:val="0"/>
              <w:snapToGrid w:val="0"/>
              <w:jc w:val="center"/>
              <w:rPr>
                <w:rFonts w:ascii="宋体" w:hAnsi="宋体"/>
                <w:color w:val="auto"/>
                <w:sz w:val="18"/>
                <w:szCs w:val="18"/>
              </w:rPr>
            </w:pPr>
          </w:p>
        </w:tc>
        <w:tc>
          <w:tcPr>
            <w:tcW w:w="82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 w:val="18"/>
                <w:szCs w:val="18"/>
              </w:rPr>
            </w:pPr>
          </w:p>
        </w:tc>
        <w:tc>
          <w:tcPr>
            <w:tcW w:w="135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黄铜</w:t>
            </w:r>
          </w:p>
        </w:tc>
        <w:tc>
          <w:tcPr>
            <w:tcW w:w="809" w:type="dxa"/>
            <w:tcBorders>
              <w:top w:val="single" w:color="auto" w:sz="4" w:space="0"/>
              <w:left w:val="single" w:color="auto" w:sz="4" w:space="0"/>
              <w:bottom w:val="single" w:color="auto" w:sz="4" w:space="0"/>
              <w:right w:val="single" w:color="auto" w:sz="4" w:space="0"/>
            </w:tcBorders>
            <w:vAlign w:val="bottom"/>
          </w:tcPr>
          <w:p>
            <w:pPr>
              <w:jc w:val="center"/>
              <w:rPr>
                <w:color w:val="auto"/>
              </w:rPr>
            </w:pPr>
            <w:r>
              <w:rPr>
                <w:rFonts w:hint="eastAsia" w:ascii="宋体" w:hAnsi="宋体"/>
                <w:color w:val="auto"/>
                <w:kern w:val="0"/>
                <w:sz w:val="18"/>
                <w:szCs w:val="18"/>
              </w:rPr>
              <w:t>%</w:t>
            </w:r>
          </w:p>
        </w:tc>
        <w:tc>
          <w:tcPr>
            <w:tcW w:w="20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 w:val="18"/>
                <w:szCs w:val="18"/>
              </w:rPr>
            </w:pPr>
            <w:r>
              <w:rPr>
                <w:rFonts w:hint="eastAsia" w:ascii="宋体" w:hAnsi="宋体"/>
                <w:b/>
                <w:color w:val="auto"/>
                <w:kern w:val="0"/>
                <w:sz w:val="18"/>
                <w:szCs w:val="18"/>
              </w:rPr>
              <w:t>≤</w:t>
            </w:r>
            <w:r>
              <w:rPr>
                <w:rFonts w:hint="eastAsia" w:ascii="宋体" w:hAnsi="宋体"/>
                <w:color w:val="auto"/>
                <w:kern w:val="0"/>
                <w:sz w:val="18"/>
                <w:szCs w:val="18"/>
              </w:rPr>
              <w:t>3.</w:t>
            </w:r>
            <w:r>
              <w:rPr>
                <w:rFonts w:hint="eastAsia" w:ascii="宋体" w:hAnsi="宋体"/>
                <w:color w:val="auto"/>
                <w:kern w:val="0"/>
                <w:sz w:val="18"/>
                <w:szCs w:val="18"/>
                <w:lang w:val="en-US" w:eastAsia="zh-CN"/>
              </w:rPr>
              <w:t>8</w:t>
            </w:r>
          </w:p>
        </w:tc>
        <w:tc>
          <w:tcPr>
            <w:tcW w:w="2167" w:type="dxa"/>
            <w:vMerge w:val="continue"/>
            <w:tcBorders>
              <w:left w:val="single" w:color="auto" w:sz="4" w:space="0"/>
              <w:right w:val="single" w:color="auto" w:sz="6" w:space="0"/>
            </w:tcBorders>
            <w:vAlign w:val="center"/>
          </w:tcPr>
          <w:p>
            <w:pPr>
              <w:adjustRightInd w:val="0"/>
              <w:snapToGrid w:val="0"/>
              <w:jc w:val="center"/>
              <w:rPr>
                <w:rFonts w:ascii="宋体" w:hAnsi="宋体"/>
                <w:color w:val="auto"/>
                <w:sz w:val="18"/>
                <w:szCs w:val="18"/>
              </w:rPr>
            </w:pPr>
          </w:p>
        </w:tc>
        <w:tc>
          <w:tcPr>
            <w:tcW w:w="1011" w:type="dxa"/>
            <w:vMerge w:val="continue"/>
            <w:tcBorders>
              <w:top w:val="single" w:color="auto" w:sz="12" w:space="0"/>
              <w:left w:val="single" w:color="auto" w:sz="6" w:space="0"/>
              <w:bottom w:val="single" w:color="auto" w:sz="6" w:space="0"/>
              <w:right w:val="single" w:color="auto" w:sz="12" w:space="0"/>
            </w:tcBorders>
            <w:vAlign w:val="center"/>
          </w:tcPr>
          <w:p>
            <w:pPr>
              <w:adjustRightInd w:val="0"/>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continue"/>
            <w:tcBorders>
              <w:top w:val="single" w:color="auto" w:sz="12" w:space="0"/>
              <w:left w:val="single" w:color="auto" w:sz="12" w:space="0"/>
              <w:bottom w:val="single" w:color="auto" w:sz="6" w:space="0"/>
              <w:right w:val="single" w:color="auto" w:sz="4" w:space="0"/>
            </w:tcBorders>
            <w:vAlign w:val="center"/>
          </w:tcPr>
          <w:p>
            <w:pPr>
              <w:adjustRightInd w:val="0"/>
              <w:snapToGrid w:val="0"/>
              <w:jc w:val="center"/>
              <w:rPr>
                <w:rFonts w:ascii="宋体" w:hAnsi="宋体"/>
                <w:color w:val="auto"/>
                <w:sz w:val="18"/>
                <w:szCs w:val="18"/>
              </w:rPr>
            </w:pPr>
          </w:p>
        </w:tc>
        <w:tc>
          <w:tcPr>
            <w:tcW w:w="82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 w:val="18"/>
                <w:szCs w:val="18"/>
              </w:rPr>
            </w:pPr>
          </w:p>
        </w:tc>
        <w:tc>
          <w:tcPr>
            <w:tcW w:w="135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青铜</w:t>
            </w:r>
          </w:p>
        </w:tc>
        <w:tc>
          <w:tcPr>
            <w:tcW w:w="809" w:type="dxa"/>
            <w:tcBorders>
              <w:top w:val="single" w:color="auto" w:sz="4" w:space="0"/>
              <w:left w:val="single" w:color="auto" w:sz="4" w:space="0"/>
              <w:bottom w:val="single" w:color="auto" w:sz="4" w:space="0"/>
              <w:right w:val="single" w:color="auto" w:sz="4" w:space="0"/>
            </w:tcBorders>
            <w:vAlign w:val="bottom"/>
          </w:tcPr>
          <w:p>
            <w:pPr>
              <w:jc w:val="center"/>
              <w:rPr>
                <w:color w:val="auto"/>
              </w:rPr>
            </w:pPr>
            <w:r>
              <w:rPr>
                <w:rFonts w:hint="eastAsia" w:ascii="宋体" w:hAnsi="宋体"/>
                <w:color w:val="auto"/>
                <w:kern w:val="0"/>
                <w:sz w:val="18"/>
                <w:szCs w:val="18"/>
              </w:rPr>
              <w:t>%</w:t>
            </w:r>
          </w:p>
        </w:tc>
        <w:tc>
          <w:tcPr>
            <w:tcW w:w="20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 w:val="18"/>
                <w:szCs w:val="18"/>
              </w:rPr>
            </w:pPr>
            <w:r>
              <w:rPr>
                <w:rFonts w:hint="eastAsia" w:ascii="宋体" w:hAnsi="宋体"/>
                <w:b/>
                <w:color w:val="auto"/>
                <w:kern w:val="0"/>
                <w:sz w:val="18"/>
                <w:szCs w:val="18"/>
                <w:highlight w:val="none"/>
              </w:rPr>
              <w:t>≤</w:t>
            </w:r>
            <w:r>
              <w:rPr>
                <w:rFonts w:hint="eastAsia" w:ascii="宋体" w:hAnsi="宋体"/>
                <w:color w:val="auto"/>
                <w:kern w:val="0"/>
                <w:sz w:val="18"/>
                <w:szCs w:val="18"/>
                <w:highlight w:val="none"/>
              </w:rPr>
              <w:t>4.</w:t>
            </w:r>
            <w:r>
              <w:rPr>
                <w:rFonts w:hint="eastAsia" w:ascii="宋体" w:hAnsi="宋体"/>
                <w:color w:val="auto"/>
                <w:kern w:val="0"/>
                <w:sz w:val="18"/>
                <w:szCs w:val="18"/>
                <w:highlight w:val="none"/>
                <w:lang w:val="en-US" w:eastAsia="zh-CN"/>
              </w:rPr>
              <w:t>0</w:t>
            </w:r>
          </w:p>
        </w:tc>
        <w:tc>
          <w:tcPr>
            <w:tcW w:w="2167" w:type="dxa"/>
            <w:vMerge w:val="continue"/>
            <w:tcBorders>
              <w:left w:val="single" w:color="auto" w:sz="4" w:space="0"/>
              <w:right w:val="single" w:color="auto" w:sz="6" w:space="0"/>
            </w:tcBorders>
            <w:vAlign w:val="center"/>
          </w:tcPr>
          <w:p>
            <w:pPr>
              <w:adjustRightInd w:val="0"/>
              <w:snapToGrid w:val="0"/>
              <w:jc w:val="center"/>
              <w:rPr>
                <w:rFonts w:ascii="宋体" w:hAnsi="宋体"/>
                <w:color w:val="auto"/>
                <w:sz w:val="18"/>
                <w:szCs w:val="18"/>
              </w:rPr>
            </w:pPr>
          </w:p>
        </w:tc>
        <w:tc>
          <w:tcPr>
            <w:tcW w:w="1011" w:type="dxa"/>
            <w:vMerge w:val="continue"/>
            <w:tcBorders>
              <w:top w:val="single" w:color="auto" w:sz="12" w:space="0"/>
              <w:left w:val="single" w:color="auto" w:sz="6" w:space="0"/>
              <w:bottom w:val="single" w:color="auto" w:sz="6" w:space="0"/>
              <w:right w:val="single" w:color="auto" w:sz="12" w:space="0"/>
            </w:tcBorders>
            <w:vAlign w:val="center"/>
          </w:tcPr>
          <w:p>
            <w:pPr>
              <w:adjustRightInd w:val="0"/>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continue"/>
            <w:tcBorders>
              <w:top w:val="single" w:color="auto" w:sz="12" w:space="0"/>
              <w:left w:val="single" w:color="auto" w:sz="12" w:space="0"/>
              <w:bottom w:val="single" w:color="auto" w:sz="6" w:space="0"/>
              <w:right w:val="single" w:color="auto" w:sz="4" w:space="0"/>
            </w:tcBorders>
            <w:vAlign w:val="center"/>
          </w:tcPr>
          <w:p>
            <w:pPr>
              <w:adjustRightInd w:val="0"/>
              <w:snapToGrid w:val="0"/>
              <w:jc w:val="center"/>
              <w:rPr>
                <w:rFonts w:ascii="宋体" w:hAnsi="宋体"/>
                <w:color w:val="auto"/>
                <w:sz w:val="18"/>
                <w:szCs w:val="18"/>
              </w:rPr>
            </w:pPr>
          </w:p>
        </w:tc>
        <w:tc>
          <w:tcPr>
            <w:tcW w:w="82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 w:val="18"/>
                <w:szCs w:val="18"/>
              </w:rPr>
            </w:pPr>
          </w:p>
        </w:tc>
        <w:tc>
          <w:tcPr>
            <w:tcW w:w="135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白铜</w:t>
            </w:r>
          </w:p>
        </w:tc>
        <w:tc>
          <w:tcPr>
            <w:tcW w:w="809" w:type="dxa"/>
            <w:tcBorders>
              <w:top w:val="single" w:color="auto" w:sz="4" w:space="0"/>
              <w:left w:val="single" w:color="auto" w:sz="4" w:space="0"/>
              <w:bottom w:val="single" w:color="auto" w:sz="4" w:space="0"/>
              <w:right w:val="single" w:color="auto" w:sz="4" w:space="0"/>
            </w:tcBorders>
            <w:vAlign w:val="bottom"/>
          </w:tcPr>
          <w:p>
            <w:pPr>
              <w:jc w:val="center"/>
              <w:rPr>
                <w:color w:val="auto"/>
              </w:rPr>
            </w:pPr>
            <w:r>
              <w:rPr>
                <w:rFonts w:hint="eastAsia" w:ascii="宋体" w:hAnsi="宋体"/>
                <w:color w:val="auto"/>
                <w:kern w:val="0"/>
                <w:sz w:val="18"/>
                <w:szCs w:val="18"/>
              </w:rPr>
              <w:t>%</w:t>
            </w:r>
          </w:p>
        </w:tc>
        <w:tc>
          <w:tcPr>
            <w:tcW w:w="20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 w:val="18"/>
                <w:szCs w:val="18"/>
              </w:rPr>
            </w:pPr>
            <w:r>
              <w:rPr>
                <w:rFonts w:hint="eastAsia" w:ascii="宋体" w:hAnsi="宋体"/>
                <w:b/>
                <w:color w:val="auto"/>
                <w:kern w:val="0"/>
                <w:sz w:val="18"/>
                <w:szCs w:val="18"/>
              </w:rPr>
              <w:t>≤</w:t>
            </w:r>
            <w:r>
              <w:rPr>
                <w:rFonts w:hint="eastAsia" w:ascii="宋体" w:hAnsi="宋体"/>
                <w:color w:val="auto"/>
                <w:kern w:val="0"/>
                <w:sz w:val="18"/>
                <w:szCs w:val="18"/>
              </w:rPr>
              <w:t>4.0</w:t>
            </w:r>
          </w:p>
        </w:tc>
        <w:tc>
          <w:tcPr>
            <w:tcW w:w="2167" w:type="dxa"/>
            <w:vMerge w:val="continue"/>
            <w:tcBorders>
              <w:left w:val="single" w:color="auto" w:sz="4" w:space="0"/>
              <w:bottom w:val="single" w:color="auto" w:sz="4" w:space="0"/>
              <w:right w:val="single" w:color="auto" w:sz="6" w:space="0"/>
            </w:tcBorders>
            <w:vAlign w:val="center"/>
          </w:tcPr>
          <w:p>
            <w:pPr>
              <w:adjustRightInd w:val="0"/>
              <w:snapToGrid w:val="0"/>
              <w:jc w:val="center"/>
              <w:rPr>
                <w:rFonts w:ascii="宋体" w:hAnsi="宋体"/>
                <w:color w:val="auto"/>
                <w:sz w:val="18"/>
                <w:szCs w:val="18"/>
              </w:rPr>
            </w:pPr>
          </w:p>
        </w:tc>
        <w:tc>
          <w:tcPr>
            <w:tcW w:w="1011" w:type="dxa"/>
            <w:vMerge w:val="continue"/>
            <w:tcBorders>
              <w:top w:val="single" w:color="auto" w:sz="12" w:space="0"/>
              <w:left w:val="single" w:color="auto" w:sz="6" w:space="0"/>
              <w:bottom w:val="single" w:color="auto" w:sz="4" w:space="0"/>
              <w:right w:val="single" w:color="auto" w:sz="12" w:space="0"/>
            </w:tcBorders>
            <w:vAlign w:val="center"/>
          </w:tcPr>
          <w:p>
            <w:pPr>
              <w:adjustRightInd w:val="0"/>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continue"/>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宋体" w:hAnsi="宋体"/>
                <w:color w:val="auto"/>
                <w:sz w:val="18"/>
                <w:szCs w:val="18"/>
              </w:rPr>
            </w:pPr>
          </w:p>
        </w:tc>
        <w:tc>
          <w:tcPr>
            <w:tcW w:w="2179" w:type="dxa"/>
            <w:gridSpan w:val="3"/>
            <w:tcBorders>
              <w:top w:val="single" w:color="auto" w:sz="4" w:space="0"/>
              <w:left w:val="single" w:color="auto" w:sz="6" w:space="0"/>
              <w:bottom w:val="single" w:color="auto" w:sz="6" w:space="0"/>
              <w:right w:val="single" w:color="auto" w:sz="6" w:space="0"/>
            </w:tcBorders>
            <w:vAlign w:val="center"/>
          </w:tcPr>
          <w:p>
            <w:pPr>
              <w:adjustRightInd w:val="0"/>
              <w:snapToGrid w:val="0"/>
              <w:jc w:val="center"/>
              <w:rPr>
                <w:rFonts w:hint="eastAsia" w:ascii="宋体" w:hAnsi="宋体" w:eastAsia="宋体" w:cs="Times New Roman"/>
                <w:color w:val="auto"/>
                <w:kern w:val="0"/>
                <w:sz w:val="18"/>
                <w:szCs w:val="18"/>
                <w:highlight w:val="none"/>
                <w:lang w:val="en-US" w:eastAsia="zh-CN" w:bidi="ar-SA"/>
              </w:rPr>
            </w:pPr>
            <w:r>
              <w:rPr>
                <w:rFonts w:hint="eastAsia" w:ascii="宋体" w:hAnsi="宋体"/>
                <w:color w:val="auto"/>
                <w:kern w:val="0"/>
                <w:sz w:val="18"/>
                <w:szCs w:val="18"/>
                <w:highlight w:val="none"/>
              </w:rPr>
              <w:t>再生原料</w:t>
            </w:r>
            <w:r>
              <w:rPr>
                <w:rFonts w:hint="eastAsia" w:ascii="宋体" w:hAnsi="宋体"/>
                <w:color w:val="auto"/>
                <w:kern w:val="0"/>
                <w:sz w:val="18"/>
                <w:szCs w:val="18"/>
                <w:highlight w:val="none"/>
                <w:lang w:eastAsia="zh-CN"/>
              </w:rPr>
              <w:t>利用率</w:t>
            </w:r>
          </w:p>
        </w:tc>
        <w:tc>
          <w:tcPr>
            <w:tcW w:w="809" w:type="dxa"/>
            <w:tcBorders>
              <w:top w:val="single" w:color="auto" w:sz="4" w:space="0"/>
              <w:left w:val="single" w:color="auto" w:sz="6" w:space="0"/>
              <w:bottom w:val="single" w:color="auto" w:sz="6" w:space="0"/>
              <w:right w:val="single" w:color="auto" w:sz="6" w:space="0"/>
            </w:tcBorders>
            <w:vAlign w:val="center"/>
          </w:tcPr>
          <w:p>
            <w:pPr>
              <w:adjustRightInd w:val="0"/>
              <w:snapToGrid w:val="0"/>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w:t>
            </w:r>
          </w:p>
        </w:tc>
        <w:tc>
          <w:tcPr>
            <w:tcW w:w="2077" w:type="dxa"/>
            <w:tcBorders>
              <w:top w:val="single" w:color="auto" w:sz="4" w:space="0"/>
              <w:left w:val="single" w:color="auto" w:sz="6" w:space="0"/>
              <w:bottom w:val="single" w:color="auto" w:sz="6" w:space="0"/>
              <w:right w:val="single" w:color="auto" w:sz="6" w:space="0"/>
            </w:tcBorders>
            <w:vAlign w:val="center"/>
          </w:tcPr>
          <w:p>
            <w:pPr>
              <w:jc w:val="center"/>
              <w:rPr>
                <w:rFonts w:hint="default" w:ascii="宋体" w:hAnsi="宋体"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0～15</w:t>
            </w:r>
          </w:p>
        </w:tc>
        <w:tc>
          <w:tcPr>
            <w:tcW w:w="2167" w:type="dxa"/>
            <w:tcBorders>
              <w:top w:val="single" w:color="auto" w:sz="4" w:space="0"/>
              <w:left w:val="single" w:color="auto" w:sz="6" w:space="0"/>
              <w:bottom w:val="single" w:color="auto" w:sz="4" w:space="0"/>
              <w:right w:val="single" w:color="auto" w:sz="6" w:space="0"/>
            </w:tcBorders>
            <w:vAlign w:val="center"/>
          </w:tcPr>
          <w:p>
            <w:pPr>
              <w:adjustRightInd w:val="0"/>
              <w:snapToGrid w:val="0"/>
              <w:jc w:val="center"/>
              <w:rPr>
                <w:rFonts w:ascii="宋体" w:hAnsi="宋体" w:eastAsia="宋体" w:cs="Times New Roman"/>
                <w:color w:val="auto"/>
                <w:kern w:val="2"/>
                <w:sz w:val="18"/>
                <w:szCs w:val="18"/>
                <w:highlight w:val="yellow"/>
                <w:lang w:val="en-US" w:eastAsia="zh-CN" w:bidi="ar-SA"/>
              </w:rPr>
            </w:pPr>
            <w:r>
              <w:rPr>
                <w:rFonts w:hint="eastAsia" w:ascii="宋体" w:hAnsi="宋体"/>
                <w:color w:val="auto"/>
                <w:sz w:val="18"/>
                <w:szCs w:val="18"/>
                <w:highlight w:val="none"/>
              </w:rPr>
              <w:t>提供采购合</w:t>
            </w:r>
            <w:r>
              <w:rPr>
                <w:rFonts w:hint="eastAsia" w:ascii="宋体" w:hAnsi="宋体"/>
                <w:color w:val="auto"/>
                <w:sz w:val="18"/>
                <w:szCs w:val="18"/>
                <w:highlight w:val="none"/>
                <w:lang w:eastAsia="zh-CN"/>
              </w:rPr>
              <w:t>同、</w:t>
            </w:r>
            <w:r>
              <w:rPr>
                <w:rFonts w:hint="eastAsia" w:ascii="宋体" w:hAnsi="宋体"/>
                <w:color w:val="auto"/>
                <w:sz w:val="18"/>
                <w:szCs w:val="18"/>
                <w:highlight w:val="none"/>
              </w:rPr>
              <w:t>清单及</w:t>
            </w:r>
            <w:r>
              <w:rPr>
                <w:rFonts w:hint="eastAsia" w:ascii="宋体" w:hAnsi="宋体"/>
                <w:color w:val="auto"/>
                <w:sz w:val="18"/>
                <w:szCs w:val="18"/>
                <w:highlight w:val="none"/>
                <w:lang w:eastAsia="zh-CN"/>
              </w:rPr>
              <w:t>据表等</w:t>
            </w:r>
            <w:r>
              <w:rPr>
                <w:rFonts w:hint="eastAsia" w:ascii="宋体" w:hAnsi="宋体"/>
                <w:color w:val="auto"/>
                <w:sz w:val="18"/>
                <w:szCs w:val="18"/>
                <w:highlight w:val="none"/>
              </w:rPr>
              <w:t>证明材料</w:t>
            </w:r>
          </w:p>
        </w:tc>
        <w:tc>
          <w:tcPr>
            <w:tcW w:w="1011" w:type="dxa"/>
            <w:tcBorders>
              <w:top w:val="single" w:color="auto" w:sz="4" w:space="0"/>
              <w:left w:val="single" w:color="auto" w:sz="6" w:space="0"/>
              <w:bottom w:val="single" w:color="auto" w:sz="4" w:space="0"/>
              <w:right w:val="single" w:color="auto" w:sz="12" w:space="0"/>
            </w:tcBorders>
            <w:vAlign w:val="center"/>
          </w:tcPr>
          <w:p>
            <w:pPr>
              <w:jc w:val="left"/>
              <w:rPr>
                <w:rFonts w:hint="eastAsia" w:ascii="宋体" w:hAnsi="宋体" w:eastAsia="宋体" w:cs="Times New Roman"/>
                <w:color w:val="auto"/>
                <w:kern w:val="2"/>
                <w:sz w:val="18"/>
                <w:szCs w:val="18"/>
                <w:highlight w:val="yellow"/>
                <w:lang w:val="en-US" w:eastAsia="zh-CN" w:bidi="ar-SA"/>
              </w:rPr>
            </w:pPr>
            <w:r>
              <w:rPr>
                <w:rFonts w:hint="eastAsia" w:ascii="宋体" w:hAnsi="宋体"/>
                <w:color w:val="auto"/>
                <w:sz w:val="18"/>
                <w:szCs w:val="18"/>
                <w:highlight w:val="none"/>
                <w:lang w:eastAsia="zh-CN"/>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continue"/>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宋体" w:hAnsi="宋体"/>
                <w:color w:val="auto"/>
                <w:sz w:val="18"/>
                <w:szCs w:val="18"/>
              </w:rPr>
            </w:pPr>
          </w:p>
        </w:tc>
        <w:tc>
          <w:tcPr>
            <w:tcW w:w="2179"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水重复利用率</w:t>
            </w:r>
          </w:p>
        </w:tc>
        <w:tc>
          <w:tcPr>
            <w:tcW w:w="8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s="宋体"/>
                <w:color w:val="auto"/>
                <w:sz w:val="18"/>
                <w:szCs w:val="18"/>
              </w:rPr>
              <w:t>%</w:t>
            </w:r>
          </w:p>
        </w:tc>
        <w:tc>
          <w:tcPr>
            <w:tcW w:w="2077"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≥90</w:t>
            </w:r>
          </w:p>
        </w:tc>
        <w:tc>
          <w:tcPr>
            <w:tcW w:w="2167" w:type="dxa"/>
            <w:tcBorders>
              <w:top w:val="single" w:color="auto" w:sz="4"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现场数据、</w:t>
            </w:r>
          </w:p>
          <w:p>
            <w:pPr>
              <w:adjustRightInd w:val="0"/>
              <w:snapToGrid w:val="0"/>
              <w:jc w:val="center"/>
              <w:rPr>
                <w:rFonts w:ascii="宋体" w:hAnsi="宋体"/>
                <w:color w:val="auto"/>
                <w:sz w:val="18"/>
                <w:szCs w:val="18"/>
              </w:rPr>
            </w:pPr>
            <w:r>
              <w:rPr>
                <w:rFonts w:hint="eastAsia" w:ascii="宋体" w:hAnsi="宋体"/>
                <w:color w:val="auto"/>
                <w:sz w:val="18"/>
                <w:szCs w:val="18"/>
              </w:rPr>
              <w:t>依据附录A计算</w:t>
            </w:r>
          </w:p>
        </w:tc>
        <w:tc>
          <w:tcPr>
            <w:tcW w:w="1011" w:type="dxa"/>
            <w:tcBorders>
              <w:top w:val="single" w:color="auto" w:sz="4" w:space="0"/>
              <w:left w:val="single" w:color="auto" w:sz="6" w:space="0"/>
              <w:bottom w:val="single" w:color="auto" w:sz="6" w:space="0"/>
              <w:right w:val="single" w:color="auto" w:sz="12" w:space="0"/>
            </w:tcBorders>
            <w:vAlign w:val="center"/>
          </w:tcPr>
          <w:p>
            <w:pPr>
              <w:adjustRightInd w:val="0"/>
              <w:snapToGrid w:val="0"/>
              <w:rPr>
                <w:rFonts w:ascii="宋体" w:hAnsi="宋体"/>
                <w:color w:val="auto"/>
                <w:sz w:val="18"/>
                <w:szCs w:val="18"/>
              </w:rPr>
            </w:pPr>
            <w:r>
              <w:rPr>
                <w:rFonts w:hint="eastAsia" w:ascii="宋体" w:hAnsi="宋体"/>
                <w:color w:val="auto"/>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restart"/>
            <w:tcBorders>
              <w:top w:val="single" w:color="auto" w:sz="6" w:space="0"/>
              <w:left w:val="single" w:color="auto" w:sz="12" w:space="0"/>
              <w:right w:val="single" w:color="auto" w:sz="6"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能源属性</w:t>
            </w:r>
          </w:p>
        </w:tc>
        <w:tc>
          <w:tcPr>
            <w:tcW w:w="821" w:type="dxa"/>
            <w:vMerge w:val="restart"/>
            <w:tcBorders>
              <w:top w:val="single" w:color="auto" w:sz="6" w:space="0"/>
              <w:left w:val="single" w:color="auto" w:sz="6" w:space="0"/>
              <w:right w:val="single" w:color="auto" w:sz="4" w:space="0"/>
            </w:tcBorders>
            <w:vAlign w:val="center"/>
          </w:tcPr>
          <w:p>
            <w:pPr>
              <w:adjustRightInd w:val="0"/>
              <w:snapToGrid w:val="0"/>
              <w:jc w:val="center"/>
              <w:rPr>
                <w:rFonts w:ascii="宋体" w:hAnsi="宋体"/>
                <w:color w:val="auto"/>
                <w:sz w:val="18"/>
                <w:szCs w:val="18"/>
              </w:rPr>
            </w:pPr>
            <w:r>
              <w:rPr>
                <w:rFonts w:hint="eastAsia" w:ascii="宋体" w:hAnsi="宋体"/>
                <w:color w:val="auto"/>
                <w:kern w:val="0"/>
                <w:sz w:val="18"/>
                <w:szCs w:val="18"/>
              </w:rPr>
              <w:t>单位产品综合能耗</w:t>
            </w:r>
          </w:p>
        </w:tc>
        <w:tc>
          <w:tcPr>
            <w:tcW w:w="1358" w:type="dxa"/>
            <w:gridSpan w:val="2"/>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紫铜</w:t>
            </w:r>
          </w:p>
        </w:tc>
        <w:tc>
          <w:tcPr>
            <w:tcW w:w="8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sz w:val="18"/>
                <w:szCs w:val="18"/>
              </w:rPr>
            </w:pPr>
            <w:r>
              <w:rPr>
                <w:rFonts w:hint="eastAsia" w:ascii="宋体" w:hAnsi="宋体"/>
                <w:color w:val="auto"/>
                <w:kern w:val="0"/>
                <w:sz w:val="18"/>
                <w:szCs w:val="18"/>
              </w:rPr>
              <w:t>kgce/t</w:t>
            </w:r>
          </w:p>
        </w:tc>
        <w:tc>
          <w:tcPr>
            <w:tcW w:w="2077" w:type="dxa"/>
            <w:vMerge w:val="restart"/>
            <w:tcBorders>
              <w:top w:val="single" w:color="auto" w:sz="6" w:space="0"/>
              <w:left w:val="single" w:color="auto" w:sz="6" w:space="0"/>
              <w:right w:val="single" w:color="auto" w:sz="6" w:space="0"/>
            </w:tcBorders>
            <w:vAlign w:val="center"/>
          </w:tcPr>
          <w:p>
            <w:pPr>
              <w:adjustRightInd w:val="0"/>
              <w:snapToGrid w:val="0"/>
              <w:jc w:val="center"/>
              <w:rPr>
                <w:rFonts w:ascii="宋体" w:hAnsi="宋体"/>
                <w:color w:val="auto"/>
                <w:sz w:val="18"/>
                <w:szCs w:val="18"/>
                <w:highlight w:val="yellow"/>
              </w:rPr>
            </w:pPr>
            <w:r>
              <w:rPr>
                <w:rFonts w:ascii="宋体" w:hAnsi="宋体"/>
                <w:color w:val="auto"/>
                <w:kern w:val="0"/>
                <w:sz w:val="18"/>
                <w:szCs w:val="18"/>
              </w:rPr>
              <w:t>GB</w:t>
            </w:r>
            <w:r>
              <w:rPr>
                <w:rFonts w:hint="eastAsia" w:ascii="宋体" w:hAnsi="宋体"/>
                <w:color w:val="auto"/>
                <w:kern w:val="0"/>
                <w:sz w:val="18"/>
                <w:szCs w:val="18"/>
              </w:rPr>
              <w:t xml:space="preserve"> xxxx中各类综能耗二级</w:t>
            </w:r>
          </w:p>
        </w:tc>
        <w:tc>
          <w:tcPr>
            <w:tcW w:w="2167" w:type="dxa"/>
            <w:vMerge w:val="restart"/>
            <w:tcBorders>
              <w:top w:val="single" w:color="auto" w:sz="6" w:space="0"/>
              <w:left w:val="single" w:color="auto" w:sz="6" w:space="0"/>
              <w:right w:val="single" w:color="auto" w:sz="6" w:space="0"/>
            </w:tcBorders>
            <w:vAlign w:val="center"/>
          </w:tcPr>
          <w:p>
            <w:pPr>
              <w:adjustRightInd w:val="0"/>
              <w:snapToGrid w:val="0"/>
              <w:jc w:val="center"/>
              <w:rPr>
                <w:rFonts w:ascii="宋体" w:hAnsi="宋体"/>
                <w:color w:val="auto"/>
                <w:sz w:val="18"/>
                <w:szCs w:val="18"/>
              </w:rPr>
            </w:pPr>
            <w:r>
              <w:rPr>
                <w:rFonts w:hint="eastAsia" w:ascii="宋体" w:hAnsi="宋体"/>
                <w:color w:val="auto"/>
                <w:kern w:val="0"/>
                <w:sz w:val="18"/>
                <w:szCs w:val="18"/>
              </w:rPr>
              <w:t>依据</w:t>
            </w:r>
            <w:r>
              <w:rPr>
                <w:rFonts w:ascii="宋体" w:hAnsi="宋体"/>
                <w:color w:val="auto"/>
                <w:kern w:val="0"/>
                <w:sz w:val="18"/>
                <w:szCs w:val="18"/>
              </w:rPr>
              <w:t>GB</w:t>
            </w:r>
            <w:r>
              <w:rPr>
                <w:rFonts w:hint="eastAsia" w:ascii="宋体" w:hAnsi="宋体"/>
                <w:color w:val="auto"/>
                <w:kern w:val="0"/>
                <w:sz w:val="18"/>
                <w:szCs w:val="18"/>
              </w:rPr>
              <w:t xml:space="preserve"> xxxx</w:t>
            </w:r>
            <w:r>
              <w:rPr>
                <w:rFonts w:ascii="宋体" w:hAnsi="宋体"/>
                <w:color w:val="auto"/>
                <w:sz w:val="18"/>
                <w:szCs w:val="18"/>
              </w:rPr>
              <w:t xml:space="preserve"> </w:t>
            </w:r>
            <w:r>
              <w:rPr>
                <w:rFonts w:hint="eastAsia" w:ascii="宋体" w:hAnsi="宋体"/>
                <w:color w:val="auto"/>
                <w:sz w:val="18"/>
                <w:szCs w:val="18"/>
              </w:rPr>
              <w:t>统计计算</w:t>
            </w:r>
          </w:p>
        </w:tc>
        <w:tc>
          <w:tcPr>
            <w:tcW w:w="1011" w:type="dxa"/>
            <w:vMerge w:val="restart"/>
            <w:tcBorders>
              <w:top w:val="single" w:color="auto" w:sz="6" w:space="0"/>
              <w:left w:val="single" w:color="auto" w:sz="6" w:space="0"/>
              <w:right w:val="single" w:color="auto" w:sz="12"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continue"/>
            <w:tcBorders>
              <w:top w:val="single" w:color="auto" w:sz="6" w:space="0"/>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821" w:type="dxa"/>
            <w:vMerge w:val="continue"/>
            <w:tcBorders>
              <w:top w:val="single" w:color="auto" w:sz="6" w:space="0"/>
              <w:left w:val="single" w:color="auto" w:sz="6" w:space="0"/>
              <w:right w:val="single" w:color="auto" w:sz="4" w:space="0"/>
            </w:tcBorders>
            <w:vAlign w:val="center"/>
          </w:tcPr>
          <w:p>
            <w:pPr>
              <w:adjustRightInd w:val="0"/>
              <w:snapToGrid w:val="0"/>
              <w:jc w:val="center"/>
              <w:rPr>
                <w:rFonts w:ascii="宋体" w:hAnsi="宋体"/>
                <w:color w:val="auto"/>
                <w:kern w:val="0"/>
                <w:sz w:val="18"/>
                <w:szCs w:val="18"/>
              </w:rPr>
            </w:pPr>
          </w:p>
        </w:tc>
        <w:tc>
          <w:tcPr>
            <w:tcW w:w="1358" w:type="dxa"/>
            <w:gridSpan w:val="2"/>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color w:val="auto"/>
                <w:sz w:val="18"/>
                <w:szCs w:val="18"/>
              </w:rPr>
            </w:pPr>
            <w:r>
              <w:rPr>
                <w:rFonts w:hint="eastAsia" w:ascii="宋体" w:hAnsi="宋体"/>
                <w:color w:val="auto"/>
                <w:kern w:val="0"/>
                <w:sz w:val="18"/>
                <w:szCs w:val="18"/>
              </w:rPr>
              <w:t>高铜</w:t>
            </w:r>
          </w:p>
        </w:tc>
        <w:tc>
          <w:tcPr>
            <w:tcW w:w="8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sz w:val="18"/>
                <w:szCs w:val="18"/>
              </w:rPr>
            </w:pPr>
            <w:r>
              <w:rPr>
                <w:rFonts w:hint="eastAsia" w:ascii="宋体" w:hAnsi="宋体"/>
                <w:color w:val="auto"/>
                <w:kern w:val="0"/>
                <w:sz w:val="18"/>
                <w:szCs w:val="18"/>
              </w:rPr>
              <w:t>kgce/t</w:t>
            </w:r>
          </w:p>
        </w:tc>
        <w:tc>
          <w:tcPr>
            <w:tcW w:w="2077" w:type="dxa"/>
            <w:vMerge w:val="continue"/>
            <w:tcBorders>
              <w:top w:val="single" w:color="auto" w:sz="6" w:space="0"/>
              <w:left w:val="single" w:color="auto" w:sz="6" w:space="0"/>
              <w:right w:val="single" w:color="auto" w:sz="6" w:space="0"/>
            </w:tcBorders>
            <w:vAlign w:val="center"/>
          </w:tcPr>
          <w:p>
            <w:pPr>
              <w:adjustRightInd w:val="0"/>
              <w:snapToGrid w:val="0"/>
              <w:jc w:val="center"/>
              <w:rPr>
                <w:rFonts w:ascii="宋体" w:hAnsi="宋体"/>
                <w:color w:val="auto"/>
                <w:kern w:val="0"/>
                <w:sz w:val="18"/>
                <w:szCs w:val="18"/>
              </w:rPr>
            </w:pPr>
          </w:p>
        </w:tc>
        <w:tc>
          <w:tcPr>
            <w:tcW w:w="2167" w:type="dxa"/>
            <w:vMerge w:val="continue"/>
            <w:tcBorders>
              <w:top w:val="single" w:color="auto" w:sz="6" w:space="0"/>
              <w:left w:val="single" w:color="auto" w:sz="6" w:space="0"/>
              <w:right w:val="single" w:color="auto" w:sz="6" w:space="0"/>
            </w:tcBorders>
            <w:vAlign w:val="center"/>
          </w:tcPr>
          <w:p>
            <w:pPr>
              <w:adjustRightInd w:val="0"/>
              <w:snapToGrid w:val="0"/>
              <w:jc w:val="center"/>
              <w:rPr>
                <w:rFonts w:ascii="宋体" w:hAnsi="宋体"/>
                <w:color w:val="auto"/>
                <w:kern w:val="0"/>
                <w:sz w:val="18"/>
                <w:szCs w:val="18"/>
              </w:rPr>
            </w:pPr>
          </w:p>
        </w:tc>
        <w:tc>
          <w:tcPr>
            <w:tcW w:w="1011" w:type="dxa"/>
            <w:vMerge w:val="continue"/>
            <w:tcBorders>
              <w:top w:val="single" w:color="auto" w:sz="6" w:space="0"/>
              <w:left w:val="single" w:color="auto" w:sz="6" w:space="0"/>
              <w:right w:val="single" w:color="auto" w:sz="12" w:space="0"/>
            </w:tcBorders>
            <w:vAlign w:val="center"/>
          </w:tcPr>
          <w:p>
            <w:pPr>
              <w:adjustRightInd w:val="0"/>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continue"/>
            <w:tcBorders>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821" w:type="dxa"/>
            <w:vMerge w:val="continue"/>
            <w:tcBorders>
              <w:left w:val="single" w:color="auto" w:sz="6" w:space="0"/>
              <w:right w:val="single" w:color="auto" w:sz="4" w:space="0"/>
            </w:tcBorders>
            <w:vAlign w:val="center"/>
          </w:tcPr>
          <w:p>
            <w:pPr>
              <w:adjustRightInd w:val="0"/>
              <w:snapToGrid w:val="0"/>
              <w:jc w:val="center"/>
              <w:rPr>
                <w:rFonts w:ascii="宋体" w:hAnsi="宋体"/>
                <w:color w:val="auto"/>
                <w:kern w:val="0"/>
                <w:sz w:val="18"/>
                <w:szCs w:val="18"/>
              </w:rPr>
            </w:pPr>
          </w:p>
        </w:tc>
        <w:tc>
          <w:tcPr>
            <w:tcW w:w="1358" w:type="dxa"/>
            <w:gridSpan w:val="2"/>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黄铜</w:t>
            </w:r>
          </w:p>
        </w:tc>
        <w:tc>
          <w:tcPr>
            <w:tcW w:w="8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sz w:val="18"/>
                <w:szCs w:val="18"/>
              </w:rPr>
            </w:pPr>
            <w:r>
              <w:rPr>
                <w:rFonts w:hint="eastAsia" w:ascii="宋体" w:hAnsi="宋体"/>
                <w:color w:val="auto"/>
                <w:kern w:val="0"/>
                <w:sz w:val="18"/>
                <w:szCs w:val="18"/>
              </w:rPr>
              <w:t>kgce/t</w:t>
            </w:r>
          </w:p>
        </w:tc>
        <w:tc>
          <w:tcPr>
            <w:tcW w:w="2077" w:type="dxa"/>
            <w:vMerge w:val="continue"/>
            <w:tcBorders>
              <w:left w:val="single" w:color="auto" w:sz="6" w:space="0"/>
              <w:right w:val="single" w:color="auto" w:sz="6" w:space="0"/>
            </w:tcBorders>
            <w:vAlign w:val="center"/>
          </w:tcPr>
          <w:p>
            <w:pPr>
              <w:adjustRightInd w:val="0"/>
              <w:snapToGrid w:val="0"/>
              <w:jc w:val="center"/>
              <w:rPr>
                <w:rFonts w:ascii="宋体" w:hAnsi="宋体"/>
                <w:color w:val="auto"/>
                <w:kern w:val="0"/>
                <w:sz w:val="18"/>
                <w:szCs w:val="18"/>
                <w:highlight w:val="yellow"/>
              </w:rPr>
            </w:pPr>
          </w:p>
        </w:tc>
        <w:tc>
          <w:tcPr>
            <w:tcW w:w="2167" w:type="dxa"/>
            <w:vMerge w:val="continue"/>
            <w:tcBorders>
              <w:left w:val="single" w:color="auto" w:sz="6" w:space="0"/>
              <w:right w:val="single" w:color="auto" w:sz="6" w:space="0"/>
            </w:tcBorders>
            <w:vAlign w:val="center"/>
          </w:tcPr>
          <w:p>
            <w:pPr>
              <w:adjustRightInd w:val="0"/>
              <w:snapToGrid w:val="0"/>
              <w:jc w:val="center"/>
              <w:rPr>
                <w:rFonts w:ascii="宋体" w:hAnsi="宋体"/>
                <w:color w:val="auto"/>
                <w:kern w:val="0"/>
                <w:sz w:val="18"/>
                <w:szCs w:val="18"/>
              </w:rPr>
            </w:pPr>
          </w:p>
        </w:tc>
        <w:tc>
          <w:tcPr>
            <w:tcW w:w="1011" w:type="dxa"/>
            <w:vMerge w:val="continue"/>
            <w:tcBorders>
              <w:left w:val="single" w:color="auto" w:sz="6" w:space="0"/>
              <w:right w:val="single" w:color="auto" w:sz="12" w:space="0"/>
            </w:tcBorders>
            <w:vAlign w:val="center"/>
          </w:tcPr>
          <w:p>
            <w:pPr>
              <w:adjustRightInd w:val="0"/>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continue"/>
            <w:tcBorders>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821" w:type="dxa"/>
            <w:vMerge w:val="continue"/>
            <w:tcBorders>
              <w:left w:val="single" w:color="auto" w:sz="6" w:space="0"/>
              <w:right w:val="single" w:color="auto" w:sz="4" w:space="0"/>
            </w:tcBorders>
            <w:vAlign w:val="center"/>
          </w:tcPr>
          <w:p>
            <w:pPr>
              <w:adjustRightInd w:val="0"/>
              <w:snapToGrid w:val="0"/>
              <w:jc w:val="center"/>
              <w:rPr>
                <w:rFonts w:ascii="宋体" w:hAnsi="宋体"/>
                <w:color w:val="auto"/>
                <w:kern w:val="0"/>
                <w:sz w:val="18"/>
                <w:szCs w:val="18"/>
              </w:rPr>
            </w:pPr>
          </w:p>
        </w:tc>
        <w:tc>
          <w:tcPr>
            <w:tcW w:w="1358" w:type="dxa"/>
            <w:gridSpan w:val="2"/>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青铜</w:t>
            </w:r>
          </w:p>
        </w:tc>
        <w:tc>
          <w:tcPr>
            <w:tcW w:w="8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sz w:val="18"/>
                <w:szCs w:val="18"/>
              </w:rPr>
            </w:pPr>
            <w:r>
              <w:rPr>
                <w:rFonts w:hint="eastAsia" w:ascii="宋体" w:hAnsi="宋体"/>
                <w:color w:val="auto"/>
                <w:kern w:val="0"/>
                <w:sz w:val="18"/>
                <w:szCs w:val="18"/>
              </w:rPr>
              <w:t>kgce/t</w:t>
            </w:r>
          </w:p>
        </w:tc>
        <w:tc>
          <w:tcPr>
            <w:tcW w:w="2077" w:type="dxa"/>
            <w:vMerge w:val="continue"/>
            <w:tcBorders>
              <w:left w:val="single" w:color="auto" w:sz="6" w:space="0"/>
              <w:right w:val="single" w:color="auto" w:sz="6" w:space="0"/>
            </w:tcBorders>
            <w:vAlign w:val="center"/>
          </w:tcPr>
          <w:p>
            <w:pPr>
              <w:adjustRightInd w:val="0"/>
              <w:snapToGrid w:val="0"/>
              <w:jc w:val="center"/>
              <w:rPr>
                <w:rFonts w:ascii="宋体" w:hAnsi="宋体"/>
                <w:color w:val="auto"/>
                <w:kern w:val="0"/>
                <w:sz w:val="18"/>
                <w:szCs w:val="18"/>
                <w:highlight w:val="yellow"/>
              </w:rPr>
            </w:pPr>
          </w:p>
        </w:tc>
        <w:tc>
          <w:tcPr>
            <w:tcW w:w="2167" w:type="dxa"/>
            <w:vMerge w:val="continue"/>
            <w:tcBorders>
              <w:left w:val="single" w:color="auto" w:sz="6" w:space="0"/>
              <w:right w:val="single" w:color="auto" w:sz="6" w:space="0"/>
            </w:tcBorders>
            <w:vAlign w:val="center"/>
          </w:tcPr>
          <w:p>
            <w:pPr>
              <w:adjustRightInd w:val="0"/>
              <w:snapToGrid w:val="0"/>
              <w:jc w:val="center"/>
              <w:rPr>
                <w:rFonts w:ascii="宋体" w:hAnsi="宋体"/>
                <w:color w:val="auto"/>
                <w:kern w:val="0"/>
                <w:sz w:val="18"/>
                <w:szCs w:val="18"/>
              </w:rPr>
            </w:pPr>
          </w:p>
        </w:tc>
        <w:tc>
          <w:tcPr>
            <w:tcW w:w="1011" w:type="dxa"/>
            <w:vMerge w:val="continue"/>
            <w:tcBorders>
              <w:left w:val="single" w:color="auto" w:sz="6" w:space="0"/>
              <w:right w:val="single" w:color="auto" w:sz="12" w:space="0"/>
            </w:tcBorders>
            <w:vAlign w:val="center"/>
          </w:tcPr>
          <w:p>
            <w:pPr>
              <w:adjustRightInd w:val="0"/>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continue"/>
            <w:tcBorders>
              <w:left w:val="single" w:color="auto" w:sz="12" w:space="0"/>
              <w:bottom w:val="single" w:color="auto" w:sz="6" w:space="0"/>
              <w:right w:val="single" w:color="auto" w:sz="6" w:space="0"/>
            </w:tcBorders>
            <w:vAlign w:val="center"/>
          </w:tcPr>
          <w:p>
            <w:pPr>
              <w:adjustRightInd w:val="0"/>
              <w:snapToGrid w:val="0"/>
              <w:jc w:val="center"/>
              <w:rPr>
                <w:rFonts w:ascii="宋体" w:hAnsi="宋体"/>
                <w:color w:val="auto"/>
                <w:sz w:val="18"/>
                <w:szCs w:val="18"/>
              </w:rPr>
            </w:pPr>
          </w:p>
        </w:tc>
        <w:tc>
          <w:tcPr>
            <w:tcW w:w="821" w:type="dxa"/>
            <w:vMerge w:val="continue"/>
            <w:tcBorders>
              <w:left w:val="single" w:color="auto" w:sz="6" w:space="0"/>
              <w:bottom w:val="single" w:color="auto" w:sz="6" w:space="0"/>
              <w:right w:val="single" w:color="auto" w:sz="4" w:space="0"/>
            </w:tcBorders>
            <w:vAlign w:val="center"/>
          </w:tcPr>
          <w:p>
            <w:pPr>
              <w:adjustRightInd w:val="0"/>
              <w:snapToGrid w:val="0"/>
              <w:jc w:val="center"/>
              <w:rPr>
                <w:rFonts w:ascii="宋体" w:hAnsi="宋体"/>
                <w:color w:val="auto"/>
                <w:kern w:val="0"/>
                <w:sz w:val="18"/>
                <w:szCs w:val="18"/>
              </w:rPr>
            </w:pPr>
          </w:p>
        </w:tc>
        <w:tc>
          <w:tcPr>
            <w:tcW w:w="1358" w:type="dxa"/>
            <w:gridSpan w:val="2"/>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白铜</w:t>
            </w:r>
          </w:p>
        </w:tc>
        <w:tc>
          <w:tcPr>
            <w:tcW w:w="8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sz w:val="18"/>
                <w:szCs w:val="18"/>
              </w:rPr>
            </w:pPr>
            <w:r>
              <w:rPr>
                <w:rFonts w:hint="eastAsia" w:ascii="宋体" w:hAnsi="宋体"/>
                <w:color w:val="auto"/>
                <w:kern w:val="0"/>
                <w:sz w:val="18"/>
                <w:szCs w:val="18"/>
              </w:rPr>
              <w:t>kgce/t</w:t>
            </w:r>
          </w:p>
        </w:tc>
        <w:tc>
          <w:tcPr>
            <w:tcW w:w="2077" w:type="dxa"/>
            <w:vMerge w:val="continue"/>
            <w:tcBorders>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highlight w:val="yellow"/>
              </w:rPr>
            </w:pPr>
          </w:p>
        </w:tc>
        <w:tc>
          <w:tcPr>
            <w:tcW w:w="2167" w:type="dxa"/>
            <w:vMerge w:val="continue"/>
            <w:tcBorders>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p>
        </w:tc>
        <w:tc>
          <w:tcPr>
            <w:tcW w:w="1011" w:type="dxa"/>
            <w:vMerge w:val="continue"/>
            <w:tcBorders>
              <w:left w:val="single" w:color="auto" w:sz="6" w:space="0"/>
              <w:bottom w:val="single" w:color="auto" w:sz="6" w:space="0"/>
              <w:right w:val="single" w:color="auto" w:sz="12" w:space="0"/>
            </w:tcBorders>
            <w:vAlign w:val="center"/>
          </w:tcPr>
          <w:p>
            <w:pPr>
              <w:adjustRightInd w:val="0"/>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restart"/>
            <w:tcBorders>
              <w:top w:val="single" w:color="auto" w:sz="6" w:space="0"/>
              <w:left w:val="single" w:color="auto" w:sz="12" w:space="0"/>
              <w:right w:val="single" w:color="auto" w:sz="6"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环境属性</w:t>
            </w:r>
          </w:p>
        </w:tc>
        <w:tc>
          <w:tcPr>
            <w:tcW w:w="821" w:type="dxa"/>
            <w:vMerge w:val="restart"/>
            <w:tcBorders>
              <w:top w:val="single" w:color="auto" w:sz="6" w:space="0"/>
              <w:left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废气</w:t>
            </w:r>
          </w:p>
        </w:tc>
        <w:tc>
          <w:tcPr>
            <w:tcW w:w="1358"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 w:val="0"/>
                <w:bCs/>
                <w:color w:val="auto"/>
                <w:kern w:val="0"/>
                <w:sz w:val="18"/>
                <w:szCs w:val="18"/>
              </w:rPr>
            </w:pPr>
            <w:r>
              <w:rPr>
                <w:rFonts w:hint="eastAsia" w:ascii="宋体" w:hAnsi="宋体"/>
                <w:b w:val="0"/>
                <w:bCs/>
                <w:color w:val="auto"/>
                <w:kern w:val="0"/>
                <w:sz w:val="18"/>
                <w:szCs w:val="18"/>
              </w:rPr>
              <w:t>颗粒物</w:t>
            </w:r>
          </w:p>
        </w:tc>
        <w:tc>
          <w:tcPr>
            <w:tcW w:w="8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val="0"/>
                <w:bCs/>
                <w:color w:val="auto"/>
                <w:sz w:val="18"/>
                <w:szCs w:val="18"/>
              </w:rPr>
            </w:pPr>
            <w:r>
              <w:rPr>
                <w:rFonts w:hint="eastAsia" w:ascii="宋体" w:hAnsi="宋体"/>
                <w:b w:val="0"/>
                <w:bCs/>
                <w:color w:val="auto"/>
                <w:kern w:val="0"/>
                <w:sz w:val="18"/>
                <w:szCs w:val="18"/>
              </w:rPr>
              <w:t>mg/m</w:t>
            </w:r>
            <w:r>
              <w:rPr>
                <w:rFonts w:hint="eastAsia" w:ascii="宋体" w:hAnsi="宋体"/>
                <w:b w:val="0"/>
                <w:bCs/>
                <w:color w:val="auto"/>
                <w:kern w:val="0"/>
                <w:sz w:val="18"/>
                <w:szCs w:val="18"/>
                <w:vertAlign w:val="superscript"/>
              </w:rPr>
              <w:t>3</w:t>
            </w:r>
          </w:p>
        </w:tc>
        <w:tc>
          <w:tcPr>
            <w:tcW w:w="207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val="0"/>
                <w:bCs/>
                <w:color w:val="auto"/>
                <w:sz w:val="18"/>
                <w:szCs w:val="18"/>
              </w:rPr>
            </w:pPr>
            <w:r>
              <w:rPr>
                <w:rFonts w:hint="eastAsia" w:ascii="宋体" w:hAnsi="宋体"/>
                <w:b w:val="0"/>
                <w:bCs/>
                <w:color w:val="auto"/>
                <w:kern w:val="0"/>
                <w:sz w:val="18"/>
                <w:szCs w:val="18"/>
              </w:rPr>
              <w:t>≤10</w:t>
            </w:r>
          </w:p>
        </w:tc>
        <w:tc>
          <w:tcPr>
            <w:tcW w:w="2167" w:type="dxa"/>
            <w:vMerge w:val="restart"/>
            <w:tcBorders>
              <w:top w:val="single" w:color="auto" w:sz="6" w:space="0"/>
              <w:left w:val="single" w:color="auto" w:sz="6" w:space="0"/>
              <w:right w:val="single" w:color="auto" w:sz="6"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依据GB 16297检验方法检测</w:t>
            </w:r>
          </w:p>
        </w:tc>
        <w:tc>
          <w:tcPr>
            <w:tcW w:w="1011" w:type="dxa"/>
            <w:vMerge w:val="restart"/>
            <w:tcBorders>
              <w:top w:val="single" w:color="auto" w:sz="6" w:space="0"/>
              <w:left w:val="single" w:color="auto" w:sz="6" w:space="0"/>
              <w:right w:val="single" w:color="auto" w:sz="12"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continue"/>
            <w:tcBorders>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821" w:type="dxa"/>
            <w:vMerge w:val="continue"/>
            <w:tcBorders>
              <w:left w:val="single" w:color="auto" w:sz="6" w:space="0"/>
              <w:right w:val="single" w:color="auto" w:sz="6" w:space="0"/>
            </w:tcBorders>
            <w:vAlign w:val="center"/>
          </w:tcPr>
          <w:p>
            <w:pPr>
              <w:adjustRightInd w:val="0"/>
              <w:snapToGrid w:val="0"/>
              <w:jc w:val="center"/>
              <w:rPr>
                <w:rFonts w:ascii="宋体" w:hAnsi="宋体"/>
                <w:color w:val="auto"/>
                <w:kern w:val="0"/>
                <w:sz w:val="18"/>
                <w:szCs w:val="18"/>
              </w:rPr>
            </w:pPr>
          </w:p>
        </w:tc>
        <w:tc>
          <w:tcPr>
            <w:tcW w:w="1358"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 w:val="0"/>
                <w:bCs/>
                <w:color w:val="auto"/>
                <w:kern w:val="0"/>
                <w:sz w:val="18"/>
                <w:szCs w:val="18"/>
                <w:vertAlign w:val="subscript"/>
              </w:rPr>
            </w:pPr>
            <w:r>
              <w:rPr>
                <w:rFonts w:hint="eastAsia" w:ascii="宋体" w:hAnsi="宋体"/>
                <w:b w:val="0"/>
                <w:bCs/>
                <w:color w:val="auto"/>
                <w:kern w:val="0"/>
                <w:sz w:val="18"/>
                <w:szCs w:val="18"/>
              </w:rPr>
              <w:t>SO</w:t>
            </w:r>
            <w:r>
              <w:rPr>
                <w:rFonts w:hint="eastAsia" w:ascii="宋体" w:hAnsi="宋体"/>
                <w:b w:val="0"/>
                <w:bCs/>
                <w:color w:val="auto"/>
                <w:kern w:val="0"/>
                <w:sz w:val="18"/>
                <w:szCs w:val="18"/>
                <w:vertAlign w:val="subscript"/>
              </w:rPr>
              <w:t>2</w:t>
            </w:r>
          </w:p>
        </w:tc>
        <w:tc>
          <w:tcPr>
            <w:tcW w:w="8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val="0"/>
                <w:bCs/>
                <w:color w:val="auto"/>
                <w:kern w:val="0"/>
                <w:sz w:val="18"/>
                <w:szCs w:val="18"/>
              </w:rPr>
            </w:pPr>
            <w:r>
              <w:rPr>
                <w:rFonts w:hint="eastAsia" w:ascii="宋体" w:hAnsi="宋体"/>
                <w:b w:val="0"/>
                <w:bCs/>
                <w:color w:val="auto"/>
                <w:kern w:val="0"/>
                <w:sz w:val="18"/>
                <w:szCs w:val="18"/>
              </w:rPr>
              <w:t>mg/m3</w:t>
            </w:r>
          </w:p>
        </w:tc>
        <w:tc>
          <w:tcPr>
            <w:tcW w:w="207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val="0"/>
                <w:bCs/>
                <w:color w:val="auto"/>
                <w:kern w:val="0"/>
                <w:sz w:val="18"/>
                <w:szCs w:val="18"/>
              </w:rPr>
            </w:pPr>
            <w:r>
              <w:rPr>
                <w:rFonts w:hint="eastAsia" w:ascii="宋体" w:hAnsi="宋体"/>
                <w:b w:val="0"/>
                <w:bCs/>
                <w:color w:val="auto"/>
                <w:kern w:val="0"/>
                <w:sz w:val="18"/>
                <w:szCs w:val="18"/>
              </w:rPr>
              <w:t>≤50</w:t>
            </w:r>
          </w:p>
        </w:tc>
        <w:tc>
          <w:tcPr>
            <w:tcW w:w="2167" w:type="dxa"/>
            <w:vMerge w:val="continue"/>
            <w:tcBorders>
              <w:left w:val="single" w:color="auto" w:sz="6" w:space="0"/>
              <w:right w:val="single" w:color="auto" w:sz="6" w:space="0"/>
            </w:tcBorders>
            <w:vAlign w:val="center"/>
          </w:tcPr>
          <w:p>
            <w:pPr>
              <w:adjustRightInd w:val="0"/>
              <w:snapToGrid w:val="0"/>
              <w:jc w:val="center"/>
              <w:rPr>
                <w:rFonts w:ascii="宋体" w:hAnsi="宋体"/>
                <w:color w:val="auto"/>
                <w:sz w:val="18"/>
                <w:szCs w:val="18"/>
              </w:rPr>
            </w:pPr>
          </w:p>
        </w:tc>
        <w:tc>
          <w:tcPr>
            <w:tcW w:w="1011" w:type="dxa"/>
            <w:vMerge w:val="continue"/>
            <w:tcBorders>
              <w:left w:val="single" w:color="auto" w:sz="6" w:space="0"/>
              <w:right w:val="single" w:color="auto" w:sz="12" w:space="0"/>
            </w:tcBorders>
            <w:vAlign w:val="center"/>
          </w:tcPr>
          <w:p>
            <w:pPr>
              <w:adjustRightInd w:val="0"/>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continue"/>
            <w:tcBorders>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821" w:type="dxa"/>
            <w:vMerge w:val="continue"/>
            <w:tcBorders>
              <w:left w:val="single" w:color="auto" w:sz="6" w:space="0"/>
              <w:right w:val="single" w:color="auto" w:sz="6" w:space="0"/>
            </w:tcBorders>
            <w:vAlign w:val="center"/>
          </w:tcPr>
          <w:p>
            <w:pPr>
              <w:adjustRightInd w:val="0"/>
              <w:snapToGrid w:val="0"/>
              <w:jc w:val="center"/>
              <w:rPr>
                <w:rFonts w:ascii="宋体" w:hAnsi="宋体"/>
                <w:color w:val="auto"/>
                <w:kern w:val="0"/>
                <w:sz w:val="18"/>
                <w:szCs w:val="18"/>
              </w:rPr>
            </w:pPr>
          </w:p>
        </w:tc>
        <w:tc>
          <w:tcPr>
            <w:tcW w:w="1358"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 w:val="0"/>
                <w:bCs/>
                <w:color w:val="auto"/>
                <w:kern w:val="0"/>
                <w:sz w:val="18"/>
                <w:szCs w:val="18"/>
              </w:rPr>
            </w:pPr>
            <w:r>
              <w:rPr>
                <w:rFonts w:hint="eastAsia" w:ascii="宋体" w:hAnsi="宋体"/>
                <w:b w:val="0"/>
                <w:bCs/>
                <w:color w:val="auto"/>
                <w:kern w:val="0"/>
                <w:sz w:val="18"/>
                <w:szCs w:val="18"/>
              </w:rPr>
              <w:t>NO</w:t>
            </w:r>
            <w:r>
              <w:rPr>
                <w:rFonts w:hint="eastAsia" w:ascii="宋体" w:hAnsi="宋体"/>
                <w:b w:val="0"/>
                <w:bCs/>
                <w:color w:val="auto"/>
                <w:kern w:val="0"/>
                <w:sz w:val="18"/>
                <w:szCs w:val="18"/>
                <w:vertAlign w:val="subscript"/>
              </w:rPr>
              <w:t>x</w:t>
            </w:r>
          </w:p>
        </w:tc>
        <w:tc>
          <w:tcPr>
            <w:tcW w:w="8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val="0"/>
                <w:bCs/>
                <w:color w:val="auto"/>
                <w:kern w:val="0"/>
                <w:sz w:val="18"/>
                <w:szCs w:val="18"/>
              </w:rPr>
            </w:pPr>
            <w:r>
              <w:rPr>
                <w:rFonts w:hint="eastAsia" w:ascii="宋体" w:hAnsi="宋体"/>
                <w:b w:val="0"/>
                <w:bCs/>
                <w:color w:val="auto"/>
                <w:kern w:val="0"/>
                <w:sz w:val="18"/>
                <w:szCs w:val="18"/>
              </w:rPr>
              <w:t>mg/m3</w:t>
            </w:r>
          </w:p>
        </w:tc>
        <w:tc>
          <w:tcPr>
            <w:tcW w:w="207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val="0"/>
                <w:bCs/>
                <w:color w:val="auto"/>
                <w:kern w:val="0"/>
                <w:sz w:val="18"/>
                <w:szCs w:val="18"/>
              </w:rPr>
            </w:pPr>
            <w:r>
              <w:rPr>
                <w:rFonts w:hint="eastAsia" w:ascii="宋体" w:hAnsi="宋体"/>
                <w:b w:val="0"/>
                <w:bCs/>
                <w:color w:val="auto"/>
                <w:kern w:val="0"/>
                <w:sz w:val="18"/>
                <w:szCs w:val="18"/>
              </w:rPr>
              <w:t>≤100</w:t>
            </w:r>
          </w:p>
        </w:tc>
        <w:tc>
          <w:tcPr>
            <w:tcW w:w="2167" w:type="dxa"/>
            <w:vMerge w:val="continue"/>
            <w:tcBorders>
              <w:left w:val="single" w:color="auto" w:sz="6" w:space="0"/>
              <w:right w:val="single" w:color="auto" w:sz="6" w:space="0"/>
            </w:tcBorders>
            <w:vAlign w:val="center"/>
          </w:tcPr>
          <w:p>
            <w:pPr>
              <w:adjustRightInd w:val="0"/>
              <w:snapToGrid w:val="0"/>
              <w:jc w:val="center"/>
              <w:rPr>
                <w:rFonts w:ascii="宋体" w:hAnsi="宋体"/>
                <w:color w:val="auto"/>
                <w:sz w:val="18"/>
                <w:szCs w:val="18"/>
              </w:rPr>
            </w:pPr>
          </w:p>
        </w:tc>
        <w:tc>
          <w:tcPr>
            <w:tcW w:w="1011" w:type="dxa"/>
            <w:vMerge w:val="continue"/>
            <w:tcBorders>
              <w:left w:val="single" w:color="auto" w:sz="6" w:space="0"/>
              <w:right w:val="single" w:color="auto" w:sz="12" w:space="0"/>
            </w:tcBorders>
            <w:vAlign w:val="center"/>
          </w:tcPr>
          <w:p>
            <w:pPr>
              <w:adjustRightInd w:val="0"/>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continue"/>
            <w:tcBorders>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821" w:type="dxa"/>
            <w:vMerge w:val="continue"/>
            <w:tcBorders>
              <w:left w:val="single" w:color="auto" w:sz="6" w:space="0"/>
              <w:right w:val="single" w:color="auto" w:sz="6" w:space="0"/>
            </w:tcBorders>
            <w:vAlign w:val="center"/>
          </w:tcPr>
          <w:p>
            <w:pPr>
              <w:adjustRightInd w:val="0"/>
              <w:snapToGrid w:val="0"/>
              <w:jc w:val="center"/>
              <w:rPr>
                <w:rFonts w:ascii="宋体" w:hAnsi="宋体"/>
                <w:color w:val="auto"/>
                <w:kern w:val="0"/>
                <w:sz w:val="18"/>
                <w:szCs w:val="18"/>
              </w:rPr>
            </w:pPr>
          </w:p>
        </w:tc>
        <w:tc>
          <w:tcPr>
            <w:tcW w:w="1358"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硫酸雾</w:t>
            </w:r>
          </w:p>
        </w:tc>
        <w:tc>
          <w:tcPr>
            <w:tcW w:w="8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r>
              <w:rPr>
                <w:rFonts w:hint="eastAsia" w:ascii="宋体" w:hAnsi="宋体"/>
                <w:color w:val="auto"/>
                <w:kern w:val="0"/>
                <w:sz w:val="18"/>
                <w:szCs w:val="18"/>
              </w:rPr>
              <w:t>mg/m3</w:t>
            </w:r>
          </w:p>
        </w:tc>
        <w:tc>
          <w:tcPr>
            <w:tcW w:w="207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r>
              <w:rPr>
                <w:rFonts w:hint="eastAsia" w:ascii="宋体" w:hAnsi="宋体"/>
                <w:color w:val="auto"/>
                <w:kern w:val="0"/>
                <w:sz w:val="18"/>
                <w:szCs w:val="18"/>
              </w:rPr>
              <w:t>≤45</w:t>
            </w:r>
          </w:p>
        </w:tc>
        <w:tc>
          <w:tcPr>
            <w:tcW w:w="2167" w:type="dxa"/>
            <w:vMerge w:val="continue"/>
            <w:tcBorders>
              <w:left w:val="single" w:color="auto" w:sz="6" w:space="0"/>
              <w:right w:val="single" w:color="auto" w:sz="6" w:space="0"/>
            </w:tcBorders>
            <w:vAlign w:val="center"/>
          </w:tcPr>
          <w:p>
            <w:pPr>
              <w:adjustRightInd w:val="0"/>
              <w:snapToGrid w:val="0"/>
              <w:jc w:val="center"/>
              <w:rPr>
                <w:rFonts w:ascii="宋体" w:hAnsi="宋体"/>
                <w:color w:val="auto"/>
                <w:sz w:val="18"/>
                <w:szCs w:val="18"/>
              </w:rPr>
            </w:pPr>
          </w:p>
        </w:tc>
        <w:tc>
          <w:tcPr>
            <w:tcW w:w="1011" w:type="dxa"/>
            <w:vMerge w:val="continue"/>
            <w:tcBorders>
              <w:left w:val="single" w:color="auto" w:sz="6" w:space="0"/>
              <w:right w:val="single" w:color="auto" w:sz="12" w:space="0"/>
            </w:tcBorders>
            <w:vAlign w:val="center"/>
          </w:tcPr>
          <w:p>
            <w:pPr>
              <w:adjustRightInd w:val="0"/>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continue"/>
            <w:tcBorders>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821" w:type="dxa"/>
            <w:vMerge w:val="continue"/>
            <w:tcBorders>
              <w:left w:val="single" w:color="auto" w:sz="6" w:space="0"/>
              <w:right w:val="single" w:color="auto" w:sz="6" w:space="0"/>
            </w:tcBorders>
            <w:vAlign w:val="center"/>
          </w:tcPr>
          <w:p>
            <w:pPr>
              <w:adjustRightInd w:val="0"/>
              <w:snapToGrid w:val="0"/>
              <w:jc w:val="center"/>
              <w:rPr>
                <w:rFonts w:ascii="宋体" w:hAnsi="宋体"/>
                <w:color w:val="auto"/>
                <w:kern w:val="0"/>
                <w:sz w:val="18"/>
                <w:szCs w:val="18"/>
              </w:rPr>
            </w:pPr>
          </w:p>
        </w:tc>
        <w:tc>
          <w:tcPr>
            <w:tcW w:w="1358"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非甲烷总烃</w:t>
            </w:r>
          </w:p>
        </w:tc>
        <w:tc>
          <w:tcPr>
            <w:tcW w:w="8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r>
              <w:rPr>
                <w:rFonts w:hint="eastAsia" w:ascii="宋体" w:hAnsi="宋体"/>
                <w:color w:val="auto"/>
                <w:kern w:val="0"/>
                <w:sz w:val="18"/>
                <w:szCs w:val="18"/>
              </w:rPr>
              <w:t>mg/m3</w:t>
            </w:r>
          </w:p>
        </w:tc>
        <w:tc>
          <w:tcPr>
            <w:tcW w:w="207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r>
              <w:rPr>
                <w:rFonts w:hint="eastAsia" w:ascii="宋体" w:hAnsi="宋体"/>
                <w:color w:val="auto"/>
                <w:kern w:val="0"/>
                <w:sz w:val="18"/>
                <w:szCs w:val="18"/>
              </w:rPr>
              <w:t>≤120</w:t>
            </w:r>
          </w:p>
        </w:tc>
        <w:tc>
          <w:tcPr>
            <w:tcW w:w="2167" w:type="dxa"/>
            <w:vMerge w:val="continue"/>
            <w:tcBorders>
              <w:left w:val="single" w:color="auto" w:sz="6" w:space="0"/>
              <w:right w:val="single" w:color="auto" w:sz="6" w:space="0"/>
            </w:tcBorders>
            <w:vAlign w:val="center"/>
          </w:tcPr>
          <w:p>
            <w:pPr>
              <w:adjustRightInd w:val="0"/>
              <w:snapToGrid w:val="0"/>
              <w:jc w:val="center"/>
              <w:rPr>
                <w:rFonts w:ascii="宋体" w:hAnsi="宋体"/>
                <w:color w:val="auto"/>
                <w:sz w:val="18"/>
                <w:szCs w:val="18"/>
              </w:rPr>
            </w:pPr>
          </w:p>
        </w:tc>
        <w:tc>
          <w:tcPr>
            <w:tcW w:w="1011" w:type="dxa"/>
            <w:vMerge w:val="continue"/>
            <w:tcBorders>
              <w:left w:val="single" w:color="auto" w:sz="6" w:space="0"/>
              <w:right w:val="single" w:color="auto" w:sz="12" w:space="0"/>
            </w:tcBorders>
            <w:vAlign w:val="center"/>
          </w:tcPr>
          <w:p>
            <w:pPr>
              <w:adjustRightInd w:val="0"/>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continue"/>
            <w:tcBorders>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821" w:type="dxa"/>
            <w:vMerge w:val="continue"/>
            <w:tcBorders>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p>
        </w:tc>
        <w:tc>
          <w:tcPr>
            <w:tcW w:w="1358"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烟气黑度</w:t>
            </w:r>
          </w:p>
        </w:tc>
        <w:tc>
          <w:tcPr>
            <w:tcW w:w="8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r>
              <w:rPr>
                <w:rFonts w:hint="eastAsia" w:ascii="宋体" w:hAnsi="宋体"/>
                <w:color w:val="auto"/>
                <w:kern w:val="0"/>
                <w:sz w:val="18"/>
                <w:szCs w:val="18"/>
              </w:rPr>
              <w:t>级</w:t>
            </w:r>
          </w:p>
        </w:tc>
        <w:tc>
          <w:tcPr>
            <w:tcW w:w="207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r>
              <w:rPr>
                <w:rFonts w:hint="eastAsia" w:ascii="宋体" w:hAnsi="宋体"/>
                <w:color w:val="auto"/>
                <w:kern w:val="0"/>
                <w:sz w:val="18"/>
                <w:szCs w:val="18"/>
              </w:rPr>
              <w:t>≤1</w:t>
            </w:r>
          </w:p>
        </w:tc>
        <w:tc>
          <w:tcPr>
            <w:tcW w:w="2167" w:type="dxa"/>
            <w:vMerge w:val="continue"/>
            <w:tcBorders>
              <w:left w:val="single" w:color="auto" w:sz="6" w:space="0"/>
              <w:right w:val="single" w:color="auto" w:sz="6" w:space="0"/>
            </w:tcBorders>
            <w:vAlign w:val="center"/>
          </w:tcPr>
          <w:p>
            <w:pPr>
              <w:adjustRightInd w:val="0"/>
              <w:snapToGrid w:val="0"/>
              <w:jc w:val="center"/>
              <w:rPr>
                <w:rFonts w:ascii="宋体" w:hAnsi="宋体"/>
                <w:color w:val="auto"/>
                <w:sz w:val="18"/>
                <w:szCs w:val="18"/>
              </w:rPr>
            </w:pPr>
          </w:p>
        </w:tc>
        <w:tc>
          <w:tcPr>
            <w:tcW w:w="1011" w:type="dxa"/>
            <w:vMerge w:val="continue"/>
            <w:tcBorders>
              <w:left w:val="single" w:color="auto" w:sz="6" w:space="0"/>
              <w:bottom w:val="single" w:color="auto" w:sz="6" w:space="0"/>
              <w:right w:val="single" w:color="auto" w:sz="12" w:space="0"/>
            </w:tcBorders>
            <w:vAlign w:val="center"/>
          </w:tcPr>
          <w:p>
            <w:pPr>
              <w:adjustRightInd w:val="0"/>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continue"/>
            <w:tcBorders>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821" w:type="dxa"/>
            <w:vMerge w:val="restart"/>
            <w:tcBorders>
              <w:top w:val="single" w:color="auto" w:sz="6" w:space="0"/>
              <w:left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废水</w:t>
            </w:r>
          </w:p>
        </w:tc>
        <w:tc>
          <w:tcPr>
            <w:tcW w:w="1358"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color w:val="auto"/>
                <w:sz w:val="18"/>
                <w:szCs w:val="18"/>
              </w:rPr>
            </w:pPr>
            <w:r>
              <w:rPr>
                <w:rFonts w:ascii="宋体" w:hAnsi="宋体" w:cs="Tahoma"/>
                <w:color w:val="auto"/>
                <w:sz w:val="18"/>
                <w:szCs w:val="18"/>
              </w:rPr>
              <w:t>pH</w:t>
            </w:r>
          </w:p>
        </w:tc>
        <w:tc>
          <w:tcPr>
            <w:tcW w:w="8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z w:val="18"/>
                <w:szCs w:val="18"/>
              </w:rPr>
            </w:pPr>
          </w:p>
        </w:tc>
        <w:tc>
          <w:tcPr>
            <w:tcW w:w="207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color w:val="auto"/>
                <w:sz w:val="18"/>
                <w:szCs w:val="18"/>
              </w:rPr>
            </w:pPr>
            <w:r>
              <w:rPr>
                <w:rFonts w:hint="eastAsia" w:ascii="宋体" w:hAnsi="宋体" w:cs="Tahoma"/>
                <w:color w:val="auto"/>
                <w:sz w:val="18"/>
                <w:szCs w:val="18"/>
              </w:rPr>
              <w:t>6～9</w:t>
            </w:r>
          </w:p>
        </w:tc>
        <w:tc>
          <w:tcPr>
            <w:tcW w:w="2167" w:type="dxa"/>
            <w:vMerge w:val="restart"/>
            <w:tcBorders>
              <w:top w:val="single" w:color="auto" w:sz="6" w:space="0"/>
              <w:left w:val="single" w:color="auto" w:sz="6" w:space="0"/>
              <w:right w:val="single" w:color="auto" w:sz="6" w:space="0"/>
            </w:tcBorders>
            <w:vAlign w:val="center"/>
          </w:tcPr>
          <w:p>
            <w:pPr>
              <w:pStyle w:val="15"/>
              <w:jc w:val="center"/>
              <w:rPr>
                <w:rFonts w:hAnsi="宋体"/>
                <w:color w:val="auto"/>
                <w:sz w:val="18"/>
                <w:szCs w:val="18"/>
              </w:rPr>
            </w:pPr>
            <w:r>
              <w:rPr>
                <w:rFonts w:hint="eastAsia" w:hAnsi="宋体"/>
                <w:color w:val="auto"/>
                <w:sz w:val="18"/>
                <w:szCs w:val="18"/>
              </w:rPr>
              <w:t>依据</w:t>
            </w:r>
            <w:r>
              <w:rPr>
                <w:rFonts w:hAnsi="宋体"/>
                <w:color w:val="auto"/>
                <w:sz w:val="18"/>
                <w:szCs w:val="18"/>
              </w:rPr>
              <w:t>GB</w:t>
            </w:r>
            <w:r>
              <w:rPr>
                <w:rFonts w:hint="eastAsia" w:hAnsi="宋体"/>
                <w:color w:val="auto"/>
                <w:sz w:val="18"/>
                <w:szCs w:val="18"/>
              </w:rPr>
              <w:t xml:space="preserve"> 8978检验方法</w:t>
            </w:r>
          </w:p>
          <w:p>
            <w:pPr>
              <w:pStyle w:val="15"/>
              <w:jc w:val="center"/>
              <w:rPr>
                <w:rFonts w:hAnsi="宋体"/>
                <w:color w:val="auto"/>
                <w:sz w:val="18"/>
                <w:szCs w:val="18"/>
              </w:rPr>
            </w:pPr>
            <w:r>
              <w:rPr>
                <w:rFonts w:hint="eastAsia" w:hAnsi="宋体"/>
                <w:color w:val="auto"/>
                <w:sz w:val="18"/>
                <w:szCs w:val="18"/>
              </w:rPr>
              <w:t>检测</w:t>
            </w:r>
          </w:p>
        </w:tc>
        <w:tc>
          <w:tcPr>
            <w:tcW w:w="1011" w:type="dxa"/>
            <w:vMerge w:val="restart"/>
            <w:tcBorders>
              <w:top w:val="single" w:color="auto" w:sz="6" w:space="0"/>
              <w:left w:val="single" w:color="auto" w:sz="6" w:space="0"/>
              <w:right w:val="single" w:color="auto" w:sz="12" w:space="0"/>
            </w:tcBorders>
            <w:vAlign w:val="center"/>
          </w:tcPr>
          <w:p>
            <w:pPr>
              <w:pStyle w:val="15"/>
              <w:jc w:val="center"/>
              <w:rPr>
                <w:rFonts w:hAnsi="宋体"/>
                <w:color w:val="auto"/>
                <w:sz w:val="18"/>
                <w:szCs w:val="18"/>
              </w:rPr>
            </w:pPr>
            <w:r>
              <w:rPr>
                <w:rFonts w:hint="eastAsia" w:hAnsi="宋体"/>
                <w:color w:val="auto"/>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continue"/>
            <w:tcBorders>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821" w:type="dxa"/>
            <w:vMerge w:val="continue"/>
            <w:tcBorders>
              <w:left w:val="single" w:color="auto" w:sz="6" w:space="0"/>
              <w:right w:val="single" w:color="auto" w:sz="6" w:space="0"/>
            </w:tcBorders>
            <w:vAlign w:val="center"/>
          </w:tcPr>
          <w:p>
            <w:pPr>
              <w:adjustRightInd w:val="0"/>
              <w:snapToGrid w:val="0"/>
              <w:jc w:val="center"/>
              <w:rPr>
                <w:rFonts w:ascii="宋体" w:hAnsi="宋体"/>
                <w:color w:val="auto"/>
                <w:kern w:val="0"/>
                <w:sz w:val="18"/>
                <w:szCs w:val="18"/>
              </w:rPr>
            </w:pPr>
          </w:p>
        </w:tc>
        <w:tc>
          <w:tcPr>
            <w:tcW w:w="1358"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color w:val="auto"/>
                <w:sz w:val="18"/>
                <w:szCs w:val="18"/>
              </w:rPr>
            </w:pPr>
            <w:r>
              <w:rPr>
                <w:rFonts w:hint="eastAsia" w:ascii="宋体" w:hAnsi="宋体" w:cs="Tahoma"/>
                <w:color w:val="auto"/>
                <w:sz w:val="18"/>
                <w:szCs w:val="18"/>
              </w:rPr>
              <w:t>悬浮物</w:t>
            </w:r>
          </w:p>
        </w:tc>
        <w:tc>
          <w:tcPr>
            <w:tcW w:w="8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z w:val="18"/>
                <w:szCs w:val="18"/>
              </w:rPr>
            </w:pPr>
            <w:r>
              <w:rPr>
                <w:rFonts w:ascii="宋体" w:hAnsi="宋体" w:cs="Tahoma"/>
                <w:color w:val="auto"/>
                <w:sz w:val="18"/>
                <w:szCs w:val="18"/>
              </w:rPr>
              <w:t>mg/L</w:t>
            </w:r>
          </w:p>
        </w:tc>
        <w:tc>
          <w:tcPr>
            <w:tcW w:w="207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color w:val="auto"/>
                <w:sz w:val="18"/>
                <w:szCs w:val="18"/>
              </w:rPr>
            </w:pPr>
            <w:r>
              <w:rPr>
                <w:rFonts w:hint="eastAsia" w:ascii="宋体" w:hAnsi="宋体"/>
                <w:color w:val="auto"/>
                <w:kern w:val="0"/>
                <w:sz w:val="18"/>
                <w:szCs w:val="18"/>
              </w:rPr>
              <w:t>≤</w:t>
            </w:r>
            <w:r>
              <w:rPr>
                <w:rFonts w:hint="eastAsia" w:ascii="宋体" w:hAnsi="宋体" w:cs="Tahoma"/>
                <w:color w:val="auto"/>
                <w:sz w:val="18"/>
                <w:szCs w:val="18"/>
              </w:rPr>
              <w:t>400（二级）</w:t>
            </w:r>
          </w:p>
        </w:tc>
        <w:tc>
          <w:tcPr>
            <w:tcW w:w="2167" w:type="dxa"/>
            <w:vMerge w:val="continue"/>
            <w:tcBorders>
              <w:left w:val="single" w:color="auto" w:sz="6" w:space="0"/>
              <w:right w:val="single" w:color="auto" w:sz="6" w:space="0"/>
            </w:tcBorders>
            <w:vAlign w:val="center"/>
          </w:tcPr>
          <w:p>
            <w:pPr>
              <w:pStyle w:val="15"/>
              <w:jc w:val="center"/>
              <w:rPr>
                <w:rFonts w:hAnsi="宋体"/>
                <w:color w:val="auto"/>
                <w:sz w:val="18"/>
                <w:szCs w:val="18"/>
              </w:rPr>
            </w:pPr>
          </w:p>
        </w:tc>
        <w:tc>
          <w:tcPr>
            <w:tcW w:w="1011" w:type="dxa"/>
            <w:vMerge w:val="continue"/>
            <w:tcBorders>
              <w:left w:val="single" w:color="auto" w:sz="6" w:space="0"/>
              <w:right w:val="single" w:color="auto" w:sz="12" w:space="0"/>
            </w:tcBorders>
            <w:vAlign w:val="center"/>
          </w:tcPr>
          <w:p>
            <w:pPr>
              <w:pStyle w:val="15"/>
              <w:jc w:val="center"/>
              <w:rPr>
                <w:rFonts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continue"/>
            <w:tcBorders>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821" w:type="dxa"/>
            <w:vMerge w:val="continue"/>
            <w:tcBorders>
              <w:left w:val="single" w:color="auto" w:sz="6" w:space="0"/>
              <w:right w:val="single" w:color="auto" w:sz="6" w:space="0"/>
            </w:tcBorders>
            <w:vAlign w:val="center"/>
          </w:tcPr>
          <w:p>
            <w:pPr>
              <w:adjustRightInd w:val="0"/>
              <w:snapToGrid w:val="0"/>
              <w:jc w:val="center"/>
              <w:rPr>
                <w:rFonts w:ascii="宋体" w:hAnsi="宋体"/>
                <w:color w:val="auto"/>
                <w:kern w:val="0"/>
                <w:sz w:val="18"/>
                <w:szCs w:val="18"/>
              </w:rPr>
            </w:pPr>
          </w:p>
        </w:tc>
        <w:tc>
          <w:tcPr>
            <w:tcW w:w="1358"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color w:val="auto"/>
                <w:sz w:val="18"/>
                <w:szCs w:val="18"/>
              </w:rPr>
            </w:pPr>
            <w:r>
              <w:rPr>
                <w:rFonts w:hint="eastAsia" w:ascii="宋体" w:hAnsi="宋体" w:cs="Tahoma"/>
                <w:color w:val="auto"/>
                <w:sz w:val="18"/>
                <w:szCs w:val="18"/>
              </w:rPr>
              <w:t>化学需氧量</w:t>
            </w:r>
          </w:p>
        </w:tc>
        <w:tc>
          <w:tcPr>
            <w:tcW w:w="8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z w:val="18"/>
                <w:szCs w:val="18"/>
              </w:rPr>
            </w:pPr>
            <w:r>
              <w:rPr>
                <w:rFonts w:ascii="宋体" w:hAnsi="宋体" w:cs="Tahoma"/>
                <w:color w:val="auto"/>
                <w:sz w:val="18"/>
                <w:szCs w:val="18"/>
              </w:rPr>
              <w:t>mg/L</w:t>
            </w:r>
          </w:p>
        </w:tc>
        <w:tc>
          <w:tcPr>
            <w:tcW w:w="207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color w:val="auto"/>
                <w:sz w:val="18"/>
                <w:szCs w:val="18"/>
              </w:rPr>
            </w:pPr>
            <w:r>
              <w:rPr>
                <w:rFonts w:hint="eastAsia" w:ascii="宋体" w:hAnsi="宋体"/>
                <w:color w:val="auto"/>
                <w:kern w:val="0"/>
                <w:sz w:val="18"/>
                <w:szCs w:val="18"/>
              </w:rPr>
              <w:t>≤</w:t>
            </w:r>
            <w:r>
              <w:rPr>
                <w:rFonts w:hint="eastAsia" w:ascii="宋体" w:hAnsi="宋体" w:cs="Tahoma"/>
                <w:color w:val="auto"/>
                <w:sz w:val="18"/>
                <w:szCs w:val="18"/>
              </w:rPr>
              <w:t>500（三级）</w:t>
            </w:r>
          </w:p>
        </w:tc>
        <w:tc>
          <w:tcPr>
            <w:tcW w:w="2167" w:type="dxa"/>
            <w:vMerge w:val="continue"/>
            <w:tcBorders>
              <w:left w:val="single" w:color="auto" w:sz="6" w:space="0"/>
              <w:right w:val="single" w:color="auto" w:sz="6" w:space="0"/>
            </w:tcBorders>
            <w:vAlign w:val="center"/>
          </w:tcPr>
          <w:p>
            <w:pPr>
              <w:pStyle w:val="15"/>
              <w:jc w:val="center"/>
              <w:rPr>
                <w:rFonts w:hAnsi="宋体"/>
                <w:color w:val="auto"/>
                <w:sz w:val="18"/>
                <w:szCs w:val="18"/>
              </w:rPr>
            </w:pPr>
          </w:p>
        </w:tc>
        <w:tc>
          <w:tcPr>
            <w:tcW w:w="1011" w:type="dxa"/>
            <w:vMerge w:val="continue"/>
            <w:tcBorders>
              <w:left w:val="single" w:color="auto" w:sz="6" w:space="0"/>
              <w:right w:val="single" w:color="auto" w:sz="12" w:space="0"/>
            </w:tcBorders>
            <w:vAlign w:val="center"/>
          </w:tcPr>
          <w:p>
            <w:pPr>
              <w:pStyle w:val="15"/>
              <w:jc w:val="center"/>
              <w:rPr>
                <w:rFonts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continue"/>
            <w:tcBorders>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821" w:type="dxa"/>
            <w:vMerge w:val="continue"/>
            <w:tcBorders>
              <w:left w:val="single" w:color="auto" w:sz="6" w:space="0"/>
              <w:right w:val="single" w:color="auto" w:sz="6" w:space="0"/>
            </w:tcBorders>
            <w:vAlign w:val="center"/>
          </w:tcPr>
          <w:p>
            <w:pPr>
              <w:adjustRightInd w:val="0"/>
              <w:snapToGrid w:val="0"/>
              <w:jc w:val="center"/>
              <w:rPr>
                <w:rFonts w:ascii="宋体" w:hAnsi="宋体"/>
                <w:color w:val="auto"/>
                <w:kern w:val="0"/>
                <w:sz w:val="18"/>
                <w:szCs w:val="18"/>
              </w:rPr>
            </w:pPr>
          </w:p>
        </w:tc>
        <w:tc>
          <w:tcPr>
            <w:tcW w:w="1358"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color w:val="auto"/>
                <w:sz w:val="18"/>
                <w:szCs w:val="18"/>
              </w:rPr>
            </w:pPr>
            <w:r>
              <w:rPr>
                <w:rFonts w:hint="eastAsia" w:ascii="宋体" w:hAnsi="宋体" w:cs="Tahoma"/>
                <w:color w:val="auto"/>
                <w:sz w:val="18"/>
                <w:szCs w:val="18"/>
              </w:rPr>
              <w:t>氨氮</w:t>
            </w:r>
          </w:p>
        </w:tc>
        <w:tc>
          <w:tcPr>
            <w:tcW w:w="8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z w:val="18"/>
                <w:szCs w:val="18"/>
              </w:rPr>
            </w:pPr>
            <w:r>
              <w:rPr>
                <w:rFonts w:ascii="宋体" w:hAnsi="宋体" w:cs="Tahoma"/>
                <w:color w:val="auto"/>
                <w:sz w:val="18"/>
                <w:szCs w:val="18"/>
              </w:rPr>
              <w:t>mg/L</w:t>
            </w:r>
          </w:p>
        </w:tc>
        <w:tc>
          <w:tcPr>
            <w:tcW w:w="207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color w:val="auto"/>
                <w:sz w:val="18"/>
                <w:szCs w:val="18"/>
              </w:rPr>
            </w:pPr>
            <w:r>
              <w:rPr>
                <w:rFonts w:hint="eastAsia" w:ascii="宋体" w:hAnsi="宋体"/>
                <w:color w:val="auto"/>
                <w:kern w:val="0"/>
                <w:sz w:val="18"/>
                <w:szCs w:val="18"/>
              </w:rPr>
              <w:t>≤</w:t>
            </w:r>
            <w:r>
              <w:rPr>
                <w:rFonts w:hint="eastAsia" w:ascii="宋体" w:hAnsi="宋体" w:cs="Tahoma"/>
                <w:color w:val="auto"/>
                <w:sz w:val="18"/>
                <w:szCs w:val="18"/>
              </w:rPr>
              <w:t>25（二级）</w:t>
            </w:r>
          </w:p>
        </w:tc>
        <w:tc>
          <w:tcPr>
            <w:tcW w:w="2167" w:type="dxa"/>
            <w:vMerge w:val="continue"/>
            <w:tcBorders>
              <w:left w:val="single" w:color="auto" w:sz="6" w:space="0"/>
              <w:right w:val="single" w:color="auto" w:sz="6" w:space="0"/>
            </w:tcBorders>
            <w:vAlign w:val="center"/>
          </w:tcPr>
          <w:p>
            <w:pPr>
              <w:pStyle w:val="15"/>
              <w:jc w:val="center"/>
              <w:rPr>
                <w:rFonts w:hAnsi="宋体"/>
                <w:color w:val="auto"/>
                <w:sz w:val="18"/>
                <w:szCs w:val="18"/>
              </w:rPr>
            </w:pPr>
          </w:p>
        </w:tc>
        <w:tc>
          <w:tcPr>
            <w:tcW w:w="1011" w:type="dxa"/>
            <w:vMerge w:val="continue"/>
            <w:tcBorders>
              <w:left w:val="single" w:color="auto" w:sz="6" w:space="0"/>
              <w:right w:val="single" w:color="auto" w:sz="12" w:space="0"/>
            </w:tcBorders>
            <w:vAlign w:val="center"/>
          </w:tcPr>
          <w:p>
            <w:pPr>
              <w:pStyle w:val="15"/>
              <w:jc w:val="center"/>
              <w:rPr>
                <w:rFonts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continue"/>
            <w:tcBorders>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821" w:type="dxa"/>
            <w:vMerge w:val="continue"/>
            <w:tcBorders>
              <w:left w:val="single" w:color="auto" w:sz="6" w:space="0"/>
              <w:right w:val="single" w:color="auto" w:sz="6" w:space="0"/>
            </w:tcBorders>
            <w:vAlign w:val="center"/>
          </w:tcPr>
          <w:p>
            <w:pPr>
              <w:adjustRightInd w:val="0"/>
              <w:snapToGrid w:val="0"/>
              <w:jc w:val="center"/>
              <w:rPr>
                <w:rFonts w:ascii="宋体" w:hAnsi="宋体"/>
                <w:color w:val="auto"/>
                <w:kern w:val="0"/>
                <w:sz w:val="18"/>
                <w:szCs w:val="18"/>
              </w:rPr>
            </w:pPr>
          </w:p>
        </w:tc>
        <w:tc>
          <w:tcPr>
            <w:tcW w:w="1358"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Courier New"/>
                <w:color w:val="auto"/>
                <w:sz w:val="18"/>
                <w:szCs w:val="18"/>
              </w:rPr>
            </w:pPr>
            <w:r>
              <w:rPr>
                <w:rFonts w:ascii="宋体" w:hAnsi="宋体" w:cs="Courier New"/>
                <w:color w:val="auto"/>
                <w:sz w:val="18"/>
                <w:szCs w:val="18"/>
              </w:rPr>
              <w:t>总铜</w:t>
            </w:r>
          </w:p>
        </w:tc>
        <w:tc>
          <w:tcPr>
            <w:tcW w:w="8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z w:val="18"/>
                <w:szCs w:val="18"/>
              </w:rPr>
            </w:pPr>
            <w:r>
              <w:rPr>
                <w:rFonts w:ascii="宋体" w:hAnsi="宋体" w:cs="Tahoma"/>
                <w:color w:val="auto"/>
                <w:sz w:val="18"/>
                <w:szCs w:val="18"/>
              </w:rPr>
              <w:t>mg/L</w:t>
            </w:r>
          </w:p>
        </w:tc>
        <w:tc>
          <w:tcPr>
            <w:tcW w:w="207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color w:val="auto"/>
                <w:sz w:val="18"/>
                <w:szCs w:val="18"/>
              </w:rPr>
            </w:pPr>
            <w:r>
              <w:rPr>
                <w:rFonts w:hint="eastAsia" w:ascii="宋体" w:hAnsi="宋体"/>
                <w:color w:val="auto"/>
                <w:kern w:val="0"/>
                <w:sz w:val="18"/>
                <w:szCs w:val="18"/>
              </w:rPr>
              <w:t>≤</w:t>
            </w:r>
            <w:r>
              <w:rPr>
                <w:rFonts w:hint="eastAsia" w:ascii="宋体" w:hAnsi="宋体" w:cs="Tahoma"/>
                <w:color w:val="auto"/>
                <w:sz w:val="18"/>
                <w:szCs w:val="18"/>
              </w:rPr>
              <w:t>2.0（三级）</w:t>
            </w:r>
          </w:p>
        </w:tc>
        <w:tc>
          <w:tcPr>
            <w:tcW w:w="2167" w:type="dxa"/>
            <w:vMerge w:val="continue"/>
            <w:tcBorders>
              <w:left w:val="single" w:color="auto" w:sz="6" w:space="0"/>
              <w:right w:val="single" w:color="auto" w:sz="6" w:space="0"/>
            </w:tcBorders>
            <w:vAlign w:val="center"/>
          </w:tcPr>
          <w:p>
            <w:pPr>
              <w:pStyle w:val="15"/>
              <w:jc w:val="center"/>
              <w:rPr>
                <w:rFonts w:hAnsi="宋体"/>
                <w:color w:val="auto"/>
                <w:sz w:val="18"/>
                <w:szCs w:val="18"/>
              </w:rPr>
            </w:pPr>
          </w:p>
        </w:tc>
        <w:tc>
          <w:tcPr>
            <w:tcW w:w="1011" w:type="dxa"/>
            <w:vMerge w:val="continue"/>
            <w:tcBorders>
              <w:left w:val="single" w:color="auto" w:sz="6" w:space="0"/>
              <w:right w:val="single" w:color="auto" w:sz="12" w:space="0"/>
            </w:tcBorders>
            <w:vAlign w:val="center"/>
          </w:tcPr>
          <w:p>
            <w:pPr>
              <w:pStyle w:val="15"/>
              <w:jc w:val="center"/>
              <w:rPr>
                <w:rFonts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continue"/>
            <w:tcBorders>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821" w:type="dxa"/>
            <w:vMerge w:val="continue"/>
            <w:tcBorders>
              <w:left w:val="single" w:color="auto" w:sz="6" w:space="0"/>
              <w:right w:val="single" w:color="auto" w:sz="6" w:space="0"/>
            </w:tcBorders>
            <w:vAlign w:val="center"/>
          </w:tcPr>
          <w:p>
            <w:pPr>
              <w:adjustRightInd w:val="0"/>
              <w:snapToGrid w:val="0"/>
              <w:jc w:val="center"/>
              <w:rPr>
                <w:rFonts w:ascii="宋体" w:hAnsi="宋体"/>
                <w:color w:val="auto"/>
                <w:kern w:val="0"/>
                <w:sz w:val="18"/>
                <w:szCs w:val="18"/>
              </w:rPr>
            </w:pPr>
          </w:p>
        </w:tc>
        <w:tc>
          <w:tcPr>
            <w:tcW w:w="1358"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color w:val="auto"/>
                <w:sz w:val="18"/>
                <w:szCs w:val="18"/>
              </w:rPr>
            </w:pPr>
            <w:r>
              <w:rPr>
                <w:rFonts w:hint="eastAsia" w:ascii="宋体" w:hAnsi="宋体" w:cs="Tahoma"/>
                <w:color w:val="auto"/>
                <w:sz w:val="18"/>
                <w:szCs w:val="18"/>
              </w:rPr>
              <w:t>总磷</w:t>
            </w:r>
          </w:p>
        </w:tc>
        <w:tc>
          <w:tcPr>
            <w:tcW w:w="8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color w:val="auto"/>
                <w:sz w:val="18"/>
                <w:szCs w:val="18"/>
              </w:rPr>
            </w:pPr>
            <w:r>
              <w:rPr>
                <w:rFonts w:ascii="宋体" w:hAnsi="宋体" w:cs="Tahoma"/>
                <w:color w:val="auto"/>
                <w:sz w:val="18"/>
                <w:szCs w:val="18"/>
              </w:rPr>
              <w:t>mg/L</w:t>
            </w:r>
          </w:p>
        </w:tc>
        <w:tc>
          <w:tcPr>
            <w:tcW w:w="207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r>
              <w:rPr>
                <w:rFonts w:hint="eastAsia" w:ascii="宋体" w:hAnsi="宋体"/>
                <w:color w:val="auto"/>
                <w:kern w:val="0"/>
                <w:sz w:val="18"/>
                <w:szCs w:val="18"/>
              </w:rPr>
              <w:t>≤</w:t>
            </w:r>
            <w:r>
              <w:rPr>
                <w:rFonts w:hint="eastAsia" w:ascii="宋体" w:hAnsi="宋体"/>
                <w:color w:val="auto"/>
                <w:kern w:val="0"/>
                <w:sz w:val="18"/>
                <w:szCs w:val="18"/>
              </w:rPr>
              <w:t>0.3（三级）</w:t>
            </w:r>
          </w:p>
        </w:tc>
        <w:tc>
          <w:tcPr>
            <w:tcW w:w="2167" w:type="dxa"/>
            <w:vMerge w:val="continue"/>
            <w:tcBorders>
              <w:left w:val="single" w:color="auto" w:sz="6" w:space="0"/>
              <w:right w:val="single" w:color="auto" w:sz="6" w:space="0"/>
            </w:tcBorders>
            <w:vAlign w:val="center"/>
          </w:tcPr>
          <w:p>
            <w:pPr>
              <w:pStyle w:val="15"/>
              <w:jc w:val="center"/>
              <w:rPr>
                <w:rFonts w:hAnsi="宋体"/>
                <w:color w:val="auto"/>
                <w:sz w:val="18"/>
                <w:szCs w:val="18"/>
              </w:rPr>
            </w:pPr>
          </w:p>
        </w:tc>
        <w:tc>
          <w:tcPr>
            <w:tcW w:w="1011" w:type="dxa"/>
            <w:vMerge w:val="continue"/>
            <w:tcBorders>
              <w:left w:val="single" w:color="auto" w:sz="6" w:space="0"/>
              <w:right w:val="single" w:color="auto" w:sz="12" w:space="0"/>
            </w:tcBorders>
            <w:vAlign w:val="center"/>
          </w:tcPr>
          <w:p>
            <w:pPr>
              <w:pStyle w:val="15"/>
              <w:jc w:val="center"/>
              <w:rPr>
                <w:rFonts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restart"/>
            <w:tcBorders>
              <w:top w:val="single" w:color="auto" w:sz="6" w:space="0"/>
              <w:left w:val="single" w:color="auto" w:sz="12" w:space="0"/>
              <w:right w:val="single" w:color="auto" w:sz="6"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产品属性</w:t>
            </w:r>
          </w:p>
        </w:tc>
        <w:tc>
          <w:tcPr>
            <w:tcW w:w="2179"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sz w:val="18"/>
                <w:szCs w:val="18"/>
              </w:rPr>
            </w:pPr>
            <w:r>
              <w:rPr>
                <w:rFonts w:hint="eastAsia" w:ascii="宋体" w:hAnsi="宋体"/>
                <w:color w:val="auto"/>
                <w:kern w:val="0"/>
                <w:sz w:val="18"/>
                <w:szCs w:val="18"/>
              </w:rPr>
              <w:t>产品质量</w:t>
            </w:r>
          </w:p>
        </w:tc>
        <w:tc>
          <w:tcPr>
            <w:tcW w:w="8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sz w:val="18"/>
                <w:szCs w:val="18"/>
              </w:rPr>
            </w:pPr>
          </w:p>
        </w:tc>
        <w:tc>
          <w:tcPr>
            <w:tcW w:w="2077" w:type="dxa"/>
            <w:tcBorders>
              <w:top w:val="single" w:color="auto" w:sz="6" w:space="0"/>
              <w:left w:val="single" w:color="auto" w:sz="6" w:space="0"/>
              <w:bottom w:val="single" w:color="auto" w:sz="6" w:space="0"/>
              <w:right w:val="single" w:color="auto" w:sz="6" w:space="0"/>
            </w:tcBorders>
            <w:vAlign w:val="center"/>
          </w:tcPr>
          <w:p>
            <w:pPr>
              <w:pStyle w:val="15"/>
              <w:jc w:val="center"/>
              <w:rPr>
                <w:rFonts w:hAnsi="宋体"/>
                <w:color w:val="auto"/>
                <w:sz w:val="18"/>
                <w:szCs w:val="18"/>
              </w:rPr>
            </w:pPr>
            <w:r>
              <w:rPr>
                <w:rFonts w:hint="eastAsia" w:hAnsi="宋体" w:cs="Times New Roman"/>
                <w:color w:val="auto"/>
                <w:sz w:val="18"/>
                <w:szCs w:val="18"/>
              </w:rPr>
              <w:t>应符合附录B中相应标准要求</w:t>
            </w:r>
          </w:p>
        </w:tc>
        <w:tc>
          <w:tcPr>
            <w:tcW w:w="2167" w:type="dxa"/>
            <w:tcBorders>
              <w:top w:val="single" w:color="auto" w:sz="6" w:space="0"/>
              <w:left w:val="single" w:color="auto" w:sz="6" w:space="0"/>
              <w:bottom w:val="single" w:color="auto" w:sz="6" w:space="0"/>
              <w:right w:val="single" w:color="auto" w:sz="6" w:space="0"/>
            </w:tcBorders>
            <w:vAlign w:val="center"/>
          </w:tcPr>
          <w:p>
            <w:pPr>
              <w:pStyle w:val="15"/>
              <w:jc w:val="center"/>
              <w:rPr>
                <w:rFonts w:hAnsi="宋体"/>
                <w:color w:val="auto"/>
                <w:sz w:val="18"/>
                <w:szCs w:val="18"/>
              </w:rPr>
            </w:pPr>
            <w:r>
              <w:rPr>
                <w:rFonts w:hint="eastAsia" w:hAnsi="宋体" w:cs="Times New Roman"/>
                <w:color w:val="auto"/>
                <w:sz w:val="18"/>
                <w:szCs w:val="18"/>
              </w:rPr>
              <w:t>附录B中相应标准</w:t>
            </w:r>
          </w:p>
        </w:tc>
        <w:tc>
          <w:tcPr>
            <w:tcW w:w="1011"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continue"/>
            <w:tcBorders>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873" w:type="dxa"/>
            <w:gridSpan w:val="2"/>
            <w:vMerge w:val="restart"/>
            <w:tcBorders>
              <w:top w:val="single" w:color="auto" w:sz="6" w:space="0"/>
              <w:left w:val="single" w:color="auto" w:sz="6" w:space="0"/>
              <w:right w:val="single" w:color="auto" w:sz="4"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有害物质限量要求</w:t>
            </w:r>
          </w:p>
        </w:tc>
        <w:tc>
          <w:tcPr>
            <w:tcW w:w="1306"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宋体"/>
                <w:color w:val="auto"/>
                <w:sz w:val="18"/>
                <w:szCs w:val="18"/>
              </w:rPr>
            </w:pPr>
            <w:r>
              <w:rPr>
                <w:rFonts w:hint="eastAsia"/>
                <w:color w:val="auto"/>
                <w:sz w:val="18"/>
                <w:szCs w:val="18"/>
              </w:rPr>
              <w:t>镉</w:t>
            </w:r>
          </w:p>
        </w:tc>
        <w:tc>
          <w:tcPr>
            <w:tcW w:w="8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sz w:val="18"/>
                <w:szCs w:val="18"/>
              </w:rPr>
            </w:pPr>
          </w:p>
        </w:tc>
        <w:tc>
          <w:tcPr>
            <w:tcW w:w="2077" w:type="dxa"/>
            <w:vMerge w:val="restart"/>
            <w:tcBorders>
              <w:top w:val="single" w:color="auto" w:sz="6" w:space="0"/>
              <w:left w:val="single" w:color="auto" w:sz="6" w:space="0"/>
              <w:right w:val="single" w:color="auto" w:sz="6" w:space="0"/>
            </w:tcBorders>
            <w:vAlign w:val="center"/>
          </w:tcPr>
          <w:p>
            <w:pPr>
              <w:pStyle w:val="15"/>
              <w:jc w:val="center"/>
              <w:rPr>
                <w:rFonts w:hAnsi="宋体" w:cs="Times New Roman"/>
                <w:color w:val="auto"/>
                <w:sz w:val="18"/>
                <w:szCs w:val="18"/>
              </w:rPr>
            </w:pPr>
            <w:r>
              <w:rPr>
                <w:rFonts w:hint="eastAsia" w:hAnsi="宋体"/>
                <w:bCs/>
                <w:color w:val="auto"/>
                <w:sz w:val="18"/>
                <w:szCs w:val="18"/>
              </w:rPr>
              <w:t>符合ROSE指令要求</w:t>
            </w:r>
          </w:p>
        </w:tc>
        <w:tc>
          <w:tcPr>
            <w:tcW w:w="2167" w:type="dxa"/>
            <w:vMerge w:val="restart"/>
            <w:tcBorders>
              <w:top w:val="single" w:color="auto" w:sz="6" w:space="0"/>
              <w:left w:val="single" w:color="auto" w:sz="6" w:space="0"/>
              <w:right w:val="single" w:color="auto" w:sz="6" w:space="0"/>
            </w:tcBorders>
            <w:vAlign w:val="center"/>
          </w:tcPr>
          <w:p>
            <w:pPr>
              <w:pStyle w:val="15"/>
              <w:jc w:val="center"/>
              <w:rPr>
                <w:rFonts w:hAnsi="宋体" w:cs="Times New Roman"/>
                <w:color w:val="auto"/>
                <w:sz w:val="18"/>
                <w:szCs w:val="18"/>
              </w:rPr>
            </w:pPr>
            <w:r>
              <w:rPr>
                <w:rFonts w:hint="eastAsia" w:ascii="Times New Roman"/>
                <w:color w:val="auto"/>
                <w:sz w:val="18"/>
                <w:szCs w:val="18"/>
              </w:rPr>
              <w:t>检测报告</w:t>
            </w:r>
          </w:p>
        </w:tc>
        <w:tc>
          <w:tcPr>
            <w:tcW w:w="1011" w:type="dxa"/>
            <w:vMerge w:val="restart"/>
            <w:tcBorders>
              <w:top w:val="single" w:color="auto" w:sz="6" w:space="0"/>
              <w:left w:val="single" w:color="auto" w:sz="6" w:space="0"/>
              <w:right w:val="single" w:color="auto" w:sz="12"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continue"/>
            <w:tcBorders>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873" w:type="dxa"/>
            <w:gridSpan w:val="2"/>
            <w:vMerge w:val="continue"/>
            <w:tcBorders>
              <w:left w:val="single" w:color="auto" w:sz="6" w:space="0"/>
              <w:right w:val="single" w:color="auto" w:sz="4" w:space="0"/>
            </w:tcBorders>
            <w:vAlign w:val="center"/>
          </w:tcPr>
          <w:p>
            <w:pPr>
              <w:adjustRightInd w:val="0"/>
              <w:snapToGrid w:val="0"/>
              <w:jc w:val="center"/>
              <w:rPr>
                <w:rFonts w:ascii="宋体" w:hAnsi="宋体"/>
                <w:color w:val="auto"/>
                <w:kern w:val="0"/>
                <w:sz w:val="18"/>
                <w:szCs w:val="18"/>
              </w:rPr>
            </w:pPr>
          </w:p>
        </w:tc>
        <w:tc>
          <w:tcPr>
            <w:tcW w:w="1306"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宋体"/>
                <w:color w:val="auto"/>
                <w:sz w:val="18"/>
                <w:szCs w:val="18"/>
              </w:rPr>
            </w:pPr>
            <w:r>
              <w:rPr>
                <w:rFonts w:hint="eastAsia"/>
                <w:color w:val="auto"/>
                <w:sz w:val="18"/>
                <w:szCs w:val="18"/>
              </w:rPr>
              <w:t>铅</w:t>
            </w:r>
          </w:p>
        </w:tc>
        <w:tc>
          <w:tcPr>
            <w:tcW w:w="8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sz w:val="18"/>
                <w:szCs w:val="18"/>
              </w:rPr>
            </w:pPr>
          </w:p>
        </w:tc>
        <w:tc>
          <w:tcPr>
            <w:tcW w:w="2077" w:type="dxa"/>
            <w:vMerge w:val="continue"/>
            <w:tcBorders>
              <w:left w:val="single" w:color="auto" w:sz="6" w:space="0"/>
              <w:right w:val="single" w:color="auto" w:sz="6" w:space="0"/>
            </w:tcBorders>
            <w:vAlign w:val="center"/>
          </w:tcPr>
          <w:p>
            <w:pPr>
              <w:pStyle w:val="15"/>
              <w:jc w:val="center"/>
              <w:rPr>
                <w:rFonts w:hAnsi="宋体" w:cs="Times New Roman"/>
                <w:color w:val="auto"/>
                <w:sz w:val="18"/>
                <w:szCs w:val="18"/>
              </w:rPr>
            </w:pPr>
          </w:p>
        </w:tc>
        <w:tc>
          <w:tcPr>
            <w:tcW w:w="2167" w:type="dxa"/>
            <w:vMerge w:val="continue"/>
            <w:tcBorders>
              <w:left w:val="single" w:color="auto" w:sz="6" w:space="0"/>
              <w:right w:val="single" w:color="auto" w:sz="6" w:space="0"/>
            </w:tcBorders>
            <w:vAlign w:val="center"/>
          </w:tcPr>
          <w:p>
            <w:pPr>
              <w:pStyle w:val="15"/>
              <w:jc w:val="center"/>
              <w:rPr>
                <w:rFonts w:hAnsi="宋体" w:cs="Times New Roman"/>
                <w:color w:val="auto"/>
                <w:sz w:val="18"/>
                <w:szCs w:val="18"/>
              </w:rPr>
            </w:pPr>
          </w:p>
        </w:tc>
        <w:tc>
          <w:tcPr>
            <w:tcW w:w="1011" w:type="dxa"/>
            <w:vMerge w:val="continue"/>
            <w:tcBorders>
              <w:left w:val="single" w:color="auto" w:sz="6" w:space="0"/>
              <w:right w:val="single" w:color="auto" w:sz="12" w:space="0"/>
            </w:tcBorders>
            <w:vAlign w:val="center"/>
          </w:tcPr>
          <w:p>
            <w:pPr>
              <w:adjustRightInd w:val="0"/>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continue"/>
            <w:tcBorders>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873" w:type="dxa"/>
            <w:gridSpan w:val="2"/>
            <w:vMerge w:val="continue"/>
            <w:tcBorders>
              <w:left w:val="single" w:color="auto" w:sz="6" w:space="0"/>
              <w:right w:val="single" w:color="auto" w:sz="4" w:space="0"/>
            </w:tcBorders>
            <w:vAlign w:val="center"/>
          </w:tcPr>
          <w:p>
            <w:pPr>
              <w:adjustRightInd w:val="0"/>
              <w:snapToGrid w:val="0"/>
              <w:jc w:val="center"/>
              <w:rPr>
                <w:rFonts w:ascii="宋体" w:hAnsi="宋体"/>
                <w:color w:val="auto"/>
                <w:kern w:val="0"/>
                <w:sz w:val="18"/>
                <w:szCs w:val="18"/>
              </w:rPr>
            </w:pPr>
          </w:p>
        </w:tc>
        <w:tc>
          <w:tcPr>
            <w:tcW w:w="1306"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宋体"/>
                <w:color w:val="auto"/>
                <w:sz w:val="18"/>
                <w:szCs w:val="18"/>
              </w:rPr>
            </w:pPr>
            <w:r>
              <w:rPr>
                <w:rFonts w:hint="eastAsia"/>
                <w:color w:val="auto"/>
                <w:sz w:val="18"/>
                <w:szCs w:val="18"/>
              </w:rPr>
              <w:t>汞</w:t>
            </w:r>
          </w:p>
        </w:tc>
        <w:tc>
          <w:tcPr>
            <w:tcW w:w="8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sz w:val="18"/>
                <w:szCs w:val="18"/>
              </w:rPr>
            </w:pPr>
          </w:p>
        </w:tc>
        <w:tc>
          <w:tcPr>
            <w:tcW w:w="2077" w:type="dxa"/>
            <w:vMerge w:val="continue"/>
            <w:tcBorders>
              <w:left w:val="single" w:color="auto" w:sz="6" w:space="0"/>
              <w:right w:val="single" w:color="auto" w:sz="6" w:space="0"/>
            </w:tcBorders>
            <w:vAlign w:val="center"/>
          </w:tcPr>
          <w:p>
            <w:pPr>
              <w:pStyle w:val="15"/>
              <w:jc w:val="center"/>
              <w:rPr>
                <w:rFonts w:hAnsi="宋体" w:cs="Times New Roman"/>
                <w:color w:val="auto"/>
                <w:sz w:val="18"/>
                <w:szCs w:val="18"/>
              </w:rPr>
            </w:pPr>
          </w:p>
        </w:tc>
        <w:tc>
          <w:tcPr>
            <w:tcW w:w="2167" w:type="dxa"/>
            <w:vMerge w:val="continue"/>
            <w:tcBorders>
              <w:left w:val="single" w:color="auto" w:sz="6" w:space="0"/>
              <w:right w:val="single" w:color="auto" w:sz="6" w:space="0"/>
            </w:tcBorders>
            <w:vAlign w:val="center"/>
          </w:tcPr>
          <w:p>
            <w:pPr>
              <w:pStyle w:val="15"/>
              <w:jc w:val="center"/>
              <w:rPr>
                <w:rFonts w:hAnsi="宋体" w:cs="Times New Roman"/>
                <w:color w:val="auto"/>
                <w:sz w:val="18"/>
                <w:szCs w:val="18"/>
              </w:rPr>
            </w:pPr>
          </w:p>
        </w:tc>
        <w:tc>
          <w:tcPr>
            <w:tcW w:w="1011" w:type="dxa"/>
            <w:vMerge w:val="continue"/>
            <w:tcBorders>
              <w:left w:val="single" w:color="auto" w:sz="6" w:space="0"/>
              <w:right w:val="single" w:color="auto" w:sz="12" w:space="0"/>
            </w:tcBorders>
            <w:vAlign w:val="center"/>
          </w:tcPr>
          <w:p>
            <w:pPr>
              <w:adjustRightInd w:val="0"/>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continue"/>
            <w:tcBorders>
              <w:left w:val="single" w:color="auto" w:sz="12" w:space="0"/>
              <w:bottom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873" w:type="dxa"/>
            <w:gridSpan w:val="2"/>
            <w:vMerge w:val="continue"/>
            <w:tcBorders>
              <w:left w:val="single" w:color="auto" w:sz="6" w:space="0"/>
              <w:bottom w:val="single" w:color="auto" w:sz="12" w:space="0"/>
              <w:right w:val="single" w:color="auto" w:sz="4" w:space="0"/>
            </w:tcBorders>
            <w:vAlign w:val="center"/>
          </w:tcPr>
          <w:p>
            <w:pPr>
              <w:adjustRightInd w:val="0"/>
              <w:snapToGrid w:val="0"/>
              <w:jc w:val="center"/>
              <w:rPr>
                <w:rFonts w:ascii="宋体" w:hAnsi="宋体"/>
                <w:color w:val="auto"/>
                <w:kern w:val="0"/>
                <w:sz w:val="18"/>
                <w:szCs w:val="18"/>
              </w:rPr>
            </w:pPr>
          </w:p>
        </w:tc>
        <w:tc>
          <w:tcPr>
            <w:tcW w:w="1306" w:type="dxa"/>
            <w:tcBorders>
              <w:top w:val="single" w:color="auto" w:sz="6" w:space="0"/>
              <w:left w:val="single" w:color="auto" w:sz="4" w:space="0"/>
              <w:bottom w:val="single" w:color="auto" w:sz="12" w:space="0"/>
              <w:right w:val="single" w:color="auto" w:sz="6" w:space="0"/>
            </w:tcBorders>
            <w:vAlign w:val="center"/>
          </w:tcPr>
          <w:p>
            <w:pPr>
              <w:jc w:val="center"/>
              <w:rPr>
                <w:rFonts w:ascii="宋体" w:hAnsi="宋体" w:cs="宋体"/>
                <w:color w:val="auto"/>
                <w:sz w:val="18"/>
                <w:szCs w:val="18"/>
              </w:rPr>
            </w:pPr>
            <w:r>
              <w:rPr>
                <w:rFonts w:hint="eastAsia"/>
                <w:color w:val="auto"/>
                <w:sz w:val="18"/>
                <w:szCs w:val="18"/>
              </w:rPr>
              <w:t>六价铬</w:t>
            </w:r>
          </w:p>
        </w:tc>
        <w:tc>
          <w:tcPr>
            <w:tcW w:w="809" w:type="dxa"/>
            <w:tcBorders>
              <w:top w:val="single" w:color="auto" w:sz="6" w:space="0"/>
              <w:left w:val="single" w:color="auto" w:sz="6" w:space="0"/>
              <w:bottom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2077" w:type="dxa"/>
            <w:vMerge w:val="continue"/>
            <w:tcBorders>
              <w:left w:val="single" w:color="auto" w:sz="6" w:space="0"/>
              <w:bottom w:val="single" w:color="auto" w:sz="12" w:space="0"/>
              <w:right w:val="single" w:color="auto" w:sz="6" w:space="0"/>
            </w:tcBorders>
            <w:vAlign w:val="center"/>
          </w:tcPr>
          <w:p>
            <w:pPr>
              <w:pStyle w:val="15"/>
              <w:jc w:val="center"/>
              <w:rPr>
                <w:rFonts w:hAnsi="宋体" w:cs="Times New Roman"/>
                <w:color w:val="auto"/>
                <w:sz w:val="18"/>
                <w:szCs w:val="18"/>
              </w:rPr>
            </w:pPr>
          </w:p>
        </w:tc>
        <w:tc>
          <w:tcPr>
            <w:tcW w:w="2167" w:type="dxa"/>
            <w:vMerge w:val="continue"/>
            <w:tcBorders>
              <w:left w:val="single" w:color="auto" w:sz="6" w:space="0"/>
              <w:bottom w:val="single" w:color="auto" w:sz="12" w:space="0"/>
              <w:right w:val="single" w:color="auto" w:sz="6" w:space="0"/>
            </w:tcBorders>
            <w:vAlign w:val="center"/>
          </w:tcPr>
          <w:p>
            <w:pPr>
              <w:pStyle w:val="15"/>
              <w:jc w:val="center"/>
              <w:rPr>
                <w:rFonts w:hAnsi="宋体" w:cs="Times New Roman"/>
                <w:color w:val="auto"/>
                <w:sz w:val="18"/>
                <w:szCs w:val="18"/>
              </w:rPr>
            </w:pPr>
          </w:p>
        </w:tc>
        <w:tc>
          <w:tcPr>
            <w:tcW w:w="1011" w:type="dxa"/>
            <w:vMerge w:val="continue"/>
            <w:tcBorders>
              <w:left w:val="single" w:color="auto" w:sz="6" w:space="0"/>
              <w:bottom w:val="single" w:color="auto" w:sz="12" w:space="0"/>
              <w:right w:val="single" w:color="auto" w:sz="12" w:space="0"/>
            </w:tcBorders>
            <w:vAlign w:val="center"/>
          </w:tcPr>
          <w:p>
            <w:pPr>
              <w:adjustRightInd w:val="0"/>
              <w:snapToGrid w:val="0"/>
              <w:jc w:val="center"/>
              <w:rPr>
                <w:rFonts w:ascii="宋体" w:hAnsi="宋体"/>
                <w:color w:val="auto"/>
                <w:sz w:val="18"/>
                <w:szCs w:val="18"/>
              </w:rPr>
            </w:pPr>
          </w:p>
        </w:tc>
      </w:tr>
    </w:tbl>
    <w:p>
      <w:pPr>
        <w:keepNext w:val="0"/>
        <w:keepLines w:val="0"/>
        <w:pageBreakBefore w:val="0"/>
        <w:kinsoku/>
        <w:wordWrap/>
        <w:overflowPunct/>
        <w:topLinePunct w:val="0"/>
        <w:autoSpaceDE/>
        <w:autoSpaceDN/>
        <w:bidi w:val="0"/>
        <w:spacing w:beforeLines="50" w:afterLines="50" w:line="400" w:lineRule="exact"/>
        <w:textAlignment w:val="auto"/>
        <w:rPr>
          <w:rFonts w:ascii="黑体" w:eastAsia="黑体"/>
          <w:color w:val="auto"/>
          <w:szCs w:val="21"/>
        </w:rPr>
      </w:pPr>
      <w:r>
        <w:rPr>
          <w:rFonts w:hint="eastAsia" w:ascii="黑体" w:eastAsia="黑体"/>
          <w:color w:val="auto"/>
          <w:szCs w:val="21"/>
        </w:rPr>
        <w:t>5.1金属</w:t>
      </w:r>
      <w:r>
        <w:rPr>
          <w:rFonts w:hint="eastAsia" w:ascii="黑体" w:hAnsi="宋体" w:eastAsia="黑体" w:cs="宋体"/>
          <w:bCs/>
          <w:color w:val="auto"/>
          <w:szCs w:val="21"/>
        </w:rPr>
        <w:t>损耗率和再生金属利用率</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auto"/>
        <w:rPr>
          <w:color w:val="auto"/>
          <w:szCs w:val="21"/>
        </w:rPr>
      </w:pPr>
      <w:r>
        <w:rPr>
          <w:rFonts w:hint="eastAsia"/>
          <w:color w:val="auto"/>
          <w:szCs w:val="21"/>
        </w:rPr>
        <w:t xml:space="preserve">（1）金属的综合利用是体现冷轧板带箔材资源属性的重要指标，绿色设计产品应以降低金属损耗、提高原材料利用率以达到降低原料成本为目的，同时应减少有害物质的使用，建议使用回收料、可回收材料替代原生材料、不可回收材料。金属铜损耗率主要依据实际生产数据。各企业实际数据如下表： </w:t>
      </w:r>
    </w:p>
    <w:p>
      <w:pPr>
        <w:keepNext w:val="0"/>
        <w:keepLines w:val="0"/>
        <w:pageBreakBefore w:val="0"/>
        <w:widowControl/>
        <w:kinsoku/>
        <w:wordWrap/>
        <w:overflowPunct/>
        <w:topLinePunct w:val="0"/>
        <w:autoSpaceDE/>
        <w:autoSpaceDN/>
        <w:bidi w:val="0"/>
        <w:spacing w:line="400" w:lineRule="exact"/>
        <w:jc w:val="center"/>
        <w:textAlignment w:val="auto"/>
        <w:rPr>
          <w:rFonts w:ascii="黑体" w:hAnsi="黑体" w:eastAsia="黑体"/>
          <w:color w:val="auto"/>
          <w:szCs w:val="21"/>
        </w:rPr>
      </w:pPr>
      <w:r>
        <w:rPr>
          <w:rFonts w:hint="eastAsia" w:ascii="黑体" w:hAnsi="黑体" w:eastAsia="黑体"/>
          <w:color w:val="auto"/>
          <w:szCs w:val="21"/>
        </w:rPr>
        <w:t>表2   冷轧板带箔金属损耗率统计</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11"/>
        <w:gridCol w:w="934"/>
        <w:gridCol w:w="1029"/>
        <w:gridCol w:w="1566"/>
        <w:gridCol w:w="1566"/>
        <w:gridCol w:w="20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1411" w:type="dxa"/>
            <w:vMerge w:val="restart"/>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单位</w:t>
            </w:r>
          </w:p>
        </w:tc>
        <w:tc>
          <w:tcPr>
            <w:tcW w:w="7111" w:type="dxa"/>
            <w:gridSpan w:val="5"/>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金属损耗率（%）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1411" w:type="dxa"/>
            <w:vMerge w:val="continue"/>
            <w:vAlign w:val="center"/>
          </w:tcPr>
          <w:p>
            <w:pPr>
              <w:widowControl/>
              <w:adjustRightInd w:val="0"/>
              <w:snapToGrid w:val="0"/>
              <w:jc w:val="center"/>
              <w:rPr>
                <w:rFonts w:ascii="宋体" w:hAnsi="宋体"/>
                <w:color w:val="auto"/>
                <w:kern w:val="0"/>
                <w:sz w:val="18"/>
                <w:szCs w:val="18"/>
              </w:rPr>
            </w:pPr>
          </w:p>
        </w:tc>
        <w:tc>
          <w:tcPr>
            <w:tcW w:w="934"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紫铜</w:t>
            </w:r>
          </w:p>
        </w:tc>
        <w:tc>
          <w:tcPr>
            <w:tcW w:w="1029"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高铜</w:t>
            </w:r>
          </w:p>
        </w:tc>
        <w:tc>
          <w:tcPr>
            <w:tcW w:w="1566"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黄铜</w:t>
            </w:r>
          </w:p>
        </w:tc>
        <w:tc>
          <w:tcPr>
            <w:tcW w:w="1566"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青铜</w:t>
            </w:r>
          </w:p>
        </w:tc>
        <w:tc>
          <w:tcPr>
            <w:tcW w:w="2016"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白铜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1411"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洛阳铜加工</w:t>
            </w:r>
          </w:p>
        </w:tc>
        <w:tc>
          <w:tcPr>
            <w:tcW w:w="934" w:type="dxa"/>
            <w:vAlign w:val="center"/>
          </w:tcPr>
          <w:p>
            <w:pPr>
              <w:widowControl/>
              <w:adjustRightInd w:val="0"/>
              <w:snapToGrid w:val="0"/>
              <w:jc w:val="center"/>
              <w:rPr>
                <w:rFonts w:hint="eastAsia" w:ascii="宋体" w:hAnsi="宋体" w:eastAsia="宋体"/>
                <w:color w:val="auto"/>
                <w:kern w:val="0"/>
                <w:sz w:val="18"/>
                <w:szCs w:val="18"/>
                <w:lang w:eastAsia="zh-CN"/>
              </w:rPr>
            </w:pPr>
            <w:r>
              <w:rPr>
                <w:rFonts w:hint="eastAsia" w:ascii="宋体" w:hAnsi="宋体"/>
                <w:color w:val="auto"/>
                <w:kern w:val="0"/>
                <w:sz w:val="18"/>
                <w:szCs w:val="18"/>
                <w:lang w:val="en-US" w:eastAsia="zh-CN"/>
              </w:rPr>
              <w:t>3</w:t>
            </w:r>
          </w:p>
        </w:tc>
        <w:tc>
          <w:tcPr>
            <w:tcW w:w="1029"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4.0</w:t>
            </w:r>
          </w:p>
        </w:tc>
        <w:tc>
          <w:tcPr>
            <w:tcW w:w="1566"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4.6</w:t>
            </w:r>
          </w:p>
        </w:tc>
        <w:tc>
          <w:tcPr>
            <w:tcW w:w="1566" w:type="dxa"/>
            <w:vAlign w:val="center"/>
          </w:tcPr>
          <w:p>
            <w:pPr>
              <w:widowControl/>
              <w:adjustRightInd w:val="0"/>
              <w:snapToGrid w:val="0"/>
              <w:jc w:val="center"/>
              <w:rPr>
                <w:rFonts w:hint="eastAsia" w:ascii="宋体" w:hAnsi="宋体" w:eastAsia="宋体"/>
                <w:color w:val="auto"/>
                <w:kern w:val="0"/>
                <w:sz w:val="18"/>
                <w:szCs w:val="18"/>
                <w:lang w:val="en-US" w:eastAsia="zh-CN"/>
              </w:rPr>
            </w:pPr>
            <w:r>
              <w:rPr>
                <w:rFonts w:hint="eastAsia" w:ascii="宋体" w:hAnsi="宋体"/>
                <w:color w:val="auto"/>
                <w:kern w:val="0"/>
                <w:sz w:val="18"/>
                <w:szCs w:val="18"/>
                <w:lang w:val="en-US" w:eastAsia="zh-CN"/>
              </w:rPr>
              <w:t>5</w:t>
            </w:r>
          </w:p>
        </w:tc>
        <w:tc>
          <w:tcPr>
            <w:tcW w:w="2016"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1411"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力博</w:t>
            </w:r>
          </w:p>
        </w:tc>
        <w:tc>
          <w:tcPr>
            <w:tcW w:w="934"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（0.1）</w:t>
            </w:r>
          </w:p>
        </w:tc>
        <w:tc>
          <w:tcPr>
            <w:tcW w:w="1029" w:type="dxa"/>
            <w:vAlign w:val="center"/>
          </w:tcPr>
          <w:p>
            <w:pPr>
              <w:widowControl/>
              <w:adjustRightInd w:val="0"/>
              <w:snapToGrid w:val="0"/>
              <w:jc w:val="center"/>
              <w:rPr>
                <w:rFonts w:ascii="宋体" w:hAnsi="宋体"/>
                <w:color w:val="auto"/>
                <w:kern w:val="0"/>
                <w:sz w:val="18"/>
                <w:szCs w:val="18"/>
              </w:rPr>
            </w:pPr>
          </w:p>
        </w:tc>
        <w:tc>
          <w:tcPr>
            <w:tcW w:w="1566" w:type="dxa"/>
            <w:vAlign w:val="center"/>
          </w:tcPr>
          <w:p>
            <w:pPr>
              <w:widowControl/>
              <w:adjustRightInd w:val="0"/>
              <w:snapToGrid w:val="0"/>
              <w:jc w:val="center"/>
              <w:rPr>
                <w:rFonts w:ascii="宋体" w:hAnsi="宋体"/>
                <w:color w:val="auto"/>
                <w:kern w:val="0"/>
                <w:sz w:val="18"/>
                <w:szCs w:val="18"/>
              </w:rPr>
            </w:pPr>
          </w:p>
        </w:tc>
        <w:tc>
          <w:tcPr>
            <w:tcW w:w="1566" w:type="dxa"/>
            <w:vAlign w:val="center"/>
          </w:tcPr>
          <w:p>
            <w:pPr>
              <w:widowControl/>
              <w:adjustRightInd w:val="0"/>
              <w:snapToGrid w:val="0"/>
              <w:jc w:val="center"/>
              <w:rPr>
                <w:rFonts w:ascii="宋体" w:hAnsi="宋体"/>
                <w:color w:val="auto"/>
                <w:kern w:val="0"/>
                <w:sz w:val="18"/>
                <w:szCs w:val="18"/>
              </w:rPr>
            </w:pPr>
          </w:p>
        </w:tc>
        <w:tc>
          <w:tcPr>
            <w:tcW w:w="2016" w:type="dxa"/>
            <w:vAlign w:val="center"/>
          </w:tcPr>
          <w:p>
            <w:pPr>
              <w:widowControl/>
              <w:adjustRightInd w:val="0"/>
              <w:snapToGrid w:val="0"/>
              <w:jc w:val="center"/>
              <w:rPr>
                <w:rFonts w:ascii="宋体" w:hAnsi="宋体"/>
                <w:color w:val="auto"/>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1411"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凯美龙</w:t>
            </w:r>
          </w:p>
        </w:tc>
        <w:tc>
          <w:tcPr>
            <w:tcW w:w="934" w:type="dxa"/>
            <w:vAlign w:val="center"/>
          </w:tcPr>
          <w:p>
            <w:pPr>
              <w:widowControl/>
              <w:adjustRightInd w:val="0"/>
              <w:snapToGrid w:val="0"/>
              <w:jc w:val="center"/>
              <w:rPr>
                <w:rFonts w:hint="default" w:ascii="宋体" w:hAnsi="宋体"/>
                <w:color w:val="auto"/>
                <w:kern w:val="0"/>
                <w:sz w:val="18"/>
                <w:szCs w:val="18"/>
                <w:lang w:val="en-US" w:eastAsia="zh-CN"/>
              </w:rPr>
            </w:pPr>
            <w:r>
              <w:rPr>
                <w:rFonts w:hint="eastAsia" w:ascii="宋体" w:hAnsi="宋体"/>
                <w:color w:val="auto"/>
                <w:kern w:val="0"/>
                <w:sz w:val="18"/>
                <w:szCs w:val="18"/>
                <w:lang w:val="en-US" w:eastAsia="zh-CN"/>
              </w:rPr>
              <w:t>2.3</w:t>
            </w:r>
          </w:p>
        </w:tc>
        <w:tc>
          <w:tcPr>
            <w:tcW w:w="1029" w:type="dxa"/>
            <w:vAlign w:val="center"/>
          </w:tcPr>
          <w:p>
            <w:pPr>
              <w:widowControl/>
              <w:adjustRightInd w:val="0"/>
              <w:snapToGrid w:val="0"/>
              <w:jc w:val="center"/>
              <w:rPr>
                <w:rFonts w:hint="default" w:ascii="宋体" w:hAnsi="宋体"/>
                <w:color w:val="auto"/>
                <w:kern w:val="0"/>
                <w:sz w:val="18"/>
                <w:szCs w:val="18"/>
                <w:lang w:val="en-US" w:eastAsia="zh-CN"/>
              </w:rPr>
            </w:pPr>
            <w:r>
              <w:rPr>
                <w:rFonts w:hint="eastAsia" w:ascii="宋体" w:hAnsi="宋体"/>
                <w:color w:val="auto"/>
                <w:kern w:val="0"/>
                <w:sz w:val="18"/>
                <w:szCs w:val="18"/>
                <w:lang w:val="en-US" w:eastAsia="zh-CN"/>
              </w:rPr>
              <w:t>4</w:t>
            </w:r>
          </w:p>
          <w:p>
            <w:pPr>
              <w:widowControl/>
              <w:adjustRightInd w:val="0"/>
              <w:snapToGrid w:val="0"/>
              <w:jc w:val="center"/>
              <w:rPr>
                <w:rFonts w:hint="eastAsia" w:ascii="宋体" w:hAnsi="宋体" w:eastAsia="宋体"/>
                <w:color w:val="auto"/>
                <w:kern w:val="0"/>
                <w:sz w:val="18"/>
                <w:szCs w:val="18"/>
                <w:lang w:eastAsia="zh-CN"/>
              </w:rPr>
            </w:pPr>
            <w:r>
              <w:rPr>
                <w:rFonts w:hint="eastAsia" w:ascii="宋体" w:hAnsi="宋体"/>
                <w:color w:val="auto"/>
                <w:kern w:val="0"/>
                <w:sz w:val="18"/>
                <w:szCs w:val="18"/>
                <w:lang w:eastAsia="zh-CN"/>
              </w:rPr>
              <w:t>（</w:t>
            </w:r>
            <w:r>
              <w:rPr>
                <w:rFonts w:hint="eastAsia" w:ascii="宋体" w:hAnsi="宋体"/>
                <w:color w:val="auto"/>
                <w:kern w:val="0"/>
                <w:sz w:val="18"/>
                <w:szCs w:val="18"/>
              </w:rPr>
              <w:t>Cu 0.4</w:t>
            </w:r>
            <w:r>
              <w:rPr>
                <w:rFonts w:hint="eastAsia" w:ascii="宋体" w:hAnsi="宋体"/>
                <w:color w:val="auto"/>
                <w:kern w:val="0"/>
                <w:sz w:val="18"/>
                <w:szCs w:val="18"/>
                <w:lang w:eastAsia="zh-CN"/>
              </w:rPr>
              <w:t>）</w:t>
            </w:r>
          </w:p>
        </w:tc>
        <w:tc>
          <w:tcPr>
            <w:tcW w:w="1566" w:type="dxa"/>
            <w:vAlign w:val="center"/>
          </w:tcPr>
          <w:p>
            <w:pPr>
              <w:widowControl/>
              <w:adjustRightInd w:val="0"/>
              <w:snapToGrid w:val="0"/>
              <w:jc w:val="center"/>
              <w:rPr>
                <w:rFonts w:hint="eastAsia" w:ascii="宋体" w:hAnsi="宋体"/>
                <w:color w:val="auto"/>
                <w:kern w:val="0"/>
                <w:sz w:val="18"/>
                <w:szCs w:val="18"/>
                <w:lang w:val="en-US" w:eastAsia="zh-CN"/>
              </w:rPr>
            </w:pPr>
            <w:r>
              <w:rPr>
                <w:rFonts w:hint="eastAsia" w:ascii="宋体" w:hAnsi="宋体"/>
                <w:color w:val="auto"/>
                <w:kern w:val="0"/>
                <w:sz w:val="18"/>
                <w:szCs w:val="18"/>
                <w:lang w:val="en-US" w:eastAsia="zh-CN"/>
              </w:rPr>
              <w:t>3</w:t>
            </w:r>
          </w:p>
          <w:p>
            <w:pPr>
              <w:widowControl/>
              <w:adjustRightInd w:val="0"/>
              <w:snapToGrid w:val="0"/>
              <w:jc w:val="center"/>
              <w:rPr>
                <w:rFonts w:hint="eastAsia" w:ascii="宋体" w:hAnsi="宋体" w:eastAsia="宋体"/>
                <w:color w:val="auto"/>
                <w:kern w:val="0"/>
                <w:sz w:val="18"/>
                <w:szCs w:val="18"/>
                <w:lang w:eastAsia="zh-CN"/>
              </w:rPr>
            </w:pPr>
            <w:r>
              <w:rPr>
                <w:rFonts w:hint="eastAsia" w:ascii="宋体" w:hAnsi="宋体"/>
                <w:color w:val="auto"/>
                <w:kern w:val="0"/>
                <w:sz w:val="18"/>
                <w:szCs w:val="18"/>
                <w:lang w:eastAsia="zh-CN"/>
              </w:rPr>
              <w:t>（</w:t>
            </w:r>
            <w:r>
              <w:rPr>
                <w:rFonts w:hint="eastAsia" w:ascii="宋体" w:hAnsi="宋体"/>
                <w:color w:val="auto"/>
                <w:kern w:val="0"/>
                <w:sz w:val="18"/>
                <w:szCs w:val="18"/>
              </w:rPr>
              <w:t>Cu0.4,Zn6.0</w:t>
            </w:r>
            <w:r>
              <w:rPr>
                <w:rFonts w:hint="eastAsia" w:ascii="宋体" w:hAnsi="宋体"/>
                <w:color w:val="auto"/>
                <w:kern w:val="0"/>
                <w:sz w:val="18"/>
                <w:szCs w:val="18"/>
                <w:lang w:eastAsia="zh-CN"/>
              </w:rPr>
              <w:t>）</w:t>
            </w:r>
          </w:p>
        </w:tc>
        <w:tc>
          <w:tcPr>
            <w:tcW w:w="1566" w:type="dxa"/>
            <w:vAlign w:val="center"/>
          </w:tcPr>
          <w:p>
            <w:pPr>
              <w:widowControl/>
              <w:adjustRightInd w:val="0"/>
              <w:snapToGrid w:val="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4</w:t>
            </w:r>
          </w:p>
          <w:p>
            <w:pPr>
              <w:widowControl/>
              <w:adjustRightInd w:val="0"/>
              <w:snapToGrid w:val="0"/>
              <w:jc w:val="center"/>
              <w:rPr>
                <w:rFonts w:hint="eastAsia" w:ascii="宋体" w:hAnsi="宋体" w:eastAsia="宋体"/>
                <w:color w:val="auto"/>
                <w:kern w:val="0"/>
                <w:sz w:val="18"/>
                <w:szCs w:val="18"/>
                <w:lang w:eastAsia="zh-CN"/>
              </w:rPr>
            </w:pPr>
            <w:r>
              <w:rPr>
                <w:rFonts w:hint="eastAsia" w:ascii="宋体" w:hAnsi="宋体"/>
                <w:color w:val="auto"/>
                <w:kern w:val="0"/>
                <w:sz w:val="18"/>
                <w:szCs w:val="18"/>
                <w:lang w:eastAsia="zh-CN"/>
              </w:rPr>
              <w:t>（</w:t>
            </w:r>
            <w:r>
              <w:rPr>
                <w:rFonts w:hint="eastAsia" w:ascii="宋体" w:hAnsi="宋体"/>
                <w:color w:val="auto"/>
                <w:kern w:val="0"/>
                <w:sz w:val="18"/>
                <w:szCs w:val="18"/>
              </w:rPr>
              <w:t>Cu0.4,Sn2.0</w:t>
            </w:r>
            <w:r>
              <w:rPr>
                <w:rFonts w:hint="eastAsia" w:ascii="宋体" w:hAnsi="宋体"/>
                <w:color w:val="auto"/>
                <w:kern w:val="0"/>
                <w:sz w:val="18"/>
                <w:szCs w:val="18"/>
                <w:lang w:eastAsia="zh-CN"/>
              </w:rPr>
              <w:t>）</w:t>
            </w:r>
          </w:p>
        </w:tc>
        <w:tc>
          <w:tcPr>
            <w:tcW w:w="2016" w:type="dxa"/>
            <w:vAlign w:val="center"/>
          </w:tcPr>
          <w:p>
            <w:pPr>
              <w:widowControl/>
              <w:adjustRightInd w:val="0"/>
              <w:snapToGrid w:val="0"/>
              <w:jc w:val="center"/>
              <w:rPr>
                <w:rFonts w:hint="default" w:ascii="宋体" w:hAnsi="宋体"/>
                <w:color w:val="auto"/>
                <w:kern w:val="0"/>
                <w:sz w:val="18"/>
                <w:szCs w:val="18"/>
                <w:lang w:val="en-US" w:eastAsia="zh-CN"/>
              </w:rPr>
            </w:pPr>
            <w:r>
              <w:rPr>
                <w:rFonts w:hint="eastAsia" w:ascii="宋体" w:hAnsi="宋体"/>
                <w:color w:val="auto"/>
                <w:kern w:val="0"/>
                <w:sz w:val="18"/>
                <w:szCs w:val="18"/>
                <w:lang w:val="en-US" w:eastAsia="zh-CN"/>
              </w:rPr>
              <w:t>4.5</w:t>
            </w:r>
          </w:p>
          <w:p>
            <w:pPr>
              <w:widowControl/>
              <w:adjustRightInd w:val="0"/>
              <w:snapToGrid w:val="0"/>
              <w:jc w:val="center"/>
              <w:rPr>
                <w:rFonts w:hint="eastAsia" w:ascii="宋体" w:hAnsi="宋体" w:eastAsia="宋体"/>
                <w:color w:val="auto"/>
                <w:kern w:val="0"/>
                <w:sz w:val="18"/>
                <w:szCs w:val="18"/>
                <w:lang w:eastAsia="zh-CN"/>
              </w:rPr>
            </w:pPr>
            <w:r>
              <w:rPr>
                <w:rFonts w:hint="eastAsia" w:ascii="宋体" w:hAnsi="宋体"/>
                <w:color w:val="auto"/>
                <w:kern w:val="0"/>
                <w:sz w:val="18"/>
                <w:szCs w:val="18"/>
                <w:lang w:eastAsia="zh-CN"/>
              </w:rPr>
              <w:t>（</w:t>
            </w:r>
            <w:r>
              <w:rPr>
                <w:rFonts w:hint="eastAsia" w:ascii="宋体" w:hAnsi="宋体"/>
                <w:color w:val="auto"/>
                <w:kern w:val="0"/>
                <w:sz w:val="18"/>
                <w:szCs w:val="18"/>
              </w:rPr>
              <w:t>Cu0.4,Ni2.0,Si20</w:t>
            </w:r>
            <w:r>
              <w:rPr>
                <w:rFonts w:hint="eastAsia" w:ascii="宋体" w:hAnsi="宋体"/>
                <w:color w:val="auto"/>
                <w:kern w:val="0"/>
                <w:sz w:val="18"/>
                <w:szCs w:val="18"/>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1411"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奥博特</w:t>
            </w:r>
          </w:p>
        </w:tc>
        <w:tc>
          <w:tcPr>
            <w:tcW w:w="934" w:type="dxa"/>
            <w:vAlign w:val="center"/>
          </w:tcPr>
          <w:p>
            <w:pPr>
              <w:widowControl/>
              <w:adjustRightInd w:val="0"/>
              <w:snapToGrid w:val="0"/>
              <w:jc w:val="center"/>
              <w:rPr>
                <w:rFonts w:hint="eastAsia" w:ascii="宋体" w:hAnsi="宋体" w:eastAsia="宋体"/>
                <w:color w:val="auto"/>
                <w:kern w:val="0"/>
                <w:sz w:val="18"/>
                <w:szCs w:val="18"/>
                <w:lang w:eastAsia="zh-CN"/>
              </w:rPr>
            </w:pPr>
            <w:r>
              <w:rPr>
                <w:rFonts w:hint="eastAsia" w:ascii="宋体" w:hAnsi="宋体"/>
                <w:color w:val="auto"/>
                <w:kern w:val="0"/>
                <w:sz w:val="18"/>
                <w:szCs w:val="18"/>
                <w:lang w:eastAsia="zh-CN"/>
              </w:rPr>
              <w:t>（</w:t>
            </w:r>
            <w:r>
              <w:rPr>
                <w:rFonts w:hint="eastAsia" w:ascii="宋体" w:hAnsi="宋体"/>
                <w:color w:val="auto"/>
                <w:kern w:val="0"/>
                <w:sz w:val="18"/>
                <w:szCs w:val="18"/>
              </w:rPr>
              <w:t>0.26</w:t>
            </w:r>
            <w:r>
              <w:rPr>
                <w:rFonts w:hint="eastAsia" w:ascii="宋体" w:hAnsi="宋体"/>
                <w:color w:val="auto"/>
                <w:kern w:val="0"/>
                <w:sz w:val="18"/>
                <w:szCs w:val="18"/>
                <w:lang w:eastAsia="zh-CN"/>
              </w:rPr>
              <w:t>）</w:t>
            </w:r>
          </w:p>
        </w:tc>
        <w:tc>
          <w:tcPr>
            <w:tcW w:w="1029"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1.06</w:t>
            </w:r>
          </w:p>
        </w:tc>
        <w:tc>
          <w:tcPr>
            <w:tcW w:w="1566"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1.26</w:t>
            </w:r>
          </w:p>
        </w:tc>
        <w:tc>
          <w:tcPr>
            <w:tcW w:w="1566"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（0.06）</w:t>
            </w:r>
          </w:p>
        </w:tc>
        <w:tc>
          <w:tcPr>
            <w:tcW w:w="2016"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2.07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1411"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金威</w:t>
            </w:r>
          </w:p>
        </w:tc>
        <w:tc>
          <w:tcPr>
            <w:tcW w:w="934"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0.73</w:t>
            </w:r>
          </w:p>
        </w:tc>
        <w:tc>
          <w:tcPr>
            <w:tcW w:w="1029" w:type="dxa"/>
            <w:vAlign w:val="center"/>
          </w:tcPr>
          <w:p>
            <w:pPr>
              <w:widowControl/>
              <w:adjustRightInd w:val="0"/>
              <w:snapToGrid w:val="0"/>
              <w:jc w:val="center"/>
              <w:rPr>
                <w:rFonts w:ascii="宋体" w:hAnsi="宋体"/>
                <w:color w:val="auto"/>
                <w:kern w:val="0"/>
                <w:sz w:val="18"/>
                <w:szCs w:val="18"/>
              </w:rPr>
            </w:pPr>
          </w:p>
        </w:tc>
        <w:tc>
          <w:tcPr>
            <w:tcW w:w="1566"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1.79</w:t>
            </w:r>
          </w:p>
        </w:tc>
        <w:tc>
          <w:tcPr>
            <w:tcW w:w="1566" w:type="dxa"/>
            <w:vAlign w:val="center"/>
          </w:tcPr>
          <w:p>
            <w:pPr>
              <w:widowControl/>
              <w:adjustRightInd w:val="0"/>
              <w:snapToGrid w:val="0"/>
              <w:jc w:val="center"/>
              <w:rPr>
                <w:rFonts w:ascii="宋体" w:hAnsi="宋体"/>
                <w:color w:val="auto"/>
                <w:kern w:val="0"/>
                <w:sz w:val="18"/>
                <w:szCs w:val="18"/>
              </w:rPr>
            </w:pPr>
          </w:p>
        </w:tc>
        <w:tc>
          <w:tcPr>
            <w:tcW w:w="2016" w:type="dxa"/>
            <w:vAlign w:val="center"/>
          </w:tcPr>
          <w:p>
            <w:pPr>
              <w:widowControl/>
              <w:adjustRightInd w:val="0"/>
              <w:snapToGrid w:val="0"/>
              <w:jc w:val="center"/>
              <w:rPr>
                <w:rFonts w:ascii="宋体" w:hAnsi="宋体"/>
                <w:color w:val="auto"/>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1411"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楚江新材</w:t>
            </w:r>
          </w:p>
        </w:tc>
        <w:tc>
          <w:tcPr>
            <w:tcW w:w="934"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0.82</w:t>
            </w:r>
          </w:p>
        </w:tc>
        <w:tc>
          <w:tcPr>
            <w:tcW w:w="1029" w:type="dxa"/>
            <w:vAlign w:val="center"/>
          </w:tcPr>
          <w:p>
            <w:pPr>
              <w:widowControl/>
              <w:adjustRightInd w:val="0"/>
              <w:snapToGrid w:val="0"/>
              <w:jc w:val="center"/>
              <w:rPr>
                <w:rFonts w:ascii="宋体" w:hAnsi="宋体"/>
                <w:color w:val="auto"/>
                <w:kern w:val="0"/>
                <w:sz w:val="18"/>
                <w:szCs w:val="18"/>
              </w:rPr>
            </w:pPr>
          </w:p>
        </w:tc>
        <w:tc>
          <w:tcPr>
            <w:tcW w:w="1566"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2.82</w:t>
            </w:r>
          </w:p>
        </w:tc>
        <w:tc>
          <w:tcPr>
            <w:tcW w:w="1566"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2.71</w:t>
            </w:r>
          </w:p>
        </w:tc>
        <w:tc>
          <w:tcPr>
            <w:tcW w:w="2016" w:type="dxa"/>
            <w:vAlign w:val="center"/>
          </w:tcPr>
          <w:p>
            <w:pPr>
              <w:widowControl/>
              <w:adjustRightInd w:val="0"/>
              <w:snapToGrid w:val="0"/>
              <w:jc w:val="center"/>
              <w:rPr>
                <w:rFonts w:ascii="宋体" w:hAnsi="宋体"/>
                <w:color w:val="auto"/>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1411"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江铜板带</w:t>
            </w:r>
          </w:p>
        </w:tc>
        <w:tc>
          <w:tcPr>
            <w:tcW w:w="934" w:type="dxa"/>
            <w:vAlign w:val="center"/>
          </w:tcPr>
          <w:p>
            <w:pPr>
              <w:widowControl/>
              <w:adjustRightInd w:val="0"/>
              <w:snapToGrid w:val="0"/>
              <w:jc w:val="center"/>
              <w:rPr>
                <w:rFonts w:hint="eastAsia" w:ascii="宋体" w:hAnsi="宋体" w:eastAsia="宋体"/>
                <w:color w:val="auto"/>
                <w:kern w:val="0"/>
                <w:sz w:val="18"/>
                <w:szCs w:val="18"/>
                <w:lang w:eastAsia="zh-CN"/>
              </w:rPr>
            </w:pPr>
            <w:r>
              <w:rPr>
                <w:rFonts w:hint="eastAsia" w:ascii="宋体" w:hAnsi="宋体"/>
                <w:color w:val="auto"/>
                <w:kern w:val="0"/>
                <w:sz w:val="18"/>
                <w:szCs w:val="18"/>
                <w:lang w:eastAsia="zh-CN"/>
              </w:rPr>
              <w:t>（</w:t>
            </w:r>
            <w:r>
              <w:rPr>
                <w:rFonts w:hint="eastAsia" w:ascii="宋体" w:hAnsi="宋体"/>
                <w:color w:val="auto"/>
                <w:kern w:val="0"/>
                <w:sz w:val="18"/>
                <w:szCs w:val="18"/>
              </w:rPr>
              <w:t>0.2</w:t>
            </w:r>
            <w:r>
              <w:rPr>
                <w:rFonts w:hint="eastAsia" w:ascii="宋体" w:hAnsi="宋体"/>
                <w:color w:val="auto"/>
                <w:kern w:val="0"/>
                <w:sz w:val="18"/>
                <w:szCs w:val="18"/>
                <w:lang w:eastAsia="zh-CN"/>
              </w:rPr>
              <w:t>）</w:t>
            </w:r>
          </w:p>
        </w:tc>
        <w:tc>
          <w:tcPr>
            <w:tcW w:w="1029" w:type="dxa"/>
            <w:vAlign w:val="center"/>
          </w:tcPr>
          <w:p>
            <w:pPr>
              <w:widowControl/>
              <w:adjustRightInd w:val="0"/>
              <w:snapToGrid w:val="0"/>
              <w:jc w:val="center"/>
              <w:rPr>
                <w:rFonts w:ascii="宋体" w:hAnsi="宋体"/>
                <w:color w:val="auto"/>
                <w:kern w:val="0"/>
                <w:sz w:val="18"/>
                <w:szCs w:val="18"/>
              </w:rPr>
            </w:pPr>
          </w:p>
        </w:tc>
        <w:tc>
          <w:tcPr>
            <w:tcW w:w="1566" w:type="dxa"/>
            <w:vAlign w:val="center"/>
          </w:tcPr>
          <w:p>
            <w:pPr>
              <w:widowControl/>
              <w:adjustRightInd w:val="0"/>
              <w:snapToGrid w:val="0"/>
              <w:jc w:val="center"/>
              <w:rPr>
                <w:rFonts w:ascii="宋体" w:hAnsi="宋体"/>
                <w:color w:val="auto"/>
                <w:kern w:val="0"/>
                <w:sz w:val="18"/>
                <w:szCs w:val="18"/>
              </w:rPr>
            </w:pPr>
          </w:p>
        </w:tc>
        <w:tc>
          <w:tcPr>
            <w:tcW w:w="1566" w:type="dxa"/>
            <w:vAlign w:val="center"/>
          </w:tcPr>
          <w:p>
            <w:pPr>
              <w:widowControl/>
              <w:adjustRightInd w:val="0"/>
              <w:snapToGrid w:val="0"/>
              <w:jc w:val="center"/>
              <w:rPr>
                <w:rFonts w:hint="eastAsia" w:ascii="宋体" w:hAnsi="宋体" w:eastAsia="宋体"/>
                <w:color w:val="auto"/>
                <w:kern w:val="0"/>
                <w:sz w:val="18"/>
                <w:szCs w:val="18"/>
                <w:lang w:eastAsia="zh-CN"/>
              </w:rPr>
            </w:pPr>
            <w:r>
              <w:rPr>
                <w:rFonts w:hint="eastAsia" w:ascii="宋体" w:hAnsi="宋体"/>
                <w:color w:val="auto"/>
                <w:kern w:val="0"/>
                <w:sz w:val="18"/>
                <w:szCs w:val="18"/>
                <w:lang w:eastAsia="zh-CN"/>
              </w:rPr>
              <w:t>（</w:t>
            </w:r>
            <w:r>
              <w:rPr>
                <w:rFonts w:hint="eastAsia" w:ascii="宋体" w:hAnsi="宋体"/>
                <w:color w:val="auto"/>
                <w:kern w:val="0"/>
                <w:sz w:val="18"/>
                <w:szCs w:val="18"/>
              </w:rPr>
              <w:t>0.4</w:t>
            </w:r>
            <w:r>
              <w:rPr>
                <w:rFonts w:hint="eastAsia" w:ascii="宋体" w:hAnsi="宋体"/>
                <w:color w:val="auto"/>
                <w:kern w:val="0"/>
                <w:sz w:val="18"/>
                <w:szCs w:val="18"/>
                <w:lang w:eastAsia="zh-CN"/>
              </w:rPr>
              <w:t>）</w:t>
            </w:r>
          </w:p>
        </w:tc>
        <w:tc>
          <w:tcPr>
            <w:tcW w:w="2016" w:type="dxa"/>
            <w:vAlign w:val="center"/>
          </w:tcPr>
          <w:p>
            <w:pPr>
              <w:widowControl/>
              <w:adjustRightInd w:val="0"/>
              <w:snapToGrid w:val="0"/>
              <w:jc w:val="center"/>
              <w:rPr>
                <w:rFonts w:ascii="宋体" w:hAnsi="宋体"/>
                <w:color w:val="auto"/>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1411"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博威</w:t>
            </w:r>
          </w:p>
        </w:tc>
        <w:tc>
          <w:tcPr>
            <w:tcW w:w="934"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1.3</w:t>
            </w:r>
          </w:p>
        </w:tc>
        <w:tc>
          <w:tcPr>
            <w:tcW w:w="1029"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1.3</w:t>
            </w:r>
          </w:p>
        </w:tc>
        <w:tc>
          <w:tcPr>
            <w:tcW w:w="1566"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2.4</w:t>
            </w:r>
          </w:p>
        </w:tc>
        <w:tc>
          <w:tcPr>
            <w:tcW w:w="1566"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1.4</w:t>
            </w:r>
          </w:p>
        </w:tc>
        <w:tc>
          <w:tcPr>
            <w:tcW w:w="2016"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1411"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平均值</w:t>
            </w:r>
          </w:p>
        </w:tc>
        <w:tc>
          <w:tcPr>
            <w:tcW w:w="934" w:type="dxa"/>
            <w:vAlign w:val="center"/>
          </w:tcPr>
          <w:p>
            <w:pPr>
              <w:widowControl/>
              <w:adjustRightInd w:val="0"/>
              <w:snapToGrid w:val="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1.63</w:t>
            </w:r>
          </w:p>
        </w:tc>
        <w:tc>
          <w:tcPr>
            <w:tcW w:w="1029" w:type="dxa"/>
            <w:vAlign w:val="center"/>
          </w:tcPr>
          <w:p>
            <w:pPr>
              <w:widowControl/>
              <w:adjustRightInd w:val="0"/>
              <w:snapToGrid w:val="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2.59</w:t>
            </w:r>
          </w:p>
        </w:tc>
        <w:tc>
          <w:tcPr>
            <w:tcW w:w="1566" w:type="dxa"/>
            <w:vAlign w:val="center"/>
          </w:tcPr>
          <w:p>
            <w:pPr>
              <w:widowControl/>
              <w:adjustRightInd w:val="0"/>
              <w:snapToGrid w:val="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rPr>
              <w:t>2.</w:t>
            </w:r>
            <w:r>
              <w:rPr>
                <w:rFonts w:hint="eastAsia" w:ascii="宋体" w:hAnsi="宋体"/>
                <w:color w:val="auto"/>
                <w:kern w:val="0"/>
                <w:sz w:val="18"/>
                <w:szCs w:val="18"/>
                <w:lang w:val="en-US" w:eastAsia="zh-CN"/>
              </w:rPr>
              <w:t>65</w:t>
            </w:r>
          </w:p>
        </w:tc>
        <w:tc>
          <w:tcPr>
            <w:tcW w:w="1566" w:type="dxa"/>
            <w:vAlign w:val="center"/>
          </w:tcPr>
          <w:p>
            <w:pPr>
              <w:widowControl/>
              <w:adjustRightInd w:val="0"/>
              <w:snapToGrid w:val="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3.38</w:t>
            </w:r>
          </w:p>
        </w:tc>
        <w:tc>
          <w:tcPr>
            <w:tcW w:w="2016" w:type="dxa"/>
            <w:vAlign w:val="center"/>
          </w:tcPr>
          <w:p>
            <w:pPr>
              <w:widowControl/>
              <w:adjustRightInd w:val="0"/>
              <w:snapToGrid w:val="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rPr>
              <w:t>3.</w:t>
            </w:r>
            <w:r>
              <w:rPr>
                <w:rFonts w:hint="eastAsia" w:ascii="宋体" w:hAnsi="宋体"/>
                <w:color w:val="auto"/>
                <w:kern w:val="0"/>
                <w:sz w:val="18"/>
                <w:szCs w:val="18"/>
                <w:lang w:val="en-US" w:eastAsia="zh-CN"/>
              </w:rPr>
              <w:t>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1411"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平均值与最大值之半</w:t>
            </w:r>
          </w:p>
        </w:tc>
        <w:tc>
          <w:tcPr>
            <w:tcW w:w="934" w:type="dxa"/>
            <w:vAlign w:val="center"/>
          </w:tcPr>
          <w:p>
            <w:pPr>
              <w:widowControl/>
              <w:adjustRightInd w:val="0"/>
              <w:snapToGrid w:val="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2.32</w:t>
            </w:r>
          </w:p>
        </w:tc>
        <w:tc>
          <w:tcPr>
            <w:tcW w:w="1029" w:type="dxa"/>
            <w:vAlign w:val="center"/>
          </w:tcPr>
          <w:p>
            <w:pPr>
              <w:widowControl/>
              <w:adjustRightInd w:val="0"/>
              <w:snapToGrid w:val="0"/>
              <w:jc w:val="center"/>
              <w:rPr>
                <w:rFonts w:hint="eastAsia" w:ascii="宋体" w:hAnsi="宋体" w:eastAsia="宋体"/>
                <w:color w:val="auto"/>
                <w:kern w:val="0"/>
                <w:sz w:val="18"/>
                <w:szCs w:val="18"/>
                <w:lang w:eastAsia="zh-CN"/>
              </w:rPr>
            </w:pPr>
            <w:r>
              <w:rPr>
                <w:rFonts w:hint="eastAsia" w:ascii="宋体" w:hAnsi="宋体"/>
                <w:color w:val="auto"/>
                <w:kern w:val="0"/>
                <w:sz w:val="18"/>
                <w:szCs w:val="18"/>
              </w:rPr>
              <w:t>3.</w:t>
            </w:r>
            <w:r>
              <w:rPr>
                <w:rFonts w:hint="eastAsia" w:ascii="宋体" w:hAnsi="宋体"/>
                <w:color w:val="auto"/>
                <w:kern w:val="0"/>
                <w:sz w:val="18"/>
                <w:szCs w:val="18"/>
                <w:lang w:val="en-US" w:eastAsia="zh-CN"/>
              </w:rPr>
              <w:t>3</w:t>
            </w:r>
          </w:p>
        </w:tc>
        <w:tc>
          <w:tcPr>
            <w:tcW w:w="1566" w:type="dxa"/>
            <w:vAlign w:val="center"/>
          </w:tcPr>
          <w:p>
            <w:pPr>
              <w:widowControl/>
              <w:adjustRightInd w:val="0"/>
              <w:snapToGrid w:val="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rPr>
              <w:t>3.</w:t>
            </w:r>
            <w:r>
              <w:rPr>
                <w:rFonts w:hint="eastAsia" w:ascii="宋体" w:hAnsi="宋体"/>
                <w:color w:val="auto"/>
                <w:kern w:val="0"/>
                <w:sz w:val="18"/>
                <w:szCs w:val="18"/>
                <w:lang w:val="en-US" w:eastAsia="zh-CN"/>
              </w:rPr>
              <w:t>63</w:t>
            </w:r>
          </w:p>
        </w:tc>
        <w:tc>
          <w:tcPr>
            <w:tcW w:w="1566" w:type="dxa"/>
            <w:vAlign w:val="center"/>
          </w:tcPr>
          <w:p>
            <w:pPr>
              <w:widowControl/>
              <w:adjustRightInd w:val="0"/>
              <w:snapToGrid w:val="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rPr>
              <w:t>4.</w:t>
            </w:r>
            <w:r>
              <w:rPr>
                <w:rFonts w:hint="eastAsia" w:ascii="宋体" w:hAnsi="宋体"/>
                <w:color w:val="auto"/>
                <w:kern w:val="0"/>
                <w:sz w:val="18"/>
                <w:szCs w:val="18"/>
                <w:lang w:val="en-US" w:eastAsia="zh-CN"/>
              </w:rPr>
              <w:t>19</w:t>
            </w:r>
          </w:p>
        </w:tc>
        <w:tc>
          <w:tcPr>
            <w:tcW w:w="2016" w:type="dxa"/>
            <w:vAlign w:val="center"/>
          </w:tcPr>
          <w:p>
            <w:pPr>
              <w:widowControl/>
              <w:adjustRightInd w:val="0"/>
              <w:snapToGrid w:val="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4.06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1411" w:type="dxa"/>
            <w:vAlign w:val="center"/>
          </w:tcPr>
          <w:p>
            <w:pPr>
              <w:widowControl/>
              <w:adjustRightInd w:val="0"/>
              <w:snapToGrid w:val="0"/>
              <w:jc w:val="center"/>
              <w:rPr>
                <w:rFonts w:hint="eastAsia" w:ascii="宋体" w:hAnsi="宋体" w:eastAsia="宋体"/>
                <w:color w:val="auto"/>
                <w:kern w:val="0"/>
                <w:sz w:val="18"/>
                <w:szCs w:val="18"/>
                <w:lang w:eastAsia="zh-CN"/>
              </w:rPr>
            </w:pPr>
            <w:r>
              <w:rPr>
                <w:rFonts w:hint="eastAsia" w:ascii="宋体" w:hAnsi="宋体"/>
                <w:color w:val="auto"/>
                <w:kern w:val="0"/>
                <w:sz w:val="18"/>
                <w:szCs w:val="18"/>
                <w:lang w:eastAsia="zh-CN"/>
              </w:rPr>
              <w:t>修正后标准值</w:t>
            </w:r>
          </w:p>
        </w:tc>
        <w:tc>
          <w:tcPr>
            <w:tcW w:w="934" w:type="dxa"/>
            <w:vAlign w:val="center"/>
          </w:tcPr>
          <w:p>
            <w:pPr>
              <w:widowControl/>
              <w:adjustRightInd w:val="0"/>
              <w:snapToGrid w:val="0"/>
              <w:jc w:val="center"/>
              <w:rPr>
                <w:rFonts w:hint="default" w:ascii="宋体" w:hAnsi="宋体"/>
                <w:color w:val="auto"/>
                <w:kern w:val="0"/>
                <w:sz w:val="18"/>
                <w:szCs w:val="18"/>
                <w:lang w:val="en-US" w:eastAsia="zh-CN"/>
              </w:rPr>
            </w:pPr>
            <w:r>
              <w:rPr>
                <w:rFonts w:hint="eastAsia" w:ascii="宋体" w:hAnsi="宋体"/>
                <w:color w:val="auto"/>
                <w:kern w:val="0"/>
                <w:sz w:val="18"/>
                <w:szCs w:val="18"/>
                <w:lang w:val="en-US" w:eastAsia="zh-CN"/>
              </w:rPr>
              <w:t>3.4</w:t>
            </w:r>
          </w:p>
        </w:tc>
        <w:tc>
          <w:tcPr>
            <w:tcW w:w="1029" w:type="dxa"/>
            <w:vAlign w:val="center"/>
          </w:tcPr>
          <w:p>
            <w:pPr>
              <w:widowControl/>
              <w:adjustRightInd w:val="0"/>
              <w:snapToGrid w:val="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3.5</w:t>
            </w:r>
          </w:p>
        </w:tc>
        <w:tc>
          <w:tcPr>
            <w:tcW w:w="1566" w:type="dxa"/>
            <w:vAlign w:val="center"/>
          </w:tcPr>
          <w:p>
            <w:pPr>
              <w:widowControl/>
              <w:adjustRightInd w:val="0"/>
              <w:snapToGrid w:val="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3.8</w:t>
            </w:r>
          </w:p>
        </w:tc>
        <w:tc>
          <w:tcPr>
            <w:tcW w:w="1566" w:type="dxa"/>
            <w:vAlign w:val="center"/>
          </w:tcPr>
          <w:p>
            <w:pPr>
              <w:widowControl/>
              <w:adjustRightInd w:val="0"/>
              <w:snapToGrid w:val="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4.0</w:t>
            </w:r>
          </w:p>
        </w:tc>
        <w:tc>
          <w:tcPr>
            <w:tcW w:w="2016" w:type="dxa"/>
            <w:vAlign w:val="center"/>
          </w:tcPr>
          <w:p>
            <w:pPr>
              <w:widowControl/>
              <w:adjustRightInd w:val="0"/>
              <w:snapToGrid w:val="0"/>
              <w:jc w:val="center"/>
              <w:rPr>
                <w:rFonts w:hint="default" w:ascii="宋体" w:hAnsi="宋体"/>
                <w:color w:val="auto"/>
                <w:kern w:val="0"/>
                <w:sz w:val="18"/>
                <w:szCs w:val="18"/>
                <w:lang w:val="en-US" w:eastAsia="zh-CN"/>
              </w:rPr>
            </w:pPr>
            <w:r>
              <w:rPr>
                <w:rFonts w:hint="eastAsia" w:ascii="宋体" w:hAnsi="宋体"/>
                <w:color w:val="auto"/>
                <w:kern w:val="0"/>
                <w:sz w:val="18"/>
                <w:szCs w:val="18"/>
                <w:lang w:val="en-US" w:eastAsia="zh-CN"/>
              </w:rPr>
              <w:t>4.0</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hanging="11"/>
        <w:jc w:val="center"/>
        <w:textAlignment w:val="auto"/>
        <w:rPr>
          <w:rFonts w:hint="eastAsia" w:ascii="黑体" w:hAnsi="黑体" w:eastAsia="黑体"/>
          <w:color w:val="auto"/>
          <w:szCs w:val="21"/>
          <w:lang w:val="en-US" w:eastAsia="zh-CN"/>
        </w:rPr>
      </w:pPr>
      <w:r>
        <w:rPr>
          <w:rFonts w:hint="eastAsia" w:ascii="黑体" w:hAnsi="黑体" w:eastAsia="黑体"/>
          <w:color w:val="auto"/>
          <w:szCs w:val="21"/>
        </w:rPr>
        <w:t>表</w:t>
      </w:r>
      <w:r>
        <w:rPr>
          <w:rFonts w:hint="eastAsia" w:ascii="黑体" w:hAnsi="黑体" w:eastAsia="黑体"/>
          <w:color w:val="auto"/>
          <w:szCs w:val="21"/>
          <w:lang w:val="en-US" w:eastAsia="zh-CN"/>
        </w:rPr>
        <w:t>3  板带绿色工厂评价要求标准中工艺损耗率</w:t>
      </w:r>
    </w:p>
    <w:tbl>
      <w:tblPr>
        <w:tblStyle w:val="8"/>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1"/>
        <w:gridCol w:w="4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4221" w:type="dxa"/>
            <w:noWrap w:val="0"/>
            <w:vAlign w:val="center"/>
          </w:tcPr>
          <w:p>
            <w:pPr>
              <w:spacing w:line="4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名称</w:t>
            </w:r>
          </w:p>
        </w:tc>
        <w:tc>
          <w:tcPr>
            <w:tcW w:w="4478" w:type="dxa"/>
            <w:noWrap w:val="0"/>
            <w:vAlign w:val="center"/>
          </w:tcPr>
          <w:p>
            <w:pPr>
              <w:spacing w:line="400" w:lineRule="exact"/>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工艺损耗率（%）</w:t>
            </w:r>
            <w:r>
              <w:rPr>
                <w:rFonts w:hint="eastAsia" w:ascii="宋体" w:hAnsi="宋体" w:eastAsia="宋体" w:cs="宋体"/>
                <w:color w:val="auto"/>
                <w:sz w:val="18"/>
                <w:szCs w:val="18"/>
                <w:lang w:eastAsia="zh-CN"/>
              </w:rPr>
              <w:t>，</w:t>
            </w:r>
            <w:r>
              <w:rPr>
                <w:rFonts w:hint="default" w:ascii="Arial" w:hAnsi="Arial" w:eastAsia="宋体" w:cs="Arial"/>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4221" w:type="dxa"/>
            <w:noWrap w:val="0"/>
            <w:vAlign w:val="center"/>
          </w:tcPr>
          <w:p>
            <w:pPr>
              <w:spacing w:line="4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青铜带</w:t>
            </w:r>
          </w:p>
        </w:tc>
        <w:tc>
          <w:tcPr>
            <w:tcW w:w="4478" w:type="dxa"/>
            <w:noWrap w:val="0"/>
            <w:vAlign w:val="center"/>
          </w:tcPr>
          <w:p>
            <w:pPr>
              <w:spacing w:line="4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4221" w:type="dxa"/>
            <w:noWrap w:val="0"/>
            <w:vAlign w:val="center"/>
          </w:tcPr>
          <w:p>
            <w:pPr>
              <w:spacing w:line="4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纯铜</w:t>
            </w:r>
            <w:r>
              <w:rPr>
                <w:rFonts w:hint="eastAsia" w:ascii="宋体" w:hAnsi="宋体" w:eastAsia="宋体" w:cs="宋体"/>
                <w:color w:val="auto"/>
                <w:sz w:val="18"/>
                <w:szCs w:val="18"/>
                <w:lang w:val="en-US" w:eastAsia="zh-CN"/>
              </w:rPr>
              <w:t>带</w:t>
            </w:r>
          </w:p>
        </w:tc>
        <w:tc>
          <w:tcPr>
            <w:tcW w:w="4478" w:type="dxa"/>
            <w:noWrap w:val="0"/>
            <w:vAlign w:val="center"/>
          </w:tcPr>
          <w:p>
            <w:pPr>
              <w:spacing w:line="4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4221" w:type="dxa"/>
            <w:noWrap w:val="0"/>
            <w:vAlign w:val="center"/>
          </w:tcPr>
          <w:p>
            <w:pPr>
              <w:spacing w:line="40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锌白铜带</w:t>
            </w:r>
          </w:p>
        </w:tc>
        <w:tc>
          <w:tcPr>
            <w:tcW w:w="4478" w:type="dxa"/>
            <w:noWrap w:val="0"/>
            <w:vAlign w:val="center"/>
          </w:tcPr>
          <w:p>
            <w:pPr>
              <w:spacing w:line="4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4221" w:type="dxa"/>
            <w:noWrap w:val="0"/>
            <w:vAlign w:val="center"/>
          </w:tcPr>
          <w:p>
            <w:pPr>
              <w:spacing w:line="40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黄铜带</w:t>
            </w:r>
          </w:p>
        </w:tc>
        <w:tc>
          <w:tcPr>
            <w:tcW w:w="4478" w:type="dxa"/>
            <w:noWrap w:val="0"/>
            <w:vAlign w:val="center"/>
          </w:tcPr>
          <w:p>
            <w:pPr>
              <w:spacing w:line="40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r>
    </w:tbl>
    <w:p>
      <w:pPr>
        <w:keepNext w:val="0"/>
        <w:keepLines w:val="0"/>
        <w:pageBreakBefore w:val="0"/>
        <w:widowControl/>
        <w:kinsoku/>
        <w:wordWrap/>
        <w:overflowPunct/>
        <w:topLinePunct w:val="0"/>
        <w:autoSpaceDE/>
        <w:autoSpaceDN/>
        <w:bidi w:val="0"/>
        <w:adjustRightInd w:val="0"/>
        <w:snapToGrid w:val="0"/>
        <w:spacing w:before="157" w:beforeLines="50" w:line="400" w:lineRule="exact"/>
        <w:ind w:firstLine="420" w:firstLineChars="200"/>
        <w:jc w:val="left"/>
        <w:textAlignment w:val="auto"/>
        <w:rPr>
          <w:color w:val="auto"/>
          <w:szCs w:val="21"/>
        </w:rPr>
      </w:pPr>
      <w:r>
        <w:rPr>
          <w:rFonts w:hint="eastAsia"/>
          <w:color w:val="auto"/>
          <w:szCs w:val="21"/>
        </w:rPr>
        <w:t>考虑到归集数据较少，计算平均值与最大值的平均，</w:t>
      </w:r>
      <w:r>
        <w:rPr>
          <w:rFonts w:hint="eastAsia"/>
          <w:color w:val="auto"/>
          <w:szCs w:val="21"/>
          <w:lang w:eastAsia="zh-CN"/>
        </w:rPr>
        <w:t>参考绿色工厂评价要求标准中工艺损耗率，</w:t>
      </w:r>
      <w:r>
        <w:rPr>
          <w:rFonts w:hint="eastAsia"/>
          <w:color w:val="auto"/>
          <w:szCs w:val="21"/>
        </w:rPr>
        <w:t>对此值进行适当修正后确定为标准值。</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auto"/>
        <w:rPr>
          <w:color w:val="auto"/>
          <w:szCs w:val="21"/>
        </w:rPr>
      </w:pPr>
      <w:r>
        <w:rPr>
          <w:rFonts w:hint="eastAsia"/>
          <w:color w:val="auto"/>
          <w:szCs w:val="21"/>
        </w:rPr>
        <w:t>（2）再生金属利用率（待定）</w:t>
      </w:r>
    </w:p>
    <w:p>
      <w:pPr>
        <w:keepNext w:val="0"/>
        <w:keepLines w:val="0"/>
        <w:pageBreakBefore w:val="0"/>
        <w:kinsoku/>
        <w:wordWrap/>
        <w:overflowPunct/>
        <w:topLinePunct w:val="0"/>
        <w:autoSpaceDE/>
        <w:autoSpaceDN/>
        <w:bidi w:val="0"/>
        <w:spacing w:line="400" w:lineRule="exact"/>
        <w:ind w:firstLine="420" w:firstLineChars="200"/>
        <w:textAlignment w:val="auto"/>
        <w:rPr>
          <w:color w:val="auto"/>
        </w:rPr>
      </w:pPr>
      <w:r>
        <w:rPr>
          <w:color w:val="auto"/>
        </w:rPr>
        <w:t>再生铜</w:t>
      </w:r>
      <w:r>
        <w:rPr>
          <w:rFonts w:hint="eastAsia"/>
          <w:color w:val="auto"/>
        </w:rPr>
        <w:t>及铜合金</w:t>
      </w:r>
      <w:r>
        <w:rPr>
          <w:color w:val="auto"/>
        </w:rPr>
        <w:t>是再生资源循</w:t>
      </w:r>
      <w:r>
        <w:rPr>
          <w:rFonts w:hint="eastAsia"/>
          <w:color w:val="auto"/>
        </w:rPr>
        <w:t>的</w:t>
      </w:r>
      <w:r>
        <w:rPr>
          <w:color w:val="auto"/>
        </w:rPr>
        <w:t>环利用，也是补充原生铜资源不足的有效手段，</w:t>
      </w:r>
      <w:r>
        <w:rPr>
          <w:rFonts w:hint="eastAsia"/>
          <w:color w:val="auto"/>
        </w:rPr>
        <w:t>有利于降低</w:t>
      </w:r>
      <w:r>
        <w:rPr>
          <w:color w:val="auto"/>
        </w:rPr>
        <w:t>能耗、</w:t>
      </w:r>
      <w:r>
        <w:rPr>
          <w:rFonts w:hint="eastAsia"/>
          <w:color w:val="auto"/>
        </w:rPr>
        <w:t>减少</w:t>
      </w:r>
      <w:r>
        <w:rPr>
          <w:color w:val="auto"/>
        </w:rPr>
        <w:t>‘三废’处理量等，还可 以缓解对原生矿产需求的压力。</w:t>
      </w:r>
      <w:r>
        <w:rPr>
          <w:rFonts w:hint="eastAsia"/>
          <w:color w:val="auto"/>
          <w:szCs w:val="21"/>
        </w:rPr>
        <w:t>各企业冷轧板带箔产品再生金属利用数据如下表：</w:t>
      </w:r>
    </w:p>
    <w:p>
      <w:pPr>
        <w:keepNext w:val="0"/>
        <w:keepLines w:val="0"/>
        <w:pageBreakBefore w:val="0"/>
        <w:kinsoku/>
        <w:wordWrap/>
        <w:overflowPunct/>
        <w:topLinePunct w:val="0"/>
        <w:autoSpaceDE/>
        <w:autoSpaceDN/>
        <w:bidi w:val="0"/>
        <w:spacing w:line="400" w:lineRule="exact"/>
        <w:jc w:val="center"/>
        <w:textAlignment w:val="auto"/>
        <w:rPr>
          <w:color w:val="auto"/>
        </w:rPr>
      </w:pPr>
      <w:r>
        <w:rPr>
          <w:rFonts w:hint="eastAsia" w:ascii="黑体" w:hAnsi="黑体" w:eastAsia="黑体"/>
          <w:color w:val="auto"/>
          <w:szCs w:val="21"/>
        </w:rPr>
        <w:t>表</w:t>
      </w:r>
      <w:r>
        <w:rPr>
          <w:rFonts w:hint="eastAsia" w:ascii="黑体" w:hAnsi="黑体" w:eastAsia="黑体"/>
          <w:color w:val="auto"/>
          <w:szCs w:val="21"/>
          <w:lang w:val="en-US" w:eastAsia="zh-CN"/>
        </w:rPr>
        <w:t xml:space="preserve">4  </w:t>
      </w:r>
      <w:r>
        <w:rPr>
          <w:rFonts w:hint="eastAsia"/>
          <w:color w:val="auto"/>
          <w:szCs w:val="21"/>
        </w:rPr>
        <w:t>冷轧板带箔生产再生金属利用率统计</w:t>
      </w:r>
    </w:p>
    <w:tbl>
      <w:tblPr>
        <w:tblStyle w:val="8"/>
        <w:tblW w:w="8379" w:type="dxa"/>
        <w:tblInd w:w="93" w:type="dxa"/>
        <w:tblLayout w:type="autofit"/>
        <w:tblCellMar>
          <w:top w:w="0" w:type="dxa"/>
          <w:left w:w="108" w:type="dxa"/>
          <w:bottom w:w="0" w:type="dxa"/>
          <w:right w:w="108" w:type="dxa"/>
        </w:tblCellMar>
      </w:tblPr>
      <w:tblGrid>
        <w:gridCol w:w="1080"/>
        <w:gridCol w:w="1487"/>
        <w:gridCol w:w="1417"/>
        <w:gridCol w:w="1701"/>
        <w:gridCol w:w="1475"/>
        <w:gridCol w:w="1219"/>
      </w:tblGrid>
      <w:tr>
        <w:tblPrEx>
          <w:tblCellMar>
            <w:top w:w="0" w:type="dxa"/>
            <w:left w:w="108" w:type="dxa"/>
            <w:bottom w:w="0" w:type="dxa"/>
            <w:right w:w="108" w:type="dxa"/>
          </w:tblCellMar>
        </w:tblPrEx>
        <w:trPr>
          <w:trHeight w:val="270" w:hRule="atLeast"/>
        </w:trPr>
        <w:tc>
          <w:tcPr>
            <w:tcW w:w="1080" w:type="dxa"/>
            <w:vMerge w:val="restart"/>
            <w:tcBorders>
              <w:top w:val="single" w:color="auto" w:sz="4" w:space="0"/>
              <w:left w:val="single" w:color="auto" w:sz="4" w:space="0"/>
              <w:right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单位</w:t>
            </w:r>
          </w:p>
        </w:tc>
        <w:tc>
          <w:tcPr>
            <w:tcW w:w="72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再生金属利用率，%</w:t>
            </w:r>
          </w:p>
        </w:tc>
      </w:tr>
      <w:tr>
        <w:tblPrEx>
          <w:tblCellMar>
            <w:top w:w="0" w:type="dxa"/>
            <w:left w:w="108" w:type="dxa"/>
            <w:bottom w:w="0" w:type="dxa"/>
            <w:right w:w="108" w:type="dxa"/>
          </w:tblCellMar>
        </w:tblPrEx>
        <w:trPr>
          <w:trHeight w:val="270" w:hRule="atLeast"/>
        </w:trPr>
        <w:tc>
          <w:tcPr>
            <w:tcW w:w="1080" w:type="dxa"/>
            <w:vMerge w:val="continue"/>
            <w:tcBorders>
              <w:left w:val="single" w:color="auto" w:sz="4" w:space="0"/>
              <w:bottom w:val="single" w:color="auto" w:sz="4" w:space="0"/>
              <w:right w:val="nil"/>
            </w:tcBorders>
            <w:shd w:val="clear" w:color="auto" w:fill="auto"/>
            <w:vAlign w:val="center"/>
          </w:tcPr>
          <w:p>
            <w:pPr>
              <w:widowControl/>
              <w:jc w:val="center"/>
              <w:rPr>
                <w:rFonts w:ascii="宋体" w:hAnsi="宋体" w:cs="宋体"/>
                <w:color w:val="auto"/>
                <w:kern w:val="0"/>
                <w:sz w:val="18"/>
                <w:szCs w:val="18"/>
              </w:rPr>
            </w:pP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紫铜</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高铜</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黄铜</w:t>
            </w:r>
          </w:p>
        </w:tc>
        <w:tc>
          <w:tcPr>
            <w:tcW w:w="14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青铜</w:t>
            </w:r>
          </w:p>
        </w:tc>
        <w:tc>
          <w:tcPr>
            <w:tcW w:w="121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白铜</w:t>
            </w:r>
          </w:p>
        </w:tc>
      </w:tr>
      <w:tr>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奥博特</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4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21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35</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olor w:val="auto"/>
                <w:kern w:val="0"/>
                <w:sz w:val="18"/>
                <w:szCs w:val="18"/>
              </w:rPr>
              <w:t>江铜板带</w:t>
            </w:r>
          </w:p>
        </w:tc>
        <w:tc>
          <w:tcPr>
            <w:tcW w:w="148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4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12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博威</w:t>
            </w:r>
          </w:p>
        </w:tc>
        <w:tc>
          <w:tcPr>
            <w:tcW w:w="148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w:t>
            </w:r>
          </w:p>
        </w:tc>
        <w:tc>
          <w:tcPr>
            <w:tcW w:w="14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w:t>
            </w:r>
          </w:p>
        </w:tc>
        <w:tc>
          <w:tcPr>
            <w:tcW w:w="12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w:t>
            </w:r>
          </w:p>
        </w:tc>
      </w:tr>
    </w:tbl>
    <w:p>
      <w:pPr>
        <w:keepNext w:val="0"/>
        <w:keepLines w:val="0"/>
        <w:pageBreakBefore w:val="0"/>
        <w:kinsoku/>
        <w:wordWrap/>
        <w:overflowPunct/>
        <w:topLinePunct w:val="0"/>
        <w:autoSpaceDE/>
        <w:autoSpaceDN/>
        <w:bidi w:val="0"/>
        <w:spacing w:beforeLines="50" w:afterLines="50" w:line="400" w:lineRule="exact"/>
        <w:textAlignment w:val="auto"/>
        <w:rPr>
          <w:rFonts w:hint="eastAsia" w:ascii="宋体" w:hAnsi="宋体" w:eastAsia="宋体" w:cs="宋体"/>
          <w:b w:val="0"/>
          <w:bCs w:val="0"/>
          <w:color w:val="auto"/>
          <w:sz w:val="21"/>
          <w:szCs w:val="21"/>
          <w:lang w:val="en-US" w:eastAsia="zh-CN"/>
        </w:rPr>
      </w:pPr>
      <w:r>
        <w:rPr>
          <w:rFonts w:hint="eastAsia" w:ascii="黑体" w:eastAsia="黑体"/>
          <w:color w:val="auto"/>
          <w:szCs w:val="21"/>
          <w:lang w:val="en-US" w:eastAsia="zh-CN"/>
        </w:rPr>
        <w:t xml:space="preserve">  </w:t>
      </w:r>
      <w:r>
        <w:rPr>
          <w:rFonts w:hint="eastAsia" w:ascii="宋体" w:hAnsi="宋体" w:eastAsia="宋体" w:cs="宋体"/>
          <w:b w:val="0"/>
          <w:bCs w:val="0"/>
          <w:color w:val="auto"/>
          <w:szCs w:val="21"/>
          <w:lang w:val="en-US" w:eastAsia="zh-CN"/>
        </w:rPr>
        <w:t xml:space="preserve"> </w:t>
      </w:r>
      <w:r>
        <w:rPr>
          <w:rFonts w:hint="eastAsia" w:ascii="宋体" w:hAnsi="宋体" w:eastAsia="宋体" w:cs="宋体"/>
          <w:b w:val="0"/>
          <w:bCs w:val="0"/>
          <w:color w:val="auto"/>
          <w:sz w:val="21"/>
          <w:szCs w:val="21"/>
          <w:lang w:val="en-US" w:eastAsia="zh-CN"/>
        </w:rPr>
        <w:t xml:space="preserve"> 由于数据较少，考虑高端产品生产时需要的再生原料较少甚至不能使用再生原料，为鼓励再生原料的使用，标准规定再生原料利用率指标定为</w:t>
      </w:r>
      <w:r>
        <w:rPr>
          <w:rFonts w:hint="eastAsia" w:ascii="宋体" w:hAnsi="宋体" w:eastAsia="宋体" w:cs="宋体"/>
          <w:b w:val="0"/>
          <w:bCs w:val="0"/>
          <w:color w:val="auto"/>
          <w:sz w:val="21"/>
          <w:szCs w:val="21"/>
          <w:highlight w:val="none"/>
          <w:lang w:val="en-US" w:eastAsia="zh-CN"/>
        </w:rPr>
        <w:t>0～15%</w:t>
      </w:r>
      <w:r>
        <w:rPr>
          <w:rFonts w:hint="eastAsia" w:ascii="宋体" w:hAnsi="宋体" w:cs="宋体"/>
          <w:b w:val="0"/>
          <w:bCs w:val="0"/>
          <w:color w:val="auto"/>
          <w:sz w:val="21"/>
          <w:szCs w:val="21"/>
          <w:highlight w:val="none"/>
          <w:lang w:val="en-US" w:eastAsia="zh-CN"/>
        </w:rPr>
        <w:t>。</w:t>
      </w:r>
    </w:p>
    <w:p>
      <w:pPr>
        <w:keepNext w:val="0"/>
        <w:keepLines w:val="0"/>
        <w:pageBreakBefore w:val="0"/>
        <w:kinsoku/>
        <w:wordWrap/>
        <w:overflowPunct/>
        <w:topLinePunct w:val="0"/>
        <w:autoSpaceDE/>
        <w:autoSpaceDN/>
        <w:bidi w:val="0"/>
        <w:spacing w:beforeLines="50" w:afterLines="50" w:line="400" w:lineRule="exact"/>
        <w:textAlignment w:val="auto"/>
        <w:rPr>
          <w:rFonts w:ascii="黑体" w:eastAsia="黑体"/>
          <w:color w:val="auto"/>
          <w:szCs w:val="21"/>
        </w:rPr>
      </w:pPr>
      <w:r>
        <w:rPr>
          <w:rFonts w:hint="eastAsia" w:ascii="黑体" w:eastAsia="黑体"/>
          <w:color w:val="auto"/>
          <w:szCs w:val="21"/>
        </w:rPr>
        <w:t>5.2 水重复利用率</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auto"/>
        <w:rPr>
          <w:rFonts w:asciiTheme="minorEastAsia" w:hAnsiTheme="minorEastAsia" w:eastAsiaTheme="minorEastAsia" w:cstheme="minorBidi"/>
          <w:color w:val="auto"/>
          <w:kern w:val="0"/>
          <w:szCs w:val="21"/>
          <w:lang w:val="de-DE"/>
        </w:rPr>
      </w:pPr>
      <w:r>
        <w:rPr>
          <w:color w:val="auto"/>
          <w:szCs w:val="21"/>
        </w:rPr>
        <w:t>为贯彻执行国家相关节水方针政策，合理利用水资源，提高用水效率，</w:t>
      </w:r>
      <w:r>
        <w:rPr>
          <w:rFonts w:hint="eastAsia"/>
          <w:color w:val="auto"/>
          <w:szCs w:val="21"/>
        </w:rPr>
        <w:t>企业应规范</w:t>
      </w:r>
      <w:r>
        <w:rPr>
          <w:color w:val="auto"/>
          <w:szCs w:val="21"/>
        </w:rPr>
        <w:t>用水行为，</w:t>
      </w:r>
      <w:r>
        <w:rPr>
          <w:rFonts w:hint="eastAsia"/>
          <w:color w:val="auto"/>
          <w:szCs w:val="21"/>
        </w:rPr>
        <w:t>绿色设计产品</w:t>
      </w:r>
      <w:r>
        <w:rPr>
          <w:rFonts w:hint="eastAsia" w:ascii="宋体" w:hAnsi="宋体"/>
          <w:color w:val="auto"/>
          <w:kern w:val="0"/>
          <w:szCs w:val="21"/>
        </w:rPr>
        <w:t>水重复利用率依据</w:t>
      </w:r>
      <w:r>
        <w:rPr>
          <w:rFonts w:hint="eastAsia" w:ascii="宋体" w:hAnsi="宋体"/>
          <w:color w:val="auto"/>
          <w:kern w:val="0"/>
          <w:szCs w:val="21"/>
          <w:lang w:val="de-DE"/>
        </w:rPr>
        <w:t>YS/T XXXX《</w:t>
      </w:r>
      <w:bookmarkStart w:id="5" w:name="OLE_LINK1"/>
      <w:r>
        <w:rPr>
          <w:rFonts w:hint="eastAsia"/>
          <w:color w:val="auto"/>
          <w:szCs w:val="21"/>
        </w:rPr>
        <w:t>铜及铜合金板、带、箔材生产绿色工厂评价</w:t>
      </w:r>
      <w:bookmarkEnd w:id="5"/>
      <w:r>
        <w:rPr>
          <w:rFonts w:hint="eastAsia"/>
          <w:color w:val="auto"/>
          <w:szCs w:val="21"/>
        </w:rPr>
        <w:t>要求》进行确定。冷轧板带箔生产水重复利用实际情况见下表，</w:t>
      </w:r>
      <w:r>
        <w:rPr>
          <w:rFonts w:hint="eastAsia" w:ascii="宋体" w:hAnsi="宋体"/>
          <w:color w:val="auto"/>
          <w:szCs w:val="21"/>
        </w:rPr>
        <w:t>由于实际数据较少，不能代表国内铜及铜合金冷轧板带箔</w:t>
      </w:r>
      <w:r>
        <w:rPr>
          <w:rFonts w:hint="eastAsia"/>
          <w:color w:val="auto"/>
          <w:szCs w:val="21"/>
        </w:rPr>
        <w:t>水重复利用水平</w:t>
      </w:r>
      <w:r>
        <w:rPr>
          <w:rFonts w:hint="eastAsia" w:asciiTheme="minorEastAsia" w:hAnsiTheme="minorEastAsia" w:eastAsiaTheme="minorEastAsia" w:cstheme="minorBidi"/>
          <w:color w:val="auto"/>
          <w:kern w:val="0"/>
          <w:szCs w:val="21"/>
          <w:lang w:val="de-DE"/>
        </w:rPr>
        <w:t>。</w:t>
      </w:r>
    </w:p>
    <w:p>
      <w:pPr>
        <w:keepNext w:val="0"/>
        <w:keepLines w:val="0"/>
        <w:pageBreakBefore w:val="0"/>
        <w:widowControl/>
        <w:kinsoku/>
        <w:wordWrap/>
        <w:overflowPunct/>
        <w:topLinePunct w:val="0"/>
        <w:autoSpaceDE/>
        <w:autoSpaceDN/>
        <w:bidi w:val="0"/>
        <w:spacing w:line="400" w:lineRule="exact"/>
        <w:jc w:val="center"/>
        <w:textAlignment w:val="auto"/>
        <w:rPr>
          <w:rFonts w:ascii="黑体" w:hAnsi="黑体" w:eastAsia="黑体"/>
          <w:color w:val="auto"/>
          <w:szCs w:val="21"/>
        </w:rPr>
      </w:pPr>
      <w:r>
        <w:rPr>
          <w:rFonts w:hint="eastAsia" w:ascii="黑体" w:hAnsi="黑体" w:eastAsia="黑体"/>
          <w:color w:val="auto"/>
          <w:szCs w:val="21"/>
        </w:rPr>
        <w:t>表</w:t>
      </w:r>
      <w:r>
        <w:rPr>
          <w:rFonts w:hint="eastAsia" w:ascii="黑体" w:hAnsi="黑体" w:eastAsia="黑体"/>
          <w:color w:val="auto"/>
          <w:szCs w:val="21"/>
          <w:lang w:val="en-US" w:eastAsia="zh-CN"/>
        </w:rPr>
        <w:t>5</w:t>
      </w:r>
      <w:r>
        <w:rPr>
          <w:rFonts w:hint="eastAsia" w:ascii="黑体" w:hAnsi="黑体" w:eastAsia="黑体"/>
          <w:color w:val="auto"/>
          <w:szCs w:val="21"/>
        </w:rPr>
        <w:t xml:space="preserve">  水重复利用率统计</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928"/>
        <w:gridCol w:w="35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4928"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Theme="minorEastAsia" w:hAnsiTheme="minorEastAsia" w:eastAsiaTheme="minorEastAsia" w:cstheme="minorBidi"/>
                <w:color w:val="auto"/>
                <w:kern w:val="0"/>
                <w:sz w:val="18"/>
                <w:szCs w:val="18"/>
                <w:lang w:val="de-DE"/>
              </w:rPr>
            </w:pPr>
            <w:r>
              <w:rPr>
                <w:rFonts w:hint="eastAsia" w:asciiTheme="minorEastAsia" w:hAnsiTheme="minorEastAsia" w:eastAsiaTheme="minorEastAsia" w:cstheme="minorBidi"/>
                <w:color w:val="auto"/>
                <w:kern w:val="0"/>
                <w:sz w:val="18"/>
                <w:szCs w:val="18"/>
                <w:lang w:val="de-DE"/>
              </w:rPr>
              <w:t>单位</w:t>
            </w:r>
          </w:p>
        </w:tc>
        <w:tc>
          <w:tcPr>
            <w:tcW w:w="3594"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Theme="minorEastAsia" w:hAnsiTheme="minorEastAsia" w:eastAsiaTheme="minorEastAsia" w:cstheme="minorBidi"/>
                <w:color w:val="auto"/>
                <w:kern w:val="0"/>
                <w:sz w:val="18"/>
                <w:szCs w:val="18"/>
                <w:lang w:val="de-DE"/>
              </w:rPr>
            </w:pPr>
            <w:r>
              <w:rPr>
                <w:rFonts w:hint="eastAsia" w:asciiTheme="minorEastAsia" w:hAnsiTheme="minorEastAsia" w:eastAsiaTheme="minorEastAsia" w:cstheme="minorBidi"/>
                <w:color w:val="auto"/>
                <w:kern w:val="0"/>
                <w:sz w:val="18"/>
                <w:szCs w:val="18"/>
                <w:lang w:val="de-DE"/>
              </w:rPr>
              <w:t>水重复利用率，%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4928"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Theme="minorEastAsia" w:hAnsiTheme="minorEastAsia" w:eastAsiaTheme="minorEastAsia" w:cstheme="minorBidi"/>
                <w:color w:val="auto"/>
                <w:kern w:val="0"/>
                <w:sz w:val="18"/>
                <w:szCs w:val="18"/>
                <w:lang w:val="de-DE"/>
              </w:rPr>
            </w:pPr>
            <w:r>
              <w:rPr>
                <w:rFonts w:hint="eastAsia" w:asciiTheme="minorEastAsia" w:hAnsiTheme="minorEastAsia" w:eastAsiaTheme="minorEastAsia" w:cstheme="minorBidi"/>
                <w:color w:val="auto"/>
                <w:kern w:val="0"/>
                <w:sz w:val="18"/>
                <w:szCs w:val="18"/>
                <w:lang w:val="de-DE"/>
              </w:rPr>
              <w:t>洛阳铜加工</w:t>
            </w:r>
          </w:p>
        </w:tc>
        <w:tc>
          <w:tcPr>
            <w:tcW w:w="3594"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Theme="minorEastAsia" w:hAnsiTheme="minorEastAsia" w:eastAsiaTheme="minorEastAsia" w:cstheme="minorBidi"/>
                <w:color w:val="auto"/>
                <w:kern w:val="0"/>
                <w:sz w:val="18"/>
                <w:szCs w:val="18"/>
                <w:lang w:val="de-DE"/>
              </w:rPr>
            </w:pPr>
            <w:r>
              <w:rPr>
                <w:rFonts w:hint="eastAsia" w:asciiTheme="minorEastAsia" w:hAnsiTheme="minorEastAsia" w:eastAsiaTheme="minorEastAsia" w:cstheme="minorBidi"/>
                <w:color w:val="auto"/>
                <w:kern w:val="0"/>
                <w:sz w:val="18"/>
                <w:szCs w:val="18"/>
                <w:lang w:val="de-DE"/>
              </w:rPr>
              <w:t>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4928"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Theme="minorEastAsia" w:hAnsiTheme="minorEastAsia" w:eastAsiaTheme="minorEastAsia" w:cstheme="minorBidi"/>
                <w:color w:val="auto"/>
                <w:kern w:val="0"/>
                <w:sz w:val="18"/>
                <w:szCs w:val="18"/>
                <w:lang w:val="de-DE"/>
              </w:rPr>
            </w:pPr>
            <w:r>
              <w:rPr>
                <w:rFonts w:hint="eastAsia" w:asciiTheme="minorEastAsia" w:hAnsiTheme="minorEastAsia" w:eastAsiaTheme="minorEastAsia" w:cstheme="minorBidi"/>
                <w:color w:val="auto"/>
                <w:kern w:val="0"/>
                <w:sz w:val="18"/>
                <w:szCs w:val="18"/>
                <w:lang w:val="de-DE"/>
              </w:rPr>
              <w:t>奥博特</w:t>
            </w:r>
          </w:p>
        </w:tc>
        <w:tc>
          <w:tcPr>
            <w:tcW w:w="3594"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Theme="minorEastAsia" w:hAnsiTheme="minorEastAsia" w:eastAsiaTheme="minorEastAsia" w:cstheme="minorBidi"/>
                <w:color w:val="auto"/>
                <w:kern w:val="0"/>
                <w:sz w:val="18"/>
                <w:szCs w:val="18"/>
                <w:lang w:val="de-DE"/>
              </w:rPr>
            </w:pPr>
            <w:r>
              <w:rPr>
                <w:rFonts w:hint="eastAsia" w:asciiTheme="minorEastAsia" w:hAnsiTheme="minorEastAsia" w:eastAsiaTheme="minorEastAsia" w:cstheme="minorBidi"/>
                <w:color w:val="auto"/>
                <w:kern w:val="0"/>
                <w:sz w:val="18"/>
                <w:szCs w:val="18"/>
                <w:lang w:val="de-DE"/>
              </w:rPr>
              <w:t>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4928"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Theme="minorEastAsia" w:hAnsiTheme="minorEastAsia" w:eastAsiaTheme="minorEastAsia" w:cstheme="minorBidi"/>
                <w:color w:val="auto"/>
                <w:kern w:val="0"/>
                <w:sz w:val="18"/>
                <w:szCs w:val="18"/>
                <w:lang w:val="de-DE"/>
              </w:rPr>
            </w:pPr>
            <w:r>
              <w:rPr>
                <w:rFonts w:hint="eastAsia" w:asciiTheme="minorEastAsia" w:hAnsiTheme="minorEastAsia" w:eastAsiaTheme="minorEastAsia" w:cstheme="minorBidi"/>
                <w:color w:val="auto"/>
                <w:kern w:val="0"/>
                <w:sz w:val="18"/>
                <w:szCs w:val="18"/>
                <w:lang w:val="de-DE"/>
              </w:rPr>
              <w:t>江铜板带</w:t>
            </w:r>
          </w:p>
        </w:tc>
        <w:tc>
          <w:tcPr>
            <w:tcW w:w="3594"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Theme="minorEastAsia" w:hAnsiTheme="minorEastAsia" w:eastAsiaTheme="minorEastAsia" w:cstheme="minorBidi"/>
                <w:color w:val="auto"/>
                <w:kern w:val="0"/>
                <w:sz w:val="18"/>
                <w:szCs w:val="18"/>
                <w:lang w:val="de-DE"/>
              </w:rPr>
            </w:pPr>
            <w:r>
              <w:rPr>
                <w:rFonts w:hint="eastAsia" w:asciiTheme="minorEastAsia" w:hAnsiTheme="minorEastAsia" w:eastAsiaTheme="minorEastAsia" w:cstheme="minorBidi"/>
                <w:color w:val="auto"/>
                <w:kern w:val="0"/>
                <w:sz w:val="18"/>
                <w:szCs w:val="18"/>
                <w:lang w:val="de-DE"/>
              </w:rPr>
              <w:t>98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4928"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Theme="minorEastAsia" w:hAnsiTheme="minorEastAsia" w:eastAsiaTheme="minorEastAsia" w:cstheme="minorBidi"/>
                <w:color w:val="auto"/>
                <w:kern w:val="0"/>
                <w:sz w:val="18"/>
                <w:szCs w:val="18"/>
                <w:lang w:val="de-DE"/>
              </w:rPr>
            </w:pPr>
            <w:r>
              <w:rPr>
                <w:rFonts w:hint="eastAsia" w:asciiTheme="minorEastAsia" w:hAnsiTheme="minorEastAsia" w:eastAsiaTheme="minorEastAsia" w:cstheme="minorBidi"/>
                <w:color w:val="auto"/>
                <w:kern w:val="0"/>
                <w:sz w:val="18"/>
                <w:szCs w:val="18"/>
                <w:lang w:val="de-DE"/>
              </w:rPr>
              <w:t>YS/T XXXX</w:t>
            </w:r>
            <w:r>
              <w:rPr>
                <w:rFonts w:hint="eastAsia"/>
                <w:color w:val="auto"/>
                <w:sz w:val="18"/>
                <w:szCs w:val="18"/>
              </w:rPr>
              <w:t>铜及铜合金板、带、箔材生产绿色工厂评价要求</w:t>
            </w:r>
          </w:p>
        </w:tc>
        <w:tc>
          <w:tcPr>
            <w:tcW w:w="3594"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Theme="minorEastAsia" w:hAnsiTheme="minorEastAsia" w:eastAsiaTheme="minorEastAsia" w:cstheme="minorBidi"/>
                <w:color w:val="auto"/>
                <w:kern w:val="0"/>
                <w:sz w:val="18"/>
                <w:szCs w:val="18"/>
                <w:lang w:val="de-DE"/>
              </w:rPr>
            </w:pPr>
            <w:r>
              <w:rPr>
                <w:rFonts w:hint="eastAsia" w:asciiTheme="minorEastAsia" w:hAnsiTheme="minorEastAsia" w:eastAsiaTheme="minorEastAsia" w:cstheme="minorBidi"/>
                <w:color w:val="auto"/>
                <w:kern w:val="0"/>
                <w:sz w:val="18"/>
                <w:szCs w:val="18"/>
                <w:lang w:val="de-DE"/>
              </w:rPr>
              <w:t>90</w:t>
            </w:r>
          </w:p>
        </w:tc>
      </w:tr>
    </w:tbl>
    <w:p>
      <w:pPr>
        <w:keepNext w:val="0"/>
        <w:keepLines w:val="0"/>
        <w:pageBreakBefore w:val="0"/>
        <w:kinsoku/>
        <w:wordWrap/>
        <w:overflowPunct/>
        <w:topLinePunct w:val="0"/>
        <w:autoSpaceDE/>
        <w:autoSpaceDN/>
        <w:bidi w:val="0"/>
        <w:spacing w:beforeLines="50" w:afterLines="50" w:line="400" w:lineRule="exact"/>
        <w:textAlignment w:val="auto"/>
        <w:rPr>
          <w:rFonts w:ascii="黑体" w:eastAsia="黑体"/>
          <w:color w:val="auto"/>
          <w:szCs w:val="21"/>
        </w:rPr>
      </w:pPr>
      <w:r>
        <w:rPr>
          <w:rFonts w:hint="eastAsia" w:ascii="黑体" w:eastAsia="黑体"/>
          <w:color w:val="auto"/>
          <w:szCs w:val="21"/>
        </w:rPr>
        <w:t>5.3单位产品综合能耗</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auto"/>
        <w:rPr>
          <w:rFonts w:ascii="宋体" w:hAnsi="宋体" w:cstheme="minorBidi"/>
          <w:color w:val="auto"/>
          <w:kern w:val="0"/>
          <w:szCs w:val="21"/>
        </w:rPr>
      </w:pPr>
      <w:r>
        <w:rPr>
          <w:rFonts w:hint="eastAsia" w:ascii="宋体" w:hAnsi="宋体" w:cstheme="minorBidi"/>
          <w:color w:val="auto"/>
          <w:kern w:val="0"/>
          <w:szCs w:val="21"/>
        </w:rPr>
        <w:t>能源属性的综合能耗依据《铜及铜合金加工材单位产品能源消耗限额》标准，按绿色产品评价标准编制要求，为节约能源、鼓励企业绿色发展，采用标准中加工工序能耗限额的一级指标值。</w:t>
      </w:r>
    </w:p>
    <w:p>
      <w:pPr>
        <w:keepNext w:val="0"/>
        <w:keepLines w:val="0"/>
        <w:pageBreakBefore w:val="0"/>
        <w:kinsoku/>
        <w:wordWrap/>
        <w:overflowPunct/>
        <w:topLinePunct w:val="0"/>
        <w:autoSpaceDE/>
        <w:autoSpaceDN/>
        <w:bidi w:val="0"/>
        <w:spacing w:beforeLines="50" w:afterLines="50" w:line="400" w:lineRule="exact"/>
        <w:textAlignment w:val="auto"/>
        <w:rPr>
          <w:rFonts w:ascii="黑体" w:eastAsia="黑体"/>
          <w:color w:val="auto"/>
          <w:szCs w:val="21"/>
        </w:rPr>
      </w:pPr>
      <w:r>
        <w:rPr>
          <w:rFonts w:hint="eastAsia" w:ascii="黑体" w:eastAsia="黑体"/>
          <w:color w:val="auto"/>
          <w:szCs w:val="21"/>
        </w:rPr>
        <w:t>5.4废气排放</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auto"/>
        <w:rPr>
          <w:rFonts w:ascii="宋体" w:hAnsi="宋体"/>
          <w:color w:val="auto"/>
          <w:kern w:val="0"/>
          <w:szCs w:val="21"/>
        </w:rPr>
      </w:pPr>
      <w:r>
        <w:rPr>
          <w:rFonts w:hint="eastAsia" w:ascii="宋体" w:hAnsi="宋体" w:cstheme="minorBidi"/>
          <w:color w:val="auto"/>
          <w:kern w:val="0"/>
          <w:szCs w:val="21"/>
        </w:rPr>
        <w:t>本标准</w:t>
      </w:r>
      <w:r>
        <w:rPr>
          <w:rFonts w:hint="eastAsia" w:ascii="宋体" w:hAnsi="宋体"/>
          <w:color w:val="auto"/>
          <w:szCs w:val="21"/>
        </w:rPr>
        <w:t>提倡企业以清洁能源天然气为燃料。冷轧板带箔生产过程中</w:t>
      </w:r>
      <w:r>
        <w:rPr>
          <w:rFonts w:hint="eastAsia" w:ascii="宋体" w:hAnsi="宋体"/>
          <w:color w:val="auto"/>
          <w:kern w:val="0"/>
          <w:szCs w:val="21"/>
        </w:rPr>
        <w:t>废气排放浓度控制按主要依据：</w:t>
      </w:r>
      <w:r>
        <w:rPr>
          <w:rFonts w:hint="eastAsia" w:ascii="宋体" w:hAnsi="宋体" w:cs="宋体"/>
          <w:color w:val="auto"/>
          <w:kern w:val="0"/>
          <w:szCs w:val="21"/>
        </w:rPr>
        <w:t>GB 9078-1996《工业炉窑烟尘排放标准》、</w:t>
      </w:r>
      <w:r>
        <w:rPr>
          <w:rFonts w:hint="eastAsia" w:ascii="宋体" w:hAnsi="宋体"/>
          <w:color w:val="auto"/>
          <w:kern w:val="0"/>
          <w:szCs w:val="21"/>
        </w:rPr>
        <w:t>GB 16297-1996《大气污染物综合排放标准》、DB41/1066-2020、</w:t>
      </w:r>
      <w:r>
        <w:rPr>
          <w:color w:val="auto"/>
        </w:rPr>
        <w:t>《关于全省开展工业企业挥发 性有机物专项治理工作中排放 建议值的通知》（豫环攻坚办 〔2017〕162 号）</w:t>
      </w:r>
      <w:r>
        <w:rPr>
          <w:rFonts w:hint="eastAsia" w:ascii="宋体" w:hAnsi="宋体"/>
          <w:color w:val="auto"/>
          <w:kern w:val="0"/>
          <w:szCs w:val="21"/>
        </w:rPr>
        <w:t>文件要求。</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auto"/>
        <w:rPr>
          <w:rFonts w:ascii="宋体" w:hAnsi="宋体"/>
          <w:color w:val="auto"/>
          <w:szCs w:val="21"/>
        </w:rPr>
      </w:pPr>
      <w:r>
        <w:rPr>
          <w:rFonts w:hint="eastAsia" w:ascii="宋体" w:hAnsi="宋体"/>
          <w:color w:val="auto"/>
          <w:szCs w:val="21"/>
        </w:rPr>
        <w:t>本标准为绿色设计产品标准，应从严控制废气排放，确定控制颗粒物排放浓度≤10 mg/m</w:t>
      </w:r>
      <w:r>
        <w:rPr>
          <w:rFonts w:hint="eastAsia" w:ascii="宋体" w:hAnsi="宋体"/>
          <w:color w:val="auto"/>
          <w:szCs w:val="21"/>
          <w:vertAlign w:val="superscript"/>
        </w:rPr>
        <w:t>3</w:t>
      </w:r>
      <w:r>
        <w:rPr>
          <w:rFonts w:hint="eastAsia" w:ascii="宋体" w:hAnsi="宋体"/>
          <w:color w:val="auto"/>
          <w:szCs w:val="21"/>
        </w:rPr>
        <w:t>、SO</w:t>
      </w:r>
      <w:r>
        <w:rPr>
          <w:rFonts w:hint="eastAsia" w:ascii="宋体" w:hAnsi="宋体"/>
          <w:color w:val="auto"/>
          <w:szCs w:val="21"/>
          <w:vertAlign w:val="subscript"/>
        </w:rPr>
        <w:t>2</w:t>
      </w:r>
      <w:r>
        <w:rPr>
          <w:rFonts w:hint="eastAsia" w:ascii="宋体" w:hAnsi="宋体"/>
          <w:color w:val="auto"/>
          <w:szCs w:val="21"/>
        </w:rPr>
        <w:t>≤50 mg/m</w:t>
      </w:r>
      <w:r>
        <w:rPr>
          <w:rFonts w:hint="eastAsia" w:ascii="宋体" w:hAnsi="宋体"/>
          <w:color w:val="auto"/>
          <w:szCs w:val="21"/>
          <w:vertAlign w:val="superscript"/>
        </w:rPr>
        <w:t>3</w:t>
      </w:r>
      <w:r>
        <w:rPr>
          <w:rFonts w:hint="eastAsia" w:ascii="宋体" w:hAnsi="宋体"/>
          <w:color w:val="auto"/>
          <w:szCs w:val="21"/>
        </w:rPr>
        <w:t>、NOx≤100 mg/m</w:t>
      </w:r>
      <w:r>
        <w:rPr>
          <w:rFonts w:hint="eastAsia" w:ascii="宋体" w:hAnsi="宋体"/>
          <w:color w:val="auto"/>
          <w:szCs w:val="21"/>
          <w:vertAlign w:val="superscript"/>
        </w:rPr>
        <w:t>3</w:t>
      </w:r>
      <w:r>
        <w:rPr>
          <w:rFonts w:hint="eastAsia" w:ascii="宋体" w:hAnsi="宋体"/>
          <w:color w:val="auto"/>
          <w:szCs w:val="21"/>
        </w:rPr>
        <w:t>、烟气黑度≤1级、硫酸雾≤45 mg/m</w:t>
      </w:r>
      <w:r>
        <w:rPr>
          <w:rFonts w:hint="eastAsia" w:ascii="宋体" w:hAnsi="宋体"/>
          <w:color w:val="auto"/>
          <w:szCs w:val="21"/>
          <w:vertAlign w:val="superscript"/>
        </w:rPr>
        <w:t>3</w:t>
      </w:r>
      <w:r>
        <w:rPr>
          <w:rFonts w:hint="eastAsia" w:ascii="宋体" w:hAnsi="宋体"/>
          <w:color w:val="auto"/>
          <w:szCs w:val="21"/>
        </w:rPr>
        <w:t>、非甲烷总烃≤80mg/m</w:t>
      </w:r>
      <w:r>
        <w:rPr>
          <w:rFonts w:hint="eastAsia" w:ascii="宋体" w:hAnsi="宋体"/>
          <w:color w:val="auto"/>
          <w:szCs w:val="21"/>
          <w:vertAlign w:val="superscript"/>
        </w:rPr>
        <w:t>3</w:t>
      </w:r>
      <w:r>
        <w:rPr>
          <w:rFonts w:hint="eastAsia" w:ascii="宋体" w:hAnsi="宋体"/>
          <w:color w:val="auto"/>
          <w:szCs w:val="21"/>
        </w:rPr>
        <w:t>。</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auto"/>
        <w:rPr>
          <w:rFonts w:ascii="宋体" w:hAnsi="宋体"/>
          <w:color w:val="auto"/>
          <w:kern w:val="0"/>
          <w:szCs w:val="21"/>
        </w:rPr>
      </w:pPr>
      <w:r>
        <w:rPr>
          <w:rFonts w:hint="eastAsia" w:ascii="宋体" w:hAnsi="宋体"/>
          <w:color w:val="auto"/>
          <w:szCs w:val="21"/>
        </w:rPr>
        <w:t>铜板带箔加工企业废气排放统计见下表：</w:t>
      </w:r>
    </w:p>
    <w:p>
      <w:pPr>
        <w:keepNext w:val="0"/>
        <w:keepLines w:val="0"/>
        <w:pageBreakBefore w:val="0"/>
        <w:widowControl/>
        <w:kinsoku/>
        <w:wordWrap/>
        <w:overflowPunct/>
        <w:topLinePunct w:val="0"/>
        <w:autoSpaceDE/>
        <w:autoSpaceDN/>
        <w:bidi w:val="0"/>
        <w:spacing w:line="400" w:lineRule="exact"/>
        <w:jc w:val="center"/>
        <w:textAlignment w:val="auto"/>
        <w:rPr>
          <w:rFonts w:ascii="黑体" w:hAnsi="黑体" w:eastAsia="黑体"/>
          <w:color w:val="auto"/>
          <w:szCs w:val="21"/>
        </w:rPr>
      </w:pPr>
      <w:r>
        <w:rPr>
          <w:rFonts w:hint="eastAsia" w:ascii="黑体" w:hAnsi="黑体" w:eastAsia="黑体"/>
          <w:color w:val="auto"/>
          <w:szCs w:val="21"/>
        </w:rPr>
        <w:t>表</w:t>
      </w:r>
      <w:r>
        <w:rPr>
          <w:rFonts w:hint="eastAsia" w:ascii="黑体" w:hAnsi="黑体" w:eastAsia="黑体"/>
          <w:color w:val="auto"/>
          <w:szCs w:val="21"/>
          <w:lang w:val="en-US" w:eastAsia="zh-CN"/>
        </w:rPr>
        <w:t>6</w:t>
      </w:r>
      <w:r>
        <w:rPr>
          <w:rFonts w:hint="eastAsia" w:ascii="黑体" w:hAnsi="黑体" w:eastAsia="黑体"/>
          <w:color w:val="auto"/>
          <w:szCs w:val="21"/>
        </w:rPr>
        <w:t xml:space="preserve">  不同标准规范废气排放指标</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61"/>
        <w:gridCol w:w="1333"/>
        <w:gridCol w:w="1417"/>
        <w:gridCol w:w="1985"/>
        <w:gridCol w:w="13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2461" w:type="dxa"/>
            <w:vMerge w:val="restart"/>
            <w:tcBorders>
              <w:tl2br w:val="single" w:color="auto" w:sz="4" w:space="0"/>
            </w:tcBorders>
            <w:vAlign w:val="center"/>
          </w:tcPr>
          <w:p>
            <w:pPr>
              <w:widowControl/>
              <w:adjustRightInd w:val="0"/>
              <w:snapToGrid w:val="0"/>
              <w:ind w:right="420"/>
              <w:jc w:val="right"/>
              <w:rPr>
                <w:rFonts w:ascii="宋体" w:hAnsi="宋体"/>
                <w:color w:val="auto"/>
                <w:sz w:val="18"/>
                <w:szCs w:val="18"/>
              </w:rPr>
            </w:pPr>
            <w:r>
              <w:rPr>
                <w:rFonts w:hint="eastAsia" w:ascii="宋体" w:hAnsi="宋体"/>
                <w:color w:val="auto"/>
                <w:sz w:val="18"/>
                <w:szCs w:val="18"/>
              </w:rPr>
              <w:t>标准指标</w:t>
            </w:r>
          </w:p>
          <w:p>
            <w:pPr>
              <w:widowControl/>
              <w:adjustRightInd w:val="0"/>
              <w:snapToGrid w:val="0"/>
              <w:jc w:val="left"/>
              <w:rPr>
                <w:rFonts w:ascii="宋体" w:hAnsi="宋体"/>
                <w:color w:val="auto"/>
                <w:sz w:val="18"/>
                <w:szCs w:val="18"/>
              </w:rPr>
            </w:pPr>
            <w:r>
              <w:rPr>
                <w:rFonts w:hint="eastAsia" w:ascii="宋体" w:hAnsi="宋体"/>
                <w:color w:val="auto"/>
                <w:sz w:val="18"/>
                <w:szCs w:val="18"/>
              </w:rPr>
              <w:t>污染物</w:t>
            </w:r>
          </w:p>
        </w:tc>
        <w:tc>
          <w:tcPr>
            <w:tcW w:w="2750" w:type="dxa"/>
            <w:gridSpan w:val="2"/>
            <w:tcBorders>
              <w:bottom w:val="single" w:color="auto" w:sz="4" w:space="0"/>
            </w:tcBorders>
            <w:vAlign w:val="center"/>
          </w:tcPr>
          <w:p>
            <w:pPr>
              <w:widowControl/>
              <w:adjustRightInd w:val="0"/>
              <w:snapToGrid w:val="0"/>
              <w:jc w:val="center"/>
              <w:rPr>
                <w:rFonts w:ascii="宋体" w:hAnsi="宋体"/>
                <w:color w:val="auto"/>
                <w:sz w:val="18"/>
                <w:szCs w:val="18"/>
              </w:rPr>
            </w:pPr>
            <w:r>
              <w:rPr>
                <w:rFonts w:hint="eastAsia" w:ascii="宋体" w:hAnsi="宋体"/>
                <w:color w:val="auto"/>
                <w:sz w:val="18"/>
                <w:szCs w:val="18"/>
              </w:rPr>
              <w:t>GB/T 16297-1996</w:t>
            </w:r>
          </w:p>
        </w:tc>
        <w:tc>
          <w:tcPr>
            <w:tcW w:w="1985" w:type="dxa"/>
            <w:vMerge w:val="restart"/>
            <w:vAlign w:val="center"/>
          </w:tcPr>
          <w:p>
            <w:pPr>
              <w:widowControl/>
              <w:adjustRightInd w:val="0"/>
              <w:snapToGrid w:val="0"/>
              <w:ind w:right="360"/>
              <w:jc w:val="center"/>
              <w:rPr>
                <w:rFonts w:ascii="宋体" w:hAnsi="宋体"/>
                <w:color w:val="auto"/>
                <w:kern w:val="0"/>
                <w:sz w:val="18"/>
                <w:szCs w:val="18"/>
              </w:rPr>
            </w:pPr>
            <w:r>
              <w:rPr>
                <w:rFonts w:hint="eastAsia" w:ascii="宋体" w:hAnsi="宋体" w:cs="宋体"/>
                <w:color w:val="auto"/>
                <w:kern w:val="0"/>
                <w:sz w:val="18"/>
                <w:szCs w:val="18"/>
              </w:rPr>
              <w:t>GB/T 9078-1996</w:t>
            </w:r>
          </w:p>
        </w:tc>
        <w:tc>
          <w:tcPr>
            <w:tcW w:w="1326" w:type="dxa"/>
            <w:vMerge w:val="restart"/>
            <w:vAlign w:val="center"/>
          </w:tcPr>
          <w:p>
            <w:pPr>
              <w:widowControl/>
              <w:adjustRightInd w:val="0"/>
              <w:snapToGrid w:val="0"/>
              <w:jc w:val="center"/>
              <w:rPr>
                <w:rFonts w:ascii="宋体" w:hAnsi="宋体"/>
                <w:color w:val="auto"/>
                <w:sz w:val="18"/>
                <w:szCs w:val="18"/>
              </w:rPr>
            </w:pPr>
            <w:r>
              <w:rPr>
                <w:rFonts w:hint="eastAsia" w:ascii="宋体" w:hAnsi="宋体"/>
                <w:color w:val="auto"/>
                <w:kern w:val="0"/>
                <w:sz w:val="18"/>
                <w:szCs w:val="18"/>
              </w:rPr>
              <w:t>洛环攻坚办[2019]49号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2461" w:type="dxa"/>
            <w:vMerge w:val="continue"/>
            <w:tcBorders>
              <w:tl2br w:val="single" w:color="auto" w:sz="4" w:space="0"/>
            </w:tcBorders>
            <w:vAlign w:val="center"/>
          </w:tcPr>
          <w:p>
            <w:pPr>
              <w:widowControl/>
              <w:adjustRightInd w:val="0"/>
              <w:snapToGrid w:val="0"/>
              <w:ind w:right="420"/>
              <w:jc w:val="center"/>
              <w:rPr>
                <w:rFonts w:ascii="宋体" w:hAnsi="宋体"/>
                <w:color w:val="auto"/>
                <w:sz w:val="18"/>
                <w:szCs w:val="18"/>
              </w:rPr>
            </w:pPr>
          </w:p>
        </w:tc>
        <w:tc>
          <w:tcPr>
            <w:tcW w:w="1333" w:type="dxa"/>
            <w:tcBorders>
              <w:top w:val="single" w:color="auto" w:sz="4"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现有污染源</w:t>
            </w:r>
          </w:p>
        </w:tc>
        <w:tc>
          <w:tcPr>
            <w:tcW w:w="1417" w:type="dxa"/>
            <w:tcBorders>
              <w:top w:val="single" w:color="auto" w:sz="4" w:space="0"/>
            </w:tcBorders>
            <w:vAlign w:val="center"/>
          </w:tcPr>
          <w:p>
            <w:pPr>
              <w:widowControl/>
              <w:adjustRightInd w:val="0"/>
              <w:snapToGrid w:val="0"/>
              <w:jc w:val="center"/>
              <w:rPr>
                <w:rFonts w:ascii="宋体" w:hAnsi="宋体"/>
                <w:color w:val="auto"/>
                <w:sz w:val="18"/>
                <w:szCs w:val="18"/>
              </w:rPr>
            </w:pPr>
            <w:r>
              <w:rPr>
                <w:rFonts w:hint="eastAsia" w:ascii="宋体" w:hAnsi="宋体"/>
                <w:color w:val="auto"/>
                <w:sz w:val="18"/>
                <w:szCs w:val="18"/>
              </w:rPr>
              <w:t>新污染源</w:t>
            </w:r>
          </w:p>
        </w:tc>
        <w:tc>
          <w:tcPr>
            <w:tcW w:w="1985" w:type="dxa"/>
            <w:vMerge w:val="continue"/>
          </w:tcPr>
          <w:p>
            <w:pPr>
              <w:widowControl/>
              <w:adjustRightInd w:val="0"/>
              <w:snapToGrid w:val="0"/>
              <w:jc w:val="center"/>
              <w:rPr>
                <w:rFonts w:ascii="宋体" w:hAnsi="宋体"/>
                <w:color w:val="auto"/>
                <w:kern w:val="0"/>
                <w:szCs w:val="21"/>
              </w:rPr>
            </w:pPr>
          </w:p>
        </w:tc>
        <w:tc>
          <w:tcPr>
            <w:tcW w:w="1326" w:type="dxa"/>
            <w:vMerge w:val="continue"/>
            <w:vAlign w:val="center"/>
          </w:tcPr>
          <w:p>
            <w:pPr>
              <w:widowControl/>
              <w:adjustRightInd w:val="0"/>
              <w:snapToGrid w:val="0"/>
              <w:jc w:val="center"/>
              <w:rPr>
                <w:rFonts w:ascii="宋体" w:hAnsi="宋体"/>
                <w:color w:val="auto"/>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2461" w:type="dxa"/>
            <w:vAlign w:val="center"/>
          </w:tcPr>
          <w:p>
            <w:pPr>
              <w:widowControl/>
              <w:adjustRightInd w:val="0"/>
              <w:snapToGrid w:val="0"/>
              <w:jc w:val="center"/>
              <w:rPr>
                <w:rFonts w:ascii="宋体" w:hAnsi="宋体"/>
                <w:color w:val="auto"/>
                <w:sz w:val="18"/>
                <w:szCs w:val="18"/>
              </w:rPr>
            </w:pPr>
            <w:r>
              <w:rPr>
                <w:rFonts w:hint="eastAsia" w:ascii="宋体" w:hAnsi="宋体"/>
                <w:color w:val="auto"/>
                <w:sz w:val="18"/>
                <w:szCs w:val="18"/>
              </w:rPr>
              <w:t>颗粒物，</w:t>
            </w:r>
            <w:r>
              <w:rPr>
                <w:rFonts w:hint="eastAsia" w:ascii="宋体" w:hAnsi="宋体"/>
                <w:color w:val="auto"/>
                <w:kern w:val="0"/>
                <w:szCs w:val="21"/>
              </w:rPr>
              <w:t>mg/m</w:t>
            </w:r>
            <w:r>
              <w:rPr>
                <w:rFonts w:hint="eastAsia" w:ascii="宋体" w:hAnsi="宋体"/>
                <w:color w:val="auto"/>
                <w:kern w:val="0"/>
                <w:szCs w:val="21"/>
                <w:vertAlign w:val="superscript"/>
              </w:rPr>
              <w:t>3</w:t>
            </w:r>
          </w:p>
        </w:tc>
        <w:tc>
          <w:tcPr>
            <w:tcW w:w="1333" w:type="dxa"/>
            <w:vAlign w:val="center"/>
          </w:tcPr>
          <w:p>
            <w:pPr>
              <w:widowControl/>
              <w:adjustRightInd w:val="0"/>
              <w:snapToGrid w:val="0"/>
              <w:jc w:val="center"/>
              <w:rPr>
                <w:rFonts w:ascii="宋体" w:hAnsi="宋体"/>
                <w:color w:val="auto"/>
                <w:sz w:val="18"/>
                <w:szCs w:val="18"/>
              </w:rPr>
            </w:pPr>
            <w:r>
              <w:rPr>
                <w:rFonts w:hint="eastAsia" w:ascii="宋体" w:hAnsi="宋体"/>
                <w:color w:val="auto"/>
                <w:sz w:val="18"/>
                <w:szCs w:val="18"/>
              </w:rPr>
              <w:t>150</w:t>
            </w:r>
          </w:p>
        </w:tc>
        <w:tc>
          <w:tcPr>
            <w:tcW w:w="1417" w:type="dxa"/>
            <w:vAlign w:val="center"/>
          </w:tcPr>
          <w:p>
            <w:pPr>
              <w:widowControl/>
              <w:adjustRightInd w:val="0"/>
              <w:snapToGrid w:val="0"/>
              <w:jc w:val="center"/>
              <w:rPr>
                <w:rFonts w:ascii="宋体" w:hAnsi="宋体"/>
                <w:color w:val="auto"/>
                <w:sz w:val="18"/>
                <w:szCs w:val="18"/>
              </w:rPr>
            </w:pPr>
            <w:r>
              <w:rPr>
                <w:rFonts w:hint="eastAsia" w:ascii="宋体" w:hAnsi="宋体"/>
                <w:color w:val="auto"/>
                <w:sz w:val="18"/>
                <w:szCs w:val="18"/>
              </w:rPr>
              <w:t>120</w:t>
            </w:r>
          </w:p>
        </w:tc>
        <w:tc>
          <w:tcPr>
            <w:tcW w:w="1985" w:type="dxa"/>
          </w:tcPr>
          <w:p>
            <w:pPr>
              <w:widowControl/>
              <w:adjustRightInd w:val="0"/>
              <w:snapToGrid w:val="0"/>
              <w:jc w:val="center"/>
              <w:rPr>
                <w:rFonts w:ascii="宋体" w:hAnsi="宋体"/>
                <w:color w:val="auto"/>
                <w:sz w:val="18"/>
                <w:szCs w:val="18"/>
              </w:rPr>
            </w:pPr>
            <w:r>
              <w:rPr>
                <w:rFonts w:hint="eastAsia" w:ascii="宋体" w:hAnsi="宋体"/>
                <w:color w:val="auto"/>
                <w:sz w:val="18"/>
                <w:szCs w:val="18"/>
              </w:rPr>
              <w:t>4.4各种工业窑炉：25</w:t>
            </w:r>
          </w:p>
        </w:tc>
        <w:tc>
          <w:tcPr>
            <w:tcW w:w="1326" w:type="dxa"/>
            <w:vAlign w:val="center"/>
          </w:tcPr>
          <w:p>
            <w:pPr>
              <w:widowControl/>
              <w:adjustRightInd w:val="0"/>
              <w:snapToGrid w:val="0"/>
              <w:jc w:val="center"/>
              <w:rPr>
                <w:rFonts w:ascii="宋体" w:hAnsi="宋体"/>
                <w:b/>
                <w:color w:val="auto"/>
                <w:sz w:val="18"/>
                <w:szCs w:val="18"/>
              </w:rPr>
            </w:pPr>
            <w:r>
              <w:rPr>
                <w:rFonts w:hint="eastAsia" w:ascii="宋体" w:hAnsi="宋体"/>
                <w:b/>
                <w:color w:val="auto"/>
                <w:sz w:val="18"/>
                <w:szCs w:val="18"/>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2461" w:type="dxa"/>
            <w:vAlign w:val="center"/>
          </w:tcPr>
          <w:p>
            <w:pPr>
              <w:widowControl/>
              <w:adjustRightInd w:val="0"/>
              <w:snapToGrid w:val="0"/>
              <w:jc w:val="center"/>
              <w:rPr>
                <w:rFonts w:ascii="宋体" w:hAnsi="宋体"/>
                <w:color w:val="auto"/>
                <w:sz w:val="18"/>
                <w:szCs w:val="18"/>
              </w:rPr>
            </w:pPr>
            <w:r>
              <w:rPr>
                <w:rFonts w:hint="eastAsia" w:ascii="宋体" w:hAnsi="宋体"/>
                <w:color w:val="auto"/>
                <w:kern w:val="0"/>
                <w:szCs w:val="21"/>
              </w:rPr>
              <w:t>SO</w:t>
            </w:r>
            <w:r>
              <w:rPr>
                <w:rFonts w:hint="eastAsia" w:ascii="宋体" w:hAnsi="宋体"/>
                <w:color w:val="auto"/>
                <w:kern w:val="0"/>
                <w:szCs w:val="21"/>
                <w:vertAlign w:val="subscript"/>
              </w:rPr>
              <w:t>2</w:t>
            </w:r>
            <w:r>
              <w:rPr>
                <w:rFonts w:hint="eastAsia" w:ascii="宋体" w:hAnsi="宋体"/>
                <w:color w:val="auto"/>
                <w:kern w:val="0"/>
                <w:szCs w:val="21"/>
              </w:rPr>
              <w:t>，mg/m</w:t>
            </w:r>
            <w:r>
              <w:rPr>
                <w:rFonts w:hint="eastAsia" w:ascii="宋体" w:hAnsi="宋体"/>
                <w:color w:val="auto"/>
                <w:kern w:val="0"/>
                <w:szCs w:val="21"/>
                <w:vertAlign w:val="superscript"/>
              </w:rPr>
              <w:t>3</w:t>
            </w:r>
          </w:p>
        </w:tc>
        <w:tc>
          <w:tcPr>
            <w:tcW w:w="1333" w:type="dxa"/>
            <w:vAlign w:val="center"/>
          </w:tcPr>
          <w:p>
            <w:pPr>
              <w:widowControl/>
              <w:adjustRightInd w:val="0"/>
              <w:snapToGrid w:val="0"/>
              <w:jc w:val="center"/>
              <w:rPr>
                <w:rFonts w:ascii="宋体" w:hAnsi="宋体"/>
                <w:color w:val="auto"/>
                <w:sz w:val="18"/>
                <w:szCs w:val="18"/>
              </w:rPr>
            </w:pPr>
            <w:r>
              <w:rPr>
                <w:rFonts w:hint="eastAsia" w:ascii="宋体" w:hAnsi="宋体"/>
                <w:color w:val="auto"/>
                <w:sz w:val="18"/>
                <w:szCs w:val="18"/>
              </w:rPr>
              <w:t>700</w:t>
            </w:r>
          </w:p>
        </w:tc>
        <w:tc>
          <w:tcPr>
            <w:tcW w:w="1417" w:type="dxa"/>
            <w:vAlign w:val="center"/>
          </w:tcPr>
          <w:p>
            <w:pPr>
              <w:widowControl/>
              <w:adjustRightInd w:val="0"/>
              <w:snapToGrid w:val="0"/>
              <w:jc w:val="center"/>
              <w:rPr>
                <w:rFonts w:ascii="宋体" w:hAnsi="宋体"/>
                <w:color w:val="auto"/>
                <w:sz w:val="18"/>
                <w:szCs w:val="18"/>
              </w:rPr>
            </w:pPr>
            <w:r>
              <w:rPr>
                <w:rFonts w:hint="eastAsia" w:ascii="宋体" w:hAnsi="宋体"/>
                <w:color w:val="auto"/>
                <w:sz w:val="18"/>
                <w:szCs w:val="18"/>
              </w:rPr>
              <w:t>550</w:t>
            </w:r>
          </w:p>
        </w:tc>
        <w:tc>
          <w:tcPr>
            <w:tcW w:w="1985" w:type="dxa"/>
          </w:tcPr>
          <w:p>
            <w:pPr>
              <w:widowControl/>
              <w:adjustRightInd w:val="0"/>
              <w:snapToGrid w:val="0"/>
              <w:jc w:val="center"/>
              <w:rPr>
                <w:rFonts w:ascii="宋体" w:hAnsi="宋体"/>
                <w:color w:val="auto"/>
                <w:sz w:val="18"/>
                <w:szCs w:val="18"/>
              </w:rPr>
            </w:pPr>
          </w:p>
        </w:tc>
        <w:tc>
          <w:tcPr>
            <w:tcW w:w="1326" w:type="dxa"/>
            <w:vAlign w:val="center"/>
          </w:tcPr>
          <w:p>
            <w:pPr>
              <w:widowControl/>
              <w:adjustRightInd w:val="0"/>
              <w:snapToGrid w:val="0"/>
              <w:jc w:val="center"/>
              <w:rPr>
                <w:rFonts w:ascii="宋体" w:hAnsi="宋体"/>
                <w:b/>
                <w:color w:val="auto"/>
                <w:sz w:val="18"/>
                <w:szCs w:val="18"/>
              </w:rPr>
            </w:pPr>
            <w:r>
              <w:rPr>
                <w:rFonts w:hint="eastAsia" w:ascii="宋体" w:hAnsi="宋体"/>
                <w:b/>
                <w:color w:val="auto"/>
                <w:sz w:val="18"/>
                <w:szCs w:val="18"/>
              </w:rPr>
              <w:t>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2461" w:type="dxa"/>
            <w:vAlign w:val="center"/>
          </w:tcPr>
          <w:p>
            <w:pPr>
              <w:widowControl/>
              <w:adjustRightInd w:val="0"/>
              <w:snapToGrid w:val="0"/>
              <w:jc w:val="center"/>
              <w:rPr>
                <w:rFonts w:ascii="宋体" w:hAnsi="宋体"/>
                <w:color w:val="auto"/>
                <w:sz w:val="18"/>
                <w:szCs w:val="18"/>
              </w:rPr>
            </w:pPr>
            <w:r>
              <w:rPr>
                <w:rFonts w:hint="eastAsia" w:ascii="宋体" w:hAnsi="宋体"/>
                <w:color w:val="auto"/>
                <w:kern w:val="0"/>
                <w:szCs w:val="21"/>
              </w:rPr>
              <w:t>NO</w:t>
            </w:r>
            <w:r>
              <w:rPr>
                <w:rFonts w:hint="eastAsia" w:ascii="宋体" w:hAnsi="宋体"/>
                <w:color w:val="auto"/>
                <w:kern w:val="0"/>
                <w:szCs w:val="21"/>
                <w:vertAlign w:val="subscript"/>
              </w:rPr>
              <w:t>x</w:t>
            </w:r>
            <w:r>
              <w:rPr>
                <w:rFonts w:hint="eastAsia" w:ascii="宋体" w:hAnsi="宋体"/>
                <w:color w:val="auto"/>
                <w:kern w:val="0"/>
                <w:szCs w:val="21"/>
              </w:rPr>
              <w:t>，mg/m</w:t>
            </w:r>
            <w:r>
              <w:rPr>
                <w:rFonts w:hint="eastAsia" w:ascii="宋体" w:hAnsi="宋体"/>
                <w:color w:val="auto"/>
                <w:kern w:val="0"/>
                <w:szCs w:val="21"/>
                <w:vertAlign w:val="superscript"/>
              </w:rPr>
              <w:t>3</w:t>
            </w:r>
          </w:p>
        </w:tc>
        <w:tc>
          <w:tcPr>
            <w:tcW w:w="1333" w:type="dxa"/>
            <w:vAlign w:val="center"/>
          </w:tcPr>
          <w:p>
            <w:pPr>
              <w:widowControl/>
              <w:adjustRightInd w:val="0"/>
              <w:snapToGrid w:val="0"/>
              <w:jc w:val="center"/>
              <w:rPr>
                <w:rFonts w:ascii="宋体" w:hAnsi="宋体"/>
                <w:color w:val="auto"/>
                <w:sz w:val="18"/>
                <w:szCs w:val="18"/>
              </w:rPr>
            </w:pPr>
            <w:r>
              <w:rPr>
                <w:rFonts w:hint="eastAsia" w:ascii="宋体" w:hAnsi="宋体"/>
                <w:color w:val="auto"/>
                <w:sz w:val="18"/>
                <w:szCs w:val="18"/>
              </w:rPr>
              <w:t>420</w:t>
            </w:r>
          </w:p>
        </w:tc>
        <w:tc>
          <w:tcPr>
            <w:tcW w:w="1417" w:type="dxa"/>
            <w:vAlign w:val="center"/>
          </w:tcPr>
          <w:p>
            <w:pPr>
              <w:widowControl/>
              <w:adjustRightInd w:val="0"/>
              <w:snapToGrid w:val="0"/>
              <w:jc w:val="center"/>
              <w:rPr>
                <w:rFonts w:ascii="宋体" w:hAnsi="宋体"/>
                <w:color w:val="auto"/>
                <w:sz w:val="18"/>
                <w:szCs w:val="18"/>
              </w:rPr>
            </w:pPr>
            <w:r>
              <w:rPr>
                <w:rFonts w:hint="eastAsia" w:ascii="宋体" w:hAnsi="宋体"/>
                <w:color w:val="auto"/>
                <w:sz w:val="18"/>
                <w:szCs w:val="18"/>
              </w:rPr>
              <w:t>240</w:t>
            </w:r>
          </w:p>
        </w:tc>
        <w:tc>
          <w:tcPr>
            <w:tcW w:w="1985" w:type="dxa"/>
          </w:tcPr>
          <w:p>
            <w:pPr>
              <w:widowControl/>
              <w:adjustRightInd w:val="0"/>
              <w:snapToGrid w:val="0"/>
              <w:jc w:val="center"/>
              <w:rPr>
                <w:rFonts w:ascii="宋体" w:hAnsi="宋体"/>
                <w:color w:val="auto"/>
                <w:sz w:val="18"/>
                <w:szCs w:val="18"/>
              </w:rPr>
            </w:pPr>
          </w:p>
        </w:tc>
        <w:tc>
          <w:tcPr>
            <w:tcW w:w="1326" w:type="dxa"/>
            <w:vAlign w:val="center"/>
          </w:tcPr>
          <w:p>
            <w:pPr>
              <w:widowControl/>
              <w:adjustRightInd w:val="0"/>
              <w:snapToGrid w:val="0"/>
              <w:jc w:val="center"/>
              <w:rPr>
                <w:rFonts w:ascii="宋体" w:hAnsi="宋体"/>
                <w:b/>
                <w:color w:val="auto"/>
                <w:sz w:val="18"/>
                <w:szCs w:val="18"/>
              </w:rPr>
            </w:pPr>
            <w:r>
              <w:rPr>
                <w:rFonts w:hint="eastAsia" w:ascii="宋体" w:hAnsi="宋体"/>
                <w:b/>
                <w:color w:val="auto"/>
                <w:sz w:val="18"/>
                <w:szCs w:val="18"/>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2461" w:type="dxa"/>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硫酸雾，</w:t>
            </w:r>
            <w:r>
              <w:rPr>
                <w:rFonts w:hint="eastAsia" w:ascii="宋体" w:hAnsi="宋体"/>
                <w:color w:val="auto"/>
                <w:kern w:val="0"/>
                <w:szCs w:val="21"/>
              </w:rPr>
              <w:t>mg/m</w:t>
            </w:r>
            <w:r>
              <w:rPr>
                <w:rFonts w:hint="eastAsia" w:ascii="宋体" w:hAnsi="宋体"/>
                <w:color w:val="auto"/>
                <w:kern w:val="0"/>
                <w:szCs w:val="21"/>
                <w:vertAlign w:val="superscript"/>
              </w:rPr>
              <w:t>3</w:t>
            </w:r>
          </w:p>
        </w:tc>
        <w:tc>
          <w:tcPr>
            <w:tcW w:w="1333" w:type="dxa"/>
            <w:vAlign w:val="center"/>
          </w:tcPr>
          <w:p>
            <w:pPr>
              <w:widowControl/>
              <w:adjustRightInd w:val="0"/>
              <w:snapToGrid w:val="0"/>
              <w:jc w:val="center"/>
              <w:rPr>
                <w:rFonts w:ascii="宋体" w:hAnsi="宋体"/>
                <w:color w:val="auto"/>
                <w:sz w:val="18"/>
                <w:szCs w:val="18"/>
              </w:rPr>
            </w:pPr>
            <w:r>
              <w:rPr>
                <w:rFonts w:hint="eastAsia" w:ascii="宋体" w:hAnsi="宋体"/>
                <w:color w:val="auto"/>
                <w:sz w:val="18"/>
                <w:szCs w:val="18"/>
              </w:rPr>
              <w:t>70</w:t>
            </w:r>
          </w:p>
        </w:tc>
        <w:tc>
          <w:tcPr>
            <w:tcW w:w="1417" w:type="dxa"/>
            <w:vAlign w:val="center"/>
          </w:tcPr>
          <w:p>
            <w:pPr>
              <w:widowControl/>
              <w:adjustRightInd w:val="0"/>
              <w:snapToGrid w:val="0"/>
              <w:jc w:val="center"/>
              <w:rPr>
                <w:rFonts w:ascii="宋体" w:hAnsi="宋体"/>
                <w:b/>
                <w:color w:val="auto"/>
                <w:sz w:val="18"/>
                <w:szCs w:val="18"/>
              </w:rPr>
            </w:pPr>
            <w:r>
              <w:rPr>
                <w:rFonts w:hint="eastAsia" w:ascii="宋体" w:hAnsi="宋体"/>
                <w:b/>
                <w:color w:val="auto"/>
                <w:sz w:val="18"/>
                <w:szCs w:val="18"/>
              </w:rPr>
              <w:t>45</w:t>
            </w:r>
          </w:p>
        </w:tc>
        <w:tc>
          <w:tcPr>
            <w:tcW w:w="1985" w:type="dxa"/>
          </w:tcPr>
          <w:p>
            <w:pPr>
              <w:widowControl/>
              <w:adjustRightInd w:val="0"/>
              <w:snapToGrid w:val="0"/>
              <w:jc w:val="center"/>
              <w:rPr>
                <w:rFonts w:ascii="宋体" w:hAnsi="宋体"/>
                <w:color w:val="auto"/>
                <w:sz w:val="18"/>
                <w:szCs w:val="18"/>
              </w:rPr>
            </w:pPr>
          </w:p>
        </w:tc>
        <w:tc>
          <w:tcPr>
            <w:tcW w:w="1326" w:type="dxa"/>
            <w:vAlign w:val="center"/>
          </w:tcPr>
          <w:p>
            <w:pPr>
              <w:widowControl/>
              <w:adjustRightInd w:val="0"/>
              <w:snapToGrid w:val="0"/>
              <w:jc w:val="center"/>
              <w:rPr>
                <w:rFonts w:ascii="宋体" w:hAnsi="宋体"/>
                <w:color w:val="auto"/>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2461" w:type="dxa"/>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非甲烷总烃，</w:t>
            </w:r>
            <w:r>
              <w:rPr>
                <w:rFonts w:hint="eastAsia" w:ascii="宋体" w:hAnsi="宋体"/>
                <w:color w:val="auto"/>
                <w:kern w:val="0"/>
                <w:szCs w:val="21"/>
              </w:rPr>
              <w:t>mg/m</w:t>
            </w:r>
            <w:r>
              <w:rPr>
                <w:rFonts w:hint="eastAsia" w:ascii="宋体" w:hAnsi="宋体"/>
                <w:color w:val="auto"/>
                <w:kern w:val="0"/>
                <w:szCs w:val="21"/>
                <w:vertAlign w:val="superscript"/>
              </w:rPr>
              <w:t>3</w:t>
            </w:r>
          </w:p>
        </w:tc>
        <w:tc>
          <w:tcPr>
            <w:tcW w:w="1333" w:type="dxa"/>
            <w:vAlign w:val="center"/>
          </w:tcPr>
          <w:p>
            <w:pPr>
              <w:widowControl/>
              <w:adjustRightInd w:val="0"/>
              <w:snapToGrid w:val="0"/>
              <w:jc w:val="center"/>
              <w:rPr>
                <w:rFonts w:ascii="宋体" w:hAnsi="宋体"/>
                <w:color w:val="auto"/>
                <w:sz w:val="18"/>
                <w:szCs w:val="18"/>
              </w:rPr>
            </w:pPr>
            <w:r>
              <w:rPr>
                <w:rFonts w:hint="eastAsia" w:ascii="宋体" w:hAnsi="宋体"/>
                <w:color w:val="auto"/>
                <w:sz w:val="18"/>
                <w:szCs w:val="18"/>
              </w:rPr>
              <w:t>150</w:t>
            </w:r>
          </w:p>
        </w:tc>
        <w:tc>
          <w:tcPr>
            <w:tcW w:w="1417" w:type="dxa"/>
            <w:vAlign w:val="center"/>
          </w:tcPr>
          <w:p>
            <w:pPr>
              <w:widowControl/>
              <w:adjustRightInd w:val="0"/>
              <w:snapToGrid w:val="0"/>
              <w:jc w:val="center"/>
              <w:rPr>
                <w:rFonts w:ascii="宋体" w:hAnsi="宋体"/>
                <w:b/>
                <w:color w:val="auto"/>
                <w:sz w:val="18"/>
                <w:szCs w:val="18"/>
              </w:rPr>
            </w:pPr>
            <w:r>
              <w:rPr>
                <w:rFonts w:hint="eastAsia" w:ascii="宋体" w:hAnsi="宋体"/>
                <w:b/>
                <w:color w:val="auto"/>
                <w:sz w:val="18"/>
                <w:szCs w:val="18"/>
              </w:rPr>
              <w:t>120</w:t>
            </w:r>
          </w:p>
        </w:tc>
        <w:tc>
          <w:tcPr>
            <w:tcW w:w="1985" w:type="dxa"/>
          </w:tcPr>
          <w:p>
            <w:pPr>
              <w:widowControl/>
              <w:adjustRightInd w:val="0"/>
              <w:snapToGrid w:val="0"/>
              <w:jc w:val="center"/>
              <w:rPr>
                <w:rFonts w:ascii="宋体" w:hAnsi="宋体"/>
                <w:color w:val="auto"/>
                <w:sz w:val="18"/>
                <w:szCs w:val="18"/>
              </w:rPr>
            </w:pPr>
          </w:p>
        </w:tc>
        <w:tc>
          <w:tcPr>
            <w:tcW w:w="1326" w:type="dxa"/>
            <w:vAlign w:val="center"/>
          </w:tcPr>
          <w:p>
            <w:pPr>
              <w:widowControl/>
              <w:adjustRightInd w:val="0"/>
              <w:snapToGrid w:val="0"/>
              <w:jc w:val="center"/>
              <w:rPr>
                <w:rFonts w:ascii="宋体" w:hAnsi="宋体"/>
                <w:color w:val="auto"/>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2461" w:type="dxa"/>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烟气黑度</w:t>
            </w:r>
          </w:p>
        </w:tc>
        <w:tc>
          <w:tcPr>
            <w:tcW w:w="2750" w:type="dxa"/>
            <w:gridSpan w:val="2"/>
            <w:vAlign w:val="center"/>
          </w:tcPr>
          <w:p>
            <w:pPr>
              <w:widowControl/>
              <w:adjustRightInd w:val="0"/>
              <w:snapToGrid w:val="0"/>
              <w:jc w:val="center"/>
              <w:rPr>
                <w:rFonts w:ascii="宋体" w:hAnsi="宋体"/>
                <w:b/>
                <w:color w:val="auto"/>
                <w:sz w:val="18"/>
                <w:szCs w:val="18"/>
              </w:rPr>
            </w:pPr>
            <w:r>
              <w:rPr>
                <w:rFonts w:hint="eastAsia" w:ascii="宋体" w:hAnsi="宋体"/>
                <w:b/>
                <w:color w:val="auto"/>
                <w:sz w:val="18"/>
                <w:szCs w:val="18"/>
              </w:rPr>
              <w:t>格林曼黑度1级</w:t>
            </w:r>
          </w:p>
        </w:tc>
        <w:tc>
          <w:tcPr>
            <w:tcW w:w="1985" w:type="dxa"/>
          </w:tcPr>
          <w:p>
            <w:pPr>
              <w:widowControl/>
              <w:adjustRightInd w:val="0"/>
              <w:snapToGrid w:val="0"/>
              <w:jc w:val="center"/>
              <w:rPr>
                <w:rFonts w:ascii="宋体" w:hAnsi="宋体"/>
                <w:color w:val="auto"/>
                <w:sz w:val="18"/>
                <w:szCs w:val="18"/>
              </w:rPr>
            </w:pPr>
            <w:r>
              <w:rPr>
                <w:rFonts w:hint="eastAsia" w:ascii="宋体" w:hAnsi="宋体"/>
                <w:color w:val="auto"/>
                <w:sz w:val="18"/>
                <w:szCs w:val="18"/>
              </w:rPr>
              <w:t>1</w:t>
            </w:r>
          </w:p>
        </w:tc>
        <w:tc>
          <w:tcPr>
            <w:tcW w:w="1326" w:type="dxa"/>
            <w:vAlign w:val="center"/>
          </w:tcPr>
          <w:p>
            <w:pPr>
              <w:widowControl/>
              <w:adjustRightInd w:val="0"/>
              <w:snapToGrid w:val="0"/>
              <w:jc w:val="center"/>
              <w:rPr>
                <w:rFonts w:ascii="宋体" w:hAnsi="宋体"/>
                <w:color w:val="auto"/>
                <w:sz w:val="18"/>
                <w:szCs w:val="18"/>
              </w:rPr>
            </w:pPr>
          </w:p>
        </w:tc>
      </w:tr>
    </w:tbl>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黑体" w:hAnsi="黑体" w:eastAsia="黑体"/>
          <w:color w:val="auto"/>
          <w:szCs w:val="21"/>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ascii="黑体" w:hAnsi="黑体" w:eastAsia="黑体"/>
          <w:color w:val="auto"/>
          <w:szCs w:val="21"/>
        </w:rPr>
      </w:pPr>
      <w:r>
        <w:rPr>
          <w:rFonts w:hint="eastAsia" w:ascii="黑体" w:hAnsi="黑体" w:eastAsia="黑体"/>
          <w:color w:val="auto"/>
          <w:szCs w:val="21"/>
        </w:rPr>
        <w:t>表</w:t>
      </w:r>
      <w:r>
        <w:rPr>
          <w:rFonts w:hint="eastAsia" w:ascii="黑体" w:hAnsi="黑体" w:eastAsia="黑体"/>
          <w:color w:val="auto"/>
          <w:szCs w:val="21"/>
          <w:lang w:val="en-US" w:eastAsia="zh-CN"/>
        </w:rPr>
        <w:t>7</w:t>
      </w:r>
      <w:r>
        <w:rPr>
          <w:rFonts w:hint="eastAsia" w:ascii="黑体" w:hAnsi="黑体" w:eastAsia="黑体"/>
          <w:color w:val="auto"/>
          <w:szCs w:val="21"/>
        </w:rPr>
        <w:t xml:space="preserve">  各企业废气排放情况统计</w:t>
      </w:r>
    </w:p>
    <w:tbl>
      <w:tblPr>
        <w:tblStyle w:val="8"/>
        <w:tblW w:w="10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701"/>
        <w:gridCol w:w="1219"/>
        <w:gridCol w:w="1191"/>
        <w:gridCol w:w="992"/>
        <w:gridCol w:w="1418"/>
        <w:gridCol w:w="1701"/>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b/>
                <w:color w:val="auto"/>
                <w:kern w:val="0"/>
                <w:sz w:val="18"/>
                <w:szCs w:val="18"/>
              </w:rPr>
            </w:pPr>
            <w:r>
              <w:rPr>
                <w:rFonts w:hint="eastAsia" w:ascii="宋体" w:hAnsi="宋体"/>
                <w:b/>
                <w:color w:val="auto"/>
                <w:kern w:val="0"/>
                <w:sz w:val="18"/>
                <w:szCs w:val="18"/>
              </w:rPr>
              <w:t>单位</w:t>
            </w: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颗粒物</w:t>
            </w:r>
          </w:p>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sz w:val="18"/>
                <w:szCs w:val="18"/>
              </w:rPr>
            </w:pPr>
            <w:r>
              <w:rPr>
                <w:rFonts w:hint="eastAsia" w:ascii="宋体" w:hAnsi="宋体"/>
                <w:color w:val="auto"/>
                <w:kern w:val="0"/>
                <w:sz w:val="18"/>
                <w:szCs w:val="18"/>
              </w:rPr>
              <w:t>（mg/m</w:t>
            </w:r>
            <w:r>
              <w:rPr>
                <w:rFonts w:hint="eastAsia" w:ascii="宋体" w:hAnsi="宋体"/>
                <w:color w:val="auto"/>
                <w:kern w:val="0"/>
                <w:sz w:val="18"/>
                <w:szCs w:val="18"/>
                <w:vertAlign w:val="superscript"/>
              </w:rPr>
              <w:t>3</w:t>
            </w:r>
            <w:r>
              <w:rPr>
                <w:rFonts w:hint="eastAsia" w:ascii="宋体" w:hAnsi="宋体"/>
                <w:color w:val="auto"/>
                <w:kern w:val="0"/>
                <w:sz w:val="18"/>
                <w:szCs w:val="18"/>
              </w:rPr>
              <w:t>）</w:t>
            </w:r>
          </w:p>
        </w:tc>
        <w:tc>
          <w:tcPr>
            <w:tcW w:w="12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vertAlign w:val="subscript"/>
              </w:rPr>
            </w:pPr>
            <w:r>
              <w:rPr>
                <w:rFonts w:hint="eastAsia" w:ascii="宋体" w:hAnsi="宋体"/>
                <w:color w:val="auto"/>
                <w:kern w:val="0"/>
                <w:sz w:val="18"/>
                <w:szCs w:val="18"/>
              </w:rPr>
              <w:t>SO</w:t>
            </w:r>
            <w:r>
              <w:rPr>
                <w:rFonts w:hint="eastAsia" w:ascii="宋体" w:hAnsi="宋体"/>
                <w:color w:val="auto"/>
                <w:kern w:val="0"/>
                <w:sz w:val="18"/>
                <w:szCs w:val="18"/>
                <w:vertAlign w:val="subscript"/>
              </w:rPr>
              <w:t>2</w:t>
            </w:r>
          </w:p>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spacing w:val="-20"/>
                <w:sz w:val="18"/>
                <w:szCs w:val="18"/>
              </w:rPr>
            </w:pPr>
            <w:r>
              <w:rPr>
                <w:rFonts w:hint="eastAsia" w:ascii="宋体" w:hAnsi="宋体"/>
                <w:color w:val="auto"/>
                <w:spacing w:val="-20"/>
                <w:kern w:val="0"/>
                <w:sz w:val="18"/>
                <w:szCs w:val="18"/>
              </w:rPr>
              <w:t>（mg/m</w:t>
            </w:r>
            <w:r>
              <w:rPr>
                <w:rFonts w:hint="eastAsia" w:ascii="宋体" w:hAnsi="宋体"/>
                <w:color w:val="auto"/>
                <w:spacing w:val="-20"/>
                <w:kern w:val="0"/>
                <w:sz w:val="18"/>
                <w:szCs w:val="18"/>
                <w:vertAlign w:val="superscript"/>
              </w:rPr>
              <w:t>3</w:t>
            </w:r>
            <w:r>
              <w:rPr>
                <w:rFonts w:hint="eastAsia" w:ascii="宋体" w:hAnsi="宋体"/>
                <w:color w:val="auto"/>
                <w:spacing w:val="-20"/>
                <w:kern w:val="0"/>
                <w:sz w:val="18"/>
                <w:szCs w:val="18"/>
              </w:rPr>
              <w:t>）</w:t>
            </w:r>
          </w:p>
        </w:tc>
        <w:tc>
          <w:tcPr>
            <w:tcW w:w="1191"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vertAlign w:val="subscript"/>
              </w:rPr>
            </w:pPr>
            <w:r>
              <w:rPr>
                <w:rFonts w:hint="eastAsia" w:ascii="宋体" w:hAnsi="宋体"/>
                <w:color w:val="auto"/>
                <w:kern w:val="0"/>
                <w:sz w:val="18"/>
                <w:szCs w:val="18"/>
              </w:rPr>
              <w:t>NO</w:t>
            </w:r>
            <w:r>
              <w:rPr>
                <w:rFonts w:hint="eastAsia" w:ascii="宋体" w:hAnsi="宋体"/>
                <w:color w:val="auto"/>
                <w:kern w:val="0"/>
                <w:sz w:val="18"/>
                <w:szCs w:val="18"/>
                <w:vertAlign w:val="subscript"/>
              </w:rPr>
              <w:t>x</w:t>
            </w:r>
          </w:p>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（mg/m</w:t>
            </w:r>
            <w:r>
              <w:rPr>
                <w:rFonts w:hint="eastAsia" w:ascii="宋体" w:hAnsi="宋体"/>
                <w:color w:val="auto"/>
                <w:kern w:val="0"/>
                <w:sz w:val="18"/>
                <w:szCs w:val="18"/>
                <w:vertAlign w:val="superscript"/>
              </w:rPr>
              <w:t>3</w:t>
            </w:r>
            <w:r>
              <w:rPr>
                <w:rFonts w:hint="eastAsia" w:ascii="宋体" w:hAnsi="宋体"/>
                <w:color w:val="auto"/>
                <w:kern w:val="0"/>
                <w:sz w:val="18"/>
                <w:szCs w:val="18"/>
              </w:rPr>
              <w:t>）</w:t>
            </w:r>
          </w:p>
        </w:tc>
        <w:tc>
          <w:tcPr>
            <w:tcW w:w="992"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烟气黑度（级）</w:t>
            </w:r>
          </w:p>
        </w:tc>
        <w:tc>
          <w:tcPr>
            <w:tcW w:w="1418"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硫酸雾</w:t>
            </w:r>
          </w:p>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（mg/m</w:t>
            </w:r>
            <w:r>
              <w:rPr>
                <w:rFonts w:hint="eastAsia" w:ascii="宋体" w:hAnsi="宋体"/>
                <w:color w:val="auto"/>
                <w:kern w:val="0"/>
                <w:sz w:val="18"/>
                <w:szCs w:val="18"/>
                <w:vertAlign w:val="superscript"/>
              </w:rPr>
              <w:t>3</w:t>
            </w:r>
            <w:r>
              <w:rPr>
                <w:rFonts w:hint="eastAsia" w:ascii="宋体" w:hAnsi="宋体"/>
                <w:color w:val="auto"/>
                <w:kern w:val="0"/>
                <w:sz w:val="18"/>
                <w:szCs w:val="18"/>
              </w:rPr>
              <w:t>）</w:t>
            </w:r>
          </w:p>
        </w:tc>
        <w:tc>
          <w:tcPr>
            <w:tcW w:w="1701"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非甲烷总烃</w:t>
            </w:r>
          </w:p>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（mg/m</w:t>
            </w:r>
            <w:r>
              <w:rPr>
                <w:rFonts w:hint="eastAsia" w:ascii="宋体" w:hAnsi="宋体"/>
                <w:color w:val="auto"/>
                <w:kern w:val="0"/>
                <w:sz w:val="18"/>
                <w:szCs w:val="18"/>
                <w:vertAlign w:val="superscript"/>
              </w:rPr>
              <w:t>3</w:t>
            </w:r>
            <w:r>
              <w:rPr>
                <w:rFonts w:hint="eastAsia" w:ascii="宋体" w:hAnsi="宋体"/>
                <w:color w:val="auto"/>
                <w:kern w:val="0"/>
                <w:sz w:val="18"/>
                <w:szCs w:val="18"/>
              </w:rPr>
              <w:t>）</w:t>
            </w:r>
          </w:p>
        </w:tc>
        <w:tc>
          <w:tcPr>
            <w:tcW w:w="935"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油雾</w:t>
            </w:r>
          </w:p>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（mg/m</w:t>
            </w:r>
            <w:r>
              <w:rPr>
                <w:rFonts w:hint="eastAsia" w:ascii="宋体" w:hAnsi="宋体"/>
                <w:color w:val="auto"/>
                <w:kern w:val="0"/>
                <w:sz w:val="18"/>
                <w:szCs w:val="18"/>
                <w:vertAlign w:val="superscript"/>
              </w:rPr>
              <w:t>3</w:t>
            </w:r>
            <w:r>
              <w:rPr>
                <w:rFonts w:hint="eastAsia" w:ascii="宋体" w:hAnsi="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olor w:val="auto"/>
                <w:spacing w:val="-12"/>
                <w:kern w:val="0"/>
                <w:sz w:val="18"/>
                <w:szCs w:val="18"/>
              </w:rPr>
            </w:pPr>
            <w:r>
              <w:rPr>
                <w:rFonts w:hint="eastAsia" w:ascii="宋体" w:hAnsi="宋体"/>
                <w:color w:val="auto"/>
                <w:spacing w:val="-12"/>
                <w:kern w:val="0"/>
                <w:sz w:val="18"/>
                <w:szCs w:val="18"/>
              </w:rPr>
              <w:t>洛阳铜加工</w:t>
            </w: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sz w:val="18"/>
                <w:szCs w:val="18"/>
              </w:rPr>
            </w:pPr>
            <w:r>
              <w:rPr>
                <w:rFonts w:hint="eastAsia" w:ascii="宋体" w:hAnsi="宋体"/>
                <w:color w:val="auto"/>
                <w:sz w:val="18"/>
                <w:szCs w:val="18"/>
              </w:rPr>
              <w:t>加热5</w:t>
            </w:r>
          </w:p>
        </w:tc>
        <w:tc>
          <w:tcPr>
            <w:tcW w:w="12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sz w:val="18"/>
                <w:szCs w:val="18"/>
              </w:rPr>
            </w:pPr>
            <w:r>
              <w:rPr>
                <w:rFonts w:hint="eastAsia" w:ascii="宋体" w:hAnsi="宋体"/>
                <w:color w:val="auto"/>
                <w:sz w:val="18"/>
                <w:szCs w:val="18"/>
              </w:rPr>
              <w:t>加热6</w:t>
            </w:r>
          </w:p>
        </w:tc>
        <w:tc>
          <w:tcPr>
            <w:tcW w:w="119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sz w:val="18"/>
                <w:szCs w:val="18"/>
              </w:rPr>
            </w:pPr>
            <w:r>
              <w:rPr>
                <w:rFonts w:hint="eastAsia" w:ascii="宋体" w:hAnsi="宋体"/>
                <w:color w:val="auto"/>
                <w:sz w:val="18"/>
                <w:szCs w:val="18"/>
              </w:rPr>
              <w:t>加热47</w:t>
            </w: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sz w:val="18"/>
                <w:szCs w:val="18"/>
              </w:rPr>
            </w:pPr>
            <w:r>
              <w:rPr>
                <w:rFonts w:hint="eastAsia" w:ascii="宋体" w:hAnsi="宋体"/>
                <w:color w:val="auto"/>
                <w:sz w:val="18"/>
                <w:szCs w:val="18"/>
              </w:rPr>
              <w:t>热轧＜1</w:t>
            </w: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sz w:val="18"/>
                <w:szCs w:val="18"/>
              </w:rPr>
            </w:pPr>
            <w:r>
              <w:rPr>
                <w:rFonts w:hint="eastAsia" w:ascii="宋体" w:hAnsi="宋体"/>
                <w:color w:val="auto"/>
                <w:kern w:val="0"/>
                <w:sz w:val="18"/>
                <w:szCs w:val="18"/>
              </w:rPr>
              <w:t>＜</w:t>
            </w:r>
            <w:r>
              <w:rPr>
                <w:rFonts w:hint="eastAsia" w:ascii="宋体" w:hAnsi="宋体"/>
                <w:color w:val="auto"/>
                <w:sz w:val="18"/>
                <w:szCs w:val="18"/>
              </w:rPr>
              <w:t>45</w:t>
            </w:r>
          </w:p>
        </w:tc>
        <w:tc>
          <w:tcPr>
            <w:tcW w:w="1701"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w:t>
            </w:r>
            <w:r>
              <w:rPr>
                <w:rFonts w:hint="eastAsia" w:ascii="宋体" w:hAnsi="宋体"/>
                <w:color w:val="auto"/>
                <w:sz w:val="18"/>
                <w:szCs w:val="18"/>
              </w:rPr>
              <w:t>80</w:t>
            </w:r>
          </w:p>
        </w:tc>
        <w:tc>
          <w:tcPr>
            <w:tcW w:w="935"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金田</w:t>
            </w: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熔铸6.2</w:t>
            </w:r>
          </w:p>
        </w:tc>
        <w:tc>
          <w:tcPr>
            <w:tcW w:w="12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加热＜3</w:t>
            </w:r>
          </w:p>
        </w:tc>
        <w:tc>
          <w:tcPr>
            <w:tcW w:w="119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加热21</w:t>
            </w: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b/>
                <w:color w:val="auto"/>
                <w:kern w:val="0"/>
                <w:sz w:val="18"/>
                <w:szCs w:val="18"/>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b/>
                <w:color w:val="auto"/>
                <w:kern w:val="0"/>
                <w:sz w:val="18"/>
                <w:szCs w:val="18"/>
              </w:rPr>
            </w:pPr>
            <w:r>
              <w:rPr>
                <w:rFonts w:hint="eastAsia" w:ascii="宋体" w:hAnsi="宋体"/>
                <w:color w:val="auto"/>
                <w:kern w:val="0"/>
                <w:sz w:val="18"/>
                <w:szCs w:val="18"/>
              </w:rPr>
              <w:t>清洗＜0.2</w:t>
            </w: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b/>
                <w:color w:val="auto"/>
                <w:kern w:val="0"/>
                <w:sz w:val="18"/>
                <w:szCs w:val="18"/>
              </w:rPr>
            </w:pPr>
          </w:p>
        </w:tc>
        <w:tc>
          <w:tcPr>
            <w:tcW w:w="93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spacing w:val="-16"/>
                <w:kern w:val="0"/>
                <w:sz w:val="18"/>
                <w:szCs w:val="18"/>
              </w:rPr>
            </w:pPr>
            <w:r>
              <w:rPr>
                <w:rFonts w:hint="eastAsia" w:ascii="宋体" w:hAnsi="宋体"/>
                <w:color w:val="auto"/>
                <w:spacing w:val="-16"/>
                <w:kern w:val="0"/>
                <w:sz w:val="18"/>
                <w:szCs w:val="18"/>
              </w:rPr>
              <w:t>热轧1.4、冷轧0.2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力博</w:t>
            </w: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无组织0.158</w:t>
            </w:r>
          </w:p>
        </w:tc>
        <w:tc>
          <w:tcPr>
            <w:tcW w:w="12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p>
        </w:tc>
        <w:tc>
          <w:tcPr>
            <w:tcW w:w="119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b/>
                <w:color w:val="auto"/>
                <w:kern w:val="0"/>
                <w:sz w:val="18"/>
                <w:szCs w:val="18"/>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无组织1.94</w:t>
            </w:r>
          </w:p>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有组织20.9</w:t>
            </w:r>
          </w:p>
        </w:tc>
        <w:tc>
          <w:tcPr>
            <w:tcW w:w="93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spacing w:val="-1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凯美龙</w:t>
            </w: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熔铸3，双面铣6</w:t>
            </w:r>
          </w:p>
        </w:tc>
        <w:tc>
          <w:tcPr>
            <w:tcW w:w="12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b/>
                <w:color w:val="auto"/>
                <w:kern w:val="0"/>
                <w:sz w:val="18"/>
                <w:szCs w:val="18"/>
              </w:rPr>
            </w:pPr>
            <w:r>
              <w:rPr>
                <w:rFonts w:hint="eastAsia" w:ascii="宋体" w:hAnsi="宋体"/>
                <w:color w:val="auto"/>
                <w:kern w:val="0"/>
                <w:sz w:val="18"/>
                <w:szCs w:val="18"/>
              </w:rPr>
              <w:t>0</w:t>
            </w:r>
          </w:p>
        </w:tc>
        <w:tc>
          <w:tcPr>
            <w:tcW w:w="1191"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b/>
                <w:color w:val="auto"/>
                <w:kern w:val="0"/>
                <w:sz w:val="18"/>
                <w:szCs w:val="18"/>
              </w:rPr>
            </w:pPr>
            <w:r>
              <w:rPr>
                <w:rFonts w:hint="eastAsia" w:ascii="宋体" w:hAnsi="宋体"/>
                <w:color w:val="auto"/>
                <w:kern w:val="0"/>
                <w:sz w:val="18"/>
                <w:szCs w:val="18"/>
              </w:rPr>
              <w:t>0</w:t>
            </w:r>
          </w:p>
        </w:tc>
        <w:tc>
          <w:tcPr>
            <w:tcW w:w="992"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＜1</w:t>
            </w:r>
          </w:p>
        </w:tc>
        <w:tc>
          <w:tcPr>
            <w:tcW w:w="1418"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b/>
                <w:color w:val="auto"/>
                <w:kern w:val="0"/>
                <w:sz w:val="18"/>
                <w:szCs w:val="18"/>
              </w:rPr>
            </w:pPr>
            <w:r>
              <w:rPr>
                <w:rFonts w:hint="eastAsia" w:ascii="宋体" w:hAnsi="宋体"/>
                <w:color w:val="auto"/>
                <w:kern w:val="0"/>
                <w:sz w:val="18"/>
                <w:szCs w:val="18"/>
              </w:rPr>
              <w:t>0</w:t>
            </w:r>
          </w:p>
        </w:tc>
        <w:tc>
          <w:tcPr>
            <w:tcW w:w="1701"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b/>
                <w:color w:val="auto"/>
                <w:kern w:val="0"/>
                <w:sz w:val="18"/>
                <w:szCs w:val="18"/>
              </w:rPr>
            </w:pPr>
            <w:r>
              <w:rPr>
                <w:rFonts w:hint="eastAsia" w:ascii="宋体" w:hAnsi="宋体"/>
                <w:color w:val="auto"/>
                <w:kern w:val="0"/>
                <w:sz w:val="18"/>
                <w:szCs w:val="18"/>
              </w:rPr>
              <w:t>厂12，冷轧12</w:t>
            </w:r>
          </w:p>
        </w:tc>
        <w:tc>
          <w:tcPr>
            <w:tcW w:w="935"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b/>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奥博特</w:t>
            </w: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熔铸10</w:t>
            </w:r>
          </w:p>
        </w:tc>
        <w:tc>
          <w:tcPr>
            <w:tcW w:w="12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sz w:val="18"/>
                <w:szCs w:val="18"/>
              </w:rPr>
              <w:t>加热100</w:t>
            </w:r>
          </w:p>
        </w:tc>
        <w:tc>
          <w:tcPr>
            <w:tcW w:w="119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sz w:val="18"/>
                <w:szCs w:val="18"/>
              </w:rPr>
            </w:pPr>
            <w:r>
              <w:rPr>
                <w:rFonts w:hint="eastAsia" w:ascii="宋体" w:hAnsi="宋体"/>
                <w:color w:val="auto"/>
                <w:sz w:val="18"/>
                <w:szCs w:val="18"/>
              </w:rPr>
              <w:t>加热200</w:t>
            </w: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熔铸1</w:t>
            </w:r>
          </w:p>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加热1</w:t>
            </w: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退火45</w:t>
            </w:r>
          </w:p>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清洗45</w:t>
            </w: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加工60</w:t>
            </w:r>
          </w:p>
        </w:tc>
        <w:tc>
          <w:tcPr>
            <w:tcW w:w="935"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金威</w:t>
            </w: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熔铸5.67、加工7.31、双面铣4.4、钟退10.8、气退7.65</w:t>
            </w:r>
          </w:p>
        </w:tc>
        <w:tc>
          <w:tcPr>
            <w:tcW w:w="12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p>
        </w:tc>
        <w:tc>
          <w:tcPr>
            <w:tcW w:w="119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加工5.5</w:t>
            </w:r>
          </w:p>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加热8、钟退1.5、气退7</w:t>
            </w: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spacing w:val="-12"/>
                <w:kern w:val="0"/>
                <w:sz w:val="18"/>
                <w:szCs w:val="18"/>
              </w:rPr>
            </w:pPr>
            <w:r>
              <w:rPr>
                <w:rFonts w:hint="eastAsia" w:ascii="宋体" w:hAnsi="宋体"/>
                <w:color w:val="auto"/>
                <w:spacing w:val="-12"/>
                <w:kern w:val="0"/>
                <w:sz w:val="18"/>
                <w:szCs w:val="18"/>
              </w:rPr>
              <w:t>加工0.485，气.0..54</w:t>
            </w:r>
          </w:p>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spacing w:val="-12"/>
                <w:kern w:val="0"/>
                <w:sz w:val="18"/>
                <w:szCs w:val="18"/>
              </w:rPr>
              <w:t>酸碱洗0.43</w:t>
            </w: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加工2.48，</w:t>
            </w:r>
          </w:p>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热轧1.36、冷轧1.72、4.35</w:t>
            </w:r>
          </w:p>
        </w:tc>
        <w:tc>
          <w:tcPr>
            <w:tcW w:w="935"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楚江新材</w:t>
            </w: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熔铸0.5</w:t>
            </w:r>
          </w:p>
        </w:tc>
        <w:tc>
          <w:tcPr>
            <w:tcW w:w="12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p>
        </w:tc>
        <w:tc>
          <w:tcPr>
            <w:tcW w:w="1191"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熔铸1</w:t>
            </w:r>
          </w:p>
        </w:tc>
        <w:tc>
          <w:tcPr>
            <w:tcW w:w="1418"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0.25</w:t>
            </w:r>
          </w:p>
        </w:tc>
        <w:tc>
          <w:tcPr>
            <w:tcW w:w="1701"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p>
        </w:tc>
        <w:tc>
          <w:tcPr>
            <w:tcW w:w="935"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富威科技</w:t>
            </w: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熔铸0.312</w:t>
            </w:r>
          </w:p>
        </w:tc>
        <w:tc>
          <w:tcPr>
            <w:tcW w:w="12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p>
        </w:tc>
        <w:tc>
          <w:tcPr>
            <w:tcW w:w="119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熔铸0.007</w:t>
            </w: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熔铸0.65</w:t>
            </w:r>
          </w:p>
        </w:tc>
        <w:tc>
          <w:tcPr>
            <w:tcW w:w="935"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江铜板带</w:t>
            </w: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熔铸＜20</w:t>
            </w:r>
          </w:p>
        </w:tc>
        <w:tc>
          <w:tcPr>
            <w:tcW w:w="12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熔铸＜16</w:t>
            </w:r>
          </w:p>
        </w:tc>
        <w:tc>
          <w:tcPr>
            <w:tcW w:w="119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熔铸＜24</w:t>
            </w: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熔铸＜1</w:t>
            </w: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气退1.31</w:t>
            </w:r>
          </w:p>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清洗机1.33</w:t>
            </w: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冷轧34.1、25</w:t>
            </w:r>
          </w:p>
        </w:tc>
        <w:tc>
          <w:tcPr>
            <w:tcW w:w="935"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博威</w:t>
            </w: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熔铸＜20，钟退4.3，气退4.7，双面铣6.2</w:t>
            </w:r>
          </w:p>
        </w:tc>
        <w:tc>
          <w:tcPr>
            <w:tcW w:w="12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加热、钟退、气退＜3</w:t>
            </w:r>
          </w:p>
        </w:tc>
        <w:tc>
          <w:tcPr>
            <w:tcW w:w="119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加热16</w:t>
            </w:r>
          </w:p>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钟退＜3，</w:t>
            </w:r>
          </w:p>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气退29，</w:t>
            </w: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加热、钟退、气退＜1</w:t>
            </w: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气退、清洗机</w:t>
            </w:r>
          </w:p>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kern w:val="0"/>
                <w:sz w:val="18"/>
                <w:szCs w:val="18"/>
              </w:rPr>
              <w:t>＜5</w:t>
            </w: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p>
        </w:tc>
        <w:tc>
          <w:tcPr>
            <w:tcW w:w="93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spacing w:val="-16"/>
                <w:kern w:val="0"/>
                <w:sz w:val="18"/>
                <w:szCs w:val="18"/>
              </w:rPr>
            </w:pPr>
            <w:r>
              <w:rPr>
                <w:rFonts w:hint="eastAsia" w:ascii="宋体" w:hAnsi="宋体"/>
                <w:color w:val="auto"/>
                <w:spacing w:val="-16"/>
                <w:kern w:val="0"/>
                <w:sz w:val="18"/>
                <w:szCs w:val="18"/>
              </w:rPr>
              <w:t>热轧0.2</w:t>
            </w:r>
          </w:p>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auto"/>
                <w:kern w:val="0"/>
                <w:sz w:val="18"/>
                <w:szCs w:val="18"/>
              </w:rPr>
            </w:pPr>
            <w:r>
              <w:rPr>
                <w:rFonts w:hint="eastAsia" w:ascii="宋体" w:hAnsi="宋体"/>
                <w:color w:val="auto"/>
                <w:spacing w:val="-16"/>
                <w:kern w:val="0"/>
                <w:sz w:val="18"/>
                <w:szCs w:val="18"/>
              </w:rPr>
              <w:t>冷轧0.5</w:t>
            </w:r>
          </w:p>
        </w:tc>
      </w:tr>
    </w:tbl>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jc w:val="left"/>
        <w:textAlignment w:val="auto"/>
        <w:rPr>
          <w:rFonts w:ascii="宋体" w:hAnsi="宋体"/>
          <w:color w:val="auto"/>
          <w:kern w:val="0"/>
          <w:szCs w:val="21"/>
        </w:rPr>
      </w:pPr>
      <w:r>
        <w:rPr>
          <w:rFonts w:hint="eastAsia" w:ascii="宋体" w:hAnsi="宋体"/>
          <w:color w:val="auto"/>
          <w:szCs w:val="21"/>
        </w:rPr>
        <w:t>由表中数据可知，共收集10家企业冷轧板带箔生产废气排放数据，除JW钟罩炉、江铜板带和博威熔铸的颗粒物超过10</w:t>
      </w:r>
      <w:r>
        <w:rPr>
          <w:rFonts w:hint="eastAsia" w:ascii="宋体" w:hAnsi="宋体"/>
          <w:color w:val="auto"/>
          <w:kern w:val="0"/>
          <w:szCs w:val="21"/>
        </w:rPr>
        <w:t xml:space="preserve"> mg/m</w:t>
      </w:r>
      <w:r>
        <w:rPr>
          <w:rFonts w:hint="eastAsia" w:ascii="宋体" w:hAnsi="宋体"/>
          <w:color w:val="auto"/>
          <w:kern w:val="0"/>
          <w:szCs w:val="21"/>
          <w:vertAlign w:val="superscript"/>
        </w:rPr>
        <w:t>3</w:t>
      </w:r>
      <w:r>
        <w:rPr>
          <w:rFonts w:hint="eastAsia" w:ascii="宋体" w:hAnsi="宋体"/>
          <w:color w:val="auto"/>
          <w:szCs w:val="21"/>
        </w:rPr>
        <w:t>，AOBT加热炉</w:t>
      </w:r>
      <w:r>
        <w:rPr>
          <w:rFonts w:hint="eastAsia" w:ascii="宋体" w:hAnsi="宋体"/>
          <w:color w:val="auto"/>
          <w:kern w:val="0"/>
          <w:szCs w:val="21"/>
        </w:rPr>
        <w:t xml:space="preserve"> SO</w:t>
      </w:r>
      <w:r>
        <w:rPr>
          <w:rFonts w:hint="eastAsia" w:ascii="宋体" w:hAnsi="宋体"/>
          <w:color w:val="auto"/>
          <w:kern w:val="0"/>
          <w:szCs w:val="21"/>
          <w:vertAlign w:val="subscript"/>
        </w:rPr>
        <w:t>2</w:t>
      </w:r>
      <w:r>
        <w:rPr>
          <w:rFonts w:hint="eastAsia" w:ascii="宋体" w:hAnsi="宋体"/>
          <w:color w:val="auto"/>
          <w:kern w:val="0"/>
          <w:szCs w:val="21"/>
        </w:rPr>
        <w:t>超出50 mg/m</w:t>
      </w:r>
      <w:r>
        <w:rPr>
          <w:rFonts w:hint="eastAsia" w:ascii="宋体" w:hAnsi="宋体"/>
          <w:color w:val="auto"/>
          <w:kern w:val="0"/>
          <w:szCs w:val="21"/>
          <w:vertAlign w:val="superscript"/>
        </w:rPr>
        <w:t>3</w:t>
      </w:r>
      <w:r>
        <w:rPr>
          <w:rFonts w:hint="eastAsia" w:ascii="宋体" w:hAnsi="宋体"/>
          <w:color w:val="auto"/>
          <w:kern w:val="0"/>
          <w:szCs w:val="21"/>
        </w:rPr>
        <w:t>、NO</w:t>
      </w:r>
      <w:r>
        <w:rPr>
          <w:rFonts w:hint="eastAsia" w:ascii="宋体" w:hAnsi="宋体"/>
          <w:color w:val="auto"/>
          <w:kern w:val="0"/>
          <w:szCs w:val="21"/>
          <w:vertAlign w:val="subscript"/>
        </w:rPr>
        <w:t>x</w:t>
      </w:r>
      <w:r>
        <w:rPr>
          <w:rFonts w:hint="eastAsia" w:ascii="宋体" w:hAnsi="宋体"/>
          <w:color w:val="auto"/>
          <w:kern w:val="0"/>
          <w:szCs w:val="21"/>
        </w:rPr>
        <w:t>超出100 mg/m</w:t>
      </w:r>
      <w:r>
        <w:rPr>
          <w:rFonts w:hint="eastAsia" w:ascii="宋体" w:hAnsi="宋体"/>
          <w:color w:val="auto"/>
          <w:kern w:val="0"/>
          <w:szCs w:val="21"/>
          <w:vertAlign w:val="superscript"/>
        </w:rPr>
        <w:t>3</w:t>
      </w:r>
      <w:r>
        <w:rPr>
          <w:rFonts w:hint="eastAsia" w:ascii="宋体" w:hAnsi="宋体"/>
          <w:color w:val="auto"/>
          <w:kern w:val="0"/>
          <w:szCs w:val="21"/>
        </w:rPr>
        <w:t>。</w:t>
      </w:r>
    </w:p>
    <w:p>
      <w:pPr>
        <w:spacing w:beforeLines="50" w:afterLines="50" w:line="360" w:lineRule="exact"/>
        <w:rPr>
          <w:rFonts w:ascii="黑体" w:eastAsia="黑体"/>
          <w:color w:val="auto"/>
          <w:szCs w:val="21"/>
        </w:rPr>
      </w:pPr>
      <w:r>
        <w:rPr>
          <w:rFonts w:hint="eastAsia" w:ascii="黑体" w:eastAsia="黑体"/>
          <w:color w:val="auto"/>
          <w:szCs w:val="21"/>
        </w:rPr>
        <w:t>5.5 废水排放</w:t>
      </w:r>
    </w:p>
    <w:p>
      <w:pPr>
        <w:widowControl/>
        <w:adjustRightInd w:val="0"/>
        <w:snapToGrid w:val="0"/>
        <w:spacing w:line="360" w:lineRule="exact"/>
        <w:ind w:firstLine="420" w:firstLineChars="200"/>
        <w:jc w:val="left"/>
        <w:rPr>
          <w:rFonts w:asciiTheme="minorEastAsia" w:hAnsiTheme="minorEastAsia" w:eastAsiaTheme="minorEastAsia" w:cstheme="minorBidi"/>
          <w:color w:val="auto"/>
          <w:kern w:val="0"/>
          <w:szCs w:val="21"/>
        </w:rPr>
      </w:pPr>
      <w:r>
        <w:rPr>
          <w:rFonts w:hint="eastAsia" w:asciiTheme="minorEastAsia" w:hAnsiTheme="minorEastAsia" w:eastAsiaTheme="minorEastAsia" w:cstheme="minorBidi"/>
          <w:color w:val="auto"/>
          <w:kern w:val="0"/>
          <w:szCs w:val="21"/>
        </w:rPr>
        <w:t>环境属性中水污染物排放浓度限值</w:t>
      </w:r>
      <w:r>
        <w:rPr>
          <w:rFonts w:hint="eastAsia" w:hAnsi="宋体"/>
          <w:color w:val="auto"/>
          <w:kern w:val="0"/>
          <w:szCs w:val="21"/>
        </w:rPr>
        <w:t>废水排放依据GB 8978-1996《</w:t>
      </w:r>
      <w:r>
        <w:rPr>
          <w:rFonts w:hint="eastAsia"/>
          <w:color w:val="auto"/>
          <w:szCs w:val="21"/>
        </w:rPr>
        <w:t>污水综合排放标准</w:t>
      </w:r>
      <w:r>
        <w:rPr>
          <w:rFonts w:hint="eastAsia" w:hAnsi="宋体"/>
          <w:color w:val="auto"/>
          <w:kern w:val="0"/>
          <w:szCs w:val="21"/>
        </w:rPr>
        <w:t>》中二级标准选取作为基准值（见表</w:t>
      </w:r>
      <w:r>
        <w:rPr>
          <w:rFonts w:hint="eastAsia" w:hAnsi="宋体"/>
          <w:color w:val="auto"/>
          <w:kern w:val="0"/>
          <w:szCs w:val="21"/>
          <w:lang w:val="en-US" w:eastAsia="zh-CN"/>
        </w:rPr>
        <w:t>8</w:t>
      </w:r>
      <w:r>
        <w:rPr>
          <w:rFonts w:hint="eastAsia" w:hAnsi="宋体"/>
          <w:color w:val="auto"/>
          <w:kern w:val="0"/>
          <w:szCs w:val="21"/>
        </w:rPr>
        <w:t>），重点控制污染物中的一类污染源和二类污染源中的PH值、悬浮物、</w:t>
      </w:r>
      <w:r>
        <w:rPr>
          <w:rFonts w:hint="eastAsia" w:ascii="宋体" w:hAnsi="宋体" w:cs="Tahoma"/>
          <w:color w:val="auto"/>
          <w:szCs w:val="21"/>
        </w:rPr>
        <w:t>化学需氧量、氨氮、总铜、总氮、总磷等的浓度</w:t>
      </w:r>
      <w:r>
        <w:rPr>
          <w:rFonts w:hint="eastAsia" w:asciiTheme="minorEastAsia" w:hAnsiTheme="minorEastAsia" w:eastAsiaTheme="minorEastAsia" w:cstheme="minorBidi"/>
          <w:color w:val="auto"/>
          <w:kern w:val="0"/>
          <w:szCs w:val="21"/>
        </w:rPr>
        <w:t>，各企业废水排放情况统计见表</w:t>
      </w:r>
      <w:r>
        <w:rPr>
          <w:rFonts w:hint="eastAsia" w:asciiTheme="minorEastAsia" w:hAnsiTheme="minorEastAsia" w:eastAsiaTheme="minorEastAsia" w:cstheme="minorBidi"/>
          <w:color w:val="auto"/>
          <w:kern w:val="0"/>
          <w:szCs w:val="21"/>
          <w:lang w:val="en-US" w:eastAsia="zh-CN"/>
        </w:rPr>
        <w:t>9</w:t>
      </w:r>
      <w:r>
        <w:rPr>
          <w:rFonts w:hint="eastAsia" w:asciiTheme="minorEastAsia" w:hAnsiTheme="minorEastAsia" w:eastAsiaTheme="minorEastAsia" w:cstheme="minorBidi"/>
          <w:color w:val="auto"/>
          <w:kern w:val="0"/>
          <w:szCs w:val="21"/>
        </w:rPr>
        <w:t>。</w:t>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黑体" w:hAnsi="黑体" w:eastAsia="黑体"/>
          <w:color w:val="auto"/>
          <w:szCs w:val="21"/>
        </w:rPr>
      </w:pPr>
      <w:r>
        <w:rPr>
          <w:rFonts w:hint="eastAsia" w:ascii="黑体" w:hAnsi="黑体" w:eastAsia="黑体"/>
          <w:color w:val="auto"/>
          <w:szCs w:val="21"/>
        </w:rPr>
        <w:t>表</w:t>
      </w:r>
      <w:r>
        <w:rPr>
          <w:rFonts w:hint="eastAsia" w:ascii="黑体" w:hAnsi="黑体" w:eastAsia="黑体"/>
          <w:color w:val="auto"/>
          <w:szCs w:val="21"/>
          <w:lang w:val="en-US" w:eastAsia="zh-CN"/>
        </w:rPr>
        <w:t>8</w:t>
      </w:r>
      <w:r>
        <w:rPr>
          <w:rFonts w:hint="eastAsia" w:ascii="黑体" w:hAnsi="黑体" w:eastAsia="黑体"/>
          <w:color w:val="auto"/>
          <w:szCs w:val="21"/>
        </w:rPr>
        <w:t xml:space="preserve">  GB 8978-1996 标准污水放污染物最高允许排放浓度</w:t>
      </w:r>
    </w:p>
    <w:tbl>
      <w:tblPr>
        <w:tblStyle w:val="8"/>
        <w:tblW w:w="10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567"/>
        <w:gridCol w:w="650"/>
        <w:gridCol w:w="967"/>
        <w:gridCol w:w="1048"/>
        <w:gridCol w:w="992"/>
        <w:gridCol w:w="851"/>
        <w:gridCol w:w="850"/>
        <w:gridCol w:w="936"/>
        <w:gridCol w:w="907"/>
        <w:gridCol w:w="85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62" w:type="dxa"/>
            <w:gridSpan w:val="2"/>
            <w:vMerge w:val="restart"/>
            <w:tcBorders>
              <w:top w:val="single" w:color="auto" w:sz="6" w:space="0"/>
              <w:left w:val="single" w:color="auto" w:sz="6" w:space="0"/>
              <w:right w:val="single" w:color="auto" w:sz="6" w:space="0"/>
            </w:tcBorders>
            <w:vAlign w:val="center"/>
          </w:tcPr>
          <w:p>
            <w:pPr>
              <w:adjustRightInd w:val="0"/>
              <w:snapToGrid w:val="0"/>
              <w:jc w:val="center"/>
              <w:rPr>
                <w:rFonts w:ascii="宋体" w:hAnsi="宋体"/>
                <w:b/>
                <w:color w:val="auto"/>
                <w:kern w:val="0"/>
                <w:sz w:val="18"/>
                <w:szCs w:val="18"/>
              </w:rPr>
            </w:pPr>
            <w:r>
              <w:rPr>
                <w:rFonts w:hint="eastAsia" w:ascii="宋体" w:hAnsi="宋体"/>
                <w:b/>
                <w:color w:val="auto"/>
                <w:kern w:val="0"/>
                <w:sz w:val="18"/>
                <w:szCs w:val="18"/>
              </w:rPr>
              <w:t>级别</w:t>
            </w:r>
          </w:p>
        </w:tc>
        <w:tc>
          <w:tcPr>
            <w:tcW w:w="6294" w:type="dxa"/>
            <w:gridSpan w:val="7"/>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第二类污染物</w:t>
            </w:r>
          </w:p>
        </w:tc>
        <w:tc>
          <w:tcPr>
            <w:tcW w:w="907"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auto"/>
                <w:kern w:val="0"/>
                <w:sz w:val="18"/>
                <w:szCs w:val="18"/>
              </w:rPr>
            </w:pPr>
          </w:p>
        </w:tc>
        <w:tc>
          <w:tcPr>
            <w:tcW w:w="2551" w:type="dxa"/>
            <w:gridSpan w:val="3"/>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auto"/>
                <w:kern w:val="0"/>
                <w:sz w:val="18"/>
                <w:szCs w:val="18"/>
              </w:rPr>
            </w:pPr>
            <w:r>
              <w:rPr>
                <w:rFonts w:hint="eastAsia" w:ascii="宋体" w:hAnsi="宋体"/>
                <w:color w:val="auto"/>
                <w:kern w:val="0"/>
                <w:sz w:val="18"/>
                <w:szCs w:val="18"/>
              </w:rPr>
              <w:t>第一类污染源（不分级）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62" w:type="dxa"/>
            <w:gridSpan w:val="2"/>
            <w:vMerge w:val="continue"/>
            <w:tcBorders>
              <w:left w:val="single" w:color="auto" w:sz="6" w:space="0"/>
              <w:bottom w:val="single" w:color="auto" w:sz="6" w:space="0"/>
              <w:right w:val="single" w:color="auto" w:sz="6" w:space="0"/>
            </w:tcBorders>
            <w:vAlign w:val="center"/>
          </w:tcPr>
          <w:p>
            <w:pPr>
              <w:adjustRightInd w:val="0"/>
              <w:snapToGrid w:val="0"/>
              <w:jc w:val="center"/>
              <w:rPr>
                <w:rFonts w:ascii="宋体" w:hAnsi="宋体"/>
                <w:b/>
                <w:color w:val="auto"/>
                <w:kern w:val="0"/>
                <w:sz w:val="18"/>
                <w:szCs w:val="18"/>
              </w:rPr>
            </w:pPr>
          </w:p>
        </w:tc>
        <w:tc>
          <w:tcPr>
            <w:tcW w:w="6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z w:val="18"/>
                <w:szCs w:val="18"/>
              </w:rPr>
            </w:pPr>
            <w:r>
              <w:rPr>
                <w:rFonts w:ascii="宋体" w:hAnsi="宋体" w:cs="Tahoma"/>
                <w:color w:val="auto"/>
                <w:sz w:val="18"/>
                <w:szCs w:val="18"/>
              </w:rPr>
              <w:t>pH</w:t>
            </w:r>
            <w:r>
              <w:rPr>
                <w:rFonts w:hint="eastAsia" w:ascii="宋体" w:hAnsi="宋体" w:cs="Tahoma"/>
                <w:color w:val="auto"/>
                <w:sz w:val="18"/>
                <w:szCs w:val="18"/>
              </w:rPr>
              <w:t>值</w:t>
            </w:r>
          </w:p>
        </w:tc>
        <w:tc>
          <w:tcPr>
            <w:tcW w:w="96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vertAlign w:val="subscript"/>
              </w:rPr>
            </w:pPr>
            <w:r>
              <w:rPr>
                <w:rFonts w:hint="eastAsia" w:ascii="宋体" w:hAnsi="宋体"/>
                <w:color w:val="auto"/>
                <w:kern w:val="0"/>
                <w:sz w:val="18"/>
                <w:szCs w:val="18"/>
              </w:rPr>
              <w:t>悬浮物</w:t>
            </w:r>
          </w:p>
          <w:p>
            <w:pPr>
              <w:spacing w:line="240" w:lineRule="exact"/>
              <w:jc w:val="center"/>
              <w:rPr>
                <w:rFonts w:ascii="宋体" w:hAnsi="宋体"/>
                <w:color w:val="auto"/>
                <w:sz w:val="18"/>
                <w:szCs w:val="18"/>
              </w:rPr>
            </w:pPr>
            <w:r>
              <w:rPr>
                <w:rFonts w:hint="eastAsia" w:ascii="宋体" w:hAnsi="宋体"/>
                <w:color w:val="auto"/>
                <w:kern w:val="0"/>
                <w:sz w:val="18"/>
                <w:szCs w:val="18"/>
              </w:rPr>
              <w:t>（mg/L）</w:t>
            </w:r>
          </w:p>
        </w:tc>
        <w:tc>
          <w:tcPr>
            <w:tcW w:w="1048"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auto"/>
                <w:kern w:val="0"/>
                <w:sz w:val="18"/>
                <w:szCs w:val="18"/>
              </w:rPr>
            </w:pPr>
            <w:r>
              <w:rPr>
                <w:rFonts w:hint="eastAsia" w:ascii="宋体" w:hAnsi="宋体"/>
                <w:color w:val="auto"/>
                <w:kern w:val="0"/>
                <w:sz w:val="18"/>
                <w:szCs w:val="18"/>
              </w:rPr>
              <w:t>化学需氧量（mg/L）</w:t>
            </w:r>
          </w:p>
        </w:tc>
        <w:tc>
          <w:tcPr>
            <w:tcW w:w="992"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auto"/>
                <w:kern w:val="0"/>
                <w:sz w:val="18"/>
                <w:szCs w:val="18"/>
              </w:rPr>
            </w:pPr>
            <w:r>
              <w:rPr>
                <w:rFonts w:hint="eastAsia" w:ascii="宋体" w:hAnsi="宋体"/>
                <w:color w:val="auto"/>
                <w:kern w:val="0"/>
                <w:sz w:val="18"/>
                <w:szCs w:val="18"/>
              </w:rPr>
              <w:t>氨氮</w:t>
            </w:r>
          </w:p>
          <w:p>
            <w:pPr>
              <w:spacing w:line="240" w:lineRule="exact"/>
              <w:jc w:val="center"/>
              <w:rPr>
                <w:rFonts w:ascii="宋体" w:hAnsi="宋体"/>
                <w:color w:val="auto"/>
                <w:kern w:val="0"/>
                <w:sz w:val="18"/>
                <w:szCs w:val="18"/>
              </w:rPr>
            </w:pPr>
            <w:r>
              <w:rPr>
                <w:rFonts w:hint="eastAsia" w:ascii="宋体" w:hAnsi="宋体"/>
                <w:color w:val="auto"/>
                <w:kern w:val="0"/>
                <w:sz w:val="18"/>
                <w:szCs w:val="18"/>
              </w:rPr>
              <w:t>（mg/m</w:t>
            </w:r>
            <w:r>
              <w:rPr>
                <w:rFonts w:hint="eastAsia" w:ascii="宋体" w:hAnsi="宋体"/>
                <w:color w:val="auto"/>
                <w:kern w:val="0"/>
                <w:sz w:val="18"/>
                <w:szCs w:val="18"/>
                <w:vertAlign w:val="superscript"/>
              </w:rPr>
              <w:t>3</w:t>
            </w:r>
            <w:r>
              <w:rPr>
                <w:rFonts w:hint="eastAsia" w:ascii="宋体" w:hAnsi="宋体"/>
                <w:color w:val="auto"/>
                <w:kern w:val="0"/>
                <w:sz w:val="18"/>
                <w:szCs w:val="18"/>
              </w:rPr>
              <w:t>）</w:t>
            </w:r>
          </w:p>
        </w:tc>
        <w:tc>
          <w:tcPr>
            <w:tcW w:w="851"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auto"/>
                <w:kern w:val="0"/>
                <w:sz w:val="18"/>
                <w:szCs w:val="18"/>
              </w:rPr>
            </w:pPr>
            <w:r>
              <w:rPr>
                <w:rFonts w:hint="eastAsia" w:ascii="宋体" w:hAnsi="宋体"/>
                <w:color w:val="auto"/>
                <w:kern w:val="0"/>
                <w:sz w:val="18"/>
                <w:szCs w:val="18"/>
              </w:rPr>
              <w:t>总铜</w:t>
            </w:r>
          </w:p>
          <w:p>
            <w:pPr>
              <w:spacing w:line="240" w:lineRule="exact"/>
              <w:jc w:val="center"/>
              <w:rPr>
                <w:rFonts w:ascii="宋体" w:hAnsi="宋体"/>
                <w:color w:val="auto"/>
                <w:kern w:val="0"/>
                <w:sz w:val="18"/>
                <w:szCs w:val="18"/>
              </w:rPr>
            </w:pPr>
            <w:r>
              <w:rPr>
                <w:rFonts w:hint="eastAsia" w:ascii="宋体" w:hAnsi="宋体"/>
                <w:color w:val="auto"/>
                <w:kern w:val="0"/>
                <w:sz w:val="18"/>
                <w:szCs w:val="18"/>
              </w:rPr>
              <w:t>（mg/L）</w:t>
            </w:r>
          </w:p>
        </w:tc>
        <w:tc>
          <w:tcPr>
            <w:tcW w:w="850"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auto"/>
                <w:kern w:val="0"/>
                <w:sz w:val="18"/>
                <w:szCs w:val="18"/>
              </w:rPr>
            </w:pPr>
            <w:r>
              <w:rPr>
                <w:rFonts w:hint="eastAsia" w:ascii="宋体" w:hAnsi="宋体"/>
                <w:color w:val="auto"/>
                <w:kern w:val="0"/>
                <w:sz w:val="18"/>
                <w:szCs w:val="18"/>
              </w:rPr>
              <w:t>总锌</w:t>
            </w:r>
          </w:p>
          <w:p>
            <w:pPr>
              <w:spacing w:line="240" w:lineRule="exact"/>
              <w:jc w:val="center"/>
              <w:rPr>
                <w:rFonts w:ascii="宋体" w:hAnsi="宋体"/>
                <w:color w:val="auto"/>
                <w:kern w:val="0"/>
                <w:sz w:val="18"/>
                <w:szCs w:val="18"/>
              </w:rPr>
            </w:pPr>
            <w:r>
              <w:rPr>
                <w:rFonts w:hint="eastAsia" w:ascii="宋体" w:hAnsi="宋体"/>
                <w:color w:val="auto"/>
                <w:kern w:val="0"/>
                <w:sz w:val="18"/>
                <w:szCs w:val="18"/>
              </w:rPr>
              <w:t>（mg/L）</w:t>
            </w:r>
          </w:p>
        </w:tc>
        <w:tc>
          <w:tcPr>
            <w:tcW w:w="936"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auto"/>
                <w:kern w:val="0"/>
                <w:sz w:val="18"/>
                <w:szCs w:val="18"/>
              </w:rPr>
            </w:pPr>
            <w:r>
              <w:rPr>
                <w:rFonts w:hint="eastAsia" w:ascii="宋体" w:hAnsi="宋体"/>
                <w:color w:val="auto"/>
                <w:kern w:val="0"/>
                <w:sz w:val="18"/>
                <w:szCs w:val="18"/>
              </w:rPr>
              <w:t>元素磷（mg/L）</w:t>
            </w:r>
          </w:p>
        </w:tc>
        <w:tc>
          <w:tcPr>
            <w:tcW w:w="907"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auto"/>
                <w:kern w:val="0"/>
                <w:sz w:val="18"/>
                <w:szCs w:val="18"/>
              </w:rPr>
            </w:pPr>
            <w:r>
              <w:rPr>
                <w:rFonts w:hint="eastAsia" w:ascii="宋体" w:hAnsi="宋体"/>
                <w:color w:val="auto"/>
                <w:kern w:val="0"/>
                <w:sz w:val="18"/>
                <w:szCs w:val="18"/>
              </w:rPr>
              <w:t>总氮（mg/L）</w:t>
            </w:r>
          </w:p>
        </w:tc>
        <w:tc>
          <w:tcPr>
            <w:tcW w:w="850"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auto"/>
                <w:kern w:val="0"/>
                <w:sz w:val="18"/>
                <w:szCs w:val="18"/>
              </w:rPr>
            </w:pPr>
            <w:r>
              <w:rPr>
                <w:rFonts w:hint="eastAsia" w:ascii="宋体" w:hAnsi="宋体"/>
                <w:color w:val="auto"/>
                <w:kern w:val="0"/>
                <w:sz w:val="18"/>
                <w:szCs w:val="18"/>
              </w:rPr>
              <w:t>总铅</w:t>
            </w:r>
          </w:p>
          <w:p>
            <w:pPr>
              <w:spacing w:line="240" w:lineRule="exact"/>
              <w:jc w:val="center"/>
              <w:rPr>
                <w:rFonts w:ascii="宋体" w:hAnsi="宋体"/>
                <w:color w:val="auto"/>
                <w:kern w:val="0"/>
                <w:sz w:val="18"/>
                <w:szCs w:val="18"/>
              </w:rPr>
            </w:pPr>
            <w:r>
              <w:rPr>
                <w:rFonts w:hint="eastAsia" w:ascii="宋体" w:hAnsi="宋体"/>
                <w:color w:val="auto"/>
                <w:kern w:val="0"/>
                <w:sz w:val="18"/>
                <w:szCs w:val="18"/>
              </w:rPr>
              <w:t>（mg/L）</w:t>
            </w:r>
          </w:p>
        </w:tc>
        <w:tc>
          <w:tcPr>
            <w:tcW w:w="851"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auto"/>
                <w:kern w:val="0"/>
                <w:sz w:val="18"/>
                <w:szCs w:val="18"/>
              </w:rPr>
            </w:pPr>
            <w:r>
              <w:rPr>
                <w:rFonts w:hint="eastAsia" w:ascii="宋体" w:hAnsi="宋体"/>
                <w:color w:val="auto"/>
                <w:kern w:val="0"/>
                <w:sz w:val="18"/>
                <w:szCs w:val="18"/>
              </w:rPr>
              <w:t>总镍</w:t>
            </w:r>
          </w:p>
          <w:p>
            <w:pPr>
              <w:spacing w:line="240" w:lineRule="exact"/>
              <w:jc w:val="center"/>
              <w:rPr>
                <w:rFonts w:ascii="宋体" w:hAnsi="宋体"/>
                <w:color w:val="auto"/>
                <w:kern w:val="0"/>
                <w:sz w:val="18"/>
                <w:szCs w:val="18"/>
              </w:rPr>
            </w:pPr>
            <w:r>
              <w:rPr>
                <w:rFonts w:hint="eastAsia" w:ascii="宋体" w:hAnsi="宋体"/>
                <w:color w:val="auto"/>
                <w:kern w:val="0"/>
                <w:sz w:val="18"/>
                <w:szCs w:val="18"/>
              </w:rPr>
              <w:t>（mg/L）</w:t>
            </w:r>
          </w:p>
        </w:tc>
        <w:tc>
          <w:tcPr>
            <w:tcW w:w="850"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auto"/>
                <w:kern w:val="0"/>
                <w:sz w:val="18"/>
                <w:szCs w:val="18"/>
              </w:rPr>
            </w:pPr>
            <w:r>
              <w:rPr>
                <w:rFonts w:hint="eastAsia" w:ascii="宋体" w:hAnsi="宋体"/>
                <w:color w:val="auto"/>
                <w:kern w:val="0"/>
                <w:sz w:val="18"/>
                <w:szCs w:val="18"/>
              </w:rPr>
              <w:t>总铬</w:t>
            </w:r>
          </w:p>
          <w:p>
            <w:pPr>
              <w:spacing w:line="240" w:lineRule="exact"/>
              <w:jc w:val="center"/>
              <w:rPr>
                <w:rFonts w:ascii="宋体" w:hAnsi="宋体"/>
                <w:color w:val="auto"/>
                <w:kern w:val="0"/>
                <w:sz w:val="18"/>
                <w:szCs w:val="18"/>
              </w:rPr>
            </w:pPr>
            <w:r>
              <w:rPr>
                <w:rFonts w:hint="eastAsia" w:ascii="宋体" w:hAnsi="宋体"/>
                <w:color w:val="auto"/>
                <w:kern w:val="0"/>
                <w:sz w:val="18"/>
                <w:szCs w:val="18"/>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5" w:type="dxa"/>
            <w:vMerge w:val="restart"/>
            <w:tcBorders>
              <w:top w:val="single" w:color="auto" w:sz="6" w:space="0"/>
              <w:left w:val="single" w:color="auto" w:sz="6" w:space="0"/>
              <w:right w:val="single" w:color="auto" w:sz="4" w:space="0"/>
            </w:tcBorders>
            <w:vAlign w:val="center"/>
          </w:tcPr>
          <w:p>
            <w:pPr>
              <w:adjustRightInd w:val="0"/>
              <w:snapToGrid w:val="0"/>
              <w:jc w:val="center"/>
              <w:rPr>
                <w:rFonts w:ascii="宋体" w:hAnsi="宋体"/>
                <w:color w:val="auto"/>
                <w:kern w:val="0"/>
                <w:sz w:val="15"/>
                <w:szCs w:val="15"/>
              </w:rPr>
            </w:pPr>
            <w:r>
              <w:rPr>
                <w:rFonts w:hint="eastAsia" w:ascii="宋体" w:hAnsi="宋体"/>
                <w:color w:val="auto"/>
                <w:kern w:val="0"/>
                <w:sz w:val="15"/>
                <w:szCs w:val="15"/>
              </w:rPr>
              <w:t>1997.12.31之前</w:t>
            </w:r>
          </w:p>
        </w:tc>
        <w:tc>
          <w:tcPr>
            <w:tcW w:w="567"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color w:val="auto"/>
                <w:kern w:val="0"/>
                <w:sz w:val="15"/>
                <w:szCs w:val="15"/>
              </w:rPr>
            </w:pPr>
            <w:r>
              <w:rPr>
                <w:rFonts w:hint="eastAsia" w:ascii="宋体" w:hAnsi="宋体"/>
                <w:color w:val="auto"/>
                <w:kern w:val="0"/>
                <w:sz w:val="15"/>
                <w:szCs w:val="15"/>
              </w:rPr>
              <w:t>一级</w:t>
            </w:r>
          </w:p>
        </w:tc>
        <w:tc>
          <w:tcPr>
            <w:tcW w:w="6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z w:val="18"/>
                <w:szCs w:val="18"/>
              </w:rPr>
            </w:pPr>
            <w:r>
              <w:rPr>
                <w:rFonts w:hint="eastAsia" w:ascii="宋体" w:hAnsi="宋体"/>
                <w:color w:val="auto"/>
                <w:sz w:val="18"/>
                <w:szCs w:val="18"/>
              </w:rPr>
              <w:t>6-9</w:t>
            </w:r>
          </w:p>
        </w:tc>
        <w:tc>
          <w:tcPr>
            <w:tcW w:w="9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z w:val="18"/>
                <w:szCs w:val="18"/>
              </w:rPr>
            </w:pPr>
            <w:r>
              <w:rPr>
                <w:rFonts w:hint="eastAsia" w:ascii="宋体" w:hAnsi="宋体"/>
                <w:color w:val="auto"/>
                <w:sz w:val="18"/>
                <w:szCs w:val="18"/>
              </w:rPr>
              <w:t>70</w:t>
            </w:r>
          </w:p>
        </w:tc>
        <w:tc>
          <w:tcPr>
            <w:tcW w:w="1048"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100</w:t>
            </w:r>
          </w:p>
        </w:tc>
        <w:tc>
          <w:tcPr>
            <w:tcW w:w="992"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15</w:t>
            </w:r>
          </w:p>
        </w:tc>
        <w:tc>
          <w:tcPr>
            <w:tcW w:w="851"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0.5</w:t>
            </w:r>
          </w:p>
        </w:tc>
        <w:tc>
          <w:tcPr>
            <w:tcW w:w="850"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2.0</w:t>
            </w:r>
          </w:p>
        </w:tc>
        <w:tc>
          <w:tcPr>
            <w:tcW w:w="936"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0.1</w:t>
            </w:r>
          </w:p>
        </w:tc>
        <w:tc>
          <w:tcPr>
            <w:tcW w:w="907"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p>
        </w:tc>
        <w:tc>
          <w:tcPr>
            <w:tcW w:w="850" w:type="dxa"/>
            <w:vMerge w:val="restart"/>
            <w:tcBorders>
              <w:top w:val="single" w:color="auto" w:sz="6" w:space="0"/>
              <w:left w:val="single" w:color="auto" w:sz="6" w:space="0"/>
              <w:right w:val="single" w:color="auto" w:sz="6" w:space="0"/>
            </w:tcBorders>
            <w:vAlign w:val="center"/>
          </w:tcPr>
          <w:p>
            <w:pPr>
              <w:jc w:val="center"/>
              <w:rPr>
                <w:rFonts w:ascii="宋体" w:hAnsi="宋体"/>
                <w:b/>
                <w:color w:val="auto"/>
                <w:kern w:val="0"/>
                <w:sz w:val="18"/>
                <w:szCs w:val="18"/>
              </w:rPr>
            </w:pPr>
            <w:r>
              <w:rPr>
                <w:rFonts w:hint="eastAsia" w:ascii="宋体" w:hAnsi="宋体"/>
                <w:b/>
                <w:color w:val="auto"/>
                <w:kern w:val="0"/>
                <w:sz w:val="18"/>
                <w:szCs w:val="18"/>
              </w:rPr>
              <w:t>1.0</w:t>
            </w:r>
          </w:p>
        </w:tc>
        <w:tc>
          <w:tcPr>
            <w:tcW w:w="851" w:type="dxa"/>
            <w:vMerge w:val="restart"/>
            <w:tcBorders>
              <w:top w:val="single" w:color="auto" w:sz="6" w:space="0"/>
              <w:left w:val="single" w:color="auto" w:sz="6" w:space="0"/>
              <w:right w:val="single" w:color="auto" w:sz="6" w:space="0"/>
            </w:tcBorders>
            <w:vAlign w:val="center"/>
          </w:tcPr>
          <w:p>
            <w:pPr>
              <w:jc w:val="center"/>
              <w:rPr>
                <w:rFonts w:ascii="宋体" w:hAnsi="宋体"/>
                <w:b/>
                <w:color w:val="auto"/>
                <w:kern w:val="0"/>
                <w:sz w:val="18"/>
                <w:szCs w:val="18"/>
              </w:rPr>
            </w:pPr>
            <w:r>
              <w:rPr>
                <w:rFonts w:hint="eastAsia" w:ascii="宋体" w:hAnsi="宋体"/>
                <w:b/>
                <w:color w:val="auto"/>
                <w:kern w:val="0"/>
                <w:sz w:val="18"/>
                <w:szCs w:val="18"/>
              </w:rPr>
              <w:t>1.0</w:t>
            </w:r>
          </w:p>
        </w:tc>
        <w:tc>
          <w:tcPr>
            <w:tcW w:w="850" w:type="dxa"/>
            <w:vMerge w:val="restart"/>
            <w:tcBorders>
              <w:top w:val="single" w:color="auto" w:sz="6" w:space="0"/>
              <w:left w:val="single" w:color="auto" w:sz="6" w:space="0"/>
              <w:right w:val="single" w:color="auto" w:sz="6" w:space="0"/>
            </w:tcBorders>
            <w:vAlign w:val="center"/>
          </w:tcPr>
          <w:p>
            <w:pPr>
              <w:jc w:val="center"/>
              <w:rPr>
                <w:rFonts w:ascii="宋体" w:hAnsi="宋体"/>
                <w:b/>
                <w:color w:val="auto"/>
                <w:kern w:val="0"/>
                <w:sz w:val="18"/>
                <w:szCs w:val="18"/>
              </w:rPr>
            </w:pPr>
            <w:r>
              <w:rPr>
                <w:rFonts w:hint="eastAsia" w:ascii="宋体" w:hAnsi="宋体"/>
                <w:b/>
                <w:color w:val="auto"/>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5" w:type="dxa"/>
            <w:vMerge w:val="continue"/>
            <w:tcBorders>
              <w:left w:val="single" w:color="auto" w:sz="6" w:space="0"/>
              <w:right w:val="single" w:color="auto" w:sz="4" w:space="0"/>
            </w:tcBorders>
            <w:vAlign w:val="center"/>
          </w:tcPr>
          <w:p>
            <w:pPr>
              <w:adjustRightInd w:val="0"/>
              <w:snapToGrid w:val="0"/>
              <w:jc w:val="center"/>
              <w:rPr>
                <w:rFonts w:ascii="宋体" w:hAnsi="宋体"/>
                <w:color w:val="auto"/>
                <w:kern w:val="0"/>
                <w:sz w:val="15"/>
                <w:szCs w:val="15"/>
              </w:rPr>
            </w:pPr>
          </w:p>
        </w:tc>
        <w:tc>
          <w:tcPr>
            <w:tcW w:w="567"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
                <w:color w:val="auto"/>
                <w:kern w:val="0"/>
                <w:sz w:val="15"/>
                <w:szCs w:val="15"/>
              </w:rPr>
            </w:pPr>
            <w:r>
              <w:rPr>
                <w:rFonts w:hint="eastAsia" w:ascii="宋体" w:hAnsi="宋体"/>
                <w:b/>
                <w:color w:val="auto"/>
                <w:kern w:val="0"/>
                <w:sz w:val="15"/>
                <w:szCs w:val="15"/>
              </w:rPr>
              <w:t>二级</w:t>
            </w:r>
          </w:p>
        </w:tc>
        <w:tc>
          <w:tcPr>
            <w:tcW w:w="6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color w:val="auto"/>
                <w:sz w:val="18"/>
                <w:szCs w:val="18"/>
              </w:rPr>
            </w:pPr>
            <w:r>
              <w:rPr>
                <w:rFonts w:hint="eastAsia" w:ascii="宋体" w:hAnsi="宋体"/>
                <w:b/>
                <w:color w:val="auto"/>
                <w:sz w:val="18"/>
                <w:szCs w:val="18"/>
              </w:rPr>
              <w:t>6-9</w:t>
            </w:r>
          </w:p>
        </w:tc>
        <w:tc>
          <w:tcPr>
            <w:tcW w:w="9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color w:val="auto"/>
                <w:sz w:val="18"/>
                <w:szCs w:val="18"/>
              </w:rPr>
            </w:pPr>
            <w:r>
              <w:rPr>
                <w:rFonts w:hint="eastAsia" w:ascii="宋体" w:hAnsi="宋体"/>
                <w:b/>
                <w:color w:val="auto"/>
                <w:sz w:val="18"/>
                <w:szCs w:val="18"/>
              </w:rPr>
              <w:t>200</w:t>
            </w:r>
          </w:p>
        </w:tc>
        <w:tc>
          <w:tcPr>
            <w:tcW w:w="1048" w:type="dxa"/>
            <w:tcBorders>
              <w:top w:val="single" w:color="auto" w:sz="6" w:space="0"/>
              <w:left w:val="single" w:color="auto" w:sz="6" w:space="0"/>
              <w:bottom w:val="single" w:color="auto" w:sz="6" w:space="0"/>
              <w:right w:val="single" w:color="auto" w:sz="6" w:space="0"/>
            </w:tcBorders>
          </w:tcPr>
          <w:p>
            <w:pPr>
              <w:jc w:val="center"/>
              <w:rPr>
                <w:rFonts w:ascii="宋体" w:hAnsi="宋体"/>
                <w:b/>
                <w:color w:val="auto"/>
                <w:kern w:val="0"/>
                <w:sz w:val="18"/>
                <w:szCs w:val="18"/>
              </w:rPr>
            </w:pPr>
            <w:r>
              <w:rPr>
                <w:rFonts w:hint="eastAsia" w:ascii="宋体" w:hAnsi="宋体"/>
                <w:b/>
                <w:color w:val="auto"/>
                <w:kern w:val="0"/>
                <w:sz w:val="18"/>
                <w:szCs w:val="18"/>
              </w:rPr>
              <w:t>150</w:t>
            </w:r>
          </w:p>
        </w:tc>
        <w:tc>
          <w:tcPr>
            <w:tcW w:w="992" w:type="dxa"/>
            <w:tcBorders>
              <w:top w:val="single" w:color="auto" w:sz="6" w:space="0"/>
              <w:left w:val="single" w:color="auto" w:sz="6" w:space="0"/>
              <w:bottom w:val="single" w:color="auto" w:sz="6" w:space="0"/>
              <w:right w:val="single" w:color="auto" w:sz="6" w:space="0"/>
            </w:tcBorders>
          </w:tcPr>
          <w:p>
            <w:pPr>
              <w:jc w:val="center"/>
              <w:rPr>
                <w:rFonts w:ascii="宋体" w:hAnsi="宋体"/>
                <w:b/>
                <w:color w:val="auto"/>
                <w:kern w:val="0"/>
                <w:sz w:val="18"/>
                <w:szCs w:val="18"/>
              </w:rPr>
            </w:pPr>
            <w:r>
              <w:rPr>
                <w:rFonts w:hint="eastAsia" w:ascii="宋体" w:hAnsi="宋体"/>
                <w:b/>
                <w:color w:val="auto"/>
                <w:kern w:val="0"/>
                <w:sz w:val="18"/>
                <w:szCs w:val="18"/>
              </w:rPr>
              <w:t>25</w:t>
            </w:r>
          </w:p>
        </w:tc>
        <w:tc>
          <w:tcPr>
            <w:tcW w:w="851" w:type="dxa"/>
            <w:tcBorders>
              <w:top w:val="single" w:color="auto" w:sz="6" w:space="0"/>
              <w:left w:val="single" w:color="auto" w:sz="6" w:space="0"/>
              <w:bottom w:val="single" w:color="auto" w:sz="6" w:space="0"/>
              <w:right w:val="single" w:color="auto" w:sz="6" w:space="0"/>
            </w:tcBorders>
          </w:tcPr>
          <w:p>
            <w:pPr>
              <w:jc w:val="center"/>
              <w:rPr>
                <w:rFonts w:ascii="宋体" w:hAnsi="宋体"/>
                <w:b/>
                <w:color w:val="auto"/>
                <w:kern w:val="0"/>
                <w:sz w:val="18"/>
                <w:szCs w:val="18"/>
              </w:rPr>
            </w:pPr>
            <w:r>
              <w:rPr>
                <w:rFonts w:hint="eastAsia" w:ascii="宋体" w:hAnsi="宋体"/>
                <w:b/>
                <w:color w:val="auto"/>
                <w:kern w:val="0"/>
                <w:sz w:val="18"/>
                <w:szCs w:val="18"/>
              </w:rPr>
              <w:t>1.0</w:t>
            </w:r>
          </w:p>
        </w:tc>
        <w:tc>
          <w:tcPr>
            <w:tcW w:w="850" w:type="dxa"/>
            <w:tcBorders>
              <w:top w:val="single" w:color="auto" w:sz="6" w:space="0"/>
              <w:left w:val="single" w:color="auto" w:sz="6" w:space="0"/>
              <w:bottom w:val="single" w:color="auto" w:sz="6" w:space="0"/>
              <w:right w:val="single" w:color="auto" w:sz="6" w:space="0"/>
            </w:tcBorders>
          </w:tcPr>
          <w:p>
            <w:pPr>
              <w:jc w:val="center"/>
              <w:rPr>
                <w:rFonts w:ascii="宋体" w:hAnsi="宋体"/>
                <w:b/>
                <w:color w:val="auto"/>
                <w:kern w:val="0"/>
                <w:sz w:val="18"/>
                <w:szCs w:val="18"/>
              </w:rPr>
            </w:pPr>
            <w:r>
              <w:rPr>
                <w:rFonts w:hint="eastAsia" w:ascii="宋体" w:hAnsi="宋体"/>
                <w:b/>
                <w:color w:val="auto"/>
                <w:kern w:val="0"/>
                <w:sz w:val="18"/>
                <w:szCs w:val="18"/>
              </w:rPr>
              <w:t>5.0</w:t>
            </w:r>
          </w:p>
        </w:tc>
        <w:tc>
          <w:tcPr>
            <w:tcW w:w="936" w:type="dxa"/>
            <w:tcBorders>
              <w:top w:val="single" w:color="auto" w:sz="6" w:space="0"/>
              <w:left w:val="single" w:color="auto" w:sz="6" w:space="0"/>
              <w:bottom w:val="single" w:color="auto" w:sz="6" w:space="0"/>
              <w:right w:val="single" w:color="auto" w:sz="6" w:space="0"/>
            </w:tcBorders>
          </w:tcPr>
          <w:p>
            <w:pPr>
              <w:jc w:val="center"/>
              <w:rPr>
                <w:rFonts w:ascii="宋体" w:hAnsi="宋体"/>
                <w:b/>
                <w:color w:val="auto"/>
                <w:kern w:val="0"/>
                <w:sz w:val="18"/>
                <w:szCs w:val="18"/>
              </w:rPr>
            </w:pPr>
            <w:r>
              <w:rPr>
                <w:rFonts w:hint="eastAsia" w:ascii="宋体" w:hAnsi="宋体"/>
                <w:b/>
                <w:color w:val="auto"/>
                <w:kern w:val="0"/>
                <w:sz w:val="18"/>
                <w:szCs w:val="18"/>
              </w:rPr>
              <w:t>0.3</w:t>
            </w:r>
          </w:p>
        </w:tc>
        <w:tc>
          <w:tcPr>
            <w:tcW w:w="907"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p>
        </w:tc>
        <w:tc>
          <w:tcPr>
            <w:tcW w:w="850" w:type="dxa"/>
            <w:vMerge w:val="continue"/>
            <w:tcBorders>
              <w:left w:val="single" w:color="auto" w:sz="6" w:space="0"/>
              <w:right w:val="single" w:color="auto" w:sz="6" w:space="0"/>
            </w:tcBorders>
          </w:tcPr>
          <w:p>
            <w:pPr>
              <w:jc w:val="center"/>
              <w:rPr>
                <w:rFonts w:ascii="宋体" w:hAnsi="宋体"/>
                <w:color w:val="auto"/>
                <w:kern w:val="0"/>
                <w:sz w:val="18"/>
                <w:szCs w:val="18"/>
              </w:rPr>
            </w:pPr>
          </w:p>
        </w:tc>
        <w:tc>
          <w:tcPr>
            <w:tcW w:w="851" w:type="dxa"/>
            <w:vMerge w:val="continue"/>
            <w:tcBorders>
              <w:left w:val="single" w:color="auto" w:sz="6" w:space="0"/>
              <w:right w:val="single" w:color="auto" w:sz="6" w:space="0"/>
            </w:tcBorders>
          </w:tcPr>
          <w:p>
            <w:pPr>
              <w:jc w:val="center"/>
              <w:rPr>
                <w:rFonts w:ascii="宋体" w:hAnsi="宋体"/>
                <w:color w:val="auto"/>
                <w:kern w:val="0"/>
                <w:sz w:val="18"/>
                <w:szCs w:val="18"/>
              </w:rPr>
            </w:pPr>
          </w:p>
        </w:tc>
        <w:tc>
          <w:tcPr>
            <w:tcW w:w="850" w:type="dxa"/>
            <w:vMerge w:val="continue"/>
            <w:tcBorders>
              <w:left w:val="single" w:color="auto" w:sz="6" w:space="0"/>
              <w:right w:val="single" w:color="auto" w:sz="6" w:space="0"/>
            </w:tcBorders>
          </w:tcPr>
          <w:p>
            <w:pPr>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5" w:type="dxa"/>
            <w:vMerge w:val="continue"/>
            <w:tcBorders>
              <w:left w:val="single" w:color="auto" w:sz="6" w:space="0"/>
              <w:bottom w:val="single" w:color="auto" w:sz="6" w:space="0"/>
              <w:right w:val="single" w:color="auto" w:sz="4" w:space="0"/>
            </w:tcBorders>
            <w:vAlign w:val="center"/>
          </w:tcPr>
          <w:p>
            <w:pPr>
              <w:adjustRightInd w:val="0"/>
              <w:snapToGrid w:val="0"/>
              <w:jc w:val="center"/>
              <w:rPr>
                <w:rFonts w:ascii="宋体" w:hAnsi="宋体"/>
                <w:color w:val="auto"/>
                <w:kern w:val="0"/>
                <w:sz w:val="15"/>
                <w:szCs w:val="15"/>
              </w:rPr>
            </w:pPr>
          </w:p>
        </w:tc>
        <w:tc>
          <w:tcPr>
            <w:tcW w:w="567"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color w:val="auto"/>
                <w:kern w:val="0"/>
                <w:sz w:val="15"/>
                <w:szCs w:val="15"/>
              </w:rPr>
            </w:pPr>
            <w:r>
              <w:rPr>
                <w:rFonts w:hint="eastAsia" w:ascii="宋体" w:hAnsi="宋体"/>
                <w:color w:val="auto"/>
                <w:kern w:val="0"/>
                <w:sz w:val="15"/>
                <w:szCs w:val="15"/>
              </w:rPr>
              <w:t>三级</w:t>
            </w:r>
          </w:p>
        </w:tc>
        <w:tc>
          <w:tcPr>
            <w:tcW w:w="6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z w:val="18"/>
                <w:szCs w:val="18"/>
              </w:rPr>
            </w:pPr>
            <w:r>
              <w:rPr>
                <w:rFonts w:hint="eastAsia" w:ascii="宋体" w:hAnsi="宋体"/>
                <w:color w:val="auto"/>
                <w:sz w:val="18"/>
                <w:szCs w:val="18"/>
              </w:rPr>
              <w:t>6-9</w:t>
            </w:r>
          </w:p>
        </w:tc>
        <w:tc>
          <w:tcPr>
            <w:tcW w:w="9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z w:val="18"/>
                <w:szCs w:val="18"/>
              </w:rPr>
            </w:pPr>
            <w:r>
              <w:rPr>
                <w:rFonts w:hint="eastAsia" w:ascii="宋体" w:hAnsi="宋体"/>
                <w:color w:val="auto"/>
                <w:sz w:val="18"/>
                <w:szCs w:val="18"/>
              </w:rPr>
              <w:t>400</w:t>
            </w:r>
          </w:p>
        </w:tc>
        <w:tc>
          <w:tcPr>
            <w:tcW w:w="1048"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500</w:t>
            </w:r>
          </w:p>
        </w:tc>
        <w:tc>
          <w:tcPr>
            <w:tcW w:w="992"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w:t>
            </w:r>
          </w:p>
        </w:tc>
        <w:tc>
          <w:tcPr>
            <w:tcW w:w="851"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2.0</w:t>
            </w:r>
          </w:p>
        </w:tc>
        <w:tc>
          <w:tcPr>
            <w:tcW w:w="850"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5.0</w:t>
            </w:r>
          </w:p>
        </w:tc>
        <w:tc>
          <w:tcPr>
            <w:tcW w:w="936"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0.3</w:t>
            </w:r>
          </w:p>
        </w:tc>
        <w:tc>
          <w:tcPr>
            <w:tcW w:w="907"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p>
        </w:tc>
        <w:tc>
          <w:tcPr>
            <w:tcW w:w="850" w:type="dxa"/>
            <w:vMerge w:val="continue"/>
            <w:tcBorders>
              <w:left w:val="single" w:color="auto" w:sz="6" w:space="0"/>
              <w:right w:val="single" w:color="auto" w:sz="6" w:space="0"/>
            </w:tcBorders>
          </w:tcPr>
          <w:p>
            <w:pPr>
              <w:jc w:val="center"/>
              <w:rPr>
                <w:rFonts w:ascii="宋体" w:hAnsi="宋体"/>
                <w:color w:val="auto"/>
                <w:kern w:val="0"/>
                <w:sz w:val="18"/>
                <w:szCs w:val="18"/>
              </w:rPr>
            </w:pPr>
          </w:p>
        </w:tc>
        <w:tc>
          <w:tcPr>
            <w:tcW w:w="851" w:type="dxa"/>
            <w:vMerge w:val="continue"/>
            <w:tcBorders>
              <w:left w:val="single" w:color="auto" w:sz="6" w:space="0"/>
              <w:right w:val="single" w:color="auto" w:sz="6" w:space="0"/>
            </w:tcBorders>
          </w:tcPr>
          <w:p>
            <w:pPr>
              <w:jc w:val="center"/>
              <w:rPr>
                <w:rFonts w:ascii="宋体" w:hAnsi="宋体"/>
                <w:color w:val="auto"/>
                <w:kern w:val="0"/>
                <w:sz w:val="18"/>
                <w:szCs w:val="18"/>
              </w:rPr>
            </w:pPr>
          </w:p>
        </w:tc>
        <w:tc>
          <w:tcPr>
            <w:tcW w:w="850" w:type="dxa"/>
            <w:vMerge w:val="continue"/>
            <w:tcBorders>
              <w:left w:val="single" w:color="auto" w:sz="6" w:space="0"/>
              <w:right w:val="single" w:color="auto" w:sz="6" w:space="0"/>
            </w:tcBorders>
          </w:tcPr>
          <w:p>
            <w:pPr>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5" w:type="dxa"/>
            <w:vMerge w:val="restart"/>
            <w:tcBorders>
              <w:top w:val="single" w:color="auto" w:sz="6" w:space="0"/>
              <w:left w:val="single" w:color="auto" w:sz="6" w:space="0"/>
              <w:right w:val="single" w:color="auto" w:sz="4" w:space="0"/>
            </w:tcBorders>
            <w:vAlign w:val="center"/>
          </w:tcPr>
          <w:p>
            <w:pPr>
              <w:adjustRightInd w:val="0"/>
              <w:snapToGrid w:val="0"/>
              <w:jc w:val="center"/>
              <w:rPr>
                <w:rFonts w:ascii="宋体" w:hAnsi="宋体"/>
                <w:color w:val="auto"/>
                <w:kern w:val="0"/>
                <w:sz w:val="15"/>
                <w:szCs w:val="15"/>
              </w:rPr>
            </w:pPr>
            <w:r>
              <w:rPr>
                <w:rFonts w:hint="eastAsia" w:ascii="宋体" w:hAnsi="宋体"/>
                <w:color w:val="auto"/>
                <w:kern w:val="0"/>
                <w:sz w:val="15"/>
                <w:szCs w:val="15"/>
              </w:rPr>
              <w:t>1998.01.01之后</w:t>
            </w:r>
          </w:p>
        </w:tc>
        <w:tc>
          <w:tcPr>
            <w:tcW w:w="567"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color w:val="auto"/>
                <w:kern w:val="0"/>
                <w:sz w:val="15"/>
                <w:szCs w:val="15"/>
              </w:rPr>
            </w:pPr>
            <w:r>
              <w:rPr>
                <w:rFonts w:hint="eastAsia" w:ascii="宋体" w:hAnsi="宋体"/>
                <w:color w:val="auto"/>
                <w:kern w:val="0"/>
                <w:sz w:val="15"/>
                <w:szCs w:val="15"/>
              </w:rPr>
              <w:t>一级</w:t>
            </w:r>
          </w:p>
        </w:tc>
        <w:tc>
          <w:tcPr>
            <w:tcW w:w="6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z w:val="18"/>
                <w:szCs w:val="18"/>
              </w:rPr>
            </w:pPr>
            <w:r>
              <w:rPr>
                <w:rFonts w:hint="eastAsia" w:ascii="宋体" w:hAnsi="宋体"/>
                <w:color w:val="auto"/>
                <w:sz w:val="18"/>
                <w:szCs w:val="18"/>
              </w:rPr>
              <w:t>6-9</w:t>
            </w:r>
          </w:p>
        </w:tc>
        <w:tc>
          <w:tcPr>
            <w:tcW w:w="9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r>
              <w:rPr>
                <w:rFonts w:hint="eastAsia" w:ascii="宋体" w:hAnsi="宋体"/>
                <w:color w:val="auto"/>
                <w:kern w:val="0"/>
                <w:sz w:val="18"/>
                <w:szCs w:val="18"/>
              </w:rPr>
              <w:t>70</w:t>
            </w:r>
          </w:p>
        </w:tc>
        <w:tc>
          <w:tcPr>
            <w:tcW w:w="1048"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100</w:t>
            </w:r>
          </w:p>
        </w:tc>
        <w:tc>
          <w:tcPr>
            <w:tcW w:w="992"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15</w:t>
            </w:r>
          </w:p>
        </w:tc>
        <w:tc>
          <w:tcPr>
            <w:tcW w:w="851"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0.5</w:t>
            </w:r>
          </w:p>
        </w:tc>
        <w:tc>
          <w:tcPr>
            <w:tcW w:w="850"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2.0</w:t>
            </w:r>
          </w:p>
        </w:tc>
        <w:tc>
          <w:tcPr>
            <w:tcW w:w="936"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0.1</w:t>
            </w:r>
          </w:p>
        </w:tc>
        <w:tc>
          <w:tcPr>
            <w:tcW w:w="907"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p>
        </w:tc>
        <w:tc>
          <w:tcPr>
            <w:tcW w:w="850" w:type="dxa"/>
            <w:vMerge w:val="continue"/>
            <w:tcBorders>
              <w:left w:val="single" w:color="auto" w:sz="6" w:space="0"/>
              <w:right w:val="single" w:color="auto" w:sz="6" w:space="0"/>
            </w:tcBorders>
          </w:tcPr>
          <w:p>
            <w:pPr>
              <w:jc w:val="center"/>
              <w:rPr>
                <w:rFonts w:ascii="宋体" w:hAnsi="宋体"/>
                <w:color w:val="auto"/>
                <w:kern w:val="0"/>
                <w:sz w:val="18"/>
                <w:szCs w:val="18"/>
              </w:rPr>
            </w:pPr>
          </w:p>
        </w:tc>
        <w:tc>
          <w:tcPr>
            <w:tcW w:w="851" w:type="dxa"/>
            <w:vMerge w:val="continue"/>
            <w:tcBorders>
              <w:left w:val="single" w:color="auto" w:sz="6" w:space="0"/>
              <w:right w:val="single" w:color="auto" w:sz="6" w:space="0"/>
            </w:tcBorders>
          </w:tcPr>
          <w:p>
            <w:pPr>
              <w:jc w:val="center"/>
              <w:rPr>
                <w:rFonts w:ascii="宋体" w:hAnsi="宋体"/>
                <w:color w:val="auto"/>
                <w:kern w:val="0"/>
                <w:sz w:val="18"/>
                <w:szCs w:val="18"/>
              </w:rPr>
            </w:pPr>
          </w:p>
        </w:tc>
        <w:tc>
          <w:tcPr>
            <w:tcW w:w="850" w:type="dxa"/>
            <w:vMerge w:val="continue"/>
            <w:tcBorders>
              <w:left w:val="single" w:color="auto" w:sz="6" w:space="0"/>
              <w:right w:val="single" w:color="auto" w:sz="6" w:space="0"/>
            </w:tcBorders>
          </w:tcPr>
          <w:p>
            <w:pPr>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5" w:type="dxa"/>
            <w:vMerge w:val="continue"/>
            <w:tcBorders>
              <w:left w:val="single" w:color="auto" w:sz="6" w:space="0"/>
              <w:right w:val="single" w:color="auto" w:sz="4" w:space="0"/>
            </w:tcBorders>
            <w:vAlign w:val="center"/>
          </w:tcPr>
          <w:p>
            <w:pPr>
              <w:adjustRightInd w:val="0"/>
              <w:snapToGrid w:val="0"/>
              <w:jc w:val="center"/>
              <w:rPr>
                <w:rFonts w:ascii="宋体" w:hAnsi="宋体"/>
                <w:color w:val="auto"/>
                <w:kern w:val="0"/>
                <w:sz w:val="18"/>
                <w:szCs w:val="18"/>
              </w:rPr>
            </w:pPr>
          </w:p>
        </w:tc>
        <w:tc>
          <w:tcPr>
            <w:tcW w:w="567"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
                <w:color w:val="auto"/>
                <w:kern w:val="0"/>
                <w:sz w:val="15"/>
                <w:szCs w:val="15"/>
              </w:rPr>
            </w:pPr>
            <w:r>
              <w:rPr>
                <w:rFonts w:hint="eastAsia" w:ascii="宋体" w:hAnsi="宋体"/>
                <w:b/>
                <w:color w:val="auto"/>
                <w:kern w:val="0"/>
                <w:sz w:val="15"/>
                <w:szCs w:val="15"/>
              </w:rPr>
              <w:t>二级</w:t>
            </w:r>
          </w:p>
        </w:tc>
        <w:tc>
          <w:tcPr>
            <w:tcW w:w="6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color w:val="auto"/>
                <w:sz w:val="18"/>
                <w:szCs w:val="18"/>
              </w:rPr>
            </w:pPr>
            <w:r>
              <w:rPr>
                <w:rFonts w:hint="eastAsia" w:ascii="宋体" w:hAnsi="宋体"/>
                <w:b/>
                <w:color w:val="auto"/>
                <w:sz w:val="18"/>
                <w:szCs w:val="18"/>
              </w:rPr>
              <w:t>6-9</w:t>
            </w:r>
          </w:p>
        </w:tc>
        <w:tc>
          <w:tcPr>
            <w:tcW w:w="9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color w:val="auto"/>
                <w:kern w:val="0"/>
                <w:sz w:val="18"/>
                <w:szCs w:val="18"/>
              </w:rPr>
            </w:pPr>
            <w:r>
              <w:rPr>
                <w:rFonts w:hint="eastAsia" w:ascii="宋体" w:hAnsi="宋体"/>
                <w:b/>
                <w:color w:val="auto"/>
                <w:kern w:val="0"/>
                <w:sz w:val="18"/>
                <w:szCs w:val="18"/>
              </w:rPr>
              <w:t>150</w:t>
            </w:r>
          </w:p>
        </w:tc>
        <w:tc>
          <w:tcPr>
            <w:tcW w:w="1048" w:type="dxa"/>
            <w:tcBorders>
              <w:top w:val="single" w:color="auto" w:sz="6" w:space="0"/>
              <w:left w:val="single" w:color="auto" w:sz="6" w:space="0"/>
              <w:bottom w:val="single" w:color="auto" w:sz="6" w:space="0"/>
              <w:right w:val="single" w:color="auto" w:sz="6" w:space="0"/>
            </w:tcBorders>
          </w:tcPr>
          <w:p>
            <w:pPr>
              <w:jc w:val="center"/>
              <w:rPr>
                <w:rFonts w:ascii="宋体" w:hAnsi="宋体"/>
                <w:b/>
                <w:color w:val="auto"/>
                <w:kern w:val="0"/>
                <w:sz w:val="18"/>
                <w:szCs w:val="18"/>
              </w:rPr>
            </w:pPr>
            <w:r>
              <w:rPr>
                <w:rFonts w:hint="eastAsia" w:ascii="宋体" w:hAnsi="宋体"/>
                <w:b/>
                <w:color w:val="auto"/>
                <w:kern w:val="0"/>
                <w:sz w:val="18"/>
                <w:szCs w:val="18"/>
              </w:rPr>
              <w:t>150</w:t>
            </w:r>
          </w:p>
        </w:tc>
        <w:tc>
          <w:tcPr>
            <w:tcW w:w="992" w:type="dxa"/>
            <w:tcBorders>
              <w:top w:val="single" w:color="auto" w:sz="6" w:space="0"/>
              <w:left w:val="single" w:color="auto" w:sz="6" w:space="0"/>
              <w:bottom w:val="single" w:color="auto" w:sz="6" w:space="0"/>
              <w:right w:val="single" w:color="auto" w:sz="6" w:space="0"/>
            </w:tcBorders>
          </w:tcPr>
          <w:p>
            <w:pPr>
              <w:jc w:val="center"/>
              <w:rPr>
                <w:rFonts w:ascii="宋体" w:hAnsi="宋体"/>
                <w:b/>
                <w:color w:val="auto"/>
                <w:kern w:val="0"/>
                <w:sz w:val="18"/>
                <w:szCs w:val="18"/>
              </w:rPr>
            </w:pPr>
            <w:r>
              <w:rPr>
                <w:rFonts w:hint="eastAsia" w:ascii="宋体" w:hAnsi="宋体"/>
                <w:b/>
                <w:color w:val="auto"/>
                <w:kern w:val="0"/>
                <w:sz w:val="18"/>
                <w:szCs w:val="18"/>
              </w:rPr>
              <w:t>25</w:t>
            </w:r>
          </w:p>
        </w:tc>
        <w:tc>
          <w:tcPr>
            <w:tcW w:w="851" w:type="dxa"/>
            <w:tcBorders>
              <w:top w:val="single" w:color="auto" w:sz="6" w:space="0"/>
              <w:left w:val="single" w:color="auto" w:sz="6" w:space="0"/>
              <w:bottom w:val="single" w:color="auto" w:sz="6" w:space="0"/>
              <w:right w:val="single" w:color="auto" w:sz="6" w:space="0"/>
            </w:tcBorders>
          </w:tcPr>
          <w:p>
            <w:pPr>
              <w:jc w:val="center"/>
              <w:rPr>
                <w:rFonts w:ascii="宋体" w:hAnsi="宋体"/>
                <w:b/>
                <w:color w:val="auto"/>
                <w:kern w:val="0"/>
                <w:sz w:val="18"/>
                <w:szCs w:val="18"/>
              </w:rPr>
            </w:pPr>
            <w:r>
              <w:rPr>
                <w:rFonts w:hint="eastAsia" w:ascii="宋体" w:hAnsi="宋体"/>
                <w:b/>
                <w:color w:val="auto"/>
                <w:kern w:val="0"/>
                <w:sz w:val="18"/>
                <w:szCs w:val="18"/>
              </w:rPr>
              <w:t>1.0</w:t>
            </w:r>
          </w:p>
        </w:tc>
        <w:tc>
          <w:tcPr>
            <w:tcW w:w="850" w:type="dxa"/>
            <w:tcBorders>
              <w:top w:val="single" w:color="auto" w:sz="6" w:space="0"/>
              <w:left w:val="single" w:color="auto" w:sz="6" w:space="0"/>
              <w:bottom w:val="single" w:color="auto" w:sz="6" w:space="0"/>
              <w:right w:val="single" w:color="auto" w:sz="6" w:space="0"/>
            </w:tcBorders>
          </w:tcPr>
          <w:p>
            <w:pPr>
              <w:jc w:val="center"/>
              <w:rPr>
                <w:rFonts w:ascii="宋体" w:hAnsi="宋体"/>
                <w:b/>
                <w:color w:val="auto"/>
                <w:kern w:val="0"/>
                <w:sz w:val="18"/>
                <w:szCs w:val="18"/>
              </w:rPr>
            </w:pPr>
            <w:r>
              <w:rPr>
                <w:rFonts w:hint="eastAsia" w:ascii="宋体" w:hAnsi="宋体"/>
                <w:b/>
                <w:color w:val="auto"/>
                <w:kern w:val="0"/>
                <w:sz w:val="18"/>
                <w:szCs w:val="18"/>
              </w:rPr>
              <w:t>5.0</w:t>
            </w:r>
          </w:p>
        </w:tc>
        <w:tc>
          <w:tcPr>
            <w:tcW w:w="936" w:type="dxa"/>
            <w:tcBorders>
              <w:top w:val="single" w:color="auto" w:sz="6" w:space="0"/>
              <w:left w:val="single" w:color="auto" w:sz="6" w:space="0"/>
              <w:bottom w:val="single" w:color="auto" w:sz="6" w:space="0"/>
              <w:right w:val="single" w:color="auto" w:sz="6" w:space="0"/>
            </w:tcBorders>
          </w:tcPr>
          <w:p>
            <w:pPr>
              <w:jc w:val="center"/>
              <w:rPr>
                <w:rFonts w:ascii="宋体" w:hAnsi="宋体"/>
                <w:b/>
                <w:color w:val="auto"/>
                <w:kern w:val="0"/>
                <w:sz w:val="18"/>
                <w:szCs w:val="18"/>
              </w:rPr>
            </w:pPr>
            <w:r>
              <w:rPr>
                <w:rFonts w:hint="eastAsia" w:ascii="宋体" w:hAnsi="宋体"/>
                <w:b/>
                <w:color w:val="auto"/>
                <w:kern w:val="0"/>
                <w:sz w:val="18"/>
                <w:szCs w:val="18"/>
              </w:rPr>
              <w:t>0.1</w:t>
            </w:r>
          </w:p>
        </w:tc>
        <w:tc>
          <w:tcPr>
            <w:tcW w:w="907" w:type="dxa"/>
            <w:tcBorders>
              <w:top w:val="single" w:color="auto" w:sz="6" w:space="0"/>
              <w:left w:val="single" w:color="auto" w:sz="6" w:space="0"/>
              <w:bottom w:val="single" w:color="auto" w:sz="6" w:space="0"/>
              <w:right w:val="single" w:color="auto" w:sz="6" w:space="0"/>
            </w:tcBorders>
          </w:tcPr>
          <w:p>
            <w:pPr>
              <w:jc w:val="center"/>
              <w:rPr>
                <w:rFonts w:ascii="宋体" w:hAnsi="宋体"/>
                <w:b/>
                <w:color w:val="auto"/>
                <w:kern w:val="0"/>
                <w:sz w:val="18"/>
                <w:szCs w:val="18"/>
              </w:rPr>
            </w:pPr>
          </w:p>
        </w:tc>
        <w:tc>
          <w:tcPr>
            <w:tcW w:w="850" w:type="dxa"/>
            <w:vMerge w:val="continue"/>
            <w:tcBorders>
              <w:left w:val="single" w:color="auto" w:sz="6" w:space="0"/>
              <w:right w:val="single" w:color="auto" w:sz="6" w:space="0"/>
            </w:tcBorders>
          </w:tcPr>
          <w:p>
            <w:pPr>
              <w:jc w:val="center"/>
              <w:rPr>
                <w:rFonts w:ascii="宋体" w:hAnsi="宋体"/>
                <w:color w:val="auto"/>
                <w:kern w:val="0"/>
                <w:sz w:val="18"/>
                <w:szCs w:val="18"/>
              </w:rPr>
            </w:pPr>
          </w:p>
        </w:tc>
        <w:tc>
          <w:tcPr>
            <w:tcW w:w="851" w:type="dxa"/>
            <w:vMerge w:val="continue"/>
            <w:tcBorders>
              <w:left w:val="single" w:color="auto" w:sz="6" w:space="0"/>
              <w:right w:val="single" w:color="auto" w:sz="6" w:space="0"/>
            </w:tcBorders>
          </w:tcPr>
          <w:p>
            <w:pPr>
              <w:jc w:val="center"/>
              <w:rPr>
                <w:rFonts w:ascii="宋体" w:hAnsi="宋体"/>
                <w:color w:val="auto"/>
                <w:kern w:val="0"/>
                <w:sz w:val="18"/>
                <w:szCs w:val="18"/>
              </w:rPr>
            </w:pPr>
          </w:p>
        </w:tc>
        <w:tc>
          <w:tcPr>
            <w:tcW w:w="850" w:type="dxa"/>
            <w:vMerge w:val="continue"/>
            <w:tcBorders>
              <w:left w:val="single" w:color="auto" w:sz="6" w:space="0"/>
              <w:right w:val="single" w:color="auto" w:sz="6" w:space="0"/>
            </w:tcBorders>
          </w:tcPr>
          <w:p>
            <w:pPr>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5" w:type="dxa"/>
            <w:vMerge w:val="continue"/>
            <w:tcBorders>
              <w:left w:val="single" w:color="auto" w:sz="6" w:space="0"/>
              <w:bottom w:val="single" w:color="auto" w:sz="6" w:space="0"/>
              <w:right w:val="single" w:color="auto" w:sz="4" w:space="0"/>
            </w:tcBorders>
            <w:vAlign w:val="center"/>
          </w:tcPr>
          <w:p>
            <w:pPr>
              <w:adjustRightInd w:val="0"/>
              <w:snapToGrid w:val="0"/>
              <w:jc w:val="center"/>
              <w:rPr>
                <w:rFonts w:ascii="宋体" w:hAnsi="宋体"/>
                <w:color w:val="auto"/>
                <w:kern w:val="0"/>
                <w:sz w:val="18"/>
                <w:szCs w:val="18"/>
              </w:rPr>
            </w:pPr>
          </w:p>
        </w:tc>
        <w:tc>
          <w:tcPr>
            <w:tcW w:w="567"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color w:val="auto"/>
                <w:kern w:val="0"/>
                <w:sz w:val="15"/>
                <w:szCs w:val="15"/>
              </w:rPr>
            </w:pPr>
            <w:r>
              <w:rPr>
                <w:rFonts w:hint="eastAsia" w:ascii="宋体" w:hAnsi="宋体"/>
                <w:color w:val="auto"/>
                <w:kern w:val="0"/>
                <w:sz w:val="15"/>
                <w:szCs w:val="15"/>
              </w:rPr>
              <w:t>三级</w:t>
            </w:r>
          </w:p>
        </w:tc>
        <w:tc>
          <w:tcPr>
            <w:tcW w:w="6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z w:val="18"/>
                <w:szCs w:val="18"/>
              </w:rPr>
            </w:pPr>
            <w:r>
              <w:rPr>
                <w:rFonts w:hint="eastAsia" w:ascii="宋体" w:hAnsi="宋体"/>
                <w:color w:val="auto"/>
                <w:sz w:val="18"/>
                <w:szCs w:val="18"/>
              </w:rPr>
              <w:t>6-9</w:t>
            </w:r>
          </w:p>
        </w:tc>
        <w:tc>
          <w:tcPr>
            <w:tcW w:w="9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r>
              <w:rPr>
                <w:rFonts w:hint="eastAsia" w:ascii="宋体" w:hAnsi="宋体"/>
                <w:color w:val="auto"/>
                <w:kern w:val="0"/>
                <w:sz w:val="18"/>
                <w:szCs w:val="18"/>
              </w:rPr>
              <w:t>400</w:t>
            </w:r>
          </w:p>
        </w:tc>
        <w:tc>
          <w:tcPr>
            <w:tcW w:w="1048"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500</w:t>
            </w:r>
          </w:p>
        </w:tc>
        <w:tc>
          <w:tcPr>
            <w:tcW w:w="992"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w:t>
            </w:r>
          </w:p>
        </w:tc>
        <w:tc>
          <w:tcPr>
            <w:tcW w:w="851"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2.0</w:t>
            </w:r>
          </w:p>
        </w:tc>
        <w:tc>
          <w:tcPr>
            <w:tcW w:w="850"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5.0</w:t>
            </w:r>
          </w:p>
        </w:tc>
        <w:tc>
          <w:tcPr>
            <w:tcW w:w="936"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0.3</w:t>
            </w:r>
          </w:p>
        </w:tc>
        <w:tc>
          <w:tcPr>
            <w:tcW w:w="907"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p>
        </w:tc>
        <w:tc>
          <w:tcPr>
            <w:tcW w:w="850" w:type="dxa"/>
            <w:vMerge w:val="continue"/>
            <w:tcBorders>
              <w:left w:val="single" w:color="auto" w:sz="6" w:space="0"/>
              <w:bottom w:val="single" w:color="auto" w:sz="6" w:space="0"/>
              <w:right w:val="single" w:color="auto" w:sz="6" w:space="0"/>
            </w:tcBorders>
          </w:tcPr>
          <w:p>
            <w:pPr>
              <w:jc w:val="center"/>
              <w:rPr>
                <w:rFonts w:ascii="宋体" w:hAnsi="宋体"/>
                <w:color w:val="auto"/>
                <w:kern w:val="0"/>
                <w:sz w:val="18"/>
                <w:szCs w:val="18"/>
              </w:rPr>
            </w:pPr>
          </w:p>
        </w:tc>
        <w:tc>
          <w:tcPr>
            <w:tcW w:w="851" w:type="dxa"/>
            <w:vMerge w:val="continue"/>
            <w:tcBorders>
              <w:left w:val="single" w:color="auto" w:sz="6" w:space="0"/>
              <w:bottom w:val="single" w:color="auto" w:sz="6" w:space="0"/>
              <w:right w:val="single" w:color="auto" w:sz="6" w:space="0"/>
            </w:tcBorders>
          </w:tcPr>
          <w:p>
            <w:pPr>
              <w:jc w:val="center"/>
              <w:rPr>
                <w:rFonts w:ascii="宋体" w:hAnsi="宋体"/>
                <w:color w:val="auto"/>
                <w:kern w:val="0"/>
                <w:sz w:val="18"/>
                <w:szCs w:val="18"/>
              </w:rPr>
            </w:pPr>
          </w:p>
        </w:tc>
        <w:tc>
          <w:tcPr>
            <w:tcW w:w="850" w:type="dxa"/>
            <w:vMerge w:val="continue"/>
            <w:tcBorders>
              <w:left w:val="single" w:color="auto" w:sz="6" w:space="0"/>
              <w:bottom w:val="single" w:color="auto" w:sz="6" w:space="0"/>
              <w:right w:val="single" w:color="auto" w:sz="6" w:space="0"/>
            </w:tcBorders>
          </w:tcPr>
          <w:p>
            <w:pPr>
              <w:jc w:val="center"/>
              <w:rPr>
                <w:rFonts w:ascii="宋体" w:hAnsi="宋体"/>
                <w:color w:val="auto"/>
                <w:kern w:val="0"/>
                <w:sz w:val="18"/>
                <w:szCs w:val="18"/>
              </w:rPr>
            </w:pPr>
          </w:p>
        </w:tc>
      </w:tr>
    </w:tbl>
    <w:p>
      <w:pPr>
        <w:widowControl/>
        <w:spacing w:line="360" w:lineRule="exact"/>
        <w:jc w:val="center"/>
        <w:rPr>
          <w:rFonts w:hint="eastAsia" w:ascii="黑体" w:hAnsi="黑体" w:eastAsia="黑体"/>
          <w:color w:val="auto"/>
          <w:szCs w:val="21"/>
        </w:rPr>
      </w:pPr>
    </w:p>
    <w:p>
      <w:pPr>
        <w:widowControl/>
        <w:spacing w:line="360" w:lineRule="exact"/>
        <w:jc w:val="center"/>
        <w:rPr>
          <w:rFonts w:ascii="黑体" w:hAnsi="黑体" w:eastAsia="黑体"/>
          <w:color w:val="auto"/>
          <w:szCs w:val="21"/>
        </w:rPr>
      </w:pPr>
      <w:r>
        <w:rPr>
          <w:rFonts w:hint="eastAsia" w:ascii="黑体" w:hAnsi="黑体" w:eastAsia="黑体"/>
          <w:color w:val="auto"/>
          <w:szCs w:val="21"/>
        </w:rPr>
        <w:t>表</w:t>
      </w:r>
      <w:r>
        <w:rPr>
          <w:rFonts w:hint="eastAsia" w:ascii="黑体" w:hAnsi="黑体" w:eastAsia="黑体"/>
          <w:color w:val="auto"/>
          <w:szCs w:val="21"/>
          <w:lang w:val="en-US" w:eastAsia="zh-CN"/>
        </w:rPr>
        <w:t>9</w:t>
      </w:r>
      <w:r>
        <w:rPr>
          <w:rFonts w:hint="eastAsia" w:ascii="黑体" w:hAnsi="黑体" w:eastAsia="黑体"/>
          <w:color w:val="auto"/>
          <w:szCs w:val="21"/>
        </w:rPr>
        <w:t xml:space="preserve">  企业废水污排放情况统计</w:t>
      </w:r>
    </w:p>
    <w:tbl>
      <w:tblPr>
        <w:tblStyle w:val="8"/>
        <w:tblW w:w="10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851"/>
        <w:gridCol w:w="709"/>
        <w:gridCol w:w="992"/>
        <w:gridCol w:w="993"/>
        <w:gridCol w:w="1105"/>
        <w:gridCol w:w="850"/>
        <w:gridCol w:w="936"/>
        <w:gridCol w:w="907"/>
        <w:gridCol w:w="879"/>
        <w:gridCol w:w="82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
                <w:color w:val="auto"/>
                <w:kern w:val="0"/>
                <w:sz w:val="18"/>
                <w:szCs w:val="18"/>
              </w:rPr>
            </w:pPr>
            <w:r>
              <w:rPr>
                <w:rFonts w:hint="eastAsia" w:ascii="宋体" w:hAnsi="宋体"/>
                <w:b/>
                <w:color w:val="auto"/>
                <w:kern w:val="0"/>
                <w:sz w:val="18"/>
                <w:szCs w:val="18"/>
              </w:rPr>
              <w:t>单位</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z w:val="18"/>
                <w:szCs w:val="18"/>
              </w:rPr>
            </w:pPr>
            <w:r>
              <w:rPr>
                <w:rFonts w:ascii="宋体" w:hAnsi="宋体" w:cs="Tahoma"/>
                <w:color w:val="auto"/>
                <w:sz w:val="18"/>
                <w:szCs w:val="18"/>
              </w:rPr>
              <w:t>pH</w:t>
            </w:r>
            <w:r>
              <w:rPr>
                <w:rFonts w:hint="eastAsia" w:ascii="宋体" w:hAnsi="宋体" w:cs="Tahoma"/>
                <w:color w:val="auto"/>
                <w:sz w:val="18"/>
                <w:szCs w:val="18"/>
              </w:rPr>
              <w:t>值</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spacing w:val="-20"/>
                <w:kern w:val="0"/>
                <w:sz w:val="18"/>
                <w:szCs w:val="18"/>
                <w:vertAlign w:val="subscript"/>
              </w:rPr>
            </w:pPr>
            <w:r>
              <w:rPr>
                <w:rFonts w:hint="eastAsia" w:ascii="宋体" w:hAnsi="宋体"/>
                <w:color w:val="auto"/>
                <w:spacing w:val="-20"/>
                <w:kern w:val="0"/>
                <w:sz w:val="18"/>
                <w:szCs w:val="18"/>
              </w:rPr>
              <w:t>悬浮物</w:t>
            </w:r>
          </w:p>
          <w:p>
            <w:pPr>
              <w:spacing w:line="240" w:lineRule="exact"/>
              <w:jc w:val="center"/>
              <w:rPr>
                <w:rFonts w:ascii="宋体" w:hAnsi="宋体"/>
                <w:color w:val="auto"/>
                <w:sz w:val="18"/>
                <w:szCs w:val="18"/>
              </w:rPr>
            </w:pPr>
            <w:r>
              <w:rPr>
                <w:rFonts w:hint="eastAsia" w:ascii="宋体" w:hAnsi="宋体"/>
                <w:color w:val="auto"/>
                <w:spacing w:val="-20"/>
                <w:kern w:val="0"/>
                <w:sz w:val="18"/>
                <w:szCs w:val="18"/>
              </w:rPr>
              <w:t>（mg/L）</w:t>
            </w:r>
          </w:p>
        </w:tc>
        <w:tc>
          <w:tcPr>
            <w:tcW w:w="992"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auto"/>
                <w:kern w:val="0"/>
                <w:sz w:val="18"/>
                <w:szCs w:val="18"/>
              </w:rPr>
            </w:pPr>
            <w:r>
              <w:rPr>
                <w:rFonts w:hint="eastAsia" w:ascii="宋体" w:hAnsi="宋体"/>
                <w:color w:val="auto"/>
                <w:kern w:val="0"/>
                <w:sz w:val="18"/>
                <w:szCs w:val="18"/>
              </w:rPr>
              <w:t>化学需氧量（mg/L）</w:t>
            </w:r>
          </w:p>
        </w:tc>
        <w:tc>
          <w:tcPr>
            <w:tcW w:w="993"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auto"/>
                <w:kern w:val="0"/>
                <w:sz w:val="18"/>
                <w:szCs w:val="18"/>
              </w:rPr>
            </w:pPr>
            <w:r>
              <w:rPr>
                <w:rFonts w:hint="eastAsia" w:ascii="宋体" w:hAnsi="宋体"/>
                <w:color w:val="auto"/>
                <w:kern w:val="0"/>
                <w:sz w:val="18"/>
                <w:szCs w:val="18"/>
              </w:rPr>
              <w:t>氨氮</w:t>
            </w:r>
          </w:p>
          <w:p>
            <w:pPr>
              <w:spacing w:line="240" w:lineRule="exact"/>
              <w:jc w:val="center"/>
              <w:rPr>
                <w:rFonts w:ascii="宋体" w:hAnsi="宋体"/>
                <w:color w:val="auto"/>
                <w:kern w:val="0"/>
                <w:sz w:val="18"/>
                <w:szCs w:val="18"/>
              </w:rPr>
            </w:pPr>
            <w:r>
              <w:rPr>
                <w:rFonts w:hint="eastAsia" w:ascii="宋体" w:hAnsi="宋体"/>
                <w:color w:val="auto"/>
                <w:kern w:val="0"/>
                <w:sz w:val="18"/>
                <w:szCs w:val="18"/>
              </w:rPr>
              <w:t>（mg/m</w:t>
            </w:r>
            <w:r>
              <w:rPr>
                <w:rFonts w:hint="eastAsia" w:ascii="宋体" w:hAnsi="宋体"/>
                <w:color w:val="auto"/>
                <w:kern w:val="0"/>
                <w:sz w:val="18"/>
                <w:szCs w:val="18"/>
                <w:vertAlign w:val="superscript"/>
              </w:rPr>
              <w:t>3</w:t>
            </w:r>
            <w:r>
              <w:rPr>
                <w:rFonts w:hint="eastAsia" w:ascii="宋体" w:hAnsi="宋体"/>
                <w:color w:val="auto"/>
                <w:kern w:val="0"/>
                <w:sz w:val="18"/>
                <w:szCs w:val="18"/>
              </w:rPr>
              <w:t>）</w:t>
            </w:r>
          </w:p>
        </w:tc>
        <w:tc>
          <w:tcPr>
            <w:tcW w:w="1105"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auto"/>
                <w:kern w:val="0"/>
                <w:sz w:val="18"/>
                <w:szCs w:val="18"/>
              </w:rPr>
            </w:pPr>
            <w:r>
              <w:rPr>
                <w:rFonts w:hint="eastAsia" w:ascii="宋体" w:hAnsi="宋体"/>
                <w:color w:val="auto"/>
                <w:kern w:val="0"/>
                <w:sz w:val="18"/>
                <w:szCs w:val="18"/>
              </w:rPr>
              <w:t>总铜</w:t>
            </w:r>
          </w:p>
          <w:p>
            <w:pPr>
              <w:spacing w:line="240" w:lineRule="exact"/>
              <w:jc w:val="center"/>
              <w:rPr>
                <w:rFonts w:ascii="宋体" w:hAnsi="宋体"/>
                <w:color w:val="auto"/>
                <w:kern w:val="0"/>
                <w:sz w:val="18"/>
                <w:szCs w:val="18"/>
              </w:rPr>
            </w:pPr>
            <w:r>
              <w:rPr>
                <w:rFonts w:hint="eastAsia" w:ascii="宋体" w:hAnsi="宋体"/>
                <w:color w:val="auto"/>
                <w:kern w:val="0"/>
                <w:sz w:val="18"/>
                <w:szCs w:val="18"/>
              </w:rPr>
              <w:t>（mg/L）</w:t>
            </w:r>
          </w:p>
        </w:tc>
        <w:tc>
          <w:tcPr>
            <w:tcW w:w="850"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auto"/>
                <w:kern w:val="0"/>
                <w:sz w:val="18"/>
                <w:szCs w:val="18"/>
              </w:rPr>
            </w:pPr>
            <w:r>
              <w:rPr>
                <w:rFonts w:hint="eastAsia" w:ascii="宋体" w:hAnsi="宋体"/>
                <w:color w:val="auto"/>
                <w:kern w:val="0"/>
                <w:sz w:val="18"/>
                <w:szCs w:val="18"/>
              </w:rPr>
              <w:t>总锌</w:t>
            </w:r>
          </w:p>
          <w:p>
            <w:pPr>
              <w:spacing w:line="240" w:lineRule="exact"/>
              <w:jc w:val="center"/>
              <w:rPr>
                <w:rFonts w:ascii="宋体" w:hAnsi="宋体"/>
                <w:color w:val="auto"/>
                <w:kern w:val="0"/>
                <w:sz w:val="18"/>
                <w:szCs w:val="18"/>
              </w:rPr>
            </w:pPr>
            <w:r>
              <w:rPr>
                <w:rFonts w:hint="eastAsia" w:ascii="宋体" w:hAnsi="宋体"/>
                <w:color w:val="auto"/>
                <w:kern w:val="0"/>
                <w:sz w:val="18"/>
                <w:szCs w:val="18"/>
              </w:rPr>
              <w:t>（mg/L）</w:t>
            </w:r>
          </w:p>
        </w:tc>
        <w:tc>
          <w:tcPr>
            <w:tcW w:w="936"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auto"/>
                <w:kern w:val="0"/>
                <w:sz w:val="18"/>
                <w:szCs w:val="18"/>
              </w:rPr>
            </w:pPr>
            <w:r>
              <w:rPr>
                <w:rFonts w:hint="eastAsia" w:ascii="宋体" w:hAnsi="宋体"/>
                <w:color w:val="auto"/>
                <w:kern w:val="0"/>
                <w:sz w:val="18"/>
                <w:szCs w:val="18"/>
              </w:rPr>
              <w:t>总磷（mg/L）</w:t>
            </w:r>
          </w:p>
        </w:tc>
        <w:tc>
          <w:tcPr>
            <w:tcW w:w="907"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auto"/>
                <w:kern w:val="0"/>
                <w:sz w:val="18"/>
                <w:szCs w:val="18"/>
              </w:rPr>
            </w:pPr>
            <w:r>
              <w:rPr>
                <w:rFonts w:hint="eastAsia" w:ascii="宋体" w:hAnsi="宋体"/>
                <w:color w:val="auto"/>
                <w:kern w:val="0"/>
                <w:sz w:val="18"/>
                <w:szCs w:val="18"/>
              </w:rPr>
              <w:t>总氮（mg/L</w:t>
            </w:r>
            <w:r>
              <w:rPr>
                <w:rFonts w:hint="eastAsia" w:ascii="宋体" w:hAnsi="宋体"/>
                <w:color w:val="auto"/>
                <w:kern w:val="0"/>
                <w:sz w:val="18"/>
                <w:szCs w:val="18"/>
                <w:vertAlign w:val="superscript"/>
              </w:rPr>
              <w:t>3</w:t>
            </w:r>
            <w:r>
              <w:rPr>
                <w:rFonts w:hint="eastAsia" w:ascii="宋体" w:hAnsi="宋体"/>
                <w:color w:val="auto"/>
                <w:kern w:val="0"/>
                <w:sz w:val="18"/>
                <w:szCs w:val="18"/>
              </w:rPr>
              <w:t>）</w:t>
            </w:r>
          </w:p>
        </w:tc>
        <w:tc>
          <w:tcPr>
            <w:tcW w:w="879"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auto"/>
                <w:kern w:val="0"/>
                <w:sz w:val="18"/>
                <w:szCs w:val="18"/>
              </w:rPr>
            </w:pPr>
            <w:r>
              <w:rPr>
                <w:rFonts w:hint="eastAsia" w:ascii="宋体" w:hAnsi="宋体"/>
                <w:color w:val="auto"/>
                <w:kern w:val="0"/>
                <w:sz w:val="18"/>
                <w:szCs w:val="18"/>
              </w:rPr>
              <w:t>总铅</w:t>
            </w:r>
          </w:p>
          <w:p>
            <w:pPr>
              <w:spacing w:line="240" w:lineRule="exact"/>
              <w:jc w:val="center"/>
              <w:rPr>
                <w:rFonts w:ascii="宋体" w:hAnsi="宋体"/>
                <w:color w:val="auto"/>
                <w:kern w:val="0"/>
                <w:sz w:val="18"/>
                <w:szCs w:val="18"/>
              </w:rPr>
            </w:pPr>
            <w:r>
              <w:rPr>
                <w:rFonts w:hint="eastAsia" w:ascii="宋体" w:hAnsi="宋体"/>
                <w:color w:val="auto"/>
                <w:kern w:val="0"/>
                <w:sz w:val="18"/>
                <w:szCs w:val="18"/>
              </w:rPr>
              <w:t>（mg/L）</w:t>
            </w:r>
          </w:p>
        </w:tc>
        <w:tc>
          <w:tcPr>
            <w:tcW w:w="822"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auto"/>
                <w:kern w:val="0"/>
                <w:sz w:val="18"/>
                <w:szCs w:val="18"/>
              </w:rPr>
            </w:pPr>
            <w:r>
              <w:rPr>
                <w:rFonts w:hint="eastAsia" w:ascii="宋体" w:hAnsi="宋体"/>
                <w:color w:val="auto"/>
                <w:kern w:val="0"/>
                <w:sz w:val="18"/>
                <w:szCs w:val="18"/>
              </w:rPr>
              <w:t>总镍</w:t>
            </w:r>
          </w:p>
          <w:p>
            <w:pPr>
              <w:spacing w:line="240" w:lineRule="exact"/>
              <w:jc w:val="center"/>
              <w:rPr>
                <w:rFonts w:ascii="宋体" w:hAnsi="宋体"/>
                <w:color w:val="auto"/>
                <w:spacing w:val="-20"/>
                <w:kern w:val="0"/>
                <w:sz w:val="18"/>
                <w:szCs w:val="18"/>
              </w:rPr>
            </w:pPr>
            <w:r>
              <w:rPr>
                <w:rFonts w:hint="eastAsia" w:ascii="宋体" w:hAnsi="宋体"/>
                <w:color w:val="auto"/>
                <w:spacing w:val="-20"/>
                <w:kern w:val="0"/>
                <w:sz w:val="18"/>
                <w:szCs w:val="18"/>
              </w:rPr>
              <w:t>（mg/L）</w:t>
            </w:r>
          </w:p>
        </w:tc>
        <w:tc>
          <w:tcPr>
            <w:tcW w:w="850"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auto"/>
                <w:kern w:val="0"/>
                <w:sz w:val="18"/>
                <w:szCs w:val="18"/>
              </w:rPr>
            </w:pPr>
            <w:r>
              <w:rPr>
                <w:rFonts w:hint="eastAsia" w:ascii="宋体" w:hAnsi="宋体"/>
                <w:color w:val="auto"/>
                <w:kern w:val="0"/>
                <w:sz w:val="18"/>
                <w:szCs w:val="18"/>
              </w:rPr>
              <w:t>总铬</w:t>
            </w:r>
          </w:p>
          <w:p>
            <w:pPr>
              <w:spacing w:line="240" w:lineRule="exact"/>
              <w:jc w:val="center"/>
              <w:rPr>
                <w:rFonts w:ascii="宋体" w:hAnsi="宋体"/>
                <w:color w:val="auto"/>
                <w:kern w:val="0"/>
                <w:sz w:val="18"/>
                <w:szCs w:val="18"/>
              </w:rPr>
            </w:pPr>
            <w:r>
              <w:rPr>
                <w:rFonts w:hint="eastAsia" w:ascii="宋体" w:hAnsi="宋体"/>
                <w:color w:val="auto"/>
                <w:kern w:val="0"/>
                <w:sz w:val="18"/>
                <w:szCs w:val="18"/>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kern w:val="0"/>
                <w:sz w:val="15"/>
                <w:szCs w:val="15"/>
              </w:rPr>
            </w:pPr>
            <w:r>
              <w:rPr>
                <w:rFonts w:hint="eastAsia" w:ascii="宋体" w:hAnsi="宋体"/>
                <w:color w:val="auto"/>
                <w:kern w:val="0"/>
                <w:sz w:val="15"/>
                <w:szCs w:val="15"/>
              </w:rPr>
              <w:t>洛阳铜加工</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z w:val="18"/>
                <w:szCs w:val="18"/>
              </w:rPr>
            </w:pPr>
            <w:r>
              <w:rPr>
                <w:rFonts w:hint="eastAsia" w:ascii="宋体" w:hAnsi="宋体"/>
                <w:color w:val="auto"/>
                <w:sz w:val="18"/>
                <w:szCs w:val="18"/>
              </w:rPr>
              <w:t>6.3</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z w:val="18"/>
                <w:szCs w:val="18"/>
              </w:rPr>
            </w:pPr>
            <w:r>
              <w:rPr>
                <w:rFonts w:hint="eastAsia" w:ascii="宋体" w:hAnsi="宋体"/>
                <w:color w:val="auto"/>
                <w:sz w:val="18"/>
                <w:szCs w:val="18"/>
              </w:rPr>
              <w:t>125</w:t>
            </w:r>
          </w:p>
        </w:tc>
        <w:tc>
          <w:tcPr>
            <w:tcW w:w="992"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41</w:t>
            </w:r>
          </w:p>
        </w:tc>
        <w:tc>
          <w:tcPr>
            <w:tcW w:w="993"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2.85</w:t>
            </w:r>
          </w:p>
        </w:tc>
        <w:tc>
          <w:tcPr>
            <w:tcW w:w="1105"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1.82</w:t>
            </w:r>
          </w:p>
        </w:tc>
        <w:tc>
          <w:tcPr>
            <w:tcW w:w="850"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p>
        </w:tc>
        <w:tc>
          <w:tcPr>
            <w:tcW w:w="936"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0.23</w:t>
            </w:r>
          </w:p>
        </w:tc>
        <w:tc>
          <w:tcPr>
            <w:tcW w:w="907"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12.3</w:t>
            </w:r>
          </w:p>
        </w:tc>
        <w:tc>
          <w:tcPr>
            <w:tcW w:w="879"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p>
        </w:tc>
        <w:tc>
          <w:tcPr>
            <w:tcW w:w="822"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p>
        </w:tc>
        <w:tc>
          <w:tcPr>
            <w:tcW w:w="850"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金田</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r>
              <w:rPr>
                <w:rFonts w:hint="eastAsia" w:ascii="宋体" w:hAnsi="宋体"/>
                <w:color w:val="auto"/>
                <w:kern w:val="0"/>
                <w:sz w:val="18"/>
                <w:szCs w:val="18"/>
              </w:rPr>
              <w:t>7.8</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r>
              <w:rPr>
                <w:rFonts w:hint="eastAsia" w:ascii="宋体" w:hAnsi="宋体"/>
                <w:color w:val="auto"/>
                <w:kern w:val="0"/>
                <w:sz w:val="18"/>
                <w:szCs w:val="18"/>
              </w:rPr>
              <w:t>8</w:t>
            </w:r>
          </w:p>
        </w:tc>
        <w:tc>
          <w:tcPr>
            <w:tcW w:w="992"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35</w:t>
            </w:r>
          </w:p>
        </w:tc>
        <w:tc>
          <w:tcPr>
            <w:tcW w:w="993"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1.08</w:t>
            </w:r>
          </w:p>
        </w:tc>
        <w:tc>
          <w:tcPr>
            <w:tcW w:w="1105"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0.17</w:t>
            </w:r>
          </w:p>
        </w:tc>
        <w:tc>
          <w:tcPr>
            <w:tcW w:w="850"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0.54</w:t>
            </w:r>
          </w:p>
        </w:tc>
        <w:tc>
          <w:tcPr>
            <w:tcW w:w="936"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p>
        </w:tc>
        <w:tc>
          <w:tcPr>
            <w:tcW w:w="907"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p>
        </w:tc>
        <w:tc>
          <w:tcPr>
            <w:tcW w:w="879"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＜0.57</w:t>
            </w:r>
          </w:p>
        </w:tc>
        <w:tc>
          <w:tcPr>
            <w:tcW w:w="822"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p>
        </w:tc>
        <w:tc>
          <w:tcPr>
            <w:tcW w:w="850"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力博</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r>
              <w:rPr>
                <w:rFonts w:hint="eastAsia" w:ascii="宋体" w:hAnsi="宋体"/>
                <w:color w:val="auto"/>
                <w:kern w:val="0"/>
                <w:sz w:val="18"/>
                <w:szCs w:val="18"/>
              </w:rPr>
              <w:t>浓水214</w:t>
            </w:r>
          </w:p>
          <w:p>
            <w:pPr>
              <w:jc w:val="center"/>
              <w:rPr>
                <w:rFonts w:ascii="宋体" w:hAnsi="宋体"/>
                <w:b/>
                <w:color w:val="auto"/>
                <w:kern w:val="0"/>
                <w:sz w:val="18"/>
                <w:szCs w:val="18"/>
              </w:rPr>
            </w:pPr>
            <w:r>
              <w:rPr>
                <w:rFonts w:hint="eastAsia" w:ascii="宋体" w:hAnsi="宋体"/>
                <w:b/>
                <w:color w:val="auto"/>
                <w:kern w:val="0"/>
                <w:sz w:val="18"/>
                <w:szCs w:val="18"/>
              </w:rPr>
              <w:t>净水157</w:t>
            </w:r>
          </w:p>
        </w:tc>
        <w:tc>
          <w:tcPr>
            <w:tcW w:w="99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p>
        </w:tc>
        <w:tc>
          <w:tcPr>
            <w:tcW w:w="11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r>
              <w:rPr>
                <w:rFonts w:hint="eastAsia" w:ascii="宋体" w:hAnsi="宋体"/>
                <w:color w:val="auto"/>
                <w:kern w:val="0"/>
                <w:sz w:val="18"/>
                <w:szCs w:val="18"/>
              </w:rPr>
              <w:t>浓水0.383</w:t>
            </w:r>
          </w:p>
          <w:p>
            <w:pPr>
              <w:jc w:val="center"/>
              <w:rPr>
                <w:rFonts w:ascii="宋体" w:hAnsi="宋体"/>
                <w:color w:val="auto"/>
                <w:kern w:val="0"/>
                <w:sz w:val="18"/>
                <w:szCs w:val="18"/>
              </w:rPr>
            </w:pPr>
            <w:r>
              <w:rPr>
                <w:rFonts w:hint="eastAsia" w:ascii="宋体" w:hAnsi="宋体"/>
                <w:b/>
                <w:color w:val="auto"/>
                <w:kern w:val="0"/>
                <w:sz w:val="18"/>
                <w:szCs w:val="18"/>
              </w:rPr>
              <w:t>净水0.04</w:t>
            </w:r>
            <w:r>
              <w:rPr>
                <w:rFonts w:hint="eastAsia" w:ascii="宋体" w:hAnsi="宋体"/>
                <w:color w:val="auto"/>
                <w:kern w:val="0"/>
                <w:sz w:val="18"/>
                <w:szCs w:val="18"/>
              </w:rPr>
              <w:t>6</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p>
        </w:tc>
        <w:tc>
          <w:tcPr>
            <w:tcW w:w="93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pacing w:val="-8"/>
                <w:kern w:val="0"/>
                <w:sz w:val="18"/>
                <w:szCs w:val="18"/>
              </w:rPr>
            </w:pPr>
          </w:p>
        </w:tc>
        <w:tc>
          <w:tcPr>
            <w:tcW w:w="90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pacing w:val="-8"/>
                <w:kern w:val="0"/>
                <w:sz w:val="18"/>
                <w:szCs w:val="18"/>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200" w:lineRule="exact"/>
              <w:rPr>
                <w:rFonts w:ascii="宋体" w:hAnsi="宋体"/>
                <w:color w:val="auto"/>
                <w:kern w:val="0"/>
                <w:sz w:val="18"/>
                <w:szCs w:val="18"/>
              </w:rPr>
            </w:pPr>
            <w:r>
              <w:rPr>
                <w:rFonts w:hint="eastAsia" w:ascii="宋体" w:hAnsi="宋体"/>
                <w:color w:val="auto"/>
                <w:kern w:val="0"/>
                <w:sz w:val="18"/>
                <w:szCs w:val="18"/>
              </w:rPr>
              <w:t>硫酸盐：</w:t>
            </w:r>
          </w:p>
          <w:p>
            <w:pPr>
              <w:spacing w:line="200" w:lineRule="exact"/>
              <w:rPr>
                <w:rFonts w:ascii="宋体" w:hAnsi="宋体"/>
                <w:color w:val="auto"/>
                <w:kern w:val="0"/>
                <w:sz w:val="18"/>
                <w:szCs w:val="18"/>
              </w:rPr>
            </w:pPr>
            <w:r>
              <w:rPr>
                <w:rFonts w:hint="eastAsia" w:ascii="宋体" w:hAnsi="宋体"/>
                <w:color w:val="auto"/>
                <w:kern w:val="0"/>
                <w:sz w:val="18"/>
                <w:szCs w:val="18"/>
              </w:rPr>
              <w:t>浓水5.28*10</w:t>
            </w:r>
            <w:r>
              <w:rPr>
                <w:rFonts w:hint="eastAsia" w:ascii="宋体" w:hAnsi="宋体"/>
                <w:color w:val="auto"/>
                <w:kern w:val="0"/>
                <w:sz w:val="18"/>
                <w:szCs w:val="18"/>
                <w:vertAlign w:val="superscript"/>
              </w:rPr>
              <w:t>3</w:t>
            </w:r>
          </w:p>
          <w:p>
            <w:pPr>
              <w:spacing w:line="200" w:lineRule="exact"/>
              <w:rPr>
                <w:rFonts w:ascii="宋体" w:hAnsi="宋体"/>
                <w:b/>
                <w:color w:val="auto"/>
                <w:kern w:val="0"/>
                <w:sz w:val="18"/>
                <w:szCs w:val="18"/>
              </w:rPr>
            </w:pPr>
            <w:r>
              <w:rPr>
                <w:rFonts w:hint="eastAsia" w:ascii="宋体" w:hAnsi="宋体"/>
                <w:b/>
                <w:color w:val="auto"/>
                <w:kern w:val="0"/>
                <w:sz w:val="18"/>
                <w:szCs w:val="18"/>
              </w:rPr>
              <w:t>净水4.24*10</w:t>
            </w:r>
            <w:r>
              <w:rPr>
                <w:rFonts w:hint="eastAsia" w:ascii="宋体" w:hAnsi="宋体"/>
                <w:b/>
                <w:color w:val="auto"/>
                <w:kern w:val="0"/>
                <w:sz w:val="18"/>
                <w:szCs w:val="18"/>
                <w:vertAlign w:val="superscript"/>
              </w:rPr>
              <w:t>3</w:t>
            </w:r>
          </w:p>
        </w:tc>
        <w:tc>
          <w:tcPr>
            <w:tcW w:w="850"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浙江惟精</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r>
              <w:rPr>
                <w:rFonts w:hint="eastAsia" w:ascii="宋体" w:hAnsi="宋体"/>
                <w:color w:val="auto"/>
                <w:kern w:val="0"/>
                <w:sz w:val="18"/>
                <w:szCs w:val="18"/>
              </w:rPr>
              <w:t>7.4</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r>
              <w:rPr>
                <w:rFonts w:hint="eastAsia" w:ascii="宋体" w:hAnsi="宋体"/>
                <w:color w:val="auto"/>
                <w:kern w:val="0"/>
                <w:sz w:val="18"/>
                <w:szCs w:val="18"/>
              </w:rPr>
              <w:t>4.5</w:t>
            </w:r>
          </w:p>
        </w:tc>
        <w:tc>
          <w:tcPr>
            <w:tcW w:w="992"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142</w:t>
            </w:r>
          </w:p>
        </w:tc>
        <w:tc>
          <w:tcPr>
            <w:tcW w:w="993"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6.77</w:t>
            </w:r>
          </w:p>
        </w:tc>
        <w:tc>
          <w:tcPr>
            <w:tcW w:w="1105"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0.26</w:t>
            </w:r>
          </w:p>
        </w:tc>
        <w:tc>
          <w:tcPr>
            <w:tcW w:w="850"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0.38</w:t>
            </w:r>
          </w:p>
        </w:tc>
        <w:tc>
          <w:tcPr>
            <w:tcW w:w="936"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0.1</w:t>
            </w:r>
          </w:p>
        </w:tc>
        <w:tc>
          <w:tcPr>
            <w:tcW w:w="907"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4.94</w:t>
            </w:r>
          </w:p>
        </w:tc>
        <w:tc>
          <w:tcPr>
            <w:tcW w:w="879" w:type="dxa"/>
            <w:tcBorders>
              <w:top w:val="single" w:color="auto" w:sz="6" w:space="0"/>
              <w:left w:val="single" w:color="auto" w:sz="6" w:space="0"/>
              <w:bottom w:val="single" w:color="auto" w:sz="6" w:space="0"/>
              <w:right w:val="single" w:color="auto" w:sz="6" w:space="0"/>
            </w:tcBorders>
          </w:tcPr>
          <w:p>
            <w:pPr>
              <w:jc w:val="center"/>
              <w:rPr>
                <w:rFonts w:ascii="宋体" w:hAnsi="宋体"/>
                <w:b/>
                <w:color w:val="auto"/>
                <w:kern w:val="0"/>
                <w:sz w:val="18"/>
                <w:szCs w:val="18"/>
              </w:rPr>
            </w:pPr>
          </w:p>
        </w:tc>
        <w:tc>
          <w:tcPr>
            <w:tcW w:w="822"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0.39</w:t>
            </w:r>
          </w:p>
        </w:tc>
        <w:tc>
          <w:tcPr>
            <w:tcW w:w="850" w:type="dxa"/>
            <w:tcBorders>
              <w:top w:val="single" w:color="auto" w:sz="6" w:space="0"/>
              <w:left w:val="single" w:color="auto" w:sz="6" w:space="0"/>
              <w:bottom w:val="single" w:color="auto" w:sz="6" w:space="0"/>
              <w:right w:val="single" w:color="auto" w:sz="6" w:space="0"/>
            </w:tcBorders>
          </w:tcPr>
          <w:p>
            <w:pPr>
              <w:jc w:val="center"/>
              <w:rPr>
                <w:rFonts w:ascii="宋体" w:hAnsi="宋体"/>
                <w:b/>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凯美龙</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r>
              <w:rPr>
                <w:rFonts w:hint="eastAsia" w:ascii="宋体" w:hAnsi="宋体"/>
                <w:color w:val="auto"/>
                <w:kern w:val="0"/>
                <w:sz w:val="18"/>
                <w:szCs w:val="18"/>
              </w:rPr>
              <w:t>7.2</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r>
              <w:rPr>
                <w:rFonts w:hint="eastAsia" w:ascii="宋体" w:hAnsi="宋体"/>
                <w:color w:val="auto"/>
                <w:kern w:val="0"/>
                <w:sz w:val="18"/>
                <w:szCs w:val="18"/>
              </w:rPr>
              <w:t>＜4</w:t>
            </w:r>
          </w:p>
        </w:tc>
        <w:tc>
          <w:tcPr>
            <w:tcW w:w="992"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34</w:t>
            </w:r>
          </w:p>
        </w:tc>
        <w:tc>
          <w:tcPr>
            <w:tcW w:w="993"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1</w:t>
            </w:r>
          </w:p>
        </w:tc>
        <w:tc>
          <w:tcPr>
            <w:tcW w:w="1105"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0.13</w:t>
            </w:r>
          </w:p>
        </w:tc>
        <w:tc>
          <w:tcPr>
            <w:tcW w:w="850"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p>
        </w:tc>
        <w:tc>
          <w:tcPr>
            <w:tcW w:w="936"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0.46</w:t>
            </w:r>
          </w:p>
        </w:tc>
        <w:tc>
          <w:tcPr>
            <w:tcW w:w="907"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1.98</w:t>
            </w:r>
          </w:p>
        </w:tc>
        <w:tc>
          <w:tcPr>
            <w:tcW w:w="879"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p>
        </w:tc>
        <w:tc>
          <w:tcPr>
            <w:tcW w:w="822"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p>
        </w:tc>
        <w:tc>
          <w:tcPr>
            <w:tcW w:w="850"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奥博特</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pacing w:val="-12"/>
                <w:kern w:val="0"/>
                <w:sz w:val="15"/>
                <w:szCs w:val="15"/>
              </w:rPr>
            </w:pPr>
            <w:r>
              <w:rPr>
                <w:rFonts w:hint="eastAsia" w:ascii="宋体" w:hAnsi="宋体"/>
                <w:color w:val="auto"/>
                <w:spacing w:val="-12"/>
                <w:kern w:val="0"/>
                <w:sz w:val="15"/>
                <w:szCs w:val="15"/>
              </w:rPr>
              <w:t>6.5-9.5</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r>
              <w:rPr>
                <w:rFonts w:hint="eastAsia" w:ascii="宋体" w:hAnsi="宋体"/>
                <w:color w:val="auto"/>
                <w:kern w:val="0"/>
                <w:sz w:val="18"/>
                <w:szCs w:val="18"/>
              </w:rPr>
              <w:t>400</w:t>
            </w:r>
          </w:p>
        </w:tc>
        <w:tc>
          <w:tcPr>
            <w:tcW w:w="992"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500</w:t>
            </w:r>
          </w:p>
        </w:tc>
        <w:tc>
          <w:tcPr>
            <w:tcW w:w="993"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45</w:t>
            </w:r>
          </w:p>
        </w:tc>
        <w:tc>
          <w:tcPr>
            <w:tcW w:w="1105"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2</w:t>
            </w:r>
          </w:p>
        </w:tc>
        <w:tc>
          <w:tcPr>
            <w:tcW w:w="850"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5</w:t>
            </w:r>
          </w:p>
        </w:tc>
        <w:tc>
          <w:tcPr>
            <w:tcW w:w="936"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8</w:t>
            </w:r>
          </w:p>
        </w:tc>
        <w:tc>
          <w:tcPr>
            <w:tcW w:w="907"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p>
        </w:tc>
        <w:tc>
          <w:tcPr>
            <w:tcW w:w="879"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0.5</w:t>
            </w:r>
          </w:p>
        </w:tc>
        <w:tc>
          <w:tcPr>
            <w:tcW w:w="822"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1</w:t>
            </w:r>
          </w:p>
        </w:tc>
        <w:tc>
          <w:tcPr>
            <w:tcW w:w="850"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金威</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r>
              <w:rPr>
                <w:rFonts w:hint="eastAsia" w:ascii="宋体" w:hAnsi="宋体"/>
                <w:color w:val="auto"/>
                <w:kern w:val="0"/>
                <w:sz w:val="18"/>
                <w:szCs w:val="18"/>
              </w:rPr>
              <w:t>7.01</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r>
              <w:rPr>
                <w:rFonts w:hint="eastAsia" w:ascii="宋体" w:hAnsi="宋体"/>
                <w:color w:val="auto"/>
                <w:kern w:val="0"/>
                <w:sz w:val="18"/>
                <w:szCs w:val="18"/>
              </w:rPr>
              <w:t>16.75</w:t>
            </w:r>
          </w:p>
        </w:tc>
        <w:tc>
          <w:tcPr>
            <w:tcW w:w="992"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34</w:t>
            </w:r>
          </w:p>
        </w:tc>
        <w:tc>
          <w:tcPr>
            <w:tcW w:w="993"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3.39</w:t>
            </w:r>
          </w:p>
        </w:tc>
        <w:tc>
          <w:tcPr>
            <w:tcW w:w="1105"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0.34</w:t>
            </w:r>
          </w:p>
        </w:tc>
        <w:tc>
          <w:tcPr>
            <w:tcW w:w="850"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0.364</w:t>
            </w:r>
          </w:p>
        </w:tc>
        <w:tc>
          <w:tcPr>
            <w:tcW w:w="936"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p>
        </w:tc>
        <w:tc>
          <w:tcPr>
            <w:tcW w:w="907"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p>
        </w:tc>
        <w:tc>
          <w:tcPr>
            <w:tcW w:w="879"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p>
        </w:tc>
        <w:tc>
          <w:tcPr>
            <w:tcW w:w="822"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p>
        </w:tc>
        <w:tc>
          <w:tcPr>
            <w:tcW w:w="850"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楚江新材</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r>
              <w:rPr>
                <w:rFonts w:hint="eastAsia" w:ascii="宋体" w:hAnsi="宋体"/>
                <w:color w:val="auto"/>
                <w:kern w:val="0"/>
                <w:sz w:val="18"/>
                <w:szCs w:val="18"/>
              </w:rPr>
              <w:t>7.7</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r>
              <w:rPr>
                <w:rFonts w:hint="eastAsia" w:ascii="宋体" w:hAnsi="宋体"/>
                <w:color w:val="auto"/>
                <w:kern w:val="0"/>
                <w:sz w:val="18"/>
                <w:szCs w:val="18"/>
              </w:rPr>
              <w:t>9</w:t>
            </w:r>
          </w:p>
        </w:tc>
        <w:tc>
          <w:tcPr>
            <w:tcW w:w="992"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16</w:t>
            </w:r>
          </w:p>
        </w:tc>
        <w:tc>
          <w:tcPr>
            <w:tcW w:w="993"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3.77</w:t>
            </w:r>
          </w:p>
        </w:tc>
        <w:tc>
          <w:tcPr>
            <w:tcW w:w="1105"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0.42</w:t>
            </w:r>
          </w:p>
        </w:tc>
        <w:tc>
          <w:tcPr>
            <w:tcW w:w="850"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3.46</w:t>
            </w:r>
          </w:p>
        </w:tc>
        <w:tc>
          <w:tcPr>
            <w:tcW w:w="936"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0.11</w:t>
            </w:r>
          </w:p>
        </w:tc>
        <w:tc>
          <w:tcPr>
            <w:tcW w:w="907"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4.23</w:t>
            </w:r>
          </w:p>
        </w:tc>
        <w:tc>
          <w:tcPr>
            <w:tcW w:w="879"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p>
        </w:tc>
        <w:tc>
          <w:tcPr>
            <w:tcW w:w="822"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p>
        </w:tc>
        <w:tc>
          <w:tcPr>
            <w:tcW w:w="850"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spacing w:val="-12"/>
                <w:kern w:val="0"/>
                <w:sz w:val="15"/>
                <w:szCs w:val="15"/>
              </w:rPr>
            </w:pPr>
            <w:r>
              <w:rPr>
                <w:rFonts w:hint="eastAsia" w:ascii="宋体" w:hAnsi="宋体"/>
                <w:color w:val="auto"/>
                <w:kern w:val="0"/>
                <w:sz w:val="18"/>
                <w:szCs w:val="18"/>
              </w:rPr>
              <w:t>富威科技</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熔铸8.2</w:t>
            </w:r>
          </w:p>
          <w:p>
            <w:pPr>
              <w:spacing w:line="240" w:lineRule="exact"/>
              <w:jc w:val="center"/>
              <w:rPr>
                <w:rFonts w:ascii="宋体" w:hAnsi="宋体"/>
                <w:color w:val="auto"/>
                <w:kern w:val="0"/>
                <w:sz w:val="18"/>
                <w:szCs w:val="18"/>
              </w:rPr>
            </w:pPr>
            <w:r>
              <w:rPr>
                <w:rFonts w:hint="eastAsia" w:ascii="宋体" w:hAnsi="宋体"/>
                <w:color w:val="auto"/>
                <w:kern w:val="0"/>
                <w:sz w:val="18"/>
                <w:szCs w:val="18"/>
              </w:rPr>
              <w:t>加工8-10</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5/6</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r>
              <w:rPr>
                <w:rFonts w:hint="eastAsia" w:ascii="宋体" w:hAnsi="宋体"/>
                <w:color w:val="auto"/>
                <w:kern w:val="0"/>
                <w:sz w:val="18"/>
                <w:szCs w:val="18"/>
              </w:rPr>
              <w:t>加工60</w:t>
            </w:r>
          </w:p>
        </w:tc>
        <w:tc>
          <w:tcPr>
            <w:tcW w:w="99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r>
              <w:rPr>
                <w:rFonts w:hint="eastAsia" w:ascii="宋体" w:hAnsi="宋体"/>
                <w:color w:val="auto"/>
                <w:kern w:val="0"/>
                <w:sz w:val="18"/>
                <w:szCs w:val="18"/>
              </w:rPr>
              <w:t>加工5.02</w:t>
            </w:r>
          </w:p>
        </w:tc>
        <w:tc>
          <w:tcPr>
            <w:tcW w:w="110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spacing w:val="-20"/>
                <w:kern w:val="0"/>
                <w:sz w:val="18"/>
                <w:szCs w:val="18"/>
              </w:rPr>
            </w:pPr>
            <w:r>
              <w:rPr>
                <w:rFonts w:hint="eastAsia" w:ascii="宋体" w:hAnsi="宋体"/>
                <w:color w:val="auto"/>
                <w:spacing w:val="-20"/>
                <w:kern w:val="0"/>
                <w:sz w:val="18"/>
                <w:szCs w:val="18"/>
              </w:rPr>
              <w:t>熔铸0.16</w:t>
            </w:r>
          </w:p>
          <w:p>
            <w:pPr>
              <w:spacing w:line="240" w:lineRule="exact"/>
              <w:jc w:val="center"/>
              <w:rPr>
                <w:rFonts w:ascii="宋体" w:hAnsi="宋体"/>
                <w:color w:val="auto"/>
                <w:spacing w:val="-20"/>
                <w:kern w:val="0"/>
                <w:sz w:val="18"/>
                <w:szCs w:val="18"/>
              </w:rPr>
            </w:pPr>
            <w:r>
              <w:rPr>
                <w:rFonts w:hint="eastAsia" w:ascii="宋体" w:hAnsi="宋体"/>
                <w:color w:val="auto"/>
                <w:spacing w:val="-20"/>
                <w:kern w:val="0"/>
                <w:sz w:val="18"/>
                <w:szCs w:val="18"/>
              </w:rPr>
              <w:t>加工2.54</w:t>
            </w: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p>
        </w:tc>
        <w:tc>
          <w:tcPr>
            <w:tcW w:w="93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熔铸0.07</w:t>
            </w:r>
          </w:p>
          <w:p>
            <w:pPr>
              <w:spacing w:line="240" w:lineRule="exact"/>
              <w:jc w:val="center"/>
              <w:rPr>
                <w:rFonts w:ascii="宋体" w:hAnsi="宋体"/>
                <w:color w:val="auto"/>
                <w:kern w:val="0"/>
                <w:sz w:val="18"/>
                <w:szCs w:val="18"/>
              </w:rPr>
            </w:pPr>
            <w:r>
              <w:rPr>
                <w:rFonts w:hint="eastAsia" w:ascii="宋体" w:hAnsi="宋体"/>
                <w:color w:val="auto"/>
                <w:kern w:val="0"/>
                <w:sz w:val="18"/>
                <w:szCs w:val="18"/>
              </w:rPr>
              <w:t>加工0.9</w:t>
            </w:r>
          </w:p>
        </w:tc>
        <w:tc>
          <w:tcPr>
            <w:tcW w:w="90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p>
        </w:tc>
        <w:tc>
          <w:tcPr>
            <w:tcW w:w="8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p>
        </w:tc>
        <w:tc>
          <w:tcPr>
            <w:tcW w:w="82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江铜板带</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6.21-6.55</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16</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r>
              <w:rPr>
                <w:rFonts w:hint="eastAsia" w:ascii="宋体" w:hAnsi="宋体"/>
                <w:color w:val="auto"/>
                <w:kern w:val="0"/>
                <w:sz w:val="18"/>
                <w:szCs w:val="18"/>
              </w:rPr>
              <w:t>33</w:t>
            </w:r>
          </w:p>
        </w:tc>
        <w:tc>
          <w:tcPr>
            <w:tcW w:w="99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r>
              <w:rPr>
                <w:rFonts w:hint="eastAsia" w:ascii="宋体" w:hAnsi="宋体"/>
                <w:color w:val="auto"/>
                <w:kern w:val="0"/>
                <w:sz w:val="18"/>
                <w:szCs w:val="18"/>
              </w:rPr>
              <w:t>0.555</w:t>
            </w:r>
          </w:p>
        </w:tc>
        <w:tc>
          <w:tcPr>
            <w:tcW w:w="110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spacing w:val="-20"/>
                <w:kern w:val="0"/>
                <w:sz w:val="18"/>
                <w:szCs w:val="18"/>
              </w:rPr>
            </w:pPr>
            <w:r>
              <w:rPr>
                <w:rFonts w:hint="eastAsia" w:ascii="宋体" w:hAnsi="宋体"/>
                <w:color w:val="auto"/>
                <w:spacing w:val="-20"/>
                <w:kern w:val="0"/>
                <w:sz w:val="18"/>
                <w:szCs w:val="18"/>
              </w:rPr>
              <w:t>未检出</w:t>
            </w: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未检出</w:t>
            </w:r>
          </w:p>
        </w:tc>
        <w:tc>
          <w:tcPr>
            <w:tcW w:w="93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0.096</w:t>
            </w:r>
          </w:p>
        </w:tc>
        <w:tc>
          <w:tcPr>
            <w:tcW w:w="90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r>
              <w:rPr>
                <w:rFonts w:hint="eastAsia" w:ascii="宋体" w:hAnsi="宋体"/>
                <w:color w:val="auto"/>
                <w:kern w:val="0"/>
                <w:sz w:val="18"/>
                <w:szCs w:val="18"/>
              </w:rPr>
              <w:t>5.08</w:t>
            </w:r>
          </w:p>
        </w:tc>
        <w:tc>
          <w:tcPr>
            <w:tcW w:w="8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p>
        </w:tc>
        <w:tc>
          <w:tcPr>
            <w:tcW w:w="82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20" w:type="dxa"/>
            <w:vMerge w:val="restart"/>
            <w:tcBorders>
              <w:top w:val="single" w:color="auto" w:sz="6" w:space="0"/>
              <w:left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 xml:space="preserve">博威 </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GW003</w:t>
            </w:r>
          </w:p>
          <w:p>
            <w:pPr>
              <w:spacing w:line="240" w:lineRule="exact"/>
              <w:jc w:val="center"/>
              <w:rPr>
                <w:rFonts w:ascii="宋体" w:hAnsi="宋体"/>
                <w:color w:val="auto"/>
                <w:kern w:val="0"/>
                <w:sz w:val="18"/>
                <w:szCs w:val="18"/>
              </w:rPr>
            </w:pPr>
            <w:r>
              <w:rPr>
                <w:rFonts w:hint="eastAsia" w:ascii="宋体" w:hAnsi="宋体"/>
                <w:color w:val="auto"/>
                <w:kern w:val="0"/>
                <w:sz w:val="18"/>
                <w:szCs w:val="18"/>
              </w:rPr>
              <w:t>清洗7.4</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GW003</w:t>
            </w:r>
          </w:p>
          <w:p>
            <w:pPr>
              <w:spacing w:line="240" w:lineRule="exact"/>
              <w:jc w:val="center"/>
              <w:rPr>
                <w:rFonts w:ascii="宋体" w:hAnsi="宋体"/>
                <w:color w:val="auto"/>
                <w:kern w:val="0"/>
                <w:sz w:val="18"/>
                <w:szCs w:val="18"/>
              </w:rPr>
            </w:pPr>
            <w:r>
              <w:rPr>
                <w:rFonts w:hint="eastAsia" w:ascii="宋体" w:hAnsi="宋体"/>
                <w:color w:val="auto"/>
                <w:kern w:val="0"/>
                <w:sz w:val="18"/>
                <w:szCs w:val="18"/>
              </w:rPr>
              <w:t>清洗11</w:t>
            </w:r>
          </w:p>
        </w:tc>
        <w:tc>
          <w:tcPr>
            <w:tcW w:w="99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GW003</w:t>
            </w:r>
          </w:p>
          <w:p>
            <w:pPr>
              <w:jc w:val="center"/>
              <w:rPr>
                <w:rFonts w:ascii="宋体" w:hAnsi="宋体"/>
                <w:color w:val="auto"/>
                <w:kern w:val="0"/>
                <w:sz w:val="18"/>
                <w:szCs w:val="18"/>
              </w:rPr>
            </w:pPr>
            <w:r>
              <w:rPr>
                <w:rFonts w:hint="eastAsia" w:ascii="宋体" w:hAnsi="宋体"/>
                <w:color w:val="auto"/>
                <w:kern w:val="0"/>
                <w:sz w:val="18"/>
                <w:szCs w:val="18"/>
              </w:rPr>
              <w:t>清洗37</w:t>
            </w:r>
          </w:p>
        </w:tc>
        <w:tc>
          <w:tcPr>
            <w:tcW w:w="99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GW003</w:t>
            </w:r>
          </w:p>
          <w:p>
            <w:pPr>
              <w:jc w:val="center"/>
              <w:rPr>
                <w:rFonts w:ascii="宋体" w:hAnsi="宋体"/>
                <w:color w:val="auto"/>
                <w:kern w:val="0"/>
                <w:sz w:val="18"/>
                <w:szCs w:val="18"/>
              </w:rPr>
            </w:pPr>
            <w:r>
              <w:rPr>
                <w:rFonts w:hint="eastAsia" w:ascii="宋体" w:hAnsi="宋体"/>
                <w:color w:val="auto"/>
                <w:kern w:val="0"/>
                <w:sz w:val="18"/>
                <w:szCs w:val="18"/>
              </w:rPr>
              <w:t>清洗2.45</w:t>
            </w:r>
          </w:p>
        </w:tc>
        <w:tc>
          <w:tcPr>
            <w:tcW w:w="110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GW003</w:t>
            </w:r>
          </w:p>
          <w:p>
            <w:pPr>
              <w:spacing w:line="240" w:lineRule="exact"/>
              <w:jc w:val="center"/>
              <w:rPr>
                <w:rFonts w:ascii="宋体" w:hAnsi="宋体"/>
                <w:color w:val="auto"/>
                <w:spacing w:val="-20"/>
                <w:kern w:val="0"/>
                <w:sz w:val="18"/>
                <w:szCs w:val="18"/>
              </w:rPr>
            </w:pPr>
            <w:r>
              <w:rPr>
                <w:rFonts w:hint="eastAsia" w:ascii="宋体" w:hAnsi="宋体"/>
                <w:color w:val="auto"/>
                <w:kern w:val="0"/>
                <w:sz w:val="18"/>
                <w:szCs w:val="18"/>
              </w:rPr>
              <w:t>清洗0.63</w:t>
            </w: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GW003</w:t>
            </w:r>
          </w:p>
          <w:p>
            <w:pPr>
              <w:spacing w:line="240" w:lineRule="exact"/>
              <w:jc w:val="center"/>
              <w:rPr>
                <w:rFonts w:ascii="宋体" w:hAnsi="宋体"/>
                <w:color w:val="auto"/>
                <w:kern w:val="0"/>
                <w:sz w:val="18"/>
                <w:szCs w:val="18"/>
              </w:rPr>
            </w:pPr>
            <w:r>
              <w:rPr>
                <w:rFonts w:hint="eastAsia" w:ascii="宋体" w:hAnsi="宋体"/>
                <w:color w:val="auto"/>
                <w:kern w:val="0"/>
                <w:sz w:val="18"/>
                <w:szCs w:val="18"/>
              </w:rPr>
              <w:t>清洗3.53</w:t>
            </w:r>
          </w:p>
        </w:tc>
        <w:tc>
          <w:tcPr>
            <w:tcW w:w="93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GW003</w:t>
            </w:r>
          </w:p>
          <w:p>
            <w:pPr>
              <w:spacing w:line="240" w:lineRule="exact"/>
              <w:jc w:val="center"/>
              <w:rPr>
                <w:rFonts w:ascii="宋体" w:hAnsi="宋体"/>
                <w:color w:val="auto"/>
                <w:kern w:val="0"/>
                <w:sz w:val="18"/>
                <w:szCs w:val="18"/>
              </w:rPr>
            </w:pPr>
            <w:r>
              <w:rPr>
                <w:rFonts w:hint="eastAsia" w:ascii="宋体" w:hAnsi="宋体"/>
                <w:color w:val="auto"/>
                <w:kern w:val="0"/>
                <w:sz w:val="18"/>
                <w:szCs w:val="18"/>
              </w:rPr>
              <w:t>清洗0.03</w:t>
            </w:r>
          </w:p>
        </w:tc>
        <w:tc>
          <w:tcPr>
            <w:tcW w:w="90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GW003</w:t>
            </w:r>
          </w:p>
          <w:p>
            <w:pPr>
              <w:jc w:val="center"/>
              <w:rPr>
                <w:rFonts w:ascii="宋体" w:hAnsi="宋体"/>
                <w:color w:val="auto"/>
                <w:kern w:val="0"/>
                <w:sz w:val="18"/>
                <w:szCs w:val="18"/>
              </w:rPr>
            </w:pPr>
            <w:r>
              <w:rPr>
                <w:rFonts w:hint="eastAsia" w:ascii="宋体" w:hAnsi="宋体"/>
                <w:color w:val="auto"/>
                <w:kern w:val="0"/>
                <w:sz w:val="18"/>
                <w:szCs w:val="18"/>
              </w:rPr>
              <w:t>清洗5.35</w:t>
            </w:r>
          </w:p>
        </w:tc>
        <w:tc>
          <w:tcPr>
            <w:tcW w:w="8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spacing w:val="-20"/>
                <w:kern w:val="0"/>
                <w:sz w:val="18"/>
                <w:szCs w:val="18"/>
              </w:rPr>
            </w:pPr>
            <w:r>
              <w:rPr>
                <w:rFonts w:hint="eastAsia" w:ascii="宋体" w:hAnsi="宋体"/>
                <w:color w:val="auto"/>
                <w:spacing w:val="-20"/>
                <w:kern w:val="0"/>
                <w:sz w:val="18"/>
                <w:szCs w:val="18"/>
              </w:rPr>
              <w:t>GW003</w:t>
            </w:r>
          </w:p>
          <w:p>
            <w:pPr>
              <w:jc w:val="center"/>
              <w:rPr>
                <w:rFonts w:ascii="宋体" w:hAnsi="宋体"/>
                <w:color w:val="auto"/>
                <w:spacing w:val="-20"/>
                <w:kern w:val="0"/>
                <w:sz w:val="18"/>
                <w:szCs w:val="18"/>
              </w:rPr>
            </w:pPr>
            <w:r>
              <w:rPr>
                <w:rFonts w:hint="eastAsia" w:ascii="宋体" w:hAnsi="宋体"/>
                <w:color w:val="auto"/>
                <w:spacing w:val="-20"/>
                <w:kern w:val="0"/>
                <w:sz w:val="18"/>
                <w:szCs w:val="18"/>
              </w:rPr>
              <w:t>清洗0.044</w:t>
            </w:r>
          </w:p>
        </w:tc>
        <w:tc>
          <w:tcPr>
            <w:tcW w:w="82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spacing w:val="-20"/>
                <w:kern w:val="0"/>
                <w:sz w:val="18"/>
                <w:szCs w:val="18"/>
              </w:rPr>
            </w:pPr>
            <w:r>
              <w:rPr>
                <w:rFonts w:hint="eastAsia" w:ascii="宋体" w:hAnsi="宋体"/>
                <w:color w:val="auto"/>
                <w:spacing w:val="-20"/>
                <w:kern w:val="0"/>
                <w:sz w:val="18"/>
                <w:szCs w:val="18"/>
              </w:rPr>
              <w:t>GW003</w:t>
            </w:r>
          </w:p>
          <w:p>
            <w:pPr>
              <w:jc w:val="center"/>
              <w:rPr>
                <w:rFonts w:ascii="宋体" w:hAnsi="宋体"/>
                <w:color w:val="auto"/>
                <w:spacing w:val="-20"/>
                <w:kern w:val="0"/>
                <w:sz w:val="18"/>
                <w:szCs w:val="18"/>
              </w:rPr>
            </w:pPr>
            <w:r>
              <w:rPr>
                <w:rFonts w:hint="eastAsia" w:ascii="宋体" w:hAnsi="宋体"/>
                <w:color w:val="auto"/>
                <w:spacing w:val="-20"/>
                <w:kern w:val="0"/>
                <w:sz w:val="18"/>
                <w:szCs w:val="18"/>
              </w:rPr>
              <w:t>清洗0.33</w:t>
            </w: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GW003</w:t>
            </w:r>
          </w:p>
          <w:p>
            <w:pPr>
              <w:jc w:val="center"/>
              <w:rPr>
                <w:rFonts w:ascii="宋体" w:hAnsi="宋体"/>
                <w:color w:val="auto"/>
                <w:spacing w:val="-20"/>
                <w:kern w:val="0"/>
                <w:sz w:val="18"/>
                <w:szCs w:val="18"/>
              </w:rPr>
            </w:pPr>
            <w:r>
              <w:rPr>
                <w:rFonts w:hint="eastAsia" w:ascii="宋体" w:hAnsi="宋体"/>
                <w:color w:val="auto"/>
                <w:spacing w:val="-20"/>
                <w:kern w:val="0"/>
                <w:sz w:val="18"/>
                <w:szCs w:val="18"/>
              </w:rPr>
              <w:t>清洗＜0.03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20" w:type="dxa"/>
            <w:vMerge w:val="continue"/>
            <w:tcBorders>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p>
        </w:tc>
        <w:tc>
          <w:tcPr>
            <w:tcW w:w="2552"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五日生化需氧量13.3</w:t>
            </w:r>
          </w:p>
        </w:tc>
        <w:tc>
          <w:tcPr>
            <w:tcW w:w="2098"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石油类0.06＜</w:t>
            </w:r>
          </w:p>
        </w:tc>
        <w:tc>
          <w:tcPr>
            <w:tcW w:w="1786"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总锰0.31</w:t>
            </w:r>
          </w:p>
        </w:tc>
        <w:tc>
          <w:tcPr>
            <w:tcW w:w="1786"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总锡＜0.04</w:t>
            </w:r>
          </w:p>
        </w:tc>
        <w:tc>
          <w:tcPr>
            <w:tcW w:w="1672"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宗铁＜0.03</w:t>
            </w:r>
          </w:p>
        </w:tc>
      </w:tr>
    </w:tbl>
    <w:p>
      <w:pPr>
        <w:pStyle w:val="20"/>
        <w:spacing w:line="360" w:lineRule="exact"/>
        <w:ind w:firstLine="420"/>
        <w:rPr>
          <w:rFonts w:hint="eastAsia" w:hAnsi="宋体"/>
          <w:bCs/>
          <w:color w:val="auto"/>
          <w:szCs w:val="21"/>
        </w:rPr>
      </w:pPr>
      <w:r>
        <w:rPr>
          <w:rFonts w:hint="eastAsia" w:hAnsi="宋体"/>
          <w:bCs/>
          <w:color w:val="auto"/>
          <w:szCs w:val="21"/>
        </w:rPr>
        <w:t>由表中数据可知，共收集10家企业冷轧板带箔生产废水排放数据，其中二类污染源PH值、悬浮物、化学需氧量、氨氮、总锌1家企业的未达二级指标要求，达到三级指标要求；二类污染源总铜3家企业未达二级指标，达到三级指标；二类污染源总磷3家企业未达二级指标，达到三级指标；其余达均达到标准规定指标。一类污染源总铅、总铬的的2家企业数据、总镍3家企业的数据，均达到GB/T 8978标准二级指标。</w:t>
      </w:r>
    </w:p>
    <w:p>
      <w:pPr>
        <w:pStyle w:val="20"/>
        <w:spacing w:line="360" w:lineRule="exact"/>
        <w:ind w:firstLine="420"/>
        <w:rPr>
          <w:rFonts w:hint="eastAsia" w:hAnsi="宋体"/>
          <w:bCs/>
          <w:color w:val="auto"/>
          <w:szCs w:val="21"/>
        </w:rPr>
      </w:pPr>
      <w:r>
        <w:rPr>
          <w:rFonts w:hint="eastAsia" w:hAnsi="宋体"/>
          <w:bCs/>
          <w:color w:val="auto"/>
          <w:szCs w:val="21"/>
        </w:rPr>
        <w:t>企业产生的废水一般都集中到指定废水处理单位，处理后达到GB/T 8978要求再排放。</w:t>
      </w:r>
    </w:p>
    <w:p>
      <w:pPr>
        <w:pStyle w:val="20"/>
        <w:spacing w:line="360" w:lineRule="exact"/>
        <w:ind w:firstLine="420"/>
        <w:rPr>
          <w:rFonts w:hAnsi="宋体"/>
          <w:bCs/>
          <w:color w:val="auto"/>
          <w:szCs w:val="21"/>
        </w:rPr>
      </w:pPr>
      <w:r>
        <w:rPr>
          <w:rFonts w:hint="eastAsia" w:hAnsi="宋体"/>
          <w:bCs/>
          <w:color w:val="auto"/>
          <w:szCs w:val="21"/>
        </w:rPr>
        <w:t>本标准对冷轧板带箔生产影响大、具代表性的污染源（包括PH值、悬浮物、化学需氧量、氨氮、总铜和总磷）进行规定，企业对这些污染源都了进行检测和控制，利于环境保护和企业绿色制造。</w:t>
      </w:r>
    </w:p>
    <w:p>
      <w:pPr>
        <w:spacing w:beforeLines="50" w:afterLines="50" w:line="360" w:lineRule="exact"/>
        <w:rPr>
          <w:rFonts w:ascii="黑体" w:eastAsia="黑体"/>
          <w:color w:val="auto"/>
          <w:szCs w:val="21"/>
        </w:rPr>
      </w:pPr>
      <w:r>
        <w:rPr>
          <w:rFonts w:hint="eastAsia" w:ascii="黑体" w:eastAsia="黑体"/>
          <w:color w:val="auto"/>
          <w:szCs w:val="21"/>
        </w:rPr>
        <w:t>5.6有害物质限量要求</w:t>
      </w:r>
    </w:p>
    <w:p>
      <w:pPr>
        <w:widowControl/>
        <w:adjustRightInd w:val="0"/>
        <w:snapToGrid w:val="0"/>
        <w:spacing w:line="360" w:lineRule="exact"/>
        <w:ind w:firstLine="420" w:firstLineChars="200"/>
        <w:jc w:val="left"/>
        <w:rPr>
          <w:rFonts w:ascii="宋体" w:hAnsi="宋体"/>
          <w:bCs/>
          <w:color w:val="auto"/>
          <w:szCs w:val="21"/>
        </w:rPr>
      </w:pPr>
      <w:r>
        <w:rPr>
          <w:rFonts w:hint="eastAsia" w:ascii="宋体" w:hAnsi="宋体"/>
          <w:bCs/>
          <w:color w:val="auto"/>
          <w:szCs w:val="21"/>
        </w:rPr>
        <w:t>绿色设计产品要符合绿色要求，减少对环境、人类的危害，要求产品符合ROHS指令要求。</w:t>
      </w:r>
    </w:p>
    <w:p>
      <w:pPr>
        <w:widowControl/>
        <w:adjustRightInd w:val="0"/>
        <w:snapToGrid w:val="0"/>
        <w:jc w:val="center"/>
        <w:rPr>
          <w:rFonts w:ascii="宋体" w:hAnsi="宋体"/>
          <w:color w:val="auto"/>
          <w:kern w:val="0"/>
          <w:szCs w:val="21"/>
        </w:rPr>
      </w:pPr>
      <w:r>
        <w:rPr>
          <w:rFonts w:hint="eastAsia" w:ascii="黑体" w:eastAsia="黑体" w:hAnsiTheme="minorEastAsia" w:cstheme="minorBidi"/>
          <w:color w:val="auto"/>
          <w:kern w:val="0"/>
          <w:szCs w:val="21"/>
          <w:lang w:val="de-DE"/>
        </w:rPr>
        <w:t xml:space="preserve">                      表</w:t>
      </w:r>
      <w:r>
        <w:rPr>
          <w:rFonts w:hint="eastAsia" w:ascii="黑体" w:eastAsia="黑体" w:hAnsiTheme="minorEastAsia" w:cstheme="minorBidi"/>
          <w:color w:val="auto"/>
          <w:kern w:val="0"/>
          <w:szCs w:val="21"/>
          <w:lang w:val="en-US" w:eastAsia="zh-CN"/>
        </w:rPr>
        <w:t>10</w:t>
      </w:r>
      <w:r>
        <w:rPr>
          <w:rFonts w:hint="eastAsia" w:ascii="黑体" w:eastAsia="黑体" w:hAnsiTheme="minorEastAsia" w:cstheme="minorBidi"/>
          <w:color w:val="auto"/>
          <w:kern w:val="0"/>
          <w:szCs w:val="21"/>
          <w:lang w:val="de-DE"/>
        </w:rPr>
        <w:t xml:space="preserve">  有害物质检测情况统计 </w:t>
      </w:r>
      <w:r>
        <w:rPr>
          <w:rFonts w:hint="eastAsia" w:asciiTheme="minorEastAsia" w:hAnsiTheme="minorEastAsia" w:eastAsiaTheme="minorEastAsia" w:cstheme="minorBidi"/>
          <w:color w:val="auto"/>
          <w:kern w:val="0"/>
          <w:szCs w:val="21"/>
          <w:lang w:val="de-DE"/>
        </w:rPr>
        <w:t xml:space="preserve">                    </w:t>
      </w:r>
      <w:r>
        <w:rPr>
          <w:rFonts w:hint="eastAsia" w:asciiTheme="minorEastAsia" w:hAnsiTheme="minorEastAsia" w:eastAsiaTheme="minorEastAsia" w:cstheme="minorBidi"/>
          <w:color w:val="auto"/>
          <w:kern w:val="0"/>
          <w:sz w:val="18"/>
          <w:szCs w:val="18"/>
          <w:lang w:val="de-DE"/>
        </w:rPr>
        <w:t>单位：</w:t>
      </w:r>
      <w:r>
        <w:rPr>
          <w:rFonts w:hint="eastAsia" w:asciiTheme="minorEastAsia" w:hAnsiTheme="minorEastAsia" w:eastAsiaTheme="minorEastAsia" w:cstheme="minorBidi"/>
          <w:color w:val="auto"/>
          <w:kern w:val="0"/>
          <w:szCs w:val="21"/>
          <w:lang w:val="de-DE"/>
        </w:rPr>
        <w:t>ppm</w:t>
      </w:r>
    </w:p>
    <w:tbl>
      <w:tblPr>
        <w:tblStyle w:val="8"/>
        <w:tblW w:w="8330" w:type="dxa"/>
        <w:tblInd w:w="0" w:type="dxa"/>
        <w:tblLayout w:type="autofit"/>
        <w:tblCellMar>
          <w:top w:w="0" w:type="dxa"/>
          <w:left w:w="108" w:type="dxa"/>
          <w:bottom w:w="0" w:type="dxa"/>
          <w:right w:w="108" w:type="dxa"/>
        </w:tblCellMar>
      </w:tblPr>
      <w:tblGrid>
        <w:gridCol w:w="1308"/>
        <w:gridCol w:w="1352"/>
        <w:gridCol w:w="1924"/>
        <w:gridCol w:w="1638"/>
        <w:gridCol w:w="2108"/>
      </w:tblGrid>
      <w:tr>
        <w:tblPrEx>
          <w:tblCellMar>
            <w:top w:w="0" w:type="dxa"/>
            <w:left w:w="108" w:type="dxa"/>
            <w:bottom w:w="0" w:type="dxa"/>
            <w:right w:w="108" w:type="dxa"/>
          </w:tblCellMar>
        </w:tblPrEx>
        <w:trPr>
          <w:trHeight w:val="270" w:hRule="atLeast"/>
        </w:trPr>
        <w:tc>
          <w:tcPr>
            <w:tcW w:w="130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企业</w:t>
            </w:r>
          </w:p>
        </w:tc>
        <w:tc>
          <w:tcPr>
            <w:tcW w:w="13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镉</w:t>
            </w:r>
          </w:p>
        </w:tc>
        <w:tc>
          <w:tcPr>
            <w:tcW w:w="192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铅</w:t>
            </w:r>
          </w:p>
        </w:tc>
        <w:tc>
          <w:tcPr>
            <w:tcW w:w="16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汞</w:t>
            </w:r>
          </w:p>
        </w:tc>
        <w:tc>
          <w:tcPr>
            <w:tcW w:w="2108"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jc w:val="center"/>
              <w:rPr>
                <w:rFonts w:ascii="宋体" w:hAnsi="宋体" w:cs="宋体"/>
                <w:color w:val="auto"/>
                <w:kern w:val="0"/>
                <w:sz w:val="22"/>
                <w:szCs w:val="22"/>
              </w:rPr>
            </w:pPr>
            <w:r>
              <w:rPr>
                <w:rFonts w:hint="eastAsia" w:ascii="宋体" w:hAnsi="宋体" w:cs="宋体"/>
                <w:color w:val="auto"/>
                <w:kern w:val="0"/>
                <w:sz w:val="18"/>
                <w:szCs w:val="18"/>
              </w:rPr>
              <w:t>六价铬</w:t>
            </w:r>
          </w:p>
        </w:tc>
      </w:tr>
      <w:tr>
        <w:tblPrEx>
          <w:tblCellMar>
            <w:top w:w="0" w:type="dxa"/>
            <w:left w:w="108" w:type="dxa"/>
            <w:bottom w:w="0" w:type="dxa"/>
            <w:right w:w="108" w:type="dxa"/>
          </w:tblCellMar>
        </w:tblPrEx>
        <w:trPr>
          <w:trHeight w:val="270" w:hRule="atLeast"/>
        </w:trPr>
        <w:tc>
          <w:tcPr>
            <w:tcW w:w="130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限值</w:t>
            </w:r>
          </w:p>
        </w:tc>
        <w:tc>
          <w:tcPr>
            <w:tcW w:w="13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100ppm</w:t>
            </w:r>
          </w:p>
        </w:tc>
        <w:tc>
          <w:tcPr>
            <w:tcW w:w="192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1000ppm</w:t>
            </w:r>
          </w:p>
        </w:tc>
        <w:tc>
          <w:tcPr>
            <w:tcW w:w="16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1000ppm</w:t>
            </w:r>
          </w:p>
        </w:tc>
        <w:tc>
          <w:tcPr>
            <w:tcW w:w="2108"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1000ppm</w:t>
            </w:r>
          </w:p>
        </w:tc>
      </w:tr>
      <w:tr>
        <w:tblPrEx>
          <w:tblCellMar>
            <w:top w:w="0" w:type="dxa"/>
            <w:left w:w="108" w:type="dxa"/>
            <w:bottom w:w="0" w:type="dxa"/>
            <w:right w:w="108" w:type="dxa"/>
          </w:tblCellMar>
        </w:tblPrEx>
        <w:trPr>
          <w:trHeight w:val="270" w:hRule="atLeast"/>
        </w:trPr>
        <w:tc>
          <w:tcPr>
            <w:tcW w:w="130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洛阳铜加工</w:t>
            </w:r>
          </w:p>
        </w:tc>
        <w:tc>
          <w:tcPr>
            <w:tcW w:w="13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ND(&lt;2mg/kg)</w:t>
            </w:r>
          </w:p>
        </w:tc>
        <w:tc>
          <w:tcPr>
            <w:tcW w:w="192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黄铜50(&lt;2mg/kg)</w:t>
            </w:r>
          </w:p>
        </w:tc>
        <w:tc>
          <w:tcPr>
            <w:tcW w:w="16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ND(&lt;2mg/kg)</w:t>
            </w:r>
          </w:p>
        </w:tc>
        <w:tc>
          <w:tcPr>
            <w:tcW w:w="2108"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ND(&lt;0.10</w:t>
            </w:r>
            <w:r>
              <w:rPr>
                <w:rFonts w:hint="eastAsia" w:ascii="宋体" w:hAnsi="宋体" w:eastAsia="MS Mincho" w:cs="MS Mincho"/>
                <w:color w:val="auto"/>
                <w:kern w:val="0"/>
                <w:sz w:val="18"/>
                <w:szCs w:val="18"/>
              </w:rPr>
              <w:t>㎍</w:t>
            </w:r>
            <w:r>
              <w:rPr>
                <w:rFonts w:hint="eastAsia" w:ascii="宋体" w:hAnsi="宋体" w:cs="宋体"/>
                <w:color w:val="auto"/>
                <w:kern w:val="0"/>
                <w:sz w:val="18"/>
                <w:szCs w:val="18"/>
              </w:rPr>
              <w:t>/</w:t>
            </w:r>
            <w:r>
              <w:rPr>
                <w:rFonts w:hint="eastAsia" w:ascii="宋体" w:hAnsi="宋体" w:eastAsia="MS Mincho" w:cs="MS Mincho"/>
                <w:color w:val="auto"/>
                <w:kern w:val="0"/>
                <w:sz w:val="18"/>
                <w:szCs w:val="18"/>
              </w:rPr>
              <w:t>㎠</w:t>
            </w: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70" w:hRule="atLeast"/>
        </w:trPr>
        <w:tc>
          <w:tcPr>
            <w:tcW w:w="130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奥博特</w:t>
            </w:r>
          </w:p>
        </w:tc>
        <w:tc>
          <w:tcPr>
            <w:tcW w:w="13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&lt;100ppm</w:t>
            </w:r>
          </w:p>
        </w:tc>
        <w:tc>
          <w:tcPr>
            <w:tcW w:w="192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&lt;1000ppm</w:t>
            </w:r>
          </w:p>
        </w:tc>
        <w:tc>
          <w:tcPr>
            <w:tcW w:w="16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&lt;1000ppm</w:t>
            </w:r>
          </w:p>
        </w:tc>
        <w:tc>
          <w:tcPr>
            <w:tcW w:w="2108"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&lt;1000ppm</w:t>
            </w:r>
          </w:p>
        </w:tc>
      </w:tr>
      <w:tr>
        <w:tblPrEx>
          <w:tblCellMar>
            <w:top w:w="0" w:type="dxa"/>
            <w:left w:w="108" w:type="dxa"/>
            <w:bottom w:w="0" w:type="dxa"/>
            <w:right w:w="108" w:type="dxa"/>
          </w:tblCellMar>
        </w:tblPrEx>
        <w:trPr>
          <w:trHeight w:val="270" w:hRule="atLeast"/>
        </w:trPr>
        <w:tc>
          <w:tcPr>
            <w:tcW w:w="130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金威</w:t>
            </w:r>
          </w:p>
        </w:tc>
        <w:tc>
          <w:tcPr>
            <w:tcW w:w="13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&lt;2ppm</w:t>
            </w:r>
          </w:p>
        </w:tc>
        <w:tc>
          <w:tcPr>
            <w:tcW w:w="1924"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ascii="宋体" w:hAnsi="宋体" w:cs="宋体"/>
                <w:color w:val="auto"/>
                <w:spacing w:val="-12"/>
                <w:kern w:val="0"/>
                <w:sz w:val="18"/>
                <w:szCs w:val="18"/>
              </w:rPr>
            </w:pPr>
            <w:r>
              <w:rPr>
                <w:rFonts w:hint="eastAsia" w:ascii="宋体" w:hAnsi="宋体" w:cs="宋体"/>
                <w:color w:val="auto"/>
                <w:spacing w:val="-12"/>
                <w:kern w:val="0"/>
                <w:sz w:val="18"/>
                <w:szCs w:val="18"/>
              </w:rPr>
              <w:t>紫铜&lt;6ppm，黄铜&lt;14ppm</w:t>
            </w:r>
          </w:p>
        </w:tc>
        <w:tc>
          <w:tcPr>
            <w:tcW w:w="16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&lt;2ppm</w:t>
            </w:r>
          </w:p>
        </w:tc>
        <w:tc>
          <w:tcPr>
            <w:tcW w:w="2108"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紫铜&lt;2ppm</w:t>
            </w:r>
          </w:p>
        </w:tc>
      </w:tr>
      <w:tr>
        <w:tblPrEx>
          <w:tblCellMar>
            <w:top w:w="0" w:type="dxa"/>
            <w:left w:w="108" w:type="dxa"/>
            <w:bottom w:w="0" w:type="dxa"/>
            <w:right w:w="108" w:type="dxa"/>
          </w:tblCellMar>
        </w:tblPrEx>
        <w:trPr>
          <w:trHeight w:val="270" w:hRule="atLeast"/>
        </w:trPr>
        <w:tc>
          <w:tcPr>
            <w:tcW w:w="130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18"/>
                <w:szCs w:val="18"/>
              </w:rPr>
            </w:pPr>
            <w:r>
              <w:rPr>
                <w:rFonts w:hint="eastAsia" w:ascii="宋体" w:hAnsi="宋体"/>
                <w:color w:val="auto"/>
                <w:kern w:val="0"/>
                <w:sz w:val="18"/>
                <w:szCs w:val="18"/>
              </w:rPr>
              <w:t>富威科技</w:t>
            </w:r>
          </w:p>
        </w:tc>
        <w:tc>
          <w:tcPr>
            <w:tcW w:w="13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ND(&lt;2mg/kg)</w:t>
            </w:r>
          </w:p>
        </w:tc>
        <w:tc>
          <w:tcPr>
            <w:tcW w:w="192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ND(&lt;2mg/kg)</w:t>
            </w:r>
          </w:p>
        </w:tc>
        <w:tc>
          <w:tcPr>
            <w:tcW w:w="16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ND(&lt;2mg/kg)</w:t>
            </w:r>
          </w:p>
        </w:tc>
        <w:tc>
          <w:tcPr>
            <w:tcW w:w="2108"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ND(&lt;0.10</w:t>
            </w:r>
            <w:r>
              <w:rPr>
                <w:rFonts w:hint="eastAsia" w:ascii="宋体" w:hAnsi="宋体" w:eastAsia="MS Mincho" w:cs="MS Mincho"/>
                <w:color w:val="auto"/>
                <w:kern w:val="0"/>
                <w:sz w:val="18"/>
                <w:szCs w:val="18"/>
              </w:rPr>
              <w:t>㎍</w:t>
            </w:r>
            <w:r>
              <w:rPr>
                <w:rFonts w:hint="eastAsia" w:ascii="宋体" w:hAnsi="宋体" w:cs="宋体"/>
                <w:color w:val="auto"/>
                <w:kern w:val="0"/>
                <w:sz w:val="18"/>
                <w:szCs w:val="18"/>
              </w:rPr>
              <w:t>/</w:t>
            </w:r>
            <w:r>
              <w:rPr>
                <w:rFonts w:hint="eastAsia" w:ascii="宋体" w:hAnsi="宋体" w:eastAsia="MS Mincho" w:cs="MS Mincho"/>
                <w:color w:val="auto"/>
                <w:kern w:val="0"/>
                <w:sz w:val="18"/>
                <w:szCs w:val="18"/>
              </w:rPr>
              <w:t>㎠</w:t>
            </w: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70" w:hRule="atLeast"/>
        </w:trPr>
        <w:tc>
          <w:tcPr>
            <w:tcW w:w="130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olor w:val="auto"/>
                <w:kern w:val="0"/>
                <w:sz w:val="18"/>
                <w:szCs w:val="18"/>
              </w:rPr>
            </w:pPr>
            <w:r>
              <w:rPr>
                <w:rFonts w:hint="eastAsia" w:ascii="宋体" w:hAnsi="宋体"/>
                <w:color w:val="auto"/>
                <w:kern w:val="0"/>
                <w:sz w:val="18"/>
                <w:szCs w:val="18"/>
              </w:rPr>
              <w:t>江铜板带</w:t>
            </w:r>
          </w:p>
        </w:tc>
        <w:tc>
          <w:tcPr>
            <w:tcW w:w="13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&lt;2mg/kg</w:t>
            </w:r>
          </w:p>
        </w:tc>
        <w:tc>
          <w:tcPr>
            <w:tcW w:w="192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&lt;2mg/kg</w:t>
            </w:r>
          </w:p>
        </w:tc>
        <w:tc>
          <w:tcPr>
            <w:tcW w:w="16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&lt;2mg/kg</w:t>
            </w:r>
          </w:p>
        </w:tc>
        <w:tc>
          <w:tcPr>
            <w:tcW w:w="2108"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&lt;0.10</w:t>
            </w:r>
            <w:r>
              <w:rPr>
                <w:rFonts w:hint="eastAsia" w:ascii="宋体" w:hAnsi="宋体" w:eastAsia="MS Mincho" w:cs="MS Mincho"/>
                <w:color w:val="auto"/>
                <w:kern w:val="0"/>
                <w:sz w:val="18"/>
                <w:szCs w:val="18"/>
              </w:rPr>
              <w:t>㎍</w:t>
            </w:r>
            <w:r>
              <w:rPr>
                <w:rFonts w:hint="eastAsia" w:ascii="宋体" w:hAnsi="宋体" w:cs="宋体"/>
                <w:color w:val="auto"/>
                <w:kern w:val="0"/>
                <w:sz w:val="18"/>
                <w:szCs w:val="18"/>
              </w:rPr>
              <w:t>/</w:t>
            </w:r>
            <w:r>
              <w:rPr>
                <w:rFonts w:hint="eastAsia" w:ascii="宋体" w:hAnsi="宋体" w:eastAsia="MS Mincho" w:cs="MS Mincho"/>
                <w:color w:val="auto"/>
                <w:kern w:val="0"/>
                <w:sz w:val="18"/>
                <w:szCs w:val="18"/>
              </w:rPr>
              <w:t>㎠</w:t>
            </w:r>
          </w:p>
        </w:tc>
      </w:tr>
    </w:tbl>
    <w:p>
      <w:pPr>
        <w:pStyle w:val="20"/>
        <w:spacing w:line="360" w:lineRule="exact"/>
        <w:ind w:firstLine="420"/>
        <w:rPr>
          <w:rFonts w:hAnsi="宋体"/>
          <w:bCs/>
          <w:color w:val="auto"/>
          <w:szCs w:val="21"/>
        </w:rPr>
      </w:pPr>
      <w:r>
        <w:rPr>
          <w:rFonts w:hint="eastAsia" w:hAnsi="宋体"/>
          <w:bCs/>
          <w:color w:val="auto"/>
          <w:szCs w:val="21"/>
        </w:rPr>
        <w:t>从表中可知，冷轧板带箔产品有害物质实际检测均符合ROSH要求。</w:t>
      </w:r>
    </w:p>
    <w:p>
      <w:pPr>
        <w:spacing w:beforeLines="50" w:afterLines="50" w:line="360" w:lineRule="exact"/>
        <w:rPr>
          <w:rFonts w:ascii="黑体" w:eastAsia="黑体"/>
          <w:color w:val="auto"/>
          <w:szCs w:val="21"/>
        </w:rPr>
      </w:pPr>
      <w:r>
        <w:rPr>
          <w:rFonts w:hint="eastAsia" w:ascii="黑体" w:eastAsia="黑体"/>
          <w:color w:val="auto"/>
          <w:szCs w:val="21"/>
        </w:rPr>
        <w:t>5.7 产品质量</w:t>
      </w:r>
    </w:p>
    <w:p>
      <w:pPr>
        <w:pStyle w:val="20"/>
        <w:spacing w:line="360" w:lineRule="exact"/>
        <w:ind w:firstLine="420"/>
        <w:rPr>
          <w:rFonts w:hAnsi="宋体" w:cs="宋体"/>
          <w:bCs/>
          <w:color w:val="auto"/>
          <w:szCs w:val="21"/>
        </w:rPr>
      </w:pPr>
      <w:r>
        <w:rPr>
          <w:rFonts w:hint="eastAsia" w:hAnsi="宋体" w:cs="宋体"/>
          <w:bCs/>
          <w:color w:val="auto"/>
          <w:szCs w:val="21"/>
        </w:rPr>
        <w:t>产品质量是产品属性主要体现，冷轧板带箔产品必须符合GB/T 2040 冷轧板、</w:t>
      </w:r>
      <w:r>
        <w:rPr>
          <w:rFonts w:hAnsi="宋体" w:cs="宋体"/>
          <w:bCs/>
          <w:color w:val="auto"/>
          <w:szCs w:val="21"/>
        </w:rPr>
        <w:t>GB/T</w:t>
      </w:r>
      <w:r>
        <w:rPr>
          <w:rFonts w:hint="eastAsia" w:hAnsi="宋体" w:cs="宋体"/>
          <w:bCs/>
          <w:color w:val="auto"/>
          <w:szCs w:val="21"/>
        </w:rPr>
        <w:t xml:space="preserve"> 2059、</w:t>
      </w:r>
      <w:r>
        <w:rPr>
          <w:rFonts w:hAnsi="宋体" w:cs="宋体"/>
          <w:bCs/>
          <w:color w:val="auto"/>
          <w:szCs w:val="21"/>
        </w:rPr>
        <w:t>GB/T</w:t>
      </w:r>
      <w:r>
        <w:rPr>
          <w:rFonts w:hint="eastAsia" w:hAnsi="宋体" w:cs="宋体"/>
          <w:bCs/>
          <w:color w:val="auto"/>
          <w:szCs w:val="21"/>
        </w:rPr>
        <w:t xml:space="preserve"> 5187等产品标准（见标准附录B）的相应要求。</w:t>
      </w:r>
    </w:p>
    <w:p>
      <w:pPr>
        <w:spacing w:beforeLines="50" w:afterLines="50" w:line="360" w:lineRule="exact"/>
        <w:rPr>
          <w:rFonts w:ascii="黑体" w:hAnsi="宋体" w:eastAsia="黑体" w:cs="宋体"/>
          <w:bCs/>
          <w:color w:val="auto"/>
          <w:szCs w:val="21"/>
        </w:rPr>
      </w:pPr>
      <w:r>
        <w:rPr>
          <w:rFonts w:hint="eastAsia" w:ascii="黑体" w:hAnsi="宋体" w:eastAsia="黑体" w:cs="宋体"/>
          <w:bCs/>
          <w:color w:val="auto"/>
          <w:szCs w:val="21"/>
        </w:rPr>
        <w:t>六、与现行法律、法规、强制性国家标准及相关标准协调配套情况</w:t>
      </w:r>
    </w:p>
    <w:p>
      <w:pPr>
        <w:pStyle w:val="20"/>
        <w:spacing w:line="360" w:lineRule="exact"/>
        <w:ind w:firstLine="420"/>
        <w:rPr>
          <w:rFonts w:hAnsi="宋体" w:cs="宋体"/>
          <w:bCs/>
          <w:color w:val="auto"/>
          <w:szCs w:val="21"/>
        </w:rPr>
      </w:pPr>
      <w:r>
        <w:rPr>
          <w:rFonts w:hint="eastAsia" w:hAnsi="宋体" w:cs="宋体"/>
          <w:bCs/>
          <w:color w:val="auto"/>
          <w:szCs w:val="21"/>
        </w:rPr>
        <w:t>目前我国铜及铜合金热轧板绿色设计产品评价的标准。本标准是新制定的协会标准。本标准是现有国家或行业标准不可替代的，是我国铜加工产品绿色标准体系的完善和补充。本标准的制定与现行的相关法律、法规，规章及相关标准的关系不矛盾、不冲突，其相互关系非常协调。</w:t>
      </w:r>
      <w:bookmarkStart w:id="6" w:name="_Toc2533283"/>
    </w:p>
    <w:p>
      <w:pPr>
        <w:spacing w:beforeLines="50" w:afterLines="50" w:line="360" w:lineRule="exact"/>
        <w:rPr>
          <w:rFonts w:ascii="黑体" w:hAnsi="宋体" w:eastAsia="黑体" w:cs="宋体"/>
          <w:bCs/>
          <w:color w:val="auto"/>
          <w:szCs w:val="21"/>
        </w:rPr>
      </w:pPr>
      <w:r>
        <w:rPr>
          <w:rFonts w:hint="eastAsia" w:ascii="黑体" w:hAnsi="宋体" w:eastAsia="黑体" w:cs="宋体"/>
          <w:bCs/>
          <w:color w:val="auto"/>
          <w:szCs w:val="21"/>
        </w:rPr>
        <w:t>七、标准中如涉及专利，应有明确的知识产权说明</w:t>
      </w:r>
      <w:bookmarkEnd w:id="6"/>
    </w:p>
    <w:p>
      <w:pPr>
        <w:pStyle w:val="20"/>
        <w:spacing w:line="360" w:lineRule="exact"/>
        <w:ind w:firstLine="420"/>
        <w:rPr>
          <w:color w:val="auto"/>
          <w:szCs w:val="21"/>
        </w:rPr>
      </w:pPr>
      <w:r>
        <w:rPr>
          <w:rFonts w:hint="eastAsia"/>
          <w:color w:val="auto"/>
          <w:szCs w:val="21"/>
        </w:rPr>
        <w:t>标准中不涉及任何专利和知识产权。</w:t>
      </w:r>
      <w:bookmarkStart w:id="7" w:name="_Toc2533284"/>
    </w:p>
    <w:p>
      <w:pPr>
        <w:spacing w:beforeLines="50" w:afterLines="50" w:line="360" w:lineRule="exact"/>
        <w:rPr>
          <w:rFonts w:ascii="黑体" w:hAnsi="宋体" w:eastAsia="黑体" w:cs="宋体"/>
          <w:bCs/>
          <w:color w:val="auto"/>
          <w:szCs w:val="21"/>
        </w:rPr>
      </w:pPr>
      <w:bookmarkStart w:id="8" w:name="_Toc15588"/>
      <w:r>
        <w:rPr>
          <w:rFonts w:hint="eastAsia" w:ascii="黑体" w:hAnsi="宋体" w:eastAsia="黑体" w:cs="宋体"/>
          <w:bCs/>
          <w:color w:val="auto"/>
          <w:szCs w:val="21"/>
        </w:rPr>
        <w:t>八、贯彻标准的要求和措施建议</w:t>
      </w:r>
      <w:bookmarkEnd w:id="8"/>
    </w:p>
    <w:p>
      <w:pPr>
        <w:pStyle w:val="20"/>
        <w:spacing w:line="360" w:lineRule="exact"/>
        <w:ind w:firstLine="420"/>
        <w:rPr>
          <w:rFonts w:hAnsi="宋体" w:cs="宋体"/>
          <w:color w:val="auto"/>
          <w:szCs w:val="21"/>
        </w:rPr>
      </w:pPr>
      <w:r>
        <w:rPr>
          <w:rFonts w:hint="eastAsia" w:hAnsi="宋体" w:cs="宋体"/>
          <w:color w:val="auto"/>
          <w:szCs w:val="21"/>
        </w:rPr>
        <w:t>本标准是</w:t>
      </w:r>
      <w:r>
        <w:rPr>
          <w:rFonts w:hint="eastAsia" w:hAnsi="宋体" w:cs="宋体"/>
          <w:bCs/>
          <w:color w:val="auto"/>
          <w:szCs w:val="21"/>
        </w:rPr>
        <w:t>在</w:t>
      </w:r>
      <w:r>
        <w:rPr>
          <w:rFonts w:hAnsi="宋体" w:cs="宋体"/>
          <w:bCs/>
          <w:color w:val="auto"/>
          <w:szCs w:val="21"/>
        </w:rPr>
        <w:t>GB/T 3</w:t>
      </w:r>
      <w:r>
        <w:rPr>
          <w:rFonts w:hint="eastAsia" w:hAnsi="宋体" w:cs="宋体"/>
          <w:bCs/>
          <w:color w:val="auto"/>
          <w:szCs w:val="21"/>
        </w:rPr>
        <w:t>2161的基础上，参考国家、行业和协会的相关标准和规范，制定铜及铜合金冷轧板带箔产品绿色设计评价技术规范。</w:t>
      </w:r>
      <w:r>
        <w:rPr>
          <w:rFonts w:hint="eastAsia" w:hAnsi="宋体" w:cs="宋体"/>
          <w:color w:val="auto"/>
          <w:szCs w:val="21"/>
        </w:rPr>
        <w:t>本标准的技术内容是推荐性的，</w:t>
      </w:r>
      <w:r>
        <w:rPr>
          <w:rFonts w:hint="eastAsia" w:hAnsi="宋体"/>
          <w:color w:val="auto"/>
          <w:szCs w:val="21"/>
        </w:rPr>
        <w:t>标准发布后即可实施，建议</w:t>
      </w:r>
      <w:r>
        <w:rPr>
          <w:rFonts w:hint="eastAsia" w:hAnsi="宋体"/>
          <w:color w:val="auto"/>
          <w:kern w:val="2"/>
          <w:szCs w:val="21"/>
        </w:rPr>
        <w:t>各铜</w:t>
      </w:r>
      <w:r>
        <w:rPr>
          <w:rFonts w:hint="eastAsia" w:hAnsi="宋体" w:cs="宋体"/>
          <w:bCs/>
          <w:color w:val="auto"/>
          <w:szCs w:val="21"/>
        </w:rPr>
        <w:t>冷轧板带箔</w:t>
      </w:r>
      <w:r>
        <w:rPr>
          <w:rFonts w:hint="eastAsia" w:hAnsi="宋体"/>
          <w:color w:val="auto"/>
          <w:kern w:val="2"/>
          <w:szCs w:val="21"/>
        </w:rPr>
        <w:t>生产企业应积极宣传</w:t>
      </w:r>
      <w:r>
        <w:rPr>
          <w:rFonts w:hint="eastAsia" w:hAnsi="宋体"/>
          <w:color w:val="auto"/>
          <w:szCs w:val="21"/>
        </w:rPr>
        <w:t>、</w:t>
      </w:r>
      <w:r>
        <w:rPr>
          <w:rFonts w:hint="eastAsia" w:hAnsi="宋体"/>
          <w:color w:val="auto"/>
          <w:kern w:val="2"/>
          <w:szCs w:val="21"/>
        </w:rPr>
        <w:t>贯彻</w:t>
      </w:r>
      <w:r>
        <w:rPr>
          <w:rFonts w:hint="eastAsia" w:hAnsi="宋体"/>
          <w:color w:val="auto"/>
          <w:szCs w:val="21"/>
        </w:rPr>
        <w:t>和实施</w:t>
      </w:r>
      <w:r>
        <w:rPr>
          <w:rFonts w:hint="eastAsia" w:hAnsi="宋体"/>
          <w:color w:val="auto"/>
          <w:kern w:val="2"/>
          <w:szCs w:val="21"/>
        </w:rPr>
        <w:t>，</w:t>
      </w:r>
      <w:r>
        <w:rPr>
          <w:rFonts w:hint="eastAsia" w:hAnsi="宋体"/>
          <w:color w:val="auto"/>
          <w:szCs w:val="21"/>
        </w:rPr>
        <w:t>建议各级人民政府的工业和信息化行政主管部门负责监督实施。</w:t>
      </w:r>
    </w:p>
    <w:p>
      <w:pPr>
        <w:widowControl/>
        <w:spacing w:line="360" w:lineRule="exact"/>
        <w:ind w:firstLine="200"/>
        <w:rPr>
          <w:color w:val="auto"/>
          <w:szCs w:val="21"/>
        </w:rPr>
      </w:pPr>
      <w:r>
        <w:rPr>
          <w:rFonts w:hint="eastAsia"/>
          <w:color w:val="auto"/>
        </w:rPr>
        <w:t>该标准给出的术语和定义、计算方法和评价方法，企业应按照本标准，结合本企业实际生产情况，统筹考虑资源、能源、环境、质量等属性，科学确定企业产品评价的关键阶段和关键指标，确定正确的评价结果。</w:t>
      </w:r>
    </w:p>
    <w:p>
      <w:pPr>
        <w:spacing w:beforeLines="50" w:afterLines="50" w:line="360" w:lineRule="exact"/>
        <w:rPr>
          <w:rFonts w:ascii="黑体" w:hAnsi="宋体" w:eastAsia="黑体" w:cs="宋体"/>
          <w:bCs/>
          <w:color w:val="auto"/>
          <w:szCs w:val="21"/>
        </w:rPr>
      </w:pPr>
      <w:r>
        <w:rPr>
          <w:rFonts w:hint="eastAsia" w:ascii="黑体" w:hAnsi="宋体" w:eastAsia="黑体" w:cs="宋体"/>
          <w:bCs/>
          <w:color w:val="auto"/>
          <w:szCs w:val="21"/>
        </w:rPr>
        <w:t>九、废止现行有关标准的建议</w:t>
      </w:r>
      <w:bookmarkEnd w:id="7"/>
    </w:p>
    <w:p>
      <w:pPr>
        <w:rPr>
          <w:color w:val="auto"/>
          <w:szCs w:val="21"/>
        </w:rPr>
      </w:pPr>
      <w:r>
        <w:rPr>
          <w:rFonts w:hint="eastAsia" w:asciiTheme="minorEastAsia" w:hAnsiTheme="minorEastAsia" w:eastAsiaTheme="minorEastAsia"/>
          <w:color w:val="auto"/>
          <w:sz w:val="24"/>
        </w:rPr>
        <w:t xml:space="preserve">     </w:t>
      </w:r>
      <w:r>
        <w:rPr>
          <w:rFonts w:hint="eastAsia"/>
          <w:color w:val="auto"/>
          <w:szCs w:val="21"/>
        </w:rPr>
        <w:t xml:space="preserve"> 无</w:t>
      </w:r>
      <w:bookmarkStart w:id="9" w:name="_Toc2533285"/>
    </w:p>
    <w:p>
      <w:pPr>
        <w:spacing w:beforeLines="50" w:afterLines="50" w:line="360" w:lineRule="exact"/>
        <w:rPr>
          <w:rFonts w:ascii="黑体" w:hAnsi="宋体" w:eastAsia="黑体" w:cs="宋体"/>
          <w:bCs/>
          <w:color w:val="auto"/>
          <w:szCs w:val="21"/>
        </w:rPr>
      </w:pPr>
      <w:r>
        <w:rPr>
          <w:rFonts w:hint="eastAsia" w:ascii="黑体" w:hAnsi="宋体" w:eastAsia="黑体" w:cs="宋体"/>
          <w:bCs/>
          <w:color w:val="auto"/>
          <w:szCs w:val="21"/>
        </w:rPr>
        <w:t>十、市场前景和预期经济社会效益</w:t>
      </w:r>
      <w:bookmarkEnd w:id="9"/>
    </w:p>
    <w:p>
      <w:pPr>
        <w:spacing w:line="360" w:lineRule="exact"/>
        <w:ind w:firstLine="420" w:firstLineChars="200"/>
        <w:rPr>
          <w:rFonts w:ascii="宋体" w:hAnsi="宋体"/>
          <w:color w:val="auto"/>
          <w:szCs w:val="21"/>
        </w:rPr>
      </w:pPr>
      <w:r>
        <w:rPr>
          <w:rFonts w:hint="eastAsia" w:ascii="宋体" w:hAnsi="宋体"/>
          <w:color w:val="auto"/>
          <w:szCs w:val="21"/>
        </w:rPr>
        <w:t>绿色设计是指在产品及其生命周期全过程的设计中，充分考虑对资源和环境的影响，在充分考虑产品的功能、质量、开发周期和成本的同时，优化各有关设计因素，使得产品及其制造过程对环境的总体影响和资源消耗减到最小。绿色产品标准是基于全生命周期理念所形成，不但针对产品质量、生态环境、健康安全等多方面提出了综合性指标要求，也为企业的生产过程与生产技术设定了标杆。</w:t>
      </w:r>
    </w:p>
    <w:p>
      <w:pPr>
        <w:spacing w:line="360" w:lineRule="exact"/>
        <w:ind w:firstLine="420" w:firstLineChars="200"/>
        <w:rPr>
          <w:color w:val="auto"/>
        </w:rPr>
      </w:pPr>
      <w:r>
        <w:rPr>
          <w:rFonts w:hint="eastAsia" w:ascii="宋体" w:hAnsi="宋体"/>
          <w:color w:val="auto"/>
          <w:szCs w:val="21"/>
        </w:rPr>
        <w:t>本标准以铜及铜合金</w:t>
      </w:r>
      <w:r>
        <w:rPr>
          <w:rFonts w:hint="eastAsia" w:hAnsi="宋体" w:cs="宋体"/>
          <w:bCs/>
          <w:color w:val="auto"/>
          <w:szCs w:val="21"/>
        </w:rPr>
        <w:t>冷轧板带箔材</w:t>
      </w:r>
      <w:r>
        <w:rPr>
          <w:rFonts w:hint="eastAsia" w:ascii="宋体" w:hAnsi="宋体"/>
          <w:color w:val="auto"/>
          <w:szCs w:val="21"/>
        </w:rPr>
        <w:t>全生命周期资源科学利用和环境保护为目标，以技术进步和标准体系建设为支撑，开展产品生态设计，建立铜及铜合金热轧板材绿色设计产品评价技术规范</w:t>
      </w:r>
      <w:r>
        <w:rPr>
          <w:rFonts w:ascii="宋体" w:hAnsi="宋体"/>
          <w:color w:val="auto"/>
          <w:szCs w:val="21"/>
        </w:rPr>
        <w:t xml:space="preserve"> </w:t>
      </w:r>
      <w:r>
        <w:rPr>
          <w:rFonts w:hint="eastAsia" w:ascii="宋体" w:hAnsi="宋体"/>
          <w:color w:val="auto"/>
          <w:szCs w:val="21"/>
        </w:rPr>
        <w:t>，以建立系统科学、指标先进、统一有效的绿色产品标准、认证、标识体系，规范铜及铜合金</w:t>
      </w:r>
      <w:r>
        <w:rPr>
          <w:rFonts w:hint="eastAsia" w:hAnsi="宋体" w:cs="宋体"/>
          <w:bCs/>
          <w:color w:val="auto"/>
          <w:szCs w:val="21"/>
        </w:rPr>
        <w:t>冷轧板带箔</w:t>
      </w:r>
      <w:r>
        <w:rPr>
          <w:rFonts w:hint="eastAsia" w:ascii="宋体" w:hAnsi="宋体"/>
          <w:color w:val="auto"/>
          <w:szCs w:val="21"/>
        </w:rPr>
        <w:t>材生产企业的绿色要求，通过政策引导和市场推动，推动铜及铜合金热轧板材采用先进适用的加工工艺和技术，规范相关指标，向绿色低碳、清洁安全逐步转变，对促进我国有色行业的绿色制造、绿色发展具有重要的意义。</w:t>
      </w:r>
    </w:p>
    <w:p>
      <w:pPr>
        <w:spacing w:line="360" w:lineRule="exact"/>
        <w:ind w:firstLine="420" w:firstLineChars="200"/>
        <w:rPr>
          <w:color w:val="auto"/>
          <w:szCs w:val="21"/>
        </w:rPr>
      </w:pPr>
    </w:p>
    <w:p>
      <w:pPr>
        <w:ind w:firstLine="420" w:firstLineChars="200"/>
        <w:rPr>
          <w:color w:val="auto"/>
          <w:szCs w:val="21"/>
        </w:rPr>
      </w:pPr>
    </w:p>
    <w:p>
      <w:pPr>
        <w:ind w:firstLine="420" w:firstLineChars="200"/>
        <w:rPr>
          <w:color w:val="auto"/>
          <w:szCs w:val="21"/>
        </w:rPr>
      </w:pPr>
    </w:p>
    <w:p>
      <w:pPr>
        <w:spacing w:line="360" w:lineRule="exact"/>
        <w:ind w:right="420" w:firstLine="105" w:firstLineChars="50"/>
        <w:jc w:val="righ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绿色设计产品评价技术规范</w:t>
      </w:r>
      <w:r>
        <w:rPr>
          <w:rFonts w:hint="eastAsia" w:ascii="宋体" w:hAnsi="宋体" w:cs="宋体"/>
          <w:color w:val="auto"/>
          <w:szCs w:val="21"/>
        </w:rPr>
        <w:t xml:space="preserve">  铜及铜合金热轧板材》</w:t>
      </w:r>
    </w:p>
    <w:p>
      <w:pPr>
        <w:spacing w:line="360" w:lineRule="exact"/>
        <w:ind w:right="840" w:firstLine="4725" w:firstLineChars="2250"/>
        <w:rPr>
          <w:rFonts w:ascii="宋体" w:hAnsi="宋体" w:cs="宋体"/>
          <w:color w:val="auto"/>
          <w:szCs w:val="21"/>
        </w:rPr>
      </w:pPr>
      <w:r>
        <w:rPr>
          <w:rFonts w:hint="eastAsia" w:ascii="宋体" w:hAnsi="宋体" w:cs="宋体"/>
          <w:color w:val="auto"/>
          <w:szCs w:val="21"/>
        </w:rPr>
        <w:t>协会标准编制组</w:t>
      </w:r>
    </w:p>
    <w:p>
      <w:pPr>
        <w:spacing w:line="360" w:lineRule="exact"/>
        <w:ind w:left="480" w:hanging="480"/>
        <w:jc w:val="center"/>
        <w:rPr>
          <w:color w:val="auto"/>
          <w:szCs w:val="21"/>
        </w:rPr>
      </w:pPr>
      <w:r>
        <w:rPr>
          <w:rFonts w:hint="eastAsia" w:ascii="宋体" w:hAnsi="宋体" w:cs="宋体"/>
          <w:color w:val="auto"/>
          <w:szCs w:val="21"/>
        </w:rPr>
        <w:t xml:space="preserve">                        </w:t>
      </w:r>
      <w:r>
        <w:rPr>
          <w:rFonts w:hint="eastAsia"/>
          <w:color w:val="auto"/>
          <w:szCs w:val="21"/>
        </w:rPr>
        <w:t>2022年</w:t>
      </w:r>
      <w:r>
        <w:rPr>
          <w:rFonts w:hint="eastAsia"/>
          <w:color w:val="auto"/>
          <w:szCs w:val="21"/>
          <w:lang w:val="en-US" w:eastAsia="zh-CN"/>
        </w:rPr>
        <w:t>9</w:t>
      </w:r>
      <w:r>
        <w:rPr>
          <w:rFonts w:hint="eastAsia"/>
          <w:color w:val="auto"/>
          <w:szCs w:val="21"/>
        </w:rPr>
        <w:t>月</w:t>
      </w:r>
      <w:r>
        <w:rPr>
          <w:rFonts w:hint="eastAsia"/>
          <w:color w:val="auto"/>
          <w:szCs w:val="21"/>
          <w:lang w:val="en-US" w:eastAsia="zh-CN"/>
        </w:rPr>
        <w:t>19</w:t>
      </w:r>
      <w:r>
        <w:rPr>
          <w:rFonts w:hint="eastAsia"/>
          <w:color w:val="auto"/>
          <w:szCs w:val="21"/>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swiss"/>
    <w:pitch w:val="default"/>
    <w:sig w:usb0="80000287" w:usb1="2A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11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D1C44"/>
    <w:multiLevelType w:val="multilevel"/>
    <w:tmpl w:val="417D1C4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7CCB5D51"/>
    <w:multiLevelType w:val="multilevel"/>
    <w:tmpl w:val="7CCB5D51"/>
    <w:lvl w:ilvl="0" w:tentative="0">
      <w:start w:val="1"/>
      <w:numFmt w:val="lowerLetter"/>
      <w:lvlText w:val="%1)"/>
      <w:lvlJc w:val="left"/>
      <w:pPr>
        <w:ind w:left="765" w:hanging="36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D4631"/>
    <w:rsid w:val="0000539D"/>
    <w:rsid w:val="000108DB"/>
    <w:rsid w:val="00035302"/>
    <w:rsid w:val="00037A7A"/>
    <w:rsid w:val="00070CC3"/>
    <w:rsid w:val="00072F49"/>
    <w:rsid w:val="00080D3A"/>
    <w:rsid w:val="00083360"/>
    <w:rsid w:val="000A4C6B"/>
    <w:rsid w:val="000A621E"/>
    <w:rsid w:val="000B20FC"/>
    <w:rsid w:val="000B2B2F"/>
    <w:rsid w:val="000C1AC8"/>
    <w:rsid w:val="000C3A87"/>
    <w:rsid w:val="000C4876"/>
    <w:rsid w:val="000D08B8"/>
    <w:rsid w:val="000D0921"/>
    <w:rsid w:val="000D398A"/>
    <w:rsid w:val="000D53A2"/>
    <w:rsid w:val="000E16EE"/>
    <w:rsid w:val="000F58BB"/>
    <w:rsid w:val="001003C0"/>
    <w:rsid w:val="00105AB2"/>
    <w:rsid w:val="00122580"/>
    <w:rsid w:val="00124479"/>
    <w:rsid w:val="001340B2"/>
    <w:rsid w:val="00135C8C"/>
    <w:rsid w:val="00136A4A"/>
    <w:rsid w:val="00136E90"/>
    <w:rsid w:val="001436B2"/>
    <w:rsid w:val="00151408"/>
    <w:rsid w:val="00161C4B"/>
    <w:rsid w:val="00163385"/>
    <w:rsid w:val="0018307D"/>
    <w:rsid w:val="001A01FA"/>
    <w:rsid w:val="001B0564"/>
    <w:rsid w:val="001B25DD"/>
    <w:rsid w:val="001B4D9D"/>
    <w:rsid w:val="001C44E5"/>
    <w:rsid w:val="001C4C16"/>
    <w:rsid w:val="001C4E5F"/>
    <w:rsid w:val="001D2EE2"/>
    <w:rsid w:val="001D6CE2"/>
    <w:rsid w:val="00202B24"/>
    <w:rsid w:val="00205E4F"/>
    <w:rsid w:val="00211E69"/>
    <w:rsid w:val="00220DE0"/>
    <w:rsid w:val="00232C30"/>
    <w:rsid w:val="00233394"/>
    <w:rsid w:val="00235F18"/>
    <w:rsid w:val="00253344"/>
    <w:rsid w:val="0026110A"/>
    <w:rsid w:val="002660FA"/>
    <w:rsid w:val="002662F1"/>
    <w:rsid w:val="00272E0C"/>
    <w:rsid w:val="002B0DEC"/>
    <w:rsid w:val="002C0755"/>
    <w:rsid w:val="002E0822"/>
    <w:rsid w:val="003009FC"/>
    <w:rsid w:val="00302D37"/>
    <w:rsid w:val="0030572F"/>
    <w:rsid w:val="0031716E"/>
    <w:rsid w:val="00317225"/>
    <w:rsid w:val="00317703"/>
    <w:rsid w:val="003444D7"/>
    <w:rsid w:val="0034654F"/>
    <w:rsid w:val="003701A0"/>
    <w:rsid w:val="00380870"/>
    <w:rsid w:val="003A2231"/>
    <w:rsid w:val="003A735E"/>
    <w:rsid w:val="003B665A"/>
    <w:rsid w:val="003D1CDA"/>
    <w:rsid w:val="003D7AD6"/>
    <w:rsid w:val="003D7D77"/>
    <w:rsid w:val="003E4D38"/>
    <w:rsid w:val="003E6629"/>
    <w:rsid w:val="003F3708"/>
    <w:rsid w:val="00401CDD"/>
    <w:rsid w:val="00422668"/>
    <w:rsid w:val="00426A7D"/>
    <w:rsid w:val="00431C24"/>
    <w:rsid w:val="00437933"/>
    <w:rsid w:val="00454D82"/>
    <w:rsid w:val="00455FE2"/>
    <w:rsid w:val="00464F9A"/>
    <w:rsid w:val="004673B6"/>
    <w:rsid w:val="004747B4"/>
    <w:rsid w:val="00482D95"/>
    <w:rsid w:val="00484CF3"/>
    <w:rsid w:val="004923E5"/>
    <w:rsid w:val="00494B92"/>
    <w:rsid w:val="004A6CD2"/>
    <w:rsid w:val="004B5385"/>
    <w:rsid w:val="004C5585"/>
    <w:rsid w:val="004E270D"/>
    <w:rsid w:val="004E29FF"/>
    <w:rsid w:val="004E32FE"/>
    <w:rsid w:val="004E4D26"/>
    <w:rsid w:val="004F121E"/>
    <w:rsid w:val="004F568B"/>
    <w:rsid w:val="004F6958"/>
    <w:rsid w:val="004F7186"/>
    <w:rsid w:val="00504600"/>
    <w:rsid w:val="005138EA"/>
    <w:rsid w:val="005149B0"/>
    <w:rsid w:val="00515C62"/>
    <w:rsid w:val="00516253"/>
    <w:rsid w:val="00517B4A"/>
    <w:rsid w:val="00517CA5"/>
    <w:rsid w:val="0053042B"/>
    <w:rsid w:val="005518EE"/>
    <w:rsid w:val="00562631"/>
    <w:rsid w:val="0056333C"/>
    <w:rsid w:val="00563488"/>
    <w:rsid w:val="00572BDA"/>
    <w:rsid w:val="00584871"/>
    <w:rsid w:val="00585471"/>
    <w:rsid w:val="005972EF"/>
    <w:rsid w:val="005A2F73"/>
    <w:rsid w:val="005D2917"/>
    <w:rsid w:val="005D571E"/>
    <w:rsid w:val="005E02B4"/>
    <w:rsid w:val="005E3F7A"/>
    <w:rsid w:val="005E4F23"/>
    <w:rsid w:val="005E5634"/>
    <w:rsid w:val="00603AF2"/>
    <w:rsid w:val="00603E3F"/>
    <w:rsid w:val="00614B64"/>
    <w:rsid w:val="00615D9A"/>
    <w:rsid w:val="006161C3"/>
    <w:rsid w:val="0061717D"/>
    <w:rsid w:val="00621A57"/>
    <w:rsid w:val="00634554"/>
    <w:rsid w:val="0064447A"/>
    <w:rsid w:val="006541EF"/>
    <w:rsid w:val="00656194"/>
    <w:rsid w:val="00667D05"/>
    <w:rsid w:val="00672B2A"/>
    <w:rsid w:val="006741ED"/>
    <w:rsid w:val="0068458E"/>
    <w:rsid w:val="00686CDD"/>
    <w:rsid w:val="00687520"/>
    <w:rsid w:val="00694484"/>
    <w:rsid w:val="006A6FDB"/>
    <w:rsid w:val="006B7D6A"/>
    <w:rsid w:val="006D3799"/>
    <w:rsid w:val="006E3E96"/>
    <w:rsid w:val="0070663A"/>
    <w:rsid w:val="00706778"/>
    <w:rsid w:val="00710128"/>
    <w:rsid w:val="00711FD8"/>
    <w:rsid w:val="007121D2"/>
    <w:rsid w:val="00725E7A"/>
    <w:rsid w:val="00742DDE"/>
    <w:rsid w:val="00755F27"/>
    <w:rsid w:val="00766AA8"/>
    <w:rsid w:val="007742E9"/>
    <w:rsid w:val="007808C5"/>
    <w:rsid w:val="0079699F"/>
    <w:rsid w:val="007A0BF3"/>
    <w:rsid w:val="007A2998"/>
    <w:rsid w:val="007A550F"/>
    <w:rsid w:val="007B794B"/>
    <w:rsid w:val="007C044D"/>
    <w:rsid w:val="007C3E7F"/>
    <w:rsid w:val="007C4644"/>
    <w:rsid w:val="007C4E27"/>
    <w:rsid w:val="007D2DFB"/>
    <w:rsid w:val="007D4911"/>
    <w:rsid w:val="007D669F"/>
    <w:rsid w:val="007E16AA"/>
    <w:rsid w:val="007E38C8"/>
    <w:rsid w:val="007F13FF"/>
    <w:rsid w:val="007F3A19"/>
    <w:rsid w:val="007F4539"/>
    <w:rsid w:val="007F751B"/>
    <w:rsid w:val="0080389D"/>
    <w:rsid w:val="00805DDC"/>
    <w:rsid w:val="008108B7"/>
    <w:rsid w:val="00816EB5"/>
    <w:rsid w:val="00820ABC"/>
    <w:rsid w:val="00824F8A"/>
    <w:rsid w:val="008272CF"/>
    <w:rsid w:val="008313AD"/>
    <w:rsid w:val="0084136C"/>
    <w:rsid w:val="00841F38"/>
    <w:rsid w:val="00842C22"/>
    <w:rsid w:val="00851C9C"/>
    <w:rsid w:val="00853BBA"/>
    <w:rsid w:val="00880243"/>
    <w:rsid w:val="00882B5B"/>
    <w:rsid w:val="008B0ACC"/>
    <w:rsid w:val="008D0C6C"/>
    <w:rsid w:val="008E5A88"/>
    <w:rsid w:val="008F3F1E"/>
    <w:rsid w:val="009069BF"/>
    <w:rsid w:val="009203B4"/>
    <w:rsid w:val="00923960"/>
    <w:rsid w:val="00951441"/>
    <w:rsid w:val="00972A44"/>
    <w:rsid w:val="00973D1F"/>
    <w:rsid w:val="00982059"/>
    <w:rsid w:val="0098782D"/>
    <w:rsid w:val="00987F33"/>
    <w:rsid w:val="009959B0"/>
    <w:rsid w:val="009C1939"/>
    <w:rsid w:val="009D7C6E"/>
    <w:rsid w:val="009E4C7F"/>
    <w:rsid w:val="009F00D2"/>
    <w:rsid w:val="009F048E"/>
    <w:rsid w:val="009F079F"/>
    <w:rsid w:val="009F53E4"/>
    <w:rsid w:val="00A03557"/>
    <w:rsid w:val="00A12EA7"/>
    <w:rsid w:val="00A20579"/>
    <w:rsid w:val="00A206D4"/>
    <w:rsid w:val="00A307A0"/>
    <w:rsid w:val="00A4265E"/>
    <w:rsid w:val="00A50FF5"/>
    <w:rsid w:val="00A538FD"/>
    <w:rsid w:val="00A5735D"/>
    <w:rsid w:val="00A72DCB"/>
    <w:rsid w:val="00A73E9D"/>
    <w:rsid w:val="00AA4C39"/>
    <w:rsid w:val="00AA7295"/>
    <w:rsid w:val="00AC2403"/>
    <w:rsid w:val="00AC6710"/>
    <w:rsid w:val="00AD16F8"/>
    <w:rsid w:val="00B079CB"/>
    <w:rsid w:val="00B12457"/>
    <w:rsid w:val="00B1379A"/>
    <w:rsid w:val="00B2331B"/>
    <w:rsid w:val="00B24FE7"/>
    <w:rsid w:val="00B32AD0"/>
    <w:rsid w:val="00B54389"/>
    <w:rsid w:val="00B555CF"/>
    <w:rsid w:val="00B602CC"/>
    <w:rsid w:val="00B63455"/>
    <w:rsid w:val="00B91B75"/>
    <w:rsid w:val="00B95E51"/>
    <w:rsid w:val="00B95FA2"/>
    <w:rsid w:val="00BA7728"/>
    <w:rsid w:val="00BB157F"/>
    <w:rsid w:val="00BC65DE"/>
    <w:rsid w:val="00BD03A7"/>
    <w:rsid w:val="00BD2F96"/>
    <w:rsid w:val="00BD6D40"/>
    <w:rsid w:val="00BE2413"/>
    <w:rsid w:val="00C24E4F"/>
    <w:rsid w:val="00C422E0"/>
    <w:rsid w:val="00C50F84"/>
    <w:rsid w:val="00C655CA"/>
    <w:rsid w:val="00C77BD3"/>
    <w:rsid w:val="00C92DF8"/>
    <w:rsid w:val="00C95721"/>
    <w:rsid w:val="00C963CE"/>
    <w:rsid w:val="00CB0B4C"/>
    <w:rsid w:val="00CD135B"/>
    <w:rsid w:val="00CD3FE2"/>
    <w:rsid w:val="00CD4631"/>
    <w:rsid w:val="00CE119D"/>
    <w:rsid w:val="00CE2A6E"/>
    <w:rsid w:val="00D00BF1"/>
    <w:rsid w:val="00D11607"/>
    <w:rsid w:val="00D120A4"/>
    <w:rsid w:val="00D15026"/>
    <w:rsid w:val="00D1657C"/>
    <w:rsid w:val="00D23343"/>
    <w:rsid w:val="00D45F11"/>
    <w:rsid w:val="00D75B0E"/>
    <w:rsid w:val="00D77D53"/>
    <w:rsid w:val="00D90442"/>
    <w:rsid w:val="00DA526F"/>
    <w:rsid w:val="00DA5F32"/>
    <w:rsid w:val="00DB3CDE"/>
    <w:rsid w:val="00DB49E5"/>
    <w:rsid w:val="00DD12A2"/>
    <w:rsid w:val="00DD2F31"/>
    <w:rsid w:val="00DE0177"/>
    <w:rsid w:val="00DE4F1F"/>
    <w:rsid w:val="00E01ECC"/>
    <w:rsid w:val="00E03E9A"/>
    <w:rsid w:val="00E11FF2"/>
    <w:rsid w:val="00E21235"/>
    <w:rsid w:val="00E2302B"/>
    <w:rsid w:val="00E2640E"/>
    <w:rsid w:val="00E709AC"/>
    <w:rsid w:val="00E8528A"/>
    <w:rsid w:val="00E92A9E"/>
    <w:rsid w:val="00E944E0"/>
    <w:rsid w:val="00EA2329"/>
    <w:rsid w:val="00EB2BDA"/>
    <w:rsid w:val="00EB309F"/>
    <w:rsid w:val="00EC429D"/>
    <w:rsid w:val="00EC42C1"/>
    <w:rsid w:val="00EE0A62"/>
    <w:rsid w:val="00EE0D47"/>
    <w:rsid w:val="00EE178A"/>
    <w:rsid w:val="00EE3C4F"/>
    <w:rsid w:val="00EE4FC9"/>
    <w:rsid w:val="00EF171D"/>
    <w:rsid w:val="00EF4710"/>
    <w:rsid w:val="00F21E83"/>
    <w:rsid w:val="00F22B81"/>
    <w:rsid w:val="00F26D5B"/>
    <w:rsid w:val="00F30468"/>
    <w:rsid w:val="00F4760D"/>
    <w:rsid w:val="00F62298"/>
    <w:rsid w:val="00F63EB2"/>
    <w:rsid w:val="00F84D27"/>
    <w:rsid w:val="00F8518D"/>
    <w:rsid w:val="00F95FF5"/>
    <w:rsid w:val="00FA47D3"/>
    <w:rsid w:val="00FA5E9E"/>
    <w:rsid w:val="00FA6ED4"/>
    <w:rsid w:val="00FC613F"/>
    <w:rsid w:val="00FC6C6A"/>
    <w:rsid w:val="00FC7D15"/>
    <w:rsid w:val="00FD426F"/>
    <w:rsid w:val="00FE0C0E"/>
    <w:rsid w:val="00FE49B8"/>
    <w:rsid w:val="00FF1368"/>
    <w:rsid w:val="00FF1CF8"/>
    <w:rsid w:val="0105689A"/>
    <w:rsid w:val="013C39DB"/>
    <w:rsid w:val="01C5506E"/>
    <w:rsid w:val="01EE7665"/>
    <w:rsid w:val="02867976"/>
    <w:rsid w:val="032C6800"/>
    <w:rsid w:val="03846F7E"/>
    <w:rsid w:val="04181D4D"/>
    <w:rsid w:val="04854BF6"/>
    <w:rsid w:val="04F7294C"/>
    <w:rsid w:val="05BC1C39"/>
    <w:rsid w:val="075C1B00"/>
    <w:rsid w:val="07792CB6"/>
    <w:rsid w:val="084324BA"/>
    <w:rsid w:val="08967959"/>
    <w:rsid w:val="090F017C"/>
    <w:rsid w:val="097C6AA2"/>
    <w:rsid w:val="09A94AFB"/>
    <w:rsid w:val="09D17ECE"/>
    <w:rsid w:val="09DF06A4"/>
    <w:rsid w:val="0B4F6374"/>
    <w:rsid w:val="0C276CCA"/>
    <w:rsid w:val="0C3F3AA6"/>
    <w:rsid w:val="0CA904D8"/>
    <w:rsid w:val="0CF34262"/>
    <w:rsid w:val="0DC46901"/>
    <w:rsid w:val="0DE57DD7"/>
    <w:rsid w:val="0E93407F"/>
    <w:rsid w:val="0EB470EA"/>
    <w:rsid w:val="0EE231FC"/>
    <w:rsid w:val="0F284298"/>
    <w:rsid w:val="10262609"/>
    <w:rsid w:val="1170048F"/>
    <w:rsid w:val="11B617FB"/>
    <w:rsid w:val="124B7740"/>
    <w:rsid w:val="12576A50"/>
    <w:rsid w:val="14690279"/>
    <w:rsid w:val="147D0D1D"/>
    <w:rsid w:val="14FD196B"/>
    <w:rsid w:val="15453C1F"/>
    <w:rsid w:val="1591601C"/>
    <w:rsid w:val="15FF591A"/>
    <w:rsid w:val="16653CFD"/>
    <w:rsid w:val="187665F0"/>
    <w:rsid w:val="18E70A02"/>
    <w:rsid w:val="19160B0E"/>
    <w:rsid w:val="19B020A8"/>
    <w:rsid w:val="19EB6286"/>
    <w:rsid w:val="1B3F1A91"/>
    <w:rsid w:val="1BA26C02"/>
    <w:rsid w:val="1BB74202"/>
    <w:rsid w:val="1BFB67F0"/>
    <w:rsid w:val="1C3F22F3"/>
    <w:rsid w:val="1C64206C"/>
    <w:rsid w:val="1CC5114C"/>
    <w:rsid w:val="1DDB019A"/>
    <w:rsid w:val="1DE6020B"/>
    <w:rsid w:val="1FA72AE0"/>
    <w:rsid w:val="1FE33FAD"/>
    <w:rsid w:val="202B0823"/>
    <w:rsid w:val="20BF611E"/>
    <w:rsid w:val="210A51FC"/>
    <w:rsid w:val="21364C5F"/>
    <w:rsid w:val="21D25CD9"/>
    <w:rsid w:val="21D32979"/>
    <w:rsid w:val="22060F0F"/>
    <w:rsid w:val="22396B75"/>
    <w:rsid w:val="22CD717F"/>
    <w:rsid w:val="232127D1"/>
    <w:rsid w:val="233764D2"/>
    <w:rsid w:val="245E448E"/>
    <w:rsid w:val="24AE0BCA"/>
    <w:rsid w:val="24F72883"/>
    <w:rsid w:val="254C7508"/>
    <w:rsid w:val="256B7997"/>
    <w:rsid w:val="272F1728"/>
    <w:rsid w:val="285B10E5"/>
    <w:rsid w:val="2A2A2CD9"/>
    <w:rsid w:val="2A8B2A84"/>
    <w:rsid w:val="2B54482E"/>
    <w:rsid w:val="2CF0086E"/>
    <w:rsid w:val="2D7F1D6C"/>
    <w:rsid w:val="2D9538E8"/>
    <w:rsid w:val="2DBD3A3E"/>
    <w:rsid w:val="2EC24704"/>
    <w:rsid w:val="2ECD4260"/>
    <w:rsid w:val="2EE47B70"/>
    <w:rsid w:val="2F7C61D2"/>
    <w:rsid w:val="2F80366A"/>
    <w:rsid w:val="2FE07BF8"/>
    <w:rsid w:val="32A247C2"/>
    <w:rsid w:val="32FB1494"/>
    <w:rsid w:val="3310123F"/>
    <w:rsid w:val="334C7943"/>
    <w:rsid w:val="343F760B"/>
    <w:rsid w:val="34E31B3D"/>
    <w:rsid w:val="359C242A"/>
    <w:rsid w:val="35A66622"/>
    <w:rsid w:val="35B94E2B"/>
    <w:rsid w:val="35E55C1C"/>
    <w:rsid w:val="35EA71F9"/>
    <w:rsid w:val="375D202A"/>
    <w:rsid w:val="390B6220"/>
    <w:rsid w:val="394070DD"/>
    <w:rsid w:val="39BA00F3"/>
    <w:rsid w:val="39ED7C71"/>
    <w:rsid w:val="3A052201"/>
    <w:rsid w:val="3B30149C"/>
    <w:rsid w:val="3B363ABF"/>
    <w:rsid w:val="3BB37889"/>
    <w:rsid w:val="3BC92B73"/>
    <w:rsid w:val="3C2363E4"/>
    <w:rsid w:val="3C8B158A"/>
    <w:rsid w:val="3C9C2354"/>
    <w:rsid w:val="3E0E57A4"/>
    <w:rsid w:val="3EA04439"/>
    <w:rsid w:val="3FE95F0F"/>
    <w:rsid w:val="40191A18"/>
    <w:rsid w:val="4046029B"/>
    <w:rsid w:val="41E571C4"/>
    <w:rsid w:val="41ED52AE"/>
    <w:rsid w:val="42DB3C17"/>
    <w:rsid w:val="42EA501D"/>
    <w:rsid w:val="442D4C0C"/>
    <w:rsid w:val="44495664"/>
    <w:rsid w:val="446B4588"/>
    <w:rsid w:val="452304A6"/>
    <w:rsid w:val="46195679"/>
    <w:rsid w:val="46C81917"/>
    <w:rsid w:val="46C85EB2"/>
    <w:rsid w:val="4733631B"/>
    <w:rsid w:val="474D41AF"/>
    <w:rsid w:val="47C1244C"/>
    <w:rsid w:val="47FD1869"/>
    <w:rsid w:val="48302C17"/>
    <w:rsid w:val="48C7513F"/>
    <w:rsid w:val="492A3785"/>
    <w:rsid w:val="49C750D2"/>
    <w:rsid w:val="4A697EDF"/>
    <w:rsid w:val="4AE61BF3"/>
    <w:rsid w:val="4C14301D"/>
    <w:rsid w:val="4CB00566"/>
    <w:rsid w:val="4CDF4C70"/>
    <w:rsid w:val="4CE94791"/>
    <w:rsid w:val="4D105BDA"/>
    <w:rsid w:val="4D711837"/>
    <w:rsid w:val="4DAD0767"/>
    <w:rsid w:val="4EF27D7A"/>
    <w:rsid w:val="503D3EB3"/>
    <w:rsid w:val="50CB218C"/>
    <w:rsid w:val="51BA1B0C"/>
    <w:rsid w:val="52E46934"/>
    <w:rsid w:val="532771A6"/>
    <w:rsid w:val="53FD5305"/>
    <w:rsid w:val="544314AC"/>
    <w:rsid w:val="54DE2EDA"/>
    <w:rsid w:val="550403ED"/>
    <w:rsid w:val="557B6DCA"/>
    <w:rsid w:val="562B1ADE"/>
    <w:rsid w:val="565C1DCB"/>
    <w:rsid w:val="56A62178"/>
    <w:rsid w:val="56B9454C"/>
    <w:rsid w:val="57433021"/>
    <w:rsid w:val="57454365"/>
    <w:rsid w:val="57B12FA5"/>
    <w:rsid w:val="59B461AF"/>
    <w:rsid w:val="59C2582E"/>
    <w:rsid w:val="5ACB7529"/>
    <w:rsid w:val="5B6D6725"/>
    <w:rsid w:val="5C9903A9"/>
    <w:rsid w:val="5CE21AC0"/>
    <w:rsid w:val="5DD656D8"/>
    <w:rsid w:val="5EA57013"/>
    <w:rsid w:val="5F7C77A7"/>
    <w:rsid w:val="5FA26A7F"/>
    <w:rsid w:val="5FB60FFA"/>
    <w:rsid w:val="5FD218F5"/>
    <w:rsid w:val="605464CE"/>
    <w:rsid w:val="60E2491C"/>
    <w:rsid w:val="62277374"/>
    <w:rsid w:val="626F633F"/>
    <w:rsid w:val="635B4926"/>
    <w:rsid w:val="636C36A7"/>
    <w:rsid w:val="64401B1D"/>
    <w:rsid w:val="66E85761"/>
    <w:rsid w:val="6A062FA9"/>
    <w:rsid w:val="6AC50A84"/>
    <w:rsid w:val="6AC72050"/>
    <w:rsid w:val="6B147C29"/>
    <w:rsid w:val="6B882DD6"/>
    <w:rsid w:val="6C7B4F1A"/>
    <w:rsid w:val="6C917F4C"/>
    <w:rsid w:val="6CA638CE"/>
    <w:rsid w:val="6CB77158"/>
    <w:rsid w:val="6D267704"/>
    <w:rsid w:val="6E95045F"/>
    <w:rsid w:val="6EC84AD5"/>
    <w:rsid w:val="6F2347C7"/>
    <w:rsid w:val="70144CD3"/>
    <w:rsid w:val="701542F6"/>
    <w:rsid w:val="70414C89"/>
    <w:rsid w:val="707921C1"/>
    <w:rsid w:val="707C2D38"/>
    <w:rsid w:val="708D1646"/>
    <w:rsid w:val="71737544"/>
    <w:rsid w:val="71836E7A"/>
    <w:rsid w:val="71C62BD4"/>
    <w:rsid w:val="72291FD5"/>
    <w:rsid w:val="746E3ED9"/>
    <w:rsid w:val="74A14C9F"/>
    <w:rsid w:val="751A7B1E"/>
    <w:rsid w:val="758941BC"/>
    <w:rsid w:val="760D0843"/>
    <w:rsid w:val="763E462B"/>
    <w:rsid w:val="77F20629"/>
    <w:rsid w:val="791311CC"/>
    <w:rsid w:val="79B51A52"/>
    <w:rsid w:val="79E95332"/>
    <w:rsid w:val="7A435541"/>
    <w:rsid w:val="7A7B56DB"/>
    <w:rsid w:val="7A962172"/>
    <w:rsid w:val="7B8172D4"/>
    <w:rsid w:val="7CCC353D"/>
    <w:rsid w:val="7D01208A"/>
    <w:rsid w:val="7D0D755F"/>
    <w:rsid w:val="7D574695"/>
    <w:rsid w:val="7DE35FAE"/>
    <w:rsid w:val="7E2B3ADD"/>
    <w:rsid w:val="7E7B61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outlineLvl w:val="0"/>
    </w:pPr>
    <w:rPr>
      <w:b/>
      <w:bCs/>
      <w:kern w:val="44"/>
      <w:sz w:val="30"/>
      <w:szCs w:val="44"/>
    </w:rPr>
  </w:style>
  <w:style w:type="paragraph" w:styleId="3">
    <w:name w:val="heading 2"/>
    <w:basedOn w:val="1"/>
    <w:next w:val="1"/>
    <w:qFormat/>
    <w:uiPriority w:val="0"/>
    <w:pPr>
      <w:keepNext/>
      <w:keepLines/>
      <w:ind w:left="100" w:leftChars="100"/>
      <w:outlineLvl w:val="1"/>
    </w:pPr>
    <w:rPr>
      <w:rFonts w:ascii="Arial" w:hAnsi="Arial" w:eastAsia="黑体"/>
      <w:bCs/>
      <w:sz w:val="28"/>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8"/>
    <w:qFormat/>
    <w:uiPriority w:val="0"/>
    <w:pPr>
      <w:ind w:firstLine="420"/>
    </w:pPr>
    <w:rPr>
      <w:sz w:val="24"/>
    </w:rPr>
  </w:style>
  <w:style w:type="paragraph" w:styleId="5">
    <w:name w:val="Date"/>
    <w:basedOn w:val="1"/>
    <w:next w:val="1"/>
    <w:link w:val="19"/>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Hyperlink"/>
    <w:basedOn w:val="10"/>
    <w:qFormat/>
    <w:uiPriority w:val="0"/>
    <w:rPr>
      <w:color w:val="0000FF"/>
      <w:u w:val="single"/>
    </w:rPr>
  </w:style>
  <w:style w:type="paragraph" w:customStyle="1" w:styleId="12">
    <w:name w:val="样式 标准正文 + 首行缩进:  2 字符"/>
    <w:basedOn w:val="1"/>
    <w:qFormat/>
    <w:uiPriority w:val="0"/>
    <w:pPr>
      <w:spacing w:line="360" w:lineRule="auto"/>
      <w:ind w:firstLine="200" w:firstLineChars="200"/>
    </w:pPr>
    <w:rPr>
      <w:rFonts w:cs="宋体"/>
      <w:spacing w:val="-4"/>
      <w:kern w:val="21"/>
      <w:sz w:val="24"/>
      <w:szCs w:val="20"/>
    </w:rPr>
  </w:style>
  <w:style w:type="character" w:customStyle="1" w:styleId="13">
    <w:name w:val="表中文字"/>
    <w:qFormat/>
    <w:uiPriority w:val="0"/>
    <w:rPr>
      <w:rFonts w:hint="eastAsia" w:ascii="宋体" w:hAnsi="宋体" w:eastAsia="宋体"/>
      <w:sz w:val="18"/>
    </w:rPr>
  </w:style>
  <w:style w:type="paragraph" w:styleId="14">
    <w:name w:val="List Paragraph"/>
    <w:basedOn w:val="1"/>
    <w:qFormat/>
    <w:uiPriority w:val="34"/>
    <w:pPr>
      <w:ind w:firstLine="420" w:firstLineChars="200"/>
    </w:p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6">
    <w:name w:val="No Spacing"/>
    <w:qFormat/>
    <w:uiPriority w:val="1"/>
    <w:pPr>
      <w:adjustRightInd w:val="0"/>
      <w:snapToGrid w:val="0"/>
    </w:pPr>
    <w:rPr>
      <w:rFonts w:ascii="Tahoma" w:hAnsi="Tahoma" w:eastAsia="微软雅黑" w:cstheme="minorBidi"/>
      <w:sz w:val="22"/>
      <w:szCs w:val="22"/>
      <w:lang w:val="en-US" w:eastAsia="zh-CN" w:bidi="ar-SA"/>
    </w:rPr>
  </w:style>
  <w:style w:type="paragraph" w:customStyle="1" w:styleId="17">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character" w:customStyle="1" w:styleId="18">
    <w:name w:val="正文文本缩进 Char"/>
    <w:basedOn w:val="10"/>
    <w:link w:val="4"/>
    <w:uiPriority w:val="0"/>
    <w:rPr>
      <w:rFonts w:ascii="Times New Roman" w:hAnsi="Times New Roman" w:eastAsia="宋体" w:cs="Times New Roman"/>
      <w:kern w:val="2"/>
      <w:sz w:val="24"/>
      <w:szCs w:val="24"/>
    </w:rPr>
  </w:style>
  <w:style w:type="character" w:customStyle="1" w:styleId="19">
    <w:name w:val="日期 Char"/>
    <w:basedOn w:val="10"/>
    <w:link w:val="5"/>
    <w:uiPriority w:val="0"/>
    <w:rPr>
      <w:rFonts w:ascii="Times New Roman" w:hAnsi="Times New Roman" w:eastAsia="宋体" w:cs="Times New Roman"/>
      <w:kern w:val="2"/>
      <w:sz w:val="21"/>
      <w:szCs w:val="24"/>
    </w:rPr>
  </w:style>
  <w:style w:type="paragraph" w:customStyle="1" w:styleId="20">
    <w:name w:val="段"/>
    <w:link w:val="2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21">
    <w:name w:val="段 Char"/>
    <w:link w:val="20"/>
    <w:qFormat/>
    <w:uiPriority w:val="0"/>
    <w:rPr>
      <w:rFonts w:ascii="宋体" w:hAnsi="Times New Roman" w:eastAsia="宋体" w:cs="Times New Roman"/>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F0B04C-8981-4A3D-8197-F0FA7821556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1987</Words>
  <Characters>11329</Characters>
  <Lines>94</Lines>
  <Paragraphs>26</Paragraphs>
  <TotalTime>5</TotalTime>
  <ScaleCrop>false</ScaleCrop>
  <LinksUpToDate>false</LinksUpToDate>
  <CharactersWithSpaces>13290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2022-08-03T01:39:00Z</dcterms:created>
  <dc:creator>Administrator</dc:creator>
  <cp:lastModifiedBy>Administrator</cp:lastModifiedBy>
  <dcterms:modified xsi:type="dcterms:W3CDTF">2022-09-21T07:09:09Z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