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4E6C" w14:textId="77777777" w:rsidR="00450151" w:rsidRPr="0077147C" w:rsidRDefault="00450151">
      <w:pPr>
        <w:spacing w:line="360" w:lineRule="auto"/>
        <w:jc w:val="center"/>
        <w:rPr>
          <w:rFonts w:ascii="黑体" w:eastAsia="黑体"/>
          <w:b/>
          <w:sz w:val="44"/>
          <w:szCs w:val="44"/>
        </w:rPr>
      </w:pPr>
    </w:p>
    <w:p w14:paraId="3AD36824" w14:textId="77777777" w:rsidR="00450151" w:rsidRPr="0077147C" w:rsidRDefault="00450151">
      <w:pPr>
        <w:spacing w:line="360" w:lineRule="auto"/>
        <w:jc w:val="center"/>
        <w:rPr>
          <w:rFonts w:ascii="黑体" w:eastAsia="黑体"/>
          <w:b/>
          <w:sz w:val="44"/>
          <w:szCs w:val="44"/>
        </w:rPr>
      </w:pPr>
    </w:p>
    <w:p w14:paraId="5B4EFDED" w14:textId="77777777" w:rsidR="00450151" w:rsidRPr="0077147C" w:rsidRDefault="00450151">
      <w:pPr>
        <w:spacing w:line="360" w:lineRule="auto"/>
        <w:jc w:val="center"/>
        <w:rPr>
          <w:rFonts w:ascii="黑体" w:eastAsia="黑体"/>
          <w:b/>
          <w:sz w:val="44"/>
          <w:szCs w:val="44"/>
        </w:rPr>
      </w:pPr>
    </w:p>
    <w:p w14:paraId="00704691" w14:textId="5AF0F4E0" w:rsidR="00450151" w:rsidRPr="0077147C" w:rsidRDefault="00610EB6">
      <w:pPr>
        <w:pStyle w:val="af0"/>
        <w:rPr>
          <w:rFonts w:ascii="黑体" w:eastAsia="黑体" w:hAnsi="黑体"/>
          <w:b/>
          <w:bCs/>
          <w:sz w:val="48"/>
          <w:szCs w:val="48"/>
        </w:rPr>
      </w:pPr>
      <w:r w:rsidRPr="00610EB6">
        <w:rPr>
          <w:rFonts w:eastAsia="黑体" w:hint="eastAsia"/>
          <w:b/>
          <w:sz w:val="44"/>
        </w:rPr>
        <w:t>硬质合金可转位刀片</w:t>
      </w:r>
      <w:r w:rsidRPr="00610EB6">
        <w:rPr>
          <w:rFonts w:eastAsia="黑体" w:hint="eastAsia"/>
          <w:b/>
          <w:sz w:val="44"/>
        </w:rPr>
        <w:t xml:space="preserve"> </w:t>
      </w:r>
      <w:r w:rsidRPr="00610EB6">
        <w:rPr>
          <w:rFonts w:eastAsia="黑体" w:hint="eastAsia"/>
          <w:b/>
          <w:sz w:val="44"/>
        </w:rPr>
        <w:t>圆角半径</w:t>
      </w:r>
    </w:p>
    <w:p w14:paraId="6E4FD781" w14:textId="77777777" w:rsidR="00450151" w:rsidRPr="0077147C" w:rsidRDefault="00450151">
      <w:pPr>
        <w:spacing w:line="360" w:lineRule="auto"/>
        <w:jc w:val="center"/>
        <w:rPr>
          <w:rFonts w:ascii="黑体" w:eastAsia="黑体"/>
          <w:b/>
          <w:sz w:val="24"/>
        </w:rPr>
      </w:pPr>
    </w:p>
    <w:p w14:paraId="080B5DDD" w14:textId="77777777" w:rsidR="00450151" w:rsidRPr="0077147C" w:rsidRDefault="00450151">
      <w:pPr>
        <w:spacing w:line="360" w:lineRule="auto"/>
        <w:jc w:val="center"/>
        <w:rPr>
          <w:rFonts w:ascii="黑体" w:eastAsia="黑体"/>
          <w:b/>
          <w:sz w:val="24"/>
        </w:rPr>
      </w:pPr>
    </w:p>
    <w:p w14:paraId="371C98D0" w14:textId="77777777" w:rsidR="00450151" w:rsidRPr="0077147C" w:rsidRDefault="00450151">
      <w:pPr>
        <w:spacing w:line="360" w:lineRule="auto"/>
        <w:jc w:val="center"/>
        <w:rPr>
          <w:rFonts w:ascii="黑体" w:eastAsia="黑体"/>
          <w:b/>
          <w:sz w:val="24"/>
        </w:rPr>
      </w:pPr>
    </w:p>
    <w:p w14:paraId="5F1F3FDF" w14:textId="77777777" w:rsidR="00450151" w:rsidRPr="0077147C" w:rsidRDefault="00450151">
      <w:pPr>
        <w:spacing w:line="360" w:lineRule="auto"/>
        <w:jc w:val="center"/>
        <w:rPr>
          <w:rFonts w:ascii="黑体" w:eastAsia="黑体"/>
          <w:b/>
          <w:sz w:val="44"/>
          <w:szCs w:val="44"/>
        </w:rPr>
      </w:pPr>
      <w:r w:rsidRPr="0077147C">
        <w:rPr>
          <w:rFonts w:ascii="黑体" w:eastAsia="黑体" w:hint="eastAsia"/>
          <w:b/>
          <w:sz w:val="44"/>
          <w:szCs w:val="44"/>
        </w:rPr>
        <w:t>编制说明</w:t>
      </w:r>
    </w:p>
    <w:p w14:paraId="4CE245D2" w14:textId="77777777" w:rsidR="00450151" w:rsidRPr="0077147C" w:rsidRDefault="00450151">
      <w:pPr>
        <w:spacing w:line="360" w:lineRule="auto"/>
        <w:jc w:val="center"/>
        <w:rPr>
          <w:rFonts w:ascii="黑体" w:eastAsia="黑体"/>
          <w:b/>
          <w:sz w:val="44"/>
          <w:szCs w:val="44"/>
        </w:rPr>
      </w:pPr>
    </w:p>
    <w:p w14:paraId="1F9D7424" w14:textId="77777777" w:rsidR="00450151" w:rsidRPr="0077147C" w:rsidRDefault="00450151">
      <w:pPr>
        <w:spacing w:line="360" w:lineRule="auto"/>
        <w:jc w:val="center"/>
        <w:rPr>
          <w:rFonts w:ascii="黑体" w:eastAsia="黑体"/>
          <w:b/>
          <w:sz w:val="44"/>
          <w:szCs w:val="44"/>
        </w:rPr>
      </w:pPr>
    </w:p>
    <w:p w14:paraId="767D3D4D" w14:textId="7181AEB8" w:rsidR="00450151" w:rsidRPr="0077147C" w:rsidRDefault="00450151">
      <w:pPr>
        <w:spacing w:line="360" w:lineRule="auto"/>
        <w:jc w:val="center"/>
        <w:rPr>
          <w:rFonts w:ascii="黑体" w:eastAsia="黑体"/>
          <w:b/>
          <w:sz w:val="28"/>
          <w:szCs w:val="28"/>
        </w:rPr>
      </w:pPr>
      <w:r w:rsidRPr="0077147C">
        <w:rPr>
          <w:rFonts w:ascii="黑体" w:eastAsia="黑体" w:hint="eastAsia"/>
          <w:b/>
          <w:sz w:val="28"/>
          <w:szCs w:val="28"/>
        </w:rPr>
        <w:t>（</w:t>
      </w:r>
      <w:r w:rsidR="007D06B5">
        <w:rPr>
          <w:rFonts w:ascii="黑体" w:eastAsia="黑体" w:hint="eastAsia"/>
          <w:b/>
          <w:sz w:val="28"/>
          <w:szCs w:val="28"/>
        </w:rPr>
        <w:t>征求意见</w:t>
      </w:r>
      <w:r w:rsidRPr="0077147C">
        <w:rPr>
          <w:rFonts w:ascii="黑体" w:eastAsia="黑体" w:hint="eastAsia"/>
          <w:b/>
          <w:sz w:val="28"/>
          <w:szCs w:val="28"/>
        </w:rPr>
        <w:t>稿）</w:t>
      </w:r>
    </w:p>
    <w:p w14:paraId="3DA5A3F7" w14:textId="77777777" w:rsidR="00450151" w:rsidRPr="0077147C" w:rsidRDefault="00450151">
      <w:pPr>
        <w:spacing w:line="360" w:lineRule="auto"/>
        <w:jc w:val="center"/>
        <w:rPr>
          <w:rFonts w:ascii="黑体" w:eastAsia="黑体"/>
          <w:b/>
          <w:sz w:val="24"/>
        </w:rPr>
      </w:pPr>
    </w:p>
    <w:p w14:paraId="16901147" w14:textId="77777777" w:rsidR="00450151" w:rsidRPr="0077147C" w:rsidRDefault="00450151">
      <w:pPr>
        <w:spacing w:line="360" w:lineRule="auto"/>
        <w:jc w:val="center"/>
        <w:rPr>
          <w:rFonts w:ascii="黑体" w:eastAsia="黑体"/>
          <w:b/>
          <w:sz w:val="24"/>
        </w:rPr>
      </w:pPr>
    </w:p>
    <w:p w14:paraId="2FF37C67" w14:textId="77777777" w:rsidR="00450151" w:rsidRPr="0077147C" w:rsidRDefault="00450151">
      <w:pPr>
        <w:spacing w:line="360" w:lineRule="auto"/>
        <w:jc w:val="center"/>
        <w:rPr>
          <w:rFonts w:ascii="黑体" w:eastAsia="黑体"/>
          <w:b/>
          <w:sz w:val="24"/>
        </w:rPr>
      </w:pPr>
    </w:p>
    <w:p w14:paraId="2AF84A52" w14:textId="77777777" w:rsidR="00450151" w:rsidRPr="0077147C" w:rsidRDefault="00450151">
      <w:pPr>
        <w:spacing w:line="360" w:lineRule="auto"/>
        <w:jc w:val="center"/>
        <w:rPr>
          <w:rFonts w:ascii="黑体" w:eastAsia="黑体"/>
          <w:b/>
          <w:sz w:val="24"/>
        </w:rPr>
      </w:pPr>
    </w:p>
    <w:p w14:paraId="1247E988" w14:textId="77777777" w:rsidR="00450151" w:rsidRPr="0077147C" w:rsidRDefault="00450151">
      <w:pPr>
        <w:spacing w:line="360" w:lineRule="auto"/>
        <w:jc w:val="center"/>
        <w:rPr>
          <w:rFonts w:ascii="黑体" w:eastAsia="黑体"/>
          <w:b/>
          <w:sz w:val="24"/>
        </w:rPr>
      </w:pPr>
    </w:p>
    <w:p w14:paraId="6BD6D3A8" w14:textId="77777777" w:rsidR="00450151" w:rsidRPr="0077147C" w:rsidRDefault="00450151">
      <w:pPr>
        <w:spacing w:line="360" w:lineRule="auto"/>
        <w:jc w:val="center"/>
        <w:rPr>
          <w:rFonts w:ascii="黑体" w:eastAsia="黑体"/>
          <w:b/>
          <w:sz w:val="24"/>
        </w:rPr>
      </w:pPr>
    </w:p>
    <w:p w14:paraId="2B82B849" w14:textId="77777777" w:rsidR="00450151" w:rsidRPr="0077147C" w:rsidRDefault="00450151">
      <w:pPr>
        <w:spacing w:line="360" w:lineRule="auto"/>
        <w:jc w:val="center"/>
        <w:rPr>
          <w:rFonts w:ascii="黑体" w:eastAsia="黑体"/>
          <w:b/>
          <w:sz w:val="24"/>
        </w:rPr>
      </w:pPr>
    </w:p>
    <w:p w14:paraId="50E4A3DB" w14:textId="77777777" w:rsidR="00450151" w:rsidRPr="0077147C" w:rsidRDefault="00450151">
      <w:pPr>
        <w:spacing w:line="360" w:lineRule="auto"/>
        <w:jc w:val="center"/>
        <w:rPr>
          <w:rFonts w:ascii="黑体" w:eastAsia="黑体"/>
          <w:b/>
          <w:sz w:val="24"/>
        </w:rPr>
      </w:pPr>
    </w:p>
    <w:p w14:paraId="6E6EF281" w14:textId="77777777" w:rsidR="00450151" w:rsidRPr="0077147C" w:rsidRDefault="00450151">
      <w:pPr>
        <w:spacing w:line="360" w:lineRule="auto"/>
        <w:jc w:val="center"/>
        <w:rPr>
          <w:rFonts w:ascii="黑体" w:eastAsia="黑体"/>
          <w:b/>
          <w:sz w:val="24"/>
        </w:rPr>
      </w:pPr>
    </w:p>
    <w:p w14:paraId="315A38EC" w14:textId="77777777" w:rsidR="00450151" w:rsidRPr="0077147C" w:rsidRDefault="00450151">
      <w:pPr>
        <w:spacing w:line="360" w:lineRule="auto"/>
        <w:jc w:val="center"/>
        <w:rPr>
          <w:rFonts w:ascii="黑体" w:eastAsia="黑体"/>
          <w:b/>
          <w:sz w:val="24"/>
        </w:rPr>
      </w:pPr>
    </w:p>
    <w:p w14:paraId="6D468B86" w14:textId="77777777" w:rsidR="00450151" w:rsidRPr="0077147C" w:rsidRDefault="00450151">
      <w:pPr>
        <w:spacing w:line="360" w:lineRule="auto"/>
        <w:jc w:val="center"/>
        <w:rPr>
          <w:rFonts w:ascii="黑体" w:eastAsia="黑体"/>
          <w:b/>
          <w:sz w:val="24"/>
        </w:rPr>
      </w:pPr>
    </w:p>
    <w:p w14:paraId="4663930F" w14:textId="77777777" w:rsidR="00450151" w:rsidRPr="0077147C" w:rsidRDefault="00450151">
      <w:pPr>
        <w:spacing w:line="360" w:lineRule="auto"/>
        <w:jc w:val="center"/>
        <w:rPr>
          <w:rFonts w:ascii="黑体" w:eastAsia="黑体"/>
          <w:b/>
          <w:sz w:val="24"/>
        </w:rPr>
      </w:pPr>
    </w:p>
    <w:p w14:paraId="750D7831" w14:textId="77777777" w:rsidR="00450151" w:rsidRPr="0077147C" w:rsidRDefault="00450151">
      <w:pPr>
        <w:spacing w:line="360" w:lineRule="auto"/>
        <w:jc w:val="center"/>
        <w:rPr>
          <w:rFonts w:ascii="黑体" w:eastAsia="黑体"/>
          <w:b/>
          <w:sz w:val="24"/>
        </w:rPr>
      </w:pPr>
    </w:p>
    <w:p w14:paraId="20C8F686" w14:textId="77777777" w:rsidR="00450151" w:rsidRPr="0077147C" w:rsidRDefault="00450151">
      <w:pPr>
        <w:spacing w:line="360" w:lineRule="auto"/>
        <w:jc w:val="center"/>
        <w:rPr>
          <w:rFonts w:ascii="黑体" w:eastAsia="黑体"/>
          <w:b/>
          <w:sz w:val="24"/>
        </w:rPr>
        <w:sectPr w:rsidR="00450151" w:rsidRPr="0077147C">
          <w:footerReference w:type="default" r:id="rId8"/>
          <w:pgSz w:w="11906" w:h="16838"/>
          <w:pgMar w:top="1440" w:right="1800" w:bottom="1440" w:left="1800" w:header="851" w:footer="992" w:gutter="0"/>
          <w:pgNumType w:start="1"/>
          <w:cols w:space="720"/>
          <w:titlePg/>
          <w:docGrid w:type="lines" w:linePitch="312"/>
        </w:sectPr>
      </w:pPr>
    </w:p>
    <w:p w14:paraId="58A63CEF" w14:textId="4B850840" w:rsidR="00450151" w:rsidRPr="0077147C" w:rsidRDefault="00027F9A">
      <w:pPr>
        <w:pStyle w:val="af0"/>
        <w:rPr>
          <w:rStyle w:val="20"/>
          <w:rFonts w:ascii="黑体" w:hAnsi="黑体"/>
          <w:sz w:val="30"/>
          <w:szCs w:val="30"/>
        </w:rPr>
      </w:pPr>
      <w:bookmarkStart w:id="0" w:name="_Hlk114214307"/>
      <w:r w:rsidRPr="0077147C">
        <w:rPr>
          <w:rFonts w:ascii="黑体" w:eastAsia="黑体" w:hAnsi="黑体" w:hint="eastAsia"/>
          <w:b/>
          <w:sz w:val="30"/>
          <w:szCs w:val="30"/>
        </w:rPr>
        <w:lastRenderedPageBreak/>
        <w:t>《</w:t>
      </w:r>
      <w:r w:rsidR="00610EB6" w:rsidRPr="00610EB6">
        <w:rPr>
          <w:rFonts w:eastAsia="黑体" w:hint="eastAsia"/>
          <w:b/>
          <w:sz w:val="30"/>
          <w:szCs w:val="30"/>
        </w:rPr>
        <w:t>硬质合金可转位刀片</w:t>
      </w:r>
      <w:r w:rsidR="00610EB6" w:rsidRPr="00610EB6">
        <w:rPr>
          <w:rFonts w:eastAsia="黑体" w:hint="eastAsia"/>
          <w:b/>
          <w:sz w:val="30"/>
          <w:szCs w:val="30"/>
        </w:rPr>
        <w:t xml:space="preserve"> </w:t>
      </w:r>
      <w:r w:rsidR="00610EB6" w:rsidRPr="00610EB6">
        <w:rPr>
          <w:rFonts w:eastAsia="黑体" w:hint="eastAsia"/>
          <w:b/>
          <w:sz w:val="30"/>
          <w:szCs w:val="30"/>
        </w:rPr>
        <w:t>圆角半径</w:t>
      </w:r>
      <w:r w:rsidRPr="0077147C">
        <w:rPr>
          <w:rFonts w:ascii="黑体" w:eastAsia="黑体" w:hAnsi="黑体" w:hint="eastAsia"/>
          <w:b/>
          <w:sz w:val="30"/>
          <w:szCs w:val="30"/>
        </w:rPr>
        <w:t>》</w:t>
      </w:r>
      <w:bookmarkEnd w:id="0"/>
      <w:r w:rsidR="00450151" w:rsidRPr="0077147C">
        <w:rPr>
          <w:rStyle w:val="20"/>
          <w:rFonts w:hint="eastAsia"/>
          <w:sz w:val="30"/>
          <w:szCs w:val="30"/>
        </w:rPr>
        <w:t>标准编制说明</w:t>
      </w:r>
    </w:p>
    <w:p w14:paraId="7C7C76E2" w14:textId="77777777" w:rsidR="00450151" w:rsidRPr="0077147C" w:rsidRDefault="00450151">
      <w:pPr>
        <w:spacing w:line="360" w:lineRule="auto"/>
        <w:rPr>
          <w:rFonts w:eastAsia="黑体"/>
          <w:sz w:val="24"/>
        </w:rPr>
      </w:pPr>
    </w:p>
    <w:p w14:paraId="4DE9C90B" w14:textId="77777777" w:rsidR="00450151" w:rsidRPr="0077147C" w:rsidRDefault="00450151">
      <w:pPr>
        <w:spacing w:line="360" w:lineRule="auto"/>
        <w:rPr>
          <w:rFonts w:eastAsia="黑体"/>
          <w:sz w:val="24"/>
        </w:rPr>
      </w:pPr>
      <w:r w:rsidRPr="0077147C">
        <w:rPr>
          <w:rFonts w:eastAsia="黑体" w:hint="eastAsia"/>
          <w:sz w:val="24"/>
        </w:rPr>
        <w:t>一、工作简况</w:t>
      </w:r>
    </w:p>
    <w:p w14:paraId="1CD2781A" w14:textId="77777777" w:rsidR="00450151" w:rsidRPr="0077147C" w:rsidRDefault="00450151">
      <w:pPr>
        <w:spacing w:line="360" w:lineRule="auto"/>
        <w:rPr>
          <w:rFonts w:eastAsia="黑体"/>
          <w:sz w:val="24"/>
        </w:rPr>
      </w:pPr>
      <w:r w:rsidRPr="0077147C">
        <w:rPr>
          <w:rFonts w:eastAsia="黑体" w:hint="eastAsia"/>
          <w:sz w:val="24"/>
        </w:rPr>
        <w:t xml:space="preserve">1.1 </w:t>
      </w:r>
      <w:r w:rsidRPr="0077147C">
        <w:rPr>
          <w:rFonts w:eastAsia="黑体" w:hint="eastAsia"/>
          <w:sz w:val="24"/>
        </w:rPr>
        <w:t>项目来源</w:t>
      </w:r>
    </w:p>
    <w:p w14:paraId="51562D66" w14:textId="7B249EEB" w:rsidR="00450151" w:rsidRPr="00A625A2" w:rsidRDefault="00A625A2" w:rsidP="00A625A2">
      <w:pPr>
        <w:spacing w:line="360" w:lineRule="auto"/>
        <w:ind w:firstLineChars="200" w:firstLine="480"/>
        <w:rPr>
          <w:sz w:val="24"/>
        </w:rPr>
      </w:pPr>
      <w:r w:rsidRPr="00A625A2">
        <w:rPr>
          <w:sz w:val="24"/>
        </w:rPr>
        <w:t>根据工业和信息化部办公厅关于印发</w:t>
      </w:r>
      <w:r w:rsidRPr="00A625A2">
        <w:rPr>
          <w:sz w:val="24"/>
        </w:rPr>
        <w:t>“2020</w:t>
      </w:r>
      <w:r w:rsidRPr="00A625A2">
        <w:rPr>
          <w:sz w:val="24"/>
        </w:rPr>
        <w:t>年第三批行业标准制修订和外文版项目计划的通知</w:t>
      </w:r>
      <w:r w:rsidRPr="00A625A2">
        <w:rPr>
          <w:sz w:val="24"/>
        </w:rPr>
        <w:t>”</w:t>
      </w:r>
      <w:r w:rsidRPr="00A625A2">
        <w:rPr>
          <w:sz w:val="24"/>
        </w:rPr>
        <w:t>（工</w:t>
      </w:r>
      <w:proofErr w:type="gramStart"/>
      <w:r w:rsidRPr="00A625A2">
        <w:rPr>
          <w:sz w:val="24"/>
        </w:rPr>
        <w:t>信厅科函</w:t>
      </w:r>
      <w:proofErr w:type="gramEnd"/>
      <w:r w:rsidRPr="00A625A2">
        <w:rPr>
          <w:sz w:val="24"/>
        </w:rPr>
        <w:t>〔</w:t>
      </w:r>
      <w:r w:rsidRPr="00A625A2">
        <w:rPr>
          <w:sz w:val="24"/>
        </w:rPr>
        <w:t>2020</w:t>
      </w:r>
      <w:r w:rsidRPr="00A625A2">
        <w:rPr>
          <w:sz w:val="24"/>
        </w:rPr>
        <w:t>〕</w:t>
      </w:r>
      <w:r w:rsidRPr="00A625A2">
        <w:rPr>
          <w:sz w:val="24"/>
        </w:rPr>
        <w:t>263</w:t>
      </w:r>
      <w:r w:rsidRPr="00A625A2">
        <w:rPr>
          <w:sz w:val="24"/>
        </w:rPr>
        <w:t>号）的文件精神，行业标准</w:t>
      </w:r>
      <w:r w:rsidR="005C5B47" w:rsidRPr="005C5B47">
        <w:rPr>
          <w:rFonts w:hint="eastAsia"/>
          <w:sz w:val="24"/>
        </w:rPr>
        <w:t>《硬质合金可转位刀片</w:t>
      </w:r>
      <w:r w:rsidR="005C5B47" w:rsidRPr="005C5B47">
        <w:rPr>
          <w:rFonts w:hint="eastAsia"/>
          <w:sz w:val="24"/>
        </w:rPr>
        <w:t xml:space="preserve"> </w:t>
      </w:r>
      <w:r w:rsidR="005C5B47" w:rsidRPr="005C5B47">
        <w:rPr>
          <w:rFonts w:hint="eastAsia"/>
          <w:sz w:val="24"/>
        </w:rPr>
        <w:t>圆角半径》</w:t>
      </w:r>
      <w:r w:rsidRPr="00A625A2">
        <w:rPr>
          <w:sz w:val="24"/>
        </w:rPr>
        <w:t>由全国有色金属标准化技术委员会（</w:t>
      </w:r>
      <w:r w:rsidRPr="00A625A2">
        <w:rPr>
          <w:sz w:val="24"/>
        </w:rPr>
        <w:t>SAC/TC 243</w:t>
      </w:r>
      <w:r w:rsidRPr="00A625A2">
        <w:rPr>
          <w:sz w:val="24"/>
        </w:rPr>
        <w:t>）提出并归口，项目计划编号：</w:t>
      </w:r>
      <w:proofErr w:type="gramStart"/>
      <w:r w:rsidR="00610EB6">
        <w:rPr>
          <w:rFonts w:hint="eastAsia"/>
          <w:sz w:val="24"/>
        </w:rPr>
        <w:t>国标委</w:t>
      </w:r>
      <w:proofErr w:type="gramEnd"/>
      <w:r w:rsidR="00610EB6">
        <w:rPr>
          <w:rFonts w:hint="eastAsia"/>
          <w:sz w:val="24"/>
        </w:rPr>
        <w:t>发</w:t>
      </w:r>
      <w:r w:rsidRPr="00A625A2">
        <w:rPr>
          <w:sz w:val="24"/>
        </w:rPr>
        <w:t>202</w:t>
      </w:r>
      <w:r w:rsidR="00610EB6">
        <w:rPr>
          <w:sz w:val="24"/>
        </w:rPr>
        <w:t>1</w:t>
      </w:r>
      <w:r w:rsidR="005C5B47">
        <w:rPr>
          <w:sz w:val="24"/>
        </w:rPr>
        <w:t>4666-</w:t>
      </w:r>
      <w:r w:rsidRPr="00A625A2">
        <w:rPr>
          <w:sz w:val="24"/>
        </w:rPr>
        <w:t>T-</w:t>
      </w:r>
      <w:r w:rsidR="005C5B47">
        <w:rPr>
          <w:sz w:val="24"/>
        </w:rPr>
        <w:t>610</w:t>
      </w:r>
      <w:r w:rsidRPr="00A625A2">
        <w:rPr>
          <w:sz w:val="24"/>
        </w:rPr>
        <w:t>，由</w:t>
      </w:r>
      <w:r w:rsidR="005C5B47">
        <w:rPr>
          <w:rFonts w:hint="eastAsia"/>
          <w:sz w:val="24"/>
        </w:rPr>
        <w:t>株洲钻石切削刀具股份有限公司</w:t>
      </w:r>
      <w:r w:rsidRPr="00A625A2">
        <w:rPr>
          <w:sz w:val="24"/>
        </w:rPr>
        <w:t>牵头起草，该标准计划完成年限</w:t>
      </w:r>
      <w:r w:rsidR="009E7041">
        <w:rPr>
          <w:rFonts w:hint="eastAsia"/>
          <w:color w:val="FF0000"/>
          <w:sz w:val="24"/>
        </w:rPr>
        <w:t>XXXX</w:t>
      </w:r>
      <w:r w:rsidRPr="00A625A2">
        <w:rPr>
          <w:sz w:val="24"/>
        </w:rPr>
        <w:t>年。</w:t>
      </w:r>
    </w:p>
    <w:p w14:paraId="7218857B" w14:textId="1289878B" w:rsidR="00450151" w:rsidRDefault="00450151">
      <w:pPr>
        <w:spacing w:line="360" w:lineRule="auto"/>
        <w:rPr>
          <w:sz w:val="24"/>
        </w:rPr>
      </w:pPr>
      <w:r w:rsidRPr="0077147C">
        <w:rPr>
          <w:rFonts w:ascii="黑体" w:eastAsia="黑体" w:hint="eastAsia"/>
          <w:sz w:val="24"/>
        </w:rPr>
        <w:t>1.2</w:t>
      </w:r>
      <w:r w:rsidRPr="00C803C6">
        <w:rPr>
          <w:rFonts w:hint="eastAsia"/>
          <w:sz w:val="24"/>
        </w:rPr>
        <w:t xml:space="preserve"> </w:t>
      </w:r>
      <w:r w:rsidRPr="00C803C6">
        <w:rPr>
          <w:rFonts w:hint="eastAsia"/>
          <w:sz w:val="24"/>
        </w:rPr>
        <w:t>本标准所涉及的产品简况</w:t>
      </w:r>
    </w:p>
    <w:p w14:paraId="56BE6B65" w14:textId="77777777" w:rsidR="00C803C6" w:rsidRPr="00C803C6" w:rsidRDefault="00C803C6" w:rsidP="00C803C6">
      <w:pPr>
        <w:spacing w:line="360" w:lineRule="auto"/>
        <w:ind w:firstLineChars="400" w:firstLine="960"/>
        <w:rPr>
          <w:rFonts w:hint="eastAsia"/>
          <w:sz w:val="24"/>
        </w:rPr>
      </w:pPr>
      <w:r w:rsidRPr="00C803C6">
        <w:rPr>
          <w:rFonts w:hint="eastAsia"/>
          <w:sz w:val="24"/>
        </w:rPr>
        <w:t>1949</w:t>
      </w:r>
      <w:r w:rsidRPr="00C803C6">
        <w:rPr>
          <w:rFonts w:hint="eastAsia"/>
          <w:sz w:val="24"/>
        </w:rPr>
        <w:t>～</w:t>
      </w:r>
      <w:r w:rsidRPr="00C803C6">
        <w:rPr>
          <w:rFonts w:hint="eastAsia"/>
          <w:sz w:val="24"/>
        </w:rPr>
        <w:t>1950</w:t>
      </w:r>
      <w:r w:rsidRPr="00C803C6">
        <w:rPr>
          <w:rFonts w:hint="eastAsia"/>
          <w:sz w:val="24"/>
        </w:rPr>
        <w:t>年间，美国最早研制成采用</w:t>
      </w:r>
      <w:proofErr w:type="gramStart"/>
      <w:r w:rsidRPr="00C803C6">
        <w:rPr>
          <w:rFonts w:hint="eastAsia"/>
          <w:sz w:val="24"/>
        </w:rPr>
        <w:t>机械夹固的</w:t>
      </w:r>
      <w:proofErr w:type="gramEnd"/>
      <w:r w:rsidRPr="00C803C6">
        <w:rPr>
          <w:rFonts w:hint="eastAsia"/>
          <w:sz w:val="24"/>
        </w:rPr>
        <w:t>可转位车刀，并于</w:t>
      </w:r>
      <w:r w:rsidRPr="00C803C6">
        <w:rPr>
          <w:rFonts w:hint="eastAsia"/>
          <w:sz w:val="24"/>
        </w:rPr>
        <w:t>1954</w:t>
      </w:r>
      <w:r w:rsidRPr="00C803C6">
        <w:rPr>
          <w:rFonts w:hint="eastAsia"/>
          <w:sz w:val="24"/>
        </w:rPr>
        <w:t>年开始出售称为丢弃式</w:t>
      </w:r>
      <w:r w:rsidRPr="00C803C6">
        <w:rPr>
          <w:rFonts w:hint="eastAsia"/>
          <w:sz w:val="24"/>
        </w:rPr>
        <w:t>(throw-away)</w:t>
      </w:r>
      <w:r w:rsidRPr="00C803C6">
        <w:rPr>
          <w:rFonts w:hint="eastAsia"/>
          <w:sz w:val="24"/>
        </w:rPr>
        <w:t>的可转位刀片和车刀。在切削加工中</w:t>
      </w:r>
      <w:r w:rsidRPr="00C803C6">
        <w:rPr>
          <w:rFonts w:hint="eastAsia"/>
          <w:sz w:val="24"/>
        </w:rPr>
        <w:t>,</w:t>
      </w:r>
      <w:r w:rsidRPr="00C803C6">
        <w:rPr>
          <w:rFonts w:hint="eastAsia"/>
          <w:sz w:val="24"/>
        </w:rPr>
        <w:t>当一个刃尖磨钝后，将刀片转位后使用另外的刃尖，这种刀片用钝后不再重磨，中国曾称这种刀具为“不重磨刀具”。多数可转位刀具的刀片采用硬质合金，也有采用陶瓷、多晶立方氮化硼或多晶金刚石的，可转位刀具与钎焊式和其他机械</w:t>
      </w:r>
      <w:proofErr w:type="gramStart"/>
      <w:r w:rsidRPr="00C803C6">
        <w:rPr>
          <w:rFonts w:hint="eastAsia"/>
          <w:sz w:val="24"/>
        </w:rPr>
        <w:t>夹固式</w:t>
      </w:r>
      <w:proofErr w:type="gramEnd"/>
      <w:r w:rsidRPr="00C803C6">
        <w:rPr>
          <w:rFonts w:hint="eastAsia"/>
          <w:sz w:val="24"/>
        </w:rPr>
        <w:t>的刀具相比有如下优点</w:t>
      </w:r>
      <w:r w:rsidRPr="00C803C6">
        <w:rPr>
          <w:rFonts w:hint="eastAsia"/>
          <w:sz w:val="24"/>
        </w:rPr>
        <w:t>:</w:t>
      </w:r>
    </w:p>
    <w:p w14:paraId="622AE438" w14:textId="77777777" w:rsidR="00C803C6" w:rsidRPr="00C803C6" w:rsidRDefault="00C803C6" w:rsidP="00C803C6">
      <w:pPr>
        <w:spacing w:line="360" w:lineRule="auto"/>
        <w:rPr>
          <w:rFonts w:hint="eastAsia"/>
          <w:sz w:val="24"/>
        </w:rPr>
      </w:pPr>
      <w:r w:rsidRPr="00C803C6">
        <w:rPr>
          <w:rFonts w:hint="eastAsia"/>
          <w:sz w:val="24"/>
        </w:rPr>
        <w:t>①避免了硬质合金钎焊时容易产生裂纹的缺点；</w:t>
      </w:r>
    </w:p>
    <w:p w14:paraId="22823314" w14:textId="77777777" w:rsidR="00C803C6" w:rsidRPr="00C803C6" w:rsidRDefault="00C803C6" w:rsidP="00C803C6">
      <w:pPr>
        <w:spacing w:line="360" w:lineRule="auto"/>
        <w:rPr>
          <w:rFonts w:hint="eastAsia"/>
          <w:sz w:val="24"/>
        </w:rPr>
      </w:pPr>
      <w:r w:rsidRPr="00C803C6">
        <w:rPr>
          <w:rFonts w:hint="eastAsia"/>
          <w:sz w:val="24"/>
        </w:rPr>
        <w:t>②可转位刀片适合用气相沉积法在硬质合金刀片表面沉积薄层更硬的材料</w:t>
      </w:r>
      <w:r w:rsidRPr="00C803C6">
        <w:rPr>
          <w:rFonts w:hint="eastAsia"/>
          <w:sz w:val="24"/>
        </w:rPr>
        <w:t>(</w:t>
      </w:r>
      <w:r w:rsidRPr="00C803C6">
        <w:rPr>
          <w:rFonts w:hint="eastAsia"/>
          <w:sz w:val="24"/>
        </w:rPr>
        <w:t>碳化钛、氮化钛和氧化铝</w:t>
      </w:r>
      <w:r w:rsidRPr="00C803C6">
        <w:rPr>
          <w:rFonts w:hint="eastAsia"/>
          <w:sz w:val="24"/>
        </w:rPr>
        <w:t>)</w:t>
      </w:r>
      <w:r w:rsidRPr="00C803C6">
        <w:rPr>
          <w:rFonts w:hint="eastAsia"/>
          <w:sz w:val="24"/>
        </w:rPr>
        <w:t>，以提高切削性能；</w:t>
      </w:r>
    </w:p>
    <w:p w14:paraId="77EE4DF8" w14:textId="77777777" w:rsidR="00C803C6" w:rsidRPr="00C803C6" w:rsidRDefault="00C803C6" w:rsidP="00C803C6">
      <w:pPr>
        <w:spacing w:line="360" w:lineRule="auto"/>
        <w:rPr>
          <w:rFonts w:hint="eastAsia"/>
          <w:sz w:val="24"/>
        </w:rPr>
      </w:pPr>
      <w:r w:rsidRPr="00C803C6">
        <w:rPr>
          <w:rFonts w:hint="eastAsia"/>
          <w:sz w:val="24"/>
        </w:rPr>
        <w:t>③换刀时间较短；</w:t>
      </w:r>
    </w:p>
    <w:p w14:paraId="0C321CC8" w14:textId="77777777" w:rsidR="00C803C6" w:rsidRPr="00C803C6" w:rsidRDefault="00C803C6" w:rsidP="00C803C6">
      <w:pPr>
        <w:spacing w:line="360" w:lineRule="auto"/>
        <w:rPr>
          <w:rFonts w:hint="eastAsia"/>
          <w:sz w:val="24"/>
        </w:rPr>
      </w:pPr>
      <w:r w:rsidRPr="00C803C6">
        <w:rPr>
          <w:rFonts w:hint="eastAsia"/>
          <w:sz w:val="24"/>
        </w:rPr>
        <w:t>④由于可转位刀片是标准化和集中生产的，刀片几何参数易于一致，切屑控制稳定。</w:t>
      </w:r>
    </w:p>
    <w:p w14:paraId="4121AC5F" w14:textId="7986D788" w:rsidR="00C803C6" w:rsidRPr="00C803C6" w:rsidRDefault="00C803C6" w:rsidP="00C803C6">
      <w:pPr>
        <w:spacing w:line="360" w:lineRule="auto"/>
        <w:ind w:firstLineChars="200" w:firstLine="480"/>
        <w:rPr>
          <w:sz w:val="24"/>
        </w:rPr>
      </w:pPr>
      <w:r w:rsidRPr="00C803C6">
        <w:rPr>
          <w:rFonts w:hint="eastAsia"/>
          <w:sz w:val="24"/>
        </w:rPr>
        <w:t>可转位刀具的应用范围很广，包括各种车刀、</w:t>
      </w:r>
      <w:proofErr w:type="gramStart"/>
      <w:r w:rsidRPr="00C803C6">
        <w:rPr>
          <w:rFonts w:hint="eastAsia"/>
          <w:sz w:val="24"/>
        </w:rPr>
        <w:t>镗</w:t>
      </w:r>
      <w:proofErr w:type="gramEnd"/>
      <w:r w:rsidRPr="00C803C6">
        <w:rPr>
          <w:rFonts w:hint="eastAsia"/>
          <w:sz w:val="24"/>
        </w:rPr>
        <w:t>刀、铣刀、</w:t>
      </w:r>
      <w:proofErr w:type="gramStart"/>
      <w:r w:rsidRPr="00C803C6">
        <w:rPr>
          <w:rFonts w:hint="eastAsia"/>
          <w:sz w:val="24"/>
        </w:rPr>
        <w:t>外表面拉刀等</w:t>
      </w:r>
      <w:proofErr w:type="gramEnd"/>
      <w:r w:rsidRPr="00C803C6">
        <w:rPr>
          <w:rFonts w:hint="eastAsia"/>
          <w:sz w:val="24"/>
        </w:rPr>
        <w:t>，相关技术正在高速发展。尽管刀具材料在涂层硬质合金切削</w:t>
      </w:r>
      <w:proofErr w:type="gramStart"/>
      <w:r w:rsidRPr="00C803C6">
        <w:rPr>
          <w:rFonts w:hint="eastAsia"/>
          <w:sz w:val="24"/>
        </w:rPr>
        <w:t>刃</w:t>
      </w:r>
      <w:proofErr w:type="gramEnd"/>
      <w:r w:rsidRPr="00C803C6">
        <w:rPr>
          <w:rFonts w:hint="eastAsia"/>
          <w:sz w:val="24"/>
        </w:rPr>
        <w:t>方面较传统刀片看似相同，但是材料构成和制造工艺则要先进许多，刀片的几何形状也随着客户要求和生产技术的双双提高经历了很大变化。新研制的新型可转位刀片具有</w:t>
      </w:r>
      <w:r w:rsidRPr="00C803C6">
        <w:rPr>
          <w:rFonts w:hint="eastAsia"/>
          <w:sz w:val="24"/>
        </w:rPr>
        <w:t>4</w:t>
      </w:r>
      <w:r w:rsidRPr="00C803C6">
        <w:rPr>
          <w:rFonts w:hint="eastAsia"/>
          <w:sz w:val="24"/>
        </w:rPr>
        <w:t>个完整的切削</w:t>
      </w:r>
      <w:proofErr w:type="gramStart"/>
      <w:r w:rsidRPr="00C803C6">
        <w:rPr>
          <w:rFonts w:hint="eastAsia"/>
          <w:sz w:val="24"/>
        </w:rPr>
        <w:t>刃</w:t>
      </w:r>
      <w:proofErr w:type="gramEnd"/>
      <w:r w:rsidRPr="00C803C6">
        <w:rPr>
          <w:rFonts w:hint="eastAsia"/>
          <w:sz w:val="24"/>
        </w:rPr>
        <w:t>，能确保</w:t>
      </w:r>
      <w:proofErr w:type="gramStart"/>
      <w:r w:rsidRPr="00C803C6">
        <w:rPr>
          <w:rFonts w:hint="eastAsia"/>
          <w:sz w:val="24"/>
        </w:rPr>
        <w:t>将钻削过程</w:t>
      </w:r>
      <w:proofErr w:type="gramEnd"/>
      <w:r w:rsidRPr="00C803C6">
        <w:rPr>
          <w:rFonts w:hint="eastAsia"/>
          <w:sz w:val="24"/>
        </w:rPr>
        <w:t>进行到底，不会有任何一个刃口因某个拐角暴露过多而导致不均匀磨损并进一步导致整条刀刃过早磨损报废，</w:t>
      </w:r>
      <w:proofErr w:type="gramStart"/>
      <w:r w:rsidRPr="00C803C6">
        <w:rPr>
          <w:rFonts w:hint="eastAsia"/>
          <w:sz w:val="24"/>
        </w:rPr>
        <w:t>阶进技术</w:t>
      </w:r>
      <w:proofErr w:type="gramEnd"/>
      <w:r w:rsidRPr="00C803C6">
        <w:rPr>
          <w:rFonts w:hint="eastAsia"/>
          <w:sz w:val="24"/>
        </w:rPr>
        <w:t>可确保在整个切削过程中覆盖所有的拐角。</w:t>
      </w:r>
    </w:p>
    <w:p w14:paraId="315F68C5" w14:textId="77777777" w:rsidR="00450151" w:rsidRPr="0077147C" w:rsidRDefault="00450151">
      <w:pPr>
        <w:spacing w:line="360" w:lineRule="auto"/>
        <w:rPr>
          <w:rFonts w:ascii="黑体" w:eastAsia="黑体"/>
          <w:sz w:val="24"/>
        </w:rPr>
      </w:pPr>
      <w:r w:rsidRPr="0077147C">
        <w:rPr>
          <w:rFonts w:ascii="黑体" w:eastAsia="黑体" w:hint="eastAsia"/>
          <w:sz w:val="24"/>
        </w:rPr>
        <w:lastRenderedPageBreak/>
        <w:t>1.3 承担单位情况及主要工作过程</w:t>
      </w:r>
    </w:p>
    <w:p w14:paraId="34431AAB" w14:textId="01810353" w:rsidR="00450151" w:rsidRDefault="00450151">
      <w:pPr>
        <w:spacing w:line="360" w:lineRule="auto"/>
        <w:rPr>
          <w:rFonts w:ascii="黑体" w:eastAsia="黑体"/>
          <w:sz w:val="24"/>
        </w:rPr>
      </w:pPr>
      <w:r w:rsidRPr="0077147C">
        <w:rPr>
          <w:rFonts w:ascii="黑体" w:eastAsia="黑体" w:hint="eastAsia"/>
          <w:sz w:val="24"/>
        </w:rPr>
        <w:t>1.3.1 承担单位情况</w:t>
      </w:r>
    </w:p>
    <w:p w14:paraId="17683433" w14:textId="77777777" w:rsidR="00C803C6" w:rsidRDefault="00C803C6" w:rsidP="00C803C6">
      <w:pPr>
        <w:adjustRightInd w:val="0"/>
        <w:snapToGrid w:val="0"/>
        <w:spacing w:line="360" w:lineRule="auto"/>
        <w:ind w:firstLineChars="200" w:firstLine="480"/>
        <w:rPr>
          <w:rFonts w:hint="eastAsia"/>
          <w:color w:val="000000"/>
          <w:sz w:val="24"/>
        </w:rPr>
      </w:pPr>
      <w:r>
        <w:rPr>
          <w:rFonts w:hint="eastAsia"/>
          <w:color w:val="000000"/>
          <w:sz w:val="24"/>
        </w:rPr>
        <w:t>株洲钻石切削刀具股份有限公司（以下简称公司）位于湖南省株洲市国家级高新开发区钻石工业园内，目前是国内最大的数控刀具生产基地。</w:t>
      </w:r>
    </w:p>
    <w:p w14:paraId="13A7406D" w14:textId="77777777" w:rsidR="00C803C6" w:rsidRDefault="00C803C6" w:rsidP="00C803C6">
      <w:pPr>
        <w:numPr>
          <w:ilvl w:val="0"/>
          <w:numId w:val="3"/>
        </w:numPr>
        <w:spacing w:line="480" w:lineRule="auto"/>
        <w:rPr>
          <w:rFonts w:ascii="宋体" w:hAnsi="宋体" w:hint="eastAsia"/>
          <w:sz w:val="24"/>
        </w:rPr>
      </w:pPr>
      <w:r>
        <w:rPr>
          <w:rFonts w:ascii="宋体" w:hAnsi="宋体" w:hint="eastAsia"/>
          <w:b/>
          <w:bCs/>
          <w:sz w:val="24"/>
        </w:rPr>
        <w:t>雄厚的技术实力</w:t>
      </w:r>
      <w:r>
        <w:rPr>
          <w:rFonts w:ascii="宋体" w:hAnsi="宋体" w:hint="eastAsia"/>
          <w:sz w:val="24"/>
        </w:rPr>
        <w:t>  </w:t>
      </w:r>
    </w:p>
    <w:p w14:paraId="125F5C68" w14:textId="77777777" w:rsidR="00C803C6" w:rsidRDefault="00C803C6" w:rsidP="00C803C6">
      <w:pPr>
        <w:adjustRightInd w:val="0"/>
        <w:snapToGrid w:val="0"/>
        <w:spacing w:line="360" w:lineRule="auto"/>
        <w:ind w:firstLineChars="200" w:firstLine="480"/>
        <w:rPr>
          <w:rFonts w:hint="eastAsia"/>
          <w:color w:val="000000"/>
          <w:sz w:val="24"/>
        </w:rPr>
      </w:pPr>
      <w:r>
        <w:rPr>
          <w:rFonts w:hint="eastAsia"/>
          <w:color w:val="000000"/>
          <w:sz w:val="24"/>
        </w:rPr>
        <w:t>公司拥有当今世界先进的生产工艺技术，拥有一支强大的科研开发队伍，科研人员占员工总数的</w:t>
      </w:r>
      <w:r>
        <w:rPr>
          <w:rFonts w:hint="eastAsia"/>
          <w:color w:val="000000"/>
          <w:sz w:val="24"/>
        </w:rPr>
        <w:t>20%</w:t>
      </w:r>
      <w:r>
        <w:rPr>
          <w:rFonts w:hint="eastAsia"/>
          <w:color w:val="000000"/>
          <w:sz w:val="24"/>
        </w:rPr>
        <w:t>以上。具有世界一流的可转位数控刀片生产线及配套刀具生产线、整体硬质合金</w:t>
      </w:r>
      <w:proofErr w:type="gramStart"/>
      <w:r>
        <w:rPr>
          <w:rFonts w:hint="eastAsia"/>
          <w:color w:val="000000"/>
          <w:sz w:val="24"/>
        </w:rPr>
        <w:t>孔加工</w:t>
      </w:r>
      <w:proofErr w:type="gramEnd"/>
      <w:r>
        <w:rPr>
          <w:rFonts w:hint="eastAsia"/>
          <w:color w:val="000000"/>
          <w:sz w:val="24"/>
        </w:rPr>
        <w:t>刀具生产线、传统刀片生产线、非金属陶瓷刀片及结构件生产线，并成立了集科研、应用研究为一体的研发中心。</w:t>
      </w:r>
      <w:r>
        <w:rPr>
          <w:rFonts w:hint="eastAsia"/>
          <w:color w:val="000000"/>
          <w:sz w:val="24"/>
        </w:rPr>
        <w:t xml:space="preserve"> </w:t>
      </w:r>
      <w:r>
        <w:rPr>
          <w:rFonts w:hint="eastAsia"/>
          <w:color w:val="000000"/>
          <w:sz w:val="24"/>
        </w:rPr>
        <w:t>针对加工中出现的各种问题成立项目组，并拨专项资金以解决生产中的种类质量问题。</w:t>
      </w:r>
    </w:p>
    <w:p w14:paraId="6F68CE35" w14:textId="77777777" w:rsidR="00C803C6" w:rsidRDefault="00C803C6" w:rsidP="00C803C6">
      <w:pPr>
        <w:numPr>
          <w:ilvl w:val="0"/>
          <w:numId w:val="3"/>
        </w:numPr>
        <w:spacing w:line="480" w:lineRule="auto"/>
        <w:rPr>
          <w:rFonts w:ascii="宋体" w:hAnsi="宋体" w:hint="eastAsia"/>
          <w:b/>
          <w:bCs/>
          <w:sz w:val="24"/>
        </w:rPr>
      </w:pPr>
      <w:r>
        <w:rPr>
          <w:rFonts w:ascii="宋体" w:hAnsi="宋体" w:hint="eastAsia"/>
          <w:b/>
          <w:bCs/>
          <w:sz w:val="24"/>
        </w:rPr>
        <w:t>卓越的产品优势</w:t>
      </w:r>
    </w:p>
    <w:p w14:paraId="22BBAB96" w14:textId="77777777" w:rsidR="00C803C6" w:rsidRDefault="00C803C6" w:rsidP="00C803C6">
      <w:pPr>
        <w:adjustRightInd w:val="0"/>
        <w:snapToGrid w:val="0"/>
        <w:spacing w:line="360" w:lineRule="auto"/>
        <w:ind w:firstLineChars="200" w:firstLine="480"/>
        <w:rPr>
          <w:rFonts w:hint="eastAsia"/>
          <w:color w:val="000000"/>
          <w:sz w:val="24"/>
        </w:rPr>
      </w:pPr>
      <w:r>
        <w:rPr>
          <w:rFonts w:hint="eastAsia"/>
          <w:color w:val="000000"/>
          <w:sz w:val="24"/>
        </w:rPr>
        <w:t>我公司成系列地为客户提供各种标准和非标准的新的物理、化学涂层、金属陶瓷和超硬材料等牌号的高精度车削、铣削、</w:t>
      </w:r>
      <w:proofErr w:type="gramStart"/>
      <w:r>
        <w:rPr>
          <w:rFonts w:hint="eastAsia"/>
          <w:color w:val="000000"/>
          <w:sz w:val="24"/>
        </w:rPr>
        <w:t>镗</w:t>
      </w:r>
      <w:proofErr w:type="gramEnd"/>
      <w:r>
        <w:rPr>
          <w:rFonts w:hint="eastAsia"/>
          <w:color w:val="000000"/>
          <w:sz w:val="24"/>
        </w:rPr>
        <w:t>削、钻削、切断、切槽和螺纹加工的可转位数控刀片及配套的高精度刀具，同时提供各种高质量焊接刀片、机夹刀片，硬质合金</w:t>
      </w:r>
      <w:proofErr w:type="gramStart"/>
      <w:r>
        <w:rPr>
          <w:rFonts w:hint="eastAsia"/>
          <w:color w:val="000000"/>
          <w:sz w:val="24"/>
        </w:rPr>
        <w:t>孔加工</w:t>
      </w:r>
      <w:proofErr w:type="gramEnd"/>
      <w:r>
        <w:rPr>
          <w:rFonts w:hint="eastAsia"/>
          <w:color w:val="000000"/>
          <w:sz w:val="24"/>
        </w:rPr>
        <w:t>刀具及工具系统。并配有适合各种加工材料的精加工、半精加工和粗加工的</w:t>
      </w:r>
      <w:proofErr w:type="gramStart"/>
      <w:r>
        <w:rPr>
          <w:rFonts w:hint="eastAsia"/>
          <w:color w:val="000000"/>
          <w:sz w:val="24"/>
        </w:rPr>
        <w:t>相应断屑槽型</w:t>
      </w:r>
      <w:proofErr w:type="gramEnd"/>
      <w:r>
        <w:rPr>
          <w:rFonts w:hint="eastAsia"/>
          <w:color w:val="000000"/>
          <w:sz w:val="24"/>
        </w:rPr>
        <w:t>。我公司不断推出适合于模具业、汽车工业、航空工业的先进切削刀具和</w:t>
      </w:r>
      <w:proofErr w:type="gramStart"/>
      <w:r>
        <w:rPr>
          <w:rFonts w:hint="eastAsia"/>
          <w:color w:val="000000"/>
          <w:sz w:val="24"/>
        </w:rPr>
        <w:t>孔加工</w:t>
      </w:r>
      <w:proofErr w:type="gramEnd"/>
      <w:r>
        <w:rPr>
          <w:rFonts w:hint="eastAsia"/>
          <w:color w:val="000000"/>
          <w:sz w:val="24"/>
        </w:rPr>
        <w:t>刀具，能根据客户的不同需求来图来样生产各类切削工具，为机械加工制造提供成套的解决方案。</w:t>
      </w:r>
    </w:p>
    <w:p w14:paraId="14B2555D" w14:textId="77777777" w:rsidR="00C803C6" w:rsidRDefault="00C803C6" w:rsidP="00C803C6">
      <w:pPr>
        <w:numPr>
          <w:ilvl w:val="0"/>
          <w:numId w:val="3"/>
        </w:numPr>
        <w:spacing w:line="480" w:lineRule="auto"/>
        <w:rPr>
          <w:rFonts w:ascii="宋体" w:hAnsi="宋体" w:hint="eastAsia"/>
          <w:b/>
          <w:bCs/>
          <w:sz w:val="24"/>
        </w:rPr>
      </w:pPr>
      <w:r>
        <w:rPr>
          <w:rFonts w:ascii="宋体" w:hAnsi="宋体" w:hint="eastAsia"/>
          <w:b/>
          <w:bCs/>
          <w:sz w:val="24"/>
        </w:rPr>
        <w:t xml:space="preserve">强大生产能力  </w:t>
      </w:r>
    </w:p>
    <w:p w14:paraId="18818949" w14:textId="77777777" w:rsidR="00C803C6" w:rsidRDefault="00C803C6" w:rsidP="00C803C6">
      <w:pPr>
        <w:adjustRightInd w:val="0"/>
        <w:snapToGrid w:val="0"/>
        <w:spacing w:line="360" w:lineRule="auto"/>
        <w:ind w:firstLineChars="200" w:firstLine="480"/>
        <w:rPr>
          <w:rFonts w:hint="eastAsia"/>
          <w:color w:val="000000"/>
          <w:sz w:val="24"/>
        </w:rPr>
      </w:pPr>
      <w:r>
        <w:rPr>
          <w:rFonts w:hint="eastAsia"/>
          <w:color w:val="000000"/>
          <w:sz w:val="24"/>
        </w:rPr>
        <w:t>通过引进国内外先进的生产设备，结合</w:t>
      </w:r>
      <w:proofErr w:type="gramStart"/>
      <w:r>
        <w:rPr>
          <w:rFonts w:hint="eastAsia"/>
          <w:color w:val="000000"/>
          <w:sz w:val="24"/>
        </w:rPr>
        <w:t>株硬集团</w:t>
      </w:r>
      <w:proofErr w:type="gramEnd"/>
      <w:r>
        <w:rPr>
          <w:rFonts w:hint="eastAsia"/>
          <w:color w:val="000000"/>
          <w:sz w:val="24"/>
        </w:rPr>
        <w:t>十余年的可转位刀片生产工艺，</w:t>
      </w:r>
      <w:r>
        <w:rPr>
          <w:rFonts w:hint="eastAsia"/>
          <w:color w:val="000000"/>
          <w:sz w:val="24"/>
        </w:rPr>
        <w:t>2001</w:t>
      </w:r>
      <w:r>
        <w:rPr>
          <w:rFonts w:hint="eastAsia"/>
          <w:color w:val="000000"/>
          <w:sz w:val="24"/>
        </w:rPr>
        <w:t>年底</w:t>
      </w:r>
      <w:r>
        <w:rPr>
          <w:rFonts w:hint="eastAsia"/>
          <w:color w:val="000000"/>
          <w:sz w:val="24"/>
        </w:rPr>
        <w:t>,</w:t>
      </w:r>
      <w:r>
        <w:rPr>
          <w:rFonts w:hint="eastAsia"/>
          <w:color w:val="000000"/>
          <w:sz w:val="24"/>
        </w:rPr>
        <w:t>钻石工业园建成了具有世界一流水平的硬质合金可转位刀片生产线。该生产线集中了可转位刀片生产的模具制造、混合料、压制、烧结、研磨、钝化涂层等工序，各工序均配备了当今世界一流的生产设备极大地提高了可转位刀片生产的尺寸精度和工艺稳定性，进一步扩大了产能，提升了产品质量。</w:t>
      </w:r>
      <w:r>
        <w:rPr>
          <w:rFonts w:hint="eastAsia"/>
          <w:color w:val="000000"/>
          <w:sz w:val="24"/>
        </w:rPr>
        <w:t>2003</w:t>
      </w:r>
      <w:r>
        <w:rPr>
          <w:rFonts w:hint="eastAsia"/>
          <w:color w:val="000000"/>
          <w:sz w:val="24"/>
        </w:rPr>
        <w:t>年配套刀具生产线建设项目顺利完成并投入生产。从国外引进技术的刀具生产线，改变了</w:t>
      </w:r>
      <w:proofErr w:type="gramStart"/>
      <w:r>
        <w:rPr>
          <w:rFonts w:hint="eastAsia"/>
          <w:color w:val="000000"/>
          <w:sz w:val="24"/>
        </w:rPr>
        <w:t>园区只</w:t>
      </w:r>
      <w:proofErr w:type="gramEnd"/>
      <w:r>
        <w:rPr>
          <w:rFonts w:hint="eastAsia"/>
          <w:color w:val="000000"/>
          <w:sz w:val="24"/>
        </w:rPr>
        <w:t>生产刀片而无配套刀具的现状，改善了产品的结构，提升了产品的开发能力，为开发生产拥有自主知识产权的刀片和刀具，打下了良好的基础。整体硬质合金生产线是引进国外刀具制造设备和技术，建立的最新的硬质合金</w:t>
      </w:r>
      <w:proofErr w:type="gramStart"/>
      <w:r>
        <w:rPr>
          <w:rFonts w:hint="eastAsia"/>
          <w:color w:val="000000"/>
          <w:sz w:val="24"/>
        </w:rPr>
        <w:t>孔加工</w:t>
      </w:r>
      <w:proofErr w:type="gramEnd"/>
      <w:r>
        <w:rPr>
          <w:rFonts w:hint="eastAsia"/>
          <w:color w:val="000000"/>
          <w:sz w:val="24"/>
        </w:rPr>
        <w:t>刀具及立铣刀生产线，生产线工艺装备一流，有先进的磨削中心和加工工艺，</w:t>
      </w:r>
      <w:r>
        <w:rPr>
          <w:rFonts w:hint="eastAsia"/>
          <w:color w:val="000000"/>
          <w:sz w:val="24"/>
        </w:rPr>
        <w:lastRenderedPageBreak/>
        <w:t>有</w:t>
      </w:r>
      <w:r>
        <w:rPr>
          <w:rFonts w:hint="eastAsia"/>
          <w:color w:val="000000"/>
          <w:sz w:val="24"/>
        </w:rPr>
        <w:t>ZOLLER</w:t>
      </w:r>
      <w:r>
        <w:rPr>
          <w:rFonts w:hint="eastAsia"/>
          <w:color w:val="000000"/>
          <w:sz w:val="24"/>
        </w:rPr>
        <w:t>检测仪进行自动在线检测反馈和控制，在原料选用和加工精度控制上标准严格，产品质量均可达到国际同类产品先进水平。目前公司数控刀片的年生产能力达</w:t>
      </w:r>
      <w:r>
        <w:rPr>
          <w:rFonts w:hint="eastAsia"/>
          <w:color w:val="000000"/>
          <w:sz w:val="24"/>
        </w:rPr>
        <w:t>5700</w:t>
      </w:r>
      <w:r>
        <w:rPr>
          <w:rFonts w:hint="eastAsia"/>
          <w:color w:val="000000"/>
          <w:sz w:val="24"/>
        </w:rPr>
        <w:t>万片</w:t>
      </w:r>
      <w:r>
        <w:rPr>
          <w:rFonts w:hint="eastAsia"/>
          <w:color w:val="000000"/>
          <w:sz w:val="24"/>
        </w:rPr>
        <w:t>/</w:t>
      </w:r>
      <w:r>
        <w:rPr>
          <w:rFonts w:hint="eastAsia"/>
          <w:color w:val="000000"/>
          <w:sz w:val="24"/>
        </w:rPr>
        <w:t>年，硬质合金机夹焊接刀片</w:t>
      </w:r>
      <w:r>
        <w:rPr>
          <w:rFonts w:hint="eastAsia"/>
          <w:color w:val="000000"/>
          <w:sz w:val="24"/>
        </w:rPr>
        <w:t>1450</w:t>
      </w:r>
      <w:r>
        <w:rPr>
          <w:rFonts w:hint="eastAsia"/>
          <w:color w:val="000000"/>
          <w:sz w:val="24"/>
        </w:rPr>
        <w:t>吨</w:t>
      </w:r>
      <w:r>
        <w:rPr>
          <w:rFonts w:hint="eastAsia"/>
          <w:color w:val="000000"/>
          <w:sz w:val="24"/>
        </w:rPr>
        <w:t>/</w:t>
      </w:r>
      <w:r>
        <w:rPr>
          <w:rFonts w:hint="eastAsia"/>
          <w:color w:val="000000"/>
          <w:sz w:val="24"/>
        </w:rPr>
        <w:t>年，数控刀具</w:t>
      </w:r>
      <w:r>
        <w:rPr>
          <w:rFonts w:hint="eastAsia"/>
          <w:color w:val="000000"/>
          <w:sz w:val="24"/>
        </w:rPr>
        <w:t>18</w:t>
      </w:r>
      <w:r>
        <w:rPr>
          <w:rFonts w:hint="eastAsia"/>
          <w:color w:val="000000"/>
          <w:sz w:val="24"/>
        </w:rPr>
        <w:t>万把</w:t>
      </w:r>
      <w:r>
        <w:rPr>
          <w:rFonts w:hint="eastAsia"/>
          <w:color w:val="000000"/>
          <w:sz w:val="24"/>
        </w:rPr>
        <w:t>/</w:t>
      </w:r>
      <w:r>
        <w:rPr>
          <w:rFonts w:hint="eastAsia"/>
          <w:color w:val="000000"/>
          <w:sz w:val="24"/>
        </w:rPr>
        <w:t>年，整体硬质合金刀具</w:t>
      </w:r>
      <w:r>
        <w:rPr>
          <w:rFonts w:hint="eastAsia"/>
          <w:color w:val="000000"/>
          <w:sz w:val="24"/>
        </w:rPr>
        <w:t>600</w:t>
      </w:r>
      <w:r>
        <w:rPr>
          <w:rFonts w:hint="eastAsia"/>
          <w:color w:val="000000"/>
          <w:sz w:val="24"/>
        </w:rPr>
        <w:t>万支</w:t>
      </w:r>
      <w:r>
        <w:rPr>
          <w:rFonts w:hint="eastAsia"/>
          <w:color w:val="000000"/>
          <w:sz w:val="24"/>
        </w:rPr>
        <w:t>/</w:t>
      </w:r>
      <w:r>
        <w:rPr>
          <w:rFonts w:hint="eastAsia"/>
          <w:color w:val="000000"/>
          <w:sz w:val="24"/>
        </w:rPr>
        <w:t>年。</w:t>
      </w:r>
    </w:p>
    <w:p w14:paraId="3C7C6759" w14:textId="77777777" w:rsidR="00C803C6" w:rsidRDefault="00C803C6" w:rsidP="00C803C6">
      <w:pPr>
        <w:numPr>
          <w:ilvl w:val="0"/>
          <w:numId w:val="3"/>
        </w:numPr>
        <w:spacing w:line="480" w:lineRule="auto"/>
        <w:rPr>
          <w:rFonts w:ascii="宋体" w:hAnsi="宋体" w:hint="eastAsia"/>
          <w:b/>
          <w:bCs/>
          <w:sz w:val="24"/>
        </w:rPr>
      </w:pPr>
      <w:r>
        <w:rPr>
          <w:rFonts w:ascii="宋体" w:hAnsi="宋体" w:hint="eastAsia"/>
          <w:b/>
          <w:bCs/>
          <w:sz w:val="24"/>
        </w:rPr>
        <w:t>质量管理体系及质量控制</w:t>
      </w:r>
    </w:p>
    <w:p w14:paraId="0B959328" w14:textId="77777777" w:rsidR="00C803C6" w:rsidRDefault="00C803C6" w:rsidP="00C803C6">
      <w:pPr>
        <w:adjustRightInd w:val="0"/>
        <w:snapToGrid w:val="0"/>
        <w:spacing w:line="360" w:lineRule="auto"/>
        <w:ind w:firstLineChars="200" w:firstLine="480"/>
        <w:rPr>
          <w:rFonts w:hint="eastAsia"/>
          <w:color w:val="000000"/>
          <w:sz w:val="24"/>
        </w:rPr>
      </w:pPr>
      <w:r>
        <w:rPr>
          <w:rFonts w:hint="eastAsia"/>
          <w:color w:val="000000"/>
          <w:sz w:val="24"/>
        </w:rPr>
        <w:t>公司设有质量控制部，负责公司的质量管理体系策划、实施、保持和改进，负责质量方针、目标的宣贯及质量管理体系内部审核及管理评审的组织，负责公司产品质量的控制。</w:t>
      </w:r>
    </w:p>
    <w:p w14:paraId="043B2680" w14:textId="77777777" w:rsidR="00C803C6" w:rsidRDefault="00C803C6" w:rsidP="00C803C6">
      <w:pPr>
        <w:adjustRightInd w:val="0"/>
        <w:snapToGrid w:val="0"/>
        <w:spacing w:line="360" w:lineRule="auto"/>
        <w:ind w:firstLineChars="200" w:firstLine="480"/>
        <w:rPr>
          <w:rFonts w:hint="eastAsia"/>
          <w:color w:val="000000"/>
          <w:sz w:val="24"/>
        </w:rPr>
      </w:pPr>
      <w:r>
        <w:rPr>
          <w:rFonts w:hint="eastAsia"/>
          <w:color w:val="000000"/>
          <w:sz w:val="24"/>
        </w:rPr>
        <w:t>质量控制人员情况：公司目前</w:t>
      </w:r>
      <w:r>
        <w:rPr>
          <w:color w:val="000000"/>
          <w:sz w:val="24"/>
        </w:rPr>
        <w:t>拥有一</w:t>
      </w:r>
      <w:r>
        <w:rPr>
          <w:rFonts w:hint="eastAsia"/>
          <w:color w:val="000000"/>
          <w:sz w:val="24"/>
        </w:rPr>
        <w:t>批专业</w:t>
      </w:r>
      <w:r>
        <w:rPr>
          <w:color w:val="000000"/>
          <w:sz w:val="24"/>
        </w:rPr>
        <w:t>的</w:t>
      </w:r>
      <w:r>
        <w:rPr>
          <w:rFonts w:hint="eastAsia"/>
          <w:color w:val="000000"/>
          <w:sz w:val="24"/>
        </w:rPr>
        <w:t>质量检验与管理人员，其中具有专业检验资质人员共有</w:t>
      </w:r>
      <w:r>
        <w:rPr>
          <w:rFonts w:hint="eastAsia"/>
          <w:color w:val="000000"/>
          <w:sz w:val="24"/>
        </w:rPr>
        <w:t>107</w:t>
      </w:r>
      <w:r>
        <w:rPr>
          <w:rFonts w:hint="eastAsia"/>
          <w:color w:val="000000"/>
          <w:sz w:val="24"/>
        </w:rPr>
        <w:t>人</w:t>
      </w:r>
      <w:r>
        <w:rPr>
          <w:color w:val="000000"/>
          <w:sz w:val="24"/>
        </w:rPr>
        <w:t>，</w:t>
      </w:r>
      <w:r>
        <w:rPr>
          <w:rFonts w:hint="eastAsia"/>
          <w:color w:val="000000"/>
          <w:sz w:val="24"/>
        </w:rPr>
        <w:t>质量控制与管理人员共</w:t>
      </w:r>
      <w:r>
        <w:rPr>
          <w:rFonts w:hint="eastAsia"/>
          <w:color w:val="000000"/>
          <w:sz w:val="24"/>
        </w:rPr>
        <w:t>28</w:t>
      </w:r>
      <w:r>
        <w:rPr>
          <w:rFonts w:hint="eastAsia"/>
          <w:color w:val="000000"/>
          <w:sz w:val="24"/>
        </w:rPr>
        <w:t>人。公司建立了完善的培训与考核体制。每年有针对性的对质量控制人员进行专业培训与考核，要求质检人员持证上岗，严格把守质量关。</w:t>
      </w:r>
    </w:p>
    <w:p w14:paraId="6C409C1E" w14:textId="77777777" w:rsidR="00C803C6" w:rsidRDefault="00C803C6" w:rsidP="00C803C6">
      <w:pPr>
        <w:adjustRightInd w:val="0"/>
        <w:snapToGrid w:val="0"/>
        <w:spacing w:line="360" w:lineRule="auto"/>
        <w:ind w:firstLineChars="200" w:firstLine="480"/>
        <w:rPr>
          <w:rFonts w:hint="eastAsia"/>
          <w:color w:val="000000"/>
          <w:sz w:val="24"/>
        </w:rPr>
      </w:pPr>
      <w:r>
        <w:rPr>
          <w:rFonts w:hint="eastAsia"/>
          <w:color w:val="000000"/>
          <w:sz w:val="24"/>
        </w:rPr>
        <w:t>质量控制手段</w:t>
      </w:r>
      <w:r>
        <w:rPr>
          <w:rFonts w:hint="eastAsia"/>
          <w:color w:val="000000"/>
          <w:sz w:val="24"/>
        </w:rPr>
        <w:t>:</w:t>
      </w:r>
      <w:r>
        <w:rPr>
          <w:rFonts w:hint="eastAsia"/>
          <w:color w:val="000000"/>
          <w:sz w:val="24"/>
        </w:rPr>
        <w:t>公司配有进口和国产各类专业的检测设备</w:t>
      </w:r>
      <w:r>
        <w:rPr>
          <w:rFonts w:hint="eastAsia"/>
          <w:color w:val="000000"/>
          <w:sz w:val="24"/>
        </w:rPr>
        <w:t>50</w:t>
      </w:r>
      <w:r>
        <w:rPr>
          <w:rFonts w:hint="eastAsia"/>
          <w:color w:val="000000"/>
          <w:sz w:val="24"/>
        </w:rPr>
        <w:t>余台，其中检测材质的有：维氏硬度计、刻痕仪、密度计、抗弯强度计、金相显微镜、投影仪、矫顽磁力计、各类金相磨床、镶样机等；检测产品尺寸的有：</w:t>
      </w:r>
      <w:r>
        <w:rPr>
          <w:rFonts w:hint="eastAsia"/>
          <w:color w:val="000000"/>
          <w:sz w:val="24"/>
        </w:rPr>
        <w:t>ZOLLER</w:t>
      </w:r>
      <w:r>
        <w:rPr>
          <w:rFonts w:hint="eastAsia"/>
          <w:color w:val="000000"/>
          <w:sz w:val="24"/>
        </w:rPr>
        <w:t>测量仪、</w:t>
      </w:r>
      <w:r>
        <w:rPr>
          <w:rFonts w:hint="eastAsia"/>
          <w:color w:val="000000"/>
          <w:sz w:val="24"/>
        </w:rPr>
        <w:t>WATER</w:t>
      </w:r>
      <w:r>
        <w:rPr>
          <w:rFonts w:hint="eastAsia"/>
          <w:color w:val="000000"/>
          <w:sz w:val="24"/>
        </w:rPr>
        <w:t>测量仪、</w:t>
      </w:r>
      <w:r>
        <w:rPr>
          <w:rFonts w:hint="eastAsia"/>
          <w:color w:val="000000"/>
          <w:sz w:val="24"/>
        </w:rPr>
        <w:t>PG100</w:t>
      </w:r>
      <w:r>
        <w:rPr>
          <w:rFonts w:hint="eastAsia"/>
          <w:color w:val="000000"/>
          <w:sz w:val="24"/>
        </w:rPr>
        <w:t>刀具测量仪、</w:t>
      </w:r>
      <w:r>
        <w:rPr>
          <w:rFonts w:hint="eastAsia"/>
          <w:color w:val="000000"/>
          <w:sz w:val="24"/>
        </w:rPr>
        <w:t>BMT200</w:t>
      </w:r>
      <w:r>
        <w:rPr>
          <w:rFonts w:hint="eastAsia"/>
          <w:color w:val="000000"/>
          <w:sz w:val="24"/>
        </w:rPr>
        <w:t>动平衡仪、</w:t>
      </w:r>
      <w:r>
        <w:rPr>
          <w:rFonts w:hint="eastAsia"/>
          <w:color w:val="000000"/>
          <w:sz w:val="24"/>
        </w:rPr>
        <w:t>MICTOOL</w:t>
      </w:r>
      <w:r>
        <w:rPr>
          <w:rFonts w:hint="eastAsia"/>
          <w:color w:val="000000"/>
          <w:sz w:val="24"/>
        </w:rPr>
        <w:t>测量仪和万能工具显微镜等。</w:t>
      </w:r>
    </w:p>
    <w:p w14:paraId="05B21DC4" w14:textId="77777777" w:rsidR="00C803C6" w:rsidRDefault="00C803C6" w:rsidP="00C803C6">
      <w:pPr>
        <w:numPr>
          <w:ilvl w:val="0"/>
          <w:numId w:val="3"/>
        </w:numPr>
        <w:spacing w:line="480" w:lineRule="auto"/>
        <w:rPr>
          <w:rFonts w:ascii="宋体" w:hAnsi="宋体" w:hint="eastAsia"/>
          <w:sz w:val="24"/>
        </w:rPr>
      </w:pPr>
      <w:r>
        <w:rPr>
          <w:rFonts w:ascii="宋体" w:hAnsi="宋体" w:hint="eastAsia"/>
          <w:b/>
          <w:bCs/>
          <w:sz w:val="24"/>
        </w:rPr>
        <w:t>完善的营销及服务网络</w:t>
      </w:r>
    </w:p>
    <w:p w14:paraId="1D2CAD37" w14:textId="77777777" w:rsidR="00C803C6" w:rsidRDefault="00C803C6" w:rsidP="00C803C6">
      <w:pPr>
        <w:adjustRightInd w:val="0"/>
        <w:snapToGrid w:val="0"/>
        <w:spacing w:line="360" w:lineRule="auto"/>
        <w:ind w:firstLineChars="200" w:firstLine="480"/>
        <w:rPr>
          <w:rFonts w:ascii="宋体" w:hAnsi="宋体" w:hint="eastAsia"/>
          <w:color w:val="000000"/>
          <w:sz w:val="24"/>
        </w:rPr>
      </w:pPr>
      <w:r>
        <w:rPr>
          <w:rFonts w:ascii="宋体" w:hAnsi="宋体" w:hint="eastAsia"/>
          <w:sz w:val="24"/>
        </w:rPr>
        <w:t>公司生产的各类产品20%销往国外。营销及服务网络遍布全国，产品质量受到广大用户的一致好评。包括在欧洲和美国的常设销售公司在内的海外销售网覆盖全球七十多个国家，产品远销世界各大洲。</w:t>
      </w:r>
    </w:p>
    <w:p w14:paraId="4D693A54" w14:textId="77777777" w:rsidR="00C803C6" w:rsidRPr="00C803C6" w:rsidRDefault="00C803C6">
      <w:pPr>
        <w:spacing w:line="360" w:lineRule="auto"/>
        <w:rPr>
          <w:rFonts w:ascii="黑体" w:eastAsia="黑体" w:hint="eastAsia"/>
          <w:sz w:val="24"/>
        </w:rPr>
      </w:pPr>
    </w:p>
    <w:p w14:paraId="4A334DE0" w14:textId="77777777" w:rsidR="00572271" w:rsidRPr="0077147C" w:rsidRDefault="00572271" w:rsidP="00572271">
      <w:pPr>
        <w:spacing w:line="360" w:lineRule="auto"/>
        <w:rPr>
          <w:rFonts w:ascii="黑体" w:eastAsia="黑体"/>
          <w:sz w:val="24"/>
        </w:rPr>
      </w:pPr>
      <w:r w:rsidRPr="0077147C">
        <w:rPr>
          <w:rFonts w:ascii="黑体" w:eastAsia="黑体" w:hint="eastAsia"/>
          <w:sz w:val="24"/>
        </w:rPr>
        <w:t>1.3.</w:t>
      </w:r>
      <w:r>
        <w:rPr>
          <w:rFonts w:ascii="黑体" w:eastAsia="黑体" w:hint="eastAsia"/>
          <w:sz w:val="24"/>
        </w:rPr>
        <w:t>2</w:t>
      </w:r>
      <w:r w:rsidRPr="00572271">
        <w:rPr>
          <w:rFonts w:eastAsia="黑体"/>
          <w:bCs/>
          <w:sz w:val="24"/>
        </w:rPr>
        <w:t>主要工作成员所负责的工作情况</w:t>
      </w:r>
    </w:p>
    <w:p w14:paraId="2D3F6244" w14:textId="77777777" w:rsidR="00572271" w:rsidRPr="00572271" w:rsidRDefault="00572271" w:rsidP="00B6757E">
      <w:pPr>
        <w:spacing w:line="360" w:lineRule="auto"/>
        <w:ind w:firstLineChars="200" w:firstLine="480"/>
        <w:rPr>
          <w:bCs/>
          <w:sz w:val="24"/>
        </w:rPr>
      </w:pPr>
      <w:r w:rsidRPr="00572271">
        <w:rPr>
          <w:bCs/>
          <w:sz w:val="24"/>
        </w:rPr>
        <w:t>本标准主要起草人及其</w:t>
      </w:r>
      <w:r w:rsidRPr="00572271">
        <w:rPr>
          <w:rFonts w:hint="eastAsia"/>
          <w:bCs/>
          <w:sz w:val="24"/>
        </w:rPr>
        <w:t>分工</w:t>
      </w:r>
      <w:r w:rsidRPr="00572271">
        <w:rPr>
          <w:bCs/>
          <w:sz w:val="24"/>
        </w:rPr>
        <w:t>见</w:t>
      </w:r>
      <w:r w:rsidRPr="00572271">
        <w:rPr>
          <w:rFonts w:hint="eastAsia"/>
          <w:bCs/>
          <w:sz w:val="24"/>
        </w:rPr>
        <w:t>表</w:t>
      </w:r>
      <w:r w:rsidRPr="00572271">
        <w:rPr>
          <w:rFonts w:hint="eastAsia"/>
          <w:bCs/>
          <w:sz w:val="24"/>
        </w:rPr>
        <w:t>1</w:t>
      </w:r>
      <w:r w:rsidRPr="00572271">
        <w:rPr>
          <w:bCs/>
          <w:sz w:val="24"/>
        </w:rPr>
        <w:t>。</w:t>
      </w:r>
    </w:p>
    <w:p w14:paraId="73A9A703" w14:textId="77777777" w:rsidR="00572271" w:rsidRPr="00F72F7D" w:rsidRDefault="00572271" w:rsidP="00B6757E">
      <w:pPr>
        <w:spacing w:line="360" w:lineRule="auto"/>
        <w:jc w:val="center"/>
        <w:rPr>
          <w:rFonts w:ascii="黑体" w:eastAsia="黑体" w:hAnsi="黑体"/>
          <w:color w:val="FF0000"/>
          <w:szCs w:val="21"/>
        </w:rPr>
      </w:pPr>
      <w:r w:rsidRPr="00572271">
        <w:rPr>
          <w:rFonts w:ascii="黑体" w:eastAsia="黑体" w:hAnsi="黑体" w:hint="eastAsia"/>
          <w:szCs w:val="21"/>
        </w:rPr>
        <w:t>表1 标准主要起草人及分工</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87"/>
        <w:gridCol w:w="2751"/>
        <w:gridCol w:w="4038"/>
      </w:tblGrid>
      <w:tr w:rsidR="00F72F7D" w:rsidRPr="00F72F7D" w14:paraId="76E9BE3E" w14:textId="77777777" w:rsidTr="00101D26">
        <w:trPr>
          <w:trHeight w:val="340"/>
        </w:trPr>
        <w:tc>
          <w:tcPr>
            <w:tcW w:w="1487" w:type="dxa"/>
            <w:shd w:val="clear" w:color="auto" w:fill="auto"/>
          </w:tcPr>
          <w:p w14:paraId="4E7915E6" w14:textId="77777777" w:rsidR="00572271" w:rsidRPr="00F72F7D" w:rsidRDefault="00572271" w:rsidP="001F676E">
            <w:pPr>
              <w:jc w:val="center"/>
              <w:rPr>
                <w:color w:val="FF0000"/>
                <w:sz w:val="18"/>
                <w:szCs w:val="18"/>
              </w:rPr>
            </w:pPr>
            <w:r w:rsidRPr="00F72F7D">
              <w:rPr>
                <w:rFonts w:hint="eastAsia"/>
                <w:color w:val="FF0000"/>
                <w:sz w:val="18"/>
                <w:szCs w:val="18"/>
              </w:rPr>
              <w:t>姓名</w:t>
            </w:r>
          </w:p>
        </w:tc>
        <w:tc>
          <w:tcPr>
            <w:tcW w:w="2751" w:type="dxa"/>
          </w:tcPr>
          <w:p w14:paraId="164A037B" w14:textId="77777777" w:rsidR="00572271" w:rsidRPr="00F72F7D" w:rsidRDefault="00572271" w:rsidP="001F676E">
            <w:pPr>
              <w:jc w:val="center"/>
              <w:rPr>
                <w:color w:val="FF0000"/>
                <w:sz w:val="18"/>
                <w:szCs w:val="18"/>
              </w:rPr>
            </w:pPr>
            <w:r w:rsidRPr="00F72F7D">
              <w:rPr>
                <w:rFonts w:hint="eastAsia"/>
                <w:color w:val="FF0000"/>
                <w:sz w:val="18"/>
                <w:szCs w:val="18"/>
              </w:rPr>
              <w:t>单位</w:t>
            </w:r>
          </w:p>
        </w:tc>
        <w:tc>
          <w:tcPr>
            <w:tcW w:w="4038" w:type="dxa"/>
            <w:shd w:val="clear" w:color="auto" w:fill="auto"/>
          </w:tcPr>
          <w:p w14:paraId="307440E1" w14:textId="77777777" w:rsidR="00572271" w:rsidRPr="00F72F7D" w:rsidRDefault="00572271" w:rsidP="001F676E">
            <w:pPr>
              <w:jc w:val="center"/>
              <w:rPr>
                <w:color w:val="FF0000"/>
                <w:sz w:val="18"/>
                <w:szCs w:val="18"/>
              </w:rPr>
            </w:pPr>
            <w:r w:rsidRPr="00F72F7D">
              <w:rPr>
                <w:rFonts w:hint="eastAsia"/>
                <w:color w:val="FF0000"/>
                <w:sz w:val="18"/>
                <w:szCs w:val="18"/>
              </w:rPr>
              <w:t>分工</w:t>
            </w:r>
          </w:p>
        </w:tc>
      </w:tr>
      <w:tr w:rsidR="00F72F7D" w:rsidRPr="00F72F7D" w14:paraId="76F1F5B5" w14:textId="77777777" w:rsidTr="00101D26">
        <w:trPr>
          <w:trHeight w:val="340"/>
        </w:trPr>
        <w:tc>
          <w:tcPr>
            <w:tcW w:w="1487" w:type="dxa"/>
            <w:shd w:val="clear" w:color="auto" w:fill="auto"/>
            <w:vAlign w:val="center"/>
          </w:tcPr>
          <w:p w14:paraId="00344DCF" w14:textId="6F28F673" w:rsidR="00D80DC7" w:rsidRPr="00F72F7D" w:rsidRDefault="00C803C6" w:rsidP="00D80DC7">
            <w:pPr>
              <w:jc w:val="center"/>
              <w:rPr>
                <w:color w:val="FF0000"/>
                <w:sz w:val="18"/>
                <w:szCs w:val="18"/>
              </w:rPr>
            </w:pPr>
            <w:r w:rsidRPr="00F72F7D">
              <w:rPr>
                <w:rFonts w:hint="eastAsia"/>
                <w:color w:val="FF0000"/>
                <w:sz w:val="18"/>
                <w:szCs w:val="18"/>
              </w:rPr>
              <w:t>黄威武</w:t>
            </w:r>
          </w:p>
        </w:tc>
        <w:tc>
          <w:tcPr>
            <w:tcW w:w="2751" w:type="dxa"/>
          </w:tcPr>
          <w:p w14:paraId="7199A648" w14:textId="3FB10925" w:rsidR="00D80DC7" w:rsidRPr="00F72F7D" w:rsidRDefault="00C803C6" w:rsidP="00D80DC7">
            <w:pPr>
              <w:rPr>
                <w:color w:val="FF0000"/>
                <w:sz w:val="18"/>
                <w:szCs w:val="18"/>
              </w:rPr>
            </w:pPr>
            <w:r w:rsidRPr="00F72F7D">
              <w:rPr>
                <w:rFonts w:hint="eastAsia"/>
                <w:color w:val="FF0000"/>
                <w:sz w:val="18"/>
                <w:szCs w:val="18"/>
              </w:rPr>
              <w:t>株洲钻石切削刀具股份有限公司</w:t>
            </w:r>
          </w:p>
        </w:tc>
        <w:tc>
          <w:tcPr>
            <w:tcW w:w="4038" w:type="dxa"/>
            <w:shd w:val="clear" w:color="auto" w:fill="auto"/>
            <w:vAlign w:val="center"/>
          </w:tcPr>
          <w:p w14:paraId="2E8D1F2E" w14:textId="49F77F19" w:rsidR="00D80DC7" w:rsidRPr="00F72F7D" w:rsidRDefault="00D80DC7" w:rsidP="00D80DC7">
            <w:pPr>
              <w:rPr>
                <w:color w:val="FF0000"/>
                <w:sz w:val="18"/>
                <w:szCs w:val="18"/>
              </w:rPr>
            </w:pPr>
            <w:r w:rsidRPr="00F72F7D">
              <w:rPr>
                <w:rFonts w:hint="eastAsia"/>
                <w:color w:val="FF0000"/>
                <w:sz w:val="18"/>
                <w:szCs w:val="18"/>
              </w:rPr>
              <w:t>负责调研、验证、标准起草</w:t>
            </w:r>
          </w:p>
        </w:tc>
      </w:tr>
      <w:tr w:rsidR="00F72F7D" w:rsidRPr="00F72F7D" w14:paraId="33626183" w14:textId="77777777" w:rsidTr="00101D26">
        <w:trPr>
          <w:trHeight w:val="340"/>
        </w:trPr>
        <w:tc>
          <w:tcPr>
            <w:tcW w:w="1487" w:type="dxa"/>
            <w:shd w:val="clear" w:color="auto" w:fill="auto"/>
            <w:vAlign w:val="center"/>
          </w:tcPr>
          <w:p w14:paraId="3B6C2454" w14:textId="118387B3" w:rsidR="00D80DC7" w:rsidRPr="00F72F7D" w:rsidRDefault="00C803C6" w:rsidP="00D80DC7">
            <w:pPr>
              <w:jc w:val="center"/>
              <w:rPr>
                <w:color w:val="FF0000"/>
                <w:sz w:val="18"/>
                <w:szCs w:val="18"/>
              </w:rPr>
            </w:pPr>
            <w:r w:rsidRPr="00F72F7D">
              <w:rPr>
                <w:rFonts w:hint="eastAsia"/>
                <w:color w:val="FF0000"/>
                <w:sz w:val="18"/>
                <w:szCs w:val="18"/>
              </w:rPr>
              <w:t>章伟</w:t>
            </w:r>
          </w:p>
        </w:tc>
        <w:tc>
          <w:tcPr>
            <w:tcW w:w="2751" w:type="dxa"/>
          </w:tcPr>
          <w:p w14:paraId="3EBA82DB" w14:textId="2BD089B5" w:rsidR="00D80DC7" w:rsidRPr="00F72F7D" w:rsidRDefault="00101D26" w:rsidP="00D80DC7">
            <w:pPr>
              <w:rPr>
                <w:color w:val="FF0000"/>
                <w:sz w:val="18"/>
                <w:szCs w:val="18"/>
              </w:rPr>
            </w:pPr>
            <w:r w:rsidRPr="00F72F7D">
              <w:rPr>
                <w:rFonts w:hint="eastAsia"/>
                <w:color w:val="FF0000"/>
                <w:sz w:val="18"/>
                <w:szCs w:val="18"/>
              </w:rPr>
              <w:t>株洲钻石切削刀具股份有限公司</w:t>
            </w:r>
          </w:p>
        </w:tc>
        <w:tc>
          <w:tcPr>
            <w:tcW w:w="4038" w:type="dxa"/>
            <w:shd w:val="clear" w:color="auto" w:fill="auto"/>
            <w:vAlign w:val="center"/>
          </w:tcPr>
          <w:p w14:paraId="143AEB52" w14:textId="680B1222" w:rsidR="00D80DC7" w:rsidRPr="00F72F7D" w:rsidRDefault="00D80DC7" w:rsidP="00D80DC7">
            <w:pPr>
              <w:rPr>
                <w:color w:val="FF0000"/>
                <w:sz w:val="18"/>
                <w:szCs w:val="18"/>
              </w:rPr>
            </w:pPr>
            <w:r w:rsidRPr="00F72F7D">
              <w:rPr>
                <w:rFonts w:hint="eastAsia"/>
                <w:color w:val="FF0000"/>
                <w:sz w:val="18"/>
                <w:szCs w:val="18"/>
              </w:rPr>
              <w:t>负责调研、验证、标准起草</w:t>
            </w:r>
          </w:p>
        </w:tc>
      </w:tr>
      <w:tr w:rsidR="00801D45" w:rsidRPr="00F72F7D" w14:paraId="20460E9C" w14:textId="77777777" w:rsidTr="00101D26">
        <w:trPr>
          <w:trHeight w:val="340"/>
        </w:trPr>
        <w:tc>
          <w:tcPr>
            <w:tcW w:w="1487" w:type="dxa"/>
            <w:shd w:val="clear" w:color="auto" w:fill="auto"/>
            <w:vAlign w:val="center"/>
          </w:tcPr>
          <w:p w14:paraId="2132AAA8" w14:textId="1587A3CC" w:rsidR="00801D45" w:rsidRPr="00F72F7D" w:rsidRDefault="00801D45" w:rsidP="00801D45">
            <w:pPr>
              <w:jc w:val="center"/>
              <w:rPr>
                <w:color w:val="FF0000"/>
                <w:sz w:val="18"/>
                <w:szCs w:val="18"/>
              </w:rPr>
            </w:pPr>
            <w:r>
              <w:rPr>
                <w:rFonts w:hint="eastAsia"/>
                <w:color w:val="FF0000"/>
                <w:sz w:val="18"/>
                <w:szCs w:val="18"/>
              </w:rPr>
              <w:t>陈莹</w:t>
            </w:r>
          </w:p>
        </w:tc>
        <w:tc>
          <w:tcPr>
            <w:tcW w:w="2751" w:type="dxa"/>
          </w:tcPr>
          <w:p w14:paraId="2FC9B072" w14:textId="3BE102A1" w:rsidR="00801D45" w:rsidRPr="00F72F7D" w:rsidRDefault="00801D45" w:rsidP="00801D45">
            <w:pPr>
              <w:rPr>
                <w:color w:val="FF0000"/>
                <w:sz w:val="18"/>
                <w:szCs w:val="18"/>
              </w:rPr>
            </w:pPr>
            <w:r w:rsidRPr="00F72F7D">
              <w:rPr>
                <w:rFonts w:hint="eastAsia"/>
                <w:color w:val="FF0000"/>
                <w:sz w:val="18"/>
                <w:szCs w:val="18"/>
              </w:rPr>
              <w:t>株洲钻石切削刀具股份有限公司</w:t>
            </w:r>
          </w:p>
        </w:tc>
        <w:tc>
          <w:tcPr>
            <w:tcW w:w="4038" w:type="dxa"/>
            <w:shd w:val="clear" w:color="auto" w:fill="auto"/>
            <w:vAlign w:val="center"/>
          </w:tcPr>
          <w:p w14:paraId="6782CED7" w14:textId="2DFA91EA" w:rsidR="00801D45" w:rsidRPr="00F72F7D" w:rsidRDefault="00801D45" w:rsidP="00801D45">
            <w:pPr>
              <w:rPr>
                <w:color w:val="FF0000"/>
                <w:sz w:val="18"/>
                <w:szCs w:val="18"/>
              </w:rPr>
            </w:pPr>
            <w:r w:rsidRPr="00F72F7D">
              <w:rPr>
                <w:rFonts w:hint="eastAsia"/>
                <w:color w:val="FF0000"/>
                <w:sz w:val="18"/>
                <w:szCs w:val="18"/>
              </w:rPr>
              <w:t>负责标准审核、校对及协调工作</w:t>
            </w:r>
          </w:p>
        </w:tc>
      </w:tr>
      <w:tr w:rsidR="00801D45" w14:paraId="1D2B23AC" w14:textId="77777777" w:rsidTr="00101D26">
        <w:trPr>
          <w:trHeight w:val="340"/>
        </w:trPr>
        <w:tc>
          <w:tcPr>
            <w:tcW w:w="1487" w:type="dxa"/>
            <w:shd w:val="clear" w:color="auto" w:fill="auto"/>
            <w:vAlign w:val="center"/>
          </w:tcPr>
          <w:p w14:paraId="3AAB3DDB" w14:textId="6D91F04B" w:rsidR="00801D45" w:rsidRPr="00B6757E" w:rsidRDefault="00801D45" w:rsidP="00801D45">
            <w:pPr>
              <w:jc w:val="center"/>
              <w:rPr>
                <w:sz w:val="18"/>
                <w:szCs w:val="18"/>
              </w:rPr>
            </w:pPr>
          </w:p>
        </w:tc>
        <w:tc>
          <w:tcPr>
            <w:tcW w:w="2751" w:type="dxa"/>
          </w:tcPr>
          <w:p w14:paraId="5670C376" w14:textId="7BBF5A00" w:rsidR="00801D45" w:rsidRPr="00B6757E" w:rsidRDefault="00801D45" w:rsidP="00801D45">
            <w:pPr>
              <w:rPr>
                <w:sz w:val="18"/>
                <w:szCs w:val="18"/>
              </w:rPr>
            </w:pPr>
          </w:p>
        </w:tc>
        <w:tc>
          <w:tcPr>
            <w:tcW w:w="4038" w:type="dxa"/>
            <w:shd w:val="clear" w:color="auto" w:fill="auto"/>
            <w:vAlign w:val="center"/>
          </w:tcPr>
          <w:p w14:paraId="3F077BF4" w14:textId="40F8AA37" w:rsidR="00801D45" w:rsidRPr="00B6757E" w:rsidRDefault="00801D45" w:rsidP="00801D45">
            <w:pPr>
              <w:rPr>
                <w:sz w:val="18"/>
                <w:szCs w:val="18"/>
              </w:rPr>
            </w:pPr>
            <w:r>
              <w:rPr>
                <w:rFonts w:hint="eastAsia"/>
                <w:sz w:val="18"/>
                <w:szCs w:val="18"/>
              </w:rPr>
              <w:t>负责标准修订及校对</w:t>
            </w:r>
          </w:p>
        </w:tc>
      </w:tr>
      <w:tr w:rsidR="00801D45" w14:paraId="4217034D" w14:textId="77777777" w:rsidTr="00101D26">
        <w:trPr>
          <w:trHeight w:val="340"/>
        </w:trPr>
        <w:tc>
          <w:tcPr>
            <w:tcW w:w="1487" w:type="dxa"/>
            <w:shd w:val="clear" w:color="auto" w:fill="auto"/>
            <w:vAlign w:val="center"/>
          </w:tcPr>
          <w:p w14:paraId="1B0443C5" w14:textId="3694AFBC" w:rsidR="00801D45" w:rsidRPr="00B6757E" w:rsidRDefault="00801D45" w:rsidP="00801D45">
            <w:pPr>
              <w:jc w:val="center"/>
              <w:rPr>
                <w:sz w:val="18"/>
                <w:szCs w:val="18"/>
              </w:rPr>
            </w:pPr>
          </w:p>
        </w:tc>
        <w:tc>
          <w:tcPr>
            <w:tcW w:w="2751" w:type="dxa"/>
          </w:tcPr>
          <w:p w14:paraId="0DA89E95" w14:textId="76ECBCD7" w:rsidR="00801D45" w:rsidRPr="00B6757E" w:rsidRDefault="00801D45" w:rsidP="00801D45">
            <w:pPr>
              <w:rPr>
                <w:sz w:val="18"/>
                <w:szCs w:val="18"/>
              </w:rPr>
            </w:pPr>
          </w:p>
        </w:tc>
        <w:tc>
          <w:tcPr>
            <w:tcW w:w="4038" w:type="dxa"/>
            <w:shd w:val="clear" w:color="auto" w:fill="auto"/>
            <w:vAlign w:val="center"/>
          </w:tcPr>
          <w:p w14:paraId="18D86E95" w14:textId="05EDF975" w:rsidR="00801D45" w:rsidRPr="00B6757E" w:rsidRDefault="00801D45" w:rsidP="00801D45">
            <w:pPr>
              <w:rPr>
                <w:sz w:val="18"/>
                <w:szCs w:val="18"/>
              </w:rPr>
            </w:pPr>
            <w:r>
              <w:rPr>
                <w:rFonts w:hint="eastAsia"/>
                <w:sz w:val="18"/>
                <w:szCs w:val="18"/>
              </w:rPr>
              <w:t>负责标准修订及校对</w:t>
            </w:r>
          </w:p>
        </w:tc>
      </w:tr>
      <w:tr w:rsidR="00801D45" w14:paraId="1A233161" w14:textId="77777777" w:rsidTr="00101D26">
        <w:trPr>
          <w:trHeight w:val="340"/>
        </w:trPr>
        <w:tc>
          <w:tcPr>
            <w:tcW w:w="1487" w:type="dxa"/>
            <w:shd w:val="clear" w:color="auto" w:fill="auto"/>
            <w:vAlign w:val="center"/>
          </w:tcPr>
          <w:p w14:paraId="06907129" w14:textId="77777777" w:rsidR="00801D45" w:rsidRPr="00B6757E" w:rsidRDefault="00801D45" w:rsidP="00801D45">
            <w:pPr>
              <w:jc w:val="center"/>
              <w:rPr>
                <w:sz w:val="18"/>
                <w:szCs w:val="18"/>
              </w:rPr>
            </w:pPr>
          </w:p>
        </w:tc>
        <w:tc>
          <w:tcPr>
            <w:tcW w:w="2751" w:type="dxa"/>
          </w:tcPr>
          <w:p w14:paraId="6E51F5ED" w14:textId="77777777" w:rsidR="00801D45" w:rsidRPr="00B6757E" w:rsidRDefault="00801D45" w:rsidP="00801D45">
            <w:pPr>
              <w:rPr>
                <w:sz w:val="18"/>
                <w:szCs w:val="18"/>
              </w:rPr>
            </w:pPr>
          </w:p>
        </w:tc>
        <w:tc>
          <w:tcPr>
            <w:tcW w:w="4038" w:type="dxa"/>
            <w:shd w:val="clear" w:color="auto" w:fill="auto"/>
            <w:vAlign w:val="center"/>
          </w:tcPr>
          <w:p w14:paraId="5954829A" w14:textId="77777777" w:rsidR="00801D45" w:rsidRDefault="00801D45" w:rsidP="00801D45">
            <w:pPr>
              <w:rPr>
                <w:rFonts w:hint="eastAsia"/>
                <w:sz w:val="18"/>
                <w:szCs w:val="18"/>
              </w:rPr>
            </w:pPr>
          </w:p>
        </w:tc>
      </w:tr>
      <w:tr w:rsidR="00801D45" w14:paraId="756FEE0C" w14:textId="77777777" w:rsidTr="00101D26">
        <w:trPr>
          <w:trHeight w:val="340"/>
        </w:trPr>
        <w:tc>
          <w:tcPr>
            <w:tcW w:w="1487" w:type="dxa"/>
            <w:shd w:val="clear" w:color="auto" w:fill="auto"/>
            <w:vAlign w:val="center"/>
          </w:tcPr>
          <w:p w14:paraId="22155807" w14:textId="77777777" w:rsidR="00801D45" w:rsidRPr="00B6757E" w:rsidRDefault="00801D45" w:rsidP="00801D45">
            <w:pPr>
              <w:jc w:val="center"/>
              <w:rPr>
                <w:sz w:val="18"/>
                <w:szCs w:val="18"/>
              </w:rPr>
            </w:pPr>
          </w:p>
        </w:tc>
        <w:tc>
          <w:tcPr>
            <w:tcW w:w="2751" w:type="dxa"/>
          </w:tcPr>
          <w:p w14:paraId="27DEDA1D" w14:textId="77777777" w:rsidR="00801D45" w:rsidRPr="00B6757E" w:rsidRDefault="00801D45" w:rsidP="00801D45">
            <w:pPr>
              <w:rPr>
                <w:sz w:val="18"/>
                <w:szCs w:val="18"/>
              </w:rPr>
            </w:pPr>
          </w:p>
        </w:tc>
        <w:tc>
          <w:tcPr>
            <w:tcW w:w="4038" w:type="dxa"/>
            <w:shd w:val="clear" w:color="auto" w:fill="auto"/>
            <w:vAlign w:val="center"/>
          </w:tcPr>
          <w:p w14:paraId="2B624EA6" w14:textId="77777777" w:rsidR="00801D45" w:rsidRDefault="00801D45" w:rsidP="00801D45">
            <w:pPr>
              <w:rPr>
                <w:rFonts w:hint="eastAsia"/>
                <w:sz w:val="18"/>
                <w:szCs w:val="18"/>
              </w:rPr>
            </w:pPr>
          </w:p>
        </w:tc>
      </w:tr>
      <w:tr w:rsidR="00801D45" w14:paraId="7026D655" w14:textId="77777777" w:rsidTr="00101D26">
        <w:trPr>
          <w:trHeight w:val="340"/>
        </w:trPr>
        <w:tc>
          <w:tcPr>
            <w:tcW w:w="1487" w:type="dxa"/>
            <w:shd w:val="clear" w:color="auto" w:fill="auto"/>
            <w:vAlign w:val="center"/>
          </w:tcPr>
          <w:p w14:paraId="4CD800E7" w14:textId="77777777" w:rsidR="00801D45" w:rsidRPr="00B6757E" w:rsidRDefault="00801D45" w:rsidP="00801D45">
            <w:pPr>
              <w:jc w:val="center"/>
              <w:rPr>
                <w:sz w:val="18"/>
                <w:szCs w:val="18"/>
              </w:rPr>
            </w:pPr>
          </w:p>
        </w:tc>
        <w:tc>
          <w:tcPr>
            <w:tcW w:w="2751" w:type="dxa"/>
          </w:tcPr>
          <w:p w14:paraId="15A77909" w14:textId="77777777" w:rsidR="00801D45" w:rsidRPr="00B6757E" w:rsidRDefault="00801D45" w:rsidP="00801D45">
            <w:pPr>
              <w:rPr>
                <w:sz w:val="18"/>
                <w:szCs w:val="18"/>
              </w:rPr>
            </w:pPr>
          </w:p>
        </w:tc>
        <w:tc>
          <w:tcPr>
            <w:tcW w:w="4038" w:type="dxa"/>
            <w:shd w:val="clear" w:color="auto" w:fill="auto"/>
            <w:vAlign w:val="center"/>
          </w:tcPr>
          <w:p w14:paraId="54DAFCF3" w14:textId="77777777" w:rsidR="00801D45" w:rsidRDefault="00801D45" w:rsidP="00801D45">
            <w:pPr>
              <w:rPr>
                <w:rFonts w:hint="eastAsia"/>
                <w:sz w:val="18"/>
                <w:szCs w:val="18"/>
              </w:rPr>
            </w:pPr>
          </w:p>
        </w:tc>
      </w:tr>
    </w:tbl>
    <w:p w14:paraId="07E66B28" w14:textId="77777777" w:rsidR="00572271" w:rsidRPr="00572271" w:rsidRDefault="00572271" w:rsidP="00572271">
      <w:pPr>
        <w:widowControl/>
        <w:tabs>
          <w:tab w:val="left" w:pos="4455"/>
        </w:tabs>
        <w:spacing w:line="360" w:lineRule="auto"/>
        <w:ind w:firstLineChars="200" w:firstLine="480"/>
        <w:jc w:val="left"/>
        <w:rPr>
          <w:rFonts w:ascii="宋体" w:hAnsi="宋体" w:cs="宋体"/>
          <w:kern w:val="0"/>
          <w:sz w:val="24"/>
        </w:rPr>
      </w:pPr>
    </w:p>
    <w:p w14:paraId="2DA98A44" w14:textId="77777777" w:rsidR="00450151" w:rsidRPr="0077147C" w:rsidRDefault="00450151">
      <w:pPr>
        <w:spacing w:line="360" w:lineRule="auto"/>
        <w:rPr>
          <w:rFonts w:ascii="黑体" w:eastAsia="黑体"/>
          <w:sz w:val="24"/>
        </w:rPr>
      </w:pPr>
      <w:r w:rsidRPr="0077147C">
        <w:rPr>
          <w:rFonts w:ascii="黑体" w:eastAsia="黑体" w:hint="eastAsia"/>
          <w:sz w:val="24"/>
        </w:rPr>
        <w:t>1.3.2 主要工作过程</w:t>
      </w:r>
    </w:p>
    <w:p w14:paraId="5501A5D8" w14:textId="26ED01B3" w:rsidR="00D80DC7" w:rsidRPr="00A51D1B" w:rsidRDefault="00D80DC7" w:rsidP="00D80DC7">
      <w:pPr>
        <w:spacing w:line="360" w:lineRule="auto"/>
        <w:ind w:firstLineChars="200" w:firstLine="480"/>
        <w:rPr>
          <w:rFonts w:eastAsiaTheme="majorEastAsia"/>
          <w:sz w:val="24"/>
        </w:rPr>
      </w:pPr>
      <w:r w:rsidRPr="00D80DC7">
        <w:rPr>
          <w:rFonts w:eastAsiaTheme="majorEastAsia"/>
          <w:sz w:val="24"/>
        </w:rPr>
        <w:t>202</w:t>
      </w:r>
      <w:r w:rsidR="00A51D1B">
        <w:rPr>
          <w:rFonts w:eastAsiaTheme="majorEastAsia"/>
          <w:sz w:val="24"/>
        </w:rPr>
        <w:t>2</w:t>
      </w:r>
      <w:r w:rsidRPr="00D80DC7">
        <w:rPr>
          <w:rFonts w:eastAsiaTheme="majorEastAsia"/>
          <w:sz w:val="24"/>
        </w:rPr>
        <w:t>年</w:t>
      </w:r>
      <w:r w:rsidR="00A51D1B">
        <w:rPr>
          <w:rFonts w:eastAsiaTheme="majorEastAsia" w:hint="eastAsia"/>
          <w:sz w:val="24"/>
        </w:rPr>
        <w:t>5</w:t>
      </w:r>
      <w:r w:rsidRPr="00D80DC7">
        <w:rPr>
          <w:rFonts w:eastAsiaTheme="majorEastAsia"/>
          <w:sz w:val="24"/>
        </w:rPr>
        <w:t>月</w:t>
      </w:r>
      <w:r w:rsidR="00A51D1B">
        <w:rPr>
          <w:rFonts w:eastAsiaTheme="majorEastAsia" w:hint="eastAsia"/>
          <w:sz w:val="24"/>
        </w:rPr>
        <w:t>7</w:t>
      </w:r>
      <w:r w:rsidRPr="00D80DC7">
        <w:rPr>
          <w:rFonts w:eastAsiaTheme="majorEastAsia"/>
          <w:sz w:val="24"/>
        </w:rPr>
        <w:t>日，全国有色金属标准化技术委员会召开了有色标准工作会议，来自</w:t>
      </w:r>
      <w:r w:rsidR="00A51D1B">
        <w:rPr>
          <w:rFonts w:eastAsiaTheme="majorEastAsia" w:hint="eastAsia"/>
          <w:sz w:val="24"/>
        </w:rPr>
        <w:t>株洲钻石切削刀具股份有限公司</w:t>
      </w:r>
      <w:r w:rsidRPr="00D80DC7">
        <w:rPr>
          <w:rFonts w:eastAsiaTheme="majorEastAsia"/>
          <w:sz w:val="24"/>
        </w:rPr>
        <w:t>、</w:t>
      </w:r>
      <w:r w:rsidR="00A51D1B">
        <w:rPr>
          <w:rFonts w:eastAsiaTheme="majorEastAsia" w:hint="eastAsia"/>
          <w:sz w:val="24"/>
        </w:rPr>
        <w:t>株洲硬质合金集团有限公司、厦门金鹭合金有限公司、崇义</w:t>
      </w:r>
      <w:proofErr w:type="gramStart"/>
      <w:r w:rsidR="00A51D1B">
        <w:rPr>
          <w:rFonts w:eastAsiaTheme="majorEastAsia" w:hint="eastAsia"/>
          <w:sz w:val="24"/>
        </w:rPr>
        <w:t>章源钨业</w:t>
      </w:r>
      <w:proofErr w:type="gramEnd"/>
      <w:r w:rsidR="00A51D1B">
        <w:rPr>
          <w:rFonts w:eastAsiaTheme="majorEastAsia" w:hint="eastAsia"/>
          <w:sz w:val="24"/>
        </w:rPr>
        <w:t>有限公司、自贡硬质合金有限责任公司</w:t>
      </w:r>
      <w:r w:rsidRPr="00D80DC7">
        <w:rPr>
          <w:rFonts w:eastAsiaTheme="majorEastAsia"/>
          <w:sz w:val="24"/>
        </w:rPr>
        <w:t>等单位参加了会议，会议对</w:t>
      </w:r>
      <w:r w:rsidR="00A51D1B" w:rsidRPr="005C5B47">
        <w:rPr>
          <w:rFonts w:hint="eastAsia"/>
          <w:sz w:val="24"/>
        </w:rPr>
        <w:t>《硬质合金可转位刀片</w:t>
      </w:r>
      <w:r w:rsidR="00A51D1B" w:rsidRPr="005C5B47">
        <w:rPr>
          <w:rFonts w:hint="eastAsia"/>
          <w:sz w:val="24"/>
        </w:rPr>
        <w:t xml:space="preserve"> </w:t>
      </w:r>
      <w:r w:rsidR="00A51D1B" w:rsidRPr="005C5B47">
        <w:rPr>
          <w:rFonts w:hint="eastAsia"/>
          <w:sz w:val="24"/>
        </w:rPr>
        <w:t>圆角半径》</w:t>
      </w:r>
      <w:r w:rsidRPr="00D80DC7">
        <w:rPr>
          <w:rFonts w:eastAsiaTheme="majorEastAsia"/>
          <w:sz w:val="24"/>
        </w:rPr>
        <w:t>进行了任务落实。</w:t>
      </w:r>
    </w:p>
    <w:p w14:paraId="3B44355F" w14:textId="721DB850" w:rsidR="00D80DC7" w:rsidRPr="00D80DC7" w:rsidRDefault="00D80DC7" w:rsidP="00D80DC7">
      <w:pPr>
        <w:spacing w:line="360" w:lineRule="auto"/>
        <w:ind w:firstLineChars="200" w:firstLine="480"/>
        <w:rPr>
          <w:rFonts w:eastAsiaTheme="majorEastAsia"/>
          <w:sz w:val="24"/>
        </w:rPr>
      </w:pPr>
      <w:r w:rsidRPr="00D80DC7">
        <w:rPr>
          <w:rFonts w:eastAsiaTheme="majorEastAsia"/>
          <w:sz w:val="24"/>
        </w:rPr>
        <w:t>202</w:t>
      </w:r>
      <w:r w:rsidR="00A51D1B">
        <w:rPr>
          <w:rFonts w:eastAsiaTheme="majorEastAsia"/>
          <w:sz w:val="24"/>
        </w:rPr>
        <w:t>2</w:t>
      </w:r>
      <w:r w:rsidRPr="00D80DC7">
        <w:rPr>
          <w:rFonts w:eastAsiaTheme="majorEastAsia"/>
          <w:sz w:val="24"/>
        </w:rPr>
        <w:t>年</w:t>
      </w:r>
      <w:r w:rsidR="00A51D1B">
        <w:rPr>
          <w:rFonts w:eastAsiaTheme="majorEastAsia" w:hint="eastAsia"/>
          <w:sz w:val="24"/>
        </w:rPr>
        <w:t>5</w:t>
      </w:r>
      <w:r w:rsidRPr="00D80DC7">
        <w:rPr>
          <w:rFonts w:eastAsiaTheme="majorEastAsia"/>
          <w:sz w:val="24"/>
        </w:rPr>
        <w:t>月至</w:t>
      </w:r>
      <w:r w:rsidR="007D06B5">
        <w:rPr>
          <w:rFonts w:eastAsiaTheme="majorEastAsia" w:hint="eastAsia"/>
          <w:sz w:val="24"/>
        </w:rPr>
        <w:t>9</w:t>
      </w:r>
      <w:r w:rsidRPr="00D80DC7">
        <w:rPr>
          <w:rFonts w:eastAsiaTheme="majorEastAsia"/>
          <w:sz w:val="24"/>
        </w:rPr>
        <w:t>月，</w:t>
      </w:r>
      <w:r w:rsidR="007D06B5" w:rsidRPr="00D80DC7">
        <w:rPr>
          <w:rFonts w:eastAsiaTheme="majorEastAsia"/>
          <w:sz w:val="24"/>
        </w:rPr>
        <w:t xml:space="preserve"> </w:t>
      </w:r>
      <w:r w:rsidR="007D06B5">
        <w:rPr>
          <w:rFonts w:eastAsiaTheme="majorEastAsia" w:hint="eastAsia"/>
          <w:sz w:val="24"/>
        </w:rPr>
        <w:t>株洲钻石切削刀具股份有限公司</w:t>
      </w:r>
      <w:r w:rsidR="00801D45">
        <w:rPr>
          <w:rFonts w:eastAsiaTheme="majorEastAsia" w:hint="eastAsia"/>
          <w:sz w:val="24"/>
        </w:rPr>
        <w:t>组织标准修订任务参与单位</w:t>
      </w:r>
      <w:r w:rsidR="007D06B5">
        <w:rPr>
          <w:rFonts w:ascii="宋体" w:hAnsi="宋体" w:hint="eastAsia"/>
          <w:sz w:val="24"/>
        </w:rPr>
        <w:t>根据生产实际及当前市场情况组织</w:t>
      </w:r>
      <w:r w:rsidR="00801D45">
        <w:rPr>
          <w:rFonts w:ascii="宋体" w:hAnsi="宋体" w:hint="eastAsia"/>
          <w:sz w:val="24"/>
        </w:rPr>
        <w:t>各</w:t>
      </w:r>
      <w:r w:rsidR="007D06B5">
        <w:rPr>
          <w:rFonts w:ascii="宋体" w:hAnsi="宋体" w:hint="eastAsia"/>
          <w:sz w:val="24"/>
        </w:rPr>
        <w:t>公司生产、质控、营销等部门骨干、技术人员对此标准进行了重新审查及论证，作为本标准修订的依据。</w:t>
      </w:r>
    </w:p>
    <w:p w14:paraId="0AAA6359" w14:textId="77777777" w:rsidR="00450151" w:rsidRPr="0077147C" w:rsidRDefault="00450151">
      <w:pPr>
        <w:spacing w:line="360" w:lineRule="auto"/>
        <w:rPr>
          <w:rFonts w:eastAsia="黑体"/>
          <w:sz w:val="24"/>
        </w:rPr>
      </w:pPr>
      <w:r w:rsidRPr="0077147C">
        <w:rPr>
          <w:rFonts w:eastAsia="黑体" w:hint="eastAsia"/>
          <w:sz w:val="24"/>
        </w:rPr>
        <w:t>二、标准编制原则和确定标准主要内容的论据</w:t>
      </w:r>
    </w:p>
    <w:p w14:paraId="45B206CD" w14:textId="77777777" w:rsidR="00450151" w:rsidRPr="0077147C" w:rsidRDefault="00450151">
      <w:pPr>
        <w:spacing w:line="360" w:lineRule="auto"/>
        <w:rPr>
          <w:rFonts w:ascii="黑体" w:eastAsia="黑体" w:hAnsi="宋体"/>
          <w:sz w:val="24"/>
        </w:rPr>
      </w:pPr>
      <w:r w:rsidRPr="0077147C">
        <w:rPr>
          <w:rFonts w:ascii="黑体" w:eastAsia="黑体" w:hAnsi="宋体" w:hint="eastAsia"/>
          <w:sz w:val="24"/>
        </w:rPr>
        <w:t xml:space="preserve">2.1 </w:t>
      </w:r>
      <w:r w:rsidRPr="0077147C">
        <w:rPr>
          <w:rFonts w:ascii="黑体" w:eastAsia="黑体" w:hint="eastAsia"/>
          <w:sz w:val="24"/>
        </w:rPr>
        <w:t>标准编制原则</w:t>
      </w:r>
    </w:p>
    <w:p w14:paraId="59BBCC86" w14:textId="77777777" w:rsidR="00450151" w:rsidRPr="0077147C" w:rsidRDefault="00450151">
      <w:pPr>
        <w:spacing w:line="360" w:lineRule="auto"/>
        <w:rPr>
          <w:rFonts w:ascii="黑体" w:eastAsia="黑体" w:hAnsi="宋体"/>
          <w:sz w:val="24"/>
        </w:rPr>
      </w:pPr>
      <w:r w:rsidRPr="0077147C">
        <w:rPr>
          <w:rFonts w:ascii="黑体" w:eastAsia="黑体" w:hAnsi="宋体" w:hint="eastAsia"/>
          <w:sz w:val="24"/>
        </w:rPr>
        <w:t>2.1.1 符合性</w:t>
      </w:r>
    </w:p>
    <w:p w14:paraId="14A219A8" w14:textId="77777777" w:rsidR="00FE72DB" w:rsidRPr="0077147C" w:rsidRDefault="00FE72DB">
      <w:pPr>
        <w:spacing w:line="360" w:lineRule="auto"/>
        <w:ind w:firstLine="480"/>
        <w:rPr>
          <w:sz w:val="24"/>
        </w:rPr>
      </w:pPr>
      <w:r w:rsidRPr="0077147C">
        <w:rPr>
          <w:rFonts w:hint="eastAsia"/>
          <w:sz w:val="24"/>
        </w:rPr>
        <w:t>本文件严格按照</w:t>
      </w:r>
      <w:r w:rsidRPr="0077147C">
        <w:rPr>
          <w:rFonts w:hint="eastAsia"/>
          <w:sz w:val="24"/>
        </w:rPr>
        <w:t>GB/T 1.1-2020</w:t>
      </w:r>
      <w:r w:rsidRPr="0077147C">
        <w:rPr>
          <w:rFonts w:hint="eastAsia"/>
          <w:sz w:val="24"/>
        </w:rPr>
        <w:t>《标准化工作导则</w:t>
      </w:r>
      <w:r w:rsidRPr="0077147C">
        <w:rPr>
          <w:rFonts w:hint="eastAsia"/>
          <w:sz w:val="24"/>
        </w:rPr>
        <w:t xml:space="preserve"> </w:t>
      </w:r>
      <w:r w:rsidRPr="0077147C">
        <w:rPr>
          <w:rFonts w:hint="eastAsia"/>
          <w:sz w:val="24"/>
        </w:rPr>
        <w:t>第</w:t>
      </w:r>
      <w:r w:rsidRPr="0077147C">
        <w:rPr>
          <w:rFonts w:hint="eastAsia"/>
          <w:sz w:val="24"/>
        </w:rPr>
        <w:t>1</w:t>
      </w:r>
      <w:r w:rsidRPr="0077147C">
        <w:rPr>
          <w:rFonts w:hint="eastAsia"/>
          <w:sz w:val="24"/>
        </w:rPr>
        <w:t>部分：标准化文件的结构和起草规则》的要求进行编制。</w:t>
      </w:r>
    </w:p>
    <w:p w14:paraId="29BF07DE" w14:textId="77777777" w:rsidR="00FE72DB" w:rsidRPr="0077147C" w:rsidRDefault="00FE72DB" w:rsidP="00FE72DB">
      <w:pPr>
        <w:spacing w:line="360" w:lineRule="auto"/>
        <w:rPr>
          <w:rFonts w:ascii="黑体" w:eastAsia="黑体" w:hAnsi="黑体"/>
          <w:bCs/>
          <w:sz w:val="24"/>
        </w:rPr>
      </w:pPr>
      <w:r w:rsidRPr="0077147C">
        <w:rPr>
          <w:rFonts w:ascii="黑体" w:eastAsia="黑体" w:hAnsi="黑体" w:hint="eastAsia"/>
          <w:bCs/>
          <w:sz w:val="24"/>
        </w:rPr>
        <w:t>2.1.2 适用性</w:t>
      </w:r>
    </w:p>
    <w:p w14:paraId="209D8E37" w14:textId="0910860A" w:rsidR="00FE72DB" w:rsidRPr="0077147C" w:rsidRDefault="001C0686" w:rsidP="001A4CBE">
      <w:pPr>
        <w:spacing w:line="360" w:lineRule="auto"/>
        <w:ind w:firstLine="437"/>
        <w:rPr>
          <w:rFonts w:ascii="宋体" w:hAnsi="宋体"/>
          <w:sz w:val="24"/>
        </w:rPr>
      </w:pPr>
      <w:r>
        <w:rPr>
          <w:rFonts w:ascii="宋体" w:hAnsi="宋体" w:hint="eastAsia"/>
          <w:sz w:val="24"/>
        </w:rPr>
        <w:t>本标准</w:t>
      </w:r>
      <w:r>
        <w:rPr>
          <w:rFonts w:hint="eastAsia"/>
          <w:sz w:val="24"/>
        </w:rPr>
        <w:t>在参照国内同类产品生产技术水平的基础上，体现了国内</w:t>
      </w:r>
      <w:r w:rsidR="00F72F7D">
        <w:rPr>
          <w:rFonts w:hint="eastAsia"/>
          <w:sz w:val="24"/>
        </w:rPr>
        <w:t>可转位刀片生产及应用实际情况，</w:t>
      </w:r>
      <w:r w:rsidR="00F72F7D" w:rsidRPr="00F72F7D">
        <w:rPr>
          <w:rFonts w:hint="eastAsia"/>
          <w:sz w:val="24"/>
        </w:rPr>
        <w:t>修订后的标准符合当前国内各生产企业的技术需要</w:t>
      </w:r>
      <w:r w:rsidR="00F72F7D">
        <w:rPr>
          <w:rFonts w:hint="eastAsia"/>
          <w:sz w:val="24"/>
        </w:rPr>
        <w:t>，</w:t>
      </w:r>
      <w:r w:rsidR="00F72F7D">
        <w:rPr>
          <w:rFonts w:hint="eastAsia"/>
          <w:sz w:val="24"/>
        </w:rPr>
        <w:t>力争做到标准切实可行，具有可操作性，能够被应用单位普遍接受，</w:t>
      </w:r>
      <w:r w:rsidR="00F72F7D" w:rsidRPr="0077147C">
        <w:rPr>
          <w:rFonts w:hint="eastAsia"/>
          <w:sz w:val="24"/>
        </w:rPr>
        <w:t>使得本文件具有好的适用性</w:t>
      </w:r>
      <w:r w:rsidR="00FE72DB" w:rsidRPr="0077147C">
        <w:rPr>
          <w:rFonts w:hint="eastAsia"/>
          <w:sz w:val="24"/>
        </w:rPr>
        <w:t>。</w:t>
      </w:r>
    </w:p>
    <w:p w14:paraId="5765A128" w14:textId="77777777" w:rsidR="00450151" w:rsidRPr="0077147C" w:rsidRDefault="00450151">
      <w:pPr>
        <w:spacing w:line="360" w:lineRule="auto"/>
        <w:rPr>
          <w:rFonts w:ascii="黑体" w:eastAsia="黑体" w:hAnsi="宋体"/>
          <w:sz w:val="24"/>
        </w:rPr>
      </w:pPr>
      <w:r w:rsidRPr="0077147C">
        <w:rPr>
          <w:rFonts w:ascii="黑体" w:eastAsia="黑体" w:hint="eastAsia"/>
          <w:sz w:val="24"/>
        </w:rPr>
        <w:t>2.1.</w:t>
      </w:r>
      <w:r w:rsidR="00FE72DB" w:rsidRPr="0077147C">
        <w:rPr>
          <w:rFonts w:ascii="黑体" w:eastAsia="黑体" w:hint="eastAsia"/>
          <w:sz w:val="24"/>
        </w:rPr>
        <w:t>3</w:t>
      </w:r>
      <w:r w:rsidRPr="0077147C">
        <w:rPr>
          <w:rFonts w:ascii="黑体" w:eastAsia="黑体" w:hint="eastAsia"/>
          <w:sz w:val="24"/>
        </w:rPr>
        <w:t xml:space="preserve"> 先进性</w:t>
      </w:r>
    </w:p>
    <w:p w14:paraId="70E458D0" w14:textId="52958723" w:rsidR="001C0686" w:rsidRPr="0077147C" w:rsidRDefault="00F72F7D">
      <w:pPr>
        <w:spacing w:line="360" w:lineRule="auto"/>
        <w:ind w:firstLine="480"/>
        <w:rPr>
          <w:sz w:val="24"/>
        </w:rPr>
      </w:pPr>
      <w:r w:rsidRPr="00F72F7D">
        <w:rPr>
          <w:rFonts w:hint="eastAsia"/>
          <w:sz w:val="24"/>
        </w:rPr>
        <w:t>等同采用国外先进标准，有利于与国际先进水平接轨，对国内生产企业及相关行业的技术进步将产生积极的推动作用。</w:t>
      </w:r>
    </w:p>
    <w:p w14:paraId="0330293D" w14:textId="4A634FE0" w:rsidR="00450151" w:rsidRPr="0077147C" w:rsidRDefault="00450151">
      <w:pPr>
        <w:spacing w:line="360" w:lineRule="auto"/>
        <w:rPr>
          <w:rFonts w:ascii="黑体" w:eastAsia="黑体" w:hAnsi="宋体"/>
          <w:sz w:val="24"/>
        </w:rPr>
      </w:pPr>
      <w:r w:rsidRPr="0077147C">
        <w:rPr>
          <w:rFonts w:ascii="黑体" w:eastAsia="黑体" w:hAnsi="宋体" w:hint="eastAsia"/>
          <w:sz w:val="24"/>
        </w:rPr>
        <w:t>2.2确定标准主要内容</w:t>
      </w:r>
      <w:r w:rsidR="000F03BA">
        <w:rPr>
          <w:rFonts w:ascii="黑体" w:eastAsia="黑体" w:hAnsi="宋体" w:hint="eastAsia"/>
          <w:sz w:val="24"/>
        </w:rPr>
        <w:t>与</w:t>
      </w:r>
      <w:r w:rsidRPr="0077147C">
        <w:rPr>
          <w:rFonts w:ascii="黑体" w:eastAsia="黑体" w:hAnsi="宋体" w:hint="eastAsia"/>
          <w:sz w:val="24"/>
        </w:rPr>
        <w:t>论据</w:t>
      </w:r>
    </w:p>
    <w:p w14:paraId="69AABE6F" w14:textId="77777777" w:rsidR="00450151" w:rsidRPr="0077147C" w:rsidRDefault="00450151">
      <w:pPr>
        <w:spacing w:before="120" w:after="120" w:line="360" w:lineRule="auto"/>
        <w:jc w:val="left"/>
        <w:rPr>
          <w:rFonts w:ascii="黑体" w:eastAsia="黑体" w:hAnsi="宋体"/>
          <w:sz w:val="24"/>
        </w:rPr>
      </w:pPr>
      <w:r w:rsidRPr="0077147C">
        <w:rPr>
          <w:rFonts w:ascii="黑体" w:eastAsia="黑体" w:hAnsi="宋体" w:hint="eastAsia"/>
          <w:sz w:val="24"/>
        </w:rPr>
        <w:t>2.2.1 标准适用范围</w:t>
      </w:r>
    </w:p>
    <w:p w14:paraId="72297B31" w14:textId="7B0A43E7" w:rsidR="000F03BA" w:rsidRPr="000F03BA" w:rsidRDefault="000F03BA" w:rsidP="000F03BA">
      <w:pPr>
        <w:spacing w:line="360" w:lineRule="auto"/>
        <w:ind w:firstLine="437"/>
        <w:rPr>
          <w:rFonts w:hint="eastAsia"/>
          <w:sz w:val="24"/>
        </w:rPr>
      </w:pPr>
      <w:r w:rsidRPr="000F03BA">
        <w:rPr>
          <w:rFonts w:hint="eastAsia"/>
          <w:sz w:val="24"/>
        </w:rPr>
        <w:t>本文件规定了硬质合金可转位刀片圆角半径的数值。</w:t>
      </w:r>
    </w:p>
    <w:p w14:paraId="1D5E043C" w14:textId="3E5CF54E" w:rsidR="005A4390" w:rsidRPr="000F03BA" w:rsidRDefault="000F03BA" w:rsidP="000F03BA">
      <w:pPr>
        <w:spacing w:line="360" w:lineRule="auto"/>
        <w:ind w:firstLine="437"/>
        <w:rPr>
          <w:sz w:val="24"/>
        </w:rPr>
      </w:pPr>
      <w:r w:rsidRPr="000F03BA">
        <w:rPr>
          <w:rFonts w:hint="eastAsia"/>
          <w:sz w:val="24"/>
        </w:rPr>
        <w:t>本文件适用于具有圆角的单刃硬质合金可转位刀片的刀尖倒圆角。</w:t>
      </w:r>
    </w:p>
    <w:p w14:paraId="6368239C" w14:textId="77777777" w:rsidR="00F72F7D" w:rsidRPr="001F676E" w:rsidRDefault="00F72F7D" w:rsidP="005A4390">
      <w:pPr>
        <w:spacing w:line="360" w:lineRule="auto"/>
        <w:ind w:firstLine="437"/>
        <w:rPr>
          <w:rFonts w:hint="eastAsia"/>
          <w:sz w:val="24"/>
        </w:rPr>
      </w:pPr>
    </w:p>
    <w:p w14:paraId="3AD53FF3" w14:textId="77777777" w:rsidR="00450151" w:rsidRPr="0077147C" w:rsidRDefault="00450151" w:rsidP="005A4390">
      <w:pPr>
        <w:spacing w:before="120" w:after="120" w:line="360" w:lineRule="auto"/>
        <w:jc w:val="left"/>
        <w:rPr>
          <w:rFonts w:ascii="黑体" w:eastAsia="黑体" w:hAnsi="宋体"/>
          <w:sz w:val="24"/>
        </w:rPr>
      </w:pPr>
      <w:r w:rsidRPr="0077147C">
        <w:rPr>
          <w:rFonts w:ascii="黑体" w:eastAsia="黑体" w:hAnsi="宋体" w:hint="eastAsia"/>
          <w:sz w:val="24"/>
        </w:rPr>
        <w:t>2.2.2 规范性引用文件</w:t>
      </w:r>
    </w:p>
    <w:p w14:paraId="4D4CB40D" w14:textId="48C63C26" w:rsidR="008E3D9E" w:rsidRDefault="00450151" w:rsidP="000F03BA">
      <w:pPr>
        <w:spacing w:line="360" w:lineRule="auto"/>
        <w:ind w:firstLine="480"/>
        <w:rPr>
          <w:sz w:val="24"/>
        </w:rPr>
      </w:pPr>
      <w:r w:rsidRPr="0077147C">
        <w:rPr>
          <w:sz w:val="24"/>
        </w:rPr>
        <w:t>本</w:t>
      </w:r>
      <w:r w:rsidR="005A4390" w:rsidRPr="0077147C">
        <w:rPr>
          <w:rFonts w:hint="eastAsia"/>
          <w:sz w:val="24"/>
        </w:rPr>
        <w:t>文件</w:t>
      </w:r>
      <w:r w:rsidR="000F03BA">
        <w:rPr>
          <w:rFonts w:hint="eastAsia"/>
          <w:sz w:val="24"/>
        </w:rPr>
        <w:t>没有规范性</w:t>
      </w:r>
      <w:r w:rsidRPr="0077147C">
        <w:rPr>
          <w:sz w:val="24"/>
        </w:rPr>
        <w:t>引用文</w:t>
      </w:r>
    </w:p>
    <w:p w14:paraId="453CCE61" w14:textId="59FA0DC4" w:rsidR="000F03BA" w:rsidRDefault="000F03BA" w:rsidP="000F03BA">
      <w:pPr>
        <w:spacing w:line="360" w:lineRule="auto"/>
        <w:rPr>
          <w:rFonts w:ascii="黑体" w:eastAsia="黑体" w:hAnsi="宋体"/>
          <w:sz w:val="24"/>
        </w:rPr>
      </w:pPr>
      <w:r>
        <w:rPr>
          <w:sz w:val="24"/>
        </w:rPr>
        <w:t xml:space="preserve">2.2.3 </w:t>
      </w:r>
      <w:r w:rsidRPr="0077147C">
        <w:rPr>
          <w:rFonts w:ascii="黑体" w:eastAsia="黑体" w:hAnsi="宋体" w:hint="eastAsia"/>
          <w:sz w:val="24"/>
        </w:rPr>
        <w:t>标准</w:t>
      </w:r>
      <w:r>
        <w:rPr>
          <w:rFonts w:ascii="黑体" w:eastAsia="黑体" w:hAnsi="宋体" w:hint="eastAsia"/>
          <w:sz w:val="24"/>
        </w:rPr>
        <w:t>修订</w:t>
      </w:r>
      <w:r w:rsidRPr="0077147C">
        <w:rPr>
          <w:rFonts w:ascii="黑体" w:eastAsia="黑体" w:hAnsi="宋体" w:hint="eastAsia"/>
          <w:sz w:val="24"/>
        </w:rPr>
        <w:t>内容</w:t>
      </w:r>
      <w:r>
        <w:rPr>
          <w:rFonts w:ascii="黑体" w:eastAsia="黑体" w:hAnsi="宋体" w:hint="eastAsia"/>
          <w:sz w:val="24"/>
        </w:rPr>
        <w:t>与</w:t>
      </w:r>
      <w:r w:rsidRPr="0077147C">
        <w:rPr>
          <w:rFonts w:ascii="黑体" w:eastAsia="黑体" w:hAnsi="宋体" w:hint="eastAsia"/>
          <w:sz w:val="24"/>
        </w:rPr>
        <w:t>论据</w:t>
      </w:r>
    </w:p>
    <w:p w14:paraId="4DF30133"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本文件代替</w:t>
      </w:r>
      <w:r w:rsidRPr="00FA22A3">
        <w:rPr>
          <w:rFonts w:ascii="Times New Roman" w:hint="eastAsia"/>
          <w:sz w:val="24"/>
          <w:szCs w:val="24"/>
        </w:rPr>
        <w:t>GB/T 2077-1987</w:t>
      </w:r>
      <w:r w:rsidRPr="00FA22A3">
        <w:rPr>
          <w:rFonts w:ascii="Times New Roman" w:hint="eastAsia"/>
          <w:sz w:val="24"/>
          <w:szCs w:val="24"/>
        </w:rPr>
        <w:t>《硬质合金可转位刀片</w:t>
      </w:r>
      <w:r w:rsidRPr="00FA22A3">
        <w:rPr>
          <w:rFonts w:ascii="Times New Roman" w:hint="eastAsia"/>
          <w:sz w:val="24"/>
          <w:szCs w:val="24"/>
        </w:rPr>
        <w:t xml:space="preserve"> </w:t>
      </w:r>
      <w:r w:rsidRPr="00FA22A3">
        <w:rPr>
          <w:rFonts w:ascii="Times New Roman" w:hint="eastAsia"/>
          <w:sz w:val="24"/>
          <w:szCs w:val="24"/>
        </w:rPr>
        <w:t>圆角半径》。本文件与</w:t>
      </w:r>
      <w:r w:rsidRPr="00FA22A3">
        <w:rPr>
          <w:rFonts w:ascii="Times New Roman" w:hint="eastAsia"/>
          <w:sz w:val="24"/>
          <w:szCs w:val="24"/>
        </w:rPr>
        <w:t>GB/T 2077-1987</w:t>
      </w:r>
      <w:r w:rsidRPr="00FA22A3">
        <w:rPr>
          <w:rFonts w:ascii="Times New Roman" w:hint="eastAsia"/>
          <w:sz w:val="24"/>
          <w:szCs w:val="24"/>
        </w:rPr>
        <w:t>相比除结构调整和编辑性改动外，主要技术变化如下：</w:t>
      </w:r>
      <w:r w:rsidRPr="00FA22A3">
        <w:rPr>
          <w:rFonts w:ascii="Times New Roman" w:hint="eastAsia"/>
          <w:sz w:val="24"/>
          <w:szCs w:val="24"/>
        </w:rPr>
        <w:t xml:space="preserve"> </w:t>
      </w:r>
    </w:p>
    <w:p w14:paraId="7E81E8B3"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a</w:t>
      </w:r>
      <w:r w:rsidRPr="00FA22A3">
        <w:rPr>
          <w:rFonts w:ascii="Times New Roman" w:hint="eastAsia"/>
          <w:sz w:val="24"/>
          <w:szCs w:val="24"/>
        </w:rPr>
        <w:t>）</w:t>
      </w:r>
      <w:r w:rsidRPr="00FA22A3">
        <w:rPr>
          <w:rFonts w:ascii="Times New Roman" w:hint="eastAsia"/>
          <w:sz w:val="24"/>
          <w:szCs w:val="24"/>
        </w:rPr>
        <w:tab/>
      </w:r>
      <w:r w:rsidRPr="00FA22A3">
        <w:rPr>
          <w:rFonts w:ascii="Times New Roman" w:hint="eastAsia"/>
          <w:sz w:val="24"/>
          <w:szCs w:val="24"/>
        </w:rPr>
        <w:t>增加了文件的使用范围（见第</w:t>
      </w:r>
      <w:r w:rsidRPr="00FA22A3">
        <w:rPr>
          <w:rFonts w:ascii="Times New Roman" w:hint="eastAsia"/>
          <w:sz w:val="24"/>
          <w:szCs w:val="24"/>
        </w:rPr>
        <w:t>1</w:t>
      </w:r>
      <w:r w:rsidRPr="00FA22A3">
        <w:rPr>
          <w:rFonts w:ascii="Times New Roman" w:hint="eastAsia"/>
          <w:sz w:val="24"/>
          <w:szCs w:val="24"/>
        </w:rPr>
        <w:t>章）；</w:t>
      </w:r>
    </w:p>
    <w:p w14:paraId="58C91FCD"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b</w:t>
      </w:r>
      <w:r w:rsidRPr="00FA22A3">
        <w:rPr>
          <w:rFonts w:ascii="Times New Roman" w:hint="eastAsia"/>
          <w:sz w:val="24"/>
          <w:szCs w:val="24"/>
        </w:rPr>
        <w:t>）</w:t>
      </w:r>
      <w:r w:rsidRPr="00FA22A3">
        <w:rPr>
          <w:rFonts w:ascii="Times New Roman" w:hint="eastAsia"/>
          <w:sz w:val="24"/>
          <w:szCs w:val="24"/>
        </w:rPr>
        <w:tab/>
      </w:r>
      <w:r w:rsidRPr="00FA22A3">
        <w:rPr>
          <w:rFonts w:ascii="Times New Roman" w:hint="eastAsia"/>
          <w:sz w:val="24"/>
          <w:szCs w:val="24"/>
        </w:rPr>
        <w:t>将原标准中可转位刀片圆角半径补充分类，分别为车削刀片圆角半径、铣削刀片圆角半径、</w:t>
      </w:r>
      <w:proofErr w:type="gramStart"/>
      <w:r w:rsidRPr="00FA22A3">
        <w:rPr>
          <w:rFonts w:ascii="Times New Roman" w:hint="eastAsia"/>
          <w:sz w:val="24"/>
          <w:szCs w:val="24"/>
        </w:rPr>
        <w:t>钻削刀片</w:t>
      </w:r>
      <w:proofErr w:type="gramEnd"/>
      <w:r w:rsidRPr="00FA22A3">
        <w:rPr>
          <w:rFonts w:ascii="Times New Roman" w:hint="eastAsia"/>
          <w:sz w:val="24"/>
          <w:szCs w:val="24"/>
        </w:rPr>
        <w:t>圆角半径；</w:t>
      </w:r>
    </w:p>
    <w:p w14:paraId="36D5D038"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c</w:t>
      </w:r>
      <w:r w:rsidRPr="00FA22A3">
        <w:rPr>
          <w:rFonts w:ascii="Times New Roman" w:hint="eastAsia"/>
          <w:sz w:val="24"/>
          <w:szCs w:val="24"/>
        </w:rPr>
        <w:t>）</w:t>
      </w:r>
      <w:r w:rsidRPr="00FA22A3">
        <w:rPr>
          <w:rFonts w:ascii="Times New Roman" w:hint="eastAsia"/>
          <w:sz w:val="24"/>
          <w:szCs w:val="24"/>
        </w:rPr>
        <w:tab/>
      </w:r>
      <w:r w:rsidRPr="00FA22A3">
        <w:rPr>
          <w:rFonts w:ascii="Times New Roman" w:hint="eastAsia"/>
          <w:sz w:val="24"/>
          <w:szCs w:val="24"/>
        </w:rPr>
        <w:t>车削、铣削、</w:t>
      </w:r>
      <w:proofErr w:type="gramStart"/>
      <w:r w:rsidRPr="00FA22A3">
        <w:rPr>
          <w:rFonts w:ascii="Times New Roman" w:hint="eastAsia"/>
          <w:sz w:val="24"/>
          <w:szCs w:val="24"/>
        </w:rPr>
        <w:t>钻削刀片</w:t>
      </w:r>
      <w:proofErr w:type="gramEnd"/>
      <w:r w:rsidRPr="00FA22A3">
        <w:rPr>
          <w:rFonts w:ascii="Times New Roman" w:hint="eastAsia"/>
          <w:sz w:val="24"/>
          <w:szCs w:val="24"/>
        </w:rPr>
        <w:t>圆角半径修改了数值，将刀尖圆角半径“</w:t>
      </w:r>
      <w:r w:rsidRPr="00FA22A3">
        <w:rPr>
          <w:rFonts w:ascii="Times New Roman" w:hint="eastAsia"/>
          <w:sz w:val="24"/>
          <w:szCs w:val="24"/>
        </w:rPr>
        <w:t>2.4mm</w:t>
      </w:r>
      <w:r w:rsidRPr="00FA22A3">
        <w:rPr>
          <w:rFonts w:ascii="Times New Roman" w:hint="eastAsia"/>
          <w:sz w:val="24"/>
          <w:szCs w:val="24"/>
        </w:rPr>
        <w:t>”修改为“</w:t>
      </w:r>
      <w:r w:rsidRPr="00FA22A3">
        <w:rPr>
          <w:rFonts w:ascii="Times New Roman" w:hint="eastAsia"/>
          <w:sz w:val="24"/>
          <w:szCs w:val="24"/>
        </w:rPr>
        <w:t>2.5mm</w:t>
      </w:r>
      <w:r w:rsidRPr="00FA22A3">
        <w:rPr>
          <w:rFonts w:ascii="Times New Roman" w:hint="eastAsia"/>
          <w:sz w:val="24"/>
          <w:szCs w:val="24"/>
        </w:rPr>
        <w:t>”（见第</w:t>
      </w:r>
      <w:r w:rsidRPr="00FA22A3">
        <w:rPr>
          <w:rFonts w:ascii="Times New Roman" w:hint="eastAsia"/>
          <w:sz w:val="24"/>
          <w:szCs w:val="24"/>
        </w:rPr>
        <w:t>4</w:t>
      </w:r>
      <w:r w:rsidRPr="00FA22A3">
        <w:rPr>
          <w:rFonts w:ascii="Times New Roman" w:hint="eastAsia"/>
          <w:sz w:val="24"/>
          <w:szCs w:val="24"/>
        </w:rPr>
        <w:t>章</w:t>
      </w:r>
      <w:r w:rsidRPr="00FA22A3">
        <w:rPr>
          <w:rFonts w:ascii="Times New Roman" w:hint="eastAsia"/>
          <w:sz w:val="24"/>
          <w:szCs w:val="24"/>
        </w:rPr>
        <w:t>4.1</w:t>
      </w:r>
      <w:r w:rsidRPr="00FA22A3">
        <w:rPr>
          <w:rFonts w:ascii="Times New Roman" w:hint="eastAsia"/>
          <w:sz w:val="24"/>
          <w:szCs w:val="24"/>
        </w:rPr>
        <w:t>、</w:t>
      </w:r>
      <w:r w:rsidRPr="00FA22A3">
        <w:rPr>
          <w:rFonts w:ascii="Times New Roman" w:hint="eastAsia"/>
          <w:sz w:val="24"/>
          <w:szCs w:val="24"/>
        </w:rPr>
        <w:t>4.2</w:t>
      </w:r>
      <w:r w:rsidRPr="00FA22A3">
        <w:rPr>
          <w:rFonts w:ascii="Times New Roman" w:hint="eastAsia"/>
          <w:sz w:val="24"/>
          <w:szCs w:val="24"/>
        </w:rPr>
        <w:t>、</w:t>
      </w:r>
      <w:r w:rsidRPr="00FA22A3">
        <w:rPr>
          <w:rFonts w:ascii="Times New Roman" w:hint="eastAsia"/>
          <w:sz w:val="24"/>
          <w:szCs w:val="24"/>
        </w:rPr>
        <w:t>4.3</w:t>
      </w:r>
      <w:r w:rsidRPr="00FA22A3">
        <w:rPr>
          <w:rFonts w:ascii="Times New Roman" w:hint="eastAsia"/>
          <w:sz w:val="24"/>
          <w:szCs w:val="24"/>
        </w:rPr>
        <w:t>，</w:t>
      </w:r>
      <w:r w:rsidRPr="00FA22A3">
        <w:rPr>
          <w:rFonts w:ascii="Times New Roman" w:hint="eastAsia"/>
          <w:sz w:val="24"/>
          <w:szCs w:val="24"/>
        </w:rPr>
        <w:t>1987</w:t>
      </w:r>
      <w:r w:rsidRPr="00FA22A3">
        <w:rPr>
          <w:rFonts w:ascii="Times New Roman" w:hint="eastAsia"/>
          <w:sz w:val="24"/>
          <w:szCs w:val="24"/>
        </w:rPr>
        <w:t>年版的第</w:t>
      </w:r>
      <w:r w:rsidRPr="00FA22A3">
        <w:rPr>
          <w:rFonts w:ascii="Times New Roman" w:hint="eastAsia"/>
          <w:sz w:val="24"/>
          <w:szCs w:val="24"/>
        </w:rPr>
        <w:t>1</w:t>
      </w:r>
      <w:r w:rsidRPr="00FA22A3">
        <w:rPr>
          <w:rFonts w:ascii="Times New Roman" w:hint="eastAsia"/>
          <w:sz w:val="24"/>
          <w:szCs w:val="24"/>
        </w:rPr>
        <w:t>章）；</w:t>
      </w:r>
    </w:p>
    <w:p w14:paraId="43A1B887"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d</w:t>
      </w:r>
      <w:r w:rsidRPr="00FA22A3">
        <w:rPr>
          <w:rFonts w:ascii="Times New Roman" w:hint="eastAsia"/>
          <w:sz w:val="24"/>
          <w:szCs w:val="24"/>
        </w:rPr>
        <w:t>）</w:t>
      </w:r>
      <w:r w:rsidRPr="00FA22A3">
        <w:rPr>
          <w:rFonts w:ascii="Times New Roman" w:hint="eastAsia"/>
          <w:sz w:val="24"/>
          <w:szCs w:val="24"/>
        </w:rPr>
        <w:tab/>
      </w:r>
      <w:r w:rsidRPr="00FA22A3">
        <w:rPr>
          <w:rFonts w:ascii="Times New Roman" w:hint="eastAsia"/>
          <w:sz w:val="24"/>
          <w:szCs w:val="24"/>
        </w:rPr>
        <w:t>增加了圆形车刀片、铣刀片圆角半径为刀片直径，</w:t>
      </w:r>
      <w:r w:rsidRPr="00FA22A3">
        <w:rPr>
          <w:rFonts w:ascii="Times New Roman" w:hint="eastAsia"/>
          <w:sz w:val="24"/>
          <w:szCs w:val="24"/>
        </w:rPr>
        <w:t>4mm</w:t>
      </w:r>
      <w:r w:rsidRPr="00FA22A3">
        <w:rPr>
          <w:rFonts w:ascii="Times New Roman" w:hint="eastAsia"/>
          <w:sz w:val="24"/>
          <w:szCs w:val="24"/>
        </w:rPr>
        <w:t>、</w:t>
      </w:r>
      <w:r w:rsidRPr="00FA22A3">
        <w:rPr>
          <w:rFonts w:ascii="Times New Roman" w:hint="eastAsia"/>
          <w:sz w:val="24"/>
          <w:szCs w:val="24"/>
        </w:rPr>
        <w:t xml:space="preserve"> 8mm</w:t>
      </w:r>
      <w:r w:rsidRPr="00FA22A3">
        <w:rPr>
          <w:rFonts w:ascii="Times New Roman" w:hint="eastAsia"/>
          <w:sz w:val="24"/>
          <w:szCs w:val="24"/>
        </w:rPr>
        <w:t>、</w:t>
      </w:r>
      <w:r w:rsidRPr="00FA22A3">
        <w:rPr>
          <w:rFonts w:ascii="Times New Roman" w:hint="eastAsia"/>
          <w:sz w:val="24"/>
          <w:szCs w:val="24"/>
        </w:rPr>
        <w:t>10mm</w:t>
      </w:r>
      <w:r w:rsidRPr="00FA22A3">
        <w:rPr>
          <w:rFonts w:ascii="Times New Roman" w:hint="eastAsia"/>
          <w:sz w:val="24"/>
          <w:szCs w:val="24"/>
        </w:rPr>
        <w:t>、</w:t>
      </w:r>
      <w:r w:rsidRPr="00FA22A3">
        <w:rPr>
          <w:rFonts w:ascii="Times New Roman" w:hint="eastAsia"/>
          <w:sz w:val="24"/>
          <w:szCs w:val="24"/>
        </w:rPr>
        <w:t>12mm</w:t>
      </w:r>
      <w:r w:rsidRPr="00FA22A3">
        <w:rPr>
          <w:rFonts w:ascii="Times New Roman" w:hint="eastAsia"/>
          <w:sz w:val="24"/>
          <w:szCs w:val="24"/>
        </w:rPr>
        <w:t>、</w:t>
      </w:r>
      <w:r w:rsidRPr="00FA22A3">
        <w:rPr>
          <w:rFonts w:ascii="Times New Roman" w:hint="eastAsia"/>
          <w:sz w:val="24"/>
          <w:szCs w:val="24"/>
        </w:rPr>
        <w:t>16mm</w:t>
      </w:r>
      <w:r w:rsidRPr="00FA22A3">
        <w:rPr>
          <w:rFonts w:ascii="Times New Roman" w:hint="eastAsia"/>
          <w:sz w:val="24"/>
          <w:szCs w:val="24"/>
        </w:rPr>
        <w:t>、</w:t>
      </w:r>
      <w:r w:rsidRPr="00FA22A3">
        <w:rPr>
          <w:rFonts w:ascii="Times New Roman" w:hint="eastAsia"/>
          <w:sz w:val="24"/>
          <w:szCs w:val="24"/>
        </w:rPr>
        <w:t>20mm</w:t>
      </w:r>
      <w:r w:rsidRPr="00FA22A3">
        <w:rPr>
          <w:rFonts w:ascii="Times New Roman" w:hint="eastAsia"/>
          <w:sz w:val="24"/>
          <w:szCs w:val="24"/>
        </w:rPr>
        <w:t>、</w:t>
      </w:r>
      <w:r w:rsidRPr="00FA22A3">
        <w:rPr>
          <w:rFonts w:ascii="Times New Roman" w:hint="eastAsia"/>
          <w:sz w:val="24"/>
          <w:szCs w:val="24"/>
        </w:rPr>
        <w:t>25mm</w:t>
      </w:r>
      <w:r w:rsidRPr="00FA22A3">
        <w:rPr>
          <w:rFonts w:ascii="Times New Roman" w:hint="eastAsia"/>
          <w:sz w:val="24"/>
          <w:szCs w:val="24"/>
        </w:rPr>
        <w:t>、</w:t>
      </w:r>
      <w:r w:rsidRPr="00FA22A3">
        <w:rPr>
          <w:rFonts w:ascii="Times New Roman" w:hint="eastAsia"/>
          <w:sz w:val="24"/>
          <w:szCs w:val="24"/>
        </w:rPr>
        <w:t>32mm</w:t>
      </w:r>
      <w:r w:rsidRPr="00FA22A3">
        <w:rPr>
          <w:rFonts w:ascii="Times New Roman" w:hint="eastAsia"/>
          <w:sz w:val="24"/>
          <w:szCs w:val="24"/>
        </w:rPr>
        <w:t>（见第</w:t>
      </w:r>
      <w:r w:rsidRPr="00FA22A3">
        <w:rPr>
          <w:rFonts w:ascii="Times New Roman" w:hint="eastAsia"/>
          <w:sz w:val="24"/>
          <w:szCs w:val="24"/>
        </w:rPr>
        <w:t>4</w:t>
      </w:r>
      <w:r w:rsidRPr="00FA22A3">
        <w:rPr>
          <w:rFonts w:ascii="Times New Roman" w:hint="eastAsia"/>
          <w:sz w:val="24"/>
          <w:szCs w:val="24"/>
        </w:rPr>
        <w:t>章</w:t>
      </w:r>
      <w:r w:rsidRPr="00FA22A3">
        <w:rPr>
          <w:rFonts w:ascii="Times New Roman" w:hint="eastAsia"/>
          <w:sz w:val="24"/>
          <w:szCs w:val="24"/>
        </w:rPr>
        <w:t>4.1</w:t>
      </w:r>
      <w:r w:rsidRPr="00FA22A3">
        <w:rPr>
          <w:rFonts w:ascii="Times New Roman" w:hint="eastAsia"/>
          <w:sz w:val="24"/>
          <w:szCs w:val="24"/>
        </w:rPr>
        <w:t>、</w:t>
      </w:r>
      <w:r w:rsidRPr="00FA22A3">
        <w:rPr>
          <w:rFonts w:ascii="Times New Roman" w:hint="eastAsia"/>
          <w:sz w:val="24"/>
          <w:szCs w:val="24"/>
        </w:rPr>
        <w:t>4.2</w:t>
      </w:r>
      <w:r w:rsidRPr="00FA22A3">
        <w:rPr>
          <w:rFonts w:ascii="Times New Roman" w:hint="eastAsia"/>
          <w:sz w:val="24"/>
          <w:szCs w:val="24"/>
        </w:rPr>
        <w:t>）；</w:t>
      </w:r>
    </w:p>
    <w:p w14:paraId="2E30F81F"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e</w:t>
      </w:r>
      <w:r w:rsidRPr="00FA22A3">
        <w:rPr>
          <w:rFonts w:ascii="Times New Roman" w:hint="eastAsia"/>
          <w:sz w:val="24"/>
          <w:szCs w:val="24"/>
        </w:rPr>
        <w:t>）</w:t>
      </w:r>
      <w:r w:rsidRPr="00FA22A3">
        <w:rPr>
          <w:rFonts w:ascii="Times New Roman" w:hint="eastAsia"/>
          <w:sz w:val="24"/>
          <w:szCs w:val="24"/>
        </w:rPr>
        <w:tab/>
      </w:r>
      <w:r w:rsidRPr="00FA22A3">
        <w:rPr>
          <w:rFonts w:ascii="Times New Roman" w:hint="eastAsia"/>
          <w:sz w:val="24"/>
          <w:szCs w:val="24"/>
        </w:rPr>
        <w:t>增加了特殊用途圆形车削、铣削刀片的圆角半径为刀片直径</w:t>
      </w:r>
      <w:r w:rsidRPr="00FA22A3">
        <w:rPr>
          <w:rFonts w:ascii="Times New Roman" w:hint="eastAsia"/>
          <w:sz w:val="24"/>
          <w:szCs w:val="24"/>
        </w:rPr>
        <w:t>5mm</w:t>
      </w:r>
      <w:r w:rsidRPr="00FA22A3">
        <w:rPr>
          <w:rFonts w:ascii="Times New Roman" w:hint="eastAsia"/>
          <w:sz w:val="24"/>
          <w:szCs w:val="24"/>
        </w:rPr>
        <w:t>、</w:t>
      </w:r>
      <w:r w:rsidRPr="00FA22A3">
        <w:rPr>
          <w:rFonts w:ascii="Times New Roman" w:hint="eastAsia"/>
          <w:sz w:val="24"/>
          <w:szCs w:val="24"/>
        </w:rPr>
        <w:t>6mm</w:t>
      </w:r>
      <w:r w:rsidRPr="00FA22A3">
        <w:rPr>
          <w:rFonts w:ascii="Times New Roman" w:hint="eastAsia"/>
          <w:sz w:val="24"/>
          <w:szCs w:val="24"/>
        </w:rPr>
        <w:t>、</w:t>
      </w:r>
      <w:r w:rsidRPr="00FA22A3">
        <w:rPr>
          <w:rFonts w:ascii="Times New Roman" w:hint="eastAsia"/>
          <w:sz w:val="24"/>
          <w:szCs w:val="24"/>
        </w:rPr>
        <w:t xml:space="preserve">7mm </w:t>
      </w:r>
      <w:r w:rsidRPr="00FA22A3">
        <w:rPr>
          <w:rFonts w:ascii="Times New Roman" w:hint="eastAsia"/>
          <w:sz w:val="24"/>
          <w:szCs w:val="24"/>
        </w:rPr>
        <w:t>、</w:t>
      </w:r>
      <w:r w:rsidRPr="00FA22A3">
        <w:rPr>
          <w:rFonts w:ascii="Times New Roman" w:hint="eastAsia"/>
          <w:sz w:val="24"/>
          <w:szCs w:val="24"/>
        </w:rPr>
        <w:t>9mm</w:t>
      </w:r>
      <w:r w:rsidRPr="00FA22A3">
        <w:rPr>
          <w:rFonts w:ascii="Times New Roman" w:hint="eastAsia"/>
          <w:sz w:val="24"/>
          <w:szCs w:val="24"/>
        </w:rPr>
        <w:t>、</w:t>
      </w:r>
      <w:r w:rsidRPr="00FA22A3">
        <w:rPr>
          <w:rFonts w:ascii="Times New Roman" w:hint="eastAsia"/>
          <w:sz w:val="24"/>
          <w:szCs w:val="24"/>
        </w:rPr>
        <w:t>15mm</w:t>
      </w:r>
      <w:r w:rsidRPr="00FA22A3">
        <w:rPr>
          <w:rFonts w:ascii="Times New Roman" w:hint="eastAsia"/>
          <w:sz w:val="24"/>
          <w:szCs w:val="24"/>
        </w:rPr>
        <w:t>、</w:t>
      </w:r>
      <w:r w:rsidRPr="00FA22A3">
        <w:rPr>
          <w:rFonts w:ascii="Times New Roman" w:hint="eastAsia"/>
          <w:sz w:val="24"/>
          <w:szCs w:val="24"/>
        </w:rPr>
        <w:t>19mm</w:t>
      </w:r>
      <w:r w:rsidRPr="00FA22A3">
        <w:rPr>
          <w:rFonts w:ascii="Times New Roman" w:hint="eastAsia"/>
          <w:sz w:val="24"/>
          <w:szCs w:val="24"/>
        </w:rPr>
        <w:t>（见第</w:t>
      </w:r>
      <w:r w:rsidRPr="00FA22A3">
        <w:rPr>
          <w:rFonts w:ascii="Times New Roman" w:hint="eastAsia"/>
          <w:sz w:val="24"/>
          <w:szCs w:val="24"/>
        </w:rPr>
        <w:t>4</w:t>
      </w:r>
      <w:r w:rsidRPr="00FA22A3">
        <w:rPr>
          <w:rFonts w:ascii="Times New Roman" w:hint="eastAsia"/>
          <w:sz w:val="24"/>
          <w:szCs w:val="24"/>
        </w:rPr>
        <w:t>章</w:t>
      </w:r>
      <w:r w:rsidRPr="00FA22A3">
        <w:rPr>
          <w:rFonts w:ascii="Times New Roman" w:hint="eastAsia"/>
          <w:sz w:val="24"/>
          <w:szCs w:val="24"/>
        </w:rPr>
        <w:t>4.1</w:t>
      </w:r>
      <w:r w:rsidRPr="00FA22A3">
        <w:rPr>
          <w:rFonts w:ascii="Times New Roman" w:hint="eastAsia"/>
          <w:sz w:val="24"/>
          <w:szCs w:val="24"/>
        </w:rPr>
        <w:t>、</w:t>
      </w:r>
      <w:r w:rsidRPr="00FA22A3">
        <w:rPr>
          <w:rFonts w:ascii="Times New Roman" w:hint="eastAsia"/>
          <w:sz w:val="24"/>
          <w:szCs w:val="24"/>
        </w:rPr>
        <w:t>4.2</w:t>
      </w:r>
      <w:r w:rsidRPr="00FA22A3">
        <w:rPr>
          <w:rFonts w:ascii="Times New Roman" w:hint="eastAsia"/>
          <w:sz w:val="24"/>
          <w:szCs w:val="24"/>
        </w:rPr>
        <w:t>）；</w:t>
      </w:r>
    </w:p>
    <w:p w14:paraId="27AB9860"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f</w:t>
      </w:r>
      <w:r w:rsidRPr="00FA22A3">
        <w:rPr>
          <w:rFonts w:ascii="Times New Roman" w:hint="eastAsia"/>
          <w:sz w:val="24"/>
          <w:szCs w:val="24"/>
        </w:rPr>
        <w:t>）</w:t>
      </w:r>
      <w:r w:rsidRPr="00FA22A3">
        <w:rPr>
          <w:rFonts w:ascii="Times New Roman" w:hint="eastAsia"/>
          <w:sz w:val="24"/>
          <w:szCs w:val="24"/>
        </w:rPr>
        <w:tab/>
      </w:r>
      <w:r w:rsidRPr="00FA22A3">
        <w:rPr>
          <w:rFonts w:ascii="Times New Roman" w:hint="eastAsia"/>
          <w:sz w:val="24"/>
          <w:szCs w:val="24"/>
        </w:rPr>
        <w:t>增加了特殊用途铣刀片的圆角半径</w:t>
      </w:r>
      <w:r w:rsidRPr="00FA22A3">
        <w:rPr>
          <w:rFonts w:ascii="Times New Roman" w:hint="eastAsia"/>
          <w:sz w:val="24"/>
          <w:szCs w:val="24"/>
        </w:rPr>
        <w:t>0.6mm</w:t>
      </w:r>
      <w:r w:rsidRPr="00FA22A3">
        <w:rPr>
          <w:rFonts w:ascii="Times New Roman" w:hint="eastAsia"/>
          <w:sz w:val="24"/>
          <w:szCs w:val="24"/>
        </w:rPr>
        <w:t>、</w:t>
      </w:r>
      <w:r w:rsidRPr="00FA22A3">
        <w:rPr>
          <w:rFonts w:ascii="Times New Roman" w:hint="eastAsia"/>
          <w:sz w:val="24"/>
          <w:szCs w:val="24"/>
        </w:rPr>
        <w:t>1.0mm</w:t>
      </w:r>
      <w:r w:rsidRPr="00FA22A3">
        <w:rPr>
          <w:rFonts w:ascii="Times New Roman" w:hint="eastAsia"/>
          <w:sz w:val="24"/>
          <w:szCs w:val="24"/>
        </w:rPr>
        <w:t>、</w:t>
      </w:r>
      <w:r w:rsidRPr="00FA22A3">
        <w:rPr>
          <w:rFonts w:ascii="Times New Roman" w:hint="eastAsia"/>
          <w:sz w:val="24"/>
          <w:szCs w:val="24"/>
        </w:rPr>
        <w:t>1.5mm</w:t>
      </w:r>
      <w:r w:rsidRPr="00FA22A3">
        <w:rPr>
          <w:rFonts w:ascii="Times New Roman" w:hint="eastAsia"/>
          <w:sz w:val="24"/>
          <w:szCs w:val="24"/>
        </w:rPr>
        <w:t>、</w:t>
      </w:r>
      <w:r w:rsidRPr="00FA22A3">
        <w:rPr>
          <w:rFonts w:ascii="Times New Roman" w:hint="eastAsia"/>
          <w:sz w:val="24"/>
          <w:szCs w:val="24"/>
        </w:rPr>
        <w:t>3.0mm</w:t>
      </w:r>
      <w:r w:rsidRPr="00FA22A3">
        <w:rPr>
          <w:rFonts w:ascii="Times New Roman" w:hint="eastAsia"/>
          <w:sz w:val="24"/>
          <w:szCs w:val="24"/>
        </w:rPr>
        <w:t>和</w:t>
      </w:r>
      <w:r w:rsidRPr="00FA22A3">
        <w:rPr>
          <w:rFonts w:ascii="Times New Roman" w:hint="eastAsia"/>
          <w:sz w:val="24"/>
          <w:szCs w:val="24"/>
        </w:rPr>
        <w:t>4.0mm</w:t>
      </w:r>
      <w:r w:rsidRPr="00FA22A3">
        <w:rPr>
          <w:rFonts w:ascii="Times New Roman" w:hint="eastAsia"/>
          <w:sz w:val="24"/>
          <w:szCs w:val="24"/>
        </w:rPr>
        <w:t>（见第</w:t>
      </w:r>
      <w:r w:rsidRPr="00FA22A3">
        <w:rPr>
          <w:rFonts w:ascii="Times New Roman" w:hint="eastAsia"/>
          <w:sz w:val="24"/>
          <w:szCs w:val="24"/>
        </w:rPr>
        <w:t>4</w:t>
      </w:r>
      <w:r w:rsidRPr="00FA22A3">
        <w:rPr>
          <w:rFonts w:ascii="Times New Roman" w:hint="eastAsia"/>
          <w:sz w:val="24"/>
          <w:szCs w:val="24"/>
        </w:rPr>
        <w:t>章</w:t>
      </w:r>
      <w:r w:rsidRPr="00FA22A3">
        <w:rPr>
          <w:rFonts w:ascii="Times New Roman" w:hint="eastAsia"/>
          <w:sz w:val="24"/>
          <w:szCs w:val="24"/>
        </w:rPr>
        <w:t>4.2</w:t>
      </w:r>
      <w:r w:rsidRPr="00FA22A3">
        <w:rPr>
          <w:rFonts w:ascii="Times New Roman" w:hint="eastAsia"/>
          <w:sz w:val="24"/>
          <w:szCs w:val="24"/>
        </w:rPr>
        <w:t>）；</w:t>
      </w:r>
    </w:p>
    <w:p w14:paraId="7D016FEA"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g</w:t>
      </w:r>
      <w:r w:rsidRPr="00FA22A3">
        <w:rPr>
          <w:rFonts w:ascii="Times New Roman" w:hint="eastAsia"/>
          <w:sz w:val="24"/>
          <w:szCs w:val="24"/>
        </w:rPr>
        <w:t>）</w:t>
      </w:r>
      <w:r w:rsidRPr="00FA22A3">
        <w:rPr>
          <w:rFonts w:ascii="Times New Roman" w:hint="eastAsia"/>
          <w:sz w:val="24"/>
          <w:szCs w:val="24"/>
        </w:rPr>
        <w:tab/>
      </w:r>
      <w:r w:rsidRPr="00FA22A3">
        <w:rPr>
          <w:rFonts w:ascii="Times New Roman" w:hint="eastAsia"/>
          <w:sz w:val="24"/>
          <w:szCs w:val="24"/>
        </w:rPr>
        <w:t>增加了附录</w:t>
      </w:r>
      <w:r w:rsidRPr="00FA22A3">
        <w:rPr>
          <w:rFonts w:ascii="Times New Roman" w:hint="eastAsia"/>
          <w:sz w:val="24"/>
          <w:szCs w:val="24"/>
        </w:rPr>
        <w:t>A</w:t>
      </w:r>
      <w:r w:rsidRPr="00FA22A3">
        <w:rPr>
          <w:rFonts w:ascii="Times New Roman" w:hint="eastAsia"/>
          <w:sz w:val="24"/>
          <w:szCs w:val="24"/>
        </w:rPr>
        <w:t>（见附录</w:t>
      </w:r>
      <w:r w:rsidRPr="00FA22A3">
        <w:rPr>
          <w:rFonts w:ascii="Times New Roman" w:hint="eastAsia"/>
          <w:sz w:val="24"/>
          <w:szCs w:val="24"/>
        </w:rPr>
        <w:t>A</w:t>
      </w:r>
      <w:r w:rsidRPr="00FA22A3">
        <w:rPr>
          <w:rFonts w:ascii="Times New Roman" w:hint="eastAsia"/>
          <w:sz w:val="24"/>
          <w:szCs w:val="24"/>
        </w:rPr>
        <w:t>）；</w:t>
      </w:r>
    </w:p>
    <w:p w14:paraId="3B2F6A6E"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h</w:t>
      </w:r>
      <w:r w:rsidRPr="00FA22A3">
        <w:rPr>
          <w:rFonts w:ascii="Times New Roman" w:hint="eastAsia"/>
          <w:sz w:val="24"/>
          <w:szCs w:val="24"/>
        </w:rPr>
        <w:t>）</w:t>
      </w:r>
      <w:r w:rsidRPr="00FA22A3">
        <w:rPr>
          <w:rFonts w:ascii="Times New Roman" w:hint="eastAsia"/>
          <w:sz w:val="24"/>
          <w:szCs w:val="24"/>
        </w:rPr>
        <w:tab/>
      </w:r>
      <w:r w:rsidRPr="00FA22A3">
        <w:rPr>
          <w:rFonts w:ascii="Times New Roman" w:hint="eastAsia"/>
          <w:sz w:val="24"/>
          <w:szCs w:val="24"/>
        </w:rPr>
        <w:t>增加了“参考文献”。</w:t>
      </w:r>
    </w:p>
    <w:p w14:paraId="2512D2B5"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本文件使用翻译法修改采用</w:t>
      </w:r>
      <w:r w:rsidRPr="00FA22A3">
        <w:rPr>
          <w:rFonts w:ascii="Times New Roman" w:hint="eastAsia"/>
          <w:sz w:val="24"/>
          <w:szCs w:val="24"/>
        </w:rPr>
        <w:t>ISO 3286</w:t>
      </w:r>
      <w:r w:rsidRPr="00FA22A3">
        <w:rPr>
          <w:rFonts w:ascii="Times New Roman" w:hint="eastAsia"/>
          <w:sz w:val="24"/>
          <w:szCs w:val="24"/>
        </w:rPr>
        <w:t>：</w:t>
      </w:r>
      <w:r w:rsidRPr="00FA22A3">
        <w:rPr>
          <w:rFonts w:ascii="Times New Roman" w:hint="eastAsia"/>
          <w:sz w:val="24"/>
          <w:szCs w:val="24"/>
        </w:rPr>
        <w:t>2016</w:t>
      </w:r>
      <w:r w:rsidRPr="00FA22A3">
        <w:rPr>
          <w:rFonts w:ascii="Times New Roman" w:hint="eastAsia"/>
          <w:sz w:val="24"/>
          <w:szCs w:val="24"/>
        </w:rPr>
        <w:t>《单刃刀具的刀尖圆弧半径》。本文件与</w:t>
      </w:r>
      <w:r w:rsidRPr="00FA22A3">
        <w:rPr>
          <w:rFonts w:ascii="Times New Roman" w:hint="eastAsia"/>
          <w:sz w:val="24"/>
          <w:szCs w:val="24"/>
        </w:rPr>
        <w:t>ISO 3286</w:t>
      </w:r>
      <w:r w:rsidRPr="00FA22A3">
        <w:rPr>
          <w:rFonts w:ascii="Times New Roman" w:hint="eastAsia"/>
          <w:sz w:val="24"/>
          <w:szCs w:val="24"/>
        </w:rPr>
        <w:t>：</w:t>
      </w:r>
      <w:r w:rsidRPr="00FA22A3">
        <w:rPr>
          <w:rFonts w:ascii="Times New Roman" w:hint="eastAsia"/>
          <w:sz w:val="24"/>
          <w:szCs w:val="24"/>
        </w:rPr>
        <w:t>2016</w:t>
      </w:r>
      <w:r w:rsidRPr="00FA22A3">
        <w:rPr>
          <w:rFonts w:ascii="Times New Roman" w:hint="eastAsia"/>
          <w:sz w:val="24"/>
          <w:szCs w:val="24"/>
        </w:rPr>
        <w:t>相比除结构调整和编辑性改动外，主要技术变化如下：</w:t>
      </w:r>
    </w:p>
    <w:p w14:paraId="5E2A2DF0" w14:textId="77777777" w:rsidR="00FA22A3" w:rsidRPr="00FA22A3" w:rsidRDefault="00FA22A3" w:rsidP="00FA22A3">
      <w:pPr>
        <w:pStyle w:val="ab"/>
        <w:spacing w:before="156" w:after="156"/>
        <w:ind w:firstLine="480"/>
        <w:rPr>
          <w:rFonts w:ascii="Times New Roman" w:hint="eastAsia"/>
          <w:sz w:val="24"/>
          <w:szCs w:val="24"/>
        </w:rPr>
      </w:pPr>
      <w:r w:rsidRPr="00FA22A3">
        <w:rPr>
          <w:rFonts w:ascii="Times New Roman" w:hint="eastAsia"/>
          <w:sz w:val="24"/>
          <w:szCs w:val="24"/>
        </w:rPr>
        <w:t>──删除了国际标准前言；</w:t>
      </w:r>
    </w:p>
    <w:p w14:paraId="7A841906" w14:textId="68D3F232" w:rsidR="00FA22A3" w:rsidRDefault="00FA22A3" w:rsidP="00FA22A3">
      <w:pPr>
        <w:pStyle w:val="ab"/>
        <w:spacing w:before="156" w:after="156"/>
        <w:ind w:firstLine="480"/>
        <w:rPr>
          <w:rFonts w:ascii="Times New Roman"/>
          <w:sz w:val="24"/>
          <w:szCs w:val="24"/>
        </w:rPr>
      </w:pPr>
      <w:r w:rsidRPr="00FA22A3">
        <w:rPr>
          <w:rFonts w:ascii="Times New Roman" w:hint="eastAsia"/>
          <w:sz w:val="24"/>
          <w:szCs w:val="24"/>
        </w:rPr>
        <w:t>──删除了国际标准中刀尖圆弧半径的英制尺寸系列。</w:t>
      </w:r>
    </w:p>
    <w:p w14:paraId="518271C5" w14:textId="77777777" w:rsidR="00FA22A3" w:rsidRDefault="00FA22A3" w:rsidP="00FA22A3">
      <w:pPr>
        <w:pStyle w:val="ab"/>
        <w:spacing w:before="156" w:after="156"/>
        <w:ind w:firstLineChars="0" w:firstLine="0"/>
        <w:rPr>
          <w:rFonts w:ascii="黑体" w:eastAsia="黑体"/>
          <w:sz w:val="24"/>
        </w:rPr>
      </w:pPr>
    </w:p>
    <w:p w14:paraId="25FF4933" w14:textId="18215339" w:rsidR="00FA22A3" w:rsidRDefault="00FA22A3" w:rsidP="00FA22A3">
      <w:pPr>
        <w:pStyle w:val="ab"/>
        <w:spacing w:before="156" w:after="156"/>
        <w:ind w:firstLineChars="0" w:firstLine="0"/>
        <w:rPr>
          <w:rFonts w:ascii="Times New Roman" w:hint="eastAsia"/>
          <w:sz w:val="24"/>
          <w:szCs w:val="24"/>
        </w:rPr>
      </w:pPr>
      <w:r>
        <w:rPr>
          <w:rFonts w:ascii="黑体" w:eastAsia="黑体" w:hint="eastAsia"/>
          <w:sz w:val="24"/>
        </w:rPr>
        <w:t>三</w:t>
      </w:r>
      <w:r>
        <w:rPr>
          <w:rFonts w:ascii="黑体" w:eastAsia="黑体" w:hint="eastAsia"/>
          <w:b/>
          <w:bCs/>
          <w:sz w:val="24"/>
        </w:rPr>
        <w:t>、</w:t>
      </w:r>
      <w:r>
        <w:rPr>
          <w:rFonts w:eastAsia="黑体" w:hint="eastAsia"/>
          <w:b/>
          <w:bCs/>
          <w:sz w:val="24"/>
        </w:rPr>
        <w:t>标准水平分析</w:t>
      </w:r>
    </w:p>
    <w:p w14:paraId="6054E9A3" w14:textId="77777777" w:rsidR="00450151" w:rsidRPr="0077147C" w:rsidRDefault="00450151">
      <w:pPr>
        <w:spacing w:before="120" w:after="120" w:line="360" w:lineRule="auto"/>
        <w:jc w:val="left"/>
        <w:rPr>
          <w:rFonts w:ascii="黑体" w:eastAsia="黑体" w:hAnsi="宋体"/>
          <w:sz w:val="24"/>
        </w:rPr>
      </w:pPr>
      <w:r w:rsidRPr="0077147C">
        <w:rPr>
          <w:rFonts w:ascii="黑体" w:eastAsia="黑体" w:hAnsi="宋体" w:hint="eastAsia"/>
          <w:sz w:val="24"/>
        </w:rPr>
        <w:t>3.1</w:t>
      </w:r>
      <w:r w:rsidRPr="0077147C">
        <w:rPr>
          <w:rFonts w:ascii="黑体" w:eastAsia="黑体" w:hint="eastAsia"/>
          <w:sz w:val="24"/>
        </w:rPr>
        <w:t>采用国际标准和国外先进标准的程度</w:t>
      </w:r>
    </w:p>
    <w:p w14:paraId="3493FBF1" w14:textId="0B0BDA86" w:rsidR="00450151" w:rsidRPr="0077147C" w:rsidRDefault="00FA22A3" w:rsidP="0021524D">
      <w:pPr>
        <w:spacing w:line="360" w:lineRule="auto"/>
        <w:ind w:firstLineChars="200" w:firstLine="480"/>
        <w:rPr>
          <w:sz w:val="24"/>
        </w:rPr>
      </w:pPr>
      <w:r w:rsidRPr="00FA22A3">
        <w:rPr>
          <w:rFonts w:hint="eastAsia"/>
          <w:sz w:val="24"/>
        </w:rPr>
        <w:t>本标准修</w:t>
      </w:r>
      <w:r>
        <w:rPr>
          <w:rFonts w:hint="eastAsia"/>
          <w:sz w:val="24"/>
        </w:rPr>
        <w:t>订</w:t>
      </w:r>
      <w:r w:rsidRPr="00FA22A3">
        <w:rPr>
          <w:rFonts w:hint="eastAsia"/>
          <w:sz w:val="24"/>
        </w:rPr>
        <w:t>采用</w:t>
      </w:r>
      <w:r w:rsidRPr="00FA22A3">
        <w:rPr>
          <w:rFonts w:hint="eastAsia"/>
          <w:sz w:val="24"/>
        </w:rPr>
        <w:t xml:space="preserve"> ISO 3286</w:t>
      </w:r>
      <w:r w:rsidRPr="00FA22A3">
        <w:rPr>
          <w:rFonts w:hint="eastAsia"/>
          <w:sz w:val="24"/>
        </w:rPr>
        <w:t>：</w:t>
      </w:r>
      <w:r w:rsidRPr="00FA22A3">
        <w:rPr>
          <w:rFonts w:hint="eastAsia"/>
          <w:sz w:val="24"/>
        </w:rPr>
        <w:t>2016</w:t>
      </w:r>
      <w:r w:rsidRPr="00FA22A3">
        <w:rPr>
          <w:rFonts w:hint="eastAsia"/>
          <w:sz w:val="24"/>
        </w:rPr>
        <w:t>《</w:t>
      </w:r>
      <w:r w:rsidRPr="00FA22A3">
        <w:rPr>
          <w:rFonts w:hint="eastAsia"/>
          <w:sz w:val="24"/>
        </w:rPr>
        <w:t xml:space="preserve">Single point cutting tools </w:t>
      </w:r>
      <w:r w:rsidRPr="00FA22A3">
        <w:rPr>
          <w:rFonts w:hint="eastAsia"/>
          <w:sz w:val="24"/>
        </w:rPr>
        <w:t>—</w:t>
      </w:r>
      <w:r w:rsidRPr="00FA22A3">
        <w:rPr>
          <w:rFonts w:hint="eastAsia"/>
          <w:sz w:val="24"/>
        </w:rPr>
        <w:t xml:space="preserve"> Corner radii</w:t>
      </w:r>
      <w:r w:rsidRPr="00FA22A3">
        <w:rPr>
          <w:rFonts w:hint="eastAsia"/>
          <w:sz w:val="24"/>
        </w:rPr>
        <w:t>》。</w:t>
      </w:r>
    </w:p>
    <w:p w14:paraId="603832DC" w14:textId="2C6A5196" w:rsidR="00450151" w:rsidRPr="0077147C" w:rsidRDefault="00450151">
      <w:pPr>
        <w:pStyle w:val="30"/>
        <w:spacing w:line="360" w:lineRule="auto"/>
        <w:ind w:leftChars="0" w:left="0"/>
        <w:rPr>
          <w:rFonts w:ascii="黑体" w:eastAsia="黑体"/>
          <w:sz w:val="24"/>
        </w:rPr>
      </w:pPr>
      <w:r w:rsidRPr="0077147C">
        <w:rPr>
          <w:rFonts w:ascii="黑体" w:eastAsia="黑体" w:hint="eastAsia"/>
          <w:sz w:val="24"/>
        </w:rPr>
        <w:t>3.</w:t>
      </w:r>
      <w:r w:rsidR="000027F9">
        <w:rPr>
          <w:rFonts w:ascii="黑体" w:eastAsia="黑体"/>
          <w:sz w:val="24"/>
        </w:rPr>
        <w:t>2</w:t>
      </w:r>
      <w:r w:rsidRPr="0077147C">
        <w:rPr>
          <w:rFonts w:ascii="黑体" w:eastAsia="黑体" w:hint="eastAsia"/>
          <w:sz w:val="24"/>
        </w:rPr>
        <w:t>与现有标准及制定中标准协调配套的情况</w:t>
      </w:r>
    </w:p>
    <w:p w14:paraId="6704025A" w14:textId="77777777" w:rsidR="00450151" w:rsidRPr="0021524D" w:rsidRDefault="00450151" w:rsidP="0021524D">
      <w:pPr>
        <w:spacing w:line="360" w:lineRule="auto"/>
        <w:ind w:firstLineChars="200" w:firstLine="480"/>
        <w:rPr>
          <w:sz w:val="24"/>
        </w:rPr>
      </w:pPr>
      <w:r w:rsidRPr="0021524D">
        <w:rPr>
          <w:rFonts w:hint="eastAsia"/>
          <w:sz w:val="24"/>
        </w:rPr>
        <w:t>经查，标准与现有标准及制定中的标准无重复交叉情况。</w:t>
      </w:r>
    </w:p>
    <w:p w14:paraId="1FDB2E22" w14:textId="77777777" w:rsidR="00450151" w:rsidRPr="0077147C" w:rsidRDefault="00450151">
      <w:pPr>
        <w:spacing w:line="360" w:lineRule="auto"/>
        <w:rPr>
          <w:rFonts w:ascii="黑体" w:eastAsia="黑体"/>
          <w:sz w:val="24"/>
        </w:rPr>
      </w:pPr>
      <w:r w:rsidRPr="0077147C">
        <w:rPr>
          <w:rFonts w:ascii="黑体" w:eastAsia="黑体" w:hint="eastAsia"/>
          <w:sz w:val="24"/>
        </w:rPr>
        <w:t>3.4 涉及国内外专利及处置情况</w:t>
      </w:r>
    </w:p>
    <w:p w14:paraId="3685965C" w14:textId="77777777" w:rsidR="00450151" w:rsidRPr="0021524D" w:rsidRDefault="00450151" w:rsidP="0021524D">
      <w:pPr>
        <w:spacing w:line="360" w:lineRule="auto"/>
        <w:ind w:firstLineChars="200" w:firstLine="480"/>
        <w:rPr>
          <w:sz w:val="24"/>
        </w:rPr>
      </w:pPr>
      <w:r w:rsidRPr="0021524D">
        <w:rPr>
          <w:rFonts w:hint="eastAsia"/>
          <w:sz w:val="24"/>
        </w:rPr>
        <w:lastRenderedPageBreak/>
        <w:t>经查，本</w:t>
      </w:r>
      <w:r w:rsidR="005A4390" w:rsidRPr="0021524D">
        <w:rPr>
          <w:rFonts w:hint="eastAsia"/>
          <w:sz w:val="24"/>
        </w:rPr>
        <w:t>文件</w:t>
      </w:r>
      <w:r w:rsidRPr="0021524D">
        <w:rPr>
          <w:rFonts w:hint="eastAsia"/>
          <w:sz w:val="24"/>
        </w:rPr>
        <w:t>不涉及国内外专利。</w:t>
      </w:r>
    </w:p>
    <w:p w14:paraId="3DE61041" w14:textId="77777777" w:rsidR="00450151" w:rsidRPr="0077147C" w:rsidRDefault="00450151">
      <w:pPr>
        <w:spacing w:line="360" w:lineRule="auto"/>
        <w:rPr>
          <w:rFonts w:ascii="黑体" w:eastAsia="黑体"/>
          <w:sz w:val="24"/>
        </w:rPr>
      </w:pPr>
      <w:r w:rsidRPr="0077147C">
        <w:rPr>
          <w:rFonts w:ascii="黑体" w:eastAsia="黑体" w:hint="eastAsia"/>
          <w:sz w:val="24"/>
        </w:rPr>
        <w:t>四、与有关的现行法律、法规和强制性国家标准的关系</w:t>
      </w:r>
    </w:p>
    <w:p w14:paraId="3E0A565E" w14:textId="77777777" w:rsidR="00450151" w:rsidRPr="0021524D" w:rsidRDefault="00450151" w:rsidP="0021524D">
      <w:pPr>
        <w:spacing w:line="360" w:lineRule="auto"/>
        <w:ind w:firstLineChars="200" w:firstLine="480"/>
        <w:rPr>
          <w:sz w:val="24"/>
        </w:rPr>
      </w:pPr>
      <w:r w:rsidRPr="0021524D">
        <w:rPr>
          <w:rFonts w:hint="eastAsia"/>
          <w:sz w:val="24"/>
        </w:rPr>
        <w:t>与有关的现行法律、法规和强制性国家标准没有冲突。</w:t>
      </w:r>
    </w:p>
    <w:p w14:paraId="2DA03C4D" w14:textId="77777777" w:rsidR="00450151" w:rsidRPr="0077147C" w:rsidRDefault="00450151">
      <w:pPr>
        <w:spacing w:line="360" w:lineRule="auto"/>
        <w:rPr>
          <w:rFonts w:eastAsia="黑体"/>
          <w:sz w:val="24"/>
        </w:rPr>
      </w:pPr>
      <w:r w:rsidRPr="0077147C">
        <w:rPr>
          <w:rFonts w:eastAsia="黑体" w:hint="eastAsia"/>
          <w:sz w:val="24"/>
        </w:rPr>
        <w:t>五、重大分歧意见的处理经过和依据</w:t>
      </w:r>
    </w:p>
    <w:p w14:paraId="77361BE1" w14:textId="77777777" w:rsidR="00450151" w:rsidRPr="0021524D" w:rsidRDefault="00450151" w:rsidP="0021524D">
      <w:pPr>
        <w:spacing w:line="360" w:lineRule="auto"/>
        <w:ind w:firstLineChars="200" w:firstLine="480"/>
        <w:rPr>
          <w:sz w:val="24"/>
        </w:rPr>
      </w:pPr>
      <w:r w:rsidRPr="0021524D">
        <w:rPr>
          <w:rFonts w:hint="eastAsia"/>
          <w:sz w:val="24"/>
        </w:rPr>
        <w:t>暂无重大分歧意见。</w:t>
      </w:r>
    </w:p>
    <w:p w14:paraId="71D872A2" w14:textId="77777777" w:rsidR="00450151" w:rsidRPr="0077147C" w:rsidRDefault="00450151">
      <w:pPr>
        <w:spacing w:line="360" w:lineRule="auto"/>
        <w:rPr>
          <w:rFonts w:eastAsia="黑体"/>
          <w:sz w:val="24"/>
        </w:rPr>
      </w:pPr>
      <w:r w:rsidRPr="0077147C">
        <w:rPr>
          <w:rFonts w:eastAsia="黑体" w:hint="eastAsia"/>
          <w:sz w:val="24"/>
        </w:rPr>
        <w:t>六、标准作为强制性标准或推荐性标准的建议</w:t>
      </w:r>
    </w:p>
    <w:p w14:paraId="17B2A046" w14:textId="77777777" w:rsidR="00450151" w:rsidRPr="0021524D" w:rsidRDefault="00450151" w:rsidP="0021524D">
      <w:pPr>
        <w:spacing w:line="360" w:lineRule="auto"/>
        <w:ind w:firstLineChars="200" w:firstLine="480"/>
        <w:rPr>
          <w:sz w:val="24"/>
        </w:rPr>
      </w:pPr>
      <w:r w:rsidRPr="0021524D">
        <w:rPr>
          <w:rFonts w:hint="eastAsia"/>
          <w:sz w:val="24"/>
        </w:rPr>
        <w:t>建议作为推荐性有色行业标准。</w:t>
      </w:r>
    </w:p>
    <w:p w14:paraId="3ABB54CD" w14:textId="77777777" w:rsidR="00450151" w:rsidRPr="0077147C" w:rsidRDefault="00450151">
      <w:pPr>
        <w:spacing w:line="360" w:lineRule="auto"/>
        <w:rPr>
          <w:rFonts w:eastAsia="黑体"/>
          <w:sz w:val="24"/>
        </w:rPr>
      </w:pPr>
      <w:r w:rsidRPr="0077147C">
        <w:rPr>
          <w:rFonts w:eastAsia="黑体" w:hint="eastAsia"/>
          <w:sz w:val="24"/>
        </w:rPr>
        <w:t>七、贯彻标准的要求和措施建议</w:t>
      </w:r>
    </w:p>
    <w:p w14:paraId="3FB11F3A" w14:textId="77777777" w:rsidR="00450151" w:rsidRPr="0021524D" w:rsidRDefault="00450151" w:rsidP="0021524D">
      <w:pPr>
        <w:spacing w:line="360" w:lineRule="auto"/>
        <w:ind w:firstLineChars="200" w:firstLine="480"/>
        <w:rPr>
          <w:sz w:val="24"/>
        </w:rPr>
      </w:pPr>
      <w:r w:rsidRPr="0021524D">
        <w:rPr>
          <w:rFonts w:hint="eastAsia"/>
          <w:sz w:val="24"/>
        </w:rPr>
        <w:t>标准发布后宣贯实施。</w:t>
      </w:r>
    </w:p>
    <w:p w14:paraId="0907DD59" w14:textId="77777777" w:rsidR="00450151" w:rsidRPr="0077147C" w:rsidRDefault="00450151">
      <w:pPr>
        <w:spacing w:line="360" w:lineRule="auto"/>
        <w:rPr>
          <w:rFonts w:eastAsia="黑体"/>
          <w:sz w:val="24"/>
        </w:rPr>
      </w:pPr>
      <w:r w:rsidRPr="0077147C">
        <w:rPr>
          <w:rFonts w:eastAsia="黑体" w:hint="eastAsia"/>
          <w:sz w:val="24"/>
        </w:rPr>
        <w:t>八、废止现行有关标准的建议</w:t>
      </w:r>
    </w:p>
    <w:p w14:paraId="0DC35AAE" w14:textId="77777777" w:rsidR="00450151" w:rsidRPr="0077147C" w:rsidRDefault="00450151">
      <w:pPr>
        <w:spacing w:line="360" w:lineRule="auto"/>
        <w:ind w:firstLineChars="200" w:firstLine="480"/>
        <w:rPr>
          <w:sz w:val="24"/>
        </w:rPr>
      </w:pPr>
      <w:r w:rsidRPr="0077147C">
        <w:rPr>
          <w:rFonts w:hint="eastAsia"/>
          <w:sz w:val="24"/>
        </w:rPr>
        <w:t>无</w:t>
      </w:r>
      <w:r w:rsidRPr="0021524D">
        <w:rPr>
          <w:rFonts w:hint="eastAsia"/>
          <w:sz w:val="24"/>
        </w:rPr>
        <w:t>。</w:t>
      </w:r>
    </w:p>
    <w:p w14:paraId="1A7A734B" w14:textId="77777777" w:rsidR="00450151" w:rsidRPr="0077147C" w:rsidRDefault="00450151">
      <w:pPr>
        <w:spacing w:line="360" w:lineRule="auto"/>
        <w:rPr>
          <w:rFonts w:eastAsia="黑体"/>
          <w:sz w:val="24"/>
        </w:rPr>
      </w:pPr>
      <w:r w:rsidRPr="0077147C">
        <w:rPr>
          <w:rFonts w:eastAsia="黑体" w:hint="eastAsia"/>
          <w:sz w:val="24"/>
        </w:rPr>
        <w:t>九、其他应予说明的事项</w:t>
      </w:r>
    </w:p>
    <w:p w14:paraId="66A5D2EB" w14:textId="77777777" w:rsidR="00450151" w:rsidRPr="0077147C" w:rsidRDefault="00450151">
      <w:pPr>
        <w:spacing w:line="360" w:lineRule="auto"/>
        <w:ind w:firstLineChars="200" w:firstLine="480"/>
        <w:rPr>
          <w:sz w:val="24"/>
        </w:rPr>
      </w:pPr>
      <w:r w:rsidRPr="0077147C">
        <w:rPr>
          <w:rFonts w:hint="eastAsia"/>
          <w:sz w:val="24"/>
        </w:rPr>
        <w:t>无。</w:t>
      </w:r>
    </w:p>
    <w:p w14:paraId="029976F0" w14:textId="77777777" w:rsidR="00450151" w:rsidRPr="0077147C" w:rsidRDefault="00450151">
      <w:pPr>
        <w:spacing w:line="360" w:lineRule="auto"/>
        <w:rPr>
          <w:rFonts w:eastAsia="黑体"/>
          <w:sz w:val="24"/>
        </w:rPr>
      </w:pPr>
      <w:r w:rsidRPr="0077147C">
        <w:rPr>
          <w:rFonts w:eastAsia="黑体" w:hint="eastAsia"/>
          <w:sz w:val="24"/>
        </w:rPr>
        <w:t>十、预期效果</w:t>
      </w:r>
    </w:p>
    <w:p w14:paraId="4E21A145" w14:textId="3E732924" w:rsidR="000027F9" w:rsidRDefault="000027F9" w:rsidP="000027F9">
      <w:pPr>
        <w:adjustRightInd w:val="0"/>
        <w:snapToGrid w:val="0"/>
        <w:spacing w:line="360" w:lineRule="auto"/>
        <w:ind w:firstLineChars="200" w:firstLine="480"/>
        <w:rPr>
          <w:rFonts w:hint="eastAsia"/>
          <w:color w:val="000000"/>
          <w:sz w:val="24"/>
        </w:rPr>
      </w:pPr>
      <w:r>
        <w:rPr>
          <w:rFonts w:hint="eastAsia"/>
          <w:color w:val="000000"/>
          <w:sz w:val="24"/>
        </w:rPr>
        <w:t>本标准充分考虑了我国硬质合金企业生产体系状况以及发展的要求。</w:t>
      </w:r>
    </w:p>
    <w:p w14:paraId="7B34B82B" w14:textId="1530DF20" w:rsidR="000027F9" w:rsidRDefault="000027F9" w:rsidP="000027F9">
      <w:pPr>
        <w:adjustRightInd w:val="0"/>
        <w:snapToGrid w:val="0"/>
        <w:spacing w:line="360" w:lineRule="auto"/>
        <w:ind w:firstLineChars="200" w:firstLine="480"/>
        <w:rPr>
          <w:rFonts w:hint="eastAsia"/>
          <w:color w:val="000000"/>
          <w:sz w:val="24"/>
        </w:rPr>
      </w:pPr>
      <w:r>
        <w:rPr>
          <w:rFonts w:hint="eastAsia"/>
          <w:color w:val="000000"/>
          <w:sz w:val="24"/>
        </w:rPr>
        <w:t>标准发布执行后，将有效</w:t>
      </w:r>
      <w:r w:rsidRPr="000027F9">
        <w:rPr>
          <w:rFonts w:hint="eastAsia"/>
          <w:color w:val="000000"/>
          <w:sz w:val="24"/>
        </w:rPr>
        <w:t>与国际</w:t>
      </w:r>
      <w:r>
        <w:rPr>
          <w:rFonts w:hint="eastAsia"/>
          <w:color w:val="000000"/>
          <w:sz w:val="24"/>
        </w:rPr>
        <w:t>标准</w:t>
      </w:r>
      <w:r w:rsidRPr="000027F9">
        <w:rPr>
          <w:rFonts w:hint="eastAsia"/>
          <w:color w:val="000000"/>
          <w:sz w:val="24"/>
        </w:rPr>
        <w:t>接轨，有利于产品走向世界，提高国际竞争力；有利于规范生产，统一国内可转位刀片生产规格，保证产品互换性；为国内外客户选型提供依据，等同采标将使国内相关刀片产品与国际无差别对接，适应</w:t>
      </w:r>
      <w:r>
        <w:rPr>
          <w:rFonts w:hint="eastAsia"/>
          <w:color w:val="000000"/>
          <w:sz w:val="24"/>
        </w:rPr>
        <w:t>产品</w:t>
      </w:r>
      <w:r w:rsidRPr="000027F9">
        <w:rPr>
          <w:rFonts w:hint="eastAsia"/>
          <w:color w:val="000000"/>
          <w:sz w:val="24"/>
        </w:rPr>
        <w:t>全球化的需要</w:t>
      </w:r>
      <w:r>
        <w:rPr>
          <w:rFonts w:hint="eastAsia"/>
          <w:color w:val="000000"/>
          <w:sz w:val="24"/>
        </w:rPr>
        <w:t>。</w:t>
      </w:r>
    </w:p>
    <w:p w14:paraId="54748870" w14:textId="0EEC9177" w:rsidR="00B17D75" w:rsidRPr="00B17D75" w:rsidRDefault="000027F9" w:rsidP="000027F9">
      <w:pPr>
        <w:spacing w:line="360" w:lineRule="auto"/>
        <w:ind w:firstLineChars="200" w:firstLine="480"/>
        <w:rPr>
          <w:sz w:val="24"/>
        </w:rPr>
      </w:pPr>
      <w:r>
        <w:rPr>
          <w:rFonts w:hint="eastAsia"/>
          <w:color w:val="000000"/>
          <w:sz w:val="24"/>
        </w:rPr>
        <w:t>在本标准实施后，可以积极向生产厂家及国内外用户推荐采用本标准。</w:t>
      </w:r>
    </w:p>
    <w:p w14:paraId="15A313D3" w14:textId="77777777" w:rsidR="0060221D" w:rsidRPr="00B17D75" w:rsidRDefault="0060221D" w:rsidP="005A4390">
      <w:pPr>
        <w:spacing w:line="360" w:lineRule="auto"/>
        <w:ind w:right="480"/>
        <w:jc w:val="right"/>
        <w:rPr>
          <w:sz w:val="24"/>
        </w:rPr>
      </w:pPr>
    </w:p>
    <w:p w14:paraId="2C3C35AF" w14:textId="6ECF5009" w:rsidR="00450151" w:rsidRPr="0077147C" w:rsidRDefault="00450151" w:rsidP="005A4390">
      <w:pPr>
        <w:spacing w:line="360" w:lineRule="auto"/>
        <w:ind w:right="480"/>
        <w:jc w:val="right"/>
        <w:rPr>
          <w:sz w:val="24"/>
        </w:rPr>
      </w:pPr>
      <w:r w:rsidRPr="0077147C">
        <w:rPr>
          <w:rFonts w:hint="eastAsia"/>
          <w:sz w:val="24"/>
        </w:rPr>
        <w:t>《</w:t>
      </w:r>
      <w:r w:rsidR="000027F9" w:rsidRPr="005C5B47">
        <w:rPr>
          <w:rFonts w:hint="eastAsia"/>
          <w:sz w:val="24"/>
        </w:rPr>
        <w:t>硬质合金可转位刀片</w:t>
      </w:r>
      <w:r w:rsidR="000027F9" w:rsidRPr="005C5B47">
        <w:rPr>
          <w:rFonts w:hint="eastAsia"/>
          <w:sz w:val="24"/>
        </w:rPr>
        <w:t xml:space="preserve"> </w:t>
      </w:r>
      <w:r w:rsidR="000027F9" w:rsidRPr="005C5B47">
        <w:rPr>
          <w:rFonts w:hint="eastAsia"/>
          <w:sz w:val="24"/>
        </w:rPr>
        <w:t>圆角半径</w:t>
      </w:r>
      <w:r w:rsidRPr="0077147C">
        <w:rPr>
          <w:rFonts w:hint="eastAsia"/>
          <w:sz w:val="24"/>
        </w:rPr>
        <w:t>》标准编制小组</w:t>
      </w:r>
    </w:p>
    <w:p w14:paraId="1CE43E9D" w14:textId="78723423" w:rsidR="00891B7D" w:rsidRPr="0077147C" w:rsidRDefault="000027F9" w:rsidP="0021524D">
      <w:pPr>
        <w:spacing w:line="360" w:lineRule="auto"/>
        <w:ind w:right="480" w:firstLineChars="2050" w:firstLine="4920"/>
        <w:jc w:val="right"/>
      </w:pPr>
      <w:r>
        <w:rPr>
          <w:rFonts w:hint="eastAsia"/>
          <w:sz w:val="24"/>
        </w:rPr>
        <w:t>2</w:t>
      </w:r>
      <w:r>
        <w:rPr>
          <w:sz w:val="24"/>
        </w:rPr>
        <w:t>022</w:t>
      </w:r>
      <w:r w:rsidR="00450151" w:rsidRPr="0077147C">
        <w:rPr>
          <w:rFonts w:hint="eastAsia"/>
          <w:sz w:val="24"/>
        </w:rPr>
        <w:t>年</w:t>
      </w:r>
      <w:r>
        <w:rPr>
          <w:rFonts w:hint="eastAsia"/>
          <w:sz w:val="24"/>
        </w:rPr>
        <w:t>9</w:t>
      </w:r>
      <w:r w:rsidR="00BE0335" w:rsidRPr="0077147C">
        <w:rPr>
          <w:rFonts w:hint="eastAsia"/>
          <w:sz w:val="24"/>
        </w:rPr>
        <w:t>月</w:t>
      </w:r>
      <w:r>
        <w:rPr>
          <w:rFonts w:hint="eastAsia"/>
          <w:sz w:val="24"/>
        </w:rPr>
        <w:t>1</w:t>
      </w:r>
      <w:r>
        <w:rPr>
          <w:sz w:val="24"/>
        </w:rPr>
        <w:t>5</w:t>
      </w:r>
      <w:r w:rsidR="00450151" w:rsidRPr="0077147C">
        <w:rPr>
          <w:rFonts w:hint="eastAsia"/>
          <w:sz w:val="24"/>
        </w:rPr>
        <w:t>日</w:t>
      </w:r>
    </w:p>
    <w:sectPr w:rsidR="00891B7D" w:rsidRPr="0077147C" w:rsidSect="0036570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1592" w14:textId="77777777" w:rsidR="00824F29" w:rsidRDefault="00824F29">
      <w:r>
        <w:separator/>
      </w:r>
    </w:p>
  </w:endnote>
  <w:endnote w:type="continuationSeparator" w:id="0">
    <w:p w14:paraId="0CFE3F53" w14:textId="77777777" w:rsidR="00824F29" w:rsidRDefault="0082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1B39" w14:textId="77777777" w:rsidR="00D40282" w:rsidRDefault="00D40282">
    <w:pPr>
      <w:pStyle w:val="af"/>
      <w:jc w:val="right"/>
    </w:pPr>
    <w:r>
      <w:fldChar w:fldCharType="begin"/>
    </w:r>
    <w:r>
      <w:instrText xml:space="preserve"> PAGE   \* MERGEFORMAT </w:instrText>
    </w:r>
    <w:r>
      <w:fldChar w:fldCharType="separate"/>
    </w:r>
    <w:r w:rsidR="004463AA" w:rsidRPr="004463AA">
      <w:rPr>
        <w:noProof/>
        <w:lang w:val="zh-CN"/>
      </w:rPr>
      <w:t>7</w:t>
    </w:r>
    <w:r>
      <w:rPr>
        <w:noProof/>
        <w:lang w:val="zh-CN"/>
      </w:rPr>
      <w:fldChar w:fldCharType="end"/>
    </w:r>
  </w:p>
  <w:p w14:paraId="70951559" w14:textId="77777777" w:rsidR="00D40282" w:rsidRDefault="00D40282">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9449" w14:textId="77777777" w:rsidR="00824F29" w:rsidRDefault="00824F29">
      <w:r>
        <w:separator/>
      </w:r>
    </w:p>
  </w:footnote>
  <w:footnote w:type="continuationSeparator" w:id="0">
    <w:p w14:paraId="218A8E53" w14:textId="77777777" w:rsidR="00824F29" w:rsidRDefault="0082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972B6F"/>
    <w:multiLevelType w:val="singleLevel"/>
    <w:tmpl w:val="D1972B6F"/>
    <w:lvl w:ilvl="0">
      <w:start w:val="1"/>
      <w:numFmt w:val="decimal"/>
      <w:suff w:val="nothing"/>
      <w:lvlText w:val="%1、"/>
      <w:lvlJc w:val="left"/>
    </w:lvl>
  </w:abstractNum>
  <w:abstractNum w:abstractNumId="1" w15:restartNumberingAfterBreak="0">
    <w:nsid w:val="1C866727"/>
    <w:multiLevelType w:val="multilevel"/>
    <w:tmpl w:val="1C866727"/>
    <w:lvl w:ilvl="0">
      <w:start w:val="1"/>
      <w:numFmt w:val="decimal"/>
      <w:lvlText w:val="%1."/>
      <w:lvlJc w:val="left"/>
      <w:pPr>
        <w:tabs>
          <w:tab w:val="num" w:pos="919"/>
        </w:tabs>
        <w:ind w:left="919" w:hanging="420"/>
      </w:pPr>
    </w:lvl>
    <w:lvl w:ilvl="1">
      <w:start w:val="1"/>
      <w:numFmt w:val="lowerLetter"/>
      <w:lvlText w:val="%2)"/>
      <w:lvlJc w:val="left"/>
      <w:pPr>
        <w:tabs>
          <w:tab w:val="num" w:pos="1339"/>
        </w:tabs>
        <w:ind w:left="1339" w:hanging="420"/>
      </w:pPr>
    </w:lvl>
    <w:lvl w:ilvl="2">
      <w:start w:val="1"/>
      <w:numFmt w:val="lowerRoman"/>
      <w:lvlText w:val="%3."/>
      <w:lvlJc w:val="right"/>
      <w:pPr>
        <w:tabs>
          <w:tab w:val="num" w:pos="1759"/>
        </w:tabs>
        <w:ind w:left="1759" w:hanging="420"/>
      </w:pPr>
    </w:lvl>
    <w:lvl w:ilvl="3">
      <w:start w:val="1"/>
      <w:numFmt w:val="decimal"/>
      <w:lvlText w:val="%4."/>
      <w:lvlJc w:val="left"/>
      <w:pPr>
        <w:tabs>
          <w:tab w:val="num" w:pos="2179"/>
        </w:tabs>
        <w:ind w:left="2179" w:hanging="420"/>
      </w:pPr>
    </w:lvl>
    <w:lvl w:ilvl="4">
      <w:start w:val="1"/>
      <w:numFmt w:val="lowerLetter"/>
      <w:lvlText w:val="%5)"/>
      <w:lvlJc w:val="left"/>
      <w:pPr>
        <w:tabs>
          <w:tab w:val="num" w:pos="2599"/>
        </w:tabs>
        <w:ind w:left="2599" w:hanging="420"/>
      </w:pPr>
    </w:lvl>
    <w:lvl w:ilvl="5">
      <w:start w:val="1"/>
      <w:numFmt w:val="lowerRoman"/>
      <w:lvlText w:val="%6."/>
      <w:lvlJc w:val="right"/>
      <w:pPr>
        <w:tabs>
          <w:tab w:val="num" w:pos="3019"/>
        </w:tabs>
        <w:ind w:left="3019" w:hanging="420"/>
      </w:pPr>
    </w:lvl>
    <w:lvl w:ilvl="6">
      <w:start w:val="1"/>
      <w:numFmt w:val="decimal"/>
      <w:lvlText w:val="%7."/>
      <w:lvlJc w:val="left"/>
      <w:pPr>
        <w:tabs>
          <w:tab w:val="num" w:pos="3439"/>
        </w:tabs>
        <w:ind w:left="3439" w:hanging="420"/>
      </w:pPr>
    </w:lvl>
    <w:lvl w:ilvl="7">
      <w:start w:val="1"/>
      <w:numFmt w:val="lowerLetter"/>
      <w:lvlText w:val="%8)"/>
      <w:lvlJc w:val="left"/>
      <w:pPr>
        <w:tabs>
          <w:tab w:val="num" w:pos="3859"/>
        </w:tabs>
        <w:ind w:left="3859" w:hanging="420"/>
      </w:pPr>
    </w:lvl>
    <w:lvl w:ilvl="8">
      <w:start w:val="1"/>
      <w:numFmt w:val="lowerRoman"/>
      <w:lvlText w:val="%9."/>
      <w:lvlJc w:val="right"/>
      <w:pPr>
        <w:tabs>
          <w:tab w:val="num" w:pos="4279"/>
        </w:tabs>
        <w:ind w:left="4279" w:hanging="420"/>
      </w:pPr>
    </w:lvl>
  </w:abstractNum>
  <w:abstractNum w:abstractNumId="2" w15:restartNumberingAfterBreak="0">
    <w:nsid w:val="63AF7EBF"/>
    <w:multiLevelType w:val="multilevel"/>
    <w:tmpl w:val="63AF7EBF"/>
    <w:lvl w:ilvl="0">
      <w:start w:val="1"/>
      <w:numFmt w:val="decimal"/>
      <w:pStyle w:val="a"/>
      <w:suff w:val="nothing"/>
      <w:lvlText w:val="表%1　"/>
      <w:lvlJc w:val="left"/>
      <w:pPr>
        <w:ind w:left="3970" w:firstLine="0"/>
      </w:pPr>
      <w:rPr>
        <w:rFonts w:hint="eastAsia"/>
      </w:rPr>
    </w:lvl>
    <w:lvl w:ilvl="1">
      <w:start w:val="1"/>
      <w:numFmt w:val="decimal"/>
      <w:lvlText w:val="%1.%2"/>
      <w:lvlJc w:val="left"/>
      <w:pPr>
        <w:ind w:left="284" w:hanging="567"/>
      </w:pPr>
      <w:rPr>
        <w:rFonts w:hint="eastAsia"/>
      </w:rPr>
    </w:lvl>
    <w:lvl w:ilvl="2">
      <w:start w:val="1"/>
      <w:numFmt w:val="decimal"/>
      <w:lvlText w:val="%1.%2.%3"/>
      <w:lvlJc w:val="left"/>
      <w:pPr>
        <w:ind w:left="710" w:hanging="567"/>
      </w:pPr>
      <w:rPr>
        <w:rFonts w:hint="eastAsia"/>
      </w:rPr>
    </w:lvl>
    <w:lvl w:ilvl="3">
      <w:start w:val="1"/>
      <w:numFmt w:val="decimal"/>
      <w:lvlText w:val="%1.%2.%3.%4"/>
      <w:lvlJc w:val="left"/>
      <w:pPr>
        <w:ind w:left="1276" w:hanging="708"/>
      </w:pPr>
      <w:rPr>
        <w:rFonts w:hint="eastAsia"/>
      </w:rPr>
    </w:lvl>
    <w:lvl w:ilvl="4">
      <w:start w:val="1"/>
      <w:numFmt w:val="decimal"/>
      <w:lvlText w:val="%1.%2.%3.%4.%5"/>
      <w:lvlJc w:val="left"/>
      <w:pPr>
        <w:ind w:left="1843" w:hanging="850"/>
      </w:pPr>
      <w:rPr>
        <w:rFonts w:hint="eastAsia"/>
      </w:rPr>
    </w:lvl>
    <w:lvl w:ilvl="5">
      <w:start w:val="1"/>
      <w:numFmt w:val="decimal"/>
      <w:lvlText w:val="%1.%2.%3.%4.%5.%6"/>
      <w:lvlJc w:val="left"/>
      <w:pPr>
        <w:ind w:left="2552" w:hanging="1134"/>
      </w:pPr>
      <w:rPr>
        <w:rFonts w:hint="eastAsia"/>
      </w:rPr>
    </w:lvl>
    <w:lvl w:ilvl="6">
      <w:start w:val="1"/>
      <w:numFmt w:val="decimal"/>
      <w:lvlText w:val="%1.%2.%3.%4.%5.%6.%7"/>
      <w:lvlJc w:val="left"/>
      <w:pPr>
        <w:ind w:left="3119" w:hanging="1276"/>
      </w:pPr>
      <w:rPr>
        <w:rFonts w:hint="eastAsia"/>
      </w:rPr>
    </w:lvl>
    <w:lvl w:ilvl="7">
      <w:start w:val="1"/>
      <w:numFmt w:val="decimal"/>
      <w:lvlText w:val="%1.%2.%3.%4.%5.%6.%7.%8"/>
      <w:lvlJc w:val="left"/>
      <w:pPr>
        <w:ind w:left="3686" w:hanging="1418"/>
      </w:pPr>
      <w:rPr>
        <w:rFonts w:hint="eastAsia"/>
      </w:rPr>
    </w:lvl>
    <w:lvl w:ilvl="8">
      <w:start w:val="1"/>
      <w:numFmt w:val="decimal"/>
      <w:lvlText w:val="%1.%2.%3.%4.%5.%6.%7.%8.%9"/>
      <w:lvlJc w:val="left"/>
      <w:pPr>
        <w:ind w:left="4394" w:hanging="1700"/>
      </w:pPr>
      <w:rPr>
        <w:rFonts w:hint="eastAsia"/>
      </w:rPr>
    </w:lvl>
  </w:abstractNum>
  <w:num w:numId="1" w16cid:durableId="1782871821">
    <w:abstractNumId w:val="0"/>
  </w:num>
  <w:num w:numId="2" w16cid:durableId="1670253236">
    <w:abstractNumId w:val="2"/>
  </w:num>
  <w:num w:numId="3" w16cid:durableId="203018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8A"/>
    <w:rsid w:val="00000E62"/>
    <w:rsid w:val="00000EC2"/>
    <w:rsid w:val="0000181D"/>
    <w:rsid w:val="000027F9"/>
    <w:rsid w:val="00010FB1"/>
    <w:rsid w:val="00011531"/>
    <w:rsid w:val="000127DD"/>
    <w:rsid w:val="00015FE8"/>
    <w:rsid w:val="0002046E"/>
    <w:rsid w:val="00022FDF"/>
    <w:rsid w:val="00024606"/>
    <w:rsid w:val="0002580F"/>
    <w:rsid w:val="000268F3"/>
    <w:rsid w:val="00027729"/>
    <w:rsid w:val="00027F9A"/>
    <w:rsid w:val="00030090"/>
    <w:rsid w:val="000311DA"/>
    <w:rsid w:val="00033E57"/>
    <w:rsid w:val="00034701"/>
    <w:rsid w:val="0003580C"/>
    <w:rsid w:val="000361D8"/>
    <w:rsid w:val="00040904"/>
    <w:rsid w:val="00042491"/>
    <w:rsid w:val="000439F4"/>
    <w:rsid w:val="000501A3"/>
    <w:rsid w:val="000506AD"/>
    <w:rsid w:val="00050CDF"/>
    <w:rsid w:val="000512DB"/>
    <w:rsid w:val="000567DF"/>
    <w:rsid w:val="00056991"/>
    <w:rsid w:val="00060C89"/>
    <w:rsid w:val="00063173"/>
    <w:rsid w:val="00064A71"/>
    <w:rsid w:val="0006539F"/>
    <w:rsid w:val="000725C5"/>
    <w:rsid w:val="00072DDF"/>
    <w:rsid w:val="000730C7"/>
    <w:rsid w:val="00074480"/>
    <w:rsid w:val="00074616"/>
    <w:rsid w:val="00077F08"/>
    <w:rsid w:val="00083845"/>
    <w:rsid w:val="000860DF"/>
    <w:rsid w:val="00086D9D"/>
    <w:rsid w:val="00091409"/>
    <w:rsid w:val="00094EFB"/>
    <w:rsid w:val="000A210A"/>
    <w:rsid w:val="000A2750"/>
    <w:rsid w:val="000A5D0E"/>
    <w:rsid w:val="000A6F8F"/>
    <w:rsid w:val="000A7FDF"/>
    <w:rsid w:val="000B1FE4"/>
    <w:rsid w:val="000B2D05"/>
    <w:rsid w:val="000B4694"/>
    <w:rsid w:val="000B6CF9"/>
    <w:rsid w:val="000C1875"/>
    <w:rsid w:val="000C32B4"/>
    <w:rsid w:val="000D0C54"/>
    <w:rsid w:val="000D320C"/>
    <w:rsid w:val="000D3A60"/>
    <w:rsid w:val="000D3C7F"/>
    <w:rsid w:val="000D594F"/>
    <w:rsid w:val="000E19EA"/>
    <w:rsid w:val="000E201B"/>
    <w:rsid w:val="000E3501"/>
    <w:rsid w:val="000F03BA"/>
    <w:rsid w:val="000F27B4"/>
    <w:rsid w:val="00101D26"/>
    <w:rsid w:val="001032F3"/>
    <w:rsid w:val="00111D0D"/>
    <w:rsid w:val="0011213D"/>
    <w:rsid w:val="00115995"/>
    <w:rsid w:val="00143E1C"/>
    <w:rsid w:val="001506B5"/>
    <w:rsid w:val="00154A31"/>
    <w:rsid w:val="0015605B"/>
    <w:rsid w:val="00156E38"/>
    <w:rsid w:val="00162737"/>
    <w:rsid w:val="00163B77"/>
    <w:rsid w:val="00164763"/>
    <w:rsid w:val="001669EC"/>
    <w:rsid w:val="001711FD"/>
    <w:rsid w:val="00174269"/>
    <w:rsid w:val="001748E6"/>
    <w:rsid w:val="001772EF"/>
    <w:rsid w:val="00187EEE"/>
    <w:rsid w:val="001A1436"/>
    <w:rsid w:val="001A1BD5"/>
    <w:rsid w:val="001A2C6D"/>
    <w:rsid w:val="001A4CBE"/>
    <w:rsid w:val="001B0FA1"/>
    <w:rsid w:val="001B2F8A"/>
    <w:rsid w:val="001B364B"/>
    <w:rsid w:val="001C01DD"/>
    <w:rsid w:val="001C040A"/>
    <w:rsid w:val="001C0686"/>
    <w:rsid w:val="001C587B"/>
    <w:rsid w:val="001C61CA"/>
    <w:rsid w:val="001D0CE2"/>
    <w:rsid w:val="001D3688"/>
    <w:rsid w:val="001D3D53"/>
    <w:rsid w:val="001D4840"/>
    <w:rsid w:val="001E6C9C"/>
    <w:rsid w:val="001F676E"/>
    <w:rsid w:val="001F7639"/>
    <w:rsid w:val="00200D5F"/>
    <w:rsid w:val="00201E75"/>
    <w:rsid w:val="002024BA"/>
    <w:rsid w:val="00202FFD"/>
    <w:rsid w:val="00204C5E"/>
    <w:rsid w:val="00210BFF"/>
    <w:rsid w:val="002112E2"/>
    <w:rsid w:val="002116DA"/>
    <w:rsid w:val="00211B96"/>
    <w:rsid w:val="002128AC"/>
    <w:rsid w:val="0021524D"/>
    <w:rsid w:val="00215FD1"/>
    <w:rsid w:val="002216EA"/>
    <w:rsid w:val="00221ACE"/>
    <w:rsid w:val="00225B0A"/>
    <w:rsid w:val="00227FB7"/>
    <w:rsid w:val="00234798"/>
    <w:rsid w:val="00241629"/>
    <w:rsid w:val="00243205"/>
    <w:rsid w:val="002553AB"/>
    <w:rsid w:val="0025623C"/>
    <w:rsid w:val="002565E3"/>
    <w:rsid w:val="00261A88"/>
    <w:rsid w:val="002630CF"/>
    <w:rsid w:val="00263694"/>
    <w:rsid w:val="002673B8"/>
    <w:rsid w:val="00267498"/>
    <w:rsid w:val="002704D6"/>
    <w:rsid w:val="00270BC6"/>
    <w:rsid w:val="00274074"/>
    <w:rsid w:val="00275D3A"/>
    <w:rsid w:val="00281647"/>
    <w:rsid w:val="0029125F"/>
    <w:rsid w:val="00296E1A"/>
    <w:rsid w:val="002A5052"/>
    <w:rsid w:val="002B0059"/>
    <w:rsid w:val="002B0C9B"/>
    <w:rsid w:val="002B3BCC"/>
    <w:rsid w:val="002B4361"/>
    <w:rsid w:val="002B53B8"/>
    <w:rsid w:val="002B64A4"/>
    <w:rsid w:val="002C121A"/>
    <w:rsid w:val="002D04E3"/>
    <w:rsid w:val="002D5D1B"/>
    <w:rsid w:val="002F193E"/>
    <w:rsid w:val="002F325C"/>
    <w:rsid w:val="002F5F42"/>
    <w:rsid w:val="00304FFE"/>
    <w:rsid w:val="00312E8C"/>
    <w:rsid w:val="00313C5E"/>
    <w:rsid w:val="0031427C"/>
    <w:rsid w:val="003143EA"/>
    <w:rsid w:val="00316A78"/>
    <w:rsid w:val="00316E67"/>
    <w:rsid w:val="003179AF"/>
    <w:rsid w:val="00317DEC"/>
    <w:rsid w:val="00321EBA"/>
    <w:rsid w:val="0032306E"/>
    <w:rsid w:val="00325534"/>
    <w:rsid w:val="003279F4"/>
    <w:rsid w:val="00337D40"/>
    <w:rsid w:val="00340235"/>
    <w:rsid w:val="00341E3F"/>
    <w:rsid w:val="0034377D"/>
    <w:rsid w:val="003455D1"/>
    <w:rsid w:val="003476FE"/>
    <w:rsid w:val="00350F02"/>
    <w:rsid w:val="00357759"/>
    <w:rsid w:val="0036294B"/>
    <w:rsid w:val="00362B04"/>
    <w:rsid w:val="003633C0"/>
    <w:rsid w:val="00365700"/>
    <w:rsid w:val="003658AE"/>
    <w:rsid w:val="00366940"/>
    <w:rsid w:val="0037187A"/>
    <w:rsid w:val="00374036"/>
    <w:rsid w:val="0037441D"/>
    <w:rsid w:val="00381B8D"/>
    <w:rsid w:val="00384047"/>
    <w:rsid w:val="00386798"/>
    <w:rsid w:val="00387596"/>
    <w:rsid w:val="00390FA0"/>
    <w:rsid w:val="003A1688"/>
    <w:rsid w:val="003A3EB2"/>
    <w:rsid w:val="003A71BB"/>
    <w:rsid w:val="003B052A"/>
    <w:rsid w:val="003B36FB"/>
    <w:rsid w:val="003B38F1"/>
    <w:rsid w:val="003B7F64"/>
    <w:rsid w:val="003C34CB"/>
    <w:rsid w:val="003C3FDE"/>
    <w:rsid w:val="003C4C3A"/>
    <w:rsid w:val="003D0436"/>
    <w:rsid w:val="003D25CC"/>
    <w:rsid w:val="003D35C5"/>
    <w:rsid w:val="003D391B"/>
    <w:rsid w:val="003E0618"/>
    <w:rsid w:val="003E0B54"/>
    <w:rsid w:val="003E2DF5"/>
    <w:rsid w:val="003E3543"/>
    <w:rsid w:val="003E3A4A"/>
    <w:rsid w:val="003E4B44"/>
    <w:rsid w:val="003F6ADC"/>
    <w:rsid w:val="003F6E50"/>
    <w:rsid w:val="003F7C82"/>
    <w:rsid w:val="00400433"/>
    <w:rsid w:val="00401488"/>
    <w:rsid w:val="004051C6"/>
    <w:rsid w:val="00412720"/>
    <w:rsid w:val="00416BCD"/>
    <w:rsid w:val="00431E43"/>
    <w:rsid w:val="004357CE"/>
    <w:rsid w:val="00436F4C"/>
    <w:rsid w:val="00442AE3"/>
    <w:rsid w:val="00443789"/>
    <w:rsid w:val="004463AA"/>
    <w:rsid w:val="004469AF"/>
    <w:rsid w:val="00446DFD"/>
    <w:rsid w:val="00450151"/>
    <w:rsid w:val="00450327"/>
    <w:rsid w:val="00457D9A"/>
    <w:rsid w:val="00460C8A"/>
    <w:rsid w:val="00461E71"/>
    <w:rsid w:val="00462612"/>
    <w:rsid w:val="004663AC"/>
    <w:rsid w:val="00466939"/>
    <w:rsid w:val="0046728C"/>
    <w:rsid w:val="00470A67"/>
    <w:rsid w:val="0047760F"/>
    <w:rsid w:val="004815DD"/>
    <w:rsid w:val="00491DDD"/>
    <w:rsid w:val="0049285B"/>
    <w:rsid w:val="00497DE5"/>
    <w:rsid w:val="004A3FEE"/>
    <w:rsid w:val="004A49D7"/>
    <w:rsid w:val="004B70D2"/>
    <w:rsid w:val="004B78FC"/>
    <w:rsid w:val="004C1611"/>
    <w:rsid w:val="004C2CFE"/>
    <w:rsid w:val="004C48D3"/>
    <w:rsid w:val="004C653F"/>
    <w:rsid w:val="004C6EE8"/>
    <w:rsid w:val="004C72B8"/>
    <w:rsid w:val="004D04C3"/>
    <w:rsid w:val="004D2CF4"/>
    <w:rsid w:val="004D2E37"/>
    <w:rsid w:val="004D4711"/>
    <w:rsid w:val="004D54F8"/>
    <w:rsid w:val="004D666A"/>
    <w:rsid w:val="004D7BDD"/>
    <w:rsid w:val="004E32E0"/>
    <w:rsid w:val="004E6273"/>
    <w:rsid w:val="004F6633"/>
    <w:rsid w:val="004F7893"/>
    <w:rsid w:val="005012EA"/>
    <w:rsid w:val="0050461C"/>
    <w:rsid w:val="00510C4D"/>
    <w:rsid w:val="005127D0"/>
    <w:rsid w:val="00514F0A"/>
    <w:rsid w:val="0051671E"/>
    <w:rsid w:val="00523AC5"/>
    <w:rsid w:val="00523CB5"/>
    <w:rsid w:val="0052427E"/>
    <w:rsid w:val="00527230"/>
    <w:rsid w:val="00527394"/>
    <w:rsid w:val="0053074B"/>
    <w:rsid w:val="00535C30"/>
    <w:rsid w:val="0053653B"/>
    <w:rsid w:val="00536BEF"/>
    <w:rsid w:val="0054388E"/>
    <w:rsid w:val="00543D0F"/>
    <w:rsid w:val="005447F1"/>
    <w:rsid w:val="0054625A"/>
    <w:rsid w:val="005469DE"/>
    <w:rsid w:val="0054795E"/>
    <w:rsid w:val="00550A68"/>
    <w:rsid w:val="00562E8F"/>
    <w:rsid w:val="0056757A"/>
    <w:rsid w:val="00570F43"/>
    <w:rsid w:val="00572271"/>
    <w:rsid w:val="005730AE"/>
    <w:rsid w:val="00573AE0"/>
    <w:rsid w:val="0057461E"/>
    <w:rsid w:val="00574CB4"/>
    <w:rsid w:val="0058727B"/>
    <w:rsid w:val="005947E2"/>
    <w:rsid w:val="00594C50"/>
    <w:rsid w:val="005A4390"/>
    <w:rsid w:val="005B3E75"/>
    <w:rsid w:val="005B51B2"/>
    <w:rsid w:val="005B7D7A"/>
    <w:rsid w:val="005C0377"/>
    <w:rsid w:val="005C35BA"/>
    <w:rsid w:val="005C51ED"/>
    <w:rsid w:val="005C591B"/>
    <w:rsid w:val="005C5B47"/>
    <w:rsid w:val="005C5E0A"/>
    <w:rsid w:val="005C7348"/>
    <w:rsid w:val="005D0134"/>
    <w:rsid w:val="005D1728"/>
    <w:rsid w:val="005D49BC"/>
    <w:rsid w:val="005D515A"/>
    <w:rsid w:val="005D7289"/>
    <w:rsid w:val="005E0B6D"/>
    <w:rsid w:val="005E3430"/>
    <w:rsid w:val="005E4924"/>
    <w:rsid w:val="005E624B"/>
    <w:rsid w:val="005F45D9"/>
    <w:rsid w:val="005F4F3D"/>
    <w:rsid w:val="005F5498"/>
    <w:rsid w:val="005F737A"/>
    <w:rsid w:val="0060221D"/>
    <w:rsid w:val="00603DD1"/>
    <w:rsid w:val="0060686C"/>
    <w:rsid w:val="00606C2A"/>
    <w:rsid w:val="00606C47"/>
    <w:rsid w:val="0060746D"/>
    <w:rsid w:val="00610EB6"/>
    <w:rsid w:val="00620EB7"/>
    <w:rsid w:val="0062217E"/>
    <w:rsid w:val="00623425"/>
    <w:rsid w:val="00627CBE"/>
    <w:rsid w:val="006311BE"/>
    <w:rsid w:val="006349A6"/>
    <w:rsid w:val="00634E64"/>
    <w:rsid w:val="006359CD"/>
    <w:rsid w:val="006405F0"/>
    <w:rsid w:val="00640E8B"/>
    <w:rsid w:val="006429FE"/>
    <w:rsid w:val="00644855"/>
    <w:rsid w:val="00646F0D"/>
    <w:rsid w:val="006478A3"/>
    <w:rsid w:val="006522BF"/>
    <w:rsid w:val="00654B67"/>
    <w:rsid w:val="00656A71"/>
    <w:rsid w:val="0067026B"/>
    <w:rsid w:val="00672EE6"/>
    <w:rsid w:val="0067595A"/>
    <w:rsid w:val="00675981"/>
    <w:rsid w:val="006772ED"/>
    <w:rsid w:val="006775A5"/>
    <w:rsid w:val="00681CDC"/>
    <w:rsid w:val="00684BE4"/>
    <w:rsid w:val="006858ED"/>
    <w:rsid w:val="00685A04"/>
    <w:rsid w:val="00685A73"/>
    <w:rsid w:val="00686727"/>
    <w:rsid w:val="006931A2"/>
    <w:rsid w:val="006A2713"/>
    <w:rsid w:val="006A48A8"/>
    <w:rsid w:val="006A60E4"/>
    <w:rsid w:val="006A7E7D"/>
    <w:rsid w:val="006B0B07"/>
    <w:rsid w:val="006B3358"/>
    <w:rsid w:val="006C2D14"/>
    <w:rsid w:val="006D367F"/>
    <w:rsid w:val="006D379F"/>
    <w:rsid w:val="006D3920"/>
    <w:rsid w:val="006D4454"/>
    <w:rsid w:val="006E1B7F"/>
    <w:rsid w:val="006E6192"/>
    <w:rsid w:val="006F136E"/>
    <w:rsid w:val="006F7377"/>
    <w:rsid w:val="00700135"/>
    <w:rsid w:val="00701CC1"/>
    <w:rsid w:val="00710F74"/>
    <w:rsid w:val="00710F7E"/>
    <w:rsid w:val="007141C7"/>
    <w:rsid w:val="0071635A"/>
    <w:rsid w:val="00716634"/>
    <w:rsid w:val="00722425"/>
    <w:rsid w:val="00723BC2"/>
    <w:rsid w:val="00726DA4"/>
    <w:rsid w:val="007273F0"/>
    <w:rsid w:val="00727410"/>
    <w:rsid w:val="00727B8B"/>
    <w:rsid w:val="0073175B"/>
    <w:rsid w:val="00736449"/>
    <w:rsid w:val="0073720A"/>
    <w:rsid w:val="0074346F"/>
    <w:rsid w:val="007465D5"/>
    <w:rsid w:val="00746859"/>
    <w:rsid w:val="00750C31"/>
    <w:rsid w:val="0075334B"/>
    <w:rsid w:val="007535C0"/>
    <w:rsid w:val="00755588"/>
    <w:rsid w:val="0076051E"/>
    <w:rsid w:val="0076264A"/>
    <w:rsid w:val="0077147C"/>
    <w:rsid w:val="007764F9"/>
    <w:rsid w:val="00780813"/>
    <w:rsid w:val="00784BF9"/>
    <w:rsid w:val="00786EDB"/>
    <w:rsid w:val="00791D74"/>
    <w:rsid w:val="00793CB9"/>
    <w:rsid w:val="00793FBC"/>
    <w:rsid w:val="00794319"/>
    <w:rsid w:val="007B0A13"/>
    <w:rsid w:val="007B5E29"/>
    <w:rsid w:val="007B6D2B"/>
    <w:rsid w:val="007C002D"/>
    <w:rsid w:val="007C2A36"/>
    <w:rsid w:val="007D06B5"/>
    <w:rsid w:val="007D0D0A"/>
    <w:rsid w:val="007D0FE0"/>
    <w:rsid w:val="007D1CB8"/>
    <w:rsid w:val="007E1CB5"/>
    <w:rsid w:val="007E4E26"/>
    <w:rsid w:val="007F1047"/>
    <w:rsid w:val="007F1BE5"/>
    <w:rsid w:val="00801D45"/>
    <w:rsid w:val="0080323A"/>
    <w:rsid w:val="008058EE"/>
    <w:rsid w:val="00806101"/>
    <w:rsid w:val="00811F41"/>
    <w:rsid w:val="008249F5"/>
    <w:rsid w:val="00824CA3"/>
    <w:rsid w:val="00824F29"/>
    <w:rsid w:val="00831991"/>
    <w:rsid w:val="0083317F"/>
    <w:rsid w:val="0083348B"/>
    <w:rsid w:val="008342B1"/>
    <w:rsid w:val="00835A32"/>
    <w:rsid w:val="008369CF"/>
    <w:rsid w:val="00836E3C"/>
    <w:rsid w:val="00837AED"/>
    <w:rsid w:val="00841034"/>
    <w:rsid w:val="008440C9"/>
    <w:rsid w:val="008444B7"/>
    <w:rsid w:val="0084666E"/>
    <w:rsid w:val="0085304A"/>
    <w:rsid w:val="008563E8"/>
    <w:rsid w:val="00857941"/>
    <w:rsid w:val="00862683"/>
    <w:rsid w:val="00862F5A"/>
    <w:rsid w:val="008631AC"/>
    <w:rsid w:val="00863C4E"/>
    <w:rsid w:val="00865E86"/>
    <w:rsid w:val="0086600B"/>
    <w:rsid w:val="00872A93"/>
    <w:rsid w:val="00875F63"/>
    <w:rsid w:val="00877604"/>
    <w:rsid w:val="0088086B"/>
    <w:rsid w:val="008811E3"/>
    <w:rsid w:val="0088475F"/>
    <w:rsid w:val="0089168E"/>
    <w:rsid w:val="00891B7D"/>
    <w:rsid w:val="00895FB7"/>
    <w:rsid w:val="0089745A"/>
    <w:rsid w:val="008A2A0A"/>
    <w:rsid w:val="008A3467"/>
    <w:rsid w:val="008A3A9E"/>
    <w:rsid w:val="008B0EEB"/>
    <w:rsid w:val="008B379D"/>
    <w:rsid w:val="008C19B3"/>
    <w:rsid w:val="008D24D9"/>
    <w:rsid w:val="008D2CF6"/>
    <w:rsid w:val="008D5279"/>
    <w:rsid w:val="008D6E25"/>
    <w:rsid w:val="008E2EA8"/>
    <w:rsid w:val="008E3D9E"/>
    <w:rsid w:val="008E424B"/>
    <w:rsid w:val="008E63D3"/>
    <w:rsid w:val="008E774A"/>
    <w:rsid w:val="008F5555"/>
    <w:rsid w:val="008F644F"/>
    <w:rsid w:val="009033E4"/>
    <w:rsid w:val="00903927"/>
    <w:rsid w:val="00904FEA"/>
    <w:rsid w:val="00910D7F"/>
    <w:rsid w:val="009119DC"/>
    <w:rsid w:val="00914B6D"/>
    <w:rsid w:val="00920521"/>
    <w:rsid w:val="00920A51"/>
    <w:rsid w:val="00925FB2"/>
    <w:rsid w:val="009260AC"/>
    <w:rsid w:val="00933243"/>
    <w:rsid w:val="00942022"/>
    <w:rsid w:val="00947DDD"/>
    <w:rsid w:val="0095311A"/>
    <w:rsid w:val="0096037D"/>
    <w:rsid w:val="0096350E"/>
    <w:rsid w:val="00967780"/>
    <w:rsid w:val="00983E4D"/>
    <w:rsid w:val="0098606F"/>
    <w:rsid w:val="009953D3"/>
    <w:rsid w:val="009960B1"/>
    <w:rsid w:val="00996D30"/>
    <w:rsid w:val="009A546B"/>
    <w:rsid w:val="009A77A0"/>
    <w:rsid w:val="009B0FA3"/>
    <w:rsid w:val="009B1C43"/>
    <w:rsid w:val="009C11E0"/>
    <w:rsid w:val="009C17CF"/>
    <w:rsid w:val="009D017F"/>
    <w:rsid w:val="009D2F28"/>
    <w:rsid w:val="009D3198"/>
    <w:rsid w:val="009D51BA"/>
    <w:rsid w:val="009E0D55"/>
    <w:rsid w:val="009E53BC"/>
    <w:rsid w:val="009E7041"/>
    <w:rsid w:val="009F3D07"/>
    <w:rsid w:val="009F5C69"/>
    <w:rsid w:val="00A01168"/>
    <w:rsid w:val="00A02BE7"/>
    <w:rsid w:val="00A06C2F"/>
    <w:rsid w:val="00A1092D"/>
    <w:rsid w:val="00A12692"/>
    <w:rsid w:val="00A1559F"/>
    <w:rsid w:val="00A24BE9"/>
    <w:rsid w:val="00A31576"/>
    <w:rsid w:val="00A325D8"/>
    <w:rsid w:val="00A44B24"/>
    <w:rsid w:val="00A46EBA"/>
    <w:rsid w:val="00A50D4F"/>
    <w:rsid w:val="00A51D1B"/>
    <w:rsid w:val="00A524AC"/>
    <w:rsid w:val="00A52EB4"/>
    <w:rsid w:val="00A57296"/>
    <w:rsid w:val="00A5782C"/>
    <w:rsid w:val="00A57894"/>
    <w:rsid w:val="00A6119A"/>
    <w:rsid w:val="00A625A2"/>
    <w:rsid w:val="00A66BDB"/>
    <w:rsid w:val="00A7600A"/>
    <w:rsid w:val="00A80C35"/>
    <w:rsid w:val="00A83CC2"/>
    <w:rsid w:val="00A849AB"/>
    <w:rsid w:val="00A94160"/>
    <w:rsid w:val="00A9631B"/>
    <w:rsid w:val="00A96C8C"/>
    <w:rsid w:val="00AB21E1"/>
    <w:rsid w:val="00AB27F4"/>
    <w:rsid w:val="00AB3196"/>
    <w:rsid w:val="00AB369B"/>
    <w:rsid w:val="00AB4DBF"/>
    <w:rsid w:val="00AB5D1B"/>
    <w:rsid w:val="00AC1B2E"/>
    <w:rsid w:val="00AC3BD2"/>
    <w:rsid w:val="00AC6230"/>
    <w:rsid w:val="00AD1EBF"/>
    <w:rsid w:val="00AD55F5"/>
    <w:rsid w:val="00AD5FD9"/>
    <w:rsid w:val="00AD7BDE"/>
    <w:rsid w:val="00AE58BD"/>
    <w:rsid w:val="00AE7765"/>
    <w:rsid w:val="00AF073F"/>
    <w:rsid w:val="00AF6AD4"/>
    <w:rsid w:val="00AF6B4D"/>
    <w:rsid w:val="00AF6E6A"/>
    <w:rsid w:val="00B018F4"/>
    <w:rsid w:val="00B0648B"/>
    <w:rsid w:val="00B1120A"/>
    <w:rsid w:val="00B17D75"/>
    <w:rsid w:val="00B24706"/>
    <w:rsid w:val="00B24B2A"/>
    <w:rsid w:val="00B2502F"/>
    <w:rsid w:val="00B25594"/>
    <w:rsid w:val="00B37B86"/>
    <w:rsid w:val="00B40676"/>
    <w:rsid w:val="00B40C98"/>
    <w:rsid w:val="00B421C2"/>
    <w:rsid w:val="00B52D62"/>
    <w:rsid w:val="00B55C02"/>
    <w:rsid w:val="00B623E5"/>
    <w:rsid w:val="00B660C6"/>
    <w:rsid w:val="00B66D86"/>
    <w:rsid w:val="00B66EAF"/>
    <w:rsid w:val="00B6757E"/>
    <w:rsid w:val="00B721CB"/>
    <w:rsid w:val="00B74871"/>
    <w:rsid w:val="00B86F68"/>
    <w:rsid w:val="00B8794E"/>
    <w:rsid w:val="00B91C0B"/>
    <w:rsid w:val="00B92870"/>
    <w:rsid w:val="00B92908"/>
    <w:rsid w:val="00B95109"/>
    <w:rsid w:val="00B96219"/>
    <w:rsid w:val="00B96AD2"/>
    <w:rsid w:val="00BA154D"/>
    <w:rsid w:val="00BA73BF"/>
    <w:rsid w:val="00BB17D6"/>
    <w:rsid w:val="00BB3A11"/>
    <w:rsid w:val="00BB549A"/>
    <w:rsid w:val="00BC3DB6"/>
    <w:rsid w:val="00BC5B75"/>
    <w:rsid w:val="00BC770A"/>
    <w:rsid w:val="00BD219A"/>
    <w:rsid w:val="00BD3A39"/>
    <w:rsid w:val="00BE0335"/>
    <w:rsid w:val="00BE1D0C"/>
    <w:rsid w:val="00BE52B1"/>
    <w:rsid w:val="00BF05E1"/>
    <w:rsid w:val="00BF1E5E"/>
    <w:rsid w:val="00BF2F71"/>
    <w:rsid w:val="00BF525C"/>
    <w:rsid w:val="00C002D6"/>
    <w:rsid w:val="00C03DFD"/>
    <w:rsid w:val="00C33D98"/>
    <w:rsid w:val="00C403A8"/>
    <w:rsid w:val="00C456FC"/>
    <w:rsid w:val="00C45C52"/>
    <w:rsid w:val="00C50DB1"/>
    <w:rsid w:val="00C5538D"/>
    <w:rsid w:val="00C61238"/>
    <w:rsid w:val="00C613CC"/>
    <w:rsid w:val="00C65C6B"/>
    <w:rsid w:val="00C66AED"/>
    <w:rsid w:val="00C724A9"/>
    <w:rsid w:val="00C72D54"/>
    <w:rsid w:val="00C803C6"/>
    <w:rsid w:val="00C81461"/>
    <w:rsid w:val="00C82930"/>
    <w:rsid w:val="00C82B0D"/>
    <w:rsid w:val="00C929E9"/>
    <w:rsid w:val="00C92E2A"/>
    <w:rsid w:val="00C94A4A"/>
    <w:rsid w:val="00C962B1"/>
    <w:rsid w:val="00CA12E5"/>
    <w:rsid w:val="00CA3F67"/>
    <w:rsid w:val="00CB0DB5"/>
    <w:rsid w:val="00CB3DAE"/>
    <w:rsid w:val="00CB6D35"/>
    <w:rsid w:val="00CC095D"/>
    <w:rsid w:val="00CC27F3"/>
    <w:rsid w:val="00CC35B0"/>
    <w:rsid w:val="00CD2655"/>
    <w:rsid w:val="00CD3581"/>
    <w:rsid w:val="00CD3B6C"/>
    <w:rsid w:val="00CD6EEC"/>
    <w:rsid w:val="00CE4016"/>
    <w:rsid w:val="00CF1600"/>
    <w:rsid w:val="00CF2470"/>
    <w:rsid w:val="00CF5FB4"/>
    <w:rsid w:val="00CF6A1C"/>
    <w:rsid w:val="00CF7764"/>
    <w:rsid w:val="00D000F9"/>
    <w:rsid w:val="00D001B1"/>
    <w:rsid w:val="00D035CE"/>
    <w:rsid w:val="00D1163C"/>
    <w:rsid w:val="00D130E0"/>
    <w:rsid w:val="00D179B1"/>
    <w:rsid w:val="00D30B41"/>
    <w:rsid w:val="00D3159E"/>
    <w:rsid w:val="00D35E19"/>
    <w:rsid w:val="00D40282"/>
    <w:rsid w:val="00D5151E"/>
    <w:rsid w:val="00D62B3B"/>
    <w:rsid w:val="00D65E30"/>
    <w:rsid w:val="00D71A6B"/>
    <w:rsid w:val="00D766DC"/>
    <w:rsid w:val="00D80DC7"/>
    <w:rsid w:val="00D83501"/>
    <w:rsid w:val="00D85D68"/>
    <w:rsid w:val="00D86113"/>
    <w:rsid w:val="00D86BB9"/>
    <w:rsid w:val="00D93A98"/>
    <w:rsid w:val="00D94864"/>
    <w:rsid w:val="00D96D18"/>
    <w:rsid w:val="00DA041E"/>
    <w:rsid w:val="00DA4691"/>
    <w:rsid w:val="00DB1329"/>
    <w:rsid w:val="00DB6C47"/>
    <w:rsid w:val="00DC40BA"/>
    <w:rsid w:val="00DC4D3E"/>
    <w:rsid w:val="00DC72F4"/>
    <w:rsid w:val="00DC762F"/>
    <w:rsid w:val="00DD2575"/>
    <w:rsid w:val="00DD5415"/>
    <w:rsid w:val="00DD7AE6"/>
    <w:rsid w:val="00DD7C3A"/>
    <w:rsid w:val="00DE323C"/>
    <w:rsid w:val="00DE6A4C"/>
    <w:rsid w:val="00DF43BE"/>
    <w:rsid w:val="00E00E70"/>
    <w:rsid w:val="00E00E7B"/>
    <w:rsid w:val="00E0306F"/>
    <w:rsid w:val="00E04FB0"/>
    <w:rsid w:val="00E12679"/>
    <w:rsid w:val="00E155BD"/>
    <w:rsid w:val="00E16CB9"/>
    <w:rsid w:val="00E2219E"/>
    <w:rsid w:val="00E42A6B"/>
    <w:rsid w:val="00E473B2"/>
    <w:rsid w:val="00E50C9A"/>
    <w:rsid w:val="00E50D2C"/>
    <w:rsid w:val="00E529D5"/>
    <w:rsid w:val="00E541FF"/>
    <w:rsid w:val="00E5669E"/>
    <w:rsid w:val="00E6410C"/>
    <w:rsid w:val="00E65C63"/>
    <w:rsid w:val="00E66086"/>
    <w:rsid w:val="00E7266E"/>
    <w:rsid w:val="00E74580"/>
    <w:rsid w:val="00E77411"/>
    <w:rsid w:val="00E77C90"/>
    <w:rsid w:val="00E81914"/>
    <w:rsid w:val="00E85547"/>
    <w:rsid w:val="00E877D2"/>
    <w:rsid w:val="00E930D1"/>
    <w:rsid w:val="00E9398C"/>
    <w:rsid w:val="00E9658C"/>
    <w:rsid w:val="00E96685"/>
    <w:rsid w:val="00EA30E3"/>
    <w:rsid w:val="00EA3543"/>
    <w:rsid w:val="00EA6B8A"/>
    <w:rsid w:val="00EB35FF"/>
    <w:rsid w:val="00EB413E"/>
    <w:rsid w:val="00EB61BC"/>
    <w:rsid w:val="00EB6CF9"/>
    <w:rsid w:val="00EC1F78"/>
    <w:rsid w:val="00ED435E"/>
    <w:rsid w:val="00ED73AA"/>
    <w:rsid w:val="00EE46AF"/>
    <w:rsid w:val="00EF1863"/>
    <w:rsid w:val="00EF3021"/>
    <w:rsid w:val="00EF352C"/>
    <w:rsid w:val="00EF4BBE"/>
    <w:rsid w:val="00F03CEC"/>
    <w:rsid w:val="00F04F8F"/>
    <w:rsid w:val="00F1150D"/>
    <w:rsid w:val="00F118B1"/>
    <w:rsid w:val="00F2050B"/>
    <w:rsid w:val="00F20DE1"/>
    <w:rsid w:val="00F230B4"/>
    <w:rsid w:val="00F25AC7"/>
    <w:rsid w:val="00F40277"/>
    <w:rsid w:val="00F53C65"/>
    <w:rsid w:val="00F53E78"/>
    <w:rsid w:val="00F53F66"/>
    <w:rsid w:val="00F567CE"/>
    <w:rsid w:val="00F5703A"/>
    <w:rsid w:val="00F63758"/>
    <w:rsid w:val="00F671FC"/>
    <w:rsid w:val="00F67B37"/>
    <w:rsid w:val="00F67FC5"/>
    <w:rsid w:val="00F7019D"/>
    <w:rsid w:val="00F71E21"/>
    <w:rsid w:val="00F72F7D"/>
    <w:rsid w:val="00F77E50"/>
    <w:rsid w:val="00F8018C"/>
    <w:rsid w:val="00F84AC5"/>
    <w:rsid w:val="00F87528"/>
    <w:rsid w:val="00F90926"/>
    <w:rsid w:val="00F938DD"/>
    <w:rsid w:val="00FA22A3"/>
    <w:rsid w:val="00FA3199"/>
    <w:rsid w:val="00FA3F80"/>
    <w:rsid w:val="00FA52D1"/>
    <w:rsid w:val="00FB2849"/>
    <w:rsid w:val="00FB2FC7"/>
    <w:rsid w:val="00FB32F3"/>
    <w:rsid w:val="00FB740D"/>
    <w:rsid w:val="00FB7F2D"/>
    <w:rsid w:val="00FC229E"/>
    <w:rsid w:val="00FC2992"/>
    <w:rsid w:val="00FC6353"/>
    <w:rsid w:val="00FD04AC"/>
    <w:rsid w:val="00FE72DB"/>
    <w:rsid w:val="00FF09AB"/>
    <w:rsid w:val="00FF0A73"/>
    <w:rsid w:val="00FF1912"/>
    <w:rsid w:val="00FF2104"/>
    <w:rsid w:val="00FF3A3D"/>
    <w:rsid w:val="00FF452A"/>
    <w:rsid w:val="00FF478E"/>
    <w:rsid w:val="00FF53DB"/>
    <w:rsid w:val="7BAC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6F4E0B"/>
  <w15:docId w15:val="{8A3C1FF1-0A0B-44CC-9BF2-06C75847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5700"/>
    <w:pPr>
      <w:widowControl w:val="0"/>
      <w:jc w:val="both"/>
    </w:pPr>
    <w:rPr>
      <w:rFonts w:ascii="Times New Roman" w:hAnsi="Times New Roman"/>
      <w:kern w:val="2"/>
      <w:sz w:val="21"/>
      <w:szCs w:val="24"/>
    </w:rPr>
  </w:style>
  <w:style w:type="paragraph" w:styleId="2">
    <w:name w:val="heading 2"/>
    <w:basedOn w:val="a0"/>
    <w:next w:val="a0"/>
    <w:link w:val="20"/>
    <w:qFormat/>
    <w:rsid w:val="00365700"/>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365700"/>
    <w:rPr>
      <w:i w:val="0"/>
      <w:iCs w:val="0"/>
      <w:color w:val="CC0000"/>
    </w:rPr>
  </w:style>
  <w:style w:type="character" w:customStyle="1" w:styleId="21">
    <w:name w:val="正文文本 2 字符"/>
    <w:basedOn w:val="a1"/>
    <w:link w:val="22"/>
    <w:rsid w:val="00365700"/>
    <w:rPr>
      <w:rFonts w:ascii="Times New Roman" w:eastAsia="黑体" w:hAnsi="Times New Roman" w:cs="Times New Roman"/>
      <w:sz w:val="28"/>
      <w:szCs w:val="24"/>
    </w:rPr>
  </w:style>
  <w:style w:type="character" w:customStyle="1" w:styleId="20">
    <w:name w:val="标题 2 字符"/>
    <w:basedOn w:val="a1"/>
    <w:link w:val="2"/>
    <w:rsid w:val="00365700"/>
    <w:rPr>
      <w:rFonts w:ascii="Arial" w:eastAsia="黑体" w:hAnsi="Arial" w:cs="Times New Roman"/>
      <w:b/>
      <w:bCs/>
      <w:sz w:val="32"/>
      <w:szCs w:val="32"/>
    </w:rPr>
  </w:style>
  <w:style w:type="character" w:customStyle="1" w:styleId="a5">
    <w:name w:val="日期 字符"/>
    <w:basedOn w:val="a1"/>
    <w:link w:val="a6"/>
    <w:uiPriority w:val="99"/>
    <w:semiHidden/>
    <w:rsid w:val="00365700"/>
    <w:rPr>
      <w:rFonts w:ascii="Times New Roman" w:hAnsi="Times New Roman"/>
      <w:kern w:val="2"/>
      <w:sz w:val="21"/>
      <w:szCs w:val="24"/>
    </w:rPr>
  </w:style>
  <w:style w:type="character" w:customStyle="1" w:styleId="a7">
    <w:name w:val="正文文本 字符"/>
    <w:basedOn w:val="a1"/>
    <w:link w:val="a8"/>
    <w:rsid w:val="00365700"/>
    <w:rPr>
      <w:rFonts w:ascii="Times New Roman" w:eastAsia="宋体" w:hAnsi="Times New Roman" w:cs="Times New Roman"/>
      <w:b/>
      <w:bCs/>
      <w:sz w:val="28"/>
      <w:szCs w:val="24"/>
    </w:rPr>
  </w:style>
  <w:style w:type="character" w:customStyle="1" w:styleId="a9">
    <w:name w:val="批注框文本 字符"/>
    <w:basedOn w:val="a1"/>
    <w:link w:val="aa"/>
    <w:uiPriority w:val="99"/>
    <w:semiHidden/>
    <w:rsid w:val="00365700"/>
    <w:rPr>
      <w:rFonts w:ascii="Times New Roman" w:hAnsi="Times New Roman"/>
      <w:kern w:val="2"/>
      <w:sz w:val="18"/>
      <w:szCs w:val="18"/>
    </w:rPr>
  </w:style>
  <w:style w:type="character" w:customStyle="1" w:styleId="Char">
    <w:name w:val="段 Char"/>
    <w:basedOn w:val="a1"/>
    <w:link w:val="ab"/>
    <w:qFormat/>
    <w:rsid w:val="00365700"/>
    <w:rPr>
      <w:rFonts w:ascii="宋体" w:hAnsi="Times New Roman"/>
      <w:sz w:val="21"/>
      <w:lang w:val="en-US" w:eastAsia="zh-CN" w:bidi="ar-SA"/>
    </w:rPr>
  </w:style>
  <w:style w:type="character" w:customStyle="1" w:styleId="ac">
    <w:name w:val="页眉 字符"/>
    <w:basedOn w:val="a1"/>
    <w:link w:val="ad"/>
    <w:uiPriority w:val="99"/>
    <w:semiHidden/>
    <w:rsid w:val="00365700"/>
    <w:rPr>
      <w:sz w:val="18"/>
      <w:szCs w:val="18"/>
    </w:rPr>
  </w:style>
  <w:style w:type="character" w:customStyle="1" w:styleId="ae">
    <w:name w:val="页脚 字符"/>
    <w:basedOn w:val="a1"/>
    <w:link w:val="af"/>
    <w:uiPriority w:val="99"/>
    <w:rsid w:val="00365700"/>
    <w:rPr>
      <w:sz w:val="18"/>
      <w:szCs w:val="18"/>
    </w:rPr>
  </w:style>
  <w:style w:type="character" w:customStyle="1" w:styleId="3">
    <w:name w:val="正文文本缩进 3 字符"/>
    <w:basedOn w:val="a1"/>
    <w:link w:val="30"/>
    <w:uiPriority w:val="99"/>
    <w:semiHidden/>
    <w:rsid w:val="00365700"/>
    <w:rPr>
      <w:rFonts w:ascii="Times New Roman" w:hAnsi="Times New Roman"/>
      <w:kern w:val="2"/>
      <w:sz w:val="16"/>
      <w:szCs w:val="16"/>
    </w:rPr>
  </w:style>
  <w:style w:type="paragraph" w:customStyle="1" w:styleId="af0">
    <w:name w:val="封面标准英文名称"/>
    <w:rsid w:val="00365700"/>
    <w:pPr>
      <w:widowControl w:val="0"/>
      <w:spacing w:before="370" w:line="400" w:lineRule="exact"/>
      <w:jc w:val="center"/>
    </w:pPr>
    <w:rPr>
      <w:rFonts w:ascii="Times New Roman" w:hAnsi="Times New Roman"/>
      <w:sz w:val="28"/>
    </w:rPr>
  </w:style>
  <w:style w:type="paragraph" w:styleId="a8">
    <w:name w:val="Body Text"/>
    <w:basedOn w:val="a0"/>
    <w:link w:val="a7"/>
    <w:rsid w:val="00365700"/>
    <w:rPr>
      <w:b/>
      <w:bCs/>
      <w:sz w:val="28"/>
    </w:rPr>
  </w:style>
  <w:style w:type="paragraph" w:styleId="a6">
    <w:name w:val="Date"/>
    <w:basedOn w:val="a0"/>
    <w:next w:val="a0"/>
    <w:link w:val="a5"/>
    <w:uiPriority w:val="99"/>
    <w:unhideWhenUsed/>
    <w:rsid w:val="00365700"/>
    <w:pPr>
      <w:ind w:leftChars="2500" w:left="100"/>
    </w:pPr>
  </w:style>
  <w:style w:type="paragraph" w:styleId="af">
    <w:name w:val="footer"/>
    <w:basedOn w:val="a0"/>
    <w:link w:val="ae"/>
    <w:uiPriority w:val="99"/>
    <w:unhideWhenUsed/>
    <w:rsid w:val="00365700"/>
    <w:pPr>
      <w:tabs>
        <w:tab w:val="center" w:pos="4153"/>
        <w:tab w:val="right" w:pos="8306"/>
      </w:tabs>
      <w:snapToGrid w:val="0"/>
      <w:jc w:val="left"/>
    </w:pPr>
    <w:rPr>
      <w:rFonts w:ascii="Calibri" w:hAnsi="Calibri"/>
      <w:sz w:val="18"/>
      <w:szCs w:val="18"/>
    </w:rPr>
  </w:style>
  <w:style w:type="paragraph" w:styleId="aa">
    <w:name w:val="Balloon Text"/>
    <w:basedOn w:val="a0"/>
    <w:link w:val="a9"/>
    <w:uiPriority w:val="99"/>
    <w:unhideWhenUsed/>
    <w:rsid w:val="00365700"/>
    <w:rPr>
      <w:sz w:val="18"/>
      <w:szCs w:val="18"/>
    </w:rPr>
  </w:style>
  <w:style w:type="paragraph" w:styleId="22">
    <w:name w:val="Body Text 2"/>
    <w:basedOn w:val="a0"/>
    <w:link w:val="21"/>
    <w:rsid w:val="00365700"/>
    <w:rPr>
      <w:rFonts w:eastAsia="黑体"/>
      <w:sz w:val="28"/>
    </w:rPr>
  </w:style>
  <w:style w:type="paragraph" w:styleId="ad">
    <w:name w:val="header"/>
    <w:basedOn w:val="a0"/>
    <w:link w:val="ac"/>
    <w:unhideWhenUsed/>
    <w:rsid w:val="00365700"/>
    <w:pPr>
      <w:pBdr>
        <w:bottom w:val="single" w:sz="6" w:space="1" w:color="auto"/>
      </w:pBdr>
      <w:tabs>
        <w:tab w:val="center" w:pos="4153"/>
        <w:tab w:val="right" w:pos="8306"/>
      </w:tabs>
      <w:snapToGrid w:val="0"/>
      <w:jc w:val="center"/>
    </w:pPr>
    <w:rPr>
      <w:rFonts w:ascii="Calibri" w:hAnsi="Calibri"/>
      <w:sz w:val="18"/>
      <w:szCs w:val="18"/>
    </w:rPr>
  </w:style>
  <w:style w:type="paragraph" w:styleId="30">
    <w:name w:val="Body Text Indent 3"/>
    <w:basedOn w:val="a0"/>
    <w:link w:val="3"/>
    <w:uiPriority w:val="99"/>
    <w:unhideWhenUsed/>
    <w:rsid w:val="00365700"/>
    <w:pPr>
      <w:spacing w:after="120"/>
      <w:ind w:leftChars="200" w:left="420"/>
    </w:pPr>
    <w:rPr>
      <w:sz w:val="16"/>
      <w:szCs w:val="16"/>
    </w:rPr>
  </w:style>
  <w:style w:type="paragraph" w:customStyle="1" w:styleId="ab">
    <w:name w:val="段"/>
    <w:link w:val="Char"/>
    <w:qFormat/>
    <w:rsid w:val="00365700"/>
    <w:pPr>
      <w:autoSpaceDE w:val="0"/>
      <w:autoSpaceDN w:val="0"/>
      <w:ind w:firstLineChars="200" w:firstLine="200"/>
      <w:jc w:val="both"/>
    </w:pPr>
    <w:rPr>
      <w:rFonts w:ascii="宋体" w:hAnsi="Times New Roman"/>
      <w:sz w:val="21"/>
    </w:rPr>
  </w:style>
  <w:style w:type="paragraph" w:customStyle="1" w:styleId="af1">
    <w:name w:val="前言、引言标题"/>
    <w:next w:val="a0"/>
    <w:rsid w:val="00365700"/>
    <w:pPr>
      <w:shd w:val="clear" w:color="FFFFFF" w:fill="FFFFFF"/>
      <w:spacing w:before="640" w:after="560"/>
      <w:jc w:val="center"/>
      <w:outlineLvl w:val="0"/>
    </w:pPr>
    <w:rPr>
      <w:rFonts w:ascii="黑体" w:eastAsia="黑体" w:hAnsi="Times New Roman"/>
      <w:sz w:val="32"/>
    </w:rPr>
  </w:style>
  <w:style w:type="paragraph" w:customStyle="1" w:styleId="af2">
    <w:name w:val="章标题"/>
    <w:next w:val="ab"/>
    <w:rsid w:val="00365700"/>
    <w:pPr>
      <w:spacing w:beforeLines="50" w:afterLines="50"/>
      <w:jc w:val="both"/>
      <w:outlineLvl w:val="1"/>
    </w:pPr>
    <w:rPr>
      <w:rFonts w:ascii="黑体" w:eastAsia="黑体" w:hAnsi="Times New Roman"/>
      <w:sz w:val="21"/>
    </w:rPr>
  </w:style>
  <w:style w:type="paragraph" w:customStyle="1" w:styleId="af3">
    <w:name w:val="一级条标题"/>
    <w:next w:val="ab"/>
    <w:rsid w:val="00365700"/>
    <w:pPr>
      <w:outlineLvl w:val="2"/>
    </w:pPr>
    <w:rPr>
      <w:rFonts w:ascii="Times New Roman" w:eastAsia="黑体" w:hAnsi="Times New Roman"/>
      <w:sz w:val="21"/>
    </w:rPr>
  </w:style>
  <w:style w:type="paragraph" w:customStyle="1" w:styleId="af4">
    <w:name w:val="二级条标题"/>
    <w:basedOn w:val="af3"/>
    <w:next w:val="ab"/>
    <w:rsid w:val="00365700"/>
    <w:pPr>
      <w:ind w:left="105"/>
      <w:outlineLvl w:val="3"/>
    </w:pPr>
  </w:style>
  <w:style w:type="paragraph" w:customStyle="1" w:styleId="af5">
    <w:name w:val="实施日期"/>
    <w:basedOn w:val="a0"/>
    <w:rsid w:val="00365700"/>
    <w:pPr>
      <w:framePr w:w="4000" w:h="473" w:hRule="exact" w:vSpace="180" w:wrap="around" w:hAnchor="margin" w:xAlign="right" w:y="13511" w:anchorLock="1"/>
      <w:widowControl/>
      <w:jc w:val="right"/>
    </w:pPr>
    <w:rPr>
      <w:rFonts w:eastAsia="黑体"/>
      <w:kern w:val="0"/>
      <w:sz w:val="28"/>
      <w:szCs w:val="20"/>
    </w:rPr>
  </w:style>
  <w:style w:type="paragraph" w:customStyle="1" w:styleId="af6">
    <w:name w:val="图表脚注"/>
    <w:next w:val="ab"/>
    <w:rsid w:val="00365700"/>
    <w:pPr>
      <w:ind w:leftChars="200" w:left="300" w:hangingChars="100" w:hanging="100"/>
      <w:jc w:val="both"/>
    </w:pPr>
    <w:rPr>
      <w:rFonts w:ascii="宋体" w:hAnsi="Times New Roman"/>
      <w:sz w:val="18"/>
    </w:rPr>
  </w:style>
  <w:style w:type="table" w:styleId="af7">
    <w:name w:val="Table Grid"/>
    <w:basedOn w:val="a2"/>
    <w:rsid w:val="0036570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rsid w:val="00FE72DB"/>
    <w:rPr>
      <w:color w:val="0000FF"/>
      <w:u w:val="single"/>
    </w:rPr>
  </w:style>
  <w:style w:type="paragraph" w:styleId="af9">
    <w:name w:val="annotation text"/>
    <w:basedOn w:val="a0"/>
    <w:link w:val="afa"/>
    <w:qFormat/>
    <w:rsid w:val="00B6757E"/>
    <w:pPr>
      <w:adjustRightInd w:val="0"/>
      <w:spacing w:line="312" w:lineRule="atLeast"/>
      <w:jc w:val="left"/>
      <w:textAlignment w:val="baseline"/>
    </w:pPr>
    <w:rPr>
      <w:rFonts w:ascii="CG Times (W1)" w:eastAsia="仿宋_GB2312" w:hAnsi="CG Times (W1)" w:cs="CG Times (W1)"/>
      <w:kern w:val="0"/>
      <w:sz w:val="30"/>
      <w:szCs w:val="30"/>
    </w:rPr>
  </w:style>
  <w:style w:type="character" w:customStyle="1" w:styleId="afa">
    <w:name w:val="批注文字 字符"/>
    <w:basedOn w:val="a1"/>
    <w:link w:val="af9"/>
    <w:qFormat/>
    <w:rsid w:val="00B6757E"/>
    <w:rPr>
      <w:rFonts w:ascii="CG Times (W1)" w:eastAsia="仿宋_GB2312" w:hAnsi="CG Times (W1)" w:cs="CG Times (W1)"/>
      <w:sz w:val="30"/>
      <w:szCs w:val="30"/>
    </w:rPr>
  </w:style>
  <w:style w:type="character" w:styleId="afb">
    <w:name w:val="annotation reference"/>
    <w:qFormat/>
    <w:rsid w:val="00B6757E"/>
    <w:rPr>
      <w:sz w:val="21"/>
      <w:szCs w:val="21"/>
    </w:rPr>
  </w:style>
  <w:style w:type="character" w:customStyle="1" w:styleId="CharChar">
    <w:name w:val="段 Char Char"/>
    <w:qFormat/>
    <w:rsid w:val="001F676E"/>
    <w:rPr>
      <w:rFonts w:ascii="宋体"/>
      <w:sz w:val="21"/>
      <w:lang w:val="en-US" w:eastAsia="zh-CN" w:bidi="ar-SA"/>
    </w:rPr>
  </w:style>
  <w:style w:type="paragraph" w:styleId="afc">
    <w:name w:val="List Paragraph"/>
    <w:basedOn w:val="a0"/>
    <w:uiPriority w:val="99"/>
    <w:rsid w:val="008E3D9E"/>
    <w:pPr>
      <w:ind w:firstLineChars="200" w:firstLine="420"/>
    </w:pPr>
  </w:style>
  <w:style w:type="paragraph" w:customStyle="1" w:styleId="a">
    <w:name w:val="正文表标题"/>
    <w:next w:val="ab"/>
    <w:uiPriority w:val="99"/>
    <w:qFormat/>
    <w:rsid w:val="00F77E50"/>
    <w:pPr>
      <w:numPr>
        <w:numId w:val="2"/>
      </w:numPr>
      <w:spacing w:beforeLines="50" w:afterLines="5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AAE7C-554B-489A-8F86-1B86EF2A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645</Words>
  <Characters>3682</Characters>
  <Application>Microsoft Office Word</Application>
  <DocSecurity>0</DocSecurity>
  <Lines>30</Lines>
  <Paragraphs>8</Paragraphs>
  <ScaleCrop>false</ScaleCrop>
  <Company>微软中国</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Ni-Cr-B-Si系自熔合金粉</dc:title>
  <dc:subject/>
  <dc:creator>DADI</dc:creator>
  <cp:keywords/>
  <cp:lastModifiedBy>huang weiwu</cp:lastModifiedBy>
  <cp:revision>2</cp:revision>
  <cp:lastPrinted>2012-04-20T02:26:00Z</cp:lastPrinted>
  <dcterms:created xsi:type="dcterms:W3CDTF">2022-09-16T03:31:00Z</dcterms:created>
  <dcterms:modified xsi:type="dcterms:W3CDTF">2022-09-16T03:31:00Z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