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jc w:val="right"/>
      </w:pPr>
      <w:bookmarkStart w:id="0" w:name="SectionMark0"/>
      <w:r>
        <w:drawing>
          <wp:anchor distT="0" distB="0" distL="114300" distR="114300" simplePos="0" relativeHeight="251660288" behindDoc="0" locked="0" layoutInCell="1" allowOverlap="1">
            <wp:simplePos x="0" y="0"/>
            <wp:positionH relativeFrom="column">
              <wp:posOffset>4224020</wp:posOffset>
            </wp:positionH>
            <wp:positionV relativeFrom="paragraph">
              <wp:posOffset>43180</wp:posOffset>
            </wp:positionV>
            <wp:extent cx="1511300" cy="835660"/>
            <wp:effectExtent l="1905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cstate="print"/>
                    <a:srcRect/>
                    <a:stretch>
                      <a:fillRect/>
                    </a:stretch>
                  </pic:blipFill>
                  <pic:spPr>
                    <a:xfrm>
                      <a:off x="0" y="0"/>
                      <a:ext cx="1511300" cy="835660"/>
                    </a:xfrm>
                    <a:prstGeom prst="rect">
                      <a:avLst/>
                    </a:prstGeom>
                    <a:noFill/>
                    <a:ln w="9525">
                      <a:noFill/>
                      <a:miter lim="800000"/>
                      <a:headEnd/>
                      <a:tailEnd/>
                    </a:ln>
                    <a:effectLst/>
                  </pic:spPr>
                </pic:pic>
              </a:graphicData>
            </a:graphic>
          </wp:anchor>
        </w:drawing>
      </w:r>
      <w:r>
        <w:drawing>
          <wp:anchor distT="0" distB="0" distL="114300" distR="114300" simplePos="0" relativeHeight="251659264" behindDoc="0" locked="1" layoutInCell="1" allowOverlap="1">
            <wp:simplePos x="0" y="0"/>
            <wp:positionH relativeFrom="margin">
              <wp:posOffset>4284345</wp:posOffset>
            </wp:positionH>
            <wp:positionV relativeFrom="margin">
              <wp:posOffset>97790</wp:posOffset>
            </wp:positionV>
            <wp:extent cx="1403350" cy="720090"/>
            <wp:effectExtent l="19050" t="0" r="635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13"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line id="_x0000_s1035" o:spid="_x0000_s1035" o:spt="20" style="position:absolute;left:0pt;margin-left:0pt;margin-top:700pt;height:0pt;width:482pt;z-index:251665408;mso-width-relative:page;mso-height-relative:page;" stroked="t" coordsize="21600,21600">
            <v:path arrowok="t"/>
            <v:fill focussize="0,0"/>
            <v:stroke weight="1pt" color="#800008"/>
            <v:imagedata o:title=""/>
            <o:lock v:ext="edit"/>
          </v:line>
        </w:pict>
      </w:r>
      <w:r>
        <w:pict>
          <v:shape id="fmFrame7" o:spid="_x0000_s1033" o:spt="202" type="#_x0000_t202" style="position:absolute;left:0pt;margin-left:0pt;margin-top:717.2pt;height:47.2pt;width:481.9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80"/>
                  </w:pPr>
                  <w:r>
                    <w:rPr>
                      <w:rFonts w:hint="eastAsia"/>
                      <w:spacing w:val="0"/>
                      <w:sz w:val="32"/>
                    </w:rPr>
                    <w:t>中华人民共和国工业和信息化部</w:t>
                  </w:r>
                  <w:r>
                    <w:rPr>
                      <w:rFonts w:hint="eastAsia"/>
                      <w:b w:val="0"/>
                      <w:sz w:val="32"/>
                    </w:rPr>
                    <w:t xml:space="preserve"> </w:t>
                  </w:r>
                  <w:r>
                    <w:rPr>
                      <w:rStyle w:val="58"/>
                      <w:rFonts w:hint="eastAsia"/>
                    </w:rPr>
                    <w:t>发布</w:t>
                  </w:r>
                </w:p>
              </w:txbxContent>
            </v:textbox>
            <w10:anchorlock/>
          </v:shape>
        </w:pict>
      </w:r>
      <w:r>
        <w:pict>
          <v:shape id="fmFrame6" o:spid="_x0000_s1032" o:spt="202" type="#_x0000_t202" style="position:absolute;left:0pt;margin-left:322.9pt;margin-top:674.3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88"/>
                    <w:jc w:val="center"/>
                    <w:rPr>
                      <w:rFonts w:ascii="黑体" w:hAnsi="黑体" w:cs="黑体"/>
                    </w:rPr>
                  </w:pPr>
                  <w:r>
                    <w:rPr>
                      <w:rFonts w:hint="eastAsia" w:ascii="黑体" w:hAnsi="黑体" w:cs="黑体"/>
                    </w:rPr>
                    <w:t>202×-××-××实施</w:t>
                  </w:r>
                </w:p>
              </w:txbxContent>
            </v:textbox>
            <w10:anchorlock/>
          </v:shape>
        </w:pict>
      </w:r>
      <w:r>
        <w:pict>
          <v:shape id="fmFrame5" o:spid="_x0000_s1031" o:spt="202" type="#_x0000_t202" style="position:absolute;left:0pt;margin-left:0pt;margin-top:674.3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89"/>
                    <w:rPr>
                      <w:rFonts w:ascii="黑体" w:hAnsi="黑体" w:cs="黑体"/>
                    </w:rPr>
                  </w:pPr>
                  <w:r>
                    <w:rPr>
                      <w:rFonts w:hint="eastAsia" w:ascii="黑体" w:hAnsi="黑体" w:cs="黑体"/>
                    </w:rPr>
                    <w:t>202×-××-××发布</w:t>
                  </w:r>
                </w:p>
              </w:txbxContent>
            </v:textbox>
            <w10:anchorlock/>
          </v:shape>
        </w:pict>
      </w:r>
      <w:r>
        <w:pict>
          <v:shape id="fmFrame4" o:spid="_x0000_s1030" o:spt="202" type="#_x0000_t202" style="position:absolute;left:0pt;margin-left:0pt;margin-top:241.8pt;height:413.05pt;width:470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jc w:val="center"/>
                    <w:rPr>
                      <w:rFonts w:ascii="黑体" w:hAnsi="黑体" w:eastAsia="黑体"/>
                      <w:sz w:val="52"/>
                      <w:szCs w:val="52"/>
                    </w:rPr>
                  </w:pPr>
                  <w:r>
                    <w:rPr>
                      <w:rFonts w:hint="eastAsia" w:ascii="黑体" w:hAnsi="黑体" w:eastAsia="黑体"/>
                      <w:sz w:val="52"/>
                      <w:szCs w:val="52"/>
                    </w:rPr>
                    <w:t>钕铁硼合金化学分析方法</w:t>
                  </w:r>
                </w:p>
                <w:p>
                  <w:pPr>
                    <w:jc w:val="center"/>
                    <w:rPr>
                      <w:rFonts w:ascii="黑体" w:hAnsi="黑体" w:eastAsia="黑体"/>
                      <w:sz w:val="52"/>
                      <w:szCs w:val="52"/>
                    </w:rPr>
                  </w:pPr>
                  <w:r>
                    <w:rPr>
                      <w:rFonts w:hint="eastAsia" w:ascii="黑体" w:hAnsi="黑体" w:eastAsia="黑体"/>
                      <w:sz w:val="52"/>
                      <w:szCs w:val="52"/>
                    </w:rPr>
                    <w:t>第8部分：氢量的测定</w:t>
                  </w:r>
                </w:p>
                <w:p>
                  <w:pPr>
                    <w:jc w:val="center"/>
                    <w:rPr>
                      <w:rFonts w:ascii="黑体" w:hAnsi="黑体" w:eastAsia="黑体"/>
                      <w:sz w:val="52"/>
                      <w:szCs w:val="52"/>
                    </w:rPr>
                  </w:pPr>
                  <w:r>
                    <w:rPr>
                      <w:rFonts w:hint="eastAsia" w:ascii="黑体" w:hAnsi="黑体" w:eastAsia="黑体"/>
                      <w:sz w:val="52"/>
                      <w:szCs w:val="52"/>
                    </w:rPr>
                    <w:t>惰性气体熔融-热导法或红外吸收法</w:t>
                  </w:r>
                </w:p>
                <w:p>
                  <w:pPr>
                    <w:jc w:val="center"/>
                    <w:rPr>
                      <w:sz w:val="28"/>
                      <w:szCs w:val="28"/>
                    </w:rPr>
                  </w:pPr>
                  <w:r>
                    <w:rPr>
                      <w:sz w:val="28"/>
                      <w:szCs w:val="28"/>
                    </w:rPr>
                    <w:t>Chemical analysis methods for neodymium iron boron alloy—</w:t>
                  </w:r>
                </w:p>
                <w:p>
                  <w:pPr>
                    <w:jc w:val="center"/>
                    <w:rPr>
                      <w:sz w:val="28"/>
                      <w:szCs w:val="28"/>
                    </w:rPr>
                  </w:pPr>
                  <w:r>
                    <w:rPr>
                      <w:sz w:val="28"/>
                      <w:szCs w:val="28"/>
                    </w:rPr>
                    <w:t>Part 8: Determination of hydrogen content—</w:t>
                  </w:r>
                </w:p>
                <w:p>
                  <w:pPr>
                    <w:jc w:val="center"/>
                    <w:rPr>
                      <w:sz w:val="28"/>
                      <w:szCs w:val="28"/>
                    </w:rPr>
                  </w:pPr>
                  <w:r>
                    <w:rPr>
                      <w:sz w:val="28"/>
                      <w:szCs w:val="28"/>
                    </w:rPr>
                    <w:t>Thermal conductivity/infra</w:t>
                  </w:r>
                  <w:r>
                    <w:rPr>
                      <w:rFonts w:hint="eastAsia"/>
                      <w:sz w:val="28"/>
                      <w:szCs w:val="28"/>
                    </w:rPr>
                    <w:t>-</w:t>
                  </w:r>
                  <w:r>
                    <w:rPr>
                      <w:sz w:val="28"/>
                      <w:szCs w:val="28"/>
                    </w:rPr>
                    <w:t xml:space="preserve">red </w:t>
                  </w:r>
                  <w:r>
                    <w:rPr>
                      <w:rFonts w:hint="eastAsia"/>
                      <w:sz w:val="28"/>
                      <w:szCs w:val="28"/>
                    </w:rPr>
                    <w:t xml:space="preserve">absorption </w:t>
                  </w:r>
                  <w:r>
                    <w:rPr>
                      <w:sz w:val="28"/>
                      <w:szCs w:val="28"/>
                    </w:rPr>
                    <w:t>method after fusion under inert gas</w:t>
                  </w:r>
                </w:p>
                <w:p>
                  <w:pPr>
                    <w:pStyle w:val="79"/>
                    <w:tabs>
                      <w:tab w:val="left" w:pos="7155"/>
                    </w:tabs>
                    <w:spacing w:before="0" w:line="240" w:lineRule="auto"/>
                    <w:rPr>
                      <w:rFonts w:eastAsia="黑体"/>
                      <w:b/>
                      <w:bCs/>
                      <w:kern w:val="2"/>
                      <w:szCs w:val="24"/>
                    </w:rPr>
                  </w:pPr>
                </w:p>
                <w:p>
                  <w:pPr>
                    <w:jc w:val="center"/>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送审</w:t>
                  </w:r>
                  <w:r>
                    <w:rPr>
                      <w:rFonts w:hint="eastAsia" w:ascii="宋体" w:hAnsi="宋体"/>
                      <w:sz w:val="28"/>
                      <w:szCs w:val="28"/>
                    </w:rPr>
                    <w:t>稿）</w:t>
                  </w:r>
                </w:p>
                <w:p>
                  <w:pPr>
                    <w:pStyle w:val="79"/>
                    <w:spacing w:line="180" w:lineRule="exact"/>
                    <w:rPr>
                      <w:b/>
                      <w:bCs/>
                    </w:rPr>
                  </w:pPr>
                </w:p>
              </w:txbxContent>
            </v:textbox>
            <w10:anchorlock/>
          </v:shape>
        </w:pict>
      </w:r>
      <w:r>
        <w:pict>
          <v:shape id="fmFrame2" o:spid="_x0000_s1027" o:spt="202" type="#_x0000_t202" style="position:absolute;left:0pt;margin-left:0pt;margin-top:79.6pt;height:30.8pt;width:481.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84"/>
                  </w:pPr>
                  <w:r>
                    <w:rPr>
                      <w:rFonts w:hint="eastAsia"/>
                    </w:rPr>
                    <w:t>中华人民共和国行业标准</w:t>
                  </w:r>
                </w:p>
              </w:txbxContent>
            </v:textbox>
            <w10:anchorlock/>
          </v:shape>
        </w:pict>
      </w:r>
      <w:r>
        <w:pict>
          <v:shape id="fmFrame1" o:spid="_x0000_s1026" o:spt="202" type="#_x0000_t202" style="position:absolute;left:0pt;margin-left:0pt;margin-top:0pt;height:51.8pt;width:20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85"/>
                    <w:spacing w:line="0" w:lineRule="atLeast"/>
                    <w:rPr>
                      <w:rFonts w:ascii="黑体"/>
                    </w:rPr>
                  </w:pPr>
                  <w:r>
                    <w:rPr>
                      <w:rFonts w:hint="eastAsia" w:ascii="黑体"/>
                    </w:rPr>
                    <w:t xml:space="preserve">ICS </w:t>
                  </w:r>
                  <w:r>
                    <w:rPr>
                      <w:rFonts w:hint="eastAsia" w:ascii="黑体"/>
                      <w:color w:val="000000"/>
                    </w:rPr>
                    <w:t>77.120.99</w:t>
                  </w:r>
                </w:p>
                <w:p>
                  <w:pPr>
                    <w:pStyle w:val="85"/>
                    <w:spacing w:line="0" w:lineRule="atLeast"/>
                  </w:pPr>
                  <w:r>
                    <w:rPr>
                      <w:rFonts w:hint="eastAsia" w:ascii="黑体"/>
                    </w:rPr>
                    <w:t>H14</w:t>
                  </w:r>
                </w:p>
                <w:p>
                  <w:pPr>
                    <w:pStyle w:val="85"/>
                  </w:pPr>
                </w:p>
              </w:txbxContent>
            </v:textbox>
            <w10:anchorlock/>
          </v:shape>
        </w:pict>
      </w:r>
    </w:p>
    <w:p>
      <w:pPr>
        <w:pStyle w:val="63"/>
      </w:pPr>
    </w:p>
    <w:p>
      <w:pPr>
        <w:jc w:val="right"/>
      </w:pPr>
    </w:p>
    <w:p/>
    <w:p/>
    <w:p/>
    <w:p/>
    <w:p/>
    <w:p>
      <w:pPr>
        <w:ind w:left="2814" w:leftChars="1340" w:firstLine="4135" w:firstLineChars="1471"/>
        <w:rPr>
          <w:rFonts w:ascii="宋体" w:hAnsi="宋体"/>
          <w:b/>
          <w:bCs/>
          <w:sz w:val="28"/>
        </w:rPr>
      </w:pPr>
      <w:r>
        <w:rPr>
          <w:rFonts w:hint="eastAsia" w:ascii="黑体" w:eastAsia="黑体"/>
          <w:b/>
          <w:bCs/>
          <w:sz w:val="28"/>
        </w:rPr>
        <w:t>XB/T 617.8—20XX</w:t>
      </w:r>
    </w:p>
    <w:p>
      <w:pPr>
        <w:ind w:firstLine="540"/>
        <w:jc w:val="cente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851" w:left="1418" w:header="0" w:footer="0" w:gutter="0"/>
          <w:pgNumType w:start="1"/>
          <w:cols w:space="720" w:num="1"/>
          <w:titlePg/>
          <w:docGrid w:type="lines" w:linePitch="312" w:charSpace="0"/>
        </w:sectPr>
      </w:pPr>
      <w:r>
        <w:rPr>
          <w:sz w:val="20"/>
        </w:rPr>
        <w:pict>
          <v:line id="_x0000_s1037" o:spid="_x0000_s1037" o:spt="20" style="position:absolute;left:0pt;flip:x;margin-left:10.5pt;margin-top:7.8pt;height:0pt;width:472.5pt;z-index:251667456;mso-width-relative:page;mso-height-relative:page;" coordsize="21600,21600">
            <v:path arrowok="t"/>
            <v:fill focussize="0,0"/>
            <v:stroke/>
            <v:imagedata o:title=""/>
            <o:lock v:ext="edit"/>
          </v:line>
        </w:pict>
      </w:r>
      <w:r>
        <w:rPr>
          <w:rFonts w:hint="eastAsia"/>
        </w:rPr>
        <w:t xml:space="preserve">        </w:t>
      </w:r>
    </w:p>
    <w:bookmarkEnd w:id="0"/>
    <w:p>
      <w:pPr>
        <w:pStyle w:val="94"/>
      </w:pPr>
      <w:r>
        <w:rPr>
          <w:rFonts w:hAnsi="黑体"/>
        </w:rPr>
        <w:t>前</w:t>
      </w:r>
      <w:r>
        <w:t xml:space="preserve">  </w:t>
      </w:r>
      <w:r>
        <w:rPr>
          <w:rFonts w:hAnsi="黑体"/>
        </w:rPr>
        <w:t>言</w:t>
      </w:r>
    </w:p>
    <w:p>
      <w:pPr>
        <w:ind w:firstLine="420" w:firstLineChars="200"/>
        <w:rPr>
          <w:szCs w:val="21"/>
        </w:rPr>
      </w:pPr>
      <w:r>
        <w:rPr>
          <w:szCs w:val="21"/>
        </w:rPr>
        <w:t>本</w:t>
      </w:r>
      <w:r>
        <w:rPr>
          <w:rFonts w:hint="eastAsia"/>
          <w:szCs w:val="21"/>
        </w:rPr>
        <w:t>文件</w:t>
      </w:r>
      <w:r>
        <w:rPr>
          <w:szCs w:val="21"/>
        </w:rPr>
        <w:t>按照GB/T 1.1-20</w:t>
      </w:r>
      <w:r>
        <w:rPr>
          <w:rFonts w:hint="eastAsia"/>
          <w:szCs w:val="21"/>
        </w:rPr>
        <w:t>20</w:t>
      </w:r>
      <w:r>
        <w:rPr>
          <w:szCs w:val="21"/>
        </w:rPr>
        <w:t>《标准化工作导则 第1部分：标准化文件的结构和起草规则》的规</w:t>
      </w:r>
      <w:r>
        <w:rPr>
          <w:rFonts w:hint="eastAsia"/>
          <w:szCs w:val="21"/>
        </w:rPr>
        <w:t>定</w:t>
      </w:r>
      <w:r>
        <w:rPr>
          <w:szCs w:val="21"/>
        </w:rPr>
        <w:t>起草。</w:t>
      </w:r>
    </w:p>
    <w:p>
      <w:pPr>
        <w:ind w:firstLine="420" w:firstLineChars="200"/>
        <w:rPr>
          <w:rFonts w:ascii="宋体" w:hAnsi="宋体" w:cs="宋体"/>
        </w:rPr>
      </w:pPr>
      <w:r>
        <w:rPr>
          <w:rFonts w:hint="eastAsia" w:ascii="宋体" w:hAnsi="宋体" w:cs="宋体"/>
        </w:rPr>
        <w:t>本文件是</w:t>
      </w:r>
      <w:r>
        <w:rPr>
          <w:szCs w:val="21"/>
        </w:rPr>
        <w:t>XB/T</w:t>
      </w:r>
      <w:r>
        <w:rPr>
          <w:rFonts w:hint="eastAsia"/>
          <w:szCs w:val="21"/>
        </w:rPr>
        <w:t xml:space="preserve"> 617</w:t>
      </w:r>
      <w:r>
        <w:rPr>
          <w:szCs w:val="21"/>
        </w:rPr>
        <w:t>《</w:t>
      </w:r>
      <w:r>
        <w:rPr>
          <w:rFonts w:hint="eastAsia"/>
          <w:szCs w:val="21"/>
        </w:rPr>
        <w:t>钕铁硼</w:t>
      </w:r>
      <w:r>
        <w:rPr>
          <w:szCs w:val="21"/>
        </w:rPr>
        <w:t>合金化学分析方法》</w:t>
      </w:r>
      <w:r>
        <w:rPr>
          <w:rFonts w:hint="eastAsia" w:ascii="宋体" w:hAnsi="宋体" w:cs="宋体"/>
        </w:rPr>
        <w:t xml:space="preserve"> 的第8部分，</w:t>
      </w:r>
      <w:r>
        <w:rPr>
          <w:szCs w:val="21"/>
        </w:rPr>
        <w:t>XB/T</w:t>
      </w:r>
      <w:r>
        <w:rPr>
          <w:rFonts w:hint="eastAsia"/>
          <w:szCs w:val="21"/>
        </w:rPr>
        <w:t xml:space="preserve"> 617</w:t>
      </w:r>
      <w:r>
        <w:rPr>
          <w:rFonts w:hint="eastAsia" w:ascii="宋体" w:hAnsi="宋体" w:cs="宋体"/>
        </w:rPr>
        <w:t>已经发布了以下部分：</w:t>
      </w:r>
    </w:p>
    <w:p>
      <w:pPr>
        <w:ind w:firstLine="840" w:firstLineChars="400"/>
        <w:rPr>
          <w:rFonts w:ascii="宋体" w:hAnsi="宋体"/>
          <w:szCs w:val="21"/>
        </w:rPr>
      </w:pPr>
      <w:r>
        <w:rPr>
          <w:szCs w:val="21"/>
        </w:rPr>
        <w:t>——</w:t>
      </w:r>
      <w:r>
        <w:rPr>
          <w:rFonts w:hint="eastAsia" w:ascii="宋体" w:hAnsi="宋体"/>
          <w:szCs w:val="21"/>
        </w:rPr>
        <w:t>第1部分：稀土总量的测定 草酸盐重量法；</w:t>
      </w:r>
    </w:p>
    <w:p>
      <w:pPr>
        <w:ind w:firstLine="840" w:firstLineChars="400"/>
        <w:rPr>
          <w:rFonts w:ascii="宋体" w:hAnsi="宋体"/>
          <w:szCs w:val="21"/>
        </w:rPr>
      </w:pPr>
      <w:r>
        <w:rPr>
          <w:szCs w:val="21"/>
        </w:rPr>
        <w:t>——</w:t>
      </w:r>
      <w:r>
        <w:rPr>
          <w:rFonts w:hint="eastAsia" w:ascii="宋体" w:hAnsi="宋体"/>
          <w:szCs w:val="21"/>
        </w:rPr>
        <w:t>第2部分：十五个稀土元素量的测定；</w:t>
      </w:r>
    </w:p>
    <w:p>
      <w:pPr>
        <w:ind w:left="351" w:leftChars="167" w:firstLine="487" w:firstLineChars="232"/>
        <w:rPr>
          <w:rFonts w:ascii="宋体" w:hAnsi="宋体"/>
          <w:szCs w:val="21"/>
        </w:rPr>
      </w:pPr>
      <w:r>
        <w:rPr>
          <w:szCs w:val="21"/>
        </w:rPr>
        <w:t>——</w:t>
      </w:r>
      <w:r>
        <w:rPr>
          <w:rFonts w:hint="eastAsia" w:ascii="宋体" w:hAnsi="宋体"/>
          <w:szCs w:val="21"/>
        </w:rPr>
        <w:t>第3部分：硼、铝、铜、钴、镁、硅、钙、钒、铬、锰、镍、锌和镓量的测定 电感耦合等离子体原子发射光谱法；</w:t>
      </w:r>
    </w:p>
    <w:p>
      <w:pPr>
        <w:ind w:left="840" w:leftChars="400"/>
        <w:rPr>
          <w:rFonts w:ascii="宋体" w:hAnsi="宋体"/>
          <w:szCs w:val="21"/>
        </w:rPr>
      </w:pPr>
      <w:r>
        <w:rPr>
          <w:szCs w:val="21"/>
        </w:rPr>
        <w:t>——</w:t>
      </w:r>
      <w:r>
        <w:rPr>
          <w:rFonts w:hint="eastAsia" w:ascii="宋体" w:hAnsi="宋体"/>
          <w:szCs w:val="21"/>
        </w:rPr>
        <w:t>第4部分：铁量的测定 重铬酸钾滴定法；</w:t>
      </w:r>
    </w:p>
    <w:p>
      <w:pPr>
        <w:ind w:left="840" w:leftChars="400"/>
        <w:rPr>
          <w:rFonts w:ascii="宋体" w:hAnsi="宋体"/>
          <w:szCs w:val="21"/>
        </w:rPr>
      </w:pPr>
      <w:r>
        <w:rPr>
          <w:szCs w:val="21"/>
        </w:rPr>
        <w:t>——</w:t>
      </w:r>
      <w:r>
        <w:rPr>
          <w:rFonts w:hint="eastAsia" w:ascii="宋体" w:hAnsi="宋体"/>
          <w:szCs w:val="21"/>
        </w:rPr>
        <w:t>第5部分：锆、铌、钼、钨和钛量的测定 电感耦合等离子体原子发射光谱法；</w:t>
      </w:r>
    </w:p>
    <w:p>
      <w:pPr>
        <w:ind w:left="840" w:leftChars="400"/>
        <w:rPr>
          <w:rFonts w:ascii="宋体" w:hAnsi="宋体"/>
          <w:szCs w:val="21"/>
        </w:rPr>
      </w:pPr>
      <w:r>
        <w:rPr>
          <w:szCs w:val="21"/>
        </w:rPr>
        <w:t>——</w:t>
      </w:r>
      <w:r>
        <w:rPr>
          <w:rFonts w:hint="eastAsia" w:ascii="宋体" w:hAnsi="宋体"/>
          <w:szCs w:val="21"/>
        </w:rPr>
        <w:t>第6部分：碳量的测定 高频-红外吸收法；</w:t>
      </w:r>
    </w:p>
    <w:p>
      <w:pPr>
        <w:ind w:left="840" w:leftChars="400"/>
        <w:rPr>
          <w:rFonts w:ascii="宋体" w:hAnsi="宋体"/>
          <w:szCs w:val="21"/>
        </w:rPr>
      </w:pPr>
      <w:r>
        <w:rPr>
          <w:szCs w:val="21"/>
        </w:rPr>
        <w:t>——</w:t>
      </w:r>
      <w:r>
        <w:rPr>
          <w:rFonts w:hint="eastAsia" w:ascii="宋体" w:hAnsi="宋体"/>
          <w:szCs w:val="21"/>
        </w:rPr>
        <w:t>第7部分：氧、氮量的测定 脉冲-红外吸收法和脉冲-热导法；</w:t>
      </w:r>
    </w:p>
    <w:p>
      <w:pPr>
        <w:ind w:left="840" w:leftChars="400"/>
        <w:rPr>
          <w:rFonts w:ascii="宋体" w:hAnsi="宋体"/>
          <w:szCs w:val="21"/>
        </w:rPr>
      </w:pPr>
      <w:r>
        <w:rPr>
          <w:szCs w:val="21"/>
        </w:rPr>
        <w:t>——</w:t>
      </w:r>
      <w:r>
        <w:rPr>
          <w:rFonts w:hint="eastAsia" w:ascii="宋体" w:hAnsi="宋体"/>
          <w:szCs w:val="21"/>
        </w:rPr>
        <w:t>第8部分：氢量的测定 惰性气体熔融-热导法或红外吸收法。</w:t>
      </w:r>
    </w:p>
    <w:p>
      <w:pPr>
        <w:tabs>
          <w:tab w:val="left" w:pos="8296"/>
        </w:tabs>
        <w:ind w:firstLine="840" w:firstLineChars="400"/>
        <w:rPr>
          <w:rFonts w:ascii="宋体" w:hAnsi="宋体"/>
          <w:szCs w:val="21"/>
        </w:rPr>
      </w:pPr>
      <w:r>
        <w:rPr>
          <w:rFonts w:hint="eastAsia" w:hAnsi="宋体"/>
          <w:szCs w:val="21"/>
        </w:rPr>
        <w:t>请注意本文件的某些内容可能涉及专利。本文件的发布机构不承担识别专利的责任。</w:t>
      </w:r>
    </w:p>
    <w:p>
      <w:pPr>
        <w:spacing w:line="276" w:lineRule="auto"/>
        <w:ind w:firstLine="840" w:firstLineChars="400"/>
        <w:rPr>
          <w:szCs w:val="21"/>
        </w:rPr>
      </w:pPr>
      <w:r>
        <w:rPr>
          <w:szCs w:val="21"/>
        </w:rPr>
        <w:t>本</w:t>
      </w:r>
      <w:r>
        <w:rPr>
          <w:rFonts w:hint="eastAsia" w:ascii="宋体" w:hAnsi="宋体"/>
          <w:szCs w:val="21"/>
        </w:rPr>
        <w:t>文件</w:t>
      </w:r>
      <w:r>
        <w:rPr>
          <w:szCs w:val="21"/>
        </w:rPr>
        <w:t>由全国稀土标准化技术委员会（SAC/TC 229）</w:t>
      </w:r>
      <w:r>
        <w:rPr>
          <w:rFonts w:hint="eastAsia"/>
          <w:szCs w:val="21"/>
        </w:rPr>
        <w:t>提出并</w:t>
      </w:r>
      <w:r>
        <w:rPr>
          <w:szCs w:val="21"/>
        </w:rPr>
        <w:t>归口。</w:t>
      </w:r>
    </w:p>
    <w:p>
      <w:pPr>
        <w:ind w:firstLine="819" w:firstLineChars="390"/>
        <w:rPr>
          <w:rFonts w:ascii="宋体" w:hAnsi="宋体"/>
          <w:szCs w:val="21"/>
        </w:rPr>
      </w:pPr>
      <w:r>
        <w:rPr>
          <w:rFonts w:hint="eastAsia" w:ascii="宋体" w:hAnsi="宋体"/>
          <w:szCs w:val="21"/>
        </w:rPr>
        <w:t>本文件起草单位：</w:t>
      </w:r>
      <w:r>
        <w:t>包头稀土研究院、</w:t>
      </w:r>
      <w:r>
        <w:rPr>
          <w:rFonts w:hint="eastAsia"/>
        </w:rPr>
        <w:t>宁波韵升股份有限公司、包头天和磁材科技股份有限公司、天津包钢稀土研究院有限责任公司</w:t>
      </w:r>
      <w:r>
        <w:rPr>
          <w:rFonts w:hint="eastAsia"/>
          <w:bCs/>
        </w:rPr>
        <w:t>、</w:t>
      </w:r>
      <w:r>
        <w:rPr>
          <w:rFonts w:hint="eastAsia"/>
        </w:rPr>
        <w:t>虔东稀土集团股份有限公司赣州艾科锐检测技术有限公司、</w:t>
      </w:r>
      <w:r>
        <w:rPr>
          <w:rFonts w:hint="eastAsia"/>
          <w:bCs/>
        </w:rPr>
        <w:t>四川江铜稀土有限责任公司、福建省长汀金龙稀土有限公司、内蒙古包钢稀土磁性材料有限责任公司、钢研纳克检测技术有限公司。</w:t>
      </w:r>
    </w:p>
    <w:p>
      <w:pPr>
        <w:ind w:firstLine="827" w:firstLineChars="394"/>
        <w:rPr>
          <w:rFonts w:ascii="宋体" w:hAnsi="宋体"/>
          <w:szCs w:val="21"/>
        </w:rPr>
      </w:pPr>
      <w:r>
        <w:rPr>
          <w:rFonts w:hint="eastAsia" w:ascii="宋体" w:hAnsi="宋体"/>
          <w:szCs w:val="21"/>
        </w:rPr>
        <w:t>本文件起草人：吴文琪、王素梅、常诚、李玲玲、徐莉莉、李海霞、李贝、王安丽、温斌、何骏元、王金凤、张久磊、库劲峰、贾玉君、马慧泽、王学华。</w:t>
      </w:r>
    </w:p>
    <w:p>
      <w:pPr>
        <w:ind w:firstLine="840" w:firstLineChars="400"/>
        <w:rPr>
          <w:szCs w:val="20"/>
        </w:rPr>
      </w:pPr>
      <w:r>
        <w:rPr>
          <w:szCs w:val="21"/>
        </w:rPr>
        <w:t>本文件为首次发布</w:t>
      </w:r>
      <w:r>
        <w:rPr>
          <w:rFonts w:hint="eastAsia"/>
          <w:szCs w:val="21"/>
        </w:rPr>
        <w:t>。</w:t>
      </w:r>
    </w:p>
    <w:p>
      <w:pPr>
        <w:jc w:val="center"/>
        <w:rPr>
          <w:rFonts w:ascii="宋体" w:hAnsi="宋体"/>
          <w:b/>
          <w:bCs/>
        </w:rPr>
      </w:pPr>
      <w:r>
        <w:rPr>
          <w:rFonts w:ascii="宋体" w:hAnsi="宋体"/>
          <w:b/>
          <w:bCs/>
        </w:rPr>
        <w:br w:type="page"/>
      </w:r>
    </w:p>
    <w:p>
      <w:pPr>
        <w:pStyle w:val="86"/>
        <w:numPr>
          <w:ilvl w:val="0"/>
          <w:numId w:val="0"/>
        </w:numPr>
        <w:spacing w:before="0" w:after="680" w:line="360" w:lineRule="exact"/>
        <w:ind w:left="4337"/>
        <w:jc w:val="both"/>
        <w:rPr>
          <w:rFonts w:ascii="Times New Roman"/>
        </w:rPr>
      </w:pPr>
      <w:r>
        <w:rPr>
          <w:rFonts w:hint="eastAsia" w:ascii="Times New Roman"/>
        </w:rPr>
        <w:t>引  言</w:t>
      </w:r>
    </w:p>
    <w:p>
      <w:pPr>
        <w:spacing w:beforeLines="50" w:afterLines="50" w:line="312" w:lineRule="auto"/>
        <w:ind w:firstLine="420" w:firstLineChars="200"/>
      </w:pPr>
      <w:r>
        <w:rPr>
          <w:rFonts w:hint="eastAsia"/>
        </w:rPr>
        <w:t>钕铁硼合金主要成分为铁、硼、钕、镨等元素，可以在一定的空间内产生恒定磁场，由于其超高的矫顽力和磁能积，使得钕铁硼永磁材料在多种领域，特别是现代高科技领域，如信息技术、汽车、核磁共振、风力发电和电极等方面获得了广泛应用。《钕铁硼合金化学分析方法》（XB/T 617-2014）是专门针对钕铁硼合金产品制定的行业标准，该系列分析标准达到了国际先进水平，是保障钕铁硼产品生产、研究和国际贸易的重要检测依据。《钕铁硼合金化学分析方法 第8部分：氢量的测定 惰性气体熔融-热导或红外法》的制定是《钕铁硼合金化学分析方法》的重要补充和完善，</w:t>
      </w:r>
      <w:r>
        <w:rPr>
          <w:szCs w:val="22"/>
        </w:rPr>
        <w:t>增强</w:t>
      </w:r>
      <w:r>
        <w:rPr>
          <w:rFonts w:hint="eastAsia"/>
          <w:szCs w:val="22"/>
        </w:rPr>
        <w:t>了</w:t>
      </w:r>
      <w:r>
        <w:rPr>
          <w:szCs w:val="22"/>
        </w:rPr>
        <w:t>不同试验室间数据的一致性和可比性，</w:t>
      </w:r>
      <w:r>
        <w:rPr>
          <w:rFonts w:hint="eastAsia"/>
        </w:rPr>
        <w:t>为钕铁硼生产过程控制及钕铁硼</w:t>
      </w:r>
      <w:r>
        <w:rPr>
          <w:szCs w:val="22"/>
        </w:rPr>
        <w:t>产品贸易</w:t>
      </w:r>
      <w:r>
        <w:rPr>
          <w:rFonts w:hint="eastAsia"/>
        </w:rPr>
        <w:t>提供了</w:t>
      </w:r>
      <w:r>
        <w:rPr>
          <w:szCs w:val="22"/>
        </w:rPr>
        <w:t>规范</w:t>
      </w:r>
      <w:r>
        <w:rPr>
          <w:rFonts w:hint="eastAsia"/>
          <w:szCs w:val="22"/>
        </w:rPr>
        <w:t>的检验</w:t>
      </w:r>
      <w:r>
        <w:rPr>
          <w:rFonts w:hint="eastAsia"/>
        </w:rPr>
        <w:t>依据</w:t>
      </w:r>
      <w:r>
        <w:rPr>
          <w:szCs w:val="22"/>
        </w:rPr>
        <w:t>。</w:t>
      </w:r>
    </w:p>
    <w:p>
      <w:pPr>
        <w:pStyle w:val="52"/>
        <w:ind w:firstLine="420"/>
        <w:rPr>
          <w:szCs w:val="21"/>
        </w:rPr>
      </w:pPr>
      <w:r>
        <w:rPr>
          <w:rFonts w:ascii="Times New Roman"/>
          <w:szCs w:val="22"/>
        </w:rPr>
        <w:t>本系列标准</w:t>
      </w:r>
      <w:r>
        <w:rPr>
          <w:rFonts w:hint="eastAsia"/>
        </w:rPr>
        <w:t>（XB/T 617）《钕铁硼合金化学分析方法》</w:t>
      </w:r>
      <w:r>
        <w:rPr>
          <w:rFonts w:ascii="Times New Roman" w:hAnsi="宋体"/>
          <w:szCs w:val="21"/>
        </w:rPr>
        <w:t>重点</w:t>
      </w:r>
      <w:r>
        <w:rPr>
          <w:rFonts w:ascii="Times New Roman"/>
          <w:szCs w:val="22"/>
        </w:rPr>
        <w:t>针对</w:t>
      </w:r>
      <w:r>
        <w:rPr>
          <w:rFonts w:hint="eastAsia"/>
        </w:rPr>
        <w:t>钕铁硼合金</w:t>
      </w:r>
      <w:r>
        <w:rPr>
          <w:rFonts w:ascii="Times New Roman"/>
          <w:szCs w:val="22"/>
        </w:rPr>
        <w:t>中稀土总量、</w:t>
      </w:r>
      <w:r>
        <w:rPr>
          <w:rFonts w:ascii="Times New Roman"/>
          <w:color w:val="000000"/>
          <w:szCs w:val="21"/>
        </w:rPr>
        <w:t>稀土元素、</w:t>
      </w:r>
      <w:r>
        <w:rPr>
          <w:rFonts w:ascii="Times New Roman"/>
          <w:szCs w:val="22"/>
        </w:rPr>
        <w:t>非稀土元素的检测，</w:t>
      </w:r>
      <w:r>
        <w:rPr>
          <w:szCs w:val="21"/>
        </w:rPr>
        <w:t>共分</w:t>
      </w:r>
      <w:r>
        <w:rPr>
          <w:rFonts w:hint="eastAsia"/>
          <w:szCs w:val="21"/>
        </w:rPr>
        <w:t>为8</w:t>
      </w:r>
      <w:r>
        <w:rPr>
          <w:szCs w:val="21"/>
        </w:rPr>
        <w:t>个部分：</w:t>
      </w:r>
    </w:p>
    <w:p>
      <w:pPr>
        <w:ind w:firstLine="840" w:firstLineChars="400"/>
        <w:rPr>
          <w:rFonts w:ascii="宋体" w:hAnsi="宋体"/>
          <w:szCs w:val="21"/>
        </w:rPr>
      </w:pPr>
      <w:r>
        <w:rPr>
          <w:szCs w:val="21"/>
        </w:rPr>
        <w:t>——</w:t>
      </w:r>
      <w:r>
        <w:rPr>
          <w:rFonts w:hint="eastAsia" w:ascii="宋体" w:hAnsi="宋体"/>
          <w:szCs w:val="21"/>
        </w:rPr>
        <w:t>第1部分：稀土总量的测定 草酸盐重量法；</w:t>
      </w:r>
    </w:p>
    <w:p>
      <w:pPr>
        <w:ind w:firstLine="840" w:firstLineChars="400"/>
        <w:rPr>
          <w:rFonts w:ascii="宋体" w:hAnsi="宋体"/>
          <w:szCs w:val="21"/>
        </w:rPr>
      </w:pPr>
      <w:r>
        <w:rPr>
          <w:szCs w:val="21"/>
        </w:rPr>
        <w:t>——</w:t>
      </w:r>
      <w:r>
        <w:rPr>
          <w:rFonts w:hint="eastAsia" w:ascii="宋体" w:hAnsi="宋体"/>
          <w:szCs w:val="21"/>
        </w:rPr>
        <w:t>第2部分：十五个稀土元素量的测定；</w:t>
      </w:r>
    </w:p>
    <w:p>
      <w:pPr>
        <w:ind w:left="351" w:leftChars="167" w:firstLine="487" w:firstLineChars="232"/>
        <w:rPr>
          <w:rFonts w:ascii="宋体" w:hAnsi="宋体"/>
          <w:szCs w:val="21"/>
        </w:rPr>
      </w:pPr>
      <w:r>
        <w:rPr>
          <w:szCs w:val="21"/>
        </w:rPr>
        <w:t>——</w:t>
      </w:r>
      <w:r>
        <w:rPr>
          <w:rFonts w:hint="eastAsia" w:ascii="宋体" w:hAnsi="宋体"/>
          <w:szCs w:val="21"/>
        </w:rPr>
        <w:t>第3部分：硼、铝、铜、钴、镁、硅、钙、钒、铬、锰、镍、锌和镓量的测定 电感耦合等离子体原子发射光谱法；</w:t>
      </w:r>
    </w:p>
    <w:p>
      <w:pPr>
        <w:ind w:left="840" w:leftChars="400"/>
        <w:rPr>
          <w:rFonts w:ascii="宋体" w:hAnsi="宋体"/>
          <w:szCs w:val="21"/>
        </w:rPr>
      </w:pPr>
      <w:r>
        <w:rPr>
          <w:szCs w:val="21"/>
        </w:rPr>
        <w:t>——</w:t>
      </w:r>
      <w:r>
        <w:rPr>
          <w:rFonts w:hint="eastAsia" w:ascii="宋体" w:hAnsi="宋体"/>
          <w:szCs w:val="21"/>
        </w:rPr>
        <w:t>第4部分：铁量的测定 重铬酸钾滴定法；</w:t>
      </w:r>
    </w:p>
    <w:p>
      <w:pPr>
        <w:ind w:left="840" w:leftChars="400"/>
        <w:rPr>
          <w:rFonts w:ascii="宋体" w:hAnsi="宋体"/>
          <w:szCs w:val="21"/>
        </w:rPr>
      </w:pPr>
      <w:r>
        <w:rPr>
          <w:szCs w:val="21"/>
        </w:rPr>
        <w:t>——</w:t>
      </w:r>
      <w:r>
        <w:rPr>
          <w:rFonts w:hint="eastAsia" w:ascii="宋体" w:hAnsi="宋体"/>
          <w:szCs w:val="21"/>
        </w:rPr>
        <w:t>第5部分：锆、铌、钼、钨和钛量的测定 电感耦合等离子体原子发射光谱法；</w:t>
      </w:r>
    </w:p>
    <w:p>
      <w:pPr>
        <w:ind w:left="840" w:leftChars="400"/>
        <w:rPr>
          <w:rFonts w:ascii="宋体" w:hAnsi="宋体"/>
          <w:szCs w:val="21"/>
        </w:rPr>
      </w:pPr>
      <w:r>
        <w:rPr>
          <w:szCs w:val="21"/>
        </w:rPr>
        <w:t>——</w:t>
      </w:r>
      <w:r>
        <w:rPr>
          <w:rFonts w:hint="eastAsia" w:ascii="宋体" w:hAnsi="宋体"/>
          <w:szCs w:val="21"/>
        </w:rPr>
        <w:t>第6部分：碳量的测定 高频-红外吸收法；</w:t>
      </w:r>
    </w:p>
    <w:p>
      <w:pPr>
        <w:ind w:left="840" w:leftChars="400"/>
        <w:rPr>
          <w:rFonts w:ascii="宋体" w:hAnsi="宋体"/>
          <w:szCs w:val="21"/>
        </w:rPr>
      </w:pPr>
      <w:r>
        <w:rPr>
          <w:szCs w:val="21"/>
        </w:rPr>
        <w:t>——</w:t>
      </w:r>
      <w:r>
        <w:rPr>
          <w:rFonts w:hint="eastAsia" w:ascii="宋体" w:hAnsi="宋体"/>
          <w:szCs w:val="21"/>
        </w:rPr>
        <w:t>第7部分：氧、氮量的测定 脉冲-红外吸收法和脉冲-热导法；</w:t>
      </w:r>
    </w:p>
    <w:p>
      <w:pPr>
        <w:ind w:left="840" w:leftChars="400"/>
        <w:rPr>
          <w:rFonts w:ascii="宋体" w:hAnsi="宋体"/>
          <w:szCs w:val="21"/>
        </w:rPr>
      </w:pPr>
      <w:r>
        <w:rPr>
          <w:szCs w:val="21"/>
        </w:rPr>
        <w:t>——</w:t>
      </w:r>
      <w:r>
        <w:rPr>
          <w:rFonts w:hint="eastAsia" w:ascii="宋体" w:hAnsi="宋体"/>
          <w:szCs w:val="21"/>
        </w:rPr>
        <w:t>第8部分：氢量的测定 惰性气体熔融-热导法或红外吸收法。</w:t>
      </w:r>
    </w:p>
    <w:p>
      <w:pPr>
        <w:spacing w:line="360" w:lineRule="exact"/>
        <w:ind w:firstLine="420" w:firstLineChars="200"/>
        <w:rPr>
          <w:kern w:val="0"/>
          <w:szCs w:val="22"/>
        </w:rPr>
      </w:pPr>
      <w:r>
        <w:rPr>
          <w:rFonts w:hAnsi="宋体"/>
          <w:kern w:val="0"/>
          <w:szCs w:val="21"/>
        </w:rPr>
        <w:t>本</w:t>
      </w:r>
      <w:r>
        <w:rPr>
          <w:szCs w:val="22"/>
        </w:rPr>
        <w:t>系列</w:t>
      </w:r>
      <w:r>
        <w:rPr>
          <w:rFonts w:hAnsi="宋体"/>
          <w:kern w:val="0"/>
          <w:szCs w:val="21"/>
        </w:rPr>
        <w:t>标准根据最新的标准化文件的结构和起草规则编写</w:t>
      </w:r>
      <w:r>
        <w:rPr>
          <w:kern w:val="0"/>
          <w:szCs w:val="22"/>
        </w:rPr>
        <w:t>，所有标准方法均通过多家实验室试验、验证，修改“允许差”条款为“再现性”条款，在标准中给出了至少覆盖高、中、低的重复性、再现性限值，使方法的精密度要求更趋于完善。</w:t>
      </w:r>
    </w:p>
    <w:p>
      <w:pPr>
        <w:pStyle w:val="52"/>
        <w:tabs>
          <w:tab w:val="center" w:pos="4201"/>
          <w:tab w:val="right" w:leader="dot" w:pos="9298"/>
        </w:tabs>
        <w:adjustRightInd w:val="0"/>
        <w:snapToGrid w:val="0"/>
        <w:spacing w:line="320" w:lineRule="exact"/>
        <w:ind w:firstLine="420"/>
        <w:rPr>
          <w:rFonts w:ascii="Times New Roman"/>
          <w:szCs w:val="22"/>
        </w:rPr>
      </w:pPr>
      <w:r>
        <w:rPr>
          <w:rFonts w:ascii="Times New Roman"/>
          <w:szCs w:val="22"/>
        </w:rPr>
        <w:t>本系列标准第</w:t>
      </w:r>
      <w:r>
        <w:rPr>
          <w:rFonts w:hint="eastAsia" w:ascii="Times New Roman"/>
          <w:szCs w:val="22"/>
        </w:rPr>
        <w:t>8</w:t>
      </w:r>
      <w:r>
        <w:rPr>
          <w:rFonts w:ascii="Times New Roman"/>
          <w:szCs w:val="22"/>
        </w:rPr>
        <w:t>部分</w:t>
      </w:r>
      <w:r>
        <w:rPr>
          <w:rFonts w:hint="eastAsia" w:ascii="Times New Roman"/>
          <w:szCs w:val="22"/>
        </w:rPr>
        <w:t>的制定，</w:t>
      </w:r>
      <w:r>
        <w:rPr>
          <w:rFonts w:ascii="Times New Roman"/>
          <w:szCs w:val="21"/>
        </w:rPr>
        <w:t>增加了</w:t>
      </w:r>
      <w:r>
        <w:rPr>
          <w:rFonts w:hint="eastAsia"/>
        </w:rPr>
        <w:t>钕铁硼合金</w:t>
      </w:r>
      <w:r>
        <w:rPr>
          <w:rFonts w:ascii="Times New Roman"/>
          <w:szCs w:val="22"/>
        </w:rPr>
        <w:t>中</w:t>
      </w:r>
      <w:r>
        <w:rPr>
          <w:rFonts w:hint="eastAsia" w:ascii="Times New Roman"/>
          <w:szCs w:val="22"/>
        </w:rPr>
        <w:t>氢元素</w:t>
      </w:r>
      <w:r>
        <w:rPr>
          <w:rFonts w:hint="eastAsia" w:ascii="Times New Roman"/>
          <w:szCs w:val="21"/>
        </w:rPr>
        <w:t>量的测定方法</w:t>
      </w:r>
      <w:r>
        <w:rPr>
          <w:rFonts w:ascii="Times New Roman"/>
        </w:rPr>
        <w:t>，</w:t>
      </w:r>
      <w:r>
        <w:rPr>
          <w:rFonts w:ascii="Times New Roman"/>
          <w:szCs w:val="22"/>
        </w:rPr>
        <w:t>为</w:t>
      </w:r>
      <w:r>
        <w:rPr>
          <w:rFonts w:hint="eastAsia"/>
        </w:rPr>
        <w:t>钕铁硼合金</w:t>
      </w:r>
      <w:r>
        <w:rPr>
          <w:rFonts w:ascii="Times New Roman"/>
          <w:szCs w:val="22"/>
        </w:rPr>
        <w:t>化学成分的测定提供了快捷、准确的方法规范，具有良好的操作性。</w:t>
      </w:r>
    </w:p>
    <w:p>
      <w:pPr>
        <w:ind w:right="102" w:firstLine="420" w:firstLineChars="200"/>
      </w:pPr>
      <w:r>
        <w:t>本文件采用</w:t>
      </w:r>
      <w:r>
        <w:rPr>
          <w:rFonts w:hint="eastAsia"/>
        </w:rPr>
        <w:t>惰性气体熔融-热导法或红外法测定钕铁硼合金中氢的含量</w:t>
      </w:r>
      <w:r>
        <w:rPr>
          <w:color w:val="000000" w:themeColor="text1"/>
        </w:rPr>
        <w:t>，该方法具有测量范围宽、分析结果准确可靠、操作简便等特点</w:t>
      </w:r>
      <w:r>
        <w:rPr>
          <w:rFonts w:hint="eastAsia"/>
          <w:color w:val="000000" w:themeColor="text1"/>
        </w:rPr>
        <w:t>。本文件中</w:t>
      </w:r>
      <w:r>
        <w:t>精密度数据是在2021</w:t>
      </w:r>
      <w:r>
        <w:rPr>
          <w:rFonts w:hint="eastAsia"/>
        </w:rPr>
        <w:t>年至2022</w:t>
      </w:r>
      <w:r>
        <w:t>年由</w:t>
      </w:r>
      <w:r>
        <w:rPr>
          <w:rFonts w:hint="eastAsia"/>
          <w:color w:val="FF0000"/>
        </w:rPr>
        <w:t>9</w:t>
      </w:r>
      <w:r>
        <w:t>家实验室对</w:t>
      </w:r>
      <w:r>
        <w:rPr>
          <w:rFonts w:hAnsiTheme="minorEastAsia" w:eastAsiaTheme="minorEastAsia"/>
          <w:szCs w:val="21"/>
        </w:rPr>
        <w:t>钕铁硼烧结磁体、真空速凝薄带铸片</w:t>
      </w:r>
      <w:r>
        <w:rPr>
          <w:rFonts w:hint="eastAsia" w:hAnsiTheme="minorEastAsia" w:eastAsiaTheme="minorEastAsia"/>
          <w:szCs w:val="21"/>
        </w:rPr>
        <w:t>和</w:t>
      </w:r>
      <w:r>
        <w:rPr>
          <w:rFonts w:hAnsiTheme="minorEastAsia" w:eastAsiaTheme="minorEastAsia"/>
          <w:szCs w:val="21"/>
        </w:rPr>
        <w:t>氢碎粉</w:t>
      </w:r>
      <w:r>
        <w:rPr>
          <w:rFonts w:hint="eastAsia" w:hAnsiTheme="minorEastAsia" w:eastAsiaTheme="minorEastAsia"/>
          <w:szCs w:val="21"/>
        </w:rPr>
        <w:t>及其混合样</w:t>
      </w:r>
      <w:r>
        <w:rPr>
          <w:rFonts w:hint="eastAsia"/>
          <w:szCs w:val="21"/>
        </w:rPr>
        <w:t>等</w:t>
      </w:r>
      <w:r>
        <w:rPr>
          <w:rFonts w:hint="eastAsia"/>
          <w:color w:val="FF0000"/>
        </w:rPr>
        <w:t>9</w:t>
      </w:r>
      <w:r>
        <w:t>个不同</w:t>
      </w:r>
      <w:r>
        <w:rPr>
          <w:rFonts w:hint="eastAsia"/>
        </w:rPr>
        <w:t>氢含量水平</w:t>
      </w:r>
      <w:r>
        <w:t>样品进行</w:t>
      </w:r>
      <w:r>
        <w:rPr>
          <w:rFonts w:hint="eastAsia"/>
        </w:rPr>
        <w:t>协同</w:t>
      </w:r>
      <w:r>
        <w:t>试验确定的。每个实验室对每个水平样品的</w:t>
      </w:r>
      <w:r>
        <w:rPr>
          <w:rFonts w:hint="eastAsia"/>
        </w:rPr>
        <w:t>氢</w:t>
      </w:r>
      <w:r>
        <w:t>含量在重复性条件下独立测定</w:t>
      </w:r>
      <w:r>
        <w:rPr>
          <w:rFonts w:hint="eastAsia"/>
        </w:rPr>
        <w:t>6</w:t>
      </w:r>
      <w:r>
        <w:t>次</w:t>
      </w:r>
      <w:r>
        <w:rPr>
          <w:rFonts w:hint="eastAsia"/>
        </w:rPr>
        <w:t>。协同</w:t>
      </w:r>
      <w:r>
        <w:rPr>
          <w:rFonts w:hAnsi="宋体"/>
          <w:szCs w:val="21"/>
        </w:rPr>
        <w:t>试验数据按照</w:t>
      </w:r>
      <w:r>
        <w:rPr>
          <w:szCs w:val="21"/>
        </w:rPr>
        <w:t>GB/T6379.2</w:t>
      </w:r>
      <w:r>
        <w:rPr>
          <w:rFonts w:hAnsi="宋体"/>
          <w:szCs w:val="21"/>
        </w:rPr>
        <w:t>进行统计。</w:t>
      </w:r>
      <w:r>
        <w:rPr>
          <w:rFonts w:hint="eastAsia"/>
        </w:rPr>
        <w:t>共同试验结果表明</w:t>
      </w:r>
      <w:r>
        <w:rPr>
          <w:rFonts w:hint="eastAsia"/>
          <w:color w:val="000000" w:themeColor="text1"/>
        </w:rPr>
        <w:t>氢</w:t>
      </w:r>
      <w:r>
        <w:rPr>
          <w:color w:val="000000" w:themeColor="text1"/>
        </w:rPr>
        <w:t>回收率</w:t>
      </w:r>
      <w:r>
        <w:rPr>
          <w:rFonts w:hint="eastAsia"/>
          <w:color w:val="000000" w:themeColor="text1"/>
        </w:rPr>
        <w:t>为</w:t>
      </w:r>
      <w:r>
        <w:rPr>
          <w:color w:val="000000" w:themeColor="text1"/>
        </w:rPr>
        <w:t>8</w:t>
      </w:r>
      <w:r>
        <w:rPr>
          <w:rFonts w:hint="eastAsia"/>
          <w:color w:val="000000" w:themeColor="text1"/>
        </w:rPr>
        <w:t>8%</w:t>
      </w:r>
      <w:r>
        <w:rPr>
          <w:color w:val="000000" w:themeColor="text1"/>
        </w:rPr>
        <w:t>-1</w:t>
      </w:r>
      <w:r>
        <w:rPr>
          <w:rFonts w:hint="eastAsia"/>
          <w:color w:val="000000" w:themeColor="text1"/>
        </w:rPr>
        <w:t>12</w:t>
      </w:r>
      <w:r>
        <w:rPr>
          <w:color w:val="000000" w:themeColor="text1"/>
        </w:rPr>
        <w:t>%，</w:t>
      </w:r>
      <w:r>
        <w:rPr>
          <w:rFonts w:hint="eastAsia"/>
          <w:color w:val="000000" w:themeColor="text1"/>
        </w:rPr>
        <w:t>除含量接近下限的样品外</w:t>
      </w:r>
      <w:r>
        <w:rPr>
          <w:color w:val="000000" w:themeColor="text1"/>
        </w:rPr>
        <w:t>RSD</w:t>
      </w:r>
      <w:r>
        <w:rPr>
          <w:rFonts w:hint="eastAsia"/>
          <w:color w:val="000000" w:themeColor="text1"/>
        </w:rPr>
        <w:t>为0.78%</w:t>
      </w:r>
      <w:r>
        <w:rPr>
          <w:color w:val="000000" w:themeColor="text1"/>
        </w:rPr>
        <w:t>-</w:t>
      </w:r>
      <w:r>
        <w:rPr>
          <w:rFonts w:hint="eastAsia"/>
          <w:color w:val="000000" w:themeColor="text1"/>
        </w:rPr>
        <w:t>5</w:t>
      </w:r>
      <w:r>
        <w:rPr>
          <w:color w:val="000000" w:themeColor="text1"/>
        </w:rPr>
        <w:t>.</w:t>
      </w:r>
      <w:r>
        <w:rPr>
          <w:rFonts w:hint="eastAsia"/>
          <w:color w:val="000000" w:themeColor="text1"/>
        </w:rPr>
        <w:t>90</w:t>
      </w:r>
      <w:r>
        <w:rPr>
          <w:color w:val="000000" w:themeColor="text1"/>
        </w:rPr>
        <w:t>%</w:t>
      </w:r>
      <w:r>
        <w:rPr>
          <w:rFonts w:hint="eastAsia"/>
          <w:color w:val="000000" w:themeColor="text1"/>
        </w:rPr>
        <w:t>。</w:t>
      </w:r>
    </w:p>
    <w:p>
      <w:pPr>
        <w:widowControl/>
        <w:jc w:val="left"/>
        <w:rPr>
          <w:rFonts w:ascii="宋体" w:hAnsi="宋体"/>
          <w:b/>
          <w:bCs/>
        </w:rPr>
      </w:pPr>
    </w:p>
    <w:p>
      <w:pPr>
        <w:pStyle w:val="86"/>
        <w:numPr>
          <w:ilvl w:val="0"/>
          <w:numId w:val="0"/>
        </w:numPr>
        <w:spacing w:before="0" w:after="680" w:line="360" w:lineRule="exact"/>
        <w:ind w:left="4337"/>
        <w:jc w:val="both"/>
        <w:rPr>
          <w:rFonts w:ascii="宋体" w:hAnsi="宋体"/>
          <w:b/>
          <w:bCs/>
        </w:rPr>
      </w:pPr>
      <w:r>
        <w:rPr>
          <w:rFonts w:ascii="宋体" w:hAnsi="宋体"/>
          <w:b/>
          <w:bCs/>
        </w:rPr>
        <w:br w:type="page"/>
      </w:r>
    </w:p>
    <w:p>
      <w:pPr>
        <w:tabs>
          <w:tab w:val="center" w:pos="4723"/>
          <w:tab w:val="left" w:pos="7695"/>
        </w:tabs>
        <w:jc w:val="left"/>
        <w:rPr>
          <w:rFonts w:ascii="黑体" w:hAnsi="黑体" w:eastAsia="黑体"/>
          <w:sz w:val="32"/>
          <w:szCs w:val="32"/>
        </w:rPr>
      </w:pPr>
      <w:r>
        <w:rPr>
          <w:rFonts w:ascii="黑体" w:hAnsi="黑体" w:eastAsia="黑体"/>
          <w:sz w:val="32"/>
          <w:szCs w:val="32"/>
        </w:rPr>
        <w:tab/>
      </w:r>
      <w:r>
        <w:rPr>
          <w:rFonts w:hint="eastAsia" w:ascii="黑体" w:hAnsi="黑体" w:eastAsia="黑体"/>
          <w:sz w:val="32"/>
          <w:szCs w:val="32"/>
        </w:rPr>
        <w:t>钕铁硼合金化学分析方法</w:t>
      </w:r>
      <w:r>
        <w:rPr>
          <w:rFonts w:ascii="黑体" w:hAnsi="黑体" w:eastAsia="黑体"/>
          <w:sz w:val="32"/>
          <w:szCs w:val="32"/>
        </w:rPr>
        <w:tab/>
      </w:r>
    </w:p>
    <w:p>
      <w:pPr>
        <w:jc w:val="center"/>
        <w:rPr>
          <w:rFonts w:ascii="黑体" w:hAnsi="黑体" w:eastAsia="黑体"/>
          <w:sz w:val="32"/>
          <w:szCs w:val="32"/>
        </w:rPr>
      </w:pPr>
      <w:r>
        <w:rPr>
          <w:rFonts w:hint="eastAsia" w:ascii="黑体" w:hAnsi="黑体" w:eastAsia="黑体"/>
          <w:sz w:val="32"/>
          <w:szCs w:val="32"/>
        </w:rPr>
        <w:t>第8部分：氢量的测定</w:t>
      </w:r>
    </w:p>
    <w:p>
      <w:pPr>
        <w:jc w:val="center"/>
        <w:rPr>
          <w:rFonts w:ascii="黑体" w:hAnsi="黑体" w:eastAsia="黑体"/>
          <w:sz w:val="32"/>
          <w:szCs w:val="32"/>
        </w:rPr>
      </w:pPr>
      <w:r>
        <w:rPr>
          <w:rFonts w:hint="eastAsia" w:ascii="黑体" w:hAnsi="黑体" w:eastAsia="黑体"/>
          <w:sz w:val="32"/>
          <w:szCs w:val="32"/>
        </w:rPr>
        <w:t>惰性气体熔融-热导或红外法</w:t>
      </w:r>
    </w:p>
    <w:p>
      <w:pPr>
        <w:spacing w:beforeLines="100" w:afterLines="100"/>
        <w:rPr>
          <w:rFonts w:hAnsi="黑体" w:eastAsia="黑体"/>
        </w:rPr>
      </w:pPr>
      <w:r>
        <w:rPr>
          <w:rFonts w:hint="eastAsia" w:hAnsi="黑体" w:eastAsia="黑体"/>
        </w:rPr>
        <w:t>1 范围</w:t>
      </w:r>
    </w:p>
    <w:p>
      <w:pPr>
        <w:ind w:firstLine="420" w:firstLineChars="200"/>
        <w:jc w:val="left"/>
        <w:rPr>
          <w:rFonts w:eastAsiaTheme="minorEastAsia"/>
          <w:color w:val="000000"/>
          <w:szCs w:val="21"/>
        </w:rPr>
      </w:pPr>
      <w:r>
        <w:rPr>
          <w:rFonts w:hAnsiTheme="minorEastAsia" w:eastAsiaTheme="minorEastAsia"/>
          <w:color w:val="000000"/>
          <w:szCs w:val="21"/>
        </w:rPr>
        <w:t>本文件规定了钕铁硼合金中氢量的测定方法。</w:t>
      </w:r>
    </w:p>
    <w:p>
      <w:pPr>
        <w:ind w:firstLine="420" w:firstLineChars="200"/>
        <w:jc w:val="left"/>
        <w:rPr>
          <w:rFonts w:eastAsiaTheme="minorEastAsia"/>
          <w:color w:val="000000"/>
          <w:szCs w:val="21"/>
        </w:rPr>
      </w:pPr>
      <w:r>
        <w:rPr>
          <w:rFonts w:hAnsiTheme="minorEastAsia" w:eastAsiaTheme="minorEastAsia"/>
          <w:color w:val="000000"/>
          <w:szCs w:val="21"/>
        </w:rPr>
        <w:t>本文件适用于钕铁硼合金中氢量的测定。测定范围：</w:t>
      </w:r>
      <w:r>
        <w:rPr>
          <w:rFonts w:eastAsiaTheme="minorEastAsia"/>
          <w:color w:val="000000"/>
          <w:szCs w:val="21"/>
        </w:rPr>
        <w:t>0.0005%-0.20%</w:t>
      </w:r>
    </w:p>
    <w:p>
      <w:pPr>
        <w:spacing w:beforeLines="100" w:afterLines="100"/>
        <w:rPr>
          <w:rFonts w:hAnsi="黑体" w:eastAsia="黑体"/>
        </w:rPr>
      </w:pPr>
      <w:r>
        <w:rPr>
          <w:rFonts w:hint="eastAsia" w:hAnsi="黑体" w:eastAsia="黑体"/>
        </w:rPr>
        <w:t>2 规范性引用文件</w:t>
      </w:r>
    </w:p>
    <w:p>
      <w:pPr>
        <w:adjustRightInd w:val="0"/>
        <w:snapToGrid w:val="0"/>
        <w:ind w:firstLine="420" w:firstLineChars="200"/>
        <w:rPr>
          <w:color w:val="FF0000"/>
        </w:rPr>
      </w:pPr>
      <w:r>
        <w:rPr>
          <w:szCs w:val="21"/>
        </w:rPr>
        <w:t>下列文件中的内容通过文中的规范性引用而构成为本文件必不可少的条款。</w:t>
      </w:r>
      <w:r>
        <w:t>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pPr>
        <w:adjustRightInd w:val="0"/>
        <w:snapToGrid w:val="0"/>
        <w:ind w:firstLine="420" w:firstLineChars="200"/>
      </w:pPr>
      <w:r>
        <w:t>GB/T 6379.2 测量方法与结果的准确度（正确度与精密度）第2部分：确定标准测量方法重复性与再现性的基本方法</w:t>
      </w:r>
    </w:p>
    <w:p>
      <w:pPr>
        <w:ind w:firstLine="420" w:firstLineChars="200"/>
      </w:pPr>
      <w:r>
        <w:t>GB/T 8170 数值修约规则与极限数值的表示和判定</w:t>
      </w:r>
    </w:p>
    <w:p>
      <w:pPr>
        <w:ind w:firstLine="420" w:firstLineChars="200"/>
      </w:pPr>
      <w:r>
        <w:rPr>
          <w:rFonts w:hint="default" w:ascii="Times New Roman" w:hAnsi="Times New Roman" w:cs="Times New Roman"/>
          <w:kern w:val="0"/>
          <w:szCs w:val="21"/>
        </w:rPr>
        <w:t>GB/T 14265 金</w:t>
      </w:r>
      <w:r>
        <w:rPr>
          <w:rFonts w:hint="eastAsia" w:ascii="宋体" w:cs="宋体"/>
          <w:kern w:val="0"/>
          <w:szCs w:val="21"/>
        </w:rPr>
        <w:t>属材料中氢、氧、氮、碳和硫分析方法通则</w:t>
      </w:r>
    </w:p>
    <w:p>
      <w:pPr>
        <w:adjustRightInd w:val="0"/>
        <w:snapToGrid w:val="0"/>
        <w:spacing w:beforeLines="100" w:afterLines="100"/>
        <w:rPr>
          <w:rFonts w:eastAsia="黑体"/>
        </w:rPr>
      </w:pPr>
      <w:r>
        <w:rPr>
          <w:rFonts w:eastAsia="黑体"/>
        </w:rPr>
        <w:t>3</w:t>
      </w:r>
      <w:r>
        <w:rPr>
          <w:rFonts w:hint="eastAsia" w:eastAsia="黑体"/>
        </w:rPr>
        <w:t xml:space="preserve"> </w:t>
      </w:r>
      <w:r>
        <w:rPr>
          <w:rFonts w:hAnsi="黑体" w:eastAsia="黑体"/>
        </w:rPr>
        <w:t>术语和定义</w:t>
      </w:r>
    </w:p>
    <w:p>
      <w:pPr>
        <w:adjustRightInd w:val="0"/>
        <w:snapToGrid w:val="0"/>
        <w:spacing w:beforeLines="50" w:afterLines="50"/>
        <w:ind w:firstLine="420" w:firstLineChars="200"/>
      </w:pPr>
      <w:r>
        <w:t>本文件没有需要界定的术语和定义。</w:t>
      </w:r>
    </w:p>
    <w:p>
      <w:pPr>
        <w:keepNext w:val="0"/>
        <w:keepLines w:val="0"/>
        <w:pageBreakBefore w:val="0"/>
        <w:widowControl w:val="0"/>
        <w:kinsoku/>
        <w:wordWrap/>
        <w:overflowPunct/>
        <w:topLinePunct w:val="0"/>
        <w:autoSpaceDE/>
        <w:autoSpaceDN/>
        <w:bidi w:val="0"/>
        <w:adjustRightInd w:val="0"/>
        <w:snapToGrid w:val="0"/>
        <w:spacing w:beforeLines="100" w:afterLines="100"/>
        <w:textAlignment w:val="auto"/>
        <w:rPr>
          <w:rFonts w:eastAsia="黑体"/>
        </w:rPr>
      </w:pPr>
      <w:r>
        <w:rPr>
          <w:rFonts w:hint="eastAsia" w:eastAsia="黑体"/>
          <w:lang w:val="en-US" w:eastAsia="zh-CN"/>
        </w:rPr>
        <w:t>4</w:t>
      </w:r>
      <w:r>
        <w:rPr>
          <w:rFonts w:hint="eastAsia" w:eastAsia="黑体"/>
        </w:rPr>
        <w:t xml:space="preserve"> 方法原理</w:t>
      </w:r>
    </w:p>
    <w:p>
      <w:pPr>
        <w:spacing w:after="240"/>
        <w:ind w:firstLine="420" w:firstLineChars="200"/>
        <w:jc w:val="left"/>
        <w:rPr>
          <w:rFonts w:eastAsiaTheme="minorEastAsia"/>
          <w:color w:val="000000"/>
          <w:szCs w:val="21"/>
        </w:rPr>
      </w:pPr>
      <w:r>
        <w:rPr>
          <w:rFonts w:hAnsiTheme="minorEastAsia" w:eastAsiaTheme="minorEastAsia"/>
          <w:color w:val="000000"/>
          <w:szCs w:val="21"/>
        </w:rPr>
        <w:t>试料置于经脱气的石墨坩埚中，在惰性气氛下加热熔融。试料中氢以分子的形式释放并进入载气流中，经色谱柱与其他气体分离后，在热导池中检测；或氢分子随载气流通过热的氧化铜后转化为</w:t>
      </w:r>
      <w:r>
        <w:rPr>
          <w:rFonts w:hint="eastAsia" w:hAnsiTheme="minorEastAsia" w:eastAsiaTheme="minorEastAsia"/>
          <w:color w:val="000000"/>
          <w:szCs w:val="21"/>
        </w:rPr>
        <w:t>水蒸气</w:t>
      </w:r>
      <w:r>
        <w:rPr>
          <w:rFonts w:hAnsiTheme="minorEastAsia" w:eastAsiaTheme="minorEastAsia"/>
          <w:color w:val="000000"/>
          <w:szCs w:val="21"/>
        </w:rPr>
        <w:t>，在特定的红外池中检测。根据热导率或红外吸收光谱强度信号变化，计算出氢含量。</w:t>
      </w:r>
    </w:p>
    <w:p>
      <w:pPr>
        <w:keepNext w:val="0"/>
        <w:keepLines w:val="0"/>
        <w:pageBreakBefore w:val="0"/>
        <w:widowControl w:val="0"/>
        <w:kinsoku/>
        <w:wordWrap/>
        <w:overflowPunct/>
        <w:topLinePunct w:val="0"/>
        <w:autoSpaceDE/>
        <w:autoSpaceDN/>
        <w:bidi w:val="0"/>
        <w:adjustRightInd w:val="0"/>
        <w:snapToGrid w:val="0"/>
        <w:spacing w:beforeLines="100" w:afterLines="100"/>
        <w:textAlignment w:val="auto"/>
        <w:rPr>
          <w:rFonts w:eastAsia="黑体"/>
        </w:rPr>
      </w:pPr>
      <w:r>
        <w:rPr>
          <w:rFonts w:hint="eastAsia" w:eastAsia="黑体"/>
        </w:rPr>
        <w:t>5试剂和材料</w:t>
      </w:r>
    </w:p>
    <w:p>
      <w:pPr>
        <w:jc w:val="left"/>
        <w:rPr>
          <w:rFonts w:eastAsiaTheme="minorEastAsia"/>
          <w:szCs w:val="21"/>
        </w:rPr>
      </w:pPr>
      <w:r>
        <w:rPr>
          <w:rFonts w:hint="eastAsia" w:hAnsiTheme="minorEastAsia" w:eastAsiaTheme="minorEastAsia"/>
          <w:szCs w:val="21"/>
        </w:rPr>
        <w:t>5.1</w:t>
      </w:r>
      <w:r>
        <w:rPr>
          <w:rFonts w:hAnsiTheme="minorEastAsia" w:eastAsiaTheme="minorEastAsia"/>
          <w:szCs w:val="21"/>
        </w:rPr>
        <w:t>高纯载气：纯度为</w:t>
      </w:r>
      <w:r>
        <w:rPr>
          <w:rFonts w:eastAsiaTheme="minorEastAsia"/>
          <w:szCs w:val="21"/>
        </w:rPr>
        <w:t>99.99%</w:t>
      </w:r>
      <w:r>
        <w:rPr>
          <w:rFonts w:hAnsiTheme="minorEastAsia" w:eastAsiaTheme="minorEastAsia"/>
          <w:szCs w:val="21"/>
        </w:rPr>
        <w:t>以上，可以为氩气</w:t>
      </w:r>
      <w:r>
        <w:rPr>
          <w:rFonts w:hint="eastAsia" w:hAnsiTheme="minorEastAsia" w:eastAsiaTheme="minorEastAsia"/>
          <w:szCs w:val="21"/>
        </w:rPr>
        <w:t>、</w:t>
      </w:r>
      <w:r>
        <w:rPr>
          <w:rFonts w:hAnsiTheme="minorEastAsia" w:eastAsiaTheme="minorEastAsia"/>
          <w:szCs w:val="21"/>
        </w:rPr>
        <w:t>氮气</w:t>
      </w:r>
      <w:r>
        <w:rPr>
          <w:rFonts w:hint="eastAsia" w:hAnsiTheme="minorEastAsia" w:eastAsiaTheme="minorEastAsia"/>
          <w:szCs w:val="21"/>
        </w:rPr>
        <w:t>或氦气</w:t>
      </w:r>
      <w:r>
        <w:rPr>
          <w:rFonts w:hAnsiTheme="minorEastAsia" w:eastAsiaTheme="minorEastAsia"/>
          <w:szCs w:val="21"/>
        </w:rPr>
        <w:t>，根据仪器制造商推荐而定。</w:t>
      </w:r>
    </w:p>
    <w:p>
      <w:pPr>
        <w:tabs>
          <w:tab w:val="left" w:pos="360"/>
        </w:tabs>
        <w:jc w:val="left"/>
        <w:rPr>
          <w:rFonts w:hint="eastAsia" w:eastAsiaTheme="minorEastAsia"/>
          <w:szCs w:val="21"/>
        </w:rPr>
      </w:pPr>
      <w:r>
        <w:rPr>
          <w:rFonts w:hint="eastAsia" w:hAnsiTheme="minorEastAsia" w:eastAsiaTheme="minorEastAsia"/>
          <w:szCs w:val="21"/>
        </w:rPr>
        <w:t>5.2</w:t>
      </w:r>
      <w:r>
        <w:rPr>
          <w:rFonts w:hAnsiTheme="minorEastAsia" w:eastAsiaTheme="minorEastAsia"/>
          <w:szCs w:val="21"/>
        </w:rPr>
        <w:t>动力气：氮气、氩气或压缩空气，油和水含量小于</w:t>
      </w:r>
      <w:r>
        <w:rPr>
          <w:rFonts w:eastAsiaTheme="minorEastAsia"/>
          <w:szCs w:val="21"/>
        </w:rPr>
        <w:t>0.5%</w:t>
      </w:r>
      <w:r>
        <w:rPr>
          <w:rFonts w:hAnsiTheme="minorEastAsia" w:eastAsiaTheme="minorEastAsia"/>
          <w:szCs w:val="21"/>
        </w:rPr>
        <w:t>；禁用可燃气体。</w:t>
      </w:r>
    </w:p>
    <w:p>
      <w:pPr>
        <w:tabs>
          <w:tab w:val="left" w:pos="360"/>
        </w:tabs>
        <w:jc w:val="left"/>
        <w:rPr>
          <w:rFonts w:hint="eastAsia" w:eastAsiaTheme="minorEastAsia"/>
          <w:szCs w:val="21"/>
        </w:rPr>
      </w:pPr>
      <w:r>
        <w:rPr>
          <w:rFonts w:hint="eastAsia" w:hAnsiTheme="minorEastAsia" w:eastAsiaTheme="minorEastAsia"/>
          <w:szCs w:val="21"/>
        </w:rPr>
        <w:t>5.3</w:t>
      </w:r>
      <w:r>
        <w:rPr>
          <w:rFonts w:hAnsiTheme="minorEastAsia" w:eastAsiaTheme="minorEastAsia"/>
          <w:szCs w:val="21"/>
        </w:rPr>
        <w:t>石墨坩埚</w:t>
      </w:r>
      <w:r>
        <w:rPr>
          <w:rFonts w:hint="eastAsia" w:hAnsiTheme="minorEastAsia" w:eastAsiaTheme="minorEastAsia"/>
          <w:szCs w:val="21"/>
        </w:rPr>
        <w:t>：</w:t>
      </w:r>
      <w:r>
        <w:rPr>
          <w:rFonts w:hAnsiTheme="minorEastAsia" w:eastAsiaTheme="minorEastAsia"/>
          <w:szCs w:val="21"/>
        </w:rPr>
        <w:t>由高纯石墨制成。</w:t>
      </w:r>
    </w:p>
    <w:p>
      <w:pPr>
        <w:tabs>
          <w:tab w:val="left" w:pos="360"/>
        </w:tabs>
        <w:jc w:val="left"/>
        <w:rPr>
          <w:rFonts w:hint="eastAsia" w:eastAsiaTheme="minorEastAsia"/>
          <w:szCs w:val="21"/>
        </w:rPr>
      </w:pPr>
      <w:r>
        <w:rPr>
          <w:rFonts w:hint="eastAsia" w:hAnsiTheme="minorEastAsia" w:eastAsiaTheme="minorEastAsia"/>
          <w:szCs w:val="21"/>
        </w:rPr>
        <w:t>5.4</w:t>
      </w:r>
      <w:r>
        <w:rPr>
          <w:rFonts w:hAnsiTheme="minorEastAsia" w:eastAsiaTheme="minorEastAsia"/>
          <w:szCs w:val="21"/>
        </w:rPr>
        <w:t>镍囊：</w:t>
      </w:r>
      <w:r>
        <w:rPr>
          <w:rFonts w:hint="default" w:ascii="Times New Roman" w:hAnsi="Times New Roman" w:cs="Times New Roman"/>
          <w:i/>
          <w:iCs/>
          <w:sz w:val="21"/>
          <w:szCs w:val="21"/>
        </w:rPr>
        <w:t>w</w:t>
      </w:r>
      <w:r>
        <w:rPr>
          <w:rFonts w:hint="default" w:ascii="Times New Roman" w:hAnsi="Times New Roman" w:cs="Times New Roman"/>
          <w:i/>
          <w:iCs/>
          <w:sz w:val="21"/>
          <w:szCs w:val="21"/>
          <w:vertAlign w:val="subscript"/>
        </w:rPr>
        <w:t>H</w:t>
      </w:r>
      <w:r>
        <w:rPr>
          <w:rFonts w:hint="eastAsia" w:cs="Times New Roman"/>
          <w:i/>
          <w:iCs/>
          <w:sz w:val="21"/>
          <w:szCs w:val="21"/>
          <w:vertAlign w:val="subscript"/>
          <w:lang w:val="en-US" w:eastAsia="zh-CN"/>
        </w:rPr>
        <w:t xml:space="preserve"> </w:t>
      </w:r>
      <w:r>
        <w:rPr>
          <w:rFonts w:hint="default" w:ascii="Times New Roman" w:hAnsi="Times New Roman" w:cs="Times New Roman"/>
          <w:sz w:val="21"/>
          <w:szCs w:val="21"/>
        </w:rPr>
        <w:t>≤</w:t>
      </w:r>
      <w:r>
        <w:rPr>
          <w:rFonts w:hint="eastAsia" w:cs="Times New Roman"/>
          <w:sz w:val="21"/>
          <w:szCs w:val="21"/>
          <w:lang w:val="en-US" w:eastAsia="zh-CN"/>
        </w:rPr>
        <w:t xml:space="preserve"> </w:t>
      </w:r>
      <w:r>
        <w:rPr>
          <w:rFonts w:hint="default" w:ascii="Times New Roman" w:hAnsi="Times New Roman" w:cs="Times New Roman" w:eastAsiaTheme="minorEastAsia"/>
          <w:color w:val="000000"/>
          <w:sz w:val="21"/>
          <w:szCs w:val="21"/>
        </w:rPr>
        <w:t>0.01μg/g</w:t>
      </w:r>
      <w:r>
        <w:rPr>
          <w:rFonts w:hint="eastAsia" w:asciiTheme="minorEastAsia" w:hAnsiTheme="minorEastAsia" w:eastAsiaTheme="minorEastAsia"/>
          <w:color w:val="000000"/>
          <w:szCs w:val="21"/>
        </w:rPr>
        <w:t>。</w:t>
      </w:r>
    </w:p>
    <w:p>
      <w:pPr>
        <w:tabs>
          <w:tab w:val="left" w:pos="360"/>
        </w:tabs>
        <w:jc w:val="left"/>
        <w:rPr>
          <w:rFonts w:eastAsiaTheme="minorEastAsia"/>
          <w:szCs w:val="21"/>
        </w:rPr>
      </w:pPr>
      <w:r>
        <w:rPr>
          <w:rFonts w:hint="eastAsia" w:hAnsiTheme="minorEastAsia" w:eastAsiaTheme="minorEastAsia"/>
          <w:szCs w:val="21"/>
        </w:rPr>
        <w:t>5.5</w:t>
      </w:r>
      <w:r>
        <w:rPr>
          <w:rFonts w:hAnsiTheme="minorEastAsia" w:eastAsiaTheme="minorEastAsia"/>
          <w:szCs w:val="21"/>
        </w:rPr>
        <w:t>氢标准样品</w:t>
      </w:r>
      <w:r>
        <w:rPr>
          <w:rFonts w:hint="eastAsia" w:hAnsiTheme="minorEastAsia" w:eastAsiaTheme="minorEastAsia"/>
          <w:szCs w:val="21"/>
        </w:rPr>
        <w:t>：</w:t>
      </w:r>
      <w:r>
        <w:rPr>
          <w:rFonts w:hint="eastAsia" w:ascii="宋体" w:cs="宋体"/>
          <w:color w:val="000000"/>
          <w:kern w:val="0"/>
          <w:szCs w:val="21"/>
        </w:rPr>
        <w:t>在含氢量（质量分数</w:t>
      </w:r>
      <w:r>
        <w:rPr>
          <w:rFonts w:hint="default" w:ascii="Times New Roman" w:hAnsi="Times New Roman" w:cs="Times New Roman"/>
          <w:color w:val="000000"/>
          <w:kern w:val="0"/>
          <w:szCs w:val="21"/>
        </w:rPr>
        <w:t>）0.0005%～0.20%范围内选择合适</w:t>
      </w:r>
      <w:r>
        <w:rPr>
          <w:rFonts w:hint="eastAsia" w:ascii="宋体" w:cs="宋体"/>
          <w:color w:val="000000"/>
          <w:kern w:val="0"/>
          <w:szCs w:val="21"/>
        </w:rPr>
        <w:t>的有证标准样品</w:t>
      </w:r>
      <w:r>
        <w:rPr>
          <w:rFonts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eastAsia="黑体"/>
        </w:rPr>
      </w:pPr>
      <w:r>
        <w:rPr>
          <w:rFonts w:hint="eastAsia" w:eastAsia="黑体"/>
        </w:rPr>
        <w:t>6 仪器</w:t>
      </w:r>
    </w:p>
    <w:p>
      <w:pPr>
        <w:spacing w:beforeLines="100" w:afterLines="10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惰性气体熔融-热导或红外检测氢分析仪，包括脉冲石墨电极炉、分析气流杂质去除系统、辅助净化系统以及热导池氢气测量系统或红外池水蒸气测量系统。</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eastAsia="黑体"/>
        </w:rPr>
      </w:pPr>
      <w:r>
        <w:rPr>
          <w:rFonts w:hint="eastAsia" w:eastAsia="黑体"/>
        </w:rPr>
        <w:t>7 试样</w:t>
      </w:r>
    </w:p>
    <w:p>
      <w:pPr>
        <w:tabs>
          <w:tab w:val="left" w:pos="3120"/>
        </w:tabs>
        <w:ind w:right="10"/>
        <w:outlineLvl w:val="0"/>
        <w:rPr>
          <w:rFonts w:eastAsiaTheme="minorEastAsia"/>
          <w:color w:val="000000"/>
          <w:szCs w:val="21"/>
        </w:rPr>
      </w:pPr>
      <w:r>
        <w:rPr>
          <w:rFonts w:eastAsiaTheme="minorEastAsia"/>
          <w:color w:val="000000"/>
          <w:szCs w:val="21"/>
        </w:rPr>
        <w:t>7.1</w:t>
      </w:r>
      <w:r>
        <w:rPr>
          <w:rFonts w:hAnsiTheme="minorEastAsia" w:eastAsiaTheme="minorEastAsia"/>
          <w:color w:val="000000"/>
          <w:szCs w:val="21"/>
        </w:rPr>
        <w:t>试样为</w:t>
      </w:r>
      <w:r>
        <w:rPr>
          <w:rFonts w:hAnsiTheme="minorEastAsia" w:eastAsiaTheme="minorEastAsia"/>
          <w:szCs w:val="21"/>
        </w:rPr>
        <w:t>钕铁硼烧结磁体、真空速凝薄带铸片或氢碎粉，可以为块状、片状、粒状</w:t>
      </w:r>
      <w:r>
        <w:rPr>
          <w:rFonts w:hAnsiTheme="minorEastAsia" w:eastAsiaTheme="minorEastAsia"/>
          <w:color w:val="000000"/>
          <w:szCs w:val="21"/>
        </w:rPr>
        <w:t>或粉末状。</w:t>
      </w:r>
    </w:p>
    <w:p>
      <w:pPr>
        <w:tabs>
          <w:tab w:val="left" w:pos="3120"/>
        </w:tabs>
        <w:ind w:right="10"/>
        <w:outlineLvl w:val="0"/>
        <w:rPr>
          <w:rFonts w:eastAsiaTheme="minorEastAsia"/>
          <w:color w:val="000000"/>
          <w:szCs w:val="21"/>
        </w:rPr>
      </w:pPr>
      <w:r>
        <w:rPr>
          <w:rFonts w:eastAsiaTheme="minorEastAsia"/>
          <w:color w:val="000000"/>
          <w:szCs w:val="21"/>
        </w:rPr>
        <w:t xml:space="preserve">7.2 </w:t>
      </w:r>
      <w:r>
        <w:rPr>
          <w:rFonts w:hAnsiTheme="minorEastAsia" w:eastAsiaTheme="minorEastAsia"/>
          <w:color w:val="000000"/>
          <w:szCs w:val="21"/>
        </w:rPr>
        <w:t>大块试样机械破碎为</w:t>
      </w:r>
      <w:r>
        <w:rPr>
          <w:rFonts w:eastAsiaTheme="minorEastAsia"/>
          <w:color w:val="000000"/>
          <w:szCs w:val="21"/>
        </w:rPr>
        <w:t>10mm</w:t>
      </w:r>
      <w:r>
        <w:rPr>
          <w:rFonts w:hAnsiTheme="minorEastAsia" w:eastAsiaTheme="minorEastAsia"/>
          <w:color w:val="000000"/>
          <w:szCs w:val="21"/>
        </w:rPr>
        <w:t>小块后用长臂钳剪切为</w:t>
      </w:r>
      <w:r>
        <w:rPr>
          <w:rFonts w:eastAsiaTheme="minorEastAsia"/>
          <w:color w:val="000000"/>
          <w:szCs w:val="21"/>
        </w:rPr>
        <w:t>4mm</w:t>
      </w:r>
      <w:r>
        <w:rPr>
          <w:rFonts w:hAnsiTheme="minorEastAsia" w:eastAsiaTheme="minorEastAsia"/>
          <w:color w:val="000000"/>
          <w:szCs w:val="21"/>
        </w:rPr>
        <w:t>以下小块，铸片用镊子掰成</w:t>
      </w:r>
      <w:r>
        <w:rPr>
          <w:rFonts w:eastAsiaTheme="minorEastAsia"/>
          <w:color w:val="000000"/>
          <w:szCs w:val="21"/>
        </w:rPr>
        <w:t>4mm</w:t>
      </w:r>
      <w:r>
        <w:rPr>
          <w:rFonts w:hAnsiTheme="minorEastAsia" w:eastAsiaTheme="minorEastAsia"/>
          <w:color w:val="000000"/>
          <w:szCs w:val="21"/>
        </w:rPr>
        <w:t>以下小片，加工、处理试样时，确保试样清洁，防止污染。</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eastAsia="黑体"/>
        </w:rPr>
      </w:pPr>
      <w:r>
        <w:rPr>
          <w:rFonts w:hint="eastAsia" w:eastAsia="黑体"/>
        </w:rPr>
        <w:t>8 分析步骤</w:t>
      </w:r>
    </w:p>
    <w:p>
      <w:pPr>
        <w:keepNext w:val="0"/>
        <w:keepLines w:val="0"/>
        <w:pageBreakBefore w:val="0"/>
        <w:kinsoku/>
        <w:wordWrap/>
        <w:overflowPunct/>
        <w:topLinePunct w:val="0"/>
        <w:bidi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8.1试料</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称取试样0.10-0.20g，精确至0.0001g。</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8.2平行试验</w:t>
      </w:r>
    </w:p>
    <w:p>
      <w:pPr>
        <w:keepNext w:val="0"/>
        <w:keepLines w:val="0"/>
        <w:pageBreakBefore w:val="0"/>
        <w:kinsoku/>
        <w:wordWrap/>
        <w:overflowPunct/>
        <w:topLinePunct w:val="0"/>
        <w:bidi w:val="0"/>
        <w:adjustRightInd w:val="0"/>
        <w:snapToGrid w:val="0"/>
        <w:ind w:firstLine="42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color w:val="000000"/>
          <w:szCs w:val="21"/>
        </w:rPr>
        <w:t>称取两份试料（7.1）进行平行测定。</w:t>
      </w:r>
    </w:p>
    <w:p>
      <w:pPr>
        <w:keepNext w:val="0"/>
        <w:keepLines w:val="0"/>
        <w:pageBreakBefore w:val="0"/>
        <w:kinsoku/>
        <w:wordWrap/>
        <w:overflowPunct/>
        <w:topLinePunct w:val="0"/>
        <w:bidi w:val="0"/>
        <w:adjustRightInd w:val="0"/>
        <w:snapToGrid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8.3空白校正</w:t>
      </w:r>
    </w:p>
    <w:p>
      <w:pPr>
        <w:pStyle w:val="52"/>
        <w:keepNext w:val="0"/>
        <w:keepLines w:val="0"/>
        <w:pageBreakBefore w:val="0"/>
        <w:kinsoku/>
        <w:wordWrap/>
        <w:overflowPunct/>
        <w:topLinePunct w:val="0"/>
        <w:bidi w:val="0"/>
        <w:ind w:firstLine="42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按照仪器说明书开启循环水冷机、打开载气、动力气气阀，调节分压阀压力，开机充分预热仪器。</w:t>
      </w:r>
    </w:p>
    <w:p>
      <w:pPr>
        <w:pStyle w:val="52"/>
        <w:keepNext w:val="0"/>
        <w:keepLines w:val="0"/>
        <w:pageBreakBefore w:val="0"/>
        <w:kinsoku/>
        <w:wordWrap/>
        <w:overflowPunct/>
        <w:topLinePunct w:val="0"/>
        <w:bidi w:val="0"/>
        <w:ind w:firstLine="42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设置方法参数，输入样重0.15g，打开脉冲炉，将石墨坩埚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置于下电极，将镍囊（</w:t>
      </w:r>
      <w:r>
        <w:rPr>
          <w:rFonts w:hint="default" w:ascii="Times New Roman" w:hAnsi="Times New Roman" w:cs="Times New Roman" w:eastAsiaTheme="minorEastAsia"/>
          <w:color w:val="000000"/>
          <w:szCs w:val="21"/>
        </w:rPr>
        <w:t>5.4 ）</w:t>
      </w:r>
      <w:r>
        <w:rPr>
          <w:rFonts w:hint="default" w:ascii="Times New Roman" w:hAnsi="Times New Roman" w:cs="Times New Roman" w:eastAsiaTheme="minorEastAsia"/>
          <w:szCs w:val="21"/>
        </w:rPr>
        <w:t>置于加样器内。按运行按钮，下电极上升，石墨坩埚（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脱气，镍囊落下，加热熔融，仪器显示空白值。重复测定</w:t>
      </w:r>
      <w:r>
        <w:rPr>
          <w:rFonts w:hint="default" w:ascii="Times New Roman" w:hAnsi="Times New Roman" w:cs="Times New Roman" w:eastAsiaTheme="minorEastAsia"/>
          <w:color w:val="000000"/>
          <w:szCs w:val="21"/>
        </w:rPr>
        <w:t>3</w:t>
      </w:r>
      <w:r>
        <w:rPr>
          <w:rFonts w:hint="default" w:ascii="Times New Roman" w:hAnsi="Times New Roman" w:cs="Times New Roman" w:eastAsiaTheme="minorEastAsia"/>
          <w:szCs w:val="21"/>
        </w:rPr>
        <w:t>次，取平均值。</w:t>
      </w:r>
    </w:p>
    <w:p>
      <w:pPr>
        <w:keepNext w:val="0"/>
        <w:keepLines w:val="0"/>
        <w:pageBreakBefore w:val="0"/>
        <w:kinsoku/>
        <w:wordWrap/>
        <w:overflowPunct/>
        <w:topLinePunct w:val="0"/>
        <w:bidi w:val="0"/>
        <w:adjustRightInd w:val="0"/>
        <w:snapToGrid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8.4 标样校正</w:t>
      </w:r>
    </w:p>
    <w:p>
      <w:pPr>
        <w:keepNext w:val="0"/>
        <w:keepLines w:val="0"/>
        <w:pageBreakBefore w:val="0"/>
        <w:kinsoku/>
        <w:wordWrap/>
        <w:overflowPunct/>
        <w:topLinePunct w:val="0"/>
        <w:bidi w:val="0"/>
        <w:adjustRightInd w:val="0"/>
        <w:snapToGrid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8.4.1 选取氢标准样品（4.7），其氢含量接近待测试料的氢含量，且不超过本方法的检测范围。</w:t>
      </w:r>
    </w:p>
    <w:p>
      <w:pPr>
        <w:pStyle w:val="52"/>
        <w:keepNext w:val="0"/>
        <w:keepLines w:val="0"/>
        <w:pageBreakBefore w:val="0"/>
        <w:kinsoku/>
        <w:wordWrap/>
        <w:overflowPunct/>
        <w:topLinePunct w:val="0"/>
        <w:bidi w:val="0"/>
        <w:ind w:firstLine="0" w:firstLineChars="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8.4.2 称取标准样品（5.5）于镍囊（</w:t>
      </w:r>
      <w:r>
        <w:rPr>
          <w:rFonts w:hint="default" w:ascii="Times New Roman" w:hAnsi="Times New Roman" w:cs="Times New Roman" w:eastAsiaTheme="minorEastAsia"/>
          <w:color w:val="000000"/>
          <w:szCs w:val="21"/>
        </w:rPr>
        <w:t>5.4）内，读取样重并封口</w:t>
      </w:r>
      <w:r>
        <w:rPr>
          <w:rFonts w:hint="default" w:ascii="Times New Roman" w:hAnsi="Times New Roman" w:cs="Times New Roman" w:eastAsiaTheme="minorEastAsia"/>
          <w:szCs w:val="21"/>
        </w:rPr>
        <w:t>，打开脉冲炉，将石墨坩埚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置于下电极，将镍囊（</w:t>
      </w:r>
      <w:r>
        <w:rPr>
          <w:rFonts w:hint="default" w:ascii="Times New Roman" w:hAnsi="Times New Roman" w:cs="Times New Roman" w:eastAsiaTheme="minorEastAsia"/>
          <w:color w:val="000000"/>
          <w:szCs w:val="21"/>
        </w:rPr>
        <w:t>5.4）</w:t>
      </w:r>
      <w:r>
        <w:rPr>
          <w:rFonts w:hint="default" w:ascii="Times New Roman" w:hAnsi="Times New Roman" w:cs="Times New Roman" w:eastAsiaTheme="minorEastAsia"/>
          <w:szCs w:val="21"/>
        </w:rPr>
        <w:t>置于加样器内。按运行按钮，下电极上升，石墨坩埚（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脱气，镍囊落下，加热熔融，仪器显示标样氢值。重复测定</w:t>
      </w:r>
      <w:r>
        <w:rPr>
          <w:rFonts w:hint="default" w:ascii="Times New Roman" w:hAnsi="Times New Roman" w:cs="Times New Roman" w:eastAsiaTheme="minorEastAsia"/>
          <w:color w:val="000000"/>
          <w:szCs w:val="21"/>
        </w:rPr>
        <w:t>3</w:t>
      </w:r>
      <w:r>
        <w:rPr>
          <w:rFonts w:hint="default" w:ascii="Times New Roman" w:hAnsi="Times New Roman" w:cs="Times New Roman" w:eastAsiaTheme="minorEastAsia"/>
          <w:szCs w:val="21"/>
        </w:rPr>
        <w:t>次，结果应不超出标样不确定度范围</w:t>
      </w:r>
      <w:r>
        <w:rPr>
          <w:rFonts w:hint="default" w:ascii="Times New Roman" w:hAnsi="Times New Roman" w:cs="Times New Roman"/>
        </w:rPr>
        <w:t>，否则应找出原因并重新校正。</w:t>
      </w:r>
    </w:p>
    <w:p>
      <w:pPr>
        <w:keepNext w:val="0"/>
        <w:keepLines w:val="0"/>
        <w:pageBreakBefore w:val="0"/>
        <w:kinsoku/>
        <w:wordWrap/>
        <w:overflowPunct/>
        <w:topLinePunct w:val="0"/>
        <w:bidi w:val="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8.5试样分析</w:t>
      </w:r>
    </w:p>
    <w:p>
      <w:pPr>
        <w:keepNext w:val="0"/>
        <w:keepLines w:val="0"/>
        <w:pageBreakBefore w:val="0"/>
        <w:kinsoku/>
        <w:wordWrap/>
        <w:overflowPunct/>
        <w:topLinePunct w:val="0"/>
        <w:bidi w:val="0"/>
        <w:adjustRightInd w:val="0"/>
        <w:snapToGrid w:val="0"/>
        <w:ind w:firstLine="42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称取试料（8.1）于镍囊（</w:t>
      </w:r>
      <w:r>
        <w:rPr>
          <w:rFonts w:hint="default" w:ascii="Times New Roman" w:hAnsi="Times New Roman" w:cs="Times New Roman" w:eastAsiaTheme="minorEastAsia"/>
          <w:color w:val="000000"/>
          <w:szCs w:val="21"/>
        </w:rPr>
        <w:t>5.4）内，读取样重并封口</w:t>
      </w:r>
      <w:r>
        <w:rPr>
          <w:rFonts w:hint="default" w:ascii="Times New Roman" w:hAnsi="Times New Roman" w:cs="Times New Roman" w:eastAsiaTheme="minorEastAsia"/>
          <w:szCs w:val="21"/>
        </w:rPr>
        <w:t>，打开脉冲炉，将石墨坩埚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置于下电极，将镍囊（</w:t>
      </w:r>
      <w:r>
        <w:rPr>
          <w:rFonts w:hint="default" w:ascii="Times New Roman" w:hAnsi="Times New Roman" w:cs="Times New Roman" w:eastAsiaTheme="minorEastAsia"/>
          <w:color w:val="000000"/>
          <w:szCs w:val="21"/>
        </w:rPr>
        <w:t>5.4）</w:t>
      </w:r>
      <w:r>
        <w:rPr>
          <w:rFonts w:hint="default" w:ascii="Times New Roman" w:hAnsi="Times New Roman" w:cs="Times New Roman" w:eastAsiaTheme="minorEastAsia"/>
          <w:szCs w:val="21"/>
        </w:rPr>
        <w:t>置于加样器内。按运行按钮，下电极上升，石墨坩埚（</w:t>
      </w:r>
      <w:r>
        <w:rPr>
          <w:rFonts w:hint="default" w:ascii="Times New Roman" w:hAnsi="Times New Roman" w:cs="Times New Roman" w:eastAsiaTheme="minorEastAsia"/>
          <w:color w:val="000000"/>
          <w:szCs w:val="21"/>
        </w:rPr>
        <w:t>5.3）</w:t>
      </w:r>
      <w:r>
        <w:rPr>
          <w:rFonts w:hint="default" w:ascii="Times New Roman" w:hAnsi="Times New Roman" w:cs="Times New Roman" w:eastAsiaTheme="minorEastAsia"/>
          <w:szCs w:val="21"/>
        </w:rPr>
        <w:t>脱气，镍囊落下，加热熔融，仪器显示试料氢值。</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eastAsia="黑体"/>
        </w:rPr>
      </w:pPr>
      <w:r>
        <w:rPr>
          <w:rFonts w:hint="eastAsia" w:eastAsia="黑体"/>
        </w:rPr>
        <w:t>9 分析结果与计算</w:t>
      </w:r>
    </w:p>
    <w:p>
      <w:pPr>
        <w:ind w:firstLine="420" w:firstLineChars="200"/>
        <w:jc w:val="left"/>
        <w:rPr>
          <w:rFonts w:asciiTheme="minorEastAsia" w:hAnsiTheme="minorEastAsia" w:eastAsiaTheme="minorEastAsia"/>
          <w:szCs w:val="21"/>
        </w:rPr>
      </w:pPr>
      <w:r>
        <w:rPr>
          <w:rFonts w:hAnsi="宋体"/>
          <w:color w:val="000000"/>
          <w:szCs w:val="21"/>
        </w:rPr>
        <w:t>钕铁硼合金中氢量</w:t>
      </w:r>
      <w:r>
        <w:rPr>
          <w:rFonts w:hint="eastAsia" w:hAnsi="宋体"/>
          <w:color w:val="000000"/>
          <w:szCs w:val="21"/>
        </w:rPr>
        <w:t>以</w:t>
      </w:r>
      <w:r>
        <w:rPr>
          <w:szCs w:val="21"/>
        </w:rPr>
        <w:t>氢</w:t>
      </w:r>
      <w:r>
        <w:rPr>
          <w:rFonts w:hint="eastAsia"/>
          <w:szCs w:val="21"/>
        </w:rPr>
        <w:t>的质量分数</w:t>
      </w:r>
      <w:r>
        <w:rPr>
          <w:szCs w:val="21"/>
        </w:rPr>
        <w:t>ω(H)</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szCs w:val="21"/>
        </w:rPr>
        <w:t>计，按公式（1）计算</w:t>
      </w:r>
      <w:r>
        <w:rPr>
          <w:rFonts w:asciiTheme="minorEastAsia" w:hAnsiTheme="minorEastAsia" w:eastAsiaTheme="minorEastAsia"/>
          <w:szCs w:val="21"/>
        </w:rPr>
        <w:t>：</w:t>
      </w:r>
    </w:p>
    <w:p>
      <w:pPr>
        <w:pStyle w:val="52"/>
        <w:ind w:left="420" w:leftChars="200" w:firstLine="1890" w:firstLineChars="900"/>
        <w:rPr>
          <w:rFonts w:ascii="Times New Roman" w:eastAsiaTheme="minorEastAsia"/>
          <w:position w:val="-10"/>
        </w:rPr>
      </w:pPr>
      <w:r>
        <w:rPr>
          <w:rFonts w:ascii="Times New Roman" w:eastAsiaTheme="minorEastAsia"/>
          <w:position w:val="-10"/>
        </w:rPr>
        <w:object>
          <v:shape id="_x0000_i1025" o:spt="75" type="#_x0000_t75" style="height:17pt;width:82.8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ascii="Times New Roman"/>
          <w:position w:val="-10"/>
        </w:rPr>
        <w:t>¨¨¨¨¨¨¨¨¨¨¨¨¨¨¨（1）</w:t>
      </w:r>
    </w:p>
    <w:p>
      <w:pPr>
        <w:pStyle w:val="52"/>
        <w:ind w:left="420" w:firstLine="0" w:firstLineChars="0"/>
        <w:rPr>
          <w:rFonts w:ascii="Times New Roman" w:eastAsiaTheme="minorEastAsia"/>
        </w:rPr>
      </w:pPr>
      <w:r>
        <w:rPr>
          <w:rFonts w:ascii="Times New Roman" w:hAnsiTheme="minorEastAsia" w:eastAsiaTheme="minorEastAsia"/>
        </w:rPr>
        <w:t>式中：</w:t>
      </w:r>
      <w:r>
        <w:rPr>
          <w:rFonts w:ascii="Times New Roman" w:eastAsiaTheme="minorEastAsia"/>
        </w:rPr>
        <w:t xml:space="preserve"> </w:t>
      </w:r>
      <w:r>
        <w:rPr>
          <w:rFonts w:ascii="Times New Roman" w:eastAsiaTheme="minorEastAsia"/>
          <w:i/>
        </w:rPr>
        <w:t xml:space="preserve"> </w:t>
      </w:r>
      <w:r>
        <w:rPr>
          <w:rFonts w:ascii="Times New Roman" w:eastAsiaTheme="minorEastAsia"/>
          <w:kern w:val="2"/>
          <w:szCs w:val="24"/>
        </w:rPr>
        <w:t>ω</w:t>
      </w:r>
      <w:r>
        <w:rPr>
          <w:rFonts w:ascii="Times New Roman" w:eastAsiaTheme="minorEastAsia"/>
          <w:kern w:val="2"/>
          <w:szCs w:val="24"/>
          <w:vertAlign w:val="subscript"/>
        </w:rPr>
        <w:t>1</w:t>
      </w:r>
      <w:r>
        <w:rPr>
          <w:rFonts w:ascii="Times New Roman" w:eastAsiaTheme="minorEastAsia"/>
        </w:rPr>
        <w:t>—</w:t>
      </w:r>
      <w:r>
        <w:rPr>
          <w:rFonts w:ascii="Times New Roman" w:hAnsiTheme="minorEastAsia" w:eastAsiaTheme="minorEastAsia"/>
        </w:rPr>
        <w:t>空白试验氢含量，</w:t>
      </w:r>
      <w:r>
        <w:rPr>
          <w:rFonts w:ascii="Times New Roman"/>
          <w:kern w:val="2"/>
          <w:szCs w:val="24"/>
        </w:rPr>
        <w:t xml:space="preserve"> %；</w:t>
      </w:r>
    </w:p>
    <w:p>
      <w:pPr>
        <w:pStyle w:val="120"/>
        <w:ind w:left="420" w:leftChars="200" w:firstLine="840" w:firstLineChars="400"/>
      </w:pPr>
      <w:r>
        <w:rPr>
          <w:rFonts w:eastAsiaTheme="minorEastAsia"/>
        </w:rPr>
        <w:t>ω</w:t>
      </w:r>
      <w:r>
        <w:rPr>
          <w:rFonts w:eastAsiaTheme="minorEastAsia"/>
          <w:vertAlign w:val="subscript"/>
        </w:rPr>
        <w:t>2</w:t>
      </w:r>
      <w:r>
        <w:rPr>
          <w:rFonts w:eastAsiaTheme="minorEastAsia"/>
        </w:rPr>
        <w:t>—</w:t>
      </w:r>
      <w:r>
        <w:rPr>
          <w:rFonts w:hAnsiTheme="minorEastAsia" w:eastAsiaTheme="minorEastAsia"/>
        </w:rPr>
        <w:t>镍囊和试料中氢含量，</w:t>
      </w:r>
      <w:r>
        <w:t xml:space="preserve"> %；</w:t>
      </w:r>
    </w:p>
    <w:p>
      <w:pPr>
        <w:pStyle w:val="120"/>
        <w:spacing w:after="240"/>
        <w:ind w:left="420" w:leftChars="200" w:firstLine="840" w:firstLineChars="400"/>
        <w:rPr>
          <w:rFonts w:eastAsiaTheme="minorEastAsia"/>
        </w:rPr>
      </w:pPr>
      <w:r>
        <w:drawing>
          <wp:inline distT="0" distB="0" distL="0" distR="0">
            <wp:extent cx="123825"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srcRect/>
                    <a:stretch>
                      <a:fillRect/>
                    </a:stretch>
                  </pic:blipFill>
                  <pic:spPr>
                    <a:xfrm>
                      <a:off x="0" y="0"/>
                      <a:ext cx="123825" cy="133350"/>
                    </a:xfrm>
                    <a:prstGeom prst="rect">
                      <a:avLst/>
                    </a:prstGeom>
                    <a:noFill/>
                    <a:ln w="9525">
                      <a:noFill/>
                      <a:miter lim="800000"/>
                      <a:headEnd/>
                      <a:tailEnd/>
                    </a:ln>
                  </pic:spPr>
                </pic:pic>
              </a:graphicData>
            </a:graphic>
          </wp:inline>
        </w:drawing>
      </w:r>
      <w:r>
        <w:rPr>
          <w:rFonts w:eastAsiaTheme="minorEastAsia"/>
        </w:rPr>
        <w:t>—</w:t>
      </w:r>
      <w:r>
        <w:rPr>
          <w:rFonts w:hAnsiTheme="minorEastAsia" w:eastAsiaTheme="minorEastAsia"/>
        </w:rPr>
        <w:t>镍囊与试料的质量比。</w:t>
      </w:r>
    </w:p>
    <w:p>
      <w:pPr>
        <w:tabs>
          <w:tab w:val="left" w:pos="0"/>
        </w:tabs>
        <w:ind w:firstLine="420" w:firstLineChars="200"/>
      </w:pPr>
      <w:r>
        <w:rPr>
          <w:szCs w:val="21"/>
        </w:rPr>
        <w:t>两次平行测定结果的绝对差值不大于表</w:t>
      </w:r>
      <w:r>
        <w:rPr>
          <w:rFonts w:hint="eastAsia"/>
          <w:szCs w:val="21"/>
        </w:rPr>
        <w:t>1</w:t>
      </w:r>
      <w:r>
        <w:rPr>
          <w:szCs w:val="21"/>
        </w:rPr>
        <w:t>中相应重复性限时，取其平均值为测定结果</w:t>
      </w:r>
      <w:r>
        <w:rPr>
          <w:rFonts w:hint="eastAsia"/>
          <w:szCs w:val="21"/>
        </w:rPr>
        <w:t>。当</w:t>
      </w:r>
      <w:r>
        <w:rPr>
          <w:rFonts w:hAnsi="宋体"/>
          <w:szCs w:val="21"/>
        </w:rPr>
        <w:t>结果</w:t>
      </w:r>
      <w:r>
        <w:rPr>
          <w:rFonts w:ascii="宋体" w:hAnsi="宋体"/>
          <w:szCs w:val="21"/>
        </w:rPr>
        <w:t>＜</w:t>
      </w:r>
      <w:r>
        <w:rPr>
          <w:rFonts w:hint="eastAsia" w:ascii="宋体" w:hAnsi="宋体"/>
          <w:szCs w:val="21"/>
        </w:rPr>
        <w:t>0.010时，</w:t>
      </w:r>
      <w:r>
        <w:rPr>
          <w:rFonts w:hAnsi="宋体"/>
          <w:szCs w:val="21"/>
        </w:rPr>
        <w:t>保留至小数点后</w:t>
      </w:r>
      <w:r>
        <w:rPr>
          <w:rFonts w:hint="eastAsia" w:hAnsi="宋体"/>
          <w:szCs w:val="21"/>
        </w:rPr>
        <w:t>四位；当结果</w:t>
      </w:r>
      <w:r>
        <w:rPr>
          <w:rFonts w:hint="eastAsia" w:ascii="宋体" w:hAnsi="宋体"/>
          <w:szCs w:val="21"/>
        </w:rPr>
        <w:t>≥0.010时，保留</w:t>
      </w:r>
      <w:r>
        <w:rPr>
          <w:rFonts w:hint="eastAsia" w:ascii="宋体" w:hAnsi="宋体"/>
          <w:szCs w:val="21"/>
          <w:lang w:val="en-US" w:eastAsia="zh-CN"/>
        </w:rPr>
        <w:t>两</w:t>
      </w:r>
      <w:r>
        <w:rPr>
          <w:rFonts w:hint="eastAsia" w:ascii="宋体" w:hAnsi="宋体"/>
          <w:szCs w:val="21"/>
        </w:rPr>
        <w:t>位有效数字</w:t>
      </w:r>
      <w:r>
        <w:rPr>
          <w:rFonts w:hint="eastAsia"/>
        </w:rPr>
        <w:t>，数值修约按照GB/T8170的规定执行。</w:t>
      </w:r>
    </w:p>
    <w:p>
      <w:pPr>
        <w:adjustRightInd w:val="0"/>
        <w:snapToGrid w:val="0"/>
        <w:spacing w:beforeLines="100" w:afterLines="100"/>
        <w:rPr>
          <w:rFonts w:eastAsia="黑体"/>
        </w:rPr>
      </w:pPr>
      <w:r>
        <w:rPr>
          <w:rFonts w:hint="eastAsia" w:eastAsia="黑体"/>
        </w:rPr>
        <w:t>10 精密度</w:t>
      </w:r>
    </w:p>
    <w:p>
      <w:pPr>
        <w:keepNext w:val="0"/>
        <w:keepLines w:val="0"/>
        <w:pageBreakBefore w:val="0"/>
        <w:widowControl/>
        <w:tabs>
          <w:tab w:val="left" w:pos="8370"/>
        </w:tabs>
        <w:kinsoku/>
        <w:wordWrap/>
        <w:overflowPunct/>
        <w:topLinePunct w:val="0"/>
        <w:autoSpaceDE/>
        <w:autoSpaceDN/>
        <w:bidi w:val="0"/>
        <w:adjustRightInd/>
        <w:snapToGrid/>
        <w:ind w:right="102"/>
        <w:textAlignment w:val="auto"/>
        <w:rPr>
          <w:rFonts w:eastAsia="黑体"/>
        </w:rPr>
      </w:pPr>
      <w:r>
        <w:rPr>
          <w:rFonts w:hint="eastAsia" w:ascii="Times New Roman" w:hAnsi="Times New Roman" w:cs="Times New Roman" w:eastAsiaTheme="minorEastAsia"/>
          <w:szCs w:val="21"/>
        </w:rPr>
        <w:t>10</w:t>
      </w:r>
      <w:r>
        <w:rPr>
          <w:rFonts w:hint="default" w:ascii="Times New Roman" w:hAnsi="Times New Roman" w:cs="Times New Roman" w:eastAsiaTheme="minorEastAsia"/>
          <w:szCs w:val="21"/>
        </w:rPr>
        <w:t>.</w:t>
      </w:r>
      <w:r>
        <w:rPr>
          <w:rFonts w:hint="eastAsia" w:ascii="Times New Roman" w:hAnsi="Times New Roman" w:cs="Times New Roman" w:eastAsiaTheme="minorEastAsia"/>
          <w:szCs w:val="21"/>
        </w:rPr>
        <w:t>1精密度原始数据及统计分析</w:t>
      </w:r>
      <w:r>
        <w:rPr>
          <w:rFonts w:hAnsi="黑体" w:eastAsia="黑体"/>
        </w:rPr>
        <w:tab/>
      </w:r>
    </w:p>
    <w:p>
      <w:pPr>
        <w:keepNext w:val="0"/>
        <w:keepLines w:val="0"/>
        <w:pageBreakBefore w:val="0"/>
        <w:kinsoku/>
        <w:wordWrap/>
        <w:overflowPunct/>
        <w:topLinePunct w:val="0"/>
        <w:autoSpaceDE/>
        <w:autoSpaceDN/>
        <w:bidi w:val="0"/>
        <w:adjustRightInd/>
        <w:snapToGrid/>
        <w:ind w:right="102" w:firstLine="420" w:firstLineChars="200"/>
        <w:textAlignment w:val="auto"/>
      </w:pPr>
      <w:r>
        <w:t>精密度数据是在2022年由</w:t>
      </w:r>
      <w:r>
        <w:rPr>
          <w:rFonts w:hint="eastAsia"/>
        </w:rPr>
        <w:t>9</w:t>
      </w:r>
      <w:r>
        <w:t>家实验室对</w:t>
      </w:r>
      <w:r>
        <w:rPr>
          <w:rFonts w:hint="eastAsia"/>
        </w:rPr>
        <w:t>9</w:t>
      </w:r>
      <w:r>
        <w:t>个</w:t>
      </w:r>
      <w:r>
        <w:rPr>
          <w:rFonts w:hAnsiTheme="minorEastAsia" w:eastAsiaTheme="minorEastAsia"/>
          <w:szCs w:val="21"/>
        </w:rPr>
        <w:t>钕铁硼合金</w:t>
      </w:r>
      <w:r>
        <w:t>样品进行协同试验确定的。每个实验室对每个水平样品的在重复性条件下独立测定6次。协同</w:t>
      </w:r>
      <w:r>
        <w:rPr>
          <w:szCs w:val="21"/>
        </w:rPr>
        <w:t>试验数据按照GB/T 6379.2进行统计。</w:t>
      </w:r>
    </w:p>
    <w:p>
      <w:pPr>
        <w:jc w:val="left"/>
        <w:rPr>
          <w:szCs w:val="21"/>
        </w:rPr>
      </w:pPr>
      <w:r>
        <w:rPr>
          <w:rFonts w:hint="eastAsia"/>
          <w:szCs w:val="21"/>
        </w:rPr>
        <w:t>10</w:t>
      </w:r>
      <w:r>
        <w:rPr>
          <w:szCs w:val="21"/>
        </w:rPr>
        <w:t>.2 重复性</w:t>
      </w:r>
    </w:p>
    <w:p>
      <w:pPr>
        <w:ind w:right="102" w:firstLine="420" w:firstLineChars="200"/>
      </w:pPr>
      <w:r>
        <w:t>在重复性条件下获得的两次独立测试结果的测定值，在以下给出的平均值范围内，这两个测试结果的绝对差值不超过重复性限（</w:t>
      </w:r>
      <w:r>
        <w:rPr>
          <w:i/>
        </w:rPr>
        <w:t>r</w:t>
      </w:r>
      <w:r>
        <w:t>），超过重复性限（</w:t>
      </w:r>
      <w:r>
        <w:rPr>
          <w:i/>
        </w:rPr>
        <w:t>r</w:t>
      </w:r>
      <w:r>
        <w:t>）的情况不超过5%，重复性限（</w:t>
      </w:r>
      <w:r>
        <w:rPr>
          <w:i/>
        </w:rPr>
        <w:t>r</w:t>
      </w:r>
      <w:r>
        <w:t>）按表1数据采用线性内插法求得；超过表1含量的测定值，其重复性限（</w:t>
      </w:r>
      <w:r>
        <w:rPr>
          <w:i/>
        </w:rPr>
        <w:t>r</w:t>
      </w:r>
      <w:r>
        <w:t>）用外推法计算求得。</w:t>
      </w:r>
    </w:p>
    <w:tbl>
      <w:tblPr>
        <w:tblStyle w:val="35"/>
        <w:tblW w:w="5000" w:type="pct"/>
        <w:jc w:val="center"/>
        <w:tblLayout w:type="autofit"/>
        <w:tblCellMar>
          <w:top w:w="0" w:type="dxa"/>
          <w:left w:w="108" w:type="dxa"/>
          <w:bottom w:w="0" w:type="dxa"/>
          <w:right w:w="108" w:type="dxa"/>
        </w:tblCellMar>
      </w:tblPr>
      <w:tblGrid>
        <w:gridCol w:w="5119"/>
        <w:gridCol w:w="4543"/>
      </w:tblGrid>
      <w:tr>
        <w:tblPrEx>
          <w:tblCellMar>
            <w:top w:w="0" w:type="dxa"/>
            <w:left w:w="108" w:type="dxa"/>
            <w:bottom w:w="0" w:type="dxa"/>
            <w:right w:w="108" w:type="dxa"/>
          </w:tblCellMar>
        </w:tblPrEx>
        <w:trPr>
          <w:trHeight w:val="330" w:hRule="atLeast"/>
          <w:jc w:val="center"/>
        </w:trPr>
        <w:tc>
          <w:tcPr>
            <w:tcW w:w="5000" w:type="pct"/>
            <w:gridSpan w:val="2"/>
            <w:tcBorders>
              <w:top w:val="nil"/>
              <w:left w:val="nil"/>
              <w:bottom w:val="single" w:color="auto" w:sz="8" w:space="0"/>
              <w:right w:val="nil"/>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表</w:t>
            </w:r>
            <w:r>
              <w:rPr>
                <w:rFonts w:eastAsia="黑体" w:cs="宋体"/>
                <w:kern w:val="0"/>
                <w:szCs w:val="21"/>
              </w:rPr>
              <w:t xml:space="preserve">1  </w:t>
            </w:r>
            <w:r>
              <w:rPr>
                <w:rFonts w:hint="eastAsia" w:ascii="黑体" w:hAnsi="黑体" w:eastAsia="黑体" w:cs="宋体"/>
                <w:kern w:val="0"/>
                <w:szCs w:val="21"/>
              </w:rPr>
              <w:t>重复性限</w:t>
            </w:r>
          </w:p>
        </w:tc>
      </w:tr>
      <w:tr>
        <w:tblPrEx>
          <w:tblCellMar>
            <w:top w:w="0" w:type="dxa"/>
            <w:left w:w="108" w:type="dxa"/>
            <w:bottom w:w="0" w:type="dxa"/>
            <w:right w:w="108" w:type="dxa"/>
          </w:tblCellMar>
        </w:tblPrEx>
        <w:trPr>
          <w:trHeight w:val="300" w:hRule="atLeast"/>
          <w:jc w:val="center"/>
        </w:trPr>
        <w:tc>
          <w:tcPr>
            <w:tcW w:w="2649" w:type="pct"/>
            <w:tcBorders>
              <w:top w:val="nil"/>
              <w:left w:val="single" w:color="auto" w:sz="8" w:space="0"/>
              <w:bottom w:val="nil"/>
              <w:right w:val="single" w:color="auto" w:sz="8" w:space="0"/>
            </w:tcBorders>
            <w:shd w:val="clear" w:color="auto" w:fill="auto"/>
            <w:vAlign w:val="bottom"/>
          </w:tcPr>
          <w:p>
            <w:pPr>
              <w:widowControl/>
              <w:jc w:val="center"/>
              <w:rPr>
                <w:rFonts w:ascii="宋体" w:hAnsi="宋体" w:cs="宋体"/>
                <w:kern w:val="0"/>
                <w:sz w:val="18"/>
                <w:szCs w:val="18"/>
              </w:rPr>
            </w:pPr>
            <w:r>
              <w:rPr>
                <w:rFonts w:hint="eastAsia" w:ascii="宋体" w:hAnsi="宋体" w:cs="宋体"/>
                <w:kern w:val="0"/>
                <w:sz w:val="18"/>
                <w:szCs w:val="18"/>
              </w:rPr>
              <w:t>质量分数/</w:t>
            </w:r>
            <w:r>
              <w:rPr>
                <w:rFonts w:cs="宋体"/>
                <w:kern w:val="0"/>
                <w:sz w:val="18"/>
                <w:szCs w:val="18"/>
              </w:rPr>
              <w:t>%</w:t>
            </w:r>
          </w:p>
        </w:tc>
        <w:tc>
          <w:tcPr>
            <w:tcW w:w="2351" w:type="pct"/>
            <w:tcBorders>
              <w:top w:val="nil"/>
              <w:left w:val="nil"/>
              <w:bottom w:val="nil"/>
              <w:right w:val="single" w:color="auto" w:sz="8" w:space="0"/>
            </w:tcBorders>
            <w:shd w:val="clear" w:color="auto" w:fill="auto"/>
            <w:vAlign w:val="bottom"/>
          </w:tcPr>
          <w:p>
            <w:pPr>
              <w:widowControl/>
              <w:jc w:val="center"/>
              <w:rPr>
                <w:rFonts w:ascii="宋体" w:hAnsi="宋体" w:cs="宋体"/>
                <w:kern w:val="0"/>
                <w:sz w:val="18"/>
                <w:szCs w:val="18"/>
              </w:rPr>
            </w:pPr>
            <w:r>
              <w:rPr>
                <w:rFonts w:hint="eastAsia" w:ascii="宋体" w:hAnsi="宋体" w:cs="宋体"/>
                <w:kern w:val="0"/>
                <w:sz w:val="18"/>
                <w:szCs w:val="18"/>
              </w:rPr>
              <w:t>重复性限（</w:t>
            </w:r>
            <w:r>
              <w:rPr>
                <w:rFonts w:cs="宋体"/>
                <w:i/>
                <w:iCs/>
                <w:kern w:val="0"/>
                <w:sz w:val="18"/>
                <w:szCs w:val="18"/>
              </w:rPr>
              <w:t>r</w:t>
            </w:r>
            <w:r>
              <w:rPr>
                <w:rFonts w:hint="eastAsia" w:ascii="宋体" w:hAnsi="宋体" w:cs="宋体"/>
                <w:kern w:val="0"/>
                <w:sz w:val="18"/>
                <w:szCs w:val="18"/>
              </w:rPr>
              <w:t>）</w:t>
            </w:r>
            <w:r>
              <w:rPr>
                <w:rFonts w:cs="宋体"/>
                <w:kern w:val="0"/>
                <w:sz w:val="18"/>
                <w:szCs w:val="18"/>
              </w:rPr>
              <w:t>%</w:t>
            </w:r>
          </w:p>
        </w:tc>
      </w:tr>
      <w:tr>
        <w:tblPrEx>
          <w:tblCellMar>
            <w:top w:w="0" w:type="dxa"/>
            <w:left w:w="108" w:type="dxa"/>
            <w:bottom w:w="0" w:type="dxa"/>
            <w:right w:w="108" w:type="dxa"/>
          </w:tblCellMar>
        </w:tblPrEx>
        <w:trPr>
          <w:trHeight w:val="300" w:hRule="atLeast"/>
          <w:jc w:val="center"/>
        </w:trPr>
        <w:tc>
          <w:tcPr>
            <w:tcW w:w="5119" w:type="dxa"/>
            <w:tcBorders>
              <w:top w:val="single" w:color="auto" w:sz="4" w:space="0"/>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0.000</w:t>
            </w:r>
            <w:r>
              <w:rPr>
                <w:rFonts w:hint="eastAsia" w:cs="宋体"/>
                <w:kern w:val="0"/>
                <w:szCs w:val="21"/>
              </w:rPr>
              <w:t>7</w:t>
            </w:r>
          </w:p>
        </w:tc>
        <w:tc>
          <w:tcPr>
            <w:tcW w:w="4543" w:type="dxa"/>
            <w:tcBorders>
              <w:top w:val="single" w:color="auto" w:sz="4" w:space="0"/>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0.000</w:t>
            </w:r>
            <w:r>
              <w:rPr>
                <w:rFonts w:hint="eastAsia" w:cs="宋体"/>
                <w:kern w:val="0"/>
                <w:szCs w:val="21"/>
              </w:rPr>
              <w:t>2</w:t>
            </w:r>
          </w:p>
        </w:tc>
      </w:tr>
      <w:tr>
        <w:tblPrEx>
          <w:tblCellMar>
            <w:top w:w="0" w:type="dxa"/>
            <w:left w:w="108" w:type="dxa"/>
            <w:bottom w:w="0" w:type="dxa"/>
            <w:right w:w="108" w:type="dxa"/>
          </w:tblCellMar>
        </w:tblPrEx>
        <w:trPr>
          <w:trHeight w:val="300" w:hRule="atLeast"/>
          <w:jc w:val="center"/>
        </w:trPr>
        <w:tc>
          <w:tcPr>
            <w:tcW w:w="5119" w:type="dxa"/>
            <w:tcBorders>
              <w:top w:val="nil"/>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0.0</w:t>
            </w:r>
            <w:r>
              <w:rPr>
                <w:rFonts w:hint="eastAsia" w:cs="宋体"/>
                <w:kern w:val="0"/>
                <w:szCs w:val="21"/>
              </w:rPr>
              <w:t>026</w:t>
            </w:r>
          </w:p>
        </w:tc>
        <w:tc>
          <w:tcPr>
            <w:tcW w:w="4543" w:type="dxa"/>
            <w:tcBorders>
              <w:top w:val="nil"/>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0.000</w:t>
            </w:r>
            <w:r>
              <w:rPr>
                <w:rFonts w:hint="eastAsia" w:cs="宋体"/>
                <w:kern w:val="0"/>
                <w:szCs w:val="21"/>
                <w:lang w:val="en-US" w:eastAsia="zh-CN"/>
              </w:rPr>
              <w:t>4</w:t>
            </w:r>
          </w:p>
        </w:tc>
      </w:tr>
      <w:tr>
        <w:tblPrEx>
          <w:tblCellMar>
            <w:top w:w="0" w:type="dxa"/>
            <w:left w:w="108" w:type="dxa"/>
            <w:bottom w:w="0" w:type="dxa"/>
            <w:right w:w="108" w:type="dxa"/>
          </w:tblCellMar>
        </w:tblPrEx>
        <w:trPr>
          <w:trHeight w:val="300" w:hRule="atLeast"/>
          <w:jc w:val="center"/>
        </w:trPr>
        <w:tc>
          <w:tcPr>
            <w:tcW w:w="5119" w:type="dxa"/>
            <w:tcBorders>
              <w:top w:val="nil"/>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0.0</w:t>
            </w:r>
            <w:r>
              <w:rPr>
                <w:rFonts w:hint="eastAsia" w:cs="宋体"/>
                <w:kern w:val="0"/>
                <w:szCs w:val="21"/>
              </w:rPr>
              <w:t>1</w:t>
            </w:r>
            <w:r>
              <w:rPr>
                <w:rFonts w:hint="eastAsia" w:cs="宋体"/>
                <w:kern w:val="0"/>
                <w:szCs w:val="21"/>
                <w:lang w:val="en-US" w:eastAsia="zh-CN"/>
              </w:rPr>
              <w:t>1</w:t>
            </w:r>
          </w:p>
        </w:tc>
        <w:tc>
          <w:tcPr>
            <w:tcW w:w="4543" w:type="dxa"/>
            <w:tcBorders>
              <w:top w:val="nil"/>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0.00</w:t>
            </w:r>
            <w:r>
              <w:rPr>
                <w:rFonts w:hint="eastAsia" w:cs="宋体"/>
                <w:kern w:val="0"/>
                <w:szCs w:val="21"/>
                <w:lang w:val="en-US" w:eastAsia="zh-CN"/>
              </w:rPr>
              <w:t>1</w:t>
            </w:r>
          </w:p>
        </w:tc>
      </w:tr>
      <w:tr>
        <w:tblPrEx>
          <w:tblCellMar>
            <w:top w:w="0" w:type="dxa"/>
            <w:left w:w="108" w:type="dxa"/>
            <w:bottom w:w="0" w:type="dxa"/>
            <w:right w:w="108" w:type="dxa"/>
          </w:tblCellMar>
        </w:tblPrEx>
        <w:trPr>
          <w:trHeight w:val="300" w:hRule="atLeast"/>
          <w:jc w:val="center"/>
        </w:trPr>
        <w:tc>
          <w:tcPr>
            <w:tcW w:w="5119" w:type="dxa"/>
            <w:tcBorders>
              <w:top w:val="nil"/>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0.0</w:t>
            </w:r>
            <w:r>
              <w:rPr>
                <w:rFonts w:hint="eastAsia" w:cs="宋体"/>
                <w:kern w:val="0"/>
                <w:szCs w:val="21"/>
              </w:rPr>
              <w:t>4</w:t>
            </w:r>
            <w:r>
              <w:rPr>
                <w:rFonts w:hint="eastAsia" w:cs="宋体"/>
                <w:kern w:val="0"/>
                <w:szCs w:val="21"/>
                <w:lang w:val="en-US" w:eastAsia="zh-CN"/>
              </w:rPr>
              <w:t>2</w:t>
            </w:r>
          </w:p>
        </w:tc>
        <w:tc>
          <w:tcPr>
            <w:tcW w:w="4543" w:type="dxa"/>
            <w:tcBorders>
              <w:top w:val="nil"/>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0.00</w:t>
            </w:r>
            <w:r>
              <w:rPr>
                <w:rFonts w:hint="eastAsia" w:cs="宋体"/>
                <w:kern w:val="0"/>
                <w:szCs w:val="21"/>
                <w:lang w:val="en-US" w:eastAsia="zh-CN"/>
              </w:rPr>
              <w:t>4</w:t>
            </w:r>
          </w:p>
        </w:tc>
      </w:tr>
      <w:tr>
        <w:tblPrEx>
          <w:tblCellMar>
            <w:top w:w="0" w:type="dxa"/>
            <w:left w:w="108" w:type="dxa"/>
            <w:bottom w:w="0" w:type="dxa"/>
            <w:right w:w="108" w:type="dxa"/>
          </w:tblCellMar>
        </w:tblPrEx>
        <w:trPr>
          <w:trHeight w:val="300" w:hRule="atLeast"/>
          <w:jc w:val="center"/>
        </w:trPr>
        <w:tc>
          <w:tcPr>
            <w:tcW w:w="5119" w:type="dxa"/>
            <w:tcBorders>
              <w:top w:val="nil"/>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0.0</w:t>
            </w:r>
            <w:r>
              <w:rPr>
                <w:rFonts w:hint="eastAsia" w:cs="宋体"/>
                <w:kern w:val="0"/>
                <w:szCs w:val="21"/>
              </w:rPr>
              <w:t>7</w:t>
            </w:r>
            <w:r>
              <w:rPr>
                <w:rFonts w:hint="eastAsia" w:cs="宋体"/>
                <w:kern w:val="0"/>
                <w:szCs w:val="21"/>
                <w:lang w:val="en-US" w:eastAsia="zh-CN"/>
              </w:rPr>
              <w:t>2</w:t>
            </w:r>
          </w:p>
        </w:tc>
        <w:tc>
          <w:tcPr>
            <w:tcW w:w="4543" w:type="dxa"/>
            <w:tcBorders>
              <w:top w:val="nil"/>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0.00</w:t>
            </w:r>
            <w:r>
              <w:rPr>
                <w:rFonts w:hint="eastAsia" w:cs="宋体"/>
                <w:kern w:val="0"/>
                <w:szCs w:val="21"/>
                <w:lang w:val="en-US" w:eastAsia="zh-CN"/>
              </w:rPr>
              <w:t>6</w:t>
            </w:r>
            <w:r>
              <w:rPr>
                <w:rFonts w:cs="宋体"/>
                <w:kern w:val="0"/>
                <w:szCs w:val="21"/>
              </w:rPr>
              <w:t xml:space="preserve"> </w:t>
            </w:r>
          </w:p>
        </w:tc>
      </w:tr>
      <w:tr>
        <w:tblPrEx>
          <w:tblCellMar>
            <w:top w:w="0" w:type="dxa"/>
            <w:left w:w="108" w:type="dxa"/>
            <w:bottom w:w="0" w:type="dxa"/>
            <w:right w:w="108" w:type="dxa"/>
          </w:tblCellMar>
        </w:tblPrEx>
        <w:trPr>
          <w:trHeight w:val="300" w:hRule="atLeast"/>
          <w:jc w:val="center"/>
        </w:trPr>
        <w:tc>
          <w:tcPr>
            <w:tcW w:w="5119" w:type="dxa"/>
            <w:tcBorders>
              <w:top w:val="nil"/>
              <w:left w:val="single" w:color="auto" w:sz="8" w:space="0"/>
              <w:bottom w:val="single" w:color="auto" w:sz="4" w:space="0"/>
              <w:right w:val="single" w:color="auto" w:sz="4" w:space="0"/>
            </w:tcBorders>
            <w:shd w:val="clear" w:color="auto" w:fill="auto"/>
            <w:vAlign w:val="top"/>
          </w:tcPr>
          <w:p>
            <w:pPr>
              <w:widowControl/>
              <w:jc w:val="center"/>
              <w:rPr>
                <w:rFonts w:cs="宋体"/>
                <w:kern w:val="0"/>
                <w:szCs w:val="21"/>
              </w:rPr>
            </w:pPr>
            <w:r>
              <w:rPr>
                <w:rFonts w:cs="宋体"/>
                <w:kern w:val="0"/>
                <w:szCs w:val="21"/>
              </w:rPr>
              <w:t>0.1</w:t>
            </w:r>
            <w:r>
              <w:rPr>
                <w:rFonts w:hint="eastAsia" w:cs="宋体"/>
                <w:kern w:val="0"/>
                <w:szCs w:val="21"/>
                <w:lang w:val="en-US" w:eastAsia="zh-CN"/>
              </w:rPr>
              <w:t>6</w:t>
            </w:r>
          </w:p>
        </w:tc>
        <w:tc>
          <w:tcPr>
            <w:tcW w:w="4543" w:type="dxa"/>
            <w:tcBorders>
              <w:top w:val="nil"/>
              <w:left w:val="nil"/>
              <w:bottom w:val="single" w:color="auto" w:sz="4" w:space="0"/>
              <w:right w:val="single" w:color="auto" w:sz="8" w:space="0"/>
            </w:tcBorders>
            <w:shd w:val="clear" w:color="auto" w:fill="auto"/>
            <w:vAlign w:val="bottom"/>
          </w:tcPr>
          <w:p>
            <w:pPr>
              <w:widowControl/>
              <w:jc w:val="center"/>
              <w:rPr>
                <w:rFonts w:cs="宋体"/>
                <w:kern w:val="0"/>
                <w:szCs w:val="21"/>
              </w:rPr>
            </w:pPr>
            <w:r>
              <w:rPr>
                <w:rFonts w:cs="宋体"/>
                <w:kern w:val="0"/>
                <w:szCs w:val="21"/>
              </w:rPr>
              <w:t>0.0</w:t>
            </w:r>
            <w:r>
              <w:rPr>
                <w:rFonts w:hint="eastAsia" w:cs="宋体"/>
                <w:kern w:val="0"/>
                <w:szCs w:val="21"/>
                <w:lang w:val="en-US" w:eastAsia="zh-CN"/>
              </w:rPr>
              <w:t>1</w:t>
            </w:r>
          </w:p>
        </w:tc>
      </w:tr>
      <w:tr>
        <w:tblPrEx>
          <w:tblCellMar>
            <w:top w:w="0" w:type="dxa"/>
            <w:left w:w="108" w:type="dxa"/>
            <w:bottom w:w="0" w:type="dxa"/>
            <w:right w:w="108" w:type="dxa"/>
          </w:tblCellMar>
        </w:tblPrEx>
        <w:trPr>
          <w:trHeight w:val="315" w:hRule="atLeast"/>
          <w:jc w:val="center"/>
        </w:trPr>
        <w:tc>
          <w:tcPr>
            <w:tcW w:w="5000" w:type="pct"/>
            <w:gridSpan w:val="2"/>
            <w:tcBorders>
              <w:top w:val="nil"/>
              <w:left w:val="single" w:color="auto" w:sz="8" w:space="0"/>
              <w:bottom w:val="single" w:color="auto" w:sz="8" w:space="0"/>
              <w:right w:val="single" w:color="auto" w:sz="8" w:space="0"/>
            </w:tcBorders>
            <w:shd w:val="clear" w:color="auto" w:fill="auto"/>
          </w:tcPr>
          <w:p>
            <w:pPr>
              <w:widowControl/>
              <w:rPr>
                <w:rFonts w:cs="宋体"/>
                <w:kern w:val="0"/>
                <w:sz w:val="18"/>
                <w:szCs w:val="18"/>
              </w:rPr>
            </w:pPr>
            <w:r>
              <w:rPr>
                <w:sz w:val="18"/>
                <w:szCs w:val="18"/>
              </w:rPr>
              <w:t>注：重复性限（r）为2.8×Sr，Sr为重复性标准差。</w:t>
            </w:r>
          </w:p>
        </w:tc>
      </w:tr>
    </w:tbl>
    <w:p>
      <w:pPr>
        <w:ind w:right="102" w:firstLine="420" w:firstLineChars="200"/>
      </w:pPr>
    </w:p>
    <w:p>
      <w:pPr>
        <w:jc w:val="left"/>
        <w:rPr>
          <w:szCs w:val="21"/>
        </w:rPr>
      </w:pPr>
      <w:r>
        <w:rPr>
          <w:rFonts w:hint="eastAsia"/>
          <w:szCs w:val="21"/>
        </w:rPr>
        <w:t>10</w:t>
      </w:r>
      <w:r>
        <w:rPr>
          <w:szCs w:val="21"/>
        </w:rPr>
        <w:t>.3 再现性</w:t>
      </w:r>
      <w:bookmarkStart w:id="1" w:name="_GoBack"/>
      <w:bookmarkEnd w:id="1"/>
    </w:p>
    <w:p>
      <w:pPr>
        <w:ind w:right="102" w:firstLine="420" w:firstLineChars="200"/>
      </w:pPr>
      <w:r>
        <w:t>在</w:t>
      </w:r>
      <w:r>
        <w:rPr>
          <w:szCs w:val="21"/>
        </w:rPr>
        <w:t>再现</w:t>
      </w:r>
      <w:r>
        <w:t>性条件下获得的两次独立测试结果的测定值，在以下给出的平均值范围内，这两个测试结果的绝对差值不超过再现性限（</w:t>
      </w:r>
      <w:r>
        <w:rPr>
          <w:i/>
        </w:rPr>
        <w:t>R</w:t>
      </w:r>
      <w:r>
        <w:t>），超过再现性限（</w:t>
      </w:r>
      <w:r>
        <w:rPr>
          <w:i/>
        </w:rPr>
        <w:t>R</w:t>
      </w:r>
      <w:r>
        <w:t>）的情况不超过5%，再现性限（</w:t>
      </w:r>
      <w:r>
        <w:rPr>
          <w:i/>
        </w:rPr>
        <w:t>R</w:t>
      </w:r>
      <w:r>
        <w:t>）按表2数据采用线性内插法求得；超过表2含量的测定值，其再现性限（</w:t>
      </w:r>
      <w:r>
        <w:rPr>
          <w:i/>
        </w:rPr>
        <w:t>R</w:t>
      </w:r>
      <w:r>
        <w:t>）用外推法计算求得。</w:t>
      </w:r>
    </w:p>
    <w:p>
      <w:pPr>
        <w:jc w:val="center"/>
        <w:rPr>
          <w:rFonts w:eastAsia="黑体"/>
          <w:szCs w:val="21"/>
        </w:rPr>
      </w:pPr>
      <w:r>
        <w:rPr>
          <w:rFonts w:hAnsi="黑体" w:eastAsia="黑体"/>
          <w:szCs w:val="21"/>
        </w:rPr>
        <w:t>表</w:t>
      </w:r>
      <w:r>
        <w:rPr>
          <w:rFonts w:eastAsia="黑体"/>
          <w:szCs w:val="21"/>
        </w:rPr>
        <w:t xml:space="preserve">2 </w:t>
      </w:r>
      <w:r>
        <w:rPr>
          <w:rFonts w:hAnsi="黑体" w:eastAsia="黑体"/>
          <w:szCs w:val="21"/>
        </w:rPr>
        <w:t>再现性限</w:t>
      </w:r>
    </w:p>
    <w:tbl>
      <w:tblPr>
        <w:tblStyle w:val="3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481"/>
        <w:gridCol w:w="51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319" w:type="pct"/>
            <w:vAlign w:val="center"/>
          </w:tcPr>
          <w:p>
            <w:pPr>
              <w:widowControl/>
              <w:ind w:left="210" w:leftChars="100" w:right="210"/>
              <w:jc w:val="center"/>
              <w:rPr>
                <w:szCs w:val="21"/>
              </w:rPr>
            </w:pPr>
            <w:r>
              <w:rPr>
                <w:rFonts w:hAnsi="宋体"/>
                <w:szCs w:val="21"/>
              </w:rPr>
              <w:t>质量分数</w:t>
            </w:r>
            <w:r>
              <w:rPr>
                <w:rFonts w:hint="eastAsia"/>
                <w:szCs w:val="21"/>
              </w:rPr>
              <w:t xml:space="preserve"> </w:t>
            </w:r>
            <w:r>
              <w:rPr>
                <w:szCs w:val="21"/>
              </w:rPr>
              <w:t>%</w:t>
            </w:r>
          </w:p>
        </w:tc>
        <w:tc>
          <w:tcPr>
            <w:tcW w:w="2681" w:type="pct"/>
            <w:vAlign w:val="center"/>
          </w:tcPr>
          <w:p>
            <w:pPr>
              <w:widowControl/>
              <w:ind w:left="840" w:leftChars="200" w:right="210" w:hanging="420" w:hangingChars="200"/>
              <w:jc w:val="center"/>
              <w:rPr>
                <w:szCs w:val="21"/>
              </w:rPr>
            </w:pPr>
            <w:r>
              <w:rPr>
                <w:szCs w:val="21"/>
              </w:rPr>
              <w:t>再现性限（</w:t>
            </w:r>
            <w:r>
              <w:rPr>
                <w:i/>
                <w:szCs w:val="21"/>
              </w:rPr>
              <w:t>R</w:t>
            </w:r>
            <w:r>
              <w:rPr>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0.000</w:t>
            </w:r>
            <w:r>
              <w:rPr>
                <w:rFonts w:hint="eastAsia" w:cs="宋体"/>
                <w:kern w:val="0"/>
                <w:szCs w:val="21"/>
              </w:rPr>
              <w:t>7</w:t>
            </w:r>
          </w:p>
        </w:tc>
        <w:tc>
          <w:tcPr>
            <w:tcW w:w="5181" w:type="dxa"/>
            <w:vAlign w:val="bottom"/>
          </w:tcPr>
          <w:p>
            <w:pPr>
              <w:widowControl/>
              <w:jc w:val="center"/>
              <w:rPr>
                <w:rFonts w:cs="宋体"/>
                <w:kern w:val="0"/>
                <w:szCs w:val="21"/>
              </w:rPr>
            </w:pPr>
            <w:r>
              <w:rPr>
                <w:rFonts w:cs="宋体"/>
                <w:kern w:val="0"/>
                <w:szCs w:val="21"/>
              </w:rPr>
              <w:t>0.000</w:t>
            </w:r>
            <w:r>
              <w:rPr>
                <w:rFonts w:hint="eastAsia" w:cs="宋体"/>
                <w:kern w:val="0"/>
                <w:szCs w:val="21"/>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0.0</w:t>
            </w:r>
            <w:r>
              <w:rPr>
                <w:rFonts w:hint="eastAsia" w:cs="宋体"/>
                <w:kern w:val="0"/>
                <w:szCs w:val="21"/>
              </w:rPr>
              <w:t>026</w:t>
            </w:r>
          </w:p>
        </w:tc>
        <w:tc>
          <w:tcPr>
            <w:tcW w:w="5181" w:type="dxa"/>
            <w:vAlign w:val="bottom"/>
          </w:tcPr>
          <w:p>
            <w:pPr>
              <w:widowControl/>
              <w:jc w:val="center"/>
              <w:rPr>
                <w:rFonts w:cs="宋体"/>
                <w:kern w:val="0"/>
                <w:szCs w:val="21"/>
              </w:rPr>
            </w:pPr>
            <w:r>
              <w:rPr>
                <w:rFonts w:cs="宋体"/>
                <w:kern w:val="0"/>
                <w:szCs w:val="21"/>
              </w:rPr>
              <w:t>0.000</w:t>
            </w:r>
            <w:r>
              <w:rPr>
                <w:rFonts w:hint="eastAsia" w:cs="宋体"/>
                <w:kern w:val="0"/>
                <w:szCs w:val="21"/>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0.0</w:t>
            </w:r>
            <w:r>
              <w:rPr>
                <w:rFonts w:hint="eastAsia" w:cs="宋体"/>
                <w:kern w:val="0"/>
                <w:szCs w:val="21"/>
              </w:rPr>
              <w:t>1</w:t>
            </w:r>
            <w:r>
              <w:rPr>
                <w:rFonts w:hint="eastAsia" w:cs="宋体"/>
                <w:kern w:val="0"/>
                <w:szCs w:val="21"/>
                <w:lang w:val="en-US" w:eastAsia="zh-CN"/>
              </w:rPr>
              <w:t>1</w:t>
            </w:r>
          </w:p>
        </w:tc>
        <w:tc>
          <w:tcPr>
            <w:tcW w:w="5181" w:type="dxa"/>
            <w:vAlign w:val="bottom"/>
          </w:tcPr>
          <w:p>
            <w:pPr>
              <w:widowControl/>
              <w:jc w:val="center"/>
              <w:rPr>
                <w:rFonts w:cs="宋体"/>
                <w:kern w:val="0"/>
                <w:szCs w:val="21"/>
              </w:rPr>
            </w:pPr>
            <w:r>
              <w:rPr>
                <w:rFonts w:cs="宋体"/>
                <w:kern w:val="0"/>
                <w:szCs w:val="21"/>
              </w:rPr>
              <w:t>0.00</w:t>
            </w:r>
            <w:r>
              <w:rPr>
                <w:rFonts w:hint="eastAsia" w:cs="宋体"/>
                <w:kern w:val="0"/>
                <w:szCs w:val="21"/>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0.0</w:t>
            </w:r>
            <w:r>
              <w:rPr>
                <w:rFonts w:hint="eastAsia" w:cs="宋体"/>
                <w:kern w:val="0"/>
                <w:szCs w:val="21"/>
              </w:rPr>
              <w:t>4</w:t>
            </w:r>
            <w:r>
              <w:rPr>
                <w:rFonts w:hint="eastAsia" w:cs="宋体"/>
                <w:kern w:val="0"/>
                <w:szCs w:val="21"/>
                <w:lang w:val="en-US" w:eastAsia="zh-CN"/>
              </w:rPr>
              <w:t>2</w:t>
            </w:r>
          </w:p>
        </w:tc>
        <w:tc>
          <w:tcPr>
            <w:tcW w:w="5181" w:type="dxa"/>
            <w:vAlign w:val="bottom"/>
          </w:tcPr>
          <w:p>
            <w:pPr>
              <w:widowControl/>
              <w:jc w:val="center"/>
              <w:rPr>
                <w:rFonts w:cs="宋体"/>
                <w:kern w:val="0"/>
                <w:szCs w:val="21"/>
              </w:rPr>
            </w:pPr>
            <w:r>
              <w:rPr>
                <w:rFonts w:cs="宋体"/>
                <w:kern w:val="0"/>
                <w:szCs w:val="21"/>
              </w:rPr>
              <w:t>0.00</w:t>
            </w:r>
            <w:r>
              <w:rPr>
                <w:rFonts w:hint="eastAsia" w:cs="宋体"/>
                <w:kern w:val="0"/>
                <w:szCs w:val="21"/>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0.0</w:t>
            </w:r>
            <w:r>
              <w:rPr>
                <w:rFonts w:hint="eastAsia" w:cs="宋体"/>
                <w:kern w:val="0"/>
                <w:szCs w:val="21"/>
              </w:rPr>
              <w:t>7</w:t>
            </w:r>
            <w:r>
              <w:rPr>
                <w:rFonts w:hint="eastAsia" w:cs="宋体"/>
                <w:kern w:val="0"/>
                <w:szCs w:val="21"/>
                <w:lang w:val="en-US" w:eastAsia="zh-CN"/>
              </w:rPr>
              <w:t>2</w:t>
            </w:r>
          </w:p>
        </w:tc>
        <w:tc>
          <w:tcPr>
            <w:tcW w:w="5181" w:type="dxa"/>
            <w:vAlign w:val="bottom"/>
          </w:tcPr>
          <w:p>
            <w:pPr>
              <w:widowControl/>
              <w:jc w:val="center"/>
              <w:rPr>
                <w:rFonts w:cs="宋体"/>
                <w:kern w:val="0"/>
                <w:szCs w:val="21"/>
              </w:rPr>
            </w:pPr>
            <w:r>
              <w:rPr>
                <w:rFonts w:cs="宋体"/>
                <w:kern w:val="0"/>
                <w:szCs w:val="21"/>
              </w:rPr>
              <w:t>0.0</w:t>
            </w:r>
            <w:r>
              <w:rPr>
                <w:rFonts w:hint="eastAsia" w:cs="宋体"/>
                <w:kern w:val="0"/>
                <w:szCs w:val="21"/>
                <w:lang w:val="en-US" w:eastAsia="zh-CN"/>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4481" w:type="dxa"/>
            <w:vAlign w:val="top"/>
          </w:tcPr>
          <w:p>
            <w:pPr>
              <w:widowControl/>
              <w:jc w:val="center"/>
              <w:rPr>
                <w:rFonts w:cs="宋体"/>
                <w:kern w:val="0"/>
                <w:szCs w:val="21"/>
              </w:rPr>
            </w:pPr>
            <w:r>
              <w:rPr>
                <w:rFonts w:cs="宋体"/>
                <w:kern w:val="0"/>
                <w:szCs w:val="21"/>
              </w:rPr>
              <w:t>0.1</w:t>
            </w:r>
            <w:r>
              <w:rPr>
                <w:rFonts w:hint="eastAsia" w:cs="宋体"/>
                <w:kern w:val="0"/>
                <w:szCs w:val="21"/>
                <w:lang w:val="en-US" w:eastAsia="zh-CN"/>
              </w:rPr>
              <w:t>6</w:t>
            </w:r>
          </w:p>
        </w:tc>
        <w:tc>
          <w:tcPr>
            <w:tcW w:w="5181" w:type="dxa"/>
            <w:vAlign w:val="bottom"/>
          </w:tcPr>
          <w:p>
            <w:pPr>
              <w:widowControl/>
              <w:jc w:val="center"/>
              <w:rPr>
                <w:rFonts w:cs="宋体"/>
                <w:kern w:val="0"/>
                <w:szCs w:val="21"/>
              </w:rPr>
            </w:pPr>
            <w:r>
              <w:rPr>
                <w:rFonts w:cs="宋体"/>
                <w:kern w:val="0"/>
                <w:szCs w:val="21"/>
              </w:rPr>
              <w:t>0.0</w:t>
            </w:r>
            <w:r>
              <w:rPr>
                <w:rFonts w:hint="eastAsia" w:cs="宋体"/>
                <w:kern w:val="0"/>
                <w:szCs w:val="21"/>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0" w:hRule="atLeast"/>
          <w:jc w:val="center"/>
        </w:trPr>
        <w:tc>
          <w:tcPr>
            <w:tcW w:w="5000" w:type="pct"/>
            <w:gridSpan w:val="2"/>
            <w:vAlign w:val="center"/>
          </w:tcPr>
          <w:p>
            <w:pPr>
              <w:widowControl/>
              <w:ind w:right="210"/>
              <w:jc w:val="left"/>
              <w:rPr>
                <w:sz w:val="18"/>
                <w:szCs w:val="18"/>
              </w:rPr>
            </w:pPr>
            <w:r>
              <w:rPr>
                <w:sz w:val="18"/>
                <w:szCs w:val="18"/>
              </w:rPr>
              <w:t>注：再现性限（R）为2.8×S</w:t>
            </w:r>
            <w:r>
              <w:rPr>
                <w:sz w:val="18"/>
                <w:szCs w:val="18"/>
                <w:vertAlign w:val="subscript"/>
              </w:rPr>
              <w:t>R</w:t>
            </w:r>
            <w:r>
              <w:rPr>
                <w:sz w:val="18"/>
                <w:szCs w:val="18"/>
              </w:rPr>
              <w:t>，S</w:t>
            </w:r>
            <w:r>
              <w:rPr>
                <w:sz w:val="18"/>
                <w:szCs w:val="18"/>
                <w:vertAlign w:val="subscript"/>
              </w:rPr>
              <w:t>R</w:t>
            </w:r>
            <w:r>
              <w:rPr>
                <w:sz w:val="18"/>
                <w:szCs w:val="18"/>
              </w:rPr>
              <w:t>为再现性标准差。</w:t>
            </w:r>
          </w:p>
        </w:tc>
      </w:tr>
    </w:tbl>
    <w:p>
      <w:pPr>
        <w:jc w:val="left"/>
        <w:rPr>
          <w:szCs w:val="21"/>
        </w:rPr>
      </w:pPr>
    </w:p>
    <w:p>
      <w:pPr>
        <w:tabs>
          <w:tab w:val="left" w:pos="6465"/>
        </w:tabs>
        <w:spacing w:line="360" w:lineRule="exact"/>
        <w:rPr>
          <w:color w:val="000000"/>
        </w:rPr>
      </w:pPr>
    </w:p>
    <w:p>
      <w:pPr>
        <w:tabs>
          <w:tab w:val="left" w:pos="6465"/>
        </w:tabs>
        <w:spacing w:line="360" w:lineRule="exact"/>
        <w:rPr>
          <w:color w:val="000000"/>
        </w:rPr>
      </w:pPr>
      <w:r>
        <w:rPr>
          <w:color w:val="000000"/>
          <w:sz w:val="20"/>
        </w:rPr>
        <w:pict>
          <v:line id="直线 18" o:spid="_x0000_s1040" o:spt="20" style="position:absolute;left:0pt;margin-left:171pt;margin-top:13.1pt;height:0pt;width:144pt;z-index:251668480;mso-width-relative:page;mso-height-relative:page;" coordsize="21600,21600" o:gfxdata="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10;HBfWAAAACQEAAA8AAAAAAAAAAQAgAAAAIgAAAGRycy9kb3ducmV2LnhtbFBLAQIUABQAAAAIAIdO&#10;4kAs14Q97AEAAOsDAAAOAAAAAAAAAAEAIAAAACUBAABkcnMvZTJvRG9jLnhtbFBLBQYAAAAABgAG&#10;AFkBAACDBQAAAAA=&#10;">
            <v:path arrowok="t"/>
            <v:fill focussize="0,0"/>
            <v:stroke weight="1.5pt"/>
            <v:imagedata o:title=""/>
            <o:lock v:ext="edit"/>
          </v:line>
        </w:pict>
      </w:r>
    </w:p>
    <w:p>
      <w:pPr>
        <w:pStyle w:val="96"/>
        <w:spacing w:line="240" w:lineRule="auto"/>
        <w:jc w:val="both"/>
      </w:pPr>
    </w:p>
    <w:sectPr>
      <w:footerReference r:id="rId9" w:type="default"/>
      <w:footerReference r:id="rId10" w:type="even"/>
      <w:pgSz w:w="11906" w:h="16838"/>
      <w:pgMar w:top="567"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39"/>
      </w:rPr>
    </w:pPr>
  </w:p>
  <w:p>
    <w:pPr>
      <w:pStyle w:val="110"/>
      <w:rPr>
        <w:rStyle w:val="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39"/>
      </w:rPr>
    </w:pP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right"/>
    </w:pPr>
    <w:r>
      <w:rPr>
        <w:rFonts w:hint="eastAsia"/>
      </w:rPr>
      <w:t>XB/T 617.8-202X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right"/>
    </w:pPr>
    <w:r>
      <w:rPr>
        <w:rFonts w:hint="eastAsia"/>
      </w:rPr>
      <w:t>XB/T 617.8-202X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114"/>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10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1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1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86"/>
      <w:suff w:val="nothing"/>
      <w:lvlText w:val="%1"/>
      <w:lvlJc w:val="left"/>
      <w:pPr>
        <w:ind w:left="0" w:firstLine="0"/>
      </w:pPr>
      <w:rPr>
        <w:rFonts w:hint="default" w:ascii="Times New Roman" w:hAnsi="Times New Roman"/>
        <w:b/>
        <w:i w:val="0"/>
        <w:sz w:val="21"/>
      </w:rPr>
    </w:lvl>
    <w:lvl w:ilvl="1" w:tentative="0">
      <w:start w:val="1"/>
      <w:numFmt w:val="decimal"/>
      <w:pStyle w:val="54"/>
      <w:suff w:val="nothing"/>
      <w:lvlText w:val="%1%2　"/>
      <w:lvlJc w:val="left"/>
      <w:pPr>
        <w:ind w:left="0" w:firstLine="0"/>
      </w:pPr>
      <w:rPr>
        <w:rFonts w:hint="eastAsia" w:ascii="黑体" w:hAnsi="Times New Roman" w:eastAsia="黑体"/>
        <w:b w:val="0"/>
        <w:i w:val="0"/>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6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8"/>
  </w:num>
  <w:num w:numId="4">
    <w:abstractNumId w:val="6"/>
  </w:num>
  <w:num w:numId="5">
    <w:abstractNumId w:val="0"/>
  </w:num>
  <w:num w:numId="6">
    <w:abstractNumId w:val="9"/>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ZjczNGJlNDI4MDVjODc0YjEwNDcyMTk3YWY0Y2IifQ=="/>
  </w:docVars>
  <w:rsids>
    <w:rsidRoot w:val="00D43B5F"/>
    <w:rsid w:val="00001482"/>
    <w:rsid w:val="00002497"/>
    <w:rsid w:val="00002CE1"/>
    <w:rsid w:val="00003AF8"/>
    <w:rsid w:val="00007D1C"/>
    <w:rsid w:val="00010D34"/>
    <w:rsid w:val="00021349"/>
    <w:rsid w:val="0002374F"/>
    <w:rsid w:val="00026A0E"/>
    <w:rsid w:val="000274E5"/>
    <w:rsid w:val="000324AA"/>
    <w:rsid w:val="00032E26"/>
    <w:rsid w:val="00043347"/>
    <w:rsid w:val="00064064"/>
    <w:rsid w:val="00064277"/>
    <w:rsid w:val="0006461F"/>
    <w:rsid w:val="00071EF4"/>
    <w:rsid w:val="00073B0E"/>
    <w:rsid w:val="00082918"/>
    <w:rsid w:val="00083696"/>
    <w:rsid w:val="00090FA4"/>
    <w:rsid w:val="000B562E"/>
    <w:rsid w:val="000C4205"/>
    <w:rsid w:val="000D2F87"/>
    <w:rsid w:val="000D7E34"/>
    <w:rsid w:val="000F421D"/>
    <w:rsid w:val="000F549E"/>
    <w:rsid w:val="001050B0"/>
    <w:rsid w:val="00114165"/>
    <w:rsid w:val="00117347"/>
    <w:rsid w:val="00132145"/>
    <w:rsid w:val="00134312"/>
    <w:rsid w:val="00136AE0"/>
    <w:rsid w:val="00137B9C"/>
    <w:rsid w:val="001407BD"/>
    <w:rsid w:val="00147D2B"/>
    <w:rsid w:val="001532B2"/>
    <w:rsid w:val="00153DB2"/>
    <w:rsid w:val="001551D7"/>
    <w:rsid w:val="0015787A"/>
    <w:rsid w:val="001658A1"/>
    <w:rsid w:val="00165BBB"/>
    <w:rsid w:val="001722B1"/>
    <w:rsid w:val="001750C9"/>
    <w:rsid w:val="001759CE"/>
    <w:rsid w:val="00180390"/>
    <w:rsid w:val="00184BA4"/>
    <w:rsid w:val="00185636"/>
    <w:rsid w:val="0019526F"/>
    <w:rsid w:val="00197DCA"/>
    <w:rsid w:val="001A3739"/>
    <w:rsid w:val="001A6804"/>
    <w:rsid w:val="001B7A8A"/>
    <w:rsid w:val="001D71E1"/>
    <w:rsid w:val="001E5FDE"/>
    <w:rsid w:val="001F5E68"/>
    <w:rsid w:val="00200722"/>
    <w:rsid w:val="00204361"/>
    <w:rsid w:val="002055B1"/>
    <w:rsid w:val="00207E8F"/>
    <w:rsid w:val="00213205"/>
    <w:rsid w:val="002326E6"/>
    <w:rsid w:val="00235B4A"/>
    <w:rsid w:val="002433C6"/>
    <w:rsid w:val="00243C1D"/>
    <w:rsid w:val="00256668"/>
    <w:rsid w:val="00257054"/>
    <w:rsid w:val="00257DDC"/>
    <w:rsid w:val="00257FF8"/>
    <w:rsid w:val="002609A6"/>
    <w:rsid w:val="00260FE8"/>
    <w:rsid w:val="00274AF7"/>
    <w:rsid w:val="002A0974"/>
    <w:rsid w:val="002A2A58"/>
    <w:rsid w:val="002B2CBE"/>
    <w:rsid w:val="002C05F0"/>
    <w:rsid w:val="002C0666"/>
    <w:rsid w:val="002C2037"/>
    <w:rsid w:val="002C203A"/>
    <w:rsid w:val="002C2500"/>
    <w:rsid w:val="002D33AE"/>
    <w:rsid w:val="002D3663"/>
    <w:rsid w:val="002E51B5"/>
    <w:rsid w:val="00306E24"/>
    <w:rsid w:val="00310B46"/>
    <w:rsid w:val="00313C72"/>
    <w:rsid w:val="003148B7"/>
    <w:rsid w:val="0033180E"/>
    <w:rsid w:val="00337645"/>
    <w:rsid w:val="00342817"/>
    <w:rsid w:val="003515AD"/>
    <w:rsid w:val="003571D6"/>
    <w:rsid w:val="00372124"/>
    <w:rsid w:val="0037212D"/>
    <w:rsid w:val="00374B7C"/>
    <w:rsid w:val="00382194"/>
    <w:rsid w:val="00385432"/>
    <w:rsid w:val="00385BE1"/>
    <w:rsid w:val="00385E29"/>
    <w:rsid w:val="00393391"/>
    <w:rsid w:val="00394BAF"/>
    <w:rsid w:val="003A0255"/>
    <w:rsid w:val="003A2928"/>
    <w:rsid w:val="003A360C"/>
    <w:rsid w:val="003A395C"/>
    <w:rsid w:val="003A39E9"/>
    <w:rsid w:val="003A60AB"/>
    <w:rsid w:val="003A651C"/>
    <w:rsid w:val="003B4EF5"/>
    <w:rsid w:val="003C454B"/>
    <w:rsid w:val="003D73E2"/>
    <w:rsid w:val="003E1603"/>
    <w:rsid w:val="003E2882"/>
    <w:rsid w:val="003E65DA"/>
    <w:rsid w:val="003F07BE"/>
    <w:rsid w:val="004000B1"/>
    <w:rsid w:val="00400D4A"/>
    <w:rsid w:val="004132F4"/>
    <w:rsid w:val="00427B99"/>
    <w:rsid w:val="004347A5"/>
    <w:rsid w:val="00441DEA"/>
    <w:rsid w:val="004423E5"/>
    <w:rsid w:val="004430E4"/>
    <w:rsid w:val="00446492"/>
    <w:rsid w:val="00447976"/>
    <w:rsid w:val="00453ABC"/>
    <w:rsid w:val="004632ED"/>
    <w:rsid w:val="00463D19"/>
    <w:rsid w:val="00466D80"/>
    <w:rsid w:val="00467ECE"/>
    <w:rsid w:val="0047764C"/>
    <w:rsid w:val="00482525"/>
    <w:rsid w:val="004A0C70"/>
    <w:rsid w:val="004A15B0"/>
    <w:rsid w:val="004A739F"/>
    <w:rsid w:val="004C2802"/>
    <w:rsid w:val="004D282E"/>
    <w:rsid w:val="004E0308"/>
    <w:rsid w:val="004E18D0"/>
    <w:rsid w:val="004E18FB"/>
    <w:rsid w:val="004E3B7D"/>
    <w:rsid w:val="004E5C7B"/>
    <w:rsid w:val="004F51F4"/>
    <w:rsid w:val="004F57C6"/>
    <w:rsid w:val="004F6594"/>
    <w:rsid w:val="00501DC5"/>
    <w:rsid w:val="005023DE"/>
    <w:rsid w:val="005074B8"/>
    <w:rsid w:val="005112D1"/>
    <w:rsid w:val="0052421B"/>
    <w:rsid w:val="00524337"/>
    <w:rsid w:val="005266F0"/>
    <w:rsid w:val="00526EB1"/>
    <w:rsid w:val="005275D2"/>
    <w:rsid w:val="00532C15"/>
    <w:rsid w:val="00535B29"/>
    <w:rsid w:val="005361C3"/>
    <w:rsid w:val="00536EA5"/>
    <w:rsid w:val="00536FAC"/>
    <w:rsid w:val="005534E6"/>
    <w:rsid w:val="0055773F"/>
    <w:rsid w:val="00565A79"/>
    <w:rsid w:val="00574160"/>
    <w:rsid w:val="00576418"/>
    <w:rsid w:val="00577183"/>
    <w:rsid w:val="00582B9D"/>
    <w:rsid w:val="0058432F"/>
    <w:rsid w:val="00584CEC"/>
    <w:rsid w:val="00590243"/>
    <w:rsid w:val="00591947"/>
    <w:rsid w:val="00593C7E"/>
    <w:rsid w:val="00596A3F"/>
    <w:rsid w:val="005A12A4"/>
    <w:rsid w:val="005A5550"/>
    <w:rsid w:val="005A6945"/>
    <w:rsid w:val="005B42AB"/>
    <w:rsid w:val="005C2241"/>
    <w:rsid w:val="005C5788"/>
    <w:rsid w:val="005C631C"/>
    <w:rsid w:val="005C6343"/>
    <w:rsid w:val="005E1F69"/>
    <w:rsid w:val="005E354F"/>
    <w:rsid w:val="005F1E25"/>
    <w:rsid w:val="005F2DD4"/>
    <w:rsid w:val="005F2F33"/>
    <w:rsid w:val="005F6E1E"/>
    <w:rsid w:val="00603941"/>
    <w:rsid w:val="006045BD"/>
    <w:rsid w:val="006065BA"/>
    <w:rsid w:val="00607775"/>
    <w:rsid w:val="00610F19"/>
    <w:rsid w:val="0062185F"/>
    <w:rsid w:val="00657317"/>
    <w:rsid w:val="006575D7"/>
    <w:rsid w:val="006632ED"/>
    <w:rsid w:val="00672F96"/>
    <w:rsid w:val="00691B39"/>
    <w:rsid w:val="006955AE"/>
    <w:rsid w:val="00696825"/>
    <w:rsid w:val="006A091F"/>
    <w:rsid w:val="006A67EB"/>
    <w:rsid w:val="006B03E7"/>
    <w:rsid w:val="006C2187"/>
    <w:rsid w:val="006C2F69"/>
    <w:rsid w:val="006C4307"/>
    <w:rsid w:val="006C5DBB"/>
    <w:rsid w:val="006D1BC9"/>
    <w:rsid w:val="006D69D2"/>
    <w:rsid w:val="006E112C"/>
    <w:rsid w:val="006E1202"/>
    <w:rsid w:val="006E44D3"/>
    <w:rsid w:val="0070691A"/>
    <w:rsid w:val="0071013B"/>
    <w:rsid w:val="007104CF"/>
    <w:rsid w:val="00710601"/>
    <w:rsid w:val="00712B7F"/>
    <w:rsid w:val="00720400"/>
    <w:rsid w:val="0072184F"/>
    <w:rsid w:val="00724309"/>
    <w:rsid w:val="007272FA"/>
    <w:rsid w:val="00730E62"/>
    <w:rsid w:val="00731834"/>
    <w:rsid w:val="00740268"/>
    <w:rsid w:val="00744D07"/>
    <w:rsid w:val="00745A5D"/>
    <w:rsid w:val="007549BF"/>
    <w:rsid w:val="0075531A"/>
    <w:rsid w:val="007629CA"/>
    <w:rsid w:val="007630D1"/>
    <w:rsid w:val="00763888"/>
    <w:rsid w:val="00774BAB"/>
    <w:rsid w:val="0078706C"/>
    <w:rsid w:val="00787929"/>
    <w:rsid w:val="00790AE9"/>
    <w:rsid w:val="0079340C"/>
    <w:rsid w:val="007938FF"/>
    <w:rsid w:val="007A30EE"/>
    <w:rsid w:val="007A518B"/>
    <w:rsid w:val="007B0FF1"/>
    <w:rsid w:val="007B6DA4"/>
    <w:rsid w:val="007C6748"/>
    <w:rsid w:val="007D5C48"/>
    <w:rsid w:val="007D5F7D"/>
    <w:rsid w:val="007E64A8"/>
    <w:rsid w:val="007E7D76"/>
    <w:rsid w:val="007F0CBE"/>
    <w:rsid w:val="007F5479"/>
    <w:rsid w:val="007F55F1"/>
    <w:rsid w:val="00806AAB"/>
    <w:rsid w:val="00811681"/>
    <w:rsid w:val="00832369"/>
    <w:rsid w:val="0083346D"/>
    <w:rsid w:val="008334BD"/>
    <w:rsid w:val="00834BDA"/>
    <w:rsid w:val="00840C40"/>
    <w:rsid w:val="00845842"/>
    <w:rsid w:val="00857059"/>
    <w:rsid w:val="00857759"/>
    <w:rsid w:val="00860BB3"/>
    <w:rsid w:val="00863084"/>
    <w:rsid w:val="00863711"/>
    <w:rsid w:val="008724FA"/>
    <w:rsid w:val="008778D2"/>
    <w:rsid w:val="008854D8"/>
    <w:rsid w:val="008958EA"/>
    <w:rsid w:val="008970B4"/>
    <w:rsid w:val="00897D43"/>
    <w:rsid w:val="008B5CAE"/>
    <w:rsid w:val="008B6682"/>
    <w:rsid w:val="008C31CD"/>
    <w:rsid w:val="008C6AB9"/>
    <w:rsid w:val="008E4F80"/>
    <w:rsid w:val="008E5D19"/>
    <w:rsid w:val="008F0070"/>
    <w:rsid w:val="008F0232"/>
    <w:rsid w:val="008F1C42"/>
    <w:rsid w:val="008F38FE"/>
    <w:rsid w:val="009018E9"/>
    <w:rsid w:val="0090561E"/>
    <w:rsid w:val="009226D1"/>
    <w:rsid w:val="00927FFB"/>
    <w:rsid w:val="00932A9D"/>
    <w:rsid w:val="00943D34"/>
    <w:rsid w:val="00950338"/>
    <w:rsid w:val="00960661"/>
    <w:rsid w:val="00961FEF"/>
    <w:rsid w:val="009651C0"/>
    <w:rsid w:val="00987A15"/>
    <w:rsid w:val="00991281"/>
    <w:rsid w:val="00991407"/>
    <w:rsid w:val="00992230"/>
    <w:rsid w:val="00994E3D"/>
    <w:rsid w:val="00995419"/>
    <w:rsid w:val="009A5CF4"/>
    <w:rsid w:val="009B0529"/>
    <w:rsid w:val="009B4E42"/>
    <w:rsid w:val="009B69B1"/>
    <w:rsid w:val="009C1C3E"/>
    <w:rsid w:val="009C2A95"/>
    <w:rsid w:val="009D3CC7"/>
    <w:rsid w:val="009D42FA"/>
    <w:rsid w:val="009D5524"/>
    <w:rsid w:val="009D6FEC"/>
    <w:rsid w:val="009D79C4"/>
    <w:rsid w:val="009E34D8"/>
    <w:rsid w:val="009F3F95"/>
    <w:rsid w:val="009F7FF6"/>
    <w:rsid w:val="00A01010"/>
    <w:rsid w:val="00A0173F"/>
    <w:rsid w:val="00A02B32"/>
    <w:rsid w:val="00A3233F"/>
    <w:rsid w:val="00A35F38"/>
    <w:rsid w:val="00A36D14"/>
    <w:rsid w:val="00A40427"/>
    <w:rsid w:val="00A41448"/>
    <w:rsid w:val="00A42A7B"/>
    <w:rsid w:val="00A43C16"/>
    <w:rsid w:val="00A47521"/>
    <w:rsid w:val="00A519C9"/>
    <w:rsid w:val="00A553B6"/>
    <w:rsid w:val="00A5560C"/>
    <w:rsid w:val="00A6050C"/>
    <w:rsid w:val="00A662A7"/>
    <w:rsid w:val="00A67185"/>
    <w:rsid w:val="00A7296B"/>
    <w:rsid w:val="00A72C23"/>
    <w:rsid w:val="00A744FD"/>
    <w:rsid w:val="00A768A2"/>
    <w:rsid w:val="00A77DB2"/>
    <w:rsid w:val="00A85B5D"/>
    <w:rsid w:val="00A951C5"/>
    <w:rsid w:val="00AA3F27"/>
    <w:rsid w:val="00AB79C8"/>
    <w:rsid w:val="00AC07D6"/>
    <w:rsid w:val="00AC469D"/>
    <w:rsid w:val="00AC4860"/>
    <w:rsid w:val="00AD0687"/>
    <w:rsid w:val="00AD61F9"/>
    <w:rsid w:val="00AD7DA1"/>
    <w:rsid w:val="00AE13F0"/>
    <w:rsid w:val="00AE2D5D"/>
    <w:rsid w:val="00AE3565"/>
    <w:rsid w:val="00AE6225"/>
    <w:rsid w:val="00AF043E"/>
    <w:rsid w:val="00AF22C2"/>
    <w:rsid w:val="00AF2D0E"/>
    <w:rsid w:val="00AF7D6A"/>
    <w:rsid w:val="00B035C4"/>
    <w:rsid w:val="00B03787"/>
    <w:rsid w:val="00B06E1A"/>
    <w:rsid w:val="00B1678B"/>
    <w:rsid w:val="00B16E6A"/>
    <w:rsid w:val="00B17125"/>
    <w:rsid w:val="00B23F6A"/>
    <w:rsid w:val="00B42D38"/>
    <w:rsid w:val="00B45F8E"/>
    <w:rsid w:val="00B53FAE"/>
    <w:rsid w:val="00B54EC1"/>
    <w:rsid w:val="00B57155"/>
    <w:rsid w:val="00B718A8"/>
    <w:rsid w:val="00B7554F"/>
    <w:rsid w:val="00B77ED4"/>
    <w:rsid w:val="00B87D95"/>
    <w:rsid w:val="00B91ED7"/>
    <w:rsid w:val="00BA0272"/>
    <w:rsid w:val="00BA0C10"/>
    <w:rsid w:val="00BA49CB"/>
    <w:rsid w:val="00BB113C"/>
    <w:rsid w:val="00BB2995"/>
    <w:rsid w:val="00BC6B03"/>
    <w:rsid w:val="00BD7AE7"/>
    <w:rsid w:val="00BE30AE"/>
    <w:rsid w:val="00BF1E43"/>
    <w:rsid w:val="00BF31A9"/>
    <w:rsid w:val="00BF320B"/>
    <w:rsid w:val="00C01875"/>
    <w:rsid w:val="00C07893"/>
    <w:rsid w:val="00C12DE8"/>
    <w:rsid w:val="00C157B4"/>
    <w:rsid w:val="00C16032"/>
    <w:rsid w:val="00C16332"/>
    <w:rsid w:val="00C22C32"/>
    <w:rsid w:val="00C31F68"/>
    <w:rsid w:val="00C33A5A"/>
    <w:rsid w:val="00C34D10"/>
    <w:rsid w:val="00C50DB1"/>
    <w:rsid w:val="00C52FD2"/>
    <w:rsid w:val="00C530F5"/>
    <w:rsid w:val="00C57E4F"/>
    <w:rsid w:val="00C63E58"/>
    <w:rsid w:val="00C653EB"/>
    <w:rsid w:val="00C930EE"/>
    <w:rsid w:val="00C933A3"/>
    <w:rsid w:val="00CA57E4"/>
    <w:rsid w:val="00CD5892"/>
    <w:rsid w:val="00CE74DD"/>
    <w:rsid w:val="00CE7B90"/>
    <w:rsid w:val="00CF26DF"/>
    <w:rsid w:val="00D006A2"/>
    <w:rsid w:val="00D13588"/>
    <w:rsid w:val="00D2325E"/>
    <w:rsid w:val="00D32027"/>
    <w:rsid w:val="00D41181"/>
    <w:rsid w:val="00D42851"/>
    <w:rsid w:val="00D43B5F"/>
    <w:rsid w:val="00D45726"/>
    <w:rsid w:val="00D53643"/>
    <w:rsid w:val="00D54660"/>
    <w:rsid w:val="00D55AE5"/>
    <w:rsid w:val="00D659AE"/>
    <w:rsid w:val="00D66129"/>
    <w:rsid w:val="00D67FA7"/>
    <w:rsid w:val="00D70037"/>
    <w:rsid w:val="00D714C7"/>
    <w:rsid w:val="00D7279F"/>
    <w:rsid w:val="00D82338"/>
    <w:rsid w:val="00D8251B"/>
    <w:rsid w:val="00D86FDA"/>
    <w:rsid w:val="00DA0AFC"/>
    <w:rsid w:val="00DA5B6E"/>
    <w:rsid w:val="00DB3604"/>
    <w:rsid w:val="00DB5440"/>
    <w:rsid w:val="00DB7B19"/>
    <w:rsid w:val="00DC23B0"/>
    <w:rsid w:val="00DC299E"/>
    <w:rsid w:val="00DC2CB1"/>
    <w:rsid w:val="00DC3476"/>
    <w:rsid w:val="00DC43A0"/>
    <w:rsid w:val="00DD0B39"/>
    <w:rsid w:val="00DD251C"/>
    <w:rsid w:val="00DE77FD"/>
    <w:rsid w:val="00DF2E53"/>
    <w:rsid w:val="00E05399"/>
    <w:rsid w:val="00E109E5"/>
    <w:rsid w:val="00E138C6"/>
    <w:rsid w:val="00E1395C"/>
    <w:rsid w:val="00E14699"/>
    <w:rsid w:val="00E146E4"/>
    <w:rsid w:val="00E2073E"/>
    <w:rsid w:val="00E208B8"/>
    <w:rsid w:val="00E268D9"/>
    <w:rsid w:val="00E32808"/>
    <w:rsid w:val="00E33632"/>
    <w:rsid w:val="00E33BFC"/>
    <w:rsid w:val="00E37E1A"/>
    <w:rsid w:val="00E43EA0"/>
    <w:rsid w:val="00E441B0"/>
    <w:rsid w:val="00E50A27"/>
    <w:rsid w:val="00E54944"/>
    <w:rsid w:val="00E54FD7"/>
    <w:rsid w:val="00E561F3"/>
    <w:rsid w:val="00E64D48"/>
    <w:rsid w:val="00E665F2"/>
    <w:rsid w:val="00E714B7"/>
    <w:rsid w:val="00E72B44"/>
    <w:rsid w:val="00E7589C"/>
    <w:rsid w:val="00E7618C"/>
    <w:rsid w:val="00E770DE"/>
    <w:rsid w:val="00E84398"/>
    <w:rsid w:val="00E863C1"/>
    <w:rsid w:val="00EA3FD7"/>
    <w:rsid w:val="00EA7036"/>
    <w:rsid w:val="00EB0101"/>
    <w:rsid w:val="00EB090C"/>
    <w:rsid w:val="00EB53CC"/>
    <w:rsid w:val="00EB5BDD"/>
    <w:rsid w:val="00EC4C6A"/>
    <w:rsid w:val="00ED07B1"/>
    <w:rsid w:val="00ED41A2"/>
    <w:rsid w:val="00ED4D95"/>
    <w:rsid w:val="00ED5546"/>
    <w:rsid w:val="00EE0016"/>
    <w:rsid w:val="00EE20B5"/>
    <w:rsid w:val="00EE2E1F"/>
    <w:rsid w:val="00EE427F"/>
    <w:rsid w:val="00EE5593"/>
    <w:rsid w:val="00EF7C56"/>
    <w:rsid w:val="00F0093F"/>
    <w:rsid w:val="00F01B34"/>
    <w:rsid w:val="00F072D5"/>
    <w:rsid w:val="00F14D21"/>
    <w:rsid w:val="00F152C5"/>
    <w:rsid w:val="00F200F5"/>
    <w:rsid w:val="00F275CE"/>
    <w:rsid w:val="00F30AB4"/>
    <w:rsid w:val="00F4198F"/>
    <w:rsid w:val="00F506CD"/>
    <w:rsid w:val="00F62B4C"/>
    <w:rsid w:val="00F65C9C"/>
    <w:rsid w:val="00F66DE5"/>
    <w:rsid w:val="00F71313"/>
    <w:rsid w:val="00F71941"/>
    <w:rsid w:val="00F74566"/>
    <w:rsid w:val="00F772E2"/>
    <w:rsid w:val="00F80624"/>
    <w:rsid w:val="00F815A1"/>
    <w:rsid w:val="00F81BDC"/>
    <w:rsid w:val="00F8219B"/>
    <w:rsid w:val="00F833AA"/>
    <w:rsid w:val="00F84FD0"/>
    <w:rsid w:val="00F8577C"/>
    <w:rsid w:val="00F86335"/>
    <w:rsid w:val="00FA6AF1"/>
    <w:rsid w:val="00FB216C"/>
    <w:rsid w:val="00FB6B9C"/>
    <w:rsid w:val="00FB6F42"/>
    <w:rsid w:val="00FC019F"/>
    <w:rsid w:val="00FC1C60"/>
    <w:rsid w:val="00FC2F01"/>
    <w:rsid w:val="00FC5AB8"/>
    <w:rsid w:val="00FD7FC5"/>
    <w:rsid w:val="00FE6A91"/>
    <w:rsid w:val="00FE6B48"/>
    <w:rsid w:val="00FF1DE2"/>
    <w:rsid w:val="0137263F"/>
    <w:rsid w:val="01891A45"/>
    <w:rsid w:val="02E57B83"/>
    <w:rsid w:val="039A285C"/>
    <w:rsid w:val="03DE0CE1"/>
    <w:rsid w:val="044E4677"/>
    <w:rsid w:val="04AB21A3"/>
    <w:rsid w:val="04EA17EB"/>
    <w:rsid w:val="05E12EA7"/>
    <w:rsid w:val="06CD3EEA"/>
    <w:rsid w:val="0700316B"/>
    <w:rsid w:val="07074ECF"/>
    <w:rsid w:val="07FB0B76"/>
    <w:rsid w:val="09176358"/>
    <w:rsid w:val="0A9A67CB"/>
    <w:rsid w:val="0B400519"/>
    <w:rsid w:val="0BF8632B"/>
    <w:rsid w:val="0CD54D71"/>
    <w:rsid w:val="0DCE425C"/>
    <w:rsid w:val="0EC329AB"/>
    <w:rsid w:val="0EE0745B"/>
    <w:rsid w:val="1258704C"/>
    <w:rsid w:val="12983243"/>
    <w:rsid w:val="12FD441D"/>
    <w:rsid w:val="14185435"/>
    <w:rsid w:val="14AC050E"/>
    <w:rsid w:val="1885416A"/>
    <w:rsid w:val="18F654FF"/>
    <w:rsid w:val="18F77705"/>
    <w:rsid w:val="1C2F1472"/>
    <w:rsid w:val="1E25116D"/>
    <w:rsid w:val="1FD834F2"/>
    <w:rsid w:val="2144509B"/>
    <w:rsid w:val="216D12EC"/>
    <w:rsid w:val="22B569E9"/>
    <w:rsid w:val="23460DA5"/>
    <w:rsid w:val="2400624B"/>
    <w:rsid w:val="244A26E0"/>
    <w:rsid w:val="245155AD"/>
    <w:rsid w:val="24E42A4B"/>
    <w:rsid w:val="25CB53C2"/>
    <w:rsid w:val="26454C77"/>
    <w:rsid w:val="27077335"/>
    <w:rsid w:val="277F388A"/>
    <w:rsid w:val="28832D7E"/>
    <w:rsid w:val="297076CF"/>
    <w:rsid w:val="29855EEE"/>
    <w:rsid w:val="29CB2F35"/>
    <w:rsid w:val="29DD31E7"/>
    <w:rsid w:val="2A081CE3"/>
    <w:rsid w:val="2ACF3AA3"/>
    <w:rsid w:val="2D3769DB"/>
    <w:rsid w:val="2F843D90"/>
    <w:rsid w:val="30155EF6"/>
    <w:rsid w:val="301E3A41"/>
    <w:rsid w:val="308C7CA9"/>
    <w:rsid w:val="31BD206B"/>
    <w:rsid w:val="33253566"/>
    <w:rsid w:val="33CC5F37"/>
    <w:rsid w:val="34125B86"/>
    <w:rsid w:val="34A64827"/>
    <w:rsid w:val="355A3F78"/>
    <w:rsid w:val="3917193C"/>
    <w:rsid w:val="39323AAD"/>
    <w:rsid w:val="3A101704"/>
    <w:rsid w:val="3A3577F9"/>
    <w:rsid w:val="3A7A3AE8"/>
    <w:rsid w:val="3BB82DE1"/>
    <w:rsid w:val="3BEC6178"/>
    <w:rsid w:val="3D891AF7"/>
    <w:rsid w:val="3E1A3E2F"/>
    <w:rsid w:val="40553783"/>
    <w:rsid w:val="40BE126D"/>
    <w:rsid w:val="41330775"/>
    <w:rsid w:val="419B333D"/>
    <w:rsid w:val="41BA349B"/>
    <w:rsid w:val="425B14FE"/>
    <w:rsid w:val="425F042E"/>
    <w:rsid w:val="433F22FE"/>
    <w:rsid w:val="439A270F"/>
    <w:rsid w:val="44434417"/>
    <w:rsid w:val="46B14AB5"/>
    <w:rsid w:val="472E5B7A"/>
    <w:rsid w:val="475E3694"/>
    <w:rsid w:val="477A5EFA"/>
    <w:rsid w:val="490C1054"/>
    <w:rsid w:val="491457A7"/>
    <w:rsid w:val="4936519F"/>
    <w:rsid w:val="496775F6"/>
    <w:rsid w:val="4AF95FBE"/>
    <w:rsid w:val="4B5C2942"/>
    <w:rsid w:val="4C274BA1"/>
    <w:rsid w:val="4CB371B0"/>
    <w:rsid w:val="4DBD1D75"/>
    <w:rsid w:val="4EF720C2"/>
    <w:rsid w:val="4FD974F3"/>
    <w:rsid w:val="50660725"/>
    <w:rsid w:val="50695DA2"/>
    <w:rsid w:val="55F72B3D"/>
    <w:rsid w:val="571A5E8E"/>
    <w:rsid w:val="57780448"/>
    <w:rsid w:val="58B82387"/>
    <w:rsid w:val="5AED60B5"/>
    <w:rsid w:val="5CF13505"/>
    <w:rsid w:val="5DEB28E9"/>
    <w:rsid w:val="5E286374"/>
    <w:rsid w:val="61354B40"/>
    <w:rsid w:val="61892A16"/>
    <w:rsid w:val="62954502"/>
    <w:rsid w:val="636A22DE"/>
    <w:rsid w:val="638078DF"/>
    <w:rsid w:val="646D601A"/>
    <w:rsid w:val="652848CC"/>
    <w:rsid w:val="65AB6C09"/>
    <w:rsid w:val="66AF45CB"/>
    <w:rsid w:val="697A59D5"/>
    <w:rsid w:val="69F20B3C"/>
    <w:rsid w:val="69F3195D"/>
    <w:rsid w:val="6AC73996"/>
    <w:rsid w:val="6B0761D5"/>
    <w:rsid w:val="6BF75D6E"/>
    <w:rsid w:val="6CEC5B77"/>
    <w:rsid w:val="6E294E00"/>
    <w:rsid w:val="6EB7542E"/>
    <w:rsid w:val="700541D6"/>
    <w:rsid w:val="706306FE"/>
    <w:rsid w:val="707724A4"/>
    <w:rsid w:val="71400FE6"/>
    <w:rsid w:val="719A5268"/>
    <w:rsid w:val="734D2171"/>
    <w:rsid w:val="734F12AC"/>
    <w:rsid w:val="73E76B4D"/>
    <w:rsid w:val="76F417DB"/>
    <w:rsid w:val="774739EF"/>
    <w:rsid w:val="777C7F27"/>
    <w:rsid w:val="77AC19C5"/>
    <w:rsid w:val="78087F1E"/>
    <w:rsid w:val="78E60845"/>
    <w:rsid w:val="797D7112"/>
    <w:rsid w:val="7A0C5BCA"/>
    <w:rsid w:val="7A892DD8"/>
    <w:rsid w:val="7AC11726"/>
    <w:rsid w:val="7B777D18"/>
    <w:rsid w:val="7BA75E56"/>
    <w:rsid w:val="7C175CAD"/>
    <w:rsid w:val="7C475AA3"/>
    <w:rsid w:val="7C8D76A3"/>
    <w:rsid w:val="7D8148B6"/>
    <w:rsid w:val="7DBD6BA5"/>
    <w:rsid w:val="7EEA640D"/>
    <w:rsid w:val="7F97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textAlignment w:val="baseline"/>
    </w:pPr>
    <w:rPr>
      <w:kern w:val="0"/>
      <w:sz w:val="24"/>
      <w:szCs w:val="20"/>
    </w:rPr>
  </w:style>
  <w:style w:type="paragraph" w:styleId="19">
    <w:name w:val="Document Map"/>
    <w:basedOn w:val="1"/>
    <w:semiHidden/>
    <w:qFormat/>
    <w:uiPriority w:val="0"/>
    <w:pPr>
      <w:shd w:val="clear" w:color="auto" w:fill="000080"/>
    </w:pPr>
  </w:style>
  <w:style w:type="paragraph" w:styleId="20">
    <w:name w:val="annotation text"/>
    <w:basedOn w:val="1"/>
    <w:qFormat/>
    <w:uiPriority w:val="0"/>
    <w:pPr>
      <w:jc w:val="left"/>
    </w:pPr>
  </w:style>
  <w:style w:type="paragraph" w:styleId="21">
    <w:name w:val="Body Text"/>
    <w:basedOn w:val="1"/>
    <w:qFormat/>
    <w:uiPriority w:val="0"/>
    <w:pPr>
      <w:spacing w:after="120"/>
    </w:pPr>
  </w:style>
  <w:style w:type="paragraph" w:styleId="22">
    <w:name w:val="Body Text Indent"/>
    <w:basedOn w:val="1"/>
    <w:qFormat/>
    <w:uiPriority w:val="0"/>
    <w:pPr>
      <w:adjustRightInd w:val="0"/>
      <w:spacing w:line="300" w:lineRule="exact"/>
      <w:ind w:firstLine="420" w:firstLineChars="200"/>
      <w:textAlignment w:val="baseline"/>
    </w:pPr>
    <w:rPr>
      <w:kern w:val="0"/>
      <w:szCs w:val="20"/>
    </w:rPr>
  </w:style>
  <w:style w:type="paragraph" w:styleId="23">
    <w:name w:val="HTML Address"/>
    <w:basedOn w:val="1"/>
    <w:qFormat/>
    <w:uiPriority w:val="0"/>
    <w:rPr>
      <w:i/>
      <w:iCs/>
    </w:rPr>
  </w:style>
  <w:style w:type="paragraph" w:styleId="24">
    <w:name w:val="Plain Text"/>
    <w:basedOn w:val="1"/>
    <w:link w:val="57"/>
    <w:qFormat/>
    <w:uiPriority w:val="0"/>
    <w:rPr>
      <w:rFonts w:ascii="宋体" w:hAnsi="Courier New"/>
      <w:szCs w:val="20"/>
    </w:rPr>
  </w:style>
  <w:style w:type="paragraph" w:styleId="25">
    <w:name w:val="toc 8"/>
    <w:basedOn w:val="11"/>
    <w:next w:val="1"/>
    <w:semiHidden/>
    <w:qFormat/>
    <w:uiPriority w:val="0"/>
  </w:style>
  <w:style w:type="paragraph" w:styleId="26">
    <w:name w:val="Body Text Indent 2"/>
    <w:basedOn w:val="1"/>
    <w:qFormat/>
    <w:uiPriority w:val="0"/>
    <w:pPr>
      <w:adjustRightInd w:val="0"/>
      <w:spacing w:line="312" w:lineRule="atLeast"/>
      <w:ind w:firstLine="315" w:firstLineChars="150"/>
      <w:textAlignment w:val="baseline"/>
    </w:pPr>
    <w:rPr>
      <w:kern w:val="0"/>
      <w:szCs w:val="20"/>
    </w:rPr>
  </w:style>
  <w:style w:type="paragraph" w:styleId="27">
    <w:name w:val="Balloon Text"/>
    <w:basedOn w:val="1"/>
    <w:link w:val="121"/>
    <w:qFormat/>
    <w:uiPriority w:val="0"/>
    <w:rPr>
      <w:sz w:val="18"/>
      <w:szCs w:val="18"/>
    </w:rPr>
  </w:style>
  <w:style w:type="paragraph" w:styleId="28">
    <w:name w:val="footer"/>
    <w:basedOn w:val="1"/>
    <w:qFormat/>
    <w:uiPriority w:val="0"/>
    <w:pPr>
      <w:tabs>
        <w:tab w:val="center" w:pos="4153"/>
        <w:tab w:val="right" w:pos="8306"/>
      </w:tabs>
      <w:snapToGrid w:val="0"/>
      <w:ind w:right="210" w:rightChars="100"/>
      <w:jc w:val="righ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qFormat/>
    <w:uiPriority w:val="0"/>
    <w:pPr>
      <w:ind w:firstLine="420" w:firstLineChars="200"/>
    </w:pPr>
    <w:rPr>
      <w:color w:val="0000FF"/>
    </w:rPr>
  </w:style>
  <w:style w:type="paragraph" w:styleId="32">
    <w:name w:val="toc 9"/>
    <w:basedOn w:val="25"/>
    <w:next w:val="1"/>
    <w:semiHidden/>
    <w:qFormat/>
    <w:uiPriority w:val="0"/>
  </w:style>
  <w:style w:type="paragraph" w:styleId="33">
    <w:name w:val="HTML Preformatted"/>
    <w:basedOn w:val="1"/>
    <w:qFormat/>
    <w:uiPriority w:val="0"/>
    <w:rPr>
      <w:rFonts w:ascii="Courier New" w:hAnsi="Courier New" w:cs="Courier New"/>
      <w:sz w:val="20"/>
      <w:szCs w:val="20"/>
    </w:rPr>
  </w:style>
  <w:style w:type="paragraph" w:styleId="34">
    <w:name w:val="Title"/>
    <w:basedOn w:val="1"/>
    <w:qFormat/>
    <w:uiPriority w:val="0"/>
    <w:pPr>
      <w:spacing w:before="240" w:after="60"/>
      <w:jc w:val="center"/>
      <w:outlineLvl w:val="0"/>
    </w:pPr>
    <w:rPr>
      <w:rFonts w:ascii="Arial" w:hAnsi="Arial" w:cs="Arial"/>
      <w:b/>
      <w:bCs/>
      <w:sz w:val="32"/>
      <w:szCs w:val="32"/>
    </w:rPr>
  </w:style>
  <w:style w:type="table" w:styleId="36">
    <w:name w:val="Table Grid"/>
    <w:basedOn w:val="35"/>
    <w:qFormat/>
    <w:uiPriority w:val="0"/>
    <w:pPr>
      <w:widowControl w:val="0"/>
      <w:jc w:val="both"/>
    </w:pPr>
    <w:tblPr>
      <w:tblCellMar>
        <w:top w:w="0" w:type="dxa"/>
        <w:left w:w="108" w:type="dxa"/>
        <w:bottom w:w="0" w:type="dxa"/>
        <w:right w:w="108" w:type="dxa"/>
      </w:tblCellMar>
    </w:tblPr>
  </w:style>
  <w:style w:type="table" w:styleId="37">
    <w:name w:val="Table Classic 1"/>
    <w:basedOn w:val="35"/>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39">
    <w:name w:val="page number"/>
    <w:qFormat/>
    <w:uiPriority w:val="0"/>
    <w:rPr>
      <w:rFonts w:ascii="Times New Roman" w:hAnsi="Times New Roman" w:eastAsia="宋体"/>
      <w:sz w:val="18"/>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8"/>
    <w:qFormat/>
    <w:uiPriority w:val="0"/>
  </w:style>
  <w:style w:type="character" w:styleId="43">
    <w:name w:val="HTML Variable"/>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basedOn w:val="38"/>
    <w:qFormat/>
    <w:uiPriority w:val="0"/>
    <w:rPr>
      <w:sz w:val="21"/>
      <w:szCs w:val="21"/>
    </w:rPr>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段 Char"/>
    <w:link w:val="52"/>
    <w:qFormat/>
    <w:uiPriority w:val="0"/>
    <w:rPr>
      <w:rFonts w:ascii="宋体"/>
      <w:sz w:val="21"/>
      <w:lang w:val="en-US" w:eastAsia="zh-CN" w:bidi="ar-SA"/>
    </w:rPr>
  </w:style>
  <w:style w:type="paragraph" w:customStyle="1" w:styleId="52">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52"/>
    <w:link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55">
    <w:name w:val="个人撰写风格"/>
    <w:qFormat/>
    <w:uiPriority w:val="0"/>
    <w:rPr>
      <w:rFonts w:ascii="Arial" w:hAnsi="Arial" w:eastAsia="宋体" w:cs="Arial"/>
      <w:color w:val="auto"/>
      <w:sz w:val="20"/>
    </w:rPr>
  </w:style>
  <w:style w:type="character" w:customStyle="1" w:styleId="56">
    <w:name w:val="个人答复风格"/>
    <w:qFormat/>
    <w:uiPriority w:val="0"/>
    <w:rPr>
      <w:rFonts w:ascii="Arial" w:hAnsi="Arial" w:eastAsia="宋体" w:cs="Arial"/>
      <w:color w:val="auto"/>
      <w:sz w:val="20"/>
    </w:rPr>
  </w:style>
  <w:style w:type="character" w:customStyle="1" w:styleId="57">
    <w:name w:val="纯文本 Char"/>
    <w:link w:val="24"/>
    <w:qFormat/>
    <w:uiPriority w:val="0"/>
    <w:rPr>
      <w:rFonts w:ascii="宋体" w:hAnsi="Courier New" w:eastAsia="宋体"/>
      <w:kern w:val="2"/>
      <w:sz w:val="21"/>
      <w:lang w:val="en-US" w:eastAsia="zh-CN" w:bidi="ar-SA"/>
    </w:rPr>
  </w:style>
  <w:style w:type="character" w:customStyle="1" w:styleId="58">
    <w:name w:val="发布"/>
    <w:qFormat/>
    <w:uiPriority w:val="0"/>
    <w:rPr>
      <w:rFonts w:ascii="黑体" w:eastAsia="黑体"/>
      <w:spacing w:val="22"/>
      <w:w w:val="100"/>
      <w:position w:val="3"/>
      <w:sz w:val="28"/>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正文表标题"/>
    <w:next w:val="52"/>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1">
    <w:name w:val="标准书眉_偶数页"/>
    <w:basedOn w:val="62"/>
    <w:next w:val="1"/>
    <w:qFormat/>
    <w:uiPriority w:val="0"/>
    <w:pPr>
      <w:tabs>
        <w:tab w:val="center" w:pos="4154"/>
        <w:tab w:val="right" w:pos="8306"/>
      </w:tabs>
      <w:jc w:val="left"/>
    </w:pPr>
  </w:style>
  <w:style w:type="paragraph" w:customStyle="1" w:styleId="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一级条标题"/>
    <w:basedOn w:val="54"/>
    <w:next w:val="52"/>
    <w:qFormat/>
    <w:uiPriority w:val="0"/>
    <w:pPr>
      <w:numPr>
        <w:ilvl w:val="2"/>
      </w:numPr>
      <w:spacing w:beforeLines="0" w:afterLines="0"/>
      <w:outlineLvl w:val="2"/>
    </w:pPr>
  </w:style>
  <w:style w:type="paragraph" w:customStyle="1" w:styleId="65">
    <w:name w:val="图表脚注"/>
    <w:next w:val="5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
    <w:name w:val="注："/>
    <w:next w:val="52"/>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7">
    <w:name w:val="附录二级条标题"/>
    <w:basedOn w:val="68"/>
    <w:next w:val="52"/>
    <w:qFormat/>
    <w:uiPriority w:val="0"/>
    <w:pPr>
      <w:numPr>
        <w:ilvl w:val="3"/>
      </w:numPr>
      <w:outlineLvl w:val="3"/>
    </w:pPr>
  </w:style>
  <w:style w:type="paragraph" w:customStyle="1" w:styleId="68">
    <w:name w:val="附录一级条标题"/>
    <w:basedOn w:val="69"/>
    <w:next w:val="52"/>
    <w:qFormat/>
    <w:uiPriority w:val="0"/>
    <w:pPr>
      <w:numPr>
        <w:ilvl w:val="2"/>
      </w:numPr>
      <w:autoSpaceDN w:val="0"/>
      <w:spacing w:beforeLines="0" w:afterLines="0"/>
      <w:outlineLvl w:val="2"/>
    </w:pPr>
  </w:style>
  <w:style w:type="paragraph" w:customStyle="1" w:styleId="69">
    <w:name w:val="附录章标题"/>
    <w:next w:val="52"/>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三级条标题"/>
    <w:basedOn w:val="67"/>
    <w:next w:val="52"/>
    <w:qFormat/>
    <w:uiPriority w:val="0"/>
    <w:pPr>
      <w:numPr>
        <w:ilvl w:val="4"/>
      </w:numPr>
      <w:outlineLvl w:val="4"/>
    </w:pPr>
  </w:style>
  <w:style w:type="paragraph" w:customStyle="1" w:styleId="71">
    <w:name w:val="四级条标题"/>
    <w:basedOn w:val="72"/>
    <w:next w:val="52"/>
    <w:qFormat/>
    <w:uiPriority w:val="0"/>
    <w:pPr>
      <w:numPr>
        <w:ilvl w:val="5"/>
      </w:numPr>
      <w:outlineLvl w:val="5"/>
    </w:pPr>
  </w:style>
  <w:style w:type="paragraph" w:customStyle="1" w:styleId="72">
    <w:name w:val="三级条标题"/>
    <w:basedOn w:val="73"/>
    <w:next w:val="52"/>
    <w:qFormat/>
    <w:uiPriority w:val="0"/>
    <w:pPr>
      <w:numPr>
        <w:ilvl w:val="4"/>
      </w:numPr>
      <w:outlineLvl w:val="4"/>
    </w:pPr>
  </w:style>
  <w:style w:type="paragraph" w:customStyle="1" w:styleId="73">
    <w:name w:val="二级条标题"/>
    <w:basedOn w:val="64"/>
    <w:next w:val="52"/>
    <w:qFormat/>
    <w:uiPriority w:val="0"/>
    <w:pPr>
      <w:numPr>
        <w:ilvl w:val="3"/>
      </w:numPr>
      <w:outlineLvl w:val="3"/>
    </w:pPr>
  </w:style>
  <w:style w:type="paragraph" w:customStyle="1" w:styleId="74">
    <w:name w:val="附录表标题"/>
    <w:next w:val="5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5">
    <w:name w:val="五级无标题条"/>
    <w:basedOn w:val="1"/>
    <w:qFormat/>
    <w:uiPriority w:val="0"/>
    <w:pPr>
      <w:numPr>
        <w:ilvl w:val="6"/>
        <w:numId w:val="5"/>
      </w:numPr>
    </w:pPr>
  </w:style>
  <w:style w:type="paragraph" w:customStyle="1" w:styleId="76">
    <w:name w:val="封面标准号2"/>
    <w:basedOn w:val="77"/>
    <w:qFormat/>
    <w:uiPriority w:val="0"/>
    <w:pPr>
      <w:framePr w:w="9138" w:h="1244" w:hRule="exact" w:wrap="around" w:vAnchor="page" w:hAnchor="margin" w:y="2908"/>
      <w:adjustRightInd w:val="0"/>
      <w:spacing w:before="357" w:line="280" w:lineRule="exact"/>
    </w:p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一级无标题条"/>
    <w:basedOn w:val="1"/>
    <w:qFormat/>
    <w:uiPriority w:val="0"/>
    <w:pPr>
      <w:numPr>
        <w:ilvl w:val="2"/>
        <w:numId w:val="5"/>
      </w:numPr>
    </w:pPr>
  </w:style>
  <w:style w:type="paragraph" w:customStyle="1" w:styleId="7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0">
    <w:name w:val="发布部门"/>
    <w:next w:val="5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参考文献、索引标题"/>
    <w:basedOn w:val="86"/>
    <w:next w:val="1"/>
    <w:qFormat/>
    <w:uiPriority w:val="0"/>
    <w:pPr>
      <w:numPr>
        <w:numId w:val="0"/>
      </w:numPr>
      <w:spacing w:after="200"/>
    </w:pPr>
    <w:rPr>
      <w:sz w:val="21"/>
    </w:rPr>
  </w:style>
  <w:style w:type="paragraph" w:customStyle="1" w:styleId="88">
    <w:name w:val="实施日期"/>
    <w:basedOn w:val="89"/>
    <w:qFormat/>
    <w:uiPriority w:val="0"/>
    <w:pPr>
      <w:framePr w:hSpace="0" w:wrap="around" w:xAlign="right"/>
      <w:jc w:val="right"/>
    </w:pPr>
  </w:style>
  <w:style w:type="paragraph" w:customStyle="1" w:styleId="8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
    <w:name w:val="三级无标题条"/>
    <w:basedOn w:val="1"/>
    <w:qFormat/>
    <w:uiPriority w:val="0"/>
    <w:pPr>
      <w:numPr>
        <w:ilvl w:val="4"/>
        <w:numId w:val="5"/>
      </w:numPr>
    </w:pPr>
  </w:style>
  <w:style w:type="paragraph" w:customStyle="1" w:styleId="91">
    <w:name w:val="四级无标题条"/>
    <w:basedOn w:val="1"/>
    <w:qFormat/>
    <w:uiPriority w:val="0"/>
    <w:pPr>
      <w:numPr>
        <w:ilvl w:val="5"/>
        <w:numId w:val="5"/>
      </w:numPr>
    </w:pPr>
  </w:style>
  <w:style w:type="paragraph" w:customStyle="1" w:styleId="92">
    <w:name w:val="附录标识"/>
    <w:basedOn w:val="86"/>
    <w:qFormat/>
    <w:uiPriority w:val="0"/>
    <w:pPr>
      <w:numPr>
        <w:ilvl w:val="0"/>
        <w:numId w:val="4"/>
      </w:numPr>
      <w:tabs>
        <w:tab w:val="left" w:pos="6405"/>
      </w:tabs>
      <w:spacing w:after="200"/>
    </w:pPr>
    <w:rPr>
      <w:sz w:val="21"/>
    </w:rPr>
  </w:style>
  <w:style w:type="paragraph" w:customStyle="1" w:styleId="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4">
    <w:name w:val="目次、标准名称标题"/>
    <w:basedOn w:val="86"/>
    <w:next w:val="52"/>
    <w:qFormat/>
    <w:uiPriority w:val="0"/>
    <w:pPr>
      <w:numPr>
        <w:numId w:val="0"/>
      </w:numPr>
      <w:spacing w:line="460" w:lineRule="exact"/>
    </w:pPr>
  </w:style>
  <w:style w:type="paragraph" w:customStyle="1" w:styleId="95">
    <w:name w:val="其他发布部门"/>
    <w:basedOn w:val="80"/>
    <w:qFormat/>
    <w:uiPriority w:val="0"/>
    <w:pPr>
      <w:framePr w:wrap="around"/>
      <w:spacing w:line="0" w:lineRule="atLeast"/>
    </w:pPr>
    <w:rPr>
      <w:rFonts w:ascii="黑体" w:eastAsia="黑体"/>
      <w:b w:val="0"/>
    </w:rPr>
  </w:style>
  <w:style w:type="paragraph" w:customStyle="1" w:styleId="96">
    <w:name w:val="标准"/>
    <w:basedOn w:val="1"/>
    <w:qFormat/>
    <w:uiPriority w:val="0"/>
    <w:pPr>
      <w:adjustRightInd w:val="0"/>
      <w:spacing w:line="312" w:lineRule="atLeast"/>
      <w:jc w:val="center"/>
      <w:textAlignment w:val="baseline"/>
    </w:pPr>
    <w:rPr>
      <w:kern w:val="0"/>
      <w:szCs w:val="20"/>
    </w:rPr>
  </w:style>
  <w:style w:type="paragraph" w:customStyle="1" w:styleId="97">
    <w:name w:val="附录五级条标题"/>
    <w:basedOn w:val="98"/>
    <w:next w:val="52"/>
    <w:qFormat/>
    <w:uiPriority w:val="0"/>
    <w:pPr>
      <w:numPr>
        <w:ilvl w:val="6"/>
      </w:numPr>
      <w:outlineLvl w:val="6"/>
    </w:pPr>
  </w:style>
  <w:style w:type="paragraph" w:customStyle="1" w:styleId="98">
    <w:name w:val="附录四级条标题"/>
    <w:basedOn w:val="70"/>
    <w:next w:val="52"/>
    <w:qFormat/>
    <w:uiPriority w:val="0"/>
    <w:pPr>
      <w:numPr>
        <w:ilvl w:val="5"/>
      </w:numPr>
      <w:outlineLvl w:val="5"/>
    </w:pPr>
  </w:style>
  <w:style w:type="paragraph" w:customStyle="1" w:styleId="99">
    <w:name w:val="五级条标题"/>
    <w:basedOn w:val="71"/>
    <w:next w:val="52"/>
    <w:qFormat/>
    <w:uiPriority w:val="0"/>
    <w:pPr>
      <w:numPr>
        <w:ilvl w:val="6"/>
      </w:numPr>
      <w:outlineLvl w:val="6"/>
    </w:pPr>
  </w:style>
  <w:style w:type="paragraph" w:customStyle="1" w:styleId="100">
    <w:name w:val="条文脚注"/>
    <w:basedOn w:val="30"/>
    <w:qFormat/>
    <w:uiPriority w:val="0"/>
    <w:pPr>
      <w:ind w:left="780" w:leftChars="200" w:hanging="360" w:hangingChars="200"/>
      <w:jc w:val="both"/>
    </w:pPr>
    <w:rPr>
      <w:rFonts w:ascii="宋体"/>
    </w:rPr>
  </w:style>
  <w:style w:type="paragraph" w:customStyle="1" w:styleId="10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2">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105">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封面标准代替信息"/>
    <w:basedOn w:val="76"/>
    <w:qFormat/>
    <w:uiPriority w:val="0"/>
    <w:pPr>
      <w:framePr w:wrap="around"/>
      <w:spacing w:before="57"/>
    </w:pPr>
    <w:rPr>
      <w:rFonts w:ascii="宋体"/>
      <w:sz w:val="21"/>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示例"/>
    <w:next w:val="52"/>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3">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二级无标题条"/>
    <w:basedOn w:val="1"/>
    <w:qFormat/>
    <w:uiPriority w:val="0"/>
    <w:pPr>
      <w:numPr>
        <w:ilvl w:val="3"/>
        <w:numId w:val="5"/>
      </w:numPr>
    </w:pPr>
  </w:style>
  <w:style w:type="paragraph" w:customStyle="1" w:styleId="115">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正文图标题"/>
    <w:next w:val="52"/>
    <w:qFormat/>
    <w:uiPriority w:val="0"/>
    <w:pPr>
      <w:numPr>
        <w:ilvl w:val="0"/>
        <w:numId w:val="10"/>
      </w:numPr>
      <w:jc w:val="center"/>
    </w:pPr>
    <w:rPr>
      <w:rFonts w:ascii="黑体" w:hAnsi="Times New Roman" w:eastAsia="黑体" w:cs="Times New Roman"/>
      <w:sz w:val="21"/>
      <w:lang w:val="en-US" w:eastAsia="zh-CN" w:bidi="ar-SA"/>
    </w:rPr>
  </w:style>
  <w:style w:type="table" w:customStyle="1" w:styleId="117">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Table Grid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0">
    <w:name w:val="List Paragraph"/>
    <w:basedOn w:val="1"/>
    <w:qFormat/>
    <w:uiPriority w:val="99"/>
    <w:pPr>
      <w:ind w:firstLine="420" w:firstLineChars="200"/>
    </w:pPr>
  </w:style>
  <w:style w:type="character" w:customStyle="1" w:styleId="121">
    <w:name w:val="批注框文本 Char"/>
    <w:basedOn w:val="38"/>
    <w:link w:val="2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Info spid="_x0000_s1033"/>
    <customShpInfo spid="_x0000_s1032"/>
    <customShpInfo spid="_x0000_s1031"/>
    <customShpInfo spid="_x0000_s1030"/>
    <customShpInfo spid="_x0000_s1027"/>
    <customShpInfo spid="_x0000_s1026"/>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6</Pages>
  <Words>3421</Words>
  <Characters>3828</Characters>
  <Lines>5</Lines>
  <Paragraphs>8</Paragraphs>
  <TotalTime>44</TotalTime>
  <ScaleCrop>false</ScaleCrop>
  <LinksUpToDate>false</LinksUpToDate>
  <CharactersWithSpaces>3903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2022-08-03T07:29:00Z</dcterms:created>
  <dc:creator>lqy</dc:creator>
  <cp:lastModifiedBy>HW</cp:lastModifiedBy>
  <cp:lastPrinted>2017-05-25T03:08:00Z</cp:lastPrinted>
  <dcterms:modified xsi:type="dcterms:W3CDTF">2022-08-18T06:08:04Z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AA9AB59A6A7D475088A0163767780ADA</vt:lpwstr>
  </property>
</Properties>
</file>