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framePr w:wrap="around"/>
        <w:spacing w:line="360" w:lineRule="auto"/>
      </w:pPr>
      <w:r>
        <w:rPr>
          <w:rFonts w:ascii="Times New Roman"/>
        </w:rPr>
        <w:t>ICS</w:t>
      </w:r>
      <w:r>
        <w:rPr>
          <w:rFonts w:hint="eastAsia" w:ascii="Cambria Math" w:hAnsi="Cambria Math" w:cs="Cambria Math"/>
        </w:rPr>
        <w:t>77.120.99</w:t>
      </w:r>
    </w:p>
    <w:p>
      <w:pPr>
        <w:pStyle w:val="127"/>
        <w:framePr w:wrap="around"/>
        <w:spacing w:line="360" w:lineRule="auto"/>
      </w:pPr>
      <w:r>
        <w:rPr>
          <w:rFonts w:hint="eastAsia"/>
        </w:rPr>
        <w:t>H14</w:t>
      </w:r>
    </w:p>
    <w:p>
      <w:pPr>
        <w:pStyle w:val="70"/>
        <w:framePr w:wrap="around"/>
        <w:spacing w:line="360" w:lineRule="auto"/>
      </w:pPr>
      <w:r>
        <w:drawing>
          <wp:inline distT="0" distB="0" distL="114300" distR="114300">
            <wp:extent cx="1440815" cy="716915"/>
            <wp:effectExtent l="0" t="0" r="6985" b="698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pic:cNvPicPr>
                  </pic:nvPicPr>
                  <pic:blipFill>
                    <a:blip r:embed="rId18"/>
                    <a:stretch>
                      <a:fillRect/>
                    </a:stretch>
                  </pic:blipFill>
                  <pic:spPr>
                    <a:xfrm>
                      <a:off x="0" y="0"/>
                      <a:ext cx="1440815" cy="716915"/>
                    </a:xfrm>
                    <a:prstGeom prst="rect">
                      <a:avLst/>
                    </a:prstGeom>
                    <a:noFill/>
                    <a:ln>
                      <a:noFill/>
                    </a:ln>
                  </pic:spPr>
                </pic:pic>
              </a:graphicData>
            </a:graphic>
          </wp:inline>
        </w:drawing>
      </w:r>
    </w:p>
    <w:p>
      <w:pPr>
        <w:pStyle w:val="71"/>
        <w:framePr w:wrap="around"/>
        <w:spacing w:line="360" w:lineRule="auto"/>
      </w:pPr>
      <w:r>
        <w:rPr>
          <w:rFonts w:hint="eastAsia"/>
        </w:rPr>
        <w:t>中华人民共和国国家标准</w:t>
      </w:r>
    </w:p>
    <w:p>
      <w:pPr>
        <w:pStyle w:val="51"/>
        <w:framePr w:wrap="around"/>
        <w:spacing w:before="0" w:line="360" w:lineRule="auto"/>
      </w:pPr>
      <w:r>
        <w:rPr>
          <w:rFonts w:ascii="Times New Roman"/>
        </w:rPr>
        <w:t>GB/T</w:t>
      </w:r>
      <w:r>
        <w:rPr>
          <w:rFonts w:hint="eastAsia" w:ascii="Times New Roman"/>
        </w:rPr>
        <w:t xml:space="preserve"> </w:t>
      </w:r>
      <w:r>
        <w:rPr>
          <w:rFonts w:hint="eastAsia"/>
        </w:rPr>
        <w:t>XXXXX</w:t>
      </w:r>
      <w:r>
        <w:t>—</w:t>
      </w:r>
      <w:r>
        <w:rPr>
          <w:rFonts w:hint="eastAsia"/>
        </w:rPr>
        <w:t>xxxx</w:t>
      </w:r>
    </w:p>
    <w:tbl>
      <w:tblPr>
        <w:tblStyle w:val="3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0"/>
              <w:framePr w:wrap="around"/>
              <w:spacing w:before="0" w:line="360" w:lineRule="auto"/>
              <w:ind w:right="420"/>
              <w:jc w:val="both"/>
            </w:pPr>
          </w:p>
        </w:tc>
      </w:tr>
    </w:tbl>
    <w:p>
      <w:pPr>
        <w:pStyle w:val="51"/>
        <w:framePr w:wrap="around"/>
        <w:spacing w:before="0" w:line="360" w:lineRule="auto"/>
      </w:pPr>
    </w:p>
    <w:p>
      <w:pPr>
        <w:pStyle w:val="51"/>
        <w:framePr w:wrap="around"/>
        <w:spacing w:before="0" w:line="360" w:lineRule="auto"/>
      </w:pPr>
    </w:p>
    <w:p>
      <w:pPr>
        <w:pStyle w:val="82"/>
        <w:framePr w:h="5866" w:hRule="exact" w:wrap="around" w:x="1456" w:y="6466"/>
        <w:spacing w:line="360" w:lineRule="auto"/>
        <w:rPr>
          <w:rFonts w:hAnsi="黑体"/>
          <w:kern w:val="2"/>
          <w:szCs w:val="52"/>
        </w:rPr>
      </w:pPr>
      <w:r>
        <w:rPr>
          <w:rFonts w:hint="eastAsia" w:hAnsi="黑体"/>
          <w:kern w:val="2"/>
          <w:szCs w:val="52"/>
        </w:rPr>
        <w:t>烧结钕铁硼永磁体 恒定湿热试验</w:t>
      </w:r>
    </w:p>
    <w:p>
      <w:pPr>
        <w:pStyle w:val="82"/>
        <w:framePr w:h="5866" w:hRule="exact" w:wrap="around" w:x="1456" w:y="6466"/>
        <w:spacing w:line="360" w:lineRule="auto"/>
        <w:rPr>
          <w:b/>
        </w:rPr>
      </w:pPr>
    </w:p>
    <w:p>
      <w:pPr>
        <w:framePr w:w="9639" w:h="5866" w:hRule="exact" w:wrap="around" w:vAnchor="page" w:hAnchor="page" w:x="1456" w:y="6466" w:anchorLock="1"/>
        <w:widowControl/>
        <w:shd w:val="clear" w:color="auto" w:fill="FFFFFF"/>
        <w:jc w:val="center"/>
        <w:rPr>
          <w:rFonts w:ascii="黑体" w:hAnsi="黑体" w:eastAsia="黑体"/>
          <w:sz w:val="28"/>
          <w:szCs w:val="28"/>
        </w:rPr>
      </w:pPr>
      <w:r>
        <w:rPr>
          <w:rFonts w:hint="eastAsia" w:ascii="黑体" w:hAnsi="黑体" w:eastAsia="黑体" w:cs="宋体"/>
          <w:color w:val="333333"/>
          <w:spacing w:val="6"/>
          <w:kern w:val="0"/>
          <w:sz w:val="28"/>
          <w:szCs w:val="28"/>
        </w:rPr>
        <w:t xml:space="preserve">Steady state damp heat test method of sintered neodymium iron boron permanent magnets </w:t>
      </w:r>
    </w:p>
    <w:p>
      <w:pPr>
        <w:pStyle w:val="84"/>
        <w:framePr w:h="5866" w:hRule="exact" w:wrap="around" w:x="1456" w:y="6466"/>
        <w:spacing w:before="0" w:line="360" w:lineRule="auto"/>
        <w:rPr>
          <w:rFonts w:ascii="黑体" w:hAnsi="黑体" w:eastAsia="黑体"/>
        </w:rPr>
      </w:pPr>
      <w:r>
        <w:rPr>
          <w:rFonts w:hint="eastAsia" w:ascii="黑体" w:hAnsi="黑体" w:eastAsia="黑体"/>
        </w:rPr>
        <w:t>（预审稿）</w:t>
      </w:r>
    </w:p>
    <w:tbl>
      <w:tblPr>
        <w:tblStyle w:val="3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h="5866" w:hRule="exact" w:wrap="around" w:x="1456" w:y="6466"/>
              <w:spacing w:before="0" w:line="360" w:lineRule="auto"/>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4"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JrpLVAAAACgEAAA8AAAAAAAAAAQAg&#10;AAAAIgAAAGRycy9kb3ducmV2LnhtbFBLAQIUABQAAAAIAIdO4kBhiHmPnwEAAFkDAAAOAAAAAAAA&#10;AAEAIAAAACQBAABkcnMvZTJvRG9jLnhtbFBLBQYAAAAABgAGAFkBAAA1BQ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GL5dYAAAAJAQAADwAAAAAAAAAB&#10;ACAAAAAiAAAAZHJzL2Rvd25yZXYueG1sUEsBAhQAFAAAAAgAh07iQDWdROOgAQAAWQMAAA4AAAAA&#10;AAAAAQAgAAAAJQEAAGRycy9lMm9Eb2MueG1sUEsFBgAAAAAGAAYAWQEAADc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6"/>
              <w:framePr w:h="5866" w:hRule="exact" w:wrap="around" w:x="1456" w:y="6466"/>
              <w:spacing w:before="0" w:line="360" w:lineRule="auto"/>
            </w:pPr>
          </w:p>
        </w:tc>
      </w:tr>
    </w:tbl>
    <w:p>
      <w:pPr>
        <w:pStyle w:val="135"/>
        <w:framePr w:wrap="around" w:hAnchor="page" w:x="1289"/>
        <w:spacing w:line="360" w:lineRule="auto"/>
      </w:pPr>
      <w:bookmarkStart w:id="0"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bookmarkStart w:id="1"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bookmarkStart w:id="2"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p>
    <w:p>
      <w:pPr>
        <w:pStyle w:val="136"/>
        <w:framePr w:wrap="around" w:hAnchor="page" w:x="6595" w:y="14060"/>
        <w:spacing w:line="360" w:lineRule="auto"/>
      </w:pPr>
      <w:bookmarkStart w:id="3"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实施</w:t>
      </w:r>
    </w:p>
    <w:p>
      <w:pPr>
        <w:pStyle w:val="78"/>
        <w:framePr w:w="10856" w:wrap="around" w:x="506" w:y="14656"/>
        <w:spacing w:line="0" w:lineRule="atLeast"/>
        <w:ind w:firstLine="433" w:firstLineChars="100"/>
        <w:rPr>
          <w:rStyle w:val="77"/>
          <w:spacing w:val="0"/>
        </w:rPr>
      </w:pPr>
      <w:r>
        <w:rPr>
          <w:rFonts w:hint="eastAsia"/>
          <w:spacing w:val="0"/>
          <w:sz w:val="32"/>
        </w:rPr>
        <w:t>国家市场监督管理总局</w:t>
      </w:r>
    </w:p>
    <w:p>
      <w:pPr>
        <w:framePr w:w="10856" w:wrap="around" w:vAnchor="margin" w:hAnchor="text" w:x="506" w:y="14656"/>
        <w:spacing w:line="0" w:lineRule="atLeast"/>
        <w:ind w:firstLine="1813" w:firstLineChars="400"/>
      </w:pPr>
      <w:r>
        <w:rPr>
          <w:rFonts w:hint="eastAsia"/>
          <w:b/>
          <w:spacing w:val="10"/>
          <w:w w:val="135"/>
          <w:sz w:val="32"/>
        </w:rPr>
        <w:t>中国国家标准化管理委员会</w:t>
      </w:r>
      <w:r>
        <w:rPr>
          <w:rFonts w:hint="eastAsia"/>
          <w:b/>
          <w:sz w:val="32"/>
        </w:rPr>
        <w:t xml:space="preserve"> </w:t>
      </w:r>
      <w:r>
        <w:rPr>
          <w:rStyle w:val="77"/>
          <w:rFonts w:hint="eastAsia"/>
          <w:position w:val="18"/>
          <w:sz w:val="32"/>
        </w:rPr>
        <w:t>发布</w:t>
      </w:r>
    </w:p>
    <w:p>
      <w:pPr>
        <w:framePr w:w="10856" w:h="1134" w:hRule="exact" w:hSpace="125" w:vSpace="181" w:wrap="around" w:vAnchor="page" w:hAnchor="page" w:x="459" w:y="15705" w:anchorLock="1"/>
        <w:spacing w:line="360" w:lineRule="auto"/>
        <w:rPr>
          <w:rFonts w:ascii="宋体" w:hAnsi="宋体"/>
          <w:b/>
          <w:bCs/>
          <w:spacing w:val="10"/>
          <w:sz w:val="32"/>
          <w:szCs w:val="32"/>
        </w:rPr>
      </w:pPr>
    </w:p>
    <w:p>
      <w:pPr>
        <w:framePr w:w="10856" w:h="1134" w:hRule="exact" w:hSpace="125" w:vSpace="181" w:wrap="around" w:vAnchor="page" w:hAnchor="page" w:x="459" w:y="15705" w:anchorLock="1"/>
        <w:spacing w:line="360" w:lineRule="auto"/>
      </w:pPr>
    </w:p>
    <w:p>
      <w:pPr>
        <w:pStyle w:val="27"/>
        <w:spacing w:line="360" w:lineRule="auto"/>
        <w:sectPr>
          <w:headerReference r:id="rId3" w:type="default"/>
          <w:headerReference r:id="rId4" w:type="even"/>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2068830</wp:posOffset>
                </wp:positionV>
                <wp:extent cx="6120130" cy="0"/>
                <wp:effectExtent l="0" t="9525" r="13970" b="9525"/>
                <wp:wrapNone/>
                <wp:docPr id="2" name="直线 5"/>
                <wp:cNvGraphicFramePr/>
                <a:graphic xmlns:a="http://schemas.openxmlformats.org/drawingml/2006/main">
                  <a:graphicData uri="http://schemas.microsoft.com/office/word/2010/wordprocessingShape">
                    <wps:wsp>
                      <wps:cNvCnPr/>
                      <wps:spPr>
                        <a:xfrm>
                          <a:off x="0" y="0"/>
                          <a:ext cx="612013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05pt;margin-top:162.9pt;height:0pt;width:481.9pt;z-index:251659264;mso-width-relative:page;mso-height-relative:page;" filled="f" stroked="t" coordsize="21600,21600" o:gfxdata="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PfGd1gAAAAkBAAAPAAAA&#10;AAAAAAEAIAAAACIAAABkcnMvZG93bnJldi54bWxQSwECFAAUAAAACACHTuJAO4rdyd4BAADQAwAA&#10;DgAAAAAAAAABACAAAAAlAQAAZHJzL2Uyb0RvYy54bWxQSwUGAAAAAAYABgBZAQAAdQUAAAAA&#10;">
                <v:fill on="f" focussize="0,0"/>
                <v:stroke weight="1.5pt" color="#000000" joinstyle="round"/>
                <v:imagedata o:title=""/>
                <o:lock v:ext="edit" aspectratio="f"/>
              </v:line>
            </w:pict>
          </mc:Fallback>
        </mc:AlternateContent>
      </w:r>
    </w:p>
    <w:sdt>
      <w:sdtPr>
        <w:rPr>
          <w:rFonts w:hint="eastAsia" w:ascii="黑体" w:hAnsi="黑体" w:eastAsia="黑体" w:cs="黑体"/>
          <w:color w:val="auto"/>
          <w:kern w:val="2"/>
          <w:sz w:val="21"/>
          <w:szCs w:val="24"/>
          <w:lang w:val="zh-CN"/>
        </w:rPr>
        <w:id w:val="2006695598"/>
        <w:docPartObj>
          <w:docPartGallery w:val="Table of Contents"/>
          <w:docPartUnique/>
        </w:docPartObj>
      </w:sdtPr>
      <w:sdtEndPr>
        <w:rPr>
          <w:rFonts w:hint="eastAsia" w:ascii="Times New Roman" w:hAnsi="Times New Roman" w:eastAsia="宋体" w:cs="Times New Roman"/>
          <w:color w:val="auto"/>
          <w:kern w:val="2"/>
          <w:sz w:val="21"/>
          <w:szCs w:val="24"/>
          <w:lang w:val="zh-CN"/>
        </w:rPr>
      </w:sdtEndPr>
      <w:sdtContent>
        <w:p>
          <w:pPr>
            <w:pStyle w:val="181"/>
            <w:spacing w:before="0" w:line="360" w:lineRule="auto"/>
            <w:jc w:val="center"/>
            <w:rPr>
              <w:rFonts w:hint="eastAsia" w:ascii="黑体" w:hAnsi="黑体" w:eastAsia="黑体" w:cs="黑体"/>
              <w:color w:val="auto"/>
              <w:lang w:val="zh-CN"/>
            </w:rPr>
          </w:pPr>
          <w:r>
            <w:rPr>
              <w:rFonts w:hint="eastAsia" w:ascii="黑体" w:hAnsi="黑体" w:eastAsia="黑体" w:cs="黑体"/>
              <w:color w:val="auto"/>
              <w:lang w:val="zh-CN"/>
            </w:rPr>
            <w:t>目</w:t>
          </w:r>
          <w:r>
            <w:rPr>
              <w:rFonts w:hint="eastAsia" w:ascii="黑体" w:hAnsi="黑体" w:eastAsia="黑体" w:cs="黑体"/>
              <w:color w:val="auto"/>
            </w:rPr>
            <w:t xml:space="preserve">  </w:t>
          </w:r>
          <w:r>
            <w:rPr>
              <w:rFonts w:hint="eastAsia" w:ascii="黑体" w:hAnsi="黑体" w:eastAsia="黑体" w:cs="黑体"/>
              <w:color w:val="auto"/>
              <w:lang w:val="zh-CN"/>
            </w:rPr>
            <w:t>录</w:t>
          </w:r>
        </w:p>
        <w:p/>
        <w:p>
          <w:pPr>
            <w:pStyle w:val="23"/>
            <w:tabs>
              <w:tab w:val="right" w:leader="dot" w:pos="9354"/>
            </w:tabs>
            <w:spacing w:before="0" w:after="0" w:line="360" w:lineRule="auto"/>
            <w:rPr>
              <w:rFonts w:ascii="宋体" w:hAnsi="宋体" w:eastAsia="宋体" w:cs="宋体"/>
              <w:b w:val="0"/>
              <w:bCs w:val="0"/>
              <w:sz w:val="21"/>
              <w:szCs w:val="21"/>
            </w:rPr>
          </w:pPr>
          <w:r>
            <w:rPr>
              <w:rFonts w:hint="eastAsia" w:ascii="黑体" w:hAnsi="黑体" w:eastAsia="黑体" w:cs="黑体"/>
              <w:b w:val="0"/>
              <w:bCs w:val="0"/>
              <w:caps w:val="0"/>
            </w:rPr>
            <w:fldChar w:fldCharType="begin"/>
          </w:r>
          <w:r>
            <w:rPr>
              <w:rFonts w:hint="eastAsia" w:ascii="黑体" w:hAnsi="黑体" w:eastAsia="黑体" w:cs="黑体"/>
              <w:b w:val="0"/>
              <w:bCs w:val="0"/>
              <w:caps w:val="0"/>
            </w:rPr>
            <w:instrText xml:space="preserve"> TOC \o "1-3" \h \z \u </w:instrText>
          </w:r>
          <w:r>
            <w:rPr>
              <w:rFonts w:hint="eastAsia" w:ascii="黑体" w:hAnsi="黑体" w:eastAsia="黑体" w:cs="黑体"/>
              <w:b w:val="0"/>
              <w:bCs w:val="0"/>
              <w:caps w:val="0"/>
            </w:rPr>
            <w:fldChar w:fldCharType="separate"/>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_Toc32397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前</w:t>
          </w:r>
          <w:r>
            <w:rPr>
              <w:rFonts w:ascii="宋体" w:hAnsi="宋体" w:eastAsia="宋体" w:cs="宋体"/>
              <w:b w:val="0"/>
              <w:bCs w:val="0"/>
              <w:sz w:val="21"/>
              <w:szCs w:val="21"/>
            </w:rPr>
            <w:t xml:space="preserve">  </w:t>
          </w:r>
          <w:r>
            <w:rPr>
              <w:rFonts w:hint="eastAsia" w:ascii="宋体" w:hAnsi="宋体" w:eastAsia="宋体" w:cs="宋体"/>
              <w:b w:val="0"/>
              <w:bCs w:val="0"/>
              <w:sz w:val="21"/>
              <w:szCs w:val="21"/>
            </w:rPr>
            <w:t>言</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_Toc32397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I</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_Toc12267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1  </w:t>
          </w:r>
          <w:r>
            <w:rPr>
              <w:rFonts w:hint="eastAsia" w:ascii="宋体" w:hAnsi="宋体" w:eastAsia="宋体" w:cs="宋体"/>
              <w:b w:val="0"/>
              <w:bCs w:val="0"/>
              <w:kern w:val="0"/>
              <w:sz w:val="21"/>
              <w:szCs w:val="22"/>
              <w:lang w:val="zh-CN"/>
            </w:rPr>
            <w:t>范围</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_Toc12267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_Toc15537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2  </w:t>
          </w:r>
          <w:r>
            <w:rPr>
              <w:rFonts w:hint="eastAsia" w:ascii="宋体" w:hAnsi="宋体" w:eastAsia="宋体" w:cs="宋体"/>
              <w:b w:val="0"/>
              <w:bCs w:val="0"/>
              <w:kern w:val="0"/>
              <w:sz w:val="21"/>
              <w:szCs w:val="22"/>
              <w:lang w:val="zh-CN"/>
            </w:rPr>
            <w:t>规范性引用文件</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_Toc15537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_Toc23922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3  </w:t>
          </w:r>
          <w:r>
            <w:rPr>
              <w:rFonts w:hint="eastAsia" w:ascii="宋体" w:hAnsi="宋体" w:eastAsia="宋体" w:cs="宋体"/>
              <w:b w:val="0"/>
              <w:bCs w:val="0"/>
              <w:kern w:val="0"/>
              <w:sz w:val="21"/>
              <w:szCs w:val="22"/>
              <w:lang w:val="zh-CN"/>
            </w:rPr>
            <w:t>试验设备</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_Toc23922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1</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_Toc26851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 xml:space="preserve">3.1 </w:t>
          </w:r>
          <w:r>
            <w:rPr>
              <w:rFonts w:hint="eastAsia" w:ascii="宋体" w:hAnsi="宋体" w:eastAsia="宋体" w:cs="宋体"/>
              <w:kern w:val="0"/>
              <w:sz w:val="21"/>
              <w:szCs w:val="22"/>
              <w:lang w:val="zh-CN"/>
            </w:rPr>
            <w:t>设备材料</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_Toc26851 \h </w:instrText>
          </w:r>
          <w:r>
            <w:rPr>
              <w:rFonts w:hint="eastAsia" w:ascii="宋体" w:hAnsi="宋体" w:eastAsia="宋体" w:cs="宋体"/>
              <w:sz w:val="21"/>
              <w:szCs w:val="21"/>
            </w:rPr>
            <w:fldChar w:fldCharType="separate"/>
          </w:r>
          <w:r>
            <w:rPr>
              <w:rFonts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_Toc29859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 xml:space="preserve">3.2 </w:t>
          </w:r>
          <w:r>
            <w:rPr>
              <w:rFonts w:hint="eastAsia" w:ascii="宋体" w:hAnsi="宋体" w:eastAsia="宋体" w:cs="宋体"/>
              <w:kern w:val="0"/>
              <w:sz w:val="21"/>
              <w:szCs w:val="22"/>
              <w:lang w:val="zh-CN"/>
            </w:rPr>
            <w:t>普通恒定湿热试验箱</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_Toc29859 \h </w:instrText>
          </w:r>
          <w:r>
            <w:rPr>
              <w:rFonts w:hint="eastAsia" w:ascii="宋体" w:hAnsi="宋体" w:eastAsia="宋体" w:cs="宋体"/>
              <w:sz w:val="21"/>
              <w:szCs w:val="21"/>
            </w:rPr>
            <w:fldChar w:fldCharType="separate"/>
          </w:r>
          <w:r>
            <w:rPr>
              <w:rFonts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_Toc8600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 xml:space="preserve">3.3 </w:t>
          </w:r>
          <w:r>
            <w:rPr>
              <w:rFonts w:hint="eastAsia" w:ascii="宋体" w:hAnsi="宋体" w:eastAsia="宋体" w:cs="宋体"/>
              <w:kern w:val="0"/>
              <w:sz w:val="21"/>
              <w:szCs w:val="22"/>
              <w:lang w:val="zh-CN"/>
            </w:rPr>
            <w:t>高压蒸汽恒定湿热试验箱</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_Toc8600 \h </w:instrText>
          </w:r>
          <w:r>
            <w:rPr>
              <w:rFonts w:hint="eastAsia" w:ascii="宋体" w:hAnsi="宋体" w:eastAsia="宋体" w:cs="宋体"/>
              <w:sz w:val="21"/>
              <w:szCs w:val="21"/>
            </w:rPr>
            <w:fldChar w:fldCharType="separate"/>
          </w:r>
          <w:r>
            <w:rPr>
              <w:rFonts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_Toc23244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4  </w:t>
          </w:r>
          <w:r>
            <w:rPr>
              <w:rFonts w:hint="eastAsia" w:ascii="宋体" w:hAnsi="宋体" w:eastAsia="宋体" w:cs="宋体"/>
              <w:b w:val="0"/>
              <w:bCs w:val="0"/>
              <w:kern w:val="0"/>
              <w:sz w:val="21"/>
              <w:szCs w:val="22"/>
              <w:lang w:val="zh-CN"/>
            </w:rPr>
            <w:t>试验用水</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_Toc23244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2</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_Toc7401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5  </w:t>
          </w:r>
          <w:r>
            <w:rPr>
              <w:rFonts w:hint="eastAsia" w:ascii="宋体" w:hAnsi="宋体" w:eastAsia="宋体" w:cs="宋体"/>
              <w:b w:val="0"/>
              <w:bCs w:val="0"/>
              <w:kern w:val="0"/>
              <w:sz w:val="21"/>
              <w:szCs w:val="22"/>
              <w:lang w:val="zh-CN"/>
            </w:rPr>
            <w:t>试验条件</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_Toc7401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3</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_Toc17306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6  </w:t>
          </w:r>
          <w:r>
            <w:rPr>
              <w:rFonts w:hint="eastAsia" w:ascii="宋体" w:hAnsi="宋体" w:eastAsia="宋体" w:cs="宋体"/>
              <w:b w:val="0"/>
              <w:bCs w:val="0"/>
              <w:kern w:val="0"/>
              <w:sz w:val="21"/>
              <w:szCs w:val="22"/>
              <w:lang w:val="zh-CN"/>
            </w:rPr>
            <w:t>样品</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_Toc17306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4</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_Toc9692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7  </w:t>
          </w:r>
          <w:r>
            <w:rPr>
              <w:rFonts w:hint="eastAsia" w:ascii="宋体" w:hAnsi="宋体" w:eastAsia="宋体" w:cs="宋体"/>
              <w:b w:val="0"/>
              <w:bCs w:val="0"/>
              <w:kern w:val="0"/>
              <w:sz w:val="21"/>
              <w:szCs w:val="22"/>
              <w:lang w:val="zh-CN"/>
            </w:rPr>
            <w:t>样品框</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_Toc9692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4</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_Toc25540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8  </w:t>
          </w:r>
          <w:r>
            <w:rPr>
              <w:rFonts w:hint="eastAsia" w:ascii="宋体" w:hAnsi="宋体" w:eastAsia="宋体" w:cs="宋体"/>
              <w:b w:val="0"/>
              <w:bCs w:val="0"/>
              <w:kern w:val="0"/>
              <w:sz w:val="21"/>
              <w:szCs w:val="22"/>
              <w:lang w:val="zh-CN"/>
            </w:rPr>
            <w:t>试验前检测</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_Toc25540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4</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_Toc1268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9  </w:t>
          </w:r>
          <w:r>
            <w:rPr>
              <w:rFonts w:hint="eastAsia" w:ascii="宋体" w:hAnsi="宋体" w:eastAsia="宋体" w:cs="宋体"/>
              <w:b w:val="0"/>
              <w:bCs w:val="0"/>
              <w:kern w:val="0"/>
              <w:sz w:val="21"/>
              <w:szCs w:val="22"/>
              <w:lang w:val="zh-CN"/>
            </w:rPr>
            <w:t>试验过程要求</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_Toc1268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5</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_Toc13788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10  </w:t>
          </w:r>
          <w:r>
            <w:rPr>
              <w:rFonts w:hint="eastAsia" w:ascii="宋体" w:hAnsi="宋体" w:eastAsia="宋体" w:cs="宋体"/>
              <w:b w:val="0"/>
              <w:bCs w:val="0"/>
              <w:kern w:val="0"/>
              <w:sz w:val="21"/>
              <w:szCs w:val="22"/>
              <w:lang w:val="zh-CN"/>
            </w:rPr>
            <w:t>试验后检测</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_Toc13788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5</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_Toc13866 </w:instrText>
          </w:r>
          <w:r>
            <w:rPr>
              <w:rFonts w:hint="eastAsia" w:ascii="宋体" w:hAnsi="宋体" w:eastAsia="宋体" w:cs="宋体"/>
              <w:b w:val="0"/>
              <w:bCs w:val="0"/>
              <w:sz w:val="21"/>
              <w:szCs w:val="21"/>
            </w:rPr>
            <w:fldChar w:fldCharType="separate"/>
          </w:r>
          <w:r>
            <w:rPr>
              <w:rFonts w:ascii="宋体" w:hAnsi="宋体" w:eastAsia="宋体" w:cs="宋体"/>
              <w:b w:val="0"/>
              <w:bCs w:val="0"/>
              <w:kern w:val="0"/>
              <w:sz w:val="21"/>
              <w:szCs w:val="22"/>
              <w:lang w:val="zh-CN"/>
            </w:rPr>
            <w:t xml:space="preserve">11  </w:t>
          </w:r>
          <w:r>
            <w:rPr>
              <w:rFonts w:hint="eastAsia" w:ascii="宋体" w:hAnsi="宋体" w:eastAsia="宋体" w:cs="宋体"/>
              <w:b w:val="0"/>
              <w:bCs w:val="0"/>
              <w:kern w:val="0"/>
              <w:sz w:val="21"/>
              <w:szCs w:val="22"/>
              <w:lang w:val="zh-CN"/>
            </w:rPr>
            <w:t>试验报告</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_Toc13866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7</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23"/>
            <w:tabs>
              <w:tab w:val="right" w:leader="dot" w:pos="9354"/>
            </w:tabs>
            <w:spacing w:before="0" w:after="0" w:line="360" w:lineRule="auto"/>
            <w:rPr>
              <w:rFonts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HYPERLINK \l _Toc19171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kern w:val="0"/>
              <w:sz w:val="21"/>
              <w:szCs w:val="22"/>
              <w:lang w:val="zh-CN"/>
            </w:rPr>
            <w:t>附录</w:t>
          </w:r>
          <w:r>
            <w:rPr>
              <w:rFonts w:ascii="宋体" w:hAnsi="宋体" w:eastAsia="宋体" w:cs="宋体"/>
              <w:b w:val="0"/>
              <w:bCs w:val="0"/>
              <w:kern w:val="0"/>
              <w:sz w:val="21"/>
              <w:szCs w:val="22"/>
              <w:lang w:val="zh-CN"/>
            </w:rPr>
            <w:t>A</w:t>
          </w:r>
          <w:r>
            <w:rPr>
              <w:rFonts w:ascii="宋体" w:hAnsi="宋体" w:eastAsia="宋体" w:cs="宋体"/>
              <w:b w:val="0"/>
              <w:bCs w:val="0"/>
              <w:kern w:val="0"/>
              <w:sz w:val="21"/>
              <w:szCs w:val="22"/>
            </w:rPr>
            <w:t xml:space="preserve"> </w:t>
          </w:r>
          <w:r>
            <w:rPr>
              <w:rFonts w:hint="eastAsia" w:ascii="宋体" w:hAnsi="宋体" w:eastAsia="宋体" w:cs="宋体"/>
              <w:b w:val="0"/>
              <w:bCs w:val="0"/>
              <w:kern w:val="0"/>
              <w:sz w:val="21"/>
              <w:szCs w:val="22"/>
              <w:lang w:val="zh-CN"/>
            </w:rPr>
            <w:t>（资料性）</w:t>
          </w:r>
          <w:r>
            <w:rPr>
              <w:rFonts w:ascii="宋体" w:hAnsi="宋体" w:eastAsia="宋体" w:cs="宋体"/>
              <w:b w:val="0"/>
              <w:bCs w:val="0"/>
              <w:kern w:val="0"/>
              <w:sz w:val="21"/>
              <w:szCs w:val="22"/>
              <w:lang w:val="zh-CN"/>
            </w:rPr>
            <w:t xml:space="preserve"> </w:t>
          </w:r>
          <w:r>
            <w:rPr>
              <w:rFonts w:hint="eastAsia" w:ascii="宋体" w:hAnsi="宋体" w:eastAsia="宋体" w:cs="宋体"/>
              <w:b w:val="0"/>
              <w:bCs w:val="0"/>
              <w:kern w:val="0"/>
              <w:sz w:val="21"/>
              <w:szCs w:val="22"/>
              <w:lang w:val="zh-CN"/>
            </w:rPr>
            <w:t>普通恒定湿热试验过程中如何升温可避免样品上产生凝露</w:t>
          </w:r>
          <w:r>
            <w:rPr>
              <w:rFonts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ascii="宋体" w:hAnsi="宋体" w:eastAsia="宋体" w:cs="宋体"/>
              <w:b w:val="0"/>
              <w:bCs w:val="0"/>
              <w:sz w:val="21"/>
              <w:szCs w:val="21"/>
            </w:rPr>
            <w:instrText xml:space="preserve"> PAGEREF _Toc19171 \h </w:instrText>
          </w:r>
          <w:r>
            <w:rPr>
              <w:rFonts w:hint="eastAsia" w:ascii="宋体" w:hAnsi="宋体" w:eastAsia="宋体" w:cs="宋体"/>
              <w:b w:val="0"/>
              <w:bCs w:val="0"/>
              <w:sz w:val="21"/>
              <w:szCs w:val="21"/>
            </w:rPr>
            <w:fldChar w:fldCharType="separate"/>
          </w:r>
          <w:r>
            <w:rPr>
              <w:rFonts w:ascii="宋体" w:hAnsi="宋体" w:eastAsia="宋体" w:cs="宋体"/>
              <w:b w:val="0"/>
              <w:bCs w:val="0"/>
              <w:sz w:val="21"/>
              <w:szCs w:val="21"/>
            </w:rPr>
            <w:t>8</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_Toc8122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A</w:t>
          </w:r>
          <w:r>
            <w:rPr>
              <w:rFonts w:ascii="宋体" w:hAnsi="宋体" w:eastAsia="宋体" w:cs="宋体"/>
              <w:kern w:val="0"/>
              <w:sz w:val="21"/>
              <w:szCs w:val="22"/>
            </w:rPr>
            <w:t>.</w:t>
          </w:r>
          <w:r>
            <w:rPr>
              <w:rFonts w:ascii="宋体" w:hAnsi="宋体" w:eastAsia="宋体" w:cs="宋体"/>
              <w:kern w:val="0"/>
              <w:sz w:val="21"/>
              <w:szCs w:val="22"/>
              <w:lang w:val="zh-CN"/>
            </w:rPr>
            <w:t xml:space="preserve">1 </w:t>
          </w:r>
          <w:r>
            <w:rPr>
              <w:rFonts w:hint="eastAsia" w:ascii="宋体" w:hAnsi="宋体" w:eastAsia="宋体" w:cs="宋体"/>
              <w:kern w:val="0"/>
              <w:sz w:val="21"/>
              <w:szCs w:val="22"/>
              <w:lang w:val="zh-CN"/>
            </w:rPr>
            <w:t>恒定湿热相关标准中对样品上是否产生凝露的不同要求</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_Toc8122 \h </w:instrText>
          </w:r>
          <w:r>
            <w:rPr>
              <w:rFonts w:hint="eastAsia" w:ascii="宋体" w:hAnsi="宋体" w:eastAsia="宋体" w:cs="宋体"/>
              <w:sz w:val="21"/>
              <w:szCs w:val="21"/>
            </w:rPr>
            <w:fldChar w:fldCharType="separate"/>
          </w:r>
          <w:r>
            <w:rPr>
              <w:rFonts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_Toc11355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 xml:space="preserve">A.2 </w:t>
          </w:r>
          <w:r>
            <w:rPr>
              <w:rFonts w:hint="eastAsia" w:ascii="宋体" w:hAnsi="宋体" w:eastAsia="宋体" w:cs="宋体"/>
              <w:kern w:val="0"/>
              <w:sz w:val="21"/>
              <w:szCs w:val="22"/>
              <w:lang w:val="zh-CN"/>
            </w:rPr>
            <w:t>普通恒定湿热试验标准对升降温控制方式的有关规定</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_Toc11355 \h </w:instrText>
          </w:r>
          <w:r>
            <w:rPr>
              <w:rFonts w:hint="eastAsia" w:ascii="宋体" w:hAnsi="宋体" w:eastAsia="宋体" w:cs="宋体"/>
              <w:sz w:val="21"/>
              <w:szCs w:val="21"/>
            </w:rPr>
            <w:fldChar w:fldCharType="separate"/>
          </w:r>
          <w:r>
            <w:rPr>
              <w:rFonts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_Toc22646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 xml:space="preserve">A.3 </w:t>
          </w:r>
          <w:r>
            <w:rPr>
              <w:rFonts w:hint="eastAsia" w:ascii="宋体" w:hAnsi="宋体" w:eastAsia="宋体" w:cs="宋体"/>
              <w:kern w:val="0"/>
              <w:sz w:val="21"/>
              <w:szCs w:val="22"/>
              <w:lang w:val="zh-CN"/>
            </w:rPr>
            <w:t>恒定湿热试验中样品表面出现凝露现象的原因分析</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_Toc22646 \h </w:instrText>
          </w:r>
          <w:r>
            <w:rPr>
              <w:rFonts w:hint="eastAsia" w:ascii="宋体" w:hAnsi="宋体" w:eastAsia="宋体" w:cs="宋体"/>
              <w:sz w:val="21"/>
              <w:szCs w:val="21"/>
            </w:rPr>
            <w:fldChar w:fldCharType="separate"/>
          </w:r>
          <w:r>
            <w:rPr>
              <w:rFonts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pStyle w:val="32"/>
            <w:tabs>
              <w:tab w:val="right" w:leader="dot" w:pos="9354"/>
            </w:tabs>
            <w:spacing w:line="360" w:lineRule="auto"/>
            <w:rPr>
              <w:rFonts w:ascii="宋体" w:hAnsi="宋体" w:eastAsia="宋体" w:cs="宋体"/>
              <w:sz w:val="21"/>
              <w:szCs w:val="21"/>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_Toc17374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 xml:space="preserve">A.4 </w:t>
          </w:r>
          <w:r>
            <w:rPr>
              <w:rFonts w:hint="eastAsia" w:ascii="宋体" w:hAnsi="宋体" w:eastAsia="宋体" w:cs="宋体"/>
              <w:kern w:val="0"/>
              <w:sz w:val="21"/>
              <w:szCs w:val="22"/>
              <w:lang w:val="zh-CN"/>
            </w:rPr>
            <w:t>试验数据</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_Toc17374 \h </w:instrText>
          </w:r>
          <w:r>
            <w:rPr>
              <w:rFonts w:hint="eastAsia" w:ascii="宋体" w:hAnsi="宋体" w:eastAsia="宋体" w:cs="宋体"/>
              <w:sz w:val="21"/>
              <w:szCs w:val="21"/>
            </w:rPr>
            <w:fldChar w:fldCharType="separate"/>
          </w:r>
          <w:r>
            <w:rPr>
              <w:rFonts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pStyle w:val="32"/>
            <w:tabs>
              <w:tab w:val="right" w:leader="dot" w:pos="9354"/>
            </w:tabs>
            <w:spacing w:line="360" w:lineRule="auto"/>
            <w:rPr>
              <w:rFonts w:ascii="黑体" w:hAnsi="黑体" w:eastAsia="黑体" w:cs="黑体"/>
            </w:rPr>
          </w:pPr>
          <w:r>
            <w:rPr>
              <w:rFonts w:hint="eastAsia" w:ascii="宋体" w:hAnsi="宋体" w:eastAsia="宋体" w:cs="宋体"/>
              <w:caps/>
              <w:sz w:val="21"/>
              <w:szCs w:val="21"/>
            </w:rPr>
            <w:fldChar w:fldCharType="begin"/>
          </w:r>
          <w:r>
            <w:rPr>
              <w:rFonts w:ascii="宋体" w:hAnsi="宋体" w:eastAsia="宋体" w:cs="宋体"/>
              <w:caps/>
              <w:sz w:val="21"/>
              <w:szCs w:val="21"/>
            </w:rPr>
            <w:instrText xml:space="preserve"> HYPERLINK \l _Toc16752 </w:instrText>
          </w:r>
          <w:r>
            <w:rPr>
              <w:rFonts w:hint="eastAsia" w:ascii="宋体" w:hAnsi="宋体" w:eastAsia="宋体" w:cs="宋体"/>
              <w:caps/>
              <w:sz w:val="21"/>
              <w:szCs w:val="21"/>
            </w:rPr>
            <w:fldChar w:fldCharType="separate"/>
          </w:r>
          <w:r>
            <w:rPr>
              <w:rFonts w:ascii="宋体" w:hAnsi="宋体" w:eastAsia="宋体" w:cs="宋体"/>
              <w:kern w:val="0"/>
              <w:sz w:val="21"/>
              <w:szCs w:val="22"/>
              <w:lang w:val="zh-CN"/>
            </w:rPr>
            <w:t>A.5 结论</w:t>
          </w:r>
          <w:r>
            <w:rPr>
              <w:rFonts w:ascii="宋体" w:hAnsi="宋体" w:eastAsia="宋体" w:cs="宋体"/>
              <w:sz w:val="21"/>
              <w:szCs w:val="21"/>
            </w:rPr>
            <w:tab/>
          </w:r>
          <w:r>
            <w:rPr>
              <w:rFonts w:hint="eastAsia" w:ascii="宋体" w:hAnsi="宋体" w:eastAsia="宋体" w:cs="宋体"/>
              <w:sz w:val="21"/>
              <w:szCs w:val="21"/>
            </w:rPr>
            <w:fldChar w:fldCharType="begin"/>
          </w:r>
          <w:r>
            <w:rPr>
              <w:rFonts w:ascii="宋体" w:hAnsi="宋体" w:eastAsia="宋体" w:cs="宋体"/>
              <w:sz w:val="21"/>
              <w:szCs w:val="21"/>
            </w:rPr>
            <w:instrText xml:space="preserve"> PAGEREF _Toc16752 \h </w:instrText>
          </w:r>
          <w:r>
            <w:rPr>
              <w:rFonts w:hint="eastAsia" w:ascii="宋体" w:hAnsi="宋体" w:eastAsia="宋体" w:cs="宋体"/>
              <w:sz w:val="21"/>
              <w:szCs w:val="21"/>
            </w:rPr>
            <w:fldChar w:fldCharType="separate"/>
          </w:r>
          <w:r>
            <w:rPr>
              <w:rFonts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caps/>
              <w:sz w:val="21"/>
              <w:szCs w:val="21"/>
            </w:rPr>
            <w:fldChar w:fldCharType="end"/>
          </w:r>
        </w:p>
        <w:p>
          <w:pPr>
            <w:spacing w:line="360" w:lineRule="auto"/>
          </w:pPr>
          <w:r>
            <w:rPr>
              <w:rFonts w:hint="eastAsia" w:ascii="黑体" w:hAnsi="黑体" w:eastAsia="黑体" w:cs="黑体"/>
              <w:caps/>
              <w:sz w:val="20"/>
              <w:szCs w:val="20"/>
            </w:rPr>
            <w:fldChar w:fldCharType="end"/>
          </w:r>
        </w:p>
      </w:sdtContent>
    </w:sdt>
    <w:p>
      <w:pPr>
        <w:pStyle w:val="116"/>
        <w:spacing w:before="0" w:line="360" w:lineRule="auto"/>
        <w:rPr>
          <w:rFonts w:hint="eastAsia"/>
        </w:rPr>
        <w:sectPr>
          <w:headerReference r:id="rId5" w:type="default"/>
          <w:footerReference r:id="rId7" w:type="default"/>
          <w:headerReference r:id="rId6" w:type="even"/>
          <w:footerReference r:id="rId8" w:type="even"/>
          <w:pgSz w:w="11906" w:h="16838"/>
          <w:pgMar w:top="567" w:right="1134" w:bottom="1134" w:left="1418" w:header="1418" w:footer="1134" w:gutter="0"/>
          <w:pgNumType w:fmt="upperRoman" w:start="1"/>
          <w:cols w:space="425" w:num="1"/>
          <w:formProt w:val="0"/>
          <w:docGrid w:type="lines" w:linePitch="312" w:charSpace="0"/>
        </w:sectPr>
      </w:pPr>
    </w:p>
    <w:p>
      <w:pPr>
        <w:pStyle w:val="116"/>
        <w:spacing w:before="0" w:line="360" w:lineRule="auto"/>
      </w:pPr>
      <w:r>
        <w:rPr>
          <w:rFonts w:hint="eastAsia"/>
        </w:rPr>
        <w:t xml:space="preserve"> </w:t>
      </w:r>
      <w:bookmarkStart w:id="6" w:name="_Toc32397"/>
      <w:bookmarkStart w:id="7" w:name="_Toc24227"/>
      <w:bookmarkStart w:id="8" w:name="_Toc22246"/>
      <w:bookmarkStart w:id="9" w:name="_Toc12542"/>
      <w:bookmarkStart w:id="10" w:name="_Toc109033098"/>
      <w:bookmarkStart w:id="11" w:name="_Toc27345"/>
      <w:bookmarkStart w:id="12" w:name="_Toc29827"/>
      <w:bookmarkStart w:id="13" w:name="_Toc24795"/>
      <w:bookmarkStart w:id="14" w:name="_Toc16633"/>
      <w:r>
        <w:rPr>
          <w:rFonts w:hint="eastAsia"/>
        </w:rPr>
        <w:t>前</w:t>
      </w:r>
      <w:bookmarkStart w:id="15" w:name="BKQY"/>
      <w:r>
        <w:rPr>
          <w:rFonts w:hint="eastAsia" w:ascii="Cambria Math" w:hAnsi="Cambria Math" w:cs="Cambria Math"/>
        </w:rPr>
        <w:t xml:space="preserve">  </w:t>
      </w:r>
      <w:r>
        <w:rPr>
          <w:rFonts w:hint="eastAsia"/>
        </w:rPr>
        <w:t>言</w:t>
      </w:r>
      <w:bookmarkEnd w:id="6"/>
      <w:bookmarkEnd w:id="7"/>
      <w:bookmarkEnd w:id="8"/>
      <w:bookmarkEnd w:id="9"/>
      <w:bookmarkEnd w:id="10"/>
      <w:bookmarkEnd w:id="11"/>
      <w:bookmarkEnd w:id="12"/>
      <w:bookmarkEnd w:id="13"/>
      <w:bookmarkEnd w:id="14"/>
      <w:bookmarkEnd w:id="15"/>
    </w:p>
    <w:p>
      <w:pPr>
        <w:widowControl/>
        <w:tabs>
          <w:tab w:val="center" w:pos="4201"/>
          <w:tab w:val="right" w:leader="dot" w:pos="9298"/>
        </w:tabs>
        <w:autoSpaceDE w:val="0"/>
        <w:autoSpaceDN w:val="0"/>
        <w:spacing w:line="360" w:lineRule="auto"/>
        <w:ind w:firstLine="424" w:firstLineChars="202"/>
        <w:rPr>
          <w:rFonts w:ascii="宋体" w:hAnsi="宋体" w:cs="宋体"/>
          <w:kern w:val="0"/>
          <w:szCs w:val="21"/>
        </w:rPr>
      </w:pPr>
      <w:r>
        <w:rPr>
          <w:rFonts w:hint="eastAsia" w:ascii="宋体" w:hAnsi="宋体" w:cs="宋体"/>
          <w:kern w:val="0"/>
          <w:szCs w:val="21"/>
        </w:rPr>
        <w:t>本文件按照</w:t>
      </w:r>
      <w:r>
        <w:rPr>
          <w:rFonts w:hint="eastAsia" w:ascii="宋体" w:hAnsi="宋体" w:cs="宋体"/>
          <w:kern w:val="0"/>
          <w:sz w:val="18"/>
          <w:szCs w:val="18"/>
        </w:rPr>
        <w:t> </w:t>
      </w:r>
      <w:r>
        <w:rPr>
          <w:rFonts w:hint="eastAsia" w:ascii="宋体" w:hAnsi="宋体" w:cs="宋体"/>
          <w:kern w:val="0"/>
          <w:szCs w:val="21"/>
        </w:rPr>
        <w:t>GB/T 1.1—2020《标准化工作导则  第1部分：标准化文件的结构和起草规则》的规定起草。</w:t>
      </w:r>
    </w:p>
    <w:p>
      <w:pPr>
        <w:spacing w:line="360" w:lineRule="auto"/>
        <w:ind w:firstLine="424" w:firstLineChars="202"/>
        <w:rPr>
          <w:rFonts w:ascii="宋体" w:hAnsi="宋体" w:cs="宋体"/>
          <w:szCs w:val="21"/>
        </w:rPr>
      </w:pPr>
      <w:r>
        <w:rPr>
          <w:rFonts w:hint="eastAsia" w:ascii="宋体" w:hAnsi="宋体" w:cs="宋体"/>
          <w:szCs w:val="21"/>
        </w:rPr>
        <w:t>本文件由全国稀土标准化技术委员会（SAC/TC 229）提出并归口。</w:t>
      </w:r>
    </w:p>
    <w:p>
      <w:pPr>
        <w:spacing w:line="360" w:lineRule="auto"/>
        <w:ind w:firstLine="424" w:firstLineChars="202"/>
        <w:rPr>
          <w:rFonts w:ascii="宋体" w:hAnsi="宋体" w:cs="宋体"/>
          <w:szCs w:val="21"/>
        </w:rPr>
      </w:pPr>
      <w:r>
        <w:rPr>
          <w:rFonts w:hint="eastAsia" w:ascii="宋体" w:hAnsi="宋体" w:cs="宋体"/>
          <w:szCs w:val="21"/>
        </w:rPr>
        <w:t>本文件起草单位：宁波科宁达工业有限公司、北京中科三环高技术股份有限公司、天津三环乐喜新材料有限公司、XXX、XXX、XXX。</w:t>
      </w:r>
    </w:p>
    <w:p>
      <w:pPr>
        <w:spacing w:line="360" w:lineRule="auto"/>
        <w:ind w:firstLine="424" w:firstLineChars="202"/>
        <w:rPr>
          <w:rFonts w:ascii="宋体" w:hAnsi="宋体" w:cs="宋体"/>
          <w:szCs w:val="21"/>
        </w:rPr>
      </w:pPr>
      <w:r>
        <w:rPr>
          <w:rFonts w:hint="eastAsia" w:ascii="宋体" w:hAnsi="宋体" w:cs="宋体"/>
          <w:szCs w:val="21"/>
        </w:rPr>
        <w:t>本文件主要起草人：金国顺、曹朔豪、姚丽红、薛慧力、左季敏、姜兵、刘伍利、XXX、XXX、XXX。</w:t>
      </w:r>
    </w:p>
    <w:p>
      <w:pPr>
        <w:keepNext/>
        <w:pageBreakBefore/>
        <w:autoSpaceDE w:val="0"/>
        <w:autoSpaceDN w:val="0"/>
        <w:adjustRightInd w:val="0"/>
        <w:spacing w:before="640" w:after="560" w:line="360" w:lineRule="auto"/>
        <w:jc w:val="center"/>
        <w:rPr>
          <w:rFonts w:hint="eastAsia" w:ascii="黑体" w:eastAsia="黑体" w:cs="黑体"/>
          <w:kern w:val="0"/>
          <w:sz w:val="32"/>
          <w:szCs w:val="32"/>
          <w:highlight w:val="white"/>
          <w:lang w:val="zh-CN"/>
        </w:rPr>
        <w:sectPr>
          <w:headerReference r:id="rId9" w:type="default"/>
          <w:footerReference r:id="rId11" w:type="default"/>
          <w:headerReference r:id="rId10" w:type="even"/>
          <w:footerReference r:id="rId12" w:type="even"/>
          <w:pgSz w:w="11906" w:h="16838"/>
          <w:pgMar w:top="567" w:right="1134" w:bottom="1134" w:left="1418" w:header="1418" w:footer="1134" w:gutter="0"/>
          <w:pgNumType w:fmt="upperRoman" w:start="1"/>
          <w:cols w:space="425" w:num="1"/>
          <w:formProt w:val="0"/>
          <w:docGrid w:type="lines" w:linePitch="312" w:charSpace="0"/>
        </w:sectPr>
      </w:pPr>
    </w:p>
    <w:p>
      <w:pPr>
        <w:keepNext/>
        <w:pageBreakBefore w:val="0"/>
        <w:tabs>
          <w:tab w:val="left" w:pos="1017"/>
          <w:tab w:val="center" w:pos="4737"/>
        </w:tabs>
        <w:autoSpaceDE w:val="0"/>
        <w:autoSpaceDN w:val="0"/>
        <w:adjustRightInd w:val="0"/>
        <w:spacing w:before="1360" w:after="560" w:line="360" w:lineRule="auto"/>
        <w:jc w:val="left"/>
        <w:rPr>
          <w:rFonts w:ascii="黑体" w:eastAsia="黑体" w:cs="黑体"/>
          <w:kern w:val="0"/>
          <w:sz w:val="32"/>
          <w:szCs w:val="32"/>
          <w:highlight w:val="white"/>
          <w:lang w:val="zh-CN"/>
        </w:rPr>
      </w:pPr>
      <w:r>
        <w:rPr>
          <w:rFonts w:hint="eastAsia" w:ascii="黑体" w:eastAsia="黑体" w:cs="黑体"/>
          <w:kern w:val="0"/>
          <w:sz w:val="32"/>
          <w:szCs w:val="32"/>
          <w:highlight w:val="white"/>
          <w:lang w:val="zh-CN"/>
        </w:rPr>
        <w:tab/>
      </w:r>
      <w:r>
        <w:rPr>
          <w:rFonts w:hint="eastAsia" w:ascii="黑体" w:eastAsia="黑体" w:cs="黑体"/>
          <w:kern w:val="0"/>
          <w:sz w:val="32"/>
          <w:szCs w:val="32"/>
          <w:highlight w:val="white"/>
          <w:lang w:val="zh-CN"/>
        </w:rPr>
        <w:tab/>
      </w:r>
      <w:r>
        <w:rPr>
          <w:rFonts w:hint="eastAsia" w:ascii="黑体" w:eastAsia="黑体" w:cs="黑体"/>
          <w:kern w:val="0"/>
          <w:sz w:val="32"/>
          <w:szCs w:val="32"/>
          <w:highlight w:val="white"/>
          <w:lang w:val="zh-CN"/>
        </w:rPr>
        <w:t>烧结钕铁硼永磁体</w:t>
      </w:r>
      <w:r>
        <w:rPr>
          <w:rFonts w:ascii="黑体" w:eastAsia="黑体" w:cs="黑体"/>
          <w:kern w:val="0"/>
          <w:sz w:val="32"/>
          <w:szCs w:val="32"/>
          <w:highlight w:val="white"/>
          <w:lang w:val="zh-CN"/>
        </w:rPr>
        <w:t xml:space="preserve"> </w:t>
      </w:r>
      <w:r>
        <w:rPr>
          <w:rFonts w:hint="eastAsia" w:ascii="黑体" w:eastAsia="黑体" w:cs="黑体"/>
          <w:kern w:val="0"/>
          <w:sz w:val="32"/>
          <w:szCs w:val="32"/>
          <w:highlight w:val="white"/>
          <w:lang w:val="zh-CN"/>
        </w:rPr>
        <w:t>恒定湿热试验</w:t>
      </w:r>
    </w:p>
    <w:p>
      <w:pPr>
        <w:autoSpaceDE w:val="0"/>
        <w:autoSpaceDN w:val="0"/>
        <w:adjustRightInd w:val="0"/>
        <w:spacing w:before="468" w:beforeLines="150" w:after="312" w:afterLines="100"/>
        <w:outlineLvl w:val="0"/>
        <w:rPr>
          <w:rFonts w:ascii="黑体" w:eastAsia="黑体" w:cs="黑体"/>
          <w:kern w:val="0"/>
          <w:szCs w:val="21"/>
          <w:lang w:val="zh-CN"/>
        </w:rPr>
      </w:pPr>
      <w:bookmarkStart w:id="16" w:name="_Toc16127"/>
      <w:bookmarkStart w:id="17" w:name="_Toc22671"/>
      <w:bookmarkStart w:id="18" w:name="_Toc12267"/>
      <w:bookmarkStart w:id="19" w:name="_Toc1275"/>
      <w:bookmarkStart w:id="20" w:name="_Toc27285"/>
      <w:bookmarkStart w:id="21" w:name="_Toc8682"/>
      <w:bookmarkStart w:id="22" w:name="_Toc8805"/>
      <w:bookmarkStart w:id="23" w:name="_Toc20395"/>
      <w:bookmarkStart w:id="24" w:name="_Toc109033099"/>
      <w:r>
        <w:rPr>
          <w:rFonts w:ascii="黑体" w:eastAsia="黑体" w:cs="黑体"/>
          <w:kern w:val="0"/>
          <w:szCs w:val="21"/>
          <w:lang w:val="zh-CN"/>
        </w:rPr>
        <w:t xml:space="preserve">1  </w:t>
      </w:r>
      <w:r>
        <w:rPr>
          <w:rFonts w:hint="eastAsia" w:ascii="黑体" w:eastAsia="黑体" w:cs="黑体"/>
          <w:kern w:val="0"/>
          <w:szCs w:val="21"/>
          <w:lang w:val="zh-CN"/>
        </w:rPr>
        <w:t>范围</w:t>
      </w:r>
      <w:bookmarkEnd w:id="16"/>
      <w:bookmarkEnd w:id="17"/>
      <w:bookmarkEnd w:id="18"/>
      <w:bookmarkEnd w:id="19"/>
      <w:bookmarkEnd w:id="20"/>
      <w:bookmarkEnd w:id="21"/>
      <w:bookmarkEnd w:id="22"/>
      <w:bookmarkEnd w:id="23"/>
      <w:bookmarkEnd w:id="24"/>
    </w:p>
    <w:p>
      <w:pPr>
        <w:autoSpaceDE w:val="0"/>
        <w:autoSpaceDN w:val="0"/>
        <w:adjustRightInd w:val="0"/>
        <w:spacing w:line="360" w:lineRule="auto"/>
        <w:ind w:firstLine="420" w:firstLineChars="200"/>
        <w:contextualSpacing/>
        <w:rPr>
          <w:kern w:val="0"/>
          <w:szCs w:val="21"/>
        </w:rPr>
      </w:pPr>
      <w:r>
        <w:rPr>
          <w:rFonts w:hint="eastAsia" w:ascii="宋体" w:cs="宋体"/>
          <w:kern w:val="0"/>
          <w:szCs w:val="21"/>
          <w:lang w:val="zh-CN"/>
        </w:rPr>
        <w:t>本文件规定了烧结钕铁硼永磁体恒定湿热试验方法。依据试验时试验箱内气压高低，烧结钕铁硼永磁体恒定湿热试验分为高压蒸汽恒定湿热试验和普通恒定湿热试验，其中高压蒸汽恒定湿热试验又分为饱和高压蒸汽恒定湿热试验（以下简称</w:t>
      </w:r>
      <w:r>
        <w:rPr>
          <w:kern w:val="0"/>
          <w:szCs w:val="21"/>
          <w:lang w:val="zh-CN"/>
        </w:rPr>
        <w:t> </w:t>
      </w:r>
      <w:r>
        <w:rPr>
          <w:kern w:val="0"/>
          <w:szCs w:val="21"/>
        </w:rPr>
        <w:t>PCT</w:t>
      </w:r>
      <w:r>
        <w:rPr>
          <w:kern w:val="0"/>
          <w:szCs w:val="21"/>
          <w:lang w:val="zh-CN"/>
        </w:rPr>
        <w:t> </w:t>
      </w:r>
      <w:r>
        <w:rPr>
          <w:rFonts w:hint="eastAsia" w:ascii="宋体" w:cs="宋体"/>
          <w:kern w:val="0"/>
          <w:szCs w:val="21"/>
          <w:lang w:val="zh-CN"/>
        </w:rPr>
        <w:t>试验）和未饱和高压蒸汽恒定湿热试验（以下简称</w:t>
      </w:r>
      <w:r>
        <w:rPr>
          <w:kern w:val="0"/>
          <w:szCs w:val="21"/>
          <w:lang w:val="zh-CN"/>
        </w:rPr>
        <w:t> </w:t>
      </w:r>
      <w:r>
        <w:rPr>
          <w:kern w:val="0"/>
          <w:szCs w:val="21"/>
        </w:rPr>
        <w:t>HAST</w:t>
      </w:r>
      <w:r>
        <w:rPr>
          <w:kern w:val="0"/>
          <w:szCs w:val="21"/>
          <w:lang w:val="zh-CN"/>
        </w:rPr>
        <w:t> </w:t>
      </w:r>
      <w:r>
        <w:rPr>
          <w:rFonts w:hint="eastAsia" w:ascii="宋体" w:cs="宋体"/>
          <w:kern w:val="0"/>
          <w:szCs w:val="21"/>
          <w:lang w:val="zh-CN"/>
        </w:rPr>
        <w:t>试验）。</w:t>
      </w:r>
    </w:p>
    <w:p>
      <w:pPr>
        <w:autoSpaceDE w:val="0"/>
        <w:autoSpaceDN w:val="0"/>
        <w:adjustRightInd w:val="0"/>
        <w:spacing w:line="360" w:lineRule="auto"/>
        <w:ind w:firstLine="420" w:firstLineChars="200"/>
        <w:contextualSpacing/>
        <w:rPr>
          <w:rFonts w:cs="黑体" w:asciiTheme="minorEastAsia" w:hAnsiTheme="minorEastAsia" w:eastAsiaTheme="minorEastAsia"/>
          <w:kern w:val="0"/>
          <w:szCs w:val="21"/>
          <w:lang w:val="zh-CN"/>
        </w:rPr>
      </w:pPr>
      <w:r>
        <w:rPr>
          <w:rFonts w:hint="eastAsia" w:cs="黑体" w:asciiTheme="minorEastAsia" w:hAnsiTheme="minorEastAsia" w:eastAsiaTheme="minorEastAsia"/>
          <w:kern w:val="0"/>
          <w:szCs w:val="21"/>
          <w:lang w:val="zh-CN"/>
        </w:rPr>
        <w:t>本文件适用于评价有防护层的烧结钕铁硼永磁体产品的</w:t>
      </w:r>
      <w:r>
        <w:rPr>
          <w:rFonts w:hint="eastAsia" w:cs="宋体" w:asciiTheme="minorEastAsia" w:hAnsiTheme="minorEastAsia" w:eastAsiaTheme="minorEastAsia"/>
          <w:kern w:val="0"/>
          <w:szCs w:val="21"/>
          <w:lang w:val="zh-CN"/>
        </w:rPr>
        <w:t>耐湿热能力</w:t>
      </w:r>
      <w:r>
        <w:rPr>
          <w:rFonts w:hint="eastAsia" w:cs="黑体" w:asciiTheme="minorEastAsia" w:hAnsiTheme="minorEastAsia" w:eastAsiaTheme="minorEastAsia"/>
          <w:kern w:val="0"/>
          <w:szCs w:val="21"/>
          <w:lang w:val="zh-CN"/>
        </w:rPr>
        <w:t>；防护层包括金属覆盖层、涂层、磷化和氧化等各类转化膜层、以及各类复合覆盖层。也可</w:t>
      </w:r>
      <w:r>
        <w:rPr>
          <w:rFonts w:hint="eastAsia" w:cs="宋体" w:asciiTheme="minorEastAsia" w:hAnsiTheme="minorEastAsia" w:eastAsiaTheme="minorEastAsia"/>
          <w:kern w:val="0"/>
          <w:szCs w:val="21"/>
          <w:lang w:val="zh-CN"/>
        </w:rPr>
        <w:t>用于评价烧结钕铁硼永磁体产品</w:t>
      </w:r>
      <w:r>
        <w:rPr>
          <w:rFonts w:hint="eastAsia" w:cs="黑体" w:asciiTheme="minorEastAsia" w:hAnsiTheme="minorEastAsia" w:eastAsiaTheme="minorEastAsia"/>
          <w:kern w:val="0"/>
          <w:szCs w:val="21"/>
          <w:lang w:val="zh-CN"/>
        </w:rPr>
        <w:t>恒定湿热试验后的磁通不可逆损失。</w:t>
      </w:r>
    </w:p>
    <w:p>
      <w:pPr>
        <w:autoSpaceDE w:val="0"/>
        <w:autoSpaceDN w:val="0"/>
        <w:adjustRightInd w:val="0"/>
        <w:spacing w:before="468" w:beforeLines="150" w:after="312" w:afterLines="100"/>
        <w:outlineLvl w:val="0"/>
        <w:rPr>
          <w:rFonts w:ascii="黑体" w:eastAsia="黑体" w:cs="黑体"/>
          <w:kern w:val="0"/>
          <w:szCs w:val="21"/>
          <w:lang w:val="zh-CN"/>
        </w:rPr>
      </w:pPr>
      <w:bookmarkStart w:id="25" w:name="_Toc11326"/>
      <w:bookmarkStart w:id="26" w:name="_Toc1602"/>
      <w:bookmarkStart w:id="27" w:name="_Toc25823"/>
      <w:bookmarkStart w:id="28" w:name="_Toc8033"/>
      <w:bookmarkStart w:id="29" w:name="_Toc16770"/>
      <w:bookmarkStart w:id="30" w:name="_Toc5256"/>
      <w:bookmarkStart w:id="31" w:name="_Toc16691"/>
      <w:bookmarkStart w:id="32" w:name="_Toc109033100"/>
      <w:bookmarkStart w:id="33" w:name="_Toc15537"/>
      <w:r>
        <w:rPr>
          <w:rFonts w:ascii="黑体" w:eastAsia="黑体" w:cs="黑体"/>
          <w:kern w:val="0"/>
          <w:szCs w:val="21"/>
          <w:lang w:val="zh-CN"/>
        </w:rPr>
        <w:t xml:space="preserve">2  </w:t>
      </w:r>
      <w:r>
        <w:rPr>
          <w:rFonts w:hint="eastAsia" w:ascii="黑体" w:eastAsia="黑体" w:cs="黑体"/>
          <w:kern w:val="0"/>
          <w:szCs w:val="21"/>
          <w:lang w:val="zh-CN"/>
        </w:rPr>
        <w:t>规范性引用文件</w:t>
      </w:r>
      <w:bookmarkEnd w:id="25"/>
      <w:bookmarkEnd w:id="26"/>
      <w:bookmarkEnd w:id="27"/>
      <w:bookmarkEnd w:id="28"/>
      <w:bookmarkEnd w:id="29"/>
      <w:bookmarkEnd w:id="30"/>
      <w:bookmarkEnd w:id="31"/>
      <w:bookmarkEnd w:id="32"/>
      <w:bookmarkEnd w:id="33"/>
    </w:p>
    <w:p>
      <w:pPr>
        <w:autoSpaceDE w:val="0"/>
        <w:autoSpaceDN w:val="0"/>
        <w:adjustRightInd w:val="0"/>
        <w:spacing w:line="360" w:lineRule="auto"/>
        <w:ind w:firstLine="420" w:firstLineChars="200"/>
        <w:rPr>
          <w:rFonts w:ascii="宋体" w:cs="宋体"/>
          <w:kern w:val="0"/>
          <w:szCs w:val="21"/>
          <w:lang w:val="zh-CN"/>
        </w:rPr>
      </w:pPr>
      <w:r>
        <w:rPr>
          <w:rFonts w:hint="eastAsia" w:ascii="宋体" w:cs="宋体"/>
          <w:kern w:val="0"/>
          <w:szCs w:val="21"/>
          <w:lang w:val="zh-CN"/>
        </w:rPr>
        <w:t>下列文件中的内容通过文中的规范性引用而构成本文件必不可少的条款。</w:t>
      </w:r>
      <w:r>
        <w:rPr>
          <w:rFonts w:hint="eastAsia" w:ascii="MS Mincho" w:hAnsi="MS Mincho" w:eastAsia="MS Mincho" w:cs="MS Mincho"/>
          <w:kern w:val="0"/>
          <w:szCs w:val="21"/>
          <w:lang w:val="zh-CN"/>
        </w:rPr>
        <w:t> </w:t>
      </w:r>
      <w:r>
        <w:rPr>
          <w:rFonts w:hint="eastAsia" w:ascii="宋体" w:cs="宋体"/>
          <w:kern w:val="0"/>
          <w:szCs w:val="21"/>
          <w:lang w:val="zh-CN"/>
        </w:rPr>
        <w:t>其中，注日期的引用文件，仅该日期对应的版本适用于本文件；不注日期的引用文件，其最新版本（包括所有的修改单）适用于本文件。</w:t>
      </w:r>
    </w:p>
    <w:p>
      <w:pPr>
        <w:tabs>
          <w:tab w:val="center" w:pos="4201"/>
          <w:tab w:val="right" w:leader="dot" w:pos="9298"/>
        </w:tabs>
        <w:autoSpaceDE w:val="0"/>
        <w:autoSpaceDN w:val="0"/>
        <w:adjustRightInd w:val="0"/>
        <w:spacing w:line="360" w:lineRule="auto"/>
        <w:ind w:firstLine="425"/>
        <w:rPr>
          <w:rFonts w:ascii="宋体" w:hAnsi="宋体" w:cs="宋体"/>
          <w:kern w:val="0"/>
          <w:szCs w:val="21"/>
        </w:rPr>
      </w:pPr>
      <w:r>
        <w:rPr>
          <w:rFonts w:hint="eastAsia" w:ascii="宋体" w:hAnsi="宋体" w:cs="宋体"/>
          <w:kern w:val="0"/>
          <w:szCs w:val="21"/>
        </w:rPr>
        <w:t>GB/T 8170   数值修约规则与极限数值的表示和判定</w:t>
      </w:r>
    </w:p>
    <w:p>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hint="eastAsia" w:ascii="宋体" w:hAnsi="宋体" w:cs="宋体"/>
          <w:kern w:val="0"/>
          <w:szCs w:val="21"/>
          <w:lang w:val="zh-CN"/>
        </w:rPr>
        <w:t>GB/T 13560  烧结钕铁硼永磁材料</w:t>
      </w:r>
    </w:p>
    <w:p>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hint="eastAsia" w:ascii="宋体" w:hAnsi="宋体" w:cs="宋体"/>
          <w:kern w:val="0"/>
          <w:szCs w:val="21"/>
          <w:lang w:val="zh-CN"/>
        </w:rPr>
        <w:t>GB/T 34491  烧结钕铁硼表面镀层</w:t>
      </w:r>
    </w:p>
    <w:p>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hint="eastAsia" w:ascii="宋体" w:hAnsi="宋体" w:cs="宋体"/>
          <w:kern w:val="0"/>
          <w:szCs w:val="21"/>
          <w:lang w:val="zh-CN"/>
        </w:rPr>
        <w:t>GB/T 38437  用抽拉或旋转方式测量铁磁材料样品磁偶极矩的方法</w:t>
      </w:r>
    </w:p>
    <w:p>
      <w:pPr>
        <w:tabs>
          <w:tab w:val="center" w:pos="4201"/>
          <w:tab w:val="right" w:leader="dot" w:pos="9298"/>
        </w:tabs>
        <w:autoSpaceDE w:val="0"/>
        <w:autoSpaceDN w:val="0"/>
        <w:adjustRightInd w:val="0"/>
        <w:spacing w:line="360" w:lineRule="auto"/>
        <w:ind w:firstLine="425"/>
        <w:rPr>
          <w:rFonts w:ascii="宋体" w:hAnsi="宋体" w:cs="宋体"/>
          <w:kern w:val="0"/>
          <w:szCs w:val="21"/>
          <w:lang w:val="zh-CN"/>
        </w:rPr>
      </w:pPr>
      <w:r>
        <w:rPr>
          <w:rFonts w:hint="eastAsia" w:ascii="宋体" w:hAnsi="宋体" w:cs="宋体"/>
          <w:kern w:val="0"/>
          <w:szCs w:val="21"/>
          <w:lang w:val="zh-CN"/>
        </w:rPr>
        <w:t>GB/T 40793  烧结钕铁硼表面涂层</w:t>
      </w:r>
    </w:p>
    <w:p>
      <w:pPr>
        <w:autoSpaceDE w:val="0"/>
        <w:autoSpaceDN w:val="0"/>
        <w:adjustRightInd w:val="0"/>
        <w:spacing w:before="468" w:beforeLines="150" w:after="312" w:afterLines="100"/>
        <w:outlineLvl w:val="0"/>
        <w:rPr>
          <w:rFonts w:ascii="黑体" w:eastAsia="黑体" w:cs="黑体"/>
          <w:kern w:val="0"/>
          <w:szCs w:val="21"/>
          <w:lang w:val="zh-CN"/>
        </w:rPr>
      </w:pPr>
      <w:bookmarkStart w:id="34" w:name="_Toc26454"/>
      <w:bookmarkStart w:id="35" w:name="_Toc29832"/>
      <w:bookmarkStart w:id="36" w:name="_Toc23922"/>
      <w:bookmarkStart w:id="37" w:name="_Toc24048"/>
      <w:bookmarkStart w:id="38" w:name="_Toc11417"/>
      <w:bookmarkStart w:id="39" w:name="_Toc21206"/>
      <w:bookmarkStart w:id="40" w:name="_Toc109033101"/>
      <w:bookmarkStart w:id="41" w:name="_Toc3535"/>
      <w:bookmarkStart w:id="42" w:name="_Toc31804"/>
      <w:r>
        <w:rPr>
          <w:rFonts w:ascii="黑体" w:eastAsia="黑体" w:cs="黑体"/>
          <w:kern w:val="0"/>
          <w:szCs w:val="21"/>
          <w:lang w:val="zh-CN"/>
        </w:rPr>
        <w:t xml:space="preserve">3  </w:t>
      </w:r>
      <w:r>
        <w:rPr>
          <w:rFonts w:hint="eastAsia" w:ascii="黑体" w:eastAsia="黑体" w:cs="黑体"/>
          <w:kern w:val="0"/>
          <w:szCs w:val="21"/>
          <w:lang w:val="zh-CN"/>
        </w:rPr>
        <w:t>试验设备</w:t>
      </w:r>
      <w:bookmarkEnd w:id="34"/>
      <w:bookmarkEnd w:id="35"/>
      <w:bookmarkEnd w:id="36"/>
      <w:bookmarkEnd w:id="37"/>
      <w:bookmarkEnd w:id="38"/>
      <w:bookmarkEnd w:id="39"/>
      <w:bookmarkEnd w:id="40"/>
      <w:bookmarkEnd w:id="41"/>
      <w:bookmarkEnd w:id="42"/>
    </w:p>
    <w:p>
      <w:pPr>
        <w:tabs>
          <w:tab w:val="center" w:pos="4201"/>
          <w:tab w:val="right" w:leader="dot" w:pos="9298"/>
        </w:tabs>
        <w:autoSpaceDE w:val="0"/>
        <w:autoSpaceDN w:val="0"/>
        <w:adjustRightInd w:val="0"/>
        <w:spacing w:before="312" w:beforeLines="100" w:after="156" w:afterLines="50"/>
        <w:outlineLvl w:val="1"/>
        <w:rPr>
          <w:rFonts w:ascii="黑体" w:eastAsia="黑体" w:cs="黑体"/>
          <w:kern w:val="0"/>
          <w:szCs w:val="21"/>
          <w:lang w:val="zh-CN"/>
        </w:rPr>
      </w:pPr>
      <w:bookmarkStart w:id="43" w:name="_Toc12998"/>
      <w:bookmarkStart w:id="44" w:name="_Toc24744"/>
      <w:bookmarkStart w:id="45" w:name="_Toc7632"/>
      <w:bookmarkStart w:id="46" w:name="_Toc9583"/>
      <w:bookmarkStart w:id="47" w:name="_Toc26851"/>
      <w:bookmarkStart w:id="48" w:name="_Toc109033102"/>
      <w:bookmarkStart w:id="49" w:name="_Toc21532"/>
      <w:bookmarkStart w:id="50" w:name="_Toc29179"/>
      <w:bookmarkStart w:id="51" w:name="_Toc31940"/>
      <w:r>
        <w:rPr>
          <w:rFonts w:ascii="黑体" w:eastAsia="黑体" w:cs="黑体"/>
          <w:kern w:val="0"/>
          <w:szCs w:val="21"/>
          <w:lang w:val="zh-CN"/>
        </w:rPr>
        <w:t xml:space="preserve">3.1 </w:t>
      </w:r>
      <w:r>
        <w:rPr>
          <w:rFonts w:hint="eastAsia" w:ascii="黑体" w:eastAsia="黑体" w:cs="黑体"/>
          <w:kern w:val="0"/>
          <w:szCs w:val="21"/>
          <w:lang w:val="zh-CN"/>
        </w:rPr>
        <w:t>设备材料</w:t>
      </w:r>
      <w:bookmarkEnd w:id="43"/>
      <w:bookmarkEnd w:id="44"/>
      <w:bookmarkEnd w:id="45"/>
      <w:bookmarkEnd w:id="46"/>
      <w:bookmarkEnd w:id="47"/>
      <w:bookmarkEnd w:id="48"/>
      <w:bookmarkEnd w:id="49"/>
      <w:bookmarkEnd w:id="50"/>
      <w:bookmarkEnd w:id="51"/>
    </w:p>
    <w:p>
      <w:pPr>
        <w:autoSpaceDE w:val="0"/>
        <w:autoSpaceDN w:val="0"/>
        <w:adjustRightInd w:val="0"/>
        <w:spacing w:before="0" w:beforeLines="-2147483648" w:after="0" w:afterLines="-2147483648" w:line="360" w:lineRule="auto"/>
        <w:ind w:firstLine="420" w:firstLineChars="200"/>
        <w:rPr>
          <w:rFonts w:ascii="黑体" w:eastAsia="黑体" w:cs="黑体"/>
          <w:kern w:val="0"/>
          <w:szCs w:val="21"/>
          <w:lang w:val="zh-CN"/>
        </w:rPr>
      </w:pPr>
      <w:r>
        <w:rPr>
          <w:rFonts w:hint="eastAsia" w:ascii="宋体" w:cs="宋体"/>
          <w:kern w:val="0"/>
          <w:szCs w:val="21"/>
          <w:lang w:val="zh-CN"/>
        </w:rPr>
        <w:t>试验空间中所有零部件材料不应引起试验样品腐蚀，或使试验用水的水质劣化。</w:t>
      </w:r>
      <w:bookmarkStart w:id="52" w:name="_Toc25295"/>
      <w:bookmarkStart w:id="53" w:name="_Toc7110"/>
      <w:bookmarkStart w:id="54" w:name="_Toc109033103"/>
      <w:bookmarkStart w:id="55" w:name="_Toc8369"/>
      <w:bookmarkStart w:id="56" w:name="_Toc17002"/>
      <w:bookmarkStart w:id="57" w:name="_Toc19642"/>
      <w:bookmarkStart w:id="58" w:name="_Toc24041"/>
      <w:bookmarkStart w:id="59" w:name="_Toc2006"/>
    </w:p>
    <w:p>
      <w:pPr>
        <w:tabs>
          <w:tab w:val="center" w:pos="4201"/>
          <w:tab w:val="right" w:leader="dot" w:pos="9298"/>
        </w:tabs>
        <w:autoSpaceDE w:val="0"/>
        <w:autoSpaceDN w:val="0"/>
        <w:adjustRightInd w:val="0"/>
        <w:spacing w:before="625" w:beforeLines="200" w:after="156" w:afterLines="50" w:line="360" w:lineRule="auto"/>
        <w:outlineLvl w:val="1"/>
        <w:rPr>
          <w:rFonts w:ascii="黑体" w:eastAsia="黑体" w:cs="黑体"/>
          <w:kern w:val="0"/>
          <w:szCs w:val="21"/>
          <w:lang w:val="zh-CN"/>
        </w:rPr>
      </w:pPr>
      <w:bookmarkStart w:id="60" w:name="_Toc29859"/>
      <w:r>
        <w:rPr>
          <w:rFonts w:ascii="黑体" w:eastAsia="黑体" w:cs="黑体"/>
          <w:kern w:val="0"/>
          <w:szCs w:val="21"/>
          <w:lang w:val="zh-CN"/>
        </w:rPr>
        <w:t xml:space="preserve">3.2 </w:t>
      </w:r>
      <w:r>
        <w:rPr>
          <w:rFonts w:hint="eastAsia" w:ascii="黑体" w:eastAsia="黑体" w:cs="黑体"/>
          <w:kern w:val="0"/>
          <w:szCs w:val="21"/>
          <w:lang w:val="zh-CN"/>
        </w:rPr>
        <w:t>普通恒定湿热试验箱</w:t>
      </w:r>
      <w:bookmarkEnd w:id="52"/>
      <w:bookmarkEnd w:id="53"/>
      <w:bookmarkEnd w:id="54"/>
      <w:bookmarkEnd w:id="55"/>
      <w:bookmarkEnd w:id="56"/>
      <w:bookmarkEnd w:id="57"/>
      <w:bookmarkEnd w:id="58"/>
      <w:bookmarkEnd w:id="59"/>
      <w:bookmarkEnd w:id="60"/>
    </w:p>
    <w:p>
      <w:pPr>
        <w:autoSpaceDE w:val="0"/>
        <w:autoSpaceDN w:val="0"/>
        <w:adjustRightInd w:val="0"/>
        <w:spacing w:line="360" w:lineRule="auto"/>
        <w:ind w:left="420"/>
        <w:rPr>
          <w:rFonts w:ascii="宋体" w:cs="宋体"/>
          <w:kern w:val="0"/>
          <w:szCs w:val="21"/>
          <w:lang w:val="zh-CN"/>
        </w:rPr>
      </w:pPr>
      <w:r>
        <w:rPr>
          <w:rFonts w:hint="eastAsia" w:ascii="宋体" w:cs="宋体"/>
          <w:kern w:val="0"/>
          <w:szCs w:val="21"/>
          <w:lang w:val="zh-CN"/>
        </w:rPr>
        <w:t>普通</w:t>
      </w:r>
      <w:r>
        <w:rPr>
          <w:rFonts w:hint="eastAsia" w:ascii="宋体" w:cs="宋体"/>
          <w:kern w:val="0"/>
          <w:szCs w:val="21"/>
        </w:rPr>
        <w:t>恒定</w:t>
      </w:r>
      <w:r>
        <w:rPr>
          <w:rFonts w:hint="eastAsia" w:ascii="宋体" w:cs="宋体"/>
          <w:kern w:val="0"/>
          <w:szCs w:val="21"/>
          <w:lang w:val="zh-CN"/>
        </w:rPr>
        <w:t>湿热试验箱应满足下列要求：</w:t>
      </w:r>
    </w:p>
    <w:p>
      <w:pPr>
        <w:tabs>
          <w:tab w:val="center" w:pos="4201"/>
          <w:tab w:val="right" w:leader="dot" w:pos="9298"/>
        </w:tabs>
        <w:autoSpaceDE w:val="0"/>
        <w:autoSpaceDN w:val="0"/>
        <w:adjustRightInd w:val="0"/>
        <w:spacing w:line="360" w:lineRule="auto"/>
        <w:ind w:left="630" w:leftChars="300"/>
        <w:rPr>
          <w:rFonts w:ascii="宋体" w:cs="宋体"/>
          <w:kern w:val="0"/>
          <w:szCs w:val="21"/>
          <w:lang w:val="zh-CN"/>
        </w:rPr>
      </w:pPr>
      <w:r>
        <w:rPr>
          <w:rFonts w:hint="eastAsia" w:ascii="黑体" w:hAnsi="黑体" w:eastAsia="黑体" w:cs="黑体"/>
          <w:kern w:val="0"/>
          <w:szCs w:val="21"/>
          <w:lang w:val="zh-CN"/>
        </w:rPr>
        <w:t>a）</w:t>
      </w:r>
      <w:r>
        <w:rPr>
          <w:rFonts w:ascii="宋体" w:cs="宋体"/>
          <w:kern w:val="0"/>
          <w:szCs w:val="21"/>
          <w:lang w:val="zh-CN"/>
        </w:rPr>
        <w:t xml:space="preserve"> </w:t>
      </w:r>
      <w:r>
        <w:rPr>
          <w:rFonts w:hint="eastAsia" w:ascii="宋体" w:cs="宋体"/>
          <w:kern w:val="0"/>
          <w:szCs w:val="21"/>
          <w:lang w:val="zh-CN"/>
        </w:rPr>
        <w:t>能产生本文件表</w:t>
      </w:r>
      <w:r>
        <w:rPr>
          <w:rFonts w:ascii="宋体" w:cs="宋体"/>
          <w:kern w:val="0"/>
          <w:szCs w:val="21"/>
          <w:lang w:val="zh-CN"/>
        </w:rPr>
        <w:t>1</w:t>
      </w:r>
      <w:r>
        <w:rPr>
          <w:rFonts w:hint="eastAsia" w:ascii="宋体" w:cs="宋体"/>
          <w:kern w:val="0"/>
          <w:szCs w:val="21"/>
          <w:lang w:val="zh-CN"/>
        </w:rPr>
        <w:t>所规定的普通恒定湿热试验条件，并保持试验期间不间断；</w:t>
      </w:r>
    </w:p>
    <w:p>
      <w:pPr>
        <w:tabs>
          <w:tab w:val="center" w:pos="4201"/>
          <w:tab w:val="right" w:leader="dot" w:pos="9298"/>
        </w:tabs>
        <w:autoSpaceDE w:val="0"/>
        <w:autoSpaceDN w:val="0"/>
        <w:adjustRightInd w:val="0"/>
        <w:spacing w:line="360" w:lineRule="auto"/>
        <w:ind w:left="630" w:leftChars="300"/>
        <w:rPr>
          <w:rFonts w:ascii="宋体" w:cs="宋体"/>
          <w:kern w:val="0"/>
          <w:szCs w:val="21"/>
          <w:lang w:val="zh-CN"/>
        </w:rPr>
      </w:pPr>
      <w:r>
        <w:rPr>
          <w:rFonts w:hint="eastAsia" w:ascii="黑体" w:hAnsi="黑体" w:eastAsia="黑体" w:cs="黑体"/>
          <w:kern w:val="0"/>
          <w:szCs w:val="21"/>
          <w:lang w:val="zh-CN"/>
        </w:rPr>
        <w:t>b）</w:t>
      </w:r>
      <w:r>
        <w:rPr>
          <w:rFonts w:ascii="宋体" w:cs="宋体"/>
          <w:kern w:val="0"/>
          <w:szCs w:val="21"/>
          <w:lang w:val="zh-CN"/>
        </w:rPr>
        <w:t xml:space="preserve"> </w:t>
      </w:r>
      <w:r>
        <w:rPr>
          <w:rFonts w:hint="eastAsia" w:ascii="宋体" w:cs="宋体"/>
          <w:kern w:val="0"/>
          <w:szCs w:val="21"/>
          <w:lang w:val="zh-CN"/>
        </w:rPr>
        <w:t>试验箱在恒温恒湿状态下，应能提供受控的温湿度条件。为确保放置样品的试验区湿度偏差在±</w:t>
      </w:r>
      <w:r>
        <w:rPr>
          <w:rFonts w:ascii="宋体" w:cs="宋体"/>
          <w:kern w:val="0"/>
          <w:szCs w:val="21"/>
          <w:lang w:val="zh-CN"/>
        </w:rPr>
        <w:t>5%RH</w:t>
      </w:r>
      <w:r>
        <w:rPr>
          <w:rFonts w:hint="eastAsia" w:ascii="宋体" w:cs="宋体"/>
          <w:kern w:val="0"/>
          <w:szCs w:val="21"/>
          <w:lang w:val="zh-CN"/>
        </w:rPr>
        <w:t>范围内，该试验区温度均匀度应小于</w:t>
      </w:r>
      <w:r>
        <w:rPr>
          <w:kern w:val="0"/>
          <w:szCs w:val="21"/>
          <w:lang w:val="zh-CN"/>
        </w:rPr>
        <w:t> </w:t>
      </w:r>
      <w:r>
        <w:rPr>
          <w:rFonts w:ascii="宋体" w:cs="宋体"/>
          <w:kern w:val="0"/>
          <w:szCs w:val="21"/>
          <w:lang w:val="zh-CN"/>
        </w:rPr>
        <w:t>2</w:t>
      </w:r>
      <w:r>
        <w:rPr>
          <w:kern w:val="0"/>
          <w:szCs w:val="21"/>
          <w:lang w:val="zh-CN"/>
        </w:rPr>
        <w:t> </w:t>
      </w:r>
      <w:r>
        <w:rPr>
          <w:rFonts w:hint="eastAsia" w:ascii="宋体" w:cs="宋体"/>
          <w:kern w:val="0"/>
          <w:szCs w:val="21"/>
          <w:lang w:val="zh-CN"/>
        </w:rPr>
        <w:t>℃，温度波动度应在</w:t>
      </w:r>
      <w:r>
        <w:rPr>
          <w:kern w:val="0"/>
          <w:szCs w:val="21"/>
          <w:lang w:val="zh-CN"/>
        </w:rPr>
        <w:t> </w:t>
      </w:r>
      <w:r>
        <w:rPr>
          <w:rFonts w:hint="eastAsia" w:ascii="宋体" w:cs="宋体"/>
          <w:kern w:val="0"/>
          <w:szCs w:val="21"/>
          <w:lang w:val="zh-CN"/>
        </w:rPr>
        <w:t>±</w:t>
      </w:r>
      <w:r>
        <w:rPr>
          <w:rFonts w:ascii="宋体" w:cs="宋体"/>
          <w:kern w:val="0"/>
          <w:szCs w:val="21"/>
          <w:lang w:val="zh-CN"/>
        </w:rPr>
        <w:t>1</w:t>
      </w:r>
      <w:r>
        <w:rPr>
          <w:kern w:val="0"/>
          <w:szCs w:val="21"/>
          <w:lang w:val="zh-CN"/>
        </w:rPr>
        <w:t> </w:t>
      </w:r>
      <w:r>
        <w:rPr>
          <w:rFonts w:hint="eastAsia" w:ascii="宋体" w:cs="宋体"/>
          <w:kern w:val="0"/>
          <w:szCs w:val="21"/>
          <w:lang w:val="zh-CN"/>
        </w:rPr>
        <w:t>℃范围内；</w:t>
      </w:r>
    </w:p>
    <w:p>
      <w:pPr>
        <w:tabs>
          <w:tab w:val="center" w:pos="4201"/>
          <w:tab w:val="right" w:leader="dot" w:pos="9298"/>
        </w:tabs>
        <w:autoSpaceDE w:val="0"/>
        <w:autoSpaceDN w:val="0"/>
        <w:adjustRightInd w:val="0"/>
        <w:spacing w:line="360" w:lineRule="auto"/>
        <w:ind w:left="630" w:leftChars="300"/>
        <w:rPr>
          <w:rFonts w:ascii="宋体" w:cs="宋体"/>
          <w:kern w:val="0"/>
          <w:szCs w:val="21"/>
          <w:lang w:val="zh-CN"/>
        </w:rPr>
      </w:pPr>
      <w:r>
        <w:rPr>
          <w:rFonts w:hint="eastAsia" w:ascii="黑体" w:hAnsi="黑体" w:eastAsia="黑体" w:cs="黑体"/>
          <w:kern w:val="0"/>
          <w:szCs w:val="21"/>
          <w:lang w:val="zh-CN"/>
        </w:rPr>
        <w:t>c）</w:t>
      </w:r>
      <w:r>
        <w:rPr>
          <w:rFonts w:ascii="宋体" w:cs="宋体"/>
          <w:kern w:val="0"/>
          <w:szCs w:val="21"/>
          <w:lang w:val="zh-CN"/>
        </w:rPr>
        <w:t xml:space="preserve"> </w:t>
      </w:r>
      <w:r>
        <w:rPr>
          <w:rFonts w:hint="eastAsia" w:ascii="宋体" w:cs="宋体"/>
          <w:kern w:val="0"/>
          <w:szCs w:val="21"/>
          <w:lang w:val="zh-CN"/>
        </w:rPr>
        <w:t>试验箱内壁凝露不</w:t>
      </w:r>
      <w:r>
        <w:rPr>
          <w:rFonts w:hint="eastAsia" w:ascii="宋体" w:cs="宋体"/>
          <w:kern w:val="0"/>
          <w:szCs w:val="21"/>
        </w:rPr>
        <w:t>允许</w:t>
      </w:r>
      <w:r>
        <w:rPr>
          <w:rFonts w:hint="eastAsia" w:ascii="宋体" w:cs="宋体"/>
          <w:kern w:val="0"/>
          <w:szCs w:val="21"/>
          <w:lang w:val="zh-CN"/>
        </w:rPr>
        <w:t>滴落在试验样品上；</w:t>
      </w:r>
    </w:p>
    <w:p>
      <w:pPr>
        <w:tabs>
          <w:tab w:val="center" w:pos="4201"/>
          <w:tab w:val="right" w:leader="dot" w:pos="9298"/>
        </w:tabs>
        <w:autoSpaceDE w:val="0"/>
        <w:autoSpaceDN w:val="0"/>
        <w:adjustRightInd w:val="0"/>
        <w:spacing w:line="360" w:lineRule="auto"/>
        <w:ind w:firstLine="630" w:firstLineChars="300"/>
        <w:rPr>
          <w:rFonts w:ascii="宋体" w:cs="宋体"/>
          <w:kern w:val="0"/>
          <w:szCs w:val="21"/>
          <w:lang w:val="zh-CN"/>
        </w:rPr>
      </w:pPr>
      <w:r>
        <w:rPr>
          <w:rFonts w:hint="eastAsia" w:ascii="黑体" w:hAnsi="黑体" w:eastAsia="黑体" w:cs="黑体"/>
          <w:kern w:val="0"/>
          <w:szCs w:val="21"/>
          <w:lang w:val="zh-CN"/>
        </w:rPr>
        <w:t>d）</w:t>
      </w:r>
      <w:r>
        <w:rPr>
          <w:rFonts w:ascii="宋体" w:cs="宋体"/>
          <w:kern w:val="0"/>
          <w:szCs w:val="21"/>
          <w:lang w:val="zh-CN"/>
        </w:rPr>
        <w:t xml:space="preserve"> </w:t>
      </w:r>
      <w:r>
        <w:rPr>
          <w:rFonts w:hint="eastAsia" w:ascii="宋体" w:cs="宋体"/>
          <w:kern w:val="0"/>
          <w:szCs w:val="21"/>
          <w:lang w:val="zh-CN"/>
        </w:rPr>
        <w:t>试验箱内湿度传感器上湿球纱布在试验时应始终处于充分湿润状态。</w:t>
      </w:r>
    </w:p>
    <w:p>
      <w:pPr>
        <w:tabs>
          <w:tab w:val="center" w:pos="4201"/>
          <w:tab w:val="right" w:leader="dot" w:pos="9298"/>
        </w:tabs>
        <w:autoSpaceDE w:val="0"/>
        <w:autoSpaceDN w:val="0"/>
        <w:adjustRightInd w:val="0"/>
        <w:spacing w:before="312" w:beforeLines="100" w:after="124" w:afterLines="40" w:line="360" w:lineRule="auto"/>
        <w:outlineLvl w:val="1"/>
        <w:rPr>
          <w:rFonts w:ascii="黑体" w:eastAsia="黑体" w:cs="黑体"/>
          <w:kern w:val="0"/>
          <w:szCs w:val="21"/>
          <w:lang w:val="zh-CN"/>
        </w:rPr>
      </w:pPr>
      <w:bookmarkStart w:id="61" w:name="_Toc17145"/>
      <w:bookmarkStart w:id="62" w:name="_Toc8600"/>
      <w:bookmarkStart w:id="63" w:name="_Toc29383"/>
      <w:bookmarkStart w:id="64" w:name="_Toc16016"/>
      <w:bookmarkStart w:id="65" w:name="_Toc13276"/>
      <w:bookmarkStart w:id="66" w:name="_Toc18039"/>
      <w:bookmarkStart w:id="67" w:name="_Toc14221"/>
      <w:bookmarkStart w:id="68" w:name="_Toc109033104"/>
      <w:bookmarkStart w:id="69" w:name="_Toc26250"/>
      <w:r>
        <w:rPr>
          <w:rFonts w:ascii="黑体" w:eastAsia="黑体" w:cs="黑体"/>
          <w:kern w:val="0"/>
          <w:szCs w:val="21"/>
          <w:lang w:val="zh-CN"/>
        </w:rPr>
        <w:t xml:space="preserve">3.3 </w:t>
      </w:r>
      <w:r>
        <w:rPr>
          <w:rFonts w:hint="eastAsia" w:ascii="黑体" w:eastAsia="黑体" w:cs="黑体"/>
          <w:kern w:val="0"/>
          <w:szCs w:val="21"/>
          <w:lang w:val="zh-CN"/>
        </w:rPr>
        <w:t>高压蒸汽恒定湿热试验箱</w:t>
      </w:r>
      <w:bookmarkEnd w:id="61"/>
      <w:bookmarkEnd w:id="62"/>
      <w:bookmarkEnd w:id="63"/>
      <w:bookmarkEnd w:id="64"/>
      <w:bookmarkEnd w:id="65"/>
      <w:bookmarkEnd w:id="66"/>
      <w:bookmarkEnd w:id="67"/>
      <w:bookmarkEnd w:id="68"/>
      <w:bookmarkEnd w:id="69"/>
    </w:p>
    <w:p>
      <w:pPr>
        <w:tabs>
          <w:tab w:val="center" w:pos="4201"/>
          <w:tab w:val="right" w:leader="dot" w:pos="9298"/>
        </w:tabs>
        <w:autoSpaceDE w:val="0"/>
        <w:autoSpaceDN w:val="0"/>
        <w:adjustRightInd w:val="0"/>
        <w:spacing w:before="312" w:beforeLines="100" w:after="124" w:afterLines="40" w:line="360" w:lineRule="auto"/>
        <w:rPr>
          <w:rFonts w:ascii="黑体" w:eastAsia="黑体" w:cs="黑体"/>
          <w:kern w:val="0"/>
          <w:szCs w:val="21"/>
          <w:lang w:val="zh-CN"/>
        </w:rPr>
      </w:pPr>
      <w:r>
        <w:rPr>
          <w:rFonts w:ascii="黑体" w:eastAsia="黑体" w:cs="黑体"/>
          <w:kern w:val="0"/>
          <w:szCs w:val="21"/>
          <w:lang w:val="zh-CN"/>
        </w:rPr>
        <w:t>3.3.1 PCT</w:t>
      </w:r>
      <w:r>
        <w:rPr>
          <w:kern w:val="0"/>
          <w:szCs w:val="21"/>
          <w:lang w:val="zh-CN"/>
        </w:rPr>
        <w:t> </w:t>
      </w:r>
      <w:r>
        <w:rPr>
          <w:rFonts w:hint="eastAsia" w:ascii="黑体" w:eastAsia="黑体" w:cs="黑体"/>
          <w:kern w:val="0"/>
          <w:szCs w:val="21"/>
          <w:lang w:val="zh-CN"/>
        </w:rPr>
        <w:t>试验箱</w:t>
      </w:r>
    </w:p>
    <w:p>
      <w:pPr>
        <w:autoSpaceDE w:val="0"/>
        <w:autoSpaceDN w:val="0"/>
        <w:adjustRightInd w:val="0"/>
        <w:spacing w:line="360" w:lineRule="auto"/>
        <w:ind w:left="420"/>
        <w:rPr>
          <w:kern w:val="0"/>
          <w:szCs w:val="21"/>
          <w:lang w:val="zh-CN"/>
        </w:rPr>
      </w:pPr>
      <w:r>
        <w:rPr>
          <w:kern w:val="0"/>
          <w:szCs w:val="21"/>
          <w:lang w:val="zh-CN"/>
        </w:rPr>
        <w:t>PCT </w:t>
      </w:r>
      <w:r>
        <w:rPr>
          <w:rFonts w:hint="eastAsia"/>
          <w:kern w:val="0"/>
          <w:szCs w:val="21"/>
          <w:lang w:val="zh-CN"/>
        </w:rPr>
        <w:t>试验箱应满足下列要求：</w:t>
      </w:r>
    </w:p>
    <w:p>
      <w:pPr>
        <w:autoSpaceDE w:val="0"/>
        <w:autoSpaceDN w:val="0"/>
        <w:adjustRightInd w:val="0"/>
        <w:spacing w:line="360" w:lineRule="auto"/>
        <w:ind w:left="630" w:leftChars="300"/>
        <w:rPr>
          <w:kern w:val="0"/>
          <w:szCs w:val="21"/>
          <w:lang w:val="zh-CN"/>
        </w:rPr>
      </w:pPr>
      <w:r>
        <w:rPr>
          <w:rFonts w:ascii="黑体" w:hAnsi="黑体" w:eastAsia="黑体" w:cs="黑体"/>
          <w:kern w:val="0"/>
          <w:szCs w:val="21"/>
          <w:lang w:val="zh-CN"/>
        </w:rPr>
        <w:t>a</w:t>
      </w:r>
      <w:r>
        <w:rPr>
          <w:rFonts w:hint="eastAsia" w:ascii="黑体" w:hAnsi="黑体" w:eastAsia="黑体" w:cs="黑体"/>
          <w:kern w:val="0"/>
          <w:szCs w:val="21"/>
          <w:lang w:val="zh-CN"/>
        </w:rPr>
        <w:t>）</w:t>
      </w:r>
      <w:r>
        <w:rPr>
          <w:kern w:val="0"/>
          <w:szCs w:val="21"/>
          <w:lang w:val="zh-CN"/>
        </w:rPr>
        <w:t xml:space="preserve"> </w:t>
      </w:r>
      <w:r>
        <w:rPr>
          <w:rFonts w:hint="eastAsia"/>
          <w:kern w:val="0"/>
          <w:szCs w:val="21"/>
          <w:lang w:val="zh-CN"/>
        </w:rPr>
        <w:t>能产生本文件表</w:t>
      </w:r>
      <w:r>
        <w:rPr>
          <w:kern w:val="0"/>
          <w:szCs w:val="21"/>
          <w:lang w:val="zh-CN"/>
        </w:rPr>
        <w:t>1</w:t>
      </w:r>
      <w:r>
        <w:rPr>
          <w:rFonts w:hint="eastAsia"/>
          <w:kern w:val="0"/>
          <w:szCs w:val="21"/>
          <w:lang w:val="zh-CN"/>
        </w:rPr>
        <w:t>所规定的</w:t>
      </w:r>
      <w:r>
        <w:rPr>
          <w:kern w:val="0"/>
          <w:szCs w:val="21"/>
          <w:lang w:val="zh-CN"/>
        </w:rPr>
        <w:t> PCT </w:t>
      </w:r>
      <w:r>
        <w:rPr>
          <w:rFonts w:hint="eastAsia"/>
          <w:kern w:val="0"/>
          <w:szCs w:val="21"/>
          <w:lang w:val="zh-CN"/>
        </w:rPr>
        <w:t>试验条件，并保持试验期间不间断；</w:t>
      </w:r>
    </w:p>
    <w:p>
      <w:pPr>
        <w:autoSpaceDE w:val="0"/>
        <w:autoSpaceDN w:val="0"/>
        <w:adjustRightInd w:val="0"/>
        <w:spacing w:line="360" w:lineRule="auto"/>
        <w:ind w:left="630" w:leftChars="300"/>
        <w:rPr>
          <w:kern w:val="0"/>
          <w:szCs w:val="21"/>
          <w:lang w:val="zh-CN"/>
        </w:rPr>
      </w:pPr>
      <w:r>
        <w:rPr>
          <w:rFonts w:ascii="黑体" w:hAnsi="黑体" w:eastAsia="黑体" w:cs="黑体"/>
          <w:kern w:val="0"/>
          <w:szCs w:val="21"/>
          <w:lang w:val="zh-CN"/>
        </w:rPr>
        <w:t>b</w:t>
      </w:r>
      <w:r>
        <w:rPr>
          <w:rFonts w:hint="eastAsia" w:ascii="黑体" w:hAnsi="黑体" w:eastAsia="黑体" w:cs="黑体"/>
          <w:kern w:val="0"/>
          <w:szCs w:val="21"/>
          <w:lang w:val="zh-CN"/>
        </w:rPr>
        <w:t>）</w:t>
      </w:r>
      <w:r>
        <w:rPr>
          <w:kern w:val="0"/>
          <w:szCs w:val="21"/>
          <w:lang w:val="zh-CN"/>
        </w:rPr>
        <w:t xml:space="preserve"> </w:t>
      </w:r>
      <w:r>
        <w:rPr>
          <w:rFonts w:hint="eastAsia"/>
          <w:kern w:val="0"/>
          <w:szCs w:val="21"/>
          <w:lang w:val="zh-CN"/>
        </w:rPr>
        <w:t>在升温及恒温阶段，试验箱样品区的温度始终与加湿水的温度保持一致，并确保试验中样品表面有凝露产生；</w:t>
      </w:r>
    </w:p>
    <w:p>
      <w:pPr>
        <w:tabs>
          <w:tab w:val="center" w:pos="4201"/>
          <w:tab w:val="right" w:leader="dot" w:pos="9298"/>
        </w:tabs>
        <w:autoSpaceDE w:val="0"/>
        <w:autoSpaceDN w:val="0"/>
        <w:adjustRightInd w:val="0"/>
        <w:spacing w:line="360" w:lineRule="auto"/>
        <w:ind w:left="630" w:leftChars="300"/>
        <w:rPr>
          <w:kern w:val="0"/>
          <w:szCs w:val="21"/>
          <w:lang w:val="zh-CN"/>
        </w:rPr>
      </w:pPr>
      <w:r>
        <w:rPr>
          <w:rFonts w:hint="eastAsia" w:ascii="黑体" w:hAnsi="黑体" w:eastAsia="黑体" w:cs="黑体"/>
          <w:kern w:val="0"/>
          <w:szCs w:val="21"/>
          <w:lang w:val="zh-CN"/>
        </w:rPr>
        <w:t>c）</w:t>
      </w:r>
      <w:r>
        <w:rPr>
          <w:rFonts w:ascii="宋体" w:cs="宋体"/>
          <w:kern w:val="0"/>
          <w:szCs w:val="21"/>
          <w:lang w:val="zh-CN"/>
        </w:rPr>
        <w:t xml:space="preserve"> </w:t>
      </w:r>
      <w:r>
        <w:rPr>
          <w:rFonts w:hint="eastAsia" w:ascii="宋体" w:cs="宋体"/>
          <w:kern w:val="0"/>
          <w:szCs w:val="21"/>
          <w:lang w:val="zh-CN"/>
        </w:rPr>
        <w:t>试验箱内壁凝露不</w:t>
      </w:r>
      <w:r>
        <w:rPr>
          <w:rFonts w:hint="eastAsia" w:ascii="宋体" w:cs="宋体"/>
          <w:kern w:val="0"/>
          <w:szCs w:val="21"/>
        </w:rPr>
        <w:t>允许</w:t>
      </w:r>
      <w:r>
        <w:rPr>
          <w:rFonts w:hint="eastAsia" w:ascii="宋体" w:cs="宋体"/>
          <w:kern w:val="0"/>
          <w:szCs w:val="21"/>
          <w:lang w:val="zh-CN"/>
        </w:rPr>
        <w:t>滴落在试验样品上；</w:t>
      </w:r>
    </w:p>
    <w:p>
      <w:pPr>
        <w:tabs>
          <w:tab w:val="center" w:pos="4201"/>
          <w:tab w:val="right" w:leader="dot" w:pos="9298"/>
        </w:tabs>
        <w:autoSpaceDE w:val="0"/>
        <w:autoSpaceDN w:val="0"/>
        <w:adjustRightInd w:val="0"/>
        <w:spacing w:before="312" w:beforeLines="100" w:after="124" w:afterLines="40" w:line="360" w:lineRule="auto"/>
        <w:rPr>
          <w:rFonts w:ascii="黑体" w:eastAsia="黑体" w:cs="黑体"/>
          <w:kern w:val="0"/>
          <w:szCs w:val="21"/>
          <w:lang w:val="zh-CN"/>
        </w:rPr>
      </w:pPr>
      <w:r>
        <w:rPr>
          <w:rFonts w:ascii="黑体" w:eastAsia="黑体" w:cs="黑体"/>
          <w:kern w:val="0"/>
          <w:szCs w:val="21"/>
          <w:lang w:val="zh-CN"/>
        </w:rPr>
        <w:t>3.3.2 HAST</w:t>
      </w:r>
      <w:r>
        <w:rPr>
          <w:kern w:val="0"/>
          <w:szCs w:val="21"/>
          <w:lang w:val="zh-CN"/>
        </w:rPr>
        <w:t> </w:t>
      </w:r>
      <w:r>
        <w:rPr>
          <w:rFonts w:hint="eastAsia" w:ascii="黑体" w:eastAsia="黑体" w:cs="黑体"/>
          <w:kern w:val="0"/>
          <w:szCs w:val="21"/>
          <w:lang w:val="zh-CN"/>
        </w:rPr>
        <w:t>试验箱</w:t>
      </w:r>
    </w:p>
    <w:p>
      <w:pPr>
        <w:autoSpaceDE w:val="0"/>
        <w:autoSpaceDN w:val="0"/>
        <w:adjustRightInd w:val="0"/>
        <w:spacing w:line="360" w:lineRule="auto"/>
        <w:ind w:left="420"/>
        <w:rPr>
          <w:kern w:val="0"/>
          <w:szCs w:val="21"/>
          <w:lang w:val="zh-CN"/>
        </w:rPr>
      </w:pPr>
      <w:r>
        <w:rPr>
          <w:kern w:val="0"/>
          <w:szCs w:val="21"/>
          <w:lang w:val="zh-CN"/>
        </w:rPr>
        <w:t>HAST </w:t>
      </w:r>
      <w:r>
        <w:rPr>
          <w:rFonts w:hint="eastAsia"/>
          <w:kern w:val="0"/>
          <w:szCs w:val="21"/>
          <w:lang w:val="zh-CN"/>
        </w:rPr>
        <w:t>试验箱应满足下列要求：</w:t>
      </w:r>
    </w:p>
    <w:p>
      <w:pPr>
        <w:autoSpaceDE w:val="0"/>
        <w:autoSpaceDN w:val="0"/>
        <w:adjustRightInd w:val="0"/>
        <w:spacing w:line="360" w:lineRule="auto"/>
        <w:ind w:left="630" w:leftChars="300"/>
        <w:rPr>
          <w:rFonts w:ascii="宋体" w:cs="宋体"/>
          <w:kern w:val="0"/>
          <w:szCs w:val="21"/>
          <w:lang w:val="zh-CN"/>
        </w:rPr>
      </w:pPr>
      <w:r>
        <w:rPr>
          <w:rFonts w:ascii="黑体" w:hAnsi="黑体" w:eastAsia="黑体" w:cs="黑体"/>
          <w:kern w:val="0"/>
          <w:szCs w:val="21"/>
          <w:lang w:val="zh-CN"/>
        </w:rPr>
        <w:t>a</w:t>
      </w:r>
      <w:r>
        <w:rPr>
          <w:rFonts w:hint="eastAsia" w:ascii="黑体" w:hAnsi="黑体" w:eastAsia="黑体" w:cs="黑体"/>
          <w:kern w:val="0"/>
          <w:szCs w:val="21"/>
          <w:lang w:val="zh-CN"/>
        </w:rPr>
        <w:t>）</w:t>
      </w:r>
      <w:r>
        <w:rPr>
          <w:rFonts w:ascii="宋体" w:cs="宋体"/>
          <w:kern w:val="0"/>
          <w:szCs w:val="21"/>
          <w:lang w:val="zh-CN"/>
        </w:rPr>
        <w:t xml:space="preserve"> </w:t>
      </w:r>
      <w:r>
        <w:rPr>
          <w:rFonts w:hint="eastAsia"/>
          <w:kern w:val="0"/>
          <w:szCs w:val="21"/>
          <w:lang w:val="zh-CN"/>
        </w:rPr>
        <w:t>能产生本文件表</w:t>
      </w:r>
      <w:r>
        <w:rPr>
          <w:kern w:val="0"/>
          <w:szCs w:val="21"/>
          <w:lang w:val="zh-CN"/>
        </w:rPr>
        <w:t> 1 </w:t>
      </w:r>
      <w:r>
        <w:rPr>
          <w:rFonts w:hint="eastAsia"/>
          <w:kern w:val="0"/>
          <w:szCs w:val="21"/>
          <w:lang w:val="zh-CN"/>
        </w:rPr>
        <w:t>所规定的</w:t>
      </w:r>
      <w:r>
        <w:rPr>
          <w:kern w:val="0"/>
          <w:szCs w:val="21"/>
          <w:lang w:val="zh-CN"/>
        </w:rPr>
        <w:t> HAST </w:t>
      </w:r>
      <w:r>
        <w:rPr>
          <w:rFonts w:hint="eastAsia"/>
          <w:kern w:val="0"/>
          <w:szCs w:val="21"/>
          <w:lang w:val="zh-CN"/>
        </w:rPr>
        <w:t>试验条件，并保持试验期间不间断；</w:t>
      </w:r>
    </w:p>
    <w:p>
      <w:pPr>
        <w:autoSpaceDE w:val="0"/>
        <w:autoSpaceDN w:val="0"/>
        <w:adjustRightInd w:val="0"/>
        <w:spacing w:line="360" w:lineRule="auto"/>
        <w:ind w:left="630" w:leftChars="300"/>
        <w:rPr>
          <w:rFonts w:ascii="宋体" w:cs="宋体"/>
          <w:kern w:val="0"/>
          <w:szCs w:val="21"/>
          <w:lang w:val="zh-CN"/>
        </w:rPr>
      </w:pPr>
      <w:r>
        <w:rPr>
          <w:rFonts w:ascii="黑体" w:hAnsi="黑体" w:eastAsia="黑体" w:cs="黑体"/>
          <w:kern w:val="0"/>
          <w:szCs w:val="21"/>
          <w:lang w:val="zh-CN"/>
        </w:rPr>
        <w:t>b</w:t>
      </w:r>
      <w:r>
        <w:rPr>
          <w:rFonts w:hint="eastAsia" w:ascii="黑体" w:hAnsi="黑体" w:eastAsia="黑体" w:cs="黑体"/>
          <w:kern w:val="0"/>
          <w:szCs w:val="21"/>
          <w:lang w:val="zh-CN"/>
        </w:rPr>
        <w:t>）</w:t>
      </w:r>
      <w:r>
        <w:rPr>
          <w:rFonts w:ascii="宋体" w:cs="宋体"/>
          <w:kern w:val="0"/>
          <w:szCs w:val="21"/>
          <w:lang w:val="zh-CN"/>
        </w:rPr>
        <w:t xml:space="preserve"> </w:t>
      </w:r>
      <w:r>
        <w:rPr>
          <w:rFonts w:hint="eastAsia"/>
          <w:kern w:val="0"/>
          <w:szCs w:val="21"/>
          <w:lang w:val="zh-CN"/>
        </w:rPr>
        <w:t>试验箱在恒温恒湿状态下，为确保放置样品的试验区湿度偏差在</w:t>
      </w:r>
      <w:r>
        <w:rPr>
          <w:kern w:val="0"/>
          <w:szCs w:val="21"/>
          <w:lang w:val="zh-CN"/>
        </w:rPr>
        <w:t> </w:t>
      </w:r>
      <w:r>
        <w:rPr>
          <w:rFonts w:hint="eastAsia"/>
          <w:kern w:val="0"/>
          <w:szCs w:val="21"/>
          <w:lang w:val="zh-CN"/>
        </w:rPr>
        <w:t>±</w:t>
      </w:r>
      <w:r>
        <w:rPr>
          <w:kern w:val="0"/>
          <w:szCs w:val="21"/>
          <w:lang w:val="zh-CN"/>
        </w:rPr>
        <w:t>5</w:t>
      </w:r>
      <w:r>
        <w:rPr>
          <w:rFonts w:eastAsia="MS Mincho"/>
          <w:kern w:val="0"/>
          <w:szCs w:val="21"/>
          <w:lang w:val="zh-CN"/>
        </w:rPr>
        <w:t> </w:t>
      </w:r>
      <w:r>
        <w:rPr>
          <w:kern w:val="0"/>
          <w:szCs w:val="21"/>
          <w:lang w:val="zh-CN"/>
        </w:rPr>
        <w:t>%RH </w:t>
      </w:r>
      <w:r>
        <w:rPr>
          <w:rFonts w:hint="eastAsia"/>
          <w:kern w:val="0"/>
          <w:szCs w:val="21"/>
          <w:lang w:val="zh-CN"/>
        </w:rPr>
        <w:t>范围内，该试验区温度均匀度应小于</w:t>
      </w:r>
      <w:r>
        <w:rPr>
          <w:kern w:val="0"/>
          <w:szCs w:val="21"/>
          <w:lang w:val="zh-CN"/>
        </w:rPr>
        <w:t> 2</w:t>
      </w:r>
      <w:r>
        <w:rPr>
          <w:rFonts w:eastAsia="MS Mincho"/>
          <w:kern w:val="0"/>
          <w:szCs w:val="21"/>
          <w:lang w:val="zh-CN"/>
        </w:rPr>
        <w:t> </w:t>
      </w:r>
      <w:r>
        <w:rPr>
          <w:rFonts w:hint="eastAsia"/>
          <w:kern w:val="0"/>
          <w:szCs w:val="21"/>
          <w:lang w:val="zh-CN"/>
        </w:rPr>
        <w:t>℃，温度波动度应在</w:t>
      </w:r>
      <w:r>
        <w:rPr>
          <w:rFonts w:eastAsia="MS Mincho"/>
          <w:kern w:val="0"/>
          <w:szCs w:val="21"/>
          <w:lang w:val="zh-CN"/>
        </w:rPr>
        <w:t> </w:t>
      </w:r>
      <w:r>
        <w:rPr>
          <w:rFonts w:hint="eastAsia"/>
          <w:kern w:val="0"/>
          <w:szCs w:val="21"/>
          <w:lang w:val="zh-CN"/>
        </w:rPr>
        <w:t>±</w:t>
      </w:r>
      <w:r>
        <w:rPr>
          <w:kern w:val="0"/>
          <w:szCs w:val="21"/>
          <w:lang w:val="zh-CN"/>
        </w:rPr>
        <w:t>1</w:t>
      </w:r>
      <w:r>
        <w:rPr>
          <w:rFonts w:eastAsia="MS Mincho"/>
          <w:kern w:val="0"/>
          <w:szCs w:val="21"/>
          <w:lang w:val="zh-CN"/>
        </w:rPr>
        <w:t> </w:t>
      </w:r>
      <w:r>
        <w:rPr>
          <w:rFonts w:hint="eastAsia"/>
          <w:kern w:val="0"/>
          <w:szCs w:val="21"/>
          <w:lang w:val="zh-CN"/>
        </w:rPr>
        <w:t>℃范围内；</w:t>
      </w:r>
    </w:p>
    <w:p>
      <w:pPr>
        <w:autoSpaceDE w:val="0"/>
        <w:autoSpaceDN w:val="0"/>
        <w:adjustRightInd w:val="0"/>
        <w:spacing w:line="360" w:lineRule="auto"/>
        <w:ind w:left="630" w:leftChars="300"/>
        <w:rPr>
          <w:rFonts w:ascii="宋体" w:cs="宋体"/>
          <w:kern w:val="0"/>
          <w:szCs w:val="21"/>
          <w:lang w:val="zh-CN"/>
        </w:rPr>
      </w:pPr>
      <w:r>
        <w:rPr>
          <w:rFonts w:ascii="黑体" w:hAnsi="黑体" w:eastAsia="黑体" w:cs="黑体"/>
          <w:kern w:val="0"/>
          <w:szCs w:val="21"/>
          <w:lang w:val="zh-CN"/>
        </w:rPr>
        <w:t>c</w:t>
      </w:r>
      <w:r>
        <w:rPr>
          <w:rFonts w:hint="eastAsia" w:ascii="黑体" w:hAnsi="黑体" w:eastAsia="黑体" w:cs="黑体"/>
          <w:kern w:val="0"/>
          <w:szCs w:val="21"/>
          <w:lang w:val="zh-CN"/>
        </w:rPr>
        <w:t>）</w:t>
      </w:r>
      <w:r>
        <w:rPr>
          <w:rFonts w:ascii="宋体" w:cs="宋体"/>
          <w:kern w:val="0"/>
          <w:szCs w:val="21"/>
          <w:lang w:val="zh-CN"/>
        </w:rPr>
        <w:t xml:space="preserve"> </w:t>
      </w:r>
      <w:r>
        <w:rPr>
          <w:rFonts w:hint="eastAsia" w:ascii="宋体" w:cs="宋体"/>
          <w:kern w:val="0"/>
          <w:szCs w:val="21"/>
          <w:lang w:val="zh-CN"/>
        </w:rPr>
        <w:t>在升温阶段，试验箱样品区的温度始终比加湿水的温度高，并确保试验中水蒸</w:t>
      </w:r>
      <w:r>
        <w:rPr>
          <w:rFonts w:hint="eastAsia" w:ascii="宋体" w:cs="宋体"/>
          <w:kern w:val="0"/>
          <w:szCs w:val="21"/>
        </w:rPr>
        <w:t>汽</w:t>
      </w:r>
      <w:r>
        <w:rPr>
          <w:rFonts w:hint="eastAsia" w:ascii="宋体" w:cs="宋体"/>
          <w:kern w:val="0"/>
          <w:szCs w:val="21"/>
          <w:lang w:val="zh-CN"/>
        </w:rPr>
        <w:t>在样品表面不会形成凝露。</w:t>
      </w:r>
    </w:p>
    <w:p>
      <w:pPr>
        <w:autoSpaceDE w:val="0"/>
        <w:autoSpaceDN w:val="0"/>
        <w:adjustRightInd w:val="0"/>
        <w:spacing w:line="360" w:lineRule="auto"/>
        <w:ind w:left="630" w:leftChars="300"/>
        <w:rPr>
          <w:rFonts w:ascii="宋体" w:cs="宋体"/>
          <w:kern w:val="0"/>
          <w:szCs w:val="21"/>
          <w:lang w:val="zh-CN"/>
        </w:rPr>
      </w:pPr>
      <w:r>
        <w:rPr>
          <w:rFonts w:hint="eastAsia" w:ascii="黑体" w:hAnsi="黑体" w:eastAsia="黑体" w:cs="黑体"/>
          <w:kern w:val="0"/>
          <w:szCs w:val="21"/>
        </w:rPr>
        <w:t>d</w:t>
      </w:r>
      <w:r>
        <w:rPr>
          <w:rFonts w:hint="eastAsia" w:ascii="黑体" w:hAnsi="黑体" w:eastAsia="黑体" w:cs="黑体"/>
          <w:kern w:val="0"/>
          <w:szCs w:val="21"/>
          <w:lang w:val="zh-CN"/>
        </w:rPr>
        <w:t>）</w:t>
      </w:r>
      <w:r>
        <w:rPr>
          <w:rFonts w:hint="eastAsia" w:ascii="黑体" w:hAnsi="黑体" w:eastAsia="黑体" w:cs="黑体"/>
          <w:kern w:val="0"/>
          <w:szCs w:val="21"/>
          <w:lang w:val="en-US" w:eastAsia="zh-CN"/>
        </w:rPr>
        <w:t xml:space="preserve"> </w:t>
      </w:r>
      <w:r>
        <w:rPr>
          <w:rFonts w:hint="eastAsia" w:ascii="宋体" w:cs="宋体"/>
          <w:kern w:val="0"/>
          <w:szCs w:val="21"/>
          <w:lang w:val="zh-CN"/>
        </w:rPr>
        <w:t>试验箱内壁凝露不允许滴落在试验样品上；</w:t>
      </w:r>
    </w:p>
    <w:p>
      <w:pPr>
        <w:autoSpaceDE w:val="0"/>
        <w:autoSpaceDN w:val="0"/>
        <w:adjustRightInd w:val="0"/>
        <w:spacing w:line="360" w:lineRule="auto"/>
        <w:ind w:left="630" w:leftChars="300"/>
        <w:rPr>
          <w:rFonts w:ascii="宋体" w:cs="宋体"/>
          <w:kern w:val="0"/>
          <w:szCs w:val="21"/>
          <w:lang w:val="zh-CN"/>
        </w:rPr>
      </w:pPr>
      <w:r>
        <w:rPr>
          <w:rFonts w:hint="eastAsia" w:ascii="黑体" w:hAnsi="黑体" w:eastAsia="黑体" w:cs="黑体"/>
          <w:kern w:val="0"/>
          <w:szCs w:val="21"/>
        </w:rPr>
        <w:t>e</w:t>
      </w:r>
      <w:r>
        <w:rPr>
          <w:rFonts w:hint="eastAsia" w:ascii="黑体" w:hAnsi="黑体" w:eastAsia="黑体" w:cs="黑体"/>
          <w:kern w:val="0"/>
          <w:szCs w:val="21"/>
          <w:lang w:val="zh-CN"/>
        </w:rPr>
        <w:t>）</w:t>
      </w:r>
      <w:r>
        <w:rPr>
          <w:rFonts w:ascii="宋体" w:cs="宋体"/>
          <w:kern w:val="0"/>
          <w:szCs w:val="21"/>
          <w:lang w:val="zh-CN"/>
        </w:rPr>
        <w:t xml:space="preserve"> </w:t>
      </w:r>
      <w:r>
        <w:rPr>
          <w:rFonts w:hint="eastAsia" w:ascii="宋体" w:cs="宋体"/>
          <w:kern w:val="0"/>
          <w:szCs w:val="21"/>
          <w:lang w:val="zh-CN"/>
        </w:rPr>
        <w:t>试验箱内湿度传感器上湿球纱布在试验时应始终处于充分湿润状态。</w:t>
      </w:r>
    </w:p>
    <w:p>
      <w:pPr>
        <w:autoSpaceDE w:val="0"/>
        <w:autoSpaceDN w:val="0"/>
        <w:adjustRightInd w:val="0"/>
        <w:spacing w:before="436" w:beforeLines="140" w:after="249" w:afterLines="80" w:line="360" w:lineRule="auto"/>
        <w:outlineLvl w:val="0"/>
        <w:rPr>
          <w:rFonts w:ascii="黑体" w:eastAsia="黑体" w:cs="黑体"/>
          <w:kern w:val="0"/>
          <w:szCs w:val="21"/>
          <w:lang w:val="zh-CN"/>
        </w:rPr>
      </w:pPr>
      <w:bookmarkStart w:id="70" w:name="_Toc6392"/>
      <w:bookmarkStart w:id="71" w:name="_Toc109033105"/>
      <w:bookmarkStart w:id="72" w:name="_Toc23244"/>
      <w:bookmarkStart w:id="73" w:name="_Toc10967"/>
      <w:bookmarkStart w:id="74" w:name="_Toc17231"/>
      <w:bookmarkStart w:id="75" w:name="_Toc16348"/>
      <w:bookmarkStart w:id="76" w:name="_Toc3735"/>
      <w:bookmarkStart w:id="77" w:name="_Toc9772"/>
      <w:bookmarkStart w:id="78" w:name="_Toc3135"/>
    </w:p>
    <w:p>
      <w:pPr>
        <w:autoSpaceDE w:val="0"/>
        <w:autoSpaceDN w:val="0"/>
        <w:adjustRightInd w:val="0"/>
        <w:spacing w:before="436" w:beforeLines="140" w:after="249" w:afterLines="80" w:line="360" w:lineRule="auto"/>
        <w:outlineLvl w:val="0"/>
        <w:rPr>
          <w:rFonts w:ascii="黑体" w:eastAsia="黑体" w:cs="黑体"/>
          <w:kern w:val="0"/>
          <w:szCs w:val="21"/>
          <w:lang w:val="zh-CN"/>
        </w:rPr>
      </w:pPr>
      <w:r>
        <w:rPr>
          <w:rFonts w:ascii="黑体" w:eastAsia="黑体" w:cs="黑体"/>
          <w:kern w:val="0"/>
          <w:szCs w:val="21"/>
          <w:lang w:val="zh-CN"/>
        </w:rPr>
        <w:t xml:space="preserve">4  </w:t>
      </w:r>
      <w:r>
        <w:rPr>
          <w:rFonts w:hint="eastAsia" w:ascii="黑体" w:eastAsia="黑体" w:cs="黑体"/>
          <w:kern w:val="0"/>
          <w:szCs w:val="21"/>
          <w:lang w:val="zh-CN"/>
        </w:rPr>
        <w:t>试验用水</w:t>
      </w:r>
      <w:bookmarkEnd w:id="70"/>
      <w:bookmarkEnd w:id="71"/>
      <w:bookmarkEnd w:id="72"/>
      <w:bookmarkEnd w:id="73"/>
      <w:bookmarkEnd w:id="74"/>
      <w:bookmarkEnd w:id="75"/>
      <w:bookmarkEnd w:id="76"/>
      <w:bookmarkEnd w:id="77"/>
      <w:bookmarkEnd w:id="78"/>
    </w:p>
    <w:p>
      <w:pPr>
        <w:autoSpaceDE w:val="0"/>
        <w:autoSpaceDN w:val="0"/>
        <w:adjustRightInd w:val="0"/>
        <w:spacing w:line="360" w:lineRule="auto"/>
        <w:ind w:firstLine="420" w:firstLineChars="200"/>
        <w:rPr>
          <w:rFonts w:ascii="黑体" w:hAnsi="Calibri" w:eastAsia="黑体" w:cs="黑体"/>
          <w:kern w:val="0"/>
          <w:szCs w:val="21"/>
          <w:lang w:val="zh-CN"/>
        </w:rPr>
      </w:pPr>
      <w:r>
        <w:rPr>
          <w:rFonts w:hint="eastAsia"/>
          <w:kern w:val="0"/>
          <w:szCs w:val="21"/>
          <w:lang w:val="zh-CN"/>
        </w:rPr>
        <w:t>应使用蒸馏水或去离子水</w:t>
      </w:r>
      <w:r>
        <w:rPr>
          <w:rFonts w:hint="eastAsia"/>
          <w:kern w:val="0"/>
          <w:szCs w:val="21"/>
        </w:rPr>
        <w:t>的一种</w:t>
      </w:r>
      <w:r>
        <w:rPr>
          <w:rFonts w:hint="eastAsia"/>
          <w:kern w:val="0"/>
          <w:szCs w:val="21"/>
          <w:lang w:val="zh-CN"/>
        </w:rPr>
        <w:t>作为试验用水。室温条件下，</w:t>
      </w:r>
      <w:r>
        <w:rPr>
          <w:rFonts w:hint="eastAsia"/>
          <w:kern w:val="0"/>
          <w:szCs w:val="21"/>
          <w:lang w:val="en-US" w:eastAsia="zh-CN"/>
        </w:rPr>
        <w:t>试验用水的</w:t>
      </w:r>
      <w:r>
        <w:rPr>
          <w:kern w:val="0"/>
          <w:szCs w:val="21"/>
          <w:lang w:val="zh-CN"/>
        </w:rPr>
        <w:t>pH </w:t>
      </w:r>
      <w:r>
        <w:rPr>
          <w:rFonts w:hint="eastAsia"/>
          <w:kern w:val="0"/>
          <w:szCs w:val="21"/>
          <w:lang w:val="zh-CN"/>
        </w:rPr>
        <w:t>值应在</w:t>
      </w:r>
      <w:r>
        <w:rPr>
          <w:kern w:val="0"/>
          <w:szCs w:val="21"/>
          <w:lang w:val="zh-CN"/>
        </w:rPr>
        <w:t> 6.0 </w:t>
      </w:r>
      <w:r>
        <w:rPr>
          <w:rFonts w:hint="eastAsia"/>
          <w:kern w:val="0"/>
          <w:szCs w:val="21"/>
        </w:rPr>
        <w:t>~</w:t>
      </w:r>
      <w:r>
        <w:rPr>
          <w:kern w:val="0"/>
          <w:szCs w:val="21"/>
          <w:lang w:val="zh-CN"/>
        </w:rPr>
        <w:t> 7.2 </w:t>
      </w:r>
      <w:r>
        <w:rPr>
          <w:rFonts w:hint="eastAsia"/>
          <w:kern w:val="0"/>
          <w:szCs w:val="21"/>
          <w:lang w:val="zh-CN"/>
        </w:rPr>
        <w:t>之间，</w:t>
      </w:r>
      <w:r>
        <w:rPr>
          <w:rFonts w:hint="eastAsia"/>
          <w:kern w:val="0"/>
          <w:szCs w:val="21"/>
          <w:lang w:val="en-US" w:eastAsia="zh-CN"/>
        </w:rPr>
        <w:t>普通恒定湿热和HAST试验的</w:t>
      </w:r>
      <w:r>
        <w:rPr>
          <w:rFonts w:hint="eastAsia"/>
          <w:kern w:val="0"/>
          <w:szCs w:val="21"/>
          <w:lang w:val="zh-CN"/>
        </w:rPr>
        <w:t>试验用水电阻率应不小于</w:t>
      </w:r>
      <w:r>
        <w:rPr>
          <w:rFonts w:hint="eastAsia"/>
          <w:kern w:val="0"/>
          <w:szCs w:val="21"/>
        </w:rPr>
        <w:t>0.5</w:t>
      </w:r>
      <w:r>
        <w:rPr>
          <w:kern w:val="0"/>
          <w:szCs w:val="21"/>
          <w:lang w:val="zh-CN"/>
        </w:rPr>
        <w:t> MΩ • cm </w:t>
      </w:r>
      <w:r>
        <w:rPr>
          <w:rFonts w:hint="eastAsia"/>
          <w:kern w:val="0"/>
          <w:szCs w:val="21"/>
          <w:lang w:val="zh-CN"/>
        </w:rPr>
        <w:t>，</w:t>
      </w:r>
      <w:r>
        <w:rPr>
          <w:rFonts w:hint="eastAsia"/>
          <w:kern w:val="0"/>
          <w:szCs w:val="21"/>
          <w:lang w:val="en-US" w:eastAsia="zh-CN"/>
        </w:rPr>
        <w:t>PCT试验的试验用水电阻率应不小于1</w:t>
      </w:r>
      <w:r>
        <w:rPr>
          <w:kern w:val="0"/>
          <w:szCs w:val="21"/>
          <w:lang w:val="zh-CN"/>
        </w:rPr>
        <w:t>MΩ • cm</w:t>
      </w:r>
      <w:r>
        <w:rPr>
          <w:rFonts w:hint="eastAsia"/>
          <w:kern w:val="0"/>
          <w:szCs w:val="21"/>
          <w:lang w:val="zh-CN"/>
        </w:rPr>
        <w:t>。。</w:t>
      </w:r>
    </w:p>
    <w:p>
      <w:pPr>
        <w:autoSpaceDE w:val="0"/>
        <w:autoSpaceDN w:val="0"/>
        <w:adjustRightInd w:val="0"/>
        <w:spacing w:line="360" w:lineRule="auto"/>
        <w:ind w:left="780" w:leftChars="200" w:hanging="360" w:hangingChars="200"/>
        <w:rPr>
          <w:rFonts w:ascii="黑体" w:eastAsia="黑体" w:cs="黑体"/>
          <w:kern w:val="0"/>
          <w:szCs w:val="21"/>
          <w:lang w:val="zh-CN"/>
        </w:rPr>
      </w:pPr>
      <w:r>
        <w:rPr>
          <w:rFonts w:hint="eastAsia" w:ascii="黑体" w:hAnsi="Calibri" w:eastAsia="黑体" w:cs="黑体"/>
          <w:kern w:val="0"/>
          <w:sz w:val="18"/>
          <w:szCs w:val="18"/>
          <w:lang w:val="zh-CN"/>
        </w:rPr>
        <w:t>注：</w:t>
      </w:r>
      <w:r>
        <w:rPr>
          <w:rFonts w:hint="eastAsia" w:ascii="宋体" w:hAnsi="宋体" w:eastAsia="宋体" w:cs="宋体"/>
          <w:kern w:val="0"/>
          <w:sz w:val="18"/>
          <w:szCs w:val="18"/>
          <w:lang w:val="zh-CN"/>
        </w:rPr>
        <w:t>试验期间及试验后从试验箱排出的水不得循环使用。</w:t>
      </w:r>
      <w:r>
        <w:rPr>
          <w:rFonts w:hint="eastAsia" w:ascii="宋体" w:hAnsi="Calibri" w:cs="宋体"/>
          <w:kern w:val="0"/>
          <w:sz w:val="18"/>
          <w:szCs w:val="18"/>
          <w:lang w:val="zh-CN"/>
        </w:rPr>
        <w:t>试验箱排出的水，其电阻率或</w:t>
      </w:r>
      <w:r>
        <w:rPr>
          <w:rFonts w:ascii="宋体" w:hAnsi="Calibri" w:cs="宋体"/>
          <w:kern w:val="0"/>
          <w:sz w:val="18"/>
          <w:szCs w:val="18"/>
          <w:lang w:val="zh-CN"/>
        </w:rPr>
        <w:t>pH</w:t>
      </w:r>
      <w:r>
        <w:rPr>
          <w:rFonts w:hint="eastAsia" w:ascii="宋体" w:hAnsi="Calibri" w:cs="宋体"/>
          <w:kern w:val="0"/>
          <w:sz w:val="18"/>
          <w:szCs w:val="18"/>
          <w:lang w:val="zh-CN"/>
        </w:rPr>
        <w:t>值很难满足上述质量要求，还会影响湿球纱布吸湿性及寿命，会导致试验箱湿度显示值与真实值之间可能存在较大偏差。</w:t>
      </w:r>
      <w:bookmarkStart w:id="79" w:name="_Toc109033106"/>
      <w:bookmarkStart w:id="80" w:name="_Toc12853"/>
      <w:bookmarkStart w:id="81" w:name="_Toc6927"/>
      <w:bookmarkStart w:id="82" w:name="_Toc2209"/>
      <w:bookmarkStart w:id="83" w:name="_Toc10428"/>
      <w:bookmarkStart w:id="84" w:name="_Toc8569"/>
      <w:bookmarkStart w:id="85" w:name="_Toc24683"/>
    </w:p>
    <w:p>
      <w:pPr>
        <w:autoSpaceDE w:val="0"/>
        <w:autoSpaceDN w:val="0"/>
        <w:adjustRightInd w:val="0"/>
        <w:spacing w:before="468" w:beforeLines="150" w:after="312" w:afterLines="100" w:line="360" w:lineRule="auto"/>
        <w:outlineLvl w:val="0"/>
        <w:rPr>
          <w:rFonts w:ascii="黑体" w:eastAsia="黑体" w:cs="黑体"/>
          <w:kern w:val="0"/>
          <w:szCs w:val="21"/>
          <w:lang w:val="zh-CN"/>
        </w:rPr>
      </w:pPr>
      <w:bookmarkStart w:id="86" w:name="_Toc19421"/>
      <w:bookmarkStart w:id="87" w:name="_Toc7401"/>
      <w:r>
        <w:rPr>
          <w:rFonts w:ascii="黑体" w:eastAsia="黑体" w:cs="黑体"/>
          <w:kern w:val="0"/>
          <w:szCs w:val="21"/>
          <w:lang w:val="zh-CN"/>
        </w:rPr>
        <w:t xml:space="preserve">5  </w:t>
      </w:r>
      <w:r>
        <w:rPr>
          <w:rFonts w:hint="eastAsia" w:ascii="黑体" w:eastAsia="黑体" w:cs="黑体"/>
          <w:kern w:val="0"/>
          <w:szCs w:val="21"/>
          <w:lang w:val="zh-CN"/>
        </w:rPr>
        <w:t>试验条件</w:t>
      </w:r>
      <w:bookmarkEnd w:id="79"/>
      <w:bookmarkEnd w:id="80"/>
      <w:bookmarkEnd w:id="81"/>
      <w:bookmarkEnd w:id="82"/>
      <w:bookmarkEnd w:id="83"/>
      <w:bookmarkEnd w:id="84"/>
      <w:bookmarkEnd w:id="85"/>
      <w:bookmarkEnd w:id="86"/>
      <w:bookmarkEnd w:id="87"/>
    </w:p>
    <w:p>
      <w:pPr>
        <w:tabs>
          <w:tab w:val="center" w:pos="4201"/>
          <w:tab w:val="right" w:leader="dot" w:pos="9298"/>
        </w:tabs>
        <w:autoSpaceDE w:val="0"/>
        <w:autoSpaceDN w:val="0"/>
        <w:adjustRightInd w:val="0"/>
        <w:spacing w:after="156" w:afterLines="50" w:line="360" w:lineRule="auto"/>
        <w:ind w:firstLine="425"/>
        <w:rPr>
          <w:kern w:val="0"/>
          <w:szCs w:val="21"/>
          <w:lang w:val="zh-CN"/>
        </w:rPr>
      </w:pPr>
      <w:r>
        <w:rPr>
          <w:rFonts w:hint="eastAsia"/>
          <w:kern w:val="0"/>
          <w:szCs w:val="21"/>
          <w:lang w:val="zh-CN"/>
        </w:rPr>
        <w:t>烧结钕铁硼永磁体产品恒定湿热试验按表</w:t>
      </w:r>
      <w:r>
        <w:rPr>
          <w:kern w:val="0"/>
          <w:szCs w:val="21"/>
          <w:lang w:val="zh-CN"/>
        </w:rPr>
        <w:t>1</w:t>
      </w:r>
      <w:r>
        <w:rPr>
          <w:rFonts w:hint="eastAsia"/>
          <w:kern w:val="0"/>
          <w:szCs w:val="21"/>
          <w:lang w:val="zh-CN"/>
        </w:rPr>
        <w:t>规定试验条件进行，表</w:t>
      </w:r>
      <w:r>
        <w:rPr>
          <w:kern w:val="0"/>
          <w:szCs w:val="21"/>
          <w:lang w:val="zh-CN"/>
        </w:rPr>
        <w:t>1</w:t>
      </w:r>
      <w:r>
        <w:rPr>
          <w:rFonts w:hint="eastAsia"/>
          <w:kern w:val="0"/>
          <w:szCs w:val="21"/>
          <w:lang w:val="zh-CN"/>
        </w:rPr>
        <w:t>中试验持续时间适用于质量在</w:t>
      </w:r>
      <w:r>
        <w:rPr>
          <w:kern w:val="0"/>
          <w:szCs w:val="21"/>
          <w:lang w:val="zh-CN"/>
        </w:rPr>
        <w:t>0.3</w:t>
      </w:r>
      <w:r>
        <w:rPr>
          <w:rFonts w:eastAsia="MS Mincho"/>
          <w:kern w:val="0"/>
          <w:szCs w:val="21"/>
          <w:lang w:val="zh-CN"/>
        </w:rPr>
        <w:t> </w:t>
      </w:r>
      <w:r>
        <w:rPr>
          <w:kern w:val="0"/>
          <w:szCs w:val="21"/>
          <w:lang w:val="zh-CN"/>
        </w:rPr>
        <w:t>g</w:t>
      </w:r>
      <w:r>
        <w:rPr>
          <w:rFonts w:hint="eastAsia"/>
          <w:kern w:val="0"/>
          <w:szCs w:val="21"/>
          <w:lang w:val="zh-CN"/>
        </w:rPr>
        <w:t>～</w:t>
      </w:r>
      <w:r>
        <w:rPr>
          <w:kern w:val="0"/>
          <w:szCs w:val="21"/>
          <w:lang w:val="zh-CN"/>
        </w:rPr>
        <w:t>100</w:t>
      </w:r>
      <w:r>
        <w:rPr>
          <w:rFonts w:eastAsia="MS Mincho"/>
          <w:kern w:val="0"/>
          <w:szCs w:val="21"/>
          <w:lang w:val="zh-CN"/>
        </w:rPr>
        <w:t> </w:t>
      </w:r>
      <w:r>
        <w:rPr>
          <w:kern w:val="0"/>
          <w:szCs w:val="21"/>
          <w:lang w:val="zh-CN"/>
        </w:rPr>
        <w:t>g</w:t>
      </w:r>
      <w:r>
        <w:rPr>
          <w:rFonts w:hint="eastAsia"/>
          <w:kern w:val="0"/>
          <w:szCs w:val="21"/>
          <w:lang w:val="zh-CN"/>
        </w:rPr>
        <w:t>范围内常规防护层厚度的圆片或方片钕铁硼永磁体样品。异形或有特殊要求的产品，可参考相关规定，试验持续时间允许与表</w:t>
      </w:r>
      <w:r>
        <w:rPr>
          <w:rFonts w:eastAsia="MS Mincho"/>
          <w:kern w:val="0"/>
          <w:szCs w:val="21"/>
          <w:lang w:val="zh-CN"/>
        </w:rPr>
        <w:t> </w:t>
      </w:r>
      <w:r>
        <w:rPr>
          <w:kern w:val="0"/>
          <w:szCs w:val="21"/>
          <w:lang w:val="zh-CN"/>
        </w:rPr>
        <w:t>1</w:t>
      </w:r>
      <w:r>
        <w:rPr>
          <w:rFonts w:eastAsia="MS Mincho"/>
          <w:kern w:val="0"/>
          <w:szCs w:val="21"/>
          <w:lang w:val="zh-CN"/>
        </w:rPr>
        <w:t> </w:t>
      </w:r>
      <w:r>
        <w:rPr>
          <w:rFonts w:hint="eastAsia"/>
          <w:kern w:val="0"/>
          <w:szCs w:val="21"/>
          <w:lang w:val="zh-CN"/>
        </w:rPr>
        <w:t>中规定有一定偏离。</w:t>
      </w:r>
    </w:p>
    <w:p>
      <w:pPr>
        <w:autoSpaceDE w:val="0"/>
        <w:autoSpaceDN w:val="0"/>
        <w:adjustRightInd w:val="0"/>
        <w:spacing w:before="156" w:beforeLines="50" w:after="156" w:afterLines="50" w:line="360" w:lineRule="auto"/>
        <w:jc w:val="center"/>
        <w:rPr>
          <w:rFonts w:ascii="黑体" w:eastAsia="黑体" w:cs="黑体"/>
          <w:kern w:val="0"/>
          <w:szCs w:val="21"/>
          <w:lang w:val="zh-CN"/>
        </w:rPr>
      </w:pPr>
      <w:r>
        <w:rPr>
          <w:rFonts w:hint="eastAsia" w:ascii="黑体" w:eastAsia="黑体" w:cs="黑体"/>
          <w:kern w:val="0"/>
          <w:szCs w:val="21"/>
          <w:lang w:val="zh-CN"/>
        </w:rPr>
        <w:t>表</w:t>
      </w:r>
      <w:r>
        <w:rPr>
          <w:rFonts w:ascii="黑体" w:eastAsia="黑体" w:cs="黑体"/>
          <w:spacing w:val="-20"/>
          <w:kern w:val="0"/>
          <w:szCs w:val="21"/>
          <w:lang w:val="zh-CN"/>
        </w:rPr>
        <w:t xml:space="preserve"> </w:t>
      </w:r>
      <w:r>
        <w:rPr>
          <w:rFonts w:ascii="黑体" w:eastAsia="黑体" w:cs="黑体"/>
          <w:kern w:val="0"/>
          <w:szCs w:val="21"/>
          <w:lang w:val="zh-CN"/>
        </w:rPr>
        <w:t xml:space="preserve">1 </w:t>
      </w:r>
      <w:r>
        <w:rPr>
          <w:rFonts w:hint="eastAsia" w:ascii="黑体" w:eastAsia="黑体" w:cs="黑体"/>
          <w:kern w:val="0"/>
          <w:szCs w:val="21"/>
          <w:lang w:val="zh-CN"/>
        </w:rPr>
        <w:t>烧结钕铁硼永磁体恒定湿热试验条件</w:t>
      </w:r>
    </w:p>
    <w:tbl>
      <w:tblPr>
        <w:tblStyle w:val="37"/>
        <w:tblW w:w="9889" w:type="dxa"/>
        <w:jc w:val="center"/>
        <w:tblLayout w:type="fixed"/>
        <w:tblCellMar>
          <w:top w:w="0" w:type="dxa"/>
          <w:left w:w="108" w:type="dxa"/>
          <w:bottom w:w="0" w:type="dxa"/>
          <w:right w:w="108" w:type="dxa"/>
        </w:tblCellMar>
      </w:tblPr>
      <w:tblGrid>
        <w:gridCol w:w="815"/>
        <w:gridCol w:w="789"/>
        <w:gridCol w:w="731"/>
        <w:gridCol w:w="1077"/>
        <w:gridCol w:w="949"/>
        <w:gridCol w:w="961"/>
        <w:gridCol w:w="4567"/>
      </w:tblGrid>
      <w:tr>
        <w:tblPrEx>
          <w:tblCellMar>
            <w:top w:w="0" w:type="dxa"/>
            <w:left w:w="108" w:type="dxa"/>
            <w:bottom w:w="0" w:type="dxa"/>
            <w:right w:w="108" w:type="dxa"/>
          </w:tblCellMar>
        </w:tblPrEx>
        <w:trPr>
          <w:trHeight w:val="1" w:hRule="atLeast"/>
          <w:jc w:val="center"/>
        </w:trPr>
        <w:tc>
          <w:tcPr>
            <w:tcW w:w="160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hint="eastAsia" w:asciiTheme="minorEastAsia" w:hAnsiTheme="minorEastAsia" w:eastAsiaTheme="minorEastAsia"/>
                <w:kern w:val="0"/>
                <w:sz w:val="18"/>
                <w:szCs w:val="18"/>
                <w:lang w:val="zh-CN"/>
              </w:rPr>
              <w:t>试验类型</w:t>
            </w:r>
          </w:p>
        </w:tc>
        <w:tc>
          <w:tcPr>
            <w:tcW w:w="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lang w:val="zh-CN"/>
              </w:rPr>
              <w:t>温度</w:t>
            </w:r>
            <w:r>
              <w:rPr>
                <w:rFonts w:hint="eastAsia" w:asciiTheme="minorEastAsia" w:hAnsiTheme="minorEastAsia" w:eastAsiaTheme="minorEastAsia"/>
                <w:kern w:val="0"/>
                <w:sz w:val="18"/>
                <w:szCs w:val="18"/>
                <w:vertAlign w:val="superscript"/>
                <w:lang w:val="zh-CN"/>
              </w:rPr>
              <w:t>a</w:t>
            </w:r>
          </w:p>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w:t>
            </w:r>
            <w:r>
              <w:rPr>
                <w:rFonts w:hint="eastAsia" w:asciiTheme="minorEastAsia" w:hAnsiTheme="minorEastAsia" w:eastAsiaTheme="minorEastAsia"/>
                <w:kern w:val="0"/>
                <w:sz w:val="18"/>
                <w:szCs w:val="18"/>
                <w:lang w:val="zh-CN"/>
              </w:rPr>
              <w:t>℃</w:t>
            </w:r>
            <w:r>
              <w:rPr>
                <w:rFonts w:asciiTheme="minorEastAsia" w:hAnsiTheme="minorEastAsia" w:eastAsiaTheme="minorEastAsia"/>
                <w:kern w:val="0"/>
                <w:sz w:val="18"/>
                <w:szCs w:val="18"/>
              </w:rPr>
              <w:t>)</w:t>
            </w:r>
          </w:p>
        </w:tc>
        <w:tc>
          <w:tcPr>
            <w:tcW w:w="10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lang w:val="zh-CN"/>
              </w:rPr>
              <w:t>相对湿度</w:t>
            </w:r>
            <w:r>
              <w:rPr>
                <w:rFonts w:asciiTheme="minorEastAsia" w:hAnsiTheme="minorEastAsia" w:eastAsiaTheme="minorEastAsia"/>
                <w:kern w:val="0"/>
                <w:sz w:val="18"/>
                <w:szCs w:val="18"/>
                <w:vertAlign w:val="superscript"/>
              </w:rPr>
              <w:t>b</w:t>
            </w:r>
          </w:p>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(%RH)</w:t>
            </w:r>
          </w:p>
        </w:tc>
        <w:tc>
          <w:tcPr>
            <w:tcW w:w="9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Theme="minorEastAsia" w:hAnsiTheme="minorEastAsia" w:eastAsiaTheme="minorEastAsia"/>
                <w:kern w:val="0"/>
                <w:sz w:val="18"/>
                <w:szCs w:val="18"/>
                <w:lang w:val="zh-CN"/>
              </w:rPr>
            </w:pPr>
            <w:r>
              <w:rPr>
                <w:rFonts w:hint="eastAsia" w:asciiTheme="minorEastAsia" w:hAnsiTheme="minorEastAsia" w:eastAsiaTheme="minorEastAsia"/>
                <w:kern w:val="0"/>
                <w:sz w:val="18"/>
                <w:szCs w:val="18"/>
                <w:lang w:val="zh-CN"/>
              </w:rPr>
              <w:t>绝对</w:t>
            </w:r>
          </w:p>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hint="eastAsia" w:asciiTheme="minorEastAsia" w:hAnsiTheme="minorEastAsia" w:eastAsiaTheme="minorEastAsia"/>
                <w:kern w:val="0"/>
                <w:sz w:val="18"/>
                <w:szCs w:val="18"/>
                <w:lang w:val="zh-CN"/>
              </w:rPr>
              <w:t>蒸汽压(</w:t>
            </w:r>
            <w:r>
              <w:rPr>
                <w:rFonts w:asciiTheme="minorEastAsia" w:hAnsiTheme="minorEastAsia" w:eastAsiaTheme="minorEastAsia"/>
                <w:kern w:val="0"/>
                <w:sz w:val="18"/>
                <w:szCs w:val="18"/>
              </w:rPr>
              <w:t>MPa)</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Theme="minorEastAsia" w:hAnsiTheme="minorEastAsia" w:eastAsiaTheme="minorEastAsia"/>
                <w:kern w:val="0"/>
                <w:sz w:val="18"/>
                <w:szCs w:val="18"/>
              </w:rPr>
            </w:pPr>
            <w:r>
              <w:rPr>
                <w:rFonts w:hint="eastAsia" w:asciiTheme="minorEastAsia" w:hAnsiTheme="minorEastAsia" w:eastAsiaTheme="minorEastAsia"/>
                <w:kern w:val="0"/>
                <w:sz w:val="18"/>
                <w:szCs w:val="18"/>
                <w:lang w:val="zh-CN"/>
              </w:rPr>
              <w:t>试验</w:t>
            </w:r>
            <w:r>
              <w:rPr>
                <w:rFonts w:hint="eastAsia" w:asciiTheme="minorEastAsia" w:hAnsiTheme="minorEastAsia" w:eastAsiaTheme="minorEastAsia"/>
                <w:kern w:val="0"/>
                <w:sz w:val="18"/>
                <w:szCs w:val="18"/>
              </w:rPr>
              <w:t>持</w:t>
            </w:r>
          </w:p>
          <w:p>
            <w:pPr>
              <w:autoSpaceDE w:val="0"/>
              <w:autoSpaceDN w:val="0"/>
              <w:adjustRightInd w:val="0"/>
              <w:spacing w:line="360" w:lineRule="exact"/>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续</w:t>
            </w:r>
            <w:r>
              <w:rPr>
                <w:rFonts w:hint="eastAsia" w:asciiTheme="minorEastAsia" w:hAnsiTheme="minorEastAsia" w:eastAsiaTheme="minorEastAsia"/>
                <w:kern w:val="0"/>
                <w:sz w:val="18"/>
                <w:szCs w:val="18"/>
                <w:lang w:val="zh-CN"/>
              </w:rPr>
              <w:t>时间</w:t>
            </w:r>
            <w:r>
              <w:rPr>
                <w:rFonts w:asciiTheme="minorEastAsia" w:hAnsiTheme="minorEastAsia" w:eastAsiaTheme="minorEastAsia"/>
                <w:kern w:val="0"/>
                <w:sz w:val="18"/>
                <w:szCs w:val="18"/>
                <w:vertAlign w:val="superscript"/>
              </w:rPr>
              <w:t>c</w:t>
            </w:r>
          </w:p>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(h)</w:t>
            </w:r>
          </w:p>
        </w:tc>
        <w:tc>
          <w:tcPr>
            <w:tcW w:w="45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hint="eastAsia" w:asciiTheme="minorEastAsia" w:hAnsiTheme="minorEastAsia" w:eastAsiaTheme="minorEastAsia"/>
                <w:kern w:val="0"/>
                <w:sz w:val="18"/>
                <w:szCs w:val="18"/>
                <w:lang w:val="zh-CN"/>
              </w:rPr>
              <w:t>适用防护层</w:t>
            </w:r>
          </w:p>
        </w:tc>
      </w:tr>
      <w:tr>
        <w:tblPrEx>
          <w:tblCellMar>
            <w:top w:w="0" w:type="dxa"/>
            <w:left w:w="108" w:type="dxa"/>
            <w:bottom w:w="0" w:type="dxa"/>
            <w:right w:w="108" w:type="dxa"/>
          </w:tblCellMar>
        </w:tblPrEx>
        <w:trPr>
          <w:trHeight w:val="627" w:hRule="atLeast"/>
          <w:jc w:val="center"/>
        </w:trPr>
        <w:tc>
          <w:tcPr>
            <w:tcW w:w="1604"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hint="eastAsia" w:asciiTheme="minorEastAsia" w:hAnsiTheme="minorEastAsia" w:eastAsiaTheme="minorEastAsia"/>
                <w:kern w:val="0"/>
                <w:sz w:val="18"/>
                <w:szCs w:val="18"/>
                <w:lang w:val="zh-CN"/>
              </w:rPr>
            </w:pPr>
            <w:r>
              <w:rPr>
                <w:rFonts w:hint="eastAsia" w:asciiTheme="minorEastAsia" w:hAnsiTheme="minorEastAsia" w:eastAsiaTheme="minorEastAsia"/>
                <w:kern w:val="0"/>
                <w:sz w:val="18"/>
                <w:szCs w:val="18"/>
                <w:lang w:val="zh-CN"/>
              </w:rPr>
              <w:t>普通恒定湿热</w:t>
            </w:r>
          </w:p>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hint="eastAsia" w:asciiTheme="minorEastAsia" w:hAnsiTheme="minorEastAsia" w:eastAsiaTheme="minorEastAsia"/>
                <w:kern w:val="0"/>
                <w:sz w:val="18"/>
                <w:szCs w:val="18"/>
                <w:lang w:val="zh-CN"/>
              </w:rPr>
              <w:t>试验</w:t>
            </w:r>
          </w:p>
        </w:tc>
        <w:tc>
          <w:tcPr>
            <w:tcW w:w="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60</w:t>
            </w:r>
          </w:p>
        </w:tc>
        <w:tc>
          <w:tcPr>
            <w:tcW w:w="10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90</w:t>
            </w:r>
          </w:p>
        </w:tc>
        <w:tc>
          <w:tcPr>
            <w:tcW w:w="9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4</w:t>
            </w:r>
          </w:p>
        </w:tc>
        <w:tc>
          <w:tcPr>
            <w:tcW w:w="45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left"/>
              <w:rPr>
                <w:rFonts w:asciiTheme="minorEastAsia" w:hAnsiTheme="minorEastAsia" w:eastAsiaTheme="minorEastAsia"/>
                <w:kern w:val="0"/>
                <w:sz w:val="22"/>
                <w:szCs w:val="22"/>
                <w:lang w:val="zh-CN"/>
              </w:rPr>
            </w:pPr>
            <w:r>
              <w:rPr>
                <w:rFonts w:hint="eastAsia" w:asciiTheme="minorEastAsia" w:hAnsiTheme="minorEastAsia" w:eastAsiaTheme="minorEastAsia"/>
                <w:kern w:val="0"/>
                <w:sz w:val="18"/>
                <w:szCs w:val="18"/>
                <w:lang w:val="zh-CN"/>
              </w:rPr>
              <w:t>磷化膜、锆化膜、氧化膜等各类转化膜层</w:t>
            </w:r>
          </w:p>
        </w:tc>
      </w:tr>
      <w:tr>
        <w:tblPrEx>
          <w:tblCellMar>
            <w:top w:w="0" w:type="dxa"/>
            <w:left w:w="108" w:type="dxa"/>
            <w:bottom w:w="0" w:type="dxa"/>
            <w:right w:w="108" w:type="dxa"/>
          </w:tblCellMar>
        </w:tblPrEx>
        <w:trPr>
          <w:trHeight w:val="604" w:hRule="atLeast"/>
          <w:jc w:val="center"/>
        </w:trPr>
        <w:tc>
          <w:tcPr>
            <w:tcW w:w="1604"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360" w:lineRule="exact"/>
              <w:jc w:val="left"/>
              <w:rPr>
                <w:rFonts w:asciiTheme="minorEastAsia" w:hAnsiTheme="minorEastAsia" w:eastAsiaTheme="minorEastAsia"/>
                <w:kern w:val="0"/>
                <w:sz w:val="22"/>
                <w:szCs w:val="22"/>
                <w:lang w:val="zh-CN"/>
              </w:rPr>
            </w:pPr>
          </w:p>
        </w:tc>
        <w:tc>
          <w:tcPr>
            <w:tcW w:w="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85</w:t>
            </w:r>
          </w:p>
        </w:tc>
        <w:tc>
          <w:tcPr>
            <w:tcW w:w="10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85</w:t>
            </w:r>
          </w:p>
        </w:tc>
        <w:tc>
          <w:tcPr>
            <w:tcW w:w="9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48</w:t>
            </w:r>
          </w:p>
        </w:tc>
        <w:tc>
          <w:tcPr>
            <w:tcW w:w="45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left"/>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Zn</w:t>
            </w:r>
            <w:r>
              <w:rPr>
                <w:rFonts w:hint="eastAsia" w:asciiTheme="minorEastAsia" w:hAnsiTheme="minorEastAsia" w:eastAsiaTheme="minorEastAsia"/>
                <w:kern w:val="0"/>
                <w:sz w:val="18"/>
                <w:szCs w:val="18"/>
                <w:lang w:val="zh-CN"/>
              </w:rPr>
              <w:t>类</w:t>
            </w:r>
          </w:p>
        </w:tc>
      </w:tr>
      <w:tr>
        <w:tblPrEx>
          <w:tblCellMar>
            <w:top w:w="0" w:type="dxa"/>
            <w:left w:w="108" w:type="dxa"/>
            <w:bottom w:w="0" w:type="dxa"/>
            <w:right w:w="108" w:type="dxa"/>
          </w:tblCellMar>
        </w:tblPrEx>
        <w:trPr>
          <w:trHeight w:val="1177" w:hRule="atLeast"/>
          <w:jc w:val="center"/>
        </w:trPr>
        <w:tc>
          <w:tcPr>
            <w:tcW w:w="1604"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360" w:lineRule="exact"/>
              <w:jc w:val="left"/>
              <w:rPr>
                <w:rFonts w:asciiTheme="minorEastAsia" w:hAnsiTheme="minorEastAsia" w:eastAsiaTheme="minorEastAsia"/>
                <w:kern w:val="0"/>
                <w:sz w:val="22"/>
                <w:szCs w:val="22"/>
                <w:lang w:val="zh-CN"/>
              </w:rPr>
            </w:pPr>
          </w:p>
        </w:tc>
        <w:tc>
          <w:tcPr>
            <w:tcW w:w="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85</w:t>
            </w:r>
          </w:p>
        </w:tc>
        <w:tc>
          <w:tcPr>
            <w:tcW w:w="10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85</w:t>
            </w:r>
          </w:p>
        </w:tc>
        <w:tc>
          <w:tcPr>
            <w:tcW w:w="9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168</w:t>
            </w:r>
          </w:p>
        </w:tc>
        <w:tc>
          <w:tcPr>
            <w:tcW w:w="45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left"/>
              <w:rPr>
                <w:rFonts w:asciiTheme="minorEastAsia" w:hAnsiTheme="minorEastAsia" w:eastAsiaTheme="minorEastAsia"/>
                <w:kern w:val="0"/>
                <w:sz w:val="18"/>
                <w:szCs w:val="18"/>
              </w:rPr>
            </w:pPr>
            <w:r>
              <w:rPr>
                <w:rFonts w:asciiTheme="minorEastAsia" w:hAnsiTheme="minorEastAsia" w:eastAsiaTheme="minorEastAsia"/>
                <w:kern w:val="0"/>
                <w:sz w:val="18"/>
                <w:szCs w:val="18"/>
              </w:rPr>
              <w:t>Al</w:t>
            </w:r>
            <w:r>
              <w:rPr>
                <w:rFonts w:hint="eastAsia" w:asciiTheme="minorEastAsia" w:hAnsiTheme="minorEastAsia" w:eastAsiaTheme="minorEastAsia"/>
                <w:kern w:val="0"/>
                <w:sz w:val="18"/>
                <w:szCs w:val="18"/>
                <w:lang w:val="zh-CN"/>
              </w:rPr>
              <w:t>类、</w:t>
            </w:r>
            <w:r>
              <w:rPr>
                <w:rFonts w:asciiTheme="minorEastAsia" w:hAnsiTheme="minorEastAsia" w:eastAsiaTheme="minorEastAsia"/>
                <w:kern w:val="0"/>
                <w:sz w:val="18"/>
                <w:szCs w:val="18"/>
              </w:rPr>
              <w:t>Sn</w:t>
            </w:r>
            <w:r>
              <w:rPr>
                <w:rFonts w:hint="eastAsia" w:asciiTheme="minorEastAsia" w:hAnsiTheme="minorEastAsia" w:eastAsiaTheme="minorEastAsia"/>
                <w:kern w:val="0"/>
                <w:sz w:val="18"/>
                <w:szCs w:val="18"/>
                <w:lang w:val="zh-CN"/>
              </w:rPr>
              <w:t>类及最外表层为</w:t>
            </w:r>
            <w:r>
              <w:rPr>
                <w:rFonts w:asciiTheme="minorEastAsia" w:hAnsiTheme="minorEastAsia" w:eastAsiaTheme="minorEastAsia"/>
                <w:kern w:val="0"/>
                <w:sz w:val="18"/>
                <w:szCs w:val="18"/>
              </w:rPr>
              <w:t>Al</w:t>
            </w:r>
            <w:r>
              <w:rPr>
                <w:rFonts w:hint="eastAsia" w:asciiTheme="minorEastAsia" w:hAnsiTheme="minorEastAsia" w:eastAsiaTheme="minorEastAsia"/>
                <w:kern w:val="0"/>
                <w:sz w:val="18"/>
                <w:szCs w:val="18"/>
                <w:lang w:val="zh-CN"/>
              </w:rPr>
              <w:t>类或</w:t>
            </w:r>
            <w:r>
              <w:rPr>
                <w:rFonts w:asciiTheme="minorEastAsia" w:hAnsiTheme="minorEastAsia" w:eastAsiaTheme="minorEastAsia"/>
                <w:kern w:val="0"/>
                <w:sz w:val="18"/>
                <w:szCs w:val="18"/>
              </w:rPr>
              <w:t>Sn</w:t>
            </w:r>
            <w:r>
              <w:rPr>
                <w:rFonts w:hint="eastAsia" w:asciiTheme="minorEastAsia" w:hAnsiTheme="minorEastAsia" w:eastAsiaTheme="minorEastAsia"/>
                <w:kern w:val="0"/>
                <w:sz w:val="18"/>
                <w:szCs w:val="18"/>
                <w:lang w:val="zh-CN"/>
              </w:rPr>
              <w:t>类的复合层，</w:t>
            </w:r>
          </w:p>
          <w:p>
            <w:pPr>
              <w:autoSpaceDE w:val="0"/>
              <w:autoSpaceDN w:val="0"/>
              <w:adjustRightInd w:val="0"/>
              <w:spacing w:line="360" w:lineRule="exact"/>
              <w:jc w:val="left"/>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CuNi</w:t>
            </w:r>
            <w:r>
              <w:rPr>
                <w:rFonts w:hint="eastAsia" w:asciiTheme="minorEastAsia" w:hAnsiTheme="minorEastAsia" w:eastAsiaTheme="minorEastAsia"/>
                <w:kern w:val="0"/>
                <w:sz w:val="18"/>
                <w:szCs w:val="18"/>
                <w:lang w:val="zh-CN"/>
              </w:rPr>
              <w:t>类、环氧类及最外表层为</w:t>
            </w:r>
            <w:r>
              <w:rPr>
                <w:rFonts w:asciiTheme="minorEastAsia" w:hAnsiTheme="minorEastAsia" w:eastAsiaTheme="minorEastAsia"/>
                <w:kern w:val="0"/>
                <w:sz w:val="18"/>
                <w:szCs w:val="18"/>
              </w:rPr>
              <w:t>CuNi</w:t>
            </w:r>
            <w:r>
              <w:rPr>
                <w:rFonts w:hint="eastAsia" w:asciiTheme="minorEastAsia" w:hAnsiTheme="minorEastAsia" w:eastAsiaTheme="minorEastAsia"/>
                <w:kern w:val="0"/>
                <w:sz w:val="18"/>
                <w:szCs w:val="18"/>
                <w:lang w:val="zh-CN"/>
              </w:rPr>
              <w:t>类或环氧类的复合层</w:t>
            </w:r>
          </w:p>
        </w:tc>
      </w:tr>
      <w:tr>
        <w:tblPrEx>
          <w:tblCellMar>
            <w:top w:w="0" w:type="dxa"/>
            <w:left w:w="108" w:type="dxa"/>
            <w:bottom w:w="0" w:type="dxa"/>
            <w:right w:w="108" w:type="dxa"/>
          </w:tblCellMar>
        </w:tblPrEx>
        <w:trPr>
          <w:trHeight w:val="658" w:hRule="atLeast"/>
          <w:jc w:val="center"/>
        </w:trPr>
        <w:tc>
          <w:tcPr>
            <w:tcW w:w="815"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left"/>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lang w:val="zh-CN"/>
              </w:rPr>
              <w:t>高压蒸</w:t>
            </w:r>
            <w:r>
              <w:rPr>
                <w:rFonts w:hint="eastAsia" w:asciiTheme="minorEastAsia" w:hAnsiTheme="minorEastAsia" w:eastAsiaTheme="minorEastAsia"/>
                <w:kern w:val="0"/>
                <w:sz w:val="18"/>
                <w:szCs w:val="18"/>
              </w:rPr>
              <w:t>汽</w:t>
            </w:r>
            <w:r>
              <w:rPr>
                <w:rFonts w:asciiTheme="minorEastAsia" w:hAnsiTheme="minorEastAsia" w:eastAsiaTheme="minorEastAsia"/>
                <w:kern w:val="0"/>
                <w:sz w:val="18"/>
                <w:szCs w:val="18"/>
                <w:lang w:val="zh-CN"/>
              </w:rPr>
              <w:t>恒定湿热试验</w:t>
            </w:r>
          </w:p>
        </w:tc>
        <w:tc>
          <w:tcPr>
            <w:tcW w:w="78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PCT</w:t>
            </w:r>
          </w:p>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lang w:val="zh-CN"/>
              </w:rPr>
              <w:t>试验</w:t>
            </w:r>
          </w:p>
        </w:tc>
        <w:tc>
          <w:tcPr>
            <w:tcW w:w="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120</w:t>
            </w:r>
          </w:p>
        </w:tc>
        <w:tc>
          <w:tcPr>
            <w:tcW w:w="10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lang w:val="zh-CN"/>
              </w:rPr>
              <w:t>饱和</w:t>
            </w:r>
          </w:p>
        </w:tc>
        <w:tc>
          <w:tcPr>
            <w:tcW w:w="9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0.20</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48</w:t>
            </w:r>
          </w:p>
        </w:tc>
        <w:tc>
          <w:tcPr>
            <w:tcW w:w="45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left"/>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Al</w:t>
            </w:r>
            <w:r>
              <w:rPr>
                <w:rFonts w:asciiTheme="minorEastAsia" w:hAnsiTheme="minorEastAsia" w:eastAsiaTheme="minorEastAsia"/>
                <w:kern w:val="0"/>
                <w:sz w:val="18"/>
                <w:szCs w:val="18"/>
                <w:lang w:val="zh-CN"/>
              </w:rPr>
              <w:t>类、</w:t>
            </w:r>
            <w:r>
              <w:rPr>
                <w:rFonts w:asciiTheme="minorEastAsia" w:hAnsiTheme="minorEastAsia" w:eastAsiaTheme="minorEastAsia"/>
                <w:kern w:val="0"/>
                <w:sz w:val="18"/>
                <w:szCs w:val="18"/>
              </w:rPr>
              <w:t>Sn</w:t>
            </w:r>
            <w:r>
              <w:rPr>
                <w:rFonts w:asciiTheme="minorEastAsia" w:hAnsiTheme="minorEastAsia" w:eastAsiaTheme="minorEastAsia"/>
                <w:kern w:val="0"/>
                <w:sz w:val="18"/>
                <w:szCs w:val="18"/>
                <w:lang w:val="zh-CN"/>
              </w:rPr>
              <w:t>类及最外表层为</w:t>
            </w:r>
            <w:r>
              <w:rPr>
                <w:rFonts w:asciiTheme="minorEastAsia" w:hAnsiTheme="minorEastAsia" w:eastAsiaTheme="minorEastAsia"/>
                <w:kern w:val="0"/>
                <w:sz w:val="18"/>
                <w:szCs w:val="18"/>
              </w:rPr>
              <w:t>Al</w:t>
            </w:r>
            <w:r>
              <w:rPr>
                <w:rFonts w:asciiTheme="minorEastAsia" w:hAnsiTheme="minorEastAsia" w:eastAsiaTheme="minorEastAsia"/>
                <w:kern w:val="0"/>
                <w:sz w:val="18"/>
                <w:szCs w:val="18"/>
                <w:lang w:val="zh-CN"/>
              </w:rPr>
              <w:t>类或</w:t>
            </w:r>
            <w:r>
              <w:rPr>
                <w:rFonts w:asciiTheme="minorEastAsia" w:hAnsiTheme="minorEastAsia" w:eastAsiaTheme="minorEastAsia"/>
                <w:kern w:val="0"/>
                <w:sz w:val="18"/>
                <w:szCs w:val="18"/>
              </w:rPr>
              <w:t>Sn</w:t>
            </w:r>
            <w:r>
              <w:rPr>
                <w:rFonts w:asciiTheme="minorEastAsia" w:hAnsiTheme="minorEastAsia" w:eastAsiaTheme="minorEastAsia"/>
                <w:kern w:val="0"/>
                <w:sz w:val="18"/>
                <w:szCs w:val="18"/>
                <w:lang w:val="zh-CN"/>
              </w:rPr>
              <w:t>类的复合层</w:t>
            </w:r>
          </w:p>
        </w:tc>
      </w:tr>
      <w:tr>
        <w:tblPrEx>
          <w:tblCellMar>
            <w:top w:w="0" w:type="dxa"/>
            <w:left w:w="108" w:type="dxa"/>
            <w:bottom w:w="0" w:type="dxa"/>
            <w:right w:w="108" w:type="dxa"/>
          </w:tblCellMar>
        </w:tblPrEx>
        <w:trPr>
          <w:trHeight w:val="687" w:hRule="atLeast"/>
          <w:jc w:val="center"/>
        </w:trPr>
        <w:tc>
          <w:tcPr>
            <w:tcW w:w="815"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360" w:lineRule="exact"/>
              <w:jc w:val="left"/>
              <w:rPr>
                <w:rFonts w:asciiTheme="minorEastAsia" w:hAnsiTheme="minorEastAsia" w:eastAsiaTheme="minorEastAsia"/>
                <w:kern w:val="0"/>
                <w:sz w:val="22"/>
                <w:szCs w:val="22"/>
                <w:lang w:val="zh-CN"/>
              </w:rPr>
            </w:pPr>
          </w:p>
        </w:tc>
        <w:tc>
          <w:tcPr>
            <w:tcW w:w="78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360" w:lineRule="exact"/>
              <w:jc w:val="left"/>
              <w:rPr>
                <w:rFonts w:asciiTheme="minorEastAsia" w:hAnsiTheme="minorEastAsia" w:eastAsiaTheme="minorEastAsia"/>
                <w:kern w:val="0"/>
                <w:sz w:val="22"/>
                <w:szCs w:val="22"/>
                <w:lang w:val="zh-CN"/>
              </w:rPr>
            </w:pPr>
          </w:p>
        </w:tc>
        <w:tc>
          <w:tcPr>
            <w:tcW w:w="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120</w:t>
            </w:r>
          </w:p>
        </w:tc>
        <w:tc>
          <w:tcPr>
            <w:tcW w:w="10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lang w:val="zh-CN"/>
              </w:rPr>
              <w:t>饱和</w:t>
            </w:r>
          </w:p>
        </w:tc>
        <w:tc>
          <w:tcPr>
            <w:tcW w:w="9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0.20</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96</w:t>
            </w:r>
          </w:p>
        </w:tc>
        <w:tc>
          <w:tcPr>
            <w:tcW w:w="45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left"/>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CuNi</w:t>
            </w:r>
            <w:r>
              <w:rPr>
                <w:rFonts w:asciiTheme="minorEastAsia" w:hAnsiTheme="minorEastAsia" w:eastAsiaTheme="minorEastAsia"/>
                <w:kern w:val="0"/>
                <w:sz w:val="18"/>
                <w:szCs w:val="18"/>
                <w:lang w:val="zh-CN"/>
              </w:rPr>
              <w:t>类、环氧类及最外表层为</w:t>
            </w:r>
            <w:r>
              <w:rPr>
                <w:rFonts w:asciiTheme="minorEastAsia" w:hAnsiTheme="minorEastAsia" w:eastAsiaTheme="minorEastAsia"/>
                <w:kern w:val="0"/>
                <w:sz w:val="18"/>
                <w:szCs w:val="18"/>
              </w:rPr>
              <w:t>CuNi</w:t>
            </w:r>
            <w:r>
              <w:rPr>
                <w:rFonts w:asciiTheme="minorEastAsia" w:hAnsiTheme="minorEastAsia" w:eastAsiaTheme="minorEastAsia"/>
                <w:kern w:val="0"/>
                <w:sz w:val="18"/>
                <w:szCs w:val="18"/>
                <w:lang w:val="zh-CN"/>
              </w:rPr>
              <w:t>类或环氧类的复合层</w:t>
            </w:r>
          </w:p>
        </w:tc>
      </w:tr>
      <w:tr>
        <w:tblPrEx>
          <w:tblCellMar>
            <w:top w:w="0" w:type="dxa"/>
            <w:left w:w="108" w:type="dxa"/>
            <w:bottom w:w="0" w:type="dxa"/>
            <w:right w:w="108" w:type="dxa"/>
          </w:tblCellMar>
        </w:tblPrEx>
        <w:trPr>
          <w:trHeight w:val="728" w:hRule="atLeast"/>
          <w:jc w:val="center"/>
        </w:trPr>
        <w:tc>
          <w:tcPr>
            <w:tcW w:w="815"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360" w:lineRule="exact"/>
              <w:jc w:val="left"/>
              <w:rPr>
                <w:rFonts w:asciiTheme="minorEastAsia" w:hAnsiTheme="minorEastAsia" w:eastAsiaTheme="minorEastAsia"/>
                <w:kern w:val="0"/>
                <w:sz w:val="22"/>
                <w:szCs w:val="22"/>
                <w:lang w:val="zh-CN"/>
              </w:rPr>
            </w:pPr>
          </w:p>
        </w:tc>
        <w:tc>
          <w:tcPr>
            <w:tcW w:w="78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HAST</w:t>
            </w:r>
          </w:p>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lang w:val="zh-CN"/>
              </w:rPr>
              <w:t>试验</w:t>
            </w:r>
          </w:p>
        </w:tc>
        <w:tc>
          <w:tcPr>
            <w:tcW w:w="73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130</w:t>
            </w:r>
          </w:p>
        </w:tc>
        <w:tc>
          <w:tcPr>
            <w:tcW w:w="10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95</w:t>
            </w:r>
          </w:p>
        </w:tc>
        <w:tc>
          <w:tcPr>
            <w:tcW w:w="9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0.26</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center"/>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rPr>
              <w:t>48</w:t>
            </w:r>
          </w:p>
        </w:tc>
        <w:tc>
          <w:tcPr>
            <w:tcW w:w="45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jc w:val="left"/>
              <w:rPr>
                <w:rFonts w:asciiTheme="minorEastAsia" w:hAnsiTheme="minorEastAsia" w:eastAsiaTheme="minorEastAsia"/>
                <w:kern w:val="0"/>
                <w:sz w:val="22"/>
                <w:szCs w:val="22"/>
                <w:lang w:val="zh-CN"/>
              </w:rPr>
            </w:pPr>
            <w:r>
              <w:rPr>
                <w:rFonts w:asciiTheme="minorEastAsia" w:hAnsiTheme="minorEastAsia" w:eastAsiaTheme="minorEastAsia"/>
                <w:kern w:val="0"/>
                <w:sz w:val="18"/>
                <w:szCs w:val="18"/>
                <w:lang w:val="zh-CN"/>
              </w:rPr>
              <w:t>环氧类及最外表层为环氧类的复合层</w:t>
            </w:r>
          </w:p>
        </w:tc>
      </w:tr>
      <w:tr>
        <w:tblPrEx>
          <w:tblCellMar>
            <w:top w:w="0" w:type="dxa"/>
            <w:left w:w="108" w:type="dxa"/>
            <w:bottom w:w="0" w:type="dxa"/>
            <w:right w:w="108" w:type="dxa"/>
          </w:tblCellMar>
        </w:tblPrEx>
        <w:trPr>
          <w:trHeight w:val="1256" w:hRule="atLeast"/>
          <w:jc w:val="center"/>
        </w:trPr>
        <w:tc>
          <w:tcPr>
            <w:tcW w:w="9889"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exact"/>
              <w:ind w:firstLine="360"/>
              <w:jc w:val="left"/>
              <w:rPr>
                <w:kern w:val="0"/>
                <w:sz w:val="18"/>
                <w:szCs w:val="18"/>
              </w:rPr>
            </w:pPr>
            <w:r>
              <w:rPr>
                <w:rFonts w:hint="eastAsia" w:ascii="黑体" w:hAnsi="黑体" w:eastAsia="黑体" w:cs="黑体"/>
                <w:kern w:val="0"/>
                <w:sz w:val="18"/>
                <w:szCs w:val="18"/>
              </w:rPr>
              <w:t>a</w:t>
            </w:r>
            <w:r>
              <w:rPr>
                <w:kern w:val="0"/>
                <w:sz w:val="18"/>
                <w:szCs w:val="18"/>
              </w:rPr>
              <w:t xml:space="preserve"> </w:t>
            </w:r>
            <w:r>
              <w:rPr>
                <w:rFonts w:hint="eastAsia" w:ascii="宋体" w:cs="宋体"/>
                <w:kern w:val="0"/>
                <w:sz w:val="18"/>
                <w:szCs w:val="18"/>
                <w:lang w:val="zh-CN"/>
              </w:rPr>
              <w:t>试验装置中心试验区的温度允许偏差：</w:t>
            </w:r>
            <w:r>
              <w:rPr>
                <w:rFonts w:hint="eastAsia"/>
                <w:kern w:val="0"/>
                <w:sz w:val="18"/>
                <w:szCs w:val="18"/>
                <w:lang w:val="zh-CN"/>
              </w:rPr>
              <w:t>±</w:t>
            </w:r>
            <w:r>
              <w:rPr>
                <w:rFonts w:eastAsia="MS Mincho"/>
                <w:kern w:val="0"/>
                <w:sz w:val="18"/>
                <w:szCs w:val="18"/>
                <w:lang w:val="zh-CN"/>
              </w:rPr>
              <w:t> </w:t>
            </w:r>
            <w:r>
              <w:rPr>
                <w:kern w:val="0"/>
                <w:sz w:val="18"/>
                <w:szCs w:val="18"/>
              </w:rPr>
              <w:t>2</w:t>
            </w:r>
            <w:r>
              <w:rPr>
                <w:rFonts w:eastAsia="MS Mincho"/>
                <w:kern w:val="0"/>
                <w:sz w:val="18"/>
                <w:szCs w:val="18"/>
                <w:lang w:val="zh-CN"/>
              </w:rPr>
              <w:t> </w:t>
            </w:r>
            <w:r>
              <w:rPr>
                <w:rFonts w:hint="eastAsia"/>
                <w:kern w:val="0"/>
                <w:sz w:val="18"/>
                <w:szCs w:val="18"/>
                <w:lang w:val="zh-CN"/>
              </w:rPr>
              <w:t>℃；</w:t>
            </w:r>
            <w:r>
              <w:rPr>
                <w:kern w:val="0"/>
                <w:sz w:val="18"/>
                <w:szCs w:val="18"/>
              </w:rPr>
              <w:t xml:space="preserve"> </w:t>
            </w:r>
          </w:p>
          <w:p>
            <w:pPr>
              <w:autoSpaceDE w:val="0"/>
              <w:autoSpaceDN w:val="0"/>
              <w:adjustRightInd w:val="0"/>
              <w:spacing w:line="360" w:lineRule="exact"/>
              <w:ind w:firstLine="360"/>
              <w:jc w:val="left"/>
              <w:rPr>
                <w:kern w:val="0"/>
                <w:sz w:val="18"/>
                <w:szCs w:val="18"/>
              </w:rPr>
            </w:pPr>
            <w:r>
              <w:rPr>
                <w:rFonts w:hint="eastAsia" w:ascii="黑体" w:hAnsi="黑体" w:eastAsia="黑体" w:cs="黑体"/>
                <w:kern w:val="0"/>
                <w:sz w:val="18"/>
                <w:szCs w:val="18"/>
              </w:rPr>
              <w:t>b</w:t>
            </w:r>
            <w:r>
              <w:rPr>
                <w:kern w:val="0"/>
                <w:sz w:val="18"/>
                <w:szCs w:val="18"/>
              </w:rPr>
              <w:t xml:space="preserve"> </w:t>
            </w:r>
            <w:r>
              <w:rPr>
                <w:rFonts w:hint="eastAsia" w:ascii="宋体" w:hAnsi="宋体" w:cs="宋体"/>
                <w:kern w:val="0"/>
                <w:sz w:val="18"/>
                <w:szCs w:val="18"/>
                <w:lang w:val="zh-CN"/>
              </w:rPr>
              <w:t>试验装置中心试验区的湿度允许偏差：± </w:t>
            </w:r>
            <w:r>
              <w:rPr>
                <w:rFonts w:hint="eastAsia" w:ascii="宋体" w:hAnsi="宋体" w:cs="宋体"/>
                <w:kern w:val="0"/>
                <w:sz w:val="18"/>
                <w:szCs w:val="18"/>
              </w:rPr>
              <w:t>5</w:t>
            </w:r>
            <w:r>
              <w:rPr>
                <w:rFonts w:hint="eastAsia" w:ascii="宋体" w:hAnsi="宋体" w:cs="宋体"/>
                <w:kern w:val="0"/>
                <w:sz w:val="18"/>
                <w:szCs w:val="18"/>
                <w:lang w:val="zh-CN"/>
              </w:rPr>
              <w:t> </w:t>
            </w:r>
            <w:r>
              <w:rPr>
                <w:rFonts w:hint="eastAsia" w:ascii="宋体" w:hAnsi="宋体" w:cs="宋体"/>
                <w:kern w:val="0"/>
                <w:sz w:val="18"/>
                <w:szCs w:val="18"/>
              </w:rPr>
              <w:t>%RH</w:t>
            </w:r>
            <w:r>
              <w:rPr>
                <w:rFonts w:hint="eastAsia" w:ascii="宋体" w:hAnsi="宋体" w:cs="宋体"/>
                <w:kern w:val="0"/>
                <w:sz w:val="18"/>
                <w:szCs w:val="18"/>
                <w:lang w:val="zh-CN"/>
              </w:rPr>
              <w:t>；</w:t>
            </w:r>
          </w:p>
          <w:p>
            <w:pPr>
              <w:autoSpaceDE w:val="0"/>
              <w:autoSpaceDN w:val="0"/>
              <w:adjustRightInd w:val="0"/>
              <w:spacing w:line="360" w:lineRule="exact"/>
              <w:ind w:firstLine="360"/>
              <w:rPr>
                <w:rFonts w:ascii="宋体" w:cs="宋体"/>
                <w:kern w:val="0"/>
                <w:sz w:val="22"/>
                <w:szCs w:val="22"/>
                <w:lang w:val="zh-CN"/>
              </w:rPr>
            </w:pPr>
            <w:r>
              <w:rPr>
                <w:rFonts w:hint="eastAsia" w:ascii="黑体" w:hAnsi="黑体" w:eastAsia="黑体" w:cs="黑体"/>
                <w:kern w:val="0"/>
                <w:sz w:val="18"/>
                <w:szCs w:val="18"/>
              </w:rPr>
              <w:t>c</w:t>
            </w:r>
            <w:r>
              <w:rPr>
                <w:rFonts w:hint="eastAsia"/>
                <w:kern w:val="0"/>
                <w:sz w:val="18"/>
                <w:szCs w:val="18"/>
              </w:rPr>
              <w:t xml:space="preserve"> </w:t>
            </w:r>
            <w:r>
              <w:rPr>
                <w:rFonts w:hint="eastAsia" w:ascii="宋体" w:cs="宋体"/>
                <w:kern w:val="0"/>
                <w:sz w:val="18"/>
                <w:szCs w:val="18"/>
                <w:lang w:val="zh-CN"/>
              </w:rPr>
              <w:t>试验期间不允许中断，试验时间不包括升降温时间，试验时间只允许上偏差：</w:t>
            </w:r>
            <w:r>
              <w:rPr>
                <w:kern w:val="0"/>
                <w:sz w:val="18"/>
                <w:szCs w:val="18"/>
              </w:rPr>
              <w:t>0</w:t>
            </w:r>
            <w:r>
              <w:rPr>
                <w:rFonts w:eastAsia="MS Mincho"/>
                <w:kern w:val="0"/>
                <w:sz w:val="18"/>
                <w:szCs w:val="18"/>
                <w:lang w:val="zh-CN"/>
              </w:rPr>
              <w:t> </w:t>
            </w:r>
            <w:r>
              <w:rPr>
                <w:kern w:val="0"/>
                <w:sz w:val="18"/>
                <w:szCs w:val="18"/>
              </w:rPr>
              <w:t>h</w:t>
            </w:r>
            <w:r>
              <w:rPr>
                <w:rFonts w:hint="eastAsia"/>
                <w:kern w:val="0"/>
                <w:sz w:val="18"/>
                <w:szCs w:val="18"/>
                <w:lang w:val="zh-CN"/>
              </w:rPr>
              <w:t>～</w:t>
            </w:r>
            <w:r>
              <w:rPr>
                <w:kern w:val="0"/>
                <w:sz w:val="18"/>
                <w:szCs w:val="18"/>
              </w:rPr>
              <w:t>+</w:t>
            </w:r>
            <w:r>
              <w:rPr>
                <w:rFonts w:eastAsia="MS Mincho"/>
                <w:kern w:val="0"/>
                <w:sz w:val="18"/>
                <w:szCs w:val="18"/>
                <w:lang w:val="zh-CN"/>
              </w:rPr>
              <w:t> </w:t>
            </w:r>
            <w:r>
              <w:rPr>
                <w:kern w:val="0"/>
                <w:sz w:val="18"/>
                <w:szCs w:val="18"/>
              </w:rPr>
              <w:t>1</w:t>
            </w:r>
            <w:r>
              <w:rPr>
                <w:rFonts w:eastAsia="MS Mincho"/>
                <w:kern w:val="0"/>
                <w:sz w:val="18"/>
                <w:szCs w:val="18"/>
                <w:lang w:val="zh-CN"/>
              </w:rPr>
              <w:t> </w:t>
            </w:r>
            <w:r>
              <w:rPr>
                <w:kern w:val="0"/>
                <w:sz w:val="18"/>
                <w:szCs w:val="18"/>
              </w:rPr>
              <w:t>h</w:t>
            </w:r>
            <w:r>
              <w:rPr>
                <w:rFonts w:hint="eastAsia" w:ascii="宋体" w:cs="宋体"/>
                <w:kern w:val="0"/>
                <w:sz w:val="18"/>
                <w:szCs w:val="18"/>
                <w:lang w:val="zh-CN"/>
              </w:rPr>
              <w:t>。</w:t>
            </w:r>
          </w:p>
        </w:tc>
      </w:tr>
    </w:tbl>
    <w:p>
      <w:pPr>
        <w:autoSpaceDE w:val="0"/>
        <w:autoSpaceDN w:val="0"/>
        <w:adjustRightInd w:val="0"/>
        <w:spacing w:before="468" w:beforeLines="150" w:after="312" w:afterLines="100" w:line="348" w:lineRule="auto"/>
        <w:outlineLvl w:val="0"/>
        <w:rPr>
          <w:rFonts w:ascii="黑体" w:eastAsia="黑体" w:cs="黑体"/>
          <w:kern w:val="0"/>
          <w:szCs w:val="21"/>
          <w:lang w:val="zh-CN"/>
        </w:rPr>
      </w:pPr>
      <w:bookmarkStart w:id="88" w:name="_Toc17306"/>
      <w:bookmarkStart w:id="89" w:name="_Toc17988"/>
      <w:bookmarkStart w:id="90" w:name="_Toc17117"/>
      <w:bookmarkStart w:id="91" w:name="_Toc3162"/>
      <w:bookmarkStart w:id="92" w:name="_Toc9749"/>
      <w:bookmarkStart w:id="93" w:name="_Toc109033107"/>
      <w:bookmarkStart w:id="94" w:name="_Toc24628"/>
      <w:bookmarkStart w:id="95" w:name="_Toc10496"/>
      <w:bookmarkStart w:id="96" w:name="_Toc9372"/>
      <w:r>
        <w:rPr>
          <w:rFonts w:ascii="黑体" w:eastAsia="黑体" w:cs="黑体"/>
          <w:kern w:val="0"/>
          <w:szCs w:val="21"/>
          <w:lang w:val="zh-CN"/>
        </w:rPr>
        <w:t xml:space="preserve">6  </w:t>
      </w:r>
      <w:r>
        <w:rPr>
          <w:rFonts w:hint="eastAsia" w:ascii="黑体" w:eastAsia="黑体" w:cs="黑体"/>
          <w:kern w:val="0"/>
          <w:szCs w:val="21"/>
          <w:lang w:val="zh-CN"/>
        </w:rPr>
        <w:t>样品</w:t>
      </w:r>
      <w:bookmarkEnd w:id="88"/>
      <w:bookmarkEnd w:id="89"/>
      <w:bookmarkEnd w:id="90"/>
      <w:bookmarkEnd w:id="91"/>
      <w:bookmarkEnd w:id="92"/>
      <w:bookmarkEnd w:id="93"/>
      <w:bookmarkEnd w:id="94"/>
      <w:bookmarkEnd w:id="95"/>
      <w:bookmarkEnd w:id="96"/>
    </w:p>
    <w:p>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kern w:val="0"/>
          <w:szCs w:val="21"/>
          <w:lang w:val="zh-CN"/>
        </w:rPr>
        <w:t>6.1</w:t>
      </w:r>
      <w:r>
        <w:rPr>
          <w:rFonts w:ascii="宋体" w:cs="宋体"/>
          <w:kern w:val="0"/>
          <w:szCs w:val="21"/>
          <w:lang w:val="zh-CN"/>
        </w:rPr>
        <w:t xml:space="preserve"> </w:t>
      </w:r>
      <w:r>
        <w:rPr>
          <w:rFonts w:hint="eastAsia" w:ascii="宋体" w:hAnsi="宋体" w:cs="宋体"/>
          <w:kern w:val="0"/>
          <w:szCs w:val="21"/>
          <w:lang w:val="zh-CN"/>
        </w:rPr>
        <w:t>样品基材应符合 GB/T</w:t>
      </w:r>
      <w:r>
        <w:rPr>
          <w:rFonts w:hint="eastAsia" w:ascii="宋体" w:hAnsi="宋体" w:cs="宋体"/>
          <w:kern w:val="0"/>
          <w:szCs w:val="21"/>
        </w:rPr>
        <w:t xml:space="preserve"> </w:t>
      </w:r>
      <w:r>
        <w:rPr>
          <w:rFonts w:hint="eastAsia" w:ascii="宋体" w:hAnsi="宋体" w:cs="宋体"/>
          <w:kern w:val="0"/>
          <w:szCs w:val="21"/>
          <w:lang w:val="zh-CN"/>
        </w:rPr>
        <w:t>13560的规定，样品表面镀层应符合 GB/T</w:t>
      </w:r>
      <w:r>
        <w:rPr>
          <w:rFonts w:hint="eastAsia" w:ascii="宋体" w:hAnsi="宋体" w:cs="宋体"/>
          <w:kern w:val="0"/>
          <w:szCs w:val="21"/>
        </w:rPr>
        <w:t xml:space="preserve"> </w:t>
      </w:r>
      <w:r>
        <w:rPr>
          <w:rFonts w:hint="eastAsia" w:ascii="宋体" w:hAnsi="宋体" w:cs="宋体"/>
          <w:kern w:val="0"/>
          <w:szCs w:val="21"/>
          <w:lang w:val="zh-CN"/>
        </w:rPr>
        <w:t>34491的规定，样品表面涂层应符合 GB/T</w:t>
      </w:r>
      <w:r>
        <w:rPr>
          <w:rFonts w:hint="eastAsia" w:ascii="宋体" w:hAnsi="宋体" w:cs="宋体"/>
          <w:kern w:val="0"/>
          <w:szCs w:val="21"/>
        </w:rPr>
        <w:t xml:space="preserve"> </w:t>
      </w:r>
      <w:r>
        <w:rPr>
          <w:rFonts w:hint="eastAsia" w:ascii="宋体" w:hAnsi="宋体" w:cs="宋体"/>
          <w:kern w:val="0"/>
          <w:szCs w:val="21"/>
          <w:lang w:val="zh-CN"/>
        </w:rPr>
        <w:t>40793的规定。</w:t>
      </w:r>
    </w:p>
    <w:p>
      <w:pPr>
        <w:tabs>
          <w:tab w:val="center" w:pos="4201"/>
          <w:tab w:val="right" w:leader="dot" w:pos="9298"/>
        </w:tabs>
        <w:autoSpaceDE w:val="0"/>
        <w:autoSpaceDN w:val="0"/>
        <w:adjustRightInd w:val="0"/>
        <w:spacing w:line="348" w:lineRule="auto"/>
        <w:rPr>
          <w:rFonts w:ascii="黑体" w:eastAsia="黑体" w:cs="黑体"/>
          <w:kern w:val="0"/>
          <w:szCs w:val="21"/>
          <w:lang w:val="zh-CN"/>
        </w:rPr>
      </w:pPr>
      <w:bookmarkStart w:id="97" w:name="_Toc4504"/>
      <w:bookmarkStart w:id="98" w:name="_Toc15432"/>
      <w:bookmarkStart w:id="99" w:name="_Toc20978"/>
      <w:bookmarkStart w:id="100" w:name="_Toc1005"/>
      <w:bookmarkStart w:id="101" w:name="_Toc10844"/>
      <w:r>
        <w:rPr>
          <w:rFonts w:ascii="黑体" w:eastAsia="黑体" w:cs="黑体"/>
          <w:kern w:val="0"/>
          <w:szCs w:val="21"/>
          <w:lang w:val="zh-CN"/>
        </w:rPr>
        <w:t xml:space="preserve">6.2 </w:t>
      </w:r>
      <w:r>
        <w:rPr>
          <w:rFonts w:hint="eastAsia" w:ascii="宋体" w:hAnsi="宋体" w:cs="宋体"/>
          <w:kern w:val="0"/>
          <w:szCs w:val="21"/>
          <w:lang w:val="zh-CN"/>
        </w:rPr>
        <w:t>同一批次试验样品数量以</w:t>
      </w:r>
      <w:r>
        <w:rPr>
          <w:rFonts w:ascii="宋体" w:hAnsi="宋体" w:cs="宋体"/>
          <w:kern w:val="0"/>
          <w:szCs w:val="21"/>
          <w:lang w:val="zh-CN"/>
        </w:rPr>
        <w:t> 3 片～ 5 片为宜。</w:t>
      </w:r>
      <w:bookmarkEnd w:id="97"/>
      <w:bookmarkEnd w:id="98"/>
      <w:bookmarkEnd w:id="99"/>
      <w:bookmarkEnd w:id="100"/>
      <w:bookmarkEnd w:id="101"/>
    </w:p>
    <w:p>
      <w:pPr>
        <w:tabs>
          <w:tab w:val="center" w:pos="4201"/>
          <w:tab w:val="right" w:leader="dot" w:pos="9298"/>
        </w:tabs>
        <w:autoSpaceDE w:val="0"/>
        <w:autoSpaceDN w:val="0"/>
        <w:adjustRightInd w:val="0"/>
        <w:spacing w:line="348" w:lineRule="auto"/>
        <w:rPr>
          <w:rFonts w:ascii="宋体" w:hAnsi="宋体" w:cs="宋体"/>
          <w:kern w:val="0"/>
          <w:szCs w:val="21"/>
          <w:lang w:val="zh-CN"/>
        </w:rPr>
      </w:pPr>
      <w:r>
        <w:rPr>
          <w:rFonts w:ascii="黑体" w:eastAsia="黑体" w:cs="黑体"/>
          <w:kern w:val="0"/>
          <w:szCs w:val="21"/>
          <w:lang w:val="zh-CN"/>
        </w:rPr>
        <w:t xml:space="preserve">6.3 </w:t>
      </w:r>
      <w:r>
        <w:rPr>
          <w:rFonts w:hint="eastAsia" w:ascii="宋体" w:hAnsi="宋体" w:cs="宋体"/>
          <w:kern w:val="0"/>
          <w:szCs w:val="21"/>
          <w:lang w:val="zh-CN"/>
        </w:rPr>
        <w:t>样品表面应洁净。必要时，非转化膜层样品可清洗干燥后再进行试验。</w:t>
      </w:r>
    </w:p>
    <w:p>
      <w:pPr>
        <w:tabs>
          <w:tab w:val="center" w:pos="4201"/>
          <w:tab w:val="right" w:leader="dot" w:pos="9298"/>
        </w:tabs>
        <w:autoSpaceDE w:val="0"/>
        <w:autoSpaceDN w:val="0"/>
        <w:adjustRightInd w:val="0"/>
        <w:spacing w:line="348" w:lineRule="auto"/>
        <w:rPr>
          <w:rFonts w:ascii="宋体" w:hAnsi="宋体" w:cs="宋体"/>
          <w:kern w:val="0"/>
          <w:szCs w:val="21"/>
          <w:lang w:val="zh-CN"/>
        </w:rPr>
      </w:pPr>
      <w:r>
        <w:rPr>
          <w:rFonts w:ascii="黑体" w:eastAsia="黑体" w:cs="黑体"/>
          <w:kern w:val="0"/>
          <w:szCs w:val="21"/>
          <w:lang w:val="zh-CN"/>
        </w:rPr>
        <w:t xml:space="preserve">6.4 </w:t>
      </w:r>
      <w:r>
        <w:rPr>
          <w:rFonts w:hint="eastAsia" w:ascii="宋体" w:hAnsi="宋体" w:cs="宋体"/>
          <w:kern w:val="0"/>
          <w:szCs w:val="21"/>
          <w:lang w:val="zh-CN"/>
        </w:rPr>
        <w:t>试验后只关注样品外观变化情况的，通常用不充磁的</w:t>
      </w:r>
      <w:r>
        <w:rPr>
          <w:rFonts w:hint="eastAsia" w:ascii="宋体" w:hAnsi="宋体" w:cs="宋体"/>
          <w:kern w:val="0"/>
          <w:szCs w:val="21"/>
        </w:rPr>
        <w:t>样品</w:t>
      </w:r>
      <w:r>
        <w:rPr>
          <w:rFonts w:hint="eastAsia" w:ascii="宋体" w:hAnsi="宋体" w:cs="宋体"/>
          <w:kern w:val="0"/>
          <w:szCs w:val="21"/>
          <w:lang w:val="zh-CN"/>
        </w:rPr>
        <w:t>进行试验。</w:t>
      </w:r>
    </w:p>
    <w:p>
      <w:pPr>
        <w:tabs>
          <w:tab w:val="center" w:pos="4201"/>
          <w:tab w:val="right" w:leader="dot" w:pos="9298"/>
        </w:tabs>
        <w:autoSpaceDE w:val="0"/>
        <w:autoSpaceDN w:val="0"/>
        <w:adjustRightInd w:val="0"/>
        <w:spacing w:line="348" w:lineRule="auto"/>
        <w:ind w:left="780" w:leftChars="200" w:hanging="360" w:hangingChars="200"/>
        <w:rPr>
          <w:rFonts w:ascii="宋体" w:cs="宋体"/>
          <w:kern w:val="0"/>
          <w:szCs w:val="21"/>
          <w:lang w:val="zh-CN"/>
        </w:rPr>
      </w:pPr>
      <w:r>
        <w:rPr>
          <w:rFonts w:hint="eastAsia" w:ascii="黑体" w:hAnsi="黑体" w:eastAsia="黑体" w:cs="黑体"/>
          <w:kern w:val="0"/>
          <w:sz w:val="18"/>
          <w:szCs w:val="18"/>
          <w:lang w:val="zh-CN"/>
        </w:rPr>
        <w:t>注</w:t>
      </w:r>
      <w:r>
        <w:rPr>
          <w:rFonts w:hint="eastAsia" w:ascii="黑体" w:hAnsi="黑体" w:eastAsia="黑体" w:cs="宋体"/>
          <w:kern w:val="0"/>
          <w:sz w:val="18"/>
          <w:szCs w:val="18"/>
          <w:lang w:val="zh-CN"/>
        </w:rPr>
        <w:t>：</w:t>
      </w:r>
      <w:r>
        <w:rPr>
          <w:rFonts w:hint="eastAsia" w:ascii="宋体" w:cs="宋体"/>
          <w:kern w:val="0"/>
          <w:sz w:val="18"/>
          <w:szCs w:val="18"/>
          <w:lang w:val="zh-CN"/>
        </w:rPr>
        <w:t>一方面充磁样品容易吸附在一起，增加了试验的难度；另一方面样品充磁后，不可避免存在吸附碰撞现象，对防护层造成潜在损伤，增加了试验结果的不确定性。</w:t>
      </w:r>
    </w:p>
    <w:p>
      <w:pPr>
        <w:autoSpaceDE w:val="0"/>
        <w:autoSpaceDN w:val="0"/>
        <w:adjustRightInd w:val="0"/>
        <w:spacing w:before="468" w:beforeLines="150" w:after="312" w:afterLines="100" w:line="348" w:lineRule="auto"/>
        <w:outlineLvl w:val="0"/>
        <w:rPr>
          <w:rFonts w:ascii="黑体" w:eastAsia="黑体" w:cs="黑体"/>
          <w:kern w:val="0"/>
          <w:szCs w:val="21"/>
          <w:lang w:val="zh-CN"/>
        </w:rPr>
      </w:pPr>
      <w:bookmarkStart w:id="102" w:name="_Toc20997"/>
      <w:bookmarkStart w:id="103" w:name="_Toc11981"/>
      <w:bookmarkStart w:id="104" w:name="_Toc7343"/>
      <w:bookmarkStart w:id="105" w:name="_Toc109033108"/>
      <w:bookmarkStart w:id="106" w:name="_Toc22787"/>
      <w:bookmarkStart w:id="107" w:name="_Toc2221"/>
      <w:bookmarkStart w:id="108" w:name="_Toc9692"/>
      <w:bookmarkStart w:id="109" w:name="_Toc31104"/>
      <w:bookmarkStart w:id="110" w:name="_Toc21979"/>
      <w:r>
        <w:rPr>
          <w:rFonts w:ascii="黑体" w:eastAsia="黑体" w:cs="黑体"/>
          <w:kern w:val="0"/>
          <w:szCs w:val="21"/>
          <w:lang w:val="zh-CN"/>
        </w:rPr>
        <w:t xml:space="preserve">7  </w:t>
      </w:r>
      <w:r>
        <w:rPr>
          <w:rFonts w:hint="eastAsia" w:ascii="黑体" w:eastAsia="黑体" w:cs="黑体"/>
          <w:kern w:val="0"/>
          <w:szCs w:val="21"/>
          <w:lang w:val="zh-CN"/>
        </w:rPr>
        <w:t>样品框</w:t>
      </w:r>
      <w:bookmarkEnd w:id="102"/>
      <w:bookmarkEnd w:id="103"/>
      <w:bookmarkEnd w:id="104"/>
      <w:bookmarkEnd w:id="105"/>
      <w:bookmarkEnd w:id="106"/>
      <w:bookmarkEnd w:id="107"/>
      <w:bookmarkEnd w:id="108"/>
      <w:bookmarkEnd w:id="109"/>
      <w:bookmarkEnd w:id="110"/>
    </w:p>
    <w:p>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kern w:val="0"/>
          <w:szCs w:val="21"/>
          <w:lang w:val="zh-CN"/>
        </w:rPr>
        <w:t xml:space="preserve">7.1 </w:t>
      </w:r>
      <w:r>
        <w:rPr>
          <w:rFonts w:hint="eastAsia"/>
          <w:kern w:val="0"/>
          <w:szCs w:val="21"/>
          <w:lang w:val="zh-CN"/>
        </w:rPr>
        <w:t>在试验条件下样品框不应产生肉眼可见的腐蚀，也不应引起试验样品腐蚀，推荐使用高硼高硅</w:t>
      </w:r>
      <w:r>
        <w:rPr>
          <w:rFonts w:hint="eastAsia"/>
          <w:kern w:val="0"/>
          <w:szCs w:val="21"/>
        </w:rPr>
        <w:t>耐高温</w:t>
      </w:r>
      <w:r>
        <w:rPr>
          <w:rFonts w:hint="eastAsia"/>
          <w:kern w:val="0"/>
          <w:szCs w:val="21"/>
          <w:lang w:val="zh-CN"/>
        </w:rPr>
        <w:t>玻璃或</w:t>
      </w:r>
      <w:r>
        <w:rPr>
          <w:rFonts w:hint="eastAsia" w:ascii="宋体" w:hAnsi="宋体" w:cs="宋体"/>
          <w:kern w:val="0"/>
          <w:szCs w:val="21"/>
          <w:lang w:val="zh-CN"/>
        </w:rPr>
        <w:t> 304 </w:t>
      </w:r>
      <w:r>
        <w:rPr>
          <w:rFonts w:hint="eastAsia"/>
          <w:kern w:val="0"/>
          <w:szCs w:val="21"/>
          <w:lang w:val="zh-CN"/>
        </w:rPr>
        <w:t>不锈钢等耐腐蚀材质的容器或支架放置样品。</w:t>
      </w:r>
    </w:p>
    <w:p>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kern w:val="0"/>
          <w:szCs w:val="21"/>
          <w:lang w:val="zh-CN"/>
        </w:rPr>
        <w:t>7.2</w:t>
      </w:r>
      <w:r>
        <w:rPr>
          <w:rFonts w:ascii="宋体" w:cs="宋体"/>
          <w:kern w:val="0"/>
          <w:szCs w:val="21"/>
          <w:lang w:val="zh-CN"/>
        </w:rPr>
        <w:t xml:space="preserve"> </w:t>
      </w:r>
      <w:r>
        <w:rPr>
          <w:rFonts w:hint="eastAsia" w:ascii="宋体" w:cs="宋体"/>
          <w:kern w:val="0"/>
          <w:szCs w:val="21"/>
          <w:lang w:val="zh-CN"/>
        </w:rPr>
        <w:t>如果样品已充磁，又不便退磁，试验后仅观察外观变化，建议在样品框下面放一块镀镍钝铁板，然后再将样品放在样品框内，尽可能防止样品因相互吸附而移动；也可将样品直接吸附在镀</w:t>
      </w:r>
      <w:r>
        <w:rPr>
          <w:kern w:val="0"/>
          <w:szCs w:val="21"/>
          <w:lang w:val="zh-CN"/>
        </w:rPr>
        <w:t> </w:t>
      </w:r>
      <w:r>
        <w:rPr>
          <w:rFonts w:hint="eastAsia" w:ascii="宋体" w:cs="宋体"/>
          <w:kern w:val="0"/>
          <w:szCs w:val="21"/>
          <w:lang w:val="zh-CN"/>
        </w:rPr>
        <w:t>镍</w:t>
      </w:r>
      <w:r>
        <w:rPr>
          <w:kern w:val="0"/>
          <w:szCs w:val="21"/>
          <w:lang w:val="zh-CN"/>
        </w:rPr>
        <w:t> </w:t>
      </w:r>
      <w:r>
        <w:rPr>
          <w:rFonts w:hint="eastAsia" w:ascii="宋体" w:cs="宋体"/>
          <w:kern w:val="0"/>
          <w:szCs w:val="21"/>
          <w:lang w:val="zh-CN"/>
        </w:rPr>
        <w:t>铁板上进行试验。</w:t>
      </w:r>
    </w:p>
    <w:p>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hAnsi="黑体" w:eastAsia="黑体" w:cs="黑体"/>
          <w:kern w:val="0"/>
          <w:szCs w:val="21"/>
          <w:lang w:val="zh-CN"/>
        </w:rPr>
        <w:t>7.3</w:t>
      </w:r>
      <w:r>
        <w:rPr>
          <w:rFonts w:ascii="宋体" w:cs="宋体"/>
          <w:kern w:val="0"/>
          <w:szCs w:val="21"/>
          <w:lang w:val="zh-CN"/>
        </w:rPr>
        <w:t xml:space="preserve"> </w:t>
      </w:r>
      <w:r>
        <w:rPr>
          <w:rFonts w:hint="eastAsia" w:ascii="宋体" w:cs="宋体"/>
          <w:kern w:val="0"/>
          <w:szCs w:val="21"/>
          <w:lang w:val="zh-CN"/>
        </w:rPr>
        <w:t>如果不关注试验后外观变化，只是测量开路状态下恒定湿热试验后的磁通不可逆损失，建议将样品放置于高硼高硅耐高温玻璃培养皿内进行试验。</w:t>
      </w:r>
    </w:p>
    <w:p>
      <w:pPr>
        <w:autoSpaceDE w:val="0"/>
        <w:autoSpaceDN w:val="0"/>
        <w:adjustRightInd w:val="0"/>
        <w:spacing w:before="468" w:beforeLines="150" w:after="312" w:afterLines="100" w:line="348" w:lineRule="auto"/>
        <w:outlineLvl w:val="0"/>
        <w:rPr>
          <w:rFonts w:ascii="黑体" w:eastAsia="黑体" w:cs="黑体"/>
          <w:kern w:val="0"/>
          <w:szCs w:val="21"/>
          <w:lang w:val="zh-CN"/>
        </w:rPr>
      </w:pPr>
      <w:bookmarkStart w:id="111" w:name="_Toc18762"/>
      <w:bookmarkStart w:id="112" w:name="_Toc28911"/>
      <w:bookmarkStart w:id="113" w:name="_Toc1242"/>
      <w:bookmarkStart w:id="114" w:name="_Toc25540"/>
      <w:bookmarkStart w:id="115" w:name="_Toc22559"/>
      <w:bookmarkStart w:id="116" w:name="_Toc8249"/>
      <w:bookmarkStart w:id="117" w:name="_Toc17367"/>
      <w:bookmarkStart w:id="118" w:name="_Toc109033109"/>
      <w:bookmarkStart w:id="119" w:name="_Toc29210"/>
      <w:r>
        <w:rPr>
          <w:rFonts w:ascii="黑体" w:eastAsia="黑体" w:cs="黑体"/>
          <w:kern w:val="0"/>
          <w:szCs w:val="21"/>
          <w:lang w:val="zh-CN"/>
        </w:rPr>
        <w:t xml:space="preserve">8  </w:t>
      </w:r>
      <w:r>
        <w:rPr>
          <w:rFonts w:hint="eastAsia" w:ascii="黑体" w:eastAsia="黑体" w:cs="黑体"/>
          <w:kern w:val="0"/>
          <w:szCs w:val="21"/>
          <w:lang w:val="zh-CN"/>
        </w:rPr>
        <w:t>试验前检测</w:t>
      </w:r>
      <w:bookmarkEnd w:id="111"/>
      <w:bookmarkEnd w:id="112"/>
      <w:bookmarkEnd w:id="113"/>
      <w:bookmarkEnd w:id="114"/>
      <w:bookmarkEnd w:id="115"/>
      <w:bookmarkEnd w:id="116"/>
      <w:bookmarkEnd w:id="117"/>
      <w:bookmarkEnd w:id="118"/>
      <w:bookmarkEnd w:id="119"/>
    </w:p>
    <w:p>
      <w:pPr>
        <w:autoSpaceDE w:val="0"/>
        <w:autoSpaceDN w:val="0"/>
        <w:adjustRightInd w:val="0"/>
        <w:spacing w:line="348" w:lineRule="auto"/>
        <w:rPr>
          <w:kern w:val="0"/>
          <w:szCs w:val="21"/>
          <w:lang w:val="zh-CN"/>
        </w:rPr>
      </w:pPr>
      <w:r>
        <w:rPr>
          <w:rFonts w:ascii="黑体" w:eastAsia="黑体" w:cs="黑体"/>
          <w:kern w:val="0"/>
          <w:szCs w:val="21"/>
          <w:lang w:val="zh-CN"/>
        </w:rPr>
        <w:t>8.1</w:t>
      </w:r>
      <w:r>
        <w:rPr>
          <w:rFonts w:hint="eastAsia" w:ascii="黑体" w:eastAsia="黑体" w:cs="黑体"/>
          <w:kern w:val="0"/>
          <w:szCs w:val="21"/>
        </w:rPr>
        <w:t xml:space="preserve"> </w:t>
      </w:r>
      <w:r>
        <w:rPr>
          <w:rFonts w:hint="eastAsia" w:ascii="宋体" w:hAnsi="宋体" w:cs="宋体"/>
          <w:kern w:val="0"/>
          <w:szCs w:val="21"/>
          <w:lang w:val="zh-CN"/>
        </w:rPr>
        <w:t>试验前应在光线明亮条件下用肉眼仔细观察每个样品的所有表面，要求表面光滑平整，色泽均匀，防护层连续；不应有砂眼、起泡、裂纹等基体或防护层缺陷，允许有防护工艺不可避免的少量挂具痕迹。磷化、锆化等各类转化膜层样品表面应无黄色锈迹，也不允许有深色条纹或小黑点等可疑痕迹，必要时可借助</w:t>
      </w:r>
      <w:r>
        <w:rPr>
          <w:rFonts w:hint="eastAsia" w:ascii="宋体" w:hAnsi="宋体" w:cs="宋体"/>
          <w:kern w:val="0"/>
          <w:szCs w:val="21"/>
          <w:lang w:val="en-US" w:eastAsia="zh-CN"/>
        </w:rPr>
        <w:t>不低于</w:t>
      </w:r>
      <w:r>
        <w:rPr>
          <w:rFonts w:hint="eastAsia" w:ascii="宋体" w:hAnsi="宋体" w:cs="宋体"/>
          <w:kern w:val="0"/>
          <w:szCs w:val="21"/>
          <w:lang w:val="zh-CN"/>
        </w:rPr>
        <w:t> </w:t>
      </w:r>
      <w:r>
        <w:rPr>
          <w:rFonts w:hint="eastAsia" w:ascii="宋体" w:hAnsi="宋体" w:cs="宋体"/>
          <w:kern w:val="0"/>
          <w:szCs w:val="21"/>
        </w:rPr>
        <w:t>30</w:t>
      </w:r>
      <w:r>
        <w:rPr>
          <w:rFonts w:hint="eastAsia" w:ascii="宋体" w:hAnsi="宋体" w:cs="宋体"/>
          <w:kern w:val="0"/>
          <w:szCs w:val="21"/>
          <w:lang w:val="zh-CN"/>
        </w:rPr>
        <w:t>倍</w:t>
      </w:r>
      <w:r>
        <w:rPr>
          <w:rFonts w:hint="eastAsia" w:ascii="宋体" w:hAnsi="宋体" w:cs="宋体"/>
          <w:kern w:val="0"/>
          <w:szCs w:val="21"/>
          <w:lang w:val="en-US" w:eastAsia="zh-CN"/>
        </w:rPr>
        <w:t>的</w:t>
      </w:r>
      <w:r>
        <w:rPr>
          <w:rFonts w:hint="eastAsia" w:ascii="宋体" w:hAnsi="宋体" w:cs="宋体"/>
          <w:kern w:val="0"/>
          <w:szCs w:val="21"/>
          <w:lang w:val="zh-CN"/>
        </w:rPr>
        <w:t>放大镜观察确认。可参照 GB/T</w:t>
      </w:r>
      <w:r>
        <w:rPr>
          <w:rFonts w:hint="eastAsia" w:ascii="宋体" w:hAnsi="宋体" w:cs="宋体"/>
          <w:kern w:val="0"/>
          <w:szCs w:val="21"/>
        </w:rPr>
        <w:t xml:space="preserve"> </w:t>
      </w:r>
      <w:r>
        <w:rPr>
          <w:rFonts w:hint="eastAsia" w:ascii="宋体" w:hAnsi="宋体" w:cs="宋体"/>
          <w:kern w:val="0"/>
          <w:szCs w:val="21"/>
          <w:lang w:val="zh-CN"/>
        </w:rPr>
        <w:t>34491、 GB/T</w:t>
      </w:r>
      <w:r>
        <w:rPr>
          <w:rFonts w:hint="eastAsia" w:ascii="宋体" w:hAnsi="宋体" w:cs="宋体"/>
          <w:kern w:val="0"/>
          <w:szCs w:val="21"/>
        </w:rPr>
        <w:t xml:space="preserve"> </w:t>
      </w:r>
      <w:r>
        <w:rPr>
          <w:rFonts w:hint="eastAsia" w:ascii="宋体" w:hAnsi="宋体" w:cs="宋体"/>
          <w:kern w:val="0"/>
          <w:szCs w:val="21"/>
          <w:lang w:val="zh-CN"/>
        </w:rPr>
        <w:t>40793或有关规定要求对样品进行试验前外观质量检查。</w:t>
      </w:r>
    </w:p>
    <w:p>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kern w:val="0"/>
          <w:szCs w:val="21"/>
          <w:lang w:val="zh-CN"/>
        </w:rPr>
        <w:t xml:space="preserve">8.2 </w:t>
      </w:r>
      <w:r>
        <w:rPr>
          <w:rFonts w:hint="eastAsia" w:ascii="宋体" w:hAnsi="宋体" w:cs="宋体"/>
          <w:kern w:val="0"/>
          <w:szCs w:val="21"/>
          <w:lang w:val="zh-CN"/>
        </w:rPr>
        <w:t>如果要测试恒定湿热试验后磁通不可逆损失，试验前还需测量磁通或磁偶极矩，测量方法参照 GB/T 38437。</w:t>
      </w:r>
    </w:p>
    <w:p>
      <w:pPr>
        <w:tabs>
          <w:tab w:val="center" w:pos="4201"/>
          <w:tab w:val="right" w:leader="dot" w:pos="9298"/>
        </w:tabs>
        <w:autoSpaceDE w:val="0"/>
        <w:autoSpaceDN w:val="0"/>
        <w:adjustRightInd w:val="0"/>
        <w:spacing w:line="348" w:lineRule="auto"/>
        <w:rPr>
          <w:rFonts w:ascii="宋体" w:cs="宋体"/>
          <w:kern w:val="0"/>
          <w:szCs w:val="21"/>
          <w:lang w:val="zh-CN"/>
        </w:rPr>
      </w:pPr>
      <w:r>
        <w:rPr>
          <w:rFonts w:ascii="黑体" w:eastAsia="黑体" w:cs="黑体"/>
          <w:kern w:val="0"/>
          <w:szCs w:val="21"/>
          <w:lang w:val="zh-CN"/>
        </w:rPr>
        <w:t xml:space="preserve">8.3 </w:t>
      </w:r>
      <w:r>
        <w:rPr>
          <w:rFonts w:hint="eastAsia"/>
          <w:kern w:val="0"/>
          <w:szCs w:val="21"/>
          <w:lang w:val="zh-CN"/>
        </w:rPr>
        <w:t>试验前所有操作过程中，样品不得与皮肤直接接触，</w:t>
      </w:r>
      <w:r>
        <w:rPr>
          <w:rFonts w:hint="eastAsia" w:ascii="宋体" w:hAnsi="宋体" w:cs="宋体"/>
          <w:color w:val="000000"/>
          <w:kern w:val="0"/>
          <w:szCs w:val="21"/>
          <w:lang w:bidi="ar"/>
        </w:rPr>
        <w:t>可使用手套或镊子拿取样品，</w:t>
      </w:r>
      <w:r>
        <w:rPr>
          <w:rFonts w:hint="eastAsia"/>
          <w:kern w:val="0"/>
          <w:szCs w:val="21"/>
          <w:lang w:val="zh-CN"/>
        </w:rPr>
        <w:t>避免皮肤上油脂、汗液等污染样品。</w:t>
      </w:r>
    </w:p>
    <w:p>
      <w:pPr>
        <w:autoSpaceDE w:val="0"/>
        <w:autoSpaceDN w:val="0"/>
        <w:adjustRightInd w:val="0"/>
        <w:spacing w:before="468" w:beforeLines="150" w:after="312" w:afterLines="100" w:line="360" w:lineRule="auto"/>
        <w:outlineLvl w:val="0"/>
        <w:rPr>
          <w:rFonts w:ascii="黑体" w:eastAsia="黑体" w:cs="黑体"/>
          <w:kern w:val="0"/>
          <w:szCs w:val="21"/>
          <w:lang w:val="zh-CN"/>
        </w:rPr>
      </w:pPr>
      <w:bookmarkStart w:id="120" w:name="_Toc16892"/>
      <w:bookmarkStart w:id="121" w:name="_Toc109033110"/>
      <w:bookmarkStart w:id="122" w:name="_Toc23886"/>
      <w:bookmarkStart w:id="123" w:name="_Toc22699"/>
      <w:bookmarkStart w:id="124" w:name="_Toc30817"/>
      <w:bookmarkStart w:id="125" w:name="_Toc4117"/>
      <w:bookmarkStart w:id="126" w:name="_Toc6702"/>
      <w:bookmarkStart w:id="127" w:name="_Toc1268"/>
      <w:bookmarkStart w:id="128" w:name="_Toc14256"/>
      <w:r>
        <w:rPr>
          <w:rFonts w:ascii="黑体" w:eastAsia="黑体" w:cs="黑体"/>
          <w:kern w:val="0"/>
          <w:szCs w:val="21"/>
          <w:lang w:val="zh-CN"/>
        </w:rPr>
        <w:t xml:space="preserve">9  </w:t>
      </w:r>
      <w:r>
        <w:rPr>
          <w:rFonts w:hint="eastAsia" w:ascii="黑体" w:eastAsia="黑体" w:cs="黑体"/>
          <w:kern w:val="0"/>
          <w:szCs w:val="21"/>
          <w:lang w:val="zh-CN"/>
        </w:rPr>
        <w:t>试验过程要求</w:t>
      </w:r>
      <w:bookmarkEnd w:id="120"/>
      <w:bookmarkEnd w:id="121"/>
      <w:bookmarkEnd w:id="122"/>
      <w:bookmarkEnd w:id="123"/>
      <w:bookmarkEnd w:id="124"/>
      <w:bookmarkEnd w:id="125"/>
      <w:bookmarkEnd w:id="126"/>
      <w:bookmarkEnd w:id="127"/>
      <w:bookmarkEnd w:id="128"/>
    </w:p>
    <w:p>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kern w:val="0"/>
          <w:szCs w:val="21"/>
          <w:lang w:val="zh-CN"/>
        </w:rPr>
        <w:t>9.1</w:t>
      </w:r>
      <w:r>
        <w:rPr>
          <w:rFonts w:ascii="宋体" w:cs="宋体"/>
          <w:kern w:val="0"/>
          <w:szCs w:val="21"/>
          <w:lang w:val="zh-CN"/>
        </w:rPr>
        <w:t xml:space="preserve"> </w:t>
      </w:r>
      <w:r>
        <w:rPr>
          <w:rFonts w:hint="eastAsia" w:ascii="宋体" w:hAnsi="宋体" w:cs="宋体"/>
          <w:kern w:val="0"/>
          <w:szCs w:val="21"/>
          <w:lang w:val="zh-CN"/>
        </w:rPr>
        <w:t>试验前应用满足本文件第 4 章规定条件的试验用水清洗试验箱内部。</w:t>
      </w:r>
    </w:p>
    <w:p>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kern w:val="0"/>
          <w:szCs w:val="21"/>
          <w:lang w:val="zh-CN"/>
        </w:rPr>
        <w:t xml:space="preserve">9.2 </w:t>
      </w:r>
      <w:r>
        <w:rPr>
          <w:rFonts w:hint="eastAsia" w:ascii="宋体" w:hAnsi="宋体" w:cs="宋体"/>
          <w:kern w:val="0"/>
          <w:szCs w:val="21"/>
          <w:lang w:val="zh-CN"/>
        </w:rPr>
        <w:t>将样品放在符合本文件第 7 章规定的样品框中。非充磁样品，其间距不小于 10 mm。样品框多层放置时，应避免上层样品的腐蚀产物对下层样品造成污染。充磁</w:t>
      </w:r>
      <w:r>
        <w:rPr>
          <w:rFonts w:hint="eastAsia" w:ascii="宋体" w:cs="宋体"/>
          <w:kern w:val="0"/>
          <w:szCs w:val="21"/>
          <w:lang w:val="zh-CN"/>
        </w:rPr>
        <w:t>样品，样品间距应确保样品不会因磁相互作用而移动。</w:t>
      </w:r>
    </w:p>
    <w:p>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kern w:val="0"/>
          <w:szCs w:val="21"/>
          <w:lang w:val="zh-CN"/>
        </w:rPr>
        <w:t xml:space="preserve">9.3 </w:t>
      </w:r>
      <w:r>
        <w:rPr>
          <w:rFonts w:hint="eastAsia" w:ascii="宋体" w:hAnsi="宋体" w:cs="宋体"/>
          <w:kern w:val="0"/>
          <w:szCs w:val="21"/>
          <w:lang w:val="zh-CN"/>
        </w:rPr>
        <w:t>在室温环境条件下，将样品放入初始温度为室温的试验箱中心试验区内，必要时绘制样品框中样品摆放位置图，确保试验前后样品能一一对应。样品与试验箱内壁间距不小于 50 mm。</w:t>
      </w:r>
    </w:p>
    <w:p>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kern w:val="0"/>
          <w:szCs w:val="21"/>
          <w:lang w:val="zh-CN"/>
        </w:rPr>
        <w:t>9.4</w:t>
      </w:r>
      <w:r>
        <w:rPr>
          <w:rFonts w:hint="eastAsia" w:ascii="黑体" w:eastAsia="黑体" w:cs="黑体"/>
          <w:kern w:val="0"/>
          <w:szCs w:val="21"/>
          <w:lang w:val="zh-CN"/>
        </w:rPr>
        <w:t xml:space="preserve"> </w:t>
      </w:r>
      <w:r>
        <w:rPr>
          <w:rFonts w:hint="eastAsia" w:ascii="宋体" w:hAnsi="宋体" w:eastAsia="宋体" w:cs="宋体"/>
          <w:kern w:val="0"/>
          <w:szCs w:val="21"/>
          <w:lang w:val="zh-CN"/>
        </w:rPr>
        <w:t>HAST</w:t>
      </w:r>
      <w:r>
        <w:rPr>
          <w:rFonts w:hint="eastAsia" w:ascii="宋体" w:hAnsi="宋体" w:cs="宋体"/>
          <w:kern w:val="0"/>
          <w:szCs w:val="21"/>
          <w:lang w:val="zh-CN"/>
        </w:rPr>
        <w:t>试验中不允许样品上形成凝露。HAST试验时，如果样品质量＞100 g，可将</w:t>
      </w:r>
      <w:r>
        <w:rPr>
          <w:rFonts w:hint="eastAsia" w:ascii="宋体" w:hAnsi="宋体" w:cs="宋体"/>
          <w:kern w:val="0"/>
          <w:szCs w:val="21"/>
          <w:lang w:val="en-US" w:eastAsia="zh-CN"/>
        </w:rPr>
        <w:t>样品和</w:t>
      </w:r>
      <w:r>
        <w:rPr>
          <w:rFonts w:hint="eastAsia" w:ascii="宋体" w:hAnsi="宋体" w:cs="宋体"/>
          <w:kern w:val="0"/>
          <w:szCs w:val="21"/>
          <w:lang w:val="zh-CN"/>
        </w:rPr>
        <w:t>样品框</w:t>
      </w:r>
      <w:r>
        <w:rPr>
          <w:rFonts w:hint="eastAsia" w:ascii="宋体" w:hAnsi="宋体" w:cs="宋体"/>
          <w:kern w:val="0"/>
          <w:szCs w:val="21"/>
          <w:lang w:val="en-US" w:eastAsia="zh-CN"/>
        </w:rPr>
        <w:t>一起</w:t>
      </w:r>
      <w:r>
        <w:rPr>
          <w:rFonts w:hint="eastAsia" w:ascii="宋体" w:hAnsi="宋体" w:cs="宋体"/>
          <w:kern w:val="0"/>
          <w:szCs w:val="21"/>
          <w:lang w:val="zh-CN"/>
        </w:rPr>
        <w:t>先用高温箱加热至试验温度，然后再放入</w:t>
      </w:r>
      <w:r>
        <w:rPr>
          <w:rFonts w:hint="eastAsia" w:ascii="宋体" w:hAnsi="宋体" w:cs="宋体"/>
          <w:kern w:val="0"/>
          <w:szCs w:val="21"/>
          <w:lang w:val="en-US" w:eastAsia="zh-CN"/>
        </w:rPr>
        <w:t>HAST</w:t>
      </w:r>
      <w:r>
        <w:rPr>
          <w:rFonts w:hint="eastAsia" w:ascii="宋体" w:hAnsi="宋体" w:cs="宋体"/>
          <w:kern w:val="0"/>
          <w:szCs w:val="21"/>
          <w:lang w:val="zh-CN"/>
        </w:rPr>
        <w:t>试验箱内，这样可降低样品上形成凝露的风险。</w:t>
      </w:r>
    </w:p>
    <w:p>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hAnsi="黑体" w:eastAsia="黑体" w:cs="宋体"/>
          <w:kern w:val="0"/>
          <w:szCs w:val="21"/>
          <w:lang w:val="zh-CN"/>
        </w:rPr>
        <w:t xml:space="preserve">9.5 </w:t>
      </w:r>
      <w:r>
        <w:rPr>
          <w:rFonts w:hint="eastAsia" w:ascii="宋体" w:hAnsi="宋体" w:cs="宋体"/>
          <w:kern w:val="0"/>
          <w:szCs w:val="21"/>
          <w:lang w:val="zh-CN"/>
        </w:rPr>
        <w:t>普通恒定湿热试验中不允许样品上形成凝露。如温湿度上升过快，试验样品可能会产生凝露（详见资料性附录A），凝露与否会显著影响磷化等转化膜层样品</w:t>
      </w:r>
      <w:r>
        <w:rPr>
          <w:rFonts w:hint="eastAsia" w:ascii="宋体" w:hAnsi="宋体" w:cs="宋体"/>
          <w:kern w:val="0"/>
          <w:szCs w:val="21"/>
          <w:lang w:val="en-US" w:eastAsia="zh-CN"/>
        </w:rPr>
        <w:t>的</w:t>
      </w:r>
      <w:bookmarkStart w:id="216" w:name="_GoBack"/>
      <w:bookmarkEnd w:id="216"/>
      <w:r>
        <w:rPr>
          <w:rFonts w:hint="eastAsia" w:ascii="宋体" w:hAnsi="宋体" w:cs="宋体"/>
          <w:kern w:val="0"/>
          <w:szCs w:val="21"/>
          <w:lang w:val="zh-CN"/>
        </w:rPr>
        <w:t>试验结果。升温速率通常</w:t>
      </w:r>
      <w:r>
        <w:rPr>
          <w:rFonts w:hint="eastAsia" w:ascii="宋体" w:hAnsi="宋体" w:cs="宋体"/>
          <w:kern w:val="0"/>
          <w:szCs w:val="21"/>
        </w:rPr>
        <w:t>不大于</w:t>
      </w:r>
      <w:r>
        <w:rPr>
          <w:rFonts w:hint="eastAsia" w:ascii="宋体" w:hAnsi="宋体" w:cs="宋体"/>
          <w:kern w:val="0"/>
          <w:szCs w:val="21"/>
          <w:lang w:val="zh-CN"/>
        </w:rPr>
        <w:t>1 ℃/min。</w:t>
      </w:r>
    </w:p>
    <w:p>
      <w:pPr>
        <w:tabs>
          <w:tab w:val="center" w:pos="4201"/>
          <w:tab w:val="right" w:leader="dot" w:pos="9298"/>
        </w:tabs>
        <w:autoSpaceDE w:val="0"/>
        <w:autoSpaceDN w:val="0"/>
        <w:adjustRightInd w:val="0"/>
        <w:spacing w:line="360" w:lineRule="auto"/>
        <w:ind w:left="960" w:leftChars="200" w:hanging="540" w:hangingChars="300"/>
        <w:rPr>
          <w:rFonts w:ascii="宋体" w:cs="宋体"/>
          <w:kern w:val="0"/>
          <w:sz w:val="18"/>
          <w:szCs w:val="18"/>
          <w:lang w:val="zh-CN"/>
        </w:rPr>
      </w:pPr>
      <w:r>
        <w:rPr>
          <w:rFonts w:hint="eastAsia" w:ascii="黑体" w:hAnsi="黑体" w:eastAsia="黑体" w:cs="宋体"/>
          <w:kern w:val="0"/>
          <w:sz w:val="18"/>
          <w:szCs w:val="18"/>
          <w:lang w:val="zh-CN"/>
        </w:rPr>
        <w:t>示例：</w:t>
      </w:r>
      <w:r>
        <w:rPr>
          <w:rFonts w:hint="eastAsia" w:ascii="宋体" w:hAnsi="宋体" w:cs="宋体"/>
          <w:kern w:val="0"/>
          <w:sz w:val="18"/>
          <w:szCs w:val="18"/>
          <w:lang w:val="zh-CN"/>
        </w:rPr>
        <w:t xml:space="preserve">以60℃ 90%RH 试验条件为例说明到达试验条件前的温湿设定程序如下：先 30 ℃ 35 %RH 恒定5 min，再以 </w:t>
      </w:r>
      <w:r>
        <w:rPr>
          <w:rFonts w:ascii="宋体" w:hAnsi="宋体" w:cs="宋体"/>
          <w:kern w:val="0"/>
          <w:sz w:val="18"/>
          <w:szCs w:val="18"/>
          <w:lang w:val="zh-CN"/>
        </w:rPr>
        <w:t xml:space="preserve">     </w:t>
      </w:r>
      <w:r>
        <w:rPr>
          <w:rFonts w:hint="eastAsia" w:ascii="宋体" w:hAnsi="宋体" w:cs="宋体"/>
          <w:kern w:val="0"/>
          <w:sz w:val="18"/>
          <w:szCs w:val="18"/>
          <w:lang w:val="zh-CN"/>
        </w:rPr>
        <w:t>1 ℃/min 速率升至60 ℃ 35 %RH，然后在60 ℃ 35% RH 恒定 30 min，再将湿度由 35 %RH 提高至 90 %RH，达到最终试验条件。</w:t>
      </w:r>
    </w:p>
    <w:p>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kern w:val="0"/>
          <w:szCs w:val="21"/>
          <w:lang w:val="zh-CN"/>
        </w:rPr>
        <w:t xml:space="preserve">9.6 </w:t>
      </w:r>
      <w:r>
        <w:rPr>
          <w:rFonts w:hint="eastAsia" w:ascii="宋体" w:hAnsi="宋体" w:cs="宋体"/>
          <w:kern w:val="0"/>
          <w:szCs w:val="21"/>
          <w:lang w:val="zh-CN"/>
        </w:rPr>
        <w:t>试验箱内温湿度达到设定值并稳定后，开始试验持续时间计时。在试验持续时间内，温度和相对湿度应维持在本文件表 1 规定的容差范围内。</w:t>
      </w:r>
    </w:p>
    <w:p>
      <w:pPr>
        <w:tabs>
          <w:tab w:val="center" w:pos="4201"/>
          <w:tab w:val="right" w:leader="dot" w:pos="9298"/>
        </w:tabs>
        <w:autoSpaceDE w:val="0"/>
        <w:autoSpaceDN w:val="0"/>
        <w:adjustRightInd w:val="0"/>
        <w:spacing w:line="360" w:lineRule="auto"/>
        <w:rPr>
          <w:rFonts w:ascii="宋体" w:hAnsi="宋体" w:cs="宋体"/>
          <w:kern w:val="0"/>
          <w:szCs w:val="21"/>
          <w:lang w:val="zh-CN"/>
        </w:rPr>
      </w:pPr>
      <w:bookmarkStart w:id="129" w:name="_Toc21244"/>
      <w:bookmarkStart w:id="130" w:name="_Toc7081"/>
      <w:bookmarkStart w:id="131" w:name="_Toc22942"/>
      <w:bookmarkStart w:id="132" w:name="_Toc20175"/>
      <w:bookmarkStart w:id="133" w:name="_Toc4530"/>
      <w:r>
        <w:rPr>
          <w:rFonts w:ascii="黑体" w:eastAsia="黑体" w:cs="黑体"/>
          <w:kern w:val="0"/>
          <w:szCs w:val="21"/>
          <w:lang w:val="zh-CN"/>
        </w:rPr>
        <w:t xml:space="preserve">9.7 </w:t>
      </w:r>
      <w:r>
        <w:rPr>
          <w:rFonts w:hint="eastAsia" w:ascii="宋体" w:hAnsi="宋体" w:cs="宋体"/>
          <w:kern w:val="0"/>
          <w:szCs w:val="21"/>
          <w:lang w:val="zh-CN"/>
        </w:rPr>
        <w:t>试验期间，不允许打开试验箱箱，更不允许将试验样品移出试验箱进行检测。</w:t>
      </w:r>
      <w:bookmarkEnd w:id="129"/>
      <w:bookmarkEnd w:id="130"/>
      <w:bookmarkEnd w:id="131"/>
      <w:bookmarkEnd w:id="132"/>
      <w:bookmarkEnd w:id="133"/>
    </w:p>
    <w:p>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kern w:val="0"/>
          <w:szCs w:val="21"/>
          <w:lang w:val="zh-CN"/>
        </w:rPr>
        <w:t>9.8</w:t>
      </w:r>
      <w:r>
        <w:rPr>
          <w:rFonts w:ascii="宋体" w:cs="宋体"/>
          <w:kern w:val="0"/>
          <w:szCs w:val="21"/>
          <w:lang w:val="zh-CN"/>
        </w:rPr>
        <w:t xml:space="preserve"> </w:t>
      </w:r>
      <w:r>
        <w:rPr>
          <w:rFonts w:hint="eastAsia" w:ascii="宋体" w:hAnsi="宋体" w:cs="宋体"/>
          <w:kern w:val="0"/>
          <w:szCs w:val="21"/>
          <w:lang w:val="zh-CN"/>
        </w:rPr>
        <w:t>在规定的试验时间结束后，降温阶段应通过自然冷却或程序设定自动实现，降温时间不应超过 1 h。高压蒸汽恒定湿热试验时，不允许通过放水、放气的方法快速降温。</w:t>
      </w:r>
      <w:r>
        <w:rPr>
          <w:rFonts w:ascii="宋体" w:cs="宋体"/>
          <w:color w:val="FF0000"/>
          <w:kern w:val="0"/>
          <w:szCs w:val="21"/>
          <w:lang w:val="zh-CN"/>
        </w:rPr>
        <w:t xml:space="preserve"> </w:t>
      </w:r>
    </w:p>
    <w:p>
      <w:pPr>
        <w:tabs>
          <w:tab w:val="center" w:pos="4201"/>
          <w:tab w:val="right" w:leader="dot" w:pos="9298"/>
        </w:tabs>
        <w:autoSpaceDE w:val="0"/>
        <w:autoSpaceDN w:val="0"/>
        <w:adjustRightInd w:val="0"/>
        <w:spacing w:line="360" w:lineRule="auto"/>
        <w:rPr>
          <w:rFonts w:ascii="宋体" w:cs="宋体"/>
          <w:kern w:val="0"/>
          <w:szCs w:val="21"/>
          <w:lang w:val="zh-CN"/>
        </w:rPr>
      </w:pPr>
      <w:r>
        <w:rPr>
          <w:rFonts w:ascii="黑体" w:eastAsia="黑体" w:cs="黑体"/>
          <w:kern w:val="0"/>
          <w:szCs w:val="21"/>
          <w:lang w:val="zh-CN"/>
        </w:rPr>
        <w:t xml:space="preserve">9.9 </w:t>
      </w:r>
      <w:r>
        <w:rPr>
          <w:rFonts w:hint="eastAsia" w:ascii="宋体" w:hAnsi="宋体" w:cs="宋体"/>
          <w:kern w:val="0"/>
          <w:szCs w:val="21"/>
          <w:lang w:val="zh-CN"/>
        </w:rPr>
        <w:t>普通恒定湿热试验时，当试验箱内温度降至 50 ℃以下后即可打开试验箱门。高压蒸汽恒定湿热试验时，试验箱内压力降至一个标准大气压后即可打开试验箱门。从试验箱内取出样品在实验室标准大气条件下恢复，恢复时间为 1 h。</w:t>
      </w:r>
    </w:p>
    <w:p>
      <w:pPr>
        <w:tabs>
          <w:tab w:val="center" w:pos="4201"/>
          <w:tab w:val="right" w:leader="dot" w:pos="9298"/>
        </w:tabs>
        <w:autoSpaceDE w:val="0"/>
        <w:autoSpaceDN w:val="0"/>
        <w:adjustRightInd w:val="0"/>
        <w:spacing w:line="360" w:lineRule="auto"/>
        <w:rPr>
          <w:rFonts w:ascii="宋体" w:hAnsi="宋体" w:cs="宋体"/>
          <w:kern w:val="0"/>
          <w:szCs w:val="21"/>
          <w:lang w:val="zh-CN"/>
        </w:rPr>
      </w:pPr>
      <w:r>
        <w:rPr>
          <w:rFonts w:ascii="黑体" w:eastAsia="黑体" w:cs="黑体"/>
          <w:kern w:val="0"/>
          <w:szCs w:val="21"/>
          <w:lang w:val="zh-CN"/>
        </w:rPr>
        <w:t>9.10</w:t>
      </w:r>
      <w:r>
        <w:rPr>
          <w:rFonts w:ascii="宋体" w:cs="宋体"/>
          <w:kern w:val="0"/>
          <w:szCs w:val="21"/>
          <w:lang w:val="zh-CN"/>
        </w:rPr>
        <w:t xml:space="preserve"> </w:t>
      </w:r>
      <w:r>
        <w:rPr>
          <w:rFonts w:hint="eastAsia" w:ascii="宋体" w:hAnsi="宋体" w:cs="宋体"/>
          <w:kern w:val="0"/>
          <w:szCs w:val="21"/>
          <w:lang w:val="zh-CN"/>
        </w:rPr>
        <w:t>整个试验过程中，包括降温阶段，样品温度和湿度值上限不得超过试验条件上限值。</w:t>
      </w:r>
    </w:p>
    <w:p>
      <w:pPr>
        <w:autoSpaceDE w:val="0"/>
        <w:autoSpaceDN w:val="0"/>
        <w:adjustRightInd w:val="0"/>
        <w:spacing w:before="468" w:beforeLines="150" w:after="312" w:afterLines="100" w:line="360" w:lineRule="auto"/>
        <w:outlineLvl w:val="0"/>
        <w:rPr>
          <w:rFonts w:ascii="黑体" w:eastAsia="黑体" w:cs="黑体"/>
          <w:kern w:val="0"/>
          <w:szCs w:val="21"/>
          <w:lang w:val="zh-CN"/>
        </w:rPr>
      </w:pPr>
      <w:bookmarkStart w:id="134" w:name="_Toc8461"/>
      <w:bookmarkStart w:id="135" w:name="_Toc16120"/>
      <w:bookmarkStart w:id="136" w:name="_Toc17516"/>
      <w:bookmarkStart w:id="137" w:name="_Toc18171"/>
      <w:bookmarkStart w:id="138" w:name="_Toc25713"/>
      <w:bookmarkStart w:id="139" w:name="_Toc13788"/>
      <w:bookmarkStart w:id="140" w:name="_Toc24741"/>
      <w:bookmarkStart w:id="141" w:name="_Toc29292"/>
      <w:bookmarkStart w:id="142" w:name="_Toc109033111"/>
      <w:r>
        <w:rPr>
          <w:rFonts w:hint="eastAsia" w:ascii="黑体" w:eastAsia="黑体" w:cs="黑体"/>
          <w:kern w:val="0"/>
          <w:szCs w:val="21"/>
          <w:lang w:val="zh-CN"/>
        </w:rPr>
        <w:t>10</w:t>
      </w:r>
      <w:r>
        <w:rPr>
          <w:rFonts w:ascii="黑体" w:eastAsia="黑体" w:cs="黑体"/>
          <w:kern w:val="0"/>
          <w:szCs w:val="21"/>
          <w:lang w:val="zh-CN"/>
        </w:rPr>
        <w:t xml:space="preserve">  </w:t>
      </w:r>
      <w:r>
        <w:rPr>
          <w:rFonts w:hint="eastAsia" w:ascii="黑体" w:eastAsia="黑体" w:cs="黑体"/>
          <w:kern w:val="0"/>
          <w:szCs w:val="21"/>
          <w:lang w:val="zh-CN"/>
        </w:rPr>
        <w:t>试验后检测</w:t>
      </w:r>
      <w:bookmarkEnd w:id="134"/>
      <w:bookmarkEnd w:id="135"/>
      <w:bookmarkEnd w:id="136"/>
      <w:bookmarkEnd w:id="137"/>
      <w:bookmarkEnd w:id="138"/>
      <w:bookmarkEnd w:id="139"/>
      <w:bookmarkEnd w:id="140"/>
      <w:bookmarkEnd w:id="141"/>
      <w:bookmarkEnd w:id="142"/>
    </w:p>
    <w:p>
      <w:pPr>
        <w:tabs>
          <w:tab w:val="center" w:pos="4201"/>
          <w:tab w:val="right" w:leader="dot" w:pos="9298"/>
        </w:tabs>
        <w:autoSpaceDE w:val="0"/>
        <w:autoSpaceDN w:val="0"/>
        <w:adjustRightInd w:val="0"/>
        <w:spacing w:line="360" w:lineRule="auto"/>
        <w:contextualSpacing/>
        <w:jc w:val="left"/>
        <w:rPr>
          <w:rFonts w:ascii="宋体" w:hAnsi="宋体" w:cs="宋体"/>
          <w:kern w:val="0"/>
          <w:szCs w:val="21"/>
          <w:lang w:val="zh-CN"/>
        </w:rPr>
      </w:pPr>
      <w:r>
        <w:rPr>
          <w:rFonts w:ascii="黑体" w:eastAsia="黑体" w:cs="黑体"/>
          <w:kern w:val="0"/>
          <w:szCs w:val="21"/>
          <w:lang w:val="zh-CN"/>
        </w:rPr>
        <w:t>10.1</w:t>
      </w:r>
      <w:r>
        <w:rPr>
          <w:rFonts w:ascii="宋体" w:cs="宋体"/>
          <w:kern w:val="0"/>
          <w:szCs w:val="21"/>
          <w:lang w:val="zh-CN"/>
        </w:rPr>
        <w:t xml:space="preserve"> </w:t>
      </w:r>
      <w:r>
        <w:rPr>
          <w:rFonts w:hint="eastAsia" w:ascii="宋体" w:hAnsi="宋体" w:cs="宋体"/>
          <w:kern w:val="0"/>
          <w:szCs w:val="21"/>
          <w:lang w:val="zh-CN"/>
        </w:rPr>
        <w:t>试验恢复后，应在光线明亮条件下用肉眼仔细观察样品外观。应以样品上表面及上边沿观察结果为主，样品与</w:t>
      </w:r>
      <w:r>
        <w:rPr>
          <w:rFonts w:hint="eastAsia" w:ascii="宋体" w:hAnsi="宋体" w:cs="宋体"/>
          <w:kern w:val="0"/>
          <w:szCs w:val="21"/>
        </w:rPr>
        <w:t>样品框</w:t>
      </w:r>
      <w:r>
        <w:rPr>
          <w:rFonts w:hint="eastAsia" w:ascii="宋体" w:hAnsi="宋体" w:cs="宋体"/>
          <w:kern w:val="0"/>
          <w:szCs w:val="21"/>
          <w:lang w:val="zh-CN"/>
        </w:rPr>
        <w:t>不接触的侧面观察结果为辅，样品与</w:t>
      </w:r>
      <w:r>
        <w:rPr>
          <w:rFonts w:hint="eastAsia" w:ascii="宋体" w:hAnsi="宋体" w:cs="宋体"/>
          <w:kern w:val="0"/>
          <w:szCs w:val="21"/>
        </w:rPr>
        <w:t>样品框</w:t>
      </w:r>
      <w:r>
        <w:rPr>
          <w:rFonts w:hint="eastAsia" w:ascii="宋体" w:hAnsi="宋体" w:cs="宋体"/>
          <w:kern w:val="0"/>
          <w:szCs w:val="21"/>
          <w:lang w:val="zh-CN"/>
        </w:rPr>
        <w:t>接触面无需观察。</w:t>
      </w:r>
    </w:p>
    <w:p>
      <w:pPr>
        <w:autoSpaceDE w:val="0"/>
        <w:autoSpaceDN w:val="0"/>
        <w:adjustRightInd w:val="0"/>
        <w:spacing w:line="360" w:lineRule="auto"/>
        <w:contextualSpacing/>
        <w:rPr>
          <w:rFonts w:ascii="宋体" w:hAnsi="宋体" w:cs="宋体"/>
          <w:kern w:val="0"/>
          <w:szCs w:val="21"/>
          <w:lang w:val="zh-CN"/>
        </w:rPr>
      </w:pPr>
      <w:r>
        <w:rPr>
          <w:kern w:val="0"/>
          <w:szCs w:val="21"/>
        </w:rPr>
        <w:t xml:space="preserve">10.2 </w:t>
      </w:r>
      <w:r>
        <w:rPr>
          <w:rFonts w:hint="eastAsia" w:ascii="宋体" w:hAnsi="宋体" w:cs="宋体"/>
          <w:kern w:val="0"/>
          <w:szCs w:val="21"/>
          <w:lang w:val="zh-CN"/>
        </w:rPr>
        <w:t>同一批样品中，以腐蚀最严重的一片样品的评级作为同批样品最终试验评级。试验后样品外观评级可用</w:t>
      </w:r>
      <w:r>
        <w:rPr>
          <w:rFonts w:hint="eastAsia" w:ascii="宋体" w:hAnsi="宋体" w:cs="宋体"/>
          <w:kern w:val="0"/>
          <w:szCs w:val="21"/>
        </w:rPr>
        <w:t>“</w:t>
      </w:r>
      <w:r>
        <w:rPr>
          <w:rFonts w:hint="eastAsia" w:ascii="宋体" w:hAnsi="宋体" w:cs="宋体"/>
          <w:kern w:val="0"/>
          <w:szCs w:val="21"/>
          <w:lang w:val="zh-CN"/>
        </w:rPr>
        <w:t>试验时间”+“评级”表示，评级方法见本文件 10.5 条规定。</w:t>
      </w:r>
    </w:p>
    <w:p>
      <w:pPr>
        <w:autoSpaceDE w:val="0"/>
        <w:autoSpaceDN w:val="0"/>
        <w:adjustRightInd w:val="0"/>
        <w:spacing w:line="360" w:lineRule="auto"/>
        <w:ind w:left="960" w:leftChars="200" w:hanging="540" w:hangingChars="300"/>
        <w:contextualSpacing/>
        <w:rPr>
          <w:rFonts w:cs="宋体" w:asciiTheme="minorEastAsia" w:hAnsiTheme="minorEastAsia" w:eastAsiaTheme="minorEastAsia"/>
          <w:kern w:val="0"/>
          <w:sz w:val="18"/>
          <w:szCs w:val="18"/>
          <w:lang w:val="zh-CN"/>
        </w:rPr>
      </w:pPr>
      <w:r>
        <w:rPr>
          <w:rFonts w:hint="eastAsia" w:ascii="黑体" w:hAnsi="黑体" w:eastAsia="黑体"/>
          <w:kern w:val="0"/>
          <w:sz w:val="18"/>
          <w:szCs w:val="18"/>
          <w:lang w:val="zh-CN"/>
        </w:rPr>
        <w:t>示例：</w:t>
      </w:r>
      <w:r>
        <w:rPr>
          <w:rFonts w:hint="eastAsia" w:ascii="宋体" w:hAnsi="宋体" w:cs="宋体"/>
          <w:kern w:val="0"/>
          <w:sz w:val="18"/>
          <w:szCs w:val="18"/>
          <w:lang w:val="zh-CN"/>
        </w:rPr>
        <w:t>如 3 片磷化样品在 60 ℃ 90 %RH条件下试验 4 h 后，可见 1 片基体有轻微锈蚀，另 2 片未见基体有锈蚀，试验结果可以记为</w:t>
      </w:r>
      <w:r>
        <w:rPr>
          <w:rFonts w:hint="eastAsia" w:ascii="宋体" w:hAnsi="宋体" w:cs="宋体"/>
          <w:kern w:val="0"/>
          <w:sz w:val="18"/>
          <w:szCs w:val="18"/>
        </w:rPr>
        <w:t>“</w:t>
      </w:r>
      <w:r>
        <w:rPr>
          <w:rFonts w:hint="eastAsia" w:ascii="宋体" w:hAnsi="宋体" w:cs="宋体"/>
          <w:kern w:val="0"/>
          <w:sz w:val="18"/>
          <w:szCs w:val="18"/>
          <w:lang w:val="zh-CN"/>
        </w:rPr>
        <w:t>4 h</w:t>
      </w:r>
      <w:r>
        <w:rPr>
          <w:rFonts w:hint="eastAsia" w:ascii="宋体" w:hAnsi="宋体" w:cs="宋体"/>
          <w:kern w:val="0"/>
          <w:sz w:val="18"/>
          <w:szCs w:val="18"/>
        </w:rPr>
        <w:t>/</w:t>
      </w:r>
      <w:r>
        <w:rPr>
          <w:rFonts w:hint="eastAsia" w:ascii="宋体" w:hAnsi="宋体" w:cs="宋体"/>
          <w:kern w:val="0"/>
          <w:sz w:val="18"/>
          <w:szCs w:val="18"/>
          <w:lang w:val="zh-CN"/>
        </w:rPr>
        <w:t>C”。</w:t>
      </w:r>
    </w:p>
    <w:p>
      <w:pPr>
        <w:autoSpaceDE w:val="0"/>
        <w:autoSpaceDN w:val="0"/>
        <w:adjustRightInd w:val="0"/>
        <w:spacing w:line="360" w:lineRule="auto"/>
        <w:contextualSpacing/>
        <w:jc w:val="left"/>
        <w:rPr>
          <w:rFonts w:eastAsia="黑体"/>
          <w:kern w:val="0"/>
          <w:szCs w:val="21"/>
        </w:rPr>
      </w:pPr>
      <w:bookmarkStart w:id="143" w:name="_Toc6534"/>
      <w:bookmarkStart w:id="144" w:name="_Toc12213"/>
      <w:bookmarkStart w:id="145" w:name="_Toc17280"/>
      <w:bookmarkStart w:id="146" w:name="_Toc7338"/>
      <w:bookmarkStart w:id="147" w:name="_Toc18008"/>
      <w:r>
        <w:rPr>
          <w:rFonts w:ascii="黑体" w:eastAsia="黑体" w:cs="黑体"/>
          <w:kern w:val="0"/>
          <w:szCs w:val="21"/>
          <w:lang w:val="zh-CN"/>
        </w:rPr>
        <w:t xml:space="preserve">10.3 </w:t>
      </w:r>
      <w:r>
        <w:rPr>
          <w:rFonts w:hint="eastAsia" w:ascii="宋体" w:hAnsi="宋体" w:cs="宋体"/>
          <w:kern w:val="0"/>
          <w:szCs w:val="21"/>
          <w:lang w:val="zh-CN"/>
        </w:rPr>
        <w:t>客户需要时，试验前后应拍照记录样品表面状态。</w:t>
      </w:r>
      <w:bookmarkEnd w:id="143"/>
      <w:bookmarkEnd w:id="144"/>
      <w:bookmarkEnd w:id="145"/>
      <w:bookmarkEnd w:id="146"/>
      <w:bookmarkEnd w:id="147"/>
    </w:p>
    <w:p>
      <w:pPr>
        <w:tabs>
          <w:tab w:val="center" w:pos="4201"/>
          <w:tab w:val="right" w:leader="dot" w:pos="9298"/>
        </w:tabs>
        <w:autoSpaceDE w:val="0"/>
        <w:autoSpaceDN w:val="0"/>
        <w:adjustRightInd w:val="0"/>
        <w:spacing w:line="360" w:lineRule="auto"/>
        <w:contextualSpacing/>
        <w:rPr>
          <w:rFonts w:ascii="宋体" w:hAnsi="宋体" w:cs="宋体"/>
          <w:color w:val="FF0000"/>
          <w:kern w:val="0"/>
          <w:szCs w:val="21"/>
          <w:lang w:val="zh-CN"/>
        </w:rPr>
      </w:pPr>
      <w:r>
        <w:rPr>
          <w:rFonts w:ascii="黑体" w:eastAsia="黑体" w:cs="黑体"/>
          <w:kern w:val="0"/>
          <w:szCs w:val="21"/>
          <w:lang w:val="zh-CN"/>
        </w:rPr>
        <w:t xml:space="preserve">10.4 </w:t>
      </w:r>
      <w:r>
        <w:rPr>
          <w:rFonts w:hint="eastAsia" w:ascii="宋体" w:hAnsi="宋体" w:cs="宋体"/>
          <w:kern w:val="0"/>
          <w:szCs w:val="21"/>
          <w:lang w:val="zh-CN"/>
        </w:rPr>
        <w:t>如果要测试试验后磁通不可逆损失，</w:t>
      </w:r>
      <w:r>
        <w:rPr>
          <w:rFonts w:hint="eastAsia" w:ascii="宋体" w:hAnsi="宋体" w:cs="宋体"/>
          <w:color w:val="000000"/>
          <w:kern w:val="0"/>
          <w:szCs w:val="21"/>
          <w:lang w:bidi="ar"/>
        </w:rPr>
        <w:t>试验后样品应在测量环境中放置不小于</w:t>
      </w:r>
      <w:r>
        <w:rPr>
          <w:rFonts w:ascii="MS Gothic" w:hAnsi="MS Gothic" w:eastAsia="MS Gothic" w:cs="MS Gothic"/>
          <w:color w:val="000000"/>
          <w:kern w:val="0"/>
          <w:szCs w:val="21"/>
          <w:lang w:bidi="ar"/>
        </w:rPr>
        <w:t> </w:t>
      </w:r>
      <w:r>
        <w:rPr>
          <w:rFonts w:hint="eastAsia" w:ascii="宋体" w:hAnsi="宋体" w:cs="宋体"/>
          <w:color w:val="000000"/>
          <w:kern w:val="0"/>
          <w:szCs w:val="21"/>
          <w:lang w:bidi="ar"/>
        </w:rPr>
        <w:t>2</w:t>
      </w:r>
      <w:r>
        <w:rPr>
          <w:rFonts w:ascii="MS Gothic" w:hAnsi="MS Gothic" w:eastAsia="MS Gothic" w:cs="MS Gothic"/>
          <w:color w:val="000000"/>
          <w:kern w:val="0"/>
          <w:szCs w:val="21"/>
          <w:lang w:bidi="ar"/>
        </w:rPr>
        <w:t> </w:t>
      </w:r>
      <w:r>
        <w:rPr>
          <w:rFonts w:hint="eastAsia" w:ascii="宋体" w:hAnsi="宋体" w:cs="宋体"/>
          <w:color w:val="000000"/>
          <w:kern w:val="0"/>
          <w:szCs w:val="21"/>
          <w:lang w:bidi="ar"/>
        </w:rPr>
        <w:t>h以达到温度平衡</w:t>
      </w:r>
      <w:r>
        <w:rPr>
          <w:rFonts w:hint="eastAsia" w:ascii="宋体" w:hAnsi="宋体" w:cs="宋体"/>
          <w:kern w:val="0"/>
          <w:szCs w:val="21"/>
          <w:lang w:val="zh-CN"/>
        </w:rPr>
        <w:t>，然后测量磁通。试验前后磁通测量环境温度差应小于 1.0 ℃，否则应对磁通测量值按该材料室温附近剩磁温度系数参考值进行修正。恒定湿热试验后的磁通不可逆损失百分比以 δ (T) 表示，按以下公式（1）计算，结果按 GB/T</w:t>
      </w:r>
      <w:r>
        <w:rPr>
          <w:rFonts w:hint="eastAsia" w:ascii="宋体" w:hAnsi="宋体" w:cs="宋体"/>
          <w:kern w:val="0"/>
          <w:szCs w:val="21"/>
        </w:rPr>
        <w:t xml:space="preserve"> </w:t>
      </w:r>
      <w:r>
        <w:rPr>
          <w:rFonts w:hint="eastAsia" w:ascii="宋体" w:hAnsi="宋体" w:cs="宋体"/>
          <w:kern w:val="0"/>
          <w:szCs w:val="21"/>
          <w:lang w:val="zh-CN"/>
        </w:rPr>
        <w:t>8170规定进行数值修约，通常保留至小数点后一位即可。</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3"/>
        <w:gridCol w:w="3516"/>
        <w:gridCol w:w="3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3190" w:type="dxa"/>
            <w:tcBorders>
              <w:top w:val="nil"/>
              <w:left w:val="nil"/>
              <w:bottom w:val="nil"/>
              <w:right w:val="nil"/>
            </w:tcBorders>
            <w:vAlign w:val="center"/>
          </w:tcPr>
          <w:p>
            <w:pPr>
              <w:tabs>
                <w:tab w:val="center" w:pos="4201"/>
                <w:tab w:val="right" w:leader="dot" w:pos="9298"/>
              </w:tabs>
              <w:autoSpaceDE w:val="0"/>
              <w:autoSpaceDN w:val="0"/>
              <w:adjustRightInd w:val="0"/>
              <w:spacing w:before="312" w:beforeLines="100" w:after="312" w:afterLines="100" w:line="360" w:lineRule="auto"/>
              <w:rPr>
                <w:rFonts w:ascii="宋体" w:cs="宋体"/>
                <w:color w:val="FF0000"/>
                <w:kern w:val="0"/>
                <w:szCs w:val="21"/>
                <w:lang w:val="zh-CN"/>
              </w:rPr>
            </w:pPr>
          </w:p>
        </w:tc>
        <w:tc>
          <w:tcPr>
            <w:tcW w:w="3190" w:type="dxa"/>
            <w:tcBorders>
              <w:top w:val="nil"/>
              <w:left w:val="nil"/>
              <w:bottom w:val="nil"/>
              <w:right w:val="nil"/>
            </w:tcBorders>
            <w:vAlign w:val="center"/>
          </w:tcPr>
          <w:p>
            <w:pPr>
              <w:tabs>
                <w:tab w:val="center" w:pos="4201"/>
                <w:tab w:val="right" w:leader="dot" w:pos="9298"/>
              </w:tabs>
              <w:autoSpaceDE w:val="0"/>
              <w:autoSpaceDN w:val="0"/>
              <w:adjustRightInd w:val="0"/>
              <w:spacing w:before="312" w:beforeLines="100" w:after="312" w:afterLines="100" w:line="360" w:lineRule="auto"/>
              <w:rPr>
                <w:rFonts w:ascii="宋体" w:cs="宋体"/>
                <w:color w:val="FF0000"/>
                <w:kern w:val="0"/>
                <w:szCs w:val="21"/>
                <w:lang w:val="zh-CN"/>
              </w:rPr>
            </w:pPr>
            <w:r>
              <w:rPr>
                <w:rFonts w:hint="eastAsia" w:ascii="宋体" w:cs="宋体"/>
                <w:kern w:val="0"/>
                <w:sz w:val="22"/>
                <w:szCs w:val="22"/>
              </w:rPr>
              <w:drawing>
                <wp:inline distT="0" distB="0" distL="0" distR="0">
                  <wp:extent cx="2095500" cy="438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95500" cy="438150"/>
                          </a:xfrm>
                          <a:prstGeom prst="rect">
                            <a:avLst/>
                          </a:prstGeom>
                          <a:noFill/>
                          <a:ln>
                            <a:noFill/>
                          </a:ln>
                        </pic:spPr>
                      </pic:pic>
                    </a:graphicData>
                  </a:graphic>
                </wp:inline>
              </w:drawing>
            </w:r>
          </w:p>
        </w:tc>
        <w:tc>
          <w:tcPr>
            <w:tcW w:w="3190" w:type="dxa"/>
            <w:tcBorders>
              <w:top w:val="nil"/>
              <w:left w:val="nil"/>
              <w:bottom w:val="nil"/>
              <w:right w:val="nil"/>
            </w:tcBorders>
            <w:vAlign w:val="center"/>
          </w:tcPr>
          <w:p>
            <w:pPr>
              <w:tabs>
                <w:tab w:val="center" w:pos="4201"/>
                <w:tab w:val="right" w:leader="dot" w:pos="9298"/>
              </w:tabs>
              <w:autoSpaceDE w:val="0"/>
              <w:autoSpaceDN w:val="0"/>
              <w:adjustRightInd w:val="0"/>
              <w:spacing w:before="312" w:beforeLines="100" w:after="312" w:afterLines="100" w:line="360" w:lineRule="auto"/>
              <w:jc w:val="center"/>
              <w:rPr>
                <w:rFonts w:ascii="宋体" w:cs="宋体"/>
                <w:color w:val="FF0000"/>
                <w:kern w:val="0"/>
                <w:szCs w:val="21"/>
                <w:lang w:val="zh-CN"/>
              </w:rPr>
            </w:pPr>
            <w:r>
              <w:rPr>
                <w:rFonts w:hint="eastAsia" w:ascii="黑体" w:eastAsia="黑体" w:cs="黑体"/>
                <w:kern w:val="0"/>
                <w:szCs w:val="21"/>
                <w:lang w:val="zh-CN"/>
              </w:rPr>
              <w:t>……………………（</w:t>
            </w:r>
            <w:r>
              <w:rPr>
                <w:rFonts w:ascii="黑体" w:eastAsia="黑体" w:cs="黑体"/>
                <w:kern w:val="0"/>
                <w:szCs w:val="21"/>
                <w:lang w:val="zh-CN"/>
              </w:rPr>
              <w:t>1</w:t>
            </w:r>
            <w:r>
              <w:rPr>
                <w:rFonts w:hint="eastAsia" w:ascii="黑体" w:eastAsia="黑体" w:cs="黑体"/>
                <w:kern w:val="0"/>
                <w:szCs w:val="21"/>
                <w:lang w:val="zh-CN"/>
              </w:rPr>
              <w:t>）</w:t>
            </w:r>
          </w:p>
        </w:tc>
      </w:tr>
    </w:tbl>
    <w:p>
      <w:pPr>
        <w:autoSpaceDE w:val="0"/>
        <w:autoSpaceDN w:val="0"/>
        <w:adjustRightInd w:val="0"/>
        <w:spacing w:line="360" w:lineRule="auto"/>
        <w:jc w:val="left"/>
        <w:rPr>
          <w:rFonts w:ascii="宋体" w:cs="宋体"/>
          <w:color w:val="000000"/>
          <w:kern w:val="0"/>
          <w:szCs w:val="21"/>
          <w:lang w:val="zh-CN"/>
        </w:rPr>
      </w:pPr>
      <w:r>
        <w:rPr>
          <w:rFonts w:hint="eastAsia" w:ascii="宋体" w:cs="宋体"/>
          <w:color w:val="000000"/>
          <w:kern w:val="0"/>
          <w:szCs w:val="21"/>
          <w:lang w:val="zh-CN"/>
        </w:rPr>
        <w:t>式中：</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709"/>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Borders>
              <w:top w:val="nil"/>
              <w:left w:val="nil"/>
              <w:bottom w:val="nil"/>
              <w:right w:val="nil"/>
            </w:tcBorders>
            <w:shd w:val="clear" w:color="auto" w:fill="auto"/>
          </w:tcPr>
          <w:p>
            <w:pPr>
              <w:autoSpaceDE w:val="0"/>
              <w:autoSpaceDN w:val="0"/>
              <w:adjustRightInd w:val="0"/>
              <w:spacing w:line="360" w:lineRule="auto"/>
              <w:jc w:val="center"/>
              <w:rPr>
                <w:rFonts w:ascii="宋体"/>
                <w:color w:val="000000"/>
                <w:kern w:val="0"/>
                <w:sz w:val="18"/>
                <w:szCs w:val="18"/>
                <w:lang w:val="zh-CN"/>
              </w:rPr>
            </w:pPr>
            <w:r>
              <w:rPr>
                <w:rFonts w:ascii="宋体" w:eastAsia="Venetian 301 Std Italic"/>
                <w:color w:val="000000"/>
                <w:kern w:val="0"/>
                <w:position w:val="-6"/>
                <w:sz w:val="18"/>
                <w:szCs w:val="18"/>
              </w:rPr>
              <w:t>δ</w:t>
            </w:r>
            <w:r>
              <w:rPr>
                <w:rFonts w:ascii="宋体" w:eastAsia="Venetian 301 Std Italic"/>
                <w:kern w:val="0"/>
                <w:sz w:val="18"/>
                <w:szCs w:val="18"/>
                <w:lang w:val="zh-CN"/>
              </w:rPr>
              <w:t> </w:t>
            </w:r>
            <w:r>
              <w:rPr>
                <w:rFonts w:ascii="宋体" w:eastAsia="Venetian 301 Std Italic"/>
                <w:color w:val="000000"/>
                <w:kern w:val="0"/>
                <w:position w:val="-6"/>
                <w:sz w:val="18"/>
                <w:szCs w:val="18"/>
              </w:rPr>
              <w:t>(</w:t>
            </w:r>
            <w:r>
              <w:rPr>
                <w:rFonts w:ascii="宋体" w:eastAsia="Venetian 301 Std Italic"/>
                <w:i/>
                <w:color w:val="000000"/>
                <w:kern w:val="0"/>
                <w:position w:val="-6"/>
                <w:sz w:val="18"/>
                <w:szCs w:val="18"/>
              </w:rPr>
              <w:t>T</w:t>
            </w:r>
            <w:r>
              <w:rPr>
                <w:rFonts w:ascii="宋体" w:eastAsia="Venetian 301 Std Italic"/>
                <w:color w:val="000000"/>
                <w:kern w:val="0"/>
                <w:position w:val="-6"/>
                <w:sz w:val="18"/>
                <w:szCs w:val="18"/>
              </w:rPr>
              <w:t>)</w:t>
            </w:r>
          </w:p>
        </w:tc>
        <w:tc>
          <w:tcPr>
            <w:tcW w:w="709" w:type="dxa"/>
            <w:tcBorders>
              <w:top w:val="nil"/>
              <w:left w:val="nil"/>
              <w:bottom w:val="nil"/>
              <w:right w:val="nil"/>
            </w:tcBorders>
            <w:shd w:val="clear" w:color="auto" w:fill="auto"/>
          </w:tcPr>
          <w:p>
            <w:pPr>
              <w:autoSpaceDE w:val="0"/>
              <w:autoSpaceDN w:val="0"/>
              <w:adjustRightInd w:val="0"/>
              <w:spacing w:line="360" w:lineRule="auto"/>
              <w:jc w:val="left"/>
              <w:rPr>
                <w:rFonts w:ascii="宋体" w:cs="宋体"/>
                <w:color w:val="000000"/>
                <w:kern w:val="0"/>
                <w:sz w:val="18"/>
                <w:szCs w:val="18"/>
                <w:lang w:val="zh-CN"/>
              </w:rPr>
            </w:pPr>
            <w:r>
              <w:rPr>
                <w:rFonts w:ascii="宋体" w:eastAsiaTheme="minorEastAsia"/>
                <w:color w:val="000000"/>
                <w:kern w:val="0"/>
                <w:position w:val="-6"/>
                <w:sz w:val="18"/>
                <w:szCs w:val="18"/>
                <w:lang w:val="zh-CN"/>
              </w:rPr>
              <w:t>——</w:t>
            </w:r>
          </w:p>
        </w:tc>
        <w:tc>
          <w:tcPr>
            <w:tcW w:w="6985" w:type="dxa"/>
            <w:tcBorders>
              <w:top w:val="nil"/>
              <w:left w:val="nil"/>
              <w:bottom w:val="nil"/>
              <w:right w:val="nil"/>
            </w:tcBorders>
            <w:shd w:val="clear" w:color="auto" w:fill="auto"/>
          </w:tcPr>
          <w:p>
            <w:pPr>
              <w:autoSpaceDE w:val="0"/>
              <w:autoSpaceDN w:val="0"/>
              <w:adjustRightInd w:val="0"/>
              <w:spacing w:line="360" w:lineRule="auto"/>
              <w:jc w:val="left"/>
              <w:rPr>
                <w:rFonts w:ascii="宋体" w:cs="宋体"/>
                <w:color w:val="000000"/>
                <w:kern w:val="0"/>
                <w:sz w:val="18"/>
                <w:szCs w:val="18"/>
                <w:lang w:val="zh-CN"/>
              </w:rPr>
            </w:pPr>
            <w:r>
              <w:rPr>
                <w:rFonts w:hint="eastAsia" w:ascii="宋体" w:eastAsiaTheme="minorEastAsia"/>
                <w:color w:val="000000"/>
                <w:kern w:val="0"/>
                <w:position w:val="-6"/>
                <w:sz w:val="18"/>
                <w:szCs w:val="18"/>
                <w:lang w:val="zh-CN"/>
              </w:rPr>
              <w:t>恒定湿热试验后的磁通不可逆损失百分比；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Borders>
              <w:top w:val="nil"/>
              <w:left w:val="nil"/>
              <w:bottom w:val="nil"/>
              <w:right w:val="nil"/>
            </w:tcBorders>
            <w:shd w:val="clear" w:color="auto" w:fill="auto"/>
          </w:tcPr>
          <w:p>
            <w:pPr>
              <w:autoSpaceDE w:val="0"/>
              <w:autoSpaceDN w:val="0"/>
              <w:adjustRightInd w:val="0"/>
              <w:spacing w:line="360" w:lineRule="auto"/>
              <w:jc w:val="center"/>
              <w:rPr>
                <w:rFonts w:ascii="宋体"/>
                <w:color w:val="000000"/>
                <w:kern w:val="0"/>
                <w:sz w:val="18"/>
                <w:szCs w:val="18"/>
                <w:lang w:val="zh-CN"/>
              </w:rPr>
            </w:pPr>
            <w:r>
              <w:rPr>
                <w:rFonts w:ascii="宋体" w:eastAsiaTheme="minorEastAsia"/>
                <w:color w:val="000000"/>
                <w:kern w:val="0"/>
                <w:sz w:val="18"/>
                <w:szCs w:val="18"/>
              </w:rPr>
              <w:t>Φ</w:t>
            </w:r>
            <w:r>
              <w:rPr>
                <w:rFonts w:ascii="宋体" w:eastAsia="MS Mincho"/>
                <w:kern w:val="0"/>
                <w:sz w:val="18"/>
                <w:szCs w:val="18"/>
                <w:lang w:val="zh-CN"/>
              </w:rPr>
              <w:t> </w:t>
            </w:r>
            <w:r>
              <w:rPr>
                <w:rFonts w:ascii="宋体" w:eastAsiaTheme="minorEastAsia"/>
                <w:color w:val="000000"/>
                <w:kern w:val="0"/>
                <w:sz w:val="18"/>
                <w:szCs w:val="18"/>
              </w:rPr>
              <w:t>(</w:t>
            </w:r>
            <w:r>
              <w:rPr>
                <w:rFonts w:ascii="宋体" w:eastAsiaTheme="minorEastAsia"/>
                <w:i/>
                <w:color w:val="000000"/>
                <w:kern w:val="0"/>
                <w:sz w:val="18"/>
                <w:szCs w:val="18"/>
              </w:rPr>
              <w:t>T</w:t>
            </w:r>
            <w:r>
              <w:rPr>
                <w:rFonts w:ascii="宋体" w:eastAsiaTheme="minorEastAsia"/>
                <w:color w:val="000000"/>
                <w:kern w:val="0"/>
                <w:sz w:val="18"/>
                <w:szCs w:val="18"/>
              </w:rPr>
              <w:t>)</w:t>
            </w:r>
          </w:p>
        </w:tc>
        <w:tc>
          <w:tcPr>
            <w:tcW w:w="709" w:type="dxa"/>
            <w:tcBorders>
              <w:top w:val="nil"/>
              <w:left w:val="nil"/>
              <w:bottom w:val="nil"/>
              <w:right w:val="nil"/>
            </w:tcBorders>
            <w:shd w:val="clear" w:color="auto" w:fill="auto"/>
          </w:tcPr>
          <w:p>
            <w:pPr>
              <w:autoSpaceDE w:val="0"/>
              <w:autoSpaceDN w:val="0"/>
              <w:adjustRightInd w:val="0"/>
              <w:spacing w:line="360" w:lineRule="auto"/>
              <w:jc w:val="left"/>
              <w:rPr>
                <w:rFonts w:ascii="宋体" w:cs="宋体"/>
                <w:color w:val="000000"/>
                <w:kern w:val="0"/>
                <w:sz w:val="18"/>
                <w:szCs w:val="18"/>
                <w:lang w:val="zh-CN"/>
              </w:rPr>
            </w:pPr>
            <w:r>
              <w:rPr>
                <w:rFonts w:ascii="宋体" w:eastAsiaTheme="minorEastAsia"/>
                <w:color w:val="000000"/>
                <w:kern w:val="0"/>
                <w:sz w:val="18"/>
                <w:szCs w:val="18"/>
                <w:lang w:val="zh-CN"/>
              </w:rPr>
              <w:t>——</w:t>
            </w:r>
          </w:p>
        </w:tc>
        <w:tc>
          <w:tcPr>
            <w:tcW w:w="6985" w:type="dxa"/>
            <w:tcBorders>
              <w:top w:val="nil"/>
              <w:left w:val="nil"/>
              <w:bottom w:val="nil"/>
              <w:right w:val="nil"/>
            </w:tcBorders>
            <w:shd w:val="clear" w:color="auto" w:fill="auto"/>
          </w:tcPr>
          <w:p>
            <w:pPr>
              <w:autoSpaceDE w:val="0"/>
              <w:autoSpaceDN w:val="0"/>
              <w:adjustRightInd w:val="0"/>
              <w:spacing w:line="360" w:lineRule="auto"/>
              <w:jc w:val="left"/>
              <w:rPr>
                <w:rFonts w:ascii="宋体" w:cs="宋体"/>
                <w:color w:val="000000"/>
                <w:kern w:val="0"/>
                <w:sz w:val="18"/>
                <w:szCs w:val="18"/>
                <w:lang w:val="zh-CN"/>
              </w:rPr>
            </w:pPr>
            <w:r>
              <w:rPr>
                <w:rFonts w:hint="eastAsia" w:ascii="宋体" w:eastAsiaTheme="minorEastAsia"/>
                <w:color w:val="000000"/>
                <w:kern w:val="0"/>
                <w:sz w:val="18"/>
                <w:szCs w:val="18"/>
                <w:lang w:val="zh-CN"/>
              </w:rPr>
              <w:t>永磁体恒定湿热试验</w:t>
            </w:r>
            <w:r>
              <w:rPr>
                <w:rFonts w:hint="eastAsia" w:ascii="宋体" w:eastAsiaTheme="minorEastAsia"/>
                <w:color w:val="000000"/>
                <w:kern w:val="0"/>
                <w:sz w:val="18"/>
                <w:szCs w:val="18"/>
              </w:rPr>
              <w:t>（</w:t>
            </w:r>
            <w:r>
              <w:rPr>
                <w:rFonts w:hint="eastAsia" w:ascii="宋体" w:eastAsiaTheme="minorEastAsia"/>
                <w:color w:val="000000"/>
                <w:kern w:val="0"/>
                <w:sz w:val="18"/>
                <w:szCs w:val="18"/>
                <w:lang w:val="zh-CN"/>
              </w:rPr>
              <w:t>恒温温度为</w:t>
            </w:r>
            <w:r>
              <w:rPr>
                <w:rFonts w:ascii="宋体" w:eastAsia="MS Mincho"/>
                <w:kern w:val="0"/>
                <w:sz w:val="18"/>
                <w:szCs w:val="18"/>
                <w:lang w:val="zh-CN"/>
              </w:rPr>
              <w:t> </w:t>
            </w:r>
            <w:r>
              <w:rPr>
                <w:rFonts w:ascii="宋体" w:eastAsiaTheme="minorEastAsia"/>
                <w:color w:val="000000"/>
                <w:kern w:val="0"/>
                <w:sz w:val="18"/>
                <w:szCs w:val="18"/>
              </w:rPr>
              <w:t>T</w:t>
            </w:r>
            <w:r>
              <w:rPr>
                <w:rFonts w:hint="eastAsia" w:ascii="宋体" w:eastAsiaTheme="minorEastAsia"/>
                <w:color w:val="000000"/>
                <w:kern w:val="0"/>
                <w:sz w:val="18"/>
                <w:szCs w:val="18"/>
              </w:rPr>
              <w:t>）</w:t>
            </w:r>
            <w:r>
              <w:rPr>
                <w:rFonts w:hint="eastAsia" w:ascii="宋体" w:eastAsiaTheme="minorEastAsia"/>
                <w:color w:val="000000"/>
                <w:kern w:val="0"/>
                <w:sz w:val="18"/>
                <w:szCs w:val="18"/>
                <w:lang w:val="zh-CN"/>
              </w:rPr>
              <w:t>后恢复到常温</w:t>
            </w:r>
            <w:r>
              <w:rPr>
                <w:rFonts w:ascii="宋体" w:eastAsiaTheme="minorEastAsia"/>
                <w:color w:val="000000"/>
                <w:kern w:val="0"/>
                <w:sz w:val="18"/>
                <w:szCs w:val="18"/>
              </w:rPr>
              <w:t>T</w:t>
            </w:r>
            <w:r>
              <w:rPr>
                <w:rFonts w:ascii="宋体" w:eastAsiaTheme="minorEastAsia"/>
                <w:color w:val="000000"/>
                <w:kern w:val="0"/>
                <w:sz w:val="18"/>
                <w:szCs w:val="18"/>
                <w:vertAlign w:val="subscript"/>
              </w:rPr>
              <w:t>0</w:t>
            </w:r>
            <w:r>
              <w:rPr>
                <w:rFonts w:hint="eastAsia" w:ascii="宋体" w:eastAsiaTheme="minorEastAsia"/>
                <w:color w:val="000000"/>
                <w:kern w:val="0"/>
                <w:sz w:val="18"/>
                <w:szCs w:val="18"/>
                <w:lang w:val="zh-CN"/>
              </w:rPr>
              <w:t>温度下的磁通值，单</w:t>
            </w:r>
            <w:r>
              <w:rPr>
                <w:rFonts w:hint="eastAsia" w:ascii="宋体" w:eastAsiaTheme="minorEastAsia"/>
                <w:kern w:val="0"/>
                <w:sz w:val="18"/>
                <w:szCs w:val="18"/>
                <w:lang w:val="zh-CN"/>
              </w:rPr>
              <w:t>位为韦伯（</w:t>
            </w:r>
            <w:r>
              <w:rPr>
                <w:rFonts w:ascii="宋体" w:eastAsiaTheme="minorEastAsia"/>
                <w:kern w:val="0"/>
                <w:sz w:val="18"/>
                <w:szCs w:val="18"/>
              </w:rPr>
              <w:t>Wb</w:t>
            </w:r>
            <w:r>
              <w:rPr>
                <w:rFonts w:hint="eastAsia" w:ascii="宋体" w:eastAsiaTheme="minorEastAsia"/>
                <w:kern w:val="0"/>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Borders>
              <w:top w:val="nil"/>
              <w:left w:val="nil"/>
              <w:bottom w:val="nil"/>
              <w:right w:val="nil"/>
            </w:tcBorders>
            <w:shd w:val="clear" w:color="auto" w:fill="auto"/>
          </w:tcPr>
          <w:p>
            <w:pPr>
              <w:autoSpaceDE w:val="0"/>
              <w:autoSpaceDN w:val="0"/>
              <w:adjustRightInd w:val="0"/>
              <w:spacing w:line="360" w:lineRule="auto"/>
              <w:jc w:val="center"/>
              <w:rPr>
                <w:rFonts w:ascii="宋体"/>
                <w:color w:val="000000"/>
                <w:kern w:val="0"/>
                <w:sz w:val="18"/>
                <w:szCs w:val="18"/>
                <w:lang w:val="zh-CN"/>
              </w:rPr>
            </w:pPr>
            <w:r>
              <w:rPr>
                <w:rFonts w:ascii="宋体" w:eastAsiaTheme="minorEastAsia"/>
                <w:kern w:val="0"/>
                <w:sz w:val="18"/>
                <w:szCs w:val="18"/>
              </w:rPr>
              <w:t>Φ</w:t>
            </w:r>
            <w:r>
              <w:rPr>
                <w:rFonts w:ascii="宋体" w:eastAsia="MS Mincho"/>
                <w:kern w:val="0"/>
                <w:sz w:val="18"/>
                <w:szCs w:val="18"/>
                <w:lang w:val="zh-CN"/>
              </w:rPr>
              <w:t> </w:t>
            </w:r>
            <w:r>
              <w:rPr>
                <w:rFonts w:ascii="宋体" w:eastAsiaTheme="minorEastAsia"/>
                <w:kern w:val="0"/>
                <w:sz w:val="18"/>
                <w:szCs w:val="18"/>
              </w:rPr>
              <w:t>(</w:t>
            </w:r>
            <w:r>
              <w:rPr>
                <w:rFonts w:ascii="宋体" w:eastAsiaTheme="minorEastAsia"/>
                <w:i/>
                <w:kern w:val="0"/>
                <w:sz w:val="18"/>
                <w:szCs w:val="18"/>
              </w:rPr>
              <w:t>T</w:t>
            </w:r>
            <w:r>
              <w:rPr>
                <w:rFonts w:ascii="宋体" w:eastAsiaTheme="minorEastAsia"/>
                <w:i/>
                <w:kern w:val="0"/>
                <w:sz w:val="18"/>
                <w:szCs w:val="18"/>
                <w:vertAlign w:val="subscript"/>
              </w:rPr>
              <w:t>0</w:t>
            </w:r>
            <w:r>
              <w:rPr>
                <w:rFonts w:ascii="宋体" w:eastAsiaTheme="minorEastAsia"/>
                <w:kern w:val="0"/>
                <w:sz w:val="18"/>
                <w:szCs w:val="18"/>
              </w:rPr>
              <w:t>)</w:t>
            </w:r>
          </w:p>
        </w:tc>
        <w:tc>
          <w:tcPr>
            <w:tcW w:w="709" w:type="dxa"/>
            <w:tcBorders>
              <w:top w:val="nil"/>
              <w:left w:val="nil"/>
              <w:bottom w:val="nil"/>
              <w:right w:val="nil"/>
            </w:tcBorders>
            <w:shd w:val="clear" w:color="auto" w:fill="auto"/>
          </w:tcPr>
          <w:p>
            <w:pPr>
              <w:autoSpaceDE w:val="0"/>
              <w:autoSpaceDN w:val="0"/>
              <w:adjustRightInd w:val="0"/>
              <w:spacing w:line="360" w:lineRule="auto"/>
              <w:jc w:val="left"/>
              <w:rPr>
                <w:rFonts w:ascii="宋体" w:cs="宋体"/>
                <w:color w:val="000000"/>
                <w:kern w:val="0"/>
                <w:sz w:val="18"/>
                <w:szCs w:val="18"/>
                <w:lang w:val="zh-CN"/>
              </w:rPr>
            </w:pPr>
            <w:r>
              <w:rPr>
                <w:rFonts w:ascii="宋体" w:eastAsiaTheme="minorEastAsia"/>
                <w:kern w:val="0"/>
                <w:sz w:val="18"/>
                <w:szCs w:val="18"/>
                <w:lang w:val="zh-CN"/>
              </w:rPr>
              <w:t>——</w:t>
            </w:r>
          </w:p>
        </w:tc>
        <w:tc>
          <w:tcPr>
            <w:tcW w:w="6985" w:type="dxa"/>
            <w:tcBorders>
              <w:top w:val="nil"/>
              <w:left w:val="nil"/>
              <w:bottom w:val="nil"/>
              <w:right w:val="nil"/>
            </w:tcBorders>
            <w:shd w:val="clear" w:color="auto" w:fill="auto"/>
          </w:tcPr>
          <w:p>
            <w:pPr>
              <w:autoSpaceDE w:val="0"/>
              <w:autoSpaceDN w:val="0"/>
              <w:adjustRightInd w:val="0"/>
              <w:spacing w:line="360" w:lineRule="auto"/>
              <w:jc w:val="left"/>
              <w:rPr>
                <w:rFonts w:ascii="宋体" w:cs="宋体"/>
                <w:color w:val="000000"/>
                <w:kern w:val="0"/>
                <w:sz w:val="18"/>
                <w:szCs w:val="18"/>
                <w:lang w:val="zh-CN"/>
              </w:rPr>
            </w:pPr>
            <w:r>
              <w:rPr>
                <w:rFonts w:hint="eastAsia" w:ascii="宋体" w:eastAsiaTheme="minorEastAsia"/>
                <w:kern w:val="0"/>
                <w:sz w:val="18"/>
                <w:szCs w:val="18"/>
                <w:lang w:val="zh-CN"/>
              </w:rPr>
              <w:t>永磁体恒定湿热试验前在常温</w:t>
            </w:r>
            <w:r>
              <w:rPr>
                <w:rFonts w:ascii="宋体" w:eastAsiaTheme="minorEastAsia"/>
                <w:kern w:val="0"/>
                <w:sz w:val="18"/>
                <w:szCs w:val="18"/>
              </w:rPr>
              <w:t>T</w:t>
            </w:r>
            <w:r>
              <w:rPr>
                <w:rFonts w:ascii="宋体" w:eastAsiaTheme="minorEastAsia"/>
                <w:kern w:val="0"/>
                <w:sz w:val="18"/>
                <w:szCs w:val="18"/>
                <w:vertAlign w:val="subscript"/>
              </w:rPr>
              <w:t>0</w:t>
            </w:r>
            <w:r>
              <w:rPr>
                <w:rFonts w:hint="eastAsia" w:ascii="宋体" w:eastAsiaTheme="minorEastAsia"/>
                <w:kern w:val="0"/>
                <w:sz w:val="18"/>
                <w:szCs w:val="18"/>
                <w:lang w:val="zh-CN"/>
              </w:rPr>
              <w:t>温度下的磁通值，单位为韦伯（</w:t>
            </w:r>
            <w:r>
              <w:rPr>
                <w:rFonts w:ascii="宋体" w:eastAsiaTheme="minorEastAsia"/>
                <w:kern w:val="0"/>
                <w:sz w:val="18"/>
                <w:szCs w:val="18"/>
              </w:rPr>
              <w:t>Wb</w:t>
            </w:r>
            <w:r>
              <w:rPr>
                <w:rFonts w:hint="eastAsia" w:ascii="宋体" w:eastAsiaTheme="minorEastAsia"/>
                <w:kern w:val="0"/>
                <w:sz w:val="18"/>
                <w:szCs w:val="18"/>
                <w:lang w:val="zh-CN"/>
              </w:rPr>
              <w:t>）。</w:t>
            </w:r>
          </w:p>
        </w:tc>
      </w:tr>
    </w:tbl>
    <w:p>
      <w:pPr>
        <w:autoSpaceDE w:val="0"/>
        <w:autoSpaceDN w:val="0"/>
        <w:adjustRightInd w:val="0"/>
        <w:spacing w:before="100" w:beforeAutospacing="1" w:after="100" w:afterAutospacing="1" w:line="360" w:lineRule="auto"/>
        <w:rPr>
          <w:rFonts w:ascii="黑体" w:eastAsia="黑体" w:cs="黑体"/>
          <w:kern w:val="0"/>
          <w:szCs w:val="21"/>
          <w:lang w:val="zh-CN"/>
        </w:rPr>
      </w:pPr>
      <w:bookmarkStart w:id="148" w:name="_Toc7867"/>
      <w:bookmarkStart w:id="149" w:name="_Toc5475"/>
      <w:bookmarkStart w:id="150" w:name="_Toc32617"/>
      <w:bookmarkStart w:id="151" w:name="_Toc19104"/>
      <w:bookmarkStart w:id="152" w:name="_Toc26455"/>
      <w:r>
        <w:rPr>
          <w:rFonts w:ascii="黑体" w:eastAsia="黑体" w:cs="黑体"/>
          <w:kern w:val="0"/>
          <w:szCs w:val="21"/>
          <w:lang w:val="zh-CN"/>
        </w:rPr>
        <w:t>10.</w:t>
      </w:r>
      <w:r>
        <w:rPr>
          <w:rFonts w:eastAsia="黑体"/>
          <w:kern w:val="0"/>
          <w:szCs w:val="21"/>
        </w:rPr>
        <w:t xml:space="preserve">5 </w:t>
      </w:r>
      <w:r>
        <w:rPr>
          <w:rFonts w:hint="eastAsia" w:ascii="黑体" w:eastAsia="黑体" w:cs="黑体"/>
          <w:kern w:val="0"/>
          <w:szCs w:val="21"/>
          <w:lang w:val="zh-CN"/>
        </w:rPr>
        <w:t>试验后样品外观描述及评级方法</w:t>
      </w:r>
      <w:r>
        <w:rPr>
          <w:rFonts w:hint="eastAsia" w:ascii="黑体" w:hAnsi="黑体" w:eastAsia="黑体" w:cs="黑体"/>
          <w:kern w:val="0"/>
          <w:szCs w:val="21"/>
        </w:rPr>
        <w:t>对照表</w:t>
      </w:r>
      <w:r>
        <w:rPr>
          <w:rFonts w:hint="eastAsia" w:ascii="黑体" w:eastAsia="黑体" w:cs="黑体"/>
          <w:kern w:val="0"/>
          <w:szCs w:val="21"/>
          <w:lang w:val="zh-CN"/>
        </w:rPr>
        <w:t>：</w:t>
      </w:r>
      <w:bookmarkEnd w:id="148"/>
      <w:bookmarkEnd w:id="149"/>
      <w:bookmarkEnd w:id="150"/>
      <w:bookmarkEnd w:id="151"/>
      <w:bookmarkEnd w:id="152"/>
    </w:p>
    <w:p>
      <w:pPr>
        <w:autoSpaceDE w:val="0"/>
        <w:autoSpaceDN w:val="0"/>
        <w:adjustRightInd w:val="0"/>
        <w:spacing w:before="156" w:beforeLines="50" w:after="156" w:afterLines="50" w:line="360" w:lineRule="auto"/>
        <w:ind w:left="890"/>
        <w:jc w:val="center"/>
        <w:rPr>
          <w:rFonts w:ascii="黑体" w:hAnsi="黑体" w:eastAsia="黑体" w:cs="黑体"/>
          <w:kern w:val="0"/>
          <w:szCs w:val="21"/>
          <w:lang w:val="zh-CN"/>
        </w:rPr>
      </w:pPr>
      <w:r>
        <w:rPr>
          <w:rFonts w:hint="eastAsia" w:ascii="黑体" w:hAnsi="黑体" w:eastAsia="黑体" w:cs="黑体"/>
          <w:kern w:val="0"/>
          <w:szCs w:val="21"/>
          <w:lang w:val="zh-CN"/>
        </w:rPr>
        <w:t>表</w:t>
      </w:r>
      <w:r>
        <w:rPr>
          <w:rFonts w:ascii="Tahoma" w:hAnsi="Tahoma" w:eastAsia="黑体" w:cs="Tahoma"/>
          <w:kern w:val="0"/>
          <w:szCs w:val="21"/>
          <w:lang w:val="zh-CN"/>
        </w:rPr>
        <w:t> </w:t>
      </w:r>
      <w:r>
        <w:rPr>
          <w:rFonts w:ascii="黑体" w:hAnsi="黑体" w:eastAsia="黑体" w:cs="黑体"/>
          <w:kern w:val="0"/>
          <w:szCs w:val="21"/>
          <w:lang w:val="zh-CN"/>
        </w:rPr>
        <w:t xml:space="preserve">2 </w:t>
      </w:r>
      <w:r>
        <w:rPr>
          <w:rFonts w:hint="eastAsia" w:ascii="黑体" w:hAnsi="黑体" w:eastAsia="黑体" w:cs="黑体"/>
          <w:kern w:val="0"/>
          <w:szCs w:val="21"/>
          <w:lang w:val="zh-CN"/>
        </w:rPr>
        <w:t>试验后样品外观描述规范用语及评级方法</w:t>
      </w:r>
    </w:p>
    <w:tbl>
      <w:tblPr>
        <w:tblStyle w:val="37"/>
        <w:tblW w:w="9692" w:type="dxa"/>
        <w:jc w:val="center"/>
        <w:tblLayout w:type="fixed"/>
        <w:tblCellMar>
          <w:top w:w="0" w:type="dxa"/>
          <w:left w:w="108" w:type="dxa"/>
          <w:bottom w:w="0" w:type="dxa"/>
          <w:right w:w="108" w:type="dxa"/>
        </w:tblCellMar>
      </w:tblPr>
      <w:tblGrid>
        <w:gridCol w:w="1729"/>
        <w:gridCol w:w="626"/>
        <w:gridCol w:w="2197"/>
        <w:gridCol w:w="5140"/>
      </w:tblGrid>
      <w:tr>
        <w:tblPrEx>
          <w:tblCellMar>
            <w:top w:w="0" w:type="dxa"/>
            <w:left w:w="108" w:type="dxa"/>
            <w:bottom w:w="0" w:type="dxa"/>
            <w:right w:w="108" w:type="dxa"/>
          </w:tblCellMar>
        </w:tblPrEx>
        <w:trPr>
          <w:trHeight w:val="476" w:hRule="atLeast"/>
          <w:tblHeader/>
          <w:jc w:val="center"/>
        </w:trPr>
        <w:tc>
          <w:tcPr>
            <w:tcW w:w="17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防护层类别</w:t>
            </w: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评级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试验后外观描述用语</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试验后样品表面观察到的现象</w:t>
            </w:r>
          </w:p>
        </w:tc>
      </w:tr>
      <w:tr>
        <w:tblPrEx>
          <w:tblCellMar>
            <w:top w:w="0" w:type="dxa"/>
            <w:left w:w="108" w:type="dxa"/>
            <w:bottom w:w="0" w:type="dxa"/>
            <w:right w:w="108" w:type="dxa"/>
          </w:tblCellMar>
        </w:tblPrEx>
        <w:trPr>
          <w:trHeight w:val="791" w:hRule="atLeast"/>
          <w:jc w:val="center"/>
        </w:trPr>
        <w:tc>
          <w:tcPr>
            <w:tcW w:w="172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磷化膜、锆化膜、氧化膜等各类转化膜</w:t>
            </w: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A</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未见基体有锈蚀</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样品颜色无变化或有轻微变化但不发黄，无深色小黑点或深色条纹等可疑现象。</w:t>
            </w:r>
          </w:p>
        </w:tc>
      </w:tr>
      <w:tr>
        <w:tblPrEx>
          <w:tblCellMar>
            <w:top w:w="0" w:type="dxa"/>
            <w:left w:w="108" w:type="dxa"/>
            <w:bottom w:w="0" w:type="dxa"/>
            <w:right w:w="108" w:type="dxa"/>
          </w:tblCellMar>
        </w:tblPrEx>
        <w:trPr>
          <w:trHeight w:val="1162" w:hRule="atLeast"/>
          <w:jc w:val="center"/>
        </w:trPr>
        <w:tc>
          <w:tcPr>
            <w:tcW w:w="17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40" w:lineRule="auto"/>
              <w:jc w:val="left"/>
              <w:rPr>
                <w:rFonts w:cs="宋体" w:asciiTheme="minorEastAsia" w:hAnsiTheme="minorEastAsia" w:eastAsiaTheme="minorEastAsia"/>
                <w:kern w:val="0"/>
                <w:sz w:val="18"/>
                <w:szCs w:val="18"/>
                <w:lang w:val="zh-CN"/>
              </w:rPr>
            </w:pP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B</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基体锈蚀不明显</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用肉眼观察，样品表面可见深色小黑点或深色条纹等可疑现象时，再用</w:t>
            </w:r>
            <w:r>
              <w:rPr>
                <w:rFonts w:hint="eastAsia" w:cs="宋体" w:asciiTheme="minorEastAsia" w:hAnsiTheme="minorEastAsia" w:eastAsiaTheme="minorEastAsia"/>
                <w:color w:val="000000"/>
                <w:kern w:val="0"/>
                <w:sz w:val="18"/>
                <w:szCs w:val="18"/>
                <w:lang w:val="en-US" w:eastAsia="zh-CN"/>
              </w:rPr>
              <w:t>不低于</w:t>
            </w:r>
            <w:r>
              <w:rPr>
                <w:rFonts w:hint="eastAsia" w:cs="宋体" w:asciiTheme="minorEastAsia" w:hAnsiTheme="minorEastAsia" w:eastAsiaTheme="minorEastAsia"/>
                <w:color w:val="000000"/>
                <w:kern w:val="0"/>
                <w:sz w:val="18"/>
                <w:szCs w:val="18"/>
              </w:rPr>
              <w:t>30</w:t>
            </w:r>
            <w:r>
              <w:rPr>
                <w:rFonts w:hint="eastAsia" w:cs="宋体" w:asciiTheme="minorEastAsia" w:hAnsiTheme="minorEastAsia" w:eastAsiaTheme="minorEastAsia"/>
                <w:color w:val="000000"/>
                <w:kern w:val="0"/>
                <w:sz w:val="18"/>
                <w:szCs w:val="18"/>
                <w:lang w:val="zh-CN"/>
              </w:rPr>
              <w:t>倍放大镜观察，可疑处不存在明显黄褐色锈迹，但可见磷化膜腐蚀破坏，如深灰色或灰白色腐蚀斑痕。</w:t>
            </w:r>
          </w:p>
        </w:tc>
      </w:tr>
      <w:tr>
        <w:tblPrEx>
          <w:tblCellMar>
            <w:top w:w="0" w:type="dxa"/>
            <w:left w:w="108" w:type="dxa"/>
            <w:bottom w:w="0" w:type="dxa"/>
            <w:right w:w="108" w:type="dxa"/>
          </w:tblCellMar>
        </w:tblPrEx>
        <w:trPr>
          <w:trHeight w:val="1118" w:hRule="atLeast"/>
          <w:jc w:val="center"/>
        </w:trPr>
        <w:tc>
          <w:tcPr>
            <w:tcW w:w="17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40" w:lineRule="auto"/>
              <w:jc w:val="left"/>
              <w:rPr>
                <w:rFonts w:cs="宋体" w:asciiTheme="minorEastAsia" w:hAnsiTheme="minorEastAsia" w:eastAsiaTheme="minorEastAsia"/>
                <w:kern w:val="0"/>
                <w:sz w:val="18"/>
                <w:szCs w:val="18"/>
                <w:lang w:val="zh-CN"/>
              </w:rPr>
            </w:pP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C</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可见基体有轻微锈蚀</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用肉眼观察，样品表面未见黄褐色锈迹，但可见深色小黑点或深色条纹等可疑现象时，再用</w:t>
            </w:r>
            <w:r>
              <w:rPr>
                <w:rFonts w:hint="eastAsia" w:cs="宋体" w:asciiTheme="minorEastAsia" w:hAnsiTheme="minorEastAsia" w:eastAsiaTheme="minorEastAsia"/>
                <w:color w:val="000000"/>
                <w:kern w:val="0"/>
                <w:sz w:val="18"/>
                <w:szCs w:val="18"/>
                <w:lang w:val="en-US" w:eastAsia="zh-CN"/>
              </w:rPr>
              <w:t>不低于</w:t>
            </w:r>
            <w:r>
              <w:rPr>
                <w:rFonts w:hint="eastAsia" w:cs="宋体" w:asciiTheme="minorEastAsia" w:hAnsiTheme="minorEastAsia" w:eastAsiaTheme="minorEastAsia"/>
                <w:color w:val="000000"/>
                <w:kern w:val="0"/>
                <w:sz w:val="18"/>
                <w:szCs w:val="18"/>
              </w:rPr>
              <w:t>30</w:t>
            </w:r>
            <w:r>
              <w:rPr>
                <w:rFonts w:hint="eastAsia" w:cs="宋体" w:asciiTheme="minorEastAsia" w:hAnsiTheme="minorEastAsia" w:eastAsiaTheme="minorEastAsia"/>
                <w:color w:val="000000"/>
                <w:kern w:val="0"/>
                <w:sz w:val="18"/>
                <w:szCs w:val="18"/>
                <w:lang w:val="zh-CN"/>
              </w:rPr>
              <w:t>倍放大镜观察，可疑处存在明显</w:t>
            </w:r>
            <w:r>
              <w:rPr>
                <w:rFonts w:hint="eastAsia" w:cs="宋体" w:asciiTheme="minorEastAsia" w:hAnsiTheme="minorEastAsia" w:eastAsiaTheme="minorEastAsia"/>
                <w:kern w:val="0"/>
                <w:sz w:val="18"/>
                <w:szCs w:val="18"/>
                <w:lang w:val="zh-CN"/>
              </w:rPr>
              <w:t>黄褐色锈</w:t>
            </w:r>
            <w:r>
              <w:rPr>
                <w:rFonts w:hint="eastAsia" w:cs="宋体" w:asciiTheme="minorEastAsia" w:hAnsiTheme="minorEastAsia" w:eastAsiaTheme="minorEastAsia"/>
                <w:color w:val="000000"/>
                <w:kern w:val="0"/>
                <w:sz w:val="18"/>
                <w:szCs w:val="18"/>
                <w:lang w:val="zh-CN"/>
              </w:rPr>
              <w:t>迹（不是均匀彩色斑点）。</w:t>
            </w:r>
          </w:p>
        </w:tc>
      </w:tr>
      <w:tr>
        <w:tblPrEx>
          <w:tblCellMar>
            <w:top w:w="0" w:type="dxa"/>
            <w:left w:w="108" w:type="dxa"/>
            <w:bottom w:w="0" w:type="dxa"/>
            <w:right w:w="108" w:type="dxa"/>
          </w:tblCellMar>
        </w:tblPrEx>
        <w:trPr>
          <w:trHeight w:val="459" w:hRule="atLeast"/>
          <w:jc w:val="center"/>
        </w:trPr>
        <w:tc>
          <w:tcPr>
            <w:tcW w:w="17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40" w:lineRule="auto"/>
              <w:jc w:val="left"/>
              <w:rPr>
                <w:rFonts w:cs="宋体" w:asciiTheme="minorEastAsia" w:hAnsiTheme="minorEastAsia" w:eastAsiaTheme="minorEastAsia"/>
                <w:kern w:val="0"/>
                <w:sz w:val="18"/>
                <w:szCs w:val="18"/>
                <w:lang w:val="zh-CN"/>
              </w:rPr>
            </w:pP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D</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可见基体有明显锈蚀</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color w:val="000000"/>
                <w:kern w:val="0"/>
                <w:sz w:val="18"/>
                <w:szCs w:val="18"/>
                <w:lang w:val="zh-CN"/>
              </w:rPr>
              <w:t>用肉眼或</w:t>
            </w:r>
            <w:r>
              <w:rPr>
                <w:rFonts w:hint="eastAsia" w:cs="宋体" w:asciiTheme="minorEastAsia" w:hAnsiTheme="minorEastAsia" w:eastAsiaTheme="minorEastAsia"/>
                <w:color w:val="000000"/>
                <w:kern w:val="0"/>
                <w:sz w:val="18"/>
                <w:szCs w:val="18"/>
                <w:lang w:val="en-US" w:eastAsia="zh-CN"/>
              </w:rPr>
              <w:t>不低于</w:t>
            </w:r>
            <w:r>
              <w:rPr>
                <w:rFonts w:hint="eastAsia" w:cs="宋体" w:asciiTheme="minorEastAsia" w:hAnsiTheme="minorEastAsia" w:eastAsiaTheme="minorEastAsia"/>
                <w:color w:val="000000"/>
                <w:kern w:val="0"/>
                <w:sz w:val="18"/>
                <w:szCs w:val="18"/>
              </w:rPr>
              <w:t>30</w:t>
            </w:r>
            <w:r>
              <w:rPr>
                <w:rFonts w:hint="eastAsia" w:cs="宋体" w:asciiTheme="minorEastAsia" w:hAnsiTheme="minorEastAsia" w:eastAsiaTheme="minorEastAsia"/>
                <w:color w:val="000000"/>
                <w:kern w:val="0"/>
                <w:sz w:val="18"/>
                <w:szCs w:val="18"/>
                <w:lang w:val="zh-CN"/>
              </w:rPr>
              <w:t>倍放大镜观察可见黄褐色锈迹。</w:t>
            </w:r>
          </w:p>
        </w:tc>
      </w:tr>
      <w:tr>
        <w:tblPrEx>
          <w:tblCellMar>
            <w:top w:w="0" w:type="dxa"/>
            <w:left w:w="108" w:type="dxa"/>
            <w:bottom w:w="0" w:type="dxa"/>
            <w:right w:w="108" w:type="dxa"/>
          </w:tblCellMar>
        </w:tblPrEx>
        <w:trPr>
          <w:trHeight w:val="517" w:hRule="atLeast"/>
          <w:jc w:val="center"/>
        </w:trPr>
        <w:tc>
          <w:tcPr>
            <w:tcW w:w="172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CuNi</w:t>
            </w:r>
            <w:r>
              <w:rPr>
                <w:rFonts w:hint="eastAsia" w:cs="宋体" w:asciiTheme="minorEastAsia" w:hAnsiTheme="minorEastAsia" w:eastAsiaTheme="minorEastAsia"/>
                <w:kern w:val="0"/>
                <w:sz w:val="18"/>
                <w:szCs w:val="18"/>
                <w:lang w:val="zh-CN"/>
              </w:rPr>
              <w:t>类、</w:t>
            </w:r>
          </w:p>
          <w:p>
            <w:pPr>
              <w:autoSpaceDE w:val="0"/>
              <w:autoSpaceDN w:val="0"/>
              <w:adjustRightInd w:val="0"/>
              <w:spacing w:line="240" w:lineRule="auto"/>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zh-CN"/>
              </w:rPr>
              <w:t>环氧类、</w:t>
            </w:r>
          </w:p>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Al</w:t>
            </w:r>
            <w:r>
              <w:rPr>
                <w:rFonts w:hint="eastAsia" w:cs="宋体" w:asciiTheme="minorEastAsia" w:hAnsiTheme="minorEastAsia" w:eastAsiaTheme="minorEastAsia"/>
                <w:kern w:val="0"/>
                <w:sz w:val="18"/>
                <w:szCs w:val="18"/>
                <w:lang w:val="zh-CN"/>
              </w:rPr>
              <w:t>类、</w:t>
            </w:r>
            <w:r>
              <w:rPr>
                <w:rFonts w:hint="eastAsia" w:cs="宋体" w:asciiTheme="minorEastAsia" w:hAnsiTheme="minorEastAsia" w:eastAsiaTheme="minorEastAsia"/>
                <w:kern w:val="0"/>
                <w:sz w:val="18"/>
                <w:szCs w:val="18"/>
              </w:rPr>
              <w:t>Sn</w:t>
            </w:r>
            <w:r>
              <w:rPr>
                <w:rFonts w:hint="eastAsia" w:cs="宋体" w:asciiTheme="minorEastAsia" w:hAnsiTheme="minorEastAsia" w:eastAsiaTheme="minorEastAsia"/>
                <w:kern w:val="0"/>
                <w:sz w:val="18"/>
                <w:szCs w:val="18"/>
                <w:lang w:val="zh-CN"/>
              </w:rPr>
              <w:t>类及最外表层为</w:t>
            </w:r>
            <w:r>
              <w:rPr>
                <w:rFonts w:hint="eastAsia" w:cs="宋体" w:asciiTheme="minorEastAsia" w:hAnsiTheme="minorEastAsia" w:eastAsiaTheme="minorEastAsia"/>
                <w:kern w:val="0"/>
                <w:sz w:val="18"/>
                <w:szCs w:val="18"/>
              </w:rPr>
              <w:t>这四</w:t>
            </w:r>
            <w:r>
              <w:rPr>
                <w:rFonts w:hint="eastAsia" w:cs="宋体" w:asciiTheme="minorEastAsia" w:hAnsiTheme="minorEastAsia" w:eastAsiaTheme="minorEastAsia"/>
                <w:kern w:val="0"/>
                <w:sz w:val="18"/>
                <w:szCs w:val="18"/>
                <w:lang w:val="zh-CN"/>
              </w:rPr>
              <w:t>类之一的复合层</w:t>
            </w: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A</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未见表面防护层有实质变化</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样品表面无变化或可见色泽变化。</w:t>
            </w:r>
          </w:p>
        </w:tc>
      </w:tr>
      <w:tr>
        <w:tblPrEx>
          <w:tblCellMar>
            <w:top w:w="0" w:type="dxa"/>
            <w:left w:w="108" w:type="dxa"/>
            <w:bottom w:w="0" w:type="dxa"/>
            <w:right w:w="108" w:type="dxa"/>
          </w:tblCellMar>
        </w:tblPrEx>
        <w:trPr>
          <w:trHeight w:val="514" w:hRule="atLeast"/>
          <w:jc w:val="center"/>
        </w:trPr>
        <w:tc>
          <w:tcPr>
            <w:tcW w:w="17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40" w:lineRule="auto"/>
              <w:jc w:val="left"/>
              <w:rPr>
                <w:rFonts w:cs="宋体" w:asciiTheme="minorEastAsia" w:hAnsiTheme="minorEastAsia" w:eastAsiaTheme="minorEastAsia"/>
                <w:kern w:val="0"/>
                <w:sz w:val="18"/>
                <w:szCs w:val="18"/>
                <w:lang w:val="zh-CN"/>
              </w:rPr>
            </w:pP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B</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可见表面防护层有破损</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样品表面可见防护层鼓泡、开裂，未见基体锈蚀痕迹。</w:t>
            </w:r>
          </w:p>
        </w:tc>
      </w:tr>
      <w:tr>
        <w:tblPrEx>
          <w:tblCellMar>
            <w:top w:w="0" w:type="dxa"/>
            <w:left w:w="108" w:type="dxa"/>
            <w:bottom w:w="0" w:type="dxa"/>
            <w:right w:w="108" w:type="dxa"/>
          </w:tblCellMar>
        </w:tblPrEx>
        <w:trPr>
          <w:trHeight w:val="329" w:hRule="atLeast"/>
          <w:jc w:val="center"/>
        </w:trPr>
        <w:tc>
          <w:tcPr>
            <w:tcW w:w="17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40" w:lineRule="auto"/>
              <w:jc w:val="left"/>
              <w:rPr>
                <w:rFonts w:cs="宋体" w:asciiTheme="minorEastAsia" w:hAnsiTheme="minorEastAsia" w:eastAsiaTheme="minorEastAsia"/>
                <w:kern w:val="0"/>
                <w:sz w:val="18"/>
                <w:szCs w:val="18"/>
                <w:lang w:val="zh-CN"/>
              </w:rPr>
            </w:pP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C</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可见基体有锈蚀</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样品表面可见基体腐蚀产生的黄褐色锈迹或钕铁硼粉末。</w:t>
            </w:r>
          </w:p>
        </w:tc>
      </w:tr>
      <w:tr>
        <w:tblPrEx>
          <w:tblCellMar>
            <w:top w:w="0" w:type="dxa"/>
            <w:left w:w="108" w:type="dxa"/>
            <w:bottom w:w="0" w:type="dxa"/>
            <w:right w:w="108" w:type="dxa"/>
          </w:tblCellMar>
        </w:tblPrEx>
        <w:trPr>
          <w:trHeight w:val="474" w:hRule="atLeast"/>
          <w:jc w:val="center"/>
        </w:trPr>
        <w:tc>
          <w:tcPr>
            <w:tcW w:w="172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Zn</w:t>
            </w:r>
            <w:r>
              <w:rPr>
                <w:rFonts w:hint="eastAsia" w:cs="宋体" w:asciiTheme="minorEastAsia" w:hAnsiTheme="minorEastAsia" w:eastAsiaTheme="minorEastAsia"/>
                <w:kern w:val="0"/>
                <w:sz w:val="18"/>
                <w:szCs w:val="18"/>
                <w:lang w:val="zh-CN"/>
              </w:rPr>
              <w:t>层</w:t>
            </w: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A</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未见Zn层有实质变化</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样品表面无变化。</w:t>
            </w:r>
          </w:p>
        </w:tc>
      </w:tr>
      <w:tr>
        <w:tblPrEx>
          <w:tblCellMar>
            <w:top w:w="0" w:type="dxa"/>
            <w:left w:w="108" w:type="dxa"/>
            <w:bottom w:w="0" w:type="dxa"/>
            <w:right w:w="108" w:type="dxa"/>
          </w:tblCellMar>
        </w:tblPrEx>
        <w:trPr>
          <w:trHeight w:val="90" w:hRule="atLeast"/>
          <w:jc w:val="center"/>
        </w:trPr>
        <w:tc>
          <w:tcPr>
            <w:tcW w:w="17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40" w:lineRule="auto"/>
              <w:jc w:val="left"/>
              <w:rPr>
                <w:rFonts w:cs="宋体" w:asciiTheme="minorEastAsia" w:hAnsiTheme="minorEastAsia" w:eastAsiaTheme="minorEastAsia"/>
                <w:kern w:val="0"/>
                <w:sz w:val="18"/>
                <w:szCs w:val="18"/>
                <w:lang w:val="zh-CN"/>
              </w:rPr>
            </w:pP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B</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可见Zn层有腐蚀</w:t>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样品表面可见白色腐蚀物或深灰色腐蚀斑，未见基体锈蚀痕迹。</w:t>
            </w:r>
          </w:p>
        </w:tc>
      </w:tr>
      <w:tr>
        <w:tblPrEx>
          <w:tblCellMar>
            <w:top w:w="0" w:type="dxa"/>
            <w:left w:w="108" w:type="dxa"/>
            <w:bottom w:w="0" w:type="dxa"/>
            <w:right w:w="108" w:type="dxa"/>
          </w:tblCellMar>
        </w:tblPrEx>
        <w:trPr>
          <w:trHeight w:val="500" w:hRule="atLeast"/>
          <w:jc w:val="center"/>
        </w:trPr>
        <w:tc>
          <w:tcPr>
            <w:tcW w:w="172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after="200" w:line="240" w:lineRule="auto"/>
              <w:jc w:val="left"/>
              <w:rPr>
                <w:rFonts w:cs="宋体" w:asciiTheme="minorEastAsia" w:hAnsiTheme="minorEastAsia" w:eastAsiaTheme="minorEastAsia"/>
                <w:kern w:val="0"/>
                <w:sz w:val="18"/>
                <w:szCs w:val="18"/>
                <w:lang w:val="zh-CN"/>
              </w:rPr>
            </w:pP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jc w:val="lef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rPr>
              <w:t>C</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lang w:val="zh-CN"/>
              </w:rPr>
              <w:t>级</w:t>
            </w:r>
          </w:p>
        </w:tc>
        <w:tc>
          <w:tcPr>
            <w:tcW w:w="21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可见基体有锈蚀</w:t>
            </w:r>
            <w:r>
              <w:rPr>
                <w:rFonts w:hint="eastAsia" w:cs="宋体" w:asciiTheme="minorEastAsia" w:hAnsiTheme="minorEastAsia" w:eastAsiaTheme="minorEastAsia"/>
                <w:kern w:val="0"/>
                <w:sz w:val="18"/>
                <w:szCs w:val="18"/>
                <w:lang w:val="zh-CN"/>
              </w:rPr>
              <w:tab/>
            </w:r>
          </w:p>
        </w:tc>
        <w:tc>
          <w:tcPr>
            <w:tcW w:w="51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40" w:lineRule="auto"/>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样品表面可见基体腐蚀产生的黄褐色锈迹或钕铁硼粉末。</w:t>
            </w:r>
          </w:p>
        </w:tc>
      </w:tr>
    </w:tbl>
    <w:p>
      <w:pPr>
        <w:autoSpaceDE w:val="0"/>
        <w:autoSpaceDN w:val="0"/>
        <w:adjustRightInd w:val="0"/>
        <w:spacing w:before="468" w:beforeLines="150" w:after="312" w:afterLines="100" w:line="360" w:lineRule="auto"/>
        <w:outlineLvl w:val="0"/>
        <w:rPr>
          <w:rFonts w:ascii="黑体" w:eastAsia="黑体" w:cs="黑体"/>
          <w:kern w:val="0"/>
          <w:szCs w:val="21"/>
          <w:lang w:val="zh-CN"/>
        </w:rPr>
      </w:pPr>
      <w:bookmarkStart w:id="153" w:name="_Toc13866"/>
      <w:bookmarkStart w:id="154" w:name="_Toc109033112"/>
      <w:bookmarkStart w:id="155" w:name="_Toc18716"/>
      <w:bookmarkStart w:id="156" w:name="_Toc2366"/>
      <w:bookmarkStart w:id="157" w:name="_Toc19771"/>
      <w:bookmarkStart w:id="158" w:name="_Toc16886"/>
      <w:bookmarkStart w:id="159" w:name="_Toc5851"/>
      <w:bookmarkStart w:id="160" w:name="_Toc5742"/>
      <w:bookmarkStart w:id="161" w:name="_Toc27874"/>
      <w:r>
        <w:rPr>
          <w:rFonts w:ascii="黑体" w:eastAsia="黑体" w:cs="黑体"/>
          <w:kern w:val="0"/>
          <w:szCs w:val="21"/>
          <w:lang w:val="zh-CN"/>
        </w:rPr>
        <w:t xml:space="preserve">11  </w:t>
      </w:r>
      <w:r>
        <w:rPr>
          <w:rFonts w:hint="eastAsia" w:ascii="黑体" w:eastAsia="黑体" w:cs="黑体"/>
          <w:kern w:val="0"/>
          <w:szCs w:val="21"/>
          <w:lang w:val="zh-CN"/>
        </w:rPr>
        <w:t>试验报告</w:t>
      </w:r>
      <w:bookmarkEnd w:id="153"/>
      <w:bookmarkEnd w:id="154"/>
      <w:bookmarkEnd w:id="155"/>
      <w:bookmarkEnd w:id="156"/>
      <w:bookmarkEnd w:id="157"/>
      <w:bookmarkEnd w:id="158"/>
      <w:bookmarkEnd w:id="159"/>
      <w:bookmarkEnd w:id="160"/>
      <w:bookmarkEnd w:id="161"/>
    </w:p>
    <w:p>
      <w:pPr>
        <w:autoSpaceDE w:val="0"/>
        <w:autoSpaceDN w:val="0"/>
        <w:adjustRightInd w:val="0"/>
        <w:spacing w:line="360" w:lineRule="auto"/>
        <w:ind w:firstLine="315" w:firstLineChars="150"/>
        <w:rPr>
          <w:rFonts w:ascii="宋体" w:cs="宋体"/>
          <w:kern w:val="0"/>
          <w:szCs w:val="21"/>
          <w:lang w:val="zh-CN"/>
        </w:rPr>
      </w:pPr>
      <w:r>
        <w:rPr>
          <w:rFonts w:hint="eastAsia" w:ascii="宋体" w:cs="宋体"/>
          <w:kern w:val="0"/>
          <w:szCs w:val="21"/>
          <w:lang w:val="zh-CN"/>
        </w:rPr>
        <w:t>试验报告原则上应包括但不限于下列内容：</w:t>
      </w:r>
    </w:p>
    <w:p>
      <w:pPr>
        <w:autoSpaceDE w:val="0"/>
        <w:autoSpaceDN w:val="0"/>
        <w:adjustRightInd w:val="0"/>
        <w:spacing w:line="360" w:lineRule="auto"/>
        <w:ind w:firstLine="420" w:firstLineChars="200"/>
        <w:rPr>
          <w:rFonts w:ascii="宋体" w:cs="宋体"/>
          <w:kern w:val="0"/>
          <w:szCs w:val="21"/>
          <w:lang w:val="zh-CN"/>
        </w:rPr>
      </w:pPr>
      <w:r>
        <w:rPr>
          <w:rFonts w:ascii="黑体" w:hAnsi="黑体" w:eastAsia="黑体" w:cs="黑体"/>
          <w:kern w:val="0"/>
          <w:szCs w:val="21"/>
          <w:lang w:val="zh-CN"/>
        </w:rPr>
        <w:t>a</w:t>
      </w:r>
      <w:r>
        <w:rPr>
          <w:rFonts w:hint="eastAsia" w:ascii="黑体" w:hAnsi="黑体" w:eastAsia="黑体" w:cs="黑体"/>
          <w:kern w:val="0"/>
          <w:szCs w:val="21"/>
          <w:lang w:val="zh-CN"/>
        </w:rPr>
        <w:t>）</w:t>
      </w:r>
      <w:r>
        <w:rPr>
          <w:rFonts w:hint="eastAsia" w:ascii="宋体" w:cs="宋体"/>
          <w:kern w:val="0"/>
          <w:szCs w:val="21"/>
          <w:lang w:val="zh-CN"/>
        </w:rPr>
        <w:t>样品来源、样品种类、样品尺寸及标识；</w:t>
      </w:r>
    </w:p>
    <w:p>
      <w:pPr>
        <w:autoSpaceDE w:val="0"/>
        <w:autoSpaceDN w:val="0"/>
        <w:adjustRightInd w:val="0"/>
        <w:spacing w:line="360" w:lineRule="auto"/>
        <w:ind w:firstLine="420" w:firstLineChars="200"/>
        <w:rPr>
          <w:rFonts w:ascii="宋体" w:cs="宋体"/>
          <w:kern w:val="0"/>
          <w:szCs w:val="21"/>
          <w:lang w:val="zh-CN"/>
        </w:rPr>
      </w:pPr>
      <w:r>
        <w:rPr>
          <w:rFonts w:ascii="黑体" w:hAnsi="黑体" w:eastAsia="黑体" w:cs="黑体"/>
          <w:kern w:val="0"/>
          <w:szCs w:val="21"/>
          <w:lang w:val="zh-CN"/>
        </w:rPr>
        <w:t>b</w:t>
      </w:r>
      <w:r>
        <w:rPr>
          <w:rFonts w:hint="eastAsia" w:ascii="黑体" w:hAnsi="黑体" w:eastAsia="黑体" w:cs="黑体"/>
          <w:kern w:val="0"/>
          <w:szCs w:val="21"/>
          <w:lang w:val="zh-CN"/>
        </w:rPr>
        <w:t>）</w:t>
      </w:r>
      <w:r>
        <w:rPr>
          <w:rFonts w:hint="eastAsia" w:ascii="宋体" w:cs="宋体"/>
          <w:kern w:val="0"/>
          <w:szCs w:val="21"/>
          <w:lang w:val="zh-CN"/>
        </w:rPr>
        <w:t>试验设备型号、样品框材质种类；</w:t>
      </w:r>
    </w:p>
    <w:p>
      <w:pPr>
        <w:autoSpaceDE w:val="0"/>
        <w:autoSpaceDN w:val="0"/>
        <w:adjustRightInd w:val="0"/>
        <w:spacing w:line="360" w:lineRule="auto"/>
        <w:ind w:firstLine="420" w:firstLineChars="200"/>
        <w:rPr>
          <w:rFonts w:ascii="宋体" w:cs="宋体"/>
          <w:kern w:val="0"/>
          <w:szCs w:val="21"/>
          <w:lang w:val="zh-CN"/>
        </w:rPr>
      </w:pPr>
      <w:r>
        <w:rPr>
          <w:rFonts w:ascii="黑体" w:hAnsi="黑体" w:eastAsia="黑体" w:cs="黑体"/>
          <w:kern w:val="0"/>
          <w:szCs w:val="21"/>
          <w:lang w:val="zh-CN"/>
        </w:rPr>
        <w:t>c</w:t>
      </w:r>
      <w:r>
        <w:rPr>
          <w:rFonts w:hint="eastAsia" w:ascii="黑体" w:hAnsi="黑体" w:eastAsia="黑体" w:cs="黑体"/>
          <w:kern w:val="0"/>
          <w:szCs w:val="21"/>
          <w:lang w:val="zh-CN"/>
        </w:rPr>
        <w:t>）</w:t>
      </w:r>
      <w:r>
        <w:rPr>
          <w:rFonts w:hint="eastAsia" w:ascii="宋体" w:cs="宋体"/>
          <w:kern w:val="0"/>
          <w:szCs w:val="21"/>
          <w:lang w:val="zh-CN"/>
        </w:rPr>
        <w:t>试验条件及持续时间；</w:t>
      </w:r>
    </w:p>
    <w:p>
      <w:pPr>
        <w:autoSpaceDE w:val="0"/>
        <w:autoSpaceDN w:val="0"/>
        <w:adjustRightInd w:val="0"/>
        <w:spacing w:line="360" w:lineRule="auto"/>
        <w:ind w:firstLine="420" w:firstLineChars="200"/>
        <w:rPr>
          <w:rFonts w:ascii="宋体" w:cs="宋体"/>
          <w:kern w:val="0"/>
          <w:szCs w:val="21"/>
          <w:lang w:val="zh-CN"/>
        </w:rPr>
      </w:pPr>
      <w:r>
        <w:rPr>
          <w:rFonts w:ascii="黑体" w:hAnsi="黑体" w:eastAsia="黑体" w:cs="黑体"/>
          <w:kern w:val="0"/>
          <w:szCs w:val="21"/>
          <w:lang w:val="zh-CN"/>
        </w:rPr>
        <w:t>d</w:t>
      </w:r>
      <w:r>
        <w:rPr>
          <w:rFonts w:hint="eastAsia" w:ascii="黑体" w:hAnsi="黑体" w:eastAsia="黑体" w:cs="黑体"/>
          <w:kern w:val="0"/>
          <w:szCs w:val="21"/>
          <w:lang w:val="zh-CN"/>
        </w:rPr>
        <w:t>）</w:t>
      </w:r>
      <w:r>
        <w:rPr>
          <w:rFonts w:hint="eastAsia" w:ascii="宋体" w:cs="宋体"/>
          <w:kern w:val="0"/>
          <w:szCs w:val="21"/>
          <w:lang w:val="zh-CN"/>
        </w:rPr>
        <w:t>试验前后样品外观描述及试验后的外观结果评级</w:t>
      </w:r>
      <w:r>
        <w:rPr>
          <w:rFonts w:hint="eastAsia" w:ascii="宋体" w:cs="宋体"/>
          <w:kern w:val="0"/>
          <w:szCs w:val="21"/>
        </w:rPr>
        <w:t>（</w:t>
      </w:r>
      <w:r>
        <w:rPr>
          <w:rFonts w:hint="eastAsia" w:ascii="宋体" w:cs="宋体"/>
          <w:kern w:val="0"/>
          <w:szCs w:val="21"/>
          <w:lang w:val="zh-CN"/>
        </w:rPr>
        <w:t>必要时提供照片）；</w:t>
      </w:r>
    </w:p>
    <w:p>
      <w:pPr>
        <w:autoSpaceDE w:val="0"/>
        <w:autoSpaceDN w:val="0"/>
        <w:adjustRightInd w:val="0"/>
        <w:spacing w:line="360" w:lineRule="auto"/>
        <w:ind w:firstLine="420" w:firstLineChars="200"/>
        <w:rPr>
          <w:rFonts w:ascii="宋体" w:cs="宋体"/>
          <w:kern w:val="0"/>
          <w:szCs w:val="21"/>
          <w:lang w:val="zh-CN"/>
        </w:rPr>
      </w:pPr>
      <w:r>
        <w:rPr>
          <w:rFonts w:ascii="黑体" w:hAnsi="黑体" w:eastAsia="黑体" w:cs="黑体"/>
          <w:kern w:val="0"/>
          <w:szCs w:val="21"/>
          <w:lang w:val="zh-CN"/>
        </w:rPr>
        <w:t>e</w:t>
      </w:r>
      <w:r>
        <w:rPr>
          <w:rFonts w:hint="eastAsia" w:ascii="黑体" w:hAnsi="黑体" w:eastAsia="黑体" w:cs="黑体"/>
          <w:kern w:val="0"/>
          <w:szCs w:val="21"/>
          <w:lang w:val="zh-CN"/>
        </w:rPr>
        <w:t>）</w:t>
      </w:r>
      <w:r>
        <w:rPr>
          <w:rFonts w:hint="eastAsia" w:ascii="宋体" w:hAnsi="宋体" w:cs="宋体"/>
          <w:kern w:val="0"/>
          <w:szCs w:val="21"/>
          <w:lang w:val="zh-CN"/>
        </w:rPr>
        <w:t>测试试验后磁通不可逆损失</w:t>
      </w:r>
      <w:r>
        <w:rPr>
          <w:rFonts w:hint="eastAsia" w:ascii="宋体" w:cs="宋体"/>
          <w:kern w:val="0"/>
          <w:szCs w:val="21"/>
          <w:lang w:val="zh-CN"/>
        </w:rPr>
        <w:t>时，应标明磁取向方向，并提供试验前后磁通或磁偶极矩及磁通不可逆损失；</w:t>
      </w:r>
    </w:p>
    <w:p>
      <w:pPr>
        <w:autoSpaceDE w:val="0"/>
        <w:autoSpaceDN w:val="0"/>
        <w:adjustRightInd w:val="0"/>
        <w:spacing w:line="360" w:lineRule="auto"/>
        <w:ind w:firstLine="420" w:firstLineChars="200"/>
        <w:rPr>
          <w:rFonts w:ascii="黑体" w:eastAsia="黑体" w:cs="黑体"/>
          <w:kern w:val="0"/>
          <w:szCs w:val="21"/>
          <w:lang w:val="zh-CN"/>
        </w:rPr>
      </w:pPr>
      <w:r>
        <w:rPr>
          <w:rFonts w:ascii="黑体" w:hAnsi="黑体" w:eastAsia="黑体" w:cs="黑体"/>
          <w:kern w:val="0"/>
          <w:szCs w:val="21"/>
          <w:lang w:val="zh-CN"/>
        </w:rPr>
        <w:t>f</w:t>
      </w:r>
      <w:r>
        <w:rPr>
          <w:rFonts w:hint="eastAsia" w:ascii="黑体" w:hAnsi="黑体" w:eastAsia="黑体" w:cs="黑体"/>
          <w:kern w:val="0"/>
          <w:szCs w:val="21"/>
          <w:lang w:val="zh-CN"/>
        </w:rPr>
        <w:t>）</w:t>
      </w:r>
      <w:r>
        <w:rPr>
          <w:rFonts w:hint="eastAsia" w:ascii="宋体" w:cs="宋体"/>
          <w:kern w:val="0"/>
          <w:szCs w:val="21"/>
          <w:lang w:val="zh-CN"/>
        </w:rPr>
        <w:t>必要时还应包括试验过程的相关说明（如升降温方式、样品放置方式、样品外观观察方式、试验前后进行磁通测量时的温度</w:t>
      </w:r>
      <w:r>
        <w:rPr>
          <w:rFonts w:hint="eastAsia" w:ascii="宋体" w:cs="宋体"/>
          <w:kern w:val="0"/>
          <w:szCs w:val="21"/>
        </w:rPr>
        <w:t>及</w:t>
      </w:r>
      <w:r>
        <w:rPr>
          <w:rFonts w:hint="eastAsia" w:ascii="宋体" w:cs="宋体"/>
          <w:kern w:val="0"/>
          <w:szCs w:val="21"/>
          <w:lang w:val="en-US" w:eastAsia="zh-CN"/>
        </w:rPr>
        <w:t>试验</w:t>
      </w:r>
      <w:r>
        <w:rPr>
          <w:rFonts w:hint="eastAsia" w:ascii="宋体" w:cs="宋体"/>
          <w:kern w:val="0"/>
          <w:szCs w:val="21"/>
          <w:lang w:val="zh-CN"/>
        </w:rPr>
        <w:t>过程其它异常</w:t>
      </w:r>
      <w:r>
        <w:rPr>
          <w:rFonts w:hint="eastAsia" w:ascii="宋体" w:cs="宋体"/>
          <w:kern w:val="0"/>
          <w:szCs w:val="21"/>
          <w:lang w:val="en-US" w:eastAsia="zh-CN"/>
        </w:rPr>
        <w:t>情况的</w:t>
      </w:r>
      <w:r>
        <w:rPr>
          <w:rFonts w:hint="eastAsia" w:ascii="宋体" w:cs="宋体"/>
          <w:kern w:val="0"/>
          <w:szCs w:val="21"/>
          <w:lang w:val="zh-CN"/>
        </w:rPr>
        <w:t>说明等）。</w:t>
      </w:r>
      <w:r>
        <w:rPr>
          <w:rFonts w:ascii="宋体" w:cs="宋体"/>
          <w:kern w:val="0"/>
          <w:szCs w:val="21"/>
          <w:lang w:val="zh-CN"/>
        </w:rPr>
        <w:t xml:space="preserve"> </w:t>
      </w:r>
    </w:p>
    <w:p>
      <w:pPr>
        <w:tabs>
          <w:tab w:val="center" w:pos="4201"/>
          <w:tab w:val="right" w:leader="dot" w:pos="9298"/>
        </w:tabs>
        <w:autoSpaceDE w:val="0"/>
        <w:autoSpaceDN w:val="0"/>
        <w:adjustRightInd w:val="0"/>
        <w:spacing w:line="360" w:lineRule="auto"/>
        <w:ind w:firstLine="420"/>
        <w:jc w:val="left"/>
        <w:rPr>
          <w:rFonts w:ascii="黑体" w:eastAsia="黑体" w:cs="黑体"/>
          <w:kern w:val="0"/>
          <w:szCs w:val="21"/>
          <w:lang w:val="zh-CN"/>
        </w:rPr>
      </w:pPr>
      <w:r>
        <w:rPr>
          <w:rFonts w:ascii="黑体" w:eastAsia="黑体" w:cs="黑体"/>
          <w:kern w:val="0"/>
          <w:szCs w:val="21"/>
          <w:lang w:val="zh-CN"/>
        </w:rPr>
        <w:br w:type="page"/>
      </w:r>
    </w:p>
    <w:p>
      <w:pPr>
        <w:tabs>
          <w:tab w:val="center" w:pos="4201"/>
          <w:tab w:val="right" w:leader="dot" w:pos="9298"/>
        </w:tabs>
        <w:autoSpaceDE w:val="0"/>
        <w:autoSpaceDN w:val="0"/>
        <w:adjustRightInd w:val="0"/>
        <w:spacing w:line="360" w:lineRule="auto"/>
        <w:jc w:val="center"/>
        <w:outlineLvl w:val="0"/>
        <w:rPr>
          <w:rFonts w:ascii="黑体" w:eastAsia="黑体" w:cs="黑体"/>
          <w:kern w:val="0"/>
          <w:szCs w:val="21"/>
          <w:lang w:val="zh-CN"/>
        </w:rPr>
      </w:pPr>
      <w:bookmarkStart w:id="162" w:name="_Toc14224"/>
      <w:bookmarkStart w:id="163" w:name="_Toc10608"/>
      <w:bookmarkStart w:id="164" w:name="_Toc23369"/>
      <w:bookmarkStart w:id="165" w:name="_Toc13086"/>
      <w:bookmarkStart w:id="166" w:name="_Toc26773"/>
      <w:bookmarkStart w:id="167" w:name="_Toc109033113"/>
      <w:bookmarkStart w:id="168" w:name="_Toc10610"/>
      <w:bookmarkStart w:id="169" w:name="_Toc19171"/>
      <w:r>
        <w:rPr>
          <w:rFonts w:hint="eastAsia" w:ascii="黑体" w:eastAsia="黑体" w:cs="黑体"/>
          <w:kern w:val="0"/>
          <w:szCs w:val="21"/>
          <w:lang w:val="zh-CN"/>
        </w:rPr>
        <w:t>附录</w:t>
      </w:r>
      <w:r>
        <w:rPr>
          <w:rFonts w:ascii="黑体" w:eastAsia="黑体" w:cs="黑体"/>
          <w:kern w:val="0"/>
          <w:szCs w:val="21"/>
          <w:lang w:val="zh-CN"/>
        </w:rPr>
        <w:t>A</w:t>
      </w:r>
      <w:bookmarkEnd w:id="162"/>
      <w:bookmarkEnd w:id="163"/>
      <w:bookmarkEnd w:id="164"/>
      <w:bookmarkEnd w:id="165"/>
      <w:bookmarkEnd w:id="166"/>
      <w:bookmarkEnd w:id="167"/>
      <w:r>
        <w:rPr>
          <w:rFonts w:hint="eastAsia" w:ascii="黑体" w:eastAsia="黑体" w:cs="黑体"/>
          <w:kern w:val="0"/>
          <w:szCs w:val="21"/>
        </w:rPr>
        <w:br w:type="textWrapping"/>
      </w:r>
      <w:r>
        <w:rPr>
          <w:rFonts w:hint="eastAsia" w:ascii="黑体" w:eastAsia="黑体" w:cs="黑体"/>
          <w:kern w:val="0"/>
          <w:szCs w:val="21"/>
          <w:lang w:val="zh-CN"/>
        </w:rPr>
        <w:t>（资料性）</w:t>
      </w:r>
      <w:r>
        <w:rPr>
          <w:rFonts w:hint="eastAsia" w:ascii="黑体" w:eastAsia="黑体" w:cs="黑体"/>
          <w:kern w:val="0"/>
          <w:szCs w:val="21"/>
          <w:lang w:val="zh-CN"/>
        </w:rPr>
        <w:br w:type="textWrapping"/>
      </w:r>
      <w:r>
        <w:rPr>
          <w:rFonts w:hint="eastAsia" w:ascii="黑体" w:eastAsia="黑体" w:cs="黑体"/>
          <w:kern w:val="0"/>
          <w:szCs w:val="21"/>
          <w:lang w:val="zh-CN"/>
        </w:rPr>
        <w:t>普通恒定湿热试验过程中如何升温可避免样品上产生凝露</w:t>
      </w:r>
      <w:bookmarkEnd w:id="168"/>
      <w:bookmarkEnd w:id="169"/>
    </w:p>
    <w:p>
      <w:pPr>
        <w:autoSpaceDE w:val="0"/>
        <w:autoSpaceDN w:val="0"/>
        <w:adjustRightInd w:val="0"/>
        <w:spacing w:before="468" w:beforeLines="150" w:after="312" w:afterLines="100"/>
        <w:jc w:val="left"/>
        <w:outlineLvl w:val="1"/>
        <w:rPr>
          <w:rFonts w:ascii="黑体" w:hAnsi="黑体" w:eastAsia="黑体" w:cs="黑体"/>
          <w:kern w:val="0"/>
          <w:szCs w:val="21"/>
          <w:lang w:val="zh-CN"/>
        </w:rPr>
      </w:pPr>
      <w:bookmarkStart w:id="170" w:name="_Toc8122"/>
      <w:bookmarkStart w:id="171" w:name="_Toc13370"/>
      <w:bookmarkStart w:id="172" w:name="_Toc24053"/>
      <w:bookmarkStart w:id="173" w:name="_Toc26832"/>
      <w:bookmarkStart w:id="174" w:name="_Toc3683"/>
      <w:bookmarkStart w:id="175" w:name="_Toc109033114"/>
      <w:bookmarkStart w:id="176" w:name="_Toc7798"/>
      <w:bookmarkStart w:id="177" w:name="_Toc72"/>
      <w:r>
        <w:rPr>
          <w:rFonts w:ascii="黑体" w:hAnsi="黑体" w:eastAsia="黑体" w:cs="黑体"/>
          <w:kern w:val="0"/>
          <w:szCs w:val="21"/>
          <w:lang w:val="zh-CN"/>
        </w:rPr>
        <w:t>A</w:t>
      </w:r>
      <w:r>
        <w:rPr>
          <w:rFonts w:hint="eastAsia" w:ascii="黑体" w:hAnsi="黑体" w:eastAsia="黑体" w:cs="黑体"/>
          <w:kern w:val="0"/>
          <w:szCs w:val="21"/>
        </w:rPr>
        <w:t>.</w:t>
      </w:r>
      <w:r>
        <w:rPr>
          <w:rFonts w:ascii="黑体" w:hAnsi="黑体" w:eastAsia="黑体" w:cs="黑体"/>
          <w:kern w:val="0"/>
          <w:szCs w:val="21"/>
          <w:lang w:val="zh-CN"/>
        </w:rPr>
        <w:t xml:space="preserve">1 </w:t>
      </w:r>
      <w:r>
        <w:rPr>
          <w:rFonts w:hint="eastAsia" w:ascii="黑体" w:hAnsi="黑体" w:eastAsia="黑体" w:cs="黑体"/>
          <w:kern w:val="0"/>
          <w:szCs w:val="21"/>
          <w:lang w:val="zh-CN"/>
        </w:rPr>
        <w:t>恒定湿热相关标准中对样品上是否产生凝露的不同要求</w:t>
      </w:r>
      <w:bookmarkEnd w:id="170"/>
      <w:bookmarkEnd w:id="171"/>
      <w:bookmarkEnd w:id="172"/>
      <w:bookmarkEnd w:id="173"/>
      <w:bookmarkEnd w:id="174"/>
      <w:bookmarkEnd w:id="175"/>
      <w:bookmarkEnd w:id="176"/>
      <w:bookmarkEnd w:id="177"/>
    </w:p>
    <w:p>
      <w:pPr>
        <w:autoSpaceDE w:val="0"/>
        <w:autoSpaceDN w:val="0"/>
        <w:adjustRightInd w:val="0"/>
        <w:spacing w:line="360" w:lineRule="auto"/>
        <w:jc w:val="left"/>
        <w:rPr>
          <w:rFonts w:cs="Arial" w:asciiTheme="minorEastAsia" w:hAnsiTheme="minorEastAsia" w:eastAsiaTheme="minorEastAsia"/>
          <w:kern w:val="0"/>
          <w:szCs w:val="21"/>
        </w:rPr>
      </w:pPr>
      <w:r>
        <w:rPr>
          <w:rFonts w:ascii="黑体" w:eastAsia="黑体" w:cs="黑体"/>
          <w:kern w:val="0"/>
          <w:szCs w:val="21"/>
          <w:lang w:val="zh-CN"/>
        </w:rPr>
        <w:t xml:space="preserve">A.1.1 </w:t>
      </w:r>
      <w:r>
        <w:rPr>
          <w:rFonts w:hint="eastAsia" w:asciiTheme="minorEastAsia" w:hAnsiTheme="minorEastAsia" w:eastAsiaTheme="minorEastAsia"/>
          <w:kern w:val="0"/>
          <w:szCs w:val="21"/>
          <w:lang w:val="zh-CN"/>
        </w:rPr>
        <w:t>普通恒定湿热试验和</w:t>
      </w:r>
      <w:r>
        <w:rPr>
          <w:rFonts w:asciiTheme="minorEastAsia" w:hAnsiTheme="minorEastAsia" w:eastAsiaTheme="minorEastAsia"/>
          <w:kern w:val="0"/>
          <w:szCs w:val="21"/>
        </w:rPr>
        <w:t>HAST</w:t>
      </w:r>
      <w:r>
        <w:rPr>
          <w:rFonts w:hint="eastAsia" w:asciiTheme="minorEastAsia" w:hAnsiTheme="minorEastAsia" w:eastAsiaTheme="minorEastAsia"/>
          <w:kern w:val="0"/>
          <w:szCs w:val="21"/>
          <w:lang w:val="zh-CN"/>
        </w:rPr>
        <w:t>试验相关国际标准中，要求试验期间任何时间段内都不允许样品上有凝露出现，而且也不允许试验箱内壁上的凝露滴落到样品上。</w:t>
      </w:r>
    </w:p>
    <w:p>
      <w:pPr>
        <w:autoSpaceDE w:val="0"/>
        <w:autoSpaceDN w:val="0"/>
        <w:adjustRightInd w:val="0"/>
        <w:spacing w:line="360" w:lineRule="auto"/>
        <w:jc w:val="left"/>
        <w:rPr>
          <w:rFonts w:ascii="Arial" w:hAnsi="Arial" w:eastAsia="黑体" w:cs="Arial"/>
          <w:kern w:val="0"/>
          <w:szCs w:val="21"/>
        </w:rPr>
      </w:pPr>
      <w:r>
        <w:rPr>
          <w:rFonts w:ascii="黑体" w:hAnsi="Arial" w:eastAsia="黑体" w:cs="黑体"/>
          <w:kern w:val="0"/>
          <w:szCs w:val="21"/>
          <w:lang w:val="zh-CN"/>
        </w:rPr>
        <w:t>A.1.2</w:t>
      </w:r>
      <w:r>
        <w:rPr>
          <w:rFonts w:ascii="Arial" w:hAnsi="Arial" w:eastAsia="黑体" w:cs="Arial"/>
          <w:kern w:val="0"/>
          <w:szCs w:val="21"/>
        </w:rPr>
        <w:t xml:space="preserve"> </w:t>
      </w:r>
      <w:r>
        <w:rPr>
          <w:rFonts w:hint="eastAsia" w:ascii="Arial" w:hAnsi="Arial" w:eastAsia="黑体" w:cs="Arial"/>
          <w:kern w:val="0"/>
          <w:szCs w:val="21"/>
        </w:rPr>
        <w:t xml:space="preserve"> </w:t>
      </w:r>
      <w:r>
        <w:rPr>
          <w:rFonts w:asciiTheme="minorEastAsia" w:hAnsiTheme="minorEastAsia" w:eastAsiaTheme="minorEastAsia"/>
          <w:kern w:val="0"/>
          <w:szCs w:val="21"/>
          <w:lang w:val="zh-CN"/>
        </w:rPr>
        <w:t>PCT</w:t>
      </w:r>
      <w:r>
        <w:rPr>
          <w:rFonts w:hint="eastAsia" w:asciiTheme="minorEastAsia" w:hAnsiTheme="minorEastAsia" w:eastAsiaTheme="minorEastAsia"/>
          <w:kern w:val="0"/>
          <w:szCs w:val="21"/>
          <w:lang w:val="zh-CN"/>
        </w:rPr>
        <w:t>试验相关国际标准中，要求试验中样品上一定要有凝露，确保试验严酷等级。</w:t>
      </w:r>
    </w:p>
    <w:p>
      <w:pPr>
        <w:autoSpaceDE w:val="0"/>
        <w:autoSpaceDN w:val="0"/>
        <w:adjustRightInd w:val="0"/>
        <w:spacing w:before="468" w:beforeLines="150" w:after="312" w:afterLines="100"/>
        <w:jc w:val="left"/>
        <w:outlineLvl w:val="1"/>
        <w:rPr>
          <w:rFonts w:ascii="黑体" w:hAnsi="黑体" w:eastAsia="黑体" w:cs="黑体"/>
          <w:kern w:val="0"/>
          <w:szCs w:val="21"/>
          <w:lang w:val="zh-CN"/>
        </w:rPr>
      </w:pPr>
      <w:bookmarkStart w:id="178" w:name="_Toc2850"/>
      <w:bookmarkStart w:id="179" w:name="_Toc109033115"/>
      <w:bookmarkStart w:id="180" w:name="_Toc30259"/>
      <w:bookmarkStart w:id="181" w:name="_Toc27961"/>
      <w:bookmarkStart w:id="182" w:name="_Toc23565"/>
      <w:bookmarkStart w:id="183" w:name="_Toc31780"/>
      <w:bookmarkStart w:id="184" w:name="_Toc8387"/>
      <w:bookmarkStart w:id="185" w:name="_Toc11355"/>
      <w:r>
        <w:rPr>
          <w:rFonts w:ascii="黑体" w:hAnsi="黑体" w:eastAsia="黑体" w:cs="黑体"/>
          <w:kern w:val="0"/>
          <w:szCs w:val="21"/>
          <w:lang w:val="zh-CN"/>
        </w:rPr>
        <w:t xml:space="preserve">A.2 </w:t>
      </w:r>
      <w:r>
        <w:rPr>
          <w:rFonts w:hint="eastAsia" w:ascii="黑体" w:hAnsi="黑体" w:eastAsia="黑体" w:cs="黑体"/>
          <w:kern w:val="0"/>
          <w:szCs w:val="21"/>
          <w:lang w:val="zh-CN"/>
        </w:rPr>
        <w:t>普通恒定湿热试验标准对升降温控制方式的有关规定</w:t>
      </w:r>
      <w:bookmarkEnd w:id="178"/>
      <w:bookmarkEnd w:id="179"/>
      <w:bookmarkEnd w:id="180"/>
      <w:bookmarkEnd w:id="181"/>
      <w:bookmarkEnd w:id="182"/>
      <w:bookmarkEnd w:id="183"/>
      <w:bookmarkEnd w:id="184"/>
      <w:bookmarkEnd w:id="185"/>
    </w:p>
    <w:p>
      <w:pPr>
        <w:autoSpaceDE w:val="0"/>
        <w:autoSpaceDN w:val="0"/>
        <w:adjustRightInd w:val="0"/>
        <w:spacing w:line="360" w:lineRule="auto"/>
        <w:ind w:firstLine="420" w:firstLineChars="200"/>
        <w:jc w:val="left"/>
        <w:rPr>
          <w:kern w:val="0"/>
          <w:szCs w:val="21"/>
        </w:rPr>
      </w:pPr>
      <w:r>
        <w:rPr>
          <w:rFonts w:hint="eastAsia"/>
          <w:kern w:val="0"/>
          <w:szCs w:val="21"/>
          <w:lang w:val="zh-CN"/>
        </w:rPr>
        <w:t>对升降温方式未进行具体规定，仅规定要求</w:t>
      </w:r>
      <w:r>
        <w:rPr>
          <w:rFonts w:eastAsia="MS Mincho"/>
          <w:kern w:val="0"/>
          <w:szCs w:val="21"/>
          <w:lang w:val="zh-CN"/>
        </w:rPr>
        <w:t> </w:t>
      </w:r>
      <w:r>
        <w:rPr>
          <w:kern w:val="0"/>
          <w:szCs w:val="21"/>
        </w:rPr>
        <w:t>3</w:t>
      </w:r>
      <w:r>
        <w:rPr>
          <w:rFonts w:eastAsia="MS Mincho"/>
          <w:kern w:val="0"/>
          <w:szCs w:val="21"/>
          <w:lang w:val="zh-CN"/>
        </w:rPr>
        <w:t> </w:t>
      </w:r>
      <w:r>
        <w:rPr>
          <w:kern w:val="0"/>
          <w:szCs w:val="21"/>
        </w:rPr>
        <w:t>h</w:t>
      </w:r>
      <w:r>
        <w:rPr>
          <w:rFonts w:hint="eastAsia"/>
          <w:kern w:val="0"/>
          <w:szCs w:val="21"/>
          <w:lang w:val="zh-CN"/>
        </w:rPr>
        <w:t>内达到试验条件，且要求整个试验过程（包括升降温）中试验箱内温湿度均不得超过试验条件温湿度上限值。</w:t>
      </w:r>
    </w:p>
    <w:p>
      <w:pPr>
        <w:autoSpaceDE w:val="0"/>
        <w:autoSpaceDN w:val="0"/>
        <w:adjustRightInd w:val="0"/>
        <w:spacing w:before="468" w:beforeLines="150" w:after="312" w:afterLines="100"/>
        <w:jc w:val="left"/>
        <w:outlineLvl w:val="1"/>
        <w:rPr>
          <w:rFonts w:ascii="黑体" w:hAnsi="黑体" w:eastAsia="黑体" w:cs="黑体"/>
          <w:kern w:val="0"/>
          <w:szCs w:val="21"/>
          <w:lang w:val="zh-CN"/>
        </w:rPr>
      </w:pPr>
      <w:bookmarkStart w:id="186" w:name="_Toc23595"/>
      <w:bookmarkStart w:id="187" w:name="_Toc109033116"/>
      <w:bookmarkStart w:id="188" w:name="_Toc6224"/>
      <w:bookmarkStart w:id="189" w:name="_Toc13931"/>
      <w:bookmarkStart w:id="190" w:name="_Toc24755"/>
      <w:bookmarkStart w:id="191" w:name="_Toc12214"/>
      <w:bookmarkStart w:id="192" w:name="_Toc14673"/>
      <w:bookmarkStart w:id="193" w:name="_Toc23412"/>
      <w:bookmarkStart w:id="194" w:name="_Toc22646"/>
      <w:r>
        <w:rPr>
          <w:rFonts w:ascii="黑体" w:hAnsi="黑体" w:eastAsia="黑体" w:cs="黑体"/>
          <w:kern w:val="0"/>
          <w:szCs w:val="21"/>
          <w:lang w:val="zh-CN"/>
        </w:rPr>
        <w:t xml:space="preserve">A.3 </w:t>
      </w:r>
      <w:r>
        <w:rPr>
          <w:rFonts w:hint="eastAsia" w:ascii="黑体" w:hAnsi="黑体" w:eastAsia="黑体" w:cs="黑体"/>
          <w:kern w:val="0"/>
          <w:szCs w:val="21"/>
          <w:lang w:val="zh-CN"/>
        </w:rPr>
        <w:t>恒定湿热试验中样品表面出现凝露现象的原因分析</w:t>
      </w:r>
      <w:bookmarkEnd w:id="186"/>
      <w:bookmarkEnd w:id="187"/>
      <w:bookmarkEnd w:id="188"/>
      <w:bookmarkEnd w:id="189"/>
      <w:bookmarkEnd w:id="190"/>
      <w:bookmarkEnd w:id="191"/>
      <w:bookmarkEnd w:id="192"/>
      <w:bookmarkEnd w:id="193"/>
      <w:bookmarkEnd w:id="194"/>
    </w:p>
    <w:p>
      <w:pPr>
        <w:autoSpaceDE w:val="0"/>
        <w:autoSpaceDN w:val="0"/>
        <w:adjustRightInd w:val="0"/>
        <w:spacing w:line="348" w:lineRule="auto"/>
        <w:jc w:val="left"/>
        <w:rPr>
          <w:kern w:val="0"/>
          <w:szCs w:val="21"/>
          <w:lang w:val="zh-CN"/>
        </w:rPr>
      </w:pPr>
      <w:r>
        <w:rPr>
          <w:rFonts w:ascii="黑体" w:hAnsi="Arial" w:eastAsia="黑体" w:cs="黑体"/>
          <w:kern w:val="0"/>
          <w:szCs w:val="21"/>
          <w:lang w:val="zh-CN"/>
        </w:rPr>
        <w:t>A</w:t>
      </w:r>
      <w:r>
        <w:rPr>
          <w:rFonts w:hint="eastAsia" w:ascii="黑体" w:hAnsi="Arial" w:eastAsia="黑体" w:cs="黑体"/>
          <w:kern w:val="0"/>
          <w:szCs w:val="21"/>
        </w:rPr>
        <w:t>.</w:t>
      </w:r>
      <w:r>
        <w:rPr>
          <w:rFonts w:ascii="黑体" w:hAnsi="Arial" w:eastAsia="黑体" w:cs="黑体"/>
          <w:kern w:val="0"/>
          <w:szCs w:val="21"/>
          <w:lang w:val="zh-CN"/>
        </w:rPr>
        <w:t>3.1</w:t>
      </w:r>
      <w:r>
        <w:rPr>
          <w:rFonts w:hint="eastAsia" w:ascii="黑体" w:hAnsi="Arial" w:eastAsia="黑体" w:cs="黑体"/>
          <w:kern w:val="0"/>
          <w:szCs w:val="21"/>
        </w:rPr>
        <w:t xml:space="preserve"> </w:t>
      </w:r>
      <w:r>
        <w:rPr>
          <w:rFonts w:hint="eastAsia"/>
          <w:kern w:val="0"/>
          <w:szCs w:val="21"/>
          <w:lang w:val="zh-CN"/>
        </w:rPr>
        <w:t>试验箱中环境温度升高时，样品与周围空气通过热交换而升温，样品内部温度会比表面温度低，样品表面温度会比周围空气中稍低。恒温恒湿状态下，试验箱内每个区域温度一定，该区域空气中所能空气遇冷导致温度下降，降温以后该温度对应的饱和水蒸汽含量值低于当前空气中的水蒸汽含量时，多余的水蒸汽便不能以气态继续存在而变成液态。在试验箱温湿度均匀上升的过程中，空气中水蒸汽处于未饱和状态；随着温度的升高，样品表面温度与周围空气温差不断增加，空气中湿度上升到一定程度，可能导致试验箱内水汽含量高于样品表面温度对应的空气中饱和水蒸汽的含量时，那么就会在样品上产生凝露。</w:t>
      </w:r>
    </w:p>
    <w:p>
      <w:pPr>
        <w:autoSpaceDE w:val="0"/>
        <w:autoSpaceDN w:val="0"/>
        <w:adjustRightInd w:val="0"/>
        <w:spacing w:line="348" w:lineRule="auto"/>
        <w:jc w:val="left"/>
        <w:rPr>
          <w:rFonts w:ascii="宋体" w:hAnsi="Arial" w:cs="宋体"/>
          <w:kern w:val="0"/>
          <w:szCs w:val="21"/>
          <w:lang w:val="zh-CN"/>
        </w:rPr>
      </w:pPr>
      <w:r>
        <w:rPr>
          <w:rFonts w:ascii="黑体" w:hAnsi="Arial" w:eastAsia="黑体" w:cs="黑体"/>
          <w:kern w:val="0"/>
          <w:szCs w:val="21"/>
          <w:lang w:val="zh-CN"/>
        </w:rPr>
        <w:t>A.3.2</w:t>
      </w:r>
      <w:r>
        <w:rPr>
          <w:rFonts w:ascii="宋体" w:hAnsi="Arial" w:cs="宋体"/>
          <w:kern w:val="0"/>
          <w:szCs w:val="21"/>
          <w:lang w:val="zh-CN"/>
        </w:rPr>
        <w:t xml:space="preserve"> </w:t>
      </w:r>
      <w:r>
        <w:rPr>
          <w:rFonts w:hint="eastAsia"/>
          <w:kern w:val="0"/>
          <w:szCs w:val="21"/>
          <w:lang w:val="zh-CN"/>
        </w:rPr>
        <w:t>样品质量越大，表面积与质量比值越小，热交换会越慢，导致样品与周围空气温差越大，越易产生凝露；升温越快，也会导致样品与周围空气温差越大；另外湿度越高，空气中水蒸汽越重，自然越易产生凝露。</w:t>
      </w:r>
    </w:p>
    <w:p>
      <w:pPr>
        <w:autoSpaceDE w:val="0"/>
        <w:autoSpaceDN w:val="0"/>
        <w:adjustRightInd w:val="0"/>
        <w:spacing w:before="468" w:beforeLines="150" w:after="312" w:afterLines="100"/>
        <w:jc w:val="left"/>
        <w:outlineLvl w:val="1"/>
        <w:rPr>
          <w:rFonts w:ascii="黑体" w:hAnsi="黑体" w:eastAsia="黑体" w:cs="黑体"/>
          <w:kern w:val="0"/>
          <w:szCs w:val="21"/>
          <w:lang w:val="zh-CN"/>
        </w:rPr>
      </w:pPr>
      <w:bookmarkStart w:id="195" w:name="_Toc31505"/>
      <w:bookmarkStart w:id="196" w:name="_Toc28619"/>
      <w:bookmarkStart w:id="197" w:name="_Toc1106"/>
      <w:bookmarkStart w:id="198" w:name="_Toc11542"/>
      <w:bookmarkStart w:id="199" w:name="_Toc17374"/>
      <w:bookmarkStart w:id="200" w:name="_Toc109033117"/>
      <w:bookmarkStart w:id="201" w:name="_Toc11861"/>
      <w:bookmarkStart w:id="202" w:name="_Toc4623"/>
      <w:r>
        <w:rPr>
          <w:rFonts w:ascii="黑体" w:hAnsi="黑体" w:eastAsia="黑体" w:cs="黑体"/>
          <w:kern w:val="0"/>
          <w:szCs w:val="21"/>
          <w:lang w:val="zh-CN"/>
        </w:rPr>
        <w:t xml:space="preserve">A.4 </w:t>
      </w:r>
      <w:r>
        <w:rPr>
          <w:rFonts w:hint="eastAsia" w:ascii="黑体" w:hAnsi="黑体" w:eastAsia="黑体" w:cs="黑体"/>
          <w:kern w:val="0"/>
          <w:szCs w:val="21"/>
          <w:lang w:val="zh-CN"/>
        </w:rPr>
        <w:t>试验数据</w:t>
      </w:r>
      <w:bookmarkEnd w:id="195"/>
      <w:bookmarkEnd w:id="196"/>
      <w:bookmarkEnd w:id="197"/>
      <w:bookmarkEnd w:id="198"/>
      <w:bookmarkEnd w:id="199"/>
      <w:bookmarkEnd w:id="200"/>
      <w:bookmarkEnd w:id="201"/>
      <w:bookmarkEnd w:id="202"/>
    </w:p>
    <w:p>
      <w:pPr>
        <w:autoSpaceDE w:val="0"/>
        <w:autoSpaceDN w:val="0"/>
        <w:adjustRightInd w:val="0"/>
        <w:spacing w:line="336" w:lineRule="auto"/>
        <w:ind w:firstLine="420"/>
        <w:jc w:val="left"/>
        <w:rPr>
          <w:rFonts w:ascii="宋体" w:hAnsi="宋体" w:cs="宋体"/>
          <w:kern w:val="0"/>
          <w:sz w:val="18"/>
          <w:szCs w:val="18"/>
          <w:lang w:val="zh-CN"/>
        </w:rPr>
      </w:pPr>
      <w:r>
        <w:rPr>
          <w:rFonts w:hint="eastAsia" w:ascii="宋体" w:hAnsi="宋体" w:cs="宋体"/>
          <w:kern w:val="0"/>
          <w:szCs w:val="21"/>
          <w:lang w:val="zh-CN"/>
        </w:rPr>
        <w:t>用两种规格的样品通过不同的叠加组合出八种不同质量的试验样品进行普通恒定湿热试验和</w:t>
      </w:r>
      <w:r>
        <w:rPr>
          <w:rFonts w:hint="eastAsia" w:ascii="宋体" w:hAnsi="宋体" w:cs="宋体"/>
          <w:kern w:val="0"/>
          <w:szCs w:val="21"/>
        </w:rPr>
        <w:t>HAST</w:t>
      </w:r>
      <w:r>
        <w:rPr>
          <w:rFonts w:hint="eastAsia" w:ascii="宋体" w:hAnsi="宋体" w:cs="宋体"/>
          <w:kern w:val="0"/>
          <w:szCs w:val="21"/>
          <w:lang w:val="zh-CN"/>
        </w:rPr>
        <w:t>试验，通过调整普通恒定湿热试验中升温速率和降低到达试验温度前的湿度，观察不同质量样品在不同升温控制方式下是否会产生凝露。凝露确认方式为通过普通恒定湿热试验箱观察窗观察到达试验条件过程中样品上何时产生凝露，以及</w:t>
      </w:r>
      <w:r>
        <w:rPr>
          <w:rFonts w:hint="eastAsia" w:ascii="宋体" w:hAnsi="宋体" w:cs="宋体"/>
          <w:kern w:val="0"/>
          <w:szCs w:val="21"/>
        </w:rPr>
        <w:t>HAST</w:t>
      </w:r>
      <w:r>
        <w:rPr>
          <w:rFonts w:hint="eastAsia" w:ascii="宋体" w:hAnsi="宋体" w:cs="宋体"/>
          <w:kern w:val="0"/>
          <w:szCs w:val="21"/>
          <w:lang w:val="zh-CN"/>
        </w:rPr>
        <w:t>试验后样品表面是否有水渍残留痕迹。试验结果见下表 </w:t>
      </w:r>
      <w:r>
        <w:rPr>
          <w:rFonts w:hint="eastAsia" w:ascii="宋体" w:hAnsi="宋体" w:cs="宋体"/>
          <w:kern w:val="0"/>
          <w:szCs w:val="21"/>
        </w:rPr>
        <w:t>A.1</w:t>
      </w:r>
      <w:r>
        <w:rPr>
          <w:rFonts w:hint="eastAsia" w:ascii="宋体" w:hAnsi="宋体" w:cs="宋体"/>
          <w:kern w:val="0"/>
          <w:sz w:val="18"/>
          <w:szCs w:val="18"/>
          <w:lang w:val="zh-CN"/>
        </w:rPr>
        <w:t>。</w:t>
      </w:r>
    </w:p>
    <w:tbl>
      <w:tblPr>
        <w:tblStyle w:val="37"/>
        <w:tblW w:w="0" w:type="auto"/>
        <w:jc w:val="center"/>
        <w:tblLayout w:type="fixed"/>
        <w:tblCellMar>
          <w:top w:w="0" w:type="dxa"/>
          <w:left w:w="108" w:type="dxa"/>
          <w:bottom w:w="0" w:type="dxa"/>
          <w:right w:w="108" w:type="dxa"/>
        </w:tblCellMar>
      </w:tblPr>
      <w:tblGrid>
        <w:gridCol w:w="1357"/>
        <w:gridCol w:w="2088"/>
        <w:gridCol w:w="1116"/>
        <w:gridCol w:w="614"/>
        <w:gridCol w:w="614"/>
        <w:gridCol w:w="614"/>
        <w:gridCol w:w="679"/>
        <w:gridCol w:w="632"/>
        <w:gridCol w:w="626"/>
        <w:gridCol w:w="653"/>
        <w:gridCol w:w="577"/>
      </w:tblGrid>
      <w:tr>
        <w:tblPrEx>
          <w:tblCellMar>
            <w:top w:w="0" w:type="dxa"/>
            <w:left w:w="108" w:type="dxa"/>
            <w:bottom w:w="0" w:type="dxa"/>
            <w:right w:w="108" w:type="dxa"/>
          </w:tblCellMar>
        </w:tblPrEx>
        <w:trPr>
          <w:trHeight w:val="469" w:hRule="atLeast"/>
          <w:jc w:val="center"/>
        </w:trPr>
        <w:tc>
          <w:tcPr>
            <w:tcW w:w="9570" w:type="dxa"/>
            <w:gridSpan w:val="11"/>
            <w:tcBorders>
              <w:top w:val="nil"/>
              <w:left w:val="nil"/>
              <w:bottom w:val="single" w:color="000000" w:sz="2" w:space="0"/>
              <w:right w:val="nil"/>
            </w:tcBorders>
            <w:shd w:val="clear" w:color="000000" w:fill="FFFFFF"/>
            <w:vAlign w:val="center"/>
          </w:tcPr>
          <w:p>
            <w:pPr>
              <w:autoSpaceDE w:val="0"/>
              <w:autoSpaceDN w:val="0"/>
              <w:adjustRightInd w:val="0"/>
              <w:spacing w:before="156" w:beforeLines="50" w:after="156" w:afterLines="50" w:line="360" w:lineRule="auto"/>
              <w:ind w:firstLine="210" w:firstLineChars="100"/>
              <w:rPr>
                <w:rFonts w:ascii="黑体" w:hAnsi="黑体" w:eastAsia="黑体" w:cs="宋体"/>
                <w:kern w:val="0"/>
                <w:sz w:val="22"/>
                <w:szCs w:val="22"/>
                <w:lang w:val="zh-CN"/>
              </w:rPr>
            </w:pPr>
            <w:r>
              <w:rPr>
                <w:rFonts w:hint="eastAsia" w:ascii="黑体" w:hAnsi="黑体" w:eastAsia="黑体" w:cs="黑体"/>
                <w:kern w:val="0"/>
                <w:szCs w:val="21"/>
                <w:lang w:val="zh-CN"/>
              </w:rPr>
              <w:t>表</w:t>
            </w:r>
            <w:r>
              <w:rPr>
                <w:rFonts w:ascii="黑体" w:hAnsi="黑体" w:eastAsia="黑体" w:cs="黑体"/>
                <w:kern w:val="0"/>
                <w:szCs w:val="21"/>
                <w:lang w:val="zh-CN"/>
              </w:rPr>
              <w:t xml:space="preserve">A.1 </w:t>
            </w:r>
            <w:r>
              <w:rPr>
                <w:rFonts w:hint="eastAsia" w:ascii="黑体" w:hAnsi="黑体" w:eastAsia="黑体" w:cs="黑体"/>
                <w:kern w:val="0"/>
                <w:szCs w:val="21"/>
                <w:lang w:val="zh-CN"/>
              </w:rPr>
              <w:t>八种不同质量的烧结钕铁硼永磁体在不同升温方式的恒定湿热试验中出现凝露的情况统计</w:t>
            </w:r>
          </w:p>
        </w:tc>
      </w:tr>
      <w:tr>
        <w:tblPrEx>
          <w:tblCellMar>
            <w:top w:w="0" w:type="dxa"/>
            <w:left w:w="108" w:type="dxa"/>
            <w:bottom w:w="0" w:type="dxa"/>
            <w:right w:w="108" w:type="dxa"/>
          </w:tblCellMar>
        </w:tblPrEx>
        <w:trPr>
          <w:trHeight w:val="929" w:hRule="atLeast"/>
          <w:jc w:val="center"/>
        </w:trPr>
        <w:tc>
          <w:tcPr>
            <w:tcW w:w="135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凝露与温湿度关系说明</w:t>
            </w:r>
          </w:p>
        </w:tc>
        <w:tc>
          <w:tcPr>
            <w:tcW w:w="20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rPr>
                <w:rFonts w:cs="黑体" w:asciiTheme="minorEastAsia" w:hAnsiTheme="minorEastAsia" w:eastAsiaTheme="minorEastAsia"/>
                <w:kern w:val="0"/>
                <w:sz w:val="18"/>
                <w:szCs w:val="18"/>
                <w:lang w:val="zh-CN"/>
              </w:rPr>
            </w:pPr>
            <w:r>
              <w:rPr>
                <w:rFonts w:asciiTheme="minorEastAsia" w:hAnsiTheme="minorEastAsia" w:eastAsiaTheme="minorEastAsia"/>
                <w:sz w:val="18"/>
                <w:szCs w:val="18"/>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3175</wp:posOffset>
                      </wp:positionV>
                      <wp:extent cx="737235" cy="595630"/>
                      <wp:effectExtent l="3175" t="3810" r="2540" b="10160"/>
                      <wp:wrapNone/>
                      <wp:docPr id="5" name="直接连接符 5"/>
                      <wp:cNvGraphicFramePr/>
                      <a:graphic xmlns:a="http://schemas.openxmlformats.org/drawingml/2006/main">
                        <a:graphicData uri="http://schemas.microsoft.com/office/word/2010/wordprocessingShape">
                          <wps:wsp>
                            <wps:cNvCnPr/>
                            <wps:spPr>
                              <a:xfrm flipH="1" flipV="1">
                                <a:off x="2280285" y="1336040"/>
                                <a:ext cx="737235" cy="595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0.8pt;margin-top:0.25pt;height:46.9pt;width:58.05pt;z-index:251660288;mso-width-relative:page;mso-height-relative:page;" filled="f" stroked="t" coordsize="21600,21600" o:gfxdata="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XWz2zUAAAABgEAAA8AAAAAAAAAAQAg&#10;AAAAIgAAAGRycy9kb3ducmV2LnhtbFBLAQIUABQAAAAIAIdO4kDNa2NiEgIAAPcDAAAOAAAAAAAA&#10;AAEAIAAAACMBAABkcnMvZTJvRG9jLnhtbFBLBQYAAAAABgAGAFkBAACnBQAAAAA=&#10;">
                      <v:fill on="f" focussize="0,0"/>
                      <v:stroke color="#4A7EBB [3204]" joinstyle="round"/>
                      <v:imagedata o:title=""/>
                      <o:lock v:ext="edit" aspectratio="f"/>
                    </v:line>
                  </w:pict>
                </mc:Fallback>
              </mc:AlternateContent>
            </w:r>
            <w:r>
              <w:rPr>
                <w:rFonts w:hint="eastAsia" w:cs="黑体" w:asciiTheme="minorEastAsia" w:hAnsiTheme="minorEastAsia" w:eastAsiaTheme="minorEastAsia"/>
                <w:kern w:val="0"/>
                <w:sz w:val="18"/>
                <w:szCs w:val="18"/>
                <w:lang w:val="zh-CN"/>
              </w:rPr>
              <w:t>凝露</w:t>
            </w:r>
            <w:r>
              <w:rPr>
                <w:rFonts w:cs="黑体" w:asciiTheme="minorEastAsia" w:hAnsiTheme="minorEastAsia" w:eastAsiaTheme="minorEastAsia"/>
                <w:kern w:val="0"/>
                <w:sz w:val="18"/>
                <w:szCs w:val="18"/>
                <w:lang w:val="zh-CN"/>
              </w:rPr>
              <w:t>/</w:t>
            </w:r>
            <w:r>
              <w:rPr>
                <w:rFonts w:hint="eastAsia" w:cs="黑体" w:asciiTheme="minorEastAsia" w:hAnsiTheme="minorEastAsia" w:eastAsiaTheme="minorEastAsia"/>
                <w:kern w:val="0"/>
                <w:sz w:val="18"/>
                <w:szCs w:val="18"/>
                <w:lang w:val="zh-CN"/>
              </w:rPr>
              <w:t>水渍</w:t>
            </w:r>
            <w:r>
              <w:rPr>
                <w:rFonts w:cs="黑体" w:asciiTheme="minorEastAsia" w:hAnsiTheme="minorEastAsia" w:eastAsiaTheme="minorEastAsia"/>
                <w:kern w:val="0"/>
                <w:sz w:val="18"/>
                <w:szCs w:val="18"/>
                <w:lang w:val="zh-CN"/>
              </w:rPr>
              <w:t xml:space="preserve">     </w:t>
            </w:r>
            <w:r>
              <w:rPr>
                <w:rFonts w:hint="eastAsia" w:cs="黑体" w:asciiTheme="minorEastAsia" w:hAnsiTheme="minorEastAsia" w:eastAsiaTheme="minorEastAsia"/>
                <w:kern w:val="0"/>
                <w:sz w:val="18"/>
                <w:szCs w:val="18"/>
                <w:lang w:val="zh-CN"/>
              </w:rPr>
              <w:t>样品质</w:t>
            </w:r>
          </w:p>
          <w:p>
            <w:pPr>
              <w:autoSpaceDE w:val="0"/>
              <w:autoSpaceDN w:val="0"/>
              <w:adjustRightInd w:val="0"/>
              <w:rPr>
                <w:rFonts w:cs="黑体" w:asciiTheme="minorEastAsia" w:hAnsiTheme="minorEastAsia" w:eastAsiaTheme="minorEastAsia"/>
                <w:kern w:val="0"/>
                <w:sz w:val="18"/>
                <w:szCs w:val="18"/>
                <w:lang w:val="zh-CN"/>
              </w:rPr>
            </w:pPr>
            <w:r>
              <w:rPr>
                <w:rFonts w:asciiTheme="minorEastAsia" w:hAnsiTheme="minorEastAsia" w:eastAsiaTheme="minorEastAsia"/>
                <w:sz w:val="18"/>
                <w:szCs w:val="18"/>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85725</wp:posOffset>
                      </wp:positionV>
                      <wp:extent cx="1301750" cy="320040"/>
                      <wp:effectExtent l="1270" t="4445" r="11430" b="18415"/>
                      <wp:wrapNone/>
                      <wp:docPr id="6" name="直接连接符 6"/>
                      <wp:cNvGraphicFramePr/>
                      <a:graphic xmlns:a="http://schemas.openxmlformats.org/drawingml/2006/main">
                        <a:graphicData uri="http://schemas.microsoft.com/office/word/2010/wordprocessingShape">
                          <wps:wsp>
                            <wps:cNvCnPr/>
                            <wps:spPr>
                              <a:xfrm flipH="1" flipV="1">
                                <a:off x="1692910" y="1633855"/>
                                <a:ext cx="1301750" cy="320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25pt;margin-top:6.75pt;height:25.2pt;width:102.5pt;z-index:251664384;mso-width-relative:page;mso-height-relative:page;" filled="f" stroked="t" coordsize="21600,21600" o:gfxdata="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wuMh1gAAAAgBAAAPAAAAAAAA&#10;AAEAIAAAACIAAABkcnMvZG93bnJldi54bWxQSwECFAAUAAAACACHTuJAWwDecxQCAAD4AwAADgAA&#10;AAAAAAABACAAAAAlAQAAZHJzL2Uyb0RvYy54bWxQSwUGAAAAAAYABgBZAQAAqwUAAAAA&#10;">
                      <v:fill on="f" focussize="0,0"/>
                      <v:stroke color="#4A7EBB [3204]" joinstyle="round"/>
                      <v:imagedata o:title=""/>
                      <o:lock v:ext="edit" aspectratio="f"/>
                    </v:line>
                  </w:pict>
                </mc:Fallback>
              </mc:AlternateContent>
            </w:r>
            <w:r>
              <w:rPr>
                <w:rFonts w:cs="黑体" w:asciiTheme="minorEastAsia" w:hAnsiTheme="minorEastAsia" w:eastAsiaTheme="minorEastAsia"/>
                <w:kern w:val="0"/>
                <w:sz w:val="18"/>
                <w:szCs w:val="18"/>
                <w:lang w:val="zh-CN"/>
              </w:rPr>
              <w:t xml:space="preserve">      </w:t>
            </w:r>
            <w:r>
              <w:rPr>
                <w:rFonts w:hint="eastAsia" w:cs="黑体" w:asciiTheme="minorEastAsia" w:hAnsiTheme="minorEastAsia" w:eastAsiaTheme="minorEastAsia"/>
                <w:kern w:val="0"/>
                <w:sz w:val="18"/>
                <w:szCs w:val="18"/>
                <w:lang w:val="zh-CN"/>
              </w:rPr>
              <w:t>有无</w:t>
            </w:r>
            <w:r>
              <w:rPr>
                <w:rFonts w:cs="黑体" w:asciiTheme="minorEastAsia" w:hAnsiTheme="minorEastAsia" w:eastAsiaTheme="minorEastAsia"/>
                <w:kern w:val="0"/>
                <w:sz w:val="18"/>
                <w:szCs w:val="18"/>
                <w:lang w:val="zh-CN"/>
              </w:rPr>
              <w:t xml:space="preserve">       </w:t>
            </w:r>
            <w:r>
              <w:rPr>
                <w:rFonts w:hint="eastAsia" w:cs="黑体" w:asciiTheme="minorEastAsia" w:hAnsiTheme="minorEastAsia" w:eastAsiaTheme="minorEastAsia"/>
                <w:kern w:val="0"/>
                <w:sz w:val="18"/>
                <w:szCs w:val="18"/>
                <w:lang w:val="zh-CN"/>
              </w:rPr>
              <w:t>量</w:t>
            </w:r>
          </w:p>
          <w:p>
            <w:pPr>
              <w:autoSpaceDE w:val="0"/>
              <w:autoSpaceDN w:val="0"/>
              <w:adjustRightInd w:val="0"/>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升温设置</w:t>
            </w:r>
          </w:p>
        </w:tc>
        <w:tc>
          <w:tcPr>
            <w:tcW w:w="11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升温速率（℃</w:t>
            </w:r>
            <w:r>
              <w:rPr>
                <w:rFonts w:cs="黑体" w:asciiTheme="minorEastAsia" w:hAnsiTheme="minorEastAsia" w:eastAsiaTheme="minorEastAsia"/>
                <w:kern w:val="0"/>
                <w:sz w:val="18"/>
                <w:szCs w:val="18"/>
                <w:lang w:val="zh-CN"/>
              </w:rPr>
              <w:t>/min</w:t>
            </w:r>
            <w:r>
              <w:rPr>
                <w:rFonts w:hint="eastAsia" w:cs="黑体" w:asciiTheme="minorEastAsia" w:hAnsiTheme="minorEastAsia" w:eastAsiaTheme="minorEastAsia"/>
                <w:kern w:val="0"/>
                <w:sz w:val="18"/>
                <w:szCs w:val="18"/>
                <w:lang w:val="zh-CN"/>
              </w:rPr>
              <w:t>）</w:t>
            </w:r>
          </w:p>
        </w:tc>
        <w:tc>
          <w:tcPr>
            <w:tcW w:w="61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960g</w:t>
            </w:r>
          </w:p>
        </w:tc>
        <w:tc>
          <w:tcPr>
            <w:tcW w:w="61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480g</w:t>
            </w:r>
          </w:p>
        </w:tc>
        <w:tc>
          <w:tcPr>
            <w:tcW w:w="61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234g</w:t>
            </w:r>
          </w:p>
        </w:tc>
        <w:tc>
          <w:tcPr>
            <w:tcW w:w="67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171g</w:t>
            </w:r>
          </w:p>
        </w:tc>
        <w:tc>
          <w:tcPr>
            <w:tcW w:w="6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128g</w:t>
            </w:r>
          </w:p>
        </w:tc>
        <w:tc>
          <w:tcPr>
            <w:tcW w:w="62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bCs/>
                <w:color w:val="FF0000"/>
                <w:kern w:val="0"/>
                <w:sz w:val="18"/>
                <w:szCs w:val="18"/>
                <w:lang w:val="zh-CN"/>
              </w:rPr>
              <w:t>106g</w:t>
            </w:r>
          </w:p>
        </w:tc>
        <w:tc>
          <w:tcPr>
            <w:tcW w:w="65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75g</w:t>
            </w:r>
          </w:p>
        </w:tc>
        <w:tc>
          <w:tcPr>
            <w:tcW w:w="5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53g</w:t>
            </w:r>
          </w:p>
        </w:tc>
      </w:tr>
      <w:tr>
        <w:tblPrEx>
          <w:tblCellMar>
            <w:top w:w="0" w:type="dxa"/>
            <w:left w:w="108" w:type="dxa"/>
            <w:bottom w:w="0" w:type="dxa"/>
            <w:right w:w="108" w:type="dxa"/>
          </w:tblCellMar>
        </w:tblPrEx>
        <w:trPr>
          <w:trHeight w:val="516" w:hRule="atLeast"/>
          <w:jc w:val="center"/>
        </w:trPr>
        <w:tc>
          <w:tcPr>
            <w:tcW w:w="135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left"/>
              <w:rPr>
                <w:rFonts w:cs="黑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升温越快，</w:t>
            </w:r>
          </w:p>
          <w:p>
            <w:pPr>
              <w:autoSpaceDE w:val="0"/>
              <w:autoSpaceDN w:val="0"/>
              <w:adjustRightInd w:val="0"/>
              <w:jc w:val="left"/>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rPr>
              <w:t>越</w:t>
            </w:r>
            <w:r>
              <w:rPr>
                <w:rFonts w:hint="eastAsia" w:cs="黑体" w:asciiTheme="minorEastAsia" w:hAnsiTheme="minorEastAsia" w:eastAsiaTheme="minorEastAsia"/>
                <w:kern w:val="0"/>
                <w:sz w:val="18"/>
                <w:szCs w:val="18"/>
                <w:lang w:val="zh-CN"/>
              </w:rPr>
              <w:t>易产生凝露</w:t>
            </w:r>
          </w:p>
        </w:tc>
        <w:tc>
          <w:tcPr>
            <w:tcW w:w="208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2.7h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0.35</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79"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32"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26"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kern w:val="0"/>
                <w:sz w:val="18"/>
                <w:szCs w:val="18"/>
                <w:lang w:val="zh-CN"/>
              </w:rPr>
              <w:t>无</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490" w:hRule="atLeast"/>
          <w:jc w:val="center"/>
        </w:trPr>
        <w:tc>
          <w:tcPr>
            <w:tcW w:w="13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after="200"/>
              <w:jc w:val="left"/>
              <w:rPr>
                <w:rFonts w:cs="宋体" w:asciiTheme="minorEastAsia" w:hAnsiTheme="minorEastAsia" w:eastAsiaTheme="minorEastAsia"/>
                <w:kern w:val="0"/>
                <w:sz w:val="18"/>
                <w:szCs w:val="18"/>
                <w:lang w:val="zh-CN"/>
              </w:rPr>
            </w:pPr>
          </w:p>
        </w:tc>
        <w:tc>
          <w:tcPr>
            <w:tcW w:w="208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1.8h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0.5</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32"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26"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kern w:val="0"/>
                <w:sz w:val="18"/>
                <w:szCs w:val="18"/>
                <w:lang w:val="zh-CN"/>
              </w:rPr>
              <w:t>无</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513" w:hRule="atLeast"/>
          <w:jc w:val="center"/>
        </w:trPr>
        <w:tc>
          <w:tcPr>
            <w:tcW w:w="13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after="200"/>
              <w:jc w:val="left"/>
              <w:rPr>
                <w:rFonts w:cs="宋体" w:asciiTheme="minorEastAsia" w:hAnsiTheme="minorEastAsia" w:eastAsiaTheme="minorEastAsia"/>
                <w:kern w:val="0"/>
                <w:sz w:val="18"/>
                <w:szCs w:val="18"/>
                <w:lang w:val="zh-CN"/>
              </w:rPr>
            </w:pPr>
          </w:p>
        </w:tc>
        <w:tc>
          <w:tcPr>
            <w:tcW w:w="208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1.2h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0.8</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3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FF0000"/>
                <w:kern w:val="0"/>
                <w:sz w:val="18"/>
                <w:szCs w:val="18"/>
                <w:lang w:val="zh-CN"/>
              </w:rPr>
              <w:t>有</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248" w:hRule="atLeast"/>
          <w:jc w:val="center"/>
        </w:trPr>
        <w:tc>
          <w:tcPr>
            <w:tcW w:w="13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after="200"/>
              <w:jc w:val="left"/>
              <w:rPr>
                <w:rFonts w:cs="宋体" w:asciiTheme="minorEastAsia" w:hAnsiTheme="minorEastAsia" w:eastAsiaTheme="minorEastAsia"/>
                <w:kern w:val="0"/>
                <w:sz w:val="18"/>
                <w:szCs w:val="18"/>
                <w:lang w:val="zh-CN"/>
              </w:rPr>
            </w:pPr>
          </w:p>
        </w:tc>
        <w:tc>
          <w:tcPr>
            <w:tcW w:w="208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1h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1.0</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3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6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FF0000"/>
                <w:kern w:val="0"/>
                <w:sz w:val="18"/>
                <w:szCs w:val="18"/>
                <w:lang w:val="zh-CN"/>
              </w:rPr>
              <w:t>有</w:t>
            </w:r>
          </w:p>
        </w:tc>
        <w:tc>
          <w:tcPr>
            <w:tcW w:w="65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color w:val="FF0000"/>
                <w:kern w:val="0"/>
                <w:sz w:val="18"/>
                <w:szCs w:val="18"/>
                <w:lang w:val="zh-CN"/>
              </w:rPr>
              <w:t>有</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764" w:hRule="atLeast"/>
          <w:jc w:val="center"/>
        </w:trPr>
        <w:tc>
          <w:tcPr>
            <w:tcW w:w="135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left"/>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温度上升过程中，湿度越高，越易产生凝露。</w:t>
            </w:r>
          </w:p>
        </w:tc>
        <w:tc>
          <w:tcPr>
            <w:tcW w:w="208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60%RH</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1h</w:t>
            </w:r>
          </w:p>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（湿度斜率控制）</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1.0</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32"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26"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kern w:val="0"/>
                <w:sz w:val="18"/>
                <w:szCs w:val="18"/>
                <w:lang w:val="zh-CN"/>
              </w:rPr>
              <w:t>无</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1" w:hRule="atLeast"/>
          <w:jc w:val="center"/>
        </w:trPr>
        <w:tc>
          <w:tcPr>
            <w:tcW w:w="13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after="200"/>
              <w:jc w:val="left"/>
              <w:rPr>
                <w:rFonts w:cs="宋体" w:asciiTheme="minorEastAsia" w:hAnsiTheme="minorEastAsia" w:eastAsiaTheme="minorEastAsia"/>
                <w:kern w:val="0"/>
                <w:sz w:val="18"/>
                <w:szCs w:val="18"/>
                <w:lang w:val="zh-CN"/>
              </w:rPr>
            </w:pPr>
          </w:p>
        </w:tc>
        <w:tc>
          <w:tcPr>
            <w:tcW w:w="208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60%RH</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60%RH</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1.3h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1.0</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32"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26"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kern w:val="0"/>
                <w:sz w:val="18"/>
                <w:szCs w:val="18"/>
                <w:lang w:val="zh-CN"/>
              </w:rPr>
              <w:t>无</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418" w:hRule="atLeast"/>
          <w:jc w:val="center"/>
        </w:trPr>
        <w:tc>
          <w:tcPr>
            <w:tcW w:w="13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after="200"/>
              <w:jc w:val="left"/>
              <w:rPr>
                <w:rFonts w:cs="宋体" w:asciiTheme="minorEastAsia" w:hAnsiTheme="minorEastAsia" w:eastAsiaTheme="minorEastAsia"/>
                <w:kern w:val="0"/>
                <w:sz w:val="18"/>
                <w:szCs w:val="18"/>
                <w:lang w:val="zh-CN"/>
              </w:rPr>
            </w:pPr>
          </w:p>
        </w:tc>
        <w:tc>
          <w:tcPr>
            <w:tcW w:w="208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OFF</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黑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OFF</w:t>
            </w:r>
            <w:r>
              <w:rPr>
                <w:rFonts w:hint="eastAsia" w:cs="黑体" w:asciiTheme="minorEastAsia" w:hAnsiTheme="minorEastAsia" w:eastAsiaTheme="minorEastAsia"/>
                <w:kern w:val="0"/>
                <w:sz w:val="18"/>
                <w:szCs w:val="18"/>
                <w:lang w:val="zh-CN"/>
              </w:rPr>
              <w:t>→</w:t>
            </w:r>
          </w:p>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85</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1.5h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1.0</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0070C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79"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32"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26"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kern w:val="0"/>
                <w:sz w:val="18"/>
                <w:szCs w:val="18"/>
                <w:lang w:val="zh-CN"/>
              </w:rPr>
              <w:t>无</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460" w:hRule="atLeast"/>
          <w:jc w:val="center"/>
        </w:trPr>
        <w:tc>
          <w:tcPr>
            <w:tcW w:w="344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left"/>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HAST</w:t>
            </w:r>
            <w:r>
              <w:rPr>
                <w:rFonts w:hint="eastAsia" w:cs="黑体" w:asciiTheme="minorEastAsia" w:hAnsiTheme="minorEastAsia" w:eastAsiaTheme="minorEastAsia"/>
                <w:kern w:val="0"/>
                <w:sz w:val="18"/>
                <w:szCs w:val="18"/>
                <w:lang w:val="zh-CN"/>
              </w:rPr>
              <w:t>试验</w:t>
            </w:r>
            <w:r>
              <w:rPr>
                <w:rFonts w:cs="黑体" w:asciiTheme="minorEastAsia" w:hAnsiTheme="minorEastAsia" w:eastAsiaTheme="minorEastAsia"/>
                <w:kern w:val="0"/>
                <w:sz w:val="18"/>
                <w:szCs w:val="18"/>
                <w:lang w:val="zh-CN"/>
              </w:rPr>
              <w:t xml:space="preserve"> (130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95%RH) 1h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5</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32"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26"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kern w:val="0"/>
                <w:sz w:val="18"/>
                <w:szCs w:val="18"/>
                <w:lang w:val="zh-CN"/>
              </w:rPr>
              <w:t>无</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472" w:hRule="atLeast"/>
          <w:jc w:val="center"/>
        </w:trPr>
        <w:tc>
          <w:tcPr>
            <w:tcW w:w="3445" w:type="dxa"/>
            <w:gridSpan w:val="2"/>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left"/>
              <w:rPr>
                <w:rFonts w:cs="宋体" w:asciiTheme="minorEastAsia" w:hAnsiTheme="minorEastAsia" w:eastAsiaTheme="minorEastAsia"/>
                <w:kern w:val="0"/>
                <w:sz w:val="18"/>
                <w:szCs w:val="18"/>
                <w:lang w:val="zh-CN"/>
              </w:rPr>
            </w:pPr>
            <w:r>
              <w:rPr>
                <w:rFonts w:cs="黑体" w:asciiTheme="minorEastAsia" w:hAnsiTheme="minorEastAsia" w:eastAsiaTheme="minorEastAsia"/>
                <w:kern w:val="0"/>
                <w:sz w:val="18"/>
                <w:szCs w:val="18"/>
                <w:lang w:val="zh-CN"/>
              </w:rPr>
              <w:t>HAST</w:t>
            </w:r>
            <w:r>
              <w:rPr>
                <w:rFonts w:hint="eastAsia" w:cs="黑体" w:asciiTheme="minorEastAsia" w:hAnsiTheme="minorEastAsia" w:eastAsiaTheme="minorEastAsia"/>
                <w:kern w:val="0"/>
                <w:sz w:val="18"/>
                <w:szCs w:val="18"/>
                <w:lang w:val="zh-CN"/>
              </w:rPr>
              <w:t>试验</w:t>
            </w:r>
            <w:r>
              <w:rPr>
                <w:rFonts w:cs="黑体" w:asciiTheme="minorEastAsia" w:hAnsiTheme="minorEastAsia" w:eastAsiaTheme="minorEastAsia"/>
                <w:kern w:val="0"/>
                <w:sz w:val="18"/>
                <w:szCs w:val="18"/>
                <w:lang w:val="zh-CN"/>
              </w:rPr>
              <w:t xml:space="preserve"> (130</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85%RH) 1h</w:t>
            </w:r>
          </w:p>
        </w:tc>
        <w:tc>
          <w:tcPr>
            <w:tcW w:w="111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5</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14"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79"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color w:val="7030A0"/>
                <w:kern w:val="0"/>
                <w:sz w:val="18"/>
                <w:szCs w:val="18"/>
                <w:lang w:val="zh-CN"/>
              </w:rPr>
              <w:t>有</w:t>
            </w:r>
          </w:p>
        </w:tc>
        <w:tc>
          <w:tcPr>
            <w:tcW w:w="632"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626"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bCs/>
                <w:kern w:val="0"/>
                <w:sz w:val="18"/>
                <w:szCs w:val="18"/>
                <w:lang w:val="zh-CN"/>
              </w:rPr>
              <w:t>无</w:t>
            </w:r>
          </w:p>
        </w:tc>
        <w:tc>
          <w:tcPr>
            <w:tcW w:w="653"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c>
          <w:tcPr>
            <w:tcW w:w="577" w:type="dxa"/>
            <w:tcBorders>
              <w:top w:val="single" w:color="000000" w:sz="2" w:space="0"/>
              <w:left w:val="single" w:color="000000" w:sz="2" w:space="0"/>
              <w:bottom w:val="single" w:color="000000" w:sz="2" w:space="0"/>
              <w:right w:val="single" w:color="000000" w:sz="2" w:space="0"/>
            </w:tcBorders>
            <w:shd w:val="clear" w:color="auto" w:fill="F1F1F1"/>
            <w:vAlign w:val="center"/>
          </w:tcPr>
          <w:p>
            <w:pPr>
              <w:autoSpaceDE w:val="0"/>
              <w:autoSpaceDN w:val="0"/>
              <w:adjustRightInd w:val="0"/>
              <w:jc w:val="center"/>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无</w:t>
            </w:r>
          </w:p>
        </w:tc>
      </w:tr>
      <w:tr>
        <w:tblPrEx>
          <w:tblCellMar>
            <w:top w:w="0" w:type="dxa"/>
            <w:left w:w="108" w:type="dxa"/>
            <w:bottom w:w="0" w:type="dxa"/>
            <w:right w:w="108" w:type="dxa"/>
          </w:tblCellMar>
        </w:tblPrEx>
        <w:trPr>
          <w:trHeight w:val="603" w:hRule="atLeast"/>
          <w:jc w:val="center"/>
        </w:trPr>
        <w:tc>
          <w:tcPr>
            <w:tcW w:w="344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凝露与样品质量关系说明</w:t>
            </w:r>
          </w:p>
        </w:tc>
        <w:tc>
          <w:tcPr>
            <w:tcW w:w="6125"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质量越大，越易产生凝露。</w:t>
            </w:r>
            <w:r>
              <w:rPr>
                <w:rFonts w:cs="黑体" w:asciiTheme="minorEastAsia" w:hAnsiTheme="minorEastAsia" w:eastAsiaTheme="minorEastAsia"/>
                <w:kern w:val="0"/>
                <w:sz w:val="18"/>
                <w:szCs w:val="18"/>
                <w:lang w:val="zh-CN"/>
              </w:rPr>
              <w:t xml:space="preserve">                                                       </w:t>
            </w:r>
            <w:r>
              <w:rPr>
                <w:rFonts w:hint="eastAsia" w:cs="黑体" w:asciiTheme="minorEastAsia" w:hAnsiTheme="minorEastAsia" w:eastAsiaTheme="minorEastAsia"/>
                <w:kern w:val="0"/>
                <w:sz w:val="18"/>
                <w:szCs w:val="18"/>
                <w:lang w:val="zh-CN"/>
              </w:rPr>
              <w:t>（尺寸为</w:t>
            </w:r>
            <w:r>
              <w:rPr>
                <w:rFonts w:cs="黑体" w:asciiTheme="minorEastAsia" w:hAnsiTheme="minorEastAsia" w:eastAsiaTheme="minorEastAsia"/>
                <w:kern w:val="0"/>
                <w:sz w:val="18"/>
                <w:szCs w:val="18"/>
                <w:lang w:val="zh-CN"/>
              </w:rPr>
              <w:t>48mm</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24mm</w:t>
            </w:r>
            <w:r>
              <w:rPr>
                <w:rFonts w:hint="eastAsia" w:cs="黑体" w:asciiTheme="minorEastAsia" w:hAnsiTheme="minorEastAsia" w:eastAsiaTheme="minorEastAsia"/>
                <w:kern w:val="0"/>
                <w:sz w:val="18"/>
                <w:szCs w:val="18"/>
                <w:lang w:val="zh-CN"/>
              </w:rPr>
              <w:t>×</w:t>
            </w:r>
            <w:r>
              <w:rPr>
                <w:rFonts w:cs="黑体" w:asciiTheme="minorEastAsia" w:hAnsiTheme="minorEastAsia" w:eastAsiaTheme="minorEastAsia"/>
                <w:kern w:val="0"/>
                <w:sz w:val="18"/>
                <w:szCs w:val="18"/>
                <w:lang w:val="zh-CN"/>
              </w:rPr>
              <w:t>12mm</w:t>
            </w:r>
            <w:r>
              <w:rPr>
                <w:rFonts w:hint="eastAsia" w:cs="黑体" w:asciiTheme="minorEastAsia" w:hAnsiTheme="minorEastAsia" w:eastAsiaTheme="minorEastAsia"/>
                <w:kern w:val="0"/>
                <w:sz w:val="18"/>
                <w:szCs w:val="18"/>
                <w:lang w:val="zh-CN"/>
              </w:rPr>
              <w:t>的</w:t>
            </w:r>
            <w:r>
              <w:rPr>
                <w:rFonts w:cs="黑体" w:asciiTheme="minorEastAsia" w:hAnsiTheme="minorEastAsia" w:eastAsiaTheme="minorEastAsia"/>
                <w:kern w:val="0"/>
                <w:sz w:val="18"/>
                <w:szCs w:val="18"/>
                <w:lang w:val="zh-CN"/>
              </w:rPr>
              <w:t>NdFeB</w:t>
            </w:r>
            <w:r>
              <w:rPr>
                <w:rFonts w:hint="eastAsia" w:cs="黑体" w:asciiTheme="minorEastAsia" w:hAnsiTheme="minorEastAsia" w:eastAsiaTheme="minorEastAsia"/>
                <w:kern w:val="0"/>
                <w:sz w:val="18"/>
                <w:szCs w:val="18"/>
                <w:lang w:val="zh-CN"/>
              </w:rPr>
              <w:t>磁体质量约</w:t>
            </w:r>
            <w:r>
              <w:rPr>
                <w:rFonts w:cs="黑体" w:asciiTheme="minorEastAsia" w:hAnsiTheme="minorEastAsia" w:eastAsiaTheme="minorEastAsia"/>
                <w:kern w:val="0"/>
                <w:sz w:val="18"/>
                <w:szCs w:val="18"/>
                <w:lang w:val="zh-CN"/>
              </w:rPr>
              <w:t>104g</w:t>
            </w:r>
            <w:r>
              <w:rPr>
                <w:rFonts w:hint="eastAsia" w:cs="黑体" w:asciiTheme="minorEastAsia" w:hAnsiTheme="minorEastAsia" w:eastAsiaTheme="minorEastAsia"/>
                <w:kern w:val="0"/>
                <w:sz w:val="18"/>
                <w:szCs w:val="18"/>
                <w:lang w:val="zh-CN"/>
              </w:rPr>
              <w:t>，通常绝大部分钕铁硼试验样品质量小于</w:t>
            </w:r>
            <w:r>
              <w:rPr>
                <w:rFonts w:cs="黑体" w:asciiTheme="minorEastAsia" w:hAnsiTheme="minorEastAsia" w:eastAsiaTheme="minorEastAsia"/>
                <w:kern w:val="0"/>
                <w:sz w:val="18"/>
                <w:szCs w:val="18"/>
                <w:lang w:val="zh-CN"/>
              </w:rPr>
              <w:t>100g</w:t>
            </w:r>
            <w:r>
              <w:rPr>
                <w:rFonts w:hint="eastAsia" w:cs="黑体" w:asciiTheme="minorEastAsia" w:hAnsiTheme="minorEastAsia" w:eastAsiaTheme="minorEastAsia"/>
                <w:kern w:val="0"/>
                <w:sz w:val="18"/>
                <w:szCs w:val="18"/>
                <w:lang w:val="zh-CN"/>
              </w:rPr>
              <w:t>）</w:t>
            </w:r>
          </w:p>
        </w:tc>
      </w:tr>
      <w:tr>
        <w:tblPrEx>
          <w:tblCellMar>
            <w:top w:w="0" w:type="dxa"/>
            <w:left w:w="108" w:type="dxa"/>
            <w:bottom w:w="0" w:type="dxa"/>
            <w:right w:w="108" w:type="dxa"/>
          </w:tblCellMar>
        </w:tblPrEx>
        <w:trPr>
          <w:trHeight w:val="466" w:hRule="atLeast"/>
          <w:jc w:val="center"/>
        </w:trPr>
        <w:tc>
          <w:tcPr>
            <w:tcW w:w="9570"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cs="宋体" w:asciiTheme="minorEastAsia" w:hAnsiTheme="minorEastAsia" w:eastAsiaTheme="minorEastAsia"/>
                <w:kern w:val="0"/>
                <w:sz w:val="18"/>
                <w:szCs w:val="18"/>
                <w:lang w:val="zh-CN"/>
              </w:rPr>
            </w:pPr>
            <w:r>
              <w:rPr>
                <w:rFonts w:hint="eastAsia" w:cs="黑体" w:asciiTheme="minorEastAsia" w:hAnsiTheme="minorEastAsia" w:eastAsiaTheme="minorEastAsia"/>
                <w:kern w:val="0"/>
                <w:sz w:val="18"/>
                <w:szCs w:val="18"/>
                <w:lang w:val="zh-CN"/>
              </w:rPr>
              <w:t>以上试验温度设置为斜率控制，湿度除特别标注外均为非斜率控制。</w:t>
            </w:r>
          </w:p>
        </w:tc>
      </w:tr>
    </w:tbl>
    <w:p>
      <w:pPr>
        <w:autoSpaceDE w:val="0"/>
        <w:autoSpaceDN w:val="0"/>
        <w:adjustRightInd w:val="0"/>
        <w:spacing w:before="156" w:beforeLines="50" w:after="0" w:afterLines="0" w:line="360" w:lineRule="auto"/>
        <w:jc w:val="center"/>
        <w:rPr>
          <w:rFonts w:ascii="黑体" w:hAnsi="Arial" w:eastAsia="黑体" w:cs="黑体"/>
          <w:kern w:val="0"/>
          <w:szCs w:val="21"/>
          <w:lang w:val="zh-CN"/>
        </w:rPr>
      </w:pPr>
      <w:bookmarkStart w:id="203" w:name="_Toc31742"/>
      <w:bookmarkStart w:id="204" w:name="_Toc6318"/>
      <w:bookmarkStart w:id="205" w:name="_Toc19223"/>
      <w:bookmarkStart w:id="206" w:name="_Toc6611"/>
      <w:bookmarkStart w:id="207" w:name="_Toc32407"/>
      <w:r>
        <w:rPr>
          <w:rFonts w:hint="eastAsia" w:ascii="黑体" w:hAnsi="Arial" w:eastAsia="黑体" w:cs="黑体"/>
          <w:kern w:val="0"/>
          <w:szCs w:val="21"/>
          <w:lang w:val="zh-CN"/>
        </w:rPr>
        <w:t>表</w:t>
      </w:r>
      <w:r>
        <w:rPr>
          <w:rFonts w:ascii="黑体" w:hAnsi="Arial" w:eastAsia="黑体" w:cs="黑体"/>
          <w:kern w:val="0"/>
          <w:szCs w:val="21"/>
          <w:lang w:val="zh-CN"/>
        </w:rPr>
        <w:t xml:space="preserve">A.2 </w:t>
      </w:r>
      <w:r>
        <w:rPr>
          <w:rFonts w:hint="eastAsia" w:ascii="黑体" w:hAnsi="Arial" w:eastAsia="黑体" w:cs="黑体"/>
          <w:kern w:val="0"/>
          <w:szCs w:val="21"/>
          <w:lang w:val="zh-CN"/>
        </w:rPr>
        <w:t>普通恒定湿热试验升降温参考</w:t>
      </w:r>
      <w:bookmarkEnd w:id="203"/>
      <w:bookmarkEnd w:id="204"/>
      <w:bookmarkEnd w:id="205"/>
      <w:bookmarkEnd w:id="206"/>
      <w:bookmarkEnd w:id="207"/>
      <w:r>
        <w:rPr>
          <w:rFonts w:hint="eastAsia" w:ascii="黑体" w:hAnsi="Arial" w:eastAsia="黑体" w:cs="黑体"/>
          <w:kern w:val="0"/>
          <w:szCs w:val="21"/>
          <w:lang w:val="zh-CN"/>
        </w:rPr>
        <w:t>程序</w:t>
      </w:r>
    </w:p>
    <w:tbl>
      <w:tblPr>
        <w:tblStyle w:val="37"/>
        <w:tblW w:w="0" w:type="auto"/>
        <w:tblInd w:w="108" w:type="dxa"/>
        <w:tblLayout w:type="fixed"/>
        <w:tblCellMar>
          <w:top w:w="0" w:type="dxa"/>
          <w:left w:w="108" w:type="dxa"/>
          <w:bottom w:w="0" w:type="dxa"/>
          <w:right w:w="108" w:type="dxa"/>
        </w:tblCellMar>
      </w:tblPr>
      <w:tblGrid>
        <w:gridCol w:w="1238"/>
        <w:gridCol w:w="1062"/>
        <w:gridCol w:w="1494"/>
        <w:gridCol w:w="1134"/>
        <w:gridCol w:w="1544"/>
        <w:gridCol w:w="1407"/>
        <w:gridCol w:w="1407"/>
      </w:tblGrid>
      <w:tr>
        <w:tblPrEx>
          <w:tblCellMar>
            <w:top w:w="0" w:type="dxa"/>
            <w:left w:w="108" w:type="dxa"/>
            <w:bottom w:w="0" w:type="dxa"/>
            <w:right w:w="108" w:type="dxa"/>
          </w:tblCellMar>
        </w:tblPrEx>
        <w:trPr>
          <w:trHeight w:val="498" w:hRule="atLeast"/>
        </w:trPr>
        <w:tc>
          <w:tcPr>
            <w:tcW w:w="123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阶段</w:t>
            </w:r>
          </w:p>
        </w:tc>
        <w:tc>
          <w:tcPr>
            <w:tcW w:w="10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预设阶段</w:t>
            </w:r>
          </w:p>
        </w:tc>
        <w:tc>
          <w:tcPr>
            <w:tcW w:w="14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斜率升温阶段</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热平衡阶段</w:t>
            </w:r>
          </w:p>
        </w:tc>
        <w:tc>
          <w:tcPr>
            <w:tcW w:w="15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非斜率加湿阶段</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恒定湿热阶段</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斜率降温阶段</w:t>
            </w:r>
          </w:p>
        </w:tc>
      </w:tr>
      <w:tr>
        <w:tblPrEx>
          <w:tblCellMar>
            <w:top w:w="0" w:type="dxa"/>
            <w:left w:w="108" w:type="dxa"/>
            <w:bottom w:w="0" w:type="dxa"/>
            <w:right w:w="108" w:type="dxa"/>
          </w:tblCellMar>
        </w:tblPrEx>
        <w:trPr>
          <w:trHeight w:val="362" w:hRule="atLeast"/>
        </w:trPr>
        <w:tc>
          <w:tcPr>
            <w:tcW w:w="123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温度设定</w:t>
            </w:r>
          </w:p>
        </w:tc>
        <w:tc>
          <w:tcPr>
            <w:tcW w:w="10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30</w:t>
            </w:r>
            <w:r>
              <w:rPr>
                <w:rFonts w:hint="eastAsia" w:cs="宋体" w:asciiTheme="minorEastAsia" w:hAnsiTheme="minorEastAsia" w:eastAsiaTheme="minorEastAsia"/>
                <w:kern w:val="0"/>
                <w:sz w:val="18"/>
                <w:szCs w:val="18"/>
                <w:lang w:val="zh-CN"/>
              </w:rPr>
              <w:t>℃</w:t>
            </w:r>
          </w:p>
        </w:tc>
        <w:tc>
          <w:tcPr>
            <w:tcW w:w="14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85</w:t>
            </w:r>
            <w:r>
              <w:rPr>
                <w:rFonts w:hint="eastAsia" w:cs="宋体" w:asciiTheme="minorEastAsia" w:hAnsiTheme="minorEastAsia" w:eastAsiaTheme="minorEastAsia"/>
                <w:kern w:val="0"/>
                <w:sz w:val="18"/>
                <w:szCs w:val="18"/>
                <w:lang w:val="zh-CN"/>
              </w:rPr>
              <w:t>℃</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85</w:t>
            </w:r>
            <w:r>
              <w:rPr>
                <w:rFonts w:hint="eastAsia" w:cs="宋体" w:asciiTheme="minorEastAsia" w:hAnsiTheme="minorEastAsia" w:eastAsiaTheme="minorEastAsia"/>
                <w:kern w:val="0"/>
                <w:sz w:val="18"/>
                <w:szCs w:val="18"/>
                <w:lang w:val="zh-CN"/>
              </w:rPr>
              <w:t>℃</w:t>
            </w:r>
          </w:p>
        </w:tc>
        <w:tc>
          <w:tcPr>
            <w:tcW w:w="15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85</w:t>
            </w:r>
            <w:r>
              <w:rPr>
                <w:rFonts w:hint="eastAsia" w:cs="宋体" w:asciiTheme="minorEastAsia" w:hAnsiTheme="minorEastAsia" w:eastAsiaTheme="minorEastAsia"/>
                <w:kern w:val="0"/>
                <w:sz w:val="18"/>
                <w:szCs w:val="18"/>
                <w:lang w:val="zh-CN"/>
              </w:rPr>
              <w:t>℃</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85</w:t>
            </w:r>
            <w:r>
              <w:rPr>
                <w:rFonts w:hint="eastAsia" w:cs="宋体" w:asciiTheme="minorEastAsia" w:hAnsiTheme="minorEastAsia" w:eastAsiaTheme="minorEastAsia"/>
                <w:kern w:val="0"/>
                <w:sz w:val="18"/>
                <w:szCs w:val="18"/>
                <w:lang w:val="zh-CN"/>
              </w:rPr>
              <w:t>℃</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40</w:t>
            </w:r>
            <w:r>
              <w:rPr>
                <w:rFonts w:hint="eastAsia" w:cs="宋体" w:asciiTheme="minorEastAsia" w:hAnsiTheme="minorEastAsia" w:eastAsiaTheme="minorEastAsia"/>
                <w:kern w:val="0"/>
                <w:sz w:val="18"/>
                <w:szCs w:val="18"/>
                <w:lang w:val="zh-CN"/>
              </w:rPr>
              <w:t>℃</w:t>
            </w:r>
          </w:p>
        </w:tc>
      </w:tr>
      <w:tr>
        <w:tblPrEx>
          <w:tblCellMar>
            <w:top w:w="0" w:type="dxa"/>
            <w:left w:w="108" w:type="dxa"/>
            <w:bottom w:w="0" w:type="dxa"/>
            <w:right w:w="108" w:type="dxa"/>
          </w:tblCellMar>
        </w:tblPrEx>
        <w:trPr>
          <w:trHeight w:val="425" w:hRule="atLeast"/>
        </w:trPr>
        <w:tc>
          <w:tcPr>
            <w:tcW w:w="123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湿度设定</w:t>
            </w:r>
          </w:p>
        </w:tc>
        <w:tc>
          <w:tcPr>
            <w:tcW w:w="10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35%RH</w:t>
            </w:r>
          </w:p>
        </w:tc>
        <w:tc>
          <w:tcPr>
            <w:tcW w:w="14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35%RH</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35%RH</w:t>
            </w:r>
          </w:p>
        </w:tc>
        <w:tc>
          <w:tcPr>
            <w:tcW w:w="15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85%RH</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85%RH</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60%RH</w:t>
            </w:r>
          </w:p>
        </w:tc>
      </w:tr>
      <w:tr>
        <w:tblPrEx>
          <w:tblCellMar>
            <w:top w:w="0" w:type="dxa"/>
            <w:left w:w="108" w:type="dxa"/>
            <w:bottom w:w="0" w:type="dxa"/>
            <w:right w:w="108" w:type="dxa"/>
          </w:tblCellMar>
        </w:tblPrEx>
        <w:trPr>
          <w:trHeight w:val="346" w:hRule="atLeast"/>
        </w:trPr>
        <w:tc>
          <w:tcPr>
            <w:tcW w:w="123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时间</w:t>
            </w:r>
          </w:p>
        </w:tc>
        <w:tc>
          <w:tcPr>
            <w:tcW w:w="10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5min</w:t>
            </w:r>
          </w:p>
        </w:tc>
        <w:tc>
          <w:tcPr>
            <w:tcW w:w="14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55min</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30min</w:t>
            </w:r>
          </w:p>
        </w:tc>
        <w:tc>
          <w:tcPr>
            <w:tcW w:w="15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20min</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1h</w:t>
            </w:r>
          </w:p>
        </w:tc>
        <w:tc>
          <w:tcPr>
            <w:tcW w:w="14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jc w:val="center"/>
              <w:rPr>
                <w:rFonts w:cs="宋体" w:asciiTheme="minorEastAsia" w:hAnsiTheme="minorEastAsia" w:eastAsiaTheme="minorEastAsia"/>
                <w:kern w:val="0"/>
                <w:sz w:val="18"/>
                <w:szCs w:val="18"/>
                <w:lang w:val="zh-CN"/>
              </w:rPr>
            </w:pPr>
            <w:r>
              <w:rPr>
                <w:rFonts w:asciiTheme="minorEastAsia" w:hAnsiTheme="minorEastAsia" w:eastAsiaTheme="minorEastAsia"/>
                <w:kern w:val="0"/>
                <w:sz w:val="18"/>
                <w:szCs w:val="18"/>
              </w:rPr>
              <w:t>45min</w:t>
            </w:r>
          </w:p>
        </w:tc>
      </w:tr>
      <w:tr>
        <w:tblPrEx>
          <w:tblCellMar>
            <w:top w:w="0" w:type="dxa"/>
            <w:left w:w="108" w:type="dxa"/>
            <w:bottom w:w="0" w:type="dxa"/>
            <w:right w:w="108" w:type="dxa"/>
          </w:tblCellMar>
        </w:tblPrEx>
        <w:trPr>
          <w:trHeight w:val="434" w:hRule="atLeast"/>
        </w:trPr>
        <w:tc>
          <w:tcPr>
            <w:tcW w:w="9286"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20" w:lineRule="atLeast"/>
              <w:rPr>
                <w:rFonts w:cs="宋体" w:asciiTheme="minorEastAsia" w:hAnsiTheme="minorEastAsia" w:eastAsiaTheme="minorEastAsia"/>
                <w:kern w:val="0"/>
                <w:sz w:val="18"/>
                <w:szCs w:val="18"/>
                <w:lang w:val="zh-CN"/>
              </w:rPr>
            </w:pPr>
            <w:r>
              <w:rPr>
                <w:rFonts w:hint="eastAsia" w:cs="宋体" w:asciiTheme="minorEastAsia" w:hAnsiTheme="minorEastAsia" w:eastAsiaTheme="minorEastAsia"/>
                <w:kern w:val="0"/>
                <w:sz w:val="18"/>
                <w:szCs w:val="18"/>
                <w:lang w:val="zh-CN"/>
              </w:rPr>
              <w:t>所有步骤均为非曝露控制。到达试验条件所需时间约</w:t>
            </w:r>
            <w:r>
              <w:rPr>
                <w:rFonts w:eastAsiaTheme="minorEastAsia"/>
                <w:kern w:val="0"/>
                <w:sz w:val="18"/>
                <w:szCs w:val="18"/>
                <w:lang w:val="zh-CN"/>
              </w:rPr>
              <w:t> </w:t>
            </w:r>
            <w:r>
              <w:rPr>
                <w:rFonts w:asciiTheme="minorEastAsia" w:hAnsiTheme="minorEastAsia" w:eastAsiaTheme="minorEastAsia"/>
                <w:kern w:val="0"/>
                <w:sz w:val="18"/>
                <w:szCs w:val="18"/>
              </w:rPr>
              <w:t>1.8</w:t>
            </w:r>
            <w:r>
              <w:rPr>
                <w:rFonts w:eastAsiaTheme="minorEastAsia"/>
                <w:kern w:val="0"/>
                <w:sz w:val="18"/>
                <w:szCs w:val="18"/>
                <w:lang w:val="zh-CN"/>
              </w:rPr>
              <w:t> </w:t>
            </w:r>
            <w:r>
              <w:rPr>
                <w:rFonts w:asciiTheme="minorEastAsia" w:hAnsiTheme="minorEastAsia" w:eastAsiaTheme="minorEastAsia"/>
                <w:kern w:val="0"/>
                <w:sz w:val="18"/>
                <w:szCs w:val="18"/>
              </w:rPr>
              <w:t>h</w:t>
            </w:r>
            <w:r>
              <w:rPr>
                <w:rFonts w:hint="eastAsia" w:cs="宋体" w:asciiTheme="minorEastAsia" w:hAnsiTheme="minorEastAsia" w:eastAsiaTheme="minorEastAsia"/>
                <w:kern w:val="0"/>
                <w:sz w:val="18"/>
                <w:szCs w:val="18"/>
                <w:lang w:val="zh-CN"/>
              </w:rPr>
              <w:t>，符合相关标准规定的</w:t>
            </w:r>
            <w:r>
              <w:rPr>
                <w:rFonts w:eastAsiaTheme="minorEastAsia"/>
                <w:kern w:val="0"/>
                <w:sz w:val="18"/>
                <w:szCs w:val="18"/>
                <w:lang w:val="zh-CN"/>
              </w:rPr>
              <w:t> </w:t>
            </w:r>
            <w:r>
              <w:rPr>
                <w:rFonts w:asciiTheme="minorEastAsia" w:hAnsiTheme="minorEastAsia" w:eastAsiaTheme="minorEastAsia"/>
                <w:kern w:val="0"/>
                <w:sz w:val="18"/>
                <w:szCs w:val="18"/>
              </w:rPr>
              <w:t>3</w:t>
            </w:r>
            <w:r>
              <w:rPr>
                <w:rFonts w:eastAsiaTheme="minorEastAsia"/>
                <w:kern w:val="0"/>
                <w:sz w:val="18"/>
                <w:szCs w:val="18"/>
                <w:lang w:val="zh-CN"/>
              </w:rPr>
              <w:t> </w:t>
            </w:r>
            <w:r>
              <w:rPr>
                <w:rFonts w:asciiTheme="minorEastAsia" w:hAnsiTheme="minorEastAsia" w:eastAsiaTheme="minorEastAsia"/>
                <w:kern w:val="0"/>
                <w:sz w:val="18"/>
                <w:szCs w:val="18"/>
              </w:rPr>
              <w:t>h</w:t>
            </w:r>
            <w:r>
              <w:rPr>
                <w:rFonts w:hint="eastAsia" w:asciiTheme="minorEastAsia" w:hAnsiTheme="minorEastAsia" w:eastAsiaTheme="minorEastAsia"/>
                <w:kern w:val="0"/>
                <w:sz w:val="18"/>
                <w:szCs w:val="18"/>
              </w:rPr>
              <w:t>以内</w:t>
            </w:r>
            <w:r>
              <w:rPr>
                <w:rFonts w:hint="eastAsia" w:cs="宋体" w:asciiTheme="minorEastAsia" w:hAnsiTheme="minorEastAsia" w:eastAsiaTheme="minorEastAsia"/>
                <w:kern w:val="0"/>
                <w:sz w:val="18"/>
                <w:szCs w:val="18"/>
                <w:lang w:val="zh-CN"/>
              </w:rPr>
              <w:t>。</w:t>
            </w:r>
          </w:p>
        </w:tc>
      </w:tr>
    </w:tbl>
    <w:p>
      <w:pPr>
        <w:autoSpaceDE w:val="0"/>
        <w:autoSpaceDN w:val="0"/>
        <w:adjustRightInd w:val="0"/>
        <w:spacing w:before="156" w:after="156" w:line="360" w:lineRule="auto"/>
        <w:ind w:firstLine="420" w:firstLineChars="200"/>
        <w:jc w:val="left"/>
        <w:rPr>
          <w:rFonts w:cs="宋体" w:asciiTheme="minorEastAsia" w:hAnsiTheme="minorEastAsia" w:eastAsiaTheme="minorEastAsia"/>
          <w:kern w:val="0"/>
          <w:szCs w:val="21"/>
          <w:lang w:val="zh-CN"/>
        </w:rPr>
      </w:pPr>
      <w:r>
        <w:rPr>
          <w:rFonts w:hint="eastAsia" w:cs="宋体" w:asciiTheme="minorEastAsia" w:hAnsiTheme="minorEastAsia" w:eastAsiaTheme="minorEastAsia"/>
          <w:kern w:val="0"/>
          <w:szCs w:val="21"/>
          <w:lang w:val="zh-CN"/>
        </w:rPr>
        <w:t>表</w:t>
      </w:r>
      <w:r>
        <w:rPr>
          <w:rFonts w:hint="eastAsia" w:ascii="MS Mincho" w:hAnsi="MS Mincho" w:eastAsia="MS Mincho" w:cs="MS Mincho"/>
          <w:kern w:val="0"/>
          <w:szCs w:val="21"/>
          <w:lang w:val="zh-CN"/>
        </w:rPr>
        <w:t> </w:t>
      </w:r>
      <w:r>
        <w:rPr>
          <w:rFonts w:asciiTheme="minorEastAsia" w:hAnsiTheme="minorEastAsia" w:eastAsiaTheme="minorEastAsia"/>
          <w:kern w:val="0"/>
          <w:szCs w:val="21"/>
        </w:rPr>
        <w:t>A.1</w:t>
      </w:r>
      <w:r>
        <w:rPr>
          <w:rFonts w:hint="eastAsia" w:ascii="MS Mincho" w:hAnsi="MS Mincho" w:eastAsia="MS Mincho" w:cs="MS Mincho"/>
          <w:kern w:val="0"/>
          <w:szCs w:val="21"/>
          <w:lang w:val="zh-CN"/>
        </w:rPr>
        <w:t> </w:t>
      </w:r>
      <w:r>
        <w:rPr>
          <w:rFonts w:hint="eastAsia" w:cs="宋体" w:asciiTheme="minorEastAsia" w:hAnsiTheme="minorEastAsia" w:eastAsiaTheme="minorEastAsia"/>
          <w:kern w:val="0"/>
          <w:szCs w:val="21"/>
          <w:lang w:val="zh-CN"/>
        </w:rPr>
        <w:t>数据表明：质量小于</w:t>
      </w:r>
      <w:r>
        <w:rPr>
          <w:rFonts w:asciiTheme="minorEastAsia" w:hAnsiTheme="minorEastAsia" w:eastAsiaTheme="minorEastAsia"/>
          <w:kern w:val="0"/>
          <w:szCs w:val="21"/>
        </w:rPr>
        <w:t>100</w:t>
      </w:r>
      <w:r>
        <w:rPr>
          <w:rFonts w:hint="eastAsia" w:ascii="MS Mincho" w:hAnsi="MS Mincho" w:eastAsia="MS Mincho" w:cs="MS Mincho"/>
          <w:kern w:val="0"/>
          <w:szCs w:val="21"/>
          <w:lang w:val="zh-CN"/>
        </w:rPr>
        <w:t> </w:t>
      </w:r>
      <w:r>
        <w:rPr>
          <w:rFonts w:asciiTheme="minorEastAsia" w:hAnsiTheme="minorEastAsia" w:eastAsiaTheme="minorEastAsia"/>
          <w:kern w:val="0"/>
          <w:szCs w:val="21"/>
        </w:rPr>
        <w:t>g</w:t>
      </w:r>
      <w:r>
        <w:rPr>
          <w:rFonts w:hint="eastAsia" w:cs="宋体" w:asciiTheme="minorEastAsia" w:hAnsiTheme="minorEastAsia" w:eastAsiaTheme="minorEastAsia"/>
          <w:kern w:val="0"/>
          <w:szCs w:val="21"/>
          <w:lang w:val="zh-CN"/>
        </w:rPr>
        <w:t>的样品，</w:t>
      </w:r>
      <w:r>
        <w:rPr>
          <w:rFonts w:asciiTheme="minorEastAsia" w:hAnsiTheme="minorEastAsia" w:eastAsiaTheme="minorEastAsia"/>
          <w:kern w:val="0"/>
          <w:szCs w:val="21"/>
        </w:rPr>
        <w:t>HAST</w:t>
      </w:r>
      <w:r>
        <w:rPr>
          <w:rFonts w:hint="eastAsia" w:cs="宋体" w:asciiTheme="minorEastAsia" w:hAnsiTheme="minorEastAsia" w:eastAsiaTheme="minorEastAsia"/>
          <w:kern w:val="0"/>
          <w:szCs w:val="21"/>
          <w:lang w:val="zh-CN"/>
        </w:rPr>
        <w:t>试验过程中产生凝露风险很小；但普通恒定湿热试验中，如果不对升温过程控制，产生凝露风险还是很高的。按表</w:t>
      </w:r>
      <w:r>
        <w:rPr>
          <w:rFonts w:hint="eastAsia" w:ascii="MS Mincho" w:hAnsi="MS Mincho" w:eastAsia="MS Mincho" w:cs="MS Mincho"/>
          <w:kern w:val="0"/>
          <w:szCs w:val="21"/>
          <w:lang w:val="zh-CN"/>
        </w:rPr>
        <w:t> </w:t>
      </w:r>
      <w:r>
        <w:rPr>
          <w:rFonts w:asciiTheme="minorEastAsia" w:hAnsiTheme="minorEastAsia" w:eastAsiaTheme="minorEastAsia"/>
          <w:kern w:val="0"/>
          <w:szCs w:val="21"/>
        </w:rPr>
        <w:t>A.2</w:t>
      </w:r>
      <w:r>
        <w:rPr>
          <w:rFonts w:hint="eastAsia" w:ascii="MS Mincho" w:hAnsi="MS Mincho" w:eastAsia="MS Mincho" w:cs="MS Mincho"/>
          <w:kern w:val="0"/>
          <w:szCs w:val="21"/>
          <w:lang w:val="zh-CN"/>
        </w:rPr>
        <w:t> </w:t>
      </w:r>
      <w:r>
        <w:rPr>
          <w:rFonts w:hint="eastAsia" w:cs="宋体" w:asciiTheme="minorEastAsia" w:hAnsiTheme="minorEastAsia" w:eastAsiaTheme="minorEastAsia"/>
          <w:kern w:val="0"/>
          <w:szCs w:val="21"/>
          <w:lang w:val="zh-CN"/>
        </w:rPr>
        <w:t>中升降温方式进行普通恒定湿热试验，质量为</w:t>
      </w:r>
      <w:r>
        <w:rPr>
          <w:rFonts w:hint="eastAsia" w:ascii="MS Mincho" w:hAnsi="MS Mincho" w:eastAsia="MS Mincho" w:cs="MS Mincho"/>
          <w:kern w:val="0"/>
          <w:szCs w:val="21"/>
          <w:lang w:val="zh-CN"/>
        </w:rPr>
        <w:t> </w:t>
      </w:r>
      <w:r>
        <w:rPr>
          <w:rFonts w:asciiTheme="minorEastAsia" w:hAnsiTheme="minorEastAsia" w:eastAsiaTheme="minorEastAsia"/>
          <w:kern w:val="0"/>
          <w:szCs w:val="21"/>
        </w:rPr>
        <w:t>1440g</w:t>
      </w:r>
      <w:r>
        <w:rPr>
          <w:rFonts w:hint="eastAsia" w:ascii="MS Mincho" w:hAnsi="MS Mincho" w:eastAsia="MS Mincho" w:cs="MS Mincho"/>
          <w:kern w:val="0"/>
          <w:szCs w:val="21"/>
          <w:lang w:val="zh-CN"/>
        </w:rPr>
        <w:t> </w:t>
      </w:r>
      <w:r>
        <w:rPr>
          <w:rFonts w:hint="eastAsia" w:cs="宋体" w:asciiTheme="minorEastAsia" w:hAnsiTheme="minorEastAsia" w:eastAsiaTheme="minorEastAsia"/>
          <w:kern w:val="0"/>
          <w:szCs w:val="21"/>
          <w:lang w:val="zh-CN"/>
        </w:rPr>
        <w:t>的试验样品，整个试验过程中也未见凝露现象。</w:t>
      </w:r>
    </w:p>
    <w:p>
      <w:pPr>
        <w:autoSpaceDE w:val="0"/>
        <w:autoSpaceDN w:val="0"/>
        <w:adjustRightInd w:val="0"/>
        <w:spacing w:before="468" w:beforeLines="150" w:after="312" w:afterLines="100"/>
        <w:jc w:val="left"/>
        <w:outlineLvl w:val="1"/>
        <w:rPr>
          <w:rFonts w:ascii="黑体" w:hAnsi="黑体" w:eastAsia="黑体" w:cs="黑体"/>
          <w:kern w:val="0"/>
          <w:szCs w:val="21"/>
          <w:lang w:val="zh-CN"/>
        </w:rPr>
      </w:pPr>
      <w:bookmarkStart w:id="208" w:name="_Toc109033118"/>
      <w:bookmarkStart w:id="209" w:name="_Toc241"/>
      <w:bookmarkStart w:id="210" w:name="_Toc13020"/>
      <w:bookmarkStart w:id="211" w:name="_Toc32665"/>
      <w:bookmarkStart w:id="212" w:name="_Toc16752"/>
      <w:bookmarkStart w:id="213" w:name="_Toc4705"/>
      <w:bookmarkStart w:id="214" w:name="_Toc12362"/>
      <w:bookmarkStart w:id="215" w:name="_Toc21522"/>
      <w:r>
        <w:rPr>
          <w:rFonts w:ascii="黑体" w:hAnsi="黑体" w:eastAsia="黑体" w:cs="黑体"/>
          <w:kern w:val="0"/>
          <w:szCs w:val="21"/>
          <w:lang w:val="zh-CN"/>
        </w:rPr>
        <w:t>A.5 结论</w:t>
      </w:r>
      <w:bookmarkEnd w:id="208"/>
      <w:bookmarkEnd w:id="209"/>
      <w:bookmarkEnd w:id="210"/>
      <w:bookmarkEnd w:id="211"/>
      <w:bookmarkEnd w:id="212"/>
      <w:bookmarkEnd w:id="213"/>
      <w:bookmarkEnd w:id="214"/>
      <w:bookmarkEnd w:id="215"/>
    </w:p>
    <w:p>
      <w:pPr>
        <w:widowControl/>
        <w:spacing w:line="360" w:lineRule="auto"/>
        <w:jc w:val="left"/>
        <w:rPr>
          <w:rFonts w:ascii="宋体" w:cs="宋体"/>
          <w:kern w:val="0"/>
          <w:szCs w:val="21"/>
          <w:lang w:val="zh-CN"/>
        </w:rPr>
      </w:pPr>
      <w:r>
        <w:rPr>
          <w:rFonts w:hint="eastAsia" w:ascii="宋体" w:cs="宋体"/>
          <w:kern w:val="0"/>
          <w:szCs w:val="21"/>
        </w:rPr>
        <w:t xml:space="preserve">    </w:t>
      </w:r>
      <w:r>
        <w:rPr>
          <w:rFonts w:hint="eastAsia" w:ascii="宋体" w:cs="宋体"/>
          <w:kern w:val="0"/>
          <w:szCs w:val="21"/>
          <w:lang w:val="zh-CN"/>
        </w:rPr>
        <w:t>降低升温过程中的湿度，到达试验温度后，再增加样品达到热平衡的时间，然后将湿度升到试验条件，确保样品处在高湿度试验条件环境前达到热平衡，可有效避免试验中样品上产生凝露风险。</w:t>
      </w:r>
    </w:p>
    <w:p>
      <w:pPr>
        <w:widowControl/>
        <w:spacing w:line="360" w:lineRule="auto"/>
        <w:jc w:val="left"/>
        <w:rPr>
          <w:rFonts w:ascii="黑体" w:hAnsi="黑体" w:eastAsia="黑体"/>
        </w:rPr>
      </w:pPr>
      <w:r>
        <w:rPr>
          <w:rFonts w:hint="eastAsia" w:ascii="黑体" w:hAnsi="黑体" w:eastAsia="黑体"/>
        </w:rPr>
        <w:br w:type="page"/>
      </w:r>
    </w:p>
    <w:p>
      <w:pPr>
        <w:widowControl/>
        <w:tabs>
          <w:tab w:val="center" w:pos="4201"/>
          <w:tab w:val="right" w:leader="dot" w:pos="9298"/>
        </w:tabs>
        <w:autoSpaceDE w:val="0"/>
        <w:autoSpaceDN w:val="0"/>
        <w:spacing w:line="360" w:lineRule="auto"/>
        <w:jc w:val="center"/>
        <w:rPr>
          <w:rFonts w:ascii="黑体" w:hAnsi="黑体" w:eastAsia="黑体"/>
        </w:rPr>
      </w:pPr>
      <w:r>
        <w:rPr>
          <w:rFonts w:hint="eastAsia" w:ascii="黑体" w:hAnsi="黑体" w:eastAsia="黑体"/>
        </w:rPr>
        <w:t>参  考  文  献</w:t>
      </w:r>
    </w:p>
    <w:p>
      <w:pPr>
        <w:widowControl/>
        <w:tabs>
          <w:tab w:val="center" w:pos="4201"/>
          <w:tab w:val="right" w:leader="dot" w:pos="9298"/>
        </w:tabs>
        <w:autoSpaceDE w:val="0"/>
        <w:autoSpaceDN w:val="0"/>
        <w:spacing w:line="360" w:lineRule="auto"/>
        <w:jc w:val="left"/>
        <w:rPr>
          <w:rFonts w:cs="宋体" w:asciiTheme="minorEastAsia" w:hAnsiTheme="minorEastAsia" w:eastAsiaTheme="minorEastAsia"/>
        </w:rPr>
      </w:pPr>
      <w:r>
        <w:rPr>
          <w:rFonts w:cs="黑体" w:asciiTheme="minorEastAsia" w:hAnsiTheme="minorEastAsia" w:eastAsiaTheme="minorEastAsia"/>
        </w:rPr>
        <w:t>[1]</w:t>
      </w:r>
      <w:r>
        <w:rPr>
          <w:rFonts w:hint="eastAsia" w:cs="宋体" w:asciiTheme="minorEastAsia" w:hAnsiTheme="minorEastAsia" w:eastAsiaTheme="minorEastAsia"/>
        </w:rPr>
        <w:t xml:space="preserve"> GB/T 2423.40 环境试验 第2部分：试验方法 试验Cx：未饱和高压蒸汽恒定湿热</w:t>
      </w:r>
    </w:p>
    <w:p>
      <w:pPr>
        <w:widowControl/>
        <w:tabs>
          <w:tab w:val="center" w:pos="4201"/>
          <w:tab w:val="right" w:leader="dot" w:pos="9298"/>
        </w:tabs>
        <w:autoSpaceDE w:val="0"/>
        <w:autoSpaceDN w:val="0"/>
        <w:spacing w:line="360" w:lineRule="auto"/>
        <w:jc w:val="left"/>
        <w:rPr>
          <w:rFonts w:asciiTheme="minorEastAsia" w:hAnsiTheme="minorEastAsia" w:eastAsiaTheme="minorEastAsia"/>
          <w:kern w:val="0"/>
          <w:szCs w:val="21"/>
        </w:rPr>
      </w:pPr>
      <w:r>
        <w:rPr>
          <w:rFonts w:cs="黑体" w:asciiTheme="minorEastAsia" w:hAnsiTheme="minorEastAsia" w:eastAsiaTheme="minorEastAsia"/>
        </w:rPr>
        <w:t>[2]</w:t>
      </w:r>
      <w:r>
        <w:rPr>
          <w:rFonts w:hint="eastAsia" w:cs="宋体" w:asciiTheme="minorEastAsia" w:hAnsiTheme="minorEastAsia" w:eastAsiaTheme="minorEastAsia"/>
        </w:rPr>
        <w:t xml:space="preserve"> </w:t>
      </w:r>
      <w:r>
        <w:rPr>
          <w:rFonts w:hint="eastAsia" w:asciiTheme="minorEastAsia" w:hAnsiTheme="minorEastAsia" w:eastAsiaTheme="minorEastAsia"/>
          <w:kern w:val="0"/>
          <w:szCs w:val="21"/>
        </w:rPr>
        <w:t>GB/T 2423.50 环境试验 第2部分：试验方法 试验Cy：恒定湿热 主要用于元件的加速试验</w:t>
      </w:r>
    </w:p>
    <w:p>
      <w:pPr>
        <w:widowControl/>
        <w:tabs>
          <w:tab w:val="center" w:pos="4201"/>
          <w:tab w:val="right" w:leader="dot" w:pos="9298"/>
        </w:tabs>
        <w:autoSpaceDE w:val="0"/>
        <w:autoSpaceDN w:val="0"/>
        <w:spacing w:line="360" w:lineRule="auto"/>
        <w:jc w:val="left"/>
        <w:rPr>
          <w:rFonts w:asciiTheme="minorEastAsia" w:hAnsiTheme="minorEastAsia" w:eastAsiaTheme="minorEastAsia"/>
          <w:kern w:val="0"/>
          <w:szCs w:val="21"/>
        </w:rPr>
      </w:pPr>
      <w:r>
        <w:rPr>
          <w:rFonts w:cs="黑体" w:asciiTheme="minorEastAsia" w:hAnsiTheme="minorEastAsia" w:eastAsiaTheme="minorEastAsia"/>
          <w:kern w:val="0"/>
          <w:szCs w:val="21"/>
        </w:rPr>
        <w:t>[3]</w:t>
      </w:r>
      <w:r>
        <w:rPr>
          <w:rFonts w:hint="eastAsia" w:asciiTheme="minorEastAsia" w:hAnsiTheme="minorEastAsia" w:eastAsiaTheme="minorEastAsia"/>
          <w:kern w:val="0"/>
          <w:szCs w:val="21"/>
        </w:rPr>
        <w:t xml:space="preserve"> GB/T 11376 金属及其他无机覆盖层 金属的磷化膜</w:t>
      </w:r>
    </w:p>
    <w:p>
      <w:pPr>
        <w:widowControl/>
        <w:tabs>
          <w:tab w:val="center" w:pos="4201"/>
          <w:tab w:val="right" w:leader="dot" w:pos="9298"/>
        </w:tabs>
        <w:autoSpaceDE w:val="0"/>
        <w:autoSpaceDN w:val="0"/>
        <w:spacing w:line="360" w:lineRule="auto"/>
        <w:jc w:val="left"/>
        <w:rPr>
          <w:rFonts w:asciiTheme="minorEastAsia" w:hAnsiTheme="minorEastAsia" w:eastAsiaTheme="minorEastAsia"/>
          <w:kern w:val="0"/>
          <w:szCs w:val="21"/>
        </w:rPr>
      </w:pPr>
      <w:r>
        <w:rPr>
          <w:rFonts w:cs="黑体" w:asciiTheme="minorEastAsia" w:hAnsiTheme="minorEastAsia" w:eastAsiaTheme="minorEastAsia"/>
          <w:kern w:val="0"/>
          <w:szCs w:val="21"/>
        </w:rPr>
        <w:t>[4]</w:t>
      </w:r>
      <w:r>
        <w:rPr>
          <w:rFonts w:hint="eastAsia" w:asciiTheme="minorEastAsia" w:hAnsiTheme="minorEastAsia" w:eastAsiaTheme="minorEastAsia"/>
          <w:kern w:val="0"/>
          <w:szCs w:val="21"/>
        </w:rPr>
        <w:t xml:space="preserve"> JEDEC JESD22-A102E Accelerated Moisture Resistance. Unbiased Autoclave</w:t>
      </w:r>
    </w:p>
    <w:p>
      <w:pPr>
        <w:widowControl/>
        <w:tabs>
          <w:tab w:val="center" w:pos="4201"/>
          <w:tab w:val="right" w:leader="dot" w:pos="9298"/>
        </w:tabs>
        <w:autoSpaceDE w:val="0"/>
        <w:autoSpaceDN w:val="0"/>
        <w:spacing w:line="360" w:lineRule="auto"/>
        <w:jc w:val="left"/>
        <w:rPr>
          <w:rFonts w:asciiTheme="minorEastAsia" w:hAnsiTheme="minorEastAsia" w:eastAsiaTheme="minorEastAsia"/>
          <w:kern w:val="0"/>
          <w:szCs w:val="21"/>
        </w:rPr>
      </w:pPr>
      <w:r>
        <w:rPr>
          <w:rFonts w:cs="黑体" w:asciiTheme="minorEastAsia" w:hAnsiTheme="minorEastAsia" w:eastAsiaTheme="minorEastAsia"/>
          <w:kern w:val="0"/>
          <w:szCs w:val="20"/>
        </w:rPr>
        <mc:AlternateContent>
          <mc:Choice Requires="wps">
            <w:drawing>
              <wp:anchor distT="0" distB="0" distL="114300" distR="114300" simplePos="0" relativeHeight="251663360" behindDoc="0" locked="0" layoutInCell="1" allowOverlap="1">
                <wp:simplePos x="0" y="0"/>
                <wp:positionH relativeFrom="column">
                  <wp:posOffset>2131695</wp:posOffset>
                </wp:positionH>
                <wp:positionV relativeFrom="paragraph">
                  <wp:posOffset>483870</wp:posOffset>
                </wp:positionV>
                <wp:extent cx="1535430" cy="0"/>
                <wp:effectExtent l="0" t="9525" r="7620" b="9525"/>
                <wp:wrapNone/>
                <wp:docPr id="17" name="自选图形 12"/>
                <wp:cNvGraphicFramePr/>
                <a:graphic xmlns:a="http://schemas.openxmlformats.org/drawingml/2006/main">
                  <a:graphicData uri="http://schemas.microsoft.com/office/word/2010/wordprocessingShape">
                    <wps:wsp>
                      <wps:cNvCnPr/>
                      <wps:spPr>
                        <a:xfrm>
                          <a:off x="0" y="0"/>
                          <a:ext cx="153543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167.85pt;margin-top:38.1pt;height:0pt;width:120.9pt;z-index:251663360;mso-width-relative:page;mso-height-relative:page;" filled="f" stroked="t" coordsize="21600,21600" o:gfxdata="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Zs3vzVAAAACQEAAA8AAAAAAAAAAQAgAAAAIgAAAGRycy9kb3ducmV2LnhtbFBLAQIU&#10;ABQAAAAIAIdO4kBnNdIJ9gEAAOYDAAAOAAAAAAAAAAEAIAAAACQBAABkcnMvZTJvRG9jLnhtbFBL&#10;BQYAAAAABgAGAFkBAACMBQAAAAA=&#10;">
                <v:fill on="f" focussize="0,0"/>
                <v:stroke weight="1.5pt" color="#000000" joinstyle="round"/>
                <v:imagedata o:title=""/>
                <o:lock v:ext="edit" aspectratio="f"/>
              </v:shape>
            </w:pict>
          </mc:Fallback>
        </mc:AlternateContent>
      </w:r>
      <w:r>
        <w:rPr>
          <w:rFonts w:cs="黑体" w:asciiTheme="minorEastAsia" w:hAnsiTheme="minorEastAsia" w:eastAsiaTheme="minorEastAsia"/>
          <w:kern w:val="0"/>
          <w:szCs w:val="21"/>
        </w:rPr>
        <w:t>[5]</w:t>
      </w:r>
      <w:r>
        <w:rPr>
          <w:rFonts w:hint="eastAsia" w:asciiTheme="minorEastAsia" w:hAnsiTheme="minorEastAsia" w:eastAsiaTheme="minorEastAsia"/>
          <w:kern w:val="0"/>
          <w:szCs w:val="21"/>
        </w:rPr>
        <w:t xml:space="preserve"> JEDEC JESD22-A110E Highly Accelerated Temperature And Humidity Stress test (HAST)</w:t>
      </w:r>
    </w:p>
    <w:p>
      <w:pPr>
        <w:widowControl/>
        <w:tabs>
          <w:tab w:val="center" w:pos="4201"/>
          <w:tab w:val="right" w:leader="dot" w:pos="9298"/>
        </w:tabs>
        <w:autoSpaceDE w:val="0"/>
        <w:autoSpaceDN w:val="0"/>
        <w:spacing w:line="360" w:lineRule="auto"/>
        <w:jc w:val="left"/>
        <w:rPr>
          <w:rFonts w:ascii="宋体" w:hAnsi="宋体"/>
          <w:kern w:val="0"/>
          <w:szCs w:val="21"/>
        </w:rPr>
      </w:pPr>
    </w:p>
    <w:p>
      <w:pPr>
        <w:tabs>
          <w:tab w:val="center" w:pos="4201"/>
          <w:tab w:val="right" w:leader="dot" w:pos="9298"/>
        </w:tabs>
        <w:autoSpaceDE w:val="0"/>
        <w:autoSpaceDN w:val="0"/>
        <w:adjustRightInd w:val="0"/>
        <w:spacing w:line="360" w:lineRule="auto"/>
        <w:jc w:val="center"/>
        <w:rPr>
          <w:rFonts w:ascii="宋体" w:hAnsi="宋体" w:cs="宋体"/>
        </w:rPr>
      </w:pPr>
    </w:p>
    <w:p>
      <w:pPr>
        <w:tabs>
          <w:tab w:val="center" w:pos="4201"/>
          <w:tab w:val="right" w:leader="dot" w:pos="9298"/>
        </w:tabs>
        <w:autoSpaceDE w:val="0"/>
        <w:autoSpaceDN w:val="0"/>
        <w:adjustRightInd w:val="0"/>
        <w:spacing w:line="360" w:lineRule="auto"/>
        <w:jc w:val="center"/>
        <w:rPr>
          <w:rFonts w:ascii="宋体" w:hAnsi="宋体" w:cs="宋体"/>
        </w:rPr>
      </w:pPr>
    </w:p>
    <w:p>
      <w:pPr>
        <w:tabs>
          <w:tab w:val="center" w:pos="4201"/>
          <w:tab w:val="right" w:leader="dot" w:pos="9298"/>
        </w:tabs>
        <w:autoSpaceDE w:val="0"/>
        <w:autoSpaceDN w:val="0"/>
        <w:adjustRightInd w:val="0"/>
        <w:spacing w:line="360" w:lineRule="auto"/>
        <w:jc w:val="center"/>
        <w:rPr>
          <w:rFonts w:ascii="宋体" w:hAnsi="宋体" w:cs="宋体"/>
        </w:rPr>
      </w:pPr>
    </w:p>
    <w:p>
      <w:pPr>
        <w:tabs>
          <w:tab w:val="center" w:pos="4201"/>
          <w:tab w:val="right" w:leader="dot" w:pos="9298"/>
        </w:tabs>
        <w:autoSpaceDE w:val="0"/>
        <w:autoSpaceDN w:val="0"/>
        <w:adjustRightInd w:val="0"/>
        <w:spacing w:line="360" w:lineRule="auto"/>
        <w:ind w:firstLine="420"/>
        <w:jc w:val="left"/>
        <w:rPr>
          <w:rFonts w:ascii="宋体" w:hAnsi="宋体" w:cs="宋体"/>
          <w:color w:val="FF0000"/>
        </w:rPr>
      </w:pPr>
    </w:p>
    <w:sectPr>
      <w:headerReference r:id="rId13" w:type="default"/>
      <w:footerReference r:id="rId15" w:type="default"/>
      <w:headerReference r:id="rId14" w:type="even"/>
      <w:footerReference r:id="rId16" w:type="even"/>
      <w:pgSz w:w="11906" w:h="16838"/>
      <w:pgMar w:top="567" w:right="1134" w:bottom="1134" w:left="1418" w:header="1418" w:footer="1134" w:gutter="0"/>
      <w:pgNumType w:fmt="decimal"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B898624-FC33-4819-9EFB-CF2392C21D5A}"/>
  </w:font>
  <w:font w:name="黑体">
    <w:panose1 w:val="02010609060101010101"/>
    <w:charset w:val="86"/>
    <w:family w:val="auto"/>
    <w:pitch w:val="default"/>
    <w:sig w:usb0="800002BF" w:usb1="38CF7CFA" w:usb2="00000016" w:usb3="00000000" w:csb0="00040001" w:csb1="00000000"/>
    <w:embedRegular r:id="rId2" w:fontKey="{4EC0DF49-E7B6-4AD1-A914-F4DC3B62A7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embedRegular r:id="rId3" w:fontKey="{02C9791B-1D18-4559-8469-713CF0DB7E76}"/>
  </w:font>
  <w:font w:name="Arial Rounded MT Bold">
    <w:panose1 w:val="020F0704030504030204"/>
    <w:charset w:val="00"/>
    <w:family w:val="auto"/>
    <w:pitch w:val="default"/>
    <w:sig w:usb0="00000003" w:usb1="00000000" w:usb2="00000000" w:usb3="00000000" w:csb0="20000001" w:csb1="00000000"/>
  </w:font>
  <w:font w:name="Arial Unicode MS">
    <w:altName w:val="宋体"/>
    <w:panose1 w:val="020B0604020202020204"/>
    <w:charset w:val="86"/>
    <w:family w:val="swiss"/>
    <w:pitch w:val="default"/>
    <w:sig w:usb0="00000000" w:usb1="00000000" w:usb2="0000003F" w:usb3="00000000" w:csb0="003F01FF" w:csb1="00000000"/>
  </w:font>
  <w:font w:name="Cambria">
    <w:altName w:val="Segoe Print"/>
    <w:panose1 w:val="02040503050406030204"/>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2FF" w:usb1="420024FF" w:usb2="00000000" w:usb3="00000000" w:csb0="2000019F" w:csb1="00000000"/>
    <w:embedRegular r:id="rId4" w:fontKey="{A5E046A6-6692-4488-B0C2-E6E5DA4FBAC8}"/>
  </w:font>
  <w:font w:name="MS Mincho">
    <w:panose1 w:val="02020609040205080304"/>
    <w:charset w:val="80"/>
    <w:family w:val="modern"/>
    <w:pitch w:val="default"/>
    <w:sig w:usb0="E00002FF" w:usb1="6AC7FDFB" w:usb2="00000012" w:usb3="00000000" w:csb0="4002009F" w:csb1="DFD70000"/>
    <w:embedRegular r:id="rId5" w:fontKey="{7F2ED5E3-B44D-4515-BD9D-DA670FF3C1EB}"/>
  </w:font>
  <w:font w:name="MS Gothic">
    <w:panose1 w:val="020B0609070205080204"/>
    <w:charset w:val="80"/>
    <w:family w:val="modern"/>
    <w:pitch w:val="default"/>
    <w:sig w:usb0="E00002FF" w:usb1="6AC7FDFB" w:usb2="00000012" w:usb3="00000000" w:csb0="4002009F" w:csb1="DFD70000"/>
    <w:embedRegular r:id="rId6" w:fontKey="{9BF5B235-DC45-4E93-AAFE-7C698F63E965}"/>
  </w:font>
  <w:font w:name="Venetian 301 Std Italic">
    <w:panose1 w:val="02010600010101010101"/>
    <w:charset w:val="86"/>
    <w:family w:val="auto"/>
    <w:pitch w:val="default"/>
    <w:sig w:usb0="00000001" w:usb1="080E0000" w:usb2="00000000" w:usb3="00000000" w:csb0="00040000" w:csb1="00000000"/>
    <w:embedRegular r:id="rId7" w:fontKey="{2D1E6DB4-D503-455F-926D-150A19E3CD04}"/>
  </w:font>
  <w:font w:name="Tahoma">
    <w:panose1 w:val="020B0604030504040204"/>
    <w:charset w:val="00"/>
    <w:family w:val="swiss"/>
    <w:pitch w:val="default"/>
    <w:sig w:usb0="E1002EFF" w:usb1="C000605B" w:usb2="00000029" w:usb3="00000000" w:csb0="200101FF" w:csb1="20280000"/>
    <w:embedRegular r:id="rId8" w:fontKey="{79C18924-0F02-4AFC-AA3E-7785F23AE10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20828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828800" cy="208280"/>
                      </a:xfrm>
                      <a:prstGeom prst="rect">
                        <a:avLst/>
                      </a:prstGeom>
                      <a:noFill/>
                      <a:ln>
                        <a:noFill/>
                      </a:ln>
                    </wps:spPr>
                    <wps:txbx>
                      <w:txbxContent>
                        <w:p>
                          <w:pPr>
                            <w:pStyle w:val="47"/>
                          </w:pPr>
                          <w:r>
                            <w:fldChar w:fldCharType="begin"/>
                          </w:r>
                          <w:r>
                            <w:instrText xml:space="preserve"> PAGE  \* MERGEFORMAT </w:instrText>
                          </w:r>
                          <w:r>
                            <w:fldChar w:fldCharType="separate"/>
                          </w:r>
                          <w:r>
                            <w:t>I</w:t>
                          </w:r>
                          <w:r>
                            <w:fldChar w:fldCharType="end"/>
                          </w:r>
                        </w:p>
                      </w:txbxContent>
                    </wps:txbx>
                    <wps:bodyPr wrap="none" lIns="0" tIns="0" rIns="0" bIns="0" upright="1">
                      <a:noAutofit/>
                    </wps:bodyPr>
                  </wps:wsp>
                </a:graphicData>
              </a:graphic>
            </wp:anchor>
          </w:drawing>
        </mc:Choice>
        <mc:Fallback>
          <w:pict>
            <v:shape id="文本框 4" o:spid="_x0000_s1026" o:spt="202" type="#_x0000_t202" style="position:absolute;left:0pt;margin-top:0pt;height:16.4pt;width:144pt;mso-position-horizontal:right;mso-position-horizontal-relative:margin;mso-wrap-style:none;z-index:251667456;mso-width-relative:page;mso-height-relative:page;" filled="f" stroked="f" coordsize="21600,21600" o:gfxdata="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q2UIv0gAAAAQBAAAPAAAAAAAAAAEAIAAAACIAAABkcnMvZG93&#10;bnJldi54bWxQSwECFAAUAAAACACHTuJAqEhLXs0BAACZAwAADgAAAAAAAAABACAAAAAhAQAAZHJz&#10;L2Uyb0RvYy54bWxQSwUGAAAAAAYABgBZAQAAYAUAAAAA&#10;">
              <v:fill on="f" focussize="0,0"/>
              <v:stroke on="f"/>
              <v:imagedata o:title=""/>
              <o:lock v:ext="edit" aspectratio="f"/>
              <v:textbox inset="0mm,0mm,0mm,0mm">
                <w:txbxContent>
                  <w:p>
                    <w:pPr>
                      <w:pStyle w:val="4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20828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1828800" cy="208280"/>
                      </a:xfrm>
                      <a:prstGeom prst="rect">
                        <a:avLst/>
                      </a:prstGeom>
                      <a:noFill/>
                      <a:ln>
                        <a:noFill/>
                      </a:ln>
                    </wps:spPr>
                    <wps:txbx>
                      <w:txbxContent>
                        <w:p>
                          <w:pPr>
                            <w:pStyle w:val="47"/>
                          </w:pPr>
                          <w:r>
                            <w:fldChar w:fldCharType="begin"/>
                          </w:r>
                          <w:r>
                            <w:instrText xml:space="preserve"> PAGE  \* MERGEFORMAT </w:instrText>
                          </w:r>
                          <w:r>
                            <w:fldChar w:fldCharType="separate"/>
                          </w:r>
                          <w:r>
                            <w:t>I</w:t>
                          </w:r>
                          <w:r>
                            <w:fldChar w:fldCharType="end"/>
                          </w:r>
                        </w:p>
                      </w:txbxContent>
                    </wps:txbx>
                    <wps:bodyPr wrap="none" lIns="0" tIns="0" rIns="0" bIns="0" upright="1">
                      <a:noAutofit/>
                    </wps:bodyPr>
                  </wps:wsp>
                </a:graphicData>
              </a:graphic>
            </wp:anchor>
          </w:drawing>
        </mc:Choice>
        <mc:Fallback>
          <w:pict>
            <v:shape id="文本框 4" o:spid="_x0000_s1026" o:spt="202" type="#_x0000_t202" style="position:absolute;left:0pt;margin-top:0pt;height:16.4pt;width:144pt;mso-position-horizontal:outside;mso-position-horizontal-relative:margin;mso-wrap-style:none;z-index:251665408;mso-width-relative:page;mso-height-relative:page;" filled="f" stroked="f" coordsize="21600,21600" o:gfxdata="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tlCL9IAAAAEAQAADwAAAAAAAAABACAAAAAiAAAAZHJzL2Rvd25y&#10;ZXYueG1sUEsBAhQAFAAAAAgAh07iQNS9MSXLAQAAmQMAAA4AAAAAAAAAAQAgAAAAIQEAAGRycy9l&#10;Mm9Eb2MueG1sUEsFBgAAAAAGAAYAWQEAAF4FAAAAAA==&#10;">
              <v:fill on="f" focussize="0,0"/>
              <v:stroke on="f"/>
              <v:imagedata o:title=""/>
              <o:lock v:ext="edit" aspectratio="f"/>
              <v:textbox inset="0mm,0mm,0mm,0mm">
                <w:txbxContent>
                  <w:p>
                    <w:pPr>
                      <w:pStyle w:val="4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lang w:val="en-US"/>
      </w:rPr>
    </w:pPr>
    <w:r>
      <w:rPr>
        <w:rFonts w:hint="eastAsi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rPr>
        <w:rFonts w:hint="eastAsia" w:ascii="黑体" w:hAnsi="黑体" w:eastAsia="黑体" w:cs="黑体"/>
        <w:sz w:val="21"/>
        <w:szCs w:val="21"/>
        <w:lang w:val="en-US" w:eastAsia="zh-CN"/>
      </w:rPr>
    </w:pPr>
    <w:r>
      <w:rPr>
        <w:rFonts w:hint="eastAsia" w:ascii="黑体" w:hAnsi="黑体" w:eastAsia="黑体" w:cs="黑体"/>
        <w:sz w:val="21"/>
        <w:szCs w:val="21"/>
        <w:lang w:val="en-US"/>
      </w:rPr>
      <w:t xml:space="preserve"> </w:t>
    </w:r>
    <w:r>
      <w:rPr>
        <w:rFonts w:hint="eastAsia" w:ascii="黑体" w:hAnsi="黑体" w:eastAsia="黑体" w:cs="黑体"/>
        <w:sz w:val="21"/>
        <w:szCs w:val="21"/>
        <w:lang w:val="en-US" w:eastAsia="zh-CN"/>
      </w:rPr>
      <w:t>GB/T XXXXX-XXXX</w:t>
    </w:r>
  </w:p>
  <w:p>
    <w:pPr>
      <w:pStyle w:val="22"/>
      <w:pBdr>
        <w:bottom w:val="none" w:color="auto" w:sz="0" w:space="0"/>
      </w:pBdr>
      <w:jc w:val="right"/>
      <w:rPr>
        <w:rFonts w:hint="default" w:ascii="黑体" w:hAnsi="黑体" w:eastAsia="黑体" w:cs="黑体"/>
        <w:sz w:val="21"/>
        <w:szCs w:val="21"/>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GB/T XXXXX</w:t>
    </w:r>
  </w:p>
  <w:p>
    <w:pPr>
      <w:pStyle w:val="22"/>
      <w:pBdr>
        <w:bottom w:val="none" w:color="auto" w:sz="0" w:space="0"/>
      </w:pBdr>
      <w:rPr>
        <w:rFonts w:hint="default" w:ascii="黑体" w:hAnsi="黑体" w:eastAsia="黑体" w:cs="黑体"/>
        <w:lang w:val="en-US"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rPr>
        <w:rFonts w:hint="default" w:ascii="黑体" w:hAnsi="黑体" w:eastAsia="黑体" w:cs="黑体"/>
        <w:sz w:val="21"/>
        <w:szCs w:val="21"/>
        <w:lang w:val="en-US" w:eastAsia="zh-CN"/>
      </w:rPr>
    </w:pPr>
    <w:r>
      <w:rPr>
        <w:rFonts w:hint="eastAsia" w:ascii="黑体" w:hAnsi="黑体" w:eastAsia="黑体" w:cs="黑体"/>
        <w:sz w:val="21"/>
        <w:szCs w:val="21"/>
        <w:lang w:val="en-US"/>
      </w:rPr>
      <w:t xml:space="preserve"> </w:t>
    </w:r>
    <w:r>
      <w:rPr>
        <w:rFonts w:hint="eastAsia" w:ascii="黑体" w:hAnsi="黑体" w:eastAsia="黑体" w:cs="黑体"/>
        <w:sz w:val="21"/>
        <w:szCs w:val="21"/>
        <w:lang w:val="en-US" w:eastAsia="zh-CN"/>
      </w:rPr>
      <w:t>GB/T XXXXX-XXXX</w:t>
    </w:r>
  </w:p>
  <w:p>
    <w:pPr>
      <w:pStyle w:val="22"/>
      <w:pBdr>
        <w:bottom w:val="none" w:color="auto" w:sz="0" w:space="0"/>
      </w:pBdr>
      <w:jc w:val="right"/>
      <w:rPr>
        <w:rFonts w:hint="default" w:ascii="黑体" w:hAnsi="黑体" w:eastAsia="黑体" w:cs="黑体"/>
        <w:sz w:val="21"/>
        <w:szCs w:val="21"/>
        <w:lang w:val="en-US"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GB/T XXXXX-XXXX</w:t>
    </w:r>
  </w:p>
  <w:p>
    <w:pPr>
      <w:pStyle w:val="22"/>
      <w:pBdr>
        <w:bottom w:val="none" w:color="auto" w:sz="0" w:space="0"/>
      </w:pBdr>
      <w:rPr>
        <w:rFonts w:hint="default" w:ascii="黑体" w:hAnsi="黑体" w:eastAsia="黑体" w:cs="黑体"/>
        <w:lang w:val="en-US"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rPr>
        <w:rFonts w:hint="default" w:ascii="黑体" w:hAnsi="黑体" w:eastAsia="黑体" w:cs="黑体"/>
        <w:sz w:val="21"/>
        <w:szCs w:val="21"/>
        <w:lang w:val="en-US" w:eastAsia="zh-CN"/>
      </w:rPr>
    </w:pPr>
    <w:r>
      <w:rPr>
        <w:rFonts w:hint="eastAsia" w:ascii="黑体" w:hAnsi="黑体" w:eastAsia="黑体" w:cs="黑体"/>
        <w:sz w:val="21"/>
        <w:szCs w:val="21"/>
        <w:lang w:val="en-US"/>
      </w:rPr>
      <w:t xml:space="preserve"> </w:t>
    </w:r>
    <w:r>
      <w:rPr>
        <w:rFonts w:hint="eastAsia" w:ascii="黑体" w:hAnsi="黑体" w:eastAsia="黑体" w:cs="黑体"/>
        <w:sz w:val="21"/>
        <w:szCs w:val="21"/>
        <w:lang w:val="en-US" w:eastAsia="zh-CN"/>
      </w:rPr>
      <w:t>GB/T XXXXX-XXXX</w:t>
    </w:r>
  </w:p>
  <w:p>
    <w:pPr>
      <w:pStyle w:val="22"/>
      <w:pBdr>
        <w:bottom w:val="none" w:color="auto" w:sz="0" w:space="0"/>
      </w:pBdr>
      <w:jc w:val="right"/>
      <w:rPr>
        <w:rFonts w:hint="default" w:ascii="黑体" w:hAnsi="黑体" w:eastAsia="黑体" w:cs="黑体"/>
        <w:sz w:val="21"/>
        <w:szCs w:val="21"/>
        <w:lang w:val="en-US"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left"/>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GB/T XXXXX-XXXX</w:t>
    </w:r>
  </w:p>
  <w:p>
    <w:pPr>
      <w:pStyle w:val="22"/>
      <w:pBdr>
        <w:bottom w:val="none" w:color="auto" w:sz="0" w:space="0"/>
      </w:pBdr>
      <w:rPr>
        <w:rFonts w:hint="default" w:ascii="黑体" w:hAnsi="黑体" w:eastAsia="黑体" w:cs="黑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6"/>
      <w:suff w:val="nothing"/>
      <w:lvlText w:val="%1%2.%3　"/>
      <w:lvlJc w:val="left"/>
      <w:pPr>
        <w:ind w:left="0" w:firstLine="0"/>
      </w:pPr>
      <w:rPr>
        <w:rFonts w:hint="eastAsia" w:ascii="黑体" w:hAnsi="Times New Roman" w:eastAsia="黑体"/>
        <w:b w:val="0"/>
        <w:i w:val="0"/>
        <w:sz w:val="21"/>
      </w:rPr>
    </w:lvl>
    <w:lvl w:ilvl="3" w:tentative="0">
      <w:start w:val="1"/>
      <w:numFmt w:val="decimal"/>
      <w:pStyle w:val="152"/>
      <w:suff w:val="nothing"/>
      <w:lvlText w:val="%1%2.%3.%4　"/>
      <w:lvlJc w:val="left"/>
      <w:pPr>
        <w:ind w:left="0" w:firstLine="0"/>
      </w:pPr>
      <w:rPr>
        <w:rFonts w:hint="eastAsia" w:ascii="黑体" w:hAnsi="Times New Roman" w:eastAsia="黑体"/>
        <w:b w:val="0"/>
        <w:i w:val="0"/>
        <w:sz w:val="21"/>
      </w:rPr>
    </w:lvl>
    <w:lvl w:ilvl="4" w:tentative="0">
      <w:start w:val="1"/>
      <w:numFmt w:val="decimal"/>
      <w:pStyle w:val="153"/>
      <w:suff w:val="nothing"/>
      <w:lvlText w:val="%1%2.%3.%4.%5　"/>
      <w:lvlJc w:val="left"/>
      <w:pPr>
        <w:ind w:left="0" w:firstLine="0"/>
      </w:pPr>
      <w:rPr>
        <w:rFonts w:hint="eastAsia" w:ascii="黑体" w:hAnsi="Times New Roman" w:eastAsia="黑体"/>
        <w:b w:val="0"/>
        <w:i w:val="0"/>
        <w:sz w:val="21"/>
      </w:rPr>
    </w:lvl>
    <w:lvl w:ilvl="5" w:tentative="0">
      <w:start w:val="1"/>
      <w:numFmt w:val="decimal"/>
      <w:pStyle w:val="154"/>
      <w:suff w:val="nothing"/>
      <w:lvlText w:val="%1%2.%3.%4.%5.%6　"/>
      <w:lvlJc w:val="left"/>
      <w:pPr>
        <w:ind w:left="0" w:firstLine="0"/>
      </w:pPr>
      <w:rPr>
        <w:rFonts w:hint="eastAsia" w:ascii="黑体" w:hAnsi="Times New Roman" w:eastAsia="黑体"/>
        <w:b w:val="0"/>
        <w:i w:val="0"/>
        <w:sz w:val="21"/>
      </w:rPr>
    </w:lvl>
    <w:lvl w:ilvl="6" w:tentative="0">
      <w:start w:val="1"/>
      <w:numFmt w:val="decimal"/>
      <w:pStyle w:val="1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6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9"/>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71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102"/>
      <w:suff w:val="space"/>
      <w:lvlText w:val="%1"/>
      <w:lvlJc w:val="left"/>
      <w:pPr>
        <w:ind w:left="623" w:hanging="425"/>
      </w:pPr>
      <w:rPr>
        <w:rFonts w:hint="eastAsia"/>
      </w:rPr>
    </w:lvl>
    <w:lvl w:ilvl="1" w:tentative="0">
      <w:start w:val="1"/>
      <w:numFmt w:val="decimal"/>
      <w:pStyle w:val="10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6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8"/>
      <w:lvlText w:val="%2)"/>
      <w:lvlJc w:val="left"/>
      <w:pPr>
        <w:tabs>
          <w:tab w:val="left" w:pos="1260"/>
        </w:tabs>
        <w:ind w:left="1259" w:hanging="419"/>
      </w:pPr>
      <w:rPr>
        <w:rFonts w:hint="eastAsia"/>
      </w:rPr>
    </w:lvl>
    <w:lvl w:ilvl="2" w:tentative="0">
      <w:start w:val="1"/>
      <w:numFmt w:val="decimal"/>
      <w:pStyle w:val="6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09"/>
      <w:lvlText w:val="%1)"/>
      <w:lvlJc w:val="left"/>
      <w:pPr>
        <w:tabs>
          <w:tab w:val="left" w:pos="839"/>
        </w:tabs>
        <w:ind w:left="839" w:hanging="419"/>
      </w:pPr>
      <w:rPr>
        <w:rFonts w:hint="eastAsia" w:ascii="宋体" w:eastAsia="宋体"/>
        <w:b w:val="0"/>
        <w:i w:val="0"/>
        <w:sz w:val="21"/>
      </w:rPr>
    </w:lvl>
    <w:lvl w:ilvl="1" w:tentative="0">
      <w:start w:val="1"/>
      <w:numFmt w:val="decimal"/>
      <w:pStyle w:val="9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removePersonalInformation/>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dit="forms"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mMjVhYTIzMjM5MzA3MDM1YzNjM2EzNzUzMjA2YWIifQ=="/>
  </w:docVars>
  <w:rsids>
    <w:rsidRoot w:val="00035925"/>
    <w:rsid w:val="00000244"/>
    <w:rsid w:val="0000185F"/>
    <w:rsid w:val="00002EFE"/>
    <w:rsid w:val="00003818"/>
    <w:rsid w:val="00004A27"/>
    <w:rsid w:val="0000541E"/>
    <w:rsid w:val="0000586F"/>
    <w:rsid w:val="00010911"/>
    <w:rsid w:val="000122C6"/>
    <w:rsid w:val="00013D86"/>
    <w:rsid w:val="00013E02"/>
    <w:rsid w:val="00014265"/>
    <w:rsid w:val="00015216"/>
    <w:rsid w:val="00015937"/>
    <w:rsid w:val="00015FB1"/>
    <w:rsid w:val="0002073C"/>
    <w:rsid w:val="0002143C"/>
    <w:rsid w:val="00022D94"/>
    <w:rsid w:val="00023ECE"/>
    <w:rsid w:val="00024454"/>
    <w:rsid w:val="00024F39"/>
    <w:rsid w:val="00025A65"/>
    <w:rsid w:val="00026427"/>
    <w:rsid w:val="00026C31"/>
    <w:rsid w:val="00027041"/>
    <w:rsid w:val="00027280"/>
    <w:rsid w:val="00027E3D"/>
    <w:rsid w:val="000320A7"/>
    <w:rsid w:val="000329C3"/>
    <w:rsid w:val="00033137"/>
    <w:rsid w:val="00033DBB"/>
    <w:rsid w:val="0003529E"/>
    <w:rsid w:val="00035925"/>
    <w:rsid w:val="00036188"/>
    <w:rsid w:val="0003739C"/>
    <w:rsid w:val="0004071E"/>
    <w:rsid w:val="00041B39"/>
    <w:rsid w:val="0004238F"/>
    <w:rsid w:val="000423BB"/>
    <w:rsid w:val="0004556D"/>
    <w:rsid w:val="000478EB"/>
    <w:rsid w:val="0005162D"/>
    <w:rsid w:val="00053A0D"/>
    <w:rsid w:val="00056280"/>
    <w:rsid w:val="000567F0"/>
    <w:rsid w:val="00056D7B"/>
    <w:rsid w:val="00057F40"/>
    <w:rsid w:val="000619E2"/>
    <w:rsid w:val="0006699F"/>
    <w:rsid w:val="000671C1"/>
    <w:rsid w:val="000679CD"/>
    <w:rsid w:val="00067CDF"/>
    <w:rsid w:val="00070135"/>
    <w:rsid w:val="00070317"/>
    <w:rsid w:val="00073AC6"/>
    <w:rsid w:val="00073E5F"/>
    <w:rsid w:val="00073F12"/>
    <w:rsid w:val="000743C8"/>
    <w:rsid w:val="00074433"/>
    <w:rsid w:val="00074DD2"/>
    <w:rsid w:val="00074FBE"/>
    <w:rsid w:val="00076478"/>
    <w:rsid w:val="00080822"/>
    <w:rsid w:val="0008130A"/>
    <w:rsid w:val="00083A09"/>
    <w:rsid w:val="000865B7"/>
    <w:rsid w:val="00086D41"/>
    <w:rsid w:val="000873EA"/>
    <w:rsid w:val="0009005E"/>
    <w:rsid w:val="000906F4"/>
    <w:rsid w:val="00090B5B"/>
    <w:rsid w:val="000924FE"/>
    <w:rsid w:val="00092857"/>
    <w:rsid w:val="00092F54"/>
    <w:rsid w:val="00095B1C"/>
    <w:rsid w:val="00095BDA"/>
    <w:rsid w:val="0009761F"/>
    <w:rsid w:val="000A1910"/>
    <w:rsid w:val="000A20A9"/>
    <w:rsid w:val="000A2E86"/>
    <w:rsid w:val="000A3773"/>
    <w:rsid w:val="000A39AA"/>
    <w:rsid w:val="000A48B1"/>
    <w:rsid w:val="000A55DB"/>
    <w:rsid w:val="000A5FA0"/>
    <w:rsid w:val="000A6C7B"/>
    <w:rsid w:val="000A7B90"/>
    <w:rsid w:val="000B0778"/>
    <w:rsid w:val="000B07F0"/>
    <w:rsid w:val="000B1614"/>
    <w:rsid w:val="000B3143"/>
    <w:rsid w:val="000B5F9E"/>
    <w:rsid w:val="000B71B8"/>
    <w:rsid w:val="000C15DC"/>
    <w:rsid w:val="000C2846"/>
    <w:rsid w:val="000C4AFE"/>
    <w:rsid w:val="000C6036"/>
    <w:rsid w:val="000C6B05"/>
    <w:rsid w:val="000C6DD6"/>
    <w:rsid w:val="000C73D4"/>
    <w:rsid w:val="000C75C1"/>
    <w:rsid w:val="000D07A6"/>
    <w:rsid w:val="000D1AC4"/>
    <w:rsid w:val="000D2B31"/>
    <w:rsid w:val="000D3D4C"/>
    <w:rsid w:val="000D4157"/>
    <w:rsid w:val="000D4F51"/>
    <w:rsid w:val="000D5141"/>
    <w:rsid w:val="000D6BAB"/>
    <w:rsid w:val="000D718B"/>
    <w:rsid w:val="000E0C46"/>
    <w:rsid w:val="000E3BD6"/>
    <w:rsid w:val="000E3CAC"/>
    <w:rsid w:val="000E40EC"/>
    <w:rsid w:val="000E521C"/>
    <w:rsid w:val="000E640D"/>
    <w:rsid w:val="000E6712"/>
    <w:rsid w:val="000E6DFE"/>
    <w:rsid w:val="000F030C"/>
    <w:rsid w:val="000F129C"/>
    <w:rsid w:val="000F30D1"/>
    <w:rsid w:val="00101E1F"/>
    <w:rsid w:val="001056DE"/>
    <w:rsid w:val="00105FDC"/>
    <w:rsid w:val="00106727"/>
    <w:rsid w:val="00107BF3"/>
    <w:rsid w:val="00110BC9"/>
    <w:rsid w:val="0011149A"/>
    <w:rsid w:val="0011245D"/>
    <w:rsid w:val="001124C0"/>
    <w:rsid w:val="001133A1"/>
    <w:rsid w:val="00113E5B"/>
    <w:rsid w:val="00114679"/>
    <w:rsid w:val="00120B99"/>
    <w:rsid w:val="0012190E"/>
    <w:rsid w:val="00122A91"/>
    <w:rsid w:val="00127E39"/>
    <w:rsid w:val="00127F98"/>
    <w:rsid w:val="0013141E"/>
    <w:rsid w:val="0013175F"/>
    <w:rsid w:val="00131F2B"/>
    <w:rsid w:val="001335FD"/>
    <w:rsid w:val="00134F68"/>
    <w:rsid w:val="0013524D"/>
    <w:rsid w:val="001352BB"/>
    <w:rsid w:val="00135878"/>
    <w:rsid w:val="00135EA8"/>
    <w:rsid w:val="0014064E"/>
    <w:rsid w:val="00140F15"/>
    <w:rsid w:val="00142F95"/>
    <w:rsid w:val="00143652"/>
    <w:rsid w:val="00143A5B"/>
    <w:rsid w:val="00144084"/>
    <w:rsid w:val="0014412D"/>
    <w:rsid w:val="00146485"/>
    <w:rsid w:val="001504C5"/>
    <w:rsid w:val="001512B4"/>
    <w:rsid w:val="001516E3"/>
    <w:rsid w:val="001522B4"/>
    <w:rsid w:val="00152773"/>
    <w:rsid w:val="00160B31"/>
    <w:rsid w:val="001620A5"/>
    <w:rsid w:val="001622CD"/>
    <w:rsid w:val="00163982"/>
    <w:rsid w:val="00164A4E"/>
    <w:rsid w:val="00164DAE"/>
    <w:rsid w:val="00164E40"/>
    <w:rsid w:val="00164E53"/>
    <w:rsid w:val="00166551"/>
    <w:rsid w:val="0016699D"/>
    <w:rsid w:val="00166E8D"/>
    <w:rsid w:val="00171F90"/>
    <w:rsid w:val="001739AE"/>
    <w:rsid w:val="00173F9E"/>
    <w:rsid w:val="00175159"/>
    <w:rsid w:val="00176208"/>
    <w:rsid w:val="001764E6"/>
    <w:rsid w:val="001805C9"/>
    <w:rsid w:val="0018211B"/>
    <w:rsid w:val="001824AC"/>
    <w:rsid w:val="001836E9"/>
    <w:rsid w:val="001840D3"/>
    <w:rsid w:val="00185995"/>
    <w:rsid w:val="001869F2"/>
    <w:rsid w:val="001877AD"/>
    <w:rsid w:val="00187F11"/>
    <w:rsid w:val="001900F8"/>
    <w:rsid w:val="0019026F"/>
    <w:rsid w:val="00191258"/>
    <w:rsid w:val="00192680"/>
    <w:rsid w:val="00193037"/>
    <w:rsid w:val="00193676"/>
    <w:rsid w:val="00193A2C"/>
    <w:rsid w:val="001A288E"/>
    <w:rsid w:val="001A2C6E"/>
    <w:rsid w:val="001A2D93"/>
    <w:rsid w:val="001A516C"/>
    <w:rsid w:val="001B31B3"/>
    <w:rsid w:val="001B3A15"/>
    <w:rsid w:val="001B3EF3"/>
    <w:rsid w:val="001B5F47"/>
    <w:rsid w:val="001B64CA"/>
    <w:rsid w:val="001B68BC"/>
    <w:rsid w:val="001B6DC2"/>
    <w:rsid w:val="001C130A"/>
    <w:rsid w:val="001C149C"/>
    <w:rsid w:val="001C1AD2"/>
    <w:rsid w:val="001C21AC"/>
    <w:rsid w:val="001C2B05"/>
    <w:rsid w:val="001C47BA"/>
    <w:rsid w:val="001C59EA"/>
    <w:rsid w:val="001C5DF2"/>
    <w:rsid w:val="001C7492"/>
    <w:rsid w:val="001C7568"/>
    <w:rsid w:val="001D0241"/>
    <w:rsid w:val="001D0DED"/>
    <w:rsid w:val="001D3F1B"/>
    <w:rsid w:val="001D406C"/>
    <w:rsid w:val="001D41EE"/>
    <w:rsid w:val="001D4315"/>
    <w:rsid w:val="001D5265"/>
    <w:rsid w:val="001D66A6"/>
    <w:rsid w:val="001D7D9C"/>
    <w:rsid w:val="001E0380"/>
    <w:rsid w:val="001E13B1"/>
    <w:rsid w:val="001E3B62"/>
    <w:rsid w:val="001E5961"/>
    <w:rsid w:val="001E68DC"/>
    <w:rsid w:val="001F0C79"/>
    <w:rsid w:val="001F129D"/>
    <w:rsid w:val="001F2639"/>
    <w:rsid w:val="001F2C35"/>
    <w:rsid w:val="001F3026"/>
    <w:rsid w:val="001F3A19"/>
    <w:rsid w:val="001F4A90"/>
    <w:rsid w:val="0020028D"/>
    <w:rsid w:val="00200CC3"/>
    <w:rsid w:val="00203F32"/>
    <w:rsid w:val="00204A93"/>
    <w:rsid w:val="00205FBF"/>
    <w:rsid w:val="00210832"/>
    <w:rsid w:val="00211FA2"/>
    <w:rsid w:val="00213563"/>
    <w:rsid w:val="00213E06"/>
    <w:rsid w:val="002177E5"/>
    <w:rsid w:val="002205C2"/>
    <w:rsid w:val="00227B87"/>
    <w:rsid w:val="00234467"/>
    <w:rsid w:val="00235885"/>
    <w:rsid w:val="00237D8D"/>
    <w:rsid w:val="00237E05"/>
    <w:rsid w:val="00241671"/>
    <w:rsid w:val="00241DA2"/>
    <w:rsid w:val="00247FEE"/>
    <w:rsid w:val="00250E7D"/>
    <w:rsid w:val="00251975"/>
    <w:rsid w:val="00252E55"/>
    <w:rsid w:val="00252E8E"/>
    <w:rsid w:val="002544B3"/>
    <w:rsid w:val="00254A31"/>
    <w:rsid w:val="00255651"/>
    <w:rsid w:val="002565D5"/>
    <w:rsid w:val="002622C0"/>
    <w:rsid w:val="00262AE9"/>
    <w:rsid w:val="00264305"/>
    <w:rsid w:val="00266C64"/>
    <w:rsid w:val="00267E97"/>
    <w:rsid w:val="0027176D"/>
    <w:rsid w:val="00275967"/>
    <w:rsid w:val="002778AE"/>
    <w:rsid w:val="00280E9E"/>
    <w:rsid w:val="0028269A"/>
    <w:rsid w:val="00283590"/>
    <w:rsid w:val="00283D25"/>
    <w:rsid w:val="00284670"/>
    <w:rsid w:val="0028694B"/>
    <w:rsid w:val="00286973"/>
    <w:rsid w:val="00286AC1"/>
    <w:rsid w:val="00286B84"/>
    <w:rsid w:val="00287F6E"/>
    <w:rsid w:val="00290FDF"/>
    <w:rsid w:val="00293229"/>
    <w:rsid w:val="00293358"/>
    <w:rsid w:val="00294A38"/>
    <w:rsid w:val="00294E70"/>
    <w:rsid w:val="002A1083"/>
    <w:rsid w:val="002A168A"/>
    <w:rsid w:val="002A1924"/>
    <w:rsid w:val="002A478D"/>
    <w:rsid w:val="002A5DDF"/>
    <w:rsid w:val="002A601C"/>
    <w:rsid w:val="002A7420"/>
    <w:rsid w:val="002A7DE5"/>
    <w:rsid w:val="002B0F12"/>
    <w:rsid w:val="002B1224"/>
    <w:rsid w:val="002B12C4"/>
    <w:rsid w:val="002B1308"/>
    <w:rsid w:val="002B4554"/>
    <w:rsid w:val="002B4598"/>
    <w:rsid w:val="002B605C"/>
    <w:rsid w:val="002B6F2C"/>
    <w:rsid w:val="002B7AB0"/>
    <w:rsid w:val="002C13C5"/>
    <w:rsid w:val="002C63B1"/>
    <w:rsid w:val="002C72D8"/>
    <w:rsid w:val="002D11FA"/>
    <w:rsid w:val="002D1590"/>
    <w:rsid w:val="002D229C"/>
    <w:rsid w:val="002D4C23"/>
    <w:rsid w:val="002D63F8"/>
    <w:rsid w:val="002D789D"/>
    <w:rsid w:val="002E00FA"/>
    <w:rsid w:val="002E072E"/>
    <w:rsid w:val="002E0DDF"/>
    <w:rsid w:val="002E0F67"/>
    <w:rsid w:val="002E197B"/>
    <w:rsid w:val="002E2906"/>
    <w:rsid w:val="002E3005"/>
    <w:rsid w:val="002E479B"/>
    <w:rsid w:val="002E5635"/>
    <w:rsid w:val="002E64C3"/>
    <w:rsid w:val="002E6A2C"/>
    <w:rsid w:val="002E7DC0"/>
    <w:rsid w:val="002F1D8C"/>
    <w:rsid w:val="002F21DA"/>
    <w:rsid w:val="002F2A06"/>
    <w:rsid w:val="002F2A2E"/>
    <w:rsid w:val="002F2E0E"/>
    <w:rsid w:val="002F3572"/>
    <w:rsid w:val="002F3C8D"/>
    <w:rsid w:val="002F6F52"/>
    <w:rsid w:val="00301F39"/>
    <w:rsid w:val="0030214B"/>
    <w:rsid w:val="00303D09"/>
    <w:rsid w:val="00304130"/>
    <w:rsid w:val="003072D6"/>
    <w:rsid w:val="003102DF"/>
    <w:rsid w:val="0031050E"/>
    <w:rsid w:val="0031158A"/>
    <w:rsid w:val="003137C4"/>
    <w:rsid w:val="0031434D"/>
    <w:rsid w:val="00315ACD"/>
    <w:rsid w:val="003204BE"/>
    <w:rsid w:val="00322F03"/>
    <w:rsid w:val="00324E79"/>
    <w:rsid w:val="003253AF"/>
    <w:rsid w:val="003254C0"/>
    <w:rsid w:val="00325926"/>
    <w:rsid w:val="00325F0B"/>
    <w:rsid w:val="00326A69"/>
    <w:rsid w:val="00327A8A"/>
    <w:rsid w:val="00331059"/>
    <w:rsid w:val="003315F6"/>
    <w:rsid w:val="0033365E"/>
    <w:rsid w:val="00334C3F"/>
    <w:rsid w:val="003358E3"/>
    <w:rsid w:val="00336610"/>
    <w:rsid w:val="00336A5E"/>
    <w:rsid w:val="00336F5E"/>
    <w:rsid w:val="0034002C"/>
    <w:rsid w:val="003415DB"/>
    <w:rsid w:val="00342B27"/>
    <w:rsid w:val="00343F73"/>
    <w:rsid w:val="003446C9"/>
    <w:rsid w:val="00344C3E"/>
    <w:rsid w:val="00345060"/>
    <w:rsid w:val="00346114"/>
    <w:rsid w:val="00346FC6"/>
    <w:rsid w:val="0034702C"/>
    <w:rsid w:val="00353044"/>
    <w:rsid w:val="0035323B"/>
    <w:rsid w:val="00353DA2"/>
    <w:rsid w:val="00354E0C"/>
    <w:rsid w:val="00356839"/>
    <w:rsid w:val="00360314"/>
    <w:rsid w:val="003609D2"/>
    <w:rsid w:val="00360F36"/>
    <w:rsid w:val="00360FBC"/>
    <w:rsid w:val="00361B06"/>
    <w:rsid w:val="00363F22"/>
    <w:rsid w:val="00364666"/>
    <w:rsid w:val="00364E71"/>
    <w:rsid w:val="003670F3"/>
    <w:rsid w:val="00367E68"/>
    <w:rsid w:val="00370565"/>
    <w:rsid w:val="00373871"/>
    <w:rsid w:val="00375564"/>
    <w:rsid w:val="00375C42"/>
    <w:rsid w:val="003776BD"/>
    <w:rsid w:val="00383191"/>
    <w:rsid w:val="0038374A"/>
    <w:rsid w:val="0038375A"/>
    <w:rsid w:val="00386DED"/>
    <w:rsid w:val="00387041"/>
    <w:rsid w:val="0038728B"/>
    <w:rsid w:val="003912E7"/>
    <w:rsid w:val="00392307"/>
    <w:rsid w:val="00393947"/>
    <w:rsid w:val="00394713"/>
    <w:rsid w:val="00394E9B"/>
    <w:rsid w:val="00395D02"/>
    <w:rsid w:val="003970EB"/>
    <w:rsid w:val="003A0E83"/>
    <w:rsid w:val="003A2275"/>
    <w:rsid w:val="003A4FDA"/>
    <w:rsid w:val="003A5089"/>
    <w:rsid w:val="003A6A4F"/>
    <w:rsid w:val="003A7088"/>
    <w:rsid w:val="003B00DF"/>
    <w:rsid w:val="003B1275"/>
    <w:rsid w:val="003B1778"/>
    <w:rsid w:val="003B211A"/>
    <w:rsid w:val="003B39D2"/>
    <w:rsid w:val="003B4057"/>
    <w:rsid w:val="003B4DA1"/>
    <w:rsid w:val="003B696D"/>
    <w:rsid w:val="003B7CE5"/>
    <w:rsid w:val="003C0731"/>
    <w:rsid w:val="003C11CB"/>
    <w:rsid w:val="003C2090"/>
    <w:rsid w:val="003C31E7"/>
    <w:rsid w:val="003C465F"/>
    <w:rsid w:val="003C4A04"/>
    <w:rsid w:val="003C4AEB"/>
    <w:rsid w:val="003C537C"/>
    <w:rsid w:val="003C75F3"/>
    <w:rsid w:val="003C78A3"/>
    <w:rsid w:val="003D09CE"/>
    <w:rsid w:val="003D2E24"/>
    <w:rsid w:val="003D3B1E"/>
    <w:rsid w:val="003D677A"/>
    <w:rsid w:val="003E041E"/>
    <w:rsid w:val="003E0D16"/>
    <w:rsid w:val="003E14FD"/>
    <w:rsid w:val="003E1867"/>
    <w:rsid w:val="003E18A8"/>
    <w:rsid w:val="003E21D7"/>
    <w:rsid w:val="003E37FA"/>
    <w:rsid w:val="003E3AD7"/>
    <w:rsid w:val="003E5729"/>
    <w:rsid w:val="003E574A"/>
    <w:rsid w:val="003E6F25"/>
    <w:rsid w:val="003F1558"/>
    <w:rsid w:val="003F4EE0"/>
    <w:rsid w:val="003F6880"/>
    <w:rsid w:val="00400CA4"/>
    <w:rsid w:val="00402153"/>
    <w:rsid w:val="00402FC1"/>
    <w:rsid w:val="00403509"/>
    <w:rsid w:val="004040AE"/>
    <w:rsid w:val="004041DD"/>
    <w:rsid w:val="004059EE"/>
    <w:rsid w:val="00407433"/>
    <w:rsid w:val="00407FDC"/>
    <w:rsid w:val="004108B2"/>
    <w:rsid w:val="00417203"/>
    <w:rsid w:val="004177BD"/>
    <w:rsid w:val="00422406"/>
    <w:rsid w:val="0042333E"/>
    <w:rsid w:val="0042477C"/>
    <w:rsid w:val="00425082"/>
    <w:rsid w:val="0042751B"/>
    <w:rsid w:val="00430D98"/>
    <w:rsid w:val="00431553"/>
    <w:rsid w:val="00431DEB"/>
    <w:rsid w:val="004337E9"/>
    <w:rsid w:val="00433C35"/>
    <w:rsid w:val="004361A3"/>
    <w:rsid w:val="00437E83"/>
    <w:rsid w:val="00446B29"/>
    <w:rsid w:val="00447151"/>
    <w:rsid w:val="0045006F"/>
    <w:rsid w:val="004503DF"/>
    <w:rsid w:val="00450DF4"/>
    <w:rsid w:val="00451D27"/>
    <w:rsid w:val="00453B9F"/>
    <w:rsid w:val="00453D65"/>
    <w:rsid w:val="00453F9A"/>
    <w:rsid w:val="00454C24"/>
    <w:rsid w:val="004555C8"/>
    <w:rsid w:val="00456BC0"/>
    <w:rsid w:val="004601DC"/>
    <w:rsid w:val="00462701"/>
    <w:rsid w:val="004627FE"/>
    <w:rsid w:val="00462E5A"/>
    <w:rsid w:val="004637C0"/>
    <w:rsid w:val="00464AD1"/>
    <w:rsid w:val="0047015B"/>
    <w:rsid w:val="00470476"/>
    <w:rsid w:val="00471E91"/>
    <w:rsid w:val="00474675"/>
    <w:rsid w:val="0047470C"/>
    <w:rsid w:val="004771B7"/>
    <w:rsid w:val="00485910"/>
    <w:rsid w:val="00487C9C"/>
    <w:rsid w:val="0049063E"/>
    <w:rsid w:val="00492DCF"/>
    <w:rsid w:val="00496222"/>
    <w:rsid w:val="00497D4C"/>
    <w:rsid w:val="004A0541"/>
    <w:rsid w:val="004A0C0F"/>
    <w:rsid w:val="004A2EE3"/>
    <w:rsid w:val="004A2EF4"/>
    <w:rsid w:val="004A35F9"/>
    <w:rsid w:val="004A43EE"/>
    <w:rsid w:val="004A48B3"/>
    <w:rsid w:val="004A4F85"/>
    <w:rsid w:val="004B24C1"/>
    <w:rsid w:val="004B51A4"/>
    <w:rsid w:val="004B5D36"/>
    <w:rsid w:val="004B740C"/>
    <w:rsid w:val="004B7B25"/>
    <w:rsid w:val="004C1633"/>
    <w:rsid w:val="004C292F"/>
    <w:rsid w:val="004C295C"/>
    <w:rsid w:val="004C4624"/>
    <w:rsid w:val="004C6192"/>
    <w:rsid w:val="004C665A"/>
    <w:rsid w:val="004D017B"/>
    <w:rsid w:val="004D1371"/>
    <w:rsid w:val="004D345E"/>
    <w:rsid w:val="004D58A7"/>
    <w:rsid w:val="004D68D0"/>
    <w:rsid w:val="004D7235"/>
    <w:rsid w:val="004E1054"/>
    <w:rsid w:val="004E1226"/>
    <w:rsid w:val="004E19BB"/>
    <w:rsid w:val="004E5D0C"/>
    <w:rsid w:val="004E66A0"/>
    <w:rsid w:val="004F43B9"/>
    <w:rsid w:val="004F4A2D"/>
    <w:rsid w:val="004F4C1E"/>
    <w:rsid w:val="004F4F78"/>
    <w:rsid w:val="004F5C56"/>
    <w:rsid w:val="004F738A"/>
    <w:rsid w:val="005007EE"/>
    <w:rsid w:val="00501C10"/>
    <w:rsid w:val="00502901"/>
    <w:rsid w:val="005038FE"/>
    <w:rsid w:val="005039B7"/>
    <w:rsid w:val="005040C4"/>
    <w:rsid w:val="005064BE"/>
    <w:rsid w:val="00506EEF"/>
    <w:rsid w:val="00510280"/>
    <w:rsid w:val="00511022"/>
    <w:rsid w:val="005133EC"/>
    <w:rsid w:val="00513D73"/>
    <w:rsid w:val="005144A2"/>
    <w:rsid w:val="00514A43"/>
    <w:rsid w:val="005160F1"/>
    <w:rsid w:val="00516D52"/>
    <w:rsid w:val="005174E5"/>
    <w:rsid w:val="0052086C"/>
    <w:rsid w:val="00522393"/>
    <w:rsid w:val="00522620"/>
    <w:rsid w:val="0052477A"/>
    <w:rsid w:val="0052554A"/>
    <w:rsid w:val="00525656"/>
    <w:rsid w:val="0052707C"/>
    <w:rsid w:val="0053000A"/>
    <w:rsid w:val="00531AD1"/>
    <w:rsid w:val="00534C02"/>
    <w:rsid w:val="005371E9"/>
    <w:rsid w:val="0054233E"/>
    <w:rsid w:val="0054264B"/>
    <w:rsid w:val="005426B4"/>
    <w:rsid w:val="00542A7C"/>
    <w:rsid w:val="005430C1"/>
    <w:rsid w:val="00543298"/>
    <w:rsid w:val="0054362D"/>
    <w:rsid w:val="00543786"/>
    <w:rsid w:val="00543F3E"/>
    <w:rsid w:val="005454FD"/>
    <w:rsid w:val="005463E6"/>
    <w:rsid w:val="00547C78"/>
    <w:rsid w:val="00551827"/>
    <w:rsid w:val="005520E0"/>
    <w:rsid w:val="005533D7"/>
    <w:rsid w:val="00554B82"/>
    <w:rsid w:val="00555C69"/>
    <w:rsid w:val="0055685E"/>
    <w:rsid w:val="005577E4"/>
    <w:rsid w:val="00557D44"/>
    <w:rsid w:val="00562861"/>
    <w:rsid w:val="00563417"/>
    <w:rsid w:val="005703DE"/>
    <w:rsid w:val="00570AC8"/>
    <w:rsid w:val="00572A98"/>
    <w:rsid w:val="00572D79"/>
    <w:rsid w:val="00573010"/>
    <w:rsid w:val="005738D2"/>
    <w:rsid w:val="005763BC"/>
    <w:rsid w:val="00582710"/>
    <w:rsid w:val="00582999"/>
    <w:rsid w:val="0058311E"/>
    <w:rsid w:val="00583238"/>
    <w:rsid w:val="00583AA5"/>
    <w:rsid w:val="0058464E"/>
    <w:rsid w:val="00585518"/>
    <w:rsid w:val="00585DC6"/>
    <w:rsid w:val="00586DF8"/>
    <w:rsid w:val="00591D31"/>
    <w:rsid w:val="00594786"/>
    <w:rsid w:val="0059492D"/>
    <w:rsid w:val="005A01CB"/>
    <w:rsid w:val="005A0EC5"/>
    <w:rsid w:val="005A130B"/>
    <w:rsid w:val="005A3429"/>
    <w:rsid w:val="005A3C86"/>
    <w:rsid w:val="005A4A28"/>
    <w:rsid w:val="005A58FF"/>
    <w:rsid w:val="005A5EAF"/>
    <w:rsid w:val="005A5F31"/>
    <w:rsid w:val="005A64C0"/>
    <w:rsid w:val="005B077D"/>
    <w:rsid w:val="005B3C11"/>
    <w:rsid w:val="005B4F7D"/>
    <w:rsid w:val="005B7C4B"/>
    <w:rsid w:val="005C173D"/>
    <w:rsid w:val="005C1C28"/>
    <w:rsid w:val="005C4F53"/>
    <w:rsid w:val="005C4FEA"/>
    <w:rsid w:val="005C56C1"/>
    <w:rsid w:val="005C6DB5"/>
    <w:rsid w:val="005C78D9"/>
    <w:rsid w:val="005D04FA"/>
    <w:rsid w:val="005D07B5"/>
    <w:rsid w:val="005D6A64"/>
    <w:rsid w:val="005D7C39"/>
    <w:rsid w:val="005E1325"/>
    <w:rsid w:val="005E19E7"/>
    <w:rsid w:val="005E5D75"/>
    <w:rsid w:val="005E6D78"/>
    <w:rsid w:val="005F0E4D"/>
    <w:rsid w:val="005F1698"/>
    <w:rsid w:val="005F1712"/>
    <w:rsid w:val="005F1AA2"/>
    <w:rsid w:val="005F2647"/>
    <w:rsid w:val="005F635E"/>
    <w:rsid w:val="00601BB3"/>
    <w:rsid w:val="00604973"/>
    <w:rsid w:val="006069FD"/>
    <w:rsid w:val="00612349"/>
    <w:rsid w:val="00612F08"/>
    <w:rsid w:val="0061416C"/>
    <w:rsid w:val="0061628E"/>
    <w:rsid w:val="00616347"/>
    <w:rsid w:val="006163C6"/>
    <w:rsid w:val="0061716C"/>
    <w:rsid w:val="006176F6"/>
    <w:rsid w:val="00617AA4"/>
    <w:rsid w:val="00620F4D"/>
    <w:rsid w:val="006210C1"/>
    <w:rsid w:val="00621EFC"/>
    <w:rsid w:val="00623177"/>
    <w:rsid w:val="006243A1"/>
    <w:rsid w:val="006269F0"/>
    <w:rsid w:val="00626B77"/>
    <w:rsid w:val="00627090"/>
    <w:rsid w:val="00627A7C"/>
    <w:rsid w:val="006317FE"/>
    <w:rsid w:val="00632E56"/>
    <w:rsid w:val="006341B4"/>
    <w:rsid w:val="00635434"/>
    <w:rsid w:val="0063571B"/>
    <w:rsid w:val="00635CBA"/>
    <w:rsid w:val="00636801"/>
    <w:rsid w:val="00640295"/>
    <w:rsid w:val="00641125"/>
    <w:rsid w:val="0064338B"/>
    <w:rsid w:val="00646017"/>
    <w:rsid w:val="006461F6"/>
    <w:rsid w:val="00646542"/>
    <w:rsid w:val="006501FF"/>
    <w:rsid w:val="006504F4"/>
    <w:rsid w:val="006509BE"/>
    <w:rsid w:val="00654BC9"/>
    <w:rsid w:val="006552FD"/>
    <w:rsid w:val="006605AC"/>
    <w:rsid w:val="00660739"/>
    <w:rsid w:val="0066089F"/>
    <w:rsid w:val="00663AF3"/>
    <w:rsid w:val="00664EAC"/>
    <w:rsid w:val="00665480"/>
    <w:rsid w:val="00665A59"/>
    <w:rsid w:val="00665D55"/>
    <w:rsid w:val="00666B6C"/>
    <w:rsid w:val="006701F8"/>
    <w:rsid w:val="006705AF"/>
    <w:rsid w:val="006706F6"/>
    <w:rsid w:val="00672DCD"/>
    <w:rsid w:val="00673234"/>
    <w:rsid w:val="0067399B"/>
    <w:rsid w:val="00675454"/>
    <w:rsid w:val="006819CA"/>
    <w:rsid w:val="00682682"/>
    <w:rsid w:val="00682702"/>
    <w:rsid w:val="00683A37"/>
    <w:rsid w:val="00684956"/>
    <w:rsid w:val="006852D2"/>
    <w:rsid w:val="0068568E"/>
    <w:rsid w:val="006863C8"/>
    <w:rsid w:val="006905FA"/>
    <w:rsid w:val="00692368"/>
    <w:rsid w:val="00694C70"/>
    <w:rsid w:val="00696564"/>
    <w:rsid w:val="0069725A"/>
    <w:rsid w:val="006A2E42"/>
    <w:rsid w:val="006A2EBC"/>
    <w:rsid w:val="006A5EA0"/>
    <w:rsid w:val="006A73E2"/>
    <w:rsid w:val="006A783B"/>
    <w:rsid w:val="006A7B33"/>
    <w:rsid w:val="006B19BE"/>
    <w:rsid w:val="006B1C51"/>
    <w:rsid w:val="006B230C"/>
    <w:rsid w:val="006B2E77"/>
    <w:rsid w:val="006B3CDA"/>
    <w:rsid w:val="006B4E13"/>
    <w:rsid w:val="006B6126"/>
    <w:rsid w:val="006B66D7"/>
    <w:rsid w:val="006B6860"/>
    <w:rsid w:val="006B75DD"/>
    <w:rsid w:val="006B7D2A"/>
    <w:rsid w:val="006C050B"/>
    <w:rsid w:val="006C0B6B"/>
    <w:rsid w:val="006C11C9"/>
    <w:rsid w:val="006C158C"/>
    <w:rsid w:val="006C1E74"/>
    <w:rsid w:val="006C67E0"/>
    <w:rsid w:val="006C7305"/>
    <w:rsid w:val="006C7ABA"/>
    <w:rsid w:val="006D0391"/>
    <w:rsid w:val="006D03B0"/>
    <w:rsid w:val="006D0D60"/>
    <w:rsid w:val="006D1122"/>
    <w:rsid w:val="006D3C00"/>
    <w:rsid w:val="006D69E4"/>
    <w:rsid w:val="006D6DE2"/>
    <w:rsid w:val="006E3675"/>
    <w:rsid w:val="006E453C"/>
    <w:rsid w:val="006E46D4"/>
    <w:rsid w:val="006E49D9"/>
    <w:rsid w:val="006E4A7F"/>
    <w:rsid w:val="006E4F32"/>
    <w:rsid w:val="006F129D"/>
    <w:rsid w:val="006F2201"/>
    <w:rsid w:val="006F4B0E"/>
    <w:rsid w:val="0070106A"/>
    <w:rsid w:val="007049E7"/>
    <w:rsid w:val="00704DF6"/>
    <w:rsid w:val="0070651C"/>
    <w:rsid w:val="00706E50"/>
    <w:rsid w:val="007132A3"/>
    <w:rsid w:val="00716421"/>
    <w:rsid w:val="00716D92"/>
    <w:rsid w:val="007171EA"/>
    <w:rsid w:val="00721A40"/>
    <w:rsid w:val="00721B23"/>
    <w:rsid w:val="00722663"/>
    <w:rsid w:val="00723161"/>
    <w:rsid w:val="00723C17"/>
    <w:rsid w:val="0072407A"/>
    <w:rsid w:val="00724EFB"/>
    <w:rsid w:val="007265F1"/>
    <w:rsid w:val="00730644"/>
    <w:rsid w:val="0073298F"/>
    <w:rsid w:val="00732D15"/>
    <w:rsid w:val="00737FF0"/>
    <w:rsid w:val="00740BF1"/>
    <w:rsid w:val="007419C3"/>
    <w:rsid w:val="007420D7"/>
    <w:rsid w:val="00743ED7"/>
    <w:rsid w:val="007467A7"/>
    <w:rsid w:val="007469DD"/>
    <w:rsid w:val="007471AC"/>
    <w:rsid w:val="0074741B"/>
    <w:rsid w:val="0074759E"/>
    <w:rsid w:val="007478EA"/>
    <w:rsid w:val="007521F8"/>
    <w:rsid w:val="00753054"/>
    <w:rsid w:val="0075415C"/>
    <w:rsid w:val="007544C3"/>
    <w:rsid w:val="007549DE"/>
    <w:rsid w:val="00754D26"/>
    <w:rsid w:val="00756401"/>
    <w:rsid w:val="0075797F"/>
    <w:rsid w:val="00760AFE"/>
    <w:rsid w:val="00763085"/>
    <w:rsid w:val="00763502"/>
    <w:rsid w:val="00770953"/>
    <w:rsid w:val="00773643"/>
    <w:rsid w:val="00775DFF"/>
    <w:rsid w:val="00785CC4"/>
    <w:rsid w:val="00786CA7"/>
    <w:rsid w:val="00787087"/>
    <w:rsid w:val="007913AB"/>
    <w:rsid w:val="007914F7"/>
    <w:rsid w:val="007915AD"/>
    <w:rsid w:val="00793E14"/>
    <w:rsid w:val="00794560"/>
    <w:rsid w:val="00794E4D"/>
    <w:rsid w:val="00796953"/>
    <w:rsid w:val="00796BF3"/>
    <w:rsid w:val="007A254B"/>
    <w:rsid w:val="007A3662"/>
    <w:rsid w:val="007A3718"/>
    <w:rsid w:val="007A740A"/>
    <w:rsid w:val="007B1625"/>
    <w:rsid w:val="007B3218"/>
    <w:rsid w:val="007B34E5"/>
    <w:rsid w:val="007B3622"/>
    <w:rsid w:val="007B37C8"/>
    <w:rsid w:val="007B46AF"/>
    <w:rsid w:val="007B4EAE"/>
    <w:rsid w:val="007B5167"/>
    <w:rsid w:val="007B5983"/>
    <w:rsid w:val="007B706E"/>
    <w:rsid w:val="007B71EB"/>
    <w:rsid w:val="007C15C8"/>
    <w:rsid w:val="007C38B5"/>
    <w:rsid w:val="007C3C10"/>
    <w:rsid w:val="007C4D05"/>
    <w:rsid w:val="007C6205"/>
    <w:rsid w:val="007C686A"/>
    <w:rsid w:val="007C7052"/>
    <w:rsid w:val="007C728E"/>
    <w:rsid w:val="007C75A8"/>
    <w:rsid w:val="007C76BD"/>
    <w:rsid w:val="007D2C53"/>
    <w:rsid w:val="007D33AF"/>
    <w:rsid w:val="007D3636"/>
    <w:rsid w:val="007D3D60"/>
    <w:rsid w:val="007D423B"/>
    <w:rsid w:val="007D7FB6"/>
    <w:rsid w:val="007E168C"/>
    <w:rsid w:val="007E1980"/>
    <w:rsid w:val="007E4063"/>
    <w:rsid w:val="007E4500"/>
    <w:rsid w:val="007E4B76"/>
    <w:rsid w:val="007E4EE7"/>
    <w:rsid w:val="007E4FC0"/>
    <w:rsid w:val="007E53C3"/>
    <w:rsid w:val="007E5EA8"/>
    <w:rsid w:val="007E653D"/>
    <w:rsid w:val="007F0CF1"/>
    <w:rsid w:val="007F114E"/>
    <w:rsid w:val="007F12A5"/>
    <w:rsid w:val="007F1353"/>
    <w:rsid w:val="007F1354"/>
    <w:rsid w:val="007F13FF"/>
    <w:rsid w:val="007F1A32"/>
    <w:rsid w:val="007F1A33"/>
    <w:rsid w:val="007F1AD9"/>
    <w:rsid w:val="007F2EB5"/>
    <w:rsid w:val="007F3362"/>
    <w:rsid w:val="007F3905"/>
    <w:rsid w:val="007F4CF1"/>
    <w:rsid w:val="007F758D"/>
    <w:rsid w:val="007F7D52"/>
    <w:rsid w:val="00800298"/>
    <w:rsid w:val="00803118"/>
    <w:rsid w:val="00806079"/>
    <w:rsid w:val="0080654C"/>
    <w:rsid w:val="0080703B"/>
    <w:rsid w:val="008071C6"/>
    <w:rsid w:val="008125B5"/>
    <w:rsid w:val="00813309"/>
    <w:rsid w:val="008172EE"/>
    <w:rsid w:val="00817A00"/>
    <w:rsid w:val="00820D34"/>
    <w:rsid w:val="008213F9"/>
    <w:rsid w:val="008226D6"/>
    <w:rsid w:val="00822918"/>
    <w:rsid w:val="0082473A"/>
    <w:rsid w:val="00824FAD"/>
    <w:rsid w:val="0083390C"/>
    <w:rsid w:val="0083410B"/>
    <w:rsid w:val="008344A2"/>
    <w:rsid w:val="0083510B"/>
    <w:rsid w:val="00835DB3"/>
    <w:rsid w:val="00835EFA"/>
    <w:rsid w:val="0083617B"/>
    <w:rsid w:val="008364FE"/>
    <w:rsid w:val="0083677C"/>
    <w:rsid w:val="008371BD"/>
    <w:rsid w:val="008372BB"/>
    <w:rsid w:val="00837AA9"/>
    <w:rsid w:val="00837CD5"/>
    <w:rsid w:val="00837FD1"/>
    <w:rsid w:val="00844B63"/>
    <w:rsid w:val="008456F4"/>
    <w:rsid w:val="00845842"/>
    <w:rsid w:val="00847801"/>
    <w:rsid w:val="008504A8"/>
    <w:rsid w:val="0085282E"/>
    <w:rsid w:val="0085541B"/>
    <w:rsid w:val="008600D0"/>
    <w:rsid w:val="00861BF0"/>
    <w:rsid w:val="0086257A"/>
    <w:rsid w:val="00864FF6"/>
    <w:rsid w:val="008651E2"/>
    <w:rsid w:val="00865BC9"/>
    <w:rsid w:val="008662DB"/>
    <w:rsid w:val="008664B9"/>
    <w:rsid w:val="008668B8"/>
    <w:rsid w:val="00866963"/>
    <w:rsid w:val="00871923"/>
    <w:rsid w:val="0087198C"/>
    <w:rsid w:val="00872366"/>
    <w:rsid w:val="00872C1F"/>
    <w:rsid w:val="00873458"/>
    <w:rsid w:val="00873594"/>
    <w:rsid w:val="00873B42"/>
    <w:rsid w:val="00874480"/>
    <w:rsid w:val="00874771"/>
    <w:rsid w:val="0087639C"/>
    <w:rsid w:val="0087693E"/>
    <w:rsid w:val="00876FD3"/>
    <w:rsid w:val="008775C4"/>
    <w:rsid w:val="008800A3"/>
    <w:rsid w:val="008815D7"/>
    <w:rsid w:val="00882192"/>
    <w:rsid w:val="00882522"/>
    <w:rsid w:val="008856D8"/>
    <w:rsid w:val="008878CC"/>
    <w:rsid w:val="00890760"/>
    <w:rsid w:val="00892E82"/>
    <w:rsid w:val="00894280"/>
    <w:rsid w:val="00894C0C"/>
    <w:rsid w:val="0089580A"/>
    <w:rsid w:val="00896328"/>
    <w:rsid w:val="00896C93"/>
    <w:rsid w:val="00897627"/>
    <w:rsid w:val="008A0879"/>
    <w:rsid w:val="008A3228"/>
    <w:rsid w:val="008A57B3"/>
    <w:rsid w:val="008B08D7"/>
    <w:rsid w:val="008B11D5"/>
    <w:rsid w:val="008B2B10"/>
    <w:rsid w:val="008B50FF"/>
    <w:rsid w:val="008B7C9A"/>
    <w:rsid w:val="008C1739"/>
    <w:rsid w:val="008C1880"/>
    <w:rsid w:val="008C1B58"/>
    <w:rsid w:val="008C39AE"/>
    <w:rsid w:val="008C462C"/>
    <w:rsid w:val="008C590D"/>
    <w:rsid w:val="008C62B6"/>
    <w:rsid w:val="008D31E4"/>
    <w:rsid w:val="008D4D9D"/>
    <w:rsid w:val="008D6605"/>
    <w:rsid w:val="008D6C1A"/>
    <w:rsid w:val="008E031B"/>
    <w:rsid w:val="008E2863"/>
    <w:rsid w:val="008E2ADC"/>
    <w:rsid w:val="008E4C56"/>
    <w:rsid w:val="008E5D71"/>
    <w:rsid w:val="008E5E7A"/>
    <w:rsid w:val="008E6326"/>
    <w:rsid w:val="008E7029"/>
    <w:rsid w:val="008E7EC1"/>
    <w:rsid w:val="008E7EF6"/>
    <w:rsid w:val="008F1F98"/>
    <w:rsid w:val="008F635D"/>
    <w:rsid w:val="008F6758"/>
    <w:rsid w:val="00900A9C"/>
    <w:rsid w:val="00900F80"/>
    <w:rsid w:val="00902EC3"/>
    <w:rsid w:val="0090363E"/>
    <w:rsid w:val="009040DD"/>
    <w:rsid w:val="00904623"/>
    <w:rsid w:val="00905030"/>
    <w:rsid w:val="009054DE"/>
    <w:rsid w:val="00905B24"/>
    <w:rsid w:val="00905B47"/>
    <w:rsid w:val="009100A6"/>
    <w:rsid w:val="0091331C"/>
    <w:rsid w:val="00913D97"/>
    <w:rsid w:val="009239DD"/>
    <w:rsid w:val="00925223"/>
    <w:rsid w:val="00925FC2"/>
    <w:rsid w:val="0092600C"/>
    <w:rsid w:val="0092612B"/>
    <w:rsid w:val="009279DE"/>
    <w:rsid w:val="00930116"/>
    <w:rsid w:val="00931C33"/>
    <w:rsid w:val="00932474"/>
    <w:rsid w:val="009332D4"/>
    <w:rsid w:val="009364D3"/>
    <w:rsid w:val="009410AB"/>
    <w:rsid w:val="0094212C"/>
    <w:rsid w:val="00943DB9"/>
    <w:rsid w:val="00944832"/>
    <w:rsid w:val="00954689"/>
    <w:rsid w:val="009617C9"/>
    <w:rsid w:val="00961C93"/>
    <w:rsid w:val="00965324"/>
    <w:rsid w:val="009679F1"/>
    <w:rsid w:val="00967CFB"/>
    <w:rsid w:val="009707AF"/>
    <w:rsid w:val="0097091E"/>
    <w:rsid w:val="00972AAD"/>
    <w:rsid w:val="009760D3"/>
    <w:rsid w:val="00977132"/>
    <w:rsid w:val="00977E4D"/>
    <w:rsid w:val="009807D2"/>
    <w:rsid w:val="0098122A"/>
    <w:rsid w:val="00981A4B"/>
    <w:rsid w:val="00981DC7"/>
    <w:rsid w:val="00982501"/>
    <w:rsid w:val="00985010"/>
    <w:rsid w:val="009877D3"/>
    <w:rsid w:val="00987AF7"/>
    <w:rsid w:val="00987B93"/>
    <w:rsid w:val="0099402A"/>
    <w:rsid w:val="00994422"/>
    <w:rsid w:val="00994447"/>
    <w:rsid w:val="00994E8F"/>
    <w:rsid w:val="009951DC"/>
    <w:rsid w:val="009959BB"/>
    <w:rsid w:val="00997158"/>
    <w:rsid w:val="009A3A7C"/>
    <w:rsid w:val="009A3C43"/>
    <w:rsid w:val="009A62F9"/>
    <w:rsid w:val="009A6A59"/>
    <w:rsid w:val="009B2ADB"/>
    <w:rsid w:val="009B3E61"/>
    <w:rsid w:val="009B4892"/>
    <w:rsid w:val="009B51E0"/>
    <w:rsid w:val="009B603A"/>
    <w:rsid w:val="009B6A2E"/>
    <w:rsid w:val="009C1EF1"/>
    <w:rsid w:val="009C222F"/>
    <w:rsid w:val="009C2699"/>
    <w:rsid w:val="009C2D0E"/>
    <w:rsid w:val="009C3075"/>
    <w:rsid w:val="009C3DAC"/>
    <w:rsid w:val="009C42E0"/>
    <w:rsid w:val="009C50CE"/>
    <w:rsid w:val="009C7A52"/>
    <w:rsid w:val="009D1C88"/>
    <w:rsid w:val="009D4BBD"/>
    <w:rsid w:val="009D5189"/>
    <w:rsid w:val="009D5362"/>
    <w:rsid w:val="009D738E"/>
    <w:rsid w:val="009E1172"/>
    <w:rsid w:val="009E1415"/>
    <w:rsid w:val="009E1D6E"/>
    <w:rsid w:val="009E43E2"/>
    <w:rsid w:val="009E4884"/>
    <w:rsid w:val="009E5B3A"/>
    <w:rsid w:val="009E6116"/>
    <w:rsid w:val="009F00C4"/>
    <w:rsid w:val="009F2FA1"/>
    <w:rsid w:val="009F735F"/>
    <w:rsid w:val="00A01B9B"/>
    <w:rsid w:val="00A02E43"/>
    <w:rsid w:val="00A04351"/>
    <w:rsid w:val="00A06491"/>
    <w:rsid w:val="00A065F9"/>
    <w:rsid w:val="00A0694D"/>
    <w:rsid w:val="00A06987"/>
    <w:rsid w:val="00A07F34"/>
    <w:rsid w:val="00A12196"/>
    <w:rsid w:val="00A12640"/>
    <w:rsid w:val="00A12982"/>
    <w:rsid w:val="00A137A4"/>
    <w:rsid w:val="00A1417C"/>
    <w:rsid w:val="00A22154"/>
    <w:rsid w:val="00A236FD"/>
    <w:rsid w:val="00A245A2"/>
    <w:rsid w:val="00A25C38"/>
    <w:rsid w:val="00A32D7B"/>
    <w:rsid w:val="00A32E09"/>
    <w:rsid w:val="00A34003"/>
    <w:rsid w:val="00A36522"/>
    <w:rsid w:val="00A36BBE"/>
    <w:rsid w:val="00A402C0"/>
    <w:rsid w:val="00A420F6"/>
    <w:rsid w:val="00A4307A"/>
    <w:rsid w:val="00A43B89"/>
    <w:rsid w:val="00A46516"/>
    <w:rsid w:val="00A47EBB"/>
    <w:rsid w:val="00A503B2"/>
    <w:rsid w:val="00A50947"/>
    <w:rsid w:val="00A51A32"/>
    <w:rsid w:val="00A51CDD"/>
    <w:rsid w:val="00A531EC"/>
    <w:rsid w:val="00A53554"/>
    <w:rsid w:val="00A54AB1"/>
    <w:rsid w:val="00A56833"/>
    <w:rsid w:val="00A614EA"/>
    <w:rsid w:val="00A62C0D"/>
    <w:rsid w:val="00A6479E"/>
    <w:rsid w:val="00A6730D"/>
    <w:rsid w:val="00A70025"/>
    <w:rsid w:val="00A71305"/>
    <w:rsid w:val="00A714A0"/>
    <w:rsid w:val="00A71625"/>
    <w:rsid w:val="00A71B9B"/>
    <w:rsid w:val="00A72A2D"/>
    <w:rsid w:val="00A73014"/>
    <w:rsid w:val="00A751C7"/>
    <w:rsid w:val="00A75BA8"/>
    <w:rsid w:val="00A813DC"/>
    <w:rsid w:val="00A82530"/>
    <w:rsid w:val="00A84658"/>
    <w:rsid w:val="00A84793"/>
    <w:rsid w:val="00A862B5"/>
    <w:rsid w:val="00A86E68"/>
    <w:rsid w:val="00A877A8"/>
    <w:rsid w:val="00A87844"/>
    <w:rsid w:val="00A9506F"/>
    <w:rsid w:val="00A96328"/>
    <w:rsid w:val="00A97E7A"/>
    <w:rsid w:val="00AA038C"/>
    <w:rsid w:val="00AA14E7"/>
    <w:rsid w:val="00AA15D8"/>
    <w:rsid w:val="00AA1C4F"/>
    <w:rsid w:val="00AA317E"/>
    <w:rsid w:val="00AA480A"/>
    <w:rsid w:val="00AA4EAA"/>
    <w:rsid w:val="00AA7A09"/>
    <w:rsid w:val="00AB1C04"/>
    <w:rsid w:val="00AB3B50"/>
    <w:rsid w:val="00AB3FA9"/>
    <w:rsid w:val="00AB5021"/>
    <w:rsid w:val="00AB512C"/>
    <w:rsid w:val="00AB5DC6"/>
    <w:rsid w:val="00AB7A02"/>
    <w:rsid w:val="00AC05B1"/>
    <w:rsid w:val="00AC1D05"/>
    <w:rsid w:val="00AC23A9"/>
    <w:rsid w:val="00AC3326"/>
    <w:rsid w:val="00AC4443"/>
    <w:rsid w:val="00AC48F0"/>
    <w:rsid w:val="00AC7A9C"/>
    <w:rsid w:val="00AC7CB0"/>
    <w:rsid w:val="00AD0EBB"/>
    <w:rsid w:val="00AD25AE"/>
    <w:rsid w:val="00AD356C"/>
    <w:rsid w:val="00AD386C"/>
    <w:rsid w:val="00AD557F"/>
    <w:rsid w:val="00AD6EB7"/>
    <w:rsid w:val="00AD6F35"/>
    <w:rsid w:val="00AD78AA"/>
    <w:rsid w:val="00AD7A35"/>
    <w:rsid w:val="00AE225A"/>
    <w:rsid w:val="00AE2914"/>
    <w:rsid w:val="00AE6D15"/>
    <w:rsid w:val="00AE74DD"/>
    <w:rsid w:val="00AE7B41"/>
    <w:rsid w:val="00AF171F"/>
    <w:rsid w:val="00AF1E29"/>
    <w:rsid w:val="00AF5074"/>
    <w:rsid w:val="00B03479"/>
    <w:rsid w:val="00B04182"/>
    <w:rsid w:val="00B04897"/>
    <w:rsid w:val="00B05D60"/>
    <w:rsid w:val="00B07AE3"/>
    <w:rsid w:val="00B10233"/>
    <w:rsid w:val="00B10287"/>
    <w:rsid w:val="00B11156"/>
    <w:rsid w:val="00B11430"/>
    <w:rsid w:val="00B11678"/>
    <w:rsid w:val="00B11719"/>
    <w:rsid w:val="00B12C4B"/>
    <w:rsid w:val="00B137E1"/>
    <w:rsid w:val="00B14B27"/>
    <w:rsid w:val="00B1563B"/>
    <w:rsid w:val="00B159B3"/>
    <w:rsid w:val="00B20656"/>
    <w:rsid w:val="00B20FAF"/>
    <w:rsid w:val="00B21842"/>
    <w:rsid w:val="00B22C22"/>
    <w:rsid w:val="00B23611"/>
    <w:rsid w:val="00B3401F"/>
    <w:rsid w:val="00B353EB"/>
    <w:rsid w:val="00B40129"/>
    <w:rsid w:val="00B427E0"/>
    <w:rsid w:val="00B439C4"/>
    <w:rsid w:val="00B4535E"/>
    <w:rsid w:val="00B4588B"/>
    <w:rsid w:val="00B522B9"/>
    <w:rsid w:val="00B52A8C"/>
    <w:rsid w:val="00B53653"/>
    <w:rsid w:val="00B557E0"/>
    <w:rsid w:val="00B60F8D"/>
    <w:rsid w:val="00B61AF5"/>
    <w:rsid w:val="00B636A8"/>
    <w:rsid w:val="00B63CF3"/>
    <w:rsid w:val="00B63E76"/>
    <w:rsid w:val="00B63FA3"/>
    <w:rsid w:val="00B643F8"/>
    <w:rsid w:val="00B64E97"/>
    <w:rsid w:val="00B656F0"/>
    <w:rsid w:val="00B664EA"/>
    <w:rsid w:val="00B665C6"/>
    <w:rsid w:val="00B70219"/>
    <w:rsid w:val="00B725B3"/>
    <w:rsid w:val="00B77296"/>
    <w:rsid w:val="00B805AF"/>
    <w:rsid w:val="00B826AC"/>
    <w:rsid w:val="00B83FBF"/>
    <w:rsid w:val="00B850A9"/>
    <w:rsid w:val="00B869EC"/>
    <w:rsid w:val="00B87E0D"/>
    <w:rsid w:val="00B9397A"/>
    <w:rsid w:val="00B9633D"/>
    <w:rsid w:val="00B96C2D"/>
    <w:rsid w:val="00B9745D"/>
    <w:rsid w:val="00B97AEC"/>
    <w:rsid w:val="00BA23E3"/>
    <w:rsid w:val="00BA2EBE"/>
    <w:rsid w:val="00BA31AB"/>
    <w:rsid w:val="00BA363C"/>
    <w:rsid w:val="00BA445D"/>
    <w:rsid w:val="00BA4D51"/>
    <w:rsid w:val="00BA7807"/>
    <w:rsid w:val="00BA7D7E"/>
    <w:rsid w:val="00BB0F28"/>
    <w:rsid w:val="00BB336D"/>
    <w:rsid w:val="00BB37FF"/>
    <w:rsid w:val="00BB4379"/>
    <w:rsid w:val="00BB458A"/>
    <w:rsid w:val="00BB5D53"/>
    <w:rsid w:val="00BC1F30"/>
    <w:rsid w:val="00BC766D"/>
    <w:rsid w:val="00BD00D3"/>
    <w:rsid w:val="00BD1659"/>
    <w:rsid w:val="00BD24FD"/>
    <w:rsid w:val="00BD3201"/>
    <w:rsid w:val="00BD3AA9"/>
    <w:rsid w:val="00BD4A18"/>
    <w:rsid w:val="00BD50AF"/>
    <w:rsid w:val="00BD645D"/>
    <w:rsid w:val="00BD6B7B"/>
    <w:rsid w:val="00BD6DB2"/>
    <w:rsid w:val="00BE11CF"/>
    <w:rsid w:val="00BE16FD"/>
    <w:rsid w:val="00BE21AB"/>
    <w:rsid w:val="00BE559D"/>
    <w:rsid w:val="00BE55CB"/>
    <w:rsid w:val="00BE6860"/>
    <w:rsid w:val="00BE75FE"/>
    <w:rsid w:val="00BE7F46"/>
    <w:rsid w:val="00BF04E4"/>
    <w:rsid w:val="00BF0F08"/>
    <w:rsid w:val="00BF1727"/>
    <w:rsid w:val="00BF1DE4"/>
    <w:rsid w:val="00BF272A"/>
    <w:rsid w:val="00BF3586"/>
    <w:rsid w:val="00BF457D"/>
    <w:rsid w:val="00BF617A"/>
    <w:rsid w:val="00BF6D1B"/>
    <w:rsid w:val="00BF7F23"/>
    <w:rsid w:val="00C0074C"/>
    <w:rsid w:val="00C01E29"/>
    <w:rsid w:val="00C02AA0"/>
    <w:rsid w:val="00C0379D"/>
    <w:rsid w:val="00C03931"/>
    <w:rsid w:val="00C042CB"/>
    <w:rsid w:val="00C051CE"/>
    <w:rsid w:val="00C05FE3"/>
    <w:rsid w:val="00C10437"/>
    <w:rsid w:val="00C105AD"/>
    <w:rsid w:val="00C13666"/>
    <w:rsid w:val="00C157C5"/>
    <w:rsid w:val="00C15A41"/>
    <w:rsid w:val="00C1616C"/>
    <w:rsid w:val="00C1745E"/>
    <w:rsid w:val="00C1778B"/>
    <w:rsid w:val="00C2061A"/>
    <w:rsid w:val="00C20D7E"/>
    <w:rsid w:val="00C2136D"/>
    <w:rsid w:val="00C214EE"/>
    <w:rsid w:val="00C21509"/>
    <w:rsid w:val="00C2314B"/>
    <w:rsid w:val="00C23C21"/>
    <w:rsid w:val="00C23CE9"/>
    <w:rsid w:val="00C24971"/>
    <w:rsid w:val="00C26361"/>
    <w:rsid w:val="00C26895"/>
    <w:rsid w:val="00C26BE5"/>
    <w:rsid w:val="00C26E4D"/>
    <w:rsid w:val="00C27909"/>
    <w:rsid w:val="00C27B03"/>
    <w:rsid w:val="00C30D9A"/>
    <w:rsid w:val="00C314E1"/>
    <w:rsid w:val="00C3247B"/>
    <w:rsid w:val="00C32D9B"/>
    <w:rsid w:val="00C34397"/>
    <w:rsid w:val="00C36DC3"/>
    <w:rsid w:val="00C4095D"/>
    <w:rsid w:val="00C41529"/>
    <w:rsid w:val="00C41ED9"/>
    <w:rsid w:val="00C44E2D"/>
    <w:rsid w:val="00C4796D"/>
    <w:rsid w:val="00C509CF"/>
    <w:rsid w:val="00C50D97"/>
    <w:rsid w:val="00C50F2E"/>
    <w:rsid w:val="00C52873"/>
    <w:rsid w:val="00C554F4"/>
    <w:rsid w:val="00C57416"/>
    <w:rsid w:val="00C601D2"/>
    <w:rsid w:val="00C6109E"/>
    <w:rsid w:val="00C61419"/>
    <w:rsid w:val="00C648A8"/>
    <w:rsid w:val="00C657AB"/>
    <w:rsid w:val="00C65BCC"/>
    <w:rsid w:val="00C66970"/>
    <w:rsid w:val="00C67069"/>
    <w:rsid w:val="00C71FE1"/>
    <w:rsid w:val="00C736EA"/>
    <w:rsid w:val="00C76E4D"/>
    <w:rsid w:val="00C77A90"/>
    <w:rsid w:val="00C812FC"/>
    <w:rsid w:val="00C818EE"/>
    <w:rsid w:val="00C832D1"/>
    <w:rsid w:val="00C84853"/>
    <w:rsid w:val="00C8579A"/>
    <w:rsid w:val="00C8691C"/>
    <w:rsid w:val="00C915FF"/>
    <w:rsid w:val="00C94D69"/>
    <w:rsid w:val="00C95848"/>
    <w:rsid w:val="00C96D81"/>
    <w:rsid w:val="00C96E9B"/>
    <w:rsid w:val="00CA104E"/>
    <w:rsid w:val="00CA168A"/>
    <w:rsid w:val="00CA21E3"/>
    <w:rsid w:val="00CA357E"/>
    <w:rsid w:val="00CA44F9"/>
    <w:rsid w:val="00CA4A69"/>
    <w:rsid w:val="00CA5D9A"/>
    <w:rsid w:val="00CB0A0D"/>
    <w:rsid w:val="00CB224F"/>
    <w:rsid w:val="00CB22BD"/>
    <w:rsid w:val="00CB2617"/>
    <w:rsid w:val="00CB5464"/>
    <w:rsid w:val="00CB569D"/>
    <w:rsid w:val="00CB67D0"/>
    <w:rsid w:val="00CC2D52"/>
    <w:rsid w:val="00CC3E0C"/>
    <w:rsid w:val="00CC42E7"/>
    <w:rsid w:val="00CC47BA"/>
    <w:rsid w:val="00CC4D50"/>
    <w:rsid w:val="00CC58D3"/>
    <w:rsid w:val="00CC784D"/>
    <w:rsid w:val="00CD4AD4"/>
    <w:rsid w:val="00CD5D37"/>
    <w:rsid w:val="00CD778A"/>
    <w:rsid w:val="00CD7EA7"/>
    <w:rsid w:val="00CE132D"/>
    <w:rsid w:val="00CE1AAE"/>
    <w:rsid w:val="00CE2C8E"/>
    <w:rsid w:val="00CE4122"/>
    <w:rsid w:val="00CE6A16"/>
    <w:rsid w:val="00CF0959"/>
    <w:rsid w:val="00CF0D68"/>
    <w:rsid w:val="00CF31CA"/>
    <w:rsid w:val="00CF5B01"/>
    <w:rsid w:val="00CF5BF8"/>
    <w:rsid w:val="00CF7BFE"/>
    <w:rsid w:val="00D012EC"/>
    <w:rsid w:val="00D0159B"/>
    <w:rsid w:val="00D01A0E"/>
    <w:rsid w:val="00D0337B"/>
    <w:rsid w:val="00D06AE8"/>
    <w:rsid w:val="00D072AE"/>
    <w:rsid w:val="00D0785E"/>
    <w:rsid w:val="00D079B2"/>
    <w:rsid w:val="00D1074C"/>
    <w:rsid w:val="00D114E9"/>
    <w:rsid w:val="00D12E7F"/>
    <w:rsid w:val="00D1437D"/>
    <w:rsid w:val="00D167EC"/>
    <w:rsid w:val="00D215FE"/>
    <w:rsid w:val="00D30431"/>
    <w:rsid w:val="00D32B44"/>
    <w:rsid w:val="00D33029"/>
    <w:rsid w:val="00D3306B"/>
    <w:rsid w:val="00D427A2"/>
    <w:rsid w:val="00D429C6"/>
    <w:rsid w:val="00D43D30"/>
    <w:rsid w:val="00D44ABC"/>
    <w:rsid w:val="00D45CC8"/>
    <w:rsid w:val="00D46E9B"/>
    <w:rsid w:val="00D47748"/>
    <w:rsid w:val="00D47774"/>
    <w:rsid w:val="00D500E8"/>
    <w:rsid w:val="00D51F51"/>
    <w:rsid w:val="00D54CC3"/>
    <w:rsid w:val="00D6041A"/>
    <w:rsid w:val="00D62A5B"/>
    <w:rsid w:val="00D633EB"/>
    <w:rsid w:val="00D637CE"/>
    <w:rsid w:val="00D641F1"/>
    <w:rsid w:val="00D6463D"/>
    <w:rsid w:val="00D65CCE"/>
    <w:rsid w:val="00D663C3"/>
    <w:rsid w:val="00D678C7"/>
    <w:rsid w:val="00D7044E"/>
    <w:rsid w:val="00D70935"/>
    <w:rsid w:val="00D72471"/>
    <w:rsid w:val="00D732F2"/>
    <w:rsid w:val="00D73BD2"/>
    <w:rsid w:val="00D73EC4"/>
    <w:rsid w:val="00D75216"/>
    <w:rsid w:val="00D75B40"/>
    <w:rsid w:val="00D811A6"/>
    <w:rsid w:val="00D82FF7"/>
    <w:rsid w:val="00D844DB"/>
    <w:rsid w:val="00D847FE"/>
    <w:rsid w:val="00D84930"/>
    <w:rsid w:val="00D84B3F"/>
    <w:rsid w:val="00D8520C"/>
    <w:rsid w:val="00D85E55"/>
    <w:rsid w:val="00D87BF6"/>
    <w:rsid w:val="00D87C56"/>
    <w:rsid w:val="00D9319D"/>
    <w:rsid w:val="00D95F1F"/>
    <w:rsid w:val="00D95F51"/>
    <w:rsid w:val="00D964EA"/>
    <w:rsid w:val="00D9657C"/>
    <w:rsid w:val="00D966D0"/>
    <w:rsid w:val="00DA0C59"/>
    <w:rsid w:val="00DA28AF"/>
    <w:rsid w:val="00DA37D8"/>
    <w:rsid w:val="00DA3991"/>
    <w:rsid w:val="00DA3AED"/>
    <w:rsid w:val="00DA7445"/>
    <w:rsid w:val="00DB0AB3"/>
    <w:rsid w:val="00DB0C0D"/>
    <w:rsid w:val="00DB614A"/>
    <w:rsid w:val="00DB65A5"/>
    <w:rsid w:val="00DB7E6C"/>
    <w:rsid w:val="00DC0CB2"/>
    <w:rsid w:val="00DC7447"/>
    <w:rsid w:val="00DC7C2F"/>
    <w:rsid w:val="00DD2284"/>
    <w:rsid w:val="00DD5A29"/>
    <w:rsid w:val="00DD5D9D"/>
    <w:rsid w:val="00DD6F6A"/>
    <w:rsid w:val="00DE0349"/>
    <w:rsid w:val="00DE089E"/>
    <w:rsid w:val="00DE114B"/>
    <w:rsid w:val="00DE35CB"/>
    <w:rsid w:val="00DE568C"/>
    <w:rsid w:val="00DF0EAD"/>
    <w:rsid w:val="00DF21E9"/>
    <w:rsid w:val="00DF63EC"/>
    <w:rsid w:val="00DF689F"/>
    <w:rsid w:val="00DF7047"/>
    <w:rsid w:val="00E00909"/>
    <w:rsid w:val="00E00F14"/>
    <w:rsid w:val="00E04F9E"/>
    <w:rsid w:val="00E06386"/>
    <w:rsid w:val="00E072C7"/>
    <w:rsid w:val="00E110EB"/>
    <w:rsid w:val="00E17C3C"/>
    <w:rsid w:val="00E21B33"/>
    <w:rsid w:val="00E23248"/>
    <w:rsid w:val="00E24EB4"/>
    <w:rsid w:val="00E26AE2"/>
    <w:rsid w:val="00E30A1F"/>
    <w:rsid w:val="00E315CB"/>
    <w:rsid w:val="00E320CB"/>
    <w:rsid w:val="00E320ED"/>
    <w:rsid w:val="00E32AD8"/>
    <w:rsid w:val="00E33AFB"/>
    <w:rsid w:val="00E34218"/>
    <w:rsid w:val="00E41091"/>
    <w:rsid w:val="00E414DA"/>
    <w:rsid w:val="00E42071"/>
    <w:rsid w:val="00E46282"/>
    <w:rsid w:val="00E46A0A"/>
    <w:rsid w:val="00E50BDE"/>
    <w:rsid w:val="00E51164"/>
    <w:rsid w:val="00E5216E"/>
    <w:rsid w:val="00E54737"/>
    <w:rsid w:val="00E55ADB"/>
    <w:rsid w:val="00E561AD"/>
    <w:rsid w:val="00E56644"/>
    <w:rsid w:val="00E56A6D"/>
    <w:rsid w:val="00E61854"/>
    <w:rsid w:val="00E61951"/>
    <w:rsid w:val="00E61CB3"/>
    <w:rsid w:val="00E638CD"/>
    <w:rsid w:val="00E63FEC"/>
    <w:rsid w:val="00E65674"/>
    <w:rsid w:val="00E673E3"/>
    <w:rsid w:val="00E70675"/>
    <w:rsid w:val="00E70F95"/>
    <w:rsid w:val="00E733A4"/>
    <w:rsid w:val="00E73A60"/>
    <w:rsid w:val="00E76856"/>
    <w:rsid w:val="00E810D4"/>
    <w:rsid w:val="00E811D3"/>
    <w:rsid w:val="00E82344"/>
    <w:rsid w:val="00E82E43"/>
    <w:rsid w:val="00E8339A"/>
    <w:rsid w:val="00E84C82"/>
    <w:rsid w:val="00E84D64"/>
    <w:rsid w:val="00E8585F"/>
    <w:rsid w:val="00E87408"/>
    <w:rsid w:val="00E87DB5"/>
    <w:rsid w:val="00E90B42"/>
    <w:rsid w:val="00E914C4"/>
    <w:rsid w:val="00E9237C"/>
    <w:rsid w:val="00E934F5"/>
    <w:rsid w:val="00E93C89"/>
    <w:rsid w:val="00E93D74"/>
    <w:rsid w:val="00E94042"/>
    <w:rsid w:val="00E96961"/>
    <w:rsid w:val="00EA225D"/>
    <w:rsid w:val="00EA4D94"/>
    <w:rsid w:val="00EA5512"/>
    <w:rsid w:val="00EA5A8C"/>
    <w:rsid w:val="00EA726B"/>
    <w:rsid w:val="00EA72EC"/>
    <w:rsid w:val="00EB07C0"/>
    <w:rsid w:val="00EB11CB"/>
    <w:rsid w:val="00EB275A"/>
    <w:rsid w:val="00EB62D6"/>
    <w:rsid w:val="00EB786A"/>
    <w:rsid w:val="00EC1578"/>
    <w:rsid w:val="00EC1C72"/>
    <w:rsid w:val="00EC3557"/>
    <w:rsid w:val="00EC3CC9"/>
    <w:rsid w:val="00EC4080"/>
    <w:rsid w:val="00EC4964"/>
    <w:rsid w:val="00EC50C6"/>
    <w:rsid w:val="00EC5A72"/>
    <w:rsid w:val="00EC680A"/>
    <w:rsid w:val="00EC6F1E"/>
    <w:rsid w:val="00ED0CE1"/>
    <w:rsid w:val="00ED2153"/>
    <w:rsid w:val="00ED46C5"/>
    <w:rsid w:val="00ED55D5"/>
    <w:rsid w:val="00ED5B64"/>
    <w:rsid w:val="00ED7DB2"/>
    <w:rsid w:val="00EE0531"/>
    <w:rsid w:val="00EE0FCB"/>
    <w:rsid w:val="00EE1678"/>
    <w:rsid w:val="00EE2BED"/>
    <w:rsid w:val="00EE33D0"/>
    <w:rsid w:val="00EE374B"/>
    <w:rsid w:val="00EE4A90"/>
    <w:rsid w:val="00EE5D68"/>
    <w:rsid w:val="00EF0E7E"/>
    <w:rsid w:val="00EF182D"/>
    <w:rsid w:val="00EF1999"/>
    <w:rsid w:val="00EF1C8B"/>
    <w:rsid w:val="00EF21CD"/>
    <w:rsid w:val="00EF2685"/>
    <w:rsid w:val="00EF2A3E"/>
    <w:rsid w:val="00EF3C31"/>
    <w:rsid w:val="00F01F03"/>
    <w:rsid w:val="00F02A93"/>
    <w:rsid w:val="00F03887"/>
    <w:rsid w:val="00F07E24"/>
    <w:rsid w:val="00F11BB5"/>
    <w:rsid w:val="00F13A5E"/>
    <w:rsid w:val="00F13ADE"/>
    <w:rsid w:val="00F1417B"/>
    <w:rsid w:val="00F1604B"/>
    <w:rsid w:val="00F23264"/>
    <w:rsid w:val="00F2484D"/>
    <w:rsid w:val="00F263BA"/>
    <w:rsid w:val="00F2723F"/>
    <w:rsid w:val="00F3152D"/>
    <w:rsid w:val="00F31F15"/>
    <w:rsid w:val="00F3375B"/>
    <w:rsid w:val="00F33798"/>
    <w:rsid w:val="00F34B99"/>
    <w:rsid w:val="00F40EDC"/>
    <w:rsid w:val="00F44580"/>
    <w:rsid w:val="00F44668"/>
    <w:rsid w:val="00F459F7"/>
    <w:rsid w:val="00F5118B"/>
    <w:rsid w:val="00F52DAB"/>
    <w:rsid w:val="00F5320A"/>
    <w:rsid w:val="00F539F8"/>
    <w:rsid w:val="00F543F0"/>
    <w:rsid w:val="00F54A8E"/>
    <w:rsid w:val="00F54B3C"/>
    <w:rsid w:val="00F55154"/>
    <w:rsid w:val="00F601FA"/>
    <w:rsid w:val="00F60BC1"/>
    <w:rsid w:val="00F646D3"/>
    <w:rsid w:val="00F7205F"/>
    <w:rsid w:val="00F720BA"/>
    <w:rsid w:val="00F743AB"/>
    <w:rsid w:val="00F760D6"/>
    <w:rsid w:val="00F81727"/>
    <w:rsid w:val="00F81D29"/>
    <w:rsid w:val="00F8210E"/>
    <w:rsid w:val="00F82EE6"/>
    <w:rsid w:val="00F8430A"/>
    <w:rsid w:val="00F85A91"/>
    <w:rsid w:val="00F91B72"/>
    <w:rsid w:val="00F91C4D"/>
    <w:rsid w:val="00F92807"/>
    <w:rsid w:val="00F92B45"/>
    <w:rsid w:val="00F92FD9"/>
    <w:rsid w:val="00F95AE9"/>
    <w:rsid w:val="00F969D0"/>
    <w:rsid w:val="00FA205A"/>
    <w:rsid w:val="00FA390C"/>
    <w:rsid w:val="00FA5C3C"/>
    <w:rsid w:val="00FA6684"/>
    <w:rsid w:val="00FA731E"/>
    <w:rsid w:val="00FA7944"/>
    <w:rsid w:val="00FB0E45"/>
    <w:rsid w:val="00FB2575"/>
    <w:rsid w:val="00FB2B38"/>
    <w:rsid w:val="00FB48CB"/>
    <w:rsid w:val="00FB4FCC"/>
    <w:rsid w:val="00FB72F3"/>
    <w:rsid w:val="00FC2AB9"/>
    <w:rsid w:val="00FC6358"/>
    <w:rsid w:val="00FC6C30"/>
    <w:rsid w:val="00FC7136"/>
    <w:rsid w:val="00FD02CC"/>
    <w:rsid w:val="00FD0B17"/>
    <w:rsid w:val="00FD1612"/>
    <w:rsid w:val="00FD2435"/>
    <w:rsid w:val="00FD320D"/>
    <w:rsid w:val="00FD3D31"/>
    <w:rsid w:val="00FD48CC"/>
    <w:rsid w:val="00FD4D7A"/>
    <w:rsid w:val="00FD71A9"/>
    <w:rsid w:val="00FD7E69"/>
    <w:rsid w:val="00FD7F4B"/>
    <w:rsid w:val="00FE23DE"/>
    <w:rsid w:val="00FE2A01"/>
    <w:rsid w:val="00FE4CFD"/>
    <w:rsid w:val="00FF0336"/>
    <w:rsid w:val="00FF21C5"/>
    <w:rsid w:val="014A7B49"/>
    <w:rsid w:val="01537556"/>
    <w:rsid w:val="02D902AA"/>
    <w:rsid w:val="02E175E0"/>
    <w:rsid w:val="056E3A91"/>
    <w:rsid w:val="05A726DC"/>
    <w:rsid w:val="05EF6925"/>
    <w:rsid w:val="06821DBD"/>
    <w:rsid w:val="08263C29"/>
    <w:rsid w:val="08E774BE"/>
    <w:rsid w:val="08FD2380"/>
    <w:rsid w:val="0A8803D0"/>
    <w:rsid w:val="0FE80524"/>
    <w:rsid w:val="142A424D"/>
    <w:rsid w:val="143B23FA"/>
    <w:rsid w:val="17C776D3"/>
    <w:rsid w:val="19E3756C"/>
    <w:rsid w:val="1A254514"/>
    <w:rsid w:val="1A401408"/>
    <w:rsid w:val="1D7F49DF"/>
    <w:rsid w:val="1F1A7932"/>
    <w:rsid w:val="2185157A"/>
    <w:rsid w:val="22411841"/>
    <w:rsid w:val="22CF3DEA"/>
    <w:rsid w:val="24715396"/>
    <w:rsid w:val="24EC628D"/>
    <w:rsid w:val="286F5199"/>
    <w:rsid w:val="2933642A"/>
    <w:rsid w:val="295B7A26"/>
    <w:rsid w:val="2983795B"/>
    <w:rsid w:val="29D2176F"/>
    <w:rsid w:val="2B4D3BEA"/>
    <w:rsid w:val="2CB120E4"/>
    <w:rsid w:val="2CBA0497"/>
    <w:rsid w:val="2CDA008C"/>
    <w:rsid w:val="2D3A3E5C"/>
    <w:rsid w:val="2EA134F0"/>
    <w:rsid w:val="2F73094B"/>
    <w:rsid w:val="31444FFF"/>
    <w:rsid w:val="31D34930"/>
    <w:rsid w:val="31DE4D15"/>
    <w:rsid w:val="31F546B4"/>
    <w:rsid w:val="3375195B"/>
    <w:rsid w:val="3430548C"/>
    <w:rsid w:val="34650C4E"/>
    <w:rsid w:val="34BA0690"/>
    <w:rsid w:val="378C47AB"/>
    <w:rsid w:val="39021820"/>
    <w:rsid w:val="3A6A72F6"/>
    <w:rsid w:val="4395443B"/>
    <w:rsid w:val="46FE14E2"/>
    <w:rsid w:val="475860FD"/>
    <w:rsid w:val="487C6FFE"/>
    <w:rsid w:val="4C7B6ADB"/>
    <w:rsid w:val="4D420D49"/>
    <w:rsid w:val="4DCF508F"/>
    <w:rsid w:val="4E6D065A"/>
    <w:rsid w:val="4EC53DAA"/>
    <w:rsid w:val="517714ED"/>
    <w:rsid w:val="52077F77"/>
    <w:rsid w:val="540641FB"/>
    <w:rsid w:val="543A2144"/>
    <w:rsid w:val="543C5130"/>
    <w:rsid w:val="55405510"/>
    <w:rsid w:val="55E40DFE"/>
    <w:rsid w:val="57671257"/>
    <w:rsid w:val="57C063BC"/>
    <w:rsid w:val="5B130739"/>
    <w:rsid w:val="5F5870BD"/>
    <w:rsid w:val="5F8262B1"/>
    <w:rsid w:val="5FC40083"/>
    <w:rsid w:val="6177616D"/>
    <w:rsid w:val="618C07BE"/>
    <w:rsid w:val="62F30E35"/>
    <w:rsid w:val="631035F8"/>
    <w:rsid w:val="654721DD"/>
    <w:rsid w:val="67254285"/>
    <w:rsid w:val="6747700C"/>
    <w:rsid w:val="67686183"/>
    <w:rsid w:val="6A1A0ABE"/>
    <w:rsid w:val="6ABA7CB5"/>
    <w:rsid w:val="6B0D2970"/>
    <w:rsid w:val="6C7E673F"/>
    <w:rsid w:val="6CCF00F1"/>
    <w:rsid w:val="6EBC16CA"/>
    <w:rsid w:val="6F8D7551"/>
    <w:rsid w:val="713A7B0C"/>
    <w:rsid w:val="74232B8E"/>
    <w:rsid w:val="765C2537"/>
    <w:rsid w:val="771340C5"/>
    <w:rsid w:val="78DA1CE9"/>
    <w:rsid w:val="79525C67"/>
    <w:rsid w:val="7BC75F93"/>
    <w:rsid w:val="7D7E5530"/>
    <w:rsid w:val="7FCA77B6"/>
    <w:rsid w:val="7FE8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3">
    <w:name w:val="heading 3"/>
    <w:basedOn w:val="1"/>
    <w:next w:val="1"/>
    <w:link w:val="142"/>
    <w:qFormat/>
    <w:uiPriority w:val="99"/>
    <w:pPr>
      <w:widowControl/>
      <w:jc w:val="left"/>
      <w:outlineLvl w:val="2"/>
    </w:pPr>
    <w:rPr>
      <w:rFonts w:ascii="宋体" w:hAnsi="宋体"/>
      <w:b/>
      <w:bCs/>
      <w:kern w:val="0"/>
      <w:sz w:val="27"/>
      <w:szCs w:val="27"/>
      <w:lang w:val="zh-CN"/>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ind w:left="1260"/>
      <w:jc w:val="left"/>
    </w:pPr>
    <w:rPr>
      <w:rFonts w:asciiTheme="minorHAnsi" w:hAnsiTheme="minorHAnsi" w:cstheme="minorHAnsi"/>
      <w:sz w:val="18"/>
      <w:szCs w:val="18"/>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150"/>
    <w:qFormat/>
    <w:uiPriority w:val="0"/>
    <w:pPr>
      <w:jc w:val="left"/>
    </w:pPr>
    <w:rPr>
      <w:rFonts w:ascii="Calibri" w:hAnsi="Calibri"/>
      <w:szCs w:val="22"/>
      <w:lang w:val="zh-CN"/>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qFormat/>
    <w:uiPriority w:val="1"/>
    <w:rPr>
      <w:rFonts w:eastAsia="Times New Roman"/>
      <w:sz w:val="22"/>
      <w:szCs w:val="22"/>
      <w:lang w:eastAsia="en-US" w:bidi="en-US"/>
    </w:rPr>
  </w:style>
  <w:style w:type="paragraph" w:styleId="12">
    <w:name w:val="Body Text Indent"/>
    <w:basedOn w:val="1"/>
    <w:link w:val="144"/>
    <w:qFormat/>
    <w:uiPriority w:val="0"/>
    <w:pPr>
      <w:adjustRightInd w:val="0"/>
      <w:spacing w:line="300" w:lineRule="exact"/>
      <w:ind w:firstLine="420" w:firstLineChars="200"/>
      <w:textAlignment w:val="baseline"/>
    </w:pPr>
    <w:rPr>
      <w:kern w:val="0"/>
      <w:szCs w:val="20"/>
      <w:lang w:val="zh-CN"/>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ind w:left="840"/>
      <w:jc w:val="left"/>
    </w:pPr>
    <w:rPr>
      <w:rFonts w:asciiTheme="minorHAnsi" w:hAnsiTheme="minorHAnsi" w:cstheme="minorHAnsi"/>
      <w:sz w:val="18"/>
      <w:szCs w:val="18"/>
    </w:rPr>
  </w:style>
  <w:style w:type="paragraph" w:styleId="15">
    <w:name w:val="toc 3"/>
    <w:basedOn w:val="1"/>
    <w:next w:val="1"/>
    <w:qFormat/>
    <w:uiPriority w:val="39"/>
    <w:pPr>
      <w:ind w:left="420"/>
      <w:jc w:val="left"/>
    </w:pPr>
    <w:rPr>
      <w:rFonts w:asciiTheme="minorHAnsi" w:hAnsiTheme="minorHAnsi" w:cstheme="minorHAnsi"/>
      <w:i/>
      <w:iCs/>
      <w:sz w:val="20"/>
      <w:szCs w:val="20"/>
    </w:rPr>
  </w:style>
  <w:style w:type="paragraph" w:styleId="16">
    <w:name w:val="toc 8"/>
    <w:basedOn w:val="1"/>
    <w:next w:val="1"/>
    <w:semiHidden/>
    <w:qFormat/>
    <w:uiPriority w:val="0"/>
    <w:pPr>
      <w:ind w:left="1470"/>
      <w:jc w:val="left"/>
    </w:pPr>
    <w:rPr>
      <w:rFonts w:asciiTheme="minorHAnsi" w:hAnsiTheme="minorHAnsi" w:cstheme="minorHAnsi"/>
      <w:sz w:val="18"/>
      <w:szCs w:val="18"/>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47"/>
    <w:qFormat/>
    <w:uiPriority w:val="0"/>
    <w:pPr>
      <w:ind w:left="100" w:leftChars="2500"/>
    </w:pPr>
    <w:rPr>
      <w:lang w:val="zh-CN"/>
    </w:rPr>
  </w:style>
  <w:style w:type="paragraph" w:styleId="19">
    <w:name w:val="endnote text"/>
    <w:basedOn w:val="1"/>
    <w:semiHidden/>
    <w:qFormat/>
    <w:uiPriority w:val="0"/>
    <w:pPr>
      <w:snapToGrid w:val="0"/>
      <w:jc w:val="left"/>
    </w:pPr>
  </w:style>
  <w:style w:type="paragraph" w:styleId="20">
    <w:name w:val="Balloon Text"/>
    <w:basedOn w:val="1"/>
    <w:link w:val="143"/>
    <w:qFormat/>
    <w:uiPriority w:val="0"/>
    <w:rPr>
      <w:sz w:val="18"/>
      <w:szCs w:val="18"/>
      <w:lang w:val="zh-CN"/>
    </w:rPr>
  </w:style>
  <w:style w:type="paragraph" w:styleId="21">
    <w:name w:val="footer"/>
    <w:basedOn w:val="1"/>
    <w:link w:val="160"/>
    <w:qFormat/>
    <w:uiPriority w:val="99"/>
    <w:pPr>
      <w:snapToGrid w:val="0"/>
      <w:ind w:right="210" w:rightChars="100"/>
      <w:jc w:val="right"/>
    </w:pPr>
    <w:rPr>
      <w:sz w:val="18"/>
      <w:szCs w:val="18"/>
      <w:lang w:val="zh-CN"/>
    </w:rPr>
  </w:style>
  <w:style w:type="paragraph" w:styleId="22">
    <w:name w:val="header"/>
    <w:basedOn w:val="1"/>
    <w:link w:val="148"/>
    <w:qFormat/>
    <w:uiPriority w:val="99"/>
    <w:pPr>
      <w:snapToGrid w:val="0"/>
      <w:jc w:val="left"/>
    </w:pPr>
    <w:rPr>
      <w:sz w:val="18"/>
      <w:szCs w:val="18"/>
      <w:lang w:val="zh-CN"/>
    </w:rPr>
  </w:style>
  <w:style w:type="paragraph" w:styleId="23">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4">
    <w:name w:val="toc 4"/>
    <w:basedOn w:val="1"/>
    <w:next w:val="1"/>
    <w:semiHidden/>
    <w:qFormat/>
    <w:uiPriority w:val="0"/>
    <w:pPr>
      <w:ind w:left="630"/>
      <w:jc w:val="left"/>
    </w:pPr>
    <w:rPr>
      <w:rFonts w:asciiTheme="minorHAnsi" w:hAnsiTheme="minorHAnsi" w:cstheme="minorHAnsi"/>
      <w:sz w:val="18"/>
      <w:szCs w:val="18"/>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ind w:left="1050"/>
      <w:jc w:val="left"/>
    </w:pPr>
    <w:rPr>
      <w:rFonts w:asciiTheme="minorHAnsi" w:hAnsiTheme="minorHAnsi" w:cstheme="minorHAnsi"/>
      <w:sz w:val="18"/>
      <w:szCs w:val="18"/>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ind w:left="210"/>
      <w:jc w:val="left"/>
    </w:pPr>
    <w:rPr>
      <w:rFonts w:asciiTheme="minorHAnsi" w:hAnsiTheme="minorHAnsi" w:cstheme="minorHAnsi"/>
      <w:smallCaps/>
      <w:sz w:val="20"/>
      <w:szCs w:val="20"/>
    </w:rPr>
  </w:style>
  <w:style w:type="paragraph" w:styleId="33">
    <w:name w:val="toc 9"/>
    <w:basedOn w:val="1"/>
    <w:next w:val="1"/>
    <w:semiHidden/>
    <w:qFormat/>
    <w:uiPriority w:val="0"/>
    <w:pPr>
      <w:ind w:left="1680"/>
      <w:jc w:val="left"/>
    </w:pPr>
    <w:rPr>
      <w:rFonts w:asciiTheme="minorHAnsi" w:hAnsiTheme="minorHAnsi" w:cstheme="minorHAnsi"/>
      <w:sz w:val="18"/>
      <w:szCs w:val="18"/>
    </w:rPr>
  </w:style>
  <w:style w:type="paragraph" w:styleId="34">
    <w:name w:val="Normal (Web)"/>
    <w:basedOn w:val="1"/>
    <w:qFormat/>
    <w:uiPriority w:val="0"/>
    <w:pPr>
      <w:spacing w:beforeAutospacing="1" w:afterAutospacing="1"/>
      <w:jc w:val="left"/>
    </w:pPr>
    <w:rPr>
      <w:rFonts w:asciiTheme="minorHAnsi" w:hAnsiTheme="minorHAnsi" w:eastAsiaTheme="minorEastAsia"/>
      <w:kern w:val="0"/>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9"/>
    <w:next w:val="9"/>
    <w:link w:val="162"/>
    <w:qFormat/>
    <w:uiPriority w:val="0"/>
    <w:rPr>
      <w:rFonts w:ascii="Times New Roman" w:hAnsi="Times New Roman"/>
      <w:b/>
      <w:bCs/>
      <w:szCs w:val="24"/>
      <w:lang w:val="en-US"/>
    </w:rPr>
  </w:style>
  <w:style w:type="table" w:styleId="38">
    <w:name w:val="Table Grid"/>
    <w:basedOn w:val="37"/>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Hyperlink"/>
    <w:qFormat/>
    <w:uiPriority w:val="99"/>
    <w:rPr>
      <w:color w:val="0000FF"/>
      <w:spacing w:val="0"/>
      <w:w w:val="100"/>
      <w:szCs w:val="21"/>
      <w:u w:val="single"/>
    </w:rPr>
  </w:style>
  <w:style w:type="character" w:styleId="43">
    <w:name w:val="annotation reference"/>
    <w:qFormat/>
    <w:uiPriority w:val="0"/>
    <w:rPr>
      <w:sz w:val="21"/>
      <w:szCs w:val="21"/>
    </w:rPr>
  </w:style>
  <w:style w:type="character" w:styleId="44">
    <w:name w:val="footnote reference"/>
    <w:semiHidden/>
    <w:qFormat/>
    <w:uiPriority w:val="0"/>
    <w:rPr>
      <w:vertAlign w:val="superscript"/>
    </w:rPr>
  </w:style>
  <w:style w:type="character" w:customStyle="1" w:styleId="45">
    <w:name w:val="段 Char"/>
    <w:link w:val="27"/>
    <w:qFormat/>
    <w:uiPriority w:val="0"/>
    <w:rPr>
      <w:rFonts w:ascii="宋体"/>
      <w:sz w:val="21"/>
      <w:lang w:val="en-US" w:eastAsia="zh-CN" w:bidi="ar-SA"/>
    </w:rPr>
  </w:style>
  <w:style w:type="paragraph" w:customStyle="1" w:styleId="46">
    <w:name w:val="一级条标题"/>
    <w:next w:val="27"/>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7"/>
    <w:link w:val="157"/>
    <w:qFormat/>
    <w:uiPriority w:val="0"/>
    <w:pPr>
      <w:numPr>
        <w:ilvl w:val="0"/>
        <w:numId w:val="2"/>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7"/>
    <w:qFormat/>
    <w:uiPriority w:val="0"/>
    <w:pPr>
      <w:numPr>
        <w:ilvl w:val="2"/>
      </w:numPr>
      <w:spacing w:before="50" w:after="50"/>
      <w:outlineLvl w:val="3"/>
    </w:pPr>
  </w:style>
  <w:style w:type="paragraph" w:customStyle="1" w:styleId="5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7"/>
    <w:qFormat/>
    <w:uiPriority w:val="0"/>
    <w:pPr>
      <w:numPr>
        <w:ilvl w:val="3"/>
      </w:numPr>
      <w:outlineLvl w:val="4"/>
    </w:pPr>
  </w:style>
  <w:style w:type="paragraph" w:customStyle="1" w:styleId="56">
    <w:name w:val="示例"/>
    <w:next w:val="57"/>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9">
    <w:name w:val="四级条标题"/>
    <w:basedOn w:val="55"/>
    <w:next w:val="27"/>
    <w:qFormat/>
    <w:uiPriority w:val="0"/>
    <w:pPr>
      <w:numPr>
        <w:ilvl w:val="4"/>
      </w:numPr>
      <w:outlineLvl w:val="5"/>
    </w:pPr>
  </w:style>
  <w:style w:type="paragraph" w:customStyle="1" w:styleId="60">
    <w:name w:val="五级条标题"/>
    <w:basedOn w:val="59"/>
    <w:next w:val="27"/>
    <w:qFormat/>
    <w:uiPriority w:val="0"/>
    <w:pPr>
      <w:numPr>
        <w:ilvl w:val="5"/>
      </w:numPr>
      <w:outlineLvl w:val="6"/>
    </w:pPr>
  </w:style>
  <w:style w:type="paragraph" w:customStyle="1" w:styleId="61">
    <w:name w:val="注："/>
    <w:next w:val="27"/>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2">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3">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4">
    <w:name w:val="列项◆（三级）"/>
    <w:basedOn w:val="1"/>
    <w:qFormat/>
    <w:uiPriority w:val="0"/>
    <w:pPr>
      <w:numPr>
        <w:ilvl w:val="2"/>
        <w:numId w:val="3"/>
      </w:numPr>
    </w:pPr>
    <w:rPr>
      <w:rFonts w:ascii="宋体"/>
      <w:szCs w:val="21"/>
    </w:rPr>
  </w:style>
  <w:style w:type="paragraph" w:customStyle="1" w:styleId="65">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6">
    <w:name w:val="示例×："/>
    <w:basedOn w:val="49"/>
    <w:qFormat/>
    <w:uiPriority w:val="0"/>
    <w:pPr>
      <w:numPr>
        <w:numId w:val="0"/>
      </w:numPr>
      <w:spacing w:beforeLines="0" w:afterLines="0"/>
      <w:ind w:firstLine="363"/>
      <w:outlineLvl w:val="9"/>
    </w:pPr>
    <w:rPr>
      <w:rFonts w:ascii="宋体" w:eastAsia="宋体"/>
      <w:sz w:val="18"/>
      <w:szCs w:val="18"/>
    </w:rPr>
  </w:style>
  <w:style w:type="paragraph" w:customStyle="1" w:styleId="67">
    <w:name w:val="二级无"/>
    <w:basedOn w:val="50"/>
    <w:qFormat/>
    <w:uiPriority w:val="0"/>
    <w:pPr>
      <w:spacing w:beforeLines="0" w:afterLines="0"/>
    </w:pPr>
    <w:rPr>
      <w:rFonts w:ascii="宋体" w:eastAsia="宋体"/>
    </w:rPr>
  </w:style>
  <w:style w:type="paragraph" w:customStyle="1" w:styleId="68">
    <w:name w:val="注：（正文）"/>
    <w:basedOn w:val="61"/>
    <w:next w:val="27"/>
    <w:qFormat/>
    <w:uiPriority w:val="0"/>
  </w:style>
  <w:style w:type="paragraph" w:customStyle="1" w:styleId="69">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3">
    <w:name w:val="标准书眉_偶数页"/>
    <w:basedOn w:val="48"/>
    <w:next w:val="1"/>
    <w:qFormat/>
    <w:uiPriority w:val="0"/>
    <w:pPr>
      <w:jc w:val="left"/>
    </w:pPr>
  </w:style>
  <w:style w:type="paragraph" w:customStyle="1" w:styleId="74">
    <w:name w:val="标准书眉一"/>
    <w:qFormat/>
    <w:uiPriority w:val="0"/>
    <w:pPr>
      <w:jc w:val="both"/>
    </w:pPr>
    <w:rPr>
      <w:rFonts w:ascii="Times New Roman" w:hAnsi="Times New Roman" w:eastAsia="宋体" w:cs="Times New Roman"/>
      <w:lang w:val="en-US" w:eastAsia="zh-CN" w:bidi="ar-SA"/>
    </w:rPr>
  </w:style>
  <w:style w:type="paragraph" w:customStyle="1" w:styleId="75">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7">
    <w:name w:val="发布"/>
    <w:basedOn w:val="39"/>
    <w:qFormat/>
    <w:uiPriority w:val="0"/>
    <w:rPr>
      <w:rFonts w:ascii="黑体" w:eastAsia="黑体"/>
      <w:spacing w:val="85"/>
      <w:w w:val="100"/>
      <w:position w:val="3"/>
      <w:sz w:val="28"/>
      <w:szCs w:val="28"/>
    </w:rPr>
  </w:style>
  <w:style w:type="paragraph" w:customStyle="1" w:styleId="78">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封面标准英文名称"/>
    <w:basedOn w:val="82"/>
    <w:qFormat/>
    <w:uiPriority w:val="0"/>
    <w:pPr>
      <w:framePr w:wrap="around"/>
      <w:spacing w:before="370" w:line="400" w:lineRule="exact"/>
    </w:pPr>
    <w:rPr>
      <w:rFonts w:ascii="Times New Roman"/>
      <w:sz w:val="28"/>
      <w:szCs w:val="28"/>
    </w:rPr>
  </w:style>
  <w:style w:type="paragraph" w:customStyle="1" w:styleId="84">
    <w:name w:val="封面一致性程度标识"/>
    <w:basedOn w:val="83"/>
    <w:qFormat/>
    <w:uiPriority w:val="0"/>
    <w:pPr>
      <w:framePr w:wrap="around"/>
      <w:spacing w:before="440"/>
    </w:pPr>
    <w:rPr>
      <w:rFonts w:ascii="宋体" w:eastAsia="宋体"/>
    </w:rPr>
  </w:style>
  <w:style w:type="paragraph" w:customStyle="1" w:styleId="85">
    <w:name w:val="封面标准文稿类别"/>
    <w:basedOn w:val="84"/>
    <w:qFormat/>
    <w:uiPriority w:val="0"/>
    <w:pPr>
      <w:framePr w:wrap="around"/>
      <w:spacing w:after="160" w:line="240" w:lineRule="auto"/>
    </w:pPr>
    <w:rPr>
      <w:sz w:val="24"/>
    </w:rPr>
  </w:style>
  <w:style w:type="paragraph" w:customStyle="1" w:styleId="86">
    <w:name w:val="封面标准文稿编辑信息"/>
    <w:basedOn w:val="85"/>
    <w:qFormat/>
    <w:uiPriority w:val="0"/>
    <w:pPr>
      <w:framePr w:wrap="around"/>
      <w:spacing w:before="180" w:line="180" w:lineRule="exact"/>
    </w:pPr>
    <w:rPr>
      <w:sz w:val="21"/>
    </w:rPr>
  </w:style>
  <w:style w:type="paragraph" w:customStyle="1" w:styleId="87">
    <w:name w:val="封面正文"/>
    <w:qFormat/>
    <w:uiPriority w:val="0"/>
    <w:pPr>
      <w:jc w:val="both"/>
    </w:pPr>
    <w:rPr>
      <w:rFonts w:ascii="Times New Roman" w:hAnsi="Times New Roman" w:eastAsia="宋体" w:cs="Times New Roman"/>
      <w:lang w:val="en-US" w:eastAsia="zh-CN" w:bidi="ar-SA"/>
    </w:rPr>
  </w:style>
  <w:style w:type="paragraph" w:customStyle="1" w:styleId="88">
    <w:name w:val="附录标识"/>
    <w:basedOn w:val="1"/>
    <w:next w:val="27"/>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9">
    <w:name w:val="附录标题"/>
    <w:basedOn w:val="27"/>
    <w:next w:val="27"/>
    <w:qFormat/>
    <w:uiPriority w:val="0"/>
    <w:pPr>
      <w:ind w:firstLine="0" w:firstLineChars="0"/>
      <w:jc w:val="center"/>
    </w:pPr>
    <w:rPr>
      <w:rFonts w:ascii="黑体" w:eastAsia="黑体"/>
    </w:rPr>
  </w:style>
  <w:style w:type="paragraph" w:customStyle="1" w:styleId="90">
    <w:name w:val="附录表标号"/>
    <w:basedOn w:val="1"/>
    <w:next w:val="27"/>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91">
    <w:name w:val="附录表标题"/>
    <w:basedOn w:val="1"/>
    <w:next w:val="27"/>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92">
    <w:name w:val="附录二级条标题"/>
    <w:basedOn w:val="1"/>
    <w:next w:val="27"/>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3">
    <w:name w:val="附录二级无"/>
    <w:basedOn w:val="92"/>
    <w:qFormat/>
    <w:uiPriority w:val="0"/>
    <w:pPr>
      <w:tabs>
        <w:tab w:val="clear" w:pos="360"/>
      </w:tabs>
      <w:spacing w:beforeLines="0" w:afterLines="0"/>
    </w:pPr>
    <w:rPr>
      <w:rFonts w:ascii="宋体" w:eastAsia="宋体"/>
      <w:szCs w:val="21"/>
    </w:rPr>
  </w:style>
  <w:style w:type="paragraph" w:customStyle="1" w:styleId="94">
    <w:name w:val="附录公式"/>
    <w:basedOn w:val="27"/>
    <w:next w:val="27"/>
    <w:link w:val="95"/>
    <w:qFormat/>
    <w:uiPriority w:val="0"/>
  </w:style>
  <w:style w:type="character" w:customStyle="1" w:styleId="95">
    <w:name w:val="附录公式 Char"/>
    <w:link w:val="94"/>
    <w:qFormat/>
    <w:uiPriority w:val="0"/>
    <w:rPr>
      <w:rFonts w:ascii="宋体"/>
      <w:sz w:val="21"/>
      <w:lang w:val="en-US" w:eastAsia="zh-CN" w:bidi="ar-SA"/>
    </w:rPr>
  </w:style>
  <w:style w:type="paragraph" w:customStyle="1" w:styleId="96">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7">
    <w:name w:val="附录三级条标题"/>
    <w:basedOn w:val="92"/>
    <w:next w:val="27"/>
    <w:qFormat/>
    <w:uiPriority w:val="0"/>
    <w:pPr>
      <w:numPr>
        <w:ilvl w:val="4"/>
      </w:numPr>
      <w:outlineLvl w:val="4"/>
    </w:pPr>
  </w:style>
  <w:style w:type="paragraph" w:customStyle="1" w:styleId="98">
    <w:name w:val="附录三级无"/>
    <w:basedOn w:val="97"/>
    <w:qFormat/>
    <w:uiPriority w:val="0"/>
    <w:pPr>
      <w:tabs>
        <w:tab w:val="clear" w:pos="360"/>
      </w:tabs>
      <w:spacing w:beforeLines="0" w:afterLines="0"/>
    </w:pPr>
    <w:rPr>
      <w:rFonts w:ascii="宋体" w:eastAsia="宋体"/>
      <w:szCs w:val="21"/>
    </w:rPr>
  </w:style>
  <w:style w:type="paragraph" w:customStyle="1" w:styleId="99">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100">
    <w:name w:val="附录四级条标题"/>
    <w:basedOn w:val="97"/>
    <w:next w:val="27"/>
    <w:qFormat/>
    <w:uiPriority w:val="0"/>
    <w:pPr>
      <w:numPr>
        <w:ilvl w:val="5"/>
      </w:numPr>
      <w:outlineLvl w:val="5"/>
    </w:pPr>
  </w:style>
  <w:style w:type="paragraph" w:customStyle="1" w:styleId="101">
    <w:name w:val="附录四级无"/>
    <w:basedOn w:val="100"/>
    <w:qFormat/>
    <w:uiPriority w:val="0"/>
    <w:pPr>
      <w:tabs>
        <w:tab w:val="clear" w:pos="360"/>
      </w:tabs>
      <w:spacing w:beforeLines="0" w:afterLines="0"/>
    </w:pPr>
    <w:rPr>
      <w:rFonts w:ascii="宋体" w:eastAsia="宋体"/>
      <w:szCs w:val="21"/>
    </w:rPr>
  </w:style>
  <w:style w:type="paragraph" w:customStyle="1" w:styleId="102">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03">
    <w:name w:val="附录图标题"/>
    <w:basedOn w:val="1"/>
    <w:next w:val="27"/>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4">
    <w:name w:val="附录五级条标题"/>
    <w:basedOn w:val="100"/>
    <w:next w:val="27"/>
    <w:qFormat/>
    <w:uiPriority w:val="0"/>
    <w:pPr>
      <w:numPr>
        <w:ilvl w:val="6"/>
      </w:numPr>
      <w:outlineLvl w:val="6"/>
    </w:pPr>
  </w:style>
  <w:style w:type="paragraph" w:customStyle="1" w:styleId="105">
    <w:name w:val="附录五级无"/>
    <w:basedOn w:val="104"/>
    <w:qFormat/>
    <w:uiPriority w:val="0"/>
    <w:pPr>
      <w:tabs>
        <w:tab w:val="clear" w:pos="360"/>
      </w:tabs>
      <w:spacing w:beforeLines="0" w:afterLines="0"/>
    </w:pPr>
    <w:rPr>
      <w:rFonts w:ascii="宋体" w:eastAsia="宋体"/>
      <w:szCs w:val="21"/>
    </w:rPr>
  </w:style>
  <w:style w:type="paragraph" w:customStyle="1" w:styleId="106">
    <w:name w:val="附录章标题"/>
    <w:next w:val="27"/>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7">
    <w:name w:val="附录一级条标题"/>
    <w:basedOn w:val="106"/>
    <w:next w:val="27"/>
    <w:qFormat/>
    <w:uiPriority w:val="0"/>
    <w:pPr>
      <w:numPr>
        <w:ilvl w:val="2"/>
      </w:numPr>
      <w:autoSpaceDN w:val="0"/>
      <w:spacing w:beforeLines="50" w:afterLines="50"/>
      <w:outlineLvl w:val="2"/>
    </w:pPr>
  </w:style>
  <w:style w:type="paragraph" w:customStyle="1" w:styleId="108">
    <w:name w:val="附录一级无"/>
    <w:basedOn w:val="107"/>
    <w:qFormat/>
    <w:uiPriority w:val="0"/>
    <w:pPr>
      <w:tabs>
        <w:tab w:val="clear" w:pos="360"/>
      </w:tabs>
      <w:spacing w:beforeLines="0" w:afterLines="0"/>
    </w:pPr>
    <w:rPr>
      <w:rFonts w:ascii="宋体" w:eastAsia="宋体"/>
      <w:szCs w:val="21"/>
    </w:rPr>
  </w:style>
  <w:style w:type="paragraph" w:customStyle="1" w:styleId="109">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3">
    <w:name w:val="其他标准标志"/>
    <w:basedOn w:val="70"/>
    <w:qFormat/>
    <w:uiPriority w:val="0"/>
    <w:pPr>
      <w:framePr w:w="6101" w:wrap="around" w:vAnchor="page" w:hAnchor="page" w:x="4673" w:y="942"/>
    </w:pPr>
    <w:rPr>
      <w:w w:val="130"/>
    </w:rPr>
  </w:style>
  <w:style w:type="paragraph" w:customStyle="1" w:styleId="1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其他发布部门"/>
    <w:basedOn w:val="78"/>
    <w:qFormat/>
    <w:uiPriority w:val="0"/>
    <w:pPr>
      <w:framePr w:wrap="around" w:y="15310"/>
      <w:spacing w:line="0" w:lineRule="atLeast"/>
    </w:pPr>
    <w:rPr>
      <w:rFonts w:ascii="黑体" w:eastAsia="黑体"/>
      <w:b w:val="0"/>
    </w:rPr>
  </w:style>
  <w:style w:type="paragraph" w:customStyle="1" w:styleId="116">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三级无"/>
    <w:basedOn w:val="55"/>
    <w:qFormat/>
    <w:uiPriority w:val="0"/>
    <w:pPr>
      <w:spacing w:beforeLines="0" w:afterLines="0"/>
    </w:pPr>
    <w:rPr>
      <w:rFonts w:ascii="宋体" w:eastAsia="宋体"/>
    </w:rPr>
  </w:style>
  <w:style w:type="paragraph" w:customStyle="1" w:styleId="118">
    <w:name w:val="实施日期"/>
    <w:basedOn w:val="79"/>
    <w:qFormat/>
    <w:uiPriority w:val="0"/>
    <w:pPr>
      <w:framePr w:wrap="around" w:vAnchor="page" w:hAnchor="text"/>
      <w:jc w:val="right"/>
    </w:pPr>
  </w:style>
  <w:style w:type="paragraph" w:customStyle="1" w:styleId="119">
    <w:name w:val="示例后文字"/>
    <w:basedOn w:val="27"/>
    <w:next w:val="27"/>
    <w:qFormat/>
    <w:uiPriority w:val="0"/>
    <w:pPr>
      <w:ind w:firstLine="360"/>
    </w:pPr>
    <w:rPr>
      <w:sz w:val="18"/>
    </w:rPr>
  </w:style>
  <w:style w:type="paragraph" w:customStyle="1" w:styleId="120">
    <w:name w:val="首示例"/>
    <w:next w:val="27"/>
    <w:link w:val="121"/>
    <w:qFormat/>
    <w:uiPriority w:val="0"/>
    <w:pPr>
      <w:tabs>
        <w:tab w:val="left" w:pos="360"/>
      </w:tabs>
    </w:pPr>
    <w:rPr>
      <w:rFonts w:ascii="宋体" w:hAnsi="宋体" w:eastAsia="宋体" w:cs="Times New Roman"/>
      <w:kern w:val="2"/>
      <w:sz w:val="18"/>
      <w:szCs w:val="18"/>
      <w:lang w:val="en-US" w:eastAsia="zh-CN" w:bidi="ar-SA"/>
    </w:rPr>
  </w:style>
  <w:style w:type="character" w:customStyle="1" w:styleId="121">
    <w:name w:val="首示例 Char"/>
    <w:link w:val="120"/>
    <w:qFormat/>
    <w:uiPriority w:val="0"/>
    <w:rPr>
      <w:rFonts w:ascii="宋体" w:hAnsi="宋体"/>
      <w:kern w:val="2"/>
      <w:sz w:val="18"/>
      <w:szCs w:val="18"/>
      <w:lang w:val="en-US" w:eastAsia="zh-CN" w:bidi="ar-SA"/>
    </w:rPr>
  </w:style>
  <w:style w:type="paragraph" w:customStyle="1" w:styleId="122">
    <w:name w:val="四级无"/>
    <w:basedOn w:val="59"/>
    <w:qFormat/>
    <w:uiPriority w:val="0"/>
    <w:pPr>
      <w:spacing w:beforeLines="0" w:afterLines="0"/>
    </w:pPr>
    <w:rPr>
      <w:rFonts w:ascii="宋体" w:eastAsia="宋体"/>
    </w:rPr>
  </w:style>
  <w:style w:type="paragraph" w:customStyle="1" w:styleId="123">
    <w:name w:val="条文脚注"/>
    <w:basedOn w:val="28"/>
    <w:qFormat/>
    <w:uiPriority w:val="0"/>
    <w:pPr>
      <w:numPr>
        <w:numId w:val="0"/>
      </w:numPr>
      <w:jc w:val="both"/>
    </w:pPr>
  </w:style>
  <w:style w:type="paragraph" w:customStyle="1" w:styleId="124">
    <w:name w:val="图标脚注说明"/>
    <w:basedOn w:val="27"/>
    <w:qFormat/>
    <w:uiPriority w:val="0"/>
    <w:pPr>
      <w:ind w:left="840" w:hanging="420" w:firstLineChars="0"/>
    </w:pPr>
    <w:rPr>
      <w:sz w:val="18"/>
      <w:szCs w:val="18"/>
    </w:rPr>
  </w:style>
  <w:style w:type="paragraph" w:customStyle="1" w:styleId="125">
    <w:name w:val="图表脚注说明"/>
    <w:basedOn w:val="1"/>
    <w:qFormat/>
    <w:uiPriority w:val="0"/>
    <w:pPr>
      <w:ind w:left="544" w:hanging="181"/>
    </w:pPr>
    <w:rPr>
      <w:rFonts w:ascii="宋体"/>
      <w:sz w:val="18"/>
      <w:szCs w:val="18"/>
    </w:rPr>
  </w:style>
  <w:style w:type="paragraph" w:customStyle="1" w:styleId="126">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60"/>
    <w:qFormat/>
    <w:uiPriority w:val="0"/>
    <w:pPr>
      <w:spacing w:beforeLines="0" w:afterLines="0"/>
    </w:pPr>
    <w:rPr>
      <w:rFonts w:ascii="宋体" w:eastAsia="宋体"/>
    </w:rPr>
  </w:style>
  <w:style w:type="paragraph" w:customStyle="1" w:styleId="129">
    <w:name w:val="一级无"/>
    <w:basedOn w:val="46"/>
    <w:qFormat/>
    <w:uiPriority w:val="0"/>
    <w:pPr>
      <w:spacing w:beforeLines="0" w:afterLines="0"/>
    </w:pPr>
    <w:rPr>
      <w:rFonts w:ascii="宋体" w:eastAsia="宋体"/>
    </w:rPr>
  </w:style>
  <w:style w:type="character" w:customStyle="1" w:styleId="130">
    <w:name w:val="已访问的超链接1"/>
    <w:qFormat/>
    <w:uiPriority w:val="0"/>
    <w:rPr>
      <w:color w:val="800080"/>
      <w:u w:val="single"/>
    </w:rPr>
  </w:style>
  <w:style w:type="paragraph" w:customStyle="1" w:styleId="131">
    <w:name w:val="正文表标题"/>
    <w:next w:val="27"/>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公式编号制表符"/>
    <w:basedOn w:val="27"/>
    <w:next w:val="27"/>
    <w:qFormat/>
    <w:uiPriority w:val="0"/>
    <w:pPr>
      <w:ind w:firstLine="0" w:firstLineChars="0"/>
    </w:pPr>
  </w:style>
  <w:style w:type="paragraph" w:customStyle="1" w:styleId="133">
    <w:name w:val="正文图标题"/>
    <w:next w:val="27"/>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终结线"/>
    <w:basedOn w:val="1"/>
    <w:qFormat/>
    <w:uiPriority w:val="0"/>
    <w:pPr>
      <w:framePr w:hSpace="181" w:vSpace="181" w:wrap="around" w:vAnchor="text" w:hAnchor="margin" w:xAlign="center" w:y="285"/>
    </w:pPr>
  </w:style>
  <w:style w:type="paragraph" w:customStyle="1" w:styleId="135">
    <w:name w:val="其他发布日期"/>
    <w:basedOn w:val="79"/>
    <w:qFormat/>
    <w:uiPriority w:val="0"/>
    <w:pPr>
      <w:framePr w:wrap="around" w:vAnchor="page" w:hAnchor="text" w:x="1419"/>
    </w:pPr>
  </w:style>
  <w:style w:type="paragraph" w:customStyle="1" w:styleId="136">
    <w:name w:val="其他实施日期"/>
    <w:basedOn w:val="118"/>
    <w:qFormat/>
    <w:uiPriority w:val="0"/>
    <w:pPr>
      <w:framePr w:wrap="around"/>
    </w:pPr>
  </w:style>
  <w:style w:type="paragraph" w:customStyle="1" w:styleId="137">
    <w:name w:val="封面标准名称2"/>
    <w:basedOn w:val="82"/>
    <w:qFormat/>
    <w:uiPriority w:val="0"/>
    <w:pPr>
      <w:framePr w:wrap="around" w:y="4469"/>
      <w:spacing w:beforeLines="630"/>
    </w:pPr>
  </w:style>
  <w:style w:type="paragraph" w:customStyle="1" w:styleId="138">
    <w:name w:val="封面标准英文名称2"/>
    <w:basedOn w:val="83"/>
    <w:qFormat/>
    <w:uiPriority w:val="0"/>
    <w:pPr>
      <w:framePr w:wrap="around" w:y="4469"/>
    </w:pPr>
  </w:style>
  <w:style w:type="paragraph" w:customStyle="1" w:styleId="139">
    <w:name w:val="封面一致性程度标识2"/>
    <w:basedOn w:val="84"/>
    <w:qFormat/>
    <w:uiPriority w:val="0"/>
    <w:pPr>
      <w:framePr w:wrap="around" w:y="4469"/>
    </w:pPr>
  </w:style>
  <w:style w:type="paragraph" w:customStyle="1" w:styleId="140">
    <w:name w:val="封面标准文稿类别2"/>
    <w:basedOn w:val="85"/>
    <w:qFormat/>
    <w:uiPriority w:val="0"/>
    <w:pPr>
      <w:framePr w:wrap="around" w:y="4469"/>
    </w:pPr>
  </w:style>
  <w:style w:type="paragraph" w:customStyle="1" w:styleId="141">
    <w:name w:val="封面标准文稿编辑信息2"/>
    <w:basedOn w:val="86"/>
    <w:qFormat/>
    <w:uiPriority w:val="0"/>
    <w:pPr>
      <w:framePr w:wrap="around" w:y="4469"/>
    </w:pPr>
  </w:style>
  <w:style w:type="character" w:customStyle="1" w:styleId="142">
    <w:name w:val="标题 3 Char"/>
    <w:link w:val="3"/>
    <w:qFormat/>
    <w:uiPriority w:val="99"/>
    <w:rPr>
      <w:rFonts w:ascii="宋体" w:hAnsi="宋体" w:cs="宋体"/>
      <w:b/>
      <w:bCs/>
      <w:sz w:val="27"/>
      <w:szCs w:val="27"/>
    </w:rPr>
  </w:style>
  <w:style w:type="character" w:customStyle="1" w:styleId="143">
    <w:name w:val="批注框文本 Char"/>
    <w:link w:val="20"/>
    <w:qFormat/>
    <w:uiPriority w:val="0"/>
    <w:rPr>
      <w:kern w:val="2"/>
      <w:sz w:val="18"/>
      <w:szCs w:val="18"/>
    </w:rPr>
  </w:style>
  <w:style w:type="character" w:customStyle="1" w:styleId="144">
    <w:name w:val="正文文本缩进 Char"/>
    <w:link w:val="12"/>
    <w:qFormat/>
    <w:uiPriority w:val="0"/>
    <w:rPr>
      <w:sz w:val="21"/>
    </w:rPr>
  </w:style>
  <w:style w:type="paragraph" w:customStyle="1" w:styleId="145">
    <w:name w:val="标准"/>
    <w:basedOn w:val="1"/>
    <w:qFormat/>
    <w:uiPriority w:val="0"/>
    <w:pPr>
      <w:adjustRightInd w:val="0"/>
      <w:spacing w:line="312" w:lineRule="atLeast"/>
      <w:jc w:val="center"/>
      <w:textAlignment w:val="baseline"/>
    </w:pPr>
    <w:rPr>
      <w:kern w:val="0"/>
      <w:szCs w:val="20"/>
    </w:rPr>
  </w:style>
  <w:style w:type="paragraph" w:customStyle="1" w:styleId="14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147">
    <w:name w:val="日期 Char"/>
    <w:link w:val="18"/>
    <w:qFormat/>
    <w:uiPriority w:val="0"/>
    <w:rPr>
      <w:kern w:val="2"/>
      <w:sz w:val="21"/>
      <w:szCs w:val="24"/>
    </w:rPr>
  </w:style>
  <w:style w:type="character" w:customStyle="1" w:styleId="148">
    <w:name w:val="页眉 Char"/>
    <w:link w:val="22"/>
    <w:qFormat/>
    <w:uiPriority w:val="99"/>
    <w:rPr>
      <w:kern w:val="2"/>
      <w:sz w:val="18"/>
      <w:szCs w:val="18"/>
    </w:rPr>
  </w:style>
  <w:style w:type="paragraph" w:customStyle="1" w:styleId="149">
    <w:name w:val="列出段落1"/>
    <w:basedOn w:val="1"/>
    <w:qFormat/>
    <w:uiPriority w:val="0"/>
    <w:pPr>
      <w:ind w:firstLine="420" w:firstLineChars="200"/>
    </w:pPr>
    <w:rPr>
      <w:rFonts w:ascii="Calibri" w:hAnsi="Calibri"/>
      <w:szCs w:val="22"/>
    </w:rPr>
  </w:style>
  <w:style w:type="character" w:customStyle="1" w:styleId="150">
    <w:name w:val="批注文字 Char"/>
    <w:link w:val="9"/>
    <w:qFormat/>
    <w:uiPriority w:val="0"/>
    <w:rPr>
      <w:rFonts w:ascii="Calibri" w:hAnsi="Calibri"/>
      <w:kern w:val="2"/>
      <w:sz w:val="21"/>
      <w:szCs w:val="22"/>
    </w:rPr>
  </w:style>
  <w:style w:type="paragraph" w:customStyle="1" w:styleId="151">
    <w:name w:val="列出段落2"/>
    <w:basedOn w:val="1"/>
    <w:qFormat/>
    <w:uiPriority w:val="0"/>
    <w:pPr>
      <w:ind w:firstLine="420" w:firstLineChars="200"/>
    </w:pPr>
    <w:rPr>
      <w:rFonts w:ascii="Calibri" w:hAnsi="Calibri"/>
      <w:szCs w:val="22"/>
    </w:rPr>
  </w:style>
  <w:style w:type="paragraph" w:customStyle="1" w:styleId="152">
    <w:name w:val="二级无标题条"/>
    <w:basedOn w:val="1"/>
    <w:qFormat/>
    <w:uiPriority w:val="0"/>
    <w:pPr>
      <w:numPr>
        <w:ilvl w:val="3"/>
        <w:numId w:val="10"/>
      </w:numPr>
    </w:pPr>
  </w:style>
  <w:style w:type="paragraph" w:customStyle="1" w:styleId="153">
    <w:name w:val="三级无标题条"/>
    <w:basedOn w:val="1"/>
    <w:qFormat/>
    <w:uiPriority w:val="0"/>
    <w:pPr>
      <w:numPr>
        <w:ilvl w:val="4"/>
        <w:numId w:val="10"/>
      </w:numPr>
    </w:pPr>
  </w:style>
  <w:style w:type="paragraph" w:customStyle="1" w:styleId="154">
    <w:name w:val="四级无标题条"/>
    <w:basedOn w:val="1"/>
    <w:qFormat/>
    <w:uiPriority w:val="0"/>
    <w:pPr>
      <w:numPr>
        <w:ilvl w:val="5"/>
        <w:numId w:val="10"/>
      </w:numPr>
    </w:pPr>
  </w:style>
  <w:style w:type="paragraph" w:customStyle="1" w:styleId="155">
    <w:name w:val="五级无标题条"/>
    <w:basedOn w:val="1"/>
    <w:qFormat/>
    <w:uiPriority w:val="0"/>
    <w:pPr>
      <w:numPr>
        <w:ilvl w:val="6"/>
        <w:numId w:val="10"/>
      </w:numPr>
    </w:pPr>
  </w:style>
  <w:style w:type="paragraph" w:customStyle="1" w:styleId="156">
    <w:name w:val="一级无标题条"/>
    <w:basedOn w:val="1"/>
    <w:qFormat/>
    <w:uiPriority w:val="0"/>
    <w:pPr>
      <w:numPr>
        <w:ilvl w:val="2"/>
        <w:numId w:val="10"/>
      </w:numPr>
    </w:pPr>
  </w:style>
  <w:style w:type="character" w:customStyle="1" w:styleId="157">
    <w:name w:val="章标题 Char"/>
    <w:link w:val="49"/>
    <w:qFormat/>
    <w:uiPriority w:val="0"/>
    <w:rPr>
      <w:rFonts w:ascii="黑体" w:eastAsia="黑体"/>
      <w:sz w:val="21"/>
      <w:lang w:bidi="ar-SA"/>
    </w:rPr>
  </w:style>
  <w:style w:type="paragraph" w:styleId="158">
    <w:name w:val="List Paragraph"/>
    <w:basedOn w:val="1"/>
    <w:qFormat/>
    <w:uiPriority w:val="34"/>
    <w:pPr>
      <w:ind w:firstLine="420" w:firstLineChars="200"/>
    </w:pPr>
  </w:style>
  <w:style w:type="table" w:customStyle="1" w:styleId="159">
    <w:name w:val="网格型1"/>
    <w:basedOn w:val="3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0">
    <w:name w:val="页脚 Char"/>
    <w:link w:val="21"/>
    <w:qFormat/>
    <w:uiPriority w:val="99"/>
    <w:rPr>
      <w:kern w:val="2"/>
      <w:sz w:val="18"/>
      <w:szCs w:val="18"/>
    </w:rPr>
  </w:style>
  <w:style w:type="table" w:customStyle="1" w:styleId="161">
    <w:name w:val="网格型2"/>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2">
    <w:name w:val="批注主题 Char"/>
    <w:link w:val="36"/>
    <w:qFormat/>
    <w:uiPriority w:val="0"/>
    <w:rPr>
      <w:rFonts w:ascii="Calibri" w:hAnsi="Calibri"/>
      <w:b/>
      <w:bCs/>
      <w:kern w:val="2"/>
      <w:sz w:val="21"/>
      <w:szCs w:val="24"/>
    </w:rPr>
  </w:style>
  <w:style w:type="paragraph" w:customStyle="1" w:styleId="163">
    <w:name w:val="50cm"/>
    <w:basedOn w:val="27"/>
    <w:link w:val="165"/>
    <w:qFormat/>
    <w:uiPriority w:val="0"/>
    <w:pPr>
      <w:spacing w:line="360" w:lineRule="auto"/>
      <w:ind w:firstLine="0" w:firstLineChars="0"/>
      <w:jc w:val="left"/>
    </w:pPr>
    <w:rPr>
      <w:rFonts w:ascii="Arial Unicode MS" w:hAnsi="Arial Unicode MS" w:eastAsia="Arial Unicode MS" w:cs="Arial Unicode MS"/>
      <w:bCs/>
      <w:kern w:val="2"/>
      <w:szCs w:val="24"/>
    </w:rPr>
  </w:style>
  <w:style w:type="paragraph" w:customStyle="1" w:styleId="164">
    <w:name w:val="60cm"/>
    <w:basedOn w:val="27"/>
    <w:link w:val="167"/>
    <w:qFormat/>
    <w:uiPriority w:val="0"/>
    <w:pPr>
      <w:spacing w:line="360" w:lineRule="auto"/>
      <w:ind w:firstLine="0" w:firstLineChars="0"/>
      <w:jc w:val="left"/>
    </w:pPr>
    <w:rPr>
      <w:rFonts w:ascii="Times New Roman"/>
    </w:rPr>
  </w:style>
  <w:style w:type="character" w:customStyle="1" w:styleId="165">
    <w:name w:val="50cm Char"/>
    <w:link w:val="163"/>
    <w:qFormat/>
    <w:uiPriority w:val="0"/>
    <w:rPr>
      <w:rFonts w:ascii="Arial Unicode MS" w:hAnsi="Arial Unicode MS" w:eastAsia="Arial Unicode MS" w:cs="Arial Unicode MS"/>
      <w:bCs/>
      <w:kern w:val="2"/>
      <w:sz w:val="21"/>
      <w:szCs w:val="24"/>
      <w:lang w:val="en-US" w:eastAsia="zh-CN" w:bidi="ar-SA"/>
    </w:rPr>
  </w:style>
  <w:style w:type="paragraph" w:customStyle="1" w:styleId="166">
    <w:name w:val="70cm"/>
    <w:basedOn w:val="27"/>
    <w:link w:val="169"/>
    <w:qFormat/>
    <w:uiPriority w:val="0"/>
    <w:pPr>
      <w:spacing w:line="360" w:lineRule="auto"/>
      <w:ind w:firstLine="0" w:firstLineChars="0"/>
      <w:jc w:val="left"/>
    </w:pPr>
  </w:style>
  <w:style w:type="character" w:customStyle="1" w:styleId="167">
    <w:name w:val="60cm Char"/>
    <w:link w:val="164"/>
    <w:qFormat/>
    <w:uiPriority w:val="0"/>
    <w:rPr>
      <w:rFonts w:ascii="宋体"/>
      <w:sz w:val="21"/>
      <w:lang w:val="en-US" w:eastAsia="zh-CN" w:bidi="ar-SA"/>
    </w:rPr>
  </w:style>
  <w:style w:type="paragraph" w:customStyle="1" w:styleId="168">
    <w:name w:val="80cm"/>
    <w:basedOn w:val="27"/>
    <w:link w:val="171"/>
    <w:qFormat/>
    <w:uiPriority w:val="0"/>
    <w:pPr>
      <w:spacing w:line="360" w:lineRule="auto"/>
      <w:ind w:firstLine="0" w:firstLineChars="0"/>
      <w:jc w:val="left"/>
    </w:pPr>
    <w:rPr>
      <w:rFonts w:ascii="Times New Roman" w:eastAsia="Times New Roman"/>
    </w:rPr>
  </w:style>
  <w:style w:type="character" w:customStyle="1" w:styleId="169">
    <w:name w:val="70cm Char"/>
    <w:link w:val="166"/>
    <w:qFormat/>
    <w:uiPriority w:val="0"/>
    <w:rPr>
      <w:rFonts w:ascii="宋体"/>
      <w:sz w:val="21"/>
      <w:lang w:val="en-US" w:eastAsia="zh-CN" w:bidi="ar-SA"/>
    </w:rPr>
  </w:style>
  <w:style w:type="paragraph" w:customStyle="1" w:styleId="170">
    <w:name w:val="850cm"/>
    <w:basedOn w:val="27"/>
    <w:link w:val="173"/>
    <w:qFormat/>
    <w:uiPriority w:val="0"/>
    <w:pPr>
      <w:spacing w:line="360" w:lineRule="auto"/>
      <w:ind w:firstLine="0" w:firstLineChars="0"/>
      <w:jc w:val="left"/>
    </w:pPr>
    <w:rPr>
      <w:rFonts w:ascii="Times New Roman" w:eastAsia="Times New Roman"/>
    </w:rPr>
  </w:style>
  <w:style w:type="character" w:customStyle="1" w:styleId="171">
    <w:name w:val="80cm Char"/>
    <w:link w:val="168"/>
    <w:qFormat/>
    <w:uiPriority w:val="0"/>
    <w:rPr>
      <w:rFonts w:ascii="宋体" w:eastAsia="Times New Roman"/>
      <w:sz w:val="21"/>
      <w:lang w:val="en-US" w:eastAsia="zh-CN" w:bidi="ar-SA"/>
    </w:rPr>
  </w:style>
  <w:style w:type="paragraph" w:customStyle="1" w:styleId="172">
    <w:name w:val="10cm"/>
    <w:basedOn w:val="27"/>
    <w:link w:val="174"/>
    <w:qFormat/>
    <w:uiPriority w:val="0"/>
    <w:pPr>
      <w:spacing w:line="360" w:lineRule="auto"/>
      <w:ind w:firstLine="0" w:firstLineChars="0"/>
      <w:jc w:val="left"/>
    </w:pPr>
    <w:rPr>
      <w:rFonts w:ascii="Times New Roman"/>
    </w:rPr>
  </w:style>
  <w:style w:type="character" w:customStyle="1" w:styleId="173">
    <w:name w:val="850cm Char"/>
    <w:link w:val="170"/>
    <w:qFormat/>
    <w:uiPriority w:val="0"/>
    <w:rPr>
      <w:rFonts w:ascii="宋体" w:eastAsia="Times New Roman"/>
      <w:sz w:val="21"/>
      <w:lang w:val="en-US" w:eastAsia="zh-CN" w:bidi="ar-SA"/>
    </w:rPr>
  </w:style>
  <w:style w:type="character" w:customStyle="1" w:styleId="174">
    <w:name w:val="10cm Char"/>
    <w:link w:val="172"/>
    <w:qFormat/>
    <w:uiPriority w:val="0"/>
    <w:rPr>
      <w:rFonts w:ascii="宋体"/>
      <w:sz w:val="21"/>
      <w:lang w:val="en-US" w:eastAsia="zh-CN" w:bidi="ar-SA"/>
    </w:rPr>
  </w:style>
  <w:style w:type="paragraph" w:customStyle="1" w:styleId="17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76">
    <w:name w:val="已访问的超链接2"/>
    <w:qFormat/>
    <w:uiPriority w:val="0"/>
    <w:rPr>
      <w:color w:val="800080"/>
      <w:u w:val="single"/>
    </w:rPr>
  </w:style>
  <w:style w:type="paragraph" w:customStyle="1" w:styleId="17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78">
    <w:name w:val="WPSOffice手动目录 1"/>
    <w:qFormat/>
    <w:uiPriority w:val="0"/>
    <w:rPr>
      <w:rFonts w:ascii="Times New Roman" w:hAnsi="Times New Roman" w:eastAsia="宋体" w:cs="Times New Roman"/>
      <w:lang w:val="en-US" w:eastAsia="zh-CN" w:bidi="ar-SA"/>
    </w:rPr>
  </w:style>
  <w:style w:type="paragraph" w:customStyle="1" w:styleId="17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81">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bCs w:val="0"/>
      <w:color w:val="376092" w:themeColor="accent1" w:themeShade="BF"/>
      <w:kern w:val="0"/>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737C4-5663-4B1A-91A9-B100072BEE61}">
  <ds:schemaRefs/>
</ds:datastoreItem>
</file>

<file path=docProps/app.xml><?xml version="1.0" encoding="utf-8"?>
<Properties xmlns="http://schemas.openxmlformats.org/officeDocument/2006/extended-properties" xmlns:vt="http://schemas.openxmlformats.org/officeDocument/2006/docPropsVTypes">
  <Template>Normal</Template>
  <Pages>17</Pages>
  <Words>6511</Words>
  <Characters>7619</Characters>
  <Lines>73</Lines>
  <Paragraphs>20</Paragraphs>
  <TotalTime>5</TotalTime>
  <ScaleCrop>false</ScaleCrop>
  <LinksUpToDate>false</LinksUpToDate>
  <CharactersWithSpaces>7995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2022-07-17T08:40:00Z</dcterms:created>
  <cp:lastPrinted>2022-08-17T07:08:00Z</cp:lastPrinted>
  <dcterms:modified xsi:type="dcterms:W3CDTF">2022-08-19T02:38:23Z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EB55A80731F740D495B35C5B17F6A897</vt:lpwstr>
  </property>
</Properties>
</file>