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pPr>
      <w:r>
        <w:rPr>
          <w:rFonts w:ascii="Times New Roman"/>
        </w:rPr>
        <w:t>ICS</w:t>
      </w:r>
      <w:r>
        <w:rPr>
          <w:rFonts w:hAnsi="宋体"/>
        </w:rPr>
        <w:t> </w:t>
      </w:r>
      <w:r>
        <w:rPr>
          <w:rFonts w:hint="eastAsia"/>
        </w:rPr>
        <w:t>77.040</w:t>
      </w:r>
      <w:r>
        <w:t xml:space="preserve"> </w:t>
      </w:r>
    </w:p>
    <w:p>
      <w:pPr>
        <w:pStyle w:val="119"/>
      </w:pPr>
      <w:r>
        <w:rPr>
          <w:rFonts w:hint="eastAsia"/>
        </w:rPr>
        <w:t>H17</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tcBorders>
              <w:top w:val="nil"/>
              <w:left w:val="nil"/>
              <w:bottom w:val="nil"/>
              <w:right w:val="nil"/>
            </w:tcBorders>
            <w:noWrap w:val="0"/>
            <w:vAlign w:val="top"/>
          </w:tcPr>
          <w:p>
            <w:pPr>
              <w:pStyle w:val="119"/>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10" name="矩形 10"/>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Co0FdEtwEAAGsDAAAOAAAAAAAAAAEAIAAAACQBAABkcnMvZTJvRG9jLnhtbFBLBQYAAAAA&#10;BgAGAFkBAABNBQAAAAA=&#10;">
                      <v:fill on="t" focussize="0,0"/>
                      <v:stroke on="f"/>
                      <v:imagedata o:title=""/>
                      <o:lock v:ext="edit" aspectratio="f"/>
                      <v:textbox>
                        <w:txbxContent>
                          <w:p/>
                        </w:txbxContent>
                      </v:textbox>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pPr>
        <w:pStyle w:val="62"/>
        <w:framePr w:w="5388" w:vAnchor="page" w:hAnchor="page" w:x="6240" w:y="916"/>
        <w:pBdr>
          <w:top w:val="none" w:color="auto" w:sz="0" w:space="0"/>
          <w:left w:val="none" w:color="auto" w:sz="0" w:space="0"/>
          <w:bottom w:val="none" w:color="auto" w:sz="0" w:space="0"/>
          <w:right w:val="none" w:color="auto" w:sz="0" w:space="0"/>
        </w:pBdr>
        <w:ind w:right="823"/>
        <w:rPr>
          <w:sz w:val="72"/>
        </w:rPr>
      </w:pPr>
      <w:r>
        <w:rPr>
          <w:rFonts w:hint="eastAsia"/>
          <w:sz w:val="72"/>
        </w:rPr>
        <w:t>CNIA/T</w:t>
      </w:r>
    </w:p>
    <w:p>
      <w:pPr>
        <w:pStyle w:val="106"/>
        <w:pBdr>
          <w:top w:val="none" w:color="auto" w:sz="0" w:space="0"/>
          <w:left w:val="none" w:color="auto" w:sz="0" w:space="0"/>
          <w:bottom w:val="none" w:color="auto" w:sz="0" w:space="0"/>
          <w:right w:val="none" w:color="auto" w:sz="0" w:space="0"/>
        </w:pBdr>
      </w:pPr>
      <w:r>
        <w:rPr>
          <w:rFonts w:hint="eastAsia"/>
        </w:rPr>
        <w:t>中华人民共和国有色金属协会标准</w:t>
      </w:r>
    </w:p>
    <w:p>
      <w:pPr>
        <w:pStyle w:val="43"/>
        <w:rPr>
          <w:rFonts w:hAnsi="黑体"/>
        </w:rPr>
      </w:pPr>
      <w:bookmarkStart w:id="1" w:name="StdName"/>
      <w:r>
        <w:rPr>
          <w:rFonts w:hint="eastAsia" w:ascii="Times New Roman"/>
        </w:rPr>
        <w:t>CNIA</w:t>
      </w:r>
      <w:r>
        <w:rPr>
          <w:rFonts w:ascii="Times New Roman"/>
        </w:rPr>
        <w:t xml:space="preserve">/T </w:t>
      </w:r>
      <w:bookmarkStart w:id="2"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fldChar w:fldCharType="separate"/>
      </w:r>
      <w:r>
        <w:rPr>
          <w:rFonts w:hAnsi="黑体"/>
        </w:rPr>
        <w:t>XXXXX</w:t>
      </w:r>
      <w:r>
        <w:rPr>
          <w:rFonts w:hAnsi="黑体"/>
        </w:rPr>
        <w:fldChar w:fldCharType="end"/>
      </w:r>
      <w:bookmarkEnd w:id="2"/>
      <w:r>
        <w:rPr>
          <w:rFonts w:hAnsi="黑体"/>
        </w:rPr>
        <w:t>—</w:t>
      </w:r>
      <w:bookmarkStart w:id="3"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72"/>
            </w:pPr>
          </w:p>
        </w:tc>
      </w:tr>
    </w:tbl>
    <w:p>
      <w:pPr>
        <w:pStyle w:val="43"/>
        <w:rPr>
          <w:rFonts w:hAnsi="黑体"/>
        </w:rPr>
      </w:pPr>
    </w:p>
    <w:p>
      <w:pPr>
        <w:pStyle w:val="43"/>
        <w:rPr>
          <w:rFonts w:hAnsi="黑体"/>
        </w:rPr>
      </w:pPr>
    </w:p>
    <w:p>
      <w:pPr>
        <w:pStyle w:val="74"/>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多晶硅</w:t>
      </w:r>
      <w:r>
        <w:rPr>
          <w:rFonts w:hint="eastAsia"/>
          <w:lang w:eastAsia="zh-CN"/>
        </w:rPr>
        <w:t>生产固定污染源含氢排气中气态污染物采样方法</w:t>
      </w:r>
      <w:r>
        <w:fldChar w:fldCharType="end"/>
      </w:r>
      <w:bookmarkEnd w:id="1"/>
    </w:p>
    <w:p>
      <w:pPr>
        <w:pStyle w:val="75"/>
      </w:pPr>
      <w:bookmarkStart w:id="4"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lang w:val="en-US" w:eastAsia="zh-CN"/>
        </w:rPr>
        <w:t>Sampling method of gaseous pollutants in hydrogen containing exhaust gas from fixed pollution sources of polysilicon production</w:t>
      </w:r>
      <w:r>
        <w:fldChar w:fldCharType="end"/>
      </w:r>
      <w:bookmarkEnd w:id="4"/>
    </w:p>
    <w:p>
      <w:pPr>
        <w:pStyle w:val="76"/>
      </w:pPr>
      <w:bookmarkStart w:id="5"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5"/>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AApA+4EQIAADkEAAAOAAAAAAAA&#10;AAEAIAAAACQBAABkcnMvZTJvRG9jLnhtbFBLBQYAAAAABgAGAFkBAACnBQAAAAA=&#10;">
                      <v:fill on="t" focussize="0,0"/>
                      <v:stroke on="f"/>
                      <v:imagedata o:title=""/>
                      <o:lock v:ext="edit" aspectratio="f"/>
                      <v:textbox>
                        <w:txbxContent>
                          <w:p>
                            <w:pPr>
                              <w:jc w:val="center"/>
                            </w:pPr>
                          </w:p>
                        </w:txbxContent>
                      </v:textbox>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Rs5i3hECAAA5BAAADgAAAAAA&#10;AAABACAAAAAlAQAAZHJzL2Uyb0RvYy54bWxQSwUGAAAAAAYABgBZAQAAqAUAAAAA&#10;">
                      <v:fill on="t" focussize="0,0"/>
                      <v:stroke on="f"/>
                      <v:imagedata o:title=""/>
                      <o:lock v:ext="edit" aspectratio="f"/>
                      <v:textbox>
                        <w:txbxContent>
                          <w:p>
                            <w:pPr>
                              <w:jc w:val="center"/>
                            </w:pPr>
                          </w:p>
                        </w:txbxContent>
                      </v:textbox>
                    </v:rect>
                  </w:pict>
                </mc:Fallback>
              </mc:AlternateContent>
            </w:r>
            <w:r>
              <w:fldChar w:fldCharType="begin">
                <w:ffData>
                  <w:name w:val="LB"/>
                  <w:enabled/>
                  <w:calcOnExit w:val="0"/>
                  <w:ddList>
                    <w:result w:val="1"/>
                    <w:listEntry w:val="文稿版次选择"/>
                    <w:listEntry w:val="（工作组讨论稿）"/>
                    <w:listEntry w:val="（征求意见稿）"/>
                    <w:listEntry w:val="（送审讨论稿）"/>
                    <w:listEntry w:val="（送审稿）"/>
                    <w:listEntry w:val="（报批稿）"/>
                  </w:ddList>
                </w:ffData>
              </w:fldChar>
            </w:r>
            <w:bookmarkStart w:id="6" w:name="LB"/>
            <w:r>
              <w:instrText xml:space="preserve"> FORMDROPDOWN </w:instrText>
            </w:r>
            <w:r>
              <w:fldChar w:fldCharType="separate"/>
            </w:r>
            <w:r>
              <w:fldChar w:fldCharType="end"/>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6"/>
              <w:spacing w:before="370"/>
              <w:rPr>
                <w:sz w:val="24"/>
                <w:szCs w:val="24"/>
                <w:highlight w:val="none"/>
              </w:rPr>
            </w:pPr>
            <w:r>
              <w:rPr>
                <w:rFonts w:hint="eastAsia"/>
                <w:sz w:val="24"/>
                <w:szCs w:val="24"/>
                <w:highlight w:val="none"/>
                <w:lang w:eastAsia="zh-CN"/>
              </w:rPr>
              <w:t>（</w:t>
            </w:r>
            <w:r>
              <w:rPr>
                <w:rFonts w:hint="eastAsia"/>
                <w:sz w:val="24"/>
                <w:szCs w:val="24"/>
                <w:highlight w:val="none"/>
              </w:rPr>
              <w:t>在提交反馈意见时，请将您知道的相关专利连同支持性文件一并附上)</w:t>
            </w:r>
          </w:p>
          <w:p>
            <w:pPr>
              <w:pStyle w:val="78"/>
            </w:pPr>
          </w:p>
        </w:tc>
      </w:tr>
    </w:tbl>
    <w:p>
      <w:pPr>
        <w:pStyle w:val="126"/>
        <w:framePr w:vAnchor="page" w:hAnchor="page" w:x="1431" w:y="14325"/>
      </w:pPr>
      <w:bookmarkStart w:id="7"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8"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pPr>
        <w:pStyle w:val="127"/>
        <w:framePr w:vAnchor="page" w:hAnchor="page" w:x="7066" w:y="14313"/>
      </w:pPr>
      <w:bookmarkStart w:id="9"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bookmarkStart w:id="10"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bookmarkStart w:id="11"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pPr>
        <w:pStyle w:val="107"/>
        <w:framePr w:x="2171" w:y="14881"/>
        <w:rPr>
          <w:rFonts w:hint="eastAsia" w:hAnsi="黑体"/>
        </w:rPr>
      </w:pPr>
      <w:r>
        <w:rPr>
          <w:rFonts w:hint="eastAsia" w:hAnsi="黑体"/>
        </w:rPr>
        <w:t>中国有色金属工业协会</w:t>
      </w:r>
    </w:p>
    <w:p>
      <w:pPr>
        <w:pStyle w:val="107"/>
        <w:framePr w:x="2171" w:y="14881"/>
      </w:pPr>
      <w:r>
        <w:rPr>
          <w:rFonts w:hint="eastAsia" w:hAnsi="黑体"/>
        </w:rPr>
        <w:t xml:space="preserve">       中国有色金属学会  </w:t>
      </w:r>
      <w:r>
        <w:rPr>
          <w:rStyle w:val="69"/>
          <w:rFonts w:hint="eastAsia"/>
        </w:rPr>
        <w:t>发布</w:t>
      </w:r>
    </w:p>
    <w:p>
      <w:pPr>
        <w:pStyle w:val="21"/>
        <w:sectPr>
          <w:headerReference r:id="rId4" w:type="first"/>
          <w:footerReference r:id="rId6" w:type="first"/>
          <w:headerReference r:id="rId3" w:type="even"/>
          <w:footerReference r:id="rId5"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3360" behindDoc="0" locked="1" layoutInCell="1" allowOverlap="1">
                <wp:simplePos x="0" y="0"/>
                <wp:positionH relativeFrom="column">
                  <wp:posOffset>15240</wp:posOffset>
                </wp:positionH>
                <wp:positionV relativeFrom="page">
                  <wp:posOffset>9411970</wp:posOffset>
                </wp:positionV>
                <wp:extent cx="612013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741.1pt;height:0pt;width:481.9pt;mso-position-vertical-relative:page;z-index:251663360;mso-width-relative:page;mso-height-relative:page;" filled="f" stroked="t" coordsize="21600,21600" o:gfxdata="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zDjzIGljt9+&#10;/vHr09e7n19ovf3+jZGHZBoC1hR97dbxuMOwjpnzvo02/4kN2xdpDydp1T4xQYeXM+L3nFQX977q&#10;4WKImF4rb1k2Gm60y6yhht0bTJSMQu9D8rFxbGj4y4v5BcEBjWBLrSfTBqKBrit30Rstb7Qx+QbG&#10;bnNtIttBHoPyZUqE+1dYTrIC7Me44hoHpFcgXznJ0iGQPo7eBc8lWCU5M4qeUbYIEOoE2pwTSamN&#10;owqyqqOO2dp4eaB2bEPUXU9KFOFLDLW/1Hsc1Txff+4L0sPz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6pAsNYAAAALAQAADwAAAAAAAAABACAAAAAiAAAAZHJzL2Rvd25yZXYueG1sUEsBAhQA&#10;FAAAAAgAh07iQPdM4oz0AQAA5gMAAA4AAAAAAAAAAQAgAAAAJQEAAGRycy9lMm9Eb2MueG1sUEsF&#10;BgAAAAAGAAYAWQEAAIsFAAAAAA==&#10;">
                <v:fill on="f" focussize="0,0"/>
                <v:stroke color="#000000" joinstyle="round"/>
                <v:imagedata o:title=""/>
                <o:lock v:ext="edit" aspectratio="f"/>
                <w10:anchorlock/>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&#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QeJf1wAAAAkBAAAPAAAAAAAAAAEAIAAAACIAAABk&#10;cnMvZG93bnJldi54bWxQSwECFAAUAAAACACHTuJA1aufHc4BAACuAwAADgAAAAAAAAABACAAAAAm&#10;AQAAZHJzL2Uyb0RvYy54bWxQSwUGAAAAAAYABgBZAQAAZgUAAAAA&#10;">
                <v:fill on="f" focussize="0,0"/>
                <v:stroke color="#000000" joinstyle="round"/>
                <v:imagedata o:title=""/>
                <o:lock v:ext="edit" aspectratio="f"/>
              </v:line>
            </w:pict>
          </mc:Fallback>
        </mc:AlternateContent>
      </w:r>
    </w:p>
    <w:p>
      <w:pPr>
        <w:pStyle w:val="108"/>
      </w:pPr>
      <w:bookmarkStart w:id="12" w:name="_Toc503281259"/>
      <w:r>
        <w:rPr>
          <w:rFonts w:hint="eastAsia"/>
        </w:rPr>
        <w:t>前</w:t>
      </w:r>
      <w:bookmarkStart w:id="13" w:name="BKQY"/>
      <w:r>
        <w:rPr>
          <w:rFonts w:ascii="Cambria Math" w:hAnsi="Cambria Math" w:cs="Cambria Math"/>
        </w:rPr>
        <w:t>  </w:t>
      </w:r>
      <w:r>
        <w:rPr>
          <w:rFonts w:hint="eastAsia"/>
        </w:rPr>
        <w:t>言</w:t>
      </w:r>
      <w:bookmarkEnd w:id="12"/>
      <w:bookmarkEnd w:id="13"/>
    </w:p>
    <w:p>
      <w:pPr>
        <w:pStyle w:val="139"/>
        <w:rPr>
          <w:rFonts w:hAnsi="宋体"/>
          <w:szCs w:val="21"/>
          <w:lang w:val="fr-FR"/>
        </w:rPr>
      </w:pPr>
      <w:bookmarkStart w:id="14" w:name="StandardName"/>
      <w:r>
        <w:rPr>
          <w:rFonts w:hint="eastAsia" w:hAnsi="宋体"/>
          <w:szCs w:val="21"/>
          <w:lang w:val="fr-FR"/>
        </w:rPr>
        <w:t>本标准按照</w:t>
      </w:r>
      <w:r>
        <w:rPr>
          <w:rFonts w:hAnsi="宋体"/>
          <w:szCs w:val="21"/>
          <w:lang w:val="fr-FR"/>
        </w:rPr>
        <w:t>GB/T 1.1—20</w:t>
      </w:r>
      <w:r>
        <w:rPr>
          <w:rFonts w:hint="eastAsia"/>
          <w:szCs w:val="21"/>
          <w:lang w:val="en-US" w:eastAsia="zh-CN"/>
        </w:rPr>
        <w:t>20</w:t>
      </w:r>
      <w:r>
        <w:rPr>
          <w:rFonts w:hint="eastAsia" w:hAnsi="宋体"/>
          <w:szCs w:val="21"/>
          <w:lang w:val="fr-FR"/>
        </w:rPr>
        <w:t>给出的规则起草。</w:t>
      </w:r>
    </w:p>
    <w:p>
      <w:pPr>
        <w:pStyle w:val="139"/>
        <w:rPr>
          <w:rFonts w:hAnsi="宋体"/>
          <w:szCs w:val="21"/>
        </w:rPr>
      </w:pPr>
      <w:r>
        <w:rPr>
          <w:rFonts w:hint="eastAsia" w:hAnsi="宋体"/>
          <w:szCs w:val="21"/>
        </w:rPr>
        <w:t>本标准由全国半导体材料标准化分技术委员会</w:t>
      </w:r>
      <w:r>
        <w:rPr>
          <w:rFonts w:hAnsi="宋体"/>
          <w:szCs w:val="21"/>
        </w:rPr>
        <w:t>（TC203/SC2）</w:t>
      </w:r>
      <w:r>
        <w:rPr>
          <w:rFonts w:hint="eastAsia" w:hAnsi="宋体"/>
          <w:szCs w:val="21"/>
        </w:rPr>
        <w:t>归口。</w:t>
      </w:r>
    </w:p>
    <w:p>
      <w:pPr>
        <w:pStyle w:val="139"/>
        <w:rPr>
          <w:rFonts w:hAnsi="宋体"/>
          <w:szCs w:val="21"/>
          <w:lang w:eastAsia="zh-CN"/>
        </w:rPr>
      </w:pPr>
      <w:r>
        <w:rPr>
          <w:rFonts w:hint="eastAsia" w:hAnsi="宋体"/>
          <w:szCs w:val="21"/>
        </w:rPr>
        <w:t>本标准起草单位：亚洲硅业（青海）</w:t>
      </w:r>
      <w:r>
        <w:rPr>
          <w:rFonts w:hint="eastAsia" w:hAnsi="宋体"/>
          <w:szCs w:val="21"/>
          <w:lang w:eastAsia="zh-CN"/>
        </w:rPr>
        <w:t>股份</w:t>
      </w:r>
      <w:r>
        <w:rPr>
          <w:rFonts w:hint="eastAsia" w:hAnsi="宋体"/>
          <w:szCs w:val="21"/>
        </w:rPr>
        <w:t>有限公司</w:t>
      </w:r>
      <w:r>
        <w:rPr>
          <w:rFonts w:hint="eastAsia" w:hAnsi="宋体"/>
          <w:szCs w:val="21"/>
          <w:lang w:eastAsia="zh-CN"/>
        </w:rPr>
        <w:t>、</w:t>
      </w:r>
      <w:r>
        <w:rPr>
          <w:rFonts w:hint="eastAsia" w:ascii="宋体" w:hAnsi="宋体"/>
          <w:sz w:val="21"/>
          <w:szCs w:val="21"/>
        </w:rPr>
        <w:t>新特能源股份有限公司、新疆大全新能源股份有限公司</w:t>
      </w:r>
    </w:p>
    <w:p>
      <w:pPr>
        <w:pStyle w:val="21"/>
        <w:rPr>
          <w:rFonts w:hAnsi="宋体"/>
          <w:szCs w:val="21"/>
        </w:rPr>
        <w:sectPr>
          <w:headerReference r:id="rId7" w:type="default"/>
          <w:footerReference r:id="rId8" w:type="default"/>
          <w:pgSz w:w="11906" w:h="16838"/>
          <w:pgMar w:top="567" w:right="1134" w:bottom="1134" w:left="1418" w:header="1418" w:footer="1134" w:gutter="0"/>
          <w:pgNumType w:fmt="upperRoman" w:start="1"/>
          <w:cols w:space="720" w:num="1"/>
          <w:formProt w:val="0"/>
          <w:docGrid w:type="lines" w:linePitch="312" w:charSpace="0"/>
        </w:sectPr>
      </w:pPr>
      <w:r>
        <w:rPr>
          <w:rFonts w:hint="eastAsia" w:hAnsi="宋体"/>
          <w:szCs w:val="21"/>
        </w:rPr>
        <w:t>本标准主要起草人：</w:t>
      </w:r>
    </w:p>
    <w:p>
      <w:pPr>
        <w:pStyle w:val="46"/>
        <w:rPr>
          <w:rFonts w:hint="eastAsia" w:eastAsia="黑体"/>
          <w:lang w:eastAsia="zh-CN"/>
        </w:rPr>
      </w:pPr>
      <w:r>
        <w:rPr>
          <w:rFonts w:hint="eastAsia"/>
        </w:rPr>
        <w:t>多晶硅</w:t>
      </w:r>
      <w:r>
        <w:rPr>
          <w:rFonts w:hint="eastAsia"/>
          <w:lang w:eastAsia="zh-CN"/>
        </w:rPr>
        <w:t>生产固定污染源含氢排气中气态污染物采样方法</w:t>
      </w:r>
      <w:bookmarkEnd w:id="14"/>
    </w:p>
    <w:p>
      <w:pPr>
        <w:pStyle w:val="41"/>
        <w:spacing w:before="312" w:after="312"/>
        <w:rPr>
          <w:highlight w:val="none"/>
        </w:rPr>
      </w:pPr>
      <w:bookmarkStart w:id="15" w:name="_Toc503281260"/>
      <w:bookmarkStart w:id="16" w:name="_Toc503278726"/>
      <w:r>
        <w:rPr>
          <w:rFonts w:hint="eastAsia"/>
          <w:highlight w:val="none"/>
        </w:rPr>
        <w:t>范围</w:t>
      </w:r>
      <w:bookmarkEnd w:id="15"/>
      <w:bookmarkEnd w:id="16"/>
    </w:p>
    <w:p>
      <w:pPr>
        <w:pStyle w:val="121"/>
        <w:ind w:left="0"/>
        <w:rPr>
          <w:highlight w:val="none"/>
        </w:rPr>
      </w:pPr>
      <w:r>
        <w:rPr>
          <w:rFonts w:hint="eastAsia"/>
          <w:highlight w:val="none"/>
        </w:rPr>
        <w:t>本</w:t>
      </w:r>
      <w:r>
        <w:rPr>
          <w:rFonts w:hint="eastAsia"/>
          <w:highlight w:val="none"/>
          <w:lang w:eastAsia="zh-CN"/>
        </w:rPr>
        <w:t>文件</w:t>
      </w:r>
      <w:r>
        <w:rPr>
          <w:rFonts w:hint="eastAsia"/>
          <w:highlight w:val="none"/>
        </w:rPr>
        <w:t>规定了</w:t>
      </w:r>
      <w:r>
        <w:rPr>
          <w:rFonts w:hint="eastAsia"/>
          <w:lang w:val="en-US" w:eastAsia="zh-CN"/>
        </w:rPr>
        <w:t>多晶硅生产中淋洗塔及其他固定污染源含氢排放中气态污染物的采样方法</w:t>
      </w:r>
      <w:r>
        <w:rPr>
          <w:rFonts w:hint="eastAsia"/>
          <w:szCs w:val="22"/>
          <w:lang w:val="en-US" w:eastAsia="zh-CN"/>
        </w:rPr>
        <w:t>。</w:t>
      </w:r>
    </w:p>
    <w:p>
      <w:pPr>
        <w:pStyle w:val="121"/>
        <w:ind w:left="0"/>
        <w:rPr>
          <w:highlight w:val="none"/>
        </w:rPr>
      </w:pPr>
      <w:r>
        <w:rPr>
          <w:rFonts w:hint="eastAsia"/>
          <w:highlight w:val="none"/>
        </w:rPr>
        <w:t>本</w:t>
      </w:r>
      <w:r>
        <w:rPr>
          <w:rFonts w:hint="eastAsia"/>
          <w:highlight w:val="none"/>
          <w:lang w:eastAsia="zh-CN"/>
        </w:rPr>
        <w:t>文件</w:t>
      </w:r>
      <w:r>
        <w:rPr>
          <w:rFonts w:hint="eastAsia"/>
          <w:highlight w:val="none"/>
        </w:rPr>
        <w:t>适用于</w:t>
      </w:r>
      <w:r>
        <w:rPr>
          <w:rFonts w:hint="eastAsia"/>
          <w:lang w:val="en-US" w:eastAsia="zh-CN"/>
        </w:rPr>
        <w:t>多晶硅生产中淋洗塔及其它固定污染源含氢排放中气态污染物的采样</w:t>
      </w:r>
      <w:r>
        <w:rPr>
          <w:rFonts w:hint="eastAsia"/>
          <w:szCs w:val="22"/>
          <w:lang w:val="en-US" w:eastAsia="zh-CN"/>
        </w:rPr>
        <w:t>。</w:t>
      </w:r>
    </w:p>
    <w:p>
      <w:pPr>
        <w:pStyle w:val="41"/>
        <w:spacing w:before="312" w:after="312"/>
      </w:pPr>
      <w:bookmarkStart w:id="17" w:name="_Toc503281261"/>
      <w:bookmarkStart w:id="18" w:name="_Toc503278727"/>
      <w:r>
        <w:rPr>
          <w:rFonts w:hint="eastAsia"/>
        </w:rPr>
        <w:t>规范性引用文件</w:t>
      </w:r>
      <w:bookmarkEnd w:id="17"/>
      <w:bookmarkEnd w:id="18"/>
    </w:p>
    <w:p>
      <w:pPr>
        <w:pStyle w:val="21"/>
      </w:pPr>
      <w:r>
        <w:rPr>
          <w:rFonts w:hint="eastAsia"/>
          <w:highlight w:val="none"/>
        </w:rPr>
        <w:t>下列文件</w:t>
      </w:r>
      <w:r>
        <w:rPr>
          <w:rFonts w:hint="eastAsia"/>
          <w:highlight w:val="none"/>
          <w:lang w:eastAsia="zh-CN"/>
        </w:rPr>
        <w:t>中的内容通过文中的规范性引用而构成本文件必不可少的条款。其中，注日期的引用文件，仅该日期对应的版本适用于本文件；不注日期的引用文件，其</w:t>
      </w:r>
      <w:r>
        <w:rPr>
          <w:rFonts w:hint="eastAsia"/>
          <w:highlight w:val="none"/>
        </w:rPr>
        <w:t>最新版本</w:t>
      </w:r>
      <w:r>
        <w:rPr>
          <w:rFonts w:hint="eastAsia"/>
        </w:rPr>
        <w:t>（包括所有的修改单）适用于本文件。</w:t>
      </w:r>
    </w:p>
    <w:p>
      <w:pPr>
        <w:pStyle w:val="21"/>
        <w:rPr>
          <w:rFonts w:hint="eastAsia"/>
          <w:szCs w:val="22"/>
          <w:lang w:val="en-US" w:eastAsia="zh-CN"/>
        </w:rPr>
      </w:pPr>
      <w:bookmarkStart w:id="19" w:name="_Toc503278728"/>
      <w:bookmarkEnd w:id="19"/>
      <w:bookmarkStart w:id="20" w:name="_Toc503281262"/>
      <w:r>
        <w:rPr>
          <w:rFonts w:hint="default"/>
          <w:szCs w:val="22"/>
          <w:lang w:val="en-US" w:eastAsia="zh-CN"/>
        </w:rPr>
        <w:t xml:space="preserve">GB/T 16157 </w:t>
      </w:r>
      <w:r>
        <w:rPr>
          <w:rFonts w:hint="eastAsia"/>
          <w:szCs w:val="22"/>
          <w:lang w:val="en-US" w:eastAsia="zh-CN"/>
        </w:rPr>
        <w:t xml:space="preserve">固定污染源排气中颗粒物测定与气态污染物采样方法 </w:t>
      </w:r>
    </w:p>
    <w:p>
      <w:pPr>
        <w:pStyle w:val="21"/>
        <w:rPr>
          <w:rFonts w:hint="eastAsia"/>
          <w:szCs w:val="22"/>
          <w:lang w:val="en-US" w:eastAsia="zh-CN"/>
        </w:rPr>
      </w:pPr>
      <w:r>
        <w:rPr>
          <w:rFonts w:hint="default"/>
          <w:highlight w:val="none"/>
          <w:lang w:val="en-US" w:eastAsia="zh-CN"/>
        </w:rPr>
        <w:t>HJ</w:t>
      </w:r>
      <w:r>
        <w:rPr>
          <w:rFonts w:hint="default"/>
          <w:szCs w:val="22"/>
          <w:lang w:val="en-US" w:eastAsia="zh-CN"/>
        </w:rPr>
        <w:t>/</w:t>
      </w:r>
      <w:r>
        <w:rPr>
          <w:rFonts w:hint="default"/>
          <w:highlight w:val="none"/>
          <w:lang w:val="en-US" w:eastAsia="zh-CN"/>
        </w:rPr>
        <w:t>T 27 固定污染物排气中氯化氢的测定硫氰酸汞分光光度法</w:t>
      </w:r>
    </w:p>
    <w:p>
      <w:pPr>
        <w:pStyle w:val="21"/>
        <w:rPr>
          <w:rFonts w:hint="eastAsia"/>
          <w:szCs w:val="22"/>
          <w:lang w:val="en-US" w:eastAsia="zh-CN"/>
        </w:rPr>
      </w:pPr>
      <w:r>
        <w:rPr>
          <w:rFonts w:hint="default"/>
          <w:szCs w:val="22"/>
          <w:lang w:val="en-US" w:eastAsia="zh-CN"/>
        </w:rPr>
        <w:t xml:space="preserve">HJ/T 373 </w:t>
      </w:r>
      <w:r>
        <w:rPr>
          <w:rFonts w:hint="eastAsia"/>
          <w:szCs w:val="22"/>
          <w:lang w:val="en-US" w:eastAsia="zh-CN"/>
        </w:rPr>
        <w:t>固定污染源监测质量保证与质量控制技术规范（试行）</w:t>
      </w:r>
    </w:p>
    <w:p>
      <w:pPr>
        <w:pStyle w:val="21"/>
        <w:rPr>
          <w:rFonts w:hint="eastAsia"/>
          <w:highlight w:val="none"/>
          <w:lang w:val="en-US" w:eastAsia="zh-CN"/>
        </w:rPr>
      </w:pPr>
      <w:r>
        <w:rPr>
          <w:rFonts w:hint="eastAsia"/>
          <w:highlight w:val="none"/>
          <w:lang w:val="en-US" w:eastAsia="zh-CN"/>
        </w:rPr>
        <w:t>HJ549 环境空气和废气 氯化氢的测定 离子色谱法</w:t>
      </w:r>
    </w:p>
    <w:p>
      <w:pPr>
        <w:pStyle w:val="41"/>
        <w:spacing w:before="312" w:after="312"/>
      </w:pPr>
      <w:r>
        <w:rPr>
          <w:rFonts w:hint="eastAsia"/>
        </w:rPr>
        <w:t>术语</w:t>
      </w:r>
      <w:bookmarkEnd w:id="20"/>
      <w:r>
        <w:rPr>
          <w:rFonts w:hint="eastAsia"/>
          <w:lang w:eastAsia="zh-CN"/>
        </w:rPr>
        <w:t>和定义</w:t>
      </w:r>
    </w:p>
    <w:p>
      <w:pPr>
        <w:pStyle w:val="21"/>
        <w:rPr>
          <w:rFonts w:hint="eastAsia" w:eastAsia="宋体"/>
          <w:lang w:eastAsia="zh-CN"/>
        </w:rPr>
      </w:pPr>
      <w:r>
        <w:rPr>
          <w:rFonts w:hint="eastAsia"/>
          <w:lang w:eastAsia="zh-CN"/>
        </w:rPr>
        <w:t>本文件没有需要界定的术语和定义。</w:t>
      </w:r>
    </w:p>
    <w:p>
      <w:pPr>
        <w:pStyle w:val="41"/>
        <w:spacing w:before="312" w:after="312"/>
      </w:pPr>
      <w:bookmarkStart w:id="21" w:name="_Toc503281263"/>
      <w:r>
        <w:rPr>
          <w:rFonts w:hint="eastAsia"/>
        </w:rPr>
        <w:t>原理</w:t>
      </w:r>
      <w:bookmarkEnd w:id="21"/>
    </w:p>
    <w:p>
      <w:pPr>
        <w:pStyle w:val="38"/>
        <w:numPr>
          <w:ilvl w:val="0"/>
          <w:numId w:val="0"/>
        </w:numPr>
        <w:ind w:leftChars="0" w:firstLine="420" w:firstLineChars="200"/>
        <w:rPr>
          <w:rFonts w:hint="eastAsia"/>
          <w:highlight w:val="none"/>
          <w:lang w:val="en-US" w:eastAsia="zh-CN"/>
        </w:rPr>
      </w:pPr>
      <w:bookmarkStart w:id="22" w:name="_Toc503281264"/>
      <w:r>
        <w:rPr>
          <w:rFonts w:hint="eastAsia" w:ascii="宋体" w:eastAsia="宋体"/>
          <w:sz w:val="21"/>
          <w:szCs w:val="22"/>
          <w:highlight w:val="none"/>
          <w:lang w:val="en-US" w:eastAsia="zh-CN" w:bidi="ar-SA"/>
        </w:rPr>
        <w:t>应在生产设备处于正常运行状态下进行，通过采样管将样品抽入到装有吸收液的吸收瓶中，气态污染物样品经化学分析或仪器分析得出污染物含量。</w:t>
      </w:r>
      <w:bookmarkEnd w:id="22"/>
    </w:p>
    <w:p>
      <w:pPr>
        <w:pStyle w:val="41"/>
        <w:spacing w:before="312" w:after="312"/>
        <w:rPr>
          <w:highlight w:val="none"/>
        </w:rPr>
      </w:pPr>
      <w:r>
        <w:rPr>
          <w:rFonts w:hint="eastAsia"/>
          <w:highlight w:val="none"/>
          <w:lang w:eastAsia="zh-CN"/>
        </w:rPr>
        <w:t>采样位置和采样点</w:t>
      </w:r>
    </w:p>
    <w:p>
      <w:pPr>
        <w:rPr>
          <w:rFonts w:hint="eastAsia"/>
          <w:lang w:val="en-US" w:eastAsia="zh-CN"/>
        </w:rPr>
      </w:pPr>
      <w:r>
        <w:rPr>
          <w:rFonts w:hint="eastAsia"/>
          <w:lang w:val="en-US" w:eastAsia="zh-CN"/>
        </w:rPr>
        <w:t>5.1 采样位置</w:t>
      </w:r>
    </w:p>
    <w:p>
      <w:pPr>
        <w:ind w:firstLine="420" w:firstLineChars="200"/>
        <w:rPr>
          <w:rFonts w:hint="eastAsia"/>
          <w:highlight w:val="none"/>
          <w:lang w:val="en-US" w:eastAsia="zh-CN"/>
        </w:rPr>
      </w:pPr>
      <w:r>
        <w:rPr>
          <w:rFonts w:hint="eastAsia"/>
          <w:highlight w:val="none"/>
          <w:lang w:val="en-US" w:eastAsia="zh-CN"/>
        </w:rPr>
        <w:t>见GB/T16157中4.2.1中的规定。</w:t>
      </w:r>
    </w:p>
    <w:p>
      <w:pPr>
        <w:rPr>
          <w:rFonts w:hint="eastAsia"/>
          <w:lang w:val="en-US" w:eastAsia="zh-CN"/>
        </w:rPr>
      </w:pPr>
      <w:r>
        <w:rPr>
          <w:rFonts w:hint="eastAsia"/>
          <w:lang w:val="en-US" w:eastAsia="zh-CN"/>
        </w:rPr>
        <w:t>5.2采样点</w:t>
      </w:r>
    </w:p>
    <w:p>
      <w:pPr>
        <w:ind w:firstLine="420" w:firstLineChars="200"/>
        <w:rPr>
          <w:rFonts w:hint="eastAsia"/>
          <w:highlight w:val="none"/>
          <w:lang w:val="en-US" w:eastAsia="zh-CN"/>
        </w:rPr>
      </w:pPr>
      <w:r>
        <w:rPr>
          <w:rFonts w:hint="eastAsia"/>
          <w:highlight w:val="none"/>
          <w:lang w:val="en-US" w:eastAsia="zh-CN"/>
        </w:rPr>
        <w:t>见GB/T16157中4.2.4中的规定。</w:t>
      </w:r>
    </w:p>
    <w:p>
      <w:pPr>
        <w:pStyle w:val="41"/>
        <w:spacing w:before="312" w:after="312"/>
        <w:rPr>
          <w:highlight w:val="none"/>
        </w:rPr>
      </w:pPr>
      <w:r>
        <w:rPr>
          <w:rFonts w:hint="eastAsia"/>
          <w:highlight w:val="none"/>
          <w:lang w:eastAsia="zh-CN"/>
        </w:rPr>
        <w:t>采样</w:t>
      </w:r>
      <w:r>
        <w:rPr>
          <w:rFonts w:hint="eastAsia"/>
          <w:highlight w:val="none"/>
          <w:lang w:val="en-US" w:eastAsia="zh-CN"/>
        </w:rPr>
        <w:t>方法</w:t>
      </w:r>
      <w:bookmarkStart w:id="23" w:name="_GoBack"/>
      <w:bookmarkEnd w:id="23"/>
    </w:p>
    <w:p>
      <w:pPr>
        <w:ind w:firstLine="420" w:firstLineChars="200"/>
        <w:rPr>
          <w:rFonts w:hint="eastAsia"/>
          <w:lang w:val="en-US" w:eastAsia="zh-CN"/>
        </w:rPr>
      </w:pPr>
    </w:p>
    <w:p>
      <w:pPr>
        <w:ind w:firstLine="420" w:firstLineChars="200"/>
        <w:rPr>
          <w:rFonts w:hint="eastAsia"/>
          <w:color w:val="auto"/>
          <w:lang w:val="en-US" w:eastAsia="zh-CN"/>
        </w:rPr>
      </w:pPr>
      <w:r>
        <w:rPr>
          <w:rFonts w:hint="eastAsia"/>
          <w:color w:val="auto"/>
          <w:lang w:val="en-US" w:eastAsia="zh-CN"/>
        </w:rPr>
        <w:t>吸收瓶采样系统：由采样管、吸收瓶、抽气泵等部分组成，见图1，抽气泵应严密不漏气。</w:t>
      </w:r>
    </w:p>
    <w:p>
      <w:pPr>
        <w:ind w:firstLine="420" w:firstLineChars="200"/>
        <w:rPr>
          <w:rFonts w:hint="default"/>
          <w:color w:val="auto"/>
          <w:lang w:val="en-US" w:eastAsia="zh-CN"/>
        </w:rPr>
      </w:pPr>
    </w:p>
    <w:p>
      <w:pPr>
        <w:ind w:firstLine="420" w:firstLineChars="200"/>
        <w:jc w:val="center"/>
        <w:rPr>
          <w:rFonts w:hint="eastAsia"/>
          <w:color w:val="0000FF"/>
          <w:lang w:val="en-US" w:eastAsia="zh-CN"/>
        </w:rPr>
      </w:pPr>
    </w:p>
    <w:p>
      <w:pPr>
        <w:jc w:val="center"/>
      </w:pPr>
      <w:r>
        <w:drawing>
          <wp:anchor distT="0" distB="0" distL="114300" distR="114300" simplePos="0" relativeHeight="251664384" behindDoc="0" locked="0" layoutInCell="1" allowOverlap="1">
            <wp:simplePos x="0" y="0"/>
            <wp:positionH relativeFrom="column">
              <wp:posOffset>569595</wp:posOffset>
            </wp:positionH>
            <wp:positionV relativeFrom="paragraph">
              <wp:posOffset>-127635</wp:posOffset>
            </wp:positionV>
            <wp:extent cx="4077970" cy="2066925"/>
            <wp:effectExtent l="0" t="0" r="1778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rcRect l="23694" t="31925" r="37604" b="17818"/>
                    <a:stretch>
                      <a:fillRect/>
                    </a:stretch>
                  </pic:blipFill>
                  <pic:spPr>
                    <a:xfrm>
                      <a:off x="0" y="0"/>
                      <a:ext cx="4077970" cy="2066925"/>
                    </a:xfrm>
                    <a:prstGeom prst="rect">
                      <a:avLst/>
                    </a:prstGeom>
                    <a:noFill/>
                    <a:ln>
                      <a:noFill/>
                    </a:ln>
                  </pic:spPr>
                </pic:pic>
              </a:graphicData>
            </a:graphic>
          </wp:anchor>
        </w:drawing>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firstLine="1680" w:firstLineChars="800"/>
        <w:jc w:val="left"/>
        <w:rPr>
          <w:rFonts w:hint="eastAsia"/>
          <w:lang w:val="en-US" w:eastAsia="zh-CN"/>
        </w:rPr>
      </w:pPr>
      <w:r>
        <w:rPr>
          <w:rFonts w:hint="eastAsia"/>
          <w:lang w:val="en-US" w:eastAsia="zh-CN"/>
        </w:rPr>
        <w:t>1</w:t>
      </w:r>
      <w:r>
        <w:rPr>
          <w:rFonts w:hint="eastAsia" w:ascii="宋体" w:hAnsi="宋体" w:eastAsia="宋体" w:cs="宋体"/>
          <w:lang w:val="en-US" w:eastAsia="zh-CN"/>
        </w:rPr>
        <w:t>－</w:t>
      </w:r>
      <w:r>
        <w:rPr>
          <w:rFonts w:hint="eastAsia"/>
          <w:lang w:val="en-US" w:eastAsia="zh-CN"/>
        </w:rPr>
        <w:t>采样管；2</w:t>
      </w:r>
      <w:r>
        <w:rPr>
          <w:rFonts w:hint="eastAsia" w:ascii="宋体" w:hAnsi="宋体" w:eastAsia="宋体" w:cs="宋体"/>
          <w:lang w:val="en-US" w:eastAsia="zh-CN"/>
        </w:rPr>
        <w:t>－</w:t>
      </w:r>
      <w:r>
        <w:rPr>
          <w:rFonts w:hint="eastAsia"/>
          <w:lang w:val="en-US" w:eastAsia="zh-CN"/>
        </w:rPr>
        <w:t>吸收瓶；3</w:t>
      </w:r>
      <w:r>
        <w:rPr>
          <w:rFonts w:hint="eastAsia" w:ascii="宋体" w:hAnsi="宋体" w:eastAsia="宋体" w:cs="宋体"/>
          <w:lang w:val="en-US" w:eastAsia="zh-CN"/>
        </w:rPr>
        <w:t>－</w:t>
      </w:r>
      <w:r>
        <w:rPr>
          <w:rFonts w:hint="eastAsia"/>
          <w:lang w:val="en-US" w:eastAsia="zh-CN"/>
        </w:rPr>
        <w:t>吸收管固定装置；4</w:t>
      </w:r>
      <w:r>
        <w:rPr>
          <w:rFonts w:hint="eastAsia" w:ascii="宋体" w:hAnsi="宋体" w:eastAsia="宋体" w:cs="宋体"/>
          <w:lang w:val="en-US" w:eastAsia="zh-CN"/>
        </w:rPr>
        <w:t>－</w:t>
      </w:r>
      <w:r>
        <w:rPr>
          <w:rFonts w:hint="eastAsia"/>
          <w:lang w:val="en-US" w:eastAsia="zh-CN"/>
        </w:rPr>
        <w:t>抽气泵</w:t>
      </w:r>
    </w:p>
    <w:p>
      <w:pPr>
        <w:ind w:firstLine="3570" w:firstLineChars="1700"/>
        <w:jc w:val="left"/>
        <w:rPr>
          <w:rFonts w:hint="eastAsia"/>
          <w:lang w:val="en-US" w:eastAsia="zh-CN"/>
        </w:rPr>
      </w:pPr>
      <w:r>
        <w:rPr>
          <w:rFonts w:hint="eastAsia"/>
          <w:lang w:val="en-US" w:eastAsia="zh-CN"/>
        </w:rPr>
        <w:t>图1 吸收瓶采样系统</w:t>
      </w:r>
    </w:p>
    <w:p>
      <w:pPr>
        <w:ind w:firstLine="3570" w:firstLineChars="1700"/>
        <w:jc w:val="left"/>
        <w:rPr>
          <w:rFonts w:hint="eastAsia"/>
          <w:highlight w:val="none"/>
          <w:lang w:val="en-US" w:eastAsia="zh-CN"/>
        </w:rPr>
      </w:pPr>
      <w:r>
        <w:rPr>
          <w:rFonts w:hint="eastAsia"/>
          <w:highlight w:val="none"/>
          <w:lang w:val="en-US" w:eastAsia="zh-CN"/>
        </w:rPr>
        <w:t>6.1采样管和滤料</w:t>
      </w:r>
    </w:p>
    <w:p>
      <w:pPr>
        <w:pStyle w:val="59"/>
        <w:numPr>
          <w:ilvl w:val="2"/>
          <w:numId w:val="0"/>
        </w:numPr>
        <w:ind w:leftChars="0"/>
        <w:rPr>
          <w:rFonts w:hint="eastAsia"/>
          <w:lang w:val="en-US" w:eastAsia="zh-CN"/>
        </w:rPr>
      </w:pPr>
      <w:r>
        <w:rPr>
          <w:rFonts w:hint="default" w:ascii="Times New Roman" w:hAnsi="Times New Roman" w:cs="Times New Roman"/>
          <w:lang w:val="en-US" w:eastAsia="zh-CN"/>
        </w:rPr>
        <w:t>6.1.</w:t>
      </w:r>
      <w:r>
        <w:rPr>
          <w:rFonts w:hint="eastAsia"/>
          <w:lang w:val="en-US" w:eastAsia="zh-CN"/>
        </w:rPr>
        <w:t>材质：</w:t>
      </w:r>
    </w:p>
    <w:p>
      <w:pPr>
        <w:pStyle w:val="59"/>
        <w:numPr>
          <w:ilvl w:val="2"/>
          <w:numId w:val="0"/>
        </w:numPr>
        <w:ind w:leftChars="0"/>
        <w:rPr>
          <w:rFonts w:hint="eastAsia"/>
          <w:lang w:val="en-US" w:eastAsia="zh-CN"/>
        </w:rPr>
      </w:pPr>
      <w:r>
        <w:rPr>
          <w:rFonts w:hint="default" w:ascii="Times New Roman" w:hAnsi="Times New Roman" w:cs="Times New Roman"/>
          <w:lang w:val="en-US" w:eastAsia="zh-CN"/>
        </w:rPr>
        <w:t>6.1.1</w:t>
      </w:r>
      <w:r>
        <w:rPr>
          <w:rFonts w:hint="eastAsia"/>
          <w:lang w:val="en-US" w:eastAsia="zh-CN"/>
        </w:rPr>
        <w:t>采样管材质可选硬质玻璃、石英、陶瓷、氟树脂或氟橡胶、氯乙烯树脂、硅橡胶。</w:t>
      </w:r>
    </w:p>
    <w:p>
      <w:pPr>
        <w:pStyle w:val="59"/>
        <w:numPr>
          <w:ilvl w:val="2"/>
          <w:numId w:val="0"/>
        </w:numPr>
        <w:ind w:leftChars="0"/>
        <w:rPr>
          <w:rFonts w:hint="eastAsia"/>
          <w:lang w:val="en-US" w:eastAsia="zh-CN"/>
        </w:rPr>
      </w:pPr>
      <w:r>
        <w:rPr>
          <w:rFonts w:hint="default" w:ascii="Times New Roman" w:hAnsi="Times New Roman" w:cs="Times New Roman"/>
          <w:lang w:val="en-US" w:eastAsia="zh-CN"/>
        </w:rPr>
        <w:t>6.1.1</w:t>
      </w:r>
      <w:r>
        <w:rPr>
          <w:rFonts w:hint="eastAsia"/>
          <w:lang w:val="en-US" w:eastAsia="zh-CN"/>
        </w:rPr>
        <w:t>滤料材质可选无碱玻璃棉或硅酸铝纤维、金刚砂。</w:t>
      </w:r>
    </w:p>
    <w:p>
      <w:pPr>
        <w:pStyle w:val="59"/>
        <w:numPr>
          <w:ilvl w:val="2"/>
          <w:numId w:val="0"/>
        </w:numPr>
        <w:rPr>
          <w:rFonts w:hint="eastAsia"/>
          <w:lang w:val="en-US" w:eastAsia="zh-CN"/>
        </w:rPr>
      </w:pPr>
      <w:r>
        <w:rPr>
          <w:rFonts w:hint="eastAsia" w:ascii="Times New Roman" w:cs="Times New Roman"/>
          <w:lang w:val="en-US" w:eastAsia="zh-CN"/>
        </w:rPr>
        <w:t>6.2</w:t>
      </w:r>
      <w:r>
        <w:rPr>
          <w:rFonts w:hint="eastAsia"/>
          <w:lang w:val="en-US" w:eastAsia="zh-CN"/>
        </w:rPr>
        <w:t>尺寸</w:t>
      </w:r>
    </w:p>
    <w:p>
      <w:pPr>
        <w:pStyle w:val="59"/>
        <w:numPr>
          <w:ilvl w:val="2"/>
          <w:numId w:val="0"/>
        </w:numPr>
        <w:rPr>
          <w:rFonts w:hint="eastAsia"/>
          <w:lang w:val="en-US" w:eastAsia="zh-CN"/>
        </w:rPr>
      </w:pPr>
      <w:r>
        <w:rPr>
          <w:rFonts w:hint="eastAsia"/>
          <w:lang w:val="en-US" w:eastAsia="zh-CN"/>
        </w:rPr>
        <w:t xml:space="preserve">   考虑到采气流量、机械强度和便于洗涤清洗，采样管内径应大于6mm，长度应能插到所需的采样点处，一般不宜小于800mm。</w:t>
      </w:r>
    </w:p>
    <w:p>
      <w:pPr>
        <w:ind w:left="420" w:hanging="420" w:hangingChars="200"/>
        <w:rPr>
          <w:rFonts w:hint="eastAsia"/>
          <w:lang w:val="en-US" w:eastAsia="zh-CN"/>
        </w:rPr>
      </w:pPr>
      <w:r>
        <w:rPr>
          <w:rFonts w:hint="eastAsia"/>
          <w:lang w:val="en-US" w:eastAsia="zh-CN"/>
        </w:rPr>
        <w:t>6.3吸收瓶</w:t>
      </w:r>
    </w:p>
    <w:p>
      <w:pPr>
        <w:ind w:left="420" w:hanging="420" w:hangingChars="200"/>
        <w:rPr>
          <w:rFonts w:hint="eastAsia"/>
          <w:highlight w:val="none"/>
          <w:lang w:val="en-US" w:eastAsia="zh-CN"/>
        </w:rPr>
      </w:pPr>
      <w:r>
        <w:rPr>
          <w:rFonts w:hint="eastAsia"/>
          <w:highlight w:val="none"/>
          <w:lang w:val="en-US" w:eastAsia="zh-CN"/>
        </w:rPr>
        <w:t>见GB/T16157中9.3.4中的规定。</w:t>
      </w:r>
    </w:p>
    <w:p>
      <w:pPr>
        <w:ind w:left="420" w:hanging="420" w:hangingChars="200"/>
        <w:rPr>
          <w:rFonts w:hint="eastAsia"/>
          <w:highlight w:val="none"/>
          <w:lang w:val="en-US" w:eastAsia="zh-CN"/>
        </w:rPr>
      </w:pPr>
      <w:r>
        <w:rPr>
          <w:rFonts w:hint="eastAsia"/>
          <w:highlight w:val="none"/>
          <w:lang w:val="en-US" w:eastAsia="zh-CN"/>
        </w:rPr>
        <w:t>6.4试剂</w:t>
      </w:r>
    </w:p>
    <w:p>
      <w:pPr>
        <w:ind w:left="420" w:hanging="420" w:hangingChars="200"/>
        <w:rPr>
          <w:rFonts w:hint="default"/>
          <w:highlight w:val="none"/>
          <w:lang w:val="en-US" w:eastAsia="zh-CN"/>
        </w:rPr>
      </w:pPr>
      <w:r>
        <w:rPr>
          <w:rFonts w:hint="eastAsia"/>
          <w:highlight w:val="none"/>
          <w:lang w:val="en-US" w:eastAsia="zh-CN"/>
        </w:rPr>
        <w:t>根据选用的检测设备不同见</w:t>
      </w:r>
      <w:r>
        <w:rPr>
          <w:rFonts w:hint="default"/>
          <w:highlight w:val="none"/>
          <w:lang w:val="en-US" w:eastAsia="zh-CN"/>
        </w:rPr>
        <w:t>HJ</w:t>
      </w:r>
      <w:r>
        <w:rPr>
          <w:rFonts w:hint="default"/>
          <w:szCs w:val="22"/>
          <w:lang w:val="en-US" w:eastAsia="zh-CN"/>
        </w:rPr>
        <w:t>/</w:t>
      </w:r>
      <w:r>
        <w:rPr>
          <w:rFonts w:hint="default"/>
          <w:highlight w:val="none"/>
          <w:lang w:val="en-US" w:eastAsia="zh-CN"/>
        </w:rPr>
        <w:t>T 27</w:t>
      </w:r>
      <w:r>
        <w:rPr>
          <w:rFonts w:hint="eastAsia"/>
          <w:highlight w:val="none"/>
          <w:lang w:val="en-US" w:eastAsia="zh-CN"/>
        </w:rPr>
        <w:t>或HJ549中的规定。</w:t>
      </w:r>
    </w:p>
    <w:p>
      <w:pPr>
        <w:pStyle w:val="59"/>
        <w:numPr>
          <w:ilvl w:val="2"/>
          <w:numId w:val="0"/>
        </w:numPr>
        <w:ind w:left="420" w:hanging="420" w:hangingChars="200"/>
        <w:rPr>
          <w:rFonts w:hint="eastAsia"/>
          <w:lang w:val="en-US" w:eastAsia="zh-CN"/>
        </w:rPr>
      </w:pPr>
      <w:r>
        <w:rPr>
          <w:rFonts w:hint="eastAsia" w:ascii="Times New Roman" w:cs="Times New Roman"/>
          <w:lang w:val="en-US" w:eastAsia="zh-CN"/>
        </w:rPr>
        <w:t>6.4</w:t>
      </w:r>
      <w:r>
        <w:rPr>
          <w:rFonts w:hint="eastAsia"/>
          <w:lang w:val="en-US" w:eastAsia="zh-CN"/>
        </w:rPr>
        <w:t>抽气泵</w:t>
      </w:r>
    </w:p>
    <w:p>
      <w:pPr>
        <w:pStyle w:val="59"/>
        <w:numPr>
          <w:ilvl w:val="2"/>
          <w:numId w:val="0"/>
        </w:numPr>
        <w:ind w:firstLine="420" w:firstLineChars="200"/>
        <w:rPr>
          <w:rFonts w:hint="default"/>
          <w:color w:val="auto"/>
          <w:lang w:val="en-US" w:eastAsia="zh-CN"/>
        </w:rPr>
      </w:pPr>
      <w:r>
        <w:rPr>
          <w:rFonts w:hint="eastAsia"/>
          <w:color w:val="auto"/>
          <w:lang w:val="en-US" w:eastAsia="zh-CN"/>
        </w:rPr>
        <w:t>采样动力，可用隔膜泵或旋片式防爆抽气泵，抽气能力应能克服烟道及采样系统阻力，抽气泵带玻璃转子流量计，可调节流量。</w:t>
      </w:r>
    </w:p>
    <w:p>
      <w:pPr>
        <w:numPr>
          <w:ilvl w:val="0"/>
          <w:numId w:val="0"/>
        </w:numPr>
        <w:spacing w:line="360" w:lineRule="auto"/>
        <w:ind w:leftChars="0"/>
        <w:rPr>
          <w:rFonts w:hint="eastAsia" w:ascii="黑体" w:eastAsia="黑体" w:cs="Times New Roman"/>
          <w:color w:val="auto"/>
          <w:kern w:val="0"/>
          <w:sz w:val="21"/>
          <w:szCs w:val="22"/>
          <w:highlight w:val="none"/>
          <w:lang w:val="en-US" w:eastAsia="zh-CN" w:bidi="ar-SA"/>
        </w:rPr>
      </w:pPr>
      <w:r>
        <w:rPr>
          <w:rFonts w:hint="eastAsia" w:ascii="黑体" w:hAnsi="Times New Roman" w:eastAsia="黑体" w:cs="Times New Roman"/>
          <w:color w:val="auto"/>
          <w:kern w:val="0"/>
          <w:sz w:val="21"/>
          <w:szCs w:val="22"/>
          <w:highlight w:val="none"/>
          <w:lang w:val="en-US" w:eastAsia="zh-CN" w:bidi="ar-SA"/>
        </w:rPr>
        <w:t>7</w:t>
      </w:r>
      <w:r>
        <w:rPr>
          <w:rFonts w:hint="eastAsia" w:ascii="黑体" w:eastAsia="黑体" w:cs="Times New Roman"/>
          <w:color w:val="auto"/>
          <w:kern w:val="0"/>
          <w:sz w:val="21"/>
          <w:szCs w:val="22"/>
          <w:highlight w:val="none"/>
          <w:lang w:val="en-US" w:eastAsia="zh-CN" w:bidi="ar-SA"/>
        </w:rPr>
        <w:t>样品的采集</w:t>
      </w:r>
    </w:p>
    <w:p>
      <w:pPr>
        <w:numPr>
          <w:ilvl w:val="0"/>
          <w:numId w:val="0"/>
        </w:numPr>
        <w:spacing w:line="360" w:lineRule="auto"/>
        <w:rPr>
          <w:rFonts w:hint="default" w:ascii="宋体" w:hAnsi="宋体" w:cs="宋体"/>
          <w:color w:val="000000"/>
          <w:kern w:val="0"/>
          <w:sz w:val="21"/>
          <w:szCs w:val="21"/>
          <w:lang w:val="en-US" w:eastAsia="zh-CN" w:bidi="ar"/>
        </w:rPr>
      </w:pPr>
      <w:r>
        <w:rPr>
          <w:rFonts w:hint="eastAsia" w:ascii="Times New Roman" w:hAnsi="Times New Roman" w:eastAsia="宋体" w:cs="Times New Roman"/>
          <w:kern w:val="0"/>
          <w:sz w:val="21"/>
          <w:szCs w:val="21"/>
          <w:lang w:val="en-US" w:eastAsia="zh-CN" w:bidi="ar-SA"/>
        </w:rPr>
        <w:t>7.1</w:t>
      </w:r>
      <w:r>
        <w:rPr>
          <w:rFonts w:hint="eastAsia" w:ascii="宋体" w:hAnsi="宋体" w:cs="宋体"/>
          <w:color w:val="000000"/>
          <w:kern w:val="0"/>
          <w:sz w:val="21"/>
          <w:szCs w:val="21"/>
          <w:lang w:val="en-US" w:eastAsia="zh-CN" w:bidi="ar"/>
        </w:rPr>
        <w:t>连接采样装置</w:t>
      </w:r>
    </w:p>
    <w:p>
      <w:pPr>
        <w:numPr>
          <w:ilvl w:val="0"/>
          <w:numId w:val="0"/>
        </w:numPr>
        <w:spacing w:line="360" w:lineRule="auto"/>
        <w:ind w:leftChars="0" w:firstLine="420" w:firstLineChars="200"/>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采样应符合 </w:t>
      </w:r>
      <w:r>
        <w:rPr>
          <w:rFonts w:hint="default" w:ascii="Times New Roman" w:hAnsi="Times New Roman" w:eastAsia="宋体" w:cs="Times New Roman"/>
          <w:color w:val="000000"/>
          <w:kern w:val="0"/>
          <w:sz w:val="21"/>
          <w:szCs w:val="21"/>
          <w:lang w:val="en-US" w:eastAsia="zh-CN" w:bidi="ar"/>
        </w:rPr>
        <w:t xml:space="preserve">GB/T 16157 </w:t>
      </w:r>
      <w:r>
        <w:rPr>
          <w:rFonts w:hint="eastAsia" w:ascii="宋体" w:hAnsi="宋体" w:eastAsia="宋体" w:cs="宋体"/>
          <w:color w:val="000000"/>
          <w:kern w:val="0"/>
          <w:sz w:val="21"/>
          <w:szCs w:val="21"/>
          <w:lang w:val="en-US" w:eastAsia="zh-CN" w:bidi="ar"/>
        </w:rPr>
        <w:t xml:space="preserve">中的相关规定，采样装置见图 </w:t>
      </w:r>
      <w:r>
        <w:rPr>
          <w:rFonts w:hint="default" w:ascii="Times New Roman" w:hAnsi="Times New Roman" w:eastAsia="宋体" w:cs="Times New Roman"/>
          <w:color w:val="000000"/>
          <w:kern w:val="0"/>
          <w:sz w:val="21"/>
          <w:szCs w:val="21"/>
          <w:lang w:val="en-US" w:eastAsia="zh-CN" w:bidi="ar"/>
        </w:rPr>
        <w:t>1</w:t>
      </w:r>
      <w:r>
        <w:rPr>
          <w:rFonts w:hint="eastAsia" w:cs="Times New Roman"/>
          <w:color w:val="000000"/>
          <w:kern w:val="0"/>
          <w:sz w:val="21"/>
          <w:szCs w:val="21"/>
          <w:lang w:val="en-US" w:eastAsia="zh-CN" w:bidi="ar"/>
        </w:rPr>
        <w:t>，按照采样管、吸收瓶、抽气泵的顺序连接好采样装置，并按照</w:t>
      </w:r>
      <w:r>
        <w:rPr>
          <w:rFonts w:hint="eastAsia" w:ascii="宋体" w:hAnsi="宋体" w:eastAsia="宋体" w:cs="宋体"/>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 xml:space="preserve">GB/T 16157 </w:t>
      </w:r>
      <w:r>
        <w:rPr>
          <w:rFonts w:hint="eastAsia" w:ascii="宋体" w:hAnsi="宋体" w:eastAsia="宋体" w:cs="宋体"/>
          <w:color w:val="000000"/>
          <w:kern w:val="0"/>
          <w:sz w:val="21"/>
          <w:szCs w:val="21"/>
          <w:lang w:val="en-US" w:eastAsia="zh-CN" w:bidi="ar"/>
        </w:rPr>
        <w:t>中</w:t>
      </w:r>
      <w:r>
        <w:rPr>
          <w:rFonts w:hint="eastAsia" w:ascii="宋体" w:hAnsi="宋体" w:cs="宋体"/>
          <w:color w:val="000000"/>
          <w:kern w:val="0"/>
          <w:sz w:val="21"/>
          <w:szCs w:val="21"/>
          <w:lang w:val="en-US" w:eastAsia="zh-CN" w:bidi="ar"/>
        </w:rPr>
        <w:t>9.4的要求检查其气密性和可靠性。</w:t>
      </w:r>
    </w:p>
    <w:p>
      <w:pPr>
        <w:numPr>
          <w:ilvl w:val="0"/>
          <w:numId w:val="0"/>
        </w:numPr>
        <w:spacing w:line="360" w:lineRule="auto"/>
        <w:rPr>
          <w:rFonts w:hint="default" w:ascii="宋体" w:hAnsi="宋体" w:eastAsia="宋体" w:cs="宋体"/>
          <w:color w:val="000000"/>
          <w:kern w:val="0"/>
          <w:sz w:val="21"/>
          <w:szCs w:val="21"/>
          <w:lang w:val="en-US" w:eastAsia="zh-CN" w:bidi="ar"/>
        </w:rPr>
      </w:pPr>
      <w:r>
        <w:rPr>
          <w:rFonts w:hint="eastAsia" w:ascii="Times New Roman" w:hAnsi="Times New Roman" w:eastAsia="宋体" w:cs="Times New Roman"/>
          <w:kern w:val="0"/>
          <w:sz w:val="21"/>
          <w:szCs w:val="21"/>
          <w:lang w:val="en-US" w:eastAsia="zh-CN" w:bidi="ar-SA"/>
        </w:rPr>
        <w:t>7.2</w:t>
      </w:r>
      <w:r>
        <w:rPr>
          <w:rFonts w:hint="eastAsia" w:ascii="宋体" w:hAnsi="宋体" w:cs="宋体"/>
          <w:color w:val="000000"/>
          <w:kern w:val="0"/>
          <w:sz w:val="21"/>
          <w:szCs w:val="21"/>
          <w:lang w:val="en-US" w:eastAsia="zh-CN" w:bidi="ar"/>
        </w:rPr>
        <w:t>采集样品</w:t>
      </w:r>
    </w:p>
    <w:p>
      <w:pPr>
        <w:numPr>
          <w:ilvl w:val="0"/>
          <w:numId w:val="0"/>
        </w:numPr>
        <w:spacing w:line="360" w:lineRule="auto"/>
        <w:ind w:leftChars="0" w:firstLine="420" w:firstLineChars="200"/>
        <w:rPr>
          <w:rFonts w:hint="default"/>
          <w:lang w:val="en-US" w:eastAsia="zh-CN"/>
        </w:rPr>
      </w:pPr>
      <w:r>
        <w:rPr>
          <w:rFonts w:hint="eastAsia" w:ascii="宋体" w:hAnsi="宋体" w:eastAsia="宋体" w:cs="宋体"/>
          <w:color w:val="000000"/>
          <w:kern w:val="0"/>
          <w:sz w:val="21"/>
          <w:szCs w:val="21"/>
          <w:lang w:val="en-US" w:eastAsia="zh-CN" w:bidi="ar"/>
        </w:rPr>
        <w:t xml:space="preserve">串联两支各装 </w:t>
      </w:r>
      <w:r>
        <w:rPr>
          <w:rFonts w:hint="eastAsia" w:cs="Times New Roman"/>
          <w:color w:val="000000"/>
          <w:kern w:val="0"/>
          <w:sz w:val="21"/>
          <w:szCs w:val="21"/>
          <w:lang w:val="en-US" w:eastAsia="zh-CN" w:bidi="ar"/>
        </w:rPr>
        <w:t>一定量氢氧化钠吸收液的吸收瓶，以一定的流量，采集一定的时间。具体要求应符合</w:t>
      </w:r>
      <w:r>
        <w:rPr>
          <w:rFonts w:hint="eastAsia"/>
          <w:highlight w:val="none"/>
          <w:lang w:val="en-US" w:eastAsia="zh-CN"/>
        </w:rPr>
        <w:t>HJ/T 27中6.1或HJ 549中8.2.3中的规定。同时</w:t>
      </w:r>
      <w:r>
        <w:rPr>
          <w:rFonts w:hint="eastAsia" w:cs="Times New Roman"/>
          <w:color w:val="000000"/>
          <w:kern w:val="0"/>
          <w:sz w:val="21"/>
          <w:szCs w:val="21"/>
          <w:lang w:val="en-US" w:eastAsia="zh-CN" w:bidi="ar"/>
        </w:rPr>
        <w:t>在采样过程中，应保持采样管水平，以避免水汽冷凝可能流出采样管。</w:t>
      </w:r>
    </w:p>
    <w:p>
      <w:pPr>
        <w:numPr>
          <w:ilvl w:val="0"/>
          <w:numId w:val="0"/>
        </w:numPr>
        <w:spacing w:line="360" w:lineRule="auto"/>
        <w:ind w:leftChars="0"/>
        <w:rPr>
          <w:rFonts w:hint="eastAsia" w:ascii="黑体" w:hAnsi="Times New Roman" w:eastAsia="黑体" w:cs="Times New Roman"/>
          <w:color w:val="auto"/>
          <w:kern w:val="0"/>
          <w:sz w:val="21"/>
          <w:szCs w:val="22"/>
          <w:highlight w:val="none"/>
          <w:lang w:val="en-US" w:eastAsia="zh-CN" w:bidi="ar-SA"/>
        </w:rPr>
      </w:pPr>
      <w:r>
        <w:rPr>
          <w:rFonts w:hint="eastAsia" w:ascii="黑体" w:eastAsia="黑体" w:cs="Times New Roman"/>
          <w:color w:val="auto"/>
          <w:kern w:val="0"/>
          <w:sz w:val="21"/>
          <w:szCs w:val="22"/>
          <w:highlight w:val="none"/>
          <w:lang w:val="en-US" w:eastAsia="zh-CN" w:bidi="ar-SA"/>
        </w:rPr>
        <w:t>8</w:t>
      </w:r>
      <w:r>
        <w:rPr>
          <w:rFonts w:hint="eastAsia" w:ascii="黑体" w:hAnsi="Times New Roman" w:eastAsia="黑体" w:cs="Times New Roman"/>
          <w:color w:val="auto"/>
          <w:kern w:val="0"/>
          <w:sz w:val="21"/>
          <w:szCs w:val="22"/>
          <w:highlight w:val="none"/>
          <w:lang w:val="en-US" w:eastAsia="zh-CN" w:bidi="ar-SA"/>
        </w:rPr>
        <w:t>试样的制备</w:t>
      </w:r>
    </w:p>
    <w:p>
      <w:pPr>
        <w:numPr>
          <w:ilvl w:val="0"/>
          <w:numId w:val="0"/>
        </w:numPr>
        <w:spacing w:line="360" w:lineRule="auto"/>
        <w:rPr>
          <w:rFonts w:hint="eastAsia" w:ascii="宋体" w:hAnsi="宋体" w:eastAsia="宋体" w:cs="宋体"/>
          <w:color w:val="000000"/>
          <w:kern w:val="0"/>
          <w:sz w:val="21"/>
          <w:szCs w:val="21"/>
          <w:lang w:val="en-US" w:eastAsia="zh-CN" w:bidi="ar"/>
        </w:rPr>
      </w:pPr>
      <w:r>
        <w:rPr>
          <w:rFonts w:hint="eastAsia" w:ascii="Times New Roman" w:hAnsi="Times New Roman" w:eastAsia="宋体" w:cs="Times New Roman"/>
          <w:kern w:val="0"/>
          <w:sz w:val="21"/>
          <w:szCs w:val="21"/>
          <w:lang w:val="en-US" w:eastAsia="zh-CN" w:bidi="ar-SA"/>
        </w:rPr>
        <w:t>8.1</w:t>
      </w:r>
      <w:r>
        <w:rPr>
          <w:rFonts w:hint="eastAsia" w:ascii="宋体" w:hAnsi="宋体" w:cs="宋体"/>
          <w:color w:val="000000"/>
          <w:kern w:val="0"/>
          <w:sz w:val="21"/>
          <w:szCs w:val="21"/>
          <w:lang w:val="en-US" w:eastAsia="zh-CN" w:bidi="ar"/>
        </w:rPr>
        <w:t>将两支冲击式吸收瓶中的样品溶液分别转入两支具塞比色管中，用少量水洗涤吸收瓶内壁，洗液并入比色管，稀释定容至</w:t>
      </w:r>
      <w:r>
        <w:rPr>
          <w:rFonts w:hint="default" w:ascii="宋体" w:hAnsi="宋体" w:cs="宋体"/>
          <w:color w:val="000000"/>
          <w:kern w:val="0"/>
          <w:sz w:val="21"/>
          <w:szCs w:val="21"/>
          <w:lang w:val="en-US" w:eastAsia="zh-CN" w:bidi="ar"/>
        </w:rPr>
        <w:t xml:space="preserve"> </w:t>
      </w:r>
      <w:r>
        <w:rPr>
          <w:rFonts w:hint="eastAsia" w:ascii="宋体" w:hAnsi="宋体" w:cs="宋体"/>
          <w:color w:val="000000"/>
          <w:kern w:val="0"/>
          <w:sz w:val="21"/>
          <w:szCs w:val="21"/>
          <w:lang w:val="en-US" w:eastAsia="zh-CN" w:bidi="ar"/>
        </w:rPr>
        <w:t>标线，摇匀。</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Times New Roman" w:hAnsi="Times New Roman" w:eastAsia="宋体" w:cs="Times New Roman"/>
          <w:kern w:val="0"/>
          <w:sz w:val="21"/>
          <w:szCs w:val="21"/>
          <w:lang w:val="en-US" w:eastAsia="zh-CN" w:bidi="ar-SA"/>
        </w:rPr>
        <w:t>8.2</w:t>
      </w:r>
      <w:r>
        <w:rPr>
          <w:rFonts w:hint="eastAsia" w:cs="Times New Roman"/>
          <w:color w:val="000000"/>
          <w:lang w:val="en-US" w:eastAsia="zh-CN"/>
        </w:rPr>
        <w:t>将</w:t>
      </w:r>
      <w:r>
        <w:rPr>
          <w:rFonts w:hint="eastAsia" w:ascii="宋体" w:hAnsi="宋体" w:eastAsia="宋体" w:cs="宋体"/>
          <w:color w:val="000000"/>
          <w:kern w:val="0"/>
          <w:sz w:val="21"/>
          <w:szCs w:val="21"/>
          <w:lang w:val="en-US" w:eastAsia="zh-CN" w:bidi="ar"/>
        </w:rPr>
        <w:t>两支</w:t>
      </w:r>
      <w:r>
        <w:rPr>
          <w:rFonts w:hint="eastAsia" w:ascii="宋体" w:hAnsi="宋体" w:cs="宋体"/>
          <w:color w:val="000000"/>
          <w:kern w:val="0"/>
          <w:sz w:val="21"/>
          <w:szCs w:val="21"/>
          <w:lang w:val="en-US" w:eastAsia="zh-CN" w:bidi="ar"/>
        </w:rPr>
        <w:t>采样管分别多次</w:t>
      </w:r>
      <w:r>
        <w:rPr>
          <w:rFonts w:hint="eastAsia" w:ascii="宋体" w:hAnsi="宋体" w:eastAsia="宋体" w:cs="宋体"/>
          <w:color w:val="000000"/>
          <w:kern w:val="0"/>
          <w:sz w:val="21"/>
          <w:szCs w:val="21"/>
          <w:lang w:val="en-US" w:eastAsia="zh-CN" w:bidi="ar"/>
        </w:rPr>
        <w:t>加入</w:t>
      </w:r>
      <w:r>
        <w:rPr>
          <w:rFonts w:hint="default" w:ascii="宋体" w:hAnsi="宋体" w:eastAsia="宋体" w:cs="宋体"/>
          <w:color w:val="000000"/>
          <w:kern w:val="0"/>
          <w:sz w:val="21"/>
          <w:szCs w:val="21"/>
          <w:lang w:val="en-US" w:eastAsia="zh-CN" w:bidi="ar"/>
        </w:rPr>
        <w:t>5.00ml</w:t>
      </w:r>
      <w:r>
        <w:rPr>
          <w:rFonts w:hint="eastAsia" w:ascii="宋体" w:hAnsi="宋体" w:cs="宋体"/>
          <w:color w:val="000000"/>
          <w:kern w:val="0"/>
          <w:sz w:val="21"/>
          <w:szCs w:val="21"/>
          <w:lang w:val="en-US" w:eastAsia="zh-CN" w:bidi="ar"/>
        </w:rPr>
        <w:t>吸收液洗涤采样管内壁，</w:t>
      </w:r>
      <w:r>
        <w:rPr>
          <w:rFonts w:hint="eastAsia" w:ascii="宋体" w:hAnsi="宋体" w:eastAsia="宋体" w:cs="宋体"/>
          <w:color w:val="000000"/>
          <w:kern w:val="0"/>
          <w:sz w:val="21"/>
          <w:szCs w:val="21"/>
          <w:lang w:val="en-US" w:eastAsia="zh-CN" w:bidi="ar"/>
        </w:rPr>
        <w:t>洗液并入比色管，稀释定容至标线，摇匀</w:t>
      </w:r>
      <w:r>
        <w:rPr>
          <w:rFonts w:hint="eastAsia" w:ascii="宋体" w:hAnsi="宋体" w:cs="宋体"/>
          <w:color w:val="000000"/>
          <w:kern w:val="0"/>
          <w:sz w:val="21"/>
          <w:szCs w:val="21"/>
          <w:lang w:val="en-US" w:eastAsia="zh-CN" w:bidi="ar"/>
        </w:rPr>
        <w:t>。</w:t>
      </w:r>
    </w:p>
    <w:p>
      <w:pPr>
        <w:spacing w:line="276" w:lineRule="auto"/>
        <w:rPr>
          <w:rFonts w:hint="default" w:cs="Times New Roman"/>
          <w:color w:val="000000"/>
          <w:lang w:val="en-US" w:eastAsia="zh-CN"/>
        </w:rPr>
      </w:pPr>
      <w:r>
        <w:rPr>
          <w:rFonts w:hint="eastAsia" w:ascii="Times New Roman" w:hAnsi="Times New Roman" w:eastAsia="宋体" w:cs="Times New Roman"/>
          <w:kern w:val="0"/>
          <w:sz w:val="21"/>
          <w:szCs w:val="21"/>
          <w:lang w:val="en-US" w:eastAsia="zh-CN" w:bidi="ar-SA"/>
        </w:rPr>
        <w:t>8.3</w:t>
      </w:r>
      <w:r>
        <w:rPr>
          <w:rFonts w:hint="eastAsia" w:cs="Times New Roman"/>
          <w:color w:val="000000"/>
          <w:lang w:val="en-US" w:eastAsia="zh-CN"/>
        </w:rPr>
        <w:t>全程序空白</w:t>
      </w:r>
    </w:p>
    <w:p>
      <w:pPr>
        <w:spacing w:line="276" w:lineRule="auto"/>
        <w:ind w:firstLine="420" w:firstLineChars="200"/>
        <w:rPr>
          <w:rFonts w:hint="eastAsia" w:ascii="宋体" w:hAnsi="宋体" w:cs="Arial"/>
          <w:color w:val="000000"/>
        </w:rPr>
      </w:pPr>
      <w:r>
        <w:rPr>
          <w:rFonts w:hint="eastAsia" w:ascii="宋体" w:hAnsi="宋体" w:cs="Arial"/>
          <w:color w:val="000000"/>
        </w:rPr>
        <w:t>每次采集样品应至少带两套全程序空白样品。将同批次装好吸收液的吸收瓶带至采样现场，不与采样器连接，采样结束后带回实验室待测。</w:t>
      </w:r>
    </w:p>
    <w:p>
      <w:pPr>
        <w:numPr>
          <w:ilvl w:val="0"/>
          <w:numId w:val="0"/>
        </w:numPr>
        <w:spacing w:line="360" w:lineRule="auto"/>
        <w:ind w:leftChars="0"/>
        <w:rPr>
          <w:rFonts w:hint="default" w:ascii="黑体" w:eastAsia="黑体" w:cs="Times New Roman"/>
          <w:color w:val="auto"/>
          <w:kern w:val="0"/>
          <w:sz w:val="21"/>
          <w:szCs w:val="22"/>
          <w:highlight w:val="none"/>
          <w:lang w:val="en-US" w:eastAsia="zh-CN" w:bidi="ar-SA"/>
        </w:rPr>
      </w:pPr>
      <w:r>
        <w:rPr>
          <w:rFonts w:hint="eastAsia" w:ascii="黑体" w:eastAsia="黑体" w:cs="Times New Roman"/>
          <w:color w:val="auto"/>
          <w:kern w:val="0"/>
          <w:sz w:val="21"/>
          <w:szCs w:val="22"/>
          <w:highlight w:val="none"/>
          <w:lang w:val="en-US" w:eastAsia="zh-CN" w:bidi="ar-SA"/>
        </w:rPr>
        <w:t>9样品的分析</w:t>
      </w:r>
    </w:p>
    <w:p>
      <w:pPr>
        <w:spacing w:line="276" w:lineRule="auto"/>
        <w:rPr>
          <w:rFonts w:hint="eastAsia" w:ascii="宋体" w:hAnsi="宋体" w:cs="Arial"/>
          <w:color w:val="000000"/>
          <w:highlight w:val="none"/>
        </w:rPr>
      </w:pPr>
      <w:r>
        <w:rPr>
          <w:rFonts w:hint="eastAsia"/>
          <w:highlight w:val="none"/>
          <w:lang w:val="en-US" w:eastAsia="zh-CN"/>
        </w:rPr>
        <w:t>见HJ/T 27中7.2.2或HJ 549中9.3中的规定。</w:t>
      </w:r>
    </w:p>
    <w:p>
      <w:pPr>
        <w:keepNext w:val="0"/>
        <w:keepLines w:val="0"/>
        <w:widowControl/>
        <w:suppressLineNumbers w:val="0"/>
        <w:jc w:val="left"/>
        <w:rPr>
          <w:rFonts w:hint="eastAsia" w:ascii="宋体" w:hAnsi="宋体" w:eastAsia="宋体" w:cs="宋体"/>
          <w:color w:val="000000"/>
          <w:kern w:val="0"/>
          <w:sz w:val="18"/>
          <w:szCs w:val="18"/>
          <w:lang w:val="en-US" w:eastAsia="zh-CN" w:bidi="ar"/>
        </w:rPr>
      </w:pPr>
    </w:p>
    <w:p>
      <w:pPr>
        <w:spacing w:line="276" w:lineRule="auto"/>
        <w:rPr>
          <w:rFonts w:hint="default"/>
          <w:lang w:val="en-US" w:eastAsia="zh-CN"/>
        </w:rPr>
      </w:pPr>
    </w:p>
    <w:p>
      <w:pPr>
        <w:pStyle w:val="125"/>
      </w:pPr>
      <w:r>
        <w:t>_________________________________</w:t>
      </w:r>
    </w:p>
    <w:sectPr>
      <w:headerReference r:id="rId9" w:type="default"/>
      <w:footerReference r:id="rId10"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CNIA</w:t>
    </w:r>
    <w:r>
      <w:t>/T XXXXX—XXXX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CNIA</w:t>
    </w:r>
    <w:r>
      <w:t>/T XXXXX—XXXX</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8"/>
      <w:suff w:val="nothing"/>
      <w:lvlText w:val="%1%2.%3　"/>
      <w:lvlJc w:val="left"/>
      <w:pPr>
        <w:ind w:left="0" w:firstLine="0"/>
      </w:pPr>
      <w:rPr>
        <w:rFonts w:hint="eastAsia" w:ascii="黑体" w:hAnsi="Times New Roman" w:eastAsia="黑体"/>
        <w:b w:val="0"/>
        <w:i w:val="0"/>
        <w:sz w:val="21"/>
      </w:rPr>
    </w:lvl>
    <w:lvl w:ilvl="3" w:tentative="0">
      <w:start w:val="1"/>
      <w:numFmt w:val="decimal"/>
      <w:pStyle w:val="134"/>
      <w:suff w:val="nothing"/>
      <w:lvlText w:val="%1%2.%3.%4　"/>
      <w:lvlJc w:val="left"/>
      <w:pPr>
        <w:ind w:left="0" w:firstLine="0"/>
      </w:pPr>
      <w:rPr>
        <w:rFonts w:hint="eastAsia" w:ascii="黑体" w:hAnsi="Times New Roman" w:eastAsia="黑体"/>
        <w:b w:val="0"/>
        <w:i w:val="0"/>
        <w:sz w:val="21"/>
      </w:rPr>
    </w:lvl>
    <w:lvl w:ilvl="4" w:tentative="0">
      <w:start w:val="1"/>
      <w:numFmt w:val="decimal"/>
      <w:pStyle w:val="135"/>
      <w:suff w:val="nothing"/>
      <w:lvlText w:val="%1%2.%3.%4.%5　"/>
      <w:lvlJc w:val="left"/>
      <w:pPr>
        <w:ind w:left="0" w:firstLine="0"/>
      </w:pPr>
      <w:rPr>
        <w:rFonts w:hint="eastAsia" w:ascii="黑体" w:hAnsi="Times New Roman" w:eastAsia="黑体"/>
        <w:b w:val="0"/>
        <w:i w:val="0"/>
        <w:sz w:val="21"/>
      </w:rPr>
    </w:lvl>
    <w:lvl w:ilvl="5" w:tentative="0">
      <w:start w:val="1"/>
      <w:numFmt w:val="decimal"/>
      <w:pStyle w:val="136"/>
      <w:suff w:val="nothing"/>
      <w:lvlText w:val="%1%2.%3.%4.%5.%6　"/>
      <w:lvlJc w:val="left"/>
      <w:pPr>
        <w:ind w:left="0" w:firstLine="0"/>
      </w:pPr>
      <w:rPr>
        <w:rFonts w:hint="eastAsia" w:ascii="黑体" w:hAnsi="Times New Roman" w:eastAsia="黑体"/>
        <w:b w:val="0"/>
        <w:i w:val="0"/>
        <w:sz w:val="21"/>
      </w:rPr>
    </w:lvl>
    <w:lvl w:ilvl="6" w:tentative="0">
      <w:start w:val="1"/>
      <w:numFmt w:val="decimal"/>
      <w:pStyle w:val="1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2"/>
      <w:suff w:val="nothing"/>
      <w:lvlText w:val="%1.%2.%3　"/>
      <w:lvlJc w:val="left"/>
      <w:pPr>
        <w:ind w:left="284"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5"/>
  </w:num>
  <w:num w:numId="2">
    <w:abstractNumId w:val="2"/>
  </w:num>
  <w:num w:numId="3">
    <w:abstractNumId w:val="4"/>
  </w:num>
  <w:num w:numId="4">
    <w:abstractNumId w:val="6"/>
  </w:num>
  <w:num w:numId="5">
    <w:abstractNumId w:val="1"/>
  </w:num>
  <w:num w:numId="6">
    <w:abstractNumId w:val="8"/>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YmYyOTcyZGY0Mjg1NTM0Njg3Njk5YmI0MzYzYjEifQ=="/>
  </w:docVars>
  <w:rsids>
    <w:rsidRoot w:val="00035925"/>
    <w:rsid w:val="00000244"/>
    <w:rsid w:val="0000185F"/>
    <w:rsid w:val="0000586F"/>
    <w:rsid w:val="00006E5C"/>
    <w:rsid w:val="00013D86"/>
    <w:rsid w:val="00013E02"/>
    <w:rsid w:val="0002143C"/>
    <w:rsid w:val="00025A65"/>
    <w:rsid w:val="00026034"/>
    <w:rsid w:val="00026C31"/>
    <w:rsid w:val="00027280"/>
    <w:rsid w:val="000320A7"/>
    <w:rsid w:val="00035925"/>
    <w:rsid w:val="0004425F"/>
    <w:rsid w:val="000511C3"/>
    <w:rsid w:val="00063E97"/>
    <w:rsid w:val="00067CDF"/>
    <w:rsid w:val="000716E1"/>
    <w:rsid w:val="00074FBE"/>
    <w:rsid w:val="00083A09"/>
    <w:rsid w:val="0009005E"/>
    <w:rsid w:val="00092857"/>
    <w:rsid w:val="000A20A9"/>
    <w:rsid w:val="000A48B1"/>
    <w:rsid w:val="000B3143"/>
    <w:rsid w:val="000C51FC"/>
    <w:rsid w:val="000C6B05"/>
    <w:rsid w:val="000C6DD6"/>
    <w:rsid w:val="000C73D4"/>
    <w:rsid w:val="000D3D4C"/>
    <w:rsid w:val="000D4F51"/>
    <w:rsid w:val="000D718B"/>
    <w:rsid w:val="000E0C46"/>
    <w:rsid w:val="000E6074"/>
    <w:rsid w:val="000F030C"/>
    <w:rsid w:val="000F129C"/>
    <w:rsid w:val="001056DE"/>
    <w:rsid w:val="001124C0"/>
    <w:rsid w:val="00122897"/>
    <w:rsid w:val="0013175F"/>
    <w:rsid w:val="001512B4"/>
    <w:rsid w:val="001620A5"/>
    <w:rsid w:val="00164E53"/>
    <w:rsid w:val="0016699D"/>
    <w:rsid w:val="00173224"/>
    <w:rsid w:val="00175159"/>
    <w:rsid w:val="00176208"/>
    <w:rsid w:val="0018211B"/>
    <w:rsid w:val="001840D3"/>
    <w:rsid w:val="001900F8"/>
    <w:rsid w:val="00191258"/>
    <w:rsid w:val="00192680"/>
    <w:rsid w:val="00193037"/>
    <w:rsid w:val="00193A2C"/>
    <w:rsid w:val="001A288E"/>
    <w:rsid w:val="001B6BE0"/>
    <w:rsid w:val="001B6DC2"/>
    <w:rsid w:val="001C149C"/>
    <w:rsid w:val="001C21AC"/>
    <w:rsid w:val="001C47BA"/>
    <w:rsid w:val="001C59EA"/>
    <w:rsid w:val="001D406C"/>
    <w:rsid w:val="001D41EE"/>
    <w:rsid w:val="001E0380"/>
    <w:rsid w:val="001E13B1"/>
    <w:rsid w:val="001F3A19"/>
    <w:rsid w:val="00217C9E"/>
    <w:rsid w:val="00234467"/>
    <w:rsid w:val="00235BFF"/>
    <w:rsid w:val="00237D8D"/>
    <w:rsid w:val="00241DA2"/>
    <w:rsid w:val="00247FEE"/>
    <w:rsid w:val="00250E7D"/>
    <w:rsid w:val="002565D5"/>
    <w:rsid w:val="002622C0"/>
    <w:rsid w:val="002778AE"/>
    <w:rsid w:val="0028269A"/>
    <w:rsid w:val="00283590"/>
    <w:rsid w:val="00284AFB"/>
    <w:rsid w:val="00286973"/>
    <w:rsid w:val="00294E70"/>
    <w:rsid w:val="00297240"/>
    <w:rsid w:val="002A1924"/>
    <w:rsid w:val="002A6AE1"/>
    <w:rsid w:val="002A7420"/>
    <w:rsid w:val="002B0E8A"/>
    <w:rsid w:val="002B0F12"/>
    <w:rsid w:val="002B1308"/>
    <w:rsid w:val="002B24C5"/>
    <w:rsid w:val="002B4554"/>
    <w:rsid w:val="002B5CA4"/>
    <w:rsid w:val="002C72D8"/>
    <w:rsid w:val="002C7EE0"/>
    <w:rsid w:val="002D0C8D"/>
    <w:rsid w:val="002D11FA"/>
    <w:rsid w:val="002E0DDF"/>
    <w:rsid w:val="002E2906"/>
    <w:rsid w:val="002E5635"/>
    <w:rsid w:val="002E64C3"/>
    <w:rsid w:val="002E6A2C"/>
    <w:rsid w:val="002E6B9D"/>
    <w:rsid w:val="002E7180"/>
    <w:rsid w:val="002F1D8C"/>
    <w:rsid w:val="002F21DA"/>
    <w:rsid w:val="002F39D9"/>
    <w:rsid w:val="00301F39"/>
    <w:rsid w:val="00325926"/>
    <w:rsid w:val="00327A8A"/>
    <w:rsid w:val="00336610"/>
    <w:rsid w:val="00343F73"/>
    <w:rsid w:val="00345060"/>
    <w:rsid w:val="0035323B"/>
    <w:rsid w:val="00354573"/>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348F"/>
    <w:rsid w:val="003C75F3"/>
    <w:rsid w:val="003C78A3"/>
    <w:rsid w:val="003E1867"/>
    <w:rsid w:val="003E5729"/>
    <w:rsid w:val="003F4EE0"/>
    <w:rsid w:val="00402153"/>
    <w:rsid w:val="00402FC1"/>
    <w:rsid w:val="00425082"/>
    <w:rsid w:val="0043032E"/>
    <w:rsid w:val="00431DEB"/>
    <w:rsid w:val="0043659F"/>
    <w:rsid w:val="00437006"/>
    <w:rsid w:val="00446B29"/>
    <w:rsid w:val="0045338E"/>
    <w:rsid w:val="00453F9A"/>
    <w:rsid w:val="0046287E"/>
    <w:rsid w:val="00471E91"/>
    <w:rsid w:val="00474675"/>
    <w:rsid w:val="0047470C"/>
    <w:rsid w:val="00474F8E"/>
    <w:rsid w:val="00477A21"/>
    <w:rsid w:val="004A35F9"/>
    <w:rsid w:val="004B24C1"/>
    <w:rsid w:val="004C292F"/>
    <w:rsid w:val="004D1B05"/>
    <w:rsid w:val="004E4F47"/>
    <w:rsid w:val="00510280"/>
    <w:rsid w:val="00513D73"/>
    <w:rsid w:val="00514A43"/>
    <w:rsid w:val="005174E5"/>
    <w:rsid w:val="00522393"/>
    <w:rsid w:val="005223FF"/>
    <w:rsid w:val="00522620"/>
    <w:rsid w:val="00525656"/>
    <w:rsid w:val="00534C02"/>
    <w:rsid w:val="00535E20"/>
    <w:rsid w:val="0054264B"/>
    <w:rsid w:val="00543786"/>
    <w:rsid w:val="005533D7"/>
    <w:rsid w:val="0056691F"/>
    <w:rsid w:val="005703DE"/>
    <w:rsid w:val="0058464E"/>
    <w:rsid w:val="0058751E"/>
    <w:rsid w:val="005A01CB"/>
    <w:rsid w:val="005A1C9F"/>
    <w:rsid w:val="005A58FF"/>
    <w:rsid w:val="005A5EAF"/>
    <w:rsid w:val="005A64C0"/>
    <w:rsid w:val="005B3C11"/>
    <w:rsid w:val="005C1C28"/>
    <w:rsid w:val="005C6DB5"/>
    <w:rsid w:val="005E19E7"/>
    <w:rsid w:val="0061716C"/>
    <w:rsid w:val="00623573"/>
    <w:rsid w:val="006243A1"/>
    <w:rsid w:val="00624D43"/>
    <w:rsid w:val="00632E56"/>
    <w:rsid w:val="00635CBA"/>
    <w:rsid w:val="006373D2"/>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072B"/>
    <w:rsid w:val="006E3675"/>
    <w:rsid w:val="006E4A7F"/>
    <w:rsid w:val="006E7EFC"/>
    <w:rsid w:val="006F29A4"/>
    <w:rsid w:val="00704DF6"/>
    <w:rsid w:val="0070651C"/>
    <w:rsid w:val="007132A3"/>
    <w:rsid w:val="00716421"/>
    <w:rsid w:val="00724EFB"/>
    <w:rsid w:val="00730B67"/>
    <w:rsid w:val="007419C3"/>
    <w:rsid w:val="0074517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1DAD"/>
    <w:rsid w:val="007E4B76"/>
    <w:rsid w:val="007E5EA8"/>
    <w:rsid w:val="007F0CF1"/>
    <w:rsid w:val="007F12A5"/>
    <w:rsid w:val="007F4CF1"/>
    <w:rsid w:val="007F758D"/>
    <w:rsid w:val="007F7D52"/>
    <w:rsid w:val="0080654C"/>
    <w:rsid w:val="008071C6"/>
    <w:rsid w:val="008170F6"/>
    <w:rsid w:val="00817A00"/>
    <w:rsid w:val="00835DB3"/>
    <w:rsid w:val="0083617B"/>
    <w:rsid w:val="008371BD"/>
    <w:rsid w:val="008504A8"/>
    <w:rsid w:val="0085282E"/>
    <w:rsid w:val="008646E6"/>
    <w:rsid w:val="0087198C"/>
    <w:rsid w:val="00872C1F"/>
    <w:rsid w:val="00873B42"/>
    <w:rsid w:val="00873CA4"/>
    <w:rsid w:val="0087748B"/>
    <w:rsid w:val="008856D8"/>
    <w:rsid w:val="00892E82"/>
    <w:rsid w:val="008A782D"/>
    <w:rsid w:val="008C1B58"/>
    <w:rsid w:val="008C39AE"/>
    <w:rsid w:val="008C3BB5"/>
    <w:rsid w:val="008C3BCA"/>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77653"/>
    <w:rsid w:val="00981A4B"/>
    <w:rsid w:val="00982501"/>
    <w:rsid w:val="00982575"/>
    <w:rsid w:val="009877D3"/>
    <w:rsid w:val="00994E8F"/>
    <w:rsid w:val="009951DC"/>
    <w:rsid w:val="009959BB"/>
    <w:rsid w:val="00997158"/>
    <w:rsid w:val="009A054C"/>
    <w:rsid w:val="009A3A7C"/>
    <w:rsid w:val="009B2ADB"/>
    <w:rsid w:val="009B3126"/>
    <w:rsid w:val="009B603A"/>
    <w:rsid w:val="009C2D0E"/>
    <w:rsid w:val="009C3DAC"/>
    <w:rsid w:val="009C42E0"/>
    <w:rsid w:val="009D5362"/>
    <w:rsid w:val="009E1415"/>
    <w:rsid w:val="009E6116"/>
    <w:rsid w:val="009F2FF2"/>
    <w:rsid w:val="00A02E43"/>
    <w:rsid w:val="00A065F9"/>
    <w:rsid w:val="00A07F34"/>
    <w:rsid w:val="00A22154"/>
    <w:rsid w:val="00A25C38"/>
    <w:rsid w:val="00A33FC4"/>
    <w:rsid w:val="00A36BBE"/>
    <w:rsid w:val="00A4307A"/>
    <w:rsid w:val="00A4461C"/>
    <w:rsid w:val="00A47EBB"/>
    <w:rsid w:val="00A51CDD"/>
    <w:rsid w:val="00A6730D"/>
    <w:rsid w:val="00A71625"/>
    <w:rsid w:val="00A71B9B"/>
    <w:rsid w:val="00A751C7"/>
    <w:rsid w:val="00A8144A"/>
    <w:rsid w:val="00A87844"/>
    <w:rsid w:val="00AA038C"/>
    <w:rsid w:val="00AA7A09"/>
    <w:rsid w:val="00AB0CCF"/>
    <w:rsid w:val="00AB3B50"/>
    <w:rsid w:val="00AC05B1"/>
    <w:rsid w:val="00AC7C86"/>
    <w:rsid w:val="00AD356C"/>
    <w:rsid w:val="00AE2914"/>
    <w:rsid w:val="00AE6D15"/>
    <w:rsid w:val="00B04182"/>
    <w:rsid w:val="00B074AC"/>
    <w:rsid w:val="00B07AE3"/>
    <w:rsid w:val="00B11430"/>
    <w:rsid w:val="00B353EB"/>
    <w:rsid w:val="00B4072D"/>
    <w:rsid w:val="00B439C4"/>
    <w:rsid w:val="00B4535E"/>
    <w:rsid w:val="00B52A8C"/>
    <w:rsid w:val="00B636A8"/>
    <w:rsid w:val="00B665C6"/>
    <w:rsid w:val="00B805AF"/>
    <w:rsid w:val="00B869EC"/>
    <w:rsid w:val="00B9397A"/>
    <w:rsid w:val="00B9633D"/>
    <w:rsid w:val="00BA2EBE"/>
    <w:rsid w:val="00BB0F28"/>
    <w:rsid w:val="00BB2C87"/>
    <w:rsid w:val="00BB458A"/>
    <w:rsid w:val="00BD00D3"/>
    <w:rsid w:val="00BD1659"/>
    <w:rsid w:val="00BD3AA9"/>
    <w:rsid w:val="00BD4A18"/>
    <w:rsid w:val="00BD6DB2"/>
    <w:rsid w:val="00BE11CF"/>
    <w:rsid w:val="00BE21AB"/>
    <w:rsid w:val="00BE55CB"/>
    <w:rsid w:val="00BF5074"/>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377A1"/>
    <w:rsid w:val="00C4095D"/>
    <w:rsid w:val="00C601D2"/>
    <w:rsid w:val="00C65BCC"/>
    <w:rsid w:val="00C66970"/>
    <w:rsid w:val="00C8691C"/>
    <w:rsid w:val="00CA168A"/>
    <w:rsid w:val="00CA357E"/>
    <w:rsid w:val="00CA44F9"/>
    <w:rsid w:val="00CA4A69"/>
    <w:rsid w:val="00CC35C8"/>
    <w:rsid w:val="00CC3E0C"/>
    <w:rsid w:val="00CC58D3"/>
    <w:rsid w:val="00CC784D"/>
    <w:rsid w:val="00D00864"/>
    <w:rsid w:val="00D0337B"/>
    <w:rsid w:val="00D079B2"/>
    <w:rsid w:val="00D114E9"/>
    <w:rsid w:val="00D36ADE"/>
    <w:rsid w:val="00D37561"/>
    <w:rsid w:val="00D429C6"/>
    <w:rsid w:val="00D464D9"/>
    <w:rsid w:val="00D47748"/>
    <w:rsid w:val="00D54CC3"/>
    <w:rsid w:val="00D6041A"/>
    <w:rsid w:val="00D633EB"/>
    <w:rsid w:val="00D73725"/>
    <w:rsid w:val="00D8152B"/>
    <w:rsid w:val="00D82FF7"/>
    <w:rsid w:val="00D847FE"/>
    <w:rsid w:val="00D964EA"/>
    <w:rsid w:val="00D966D0"/>
    <w:rsid w:val="00DA0C59"/>
    <w:rsid w:val="00DA3991"/>
    <w:rsid w:val="00DB5837"/>
    <w:rsid w:val="00DB7E6C"/>
    <w:rsid w:val="00DC5E6F"/>
    <w:rsid w:val="00DD193C"/>
    <w:rsid w:val="00DD50D8"/>
    <w:rsid w:val="00DD5A29"/>
    <w:rsid w:val="00DD5D9D"/>
    <w:rsid w:val="00DE35CB"/>
    <w:rsid w:val="00DF21E9"/>
    <w:rsid w:val="00DF649D"/>
    <w:rsid w:val="00E00F14"/>
    <w:rsid w:val="00E06386"/>
    <w:rsid w:val="00E24EB4"/>
    <w:rsid w:val="00E320ED"/>
    <w:rsid w:val="00E33AFB"/>
    <w:rsid w:val="00E34218"/>
    <w:rsid w:val="00E35F00"/>
    <w:rsid w:val="00E46282"/>
    <w:rsid w:val="00E5216E"/>
    <w:rsid w:val="00E55250"/>
    <w:rsid w:val="00E62EBC"/>
    <w:rsid w:val="00E82344"/>
    <w:rsid w:val="00E83C06"/>
    <w:rsid w:val="00E84C82"/>
    <w:rsid w:val="00E84D64"/>
    <w:rsid w:val="00E87408"/>
    <w:rsid w:val="00E914C4"/>
    <w:rsid w:val="00E934F5"/>
    <w:rsid w:val="00E96881"/>
    <w:rsid w:val="00E96961"/>
    <w:rsid w:val="00EA5A48"/>
    <w:rsid w:val="00EA72EC"/>
    <w:rsid w:val="00EB11CB"/>
    <w:rsid w:val="00EB275A"/>
    <w:rsid w:val="00EB786A"/>
    <w:rsid w:val="00EC1578"/>
    <w:rsid w:val="00EC1C72"/>
    <w:rsid w:val="00EC3CC9"/>
    <w:rsid w:val="00EC680A"/>
    <w:rsid w:val="00EE2BED"/>
    <w:rsid w:val="00EE374B"/>
    <w:rsid w:val="00F11BB5"/>
    <w:rsid w:val="00F1417B"/>
    <w:rsid w:val="00F272D2"/>
    <w:rsid w:val="00F325EE"/>
    <w:rsid w:val="00F34B99"/>
    <w:rsid w:val="00F37D15"/>
    <w:rsid w:val="00F52DAB"/>
    <w:rsid w:val="00F543F0"/>
    <w:rsid w:val="00F81D29"/>
    <w:rsid w:val="00F91C4D"/>
    <w:rsid w:val="00F92FD9"/>
    <w:rsid w:val="00FA3440"/>
    <w:rsid w:val="00FA6684"/>
    <w:rsid w:val="00FA731E"/>
    <w:rsid w:val="00FB2B38"/>
    <w:rsid w:val="00FB4945"/>
    <w:rsid w:val="00FC6358"/>
    <w:rsid w:val="00FD0B6C"/>
    <w:rsid w:val="00FD320D"/>
    <w:rsid w:val="00FE23DE"/>
    <w:rsid w:val="00FF64B6"/>
    <w:rsid w:val="03533AE3"/>
    <w:rsid w:val="04126341"/>
    <w:rsid w:val="043C4861"/>
    <w:rsid w:val="04BD2DF0"/>
    <w:rsid w:val="04E56978"/>
    <w:rsid w:val="050B073C"/>
    <w:rsid w:val="0585466D"/>
    <w:rsid w:val="05B840F5"/>
    <w:rsid w:val="0629304A"/>
    <w:rsid w:val="06B34480"/>
    <w:rsid w:val="072036B4"/>
    <w:rsid w:val="073626C5"/>
    <w:rsid w:val="07390D42"/>
    <w:rsid w:val="07D06434"/>
    <w:rsid w:val="081B47E1"/>
    <w:rsid w:val="08922E75"/>
    <w:rsid w:val="09C25724"/>
    <w:rsid w:val="09CB6A88"/>
    <w:rsid w:val="09D61836"/>
    <w:rsid w:val="09FA75CD"/>
    <w:rsid w:val="0A17288A"/>
    <w:rsid w:val="0A6D1203"/>
    <w:rsid w:val="0AB67731"/>
    <w:rsid w:val="0AF124AD"/>
    <w:rsid w:val="0B3B3FC4"/>
    <w:rsid w:val="0C013858"/>
    <w:rsid w:val="0CBF26C9"/>
    <w:rsid w:val="0DE31C36"/>
    <w:rsid w:val="0EAB02BA"/>
    <w:rsid w:val="0EF35311"/>
    <w:rsid w:val="0FF454C3"/>
    <w:rsid w:val="10CA72AA"/>
    <w:rsid w:val="116577F2"/>
    <w:rsid w:val="11FA5061"/>
    <w:rsid w:val="12324970"/>
    <w:rsid w:val="1280762A"/>
    <w:rsid w:val="13004D61"/>
    <w:rsid w:val="140F2C91"/>
    <w:rsid w:val="14D4155D"/>
    <w:rsid w:val="16072422"/>
    <w:rsid w:val="17026F0F"/>
    <w:rsid w:val="17176E83"/>
    <w:rsid w:val="17562C3F"/>
    <w:rsid w:val="18583BD5"/>
    <w:rsid w:val="1870374A"/>
    <w:rsid w:val="187F7E04"/>
    <w:rsid w:val="18827918"/>
    <w:rsid w:val="19197809"/>
    <w:rsid w:val="192E3874"/>
    <w:rsid w:val="1A6B4FEB"/>
    <w:rsid w:val="1AAD29F6"/>
    <w:rsid w:val="1B031D5D"/>
    <w:rsid w:val="1B356A42"/>
    <w:rsid w:val="1B83337F"/>
    <w:rsid w:val="1B974A15"/>
    <w:rsid w:val="1D1A0795"/>
    <w:rsid w:val="1DEB73BD"/>
    <w:rsid w:val="1E2E0FAD"/>
    <w:rsid w:val="1EA26876"/>
    <w:rsid w:val="1ECF05C1"/>
    <w:rsid w:val="1F686ABF"/>
    <w:rsid w:val="1F86727A"/>
    <w:rsid w:val="1FB34FB4"/>
    <w:rsid w:val="20A83A3F"/>
    <w:rsid w:val="216877A4"/>
    <w:rsid w:val="21E66AF9"/>
    <w:rsid w:val="222D74E0"/>
    <w:rsid w:val="231A78C4"/>
    <w:rsid w:val="235F050E"/>
    <w:rsid w:val="23F309CA"/>
    <w:rsid w:val="24E62E5B"/>
    <w:rsid w:val="25052271"/>
    <w:rsid w:val="2651067A"/>
    <w:rsid w:val="276F6846"/>
    <w:rsid w:val="277F0CF8"/>
    <w:rsid w:val="279B4250"/>
    <w:rsid w:val="27EB1117"/>
    <w:rsid w:val="28CB21A2"/>
    <w:rsid w:val="28DF0AF7"/>
    <w:rsid w:val="29536AD2"/>
    <w:rsid w:val="298168F5"/>
    <w:rsid w:val="29BA64A0"/>
    <w:rsid w:val="29C2184E"/>
    <w:rsid w:val="2AD43590"/>
    <w:rsid w:val="2AD839CD"/>
    <w:rsid w:val="2B5F1F03"/>
    <w:rsid w:val="2B9C2282"/>
    <w:rsid w:val="2BCF5D7D"/>
    <w:rsid w:val="2BEA28BC"/>
    <w:rsid w:val="2C0B319C"/>
    <w:rsid w:val="2DF57E07"/>
    <w:rsid w:val="2EE2527A"/>
    <w:rsid w:val="2F977D88"/>
    <w:rsid w:val="2FD256D8"/>
    <w:rsid w:val="2FF877B3"/>
    <w:rsid w:val="30A46142"/>
    <w:rsid w:val="30C01185"/>
    <w:rsid w:val="30D845B0"/>
    <w:rsid w:val="31104A4A"/>
    <w:rsid w:val="31A0465B"/>
    <w:rsid w:val="32870EE7"/>
    <w:rsid w:val="328C29A2"/>
    <w:rsid w:val="33553568"/>
    <w:rsid w:val="33E8715C"/>
    <w:rsid w:val="345F22F7"/>
    <w:rsid w:val="34677222"/>
    <w:rsid w:val="34B14942"/>
    <w:rsid w:val="35097408"/>
    <w:rsid w:val="350C3D1D"/>
    <w:rsid w:val="35FE4657"/>
    <w:rsid w:val="360E3D90"/>
    <w:rsid w:val="36994B24"/>
    <w:rsid w:val="36E55036"/>
    <w:rsid w:val="3715537E"/>
    <w:rsid w:val="37B01AAD"/>
    <w:rsid w:val="37E35BB6"/>
    <w:rsid w:val="39BB4147"/>
    <w:rsid w:val="3A444AE5"/>
    <w:rsid w:val="3A85668A"/>
    <w:rsid w:val="3B2254B9"/>
    <w:rsid w:val="3BB50493"/>
    <w:rsid w:val="3C876996"/>
    <w:rsid w:val="3CCC0784"/>
    <w:rsid w:val="3CDE2578"/>
    <w:rsid w:val="3D0A3E98"/>
    <w:rsid w:val="3D4D5D83"/>
    <w:rsid w:val="3E426637"/>
    <w:rsid w:val="3E5E7C6C"/>
    <w:rsid w:val="3E5F234B"/>
    <w:rsid w:val="3F595802"/>
    <w:rsid w:val="3F595C80"/>
    <w:rsid w:val="3F6C0B95"/>
    <w:rsid w:val="3F9C2EFE"/>
    <w:rsid w:val="3FF57129"/>
    <w:rsid w:val="3FFD3BC7"/>
    <w:rsid w:val="400A4965"/>
    <w:rsid w:val="40B94916"/>
    <w:rsid w:val="40F022D1"/>
    <w:rsid w:val="411B561D"/>
    <w:rsid w:val="42D60659"/>
    <w:rsid w:val="431A7B56"/>
    <w:rsid w:val="432A41C2"/>
    <w:rsid w:val="43FF0DED"/>
    <w:rsid w:val="43FF3C87"/>
    <w:rsid w:val="44044ED3"/>
    <w:rsid w:val="443D0B0E"/>
    <w:rsid w:val="445C7909"/>
    <w:rsid w:val="45B002FD"/>
    <w:rsid w:val="45EE7C71"/>
    <w:rsid w:val="461E1EE8"/>
    <w:rsid w:val="462D491A"/>
    <w:rsid w:val="463916A3"/>
    <w:rsid w:val="46CC37DE"/>
    <w:rsid w:val="46DA0152"/>
    <w:rsid w:val="46E45196"/>
    <w:rsid w:val="47032E2E"/>
    <w:rsid w:val="47581FE8"/>
    <w:rsid w:val="481453D3"/>
    <w:rsid w:val="48961244"/>
    <w:rsid w:val="48B52437"/>
    <w:rsid w:val="49311755"/>
    <w:rsid w:val="4A935721"/>
    <w:rsid w:val="4AD336A8"/>
    <w:rsid w:val="4B4B2FA2"/>
    <w:rsid w:val="4B5C107E"/>
    <w:rsid w:val="4C2B6930"/>
    <w:rsid w:val="4C2F299A"/>
    <w:rsid w:val="4D1361C5"/>
    <w:rsid w:val="4D1820B4"/>
    <w:rsid w:val="4D392753"/>
    <w:rsid w:val="4F0E0210"/>
    <w:rsid w:val="4F111601"/>
    <w:rsid w:val="4F5D5052"/>
    <w:rsid w:val="4FA72771"/>
    <w:rsid w:val="50325168"/>
    <w:rsid w:val="506E5FC3"/>
    <w:rsid w:val="509271BB"/>
    <w:rsid w:val="509C1BAA"/>
    <w:rsid w:val="50FD7402"/>
    <w:rsid w:val="51534A93"/>
    <w:rsid w:val="52247867"/>
    <w:rsid w:val="52613679"/>
    <w:rsid w:val="54A92AE8"/>
    <w:rsid w:val="55B82CAB"/>
    <w:rsid w:val="55BD78D0"/>
    <w:rsid w:val="561546F9"/>
    <w:rsid w:val="562E1CA7"/>
    <w:rsid w:val="562E41DF"/>
    <w:rsid w:val="56321ADE"/>
    <w:rsid w:val="568E45A4"/>
    <w:rsid w:val="56C82F94"/>
    <w:rsid w:val="56F93036"/>
    <w:rsid w:val="57566F38"/>
    <w:rsid w:val="576F7135"/>
    <w:rsid w:val="57A2219C"/>
    <w:rsid w:val="57B535C9"/>
    <w:rsid w:val="57EA7648"/>
    <w:rsid w:val="58510232"/>
    <w:rsid w:val="58B24661"/>
    <w:rsid w:val="59E3560A"/>
    <w:rsid w:val="5AD06724"/>
    <w:rsid w:val="5AD25932"/>
    <w:rsid w:val="5B9C273B"/>
    <w:rsid w:val="5C116AAA"/>
    <w:rsid w:val="5CF15E68"/>
    <w:rsid w:val="5D0C1EDC"/>
    <w:rsid w:val="5D13762C"/>
    <w:rsid w:val="5D6906EA"/>
    <w:rsid w:val="5D7558F5"/>
    <w:rsid w:val="5D8C65BF"/>
    <w:rsid w:val="5DAD013B"/>
    <w:rsid w:val="5EDA5C49"/>
    <w:rsid w:val="5F0947F6"/>
    <w:rsid w:val="5F7C3537"/>
    <w:rsid w:val="60537DF2"/>
    <w:rsid w:val="60F204BB"/>
    <w:rsid w:val="61F757CD"/>
    <w:rsid w:val="64776BEB"/>
    <w:rsid w:val="65D45A16"/>
    <w:rsid w:val="65F90EB1"/>
    <w:rsid w:val="66090F55"/>
    <w:rsid w:val="663712DD"/>
    <w:rsid w:val="66765883"/>
    <w:rsid w:val="676D2808"/>
    <w:rsid w:val="67A70C66"/>
    <w:rsid w:val="67B44EBF"/>
    <w:rsid w:val="68742AFB"/>
    <w:rsid w:val="68D05980"/>
    <w:rsid w:val="68FE17CB"/>
    <w:rsid w:val="695F0D01"/>
    <w:rsid w:val="6970227E"/>
    <w:rsid w:val="69E44B6C"/>
    <w:rsid w:val="6B225676"/>
    <w:rsid w:val="6C431AA6"/>
    <w:rsid w:val="6DC5678C"/>
    <w:rsid w:val="6EB7619F"/>
    <w:rsid w:val="6EDE7B06"/>
    <w:rsid w:val="702D1C06"/>
    <w:rsid w:val="70514307"/>
    <w:rsid w:val="70BA160E"/>
    <w:rsid w:val="71AA246B"/>
    <w:rsid w:val="726C0B5C"/>
    <w:rsid w:val="72F064A4"/>
    <w:rsid w:val="742D29E5"/>
    <w:rsid w:val="74662EF6"/>
    <w:rsid w:val="74AE2004"/>
    <w:rsid w:val="75645E95"/>
    <w:rsid w:val="764470B2"/>
    <w:rsid w:val="765E425A"/>
    <w:rsid w:val="76667C68"/>
    <w:rsid w:val="76BE3563"/>
    <w:rsid w:val="76DA32A9"/>
    <w:rsid w:val="774E0682"/>
    <w:rsid w:val="776C706F"/>
    <w:rsid w:val="778E4B3B"/>
    <w:rsid w:val="77EB3804"/>
    <w:rsid w:val="77F008AA"/>
    <w:rsid w:val="781438D5"/>
    <w:rsid w:val="78634835"/>
    <w:rsid w:val="78675D4D"/>
    <w:rsid w:val="786D7B1C"/>
    <w:rsid w:val="789254BD"/>
    <w:rsid w:val="7A2C6866"/>
    <w:rsid w:val="7AA015C5"/>
    <w:rsid w:val="7ACD2E93"/>
    <w:rsid w:val="7B9F061D"/>
    <w:rsid w:val="7BC36F18"/>
    <w:rsid w:val="7BEA77B5"/>
    <w:rsid w:val="7C767BCB"/>
    <w:rsid w:val="7D050953"/>
    <w:rsid w:val="7D940C39"/>
    <w:rsid w:val="7DA80856"/>
    <w:rsid w:val="7EB048EF"/>
    <w:rsid w:val="7F4265B2"/>
    <w:rsid w:val="7F4F186C"/>
    <w:rsid w:val="7FF76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qFormat/>
    <w:uiPriority w:val="0"/>
    <w:pPr>
      <w:ind w:left="840" w:hanging="210"/>
      <w:jc w:val="left"/>
    </w:pPr>
    <w:rPr>
      <w:rFonts w:ascii="Calibri" w:hAnsi="Calibri"/>
      <w:sz w:val="20"/>
      <w:szCs w:val="20"/>
    </w:rPr>
  </w:style>
  <w:style w:type="paragraph" w:styleId="9">
    <w:name w:val="toc 5"/>
    <w:basedOn w:val="1"/>
    <w:next w:val="1"/>
    <w:semiHidden/>
    <w:qFormat/>
    <w:uiPriority w:val="0"/>
    <w:pPr>
      <w:tabs>
        <w:tab w:val="right" w:leader="dot" w:pos="9241"/>
      </w:tabs>
      <w:ind w:firstLine="300" w:firstLineChars="300"/>
      <w:jc w:val="left"/>
    </w:pPr>
    <w:rPr>
      <w:rFonts w:ascii="宋体"/>
      <w:szCs w:val="21"/>
    </w:rPr>
  </w:style>
  <w:style w:type="paragraph" w:styleId="10">
    <w:name w:val="toc 3"/>
    <w:basedOn w:val="1"/>
    <w:next w:val="1"/>
    <w:semiHidden/>
    <w:qFormat/>
    <w:uiPriority w:val="0"/>
    <w:pPr>
      <w:tabs>
        <w:tab w:val="right" w:leader="dot" w:pos="9241"/>
      </w:tabs>
      <w:ind w:firstLine="102" w:firstLineChars="100"/>
      <w:jc w:val="left"/>
    </w:pPr>
    <w:rPr>
      <w:rFonts w:ascii="宋体"/>
      <w:szCs w:val="21"/>
    </w:rPr>
  </w:style>
  <w:style w:type="paragraph" w:styleId="11">
    <w:name w:val="toc 8"/>
    <w:basedOn w:val="1"/>
    <w:next w:val="1"/>
    <w:semiHidden/>
    <w:qFormat/>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qFormat/>
    <w:uiPriority w:val="0"/>
    <w:pPr>
      <w:snapToGrid w:val="0"/>
      <w:jc w:val="left"/>
    </w:pPr>
  </w:style>
  <w:style w:type="paragraph" w:styleId="14">
    <w:name w:val="Balloon Text"/>
    <w:basedOn w:val="1"/>
    <w:link w:val="133"/>
    <w:qFormat/>
    <w:uiPriority w:val="0"/>
    <w:rPr>
      <w:sz w:val="18"/>
      <w:szCs w:val="18"/>
    </w:rPr>
  </w:style>
  <w:style w:type="paragraph" w:styleId="15">
    <w:name w:val="footer"/>
    <w:basedOn w:val="1"/>
    <w:qFormat/>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qFormat/>
    <w:uiPriority w:val="39"/>
    <w:pPr>
      <w:tabs>
        <w:tab w:val="right" w:leader="dot" w:pos="9241"/>
      </w:tabs>
      <w:spacing w:beforeLines="25" w:afterLines="25"/>
      <w:jc w:val="left"/>
    </w:pPr>
    <w:rPr>
      <w:rFonts w:ascii="宋体"/>
      <w:szCs w:val="21"/>
    </w:rPr>
  </w:style>
  <w:style w:type="paragraph" w:styleId="18">
    <w:name w:val="toc 4"/>
    <w:basedOn w:val="1"/>
    <w:next w:val="1"/>
    <w:semiHidden/>
    <w:qFormat/>
    <w:uiPriority w:val="0"/>
    <w:pPr>
      <w:tabs>
        <w:tab w:val="right" w:leader="dot" w:pos="9241"/>
      </w:tabs>
      <w:ind w:firstLine="198" w:firstLineChars="200"/>
      <w:jc w:val="left"/>
    </w:pPr>
    <w:rPr>
      <w:rFonts w:ascii="宋体"/>
      <w:szCs w:val="21"/>
    </w:rPr>
  </w:style>
  <w:style w:type="paragraph" w:styleId="19">
    <w:name w:val="index heading"/>
    <w:basedOn w:val="1"/>
    <w:next w:val="20"/>
    <w:qFormat/>
    <w:uiPriority w:val="0"/>
    <w:pPr>
      <w:spacing w:before="120" w:after="120"/>
      <w:jc w:val="center"/>
    </w:pPr>
    <w:rPr>
      <w:rFonts w:ascii="Calibri" w:hAnsi="Calibri"/>
      <w:b/>
      <w:bCs/>
      <w:iCs/>
      <w:szCs w:val="20"/>
    </w:rPr>
  </w:style>
  <w:style w:type="paragraph" w:styleId="20">
    <w:name w:val="index 1"/>
    <w:basedOn w:val="1"/>
    <w:next w:val="21"/>
    <w:qFormat/>
    <w:uiPriority w:val="0"/>
    <w:pPr>
      <w:tabs>
        <w:tab w:val="right" w:leader="dot" w:pos="9299"/>
      </w:tabs>
      <w:jc w:val="left"/>
    </w:pPr>
    <w:rPr>
      <w:rFonts w:ascii="宋体"/>
      <w:szCs w:val="21"/>
    </w:rPr>
  </w:style>
  <w:style w:type="paragraph" w:customStyle="1" w:styleId="21">
    <w:name w:val="段"/>
    <w:link w:val="3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qFormat/>
    <w:uiPriority w:val="0"/>
    <w:pPr>
      <w:numPr>
        <w:ilvl w:val="0"/>
        <w:numId w:val="1"/>
      </w:numPr>
      <w:snapToGrid w:val="0"/>
      <w:jc w:val="left"/>
    </w:pPr>
    <w:rPr>
      <w:rFonts w:ascii="宋体"/>
      <w:sz w:val="18"/>
      <w:szCs w:val="18"/>
    </w:rPr>
  </w:style>
  <w:style w:type="paragraph" w:styleId="23">
    <w:name w:val="toc 6"/>
    <w:basedOn w:val="1"/>
    <w:next w:val="1"/>
    <w:semiHidden/>
    <w:qFormat/>
    <w:uiPriority w:val="0"/>
    <w:pPr>
      <w:tabs>
        <w:tab w:val="right" w:leader="dot" w:pos="9241"/>
      </w:tabs>
      <w:ind w:firstLine="403" w:firstLineChars="400"/>
      <w:jc w:val="left"/>
    </w:pPr>
    <w:rPr>
      <w:rFonts w:ascii="宋体"/>
      <w:szCs w:val="21"/>
    </w:rPr>
  </w:style>
  <w:style w:type="paragraph" w:styleId="24">
    <w:name w:val="index 7"/>
    <w:basedOn w:val="1"/>
    <w:next w:val="1"/>
    <w:qFormat/>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qFormat/>
    <w:uiPriority w:val="0"/>
    <w:pPr>
      <w:tabs>
        <w:tab w:val="right" w:leader="dot" w:pos="9241"/>
      </w:tabs>
    </w:pPr>
    <w:rPr>
      <w:rFonts w:ascii="宋体"/>
      <w:szCs w:val="21"/>
    </w:rPr>
  </w:style>
  <w:style w:type="paragraph" w:styleId="27">
    <w:name w:val="toc 9"/>
    <w:basedOn w:val="1"/>
    <w:next w:val="1"/>
    <w:semiHidden/>
    <w:qFormat/>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qFormat/>
    <w:uiPriority w:val="0"/>
    <w:rPr>
      <w:vertAlign w:val="superscript"/>
    </w:rPr>
  </w:style>
  <w:style w:type="character" w:styleId="33">
    <w:name w:val="page number"/>
    <w:basedOn w:val="31"/>
    <w:qFormat/>
    <w:uiPriority w:val="0"/>
    <w:rPr>
      <w:rFonts w:ascii="Times New Roman" w:hAnsi="Times New Roman" w:eastAsia="宋体"/>
      <w:sz w:val="18"/>
    </w:rPr>
  </w:style>
  <w:style w:type="character" w:styleId="34">
    <w:name w:val="FollowedHyperlink"/>
    <w:basedOn w:val="31"/>
    <w:qFormat/>
    <w:uiPriority w:val="0"/>
    <w:rPr>
      <w:color w:val="800080"/>
      <w:u w:val="single"/>
    </w:rPr>
  </w:style>
  <w:style w:type="character" w:styleId="35">
    <w:name w:val="Hyperlink"/>
    <w:basedOn w:val="31"/>
    <w:qFormat/>
    <w:uiPriority w:val="99"/>
    <w:rPr>
      <w:color w:val="0000FF"/>
      <w:spacing w:val="0"/>
      <w:w w:val="100"/>
      <w:szCs w:val="21"/>
      <w:u w:val="single"/>
    </w:rPr>
  </w:style>
  <w:style w:type="character" w:styleId="36">
    <w:name w:val="footnote reference"/>
    <w:basedOn w:val="31"/>
    <w:semiHidden/>
    <w:qFormat/>
    <w:uiPriority w:val="0"/>
    <w:rPr>
      <w:vertAlign w:val="superscript"/>
    </w:rPr>
  </w:style>
  <w:style w:type="character" w:customStyle="1" w:styleId="37">
    <w:name w:val="段 Char"/>
    <w:basedOn w:val="31"/>
    <w:link w:val="21"/>
    <w:qFormat/>
    <w:uiPriority w:val="0"/>
    <w:rPr>
      <w:rFonts w:ascii="宋体"/>
      <w:sz w:val="21"/>
      <w:lang w:val="en-US" w:eastAsia="zh-CN" w:bidi="ar-SA"/>
    </w:rPr>
  </w:style>
  <w:style w:type="paragraph" w:customStyle="1" w:styleId="38">
    <w:name w:val="一级条标题"/>
    <w:next w:val="21"/>
    <w:qFormat/>
    <w:uiPriority w:val="0"/>
    <w:pPr>
      <w:numPr>
        <w:ilvl w:val="1"/>
        <w:numId w:val="2"/>
      </w:numPr>
      <w:spacing w:beforeLines="50" w:afterLines="50"/>
      <w:ind w:left="851"/>
      <w:outlineLvl w:val="2"/>
    </w:pPr>
    <w:rPr>
      <w:rFonts w:ascii="黑体" w:hAnsi="Times New Roman" w:eastAsia="黑体" w:cs="Times New Roman"/>
      <w:sz w:val="21"/>
      <w:szCs w:val="21"/>
      <w:lang w:val="en-US" w:eastAsia="zh-CN" w:bidi="ar-SA"/>
    </w:rPr>
  </w:style>
  <w:style w:type="paragraph" w:customStyle="1" w:styleId="3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0"/>
    <w:pPr>
      <w:numPr>
        <w:ilvl w:val="2"/>
      </w:numPr>
      <w:spacing w:before="50" w:after="50"/>
      <w:outlineLvl w:val="3"/>
    </w:pPr>
  </w:style>
  <w:style w:type="paragraph" w:customStyle="1" w:styleId="4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0"/>
    <w:pPr>
      <w:numPr>
        <w:ilvl w:val="3"/>
      </w:numPr>
      <w:outlineLvl w:val="4"/>
    </w:pPr>
  </w:style>
  <w:style w:type="paragraph" w:customStyle="1" w:styleId="48">
    <w:name w:val="示例"/>
    <w:next w:val="49"/>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0"/>
    <w:pPr>
      <w:numPr>
        <w:ilvl w:val="4"/>
      </w:numPr>
      <w:outlineLvl w:val="5"/>
    </w:pPr>
  </w:style>
  <w:style w:type="paragraph" w:customStyle="1" w:styleId="52">
    <w:name w:val="五级条标题"/>
    <w:basedOn w:val="51"/>
    <w:next w:val="21"/>
    <w:qFormat/>
    <w:uiPriority w:val="0"/>
    <w:pPr>
      <w:numPr>
        <w:ilvl w:val="5"/>
      </w:numPr>
      <w:outlineLvl w:val="6"/>
    </w:pPr>
  </w:style>
  <w:style w:type="paragraph" w:customStyle="1" w:styleId="53">
    <w:name w:val="注："/>
    <w:next w:val="21"/>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56">
    <w:name w:val="列项◆（三级）"/>
    <w:basedOn w:val="1"/>
    <w:qFormat/>
    <w:uiPriority w:val="0"/>
    <w:pPr>
      <w:numPr>
        <w:ilvl w:val="2"/>
        <w:numId w:val="3"/>
      </w:numPr>
    </w:pPr>
    <w:rPr>
      <w:rFonts w:ascii="宋体"/>
      <w:szCs w:val="21"/>
    </w:rPr>
  </w:style>
  <w:style w:type="paragraph" w:customStyle="1" w:styleId="57">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0"/>
      </w:numPr>
      <w:spacing w:beforeLines="0" w:afterLines="0"/>
      <w:ind w:firstLine="363"/>
      <w:outlineLvl w:val="9"/>
    </w:pPr>
    <w:rPr>
      <w:rFonts w:ascii="宋体" w:eastAsia="宋体"/>
      <w:sz w:val="18"/>
      <w:szCs w:val="18"/>
    </w:rPr>
  </w:style>
  <w:style w:type="paragraph" w:customStyle="1" w:styleId="59">
    <w:name w:val="二级无"/>
    <w:basedOn w:val="42"/>
    <w:qFormat/>
    <w:uiPriority w:val="0"/>
    <w:pPr>
      <w:spacing w:beforeLines="0" w:afterLines="0"/>
      <w:ind w:left="0"/>
    </w:pPr>
    <w:rPr>
      <w:rFonts w:ascii="宋体" w:eastAsia="宋体"/>
    </w:rPr>
  </w:style>
  <w:style w:type="paragraph" w:customStyle="1" w:styleId="60">
    <w:name w:val="注：（正文）"/>
    <w:basedOn w:val="53"/>
    <w:next w:val="21"/>
    <w:qFormat/>
    <w:uiPriority w:val="0"/>
  </w:style>
  <w:style w:type="paragraph" w:customStyle="1" w:styleId="61">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qFormat/>
    <w:uiPriority w:val="0"/>
    <w:pPr>
      <w:jc w:val="left"/>
    </w:p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basedOn w:val="31"/>
    <w:qFormat/>
    <w:uiPriority w:val="0"/>
    <w:rPr>
      <w:rFonts w:ascii="黑体" w:eastAsia="黑体"/>
      <w:spacing w:val="85"/>
      <w:w w:val="100"/>
      <w:position w:val="3"/>
      <w:sz w:val="28"/>
      <w:szCs w:val="28"/>
    </w:rPr>
  </w:style>
  <w:style w:type="paragraph" w:customStyle="1" w:styleId="70">
    <w:name w:val="发布部门"/>
    <w:next w:val="2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qFormat/>
    <w:uiPriority w:val="0"/>
    <w:pPr>
      <w:spacing w:before="370" w:line="400" w:lineRule="exact"/>
    </w:pPr>
    <w:rPr>
      <w:rFonts w:ascii="Times New Roman"/>
      <w:sz w:val="28"/>
      <w:szCs w:val="28"/>
    </w:rPr>
  </w:style>
  <w:style w:type="paragraph" w:customStyle="1" w:styleId="76">
    <w:name w:val="封面一致性程度标识"/>
    <w:basedOn w:val="75"/>
    <w:qFormat/>
    <w:uiPriority w:val="0"/>
    <w:pPr>
      <w:spacing w:before="440"/>
    </w:pPr>
    <w:rPr>
      <w:rFonts w:ascii="宋体" w:eastAsia="宋体"/>
    </w:rPr>
  </w:style>
  <w:style w:type="paragraph" w:customStyle="1" w:styleId="77">
    <w:name w:val="封面标准文稿类别"/>
    <w:basedOn w:val="76"/>
    <w:qFormat/>
    <w:uiPriority w:val="0"/>
    <w:pPr>
      <w:spacing w:after="160" w:line="240" w:lineRule="auto"/>
    </w:pPr>
    <w:rPr>
      <w:sz w:val="24"/>
    </w:rPr>
  </w:style>
  <w:style w:type="paragraph" w:customStyle="1" w:styleId="78">
    <w:name w:val="封面标准文稿编辑信息"/>
    <w:basedOn w:val="77"/>
    <w:qFormat/>
    <w:uiPriority w:val="0"/>
    <w:pPr>
      <w:spacing w:before="180" w:line="180" w:lineRule="exact"/>
    </w:pPr>
    <w:rPr>
      <w:sz w:val="21"/>
    </w:rPr>
  </w:style>
  <w:style w:type="paragraph" w:customStyle="1" w:styleId="79">
    <w:name w:val="封面正文"/>
    <w:qFormat/>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qFormat/>
    <w:uiPriority w:val="0"/>
    <w:pPr>
      <w:ind w:firstLine="0" w:firstLineChars="0"/>
      <w:jc w:val="center"/>
    </w:pPr>
    <w:rPr>
      <w:rFonts w:ascii="黑体" w:eastAsia="黑体"/>
    </w:rPr>
  </w:style>
  <w:style w:type="paragraph" w:customStyle="1" w:styleId="82">
    <w:name w:val="附录表标号"/>
    <w:basedOn w:val="1"/>
    <w:next w:val="21"/>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3">
    <w:name w:val="附录表标题"/>
    <w:basedOn w:val="1"/>
    <w:next w:val="21"/>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qFormat/>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qFormat/>
    <w:uiPriority w:val="0"/>
    <w:rPr>
      <w:rFonts w:ascii="宋体"/>
      <w:sz w:val="21"/>
      <w:lang w:val="en-US" w:eastAsia="zh-CN" w:bidi="ar-SA"/>
    </w:rPr>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qFormat/>
    <w:uiPriority w:val="0"/>
    <w:pPr>
      <w:numPr>
        <w:ilvl w:val="4"/>
      </w:numPr>
      <w:outlineLvl w:val="4"/>
    </w:pPr>
  </w:style>
  <w:style w:type="paragraph" w:customStyle="1" w:styleId="90">
    <w:name w:val="附录三级无"/>
    <w:basedOn w:val="89"/>
    <w:qFormat/>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2">
    <w:name w:val="附录四级条标题"/>
    <w:basedOn w:val="89"/>
    <w:next w:val="21"/>
    <w:qFormat/>
    <w:uiPriority w:val="0"/>
    <w:pPr>
      <w:numPr>
        <w:ilvl w:val="5"/>
      </w:numPr>
      <w:outlineLvl w:val="5"/>
    </w:pPr>
  </w:style>
  <w:style w:type="paragraph" w:customStyle="1" w:styleId="93">
    <w:name w:val="附录四级无"/>
    <w:basedOn w:val="92"/>
    <w:qFormat/>
    <w:uiPriority w:val="0"/>
    <w:pPr>
      <w:tabs>
        <w:tab w:val="clear" w:pos="360"/>
      </w:tabs>
      <w:spacing w:beforeLines="0" w:afterLines="0"/>
    </w:pPr>
    <w:rPr>
      <w:rFonts w:ascii="宋体" w:eastAsia="宋体"/>
      <w:szCs w:val="21"/>
    </w:rPr>
  </w:style>
  <w:style w:type="paragraph" w:customStyle="1" w:styleId="94">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5">
    <w:name w:val="附录图标题"/>
    <w:basedOn w:val="1"/>
    <w:next w:val="21"/>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qFormat/>
    <w:uiPriority w:val="0"/>
    <w:pPr>
      <w:numPr>
        <w:ilvl w:val="6"/>
      </w:numPr>
      <w:outlineLvl w:val="6"/>
    </w:pPr>
  </w:style>
  <w:style w:type="paragraph" w:customStyle="1" w:styleId="97">
    <w:name w:val="附录五级无"/>
    <w:basedOn w:val="96"/>
    <w:qFormat/>
    <w:uiPriority w:val="0"/>
    <w:pPr>
      <w:tabs>
        <w:tab w:val="clear" w:pos="360"/>
      </w:tabs>
      <w:spacing w:beforeLines="0" w:afterLines="0"/>
    </w:pPr>
    <w:rPr>
      <w:rFonts w:ascii="宋体" w:eastAsia="宋体"/>
      <w:szCs w:val="21"/>
    </w:rPr>
  </w:style>
  <w:style w:type="paragraph" w:customStyle="1" w:styleId="98">
    <w:name w:val="附录章标题"/>
    <w:next w:val="21"/>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qFormat/>
    <w:uiPriority w:val="0"/>
    <w:pPr>
      <w:numPr>
        <w:ilvl w:val="2"/>
      </w:numPr>
      <w:autoSpaceDN w:val="0"/>
      <w:spacing w:beforeLines="50" w:afterLines="50"/>
      <w:outlineLvl w:val="2"/>
    </w:pPr>
  </w:style>
  <w:style w:type="paragraph" w:customStyle="1" w:styleId="100">
    <w:name w:val="附录一级无"/>
    <w:basedOn w:val="99"/>
    <w:qFormat/>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qFormat/>
    <w:uiPriority w:val="0"/>
    <w:pPr>
      <w:spacing w:beforeLines="0" w:afterLines="0"/>
    </w:pPr>
    <w:rPr>
      <w:rFonts w:ascii="宋体" w:eastAsia="宋体"/>
    </w:rPr>
  </w:style>
  <w:style w:type="paragraph" w:customStyle="1" w:styleId="110">
    <w:name w:val="实施日期"/>
    <w:basedOn w:val="71"/>
    <w:qFormat/>
    <w:uiPriority w:val="0"/>
    <w:pPr>
      <w:framePr w:vAnchor="page" w:hAnchor="text"/>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tabs>
        <w:tab w:val="left" w:pos="360"/>
      </w:tabs>
    </w:pPr>
    <w:rPr>
      <w:rFonts w:ascii="宋体" w:hAnsi="宋体" w:eastAsia="宋体" w:cs="Times New Roman"/>
      <w:kern w:val="2"/>
      <w:sz w:val="18"/>
      <w:szCs w:val="18"/>
      <w:lang w:val="en-US" w:eastAsia="zh-CN" w:bidi="ar-SA"/>
    </w:rPr>
  </w:style>
  <w:style w:type="character" w:customStyle="1" w:styleId="113">
    <w:name w:val="首示例 Char"/>
    <w:basedOn w:val="31"/>
    <w:link w:val="112"/>
    <w:qFormat/>
    <w:uiPriority w:val="0"/>
    <w:rPr>
      <w:rFonts w:ascii="宋体" w:hAnsi="宋体"/>
      <w:kern w:val="2"/>
      <w:sz w:val="18"/>
      <w:szCs w:val="18"/>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qFormat/>
    <w:uiPriority w:val="0"/>
    <w:pPr>
      <w:numPr>
        <w:numId w:val="0"/>
      </w:numPr>
      <w:jc w:val="both"/>
    </w:pPr>
  </w:style>
  <w:style w:type="paragraph" w:customStyle="1" w:styleId="116">
    <w:name w:val="图标脚注说明"/>
    <w:basedOn w:val="21"/>
    <w:qFormat/>
    <w:uiPriority w:val="0"/>
    <w:pPr>
      <w:ind w:left="840" w:hanging="420" w:firstLineChars="0"/>
    </w:pPr>
    <w:rPr>
      <w:sz w:val="18"/>
      <w:szCs w:val="18"/>
    </w:rPr>
  </w:style>
  <w:style w:type="paragraph" w:customStyle="1" w:styleId="117">
    <w:name w:val="图表脚注说明"/>
    <w:basedOn w:val="1"/>
    <w:qFormat/>
    <w:uiPriority w:val="0"/>
    <w:pPr>
      <w:ind w:left="544" w:hanging="181"/>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qFormat/>
    <w:uiPriority w:val="0"/>
    <w:pPr>
      <w:spacing w:beforeLines="0" w:afterLines="0"/>
      <w:ind w:left="993"/>
    </w:pPr>
    <w:rPr>
      <w:rFonts w:ascii="宋体" w:eastAsia="宋体"/>
    </w:rPr>
  </w:style>
  <w:style w:type="paragraph" w:customStyle="1" w:styleId="122">
    <w:name w:val="正文表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qFormat/>
    <w:uiPriority w:val="0"/>
    <w:pPr>
      <w:framePr w:vAnchor="page" w:hAnchor="text" w:x="1419"/>
    </w:pPr>
  </w:style>
  <w:style w:type="paragraph" w:customStyle="1" w:styleId="127">
    <w:name w:val="其他实施日期"/>
    <w:basedOn w:val="110"/>
    <w:qFormat/>
    <w:uiPriority w:val="0"/>
  </w:style>
  <w:style w:type="paragraph" w:customStyle="1" w:styleId="128">
    <w:name w:val="封面标准名称2"/>
    <w:basedOn w:val="74"/>
    <w:qFormat/>
    <w:uiPriority w:val="0"/>
    <w:pPr>
      <w:framePr w:y="4469"/>
      <w:spacing w:beforeLines="630"/>
    </w:pPr>
  </w:style>
  <w:style w:type="paragraph" w:customStyle="1" w:styleId="129">
    <w:name w:val="封面标准英文名称2"/>
    <w:basedOn w:val="75"/>
    <w:qFormat/>
    <w:uiPriority w:val="0"/>
    <w:pPr>
      <w:framePr w:y="4469"/>
    </w:pPr>
  </w:style>
  <w:style w:type="paragraph" w:customStyle="1" w:styleId="130">
    <w:name w:val="封面一致性程度标识2"/>
    <w:basedOn w:val="76"/>
    <w:qFormat/>
    <w:uiPriority w:val="0"/>
    <w:pPr>
      <w:framePr w:y="4469"/>
    </w:pPr>
  </w:style>
  <w:style w:type="paragraph" w:customStyle="1" w:styleId="131">
    <w:name w:val="封面标准文稿类别2"/>
    <w:basedOn w:val="77"/>
    <w:qFormat/>
    <w:uiPriority w:val="0"/>
    <w:pPr>
      <w:framePr w:y="4469"/>
    </w:pPr>
  </w:style>
  <w:style w:type="paragraph" w:customStyle="1" w:styleId="132">
    <w:name w:val="封面标准文稿编辑信息2"/>
    <w:basedOn w:val="78"/>
    <w:qFormat/>
    <w:uiPriority w:val="0"/>
    <w:pPr>
      <w:framePr w:y="4469"/>
    </w:pPr>
  </w:style>
  <w:style w:type="character" w:customStyle="1" w:styleId="133">
    <w:name w:val="批注框文本 Char"/>
    <w:basedOn w:val="31"/>
    <w:link w:val="14"/>
    <w:qFormat/>
    <w:uiPriority w:val="0"/>
    <w:rPr>
      <w:kern w:val="2"/>
      <w:sz w:val="18"/>
      <w:szCs w:val="18"/>
    </w:rPr>
  </w:style>
  <w:style w:type="paragraph" w:customStyle="1" w:styleId="134">
    <w:name w:val="二级无标题条"/>
    <w:basedOn w:val="1"/>
    <w:qFormat/>
    <w:uiPriority w:val="0"/>
    <w:pPr>
      <w:numPr>
        <w:ilvl w:val="3"/>
        <w:numId w:val="10"/>
      </w:numPr>
    </w:pPr>
  </w:style>
  <w:style w:type="paragraph" w:customStyle="1" w:styleId="135">
    <w:name w:val="三级无标题条"/>
    <w:basedOn w:val="1"/>
    <w:qFormat/>
    <w:uiPriority w:val="0"/>
    <w:pPr>
      <w:numPr>
        <w:ilvl w:val="4"/>
        <w:numId w:val="10"/>
      </w:numPr>
    </w:pPr>
  </w:style>
  <w:style w:type="paragraph" w:customStyle="1" w:styleId="136">
    <w:name w:val="四级无标题条"/>
    <w:basedOn w:val="1"/>
    <w:qFormat/>
    <w:uiPriority w:val="0"/>
    <w:pPr>
      <w:numPr>
        <w:ilvl w:val="5"/>
        <w:numId w:val="10"/>
      </w:numPr>
    </w:pPr>
  </w:style>
  <w:style w:type="paragraph" w:customStyle="1" w:styleId="137">
    <w:name w:val="五级无标题条"/>
    <w:basedOn w:val="1"/>
    <w:qFormat/>
    <w:uiPriority w:val="0"/>
    <w:pPr>
      <w:numPr>
        <w:ilvl w:val="6"/>
        <w:numId w:val="10"/>
      </w:numPr>
    </w:pPr>
  </w:style>
  <w:style w:type="paragraph" w:customStyle="1" w:styleId="138">
    <w:name w:val="一级无标题条"/>
    <w:basedOn w:val="1"/>
    <w:qFormat/>
    <w:uiPriority w:val="0"/>
    <w:pPr>
      <w:numPr>
        <w:ilvl w:val="2"/>
        <w:numId w:val="10"/>
      </w:numPr>
    </w:pPr>
  </w:style>
  <w:style w:type="paragraph" w:customStyle="1" w:styleId="139">
    <w:name w:val="标准正文"/>
    <w:basedOn w:val="1"/>
    <w:qFormat/>
    <w:uiPriority w:val="0"/>
    <w:pPr>
      <w:widowControl/>
      <w:tabs>
        <w:tab w:val="center" w:pos="4201"/>
        <w:tab w:val="right" w:leader="dot" w:pos="9298"/>
      </w:tabs>
      <w:autoSpaceDE w:val="0"/>
      <w:autoSpaceDN w:val="0"/>
      <w:ind w:firstLine="420" w:firstLineChars="200"/>
    </w:pPr>
    <w:rPr>
      <w:rFonts w:ascii="宋体" w:hAnsi="宋体"/>
      <w:kern w:val="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7073E-EFDB-4A41-9FB5-E87FB6341C1B}">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5</Pages>
  <Words>1347</Words>
  <Characters>1684</Characters>
  <Lines>30</Lines>
  <Paragraphs>8</Paragraphs>
  <TotalTime>0</TotalTime>
  <ScaleCrop>false</ScaleCrop>
  <LinksUpToDate>false</LinksUpToDate>
  <CharactersWithSpaces>1750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2018-01-15T09:30:00Z</dcterms:created>
  <dc:creator>CNIS</dc:creator>
  <cp:lastModifiedBy>夜雾</cp:lastModifiedBy>
  <cp:lastPrinted>2022-07-31T02:25:00Z</cp:lastPrinted>
  <dcterms:modified xsi:type="dcterms:W3CDTF">2022-08-10T06:46:03Z</dcterms:modified>
  <dc:title>标准名称</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A30CD6AB587C4B67A1101FE5D4F95248</vt:lpwstr>
  </property>
</Properties>
</file>